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84AEB" w:rsidR="00B32591" w:rsidP="00D84AEB" w14:paraId="2CF67A49" w14:textId="2EDE3BC1">
      <w:pPr>
        <w:jc w:val="center"/>
      </w:pPr>
    </w:p>
    <w:p w:rsidRPr="00D84AEB" w:rsidR="00B32591" w:rsidP="00D84AEB" w14:paraId="06BE10E6" w14:textId="02652F94">
      <w:pPr>
        <w:jc w:val="center"/>
        <w:rPr>
          <w:sz w:val="4"/>
          <w:szCs w:val="4"/>
        </w:rPr>
      </w:pPr>
    </w:p>
    <w:p w:rsidRPr="00D84AEB" w:rsidR="00B32591" w:rsidP="00D84AEB" w14:paraId="449AFAE1" w14:textId="4E7A90AC">
      <w:pPr>
        <w:pStyle w:val="DecHTitle"/>
      </w:pPr>
      <w:r w:rsidRPr="00D84AEB">
        <w:t>FIFTH SECTION</w:t>
      </w:r>
    </w:p>
    <w:p w:rsidRPr="00D84AEB" w:rsidR="00B32591" w:rsidP="00D84AEB" w14:paraId="089773D7" w14:textId="77777777">
      <w:pPr>
        <w:pStyle w:val="DecHTitle"/>
      </w:pPr>
      <w:r w:rsidRPr="00D84AEB">
        <w:t>DECISION</w:t>
      </w:r>
    </w:p>
    <w:p w:rsidRPr="00D84AEB" w:rsidR="00B32591" w:rsidP="00D84AEB" w14:paraId="3543BA60" w14:textId="1AFDB00E">
      <w:pPr>
        <w:pStyle w:val="DecHCase"/>
        <w:rPr>
          <w:i/>
        </w:rPr>
      </w:pPr>
      <w:r w:rsidRPr="00D84AEB">
        <w:rPr>
          <w:noProof/>
        </w:rPr>
        <w:t>Application no.</w:t>
      </w:r>
      <w:r w:rsidRPr="00D84AEB" w:rsidR="006267D3">
        <w:t xml:space="preserve"> </w:t>
      </w:r>
      <w:r w:rsidRPr="00D84AEB">
        <w:t>20348/18</w:t>
      </w:r>
      <w:r w:rsidRPr="00D84AEB" w:rsidR="006267D3">
        <w:br/>
      </w:r>
      <w:r w:rsidRPr="00D84AEB">
        <w:rPr>
          <w:noProof/>
        </w:rPr>
        <w:t>Manvel TER-ARAKELYAN</w:t>
      </w:r>
      <w:r w:rsidRPr="00D84AEB">
        <w:rPr>
          <w:noProof/>
        </w:rPr>
        <w:br/>
      </w:r>
      <w:r w:rsidRPr="00D84AEB" w:rsidR="006267D3">
        <w:t xml:space="preserve">against </w:t>
      </w:r>
      <w:r w:rsidRPr="00D84AEB">
        <w:t>Armenia</w:t>
      </w:r>
    </w:p>
    <w:p w:rsidRPr="00D84AEB" w:rsidR="00B32591" w:rsidP="00D84AEB" w14:paraId="0251C25B" w14:textId="2EDB3816">
      <w:pPr>
        <w:rPr>
          <w:sz w:val="2"/>
          <w:szCs w:val="2"/>
        </w:rPr>
      </w:pPr>
    </w:p>
    <w:p w:rsidRPr="00D84AEB" w:rsidR="00C063A6" w:rsidP="00D84AEB" w14:paraId="2697AE81" w14:textId="3086A1AA">
      <w:pPr>
        <w:pStyle w:val="JuPara"/>
      </w:pPr>
      <w:r w:rsidRPr="00D84AEB">
        <w:t xml:space="preserve">The European Court of Human Rights (Fifth Section), sitting on </w:t>
      </w:r>
      <w:r w:rsidRPr="00D84AEB" w:rsidR="00D55D0D">
        <w:t>19 June 2025</w:t>
      </w:r>
      <w:r w:rsidRPr="00D84AEB">
        <w:t xml:space="preserve"> as a Committee composed of:</w:t>
      </w:r>
    </w:p>
    <w:p w:rsidRPr="00D84AEB" w:rsidR="00C063A6" w:rsidP="00D84AEB" w14:paraId="240E4276" w14:textId="56E4256C">
      <w:pPr>
        <w:pStyle w:val="JuJudges"/>
        <w:rPr>
          <w:iCs/>
        </w:rPr>
      </w:pPr>
      <w:r w:rsidRPr="00D84AEB">
        <w:tab/>
        <w:t xml:space="preserve">Andreas </w:t>
      </w:r>
      <w:r w:rsidRPr="00D84AEB">
        <w:t>Zünd</w:t>
      </w:r>
      <w:r w:rsidRPr="00D84AEB">
        <w:rPr>
          <w:i/>
        </w:rPr>
        <w:t>, President</w:t>
      </w:r>
      <w:r w:rsidRPr="00D84AEB">
        <w:t>,</w:t>
      </w:r>
      <w:r w:rsidRPr="00D84AEB">
        <w:br/>
      </w:r>
      <w:r w:rsidRPr="00D84AEB">
        <w:tab/>
        <w:t xml:space="preserve">Mykola </w:t>
      </w:r>
      <w:r w:rsidRPr="00D84AEB">
        <w:t>Gnatovskyy</w:t>
      </w:r>
      <w:r w:rsidRPr="00D84AEB">
        <w:t>,</w:t>
      </w:r>
      <w:r w:rsidRPr="00D84AEB">
        <w:br/>
      </w:r>
      <w:r w:rsidRPr="00D84AEB">
        <w:tab/>
        <w:t>Vahe Grigoryan</w:t>
      </w:r>
      <w:r w:rsidRPr="00D84AEB">
        <w:rPr>
          <w:i/>
        </w:rPr>
        <w:t>, judges</w:t>
      </w:r>
      <w:r w:rsidRPr="00D84AEB">
        <w:t>,</w:t>
      </w:r>
      <w:r w:rsidRPr="00D84AEB">
        <w:br/>
        <w:t xml:space="preserve">and Martina Keller, </w:t>
      </w:r>
      <w:r w:rsidRPr="00D84AEB">
        <w:rPr>
          <w:i/>
        </w:rPr>
        <w:t>Deputy</w:t>
      </w:r>
      <w:r w:rsidRPr="00D84AEB">
        <w:t xml:space="preserve"> </w:t>
      </w:r>
      <w:r w:rsidRPr="00D84AEB">
        <w:rPr>
          <w:i/>
          <w:iCs/>
        </w:rPr>
        <w:t>Section Registrar</w:t>
      </w:r>
      <w:r w:rsidRPr="00D84AEB">
        <w:rPr>
          <w:i/>
        </w:rPr>
        <w:t>,</w:t>
      </w:r>
    </w:p>
    <w:p w:rsidRPr="00D84AEB" w:rsidR="00C063A6" w:rsidP="00D84AEB" w14:paraId="52187A2A" w14:textId="77777777">
      <w:pPr>
        <w:pStyle w:val="JuPara"/>
      </w:pPr>
      <w:r w:rsidRPr="00D84AEB">
        <w:t>Having regard to:</w:t>
      </w:r>
    </w:p>
    <w:p w:rsidRPr="00D84AEB" w:rsidR="00C063A6" w:rsidP="00D84AEB" w14:paraId="10137A2C" w14:textId="0EF4A967">
      <w:pPr>
        <w:pStyle w:val="JuPara"/>
      </w:pPr>
      <w:r w:rsidRPr="00D84AEB">
        <w:t>the application (no. 20348/18) against the Republic of Armenia lodged with the Court under Article 34 of the Convention for the Protection of Human Rights and Fundamental Freedoms (“the Convention”) on 16</w:t>
      </w:r>
      <w:r w:rsidRPr="00D84AEB" w:rsidR="00D55D0D">
        <w:t xml:space="preserve"> </w:t>
      </w:r>
      <w:r w:rsidRPr="00D84AEB">
        <w:t>April 2018 by an Armenian national, Mr Manvel Ter-Arakelyan (“the applicant”), who was born in 1965, lives in Yerevan and was represented by Mr</w:t>
      </w:r>
      <w:r w:rsidRPr="00D84AEB" w:rsidR="00613AFB">
        <w:t xml:space="preserve"> Hayk </w:t>
      </w:r>
      <w:r w:rsidRPr="00D84AEB">
        <w:t>Alumyan</w:t>
      </w:r>
      <w:r w:rsidRPr="00D84AEB">
        <w:t>, a lawyer practising in Yerevan;</w:t>
      </w:r>
    </w:p>
    <w:p w:rsidRPr="00D84AEB" w:rsidR="00C063A6" w:rsidP="00D84AEB" w14:paraId="5642A673" w14:textId="29716872">
      <w:pPr>
        <w:pStyle w:val="JuPara"/>
      </w:pPr>
      <w:r w:rsidRPr="00D84AEB">
        <w:t xml:space="preserve">the decision to give notice of the complaint concerning </w:t>
      </w:r>
      <w:r w:rsidRPr="00D84AEB">
        <w:rPr>
          <w:rFonts w:cstheme="minorHAnsi"/>
        </w:rPr>
        <w:t>the alleged breach of the applicants</w:t>
      </w:r>
      <w:r w:rsidRPr="00D84AEB" w:rsidR="00D84AEB">
        <w:rPr>
          <w:rFonts w:cstheme="minorHAnsi"/>
        </w:rPr>
        <w:t>’</w:t>
      </w:r>
      <w:r w:rsidRPr="00D84AEB">
        <w:rPr>
          <w:rFonts w:cstheme="minorHAnsi"/>
        </w:rPr>
        <w:t xml:space="preserve"> right of access to a court</w:t>
      </w:r>
      <w:r w:rsidRPr="00D84AEB">
        <w:t xml:space="preserve"> to the Armenian Government (“the Government”), represented by their Agent, Mr Y. </w:t>
      </w:r>
      <w:r w:rsidRPr="00D84AEB">
        <w:t>Kirakosyan</w:t>
      </w:r>
      <w:r w:rsidRPr="00D84AEB">
        <w:t>, Representative of the Republic of Armenia on International Legal Matters, and to declare the remainder of the application inadmissible;</w:t>
      </w:r>
    </w:p>
    <w:p w:rsidRPr="00D84AEB" w:rsidR="00C063A6" w:rsidP="00D84AEB" w14:paraId="55F87A05" w14:textId="3F352D76">
      <w:pPr>
        <w:pStyle w:val="JuPara"/>
      </w:pPr>
      <w:r w:rsidRPr="00D84AEB">
        <w:t>the parties</w:t>
      </w:r>
      <w:r w:rsidRPr="00D84AEB" w:rsidR="00D84AEB">
        <w:t>’</w:t>
      </w:r>
      <w:r w:rsidRPr="00D84AEB">
        <w:t xml:space="preserve"> observations;</w:t>
      </w:r>
    </w:p>
    <w:p w:rsidRPr="00D84AEB" w:rsidR="00C063A6" w:rsidP="00D84AEB" w14:paraId="386DEF67" w14:textId="77777777">
      <w:pPr>
        <w:pStyle w:val="JuPara"/>
      </w:pPr>
      <w:r w:rsidRPr="00D84AEB">
        <w:t>Having deliberated, decides as follows:</w:t>
      </w:r>
    </w:p>
    <w:p w:rsidRPr="00D84AEB" w:rsidR="00C063A6" w:rsidP="00D84AEB" w14:paraId="6C86173C" w14:textId="65EECB03">
      <w:pPr>
        <w:pStyle w:val="JuHHead"/>
        <w:numPr>
          <w:ilvl w:val="0"/>
          <w:numId w:val="0"/>
        </w:numPr>
      </w:pPr>
      <w:r w:rsidRPr="00D84AEB">
        <w:t>SUBJECT MATTER OF THE CASE</w:t>
      </w:r>
    </w:p>
    <w:p w:rsidRPr="00D84AEB" w:rsidR="00C063A6" w:rsidP="00D84AEB" w14:paraId="6F364A50" w14:textId="749F2075">
      <w:pPr>
        <w:pStyle w:val="JuPara"/>
      </w:pPr>
      <w:r>
        <w:fldChar w:fldCharType="begin"/>
      </w:r>
      <w:r>
        <w:instrText xml:space="preserve"> SEQ level0 \*arabic \* MERGEFORMAT </w:instrText>
      </w:r>
      <w:r>
        <w:fldChar w:fldCharType="separate"/>
      </w:r>
      <w:r w:rsidRPr="00D84AEB" w:rsidR="00D84AEB">
        <w:rPr>
          <w:noProof/>
        </w:rPr>
        <w:t>1</w:t>
      </w:r>
      <w:r w:rsidRPr="00D84AEB" w:rsidR="00D84AEB">
        <w:rPr>
          <w:noProof/>
        </w:rPr>
        <w:fldChar w:fldCharType="end"/>
      </w:r>
      <w:r w:rsidRPr="00D84AEB">
        <w:t>.  The application concerns the alleged violation of the applicant</w:t>
      </w:r>
      <w:r w:rsidRPr="00D84AEB" w:rsidR="00D84AEB">
        <w:t>’</w:t>
      </w:r>
      <w:r w:rsidRPr="00D84AEB">
        <w:t>s right of access to the Civil Court of Appeal on account of court fees that the applicant claimed were excessive.</w:t>
      </w:r>
    </w:p>
    <w:p w:rsidRPr="00D84AEB" w:rsidR="00C063A6" w:rsidP="00D84AEB" w14:paraId="10CDC019" w14:textId="657EA1D9">
      <w:pPr>
        <w:pStyle w:val="JuPara"/>
      </w:pPr>
      <w:r>
        <w:fldChar w:fldCharType="begin"/>
      </w:r>
      <w:r>
        <w:instrText xml:space="preserve"> SEQ level0 \*arabic \* MERGEFORMAT </w:instrText>
      </w:r>
      <w:r>
        <w:fldChar w:fldCharType="separate"/>
      </w:r>
      <w:bookmarkStart w:name="paragraph00002" w:id="0"/>
      <w:r w:rsidRPr="00D84AEB" w:rsidR="00D84AEB">
        <w:rPr>
          <w:noProof/>
        </w:rPr>
        <w:t>2</w:t>
      </w:r>
      <w:bookmarkEnd w:id="0"/>
      <w:r>
        <w:fldChar w:fldCharType="end"/>
      </w:r>
      <w:r w:rsidRPr="00D84AEB">
        <w:t xml:space="preserve">.  On 9 August 2007 a commercial bank (“the bank”) concluded a credit line agreement with a private company (“the company”), under which it provided a loan of 900,000,000 Armenian drams (AMD). On the same date, </w:t>
      </w:r>
      <w:r w:rsidRPr="00D84AEB">
        <w:t>the applicant, acting as a third-party pledgor, mortgaged his property as collateral to secure the company</w:t>
      </w:r>
      <w:r w:rsidRPr="00D84AEB" w:rsidR="00D84AEB">
        <w:t>’</w:t>
      </w:r>
      <w:r w:rsidRPr="00D84AEB">
        <w:t>s obligations under the credit line agreement.</w:t>
      </w:r>
    </w:p>
    <w:p w:rsidRPr="00D84AEB" w:rsidR="00C063A6" w:rsidP="00D84AEB" w14:paraId="404F3B40" w14:textId="12489A84">
      <w:pPr>
        <w:pStyle w:val="JuPara"/>
        <w:rPr>
          <w:strike/>
        </w:rPr>
      </w:pPr>
      <w:r>
        <w:fldChar w:fldCharType="begin"/>
      </w:r>
      <w:r>
        <w:instrText xml:space="preserve"> SEQ level0 \*arabic \* MERGEFORMAT </w:instrText>
      </w:r>
      <w:r>
        <w:fldChar w:fldCharType="separate"/>
      </w:r>
      <w:r w:rsidRPr="00D84AEB" w:rsidR="00D84AEB">
        <w:rPr>
          <w:noProof/>
        </w:rPr>
        <w:t>3</w:t>
      </w:r>
      <w:r w:rsidRPr="00D84AEB" w:rsidR="00D84AEB">
        <w:rPr>
          <w:noProof/>
        </w:rPr>
        <w:fldChar w:fldCharType="end"/>
      </w:r>
      <w:r w:rsidRPr="00D84AEB">
        <w:t>.  On 13 March 2008 the bank and the company concluded a second credit line agreement, under which the bank provided an additional loan of AMD</w:t>
      </w:r>
      <w:r w:rsidRPr="00D84AEB" w:rsidR="00D55D0D">
        <w:t> </w:t>
      </w:r>
      <w:r w:rsidRPr="00D84AEB">
        <w:t>300,000,000.</w:t>
      </w:r>
    </w:p>
    <w:p w:rsidRPr="00D84AEB" w:rsidR="00C063A6" w:rsidP="00D84AEB" w14:paraId="3AA0DA9F" w14:textId="5C94DD21">
      <w:pPr>
        <w:pStyle w:val="JuPara"/>
      </w:pPr>
      <w:r>
        <w:fldChar w:fldCharType="begin"/>
      </w:r>
      <w:r>
        <w:instrText xml:space="preserve"> SEQ level0 \*arabic \* MERGEFORMAT </w:instrText>
      </w:r>
      <w:r>
        <w:fldChar w:fldCharType="separate"/>
      </w:r>
      <w:bookmarkStart w:name="paragraph00004" w:id="1"/>
      <w:r w:rsidRPr="00D84AEB" w:rsidR="00D84AEB">
        <w:rPr>
          <w:noProof/>
        </w:rPr>
        <w:t>4</w:t>
      </w:r>
      <w:bookmarkEnd w:id="1"/>
      <w:r>
        <w:fldChar w:fldCharType="end"/>
      </w:r>
      <w:r w:rsidRPr="00D84AEB">
        <w:t xml:space="preserve">.  On 27 November 2014 the bank lodged a civil claim with the </w:t>
      </w:r>
      <w:r w:rsidRPr="00D84AEB">
        <w:t>Kentron</w:t>
      </w:r>
      <w:r w:rsidRPr="00D84AEB">
        <w:t xml:space="preserve"> and Nork-</w:t>
      </w:r>
      <w:r w:rsidRPr="00D84AEB">
        <w:t>Marash</w:t>
      </w:r>
      <w:r w:rsidRPr="00D84AEB">
        <w:t xml:space="preserve"> District Court of Yerevan (“the District Court”), seeking AMD</w:t>
      </w:r>
      <w:r w:rsidRPr="00D84AEB" w:rsidR="00CA08AF">
        <w:t> </w:t>
      </w:r>
      <w:r w:rsidRPr="00D84AEB">
        <w:t xml:space="preserve">1,962,176,766.70 from the company as defaulted credit obligations, along with accrued interest and penalties. The bank also sought foreclosure of the pledged property (see paragraph </w:t>
      </w:r>
      <w:r w:rsidRPr="00D84AEB">
        <w:fldChar w:fldCharType="begin"/>
      </w:r>
      <w:r w:rsidRPr="00D84AEB">
        <w:instrText xml:space="preserve"> REF paragraph00002 \h  \* CharFormat </w:instrText>
      </w:r>
      <w:r w:rsidRPr="00D84AEB">
        <w:fldChar w:fldCharType="separate"/>
      </w:r>
      <w:r w:rsidRPr="00D84AEB" w:rsidR="00D84AEB">
        <w:t>2</w:t>
      </w:r>
      <w:r w:rsidRPr="00D84AEB">
        <w:fldChar w:fldCharType="end"/>
      </w:r>
      <w:r w:rsidRPr="00D84AEB">
        <w:t xml:space="preserve"> above) to recover the company</w:t>
      </w:r>
      <w:r w:rsidRPr="00D84AEB" w:rsidR="00D84AEB">
        <w:t>’</w:t>
      </w:r>
      <w:r w:rsidRPr="00D84AEB">
        <w:t>s secured loan obligations. It appears that the bank did not pay the required court fee for lodging its claim (two percent of the claim</w:t>
      </w:r>
      <w:r w:rsidRPr="00D84AEB" w:rsidR="00D84AEB">
        <w:t>’</w:t>
      </w:r>
      <w:r w:rsidRPr="00D84AEB">
        <w:t>s value under Article</w:t>
      </w:r>
      <w:r w:rsidRPr="00D84AEB" w:rsidR="00D55D0D">
        <w:t> </w:t>
      </w:r>
      <w:r w:rsidRPr="00D84AEB">
        <w:t>9 § 1 (a) of the State Fees Act), nor did it request a concession from payment; nevertheless, the District Court admitted the claim for examination.</w:t>
      </w:r>
    </w:p>
    <w:p w:rsidRPr="00D84AEB" w:rsidR="00C063A6" w:rsidP="00D84AEB" w14:paraId="47EFCD78" w14:textId="664CB393">
      <w:pPr>
        <w:pStyle w:val="JuPara"/>
      </w:pPr>
      <w:r>
        <w:fldChar w:fldCharType="begin"/>
      </w:r>
      <w:r>
        <w:instrText xml:space="preserve"> SEQ level0 \*arabic \* MERGEFORMAT </w:instrText>
      </w:r>
      <w:r>
        <w:fldChar w:fldCharType="separate"/>
      </w:r>
      <w:r w:rsidRPr="00D84AEB" w:rsidR="00D84AEB">
        <w:rPr>
          <w:noProof/>
        </w:rPr>
        <w:t>5</w:t>
      </w:r>
      <w:r w:rsidRPr="00D84AEB" w:rsidR="00D84AEB">
        <w:rPr>
          <w:noProof/>
        </w:rPr>
        <w:fldChar w:fldCharType="end"/>
      </w:r>
      <w:r w:rsidRPr="00D84AEB">
        <w:t>.  On an unspecified date, the bank amended the value of its claim, increasing the amount sought to AMD 3,836,766,857.20 (approximately 7,400,000</w:t>
      </w:r>
      <w:r w:rsidRPr="00D84AEB" w:rsidR="00492733">
        <w:t> </w:t>
      </w:r>
      <w:r w:rsidRPr="00D84AEB">
        <w:t>euros (EUR)), along with additional interest and penalties.</w:t>
      </w:r>
    </w:p>
    <w:p w:rsidRPr="00D84AEB" w:rsidR="00C063A6" w:rsidP="00D84AEB" w14:paraId="55AA47EA" w14:textId="12313F46">
      <w:pPr>
        <w:pStyle w:val="JuPara"/>
      </w:pPr>
      <w:r>
        <w:fldChar w:fldCharType="begin"/>
      </w:r>
      <w:r>
        <w:instrText xml:space="preserve"> SEQ level0 \*arabic \* MERGEFORMAT </w:instrText>
      </w:r>
      <w:r>
        <w:fldChar w:fldCharType="separate"/>
      </w:r>
      <w:r w:rsidRPr="00D84AEB" w:rsidR="00D84AEB">
        <w:rPr>
          <w:noProof/>
        </w:rPr>
        <w:t>6</w:t>
      </w:r>
      <w:r w:rsidRPr="00D84AEB" w:rsidR="00D84AEB">
        <w:rPr>
          <w:noProof/>
        </w:rPr>
        <w:fldChar w:fldCharType="end"/>
      </w:r>
      <w:r w:rsidRPr="00D84AEB">
        <w:t>.  On 17 February 2017 the District Court granted the bank</w:t>
      </w:r>
      <w:r w:rsidRPr="00D84AEB" w:rsidR="00D84AEB">
        <w:t>’</w:t>
      </w:r>
      <w:r w:rsidRPr="00D84AEB">
        <w:t>s claim for the sum of AMD 3,836,766,857.20, along with the additional interest and penalties. It further ordered foreclosure of the pledged property to satisfy the amount awarded.</w:t>
      </w:r>
    </w:p>
    <w:bookmarkStart w:name="applicant_appealed_and_requested_deferal" w:id="2"/>
    <w:p w:rsidRPr="00D84AEB" w:rsidR="00C063A6" w:rsidP="00D84AEB" w14:paraId="0095B540" w14:textId="0A25AEBB">
      <w:pPr>
        <w:pStyle w:val="JuPara"/>
      </w:pPr>
      <w:r w:rsidRPr="00D84AEB">
        <w:fldChar w:fldCharType="begin"/>
      </w:r>
      <w:r w:rsidRPr="00D84AEB">
        <w:instrText xml:space="preserve"> SEQ level0 \*arabic \* MERGEFORMAT </w:instrText>
      </w:r>
      <w:r w:rsidRPr="00D84AEB">
        <w:fldChar w:fldCharType="separate"/>
      </w:r>
      <w:r w:rsidRPr="00D84AEB" w:rsidR="00D84AEB">
        <w:rPr>
          <w:noProof/>
        </w:rPr>
        <w:t>7</w:t>
      </w:r>
      <w:r w:rsidRPr="00D84AEB">
        <w:fldChar w:fldCharType="end"/>
      </w:r>
      <w:bookmarkEnd w:id="2"/>
      <w:r w:rsidRPr="00D84AEB">
        <w:t>.  On 29 June 2017 the applicant lodged an appeal against the judgment with the Civil Court of Appeal and requested a deferral of the court fees. He stated that, as a result of various judicial proceedings and of being unemployed, he was in a financially difficult situation and therefore unable to pay the court fee of three percent of AMD 3,836,766,857.20 required for lodging an appeal, as the amount was substantial. He further noted that the District Court had admitted the bank</w:t>
      </w:r>
      <w:r w:rsidRPr="00D84AEB" w:rsidR="00D84AEB">
        <w:t>’</w:t>
      </w:r>
      <w:r w:rsidRPr="00D84AEB">
        <w:t>s claim for examination without requiring it to pay the applicable court fee.</w:t>
      </w:r>
    </w:p>
    <w:p w:rsidRPr="00D84AEB" w:rsidR="00C063A6" w:rsidP="00D84AEB" w14:paraId="0A57188B" w14:textId="405E827F">
      <w:pPr>
        <w:pStyle w:val="JuPara"/>
      </w:pPr>
      <w:r>
        <w:fldChar w:fldCharType="begin"/>
      </w:r>
      <w:r>
        <w:instrText xml:space="preserve"> SEQ level0 \*arabic \* MERGEFORMAT </w:instrText>
      </w:r>
      <w:r>
        <w:fldChar w:fldCharType="separate"/>
      </w:r>
      <w:bookmarkStart w:name="paragraph00011" w:id="3"/>
      <w:r w:rsidRPr="00D84AEB" w:rsidR="00D84AEB">
        <w:rPr>
          <w:noProof/>
        </w:rPr>
        <w:t>8</w:t>
      </w:r>
      <w:bookmarkEnd w:id="3"/>
      <w:r>
        <w:fldChar w:fldCharType="end"/>
      </w:r>
      <w:r w:rsidRPr="00D84AEB">
        <w:t>.  On 18 October 2017 the Civil Court of Appeal refused the applicant</w:t>
      </w:r>
      <w:r w:rsidRPr="00D84AEB" w:rsidR="00D84AEB">
        <w:t>’</w:t>
      </w:r>
      <w:r w:rsidRPr="00D84AEB">
        <w:t>s request for a deferral of the court fees and refused to admit his appeal for examination on procedural grounds, namely the applicant</w:t>
      </w:r>
      <w:r w:rsidRPr="00D84AEB" w:rsidR="00D84AEB">
        <w:t>’</w:t>
      </w:r>
      <w:r w:rsidRPr="00D84AEB">
        <w:t>s failure to pay the required court fees. It noted that the applicant had submitted neither evidence of his financial situation nor any justification for his inability to do so. The court also pointed out that the applicant had two weeks from the date of receipt of its decision to rectify these deficiencies and re-submit his appeal.</w:t>
      </w:r>
    </w:p>
    <w:p w:rsidRPr="00D84AEB" w:rsidR="00C063A6" w:rsidP="00D84AEB" w14:paraId="4A553A21" w14:textId="07826699">
      <w:pPr>
        <w:pStyle w:val="JuPara"/>
      </w:pPr>
      <w:r>
        <w:fldChar w:fldCharType="begin"/>
      </w:r>
      <w:r>
        <w:instrText xml:space="preserve"> SEQ level0 \*arabic \* MERGEFORMAT </w:instrText>
      </w:r>
      <w:r>
        <w:fldChar w:fldCharType="separate"/>
      </w:r>
      <w:r w:rsidRPr="00D84AEB" w:rsidR="00D84AEB">
        <w:rPr>
          <w:noProof/>
        </w:rPr>
        <w:t>9</w:t>
      </w:r>
      <w:r w:rsidRPr="00D84AEB" w:rsidR="00D84AEB">
        <w:rPr>
          <w:noProof/>
        </w:rPr>
        <w:fldChar w:fldCharType="end"/>
      </w:r>
      <w:r w:rsidRPr="00D84AEB">
        <w:t>.  The applicant lodged an appeal on points of law, which the Court of Cassation declared inadmissible for lack of merit on 20 December 2017.</w:t>
      </w:r>
    </w:p>
    <w:p w:rsidRPr="00D84AEB" w:rsidR="00C063A6" w:rsidP="00D84AEB" w14:paraId="42A3DAB8" w14:textId="7CCBB4FA">
      <w:pPr>
        <w:pStyle w:val="JuHHead"/>
        <w:keepNext w:val="0"/>
        <w:keepLines w:val="0"/>
        <w:numPr>
          <w:ilvl w:val="0"/>
          <w:numId w:val="21"/>
        </w:numPr>
        <w:ind w:left="360" w:hanging="360"/>
      </w:pPr>
      <w:r w:rsidRPr="00D84AEB">
        <w:t>THE COURT</w:t>
      </w:r>
      <w:r w:rsidRPr="00D84AEB" w:rsidR="00D84AEB">
        <w:t>’</w:t>
      </w:r>
      <w:r w:rsidRPr="00D84AEB">
        <w:t>S ASSESSMENT</w:t>
      </w:r>
    </w:p>
    <w:p w:rsidRPr="00D84AEB" w:rsidR="00C063A6" w:rsidP="00D84AEB" w14:paraId="230A9505" w14:textId="22E4A954">
      <w:pPr>
        <w:pStyle w:val="JuPara"/>
      </w:pPr>
      <w:r>
        <w:fldChar w:fldCharType="begin"/>
      </w:r>
      <w:r>
        <w:instrText xml:space="preserve"> SEQ level0 \*arabic \* MERGEFORMAT </w:instrText>
      </w:r>
      <w:r>
        <w:fldChar w:fldCharType="separate"/>
      </w:r>
      <w:r w:rsidRPr="00D84AEB" w:rsidR="00D84AEB">
        <w:rPr>
          <w:noProof/>
        </w:rPr>
        <w:t>10</w:t>
      </w:r>
      <w:r w:rsidRPr="00D84AEB" w:rsidR="00D84AEB">
        <w:rPr>
          <w:noProof/>
        </w:rPr>
        <w:fldChar w:fldCharType="end"/>
      </w:r>
      <w:r w:rsidRPr="00D84AEB">
        <w:t xml:space="preserve">.  The applicant complained under Article 6 § 1 of the Convention that his right of access to the Civil Court of Appeal was breached due to excessive </w:t>
      </w:r>
      <w:r w:rsidRPr="00D84AEB">
        <w:t>court fees. He further alleged that the proceedings had been unfair, as the District Court had admitted the bank</w:t>
      </w:r>
      <w:r w:rsidRPr="00D84AEB" w:rsidR="00D84AEB">
        <w:t>’</w:t>
      </w:r>
      <w:r w:rsidRPr="00D84AEB">
        <w:t>s civil claim for examination without the payment of the applicable court fee, thereby placing the bank in a more favourable position.</w:t>
      </w:r>
    </w:p>
    <w:p w:rsidRPr="00D84AEB" w:rsidR="00C063A6" w:rsidP="00D84AEB" w14:paraId="6803A1ED" w14:textId="1C24BED0">
      <w:pPr>
        <w:pStyle w:val="JuPara"/>
      </w:pPr>
      <w:r>
        <w:fldChar w:fldCharType="begin"/>
      </w:r>
      <w:r>
        <w:instrText xml:space="preserve"> SEQ level0 \*arabic \* MERGEFORMAT </w:instrText>
      </w:r>
      <w:r>
        <w:fldChar w:fldCharType="separate"/>
      </w:r>
      <w:r w:rsidRPr="00D84AEB" w:rsidR="00D84AEB">
        <w:rPr>
          <w:noProof/>
        </w:rPr>
        <w:t>11</w:t>
      </w:r>
      <w:r w:rsidRPr="00D84AEB" w:rsidR="00D84AEB">
        <w:rPr>
          <w:noProof/>
        </w:rPr>
        <w:fldChar w:fldCharType="end"/>
      </w:r>
      <w:r w:rsidRPr="00D84AEB">
        <w:t xml:space="preserve">.  The general principles concerning access to a court, including the superior courts, have been summarised in </w:t>
      </w:r>
      <w:bookmarkStart w:name="_cl40008THECOURTSASSESSMENT" w:id="4"/>
      <w:r w:rsidRPr="00D84AEB">
        <w:rPr>
          <w:i/>
          <w:iCs/>
        </w:rPr>
        <w:t>Zubac v. Croatia</w:t>
      </w:r>
      <w:bookmarkEnd w:id="4"/>
      <w:r w:rsidRPr="00D84AEB">
        <w:t xml:space="preserve"> ([GC], no.</w:t>
      </w:r>
      <w:r w:rsidRPr="00D84AEB" w:rsidR="00D55D0D">
        <w:t> </w:t>
      </w:r>
      <w:r w:rsidRPr="00D84AEB">
        <w:t>40160/12, §§ 76-86, 5 April 2018).</w:t>
      </w:r>
    </w:p>
    <w:p w:rsidRPr="00D84AEB" w:rsidR="00C063A6" w:rsidP="00D84AEB" w14:paraId="6E67FB61" w14:textId="05CD46AD">
      <w:pPr>
        <w:pStyle w:val="JuPara"/>
      </w:pPr>
      <w:r>
        <w:fldChar w:fldCharType="begin"/>
      </w:r>
      <w:r>
        <w:instrText xml:space="preserve"> SEQ level0 \*arabic \* MERGEFORMAT </w:instrText>
      </w:r>
      <w:r>
        <w:fldChar w:fldCharType="separate"/>
      </w:r>
      <w:r w:rsidRPr="00D84AEB" w:rsidR="00D84AEB">
        <w:rPr>
          <w:noProof/>
        </w:rPr>
        <w:t>12</w:t>
      </w:r>
      <w:r w:rsidRPr="00D84AEB" w:rsidR="00D84AEB">
        <w:rPr>
          <w:noProof/>
        </w:rPr>
        <w:fldChar w:fldCharType="end"/>
      </w:r>
      <w:r w:rsidRPr="00D84AEB">
        <w:t>.  In the present case, the applicant</w:t>
      </w:r>
      <w:r w:rsidRPr="00D84AEB" w:rsidR="00D84AEB">
        <w:t>’</w:t>
      </w:r>
      <w:r w:rsidRPr="00D84AEB">
        <w:t xml:space="preserve">s access to the Civil Court of Appeal was restricted due to non-payment of the applicable court fees. The Court has previously accepted that the domestic system of court fees pursued the legitimate aim of funding the judicial system and of acting as a deterrent to frivolous claims (see </w:t>
      </w:r>
      <w:bookmarkStart w:name="_cl23476THECOURTSASSESSMENT" w:id="5"/>
      <w:r w:rsidRPr="00D84AEB">
        <w:rPr>
          <w:i/>
          <w:iCs/>
        </w:rPr>
        <w:t>Chorbadzhiyski</w:t>
      </w:r>
      <w:r w:rsidRPr="00D84AEB">
        <w:rPr>
          <w:i/>
          <w:iCs/>
        </w:rPr>
        <w:t xml:space="preserve"> and </w:t>
      </w:r>
      <w:r w:rsidRPr="00D84AEB">
        <w:rPr>
          <w:i/>
          <w:iCs/>
        </w:rPr>
        <w:t>Krasteva</w:t>
      </w:r>
      <w:r w:rsidRPr="00D84AEB">
        <w:rPr>
          <w:i/>
          <w:iCs/>
        </w:rPr>
        <w:t xml:space="preserve"> v. Bulgaria</w:t>
      </w:r>
      <w:bookmarkEnd w:id="5"/>
      <w:r w:rsidRPr="00D84AEB">
        <w:t>, no. 54991/10, § 59, 2 April 2020). It therefore considers that the restriction in question pursued a legitimate aim. What remains to be determined is whether that restriction was proportionate to the aim pursued.</w:t>
      </w:r>
    </w:p>
    <w:p w:rsidRPr="00D84AEB" w:rsidR="00C063A6" w:rsidP="00D84AEB" w14:paraId="2623A2DD" w14:textId="0D961183">
      <w:pPr>
        <w:pStyle w:val="JuPara"/>
      </w:pPr>
      <w:r>
        <w:fldChar w:fldCharType="begin"/>
      </w:r>
      <w:r>
        <w:instrText xml:space="preserve"> SEQ level0 \*arabic \* MERGEFORMAT </w:instrText>
      </w:r>
      <w:r>
        <w:fldChar w:fldCharType="separate"/>
      </w:r>
      <w:r w:rsidRPr="00D84AEB" w:rsidR="00D84AEB">
        <w:rPr>
          <w:noProof/>
        </w:rPr>
        <w:t>13</w:t>
      </w:r>
      <w:r w:rsidRPr="00D84AEB" w:rsidR="00D84AEB">
        <w:rPr>
          <w:noProof/>
        </w:rPr>
        <w:fldChar w:fldCharType="end"/>
      </w:r>
      <w:r w:rsidRPr="00D84AEB">
        <w:t>.  The Court observes that Article 9 § 8 (a) of the State Fees Act required payment of three percent of the disputed amount as a court fee for lodging an appeal in cases involving pecuniary claims. Given that the applicant</w:t>
      </w:r>
      <w:r w:rsidRPr="00D84AEB" w:rsidR="00D84AEB">
        <w:t>’</w:t>
      </w:r>
      <w:r w:rsidRPr="00D84AEB">
        <w:t>s appeal challenged the District Court</w:t>
      </w:r>
      <w:r w:rsidRPr="00D84AEB" w:rsidR="00D84AEB">
        <w:t>’</w:t>
      </w:r>
      <w:r w:rsidRPr="00D84AEB">
        <w:t>s award of AMD 3,836,766,857.20, he was required to pay three percent of that amount, namely AMD</w:t>
      </w:r>
      <w:r w:rsidRPr="00D84AEB" w:rsidR="00D55D0D">
        <w:t xml:space="preserve"> </w:t>
      </w:r>
      <w:r w:rsidRPr="00D84AEB">
        <w:t>115,103,005.72 (approximately EUR 210,000 at the relevant time). This fee, directly linked to the significant amount in dispute, was undoubtedly substantial for an ordinary litigant.</w:t>
      </w:r>
    </w:p>
    <w:p w:rsidRPr="00D84AEB" w:rsidR="00C063A6" w:rsidP="00D84AEB" w14:paraId="402BBE0B" w14:textId="659625D0">
      <w:pPr>
        <w:pStyle w:val="JuPara"/>
      </w:pPr>
      <w:r>
        <w:fldChar w:fldCharType="begin"/>
      </w:r>
      <w:r>
        <w:instrText xml:space="preserve"> SEQ level0 \*arabic \* MERGEFORMAT </w:instrText>
      </w:r>
      <w:r>
        <w:fldChar w:fldCharType="separate"/>
      </w:r>
      <w:r w:rsidRPr="00D84AEB" w:rsidR="00D84AEB">
        <w:rPr>
          <w:noProof/>
        </w:rPr>
        <w:t>14</w:t>
      </w:r>
      <w:r w:rsidRPr="00D84AEB" w:rsidR="00D84AEB">
        <w:rPr>
          <w:noProof/>
        </w:rPr>
        <w:fldChar w:fldCharType="end"/>
      </w:r>
      <w:r w:rsidRPr="00D84AEB">
        <w:t>.  The Court notes, however, that the relevant domestic law provided safeguards against excessive court fees, allowing for concessions in the form of exemptions, reductions, rate adjustments, and deferrals, based on the parties</w:t>
      </w:r>
      <w:r w:rsidRPr="00D84AEB" w:rsidR="00D84AEB">
        <w:t>’</w:t>
      </w:r>
      <w:r w:rsidRPr="00D84AEB">
        <w:t xml:space="preserve"> financial situation (Article 21 and Article 31 (c) of the State Fees Act). Pursuant to Article 5 of the same Act, an applicant seeking such concessions was required to substantiate his request with supporting documentation.</w:t>
      </w:r>
    </w:p>
    <w:p w:rsidRPr="00D84AEB" w:rsidR="00C063A6" w:rsidP="00D84AEB" w14:paraId="692689F4" w14:textId="23310697">
      <w:pPr>
        <w:pStyle w:val="JuPara"/>
      </w:pPr>
      <w:r>
        <w:fldChar w:fldCharType="begin"/>
      </w:r>
      <w:r>
        <w:instrText xml:space="preserve"> SEQ level0 \*arabic \* MERGEFORMAT </w:instrText>
      </w:r>
      <w:r>
        <w:fldChar w:fldCharType="separate"/>
      </w:r>
      <w:r w:rsidRPr="00D84AEB" w:rsidR="00D84AEB">
        <w:rPr>
          <w:noProof/>
        </w:rPr>
        <w:t>15</w:t>
      </w:r>
      <w:r w:rsidRPr="00D84AEB" w:rsidR="00D84AEB">
        <w:rPr>
          <w:noProof/>
        </w:rPr>
        <w:fldChar w:fldCharType="end"/>
      </w:r>
      <w:r w:rsidRPr="00D84AEB">
        <w:t xml:space="preserve">.  The applicant requested a deferral of payment of the court fee, referring to his allegedly difficult financial situation and the substantial amount at issue. Nevertheless, he did not submit any evidence whatsoever regarding his financial situation, nor did his request provide any explanation as to why he was unable to do so. Moreover, he did not rectify this omission within the two-week period provided to correct the deficiencies and re-submit his appeal (see paragraph </w:t>
      </w:r>
      <w:r w:rsidRPr="00D84AEB">
        <w:fldChar w:fldCharType="begin"/>
      </w:r>
      <w:r w:rsidRPr="00D84AEB">
        <w:instrText xml:space="preserve"> REF paragraph00011 \h  \* CharFormat  \* MERGEFORMAT </w:instrText>
      </w:r>
      <w:r w:rsidRPr="00D84AEB">
        <w:fldChar w:fldCharType="separate"/>
      </w:r>
      <w:r w:rsidRPr="00D84AEB" w:rsidR="00D84AEB">
        <w:t>8</w:t>
      </w:r>
      <w:r w:rsidRPr="00D84AEB">
        <w:fldChar w:fldCharType="end"/>
      </w:r>
      <w:r w:rsidRPr="00D84AEB">
        <w:t xml:space="preserve"> above).</w:t>
      </w:r>
    </w:p>
    <w:p w:rsidRPr="00D84AEB" w:rsidR="00C063A6" w:rsidP="00D84AEB" w14:paraId="06874D4E" w14:textId="3D703809">
      <w:pPr>
        <w:pStyle w:val="JuPara"/>
      </w:pPr>
      <w:r>
        <w:fldChar w:fldCharType="begin"/>
      </w:r>
      <w:r>
        <w:instrText xml:space="preserve"> SEQ level0 \*arabic \* MERGEFORMAT </w:instrText>
      </w:r>
      <w:r>
        <w:fldChar w:fldCharType="separate"/>
      </w:r>
      <w:r w:rsidRPr="00D84AEB" w:rsidR="00D84AEB">
        <w:rPr>
          <w:noProof/>
        </w:rPr>
        <w:t>16</w:t>
      </w:r>
      <w:r w:rsidRPr="00D84AEB" w:rsidR="00D84AEB">
        <w:rPr>
          <w:noProof/>
        </w:rPr>
        <w:fldChar w:fldCharType="end"/>
      </w:r>
      <w:r w:rsidRPr="00D84AEB">
        <w:t>.  The Court reiterates that it falls within the State</w:t>
      </w:r>
      <w:r w:rsidRPr="00D84AEB" w:rsidR="00D84AEB">
        <w:t>’</w:t>
      </w:r>
      <w:r w:rsidRPr="00D84AEB">
        <w:t xml:space="preserve">s margin of appreciation to establish its court fee system in such a way as to link court fees for pecuniary claims to the amount in dispute, provided that the system is sufficiently flexible to allow a party to benefit from full or partial exemption from the payment of court fees or a reduction in the court fees (see </w:t>
      </w:r>
      <w:bookmarkStart w:name="_cl38383THECOURTSASSESSMENT" w:id="6"/>
      <w:r w:rsidRPr="00D84AEB">
        <w:rPr>
          <w:i/>
          <w:iCs/>
        </w:rPr>
        <w:t>Urbanek</w:t>
      </w:r>
      <w:r w:rsidRPr="00D84AEB">
        <w:rPr>
          <w:i/>
          <w:iCs/>
        </w:rPr>
        <w:t xml:space="preserve"> v. Austria</w:t>
      </w:r>
      <w:bookmarkEnd w:id="6"/>
      <w:r w:rsidRPr="00D84AEB">
        <w:t xml:space="preserve">, no. 35123/05, §§ 61-62, 9 December 2010; </w:t>
      </w:r>
      <w:r w:rsidRPr="00D84AEB">
        <w:rPr>
          <w:i/>
          <w:iCs/>
        </w:rPr>
        <w:t>Chorbadzhiyski</w:t>
      </w:r>
      <w:r w:rsidRPr="00D84AEB">
        <w:rPr>
          <w:i/>
          <w:iCs/>
        </w:rPr>
        <w:t xml:space="preserve"> and </w:t>
      </w:r>
      <w:r w:rsidRPr="00D84AEB">
        <w:rPr>
          <w:i/>
          <w:iCs/>
        </w:rPr>
        <w:t>Krasteva</w:t>
      </w:r>
      <w:r w:rsidRPr="00D84AEB">
        <w:t xml:space="preserve">, cited above, § 64; and </w:t>
      </w:r>
      <w:bookmarkStart w:name="_cl41574THECOURTSASSESSMENT" w:id="7"/>
      <w:r w:rsidRPr="00D84AEB">
        <w:rPr>
          <w:i/>
          <w:iCs/>
        </w:rPr>
        <w:t>Nalbant</w:t>
      </w:r>
      <w:r w:rsidRPr="00D84AEB">
        <w:rPr>
          <w:i/>
          <w:iCs/>
        </w:rPr>
        <w:t xml:space="preserve"> and Others </w:t>
      </w:r>
      <w:r w:rsidRPr="00D84AEB">
        <w:rPr>
          <w:i/>
          <w:iCs/>
        </w:rPr>
        <w:t>v.</w:t>
      </w:r>
      <w:r w:rsidRPr="00D84AEB" w:rsidR="00D55D0D">
        <w:rPr>
          <w:i/>
          <w:iCs/>
        </w:rPr>
        <w:t> </w:t>
      </w:r>
      <w:r w:rsidRPr="00D84AEB">
        <w:rPr>
          <w:i/>
          <w:iCs/>
        </w:rPr>
        <w:t>Turkey</w:t>
      </w:r>
      <w:bookmarkEnd w:id="7"/>
      <w:r w:rsidRPr="00D84AEB">
        <w:t xml:space="preserve">, no. 59914/16, § 40, 3 May 2022). Furthermore, a party seeking exemption from court fees should act with requisite diligence when presenting to the courts evidence concerning his financial standing and is under an obligation to cooperate faithfully with the courts in this matter (see </w:t>
      </w:r>
      <w:bookmarkStart w:name="_cl25124THECOURTSASSESSMENT" w:id="8"/>
      <w:r w:rsidRPr="00D84AEB">
        <w:rPr>
          <w:i/>
          <w:iCs/>
        </w:rPr>
        <w:t>Elcomp</w:t>
      </w:r>
      <w:r w:rsidRPr="00D84AEB">
        <w:rPr>
          <w:i/>
          <w:iCs/>
        </w:rPr>
        <w:t xml:space="preserve"> sp. z </w:t>
      </w:r>
      <w:r w:rsidRPr="00D84AEB">
        <w:rPr>
          <w:i/>
          <w:iCs/>
        </w:rPr>
        <w:t>o.o.</w:t>
      </w:r>
      <w:r w:rsidRPr="00D84AEB">
        <w:rPr>
          <w:i/>
          <w:iCs/>
        </w:rPr>
        <w:t xml:space="preserve"> v. Poland</w:t>
      </w:r>
      <w:bookmarkEnd w:id="8"/>
      <w:r w:rsidRPr="00D84AEB">
        <w:t xml:space="preserve">, no. 37492/05, § 41, 19 April 2011, and </w:t>
      </w:r>
      <w:r w:rsidRPr="00D84AEB">
        <w:rPr>
          <w:i/>
          <w:iCs/>
        </w:rPr>
        <w:t>Centrum</w:t>
      </w:r>
      <w:r w:rsidRPr="00D84AEB">
        <w:t xml:space="preserve"> </w:t>
      </w:r>
      <w:r w:rsidRPr="00D84AEB">
        <w:rPr>
          <w:i/>
          <w:iCs/>
        </w:rPr>
        <w:t>Handlowe</w:t>
      </w:r>
      <w:r w:rsidRPr="00D84AEB">
        <w:rPr>
          <w:i/>
          <w:iCs/>
        </w:rPr>
        <w:t xml:space="preserve"> Agora Sp. z </w:t>
      </w:r>
      <w:r w:rsidRPr="00D84AEB">
        <w:rPr>
          <w:i/>
          <w:iCs/>
        </w:rPr>
        <w:t>o.o.</w:t>
      </w:r>
      <w:r w:rsidRPr="00D84AEB">
        <w:t xml:space="preserve"> v. </w:t>
      </w:r>
      <w:r w:rsidRPr="00D84AEB">
        <w:rPr>
          <w:i/>
          <w:iCs/>
        </w:rPr>
        <w:t xml:space="preserve">Poland </w:t>
      </w:r>
      <w:r w:rsidRPr="00D84AEB">
        <w:t>(dec.), no. 8928/13, § 31, 20</w:t>
      </w:r>
      <w:r w:rsidRPr="00D84AEB" w:rsidR="00D55D0D">
        <w:t xml:space="preserve"> </w:t>
      </w:r>
      <w:r w:rsidRPr="00D84AEB">
        <w:t>February 2024).</w:t>
      </w:r>
    </w:p>
    <w:p w:rsidRPr="00D84AEB" w:rsidR="00C063A6" w:rsidP="00D84AEB" w14:paraId="0FAD5FE3" w14:textId="66A4A0D8">
      <w:pPr>
        <w:pStyle w:val="JuPara"/>
      </w:pPr>
      <w:r>
        <w:fldChar w:fldCharType="begin"/>
      </w:r>
      <w:r>
        <w:instrText xml:space="preserve"> SEQ level0 \*arabic \* MERGEFORMAT </w:instrText>
      </w:r>
      <w:r>
        <w:fldChar w:fldCharType="separate"/>
      </w:r>
      <w:r w:rsidRPr="00D84AEB" w:rsidR="00D84AEB">
        <w:rPr>
          <w:noProof/>
        </w:rPr>
        <w:t>17</w:t>
      </w:r>
      <w:r w:rsidRPr="00D84AEB" w:rsidR="00D84AEB">
        <w:rPr>
          <w:noProof/>
        </w:rPr>
        <w:fldChar w:fldCharType="end"/>
      </w:r>
      <w:r w:rsidRPr="00D84AEB">
        <w:t>.</w:t>
      </w:r>
      <w:r w:rsidRPr="00D84AEB" w:rsidR="00D55D0D">
        <w:t> </w:t>
      </w:r>
      <w:r w:rsidRPr="00D84AEB">
        <w:t> In the present case, the system in place was sufficiently flexible, allowing the applicant to benefit from various types of concessions in respect of court fees. However, seeking a deferral, the applicant failed to act with the requisite diligence in submitting the required documentation, thus depriving the Civil Court of Appeal of the opportunity to adequately assess his request. Even if the applicant</w:t>
      </w:r>
      <w:r w:rsidRPr="00D84AEB" w:rsidR="00D84AEB">
        <w:t>’</w:t>
      </w:r>
      <w:r w:rsidRPr="00D84AEB">
        <w:t>s financial circumstances were merely ordinary – as alleged in his observations before the Court – he was required to present evidence concerning his financial standing to the Civil Court of Appeal, in order to enable it to assess whether the fee would pose an excessive burden.</w:t>
      </w:r>
    </w:p>
    <w:p w:rsidRPr="00D84AEB" w:rsidR="00C063A6" w:rsidP="00D84AEB" w14:paraId="094443F0" w14:textId="427E848B">
      <w:pPr>
        <w:pStyle w:val="JuPara"/>
      </w:pPr>
      <w:r>
        <w:fldChar w:fldCharType="begin"/>
      </w:r>
      <w:r>
        <w:instrText xml:space="preserve"> SEQ level0 \*arabic \* MERGEFORMAT </w:instrText>
      </w:r>
      <w:r>
        <w:fldChar w:fldCharType="separate"/>
      </w:r>
      <w:r w:rsidRPr="00D84AEB" w:rsidR="00D84AEB">
        <w:rPr>
          <w:noProof/>
        </w:rPr>
        <w:t>18</w:t>
      </w:r>
      <w:r w:rsidRPr="00D84AEB" w:rsidR="00D84AEB">
        <w:rPr>
          <w:noProof/>
        </w:rPr>
        <w:fldChar w:fldCharType="end"/>
      </w:r>
      <w:r w:rsidRPr="00D84AEB">
        <w:t xml:space="preserve">.  It is also worth noting that, according to information provided by the Government and not disputed by the applicant, at the time he claimed to be unemployed (see paragraph </w:t>
      </w:r>
      <w:r w:rsidRPr="00D84AEB">
        <w:fldChar w:fldCharType="begin"/>
      </w:r>
      <w:r w:rsidRPr="00D84AEB">
        <w:instrText xml:space="preserve"> REF applicant_appealed_and_requested_deferal \h  \* MERGEFORMAT </w:instrText>
      </w:r>
      <w:r w:rsidRPr="00D84AEB">
        <w:fldChar w:fldCharType="separate"/>
      </w:r>
      <w:r w:rsidRPr="00D84AEB" w:rsidR="00D84AEB">
        <w:t>7</w:t>
      </w:r>
      <w:r w:rsidRPr="00D84AEB">
        <w:fldChar w:fldCharType="end"/>
      </w:r>
      <w:r w:rsidRPr="00D84AEB">
        <w:t xml:space="preserve"> above), he was, in fact, a sole proprietor engaged in a business activity involving a restaurant complex and had employees. This was confirmed by a bailiff</w:t>
      </w:r>
      <w:r w:rsidRPr="00D84AEB" w:rsidR="00D84AEB">
        <w:t>’</w:t>
      </w:r>
      <w:r w:rsidRPr="00D84AEB">
        <w:t>s record of a visit to that restaurant complex and a subsequent decision issued by the Department for the Execution of Judicial Acts. Such an apparent discrepancy and absence on the applicant</w:t>
      </w:r>
      <w:r w:rsidRPr="00D84AEB" w:rsidR="00D84AEB">
        <w:t>’</w:t>
      </w:r>
      <w:r w:rsidRPr="00D84AEB">
        <w:t>s side of any evidence to the contrary raise doubts as to the credibility of the applicant</w:t>
      </w:r>
      <w:r w:rsidRPr="00D84AEB" w:rsidR="00D84AEB">
        <w:t>’</w:t>
      </w:r>
      <w:r w:rsidRPr="00D84AEB">
        <w:t>s assertions regarding his financial situation.</w:t>
      </w:r>
    </w:p>
    <w:p w:rsidRPr="00D84AEB" w:rsidR="00C063A6" w:rsidP="00D84AEB" w14:paraId="1AEEF1B5" w14:textId="7C7B6AEB">
      <w:pPr>
        <w:pStyle w:val="JuPara"/>
      </w:pPr>
      <w:r w:rsidRPr="00D84AEB">
        <w:fldChar w:fldCharType="begin"/>
      </w:r>
      <w:r w:rsidRPr="00D84AEB">
        <w:instrText xml:space="preserve"> SEQ level0 \*arabic \* MERGEFORMAT </w:instrText>
      </w:r>
      <w:r w:rsidRPr="00D84AEB">
        <w:fldChar w:fldCharType="separate"/>
      </w:r>
      <w:r w:rsidRPr="00D84AEB">
        <w:rPr>
          <w:noProof/>
        </w:rPr>
        <w:t>19</w:t>
      </w:r>
      <w:r w:rsidRPr="00D84AEB">
        <w:rPr>
          <w:noProof/>
        </w:rPr>
        <w:fldChar w:fldCharType="end"/>
      </w:r>
      <w:r w:rsidRPr="00D84AEB">
        <w:t>.  As regards the District Court</w:t>
      </w:r>
      <w:r w:rsidRPr="00D84AEB">
        <w:t>’</w:t>
      </w:r>
      <w:r w:rsidRPr="00D84AEB">
        <w:t>s decision to admit the bank</w:t>
      </w:r>
      <w:r w:rsidRPr="00D84AEB">
        <w:t>’</w:t>
      </w:r>
      <w:r w:rsidRPr="00D84AEB">
        <w:t xml:space="preserve">s claim without the prior payment of the required court fee (see paragraph </w:t>
      </w:r>
      <w:r w:rsidRPr="00D84AEB">
        <w:fldChar w:fldCharType="begin"/>
      </w:r>
      <w:r w:rsidRPr="00D84AEB">
        <w:instrText xml:space="preserve"> REF paragraph00004 \h  \* CharFormat  \* MERGEFORMAT </w:instrText>
      </w:r>
      <w:r w:rsidRPr="00D84AEB">
        <w:fldChar w:fldCharType="separate"/>
      </w:r>
      <w:r w:rsidRPr="00D84AEB">
        <w:t>4</w:t>
      </w:r>
      <w:r w:rsidRPr="00D84AEB">
        <w:fldChar w:fldCharType="end"/>
      </w:r>
      <w:r w:rsidRPr="00D84AEB">
        <w:t xml:space="preserve"> above), the Court notes that the basis for that decision remains unclear. However, this issue concerns the proceedings before the first-instance court, whereas the core issue before this Court relates specifically to the applicant</w:t>
      </w:r>
      <w:r w:rsidRPr="00D84AEB">
        <w:t>’</w:t>
      </w:r>
      <w:r w:rsidRPr="00D84AEB">
        <w:t>s inability to access the Civil Court of Appeal due to his own non-payment of court fees. There is no indication that the applicant was hindered from presenting his case or evidence before the District Court, nor have any other procedural irregularities been demonstrated to have taken place at that stage. In these circumstances, the Court cannot conclude that the admission of the bank</w:t>
      </w:r>
      <w:r w:rsidRPr="00D84AEB">
        <w:t>’</w:t>
      </w:r>
      <w:r w:rsidRPr="00D84AEB">
        <w:t xml:space="preserve">s claim without the payment of the required court fee rendered the proceedings as a whole unfair. Moreover, the Court of Appeal was not bound by any procedural decisions of the lower court, including those related to the admission of claims, and retained full competence to determine whether the conditions for lodging an appeal – including payment of court fees – were satisfied (see, </w:t>
      </w:r>
      <w:r w:rsidRPr="00D84AEB">
        <w:rPr>
          <w:i/>
          <w:iCs/>
        </w:rPr>
        <w:t>mutatis mutandis</w:t>
      </w:r>
      <w:r w:rsidRPr="00D84AEB">
        <w:t xml:space="preserve">, </w:t>
      </w:r>
      <w:r w:rsidRPr="00D84AEB">
        <w:rPr>
          <w:i/>
          <w:iCs/>
        </w:rPr>
        <w:t>Zubac</w:t>
      </w:r>
      <w:r w:rsidRPr="00D84AEB">
        <w:t>, cited above, §</w:t>
      </w:r>
      <w:r w:rsidRPr="00D84AEB" w:rsidR="000D3F99">
        <w:t xml:space="preserve">§ </w:t>
      </w:r>
      <w:r w:rsidRPr="00D84AEB">
        <w:t>86 and 119).</w:t>
      </w:r>
    </w:p>
    <w:p w:rsidRPr="00D84AEB" w:rsidR="00C063A6" w:rsidP="00D84AEB" w14:paraId="5BBB63FA" w14:textId="2E636D92">
      <w:pPr>
        <w:pStyle w:val="JuPara"/>
      </w:pPr>
      <w:r w:rsidRPr="00D84AEB">
        <w:fldChar w:fldCharType="begin"/>
      </w:r>
      <w:r w:rsidRPr="00D84AEB">
        <w:instrText xml:space="preserve"> SEQ level0 \*arabic \* MERGEFORMAT </w:instrText>
      </w:r>
      <w:r w:rsidRPr="00D84AEB">
        <w:fldChar w:fldCharType="separate"/>
      </w:r>
      <w:r w:rsidRPr="00D84AEB">
        <w:rPr>
          <w:noProof/>
        </w:rPr>
        <w:t>20</w:t>
      </w:r>
      <w:r w:rsidRPr="00D84AEB">
        <w:rPr>
          <w:noProof/>
        </w:rPr>
        <w:fldChar w:fldCharType="end"/>
      </w:r>
      <w:r w:rsidRPr="00D84AEB">
        <w:t>.  In the light of the foregoing, the Court considers that the Civil Court of Appeal</w:t>
      </w:r>
      <w:r w:rsidRPr="00D84AEB">
        <w:t>’</w:t>
      </w:r>
      <w:r w:rsidRPr="00D84AEB">
        <w:t>s decision to refuse the applicant</w:t>
      </w:r>
      <w:r w:rsidRPr="00D84AEB">
        <w:t>’</w:t>
      </w:r>
      <w:r w:rsidRPr="00D84AEB">
        <w:t xml:space="preserve">s request and to refuse to admit his appeal for examination on procedural grounds cannot be regarded as a </w:t>
      </w:r>
      <w:r w:rsidRPr="00D84AEB">
        <w:t>disproportionate restriction impairing the very essence of his right of access to a court, or as exceeding the national margin of appreciation. It follows that the applicant</w:t>
      </w:r>
      <w:r w:rsidRPr="00D84AEB">
        <w:t>’</w:t>
      </w:r>
      <w:r w:rsidRPr="00D84AEB">
        <w:t>s complaint under Article 6 § 1 is manifestly ill-founded.</w:t>
      </w:r>
    </w:p>
    <w:p w:rsidRPr="00D84AEB" w:rsidR="00C063A6" w:rsidP="00D84AEB" w14:paraId="3EF742A4" w14:textId="44E2B8F8">
      <w:pPr>
        <w:pStyle w:val="JuPara"/>
      </w:pPr>
      <w:r>
        <w:fldChar w:fldCharType="begin"/>
      </w:r>
      <w:r>
        <w:instrText xml:space="preserve"> SEQ level0 \*arabic \* MERGEFORMAT </w:instrText>
      </w:r>
      <w:r>
        <w:fldChar w:fldCharType="separate"/>
      </w:r>
      <w:r w:rsidRPr="00D84AEB" w:rsidR="00D84AEB">
        <w:rPr>
          <w:noProof/>
        </w:rPr>
        <w:t>21</w:t>
      </w:r>
      <w:r w:rsidRPr="00D84AEB" w:rsidR="00D84AEB">
        <w:rPr>
          <w:noProof/>
        </w:rPr>
        <w:fldChar w:fldCharType="end"/>
      </w:r>
      <w:r w:rsidRPr="00D84AEB">
        <w:t>.  The application must therefore be rejected in accordance with Article</w:t>
      </w:r>
      <w:r w:rsidRPr="00D84AEB" w:rsidR="00D55D0D">
        <w:t> </w:t>
      </w:r>
      <w:r w:rsidRPr="00D84AEB">
        <w:t>35 §§ 3(a) and 4 of the Convention․</w:t>
      </w:r>
    </w:p>
    <w:p w:rsidRPr="00D84AEB" w:rsidR="00C063A6" w:rsidP="00D84AEB" w14:paraId="2EC458BC" w14:textId="7CA3083C">
      <w:pPr>
        <w:pStyle w:val="JuParaLast"/>
      </w:pPr>
      <w:r w:rsidRPr="00D84AEB">
        <w:t>For these reasons, the Court, unanimously,</w:t>
      </w:r>
    </w:p>
    <w:p w:rsidRPr="00D84AEB" w:rsidR="00C063A6" w:rsidP="00D84AEB" w14:paraId="3D8CDEE4" w14:textId="77777777">
      <w:pPr>
        <w:pStyle w:val="DecList"/>
      </w:pPr>
      <w:r w:rsidRPr="00D84AEB">
        <w:rPr>
          <w:i/>
        </w:rPr>
        <w:t>Declares</w:t>
      </w:r>
      <w:r w:rsidRPr="00D84AEB">
        <w:t xml:space="preserve"> the application inadmissible.</w:t>
      </w:r>
    </w:p>
    <w:p w:rsidRPr="00D84AEB" w:rsidR="00BD1692" w:rsidP="00D84AEB" w14:paraId="1599C97E" w14:textId="1AFA9F78">
      <w:pPr>
        <w:pStyle w:val="JuParaLast"/>
        <w:rPr>
          <w:sz w:val="14"/>
        </w:rPr>
      </w:pPr>
      <w:r w:rsidRPr="00D84AEB">
        <w:t xml:space="preserve">Done in English and notified in writing on </w:t>
      </w:r>
      <w:r w:rsidRPr="00D84AEB" w:rsidR="00C063A6">
        <w:rPr>
          <w:noProof/>
        </w:rPr>
        <w:t>10 July 2025</w:t>
      </w:r>
      <w:r w:rsidRPr="00D84AEB">
        <w:t>.</w:t>
      </w:r>
    </w:p>
    <w:p w:rsidRPr="00D84AEB" w:rsidR="00BD1692" w:rsidP="00D84AEB" w14:paraId="47D3B59A" w14:textId="25157BEA">
      <w:pPr>
        <w:pStyle w:val="ECHRPlaceholder"/>
      </w:pPr>
      <w:r w:rsidRPr="00D84AEB">
        <w:tab/>
      </w:r>
    </w:p>
    <w:p w:rsidRPr="00D84AEB" w:rsidR="00CB3BD9" w:rsidP="00D84AEB" w14:paraId="36FC3CE2" w14:textId="7CF32081">
      <w:pPr>
        <w:pStyle w:val="JuSigned"/>
      </w:pPr>
      <w:r w:rsidRPr="00D84AEB">
        <w:tab/>
      </w:r>
      <w:r w:rsidRPr="00D84AEB" w:rsidR="00C063A6">
        <w:rPr>
          <w:rFonts w:eastAsia="PMingLiU"/>
          <w:noProof/>
        </w:rPr>
        <w:t>Martina Keller</w:t>
      </w:r>
      <w:r w:rsidRPr="00D84AEB" w:rsidR="001D1233">
        <w:tab/>
      </w:r>
      <w:r w:rsidRPr="00D84AEB" w:rsidR="00C063A6">
        <w:rPr>
          <w:noProof/>
        </w:rPr>
        <w:t>Andreas Zünd</w:t>
      </w:r>
      <w:r w:rsidRPr="00D84AEB" w:rsidR="001D1233">
        <w:br/>
      </w:r>
      <w:r w:rsidRPr="00D84AEB" w:rsidR="001D1233">
        <w:tab/>
      </w:r>
      <w:r w:rsidRPr="00D84AEB" w:rsidR="00C063A6">
        <w:rPr>
          <w:noProof/>
        </w:rPr>
        <w:t>Deputy Registrar</w:t>
      </w:r>
      <w:r w:rsidRPr="00D84AEB"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C063A6" w:rsidP="000D61E7" w14:paraId="0B630B28" w14:textId="30F6F9EC">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C063A6" w:rsidP="000D61E7" w14:paraId="7F6AE5C3" w14:textId="761E75FA">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63A6" w:rsidRPr="00150BFA" w:rsidP="0020718E" w14:paraId="70DEB5CD" w14:textId="3C4063C5">
    <w:pPr>
      <w:jc w:val="center"/>
    </w:pPr>
    <w:r w:rsidRPr="00C063A6">
      <w:rPr>
        <w:noProof/>
      </w:rPr>
      <w:drawing>
        <wp:inline distT="0" distB="0" distL="0" distR="0">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C063A6" w:rsidP="002E2C77" w14:paraId="59D1FB78" w14:textId="51621EB2">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C063A6" w:rsidP="0076040F" w14:paraId="0FBFDBB0" w14:textId="7A4A6759">
    <w:pPr>
      <w:pStyle w:val="JuHeader"/>
    </w:pPr>
    <w:r>
      <w:t>TER-ARAKELYAN v. ARMENIA</w:t>
    </w:r>
    <w:r w:rsidRPr="00C063A6"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C063A6" w:rsidP="000D61E7" w14:paraId="2E69978D" w14:textId="3C250080">
    <w:pPr>
      <w:pStyle w:val="JuHeader"/>
    </w:pPr>
    <w:r>
      <w:t>TER-ARAKELYAN v. ARMENIA</w:t>
    </w:r>
    <w:r w:rsidRPr="00C063A6"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63A6" w:rsidRPr="00A45145" w:rsidP="00A45145" w14:paraId="0FB3AB94" w14:textId="10B79CF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C063A6" w:rsidP="00EA1004" w14:paraId="6959B978" w14:textId="5E8789A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03942361">
    <w:abstractNumId w:val="14"/>
  </w:num>
  <w:num w:numId="2" w16cid:durableId="2059862927">
    <w:abstractNumId w:val="12"/>
  </w:num>
  <w:num w:numId="3" w16cid:durableId="1844079290">
    <w:abstractNumId w:val="11"/>
  </w:num>
  <w:num w:numId="4" w16cid:durableId="180752241">
    <w:abstractNumId w:val="15"/>
  </w:num>
  <w:num w:numId="5" w16cid:durableId="1480733613">
    <w:abstractNumId w:val="13"/>
  </w:num>
  <w:num w:numId="6" w16cid:durableId="1707215420">
    <w:abstractNumId w:val="16"/>
  </w:num>
  <w:num w:numId="7" w16cid:durableId="1078097660">
    <w:abstractNumId w:val="15"/>
  </w:num>
  <w:num w:numId="8" w16cid:durableId="1336759074">
    <w:abstractNumId w:val="16"/>
  </w:num>
  <w:num w:numId="9" w16cid:durableId="462693332">
    <w:abstractNumId w:val="10"/>
  </w:num>
  <w:num w:numId="10" w16cid:durableId="844319453">
    <w:abstractNumId w:val="9"/>
  </w:num>
  <w:num w:numId="11" w16cid:durableId="622346873">
    <w:abstractNumId w:val="18"/>
  </w:num>
  <w:num w:numId="12" w16cid:durableId="1709060402">
    <w:abstractNumId w:val="7"/>
  </w:num>
  <w:num w:numId="13" w16cid:durableId="804355579">
    <w:abstractNumId w:val="6"/>
  </w:num>
  <w:num w:numId="14" w16cid:durableId="95634939">
    <w:abstractNumId w:val="5"/>
  </w:num>
  <w:num w:numId="15" w16cid:durableId="946619809">
    <w:abstractNumId w:val="4"/>
  </w:num>
  <w:num w:numId="16" w16cid:durableId="1313292002">
    <w:abstractNumId w:val="8"/>
  </w:num>
  <w:num w:numId="17" w16cid:durableId="1790969470">
    <w:abstractNumId w:val="3"/>
  </w:num>
  <w:num w:numId="18" w16cid:durableId="1807816631">
    <w:abstractNumId w:val="2"/>
  </w:num>
  <w:num w:numId="19" w16cid:durableId="1367177158">
    <w:abstractNumId w:val="1"/>
  </w:num>
  <w:num w:numId="20" w16cid:durableId="363411353">
    <w:abstractNumId w:val="0"/>
  </w:num>
  <w:num w:numId="21" w16cid:durableId="449323063">
    <w:abstractNumId w:val="17"/>
  </w:num>
  <w:num w:numId="22" w16cid:durableId="1704817661">
    <w:abstractNumId w:val="14"/>
  </w:num>
  <w:num w:numId="23" w16cid:durableId="2132238464">
    <w:abstractNumId w:val="12"/>
  </w:num>
  <w:num w:numId="24" w16cid:durableId="1676492224">
    <w:abstractNumId w:val="11"/>
  </w:num>
  <w:num w:numId="25" w16cid:durableId="522943294">
    <w:abstractNumId w:val="18"/>
  </w:num>
  <w:num w:numId="26" w16cid:durableId="1122652727">
    <w:abstractNumId w:val="7"/>
  </w:num>
  <w:num w:numId="27" w16cid:durableId="1002198774">
    <w:abstractNumId w:val="6"/>
  </w:num>
  <w:num w:numId="28" w16cid:durableId="1927225916">
    <w:abstractNumId w:val="5"/>
  </w:num>
  <w:num w:numId="29" w16cid:durableId="568997124">
    <w:abstractNumId w:val="4"/>
  </w:num>
  <w:num w:numId="30" w16cid:durableId="182524753">
    <w:abstractNumId w:val="8"/>
  </w:num>
  <w:num w:numId="31" w16cid:durableId="858737611">
    <w:abstractNumId w:val="3"/>
  </w:num>
  <w:num w:numId="32" w16cid:durableId="1621574777">
    <w:abstractNumId w:val="2"/>
  </w:num>
  <w:num w:numId="33" w16cid:durableId="161436743">
    <w:abstractNumId w:val="1"/>
  </w:num>
  <w:num w:numId="34" w16cid:durableId="39479819">
    <w:abstractNumId w:val="0"/>
  </w:num>
  <w:num w:numId="35" w16cid:durableId="1792672260">
    <w:abstractNumId w:val="15"/>
  </w:num>
  <w:num w:numId="36" w16cid:durableId="164246636">
    <w:abstractNumId w:val="13"/>
  </w:num>
  <w:num w:numId="37" w16cid:durableId="1491631693">
    <w:abstractNumId w:val="16"/>
  </w:num>
  <w:num w:numId="38" w16cid:durableId="800224472">
    <w:abstractNumId w:val="15"/>
  </w:num>
  <w:num w:numId="39" w16cid:durableId="1502499738">
    <w:abstractNumId w:val="15"/>
  </w:num>
  <w:num w:numId="40" w16cid:durableId="40640424">
    <w:abstractNumId w:val="15"/>
  </w:num>
  <w:num w:numId="41" w16cid:durableId="676075983">
    <w:abstractNumId w:val="15"/>
  </w:num>
  <w:num w:numId="42" w16cid:durableId="1535079151">
    <w:abstractNumId w:val="10"/>
  </w:num>
  <w:num w:numId="43" w16cid:durableId="84616440">
    <w:abstractNumId w:val="16"/>
  </w:num>
  <w:num w:numId="44" w16cid:durableId="2054381123">
    <w:abstractNumId w:val="16"/>
  </w:num>
  <w:num w:numId="45" w16cid:durableId="1906841668">
    <w:abstractNumId w:val="16"/>
  </w:num>
  <w:num w:numId="46" w16cid:durableId="700126408">
    <w:abstractNumId w:val="10"/>
  </w:num>
  <w:num w:numId="47" w16cid:durableId="1999535602">
    <w:abstractNumId w:val="10"/>
  </w:num>
  <w:num w:numId="48" w16cid:durableId="1848278502">
    <w:abstractNumId w:val="10"/>
  </w:num>
  <w:num w:numId="49" w16cid:durableId="630093274">
    <w:abstractNumId w:val="10"/>
  </w:num>
  <w:num w:numId="50" w16cid:durableId="1909612982">
    <w:abstractNumId w:val="10"/>
  </w:num>
  <w:num w:numId="51" w16cid:durableId="1583568876">
    <w:abstractNumId w:val="10"/>
  </w:num>
  <w:num w:numId="52" w16cid:durableId="1187596019">
    <w:abstractNumId w:val="10"/>
  </w:num>
  <w:num w:numId="53" w16cid:durableId="674648647">
    <w:abstractNumId w:val="10"/>
  </w:num>
  <w:num w:numId="54" w16cid:durableId="1130365574">
    <w:abstractNumId w:val="9"/>
  </w:num>
  <w:num w:numId="55" w16cid:durableId="2094038084">
    <w:abstractNumId w:val="9"/>
  </w:num>
  <w:num w:numId="56" w16cid:durableId="13029555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A6"/>
    <w:rsid w:val="00067B24"/>
    <w:rsid w:val="00095FD8"/>
    <w:rsid w:val="000B1FA9"/>
    <w:rsid w:val="000D3F99"/>
    <w:rsid w:val="000D61E7"/>
    <w:rsid w:val="000E3A89"/>
    <w:rsid w:val="00132029"/>
    <w:rsid w:val="00144EBC"/>
    <w:rsid w:val="00150BFA"/>
    <w:rsid w:val="001D1233"/>
    <w:rsid w:val="0020718E"/>
    <w:rsid w:val="00223591"/>
    <w:rsid w:val="002850DF"/>
    <w:rsid w:val="002A156D"/>
    <w:rsid w:val="002A7443"/>
    <w:rsid w:val="002D546C"/>
    <w:rsid w:val="002E2C77"/>
    <w:rsid w:val="00307231"/>
    <w:rsid w:val="003B50D7"/>
    <w:rsid w:val="003E3C60"/>
    <w:rsid w:val="00452087"/>
    <w:rsid w:val="00464268"/>
    <w:rsid w:val="00492733"/>
    <w:rsid w:val="004A4C71"/>
    <w:rsid w:val="004B4E73"/>
    <w:rsid w:val="004E3B90"/>
    <w:rsid w:val="004F69C5"/>
    <w:rsid w:val="005E56C2"/>
    <w:rsid w:val="005F11CB"/>
    <w:rsid w:val="00613AFB"/>
    <w:rsid w:val="006262FA"/>
    <w:rsid w:val="006267D3"/>
    <w:rsid w:val="006300E9"/>
    <w:rsid w:val="00653EF4"/>
    <w:rsid w:val="00656B81"/>
    <w:rsid w:val="006D4D63"/>
    <w:rsid w:val="006E123B"/>
    <w:rsid w:val="0076040F"/>
    <w:rsid w:val="007907C0"/>
    <w:rsid w:val="007A74FC"/>
    <w:rsid w:val="007B2364"/>
    <w:rsid w:val="00812D10"/>
    <w:rsid w:val="00831ADC"/>
    <w:rsid w:val="008D10E4"/>
    <w:rsid w:val="008F0A92"/>
    <w:rsid w:val="008F7189"/>
    <w:rsid w:val="00954460"/>
    <w:rsid w:val="00956B2A"/>
    <w:rsid w:val="0096293E"/>
    <w:rsid w:val="009656DE"/>
    <w:rsid w:val="009B6F49"/>
    <w:rsid w:val="009C21E8"/>
    <w:rsid w:val="009E01FB"/>
    <w:rsid w:val="00A45145"/>
    <w:rsid w:val="00AA5AEE"/>
    <w:rsid w:val="00AC58E5"/>
    <w:rsid w:val="00B140D3"/>
    <w:rsid w:val="00B32591"/>
    <w:rsid w:val="00BD1692"/>
    <w:rsid w:val="00C063A6"/>
    <w:rsid w:val="00C42C12"/>
    <w:rsid w:val="00C8038F"/>
    <w:rsid w:val="00CA08AF"/>
    <w:rsid w:val="00CB3BD9"/>
    <w:rsid w:val="00D11603"/>
    <w:rsid w:val="00D415D6"/>
    <w:rsid w:val="00D55D0D"/>
    <w:rsid w:val="00D84AEB"/>
    <w:rsid w:val="00DB6354"/>
    <w:rsid w:val="00E5464B"/>
    <w:rsid w:val="00EA1004"/>
    <w:rsid w:val="00EA79D6"/>
    <w:rsid w:val="00EE38CA"/>
    <w:rsid w:val="00F0534F"/>
    <w:rsid w:val="00F24AB9"/>
    <w:rsid w:val="00FB4F42"/>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9CB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E3B90"/>
    <w:rPr>
      <w:sz w:val="24"/>
      <w:szCs w:val="24"/>
      <w:lang w:val="en-GB"/>
    </w:rPr>
  </w:style>
  <w:style w:type="paragraph" w:styleId="Heading1">
    <w:name w:val="heading 1"/>
    <w:basedOn w:val="Normal"/>
    <w:next w:val="Normal"/>
    <w:link w:val="Heading1Char"/>
    <w:uiPriority w:val="98"/>
    <w:semiHidden/>
    <w:rsid w:val="004E3B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E3B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E3B9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E3B9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E3B9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E3B9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E3B9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E3B9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E3B9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4E3B90"/>
    <w:pPr>
      <w:tabs>
        <w:tab w:val="center" w:pos="1418"/>
        <w:tab w:val="center" w:pos="5954"/>
      </w:tabs>
      <w:spacing w:before="720"/>
    </w:pPr>
  </w:style>
  <w:style w:type="paragraph" w:customStyle="1" w:styleId="JuPara">
    <w:name w:val="Ju_Para"/>
    <w:aliases w:val="_Para"/>
    <w:basedOn w:val="NormalJustified"/>
    <w:link w:val="JuParaChar"/>
    <w:uiPriority w:val="4"/>
    <w:qFormat/>
    <w:rsid w:val="004E3B90"/>
    <w:pPr>
      <w:ind w:firstLine="284"/>
    </w:pPr>
  </w:style>
  <w:style w:type="character" w:styleId="PageNumber">
    <w:name w:val="page number"/>
    <w:uiPriority w:val="98"/>
    <w:semiHidden/>
    <w:rsid w:val="004E3B90"/>
    <w:rPr>
      <w:sz w:val="18"/>
    </w:rPr>
  </w:style>
  <w:style w:type="character" w:styleId="CommentReference">
    <w:name w:val="annotation reference"/>
    <w:basedOn w:val="DefaultParagraphFont"/>
    <w:uiPriority w:val="98"/>
    <w:semiHidden/>
    <w:rsid w:val="004E3B90"/>
    <w:rPr>
      <w:sz w:val="16"/>
      <w:szCs w:val="16"/>
    </w:rPr>
  </w:style>
  <w:style w:type="paragraph" w:styleId="CommentText">
    <w:name w:val="annotation text"/>
    <w:basedOn w:val="Normal"/>
    <w:link w:val="CommentTextChar"/>
    <w:uiPriority w:val="98"/>
    <w:semiHidden/>
    <w:rsid w:val="004E3B90"/>
    <w:rPr>
      <w:sz w:val="20"/>
      <w:szCs w:val="20"/>
    </w:rPr>
  </w:style>
  <w:style w:type="character" w:customStyle="1" w:styleId="CommentTextChar">
    <w:name w:val="Comment Text Char"/>
    <w:basedOn w:val="DefaultParagraphFont"/>
    <w:link w:val="CommentText"/>
    <w:uiPriority w:val="98"/>
    <w:semiHidden/>
    <w:rsid w:val="004E3B90"/>
    <w:rPr>
      <w:sz w:val="20"/>
      <w:szCs w:val="20"/>
      <w:lang w:val="en-GB"/>
    </w:rPr>
  </w:style>
  <w:style w:type="paragraph" w:customStyle="1" w:styleId="DecHTitle">
    <w:name w:val="Dec_H_Title"/>
    <w:aliases w:val="_Title_1"/>
    <w:basedOn w:val="JuPara"/>
    <w:next w:val="JuPara"/>
    <w:uiPriority w:val="38"/>
    <w:qFormat/>
    <w:rsid w:val="004E3B90"/>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4E3B9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E3B90"/>
    <w:pPr>
      <w:keepNext/>
      <w:keepLines/>
      <w:spacing w:before="1320" w:after="280"/>
      <w:contextualSpacing/>
      <w:jc w:val="center"/>
    </w:pPr>
    <w:rPr>
      <w:b/>
    </w:rPr>
  </w:style>
  <w:style w:type="paragraph" w:customStyle="1" w:styleId="JuHeader">
    <w:name w:val="Ju_Header"/>
    <w:aliases w:val="_Header"/>
    <w:basedOn w:val="Header0"/>
    <w:uiPriority w:val="29"/>
    <w:qFormat/>
    <w:rsid w:val="004E3B90"/>
    <w:pPr>
      <w:tabs>
        <w:tab w:val="clear" w:pos="4536"/>
        <w:tab w:val="clear" w:pos="9072"/>
      </w:tabs>
      <w:jc w:val="center"/>
    </w:pPr>
    <w:rPr>
      <w:sz w:val="18"/>
    </w:rPr>
  </w:style>
  <w:style w:type="paragraph" w:styleId="Header0">
    <w:name w:val="header"/>
    <w:basedOn w:val="Normal"/>
    <w:link w:val="HeaderChar"/>
    <w:uiPriority w:val="98"/>
    <w:semiHidden/>
    <w:rsid w:val="004E3B90"/>
    <w:pPr>
      <w:tabs>
        <w:tab w:val="center" w:pos="4536"/>
        <w:tab w:val="right" w:pos="9072"/>
      </w:tabs>
    </w:pPr>
  </w:style>
  <w:style w:type="character" w:customStyle="1" w:styleId="HeaderChar">
    <w:name w:val="Header Char"/>
    <w:basedOn w:val="DefaultParagraphFont"/>
    <w:link w:val="Header0"/>
    <w:uiPriority w:val="98"/>
    <w:semiHidden/>
    <w:rsid w:val="004E3B90"/>
    <w:rPr>
      <w:sz w:val="24"/>
      <w:szCs w:val="24"/>
      <w:lang w:val="en-GB"/>
    </w:rPr>
  </w:style>
  <w:style w:type="paragraph" w:styleId="BalloonText">
    <w:name w:val="Balloon Text"/>
    <w:basedOn w:val="Normal"/>
    <w:link w:val="BalloonTextChar"/>
    <w:uiPriority w:val="98"/>
    <w:semiHidden/>
    <w:rsid w:val="004E3B90"/>
    <w:rPr>
      <w:rFonts w:ascii="Tahoma" w:hAnsi="Tahoma" w:cs="Tahoma"/>
      <w:sz w:val="16"/>
      <w:szCs w:val="16"/>
    </w:rPr>
  </w:style>
  <w:style w:type="character" w:customStyle="1" w:styleId="BalloonTextChar">
    <w:name w:val="Balloon Text Char"/>
    <w:basedOn w:val="DefaultParagraphFont"/>
    <w:link w:val="BalloonText"/>
    <w:uiPriority w:val="98"/>
    <w:semiHidden/>
    <w:rsid w:val="004E3B90"/>
    <w:rPr>
      <w:rFonts w:ascii="Tahoma" w:hAnsi="Tahoma" w:cs="Tahoma"/>
      <w:sz w:val="16"/>
      <w:szCs w:val="16"/>
      <w:lang w:val="en-GB"/>
    </w:rPr>
  </w:style>
  <w:style w:type="paragraph" w:customStyle="1" w:styleId="DummyStyle">
    <w:name w:val="Dummy_Style"/>
    <w:aliases w:val="_Dummy"/>
    <w:basedOn w:val="Normal"/>
    <w:semiHidden/>
    <w:qFormat/>
    <w:rsid w:val="004E3B90"/>
    <w:rPr>
      <w:color w:val="00B050"/>
      <w:sz w:val="22"/>
    </w:rPr>
  </w:style>
  <w:style w:type="paragraph" w:customStyle="1" w:styleId="NormalJustified">
    <w:name w:val="Normal_Justified"/>
    <w:basedOn w:val="Normal"/>
    <w:semiHidden/>
    <w:rsid w:val="004E3B90"/>
    <w:pPr>
      <w:jc w:val="both"/>
    </w:pPr>
  </w:style>
  <w:style w:type="paragraph" w:customStyle="1" w:styleId="JuQuot">
    <w:name w:val="Ju_Quot"/>
    <w:aliases w:val="_Quote"/>
    <w:basedOn w:val="NormalJustified"/>
    <w:uiPriority w:val="20"/>
    <w:qFormat/>
    <w:rsid w:val="004E3B90"/>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4E3B90"/>
    <w:pPr>
      <w:keepNext/>
      <w:keepLines/>
      <w:tabs>
        <w:tab w:val="right" w:pos="7938"/>
      </w:tabs>
      <w:ind w:firstLine="0"/>
      <w:jc w:val="center"/>
    </w:pPr>
    <w:rPr>
      <w:i/>
    </w:rPr>
  </w:style>
  <w:style w:type="table" w:customStyle="1" w:styleId="ECHRDNTable">
    <w:name w:val="ECHR_DN_Table"/>
    <w:basedOn w:val="TableNormal"/>
    <w:uiPriority w:val="99"/>
    <w:rsid w:val="004E3B9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4E3B90"/>
    <w:pPr>
      <w:numPr>
        <w:numId w:val="4"/>
      </w:numPr>
    </w:pPr>
  </w:style>
  <w:style w:type="numbering" w:customStyle="1" w:styleId="ECHRA1StyleList">
    <w:name w:val="ECHR_A1_Style_List"/>
    <w:basedOn w:val="NoList"/>
    <w:uiPriority w:val="99"/>
    <w:rsid w:val="004E3B90"/>
    <w:pPr>
      <w:numPr>
        <w:numId w:val="5"/>
      </w:numPr>
    </w:pPr>
  </w:style>
  <w:style w:type="paragraph" w:customStyle="1" w:styleId="JuHArticle">
    <w:name w:val="Ju_H_Article"/>
    <w:aliases w:val="_Title_Quote"/>
    <w:basedOn w:val="Normal"/>
    <w:next w:val="JuQuot"/>
    <w:uiPriority w:val="19"/>
    <w:qFormat/>
    <w:rsid w:val="004E3B90"/>
    <w:pPr>
      <w:keepNext/>
      <w:spacing w:before="100" w:beforeAutospacing="1" w:after="120"/>
      <w:contextualSpacing/>
      <w:jc w:val="center"/>
    </w:pPr>
    <w:rPr>
      <w:b/>
      <w:sz w:val="20"/>
    </w:rPr>
  </w:style>
  <w:style w:type="numbering" w:customStyle="1" w:styleId="ECHRA1StyleNumberedList">
    <w:name w:val="ECHR_A1_Style_Numbered_List"/>
    <w:basedOn w:val="NoList"/>
    <w:rsid w:val="004E3B90"/>
    <w:pPr>
      <w:numPr>
        <w:numId w:val="6"/>
      </w:numPr>
    </w:pPr>
  </w:style>
  <w:style w:type="table" w:customStyle="1" w:styleId="ECHRHeaderTable">
    <w:name w:val="ECHR_Header_Table"/>
    <w:basedOn w:val="TableNormal"/>
    <w:uiPriority w:val="99"/>
    <w:rsid w:val="004E3B9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4E3B90"/>
    <w:pPr>
      <w:keepNext/>
      <w:keepLines/>
      <w:numPr>
        <w:numId w:val="53"/>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4E3B90"/>
    <w:pPr>
      <w:tabs>
        <w:tab w:val="center" w:pos="6407"/>
      </w:tabs>
      <w:spacing w:before="720"/>
      <w:jc w:val="right"/>
    </w:pPr>
  </w:style>
  <w:style w:type="table" w:customStyle="1" w:styleId="ECHRHeaderTableReduced">
    <w:name w:val="ECHR_Header_Table_Reduced"/>
    <w:basedOn w:val="TableNormal"/>
    <w:uiPriority w:val="99"/>
    <w:rsid w:val="004E3B9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4E3B90"/>
    <w:rPr>
      <w:caps w:val="0"/>
      <w:smallCaps/>
    </w:rPr>
  </w:style>
  <w:style w:type="character" w:customStyle="1" w:styleId="JuITMark">
    <w:name w:val="Ju_ITMark"/>
    <w:aliases w:val="_ITMark"/>
    <w:basedOn w:val="DefaultParagraphFont"/>
    <w:uiPriority w:val="54"/>
    <w:qFormat/>
    <w:rsid w:val="004E3B90"/>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4E3B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4E3B9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E3B90"/>
    <w:pPr>
      <w:keepNext/>
      <w:keepLines/>
      <w:numPr>
        <w:ilvl w:val="1"/>
        <w:numId w:val="53"/>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4E3B90"/>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4E3B90"/>
    <w:pPr>
      <w:keepNext/>
      <w:keepLines/>
      <w:numPr>
        <w:ilvl w:val="2"/>
        <w:numId w:val="53"/>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4E3B90"/>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4E3B90"/>
    <w:pPr>
      <w:keepNext/>
      <w:keepLines/>
      <w:numPr>
        <w:ilvl w:val="3"/>
        <w:numId w:val="53"/>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4E3B90"/>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4E3B90"/>
    <w:pPr>
      <w:keepNext/>
      <w:keepLines/>
      <w:numPr>
        <w:ilvl w:val="4"/>
        <w:numId w:val="53"/>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4E3B90"/>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4E3B90"/>
    <w:pPr>
      <w:keepNext/>
      <w:keepLines/>
      <w:numPr>
        <w:ilvl w:val="5"/>
        <w:numId w:val="5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4E3B90"/>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4E3B90"/>
    <w:pPr>
      <w:keepNext/>
      <w:keepLines/>
      <w:numPr>
        <w:ilvl w:val="6"/>
        <w:numId w:val="53"/>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4E3B90"/>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4E3B90"/>
    <w:pPr>
      <w:keepNext/>
      <w:keepLines/>
      <w:numPr>
        <w:ilvl w:val="7"/>
        <w:numId w:val="53"/>
      </w:numPr>
      <w:spacing w:before="100" w:beforeAutospacing="1" w:after="120"/>
      <w:jc w:val="both"/>
    </w:pPr>
    <w:rPr>
      <w:i/>
    </w:rPr>
  </w:style>
  <w:style w:type="character" w:customStyle="1" w:styleId="Heading7Char">
    <w:name w:val="Heading 7 Char"/>
    <w:basedOn w:val="DefaultParagraphFont"/>
    <w:link w:val="Heading7"/>
    <w:uiPriority w:val="98"/>
    <w:semiHidden/>
    <w:rsid w:val="004E3B90"/>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4E3B90"/>
    <w:pPr>
      <w:keepNext/>
      <w:keepLines/>
      <w:spacing w:before="240" w:after="240"/>
      <w:ind w:firstLine="284"/>
    </w:pPr>
  </w:style>
  <w:style w:type="table" w:customStyle="1" w:styleId="ECHRTableBoxHeader">
    <w:name w:val="ECHR_Table_Box_Header"/>
    <w:basedOn w:val="TableNormal"/>
    <w:rsid w:val="004E3B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4E3B90"/>
    <w:pPr>
      <w:tabs>
        <w:tab w:val="left" w:pos="567"/>
        <w:tab w:val="left" w:pos="1134"/>
      </w:tabs>
    </w:pPr>
  </w:style>
  <w:style w:type="paragraph" w:customStyle="1" w:styleId="JuList">
    <w:name w:val="Ju_List"/>
    <w:aliases w:val="_List_1"/>
    <w:basedOn w:val="NormalJustified"/>
    <w:uiPriority w:val="23"/>
    <w:qFormat/>
    <w:rsid w:val="004E3B90"/>
    <w:pPr>
      <w:numPr>
        <w:numId w:val="56"/>
      </w:numPr>
      <w:spacing w:before="280" w:after="60"/>
    </w:pPr>
  </w:style>
  <w:style w:type="paragraph" w:customStyle="1" w:styleId="JuLista">
    <w:name w:val="Ju_List_a"/>
    <w:aliases w:val="_List_2"/>
    <w:basedOn w:val="NormalJustified"/>
    <w:uiPriority w:val="23"/>
    <w:rsid w:val="004E3B90"/>
    <w:pPr>
      <w:numPr>
        <w:ilvl w:val="1"/>
        <w:numId w:val="56"/>
      </w:numPr>
    </w:pPr>
  </w:style>
  <w:style w:type="paragraph" w:customStyle="1" w:styleId="JuListi">
    <w:name w:val="Ju_List_i"/>
    <w:aliases w:val="_List_3"/>
    <w:basedOn w:val="NormalJustified"/>
    <w:uiPriority w:val="23"/>
    <w:rsid w:val="004E3B90"/>
    <w:pPr>
      <w:numPr>
        <w:ilvl w:val="2"/>
        <w:numId w:val="56"/>
      </w:numPr>
    </w:pPr>
  </w:style>
  <w:style w:type="table" w:customStyle="1" w:styleId="ECHRTableFax">
    <w:name w:val="ECHR_Table_Fax"/>
    <w:basedOn w:val="TableNormal"/>
    <w:uiPriority w:val="99"/>
    <w:rsid w:val="004E3B9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4E3B9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4E3B9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4E3B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E3B90"/>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4E3B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E3B90"/>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4E3B9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E3B90"/>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4E3B90"/>
    <w:rPr>
      <w:b/>
      <w:bCs/>
    </w:rPr>
  </w:style>
  <w:style w:type="character" w:styleId="Emphasis">
    <w:name w:val="Emphasis"/>
    <w:uiPriority w:val="98"/>
    <w:semiHidden/>
    <w:qFormat/>
    <w:rsid w:val="004E3B90"/>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4E3B90"/>
  </w:style>
  <w:style w:type="character" w:customStyle="1" w:styleId="NoSpacingChar">
    <w:name w:val="No Spacing Char"/>
    <w:basedOn w:val="DefaultParagraphFont"/>
    <w:link w:val="NoSpacing"/>
    <w:uiPriority w:val="98"/>
    <w:semiHidden/>
    <w:rsid w:val="004E3B90"/>
    <w:rPr>
      <w:sz w:val="24"/>
      <w:szCs w:val="24"/>
      <w:lang w:val="en-GB"/>
    </w:rPr>
  </w:style>
  <w:style w:type="paragraph" w:styleId="ListParagraph">
    <w:name w:val="List Paragraph"/>
    <w:basedOn w:val="Normal"/>
    <w:uiPriority w:val="98"/>
    <w:semiHidden/>
    <w:qFormat/>
    <w:rsid w:val="004E3B90"/>
    <w:pPr>
      <w:ind w:left="720"/>
      <w:contextualSpacing/>
    </w:pPr>
  </w:style>
  <w:style w:type="paragraph" w:styleId="Quote0">
    <w:name w:val="Quote"/>
    <w:basedOn w:val="Normal"/>
    <w:next w:val="Normal"/>
    <w:link w:val="QuoteChar"/>
    <w:uiPriority w:val="98"/>
    <w:semiHidden/>
    <w:qFormat/>
    <w:rsid w:val="004E3B90"/>
    <w:pPr>
      <w:spacing w:before="200"/>
      <w:ind w:left="360" w:right="360"/>
    </w:pPr>
    <w:rPr>
      <w:i/>
      <w:iCs/>
      <w:lang w:bidi="en-US"/>
    </w:rPr>
  </w:style>
  <w:style w:type="character" w:customStyle="1" w:styleId="QuoteChar">
    <w:name w:val="Quote Char"/>
    <w:basedOn w:val="DefaultParagraphFont"/>
    <w:link w:val="Quote0"/>
    <w:uiPriority w:val="98"/>
    <w:semiHidden/>
    <w:rsid w:val="004E3B90"/>
    <w:rPr>
      <w:i/>
      <w:iCs/>
      <w:sz w:val="24"/>
      <w:szCs w:val="24"/>
      <w:lang w:val="en-GB" w:bidi="en-US"/>
    </w:rPr>
  </w:style>
  <w:style w:type="paragraph" w:styleId="IntenseQuote">
    <w:name w:val="Intense Quote"/>
    <w:basedOn w:val="Normal"/>
    <w:next w:val="Normal"/>
    <w:link w:val="IntenseQuoteChar"/>
    <w:uiPriority w:val="98"/>
    <w:semiHidden/>
    <w:qFormat/>
    <w:rsid w:val="004E3B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E3B90"/>
    <w:rPr>
      <w:b/>
      <w:bCs/>
      <w:i/>
      <w:iCs/>
      <w:sz w:val="24"/>
      <w:szCs w:val="24"/>
      <w:lang w:val="en-GB" w:bidi="en-US"/>
    </w:rPr>
  </w:style>
  <w:style w:type="character" w:styleId="SubtleEmphasis">
    <w:name w:val="Subtle Emphasis"/>
    <w:uiPriority w:val="98"/>
    <w:semiHidden/>
    <w:qFormat/>
    <w:rsid w:val="004E3B90"/>
    <w:rPr>
      <w:i/>
      <w:iCs/>
    </w:rPr>
  </w:style>
  <w:style w:type="character" w:styleId="IntenseEmphasis">
    <w:name w:val="Intense Emphasis"/>
    <w:uiPriority w:val="98"/>
    <w:semiHidden/>
    <w:qFormat/>
    <w:rsid w:val="004E3B90"/>
    <w:rPr>
      <w:b/>
      <w:bCs/>
    </w:rPr>
  </w:style>
  <w:style w:type="character" w:styleId="SubtleReference">
    <w:name w:val="Subtle Reference"/>
    <w:uiPriority w:val="98"/>
    <w:semiHidden/>
    <w:qFormat/>
    <w:rsid w:val="004E3B90"/>
    <w:rPr>
      <w:smallCaps/>
    </w:rPr>
  </w:style>
  <w:style w:type="character" w:styleId="IntenseReference">
    <w:name w:val="Intense Reference"/>
    <w:uiPriority w:val="98"/>
    <w:semiHidden/>
    <w:qFormat/>
    <w:rsid w:val="004E3B90"/>
    <w:rPr>
      <w:smallCaps/>
      <w:spacing w:val="5"/>
      <w:u w:val="single"/>
    </w:rPr>
  </w:style>
  <w:style w:type="character" w:styleId="BookTitle">
    <w:name w:val="Book Title"/>
    <w:uiPriority w:val="98"/>
    <w:semiHidden/>
    <w:qFormat/>
    <w:rsid w:val="004E3B90"/>
    <w:rPr>
      <w:i/>
      <w:iCs/>
      <w:smallCaps/>
      <w:spacing w:val="5"/>
    </w:rPr>
  </w:style>
  <w:style w:type="paragraph" w:styleId="TOCHeading">
    <w:name w:val="TOC Heading"/>
    <w:basedOn w:val="Normal"/>
    <w:next w:val="Normal"/>
    <w:uiPriority w:val="98"/>
    <w:semiHidden/>
    <w:qFormat/>
    <w:rsid w:val="004E3B90"/>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4E3B90"/>
    <w:pPr>
      <w:numPr>
        <w:numId w:val="1"/>
      </w:numPr>
    </w:pPr>
  </w:style>
  <w:style w:type="numbering" w:styleId="1ai">
    <w:name w:val="Outline List 1"/>
    <w:basedOn w:val="NoList"/>
    <w:uiPriority w:val="99"/>
    <w:semiHidden/>
    <w:unhideWhenUsed/>
    <w:rsid w:val="004E3B90"/>
    <w:pPr>
      <w:numPr>
        <w:numId w:val="2"/>
      </w:numPr>
    </w:pPr>
  </w:style>
  <w:style w:type="numbering" w:styleId="ArticleSection">
    <w:name w:val="Outline List 3"/>
    <w:basedOn w:val="NoList"/>
    <w:uiPriority w:val="99"/>
    <w:semiHidden/>
    <w:unhideWhenUsed/>
    <w:rsid w:val="004E3B90"/>
    <w:pPr>
      <w:numPr>
        <w:numId w:val="3"/>
      </w:numPr>
    </w:pPr>
  </w:style>
  <w:style w:type="paragraph" w:styleId="Bibliography">
    <w:name w:val="Bibliography"/>
    <w:basedOn w:val="Normal"/>
    <w:next w:val="Normal"/>
    <w:uiPriority w:val="98"/>
    <w:semiHidden/>
    <w:rsid w:val="004E3B90"/>
  </w:style>
  <w:style w:type="paragraph" w:styleId="BlockText">
    <w:name w:val="Block Text"/>
    <w:basedOn w:val="Normal"/>
    <w:uiPriority w:val="98"/>
    <w:semiHidden/>
    <w:rsid w:val="004E3B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E3B90"/>
    <w:pPr>
      <w:spacing w:after="120"/>
    </w:pPr>
  </w:style>
  <w:style w:type="character" w:customStyle="1" w:styleId="BodyTextChar">
    <w:name w:val="Body Text Char"/>
    <w:basedOn w:val="DefaultParagraphFont"/>
    <w:link w:val="BodyText"/>
    <w:uiPriority w:val="98"/>
    <w:semiHidden/>
    <w:rsid w:val="004E3B90"/>
    <w:rPr>
      <w:sz w:val="24"/>
      <w:szCs w:val="24"/>
      <w:lang w:val="en-GB"/>
    </w:rPr>
  </w:style>
  <w:style w:type="paragraph" w:styleId="BodyText2">
    <w:name w:val="Body Text 2"/>
    <w:basedOn w:val="Normal"/>
    <w:link w:val="BodyText2Char"/>
    <w:uiPriority w:val="98"/>
    <w:semiHidden/>
    <w:rsid w:val="004E3B90"/>
    <w:pPr>
      <w:spacing w:after="120" w:line="480" w:lineRule="auto"/>
    </w:pPr>
  </w:style>
  <w:style w:type="character" w:customStyle="1" w:styleId="BodyText2Char">
    <w:name w:val="Body Text 2 Char"/>
    <w:basedOn w:val="DefaultParagraphFont"/>
    <w:link w:val="BodyText2"/>
    <w:uiPriority w:val="98"/>
    <w:semiHidden/>
    <w:rsid w:val="004E3B90"/>
    <w:rPr>
      <w:sz w:val="24"/>
      <w:szCs w:val="24"/>
      <w:lang w:val="en-GB"/>
    </w:rPr>
  </w:style>
  <w:style w:type="paragraph" w:styleId="BodyText3">
    <w:name w:val="Body Text 3"/>
    <w:basedOn w:val="Normal"/>
    <w:link w:val="BodyText3Char"/>
    <w:uiPriority w:val="98"/>
    <w:semiHidden/>
    <w:rsid w:val="004E3B90"/>
    <w:pPr>
      <w:spacing w:after="120"/>
    </w:pPr>
    <w:rPr>
      <w:sz w:val="16"/>
      <w:szCs w:val="16"/>
    </w:rPr>
  </w:style>
  <w:style w:type="character" w:customStyle="1" w:styleId="BodyText3Char">
    <w:name w:val="Body Text 3 Char"/>
    <w:basedOn w:val="DefaultParagraphFont"/>
    <w:link w:val="BodyText3"/>
    <w:uiPriority w:val="98"/>
    <w:semiHidden/>
    <w:rsid w:val="004E3B90"/>
    <w:rPr>
      <w:sz w:val="16"/>
      <w:szCs w:val="16"/>
      <w:lang w:val="en-GB"/>
    </w:rPr>
  </w:style>
  <w:style w:type="paragraph" w:styleId="BodyTextFirstIndent">
    <w:name w:val="Body Text First Indent"/>
    <w:basedOn w:val="BodyText"/>
    <w:link w:val="BodyTextFirstIndentChar"/>
    <w:uiPriority w:val="98"/>
    <w:semiHidden/>
    <w:rsid w:val="004E3B90"/>
    <w:pPr>
      <w:spacing w:after="0"/>
      <w:ind w:firstLine="360"/>
    </w:pPr>
  </w:style>
  <w:style w:type="character" w:customStyle="1" w:styleId="BodyTextFirstIndentChar">
    <w:name w:val="Body Text First Indent Char"/>
    <w:basedOn w:val="BodyTextChar"/>
    <w:link w:val="BodyTextFirstIndent"/>
    <w:uiPriority w:val="98"/>
    <w:semiHidden/>
    <w:rsid w:val="004E3B90"/>
    <w:rPr>
      <w:sz w:val="24"/>
      <w:szCs w:val="24"/>
      <w:lang w:val="en-GB"/>
    </w:rPr>
  </w:style>
  <w:style w:type="paragraph" w:styleId="BodyTextIndent">
    <w:name w:val="Body Text Indent"/>
    <w:basedOn w:val="Normal"/>
    <w:link w:val="BodyTextIndentChar"/>
    <w:uiPriority w:val="98"/>
    <w:semiHidden/>
    <w:rsid w:val="004E3B90"/>
    <w:pPr>
      <w:spacing w:after="120"/>
      <w:ind w:left="283"/>
    </w:pPr>
  </w:style>
  <w:style w:type="character" w:customStyle="1" w:styleId="BodyTextIndentChar">
    <w:name w:val="Body Text Indent Char"/>
    <w:basedOn w:val="DefaultParagraphFont"/>
    <w:link w:val="BodyTextIndent"/>
    <w:uiPriority w:val="98"/>
    <w:semiHidden/>
    <w:rsid w:val="004E3B90"/>
    <w:rPr>
      <w:sz w:val="24"/>
      <w:szCs w:val="24"/>
      <w:lang w:val="en-GB"/>
    </w:rPr>
  </w:style>
  <w:style w:type="paragraph" w:styleId="BodyTextFirstIndent2">
    <w:name w:val="Body Text First Indent 2"/>
    <w:basedOn w:val="BodyTextIndent"/>
    <w:link w:val="BodyTextFirstIndent2Char"/>
    <w:uiPriority w:val="98"/>
    <w:semiHidden/>
    <w:rsid w:val="004E3B90"/>
    <w:pPr>
      <w:spacing w:after="0"/>
      <w:ind w:left="360" w:firstLine="360"/>
    </w:pPr>
  </w:style>
  <w:style w:type="character" w:customStyle="1" w:styleId="BodyTextFirstIndent2Char">
    <w:name w:val="Body Text First Indent 2 Char"/>
    <w:basedOn w:val="BodyTextIndentChar"/>
    <w:link w:val="BodyTextFirstIndent2"/>
    <w:uiPriority w:val="98"/>
    <w:semiHidden/>
    <w:rsid w:val="004E3B90"/>
    <w:rPr>
      <w:sz w:val="24"/>
      <w:szCs w:val="24"/>
      <w:lang w:val="en-GB"/>
    </w:rPr>
  </w:style>
  <w:style w:type="paragraph" w:styleId="BodyTextIndent2">
    <w:name w:val="Body Text Indent 2"/>
    <w:basedOn w:val="Normal"/>
    <w:link w:val="BodyTextIndent2Char"/>
    <w:uiPriority w:val="98"/>
    <w:semiHidden/>
    <w:rsid w:val="004E3B90"/>
    <w:pPr>
      <w:spacing w:after="120" w:line="480" w:lineRule="auto"/>
      <w:ind w:left="283"/>
    </w:pPr>
  </w:style>
  <w:style w:type="character" w:customStyle="1" w:styleId="BodyTextIndent2Char">
    <w:name w:val="Body Text Indent 2 Char"/>
    <w:basedOn w:val="DefaultParagraphFont"/>
    <w:link w:val="BodyTextIndent2"/>
    <w:uiPriority w:val="98"/>
    <w:semiHidden/>
    <w:rsid w:val="004E3B90"/>
    <w:rPr>
      <w:sz w:val="24"/>
      <w:szCs w:val="24"/>
      <w:lang w:val="en-GB"/>
    </w:rPr>
  </w:style>
  <w:style w:type="paragraph" w:styleId="BodyTextIndent3">
    <w:name w:val="Body Text Indent 3"/>
    <w:basedOn w:val="Normal"/>
    <w:link w:val="BodyTextIndent3Char"/>
    <w:uiPriority w:val="98"/>
    <w:semiHidden/>
    <w:rsid w:val="004E3B9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E3B90"/>
    <w:rPr>
      <w:sz w:val="16"/>
      <w:szCs w:val="16"/>
      <w:lang w:val="en-GB"/>
    </w:rPr>
  </w:style>
  <w:style w:type="paragraph" w:styleId="Caption">
    <w:name w:val="caption"/>
    <w:basedOn w:val="Normal"/>
    <w:next w:val="Normal"/>
    <w:uiPriority w:val="98"/>
    <w:semiHidden/>
    <w:qFormat/>
    <w:rsid w:val="004E3B90"/>
    <w:pPr>
      <w:spacing w:after="200"/>
    </w:pPr>
    <w:rPr>
      <w:b/>
      <w:bCs/>
      <w:color w:val="0072BC" w:themeColor="accent1"/>
      <w:sz w:val="18"/>
      <w:szCs w:val="18"/>
    </w:rPr>
  </w:style>
  <w:style w:type="paragraph" w:styleId="Closing">
    <w:name w:val="Closing"/>
    <w:basedOn w:val="Normal"/>
    <w:link w:val="ClosingChar"/>
    <w:uiPriority w:val="98"/>
    <w:semiHidden/>
    <w:rsid w:val="004E3B90"/>
    <w:pPr>
      <w:ind w:left="4252"/>
    </w:pPr>
  </w:style>
  <w:style w:type="character" w:customStyle="1" w:styleId="ClosingChar">
    <w:name w:val="Closing Char"/>
    <w:basedOn w:val="DefaultParagraphFont"/>
    <w:link w:val="Closing"/>
    <w:uiPriority w:val="98"/>
    <w:semiHidden/>
    <w:rsid w:val="004E3B90"/>
    <w:rPr>
      <w:sz w:val="24"/>
      <w:szCs w:val="24"/>
      <w:lang w:val="en-GB"/>
    </w:rPr>
  </w:style>
  <w:style w:type="table" w:styleId="ColorfulGrid">
    <w:name w:val="Colorful Grid"/>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E3B9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E3B9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E3B9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E3B9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E3B9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E3B9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E3B9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E3B9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E3B9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E3B9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E3B9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E3B9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E3B9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E3B9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E3B9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E3B90"/>
    <w:rPr>
      <w:b/>
      <w:bCs/>
    </w:rPr>
  </w:style>
  <w:style w:type="character" w:customStyle="1" w:styleId="CommentSubjectChar">
    <w:name w:val="Comment Subject Char"/>
    <w:basedOn w:val="CommentTextChar"/>
    <w:link w:val="CommentSubject"/>
    <w:uiPriority w:val="98"/>
    <w:semiHidden/>
    <w:rsid w:val="004E3B90"/>
    <w:rPr>
      <w:b/>
      <w:bCs/>
      <w:sz w:val="20"/>
      <w:szCs w:val="20"/>
      <w:lang w:val="en-GB"/>
    </w:rPr>
  </w:style>
  <w:style w:type="table" w:styleId="DarkList">
    <w:name w:val="Dark List"/>
    <w:basedOn w:val="TableNormal"/>
    <w:uiPriority w:val="70"/>
    <w:semiHidden/>
    <w:rsid w:val="004E3B9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E3B9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E3B9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E3B9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E3B9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E3B9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E3B9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E3B90"/>
  </w:style>
  <w:style w:type="character" w:customStyle="1" w:styleId="DateChar">
    <w:name w:val="Date Char"/>
    <w:basedOn w:val="DefaultParagraphFont"/>
    <w:link w:val="Date"/>
    <w:uiPriority w:val="98"/>
    <w:semiHidden/>
    <w:rsid w:val="004E3B90"/>
    <w:rPr>
      <w:sz w:val="24"/>
      <w:szCs w:val="24"/>
      <w:lang w:val="en-GB"/>
    </w:rPr>
  </w:style>
  <w:style w:type="paragraph" w:styleId="DocumentMap">
    <w:name w:val="Document Map"/>
    <w:basedOn w:val="Normal"/>
    <w:link w:val="DocumentMapChar"/>
    <w:uiPriority w:val="98"/>
    <w:semiHidden/>
    <w:rsid w:val="004E3B90"/>
    <w:rPr>
      <w:rFonts w:ascii="Tahoma" w:hAnsi="Tahoma" w:cs="Tahoma"/>
      <w:sz w:val="16"/>
      <w:szCs w:val="16"/>
    </w:rPr>
  </w:style>
  <w:style w:type="character" w:customStyle="1" w:styleId="DocumentMapChar">
    <w:name w:val="Document Map Char"/>
    <w:basedOn w:val="DefaultParagraphFont"/>
    <w:link w:val="DocumentMap"/>
    <w:uiPriority w:val="98"/>
    <w:semiHidden/>
    <w:rsid w:val="004E3B90"/>
    <w:rPr>
      <w:rFonts w:ascii="Tahoma" w:hAnsi="Tahoma" w:cs="Tahoma"/>
      <w:sz w:val="16"/>
      <w:szCs w:val="16"/>
      <w:lang w:val="en-GB"/>
    </w:rPr>
  </w:style>
  <w:style w:type="paragraph" w:styleId="E-mailSignature">
    <w:name w:val="E-mail Signature"/>
    <w:basedOn w:val="Normal"/>
    <w:link w:val="E-mailSignatureChar"/>
    <w:uiPriority w:val="98"/>
    <w:semiHidden/>
    <w:rsid w:val="004E3B90"/>
  </w:style>
  <w:style w:type="character" w:customStyle="1" w:styleId="E-mailSignatureChar">
    <w:name w:val="E-mail Signature Char"/>
    <w:basedOn w:val="DefaultParagraphFont"/>
    <w:link w:val="E-mailSignature"/>
    <w:uiPriority w:val="98"/>
    <w:semiHidden/>
    <w:rsid w:val="004E3B90"/>
    <w:rPr>
      <w:sz w:val="24"/>
      <w:szCs w:val="24"/>
      <w:lang w:val="en-GB"/>
    </w:rPr>
  </w:style>
  <w:style w:type="character" w:styleId="EndnoteReference">
    <w:name w:val="endnote reference"/>
    <w:basedOn w:val="DefaultParagraphFont"/>
    <w:uiPriority w:val="98"/>
    <w:semiHidden/>
    <w:rsid w:val="004E3B90"/>
    <w:rPr>
      <w:vertAlign w:val="superscript"/>
    </w:rPr>
  </w:style>
  <w:style w:type="paragraph" w:styleId="EndnoteText">
    <w:name w:val="endnote text"/>
    <w:basedOn w:val="Normal"/>
    <w:link w:val="EndnoteTextChar"/>
    <w:uiPriority w:val="98"/>
    <w:semiHidden/>
    <w:rsid w:val="004E3B90"/>
    <w:rPr>
      <w:sz w:val="20"/>
      <w:szCs w:val="20"/>
    </w:rPr>
  </w:style>
  <w:style w:type="character" w:customStyle="1" w:styleId="EndnoteTextChar">
    <w:name w:val="Endnote Text Char"/>
    <w:basedOn w:val="DefaultParagraphFont"/>
    <w:link w:val="EndnoteText"/>
    <w:uiPriority w:val="98"/>
    <w:semiHidden/>
    <w:rsid w:val="004E3B90"/>
    <w:rPr>
      <w:sz w:val="20"/>
      <w:szCs w:val="20"/>
      <w:lang w:val="en-GB"/>
    </w:rPr>
  </w:style>
  <w:style w:type="paragraph" w:styleId="EnvelopeAddress">
    <w:name w:val="envelope address"/>
    <w:basedOn w:val="Normal"/>
    <w:uiPriority w:val="98"/>
    <w:semiHidden/>
    <w:rsid w:val="004E3B9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E3B9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E3B90"/>
    <w:rPr>
      <w:color w:val="7030A0" w:themeColor="followedHyperlink"/>
      <w:u w:val="single"/>
    </w:rPr>
  </w:style>
  <w:style w:type="character" w:styleId="FootnoteReference">
    <w:name w:val="footnote reference"/>
    <w:basedOn w:val="DefaultParagraphFont"/>
    <w:uiPriority w:val="98"/>
    <w:semiHidden/>
    <w:rsid w:val="004E3B90"/>
    <w:rPr>
      <w:vertAlign w:val="superscript"/>
    </w:rPr>
  </w:style>
  <w:style w:type="paragraph" w:styleId="FootnoteText">
    <w:name w:val="footnote text"/>
    <w:basedOn w:val="NormalJustified"/>
    <w:link w:val="FootnoteTextChar"/>
    <w:uiPriority w:val="98"/>
    <w:semiHidden/>
    <w:rsid w:val="004E3B90"/>
    <w:rPr>
      <w:sz w:val="20"/>
      <w:szCs w:val="20"/>
    </w:rPr>
  </w:style>
  <w:style w:type="character" w:customStyle="1" w:styleId="FootnoteTextChar">
    <w:name w:val="Footnote Text Char"/>
    <w:basedOn w:val="DefaultParagraphFont"/>
    <w:link w:val="FootnoteText"/>
    <w:uiPriority w:val="98"/>
    <w:semiHidden/>
    <w:rsid w:val="004E3B90"/>
    <w:rPr>
      <w:sz w:val="20"/>
      <w:szCs w:val="20"/>
      <w:lang w:val="en-GB"/>
    </w:rPr>
  </w:style>
  <w:style w:type="character" w:styleId="HTMLAcronym">
    <w:name w:val="HTML Acronym"/>
    <w:basedOn w:val="DefaultParagraphFont"/>
    <w:uiPriority w:val="98"/>
    <w:semiHidden/>
    <w:rsid w:val="004E3B90"/>
  </w:style>
  <w:style w:type="paragraph" w:styleId="HTMLAddress">
    <w:name w:val="HTML Address"/>
    <w:basedOn w:val="Normal"/>
    <w:link w:val="HTMLAddressChar"/>
    <w:uiPriority w:val="98"/>
    <w:semiHidden/>
    <w:rsid w:val="004E3B90"/>
    <w:rPr>
      <w:i/>
      <w:iCs/>
    </w:rPr>
  </w:style>
  <w:style w:type="character" w:customStyle="1" w:styleId="HTMLAddressChar">
    <w:name w:val="HTML Address Char"/>
    <w:basedOn w:val="DefaultParagraphFont"/>
    <w:link w:val="HTMLAddress"/>
    <w:uiPriority w:val="98"/>
    <w:semiHidden/>
    <w:rsid w:val="004E3B90"/>
    <w:rPr>
      <w:i/>
      <w:iCs/>
      <w:sz w:val="24"/>
      <w:szCs w:val="24"/>
      <w:lang w:val="en-GB"/>
    </w:rPr>
  </w:style>
  <w:style w:type="character" w:styleId="HTMLCite">
    <w:name w:val="HTML Cite"/>
    <w:basedOn w:val="DefaultParagraphFont"/>
    <w:uiPriority w:val="98"/>
    <w:semiHidden/>
    <w:rsid w:val="004E3B90"/>
    <w:rPr>
      <w:i/>
      <w:iCs/>
    </w:rPr>
  </w:style>
  <w:style w:type="character" w:styleId="HTMLCode">
    <w:name w:val="HTML Code"/>
    <w:basedOn w:val="DefaultParagraphFont"/>
    <w:uiPriority w:val="98"/>
    <w:semiHidden/>
    <w:rsid w:val="004E3B90"/>
    <w:rPr>
      <w:rFonts w:ascii="Consolas" w:hAnsi="Consolas" w:cs="Consolas"/>
      <w:sz w:val="20"/>
      <w:szCs w:val="20"/>
    </w:rPr>
  </w:style>
  <w:style w:type="character" w:styleId="HTMLDefinition">
    <w:name w:val="HTML Definition"/>
    <w:basedOn w:val="DefaultParagraphFont"/>
    <w:uiPriority w:val="98"/>
    <w:semiHidden/>
    <w:rsid w:val="004E3B90"/>
    <w:rPr>
      <w:i/>
      <w:iCs/>
    </w:rPr>
  </w:style>
  <w:style w:type="character" w:styleId="HTMLKeyboard">
    <w:name w:val="HTML Keyboard"/>
    <w:basedOn w:val="DefaultParagraphFont"/>
    <w:uiPriority w:val="98"/>
    <w:semiHidden/>
    <w:rsid w:val="004E3B90"/>
    <w:rPr>
      <w:rFonts w:ascii="Consolas" w:hAnsi="Consolas" w:cs="Consolas"/>
      <w:sz w:val="20"/>
      <w:szCs w:val="20"/>
    </w:rPr>
  </w:style>
  <w:style w:type="paragraph" w:styleId="HTMLPreformatted">
    <w:name w:val="HTML Preformatted"/>
    <w:basedOn w:val="Normal"/>
    <w:link w:val="HTMLPreformattedChar"/>
    <w:uiPriority w:val="98"/>
    <w:semiHidden/>
    <w:rsid w:val="004E3B9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E3B90"/>
    <w:rPr>
      <w:rFonts w:ascii="Consolas" w:hAnsi="Consolas" w:cs="Consolas"/>
      <w:sz w:val="20"/>
      <w:szCs w:val="20"/>
      <w:lang w:val="en-GB"/>
    </w:rPr>
  </w:style>
  <w:style w:type="character" w:styleId="HTMLSample">
    <w:name w:val="HTML Sample"/>
    <w:basedOn w:val="DefaultParagraphFont"/>
    <w:uiPriority w:val="98"/>
    <w:semiHidden/>
    <w:rsid w:val="004E3B90"/>
    <w:rPr>
      <w:rFonts w:ascii="Consolas" w:hAnsi="Consolas" w:cs="Consolas"/>
      <w:sz w:val="24"/>
      <w:szCs w:val="24"/>
    </w:rPr>
  </w:style>
  <w:style w:type="character" w:styleId="HTMLTypewriter">
    <w:name w:val="HTML Typewriter"/>
    <w:basedOn w:val="DefaultParagraphFont"/>
    <w:uiPriority w:val="98"/>
    <w:semiHidden/>
    <w:rsid w:val="004E3B90"/>
    <w:rPr>
      <w:rFonts w:ascii="Consolas" w:hAnsi="Consolas" w:cs="Consolas"/>
      <w:sz w:val="20"/>
      <w:szCs w:val="20"/>
    </w:rPr>
  </w:style>
  <w:style w:type="character" w:styleId="HTMLVariable">
    <w:name w:val="HTML Variable"/>
    <w:basedOn w:val="DefaultParagraphFont"/>
    <w:uiPriority w:val="98"/>
    <w:semiHidden/>
    <w:rsid w:val="004E3B90"/>
    <w:rPr>
      <w:i/>
      <w:iCs/>
    </w:rPr>
  </w:style>
  <w:style w:type="character" w:styleId="Hyperlink">
    <w:name w:val="Hyperlink"/>
    <w:basedOn w:val="DefaultParagraphFont"/>
    <w:uiPriority w:val="98"/>
    <w:semiHidden/>
    <w:rsid w:val="004E3B90"/>
    <w:rPr>
      <w:color w:val="0072BC" w:themeColor="hyperlink"/>
      <w:u w:val="single"/>
    </w:rPr>
  </w:style>
  <w:style w:type="paragraph" w:styleId="Index1">
    <w:name w:val="index 1"/>
    <w:basedOn w:val="Normal"/>
    <w:next w:val="Normal"/>
    <w:autoRedefine/>
    <w:uiPriority w:val="98"/>
    <w:semiHidden/>
    <w:rsid w:val="004E3B90"/>
    <w:pPr>
      <w:ind w:left="240" w:hanging="240"/>
    </w:pPr>
  </w:style>
  <w:style w:type="paragraph" w:styleId="Index2">
    <w:name w:val="index 2"/>
    <w:basedOn w:val="Normal"/>
    <w:next w:val="Normal"/>
    <w:autoRedefine/>
    <w:uiPriority w:val="98"/>
    <w:semiHidden/>
    <w:rsid w:val="004E3B90"/>
    <w:pPr>
      <w:ind w:left="480" w:hanging="240"/>
    </w:pPr>
  </w:style>
  <w:style w:type="paragraph" w:styleId="Index3">
    <w:name w:val="index 3"/>
    <w:basedOn w:val="Normal"/>
    <w:next w:val="Normal"/>
    <w:autoRedefine/>
    <w:uiPriority w:val="98"/>
    <w:semiHidden/>
    <w:rsid w:val="004E3B90"/>
    <w:pPr>
      <w:ind w:left="720" w:hanging="240"/>
    </w:pPr>
  </w:style>
  <w:style w:type="paragraph" w:styleId="Index4">
    <w:name w:val="index 4"/>
    <w:basedOn w:val="Normal"/>
    <w:next w:val="Normal"/>
    <w:autoRedefine/>
    <w:uiPriority w:val="98"/>
    <w:semiHidden/>
    <w:rsid w:val="004E3B90"/>
    <w:pPr>
      <w:ind w:left="960" w:hanging="240"/>
    </w:pPr>
  </w:style>
  <w:style w:type="paragraph" w:styleId="Index5">
    <w:name w:val="index 5"/>
    <w:basedOn w:val="Normal"/>
    <w:next w:val="Normal"/>
    <w:autoRedefine/>
    <w:uiPriority w:val="98"/>
    <w:semiHidden/>
    <w:rsid w:val="004E3B90"/>
    <w:pPr>
      <w:ind w:left="1200" w:hanging="240"/>
    </w:pPr>
  </w:style>
  <w:style w:type="paragraph" w:styleId="Index6">
    <w:name w:val="index 6"/>
    <w:basedOn w:val="Normal"/>
    <w:next w:val="Normal"/>
    <w:autoRedefine/>
    <w:uiPriority w:val="98"/>
    <w:semiHidden/>
    <w:rsid w:val="004E3B90"/>
    <w:pPr>
      <w:ind w:left="1440" w:hanging="240"/>
    </w:pPr>
  </w:style>
  <w:style w:type="paragraph" w:styleId="Index7">
    <w:name w:val="index 7"/>
    <w:basedOn w:val="Normal"/>
    <w:next w:val="Normal"/>
    <w:autoRedefine/>
    <w:uiPriority w:val="98"/>
    <w:semiHidden/>
    <w:rsid w:val="004E3B90"/>
    <w:pPr>
      <w:ind w:left="1680" w:hanging="240"/>
    </w:pPr>
  </w:style>
  <w:style w:type="paragraph" w:styleId="Index8">
    <w:name w:val="index 8"/>
    <w:basedOn w:val="Normal"/>
    <w:next w:val="Normal"/>
    <w:autoRedefine/>
    <w:uiPriority w:val="98"/>
    <w:semiHidden/>
    <w:rsid w:val="004E3B90"/>
    <w:pPr>
      <w:ind w:left="1920" w:hanging="240"/>
    </w:pPr>
  </w:style>
  <w:style w:type="paragraph" w:styleId="Index9">
    <w:name w:val="index 9"/>
    <w:basedOn w:val="Normal"/>
    <w:next w:val="Normal"/>
    <w:autoRedefine/>
    <w:uiPriority w:val="98"/>
    <w:semiHidden/>
    <w:rsid w:val="004E3B90"/>
    <w:pPr>
      <w:ind w:left="2160" w:hanging="240"/>
    </w:pPr>
  </w:style>
  <w:style w:type="paragraph" w:styleId="IndexHeading">
    <w:name w:val="index heading"/>
    <w:basedOn w:val="Normal"/>
    <w:next w:val="Index1"/>
    <w:uiPriority w:val="98"/>
    <w:semiHidden/>
    <w:rsid w:val="004E3B90"/>
    <w:rPr>
      <w:rFonts w:asciiTheme="majorHAnsi" w:eastAsiaTheme="majorEastAsia" w:hAnsiTheme="majorHAnsi" w:cstheme="majorBidi"/>
      <w:b/>
      <w:bCs/>
    </w:rPr>
  </w:style>
  <w:style w:type="table" w:styleId="LightGrid">
    <w:name w:val="Light Grid"/>
    <w:basedOn w:val="TableNormal"/>
    <w:uiPriority w:val="62"/>
    <w:semiHidden/>
    <w:rsid w:val="004E3B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E3B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E3B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E3B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E3B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E3B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E3B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E3B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E3B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E3B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E3B9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E3B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E3B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E3B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E3B9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E3B9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E3B9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E3B9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E3B9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E3B9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E3B9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E3B90"/>
  </w:style>
  <w:style w:type="paragraph" w:styleId="List">
    <w:name w:val="List"/>
    <w:basedOn w:val="Normal"/>
    <w:uiPriority w:val="98"/>
    <w:semiHidden/>
    <w:rsid w:val="004E3B90"/>
    <w:pPr>
      <w:ind w:left="283" w:hanging="283"/>
      <w:contextualSpacing/>
    </w:pPr>
  </w:style>
  <w:style w:type="paragraph" w:styleId="List20">
    <w:name w:val="List 2"/>
    <w:basedOn w:val="Normal"/>
    <w:uiPriority w:val="98"/>
    <w:semiHidden/>
    <w:rsid w:val="004E3B90"/>
    <w:pPr>
      <w:ind w:left="566" w:hanging="283"/>
      <w:contextualSpacing/>
    </w:pPr>
  </w:style>
  <w:style w:type="paragraph" w:styleId="List30">
    <w:name w:val="List 3"/>
    <w:basedOn w:val="Normal"/>
    <w:uiPriority w:val="98"/>
    <w:semiHidden/>
    <w:rsid w:val="004E3B90"/>
    <w:pPr>
      <w:ind w:left="849" w:hanging="283"/>
      <w:contextualSpacing/>
    </w:pPr>
  </w:style>
  <w:style w:type="paragraph" w:styleId="List4">
    <w:name w:val="List 4"/>
    <w:basedOn w:val="Normal"/>
    <w:uiPriority w:val="98"/>
    <w:semiHidden/>
    <w:rsid w:val="004E3B90"/>
    <w:pPr>
      <w:ind w:left="1132" w:hanging="283"/>
      <w:contextualSpacing/>
    </w:pPr>
  </w:style>
  <w:style w:type="paragraph" w:styleId="List5">
    <w:name w:val="List 5"/>
    <w:basedOn w:val="Normal"/>
    <w:uiPriority w:val="98"/>
    <w:semiHidden/>
    <w:rsid w:val="004E3B90"/>
    <w:pPr>
      <w:ind w:left="1415" w:hanging="283"/>
      <w:contextualSpacing/>
    </w:pPr>
  </w:style>
  <w:style w:type="paragraph" w:styleId="ListBullet">
    <w:name w:val="List Bullet"/>
    <w:basedOn w:val="Normal"/>
    <w:uiPriority w:val="98"/>
    <w:semiHidden/>
    <w:rsid w:val="004E3B90"/>
    <w:pPr>
      <w:numPr>
        <w:numId w:val="25"/>
      </w:numPr>
    </w:pPr>
  </w:style>
  <w:style w:type="paragraph" w:styleId="ListBullet2">
    <w:name w:val="List Bullet 2"/>
    <w:basedOn w:val="Normal"/>
    <w:uiPriority w:val="98"/>
    <w:semiHidden/>
    <w:rsid w:val="004E3B90"/>
    <w:pPr>
      <w:numPr>
        <w:numId w:val="26"/>
      </w:numPr>
      <w:contextualSpacing/>
    </w:pPr>
  </w:style>
  <w:style w:type="paragraph" w:styleId="ListBullet3">
    <w:name w:val="List Bullet 3"/>
    <w:basedOn w:val="Normal"/>
    <w:uiPriority w:val="98"/>
    <w:semiHidden/>
    <w:rsid w:val="004E3B90"/>
    <w:pPr>
      <w:numPr>
        <w:numId w:val="27"/>
      </w:numPr>
      <w:contextualSpacing/>
    </w:pPr>
  </w:style>
  <w:style w:type="paragraph" w:styleId="ListBullet4">
    <w:name w:val="List Bullet 4"/>
    <w:basedOn w:val="Normal"/>
    <w:uiPriority w:val="98"/>
    <w:semiHidden/>
    <w:rsid w:val="004E3B90"/>
    <w:pPr>
      <w:numPr>
        <w:numId w:val="28"/>
      </w:numPr>
      <w:contextualSpacing/>
    </w:pPr>
  </w:style>
  <w:style w:type="paragraph" w:styleId="ListBullet5">
    <w:name w:val="List Bullet 5"/>
    <w:basedOn w:val="Normal"/>
    <w:uiPriority w:val="98"/>
    <w:semiHidden/>
    <w:rsid w:val="004E3B90"/>
    <w:pPr>
      <w:numPr>
        <w:numId w:val="29"/>
      </w:numPr>
      <w:contextualSpacing/>
    </w:pPr>
  </w:style>
  <w:style w:type="paragraph" w:styleId="ListContinue">
    <w:name w:val="List Continue"/>
    <w:basedOn w:val="Normal"/>
    <w:uiPriority w:val="98"/>
    <w:semiHidden/>
    <w:rsid w:val="004E3B90"/>
    <w:pPr>
      <w:spacing w:after="120"/>
      <w:ind w:left="283"/>
      <w:contextualSpacing/>
    </w:pPr>
  </w:style>
  <w:style w:type="paragraph" w:styleId="ListContinue2">
    <w:name w:val="List Continue 2"/>
    <w:basedOn w:val="Normal"/>
    <w:uiPriority w:val="98"/>
    <w:semiHidden/>
    <w:rsid w:val="004E3B90"/>
    <w:pPr>
      <w:spacing w:after="120"/>
      <w:ind w:left="566"/>
      <w:contextualSpacing/>
    </w:pPr>
  </w:style>
  <w:style w:type="paragraph" w:styleId="ListContinue3">
    <w:name w:val="List Continue 3"/>
    <w:basedOn w:val="Normal"/>
    <w:uiPriority w:val="98"/>
    <w:semiHidden/>
    <w:rsid w:val="004E3B90"/>
    <w:pPr>
      <w:spacing w:after="120"/>
      <w:ind w:left="849"/>
      <w:contextualSpacing/>
    </w:pPr>
  </w:style>
  <w:style w:type="paragraph" w:styleId="ListContinue4">
    <w:name w:val="List Continue 4"/>
    <w:basedOn w:val="Normal"/>
    <w:uiPriority w:val="98"/>
    <w:semiHidden/>
    <w:rsid w:val="004E3B90"/>
    <w:pPr>
      <w:spacing w:after="120"/>
      <w:ind w:left="1132"/>
      <w:contextualSpacing/>
    </w:pPr>
  </w:style>
  <w:style w:type="paragraph" w:styleId="ListContinue5">
    <w:name w:val="List Continue 5"/>
    <w:basedOn w:val="Normal"/>
    <w:uiPriority w:val="98"/>
    <w:semiHidden/>
    <w:rsid w:val="004E3B90"/>
    <w:pPr>
      <w:spacing w:after="120"/>
      <w:ind w:left="1415"/>
      <w:contextualSpacing/>
    </w:pPr>
  </w:style>
  <w:style w:type="paragraph" w:styleId="ListNumber">
    <w:name w:val="List Number"/>
    <w:basedOn w:val="Normal"/>
    <w:uiPriority w:val="98"/>
    <w:semiHidden/>
    <w:rsid w:val="004E3B90"/>
    <w:pPr>
      <w:numPr>
        <w:numId w:val="30"/>
      </w:numPr>
      <w:contextualSpacing/>
    </w:pPr>
  </w:style>
  <w:style w:type="paragraph" w:styleId="ListNumber2">
    <w:name w:val="List Number 2"/>
    <w:basedOn w:val="Normal"/>
    <w:uiPriority w:val="98"/>
    <w:semiHidden/>
    <w:rsid w:val="004E3B90"/>
    <w:pPr>
      <w:numPr>
        <w:numId w:val="31"/>
      </w:numPr>
      <w:contextualSpacing/>
    </w:pPr>
  </w:style>
  <w:style w:type="paragraph" w:styleId="ListNumber3">
    <w:name w:val="List Number 3"/>
    <w:basedOn w:val="Normal"/>
    <w:uiPriority w:val="98"/>
    <w:semiHidden/>
    <w:rsid w:val="004E3B90"/>
    <w:pPr>
      <w:numPr>
        <w:numId w:val="32"/>
      </w:numPr>
      <w:contextualSpacing/>
    </w:pPr>
  </w:style>
  <w:style w:type="paragraph" w:styleId="ListNumber4">
    <w:name w:val="List Number 4"/>
    <w:basedOn w:val="Normal"/>
    <w:uiPriority w:val="98"/>
    <w:semiHidden/>
    <w:rsid w:val="004E3B90"/>
    <w:pPr>
      <w:numPr>
        <w:numId w:val="33"/>
      </w:numPr>
      <w:contextualSpacing/>
    </w:pPr>
  </w:style>
  <w:style w:type="paragraph" w:styleId="ListNumber5">
    <w:name w:val="List Number 5"/>
    <w:basedOn w:val="Normal"/>
    <w:uiPriority w:val="98"/>
    <w:semiHidden/>
    <w:rsid w:val="004E3B90"/>
    <w:pPr>
      <w:numPr>
        <w:numId w:val="34"/>
      </w:numPr>
      <w:contextualSpacing/>
    </w:pPr>
  </w:style>
  <w:style w:type="paragraph" w:styleId="Macro">
    <w:name w:val="macro"/>
    <w:link w:val="MacroTextChar"/>
    <w:uiPriority w:val="98"/>
    <w:semiHidden/>
    <w:rsid w:val="004E3B9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E3B90"/>
    <w:rPr>
      <w:rFonts w:ascii="Consolas" w:hAnsi="Consolas" w:eastAsiaTheme="minorEastAsia" w:cs="Consolas"/>
      <w:sz w:val="20"/>
      <w:szCs w:val="20"/>
    </w:rPr>
  </w:style>
  <w:style w:type="table" w:styleId="MediumGrid1">
    <w:name w:val="Medium Grid 1"/>
    <w:basedOn w:val="TableNormal"/>
    <w:uiPriority w:val="67"/>
    <w:semiHidden/>
    <w:rsid w:val="004E3B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E3B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E3B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E3B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E3B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E3B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E3B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E3B9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E3B9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E3B9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E3B9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E3B9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E3B9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E3B9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E3B9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E3B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E3B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E3B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E3B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E3B9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E3B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E3B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E3B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E3B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E3B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E3B9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E3B90"/>
    <w:rPr>
      <w:rFonts w:ascii="Times New Roman" w:hAnsi="Times New Roman" w:cs="Times New Roman"/>
    </w:rPr>
  </w:style>
  <w:style w:type="paragraph" w:styleId="NormalIndent">
    <w:name w:val="Normal Indent"/>
    <w:basedOn w:val="Normal"/>
    <w:uiPriority w:val="98"/>
    <w:semiHidden/>
    <w:rsid w:val="004E3B90"/>
    <w:pPr>
      <w:ind w:left="720"/>
    </w:pPr>
  </w:style>
  <w:style w:type="table" w:customStyle="1" w:styleId="ECHRTableNoLines">
    <w:name w:val="ECHR_Table_No_Lines"/>
    <w:basedOn w:val="TableNormal"/>
    <w:uiPriority w:val="99"/>
    <w:rsid w:val="004E3B9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4E3B9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4E3B9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E3B90"/>
    <w:rPr>
      <w:rFonts w:ascii="Consolas" w:hAnsi="Consolas" w:cs="Consolas"/>
      <w:sz w:val="21"/>
      <w:szCs w:val="21"/>
    </w:rPr>
  </w:style>
  <w:style w:type="character" w:customStyle="1" w:styleId="PlainTextChar">
    <w:name w:val="Plain Text Char"/>
    <w:basedOn w:val="DefaultParagraphFont"/>
    <w:link w:val="PlainText"/>
    <w:uiPriority w:val="98"/>
    <w:semiHidden/>
    <w:rsid w:val="004E3B90"/>
    <w:rPr>
      <w:rFonts w:ascii="Consolas" w:hAnsi="Consolas" w:cs="Consolas"/>
      <w:sz w:val="21"/>
      <w:szCs w:val="21"/>
      <w:lang w:val="en-GB"/>
    </w:rPr>
  </w:style>
  <w:style w:type="paragraph" w:styleId="Salutation">
    <w:name w:val="Salutation"/>
    <w:basedOn w:val="Normal"/>
    <w:next w:val="Normal"/>
    <w:link w:val="SalutationChar"/>
    <w:uiPriority w:val="98"/>
    <w:semiHidden/>
    <w:rsid w:val="004E3B90"/>
  </w:style>
  <w:style w:type="character" w:customStyle="1" w:styleId="SalutationChar">
    <w:name w:val="Salutation Char"/>
    <w:basedOn w:val="DefaultParagraphFont"/>
    <w:link w:val="Salutation"/>
    <w:uiPriority w:val="98"/>
    <w:semiHidden/>
    <w:rsid w:val="004E3B90"/>
    <w:rPr>
      <w:sz w:val="24"/>
      <w:szCs w:val="24"/>
      <w:lang w:val="en-GB"/>
    </w:rPr>
  </w:style>
  <w:style w:type="paragraph" w:styleId="Signature0">
    <w:name w:val="Signature"/>
    <w:basedOn w:val="Normal"/>
    <w:link w:val="SignatureChar"/>
    <w:uiPriority w:val="98"/>
    <w:semiHidden/>
    <w:rsid w:val="004E3B90"/>
    <w:pPr>
      <w:ind w:left="4252"/>
    </w:pPr>
  </w:style>
  <w:style w:type="character" w:customStyle="1" w:styleId="SignatureChar">
    <w:name w:val="Signature Char"/>
    <w:basedOn w:val="DefaultParagraphFont"/>
    <w:link w:val="Signature0"/>
    <w:uiPriority w:val="98"/>
    <w:semiHidden/>
    <w:rsid w:val="004E3B90"/>
    <w:rPr>
      <w:sz w:val="24"/>
      <w:szCs w:val="24"/>
      <w:lang w:val="en-GB"/>
    </w:rPr>
  </w:style>
  <w:style w:type="table" w:styleId="Table3Deffects1">
    <w:name w:val="Table 3D effects 1"/>
    <w:basedOn w:val="TableNormal"/>
    <w:uiPriority w:val="99"/>
    <w:semiHidden/>
    <w:unhideWhenUsed/>
    <w:rsid w:val="004E3B9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E3B9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E3B9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E3B9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E3B9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E3B9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E3B9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E3B9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E3B9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E3B9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E3B9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E3B9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E3B9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E3B9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E3B9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E3B9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E3B9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4E3B9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E3B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E3B9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E3B9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E3B9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E3B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E3B9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E3B9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E3B9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E3B9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E3B9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E3B9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E3B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E3B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E3B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E3B9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E3B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E3B90"/>
    <w:pPr>
      <w:ind w:left="240" w:hanging="240"/>
    </w:pPr>
  </w:style>
  <w:style w:type="paragraph" w:styleId="TableofFigures">
    <w:name w:val="table of figures"/>
    <w:basedOn w:val="Normal"/>
    <w:next w:val="Normal"/>
    <w:uiPriority w:val="98"/>
    <w:semiHidden/>
    <w:rsid w:val="004E3B90"/>
  </w:style>
  <w:style w:type="table" w:styleId="TableProfessional">
    <w:name w:val="Table Professional"/>
    <w:basedOn w:val="TableNormal"/>
    <w:uiPriority w:val="99"/>
    <w:semiHidden/>
    <w:unhideWhenUsed/>
    <w:rsid w:val="004E3B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E3B9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E3B9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E3B9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E3B9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E3B9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E3B9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E3B9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E3B9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E3B9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4E3B9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4E3B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E3B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E3B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E3B9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E3B90"/>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4E3B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E3B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E3B90"/>
    <w:pPr>
      <w:spacing w:after="100"/>
      <w:ind w:left="1680"/>
    </w:pPr>
  </w:style>
  <w:style w:type="paragraph" w:styleId="TOC9">
    <w:name w:val="toc 9"/>
    <w:basedOn w:val="Normal"/>
    <w:next w:val="Normal"/>
    <w:autoRedefine/>
    <w:uiPriority w:val="98"/>
    <w:semiHidden/>
    <w:rsid w:val="004E3B90"/>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4E3B90"/>
    <w:pPr>
      <w:tabs>
        <w:tab w:val="center" w:pos="3686"/>
        <w:tab w:val="right" w:pos="7371"/>
      </w:tabs>
    </w:pPr>
  </w:style>
  <w:style w:type="character" w:customStyle="1" w:styleId="FooterChar">
    <w:name w:val="Footer Char"/>
    <w:basedOn w:val="DefaultParagraphFont"/>
    <w:link w:val="Footer1"/>
    <w:uiPriority w:val="98"/>
    <w:semiHidden/>
    <w:rsid w:val="004E3B90"/>
    <w:rPr>
      <w:sz w:val="24"/>
      <w:szCs w:val="24"/>
      <w:lang w:val="en-GB"/>
    </w:rPr>
  </w:style>
  <w:style w:type="paragraph" w:customStyle="1" w:styleId="ECHRFooterLine">
    <w:name w:val="ECHR_Footer_Line"/>
    <w:aliases w:val="_Footer_Line"/>
    <w:basedOn w:val="Normal"/>
    <w:next w:val="Normal"/>
    <w:uiPriority w:val="30"/>
    <w:semiHidden/>
    <w:rsid w:val="004E3B90"/>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4E3B9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4E3B90"/>
    <w:pPr>
      <w:ind w:firstLine="284"/>
    </w:pPr>
    <w:rPr>
      <w:b/>
    </w:rPr>
  </w:style>
  <w:style w:type="paragraph" w:styleId="NoteHeading">
    <w:name w:val="Note Heading"/>
    <w:basedOn w:val="Normal"/>
    <w:next w:val="Normal"/>
    <w:link w:val="NoteHeadingChar"/>
    <w:uiPriority w:val="98"/>
    <w:semiHidden/>
    <w:rsid w:val="004E3B90"/>
  </w:style>
  <w:style w:type="character" w:customStyle="1" w:styleId="NoteHeadingChar">
    <w:name w:val="Note Heading Char"/>
    <w:basedOn w:val="DefaultParagraphFont"/>
    <w:link w:val="NoteHeading"/>
    <w:uiPriority w:val="98"/>
    <w:semiHidden/>
    <w:rsid w:val="004E3B90"/>
    <w:rPr>
      <w:sz w:val="24"/>
      <w:szCs w:val="24"/>
      <w:lang w:val="en-GB"/>
    </w:rPr>
  </w:style>
  <w:style w:type="paragraph" w:customStyle="1" w:styleId="ECHRHeaderLandscape">
    <w:name w:val="ECHR_Header_Landscape"/>
    <w:aliases w:val="_Header_Landscape"/>
    <w:basedOn w:val="JuHeader"/>
    <w:uiPriority w:val="29"/>
    <w:semiHidden/>
    <w:rsid w:val="004E3B9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E3B90"/>
    <w:pPr>
      <w:numPr>
        <w:numId w:val="41"/>
      </w:numPr>
      <w:spacing w:before="60" w:after="60"/>
    </w:pPr>
  </w:style>
  <w:style w:type="paragraph" w:customStyle="1" w:styleId="ECHRBullet2">
    <w:name w:val="ECHR_Bullet_2"/>
    <w:aliases w:val="_Bul_2"/>
    <w:basedOn w:val="ECHRBullet1"/>
    <w:uiPriority w:val="23"/>
    <w:semiHidden/>
    <w:rsid w:val="004E3B90"/>
    <w:pPr>
      <w:numPr>
        <w:ilvl w:val="1"/>
      </w:numPr>
    </w:pPr>
  </w:style>
  <w:style w:type="paragraph" w:customStyle="1" w:styleId="ECHRBullet3">
    <w:name w:val="ECHR_Bullet_3"/>
    <w:aliases w:val="_Bul_3"/>
    <w:basedOn w:val="ECHRBullet2"/>
    <w:uiPriority w:val="23"/>
    <w:semiHidden/>
    <w:rsid w:val="004E3B90"/>
    <w:pPr>
      <w:numPr>
        <w:ilvl w:val="2"/>
      </w:numPr>
    </w:pPr>
  </w:style>
  <w:style w:type="paragraph" w:customStyle="1" w:styleId="ECHRBullet4">
    <w:name w:val="ECHR_Bullet_4"/>
    <w:aliases w:val="_Bul_4"/>
    <w:basedOn w:val="ECHRBullet3"/>
    <w:uiPriority w:val="23"/>
    <w:semiHidden/>
    <w:rsid w:val="004E3B90"/>
    <w:pPr>
      <w:numPr>
        <w:ilvl w:val="3"/>
      </w:numPr>
    </w:pPr>
  </w:style>
  <w:style w:type="paragraph" w:customStyle="1" w:styleId="ECHRConfidential">
    <w:name w:val="ECHR_Confidential"/>
    <w:aliases w:val="_Confidential"/>
    <w:basedOn w:val="Normal"/>
    <w:next w:val="Normal"/>
    <w:uiPriority w:val="42"/>
    <w:semiHidden/>
    <w:qFormat/>
    <w:rsid w:val="004E3B90"/>
    <w:pPr>
      <w:jc w:val="right"/>
    </w:pPr>
    <w:rPr>
      <w:color w:val="C00000"/>
      <w:sz w:val="20"/>
    </w:rPr>
  </w:style>
  <w:style w:type="paragraph" w:customStyle="1" w:styleId="ECHRDecisionBody">
    <w:name w:val="ECHR_Decision_Body"/>
    <w:aliases w:val="_Decision_Body"/>
    <w:basedOn w:val="NormalJustified"/>
    <w:uiPriority w:val="54"/>
    <w:semiHidden/>
    <w:rsid w:val="004E3B9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E3B9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E3B9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E3B9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E3B90"/>
    <w:pPr>
      <w:jc w:val="right"/>
    </w:pPr>
    <w:rPr>
      <w:sz w:val="20"/>
    </w:rPr>
  </w:style>
  <w:style w:type="paragraph" w:customStyle="1" w:styleId="ECHRHeaderRefIt">
    <w:name w:val="ECHR_Header_Ref_It"/>
    <w:aliases w:val="_Ref_Ital"/>
    <w:basedOn w:val="Normal"/>
    <w:next w:val="ECHRHeaderDate"/>
    <w:uiPriority w:val="43"/>
    <w:semiHidden/>
    <w:qFormat/>
    <w:rsid w:val="004E3B90"/>
    <w:pPr>
      <w:jc w:val="right"/>
    </w:pPr>
    <w:rPr>
      <w:i/>
      <w:sz w:val="20"/>
    </w:rPr>
  </w:style>
  <w:style w:type="paragraph" w:customStyle="1" w:styleId="ECHRHeading9">
    <w:name w:val="ECHR_Heading_9"/>
    <w:aliases w:val="_Head_9"/>
    <w:basedOn w:val="Heading9"/>
    <w:uiPriority w:val="17"/>
    <w:semiHidden/>
    <w:rsid w:val="004E3B90"/>
    <w:pPr>
      <w:keepNext/>
      <w:keepLines/>
      <w:numPr>
        <w:ilvl w:val="8"/>
        <w:numId w:val="5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E3B9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E3B90"/>
    <w:pPr>
      <w:numPr>
        <w:numId w:val="45"/>
      </w:numPr>
      <w:spacing w:before="60" w:after="60"/>
    </w:pPr>
  </w:style>
  <w:style w:type="paragraph" w:customStyle="1" w:styleId="ECHRNumberedList2">
    <w:name w:val="ECHR_Numbered_List_2"/>
    <w:aliases w:val="_Num_2"/>
    <w:basedOn w:val="ECHRNumberedList1"/>
    <w:uiPriority w:val="23"/>
    <w:semiHidden/>
    <w:rsid w:val="004E3B90"/>
    <w:pPr>
      <w:numPr>
        <w:ilvl w:val="1"/>
      </w:numPr>
    </w:pPr>
  </w:style>
  <w:style w:type="paragraph" w:customStyle="1" w:styleId="ECHRNumberedList3">
    <w:name w:val="ECHR_Numbered_List_3"/>
    <w:aliases w:val="_Num_3"/>
    <w:basedOn w:val="ECHRNumberedList2"/>
    <w:uiPriority w:val="23"/>
    <w:semiHidden/>
    <w:rsid w:val="004E3B90"/>
    <w:pPr>
      <w:numPr>
        <w:ilvl w:val="2"/>
      </w:numPr>
    </w:pPr>
  </w:style>
  <w:style w:type="paragraph" w:customStyle="1" w:styleId="ECHRParaHanging">
    <w:name w:val="ECHR_Para_Hanging"/>
    <w:aliases w:val="_Hanging"/>
    <w:basedOn w:val="NormalJustified"/>
    <w:uiPriority w:val="8"/>
    <w:semiHidden/>
    <w:qFormat/>
    <w:rsid w:val="004E3B90"/>
    <w:pPr>
      <w:ind w:left="567" w:hanging="567"/>
    </w:pPr>
  </w:style>
  <w:style w:type="paragraph" w:customStyle="1" w:styleId="ECHRParaIndent">
    <w:name w:val="ECHR_Para_Indent"/>
    <w:aliases w:val="_Indent"/>
    <w:basedOn w:val="NormalJustified"/>
    <w:uiPriority w:val="7"/>
    <w:semiHidden/>
    <w:qFormat/>
    <w:rsid w:val="004E3B90"/>
    <w:pPr>
      <w:spacing w:before="120" w:after="120"/>
      <w:ind w:left="284"/>
    </w:pPr>
  </w:style>
  <w:style w:type="character" w:customStyle="1" w:styleId="ECHRRed">
    <w:name w:val="ECHR_Red"/>
    <w:aliases w:val="_Red"/>
    <w:basedOn w:val="DefaultParagraphFont"/>
    <w:uiPriority w:val="15"/>
    <w:semiHidden/>
    <w:qFormat/>
    <w:rsid w:val="004E3B90"/>
    <w:rPr>
      <w:color w:val="C00000" w:themeColor="accent2"/>
    </w:rPr>
  </w:style>
  <w:style w:type="paragraph" w:customStyle="1" w:styleId="DecList">
    <w:name w:val="Dec_List"/>
    <w:aliases w:val="_List"/>
    <w:basedOn w:val="JuList"/>
    <w:uiPriority w:val="22"/>
    <w:rsid w:val="004E3B90"/>
    <w:pPr>
      <w:numPr>
        <w:numId w:val="0"/>
      </w:numPr>
      <w:ind w:left="284"/>
    </w:pPr>
  </w:style>
  <w:style w:type="table" w:customStyle="1" w:styleId="ECHRTable">
    <w:name w:val="ECHR_Table"/>
    <w:basedOn w:val="TableNormal"/>
    <w:rsid w:val="004E3B9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4E3B9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E3B9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E3B9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E3B9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E3B9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E3B9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E3B9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E3B9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E3B90"/>
    <w:pPr>
      <w:outlineLvl w:val="0"/>
    </w:pPr>
  </w:style>
  <w:style w:type="paragraph" w:customStyle="1" w:styleId="ECHRTitleTOC1">
    <w:name w:val="ECHR_Title_TOC_1"/>
    <w:aliases w:val="_Title_L_TOC"/>
    <w:basedOn w:val="ECHRTitle1"/>
    <w:next w:val="Normal"/>
    <w:uiPriority w:val="27"/>
    <w:semiHidden/>
    <w:qFormat/>
    <w:rsid w:val="004E3B90"/>
    <w:pPr>
      <w:outlineLvl w:val="0"/>
    </w:pPr>
  </w:style>
  <w:style w:type="table" w:customStyle="1" w:styleId="LtrTableAddress">
    <w:name w:val="Ltr_Table_Address"/>
    <w:aliases w:val="ECHR_Ltr_Table_Address"/>
    <w:basedOn w:val="TableNormal"/>
    <w:uiPriority w:val="99"/>
    <w:rsid w:val="004E3B90"/>
    <w:rPr>
      <w:sz w:val="24"/>
      <w:szCs w:val="24"/>
    </w:rPr>
    <w:tblPr>
      <w:tblInd w:w="5103" w:type="dxa"/>
    </w:tblPr>
  </w:style>
  <w:style w:type="table" w:customStyle="1" w:styleId="PCFTableStyle">
    <w:name w:val="PCF_Table_Style"/>
    <w:aliases w:val="ECHR_PCF_Table_Style"/>
    <w:basedOn w:val="TableNormal"/>
    <w:uiPriority w:val="99"/>
    <w:rsid w:val="004E3B9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4E3B9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E3B9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4E3B90"/>
    <w:rPr>
      <w:color w:val="FFFFFF"/>
    </w:rPr>
  </w:style>
  <w:style w:type="paragraph" w:customStyle="1" w:styleId="ECHRSpacer">
    <w:name w:val="ECHR_Spacer"/>
    <w:aliases w:val="_Spacer"/>
    <w:basedOn w:val="Normal"/>
    <w:uiPriority w:val="45"/>
    <w:semiHidden/>
    <w:rsid w:val="004E3B90"/>
    <w:rPr>
      <w:sz w:val="4"/>
    </w:rPr>
  </w:style>
  <w:style w:type="table" w:customStyle="1" w:styleId="ECHRTableGrey">
    <w:name w:val="ECHR_Table_Grey"/>
    <w:basedOn w:val="TableNormal"/>
    <w:uiPriority w:val="99"/>
    <w:rsid w:val="004E3B9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4E3B9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4E3B90"/>
    <w:rPr>
      <w:color w:val="605E5C"/>
      <w:shd w:val="clear" w:color="auto" w:fill="E1DFDD"/>
    </w:rPr>
  </w:style>
  <w:style w:type="character" w:customStyle="1" w:styleId="JuParaChar">
    <w:name w:val="Ju_Para Char"/>
    <w:aliases w:val="_Para Char"/>
    <w:link w:val="JuPara"/>
    <w:uiPriority w:val="4"/>
    <w:rsid w:val="00C063A6"/>
    <w:rPr>
      <w:sz w:val="24"/>
      <w:szCs w:val="24"/>
      <w:lang w:val="en-GB"/>
    </w:rPr>
  </w:style>
  <w:style w:type="table" w:styleId="GridTable1Light">
    <w:name w:val="Grid Table 1 Light"/>
    <w:basedOn w:val="TableNormal"/>
    <w:uiPriority w:val="46"/>
    <w:semiHidden/>
    <w:rsid w:val="004E3B9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E3B9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E3B9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E3B9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E3B9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E3B9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E3B9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E3B9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E3B9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E3B9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E3B9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E3B9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E3B9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E3B9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E3B9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E3B9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E3B9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E3B9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E3B9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E3B9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E3B9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E3B9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E3B9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E3B9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E3B9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E3B9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E3B9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E3B9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E3B9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E3B9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E3B9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E3B9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E3B9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E3B9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E3B9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E3B9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E3B9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E3B9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E3B9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E3B9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E3B9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E3B9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E3B9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E3B90"/>
    <w:rPr>
      <w:color w:val="2B579A"/>
      <w:shd w:val="clear" w:color="auto" w:fill="E1DFDD"/>
    </w:rPr>
  </w:style>
  <w:style w:type="table" w:styleId="ListTable1Light">
    <w:name w:val="List Table 1 Light"/>
    <w:basedOn w:val="TableNormal"/>
    <w:uiPriority w:val="46"/>
    <w:semiHidden/>
    <w:rsid w:val="004E3B9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E3B9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E3B9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E3B9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E3B9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E3B9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E3B9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E3B9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E3B9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E3B9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E3B9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E3B9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E3B9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E3B9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E3B9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E3B9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E3B9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E3B9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E3B9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E3B9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E3B9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E3B9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E3B9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E3B9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E3B9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E3B9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E3B9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E3B9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E3B9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E3B9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E3B9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E3B9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E3B9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E3B9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E3B9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E3B9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E3B9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E3B9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E3B9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E3B9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E3B9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E3B9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E3B9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E3B9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E3B9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E3B9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E3B9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E3B9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E3B9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E3B90"/>
    <w:rPr>
      <w:color w:val="2B579A"/>
      <w:shd w:val="clear" w:color="auto" w:fill="E1DFDD"/>
    </w:rPr>
  </w:style>
  <w:style w:type="table" w:styleId="PlainTable1">
    <w:name w:val="Plain Table 1"/>
    <w:basedOn w:val="TableNormal"/>
    <w:uiPriority w:val="41"/>
    <w:semiHidden/>
    <w:rsid w:val="004E3B9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E3B9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E3B9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E3B9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E3B9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E3B90"/>
    <w:rPr>
      <w:u w:val="dotted"/>
    </w:rPr>
  </w:style>
  <w:style w:type="character" w:styleId="SmartLink">
    <w:name w:val="Smart Link"/>
    <w:basedOn w:val="DefaultParagraphFont"/>
    <w:uiPriority w:val="99"/>
    <w:semiHidden/>
    <w:unhideWhenUsed/>
    <w:rsid w:val="004E3B90"/>
    <w:rPr>
      <w:color w:val="0000FF"/>
      <w:u w:val="single"/>
      <w:shd w:val="clear" w:color="auto" w:fill="F3F2F1"/>
    </w:rPr>
  </w:style>
  <w:style w:type="table" w:styleId="GridTableLight">
    <w:name w:val="Grid Table Light"/>
    <w:basedOn w:val="TableNormal"/>
    <w:uiPriority w:val="40"/>
    <w:semiHidden/>
    <w:rsid w:val="004E3B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1798</Words>
  <Characters>10441</Characters>
  <Application>Microsoft Office Word</Application>
  <DocSecurity>0</DocSecurity>
  <Lines>197</Lines>
  <Paragraphs>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2025-07-07T15:21:00Z</dcterms:created>
  <dcterms:modified xsi:type="dcterms:W3CDTF">2025-07-11T08:01:00Z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1378384</vt:lpwstr>
  </property>
  <property fmtid="{D5CDD505-2E9C-101B-9397-08002B2CF9AE}" pid="3" name="cstLanguage">
    <vt:i4>2057</vt:i4>
  </property>
  <property fmtid="{D5CDD505-2E9C-101B-9397-08002B2CF9AE}" pid="4" name="RegisteredNo">
    <vt:lpwstr>20348/18</vt:lpwstr>
  </property>
</Properties>
</file>