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FC1073" w:rsidR="0098410D" w:rsidP="001D72B2" w14:paraId="2DF31918" w14:textId="099F14A7">
      <w:pPr>
        <w:pStyle w:val="DecHTitle"/>
        <w:keepNext w:val="0"/>
        <w:keepLines w:val="0"/>
      </w:pPr>
      <w:r w:rsidRPr="00FC1073">
        <w:t>FOURTH SECTION</w:t>
      </w:r>
    </w:p>
    <w:p w:rsidRPr="00FC1073" w:rsidR="008E6217" w:rsidP="008F690D" w14:paraId="62166C35" w14:textId="357ED24C">
      <w:pPr>
        <w:pStyle w:val="JuTitle"/>
        <w:keepNext w:val="0"/>
        <w:keepLines w:val="0"/>
        <w:spacing w:before="600"/>
      </w:pPr>
      <w:r w:rsidRPr="00FC1073">
        <w:rPr>
          <w:color w:val="000000" w:themeColor="text1"/>
        </w:rPr>
        <w:t xml:space="preserve">CASE OF </w:t>
      </w:r>
      <w:r w:rsidRPr="00FC1073" w:rsidR="00A8059F">
        <w:t>BRADSHAW AND OTHERS v. THE UNITED KINGDOM</w:t>
      </w:r>
    </w:p>
    <w:p w:rsidRPr="00FC1073" w:rsidR="00D74888" w:rsidP="001D72B2" w14:paraId="2FE5950F" w14:textId="54066FEC">
      <w:pPr>
        <w:pStyle w:val="ECHRCoverTitle4"/>
        <w:keepNext w:val="0"/>
        <w:keepLines w:val="0"/>
      </w:pPr>
      <w:r w:rsidRPr="00FC1073">
        <w:t>(</w:t>
      </w:r>
      <w:r w:rsidRPr="00FC1073" w:rsidR="00A8059F">
        <w:t xml:space="preserve">Application </w:t>
      </w:r>
      <w:r w:rsidRPr="00E06DFC" w:rsidR="00A8059F">
        <w:t>no.</w:t>
      </w:r>
      <w:r w:rsidRPr="00E06DFC">
        <w:t xml:space="preserve"> </w:t>
      </w:r>
      <w:r w:rsidRPr="00E06DFC" w:rsidR="00A8059F">
        <w:t>15653/22</w:t>
      </w:r>
      <w:r w:rsidRPr="00E06DFC">
        <w:t>)</w:t>
      </w:r>
    </w:p>
    <w:p w:rsidRPr="00FC1073" w:rsidR="0098410D" w:rsidP="001D72B2" w14:paraId="15943F63" w14:textId="77777777">
      <w:pPr>
        <w:pStyle w:val="DecHCase"/>
        <w:keepNext w:val="0"/>
        <w:keepLines w:val="0"/>
      </w:pPr>
    </w:p>
    <w:p w:rsidRPr="00E9157B" w:rsidR="0098410D" w:rsidP="008F690D" w14:paraId="1A337DF2" w14:textId="1AEA1089">
      <w:pPr>
        <w:pStyle w:val="DecHCase"/>
        <w:keepNext w:val="0"/>
        <w:keepLines w:val="0"/>
        <w:spacing w:after="400"/>
      </w:pPr>
      <w:r w:rsidRPr="00E9157B">
        <w:t>JUDGMENT</w:t>
      </w:r>
    </w:p>
    <w:p w:rsidRPr="00E9157B" w:rsidR="00726D00" w:rsidP="00E9157B" w14:paraId="7F77FBD5" w14:textId="5645F3B8">
      <w:pPr>
        <w:pBdr>
          <w:top w:val="single" w:color="auto" w:sz="4" w:space="1"/>
          <w:left w:val="single" w:color="auto" w:sz="4" w:space="4"/>
          <w:bottom w:val="single" w:color="auto" w:sz="4" w:space="0"/>
          <w:right w:val="single" w:color="auto" w:sz="4" w:space="4"/>
        </w:pBdr>
        <w:jc w:val="both"/>
        <w:rPr>
          <w:sz w:val="20"/>
          <w:szCs w:val="20"/>
        </w:rPr>
      </w:pPr>
      <w:r w:rsidRPr="00E9157B">
        <w:rPr>
          <w:sz w:val="20"/>
          <w:szCs w:val="20"/>
        </w:rPr>
        <w:t>Art 3 P1 • Free expression of opinion of the people • Choice of legislature • Respondent State</w:t>
      </w:r>
      <w:r w:rsidRPr="00E9157B" w:rsidR="001D72B2">
        <w:rPr>
          <w:sz w:val="20"/>
          <w:szCs w:val="20"/>
        </w:rPr>
        <w:t>’</w:t>
      </w:r>
      <w:r w:rsidRPr="00E9157B">
        <w:rPr>
          <w:sz w:val="20"/>
          <w:szCs w:val="20"/>
        </w:rPr>
        <w:t>s compliance with positive obligation to protect its electorate from hostile interference by Russia in democratic elections • Art 3 P1 might require State to adopt positive measures to protect integrity of its electoral processes in event of real risk that interference from hostile State would impair very essence of electors</w:t>
      </w:r>
      <w:r w:rsidRPr="00E9157B" w:rsidR="001D72B2">
        <w:rPr>
          <w:sz w:val="20"/>
          <w:szCs w:val="20"/>
        </w:rPr>
        <w:t>’</w:t>
      </w:r>
      <w:r w:rsidRPr="00E9157B">
        <w:rPr>
          <w:sz w:val="20"/>
          <w:szCs w:val="20"/>
        </w:rPr>
        <w:t xml:space="preserve"> rights and deprive them of their effectiveness • No free</w:t>
      </w:r>
      <w:r w:rsidRPr="00E9157B" w:rsidR="00B53584">
        <w:rPr>
          <w:sz w:val="20"/>
          <w:szCs w:val="20"/>
        </w:rPr>
        <w:t>-</w:t>
      </w:r>
      <w:r w:rsidRPr="00E9157B">
        <w:rPr>
          <w:sz w:val="20"/>
          <w:szCs w:val="20"/>
        </w:rPr>
        <w:t>standing obligation to investigate arguable claims of breach of individual rights under Art 3 P1 • Failure to investigate constituting part of Art 3 P1 positive obligation and antecedent to that of putting in place or updating an effective legal and regulatory framework • Sufficient credible evidence of significant and ongoing threat by Russia to United Kingdom</w:t>
      </w:r>
      <w:r w:rsidRPr="00E9157B" w:rsidR="001D72B2">
        <w:rPr>
          <w:sz w:val="20"/>
          <w:szCs w:val="20"/>
        </w:rPr>
        <w:t>’</w:t>
      </w:r>
      <w:r w:rsidRPr="00E9157B">
        <w:rPr>
          <w:sz w:val="20"/>
          <w:szCs w:val="20"/>
        </w:rPr>
        <w:t>s democratic processes • Despite difficulties in accurately assessing impact of disinformation campaigns and “influence campaigns”, member States not to remain passive when faced with evidence of sufficiently established and imminent threat to democracy • Lack of clear consensus as to specific actions to be taken to counter such threats • Respondent State</w:t>
      </w:r>
      <w:r w:rsidRPr="00E9157B" w:rsidR="001D72B2">
        <w:rPr>
          <w:sz w:val="20"/>
          <w:szCs w:val="20"/>
        </w:rPr>
        <w:t>’</w:t>
      </w:r>
      <w:r w:rsidRPr="00E9157B">
        <w:rPr>
          <w:sz w:val="20"/>
          <w:szCs w:val="20"/>
        </w:rPr>
        <w:t>s response to threat of Russian election interference within its wide margin of appreciation • Adoption of legislative and other measures to counter threats by hostile State actors • Possible need for further measures kept under review • Very essence of applicants</w:t>
      </w:r>
      <w:r w:rsidRPr="00E9157B" w:rsidR="001D72B2">
        <w:rPr>
          <w:sz w:val="20"/>
          <w:szCs w:val="20"/>
        </w:rPr>
        <w:t>’</w:t>
      </w:r>
      <w:r w:rsidRPr="00E9157B">
        <w:rPr>
          <w:sz w:val="20"/>
          <w:szCs w:val="20"/>
        </w:rPr>
        <w:t xml:space="preserve"> right not impaired</w:t>
      </w:r>
    </w:p>
    <w:p w:rsidRPr="00E9157B" w:rsidR="00726D00" w:rsidP="00E9157B" w14:paraId="0170A2F0" w14:textId="77777777">
      <w:pPr>
        <w:pBdr>
          <w:top w:val="single" w:color="auto" w:sz="4" w:space="1"/>
          <w:left w:val="single" w:color="auto" w:sz="4" w:space="4"/>
          <w:bottom w:val="single" w:color="auto" w:sz="4" w:space="0"/>
          <w:right w:val="single" w:color="auto" w:sz="4" w:space="4"/>
        </w:pBdr>
        <w:jc w:val="center"/>
        <w:rPr>
          <w:sz w:val="16"/>
          <w:szCs w:val="16"/>
        </w:rPr>
      </w:pPr>
    </w:p>
    <w:p w:rsidRPr="00FC1073" w:rsidR="00726D00" w:rsidP="00E9157B" w14:paraId="5C3BBDE1" w14:textId="65916EEF">
      <w:pPr>
        <w:pBdr>
          <w:top w:val="single" w:color="auto" w:sz="4" w:space="1"/>
          <w:left w:val="single" w:color="auto" w:sz="4" w:space="4"/>
          <w:bottom w:val="single" w:color="auto" w:sz="4" w:space="0"/>
          <w:right w:val="single" w:color="auto" w:sz="4" w:space="4"/>
        </w:pBdr>
        <w:jc w:val="center"/>
        <w:rPr>
          <w:sz w:val="16"/>
          <w:szCs w:val="16"/>
        </w:rPr>
      </w:pPr>
      <w:r w:rsidRPr="00E9157B">
        <w:rPr>
          <w:sz w:val="16"/>
          <w:szCs w:val="16"/>
        </w:rPr>
        <w:t>Prepared by the Registry. Does not bind the Court.</w:t>
      </w:r>
    </w:p>
    <w:p w:rsidRPr="00FC1073" w:rsidR="00726D00" w:rsidP="008F690D" w14:paraId="1235EAC3" w14:textId="77777777">
      <w:pPr>
        <w:pStyle w:val="DecHCase"/>
        <w:keepNext w:val="0"/>
        <w:keepLines w:val="0"/>
        <w:spacing w:after="60"/>
      </w:pPr>
    </w:p>
    <w:p w:rsidRPr="00FC1073" w:rsidR="0098410D" w:rsidP="008F690D" w14:paraId="447362B6" w14:textId="39050FA4">
      <w:pPr>
        <w:pStyle w:val="DecHCase"/>
        <w:keepNext w:val="0"/>
        <w:keepLines w:val="0"/>
        <w:spacing w:after="200"/>
      </w:pPr>
      <w:r w:rsidRPr="00EF7F50">
        <w:t>STRASBOURG</w:t>
      </w:r>
    </w:p>
    <w:p w:rsidRPr="00FC1073" w:rsidR="0098410D" w:rsidP="008F690D" w14:paraId="199EC9FE" w14:textId="22207EFC">
      <w:pPr>
        <w:pStyle w:val="DecHCase"/>
        <w:keepNext w:val="0"/>
        <w:keepLines w:val="0"/>
        <w:spacing w:after="360"/>
      </w:pPr>
      <w:r w:rsidRPr="00FC1073">
        <w:rPr>
          <w:rFonts w:ascii="Times New Roman" w:hAnsi="Times New Roman" w:cs="Times New Roman"/>
        </w:rPr>
        <w:t>22 July 2025</w:t>
      </w:r>
    </w:p>
    <w:p w:rsidRPr="00FC1073" w:rsidR="00407BBB" w:rsidP="00407BBB" w14:paraId="75FA5424" w14:textId="6E225F8E">
      <w:pPr>
        <w:jc w:val="center"/>
        <w:rPr>
          <w:b/>
          <w:bCs/>
          <w:color w:val="FF0000"/>
          <w:u w:val="single"/>
        </w:rPr>
      </w:pPr>
      <w:bookmarkStart w:name="_Hlk80951237" w:id="0"/>
      <w:bookmarkStart w:name="_Hlk195279911" w:id="1"/>
      <w:bookmarkStart w:name="_Hlk59706280" w:id="2"/>
      <w:bookmarkStart w:name="_Hlk83399758" w:id="3"/>
      <w:r w:rsidRPr="00FC1073">
        <w:rPr>
          <w:b/>
          <w:bCs/>
          <w:color w:val="FF0000"/>
          <w:u w:val="single"/>
        </w:rPr>
        <w:t>FINAL</w:t>
      </w:r>
    </w:p>
    <w:p w:rsidRPr="00FC1073" w:rsidR="00C03E8D" w:rsidP="00407BBB" w14:paraId="2BE63E71" w14:textId="77777777">
      <w:pPr>
        <w:jc w:val="center"/>
        <w:rPr>
          <w:color w:val="FF0000"/>
          <w:sz w:val="20"/>
          <w:szCs w:val="20"/>
        </w:rPr>
      </w:pPr>
    </w:p>
    <w:bookmarkEnd w:id="0"/>
    <w:p w:rsidRPr="00FC1073" w:rsidR="00407BBB" w:rsidP="00407BBB" w14:paraId="1F7AD547" w14:textId="7D008017">
      <w:pPr>
        <w:jc w:val="center"/>
        <w:rPr>
          <w:color w:val="FF0000"/>
        </w:rPr>
      </w:pPr>
      <w:r w:rsidRPr="00FC1073">
        <w:rPr>
          <w:color w:val="FF0000"/>
        </w:rPr>
        <w:t>08/12/2025</w:t>
      </w:r>
    </w:p>
    <w:p w:rsidRPr="00FC1073" w:rsidR="00C03E8D" w:rsidP="00407BBB" w14:paraId="77A1F7B5" w14:textId="77777777">
      <w:pPr>
        <w:jc w:val="center"/>
      </w:pPr>
    </w:p>
    <w:p w:rsidRPr="00FC1073" w:rsidR="00407BBB" w:rsidP="00407BBB" w14:paraId="4654C35C" w14:textId="77777777">
      <w:pPr>
        <w:jc w:val="center"/>
        <w:rPr>
          <w:i/>
          <w:iCs/>
          <w:sz w:val="22"/>
          <w:szCs w:val="22"/>
        </w:rPr>
      </w:pPr>
      <w:r w:rsidRPr="00E06DFC">
        <w:rPr>
          <w:i/>
          <w:iCs/>
          <w:sz w:val="22"/>
          <w:szCs w:val="22"/>
        </w:rPr>
        <w:t>This judgment will become final</w:t>
      </w:r>
      <w:r w:rsidRPr="00FC1073">
        <w:rPr>
          <w:i/>
          <w:iCs/>
          <w:sz w:val="22"/>
          <w:szCs w:val="22"/>
        </w:rPr>
        <w:t xml:space="preserve"> in the circumstances set out in Article 44 § 2 of the Convention. It may be subject to editorial revision</w:t>
      </w:r>
      <w:bookmarkEnd w:id="1"/>
      <w:r w:rsidRPr="00FC1073">
        <w:rPr>
          <w:i/>
          <w:iCs/>
          <w:sz w:val="22"/>
          <w:szCs w:val="22"/>
        </w:rPr>
        <w:t>.</w:t>
      </w:r>
      <w:bookmarkEnd w:id="2"/>
    </w:p>
    <w:bookmarkEnd w:id="3"/>
    <w:p w:rsidRPr="00FC1073" w:rsidR="002422B6" w:rsidP="001D72B2" w14:paraId="5865F3D6" w14:textId="1C86AF28">
      <w:pPr>
        <w:rPr>
          <w:i/>
          <w:sz w:val="22"/>
        </w:rPr>
      </w:pPr>
    </w:p>
    <w:p w:rsidRPr="00FC1073" w:rsidR="0098410D" w:rsidP="001D72B2" w14:paraId="5A4850DA"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06DFC" w:rsidR="0098410D" w:rsidP="001D72B2" w14:paraId="23529B8E" w14:textId="0697C62C">
      <w:pPr>
        <w:pStyle w:val="JuCase"/>
      </w:pPr>
      <w:r w:rsidRPr="00FC1073">
        <w:t xml:space="preserve">In </w:t>
      </w:r>
      <w:r w:rsidRPr="00E06DFC">
        <w:t xml:space="preserve">the case of </w:t>
      </w:r>
      <w:r w:rsidRPr="00E06DFC" w:rsidR="00A8059F">
        <w:t>Bradshaw and Others v. the United Kingdom</w:t>
      </w:r>
      <w:r w:rsidRPr="00E06DFC">
        <w:t>,</w:t>
      </w:r>
    </w:p>
    <w:p w:rsidRPr="00E06DFC" w:rsidR="009F4C8F" w:rsidP="001D72B2" w14:paraId="332660B1" w14:textId="5D125D49">
      <w:pPr>
        <w:pStyle w:val="JuPara"/>
      </w:pPr>
      <w:r w:rsidRPr="00E06DFC">
        <w:t>The European Court of Human Rights (</w:t>
      </w:r>
      <w:r w:rsidRPr="00E06DFC" w:rsidR="00A8059F">
        <w:t>Fourth Section</w:t>
      </w:r>
      <w:r w:rsidRPr="00E06DFC">
        <w:t xml:space="preserve">), sitting as a </w:t>
      </w:r>
      <w:r w:rsidRPr="00E06DFC" w:rsidR="00A8059F">
        <w:t>Chamber</w:t>
      </w:r>
      <w:r w:rsidRPr="00E06DFC">
        <w:t xml:space="preserve"> composed of:</w:t>
      </w:r>
    </w:p>
    <w:p w:rsidRPr="00E06DFC" w:rsidR="00A92625" w:rsidP="001D72B2" w14:paraId="6258326D" w14:textId="5648153C">
      <w:pPr>
        <w:pStyle w:val="JuJudges"/>
      </w:pPr>
      <w:r w:rsidRPr="00E06DFC">
        <w:tab/>
        <w:t>Lado Chanturia</w:t>
      </w:r>
      <w:r w:rsidRPr="00E06DFC">
        <w:rPr>
          <w:iCs/>
        </w:rPr>
        <w:t>,</w:t>
      </w:r>
      <w:r w:rsidRPr="00E06DFC">
        <w:rPr>
          <w:i/>
        </w:rPr>
        <w:t xml:space="preserve"> President</w:t>
      </w:r>
      <w:r w:rsidRPr="00E06DFC">
        <w:t>,</w:t>
      </w:r>
      <w:r w:rsidRPr="00E06DFC">
        <w:br/>
      </w:r>
      <w:r w:rsidRPr="00E06DFC">
        <w:tab/>
        <w:t>Jolien Schukking,</w:t>
      </w:r>
      <w:r w:rsidRPr="00E06DFC">
        <w:br/>
      </w:r>
      <w:r w:rsidRPr="00E06DFC">
        <w:tab/>
        <w:t>Faris Vehabović,</w:t>
      </w:r>
      <w:r w:rsidRPr="00E06DFC">
        <w:br/>
      </w:r>
      <w:r w:rsidRPr="00E06DFC">
        <w:tab/>
        <w:t>Tim Eicke,</w:t>
      </w:r>
      <w:r w:rsidRPr="00E06DFC">
        <w:br/>
      </w:r>
      <w:r w:rsidRPr="00E06DFC">
        <w:tab/>
        <w:t>Lorraine Schembri Orland,</w:t>
      </w:r>
      <w:r w:rsidRPr="00E06DFC">
        <w:br/>
      </w:r>
      <w:r w:rsidRPr="00E06DFC">
        <w:tab/>
        <w:t>Anne Louise Bormann,</w:t>
      </w:r>
      <w:r w:rsidRPr="00E06DFC">
        <w:br/>
      </w:r>
      <w:r w:rsidRPr="00E06DFC">
        <w:tab/>
        <w:t>András Jakab</w:t>
      </w:r>
      <w:r w:rsidRPr="00E06DFC">
        <w:rPr>
          <w:iCs/>
        </w:rPr>
        <w:t>,</w:t>
      </w:r>
      <w:r w:rsidRPr="00E06DFC">
        <w:rPr>
          <w:i/>
        </w:rPr>
        <w:t xml:space="preserve"> judges</w:t>
      </w:r>
      <w:r w:rsidRPr="00E06DFC">
        <w:t>,</w:t>
      </w:r>
      <w:r w:rsidRPr="00E06DFC" w:rsidR="009F4C8F">
        <w:br/>
        <w:t>and</w:t>
      </w:r>
      <w:r w:rsidRPr="00E06DFC" w:rsidR="005C2C62">
        <w:t xml:space="preserve"> </w:t>
      </w:r>
      <w:r w:rsidRPr="00E06DFC">
        <w:t>Simeon Petrovski</w:t>
      </w:r>
      <w:r w:rsidRPr="00E06DFC">
        <w:t xml:space="preserve">, </w:t>
      </w:r>
      <w:r w:rsidRPr="00E06DFC">
        <w:rPr>
          <w:i/>
          <w:iCs/>
        </w:rPr>
        <w:t>Deputy</w:t>
      </w:r>
      <w:r w:rsidRPr="00E9157B">
        <w:rPr>
          <w:i/>
          <w:iCs/>
        </w:rPr>
        <w:t xml:space="preserve"> </w:t>
      </w:r>
      <w:r w:rsidRPr="00E06DFC" w:rsidR="00E744E0">
        <w:rPr>
          <w:i/>
        </w:rPr>
        <w:t xml:space="preserve">Section </w:t>
      </w:r>
      <w:r w:rsidRPr="00E06DFC" w:rsidR="00E744E0">
        <w:rPr>
          <w:i/>
          <w:iCs/>
        </w:rPr>
        <w:t>Registrar</w:t>
      </w:r>
      <w:r w:rsidRPr="00E9157B" w:rsidR="008F2465">
        <w:rPr>
          <w:iCs/>
        </w:rPr>
        <w:t>,</w:t>
      </w:r>
    </w:p>
    <w:p w:rsidRPr="00E06DFC" w:rsidR="00A8059F" w:rsidP="001D72B2" w14:paraId="6C936E6A" w14:textId="77777777">
      <w:pPr>
        <w:pStyle w:val="JuPara"/>
      </w:pPr>
      <w:r w:rsidRPr="00E06DFC">
        <w:t>Having regard to:</w:t>
      </w:r>
    </w:p>
    <w:p w:rsidRPr="00FC1073" w:rsidR="00A8059F" w:rsidP="001D72B2" w14:paraId="6EFFCB25" w14:textId="54A3C537">
      <w:pPr>
        <w:pStyle w:val="JuPara"/>
      </w:pPr>
      <w:r w:rsidRPr="00E06DFC">
        <w:t>the application (no. 15653/22) against the United Kingdom of Great</w:t>
      </w:r>
      <w:r w:rsidRPr="00E06DFC" w:rsidR="001051E4">
        <w:t xml:space="preserve"> </w:t>
      </w:r>
      <w:r w:rsidRPr="00E06DFC">
        <w:t>Britain and Northern Ireland lodged with the Court under Article 34 of the Convention for the Protection of Human Rights and Fundamental Freedoms (“the Convention”) by three British nationals, Mr Ben Bradshaw, Ms Caroline Lucas and Mr Alyn Smith (“the applicants</w:t>
      </w:r>
      <w:r w:rsidRPr="00FC1073">
        <w:t>”), on 22 March 2022;</w:t>
      </w:r>
    </w:p>
    <w:p w:rsidRPr="00FC1073" w:rsidR="00A8059F" w:rsidP="001D72B2" w14:paraId="66214758" w14:textId="32BEC577">
      <w:pPr>
        <w:pStyle w:val="JuPara"/>
      </w:pPr>
      <w:r w:rsidRPr="00FC1073">
        <w:t>the decision to give notice to the United Kingdom Government (“the</w:t>
      </w:r>
      <w:r w:rsidR="00CA0551">
        <w:t xml:space="preserve"> </w:t>
      </w:r>
      <w:r w:rsidRPr="00FC1073">
        <w:t>Government”) of the complaints concerning Article 3 of Protocol No.</w:t>
      </w:r>
      <w:r w:rsidR="006413FF">
        <w:t> </w:t>
      </w:r>
      <w:r w:rsidRPr="00FC1073">
        <w:t xml:space="preserve">1 </w:t>
      </w:r>
      <w:r w:rsidR="006413FF">
        <w:t xml:space="preserve">to the Convention </w:t>
      </w:r>
      <w:r w:rsidRPr="00FC1073">
        <w:t>and to declare identical complaints made by two additional applicants</w:t>
      </w:r>
      <w:r w:rsidRPr="006413FF" w:rsidR="006413FF">
        <w:t xml:space="preserve"> </w:t>
      </w:r>
      <w:r w:rsidRPr="00FC1073" w:rsidR="006413FF">
        <w:t>inadmissible</w:t>
      </w:r>
      <w:r w:rsidRPr="00FC1073">
        <w:t>;</w:t>
      </w:r>
    </w:p>
    <w:p w:rsidRPr="00FC1073" w:rsidR="00A8059F" w:rsidP="001D72B2" w14:paraId="25BAF361" w14:textId="5BAA4610">
      <w:pPr>
        <w:pStyle w:val="JuPara"/>
      </w:pPr>
      <w:r w:rsidRPr="00FC1073">
        <w:t>the observations submitted by the Government and the observations in reply submitted by the applicants;</w:t>
      </w:r>
    </w:p>
    <w:p w:rsidRPr="00FC1073" w:rsidR="00A8059F" w:rsidP="001D72B2" w14:paraId="1017A61C" w14:textId="2E4EB9DE">
      <w:pPr>
        <w:pStyle w:val="JuPara"/>
      </w:pPr>
      <w:r w:rsidRPr="00FC1073">
        <w:t>the comments submitted by the European Information Society Institute,</w:t>
      </w:r>
      <w:r w:rsidR="00CA0551">
        <w:t xml:space="preserve"> </w:t>
      </w:r>
      <w:r w:rsidRPr="00FC1073">
        <w:t>o.z</w:t>
      </w:r>
      <w:r w:rsidRPr="00FC1073">
        <w:t>., which was granted leave to intervene by the President of the Section;</w:t>
      </w:r>
    </w:p>
    <w:p w:rsidRPr="00E06DFC" w:rsidR="009F4C8F" w:rsidP="001D72B2" w14:paraId="764C39CA" w14:textId="4B895AA4">
      <w:pPr>
        <w:pStyle w:val="JuPara"/>
      </w:pPr>
      <w:r w:rsidRPr="00FC1073">
        <w:t xml:space="preserve">Having </w:t>
      </w:r>
      <w:r w:rsidRPr="00E06DFC">
        <w:t xml:space="preserve">deliberated in private on </w:t>
      </w:r>
      <w:r w:rsidRPr="00E06DFC" w:rsidR="0008408A">
        <w:t xml:space="preserve">6 May and </w:t>
      </w:r>
      <w:r w:rsidRPr="00E06DFC" w:rsidR="00A8059F">
        <w:t>24 June 2025</w:t>
      </w:r>
      <w:r w:rsidRPr="00E06DFC">
        <w:t>,</w:t>
      </w:r>
    </w:p>
    <w:p w:rsidRPr="00E06DFC" w:rsidR="009F4C8F" w:rsidP="001D72B2" w14:paraId="6551EE5F" w14:textId="1D3D3C43">
      <w:pPr>
        <w:pStyle w:val="JuPara"/>
      </w:pPr>
      <w:r w:rsidRPr="00E06DFC">
        <w:t>Delivers the following judgment, which was adopted on th</w:t>
      </w:r>
      <w:r w:rsidRPr="00E06DFC" w:rsidR="007F6AF1">
        <w:t>e</w:t>
      </w:r>
      <w:r w:rsidRPr="00E06DFC" w:rsidR="0008408A">
        <w:t xml:space="preserve"> </w:t>
      </w:r>
      <w:r w:rsidRPr="00E06DFC" w:rsidR="0008408A">
        <w:br/>
        <w:t>last-</w:t>
      </w:r>
      <w:r w:rsidRPr="00E06DFC" w:rsidR="00FA2D62">
        <w:t>mentioned</w:t>
      </w:r>
      <w:r w:rsidRPr="00E06DFC">
        <w:t xml:space="preserve"> date:</w:t>
      </w:r>
    </w:p>
    <w:p w:rsidRPr="00E06DFC" w:rsidR="00A8059F" w:rsidP="001D72B2" w14:paraId="1332933F" w14:textId="77777777">
      <w:pPr>
        <w:pStyle w:val="JuHHead"/>
        <w:numPr>
          <w:ilvl w:val="0"/>
          <w:numId w:val="0"/>
        </w:numPr>
      </w:pPr>
      <w:r w:rsidRPr="00E06DFC">
        <w:t>INTRODUCTION</w:t>
      </w:r>
    </w:p>
    <w:p w:rsidRPr="00FC1073" w:rsidR="00A8059F" w:rsidP="001D72B2" w14:paraId="16479E79" w14:textId="6CB7572C">
      <w:pPr>
        <w:pStyle w:val="JuPara"/>
      </w:pPr>
      <w:r>
        <w:fldChar w:fldCharType="begin"/>
      </w:r>
      <w:r>
        <w:instrText xml:space="preserve"> SEQ level0 \*arabic \* MERGEFORMAT </w:instrText>
      </w:r>
      <w:r>
        <w:fldChar w:fldCharType="separate"/>
      </w:r>
      <w:r w:rsidRPr="00E06DFC">
        <w:rPr>
          <w:noProof/>
        </w:rPr>
        <w:t>1</w:t>
      </w:r>
      <w:r w:rsidRPr="00E06DFC">
        <w:rPr>
          <w:noProof/>
        </w:rPr>
        <w:fldChar w:fldCharType="end"/>
      </w:r>
      <w:r w:rsidRPr="00E06DFC">
        <w:t xml:space="preserve">.  According to the applicants, Russia has engaged in widespread and pervasive interference in democratic elections across the Council of Europe and beyond. Its aggressive tactics include </w:t>
      </w:r>
      <w:r w:rsidRPr="00E06DFC" w:rsidR="001051E4">
        <w:t xml:space="preserve">the </w:t>
      </w:r>
      <w:r w:rsidRPr="00E06DFC">
        <w:t>weaponising</w:t>
      </w:r>
      <w:r w:rsidRPr="00E06DFC">
        <w:t xml:space="preserve"> </w:t>
      </w:r>
      <w:r w:rsidRPr="00E06DFC" w:rsidR="001051E4">
        <w:t xml:space="preserve">of </w:t>
      </w:r>
      <w:r w:rsidRPr="00E06DFC">
        <w:t>disinformation to undermine democratic institutions, deliberate cyber-attacks against key State entities, including election infrastructure, “hack and leak” operations, and the use of “cyber troops” and “troll farms” to manipulate</w:t>
      </w:r>
      <w:r w:rsidRPr="00FC1073">
        <w:t xml:space="preserve"> public discourse and to sow discord between social groups. The applicants contend</w:t>
      </w:r>
      <w:r w:rsidR="007F6AF1">
        <w:t>ed</w:t>
      </w:r>
      <w:r w:rsidRPr="00FC1073">
        <w:t xml:space="preserve"> that despite the existence of credible allegations that Russia </w:t>
      </w:r>
      <w:r w:rsidR="007F6AF1">
        <w:t xml:space="preserve">had </w:t>
      </w:r>
      <w:r w:rsidRPr="00FC1073">
        <w:t>sought to interfere in the United Kingdom</w:t>
      </w:r>
      <w:r w:rsidRPr="00FC1073" w:rsidR="001D72B2">
        <w:t>’</w:t>
      </w:r>
      <w:r w:rsidRPr="00FC1073">
        <w:t xml:space="preserve">s democratic processes, the respondent State </w:t>
      </w:r>
      <w:r w:rsidR="007F6AF1">
        <w:t xml:space="preserve">had </w:t>
      </w:r>
      <w:r w:rsidRPr="00FC1073">
        <w:t>neither investigated those allegations nor put in place an effective legal and institutional framework to protect against the risk of such interference.</w:t>
      </w:r>
    </w:p>
    <w:p w:rsidRPr="00E06DFC" w:rsidR="00A8059F" w:rsidP="001D72B2" w14:paraId="54973F7A" w14:textId="77777777">
      <w:pPr>
        <w:pStyle w:val="JuHHead"/>
      </w:pPr>
      <w:r w:rsidRPr="00FC1073">
        <w:t xml:space="preserve">THE </w:t>
      </w:r>
      <w:r w:rsidRPr="00E06DFC">
        <w:t>FACTS</w:t>
      </w:r>
    </w:p>
    <w:p w:rsidRPr="00E06DFC" w:rsidR="00A8059F" w:rsidP="001D72B2" w14:paraId="496B1C03" w14:textId="66644DA1">
      <w:pPr>
        <w:pStyle w:val="JuPara"/>
      </w:pPr>
      <w:r>
        <w:fldChar w:fldCharType="begin"/>
      </w:r>
      <w:r>
        <w:instrText xml:space="preserve"> SEQ level0 \*arabic \* MERGEFORMAT </w:instrText>
      </w:r>
      <w:r>
        <w:fldChar w:fldCharType="separate"/>
      </w:r>
      <w:r w:rsidRPr="00E06DFC">
        <w:rPr>
          <w:noProof/>
        </w:rPr>
        <w:t>2</w:t>
      </w:r>
      <w:r w:rsidRPr="00E06DFC">
        <w:rPr>
          <w:noProof/>
        </w:rPr>
        <w:fldChar w:fldCharType="end"/>
      </w:r>
      <w:r w:rsidRPr="00E06DFC">
        <w:t>.  The applicants, who were born in 1960, 1960 and 1973, respectively, live in London. They were represented by Mr T.W. Short of Leigh Day, a firm of solicitors based in London.</w:t>
      </w:r>
    </w:p>
    <w:p w:rsidRPr="00E06DFC" w:rsidR="00A8059F" w:rsidP="001D72B2" w14:paraId="2D1E8020" w14:textId="3976BCC2">
      <w:pPr>
        <w:pStyle w:val="JuPara"/>
      </w:pPr>
      <w:r>
        <w:fldChar w:fldCharType="begin"/>
      </w:r>
      <w:r>
        <w:instrText xml:space="preserve"> SEQ level0 \*arabic \* MERGEFORMAT </w:instrText>
      </w:r>
      <w:r>
        <w:fldChar w:fldCharType="separate"/>
      </w:r>
      <w:r w:rsidRPr="00E06DFC">
        <w:rPr>
          <w:noProof/>
        </w:rPr>
        <w:t>3</w:t>
      </w:r>
      <w:r w:rsidRPr="00E06DFC">
        <w:rPr>
          <w:noProof/>
        </w:rPr>
        <w:fldChar w:fldCharType="end"/>
      </w:r>
      <w:r w:rsidRPr="00E06DFC">
        <w:t>.  The Government were represented by their Agent, Mr T. Geron of the Foreign, Commonwealth and Development Office.</w:t>
      </w:r>
    </w:p>
    <w:p w:rsidRPr="00E06DFC" w:rsidR="00A8059F" w:rsidP="001D72B2" w14:paraId="062607B9" w14:textId="776A96B1">
      <w:pPr>
        <w:pStyle w:val="JuPara"/>
      </w:pPr>
      <w:r>
        <w:fldChar w:fldCharType="begin"/>
      </w:r>
      <w:r>
        <w:instrText xml:space="preserve"> SEQ level0 \*arabic \* MERGEFORMAT </w:instrText>
      </w:r>
      <w:r>
        <w:fldChar w:fldCharType="separate"/>
      </w:r>
      <w:r w:rsidRPr="00E06DFC">
        <w:rPr>
          <w:noProof/>
        </w:rPr>
        <w:t>4</w:t>
      </w:r>
      <w:r w:rsidRPr="00E06DFC">
        <w:rPr>
          <w:noProof/>
        </w:rPr>
        <w:fldChar w:fldCharType="end"/>
      </w:r>
      <w:r w:rsidRPr="00E06DFC">
        <w:t>.  The facts of the case may be summarised as follows.</w:t>
      </w:r>
    </w:p>
    <w:p w:rsidRPr="00E06DFC" w:rsidR="00A8059F" w:rsidP="001D72B2" w14:paraId="7C02EB3E" w14:textId="77777777">
      <w:pPr>
        <w:pStyle w:val="JuHIRoman"/>
      </w:pPr>
      <w:r w:rsidRPr="00E06DFC">
        <w:t>BACKGROUND TO THE CASE</w:t>
      </w:r>
    </w:p>
    <w:p w:rsidRPr="00E06DFC" w:rsidR="00A8059F" w:rsidP="001D72B2" w14:paraId="17079BB8" w14:textId="439D28EA">
      <w:pPr>
        <w:pStyle w:val="JuPara"/>
      </w:pPr>
      <w:r>
        <w:fldChar w:fldCharType="begin"/>
      </w:r>
      <w:r>
        <w:instrText xml:space="preserve"> SEQ level0 \*arabic \* MERGEFORMAT </w:instrText>
      </w:r>
      <w:r>
        <w:fldChar w:fldCharType="separate"/>
      </w:r>
      <w:r w:rsidRPr="00E06DFC">
        <w:rPr>
          <w:noProof/>
        </w:rPr>
        <w:t>5</w:t>
      </w:r>
      <w:r w:rsidRPr="00E06DFC">
        <w:rPr>
          <w:noProof/>
        </w:rPr>
        <w:fldChar w:fldCharType="end"/>
      </w:r>
      <w:r w:rsidRPr="00E06DFC">
        <w:t>.  In February 2019 the House of Commons Digital, Culture, Media and Sport Committee (“</w:t>
      </w:r>
      <w:r w:rsidRPr="00E06DFC" w:rsidR="00080DE5">
        <w:t xml:space="preserve">the </w:t>
      </w:r>
      <w:r w:rsidRPr="00E06DFC">
        <w:t>DCMS</w:t>
      </w:r>
      <w:r w:rsidRPr="00E06DFC" w:rsidR="00080DE5">
        <w:t xml:space="preserve"> Committee</w:t>
      </w:r>
      <w:r w:rsidRPr="00E06DFC">
        <w:t xml:space="preserve">”) published a report entitled “Disinformation and </w:t>
      </w:r>
      <w:r w:rsidRPr="00E06DFC" w:rsidR="001D72B2">
        <w:t>‘</w:t>
      </w:r>
      <w:r w:rsidRPr="00E06DFC">
        <w:t>fake news</w:t>
      </w:r>
      <w:r w:rsidRPr="00E06DFC" w:rsidR="001D72B2">
        <w:t>’</w:t>
      </w:r>
      <w:r w:rsidRPr="00E06DFC">
        <w:t xml:space="preserve">” (see paragraphs </w:t>
      </w:r>
      <w:r w:rsidRPr="00E06DFC">
        <w:fldChar w:fldCharType="begin"/>
      </w:r>
      <w:r w:rsidRPr="00E06DFC">
        <w:instrText xml:space="preserve">REF paragraph00037 \h \* CharFormat </w:instrText>
      </w:r>
      <w:r w:rsidR="00E06DFC">
        <w:instrText xml:space="preserve"> \* MERGEFORMAT </w:instrText>
      </w:r>
      <w:r w:rsidRPr="00E06DFC">
        <w:fldChar w:fldCharType="separate"/>
      </w:r>
      <w:r w:rsidRPr="00E06DFC">
        <w:t>37</w:t>
      </w:r>
      <w:r w:rsidRPr="00E06DFC">
        <w:fldChar w:fldCharType="end"/>
      </w:r>
      <w:r w:rsidRPr="00E06DFC">
        <w:t>-</w:t>
      </w:r>
      <w:r w:rsidRPr="00E06DFC">
        <w:fldChar w:fldCharType="begin"/>
      </w:r>
      <w:r w:rsidRPr="00E06DFC">
        <w:instrText xml:space="preserve">REF paragraph00040 \h \* CharFormat </w:instrText>
      </w:r>
      <w:r w:rsidR="00E06DFC">
        <w:instrText xml:space="preserve"> \* MERGEFORMAT </w:instrText>
      </w:r>
      <w:r w:rsidRPr="00E06DFC">
        <w:fldChar w:fldCharType="separate"/>
      </w:r>
      <w:r w:rsidRPr="00E06DFC">
        <w:t>40</w:t>
      </w:r>
      <w:r w:rsidRPr="00E06DFC">
        <w:fldChar w:fldCharType="end"/>
      </w:r>
      <w:r w:rsidRPr="00E06DFC">
        <w:t xml:space="preserve"> below). A further report by the Intelligence and Security Committee of Parliament (ISC), entitled “Russia” (see paragraphs </w:t>
      </w:r>
      <w:r w:rsidRPr="00E06DFC">
        <w:fldChar w:fldCharType="begin"/>
      </w:r>
      <w:r w:rsidRPr="00E06DFC">
        <w:instrText xml:space="preserve">REF paragraph00041 \h \* CharFormat </w:instrText>
      </w:r>
      <w:r w:rsidR="00E06DFC">
        <w:instrText xml:space="preserve"> \* MERGEFORMAT </w:instrText>
      </w:r>
      <w:r w:rsidRPr="00E06DFC">
        <w:fldChar w:fldCharType="separate"/>
      </w:r>
      <w:r w:rsidRPr="00E06DFC">
        <w:t>41</w:t>
      </w:r>
      <w:r w:rsidRPr="00E06DFC">
        <w:fldChar w:fldCharType="end"/>
      </w:r>
      <w:r w:rsidRPr="00E06DFC">
        <w:t>-</w:t>
      </w:r>
      <w:r w:rsidRPr="00E06DFC">
        <w:fldChar w:fldCharType="begin"/>
      </w:r>
      <w:r w:rsidRPr="00E06DFC">
        <w:instrText xml:space="preserve">REF paragraph00051 \h \* CharFormat </w:instrText>
      </w:r>
      <w:r w:rsidR="00E06DFC">
        <w:instrText xml:space="preserve"> \* MERGEFORMAT </w:instrText>
      </w:r>
      <w:r w:rsidRPr="00E06DFC">
        <w:fldChar w:fldCharType="separate"/>
      </w:r>
      <w:r w:rsidRPr="00E06DFC">
        <w:t>51</w:t>
      </w:r>
      <w:r w:rsidRPr="00E06DFC">
        <w:fldChar w:fldCharType="end"/>
      </w:r>
      <w:r w:rsidRPr="00E06DFC">
        <w:t xml:space="preserve"> below), was sent to the Prime Minister in October 2019 and published in July 2020.</w:t>
      </w:r>
    </w:p>
    <w:p w:rsidRPr="00E06DFC" w:rsidR="00A8059F" w:rsidP="001D72B2" w14:paraId="19ED8E6E" w14:textId="21F493D1">
      <w:pPr>
        <w:pStyle w:val="JuHIRoman"/>
      </w:pPr>
      <w:r w:rsidRPr="00E06DFC">
        <w:t>THE APPLICANTS</w:t>
      </w:r>
      <w:r w:rsidRPr="00E06DFC" w:rsidR="001D72B2">
        <w:t>’</w:t>
      </w:r>
      <w:r w:rsidRPr="00E06DFC">
        <w:t xml:space="preserve"> JUDICIAL REVIEW APPLICATION</w:t>
      </w:r>
    </w:p>
    <w:bookmarkStart w:name="paragraph00006" w:id="4"/>
    <w:p w:rsidRPr="00E06DFC" w:rsidR="00A8059F" w:rsidP="001D72B2" w14:paraId="497DC85C" w14:textId="0B57F65D">
      <w:pPr>
        <w:pStyle w:val="JuPara"/>
      </w:pPr>
      <w:r w:rsidRPr="00E06DFC">
        <w:fldChar w:fldCharType="begin"/>
      </w:r>
      <w:r w:rsidRPr="00E06DFC">
        <w:instrText xml:space="preserve"> SEQ level0 \*arabic \* MERGEFORMAT </w:instrText>
      </w:r>
      <w:r w:rsidRPr="00E06DFC">
        <w:fldChar w:fldCharType="separate"/>
      </w:r>
      <w:r w:rsidRPr="00E06DFC" w:rsidR="00A00646">
        <w:rPr>
          <w:noProof/>
        </w:rPr>
        <w:t>6</w:t>
      </w:r>
      <w:r w:rsidRPr="00E06DFC">
        <w:fldChar w:fldCharType="end"/>
      </w:r>
      <w:bookmarkEnd w:id="4"/>
      <w:r w:rsidRPr="00E06DFC">
        <w:t xml:space="preserve">.  The applicants were elected as </w:t>
      </w:r>
      <w:r w:rsidRPr="00E06DFC" w:rsidR="00CA0551">
        <w:t>m</w:t>
      </w:r>
      <w:r w:rsidRPr="00E06DFC">
        <w:t xml:space="preserve">embers of </w:t>
      </w:r>
      <w:r w:rsidRPr="00E06DFC" w:rsidR="00CA0551">
        <w:t>p</w:t>
      </w:r>
      <w:r w:rsidRPr="00E06DFC">
        <w:t>arliament (“MPs”) in the general election held on 12 December 2019. The first and second applicants did not stand in the next general election, held on 4 July 2024, and the third applicant lost his seat.</w:t>
      </w:r>
    </w:p>
    <w:p w:rsidRPr="00E06DFC" w:rsidR="00A8059F" w:rsidP="001D72B2" w14:paraId="797C4650" w14:textId="4B78EF71">
      <w:pPr>
        <w:pStyle w:val="JuPara"/>
      </w:pPr>
      <w:r>
        <w:fldChar w:fldCharType="begin"/>
      </w:r>
      <w:r>
        <w:instrText xml:space="preserve"> SEQ level0 \*arabic \* MERGEFORMAT </w:instrText>
      </w:r>
      <w:r>
        <w:fldChar w:fldCharType="separate"/>
      </w:r>
      <w:r w:rsidRPr="00E06DFC">
        <w:rPr>
          <w:noProof/>
        </w:rPr>
        <w:t>7</w:t>
      </w:r>
      <w:r w:rsidRPr="00E06DFC">
        <w:rPr>
          <w:noProof/>
        </w:rPr>
        <w:fldChar w:fldCharType="end"/>
      </w:r>
      <w:r w:rsidRPr="00E06DFC">
        <w:t xml:space="preserve">.  The applicants believed that the DCMS </w:t>
      </w:r>
      <w:r w:rsidRPr="00E06DFC" w:rsidR="008F0B0B">
        <w:t xml:space="preserve">Committee </w:t>
      </w:r>
      <w:r w:rsidRPr="00E06DFC">
        <w:t>and ISC reports, together with the public response by the Government to the ISC report (see paragraphs </w:t>
      </w:r>
      <w:r w:rsidRPr="00E06DFC">
        <w:fldChar w:fldCharType="begin"/>
      </w:r>
      <w:r w:rsidRPr="00E06DFC">
        <w:instrText xml:space="preserve">REF paragraph00052 \h \* CharFormat </w:instrText>
      </w:r>
      <w:r w:rsidR="00E06DFC">
        <w:instrText xml:space="preserve"> \* MERGEFORMAT </w:instrText>
      </w:r>
      <w:r w:rsidRPr="00E06DFC">
        <w:fldChar w:fldCharType="separate"/>
      </w:r>
      <w:r w:rsidRPr="00E06DFC">
        <w:t>52</w:t>
      </w:r>
      <w:r w:rsidRPr="00E06DFC">
        <w:fldChar w:fldCharType="end"/>
      </w:r>
      <w:r w:rsidRPr="00E06DFC" w:rsidR="00BA7F1C">
        <w:noBreakHyphen/>
      </w:r>
      <w:r w:rsidRPr="00E06DFC">
        <w:fldChar w:fldCharType="begin"/>
      </w:r>
      <w:r w:rsidRPr="00E06DFC">
        <w:instrText xml:space="preserve">REF paragraph00054 \h \* CharFormat </w:instrText>
      </w:r>
      <w:r w:rsidR="00E06DFC">
        <w:instrText xml:space="preserve"> \* MERGEFORMAT </w:instrText>
      </w:r>
      <w:r w:rsidRPr="00E06DFC">
        <w:fldChar w:fldCharType="separate"/>
      </w:r>
      <w:r w:rsidRPr="00E06DFC">
        <w:t>54</w:t>
      </w:r>
      <w:r w:rsidRPr="00E06DFC">
        <w:fldChar w:fldCharType="end"/>
      </w:r>
      <w:r w:rsidRPr="00E06DFC">
        <w:t xml:space="preserve"> below), provided credible evidence of interference by Russia in the 2014 referendum on Scottish </w:t>
      </w:r>
      <w:r w:rsidRPr="00E06DFC" w:rsidR="00203723">
        <w:t>i</w:t>
      </w:r>
      <w:r w:rsidRPr="00E06DFC">
        <w:t>ndependence (“the Scottish independence referendum”), the 2016 European Union membership referendum (“the EU referendum”) and the 2019 general election.</w:t>
      </w:r>
    </w:p>
    <w:bookmarkStart w:name="paragraph00008" w:id="5"/>
    <w:p w:rsidRPr="00E06DFC" w:rsidR="00A8059F" w:rsidP="001D72B2" w14:paraId="2FA2638C" w14:textId="4E806AD9">
      <w:pPr>
        <w:pStyle w:val="JuPara"/>
        <w:rPr>
          <w:rStyle w:val="JuParaChar"/>
        </w:rPr>
      </w:pPr>
      <w:r w:rsidRPr="00E06DFC">
        <w:fldChar w:fldCharType="begin"/>
      </w:r>
      <w:r w:rsidRPr="00E06DFC">
        <w:instrText xml:space="preserve"> SEQ level0 \*arabic \* MERGEFORMAT </w:instrText>
      </w:r>
      <w:r w:rsidRPr="00E06DFC">
        <w:fldChar w:fldCharType="separate"/>
      </w:r>
      <w:r w:rsidRPr="00E06DFC" w:rsidR="00A00646">
        <w:rPr>
          <w:noProof/>
        </w:rPr>
        <w:t>8</w:t>
      </w:r>
      <w:r w:rsidRPr="00E06DFC">
        <w:fldChar w:fldCharType="end"/>
      </w:r>
      <w:bookmarkEnd w:id="5"/>
      <w:r w:rsidRPr="00E06DFC">
        <w:rPr>
          <w:rStyle w:val="JuParaChar"/>
        </w:rPr>
        <w:t>.  The applicants, together with two life peers and a non-profit organisation, sought permission to challenge, by way of judicial review, the Prime Minister</w:t>
      </w:r>
      <w:r w:rsidRPr="00E06DFC" w:rsidR="001D72B2">
        <w:rPr>
          <w:rStyle w:val="JuParaChar"/>
        </w:rPr>
        <w:t>’</w:t>
      </w:r>
      <w:r w:rsidRPr="00E06DFC">
        <w:rPr>
          <w:rStyle w:val="JuParaChar"/>
        </w:rPr>
        <w:t>s decision not to, and/or his ongoing failure to, direct an independent investigation into Russian interference with the country</w:t>
      </w:r>
      <w:r w:rsidRPr="00E06DFC" w:rsidR="001D72B2">
        <w:rPr>
          <w:rStyle w:val="JuParaChar"/>
        </w:rPr>
        <w:t>’</w:t>
      </w:r>
      <w:r w:rsidRPr="00E06DFC">
        <w:rPr>
          <w:rStyle w:val="JuParaChar"/>
        </w:rPr>
        <w:t xml:space="preserve">s democratic processes. They argued that in </w:t>
      </w:r>
      <w:r w:rsidRPr="00E06DFC" w:rsidR="00CA0551">
        <w:rPr>
          <w:rStyle w:val="JuParaChar"/>
        </w:rPr>
        <w:t xml:space="preserve">the </w:t>
      </w:r>
      <w:r w:rsidRPr="00E06DFC">
        <w:rPr>
          <w:rStyle w:val="JuParaChar"/>
        </w:rPr>
        <w:t>light of the ISC report</w:t>
      </w:r>
      <w:r w:rsidRPr="00E06DFC" w:rsidR="00EE3A51">
        <w:rPr>
          <w:rStyle w:val="JuParaChar"/>
        </w:rPr>
        <w:t>,</w:t>
      </w:r>
      <w:r w:rsidRPr="00E06DFC">
        <w:rPr>
          <w:rStyle w:val="JuParaChar"/>
        </w:rPr>
        <w:t xml:space="preserve"> </w:t>
      </w:r>
      <w:r w:rsidRPr="00E06DFC" w:rsidR="00EE3A51">
        <w:rPr>
          <w:rStyle w:val="JuParaChar"/>
        </w:rPr>
        <w:t xml:space="preserve">that </w:t>
      </w:r>
      <w:r w:rsidRPr="00E06DFC">
        <w:rPr>
          <w:rStyle w:val="JuParaChar"/>
        </w:rPr>
        <w:t>failure was in breach of the investigative obligation inherent in Article 3 of Protocol</w:t>
      </w:r>
      <w:r w:rsidRPr="00E06DFC" w:rsidR="00CA0551">
        <w:rPr>
          <w:rStyle w:val="JuParaChar"/>
        </w:rPr>
        <w:t xml:space="preserve"> </w:t>
      </w:r>
      <w:r w:rsidRPr="00E06DFC">
        <w:rPr>
          <w:rStyle w:val="JuParaChar"/>
        </w:rPr>
        <w:t xml:space="preserve">No. 1 to the Convention. They further challenged what they described as “the absence of an effective legal framework to ensure </w:t>
      </w:r>
      <w:r w:rsidRPr="00E06DFC" w:rsidR="001D72B2">
        <w:rPr>
          <w:rStyle w:val="JuParaChar"/>
        </w:rPr>
        <w:t>‘</w:t>
      </w:r>
      <w:r w:rsidRPr="00E06DFC">
        <w:rPr>
          <w:rStyle w:val="JuParaChar"/>
        </w:rPr>
        <w:t>conditions which will ensure the free expression of the opinion of the people</w:t>
      </w:r>
      <w:r w:rsidRPr="00E06DFC" w:rsidR="001D72B2">
        <w:rPr>
          <w:rStyle w:val="JuParaChar"/>
        </w:rPr>
        <w:t>’</w:t>
      </w:r>
      <w:r w:rsidRPr="00E06DFC">
        <w:rPr>
          <w:rStyle w:val="JuParaChar"/>
        </w:rPr>
        <w:t xml:space="preserve"> as required by Article 3 of Protocol No. 1”. </w:t>
      </w:r>
      <w:r w:rsidRPr="00E06DFC" w:rsidR="00CA0551">
        <w:rPr>
          <w:rStyle w:val="JuParaChar"/>
        </w:rPr>
        <w:t>Lastly</w:t>
      </w:r>
      <w:r w:rsidRPr="00E06DFC">
        <w:rPr>
          <w:rStyle w:val="JuParaChar"/>
        </w:rPr>
        <w:t>, they argued that the Prime Minister had failed to act compatibly with his public</w:t>
      </w:r>
      <w:r w:rsidRPr="00E06DFC" w:rsidR="0022062A">
        <w:rPr>
          <w:rStyle w:val="JuParaChar"/>
        </w:rPr>
        <w:t>-</w:t>
      </w:r>
      <w:r w:rsidRPr="00E06DFC">
        <w:rPr>
          <w:rStyle w:val="JuParaChar"/>
        </w:rPr>
        <w:t>law duties in failing to establish a public inquiry.</w:t>
      </w:r>
    </w:p>
    <w:p w:rsidRPr="00E06DFC" w:rsidR="00A8059F" w:rsidP="001D72B2" w14:paraId="03D1CEB3" w14:textId="77777777">
      <w:pPr>
        <w:pStyle w:val="JuHA"/>
      </w:pPr>
      <w:r w:rsidRPr="00E06DFC">
        <w:t>Refusal of permission on the papers</w:t>
      </w:r>
    </w:p>
    <w:p w:rsidRPr="00E06DFC" w:rsidR="00A8059F" w:rsidP="001D72B2" w14:paraId="22F35E87" w14:textId="3221A2FF">
      <w:pPr>
        <w:pStyle w:val="JuPara"/>
      </w:pPr>
      <w:r>
        <w:fldChar w:fldCharType="begin"/>
      </w:r>
      <w:r>
        <w:instrText xml:space="preserve"> SEQ level0 \*arabic \* MERGEFORMAT </w:instrText>
      </w:r>
      <w:r>
        <w:fldChar w:fldCharType="separate"/>
      </w:r>
      <w:r w:rsidRPr="00E06DFC">
        <w:rPr>
          <w:noProof/>
        </w:rPr>
        <w:t>9</w:t>
      </w:r>
      <w:r w:rsidRPr="00E06DFC">
        <w:rPr>
          <w:noProof/>
        </w:rPr>
        <w:fldChar w:fldCharType="end"/>
      </w:r>
      <w:r w:rsidRPr="00E06DFC">
        <w:t>.  On 12 April 2021 the applicants</w:t>
      </w:r>
      <w:r w:rsidRPr="00E06DFC" w:rsidR="001D72B2">
        <w:t>’</w:t>
      </w:r>
      <w:r w:rsidRPr="00E06DFC">
        <w:t xml:space="preserve"> application for permission to apply for judicial review was refused on the papers. The High Court judge noted at the outset that the grounds of challenge touched on core State functions and/or the exercise of State sovereignty. Under conventional principles</w:t>
      </w:r>
      <w:r w:rsidRPr="00FC1073">
        <w:t xml:space="preserve"> of judicial review</w:t>
      </w:r>
      <w:r w:rsidR="000C5D45">
        <w:t>,</w:t>
      </w:r>
      <w:r w:rsidRPr="00FC1073">
        <w:t xml:space="preserve"> the courts should stand back from interference in such cases save where particular </w:t>
      </w:r>
      <w:r w:rsidRPr="00E06DFC">
        <w:t>legal rights were engaged. That was not the case here, since none of the applicants</w:t>
      </w:r>
      <w:r w:rsidRPr="00E06DFC" w:rsidR="001D72B2">
        <w:t>’</w:t>
      </w:r>
      <w:r w:rsidRPr="00E06DFC">
        <w:t xml:space="preserve"> rights had been breached in any election or referendum.</w:t>
      </w:r>
    </w:p>
    <w:p w:rsidRPr="00E06DFC" w:rsidR="00A8059F" w:rsidP="001D72B2" w14:paraId="6D7E2F0A" w14:textId="64579A49">
      <w:pPr>
        <w:pStyle w:val="JuPara"/>
      </w:pPr>
      <w:r>
        <w:fldChar w:fldCharType="begin"/>
      </w:r>
      <w:r>
        <w:instrText xml:space="preserve"> SEQ level0 \*arabic \* MERGEFORMAT </w:instrText>
      </w:r>
      <w:r>
        <w:fldChar w:fldCharType="separate"/>
      </w:r>
      <w:r w:rsidRPr="00E06DFC">
        <w:rPr>
          <w:noProof/>
        </w:rPr>
        <w:t>10</w:t>
      </w:r>
      <w:r w:rsidRPr="00E06DFC">
        <w:rPr>
          <w:noProof/>
        </w:rPr>
        <w:fldChar w:fldCharType="end"/>
      </w:r>
      <w:r w:rsidRPr="00E06DFC">
        <w:t>.  In respect of the applicants</w:t>
      </w:r>
      <w:r w:rsidRPr="00E06DFC" w:rsidR="001D72B2">
        <w:t>’</w:t>
      </w:r>
      <w:r w:rsidRPr="00E06DFC">
        <w:t xml:space="preserve"> first ground, the High Court judge did not consider it arguable that Article 3 of Protocol No. 1 required the Prime Minister to undertake an independent investigation. </w:t>
      </w:r>
      <w:r w:rsidRPr="00E06DFC">
        <w:t>With regard to</w:t>
      </w:r>
      <w:r w:rsidRPr="00E06DFC">
        <w:t xml:space="preserve"> past events, the imposition of such a duty would engage the courts in a highly politicised and contested exercise. </w:t>
      </w:r>
      <w:r w:rsidRPr="00E06DFC">
        <w:t>With regard to</w:t>
      </w:r>
      <w:r w:rsidRPr="00E06DFC">
        <w:t xml:space="preserve"> future events, it was for the Prime Minister and not the courts to decide </w:t>
      </w:r>
      <w:r w:rsidRPr="00E06DFC">
        <w:t>whether or not</w:t>
      </w:r>
      <w:r w:rsidRPr="00E06DFC">
        <w:t xml:space="preserve"> an independent investigation was required to ensure the free expression of the opinion of the people in forthcoming elections.</w:t>
      </w:r>
    </w:p>
    <w:p w:rsidRPr="00E06DFC" w:rsidR="00A8059F" w:rsidP="001D72B2" w14:paraId="1CDF9636" w14:textId="787FC8A3">
      <w:pPr>
        <w:pStyle w:val="JuPara"/>
      </w:pPr>
      <w:r>
        <w:fldChar w:fldCharType="begin"/>
      </w:r>
      <w:r>
        <w:instrText xml:space="preserve"> SEQ level0 \*arabic \* MERGEFORMAT </w:instrText>
      </w:r>
      <w:r>
        <w:fldChar w:fldCharType="separate"/>
      </w:r>
      <w:r w:rsidRPr="00E06DFC">
        <w:rPr>
          <w:noProof/>
        </w:rPr>
        <w:t>11</w:t>
      </w:r>
      <w:r w:rsidRPr="00E06DFC">
        <w:rPr>
          <w:noProof/>
        </w:rPr>
        <w:fldChar w:fldCharType="end"/>
      </w:r>
      <w:r w:rsidRPr="00E06DFC">
        <w:t>.  For the High Court judge the challenge to the legal framework was a matter of policy on which the court would not adjudicate.</w:t>
      </w:r>
    </w:p>
    <w:bookmarkStart w:name="paragraph00012" w:id="6"/>
    <w:p w:rsidRPr="00E06DFC" w:rsidR="00A8059F" w:rsidP="001D72B2" w14:paraId="48924798" w14:textId="1991A35A">
      <w:pPr>
        <w:pStyle w:val="JuPara"/>
      </w:pPr>
      <w:r w:rsidRPr="00E06DFC">
        <w:fldChar w:fldCharType="begin"/>
      </w:r>
      <w:r w:rsidRPr="00E06DFC">
        <w:instrText xml:space="preserve"> SEQ level0 \*arabic \* MERGEFORMAT </w:instrText>
      </w:r>
      <w:r w:rsidRPr="00E06DFC">
        <w:fldChar w:fldCharType="separate"/>
      </w:r>
      <w:r w:rsidRPr="00E06DFC" w:rsidR="00A00646">
        <w:rPr>
          <w:noProof/>
        </w:rPr>
        <w:t>12</w:t>
      </w:r>
      <w:r w:rsidRPr="00E06DFC">
        <w:fldChar w:fldCharType="end"/>
      </w:r>
      <w:bookmarkEnd w:id="6"/>
      <w:r w:rsidRPr="00E06DFC">
        <w:t>.  </w:t>
      </w:r>
      <w:r w:rsidRPr="00E06DFC" w:rsidR="00984650">
        <w:t>Lastly</w:t>
      </w:r>
      <w:r w:rsidRPr="00E06DFC">
        <w:t>, the judge did not consider the decision not to establish a public inquiry to be irrational. She based her reasoning on the Prime</w:t>
      </w:r>
      <w:r w:rsidRPr="00E06DFC" w:rsidR="00CA0551">
        <w:t xml:space="preserve"> </w:t>
      </w:r>
      <w:r w:rsidRPr="00E06DFC">
        <w:t>Minister</w:t>
      </w:r>
      <w:r w:rsidRPr="00E06DFC" w:rsidR="001D72B2">
        <w:t>’</w:t>
      </w:r>
      <w:r w:rsidRPr="00E06DFC">
        <w:t xml:space="preserve">s summary grounds of resistance, which indicated, </w:t>
      </w:r>
      <w:r w:rsidRPr="00E06DFC">
        <w:rPr>
          <w:i/>
          <w:iCs/>
        </w:rPr>
        <w:t>inter</w:t>
      </w:r>
      <w:r w:rsidRPr="00E06DFC" w:rsidR="00CA0551">
        <w:rPr>
          <w:i/>
          <w:iCs/>
        </w:rPr>
        <w:t xml:space="preserve"> </w:t>
      </w:r>
      <w:r w:rsidRPr="00E06DFC">
        <w:rPr>
          <w:i/>
          <w:iCs/>
        </w:rPr>
        <w:t>alia</w:t>
      </w:r>
      <w:r w:rsidRPr="00E06DFC">
        <w:t>, that Russia</w:t>
      </w:r>
      <w:r w:rsidRPr="00E06DFC" w:rsidR="001D72B2">
        <w:t>’</w:t>
      </w:r>
      <w:r w:rsidRPr="00E06DFC">
        <w:t>s actions had been the subject of a detailed report by the ISC (see paragraphs</w:t>
      </w:r>
      <w:r w:rsidR="00F5331C">
        <w:t> </w:t>
      </w:r>
      <w:r w:rsidRPr="00E06DFC">
        <w:fldChar w:fldCharType="begin"/>
      </w:r>
      <w:r w:rsidRPr="00E06DFC">
        <w:instrText xml:space="preserve">REF paragraph00041 \h \* CharFormat </w:instrText>
      </w:r>
      <w:r w:rsidR="00E06DFC">
        <w:instrText xml:space="preserve"> \* MERGEFORMAT </w:instrText>
      </w:r>
      <w:r w:rsidRPr="00E06DFC">
        <w:fldChar w:fldCharType="separate"/>
      </w:r>
      <w:r w:rsidRPr="00E06DFC" w:rsidR="00A00646">
        <w:t>41</w:t>
      </w:r>
      <w:r w:rsidRPr="00E06DFC">
        <w:fldChar w:fldCharType="end"/>
      </w:r>
      <w:r w:rsidRPr="00E06DFC">
        <w:t>-</w:t>
      </w:r>
      <w:r w:rsidRPr="00E06DFC">
        <w:fldChar w:fldCharType="begin"/>
      </w:r>
      <w:r w:rsidRPr="00E06DFC">
        <w:instrText xml:space="preserve">REF paragraph00051 \h \* CharFormat </w:instrText>
      </w:r>
      <w:r w:rsidR="00E06DFC">
        <w:instrText xml:space="preserve"> \* MERGEFORMAT </w:instrText>
      </w:r>
      <w:r w:rsidRPr="00E06DFC">
        <w:fldChar w:fldCharType="separate"/>
      </w:r>
      <w:r w:rsidRPr="00E06DFC" w:rsidR="00A00646">
        <w:t>51</w:t>
      </w:r>
      <w:r w:rsidRPr="00E06DFC">
        <w:fldChar w:fldCharType="end"/>
      </w:r>
      <w:r w:rsidRPr="00E06DFC">
        <w:t xml:space="preserve"> below), and that wider public</w:t>
      </w:r>
      <w:r w:rsidRPr="00E06DFC" w:rsidR="009B05FA">
        <w:t>-</w:t>
      </w:r>
      <w:r w:rsidRPr="00E06DFC">
        <w:t xml:space="preserve">policy issues – such as the approach to disinformation and the use of social media – were the subject of ongoing policy development and public consultation. There was no evidence that any Russian activity had had any impact on the effectiveness of the right to vote, or on the outcome of any election. Moreover, a public inquiry did not have investigatory powers of the type that the police and </w:t>
      </w:r>
      <w:r w:rsidRPr="00E06DFC" w:rsidR="0010626D">
        <w:t>i</w:t>
      </w:r>
      <w:r w:rsidRPr="00E06DFC">
        <w:t xml:space="preserve">ntelligence </w:t>
      </w:r>
      <w:r w:rsidRPr="00E06DFC" w:rsidR="0010626D">
        <w:t>a</w:t>
      </w:r>
      <w:r w:rsidRPr="00E06DFC">
        <w:t>gencies had. Given that the complaint was that there existed little evidence of successful Russian interference because insufficient investigative efforts had been made to collect that evidence, a public inquiry would not be able to fill that gap, if it existed.</w:t>
      </w:r>
    </w:p>
    <w:p w:rsidRPr="00E06DFC" w:rsidR="00A8059F" w:rsidP="001D72B2" w14:paraId="2ED171FA" w14:textId="6597036F">
      <w:pPr>
        <w:pStyle w:val="JuPara"/>
      </w:pPr>
      <w:r>
        <w:fldChar w:fldCharType="begin"/>
      </w:r>
      <w:r>
        <w:instrText xml:space="preserve"> SEQ level0 \*arabic \* MERGEFORMAT </w:instrText>
      </w:r>
      <w:r>
        <w:fldChar w:fldCharType="separate"/>
      </w:r>
      <w:r w:rsidRPr="00E06DFC">
        <w:rPr>
          <w:noProof/>
        </w:rPr>
        <w:t>13</w:t>
      </w:r>
      <w:r w:rsidRPr="00E06DFC">
        <w:rPr>
          <w:noProof/>
        </w:rPr>
        <w:fldChar w:fldCharType="end"/>
      </w:r>
      <w:r w:rsidRPr="00E06DFC">
        <w:t>.  The judge reached no conclusive view on the issue of standing, as the matter was “complex”.</w:t>
      </w:r>
    </w:p>
    <w:p w:rsidRPr="00E06DFC" w:rsidR="00A8059F" w:rsidP="001D72B2" w14:paraId="340E62E8" w14:textId="10C43F95">
      <w:pPr>
        <w:pStyle w:val="JuHA"/>
      </w:pPr>
      <w:r w:rsidRPr="00E06DFC">
        <w:t xml:space="preserve">Renewed application for permission to </w:t>
      </w:r>
      <w:r w:rsidRPr="00E06DFC" w:rsidR="00363CE1">
        <w:t>app</w:t>
      </w:r>
      <w:r w:rsidRPr="00E06DFC" w:rsidR="00340DA8">
        <w:t>ly for judicial review</w:t>
      </w:r>
    </w:p>
    <w:p w:rsidRPr="00E06DFC" w:rsidR="00A8059F" w:rsidP="001D72B2" w14:paraId="26F52504" w14:textId="0CD40FBF">
      <w:pPr>
        <w:pStyle w:val="JuPara"/>
      </w:pPr>
      <w:r>
        <w:fldChar w:fldCharType="begin"/>
      </w:r>
      <w:r>
        <w:instrText xml:space="preserve"> SEQ level0 \*arabic \* MERGEFORMAT </w:instrText>
      </w:r>
      <w:r>
        <w:fldChar w:fldCharType="separate"/>
      </w:r>
      <w:r w:rsidRPr="00E06DFC">
        <w:rPr>
          <w:noProof/>
        </w:rPr>
        <w:t>14</w:t>
      </w:r>
      <w:r w:rsidRPr="00E06DFC">
        <w:rPr>
          <w:noProof/>
        </w:rPr>
        <w:fldChar w:fldCharType="end"/>
      </w:r>
      <w:r w:rsidRPr="00E06DFC">
        <w:t xml:space="preserve">.  The application for permission was renewed </w:t>
      </w:r>
      <w:r w:rsidRPr="00E06DFC" w:rsidR="0022062A">
        <w:t xml:space="preserve">solely </w:t>
      </w:r>
      <w:r w:rsidRPr="00E06DFC">
        <w:t xml:space="preserve">on the </w:t>
      </w:r>
      <w:r w:rsidRPr="00E06DFC" w:rsidR="0022062A">
        <w:t xml:space="preserve">grounds relating to </w:t>
      </w:r>
      <w:r w:rsidRPr="00E06DFC">
        <w:t>Convention rights. It was refused by the High Court on 22 June 2021.</w:t>
      </w:r>
    </w:p>
    <w:p w:rsidRPr="00E06DFC" w:rsidR="00A8059F" w:rsidP="001D72B2" w14:paraId="2599CFEA" w14:textId="3E6CC245">
      <w:pPr>
        <w:pStyle w:val="JuPara"/>
      </w:pPr>
      <w:r>
        <w:fldChar w:fldCharType="begin"/>
      </w:r>
      <w:r>
        <w:instrText xml:space="preserve"> SEQ level0 \*arabic \* MERGEFORMAT </w:instrText>
      </w:r>
      <w:r>
        <w:fldChar w:fldCharType="separate"/>
      </w:r>
      <w:r w:rsidRPr="00E06DFC">
        <w:rPr>
          <w:noProof/>
        </w:rPr>
        <w:t>15</w:t>
      </w:r>
      <w:r w:rsidRPr="00E06DFC">
        <w:rPr>
          <w:noProof/>
        </w:rPr>
        <w:fldChar w:fldCharType="end"/>
      </w:r>
      <w:r w:rsidRPr="00E06DFC">
        <w:t>.  The High Court judge agreed that there was “no basis for the contention that the interference relied on affected the existence</w:t>
      </w:r>
      <w:r w:rsidRPr="00FC1073">
        <w:t xml:space="preserve"> or exercise of </w:t>
      </w:r>
      <w:r w:rsidRPr="00FC1073">
        <w:t>any person</w:t>
      </w:r>
      <w:r w:rsidRPr="00FC1073" w:rsidR="001D72B2">
        <w:t>’</w:t>
      </w:r>
      <w:r w:rsidRPr="00FC1073">
        <w:t xml:space="preserve">s right to vote or right to stand as a candidate in an election” and did not consider it arguable that any legal obligation existed under Article 3 of Protocol No. 1. He gave </w:t>
      </w:r>
      <w:r w:rsidRPr="00E06DFC">
        <w:t>detailed reasons, by reference to the Court</w:t>
      </w:r>
      <w:r w:rsidRPr="00E06DFC" w:rsidR="001D72B2">
        <w:t>’</w:t>
      </w:r>
      <w:r w:rsidRPr="00E06DFC">
        <w:t>s case</w:t>
      </w:r>
      <w:r w:rsidRPr="00E06DFC" w:rsidR="00CA0551">
        <w:t>-</w:t>
      </w:r>
      <w:r w:rsidRPr="00E06DFC">
        <w:t>law, for reaching this conclusion.</w:t>
      </w:r>
    </w:p>
    <w:bookmarkStart w:name="paragraph00016" w:id="7"/>
    <w:p w:rsidRPr="00FC1073" w:rsidR="00A8059F" w:rsidP="001D72B2" w14:paraId="18CA0619" w14:textId="6D659E28">
      <w:pPr>
        <w:pStyle w:val="JuPara"/>
      </w:pPr>
      <w:r w:rsidRPr="00E06DFC">
        <w:fldChar w:fldCharType="begin"/>
      </w:r>
      <w:r w:rsidRPr="00E06DFC">
        <w:instrText xml:space="preserve"> SEQ level0 \*arabic \* MERGEFORMAT </w:instrText>
      </w:r>
      <w:r w:rsidRPr="00E06DFC">
        <w:fldChar w:fldCharType="separate"/>
      </w:r>
      <w:r w:rsidRPr="00E06DFC" w:rsidR="00A00646">
        <w:rPr>
          <w:noProof/>
        </w:rPr>
        <w:t>16</w:t>
      </w:r>
      <w:r w:rsidRPr="00E06DFC">
        <w:fldChar w:fldCharType="end"/>
      </w:r>
      <w:bookmarkEnd w:id="7"/>
      <w:r w:rsidRPr="00E06DFC">
        <w:t>.  Under the second ground, the applicants had argued that the domestic legal framework was in breach of Article</w:t>
      </w:r>
      <w:r w:rsidRPr="00FC1073">
        <w:t xml:space="preserve"> 3 of Protocol No. 1 because</w:t>
      </w:r>
    </w:p>
    <w:p w:rsidRPr="00FC1073" w:rsidR="00A8059F" w:rsidP="00E9157B" w14:paraId="1958A881" w14:textId="6E7151ED">
      <w:pPr>
        <w:pStyle w:val="JuPara"/>
      </w:pPr>
      <w:r>
        <w:t>(</w:t>
      </w:r>
      <w:r w:rsidR="00BC24E2">
        <w:t>i</w:t>
      </w:r>
      <w:r>
        <w:t>)  t</w:t>
      </w:r>
      <w:r w:rsidRPr="00FC1073">
        <w:t>here was no legal entity with the legal responsibility to prevent and combat foreign interference in elections;</w:t>
      </w:r>
    </w:p>
    <w:p w:rsidRPr="00FC1073" w:rsidR="00A8059F" w:rsidP="00E9157B" w14:paraId="794511E9" w14:textId="0C60D26F">
      <w:pPr>
        <w:pStyle w:val="JuPara"/>
      </w:pPr>
      <w:r>
        <w:t>(</w:t>
      </w:r>
      <w:r w:rsidR="00BC24E2">
        <w:t>ii</w:t>
      </w:r>
      <w:r>
        <w:t>)  t</w:t>
      </w:r>
      <w:r w:rsidRPr="00FC1073">
        <w:t>here was no legal obligation for online political advertisements to indicate their source, who had paid for them, and their country of origin;</w:t>
      </w:r>
    </w:p>
    <w:p w:rsidRPr="00E06DFC" w:rsidR="00A8059F" w:rsidP="00E9157B" w14:paraId="69CD088F" w14:textId="1D26BD7B">
      <w:pPr>
        <w:pStyle w:val="JuPara"/>
      </w:pPr>
      <w:r>
        <w:t>(</w:t>
      </w:r>
      <w:r w:rsidR="00BC24E2">
        <w:t>iii</w:t>
      </w:r>
      <w:r>
        <w:t>)  t</w:t>
      </w:r>
      <w:r w:rsidRPr="00FC1073">
        <w:t xml:space="preserve">here was no legal requirement for social media companies to cooperate with the </w:t>
      </w:r>
      <w:r w:rsidR="0010626D">
        <w:t>s</w:t>
      </w:r>
      <w:r w:rsidRPr="00FC1073">
        <w:t xml:space="preserve">ecurity and </w:t>
      </w:r>
      <w:r w:rsidR="0010626D">
        <w:t>i</w:t>
      </w:r>
      <w:r w:rsidRPr="00FC1073">
        <w:t xml:space="preserve">ntelligence </w:t>
      </w:r>
      <w:r w:rsidR="0010626D">
        <w:t>a</w:t>
      </w:r>
      <w:r w:rsidRPr="00FC1073">
        <w:t xml:space="preserve">gencies where it was suspected that </w:t>
      </w:r>
      <w:r w:rsidRPr="00E06DFC">
        <w:t>a hostile foreign State may be covertly running a campaign;</w:t>
      </w:r>
    </w:p>
    <w:p w:rsidRPr="00E06DFC" w:rsidR="00A8059F" w:rsidP="00E9157B" w14:paraId="79CE4BF5" w14:textId="723FE322">
      <w:pPr>
        <w:pStyle w:val="JuPara"/>
      </w:pPr>
      <w:r w:rsidRPr="00E06DFC">
        <w:t>(</w:t>
      </w:r>
      <w:r w:rsidRPr="00E06DFC" w:rsidR="00BC24E2">
        <w:t>iv</w:t>
      </w:r>
      <w:r w:rsidRPr="00E06DFC">
        <w:t>)  t</w:t>
      </w:r>
      <w:r w:rsidRPr="00E06DFC">
        <w:t>here was no ban on foreign donations to political parties or election campaigns;</w:t>
      </w:r>
      <w:r w:rsidRPr="00E06DFC">
        <w:t xml:space="preserve"> and</w:t>
      </w:r>
    </w:p>
    <w:p w:rsidRPr="00E06DFC" w:rsidR="00A8059F" w:rsidP="00E9157B" w14:paraId="7A44F96D" w14:textId="17F98C2F">
      <w:pPr>
        <w:pStyle w:val="JuPara"/>
      </w:pPr>
      <w:r w:rsidRPr="00E06DFC">
        <w:t>(</w:t>
      </w:r>
      <w:r w:rsidRPr="00E06DFC" w:rsidR="00BC24E2">
        <w:t>v</w:t>
      </w:r>
      <w:r w:rsidRPr="00E06DFC">
        <w:t>)  t</w:t>
      </w:r>
      <w:r w:rsidRPr="00E06DFC">
        <w:t>here was no obligation on foreign State agents, or others who represented the interests of foreign powers, to register as such in the United Kingdom.</w:t>
      </w:r>
    </w:p>
    <w:p w:rsidRPr="00E06DFC" w:rsidR="00A8059F" w:rsidP="001D72B2" w14:paraId="4321BB84" w14:textId="5B83B23A">
      <w:pPr>
        <w:pStyle w:val="JuPara"/>
      </w:pPr>
      <w:r>
        <w:fldChar w:fldCharType="begin"/>
      </w:r>
      <w:r>
        <w:instrText xml:space="preserve"> SEQ level0 \*arabic \* MERGEFORMAT </w:instrText>
      </w:r>
      <w:r>
        <w:fldChar w:fldCharType="separate"/>
      </w:r>
      <w:r w:rsidRPr="00E06DFC">
        <w:rPr>
          <w:noProof/>
        </w:rPr>
        <w:t>17</w:t>
      </w:r>
      <w:r w:rsidRPr="00E06DFC">
        <w:rPr>
          <w:noProof/>
        </w:rPr>
        <w:fldChar w:fldCharType="end"/>
      </w:r>
      <w:r w:rsidRPr="00E06DFC">
        <w:t xml:space="preserve">.  The judge considered these complaints to be an assertion that there had been a failure to legislate, which fell outside the scope of section 6 of the Human Rights Act 1998 (see paragraph </w:t>
      </w:r>
      <w:r w:rsidRPr="00E06DFC">
        <w:fldChar w:fldCharType="begin"/>
      </w:r>
      <w:r w:rsidRPr="00E06DFC">
        <w:instrText xml:space="preserve">REF paragraph00019 \h \* CharFormat </w:instrText>
      </w:r>
      <w:r w:rsidR="00E06DFC">
        <w:instrText xml:space="preserve"> \* MERGEFORMAT </w:instrText>
      </w:r>
      <w:r w:rsidRPr="00E06DFC">
        <w:fldChar w:fldCharType="separate"/>
      </w:r>
      <w:r w:rsidRPr="00E06DFC">
        <w:t>19</w:t>
      </w:r>
      <w:r w:rsidRPr="00E06DFC">
        <w:fldChar w:fldCharType="end"/>
      </w:r>
      <w:r w:rsidRPr="00E06DFC">
        <w:t xml:space="preserve"> below). In any event, the judge stated that the complaints were unarguable as Article 3 of Protocol</w:t>
      </w:r>
      <w:r w:rsidRPr="00E06DFC" w:rsidR="00CA0551">
        <w:t xml:space="preserve"> </w:t>
      </w:r>
      <w:r w:rsidRPr="00E06DFC">
        <w:t>No. 1 did not give rise to such specific obligations. It did not seek to prescribe the detailed structure or shape of electoral laws, and the Court had gone to significant lengths to emphasise the extent of the States</w:t>
      </w:r>
      <w:r w:rsidRPr="00E06DFC" w:rsidR="001D72B2">
        <w:t>’</w:t>
      </w:r>
      <w:r w:rsidRPr="00E06DFC">
        <w:t xml:space="preserve"> margin of appreciation when establishing such laws.</w:t>
      </w:r>
    </w:p>
    <w:p w:rsidRPr="00E06DFC" w:rsidR="00A8059F" w:rsidP="001D72B2" w14:paraId="0023869B" w14:textId="6F074C40">
      <w:pPr>
        <w:pStyle w:val="JuHA"/>
      </w:pPr>
      <w:r w:rsidRPr="00E06DFC">
        <w:t xml:space="preserve">Application to </w:t>
      </w:r>
      <w:r w:rsidRPr="00E06DFC" w:rsidR="00CA0551">
        <w:t xml:space="preserve">the </w:t>
      </w:r>
      <w:r w:rsidRPr="00E06DFC">
        <w:t>Court of Appeal for permission to appeal</w:t>
      </w:r>
    </w:p>
    <w:bookmarkStart w:name="paragraph00018" w:id="8"/>
    <w:p w:rsidRPr="00FC1073" w:rsidR="00A8059F" w:rsidP="001D72B2" w14:paraId="6DEF9F01" w14:textId="28DC6500">
      <w:pPr>
        <w:pStyle w:val="JuPara"/>
        <w:rPr>
          <w:rStyle w:val="JuParaChar"/>
        </w:rPr>
      </w:pPr>
      <w:r w:rsidRPr="00E06DFC">
        <w:fldChar w:fldCharType="begin"/>
      </w:r>
      <w:r w:rsidRPr="00E06DFC">
        <w:instrText xml:space="preserve"> SEQ level0 \*arabic \* MERGEFORMAT </w:instrText>
      </w:r>
      <w:r w:rsidRPr="00E06DFC">
        <w:fldChar w:fldCharType="separate"/>
      </w:r>
      <w:r w:rsidRPr="00E06DFC" w:rsidR="00A00646">
        <w:rPr>
          <w:noProof/>
        </w:rPr>
        <w:t>18</w:t>
      </w:r>
      <w:r w:rsidRPr="00E06DFC">
        <w:fldChar w:fldCharType="end"/>
      </w:r>
      <w:bookmarkEnd w:id="8"/>
      <w:r w:rsidRPr="00E06DFC">
        <w:rPr>
          <w:rStyle w:val="JuParaChar"/>
        </w:rPr>
        <w:t>.  On 27 September 2021 the Court of Appeal refused the applicants</w:t>
      </w:r>
      <w:r w:rsidRPr="00E06DFC" w:rsidR="001D72B2">
        <w:rPr>
          <w:rStyle w:val="JuParaChar"/>
        </w:rPr>
        <w:t>’</w:t>
      </w:r>
      <w:r w:rsidRPr="00E06DFC">
        <w:rPr>
          <w:rStyle w:val="JuParaChar"/>
        </w:rPr>
        <w:t xml:space="preserve"> application for permission to appeal on the</w:t>
      </w:r>
      <w:r w:rsidRPr="00FC1073">
        <w:rPr>
          <w:rStyle w:val="JuParaChar"/>
        </w:rPr>
        <w:t xml:space="preserve"> basis that their claim had no real prospect of success, and there was no other compelling reason to hear the appeal.</w:t>
      </w:r>
    </w:p>
    <w:p w:rsidRPr="00FC1073" w:rsidR="00A8059F" w:rsidP="001D72B2" w14:paraId="1CB3DA22" w14:textId="77777777">
      <w:pPr>
        <w:pStyle w:val="JuHHead"/>
      </w:pPr>
      <w:r w:rsidRPr="00FC1073">
        <w:t>RELEVANT LEGAL FRAMEWORK AND PRACTICE</w:t>
      </w:r>
    </w:p>
    <w:p w:rsidRPr="00FC1073" w:rsidR="00A8059F" w:rsidP="001D72B2" w14:paraId="3AC41A73" w14:textId="77777777">
      <w:pPr>
        <w:pStyle w:val="JuHIRoman"/>
        <w:rPr>
          <w:rFonts w:eastAsia="MingLiU"/>
        </w:rPr>
      </w:pPr>
      <w:r w:rsidRPr="00FC1073">
        <w:rPr>
          <w:rFonts w:eastAsia="MingLiU"/>
          <w:caps w:val="0"/>
        </w:rPr>
        <w:t>RELEVANT DOMESTIC LAW</w:t>
      </w:r>
    </w:p>
    <w:p w:rsidRPr="00FC1073" w:rsidR="00A8059F" w:rsidP="001D72B2" w14:paraId="10378E4A" w14:textId="77777777">
      <w:pPr>
        <w:pStyle w:val="JuHA"/>
        <w:rPr>
          <w:rFonts w:eastAsia="MingLiU"/>
        </w:rPr>
      </w:pPr>
      <w:r w:rsidRPr="00FC1073">
        <w:rPr>
          <w:rFonts w:eastAsia="MingLiU"/>
        </w:rPr>
        <w:t>Legislation</w:t>
      </w:r>
    </w:p>
    <w:p w:rsidRPr="00FC1073" w:rsidR="00A8059F" w:rsidP="001D72B2" w14:paraId="3E5A5E90" w14:textId="0860B409">
      <w:pPr>
        <w:pStyle w:val="JuH1"/>
        <w:rPr>
          <w:rFonts w:eastAsia="MingLiU"/>
        </w:rPr>
      </w:pPr>
      <w:r w:rsidRPr="00FC1073">
        <w:rPr>
          <w:rFonts w:eastAsia="MingLiU"/>
        </w:rPr>
        <w:t>Human Rights Act 1998</w:t>
      </w:r>
    </w:p>
    <w:bookmarkStart w:name="paragraph00019" w:id="9"/>
    <w:p w:rsidRPr="00FC1073" w:rsidR="00A8059F" w:rsidP="001D72B2" w14:paraId="2BEA7E33" w14:textId="1E1DEC4A">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19</w:t>
      </w:r>
      <w:r w:rsidRPr="00FC1073">
        <w:rPr>
          <w:rFonts w:eastAsia="Times New Roman"/>
        </w:rPr>
        <w:fldChar w:fldCharType="end"/>
      </w:r>
      <w:bookmarkEnd w:id="9"/>
      <w:r w:rsidRPr="00FC1073">
        <w:rPr>
          <w:rFonts w:eastAsia="Times New Roman"/>
        </w:rPr>
        <w:t xml:space="preserve">.  Pursuant to section 6(1) of the </w:t>
      </w:r>
      <w:r w:rsidR="00AB170E">
        <w:rPr>
          <w:rFonts w:eastAsia="Times New Roman"/>
        </w:rPr>
        <w:t>Human Rights Act 1998</w:t>
      </w:r>
      <w:r w:rsidRPr="00FC1073">
        <w:rPr>
          <w:rFonts w:eastAsia="Times New Roman"/>
        </w:rPr>
        <w:t xml:space="preserve">, it </w:t>
      </w:r>
      <w:r w:rsidR="00ED101F">
        <w:rPr>
          <w:rFonts w:eastAsia="Times New Roman"/>
        </w:rPr>
        <w:t>i</w:t>
      </w:r>
      <w:r w:rsidRPr="00FC1073">
        <w:rPr>
          <w:rFonts w:eastAsia="Times New Roman"/>
        </w:rPr>
        <w:t xml:space="preserve">s unlawful for a public authority to act in a way which </w:t>
      </w:r>
      <w:r w:rsidR="00ED101F">
        <w:rPr>
          <w:rFonts w:eastAsia="Times New Roman"/>
        </w:rPr>
        <w:t>i</w:t>
      </w:r>
      <w:r w:rsidRPr="00FC1073">
        <w:rPr>
          <w:rFonts w:eastAsia="Times New Roman"/>
        </w:rPr>
        <w:t xml:space="preserve">s incompatible with a Convention right. However, according to section 6(6) an “act” </w:t>
      </w:r>
      <w:r w:rsidR="00ED101F">
        <w:rPr>
          <w:rFonts w:eastAsia="Times New Roman"/>
        </w:rPr>
        <w:t>does</w:t>
      </w:r>
      <w:r w:rsidRPr="00FC1073" w:rsidR="00ED101F">
        <w:rPr>
          <w:rFonts w:eastAsia="Times New Roman"/>
        </w:rPr>
        <w:t xml:space="preserve"> </w:t>
      </w:r>
      <w:r w:rsidRPr="00FC1073">
        <w:rPr>
          <w:rFonts w:eastAsia="Times New Roman"/>
        </w:rPr>
        <w:t xml:space="preserve">not include a failure </w:t>
      </w:r>
      <w:r w:rsidRPr="00FC1073">
        <w:rPr>
          <w:rFonts w:eastAsia="Times New Roman"/>
        </w:rPr>
        <w:t>to introduce in, or lay before, Parliament a proposal for legislation, or a failure to make any primary legislation or remedial order.</w:t>
      </w:r>
    </w:p>
    <w:p w:rsidRPr="00FC1073" w:rsidR="00A8059F" w:rsidP="001D72B2" w14:paraId="5DF833BB" w14:textId="7CFE9E08">
      <w:pPr>
        <w:pStyle w:val="JuH1"/>
        <w:rPr>
          <w:rFonts w:eastAsia="MingLiU"/>
        </w:rPr>
      </w:pPr>
      <w:r w:rsidRPr="00FC1073">
        <w:rPr>
          <w:rFonts w:eastAsia="MingLiU"/>
        </w:rPr>
        <w:t>Inquiries Act 2005</w:t>
      </w:r>
    </w:p>
    <w:p w:rsidRPr="00FC1073" w:rsidR="00A8059F" w:rsidP="001D72B2" w14:paraId="15E57889" w14:textId="0C6CACB6">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20</w:t>
      </w:r>
      <w:r w:rsidRPr="00FC1073">
        <w:rPr>
          <w:rFonts w:eastAsia="Times New Roman"/>
        </w:rPr>
        <w:fldChar w:fldCharType="end"/>
      </w:r>
      <w:r w:rsidRPr="00FC1073">
        <w:rPr>
          <w:rFonts w:eastAsia="Times New Roman"/>
        </w:rPr>
        <w:t xml:space="preserve">.  The Inquiries Act 2005 provided a statutory framework for </w:t>
      </w:r>
      <w:r w:rsidR="00CA0551">
        <w:rPr>
          <w:rFonts w:eastAsia="Times New Roman"/>
        </w:rPr>
        <w:t>g</w:t>
      </w:r>
      <w:r w:rsidRPr="00FC1073">
        <w:rPr>
          <w:rFonts w:eastAsia="Times New Roman"/>
        </w:rPr>
        <w:t xml:space="preserve">overnment </w:t>
      </w:r>
      <w:r w:rsidR="00CA0551">
        <w:rPr>
          <w:rFonts w:eastAsia="Times New Roman"/>
        </w:rPr>
        <w:t>m</w:t>
      </w:r>
      <w:r w:rsidRPr="00FC1073">
        <w:rPr>
          <w:rFonts w:eastAsia="Times New Roman"/>
        </w:rPr>
        <w:t xml:space="preserve">inisters to order inquiries to be held where events had occurred which caused, or which </w:t>
      </w:r>
      <w:r w:rsidRPr="00FC1073">
        <w:rPr>
          <w:rFonts w:eastAsia="Times New Roman"/>
        </w:rPr>
        <w:t>were capable of causing</w:t>
      </w:r>
      <w:r w:rsidRPr="00FC1073">
        <w:rPr>
          <w:rFonts w:eastAsia="Times New Roman"/>
        </w:rPr>
        <w:t>, public concern. Inquiries were not adversarial in nature; rather, they were an inquisitorial process aimed at establishing the truth. They were usually conducted in public, and the chairman</w:t>
      </w:r>
      <w:r w:rsidRPr="00FC1073" w:rsidR="001D72B2">
        <w:rPr>
          <w:rFonts w:eastAsia="Times New Roman"/>
        </w:rPr>
        <w:t>’</w:t>
      </w:r>
      <w:r w:rsidRPr="00FC1073">
        <w:rPr>
          <w:rFonts w:eastAsia="Times New Roman"/>
        </w:rPr>
        <w:t>s report was usually published, although in certain circumstances – for example, where there was a risk to national security – public access and the disclosure of evidence could be restricted and certain material in the report could be withheld from publication.</w:t>
      </w:r>
    </w:p>
    <w:p w:rsidRPr="00E06DFC" w:rsidR="00A8059F" w:rsidP="001D72B2" w14:paraId="1F4DCCF4" w14:textId="402A7B36">
      <w:pPr>
        <w:pStyle w:val="JuH1"/>
        <w:rPr>
          <w:rFonts w:eastAsia="MingLiU"/>
        </w:rPr>
      </w:pPr>
      <w:r w:rsidRPr="00FC1073">
        <w:rPr>
          <w:rFonts w:eastAsia="MingLiU"/>
        </w:rPr>
        <w:t xml:space="preserve">Elections </w:t>
      </w:r>
      <w:r w:rsidRPr="00E06DFC">
        <w:rPr>
          <w:rFonts w:eastAsia="MingLiU"/>
        </w:rPr>
        <w:t>Act 2022</w:t>
      </w:r>
    </w:p>
    <w:bookmarkStart w:name="paragraph00021" w:id="10"/>
    <w:p w:rsidRPr="00E06DFC" w:rsidR="00A8059F" w:rsidP="001D72B2" w14:paraId="06BC746D" w14:textId="38C5B031">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21</w:t>
      </w:r>
      <w:r w:rsidRPr="00E06DFC">
        <w:rPr>
          <w:rFonts w:eastAsia="Times New Roman"/>
        </w:rPr>
        <w:fldChar w:fldCharType="end"/>
      </w:r>
      <w:bookmarkEnd w:id="10"/>
      <w:r w:rsidRPr="00E06DFC">
        <w:rPr>
          <w:rFonts w:eastAsia="Times New Roman"/>
        </w:rPr>
        <w:t xml:space="preserve">.  Electoral law in the United Kingdom </w:t>
      </w:r>
      <w:r w:rsidRPr="00E06DFC" w:rsidR="00CA0551">
        <w:rPr>
          <w:rFonts w:eastAsia="Times New Roman"/>
        </w:rPr>
        <w:t>comprises</w:t>
      </w:r>
      <w:r w:rsidRPr="00E06DFC">
        <w:rPr>
          <w:rFonts w:eastAsia="Times New Roman"/>
        </w:rPr>
        <w:t xml:space="preserve"> primary and secondary legislative material governing elections and referendums.</w:t>
      </w:r>
    </w:p>
    <w:bookmarkStart w:name="paragraph00022" w:id="11"/>
    <w:p w:rsidRPr="00E06DFC" w:rsidR="00A8059F" w:rsidP="001D72B2" w14:paraId="06CB2D87" w14:textId="4683C6C7">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22</w:t>
      </w:r>
      <w:r w:rsidRPr="00E06DFC">
        <w:rPr>
          <w:rFonts w:eastAsia="Times New Roman"/>
        </w:rPr>
        <w:fldChar w:fldCharType="end"/>
      </w:r>
      <w:bookmarkEnd w:id="11"/>
      <w:r w:rsidRPr="00E06DFC">
        <w:rPr>
          <w:rFonts w:eastAsia="Times New Roman"/>
        </w:rPr>
        <w:t>.  Until recently, the Representation of the People Acts 1983 and 2000 and the Political Parties, Elections and Referendums Act 2000 (“PPERA”) were the key pieces of primary legislation. Among other things, they provided that any donations made to political parties, recognised third</w:t>
      </w:r>
      <w:r w:rsidRPr="00E06DFC" w:rsidR="00CA0551">
        <w:rPr>
          <w:rFonts w:eastAsia="Times New Roman"/>
        </w:rPr>
        <w:t xml:space="preserve"> </w:t>
      </w:r>
      <w:r w:rsidRPr="00E06DFC">
        <w:rPr>
          <w:rFonts w:eastAsia="Times New Roman"/>
        </w:rPr>
        <w:t xml:space="preserve">parties, regulated </w:t>
      </w:r>
      <w:r w:rsidRPr="00E06DFC">
        <w:rPr>
          <w:rFonts w:eastAsia="Times New Roman"/>
        </w:rPr>
        <w:t>donees</w:t>
      </w:r>
      <w:r w:rsidRPr="00E06DFC">
        <w:rPr>
          <w:rFonts w:eastAsia="Times New Roman"/>
        </w:rPr>
        <w:t xml:space="preserve"> (being members of registered political parties, holders of relevant elective office and members associations subject to controls on the donations and loans that they can accept) and candidates could only be made by United Kingdom-based or otherwise eligible sources. Donations from impermissible sources, including ineligible foreign donations, were prohibited.</w:t>
      </w:r>
    </w:p>
    <w:bookmarkStart w:name="paragraph00023" w:id="12"/>
    <w:p w:rsidRPr="00FC1073" w:rsidR="00A8059F" w:rsidP="001D72B2" w14:paraId="3B9E42CC" w14:textId="36904FAD">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23</w:t>
      </w:r>
      <w:r w:rsidRPr="00E06DFC">
        <w:rPr>
          <w:rFonts w:eastAsia="Times New Roman"/>
        </w:rPr>
        <w:fldChar w:fldCharType="end"/>
      </w:r>
      <w:bookmarkEnd w:id="12"/>
      <w:r w:rsidRPr="00E06DFC">
        <w:rPr>
          <w:rFonts w:eastAsia="Times New Roman"/>
        </w:rPr>
        <w:t xml:space="preserve">.  The Elections Act 2022 received Royal Assent on 28 April 2022. It amended the law </w:t>
      </w:r>
      <w:r w:rsidRPr="00E06DFC" w:rsidR="00CA0551">
        <w:rPr>
          <w:rFonts w:eastAsia="Times New Roman"/>
        </w:rPr>
        <w:t>concerning</w:t>
      </w:r>
      <w:r w:rsidRPr="00E06DFC">
        <w:rPr>
          <w:rFonts w:eastAsia="Times New Roman"/>
        </w:rPr>
        <w:t xml:space="preserve"> political finance. </w:t>
      </w:r>
      <w:r w:rsidRPr="00E06DFC">
        <w:rPr>
          <w:rFonts w:eastAsia="Times New Roman"/>
        </w:rPr>
        <w:t>In particular, it</w:t>
      </w:r>
      <w:r w:rsidRPr="00E06DFC">
        <w:rPr>
          <w:rFonts w:eastAsia="Times New Roman"/>
        </w:rPr>
        <w:t xml:space="preserve"> clarified the rules on notional spending and restricted third-party spending to United Kingdom-based</w:t>
      </w:r>
      <w:r w:rsidRPr="00FC1073">
        <w:rPr>
          <w:rFonts w:eastAsia="Times New Roman"/>
        </w:rPr>
        <w:t xml:space="preserve"> entities and eligible overseas electors only. It also increased transparency around third-party </w:t>
      </w:r>
      <w:r w:rsidRPr="00FC1073">
        <w:rPr>
          <w:rFonts w:eastAsia="Times New Roman"/>
        </w:rPr>
        <w:t>campaigning, and</w:t>
      </w:r>
      <w:r w:rsidRPr="00FC1073">
        <w:rPr>
          <w:rFonts w:eastAsia="Times New Roman"/>
        </w:rPr>
        <w:t xml:space="preserve"> introduced a statutory duty for the Electoral Commission to produce guidance on the operation of Part 6 of PPERA, which concerned controls relating to third</w:t>
      </w:r>
      <w:r w:rsidR="00CA0551">
        <w:rPr>
          <w:rFonts w:eastAsia="Times New Roman"/>
        </w:rPr>
        <w:t>-</w:t>
      </w:r>
      <w:r w:rsidRPr="00FC1073">
        <w:rPr>
          <w:rFonts w:eastAsia="Times New Roman"/>
        </w:rPr>
        <w:t>party national election campaigns.</w:t>
      </w:r>
    </w:p>
    <w:bookmarkStart w:name="paragraph00024" w:id="13"/>
    <w:p w:rsidRPr="00FC1073" w:rsidR="00A8059F" w:rsidP="001D72B2" w14:paraId="41757323" w14:textId="5198E78D">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24</w:t>
      </w:r>
      <w:r w:rsidRPr="00FC1073">
        <w:rPr>
          <w:rFonts w:eastAsia="Times New Roman"/>
        </w:rPr>
        <w:fldChar w:fldCharType="end"/>
      </w:r>
      <w:bookmarkEnd w:id="13"/>
      <w:r w:rsidRPr="00FC1073">
        <w:rPr>
          <w:rFonts w:eastAsia="Times New Roman"/>
        </w:rPr>
        <w:t>.  </w:t>
      </w:r>
      <w:r w:rsidR="00CA0551">
        <w:rPr>
          <w:rFonts w:eastAsia="Times New Roman"/>
        </w:rPr>
        <w:t>Under</w:t>
      </w:r>
      <w:r w:rsidRPr="00FC1073">
        <w:rPr>
          <w:rFonts w:eastAsia="Times New Roman"/>
        </w:rPr>
        <w:t xml:space="preserve"> section 110 of the </w:t>
      </w:r>
      <w:r w:rsidRPr="00E06DFC" w:rsidR="00E9644A">
        <w:rPr>
          <w:rFonts w:eastAsia="Times New Roman"/>
        </w:rPr>
        <w:t>Representation of the People Act</w:t>
      </w:r>
      <w:r w:rsidR="00E9644A">
        <w:rPr>
          <w:rFonts w:eastAsia="Times New Roman"/>
        </w:rPr>
        <w:t xml:space="preserve"> </w:t>
      </w:r>
      <w:r w:rsidRPr="00FC1073">
        <w:rPr>
          <w:rFonts w:eastAsia="Times New Roman"/>
        </w:rPr>
        <w:t xml:space="preserve">1983 and section 143 of PPERA, printed material produced during an election campaign had to include an imprint providing information about who had produced the material and on behalf of whom they promoted it. Part 6 of the </w:t>
      </w:r>
      <w:r w:rsidR="004E6C0D">
        <w:rPr>
          <w:rFonts w:eastAsia="Times New Roman"/>
        </w:rPr>
        <w:t xml:space="preserve">Elections Act </w:t>
      </w:r>
      <w:r w:rsidRPr="00FC1073">
        <w:rPr>
          <w:rFonts w:eastAsia="Times New Roman"/>
        </w:rPr>
        <w:t>2022 introduced a new requirement for digital campaigning material to display a digital imprint, with the name and address of the promoter of the material or any person on behalf of whom the material was being published (and who was not the promoter).</w:t>
      </w:r>
    </w:p>
    <w:p w:rsidRPr="00FC1073" w:rsidR="00A8059F" w:rsidP="001D72B2" w14:paraId="51CED630" w14:textId="71F7E1A3">
      <w:pPr>
        <w:pStyle w:val="JuH1"/>
        <w:rPr>
          <w:rFonts w:eastAsia="MingLiU"/>
        </w:rPr>
      </w:pPr>
      <w:r w:rsidRPr="00FC1073">
        <w:rPr>
          <w:rFonts w:eastAsia="MingLiU"/>
        </w:rPr>
        <w:t>National Security Act 2023</w:t>
      </w:r>
    </w:p>
    <w:bookmarkStart w:name="paragraph00025" w:id="14"/>
    <w:p w:rsidRPr="00FC1073" w:rsidR="00A8059F" w:rsidP="001D72B2" w14:paraId="06FBCC6D" w14:textId="53406C21">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25</w:t>
      </w:r>
      <w:r w:rsidRPr="00FC1073">
        <w:rPr>
          <w:rFonts w:eastAsia="Times New Roman"/>
        </w:rPr>
        <w:fldChar w:fldCharType="end"/>
      </w:r>
      <w:bookmarkEnd w:id="14"/>
      <w:r w:rsidRPr="00FC1073">
        <w:rPr>
          <w:rFonts w:eastAsia="Times New Roman"/>
        </w:rPr>
        <w:t>.  The National Security Act 2023 (“the NSA 2023”), which received Royal Assent on 11 July 2023, brought together a suite of new measures to protect the United Kingdom</w:t>
      </w:r>
      <w:r w:rsidRPr="00FC1073" w:rsidR="001D72B2">
        <w:rPr>
          <w:rFonts w:eastAsia="Times New Roman"/>
        </w:rPr>
        <w:t>’</w:t>
      </w:r>
      <w:r w:rsidRPr="00FC1073">
        <w:rPr>
          <w:rFonts w:eastAsia="Times New Roman"/>
        </w:rPr>
        <w:t>s national security, the safety of the British public and the United Kingdom</w:t>
      </w:r>
      <w:r w:rsidRPr="00FC1073" w:rsidR="001D72B2">
        <w:rPr>
          <w:rFonts w:eastAsia="Times New Roman"/>
        </w:rPr>
        <w:t>’</w:t>
      </w:r>
      <w:r w:rsidRPr="00FC1073">
        <w:rPr>
          <w:rFonts w:eastAsia="Times New Roman"/>
        </w:rPr>
        <w:t>s vital interests from the hostile activities of foreign States.</w:t>
      </w:r>
    </w:p>
    <w:bookmarkStart w:name="paragraph00026" w:id="15"/>
    <w:p w:rsidRPr="00FC1073" w:rsidR="00A8059F" w:rsidP="001D72B2" w14:paraId="04DE3509" w14:textId="4B10962B">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26</w:t>
      </w:r>
      <w:r w:rsidRPr="00FC1073">
        <w:rPr>
          <w:rFonts w:eastAsia="Times New Roman"/>
        </w:rPr>
        <w:fldChar w:fldCharType="end"/>
      </w:r>
      <w:bookmarkEnd w:id="15"/>
      <w:r w:rsidRPr="00FC1073">
        <w:rPr>
          <w:rFonts w:eastAsia="Times New Roman"/>
        </w:rPr>
        <w:t>.  More particularly, the NSA 2023 created new offences and accompanying police powers to capture harmful activity around sites that were critical to the safety or interests of the United Kingdom; explicitly criminalised assisting a foreign intelligence service in carrying out activities in the United Kingdom or overseas where such conduct was prejudicial to the United Kingdom</w:t>
      </w:r>
      <w:r w:rsidRPr="00FC1073" w:rsidR="001D72B2">
        <w:rPr>
          <w:rFonts w:eastAsia="Times New Roman"/>
        </w:rPr>
        <w:t>’</w:t>
      </w:r>
      <w:r w:rsidRPr="00FC1073">
        <w:rPr>
          <w:rFonts w:eastAsia="Times New Roman"/>
        </w:rPr>
        <w:t>s safety and interests; established a new offence of sabotage designed to capture State-linked saboteurs who acted in a way that was prejudicial to the United Kingdom</w:t>
      </w:r>
      <w:r w:rsidRPr="00FC1073" w:rsidR="001D72B2">
        <w:rPr>
          <w:rFonts w:eastAsia="Times New Roman"/>
        </w:rPr>
        <w:t>’</w:t>
      </w:r>
      <w:r w:rsidRPr="00FC1073">
        <w:rPr>
          <w:rFonts w:eastAsia="Times New Roman"/>
        </w:rPr>
        <w:t>s safety or interests by causing damage, including through cyber-attacks, to assets (including critical infrastructure, electronic systems and information); established a new offence of foreign interference where conduct was intended to have a specified negative effect and certain conditions were satisfied; increased the maximum custodial penalties for certain election-related offences that were carried out for or on behalf of, or with the intention to benefit, a foreign power; and replaced the existing acts preparatory offence under the Official Secrets Act 1920 with a new offence to ensure that it could effectively target harmful preparatory State threats activity.</w:t>
      </w:r>
    </w:p>
    <w:bookmarkStart w:name="paragraph00027" w:id="16"/>
    <w:p w:rsidRPr="00FC1073" w:rsidR="00A8059F" w:rsidP="001D72B2" w14:paraId="5BA56007" w14:textId="03245C91">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27</w:t>
      </w:r>
      <w:r w:rsidRPr="00FC1073">
        <w:rPr>
          <w:rFonts w:eastAsia="Times New Roman"/>
        </w:rPr>
        <w:fldChar w:fldCharType="end"/>
      </w:r>
      <w:bookmarkEnd w:id="16"/>
      <w:r w:rsidRPr="00FC1073">
        <w:rPr>
          <w:rFonts w:eastAsia="Times New Roman"/>
        </w:rPr>
        <w:t>.  Part 4 of the NSA 2023 introduced a Foreign Influence Registration Scheme to strengthen the resilience of the United Kingdom political system against covert foreign influence and to provide greater assurance around the activities of specified foreign powers or entities.</w:t>
      </w:r>
    </w:p>
    <w:p w:rsidRPr="00FC1073" w:rsidR="00A8059F" w:rsidP="001D72B2" w14:paraId="7261CA80" w14:textId="4D982D1D">
      <w:pPr>
        <w:pStyle w:val="JuH1"/>
        <w:rPr>
          <w:rFonts w:eastAsia="MingLiU"/>
        </w:rPr>
      </w:pPr>
      <w:r w:rsidRPr="00FC1073">
        <w:rPr>
          <w:rFonts w:eastAsia="MingLiU"/>
        </w:rPr>
        <w:t>Online Safety Act 2023</w:t>
      </w:r>
    </w:p>
    <w:bookmarkStart w:name="paragraph00028" w:id="17"/>
    <w:p w:rsidRPr="00FC1073" w:rsidR="00A8059F" w:rsidP="001D72B2" w14:paraId="2CA28829" w14:textId="585D9DD2">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28</w:t>
      </w:r>
      <w:r w:rsidRPr="00FC1073">
        <w:rPr>
          <w:rFonts w:eastAsia="Times New Roman"/>
        </w:rPr>
        <w:fldChar w:fldCharType="end"/>
      </w:r>
      <w:bookmarkEnd w:id="17"/>
      <w:r w:rsidRPr="00FC1073">
        <w:rPr>
          <w:rFonts w:eastAsia="Times New Roman"/>
        </w:rPr>
        <w:t>.  The Online Safety Act 2023, which received Royal Assent on 26</w:t>
      </w:r>
      <w:r w:rsidR="00F5331C">
        <w:rPr>
          <w:rFonts w:eastAsia="Times New Roman"/>
        </w:rPr>
        <w:t> </w:t>
      </w:r>
      <w:r w:rsidRPr="00FC1073">
        <w:rPr>
          <w:rFonts w:eastAsia="Times New Roman"/>
        </w:rPr>
        <w:t xml:space="preserve">October 2023, established a new regulatory regime holding tech companies accountable to an independent regulator. It addressed misinformation and disinformation where it constituted illegal content or content harmful to </w:t>
      </w:r>
      <w:r w:rsidRPr="00FC1073">
        <w:rPr>
          <w:rFonts w:eastAsia="Times New Roman"/>
        </w:rPr>
        <w:t>children, and</w:t>
      </w:r>
      <w:r w:rsidRPr="00FC1073">
        <w:rPr>
          <w:rFonts w:eastAsia="Times New Roman"/>
        </w:rPr>
        <w:t xml:space="preserve"> set out a list of priority offences reflecting the most serious and prevalent illegal content and activity, against which companies had to take proactive measures. The offence of foreign interference introduced by the NSA 2023 (see paragraph </w:t>
      </w:r>
      <w:r w:rsidRPr="00FC1073">
        <w:rPr>
          <w:rFonts w:eastAsia="Times New Roman"/>
        </w:rPr>
        <w:fldChar w:fldCharType="begin"/>
      </w:r>
      <w:r w:rsidRPr="00FC1073">
        <w:rPr>
          <w:rFonts w:eastAsia="Times New Roman"/>
        </w:rPr>
        <w:instrText xml:space="preserve">REF paragraph00026 \h \* CharFormat </w:instrText>
      </w:r>
      <w:r w:rsidRPr="00FC1073">
        <w:rPr>
          <w:rFonts w:eastAsia="Times New Roman"/>
        </w:rPr>
        <w:fldChar w:fldCharType="separate"/>
      </w:r>
      <w:r w:rsidR="00A00646">
        <w:rPr>
          <w:rFonts w:eastAsia="Times New Roman"/>
        </w:rPr>
        <w:t>26</w:t>
      </w:r>
      <w:r w:rsidRPr="00FC1073">
        <w:rPr>
          <w:rFonts w:eastAsia="Times New Roman"/>
        </w:rPr>
        <w:fldChar w:fldCharType="end"/>
      </w:r>
      <w:r w:rsidRPr="00FC1073">
        <w:rPr>
          <w:rFonts w:eastAsia="Times New Roman"/>
        </w:rPr>
        <w:t xml:space="preserve"> above) was deemed to be a “priority offence”.</w:t>
      </w:r>
    </w:p>
    <w:p w:rsidRPr="00FC1073" w:rsidR="00A8059F" w:rsidP="001D72B2" w14:paraId="724E69E1" w14:textId="77777777">
      <w:pPr>
        <w:pStyle w:val="JuHA"/>
        <w:rPr>
          <w:rFonts w:eastAsia="MingLiU"/>
        </w:rPr>
      </w:pPr>
      <w:r w:rsidRPr="00FC1073">
        <w:rPr>
          <w:rFonts w:eastAsia="MingLiU"/>
        </w:rPr>
        <w:t>Regulation and oversight</w:t>
      </w:r>
    </w:p>
    <w:p w:rsidRPr="00FC1073" w:rsidR="00A8059F" w:rsidP="001D72B2" w14:paraId="4540C689" w14:textId="1A7C58E2">
      <w:pPr>
        <w:pStyle w:val="JuH1"/>
        <w:rPr>
          <w:rFonts w:eastAsia="MingLiU"/>
        </w:rPr>
      </w:pPr>
      <w:r w:rsidRPr="00FC1073">
        <w:rPr>
          <w:rFonts w:eastAsia="MingLiU"/>
        </w:rPr>
        <w:t>Election Court</w:t>
      </w:r>
    </w:p>
    <w:bookmarkStart w:name="paragraph00029" w:id="18"/>
    <w:p w:rsidRPr="00FC1073" w:rsidR="00A8059F" w:rsidP="001D72B2" w14:paraId="610D61E4" w14:textId="03B939D7">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29</w:t>
      </w:r>
      <w:r w:rsidRPr="00FC1073">
        <w:rPr>
          <w:rFonts w:eastAsia="Times New Roman"/>
        </w:rPr>
        <w:fldChar w:fldCharType="end"/>
      </w:r>
      <w:bookmarkEnd w:id="18"/>
      <w:r w:rsidRPr="00FC1073">
        <w:rPr>
          <w:rFonts w:eastAsia="Times New Roman"/>
        </w:rPr>
        <w:t>.  </w:t>
      </w:r>
      <w:r w:rsidR="00CA0551">
        <w:rPr>
          <w:rFonts w:eastAsia="Times New Roman"/>
        </w:rPr>
        <w:t>Under</w:t>
      </w:r>
      <w:r w:rsidRPr="00FC1073">
        <w:rPr>
          <w:rFonts w:eastAsia="Times New Roman"/>
        </w:rPr>
        <w:t xml:space="preserve"> section 120 of the </w:t>
      </w:r>
      <w:r w:rsidRPr="00E06DFC" w:rsidR="00E9644A">
        <w:rPr>
          <w:rFonts w:eastAsia="Times New Roman"/>
        </w:rPr>
        <w:t>Representation of the People Act</w:t>
      </w:r>
      <w:r w:rsidR="00E9644A">
        <w:rPr>
          <w:rFonts w:eastAsia="Times New Roman"/>
        </w:rPr>
        <w:t xml:space="preserve"> </w:t>
      </w:r>
      <w:r w:rsidRPr="00FC1073">
        <w:rPr>
          <w:rFonts w:eastAsia="Times New Roman"/>
        </w:rPr>
        <w:t xml:space="preserve">1983 (see paragraph </w:t>
      </w:r>
      <w:r w:rsidRPr="00FC1073">
        <w:rPr>
          <w:rFonts w:eastAsia="Times New Roman"/>
        </w:rPr>
        <w:fldChar w:fldCharType="begin"/>
      </w:r>
      <w:r w:rsidRPr="00FC1073">
        <w:rPr>
          <w:rFonts w:eastAsia="Times New Roman"/>
        </w:rPr>
        <w:instrText xml:space="preserve">REF paragraph00022 \h \* CharFormat </w:instrText>
      </w:r>
      <w:r w:rsidRPr="00FC1073">
        <w:rPr>
          <w:rFonts w:eastAsia="Times New Roman"/>
        </w:rPr>
        <w:fldChar w:fldCharType="separate"/>
      </w:r>
      <w:r w:rsidR="00A00646">
        <w:rPr>
          <w:rFonts w:eastAsia="Times New Roman"/>
        </w:rPr>
        <w:t>22</w:t>
      </w:r>
      <w:r w:rsidRPr="00FC1073">
        <w:rPr>
          <w:rFonts w:eastAsia="Times New Roman"/>
        </w:rPr>
        <w:fldChar w:fldCharType="end"/>
      </w:r>
      <w:r w:rsidRPr="00FC1073">
        <w:rPr>
          <w:rFonts w:eastAsia="Times New Roman"/>
        </w:rPr>
        <w:t xml:space="preserve"> above), petitions against the outcome of elections, or the outcome of an election campaign, can be brought before the Election Court. Section 157 of the </w:t>
      </w:r>
      <w:r w:rsidR="00E9644A">
        <w:rPr>
          <w:rFonts w:eastAsia="Times New Roman"/>
        </w:rPr>
        <w:t xml:space="preserve">Act </w:t>
      </w:r>
      <w:r w:rsidRPr="00FC1073">
        <w:rPr>
          <w:rFonts w:eastAsia="Times New Roman"/>
        </w:rPr>
        <w:t xml:space="preserve">allows decisions of the Election Court to be appealed </w:t>
      </w:r>
      <w:r w:rsidR="004A63C0">
        <w:rPr>
          <w:rFonts w:eastAsia="Times New Roman"/>
        </w:rPr>
        <w:t xml:space="preserve">against </w:t>
      </w:r>
      <w:r w:rsidRPr="00FC1073">
        <w:rPr>
          <w:rFonts w:eastAsia="Times New Roman"/>
        </w:rPr>
        <w:t>to the Court of Appeal on a question of law.</w:t>
      </w:r>
    </w:p>
    <w:p w:rsidRPr="00FC1073" w:rsidR="00A8059F" w:rsidP="001D72B2" w14:paraId="597145C9" w14:textId="73EC926B">
      <w:pPr>
        <w:pStyle w:val="JuH1"/>
        <w:rPr>
          <w:rFonts w:eastAsia="MingLiU"/>
        </w:rPr>
      </w:pPr>
      <w:r w:rsidRPr="00FC1073">
        <w:rPr>
          <w:rFonts w:eastAsia="MingLiU"/>
        </w:rPr>
        <w:t>Electoral Commission</w:t>
      </w:r>
    </w:p>
    <w:bookmarkStart w:name="paragraph00030" w:id="19"/>
    <w:p w:rsidRPr="00FC1073" w:rsidR="00A8059F" w:rsidP="001D72B2" w14:paraId="698F27AE" w14:textId="55B9FE3E">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30</w:t>
      </w:r>
      <w:r w:rsidRPr="00FC1073">
        <w:rPr>
          <w:rFonts w:eastAsia="Times New Roman"/>
        </w:rPr>
        <w:fldChar w:fldCharType="end"/>
      </w:r>
      <w:bookmarkEnd w:id="19"/>
      <w:r w:rsidRPr="00FC1073">
        <w:rPr>
          <w:rFonts w:eastAsia="Times New Roman"/>
        </w:rPr>
        <w:t xml:space="preserve">.  The Electoral Commission is an independent statutory body responsible for overseeing elections and regulating political finance in the United Kingdom. It seeks to promote public confidence in the democratic process and ensure its integrity. It has extensive powers and responsibilities to oversee compliance with electoral law, as well as to issue public reports on the conduct of elections. It was set up under PPERA (see paragraph </w:t>
      </w:r>
      <w:r w:rsidRPr="00FC1073">
        <w:rPr>
          <w:rFonts w:eastAsia="Times New Roman"/>
        </w:rPr>
        <w:fldChar w:fldCharType="begin"/>
      </w:r>
      <w:r w:rsidRPr="00FC1073">
        <w:rPr>
          <w:rFonts w:eastAsia="Times New Roman"/>
        </w:rPr>
        <w:instrText xml:space="preserve">REF paragraph00022 \h \* CharFormat </w:instrText>
      </w:r>
      <w:r w:rsidRPr="00FC1073">
        <w:rPr>
          <w:rFonts w:eastAsia="Times New Roman"/>
        </w:rPr>
        <w:fldChar w:fldCharType="separate"/>
      </w:r>
      <w:r w:rsidR="00A00646">
        <w:rPr>
          <w:rFonts w:eastAsia="Times New Roman"/>
        </w:rPr>
        <w:t>22</w:t>
      </w:r>
      <w:r w:rsidRPr="00FC1073">
        <w:rPr>
          <w:rFonts w:eastAsia="Times New Roman"/>
        </w:rPr>
        <w:fldChar w:fldCharType="end"/>
      </w:r>
      <w:r w:rsidRPr="00FC1073">
        <w:rPr>
          <w:rFonts w:eastAsia="Times New Roman"/>
        </w:rPr>
        <w:t xml:space="preserve"> above) to be independent of </w:t>
      </w:r>
      <w:r w:rsidR="00CA0551">
        <w:rPr>
          <w:rFonts w:eastAsia="Times New Roman"/>
        </w:rPr>
        <w:t>g</w:t>
      </w:r>
      <w:r w:rsidRPr="00FC1073">
        <w:rPr>
          <w:rFonts w:eastAsia="Times New Roman"/>
        </w:rPr>
        <w:t>overnment. It is directly accountable to Parliament.</w:t>
      </w:r>
    </w:p>
    <w:bookmarkStart w:name="paragraph00031" w:id="20"/>
    <w:p w:rsidRPr="00FC1073" w:rsidR="00A8059F" w:rsidP="001D72B2" w14:paraId="33F21B20" w14:textId="2C23649F">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31</w:t>
      </w:r>
      <w:r w:rsidRPr="00FC1073">
        <w:rPr>
          <w:rFonts w:eastAsia="Times New Roman"/>
        </w:rPr>
        <w:fldChar w:fldCharType="end"/>
      </w:r>
      <w:bookmarkEnd w:id="20"/>
      <w:r w:rsidRPr="00FC1073">
        <w:rPr>
          <w:rFonts w:eastAsia="Times New Roman"/>
        </w:rPr>
        <w:t>.  Under Parts V and VI of PPERA, the Electoral Commission publishes details of all payments made by political parties and registered third-party campaigners during the regulated period in the run-up to a parliamentary election. It also publishes online donations to political parties above 7,500</w:t>
      </w:r>
      <w:r w:rsidR="00B326AB">
        <w:rPr>
          <w:rFonts w:eastAsia="Times New Roman"/>
        </w:rPr>
        <w:t> </w:t>
      </w:r>
      <w:r w:rsidR="00CA0551">
        <w:rPr>
          <w:rFonts w:eastAsia="Times New Roman"/>
        </w:rPr>
        <w:t>pounds sterling</w:t>
      </w:r>
      <w:r w:rsidRPr="00FC1073">
        <w:rPr>
          <w:rFonts w:eastAsia="Times New Roman"/>
        </w:rPr>
        <w:t>.</w:t>
      </w:r>
    </w:p>
    <w:p w:rsidRPr="00FC1073" w:rsidR="00A8059F" w:rsidP="001D72B2" w14:paraId="6A075717" w14:textId="673AED24">
      <w:pPr>
        <w:pStyle w:val="JuH1"/>
        <w:rPr>
          <w:rFonts w:eastAsia="MingLiU"/>
        </w:rPr>
      </w:pPr>
      <w:r w:rsidRPr="00FC1073">
        <w:rPr>
          <w:rFonts w:eastAsia="MingLiU"/>
        </w:rPr>
        <w:t>Counter Disinformation Unit</w:t>
      </w:r>
    </w:p>
    <w:bookmarkStart w:name="paragraph00032" w:id="21"/>
    <w:p w:rsidRPr="00E06DFC" w:rsidR="00A8059F" w:rsidP="001D72B2" w14:paraId="36A4FD99" w14:textId="56013A69">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32</w:t>
      </w:r>
      <w:r w:rsidRPr="00FC1073">
        <w:rPr>
          <w:rFonts w:eastAsia="Times New Roman"/>
        </w:rPr>
        <w:fldChar w:fldCharType="end"/>
      </w:r>
      <w:bookmarkEnd w:id="21"/>
      <w:r w:rsidRPr="00FC1073">
        <w:rPr>
          <w:rFonts w:eastAsia="Times New Roman"/>
        </w:rPr>
        <w:t>.  The Counter Disinformation Unit, now known as the National Security Online Information Team</w:t>
      </w:r>
      <w:r w:rsidR="00EE54AD">
        <w:rPr>
          <w:rFonts w:eastAsia="Times New Roman"/>
        </w:rPr>
        <w:t>,</w:t>
      </w:r>
      <w:r w:rsidRPr="00FC1073">
        <w:rPr>
          <w:rFonts w:eastAsia="Times New Roman"/>
        </w:rPr>
        <w:t xml:space="preserve"> was set up in 2019 and currently sits within the Department for Science, Innovation and Technology. It leads the domestic operational and policy response for countering disinformation across </w:t>
      </w:r>
      <w:r w:rsidR="00CA0551">
        <w:rPr>
          <w:rFonts w:eastAsia="Times New Roman"/>
        </w:rPr>
        <w:t>g</w:t>
      </w:r>
      <w:r w:rsidRPr="00FC1073">
        <w:rPr>
          <w:rFonts w:eastAsia="Times New Roman"/>
        </w:rPr>
        <w:t>overnment. It brings together monitoring and analysis capabilities for major elections, key national events and acute information incidents, such as the Russian information operations during the war in Ukraine and C</w:t>
      </w:r>
      <w:r w:rsidR="00CA0551">
        <w:rPr>
          <w:rFonts w:eastAsia="Times New Roman"/>
        </w:rPr>
        <w:t>OVID</w:t>
      </w:r>
      <w:r w:rsidR="00CA0551">
        <w:rPr>
          <w:rFonts w:eastAsia="Times New Roman"/>
        </w:rPr>
        <w:noBreakHyphen/>
      </w:r>
      <w:r w:rsidRPr="00FC1073">
        <w:rPr>
          <w:rFonts w:eastAsia="Times New Roman"/>
        </w:rPr>
        <w:t xml:space="preserve">19. It also proactively monitors for harmful narratives that threaten the United Kingdom, and coordinates with </w:t>
      </w:r>
      <w:r w:rsidR="00CA0551">
        <w:rPr>
          <w:rFonts w:eastAsia="Times New Roman"/>
        </w:rPr>
        <w:t>g</w:t>
      </w:r>
      <w:r w:rsidRPr="00FC1073">
        <w:rPr>
          <w:rFonts w:eastAsia="Times New Roman"/>
        </w:rPr>
        <w:t xml:space="preserve">overnment departments to deploy the appropriate response to mis/disinformation. This could </w:t>
      </w:r>
      <w:r w:rsidRPr="00E06DFC">
        <w:rPr>
          <w:rFonts w:eastAsia="Times New Roman"/>
        </w:rPr>
        <w:t>involve a direct rebuttal on social media, awareness</w:t>
      </w:r>
      <w:r w:rsidRPr="00E06DFC" w:rsidR="00CA0551">
        <w:rPr>
          <w:rFonts w:eastAsia="Times New Roman"/>
        </w:rPr>
        <w:t>-</w:t>
      </w:r>
      <w:r w:rsidRPr="00E06DFC">
        <w:rPr>
          <w:rFonts w:eastAsia="Times New Roman"/>
        </w:rPr>
        <w:t>raising campaigns to promote the facts or, in cases where platforms</w:t>
      </w:r>
      <w:r w:rsidRPr="00E06DFC" w:rsidR="001D72B2">
        <w:rPr>
          <w:rFonts w:eastAsia="Times New Roman"/>
        </w:rPr>
        <w:t>’</w:t>
      </w:r>
      <w:r w:rsidRPr="00E06DFC">
        <w:rPr>
          <w:rFonts w:eastAsia="Times New Roman"/>
        </w:rPr>
        <w:t xml:space="preserve"> terms of service may have been violated, referring content to the relevant platform for consideration.</w:t>
      </w:r>
    </w:p>
    <w:bookmarkStart w:name="paragraph00033" w:id="22"/>
    <w:p w:rsidRPr="00FC1073" w:rsidR="00A8059F" w:rsidP="001D72B2" w14:paraId="72A1B42A" w14:textId="082A9FE5">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33</w:t>
      </w:r>
      <w:r w:rsidRPr="00E06DFC">
        <w:rPr>
          <w:rFonts w:eastAsia="Times New Roman"/>
        </w:rPr>
        <w:fldChar w:fldCharType="end"/>
      </w:r>
      <w:bookmarkEnd w:id="22"/>
      <w:r w:rsidRPr="00E06DFC">
        <w:rPr>
          <w:rFonts w:eastAsia="Times New Roman"/>
        </w:rPr>
        <w:t xml:space="preserve">.  According to a factsheet published by the United Kingdom Government on the </w:t>
      </w:r>
      <w:r w:rsidRPr="00FC1073" w:rsidR="00EE54AD">
        <w:rPr>
          <w:rFonts w:eastAsia="Times New Roman"/>
        </w:rPr>
        <w:t>Counter Disinformation Unit</w:t>
      </w:r>
      <w:r w:rsidRPr="00E06DFC">
        <w:rPr>
          <w:rFonts w:eastAsia="Times New Roman"/>
        </w:rPr>
        <w:t>, disinformation is defined as the deliberate creation and spreading of false and/or manipulated information that is intended to deceive and mislead people, either for the</w:t>
      </w:r>
      <w:r w:rsidRPr="00FC1073">
        <w:rPr>
          <w:rFonts w:eastAsia="Times New Roman"/>
        </w:rPr>
        <w:t xml:space="preserve"> purposes of causing harm, or for political, personal or financial gain. </w:t>
      </w:r>
      <w:r w:rsidRPr="00FC1073">
        <w:rPr>
          <w:rFonts w:eastAsia="Times New Roman"/>
        </w:rPr>
        <w:t>Misinformation, on the other hand, is the inadvertent spread of false information.</w:t>
      </w:r>
    </w:p>
    <w:p w:rsidRPr="00FC1073" w:rsidR="00A8059F" w:rsidP="001D72B2" w14:paraId="4089AA71" w14:textId="4662FB95">
      <w:pPr>
        <w:pStyle w:val="JuH1"/>
        <w:rPr>
          <w:rFonts w:eastAsia="MingLiU"/>
        </w:rPr>
      </w:pPr>
      <w:r w:rsidRPr="00FC1073">
        <w:rPr>
          <w:rFonts w:eastAsia="MingLiU"/>
        </w:rPr>
        <w:t>Defending Democracy Taskforce</w:t>
      </w:r>
    </w:p>
    <w:bookmarkStart w:name="paragraph00034" w:id="23"/>
    <w:p w:rsidRPr="00FC1073" w:rsidR="00A8059F" w:rsidP="001D72B2" w14:paraId="7C5C7C33" w14:textId="5E5A4F68">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34</w:t>
      </w:r>
      <w:r w:rsidRPr="00FC1073">
        <w:rPr>
          <w:rFonts w:eastAsia="Times New Roman"/>
        </w:rPr>
        <w:fldChar w:fldCharType="end"/>
      </w:r>
      <w:bookmarkEnd w:id="23"/>
      <w:r w:rsidRPr="00FC1073">
        <w:rPr>
          <w:rFonts w:eastAsia="Times New Roman"/>
        </w:rPr>
        <w:t xml:space="preserve">.  In November 2022 the Government launched its Defending Democracy Taskforce. </w:t>
      </w:r>
      <w:r w:rsidR="005A5F17">
        <w:rPr>
          <w:rFonts w:eastAsia="Times New Roman"/>
        </w:rPr>
        <w:t>The task force’</w:t>
      </w:r>
      <w:r w:rsidRPr="00FC1073">
        <w:rPr>
          <w:rFonts w:eastAsia="Times New Roman"/>
        </w:rPr>
        <w:t>s stated aim was to “protect the democratic integrity of the UK” as an “enduring government function with particular focus on foreign interference”.</w:t>
      </w:r>
    </w:p>
    <w:p w:rsidRPr="00FC1073" w:rsidR="00A8059F" w:rsidP="001D72B2" w14:paraId="0315B7DA" w14:textId="0005B882">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35</w:t>
      </w:r>
      <w:r w:rsidRPr="00FC1073">
        <w:rPr>
          <w:rFonts w:eastAsia="Times New Roman"/>
        </w:rPr>
        <w:fldChar w:fldCharType="end"/>
      </w:r>
      <w:r w:rsidRPr="00FC1073">
        <w:rPr>
          <w:rFonts w:eastAsia="Times New Roman"/>
        </w:rPr>
        <w:t>.  It works with local councils, police forces and global tech companies to:</w:t>
      </w:r>
    </w:p>
    <w:p w:rsidRPr="00FC1073" w:rsidR="00A8059F" w:rsidP="00E9157B" w14:paraId="733ADB77" w14:textId="1069CA90">
      <w:pPr>
        <w:pStyle w:val="JuPara"/>
        <w:rPr>
          <w:rFonts w:eastAsia="Times New Roman"/>
        </w:rPr>
      </w:pPr>
      <w:r>
        <w:rPr>
          <w:rFonts w:eastAsia="Times New Roman"/>
        </w:rPr>
        <w:t>(</w:t>
      </w:r>
      <w:r w:rsidR="005D491B">
        <w:rPr>
          <w:rFonts w:eastAsia="Times New Roman"/>
        </w:rPr>
        <w:t>i</w:t>
      </w:r>
      <w:r>
        <w:rPr>
          <w:rFonts w:eastAsia="Times New Roman"/>
        </w:rPr>
        <w:t>)  </w:t>
      </w:r>
      <w:r w:rsidRPr="00FC1073">
        <w:rPr>
          <w:rFonts w:eastAsia="Times New Roman"/>
        </w:rPr>
        <w:t>ensure that electoral processes and infrastructure are secure and resilient;</w:t>
      </w:r>
    </w:p>
    <w:p w:rsidRPr="00FC1073" w:rsidR="00A8059F" w:rsidP="00E9157B" w14:paraId="34026A0E" w14:textId="126FF10A">
      <w:pPr>
        <w:pStyle w:val="JuPara"/>
        <w:rPr>
          <w:rFonts w:eastAsia="Times New Roman"/>
        </w:rPr>
      </w:pPr>
      <w:r>
        <w:rPr>
          <w:rFonts w:eastAsia="Times New Roman"/>
        </w:rPr>
        <w:t>(</w:t>
      </w:r>
      <w:r w:rsidR="005D491B">
        <w:rPr>
          <w:rFonts w:eastAsia="Times New Roman"/>
        </w:rPr>
        <w:t>ii</w:t>
      </w:r>
      <w:r>
        <w:rPr>
          <w:rFonts w:eastAsia="Times New Roman"/>
        </w:rPr>
        <w:t>)  </w:t>
      </w:r>
      <w:r w:rsidRPr="00FC1073">
        <w:rPr>
          <w:rFonts w:eastAsia="Times New Roman"/>
        </w:rPr>
        <w:t>ensure elected officials are protected “at all levels” from physical, cyber, and additional threats; and</w:t>
      </w:r>
    </w:p>
    <w:p w:rsidRPr="00FC1073" w:rsidR="00A8059F" w:rsidP="00E9157B" w14:paraId="5BAB7560" w14:textId="28E245FD">
      <w:pPr>
        <w:pStyle w:val="JuPara"/>
        <w:rPr>
          <w:rFonts w:eastAsia="Times New Roman"/>
        </w:rPr>
      </w:pPr>
      <w:r>
        <w:rPr>
          <w:rFonts w:eastAsia="Times New Roman"/>
        </w:rPr>
        <w:t>(</w:t>
      </w:r>
      <w:r w:rsidR="005D491B">
        <w:rPr>
          <w:rFonts w:eastAsia="Times New Roman"/>
        </w:rPr>
        <w:t>iii</w:t>
      </w:r>
      <w:r>
        <w:rPr>
          <w:rFonts w:eastAsia="Times New Roman"/>
        </w:rPr>
        <w:t>)  </w:t>
      </w:r>
      <w:r w:rsidRPr="00FC1073">
        <w:rPr>
          <w:rFonts w:eastAsia="Times New Roman"/>
        </w:rPr>
        <w:t>counter disinformation efforts aimed at “disrupting our national conversation and skewing our democratic processes”.</w:t>
      </w:r>
    </w:p>
    <w:bookmarkStart w:name="paragraph00036" w:id="24"/>
    <w:p w:rsidRPr="00E06DFC" w:rsidR="00A8059F" w:rsidP="001D72B2" w14:paraId="5BC2B8FE" w14:textId="49A51F2C">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36</w:t>
      </w:r>
      <w:r w:rsidRPr="00FC1073">
        <w:rPr>
          <w:rFonts w:eastAsia="Times New Roman"/>
        </w:rPr>
        <w:fldChar w:fldCharType="end"/>
      </w:r>
      <w:bookmarkEnd w:id="24"/>
      <w:r w:rsidRPr="00FC1073">
        <w:rPr>
          <w:rFonts w:eastAsia="Times New Roman"/>
        </w:rPr>
        <w:t xml:space="preserve">.  The Taskforce works across </w:t>
      </w:r>
      <w:r w:rsidR="00CA0551">
        <w:rPr>
          <w:rFonts w:eastAsia="Times New Roman"/>
        </w:rPr>
        <w:t>g</w:t>
      </w:r>
      <w:r w:rsidRPr="00FC1073">
        <w:rPr>
          <w:rFonts w:eastAsia="Times New Roman"/>
        </w:rPr>
        <w:t>overnment and with Parliament, the United Kingdom intelligence community, the devolved administrations, local authorities, the private sector and civil society with the aim of building resilience across all levels of the United Kingdom</w:t>
      </w:r>
      <w:r w:rsidRPr="00FC1073" w:rsidR="001D72B2">
        <w:rPr>
          <w:rFonts w:eastAsia="Times New Roman"/>
        </w:rPr>
        <w:t>’</w:t>
      </w:r>
      <w:r w:rsidRPr="00FC1073">
        <w:rPr>
          <w:rFonts w:eastAsia="Times New Roman"/>
        </w:rPr>
        <w:t xml:space="preserve">s democratic system. It reports to the National </w:t>
      </w:r>
      <w:r w:rsidRPr="00E06DFC">
        <w:rPr>
          <w:rFonts w:eastAsia="Times New Roman"/>
        </w:rPr>
        <w:t>Security Council, which is a Cabinet Committee chaired by the Prime Minister.</w:t>
      </w:r>
    </w:p>
    <w:p w:rsidRPr="00E06DFC" w:rsidR="00A8059F" w:rsidP="001D72B2" w14:paraId="583FCF4C" w14:textId="77777777">
      <w:pPr>
        <w:pStyle w:val="JuHA"/>
        <w:rPr>
          <w:rFonts w:eastAsia="MingLiU"/>
        </w:rPr>
      </w:pPr>
      <w:r w:rsidRPr="00E06DFC">
        <w:rPr>
          <w:rFonts w:eastAsia="MingLiU"/>
        </w:rPr>
        <w:t>Domestic reports on the impact of disinformation</w:t>
      </w:r>
    </w:p>
    <w:p w:rsidRPr="00E06DFC" w:rsidR="00A8059F" w:rsidP="001D72B2" w14:paraId="23008D73" w14:textId="320617BF">
      <w:pPr>
        <w:pStyle w:val="JuH1"/>
        <w:rPr>
          <w:rFonts w:eastAsia="MingLiU"/>
        </w:rPr>
      </w:pPr>
      <w:r w:rsidRPr="00E06DFC">
        <w:rPr>
          <w:rFonts w:eastAsia="MingLiU"/>
        </w:rPr>
        <w:t>F</w:t>
      </w:r>
      <w:r w:rsidRPr="00E06DFC">
        <w:rPr>
          <w:rFonts w:eastAsia="MingLiU"/>
        </w:rPr>
        <w:t xml:space="preserve">inal report by the House of Commons Digital, Culture, Media and Sport Committee entitled </w:t>
      </w:r>
      <w:r w:rsidRPr="00E06DFC">
        <w:rPr>
          <w:rFonts w:eastAsia="MingLiU"/>
        </w:rPr>
        <w:t>“</w:t>
      </w:r>
      <w:r w:rsidRPr="00E06DFC">
        <w:rPr>
          <w:rFonts w:eastAsia="MingLiU"/>
        </w:rPr>
        <w:t xml:space="preserve">Disinformation and </w:t>
      </w:r>
      <w:r w:rsidRPr="00E06DFC" w:rsidR="001D72B2">
        <w:rPr>
          <w:rFonts w:eastAsia="MingLiU"/>
        </w:rPr>
        <w:t>‘</w:t>
      </w:r>
      <w:r w:rsidRPr="00E06DFC">
        <w:rPr>
          <w:rFonts w:eastAsia="MingLiU"/>
        </w:rPr>
        <w:t>fake news</w:t>
      </w:r>
      <w:r w:rsidRPr="00E06DFC" w:rsidR="001D72B2">
        <w:rPr>
          <w:rFonts w:eastAsia="MingLiU"/>
        </w:rPr>
        <w:t>’</w:t>
      </w:r>
      <w:r w:rsidRPr="00E06DFC">
        <w:rPr>
          <w:rFonts w:eastAsia="MingLiU"/>
        </w:rPr>
        <w:t>”</w:t>
      </w:r>
    </w:p>
    <w:bookmarkStart w:name="paragraph00037" w:id="25"/>
    <w:p w:rsidRPr="00FC1073" w:rsidR="00A8059F" w:rsidP="001D72B2" w14:paraId="673F2B66" w14:textId="2BCC1EF5">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37</w:t>
      </w:r>
      <w:r w:rsidRPr="00E06DFC">
        <w:rPr>
          <w:rFonts w:eastAsia="Times New Roman"/>
        </w:rPr>
        <w:fldChar w:fldCharType="end"/>
      </w:r>
      <w:bookmarkEnd w:id="25"/>
      <w:r w:rsidRPr="00E06DFC">
        <w:rPr>
          <w:rFonts w:eastAsia="Times New Roman"/>
        </w:rPr>
        <w:t>.  The DCMS</w:t>
      </w:r>
      <w:r w:rsidRPr="00E06DFC" w:rsidR="008F0B0B">
        <w:rPr>
          <w:rFonts w:eastAsia="Times New Roman"/>
        </w:rPr>
        <w:t xml:space="preserve"> Committee</w:t>
      </w:r>
      <w:r w:rsidRPr="00E06DFC">
        <w:rPr>
          <w:rFonts w:eastAsia="Times New Roman"/>
        </w:rPr>
        <w:t xml:space="preserve"> is a cross-party committee of MPs appointed by the House of Commons to examine the expenditure, administration and policy of the Department for Digital,</w:t>
      </w:r>
      <w:r w:rsidRPr="00FC1073">
        <w:rPr>
          <w:rFonts w:eastAsia="Times New Roman"/>
        </w:rPr>
        <w:t xml:space="preserve"> Culture, Media and Sport </w:t>
      </w:r>
      <w:r w:rsidR="008F0B0B">
        <w:rPr>
          <w:rFonts w:eastAsia="Times New Roman"/>
        </w:rPr>
        <w:t xml:space="preserve">(DCMS) </w:t>
      </w:r>
      <w:r w:rsidRPr="00FC1073">
        <w:rPr>
          <w:rFonts w:eastAsia="Times New Roman"/>
        </w:rPr>
        <w:t>and its associated public bodies.</w:t>
      </w:r>
    </w:p>
    <w:bookmarkStart w:name="paragraph00038" w:id="26"/>
    <w:p w:rsidRPr="00FC1073" w:rsidR="00A8059F" w:rsidP="001D72B2" w14:paraId="7D70D1DA" w14:textId="2EC9B761">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38</w:t>
      </w:r>
      <w:r w:rsidRPr="00FC1073">
        <w:rPr>
          <w:rFonts w:eastAsia="Times New Roman"/>
        </w:rPr>
        <w:fldChar w:fldCharType="end"/>
      </w:r>
      <w:bookmarkEnd w:id="26"/>
      <w:r w:rsidRPr="00FC1073">
        <w:rPr>
          <w:rFonts w:eastAsia="Times New Roman"/>
        </w:rPr>
        <w:t>.  Over the course of eighteen months</w:t>
      </w:r>
      <w:r w:rsidR="00CA0551">
        <w:rPr>
          <w:rFonts w:eastAsia="Times New Roman"/>
        </w:rPr>
        <w:t>,</w:t>
      </w:r>
      <w:r w:rsidRPr="00FC1073">
        <w:rPr>
          <w:rFonts w:eastAsia="Times New Roman"/>
        </w:rPr>
        <w:t xml:space="preserve"> it conducted an inquiry </w:t>
      </w:r>
      <w:r w:rsidR="005D491B">
        <w:rPr>
          <w:rFonts w:eastAsia="Times New Roman"/>
        </w:rPr>
        <w:t>into</w:t>
      </w:r>
      <w:r w:rsidRPr="00FC1073" w:rsidR="005D491B">
        <w:rPr>
          <w:rFonts w:eastAsia="Times New Roman"/>
        </w:rPr>
        <w:t xml:space="preserve"> </w:t>
      </w:r>
      <w:r w:rsidRPr="00FC1073">
        <w:rPr>
          <w:rFonts w:eastAsia="Times New Roman"/>
        </w:rPr>
        <w:t xml:space="preserve">disinformation, covering, </w:t>
      </w:r>
      <w:r w:rsidRPr="00FC1073">
        <w:rPr>
          <w:rFonts w:eastAsia="Times New Roman"/>
          <w:i/>
          <w:iCs/>
        </w:rPr>
        <w:t>inter alia</w:t>
      </w:r>
      <w:r w:rsidRPr="00FC1073">
        <w:rPr>
          <w:rFonts w:eastAsia="Times New Roman"/>
        </w:rPr>
        <w:t>, how individuals</w:t>
      </w:r>
      <w:r w:rsidRPr="00FC1073" w:rsidR="001D72B2">
        <w:rPr>
          <w:rFonts w:eastAsia="Times New Roman"/>
        </w:rPr>
        <w:t>’</w:t>
      </w:r>
      <w:r w:rsidRPr="00FC1073">
        <w:rPr>
          <w:rFonts w:eastAsia="Times New Roman"/>
        </w:rPr>
        <w:t xml:space="preserve"> political choices might be affected and influenced by online information and interference by malign forces in political elections in the United Kingdom. Its report was published in February 2019.</w:t>
      </w:r>
    </w:p>
    <w:bookmarkStart w:name="paragraph00039" w:id="27"/>
    <w:p w:rsidRPr="00FC1073" w:rsidR="00A8059F" w:rsidP="001D72B2" w14:paraId="6C2F8451" w14:textId="0B8CD889">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39</w:t>
      </w:r>
      <w:r w:rsidRPr="00FC1073">
        <w:rPr>
          <w:rFonts w:eastAsia="Times New Roman"/>
        </w:rPr>
        <w:fldChar w:fldCharType="end"/>
      </w:r>
      <w:bookmarkEnd w:id="27"/>
      <w:r w:rsidRPr="00FC1073">
        <w:rPr>
          <w:rFonts w:eastAsia="Times New Roman"/>
        </w:rPr>
        <w:t>.  Under the heading “Foreign influence in political campaigns”, the report stated:</w:t>
      </w:r>
    </w:p>
    <w:p w:rsidRPr="00FC1073" w:rsidR="00A8059F" w:rsidP="001D72B2" w14:paraId="75F3F575" w14:textId="77777777">
      <w:pPr>
        <w:pStyle w:val="JuQuot"/>
        <w:rPr>
          <w:rFonts w:eastAsia="Times New Roman"/>
        </w:rPr>
      </w:pPr>
      <w:r w:rsidRPr="00FC1073">
        <w:rPr>
          <w:rFonts w:eastAsia="Times New Roman"/>
        </w:rPr>
        <w:t>“There has been clear and proven Russian influence in foreign elections, and we highlighted evidence in our Interim Report of such attempts in the EU Referendum.”</w:t>
      </w:r>
    </w:p>
    <w:bookmarkStart w:name="paragraph00040" w:id="28"/>
    <w:p w:rsidRPr="00FC1073" w:rsidR="00A8059F" w:rsidP="001D72B2" w14:paraId="2B1C8836" w14:textId="5A21AB23">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40</w:t>
      </w:r>
      <w:r w:rsidRPr="00FC1073">
        <w:rPr>
          <w:rFonts w:eastAsia="Times New Roman"/>
        </w:rPr>
        <w:fldChar w:fldCharType="end"/>
      </w:r>
      <w:bookmarkEnd w:id="28"/>
      <w:r w:rsidRPr="00FC1073">
        <w:rPr>
          <w:rFonts w:eastAsia="Times New Roman"/>
        </w:rPr>
        <w:t>.  Having specific regard to Russian interference in domestic elections, the report continued:</w:t>
      </w:r>
    </w:p>
    <w:p w:rsidRPr="00FC1073" w:rsidR="00A8059F" w:rsidP="001D72B2" w14:paraId="00A23917" w14:textId="284AB8A8">
      <w:pPr>
        <w:pStyle w:val="JuQuot"/>
        <w:rPr>
          <w:rFonts w:eastAsia="Times New Roman"/>
        </w:rPr>
      </w:pPr>
      <w:r w:rsidRPr="00FC1073">
        <w:rPr>
          <w:rFonts w:eastAsia="Times New Roman"/>
        </w:rPr>
        <w:t xml:space="preserve">“As we said in our Interim Report, Prime Minister Theresa May accused Russia of meddling in elections, and planting disinformation, </w:t>
      </w:r>
      <w:r w:rsidRPr="00FC1073">
        <w:rPr>
          <w:rFonts w:eastAsia="Times New Roman"/>
        </w:rPr>
        <w:t>in an attempt to</w:t>
      </w:r>
      <w:r w:rsidRPr="00FC1073">
        <w:rPr>
          <w:rFonts w:eastAsia="Times New Roman"/>
        </w:rPr>
        <w:t xml:space="preserve"> </w:t>
      </w:r>
      <w:r w:rsidRPr="00FC1073" w:rsidR="001D72B2">
        <w:rPr>
          <w:rFonts w:eastAsia="Times New Roman"/>
        </w:rPr>
        <w:t>‘</w:t>
      </w:r>
      <w:r w:rsidRPr="00FC1073">
        <w:rPr>
          <w:rFonts w:eastAsia="Times New Roman"/>
        </w:rPr>
        <w:t>weaponise</w:t>
      </w:r>
      <w:r w:rsidRPr="00FC1073">
        <w:rPr>
          <w:rFonts w:eastAsia="Times New Roman"/>
        </w:rPr>
        <w:t xml:space="preserve"> information</w:t>
      </w:r>
      <w:r w:rsidRPr="00FC1073" w:rsidR="001D72B2">
        <w:rPr>
          <w:rFonts w:eastAsia="Times New Roman"/>
        </w:rPr>
        <w:t>’</w:t>
      </w:r>
      <w:r w:rsidRPr="00FC1073">
        <w:rPr>
          <w:rFonts w:eastAsia="Times New Roman"/>
        </w:rPr>
        <w:t xml:space="preserve"> and sow discord in the West. In its response to the Report, the Government stated that, following the nerve agent attack in Salisbury in March 2018, the Government had </w:t>
      </w:r>
      <w:r w:rsidRPr="00FC1073" w:rsidR="001D72B2">
        <w:rPr>
          <w:rFonts w:eastAsia="Times New Roman"/>
        </w:rPr>
        <w:t>‘</w:t>
      </w:r>
      <w:r w:rsidRPr="00FC1073">
        <w:rPr>
          <w:rFonts w:eastAsia="Times New Roman"/>
        </w:rPr>
        <w:t>judged the Russian state promulgated at least 38 false disinformation narratives around this criminal act</w:t>
      </w:r>
      <w:r w:rsidRPr="00FC1073" w:rsidR="001D72B2">
        <w:rPr>
          <w:rFonts w:eastAsia="Times New Roman"/>
        </w:rPr>
        <w:t>’</w:t>
      </w:r>
      <w:r w:rsidRPr="00FC1073">
        <w:rPr>
          <w:rFonts w:eastAsia="Times New Roman"/>
        </w:rPr>
        <w:t xml:space="preserve">. However, the Government made it clear that </w:t>
      </w:r>
      <w:r w:rsidRPr="00FC1073" w:rsidR="001D72B2">
        <w:rPr>
          <w:rFonts w:eastAsia="Times New Roman"/>
        </w:rPr>
        <w:t>‘</w:t>
      </w:r>
      <w:r w:rsidRPr="00FC1073">
        <w:rPr>
          <w:rFonts w:eastAsia="Times New Roman"/>
        </w:rPr>
        <w:t xml:space="preserve">it has not seen evidence of successful use of disinformation by foreign actors, including Russia, to influence UK democratic </w:t>
      </w:r>
      <w:r w:rsidRPr="00FC1073">
        <w:rPr>
          <w:rFonts w:eastAsia="Times New Roman"/>
        </w:rPr>
        <w:t>processes</w:t>
      </w:r>
      <w:r w:rsidRPr="00FC1073" w:rsidR="001D72B2">
        <w:rPr>
          <w:rFonts w:eastAsia="Times New Roman"/>
        </w:rPr>
        <w:t>’</w:t>
      </w:r>
      <w:r w:rsidRPr="00FC1073">
        <w:rPr>
          <w:rFonts w:eastAsia="Times New Roman"/>
        </w:rPr>
        <w:t>.</w:t>
      </w:r>
    </w:p>
    <w:p w:rsidRPr="00FC1073" w:rsidR="00A8059F" w:rsidP="001D72B2" w14:paraId="6A74E70B" w14:textId="182E943B">
      <w:pPr>
        <w:pStyle w:val="JuQuot"/>
        <w:rPr>
          <w:rFonts w:eastAsia="Times New Roman"/>
        </w:rPr>
      </w:pPr>
      <w:r w:rsidRPr="00FC1073">
        <w:rPr>
          <w:rFonts w:eastAsia="Times New Roman"/>
        </w:rPr>
        <w:t xml:space="preserve">When the Secretary of State was questioned in oral evidence over what constitutes </w:t>
      </w:r>
      <w:r w:rsidRPr="00FC1073" w:rsidR="001D72B2">
        <w:rPr>
          <w:rFonts w:eastAsia="Times New Roman"/>
        </w:rPr>
        <w:t>‘</w:t>
      </w:r>
      <w:r w:rsidRPr="00FC1073">
        <w:rPr>
          <w:rFonts w:eastAsia="Times New Roman"/>
        </w:rPr>
        <w:t>successful</w:t>
      </w:r>
      <w:r w:rsidRPr="00FC1073" w:rsidR="001D72B2">
        <w:rPr>
          <w:rFonts w:eastAsia="Times New Roman"/>
        </w:rPr>
        <w:t>’</w:t>
      </w:r>
      <w:r w:rsidRPr="00FC1073">
        <w:rPr>
          <w:rFonts w:eastAsia="Times New Roman"/>
        </w:rPr>
        <w:t xml:space="preserve">, Rt Hon Jeremy Wright MP, responded: </w:t>
      </w:r>
      <w:r w:rsidRPr="00FC1073" w:rsidR="001D72B2">
        <w:rPr>
          <w:rFonts w:eastAsia="Times New Roman"/>
        </w:rPr>
        <w:t>‘</w:t>
      </w:r>
      <w:r w:rsidRPr="00FC1073">
        <w:rPr>
          <w:rFonts w:eastAsia="Times New Roman"/>
        </w:rPr>
        <w:t>We have seen nothing that persuades us that Russian interference has had a material impact on the way in which people choose to vote in elections. It is not that they have not tried, but we have not seen evidence of that material impact</w:t>
      </w:r>
      <w:r w:rsidRPr="00FC1073" w:rsidR="001D72B2">
        <w:rPr>
          <w:rFonts w:eastAsia="Times New Roman"/>
        </w:rPr>
        <w:t>’</w:t>
      </w:r>
      <w:r w:rsidRPr="00FC1073">
        <w:rPr>
          <w:rFonts w:eastAsia="Times New Roman"/>
        </w:rPr>
        <w:t>. It is surely a sufficient matter of concern that the Government has acknowledged that interference has occurred, irrespective of the lack of evidence of impact. The Government should be conducting analysis to understand the extent of Russian targeting of voters during elections.</w:t>
      </w:r>
    </w:p>
    <w:p w:rsidRPr="00FC1073" w:rsidR="00A8059F" w:rsidP="001D72B2" w14:paraId="21D079F9" w14:textId="1E5C3C60">
      <w:pPr>
        <w:pStyle w:val="JuQuot"/>
        <w:rPr>
          <w:rFonts w:eastAsia="Times New Roman"/>
        </w:rPr>
      </w:pPr>
      <w:r w:rsidRPr="00FC1073">
        <w:rPr>
          <w:rFonts w:eastAsia="Times New Roman"/>
        </w:rPr>
        <w:t xml:space="preserve">The Government also cannot state definitively that there was </w:t>
      </w:r>
      <w:r w:rsidRPr="00FC1073" w:rsidR="001D72B2">
        <w:rPr>
          <w:rFonts w:eastAsia="Times New Roman"/>
        </w:rPr>
        <w:t>‘</w:t>
      </w:r>
      <w:r w:rsidRPr="00FC1073">
        <w:rPr>
          <w:rFonts w:eastAsia="Times New Roman"/>
        </w:rPr>
        <w:t>no evidence of successful interference</w:t>
      </w:r>
      <w:r w:rsidRPr="00FC1073" w:rsidR="001D72B2">
        <w:rPr>
          <w:rFonts w:eastAsia="Times New Roman"/>
        </w:rPr>
        <w:t>’</w:t>
      </w:r>
      <w:r w:rsidRPr="00FC1073">
        <w:rPr>
          <w:rFonts w:eastAsia="Times New Roman"/>
        </w:rPr>
        <w:t xml:space="preserve"> in our democratic processes, as the term </w:t>
      </w:r>
      <w:r w:rsidRPr="00FC1073" w:rsidR="001D72B2">
        <w:rPr>
          <w:rFonts w:eastAsia="Times New Roman"/>
        </w:rPr>
        <w:t>‘</w:t>
      </w:r>
      <w:r w:rsidRPr="00FC1073">
        <w:rPr>
          <w:rFonts w:eastAsia="Times New Roman"/>
        </w:rPr>
        <w:t>successful</w:t>
      </w:r>
      <w:r w:rsidRPr="00FC1073" w:rsidR="001D72B2">
        <w:rPr>
          <w:rFonts w:eastAsia="Times New Roman"/>
        </w:rPr>
        <w:t>’</w:t>
      </w:r>
      <w:r w:rsidRPr="00FC1073">
        <w:rPr>
          <w:rFonts w:eastAsia="Times New Roman"/>
        </w:rPr>
        <w:t xml:space="preserve"> is impossible to define in retrospect. There is, however, strong evidence that points to hostile state actors influencing democratic processes. Cardiff University and the Digital Forensics Lab of the Atlantic Council have both detailed ways in which the Kremlin attempted to influence attitudes in UK politics.</w:t>
      </w:r>
    </w:p>
    <w:p w:rsidRPr="00FC1073" w:rsidR="00A8059F" w:rsidP="001D72B2" w14:paraId="55E416C1" w14:textId="1BF512AC">
      <w:pPr>
        <w:pStyle w:val="JuQuot"/>
        <w:rPr>
          <w:rFonts w:eastAsia="Times New Roman"/>
        </w:rPr>
      </w:pPr>
      <w:r w:rsidRPr="00FC1073">
        <w:rPr>
          <w:rFonts w:eastAsia="Times New Roman"/>
        </w:rPr>
        <w:t>Kremlin-aligned media published significant numbers of unique articles about the EU</w:t>
      </w:r>
      <w:r w:rsidR="00CA0551">
        <w:rPr>
          <w:rFonts w:eastAsia="Times New Roman"/>
        </w:rPr>
        <w:t xml:space="preserve"> </w:t>
      </w:r>
      <w:r w:rsidRPr="00FC1073">
        <w:rPr>
          <w:rFonts w:eastAsia="Times New Roman"/>
        </w:rPr>
        <w:t xml:space="preserve">referendum. 89 Up researchers analysed the most shared of the </w:t>
      </w:r>
      <w:r w:rsidRPr="00FC1073">
        <w:rPr>
          <w:rFonts w:eastAsia="Times New Roman"/>
        </w:rPr>
        <w:t>articles, and</w:t>
      </w:r>
      <w:r w:rsidRPr="00FC1073">
        <w:rPr>
          <w:rFonts w:eastAsia="Times New Roman"/>
        </w:rPr>
        <w:t xml:space="preserve"> identified 261 with a clear anti-EU bias to the reporting. The two main outlets were RT and Sputnik, with video produced by </w:t>
      </w:r>
      <w:r w:rsidRPr="00FC1073">
        <w:rPr>
          <w:rFonts w:eastAsia="Times New Roman"/>
        </w:rPr>
        <w:t>Ruptly</w:t>
      </w:r>
      <w:r w:rsidRPr="00FC1073">
        <w:rPr>
          <w:rFonts w:eastAsia="Times New Roman"/>
        </w:rPr>
        <w:t>. The articles that went most viral had the heaviest anti-EU bias. The social reach of these anti-EU articles published by the Kremlin-owned channels was 134 million potential impressions, in comparison with a total reach of just 33 million and 11 million potential impressions for all content shared from the Vote Leave website and Leave.EU website respectively. The value for a comparable paid social media campaign would be between £1.4 and</w:t>
      </w:r>
      <w:r w:rsidR="00CA0551">
        <w:rPr>
          <w:rFonts w:eastAsia="Times New Roman"/>
        </w:rPr>
        <w:t xml:space="preserve"> </w:t>
      </w:r>
      <w:r w:rsidRPr="00FC1073">
        <w:rPr>
          <w:rFonts w:eastAsia="Times New Roman"/>
        </w:rPr>
        <w:t>4.14 million.</w:t>
      </w:r>
    </w:p>
    <w:p w:rsidRPr="00FC1073" w:rsidR="00A8059F" w:rsidP="001D72B2" w14:paraId="2A49C707" w14:textId="77777777">
      <w:pPr>
        <w:pStyle w:val="JuQuot"/>
        <w:rPr>
          <w:rFonts w:eastAsia="Times New Roman"/>
        </w:rPr>
      </w:pPr>
      <w:r w:rsidRPr="00FC1073">
        <w:rPr>
          <w:rFonts w:eastAsia="Times New Roman"/>
        </w:rPr>
        <w:t>...</w:t>
      </w:r>
    </w:p>
    <w:p w:rsidRPr="00FC1073" w:rsidR="00A8059F" w:rsidP="001D72B2" w14:paraId="6B651402" w14:textId="0644CED8">
      <w:pPr>
        <w:pStyle w:val="JuQuot"/>
        <w:rPr>
          <w:rFonts w:eastAsia="Times New Roman"/>
        </w:rPr>
      </w:pPr>
      <w:r w:rsidRPr="00FC1073">
        <w:rPr>
          <w:rFonts w:eastAsia="Times New Roman"/>
        </w:rPr>
        <w:t xml:space="preserve">Ben Nimmo, from the Digital Forensics Lab of the Atlantic Council, has detailed attempts to influence attitudes to the Scottish Referendum, for instance, which included a Russian election observer calling the referendum not in line with international standards, and Twitter accounts calling into question its legitimacy. The behaviour of these accounts, Mr Nimmo argues, is pro-Kremlin, and consistent with the behaviour of accounts known to be run by the so-called </w:t>
      </w:r>
      <w:r w:rsidRPr="00FC1073" w:rsidR="001D72B2">
        <w:rPr>
          <w:rFonts w:eastAsia="Times New Roman"/>
        </w:rPr>
        <w:t>‘</w:t>
      </w:r>
      <w:r w:rsidRPr="00FC1073">
        <w:rPr>
          <w:rFonts w:eastAsia="Times New Roman"/>
        </w:rPr>
        <w:t>troll factory</w:t>
      </w:r>
      <w:r w:rsidRPr="00FC1073" w:rsidR="001D72B2">
        <w:rPr>
          <w:rFonts w:eastAsia="Times New Roman"/>
        </w:rPr>
        <w:t>’</w:t>
      </w:r>
      <w:r w:rsidRPr="00FC1073">
        <w:rPr>
          <w:rFonts w:eastAsia="Times New Roman"/>
        </w:rPr>
        <w:t xml:space="preserve"> in St. Petersburg, Russia, during the United States 2016 presidential election and beyond. However, it is not possible to determine from open sources whether some or </w:t>
      </w:r>
      <w:r w:rsidRPr="00FC1073">
        <w:rPr>
          <w:rFonts w:eastAsia="Times New Roman"/>
        </w:rPr>
        <w:t>all of</w:t>
      </w:r>
      <w:r w:rsidRPr="00FC1073">
        <w:rPr>
          <w:rFonts w:eastAsia="Times New Roman"/>
        </w:rPr>
        <w:t xml:space="preserve"> the accounts are independent </w:t>
      </w:r>
      <w:r w:rsidRPr="00FC1073">
        <w:rPr>
          <w:rFonts w:eastAsia="Times New Roman"/>
        </w:rPr>
        <w:t>actors, or</w:t>
      </w:r>
      <w:r w:rsidRPr="00FC1073">
        <w:rPr>
          <w:rFonts w:eastAsia="Times New Roman"/>
        </w:rPr>
        <w:t xml:space="preserve"> linked to Russian information operations.</w:t>
      </w:r>
    </w:p>
    <w:p w:rsidRPr="00FC1073" w:rsidR="00A8059F" w:rsidP="001D72B2" w14:paraId="1FBD80F9" w14:textId="77777777">
      <w:pPr>
        <w:pStyle w:val="JuQuot"/>
        <w:rPr>
          <w:rFonts w:eastAsia="Times New Roman"/>
        </w:rPr>
      </w:pPr>
      <w:r w:rsidRPr="00FC1073">
        <w:rPr>
          <w:rFonts w:eastAsia="Times New Roman"/>
        </w:rPr>
        <w:t>...</w:t>
      </w:r>
    </w:p>
    <w:p w:rsidRPr="00FC1073" w:rsidR="00A8059F" w:rsidP="001D72B2" w14:paraId="440987D4" w14:textId="77777777">
      <w:pPr>
        <w:pStyle w:val="JuQuot"/>
        <w:rPr>
          <w:rFonts w:eastAsia="Times New Roman"/>
        </w:rPr>
      </w:pPr>
      <w:r w:rsidRPr="00FC1073">
        <w:rPr>
          <w:rFonts w:eastAsia="Times New Roman"/>
        </w:rPr>
        <w:t>The Government has been very ready to accept the evidence of Russian activity in the Skripal case, an acceptance justified by the evidence. However, it is reluctant to accept evidence of interference in the 2016 Referendum in the UK. If the Government wishes the public to treat its statements on these important matters of national security and democracy seriously, it must report the position impartially, uninfluenced by the political implications of any such report.</w:t>
      </w:r>
    </w:p>
    <w:p w:rsidRPr="00FC1073" w:rsidR="00A8059F" w:rsidP="001D72B2" w14:paraId="3CACB2C6" w14:textId="77777777">
      <w:pPr>
        <w:pStyle w:val="JuQuot"/>
        <w:rPr>
          <w:rFonts w:eastAsia="Times New Roman"/>
        </w:rPr>
      </w:pPr>
      <w:r w:rsidRPr="00FC1073">
        <w:rPr>
          <w:rFonts w:eastAsia="Times New Roman"/>
        </w:rPr>
        <w:t xml:space="preserve">In common with other countries, the UK is clearly vulnerable to covert digital influence </w:t>
      </w:r>
      <w:r w:rsidRPr="00FC1073">
        <w:rPr>
          <w:rFonts w:eastAsia="Times New Roman"/>
        </w:rPr>
        <w:t>campaigns</w:t>
      </w:r>
      <w:r w:rsidRPr="00FC1073">
        <w:rPr>
          <w:rFonts w:eastAsia="Times New Roman"/>
        </w:rPr>
        <w:t xml:space="preserve"> and the Government should be conducting analysis to understand the extent of the targeting of voters, by foreign players, during past elections. We ask the Government whether current legislation to protect the electoral process from malign influence is sufficient. Legislation should be in line with the latest technological </w:t>
      </w:r>
      <w:r w:rsidRPr="00FC1073">
        <w:rPr>
          <w:rFonts w:eastAsia="Times New Roman"/>
        </w:rPr>
        <w:t>developments, and</w:t>
      </w:r>
      <w:r w:rsidRPr="00FC1073">
        <w:rPr>
          <w:rFonts w:eastAsia="Times New Roman"/>
        </w:rPr>
        <w:t xml:space="preserve"> should be explicit on the illegal influencing of the democratic process by foreign players. We urge the Government to </w:t>
      </w:r>
      <w:r w:rsidRPr="00FC1073">
        <w:rPr>
          <w:rFonts w:eastAsia="Times New Roman"/>
        </w:rPr>
        <w:t>look into</w:t>
      </w:r>
      <w:r w:rsidRPr="00FC1073">
        <w:rPr>
          <w:rFonts w:eastAsia="Times New Roman"/>
        </w:rPr>
        <w:t xml:space="preserve"> this issue and to respond in its White Paper.”</w:t>
      </w:r>
    </w:p>
    <w:p w:rsidRPr="000D4578" w:rsidR="00A8059F" w:rsidP="001D72B2" w14:paraId="485318D7" w14:textId="7DB167B8">
      <w:pPr>
        <w:pStyle w:val="JuH1"/>
        <w:rPr>
          <w:rFonts w:eastAsia="MingLiU"/>
        </w:rPr>
      </w:pPr>
      <w:r>
        <w:rPr>
          <w:rFonts w:eastAsia="MingLiU"/>
        </w:rPr>
        <w:t>R</w:t>
      </w:r>
      <w:r w:rsidRPr="00FC1073">
        <w:rPr>
          <w:rFonts w:eastAsia="MingLiU"/>
        </w:rPr>
        <w:t xml:space="preserve">eport </w:t>
      </w:r>
      <w:r w:rsidRPr="000D4578">
        <w:rPr>
          <w:rFonts w:eastAsia="MingLiU"/>
        </w:rPr>
        <w:t>by the Intelligence and Security Committee of Parliament entitled “Russia”</w:t>
      </w:r>
    </w:p>
    <w:bookmarkStart w:name="paragraph00041" w:id="29"/>
    <w:p w:rsidRPr="00FC1073" w:rsidR="00A8059F" w:rsidP="001D72B2" w14:paraId="36ECD1D0" w14:textId="507E94BC">
      <w:pPr>
        <w:pStyle w:val="JuPara"/>
        <w:rPr>
          <w:rFonts w:eastAsia="Times New Roman"/>
        </w:rPr>
      </w:pPr>
      <w:r w:rsidRPr="000D4578">
        <w:rPr>
          <w:rFonts w:eastAsia="Times New Roman"/>
        </w:rPr>
        <w:fldChar w:fldCharType="begin"/>
      </w:r>
      <w:r w:rsidRPr="000D4578">
        <w:rPr>
          <w:rFonts w:eastAsia="Times New Roman"/>
        </w:rPr>
        <w:instrText xml:space="preserve"> SEQ level0 \*arabic \* MERGEFORMAT </w:instrText>
      </w:r>
      <w:r w:rsidRPr="000D4578">
        <w:rPr>
          <w:rFonts w:eastAsia="Times New Roman"/>
        </w:rPr>
        <w:fldChar w:fldCharType="separate"/>
      </w:r>
      <w:r w:rsidRPr="000D4578" w:rsidR="00A00646">
        <w:rPr>
          <w:rFonts w:eastAsia="Times New Roman"/>
          <w:noProof/>
        </w:rPr>
        <w:t>41</w:t>
      </w:r>
      <w:r w:rsidRPr="000D4578">
        <w:rPr>
          <w:rFonts w:eastAsia="Times New Roman"/>
        </w:rPr>
        <w:fldChar w:fldCharType="end"/>
      </w:r>
      <w:bookmarkEnd w:id="29"/>
      <w:r w:rsidRPr="000D4578">
        <w:rPr>
          <w:rFonts w:eastAsia="Times New Roman"/>
        </w:rPr>
        <w:t>.  The ISC is a statutory committee</w:t>
      </w:r>
      <w:r w:rsidRPr="00FC1073">
        <w:rPr>
          <w:rFonts w:eastAsia="Times New Roman"/>
        </w:rPr>
        <w:t xml:space="preserve"> that has responsibility for oversight of the United Kingdom </w:t>
      </w:r>
      <w:r w:rsidR="00401E72">
        <w:rPr>
          <w:rFonts w:eastAsia="Times New Roman"/>
        </w:rPr>
        <w:t>i</w:t>
      </w:r>
      <w:r w:rsidRPr="00FC1073">
        <w:rPr>
          <w:rFonts w:eastAsia="Times New Roman"/>
        </w:rPr>
        <w:t xml:space="preserve">ntelligence </w:t>
      </w:r>
      <w:r w:rsidR="00401E72">
        <w:rPr>
          <w:rFonts w:eastAsia="Times New Roman"/>
        </w:rPr>
        <w:t>c</w:t>
      </w:r>
      <w:r w:rsidRPr="00FC1073">
        <w:rPr>
          <w:rFonts w:eastAsia="Times New Roman"/>
        </w:rPr>
        <w:t xml:space="preserve">ommunity. Its nine </w:t>
      </w:r>
      <w:r w:rsidR="00CA0551">
        <w:rPr>
          <w:rFonts w:eastAsia="Times New Roman"/>
        </w:rPr>
        <w:t>m</w:t>
      </w:r>
      <w:r w:rsidRPr="00FC1073">
        <w:rPr>
          <w:rFonts w:eastAsia="Times New Roman"/>
        </w:rPr>
        <w:t>embers, who are drawn from both Houses of Parliament, are appointed by the Houses of Parliament, having been nominated by the Prime Minister in consultation with the Leader of the Opposition.</w:t>
      </w:r>
    </w:p>
    <w:bookmarkStart w:name="paragraph00042" w:id="30"/>
    <w:p w:rsidRPr="00FC1073" w:rsidR="00A8059F" w:rsidP="001D72B2" w14:paraId="3639ED02" w14:textId="4716A05A">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42</w:t>
      </w:r>
      <w:r w:rsidRPr="00FC1073">
        <w:rPr>
          <w:rFonts w:eastAsia="Times New Roman"/>
        </w:rPr>
        <w:fldChar w:fldCharType="end"/>
      </w:r>
      <w:bookmarkEnd w:id="30"/>
      <w:r w:rsidRPr="00FC1073">
        <w:rPr>
          <w:rFonts w:eastAsia="Times New Roman"/>
        </w:rPr>
        <w:t xml:space="preserve">.  Throughout 2018 the ISC conducted a major </w:t>
      </w:r>
      <w:r w:rsidR="00CA0551">
        <w:rPr>
          <w:rFonts w:eastAsia="Times New Roman"/>
        </w:rPr>
        <w:t>i</w:t>
      </w:r>
      <w:r w:rsidRPr="00FC1073">
        <w:rPr>
          <w:rFonts w:eastAsia="Times New Roman"/>
        </w:rPr>
        <w:t xml:space="preserve">nquiry which covered various aspects of the Russian threat to the United Kingdom, together with an examination of how the United Kingdom Government had responded. A report was completed on 17 October 2019 and, having already been cleared by the </w:t>
      </w:r>
      <w:r w:rsidR="0010626D">
        <w:rPr>
          <w:rFonts w:eastAsia="Times New Roman"/>
        </w:rPr>
        <w:t>s</w:t>
      </w:r>
      <w:r w:rsidRPr="00FC1073">
        <w:rPr>
          <w:rFonts w:eastAsia="Times New Roman"/>
        </w:rPr>
        <w:t xml:space="preserve">ecurity and </w:t>
      </w:r>
      <w:r w:rsidR="0010626D">
        <w:rPr>
          <w:rFonts w:eastAsia="Times New Roman"/>
        </w:rPr>
        <w:t>i</w:t>
      </w:r>
      <w:r w:rsidRPr="00FC1073">
        <w:rPr>
          <w:rFonts w:eastAsia="Times New Roman"/>
        </w:rPr>
        <w:t xml:space="preserve">ntelligence </w:t>
      </w:r>
      <w:r w:rsidR="0010626D">
        <w:rPr>
          <w:rFonts w:eastAsia="Times New Roman"/>
        </w:rPr>
        <w:t>a</w:t>
      </w:r>
      <w:r w:rsidRPr="00FC1073">
        <w:rPr>
          <w:rFonts w:eastAsia="Times New Roman"/>
        </w:rPr>
        <w:t>gencies, was sent to the Prime Minister. On 5 November 2019 – the day before Parliament was dissolved ahead of the 2019 election – the Chair of the ISC asked the Prime Minister, in Parliament, if he would make a statement on his refusal to give clearance to the report. In doing so, he referred to a long-standing agreement that the Prime Minister would endeavour to respond to such reports within ten days. In response, he was informed by the Minister for Europe and the Americas that scrutiny of such a sensitive report took time. The report was eventually presented to Parliament and published with redactions (represented by “***”) on 21 July 2020. Although the report was supplemented by an annex, that annex has not yet been published “in view of the current Russian threat”.</w:t>
      </w:r>
    </w:p>
    <w:bookmarkStart w:name="paragraph00043" w:id="31"/>
    <w:p w:rsidRPr="00FC1073" w:rsidR="00A8059F" w:rsidP="001D72B2" w14:paraId="67463466" w14:textId="4A126D78">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43</w:t>
      </w:r>
      <w:r w:rsidRPr="00FC1073">
        <w:rPr>
          <w:rFonts w:eastAsia="Times New Roman"/>
        </w:rPr>
        <w:fldChar w:fldCharType="end"/>
      </w:r>
      <w:bookmarkEnd w:id="31"/>
      <w:r w:rsidRPr="00FC1073">
        <w:rPr>
          <w:rFonts w:eastAsia="Times New Roman"/>
        </w:rPr>
        <w:t>.  The report found:</w:t>
      </w:r>
    </w:p>
    <w:p w:rsidRPr="00FC1073" w:rsidR="00A8059F" w:rsidP="001D72B2" w14:paraId="0B55229F" w14:textId="77777777">
      <w:pPr>
        <w:pStyle w:val="JuQuot"/>
        <w:rPr>
          <w:rFonts w:eastAsia="Times New Roman"/>
        </w:rPr>
      </w:pPr>
      <w:r w:rsidRPr="00FC1073">
        <w:rPr>
          <w:rFonts w:eastAsia="Times New Roman"/>
        </w:rPr>
        <w:t>“</w:t>
      </w:r>
      <w:r w:rsidRPr="00FC1073">
        <w:rPr>
          <w:rFonts w:eastAsia="Times New Roman"/>
        </w:rPr>
        <w:t>It is clear that Russia</w:t>
      </w:r>
      <w:r w:rsidRPr="00FC1073">
        <w:rPr>
          <w:rFonts w:eastAsia="Times New Roman"/>
        </w:rPr>
        <w:t xml:space="preserve"> currently poses a significant threat to the UK on </w:t>
      </w:r>
      <w:r w:rsidRPr="00FC1073">
        <w:rPr>
          <w:rFonts w:eastAsia="Times New Roman"/>
        </w:rPr>
        <w:t>a number of</w:t>
      </w:r>
      <w:r w:rsidRPr="00FC1073">
        <w:rPr>
          <w:rFonts w:eastAsia="Times New Roman"/>
        </w:rPr>
        <w:t xml:space="preserve"> fronts – from espionage to interference in democratic processes, and to serious crime. The question is how that has happened – and what the Intelligence Community is now doing to tackle it.”</w:t>
      </w:r>
    </w:p>
    <w:bookmarkStart w:name="paragraph00044" w:id="32"/>
    <w:p w:rsidRPr="00FC1073" w:rsidR="00A8059F" w:rsidP="001D72B2" w14:paraId="5C1DE103" w14:textId="39293293">
      <w:pPr>
        <w:pStyle w:val="JuPara"/>
        <w:keepNext/>
        <w:keepLines/>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44</w:t>
      </w:r>
      <w:r w:rsidRPr="00FC1073">
        <w:rPr>
          <w:rFonts w:eastAsia="Times New Roman"/>
        </w:rPr>
        <w:fldChar w:fldCharType="end"/>
      </w:r>
      <w:bookmarkEnd w:id="32"/>
      <w:r w:rsidRPr="00FC1073">
        <w:rPr>
          <w:rFonts w:eastAsia="Times New Roman"/>
        </w:rPr>
        <w:t>.  In the specific context of interference in democratic processes, the report noted:</w:t>
      </w:r>
    </w:p>
    <w:p w:rsidRPr="00FC1073" w:rsidR="00A8059F" w:rsidP="001D72B2" w14:paraId="014E1339" w14:textId="176FCB56">
      <w:pPr>
        <w:pStyle w:val="JuQuot"/>
        <w:keepNext/>
        <w:keepLines/>
        <w:rPr>
          <w:rFonts w:eastAsia="Times New Roman"/>
        </w:rPr>
      </w:pPr>
      <w:r w:rsidRPr="00FC1073">
        <w:rPr>
          <w:rFonts w:eastAsia="Times New Roman"/>
        </w:rPr>
        <w:t xml:space="preserve">“The spreading of disinformation (by which we mean the promotion of intentionally false, distorting or distracting narratives) and the running of </w:t>
      </w:r>
      <w:r w:rsidRPr="00FC1073" w:rsidR="001D72B2">
        <w:rPr>
          <w:rFonts w:eastAsia="Times New Roman"/>
        </w:rPr>
        <w:t>‘</w:t>
      </w:r>
      <w:r w:rsidRPr="00FC1073">
        <w:rPr>
          <w:rFonts w:eastAsia="Times New Roman"/>
        </w:rPr>
        <w:t>influence campaigns</w:t>
      </w:r>
      <w:r w:rsidRPr="00FC1073" w:rsidR="001D72B2">
        <w:rPr>
          <w:rFonts w:eastAsia="Times New Roman"/>
        </w:rPr>
        <w:t>’</w:t>
      </w:r>
      <w:r w:rsidRPr="00FC1073">
        <w:rPr>
          <w:rFonts w:eastAsia="Times New Roman"/>
        </w:rPr>
        <w:t xml:space="preserve"> are separate but interlinked subjects. An influence campaign in relation to an election, for example, may use the spreading of disinformation, but may also encompass other tactics such as illicit funding, disruption of electoral mechanics or direct attacks on one of the campaigns (such as </w:t>
      </w:r>
      <w:r w:rsidRPr="00FC1073" w:rsidR="001D72B2">
        <w:rPr>
          <w:rFonts w:eastAsia="Times New Roman"/>
        </w:rPr>
        <w:t>‘</w:t>
      </w:r>
      <w:r w:rsidRPr="00FC1073">
        <w:rPr>
          <w:rFonts w:eastAsia="Times New Roman"/>
        </w:rPr>
        <w:t>hack and leak</w:t>
      </w:r>
      <w:r w:rsidRPr="00FC1073" w:rsidR="001D72B2">
        <w:rPr>
          <w:rFonts w:eastAsia="Times New Roman"/>
        </w:rPr>
        <w:t>’</w:t>
      </w:r>
      <w:r w:rsidRPr="00FC1073">
        <w:rPr>
          <w:rFonts w:eastAsia="Times New Roman"/>
        </w:rPr>
        <w:t>).</w:t>
      </w:r>
    </w:p>
    <w:p w:rsidRPr="00FC1073" w:rsidR="00A8059F" w:rsidP="001D72B2" w14:paraId="2B443119" w14:textId="77777777">
      <w:pPr>
        <w:pStyle w:val="JuQuot"/>
        <w:rPr>
          <w:rFonts w:eastAsia="Times New Roman"/>
        </w:rPr>
      </w:pPr>
      <w:r w:rsidRPr="00FC1073">
        <w:rPr>
          <w:rFonts w:eastAsia="Times New Roman"/>
        </w:rPr>
        <w:t>...</w:t>
      </w:r>
    </w:p>
    <w:p w:rsidRPr="00FC1073" w:rsidR="00A8059F" w:rsidP="001D72B2" w14:paraId="721C592F" w14:textId="3FFE6717">
      <w:pPr>
        <w:pStyle w:val="JuQuot"/>
        <w:rPr>
          <w:rFonts w:eastAsia="Times New Roman"/>
        </w:rPr>
      </w:pPr>
      <w:r w:rsidRPr="00FC1073">
        <w:rPr>
          <w:rFonts w:eastAsia="Times New Roman"/>
        </w:rPr>
        <w:t>In terms of the direct threat to elections, we have been informed that the mechanics of the UK</w:t>
      </w:r>
      <w:r w:rsidRPr="00FC1073" w:rsidR="001D72B2">
        <w:rPr>
          <w:rFonts w:eastAsia="Times New Roman"/>
        </w:rPr>
        <w:t>’</w:t>
      </w:r>
      <w:r w:rsidRPr="00FC1073">
        <w:rPr>
          <w:rFonts w:eastAsia="Times New Roman"/>
        </w:rPr>
        <w:t>s voting system are deemed largely sound: the use of a highly dispersed paper-based voting and counting system makes any significant interference difficult, and we understand that GCHQ [Government Communication Headquarters, the United Kingdom</w:t>
      </w:r>
      <w:r w:rsidRPr="00FC1073" w:rsidR="001D72B2">
        <w:rPr>
          <w:rFonts w:eastAsia="Times New Roman"/>
        </w:rPr>
        <w:t>’</w:t>
      </w:r>
      <w:r w:rsidRPr="00FC1073">
        <w:rPr>
          <w:rFonts w:eastAsia="Times New Roman"/>
        </w:rPr>
        <w:t xml:space="preserve">s intelligence, security and cyber </w:t>
      </w:r>
      <w:r w:rsidR="008F0B0B">
        <w:rPr>
          <w:rFonts w:eastAsia="Times New Roman"/>
        </w:rPr>
        <w:t>a</w:t>
      </w:r>
      <w:r w:rsidRPr="00FC1073">
        <w:rPr>
          <w:rFonts w:eastAsia="Times New Roman"/>
        </w:rPr>
        <w:t>gency] has undertaken a great deal of work to help ensure that the online voter registration system is safe.”</w:t>
      </w:r>
    </w:p>
    <w:bookmarkStart w:name="paragraph00045" w:id="33"/>
    <w:p w:rsidRPr="00FC1073" w:rsidR="00A8059F" w:rsidP="001D72B2" w14:paraId="449641E5" w14:textId="3B6EC483">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45</w:t>
      </w:r>
      <w:r w:rsidRPr="00FC1073">
        <w:rPr>
          <w:rFonts w:eastAsia="Times New Roman"/>
        </w:rPr>
        <w:fldChar w:fldCharType="end"/>
      </w:r>
      <w:bookmarkEnd w:id="33"/>
      <w:r w:rsidRPr="00FC1073">
        <w:rPr>
          <w:rFonts w:eastAsia="Times New Roman"/>
        </w:rPr>
        <w:t>.  Nonetheless, the report continued:</w:t>
      </w:r>
    </w:p>
    <w:p w:rsidRPr="00FC1073" w:rsidR="00A8059F" w:rsidP="001D72B2" w14:paraId="536AB9F1" w14:textId="4F4507B7">
      <w:pPr>
        <w:pStyle w:val="JuQuot"/>
        <w:rPr>
          <w:rFonts w:eastAsia="Times New Roman"/>
        </w:rPr>
      </w:pPr>
      <w:r w:rsidRPr="00FC1073">
        <w:rPr>
          <w:rFonts w:eastAsia="Times New Roman"/>
        </w:rPr>
        <w:t>“The UK is clearly a target for Russia</w:t>
      </w:r>
      <w:r w:rsidRPr="00FC1073" w:rsidR="001D72B2">
        <w:rPr>
          <w:rFonts w:eastAsia="Times New Roman"/>
        </w:rPr>
        <w:t>’</w:t>
      </w:r>
      <w:r w:rsidRPr="00FC1073">
        <w:rPr>
          <w:rFonts w:eastAsia="Times New Roman"/>
        </w:rPr>
        <w:t>s disinformation campaigns and political influence operations and must therefore equip itself to counter such efforts.</w:t>
      </w:r>
    </w:p>
    <w:p w:rsidRPr="00FC1073" w:rsidR="00A8059F" w:rsidP="001D72B2" w14:paraId="406C44E4" w14:textId="77777777">
      <w:pPr>
        <w:pStyle w:val="JuQuot"/>
        <w:rPr>
          <w:rFonts w:eastAsia="Times New Roman"/>
        </w:rPr>
      </w:pPr>
      <w:r w:rsidRPr="00FC1073">
        <w:rPr>
          <w:rFonts w:eastAsia="Times New Roman"/>
        </w:rPr>
        <w:t>...</w:t>
      </w:r>
    </w:p>
    <w:p w:rsidRPr="00FC1073" w:rsidR="00A8059F" w:rsidP="001D72B2" w14:paraId="149BBFB7" w14:textId="4332C246">
      <w:pPr>
        <w:pStyle w:val="JuQuot"/>
        <w:rPr>
          <w:rFonts w:eastAsia="Times New Roman"/>
        </w:rPr>
      </w:pPr>
      <w:r w:rsidRPr="00FC1073">
        <w:rPr>
          <w:rFonts w:eastAsia="Times New Roman"/>
        </w:rPr>
        <w:t xml:space="preserve">[W]e </w:t>
      </w:r>
      <w:r w:rsidRPr="00FC1073">
        <w:rPr>
          <w:rFonts w:eastAsia="Times New Roman"/>
        </w:rPr>
        <w:t>note</w:t>
      </w:r>
      <w:r w:rsidRPr="00FC1073">
        <w:rPr>
          <w:rFonts w:eastAsia="Times New Roman"/>
        </w:rPr>
        <w:t xml:space="preserve"> that – as with so many other issues currently – it is the social media companies which hold the key and yet are failing to play their part; DCMS informed us that ***. The Government must now seek to establish a protocol with the social media companies to ensure that they take covert hostile state use of their platforms </w:t>
      </w:r>
      <w:r w:rsidRPr="00FC1073">
        <w:rPr>
          <w:rFonts w:eastAsia="Times New Roman"/>
        </w:rPr>
        <w:t>seriously, and</w:t>
      </w:r>
      <w:r w:rsidRPr="00FC1073">
        <w:rPr>
          <w:rFonts w:eastAsia="Times New Roman"/>
        </w:rPr>
        <w:t xml:space="preserve"> have clear timescales within which they commit to removing such material. Government should </w:t>
      </w:r>
      <w:r w:rsidRPr="00FC1073" w:rsidR="001D72B2">
        <w:rPr>
          <w:rFonts w:eastAsia="Times New Roman"/>
        </w:rPr>
        <w:t>‘</w:t>
      </w:r>
      <w:r w:rsidRPr="00FC1073">
        <w:rPr>
          <w:rFonts w:eastAsia="Times New Roman"/>
        </w:rPr>
        <w:t>name and shame</w:t>
      </w:r>
      <w:r w:rsidRPr="00FC1073" w:rsidR="001D72B2">
        <w:rPr>
          <w:rFonts w:eastAsia="Times New Roman"/>
        </w:rPr>
        <w:t>’</w:t>
      </w:r>
      <w:r w:rsidRPr="00FC1073">
        <w:rPr>
          <w:rFonts w:eastAsia="Times New Roman"/>
        </w:rPr>
        <w:t xml:space="preserve"> those which fail to act. Such a protocol could, usefully, be expanded to encompass the other areas in which action is required from the social media companies, since this issue is not unique to Hostile State Activity. This matter is, in our view, urgent and we expect the Government to report on progress in this area as soon as possible.”</w:t>
      </w:r>
    </w:p>
    <w:bookmarkStart w:name="paragraph00046" w:id="34"/>
    <w:p w:rsidRPr="00FC1073" w:rsidR="00A8059F" w:rsidP="001D72B2" w14:paraId="36167DA3" w14:textId="19E28F18">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46</w:t>
      </w:r>
      <w:r w:rsidRPr="00FC1073">
        <w:rPr>
          <w:rFonts w:eastAsia="Times New Roman"/>
        </w:rPr>
        <w:fldChar w:fldCharType="end"/>
      </w:r>
      <w:bookmarkEnd w:id="34"/>
      <w:r w:rsidRPr="00FC1073">
        <w:rPr>
          <w:rFonts w:eastAsia="Times New Roman"/>
        </w:rPr>
        <w:t>.  By way of a case study, the report considered the EU referendum, since there had been widespread public allegations that Russia had sought to influence it. According to the report:</w:t>
      </w:r>
    </w:p>
    <w:p w:rsidRPr="00FC1073" w:rsidR="00A8059F" w:rsidP="001D72B2" w14:paraId="17DEABDC" w14:textId="77777777">
      <w:pPr>
        <w:pStyle w:val="JuQuot"/>
        <w:rPr>
          <w:rFonts w:eastAsia="Times New Roman"/>
        </w:rPr>
      </w:pPr>
      <w:r w:rsidRPr="00FC1073">
        <w:rPr>
          <w:rFonts w:eastAsia="Times New Roman"/>
        </w:rPr>
        <w:t>“The impact of any such attempts would be difficult – if not impossible – to assess, and we have not sought to do so. However, it is important to establish whether a hostile state took deliberate action with the aim of influencing a UK democratic process, irrespective of whether it was successful or not.</w:t>
      </w:r>
    </w:p>
    <w:p w:rsidRPr="00FC1073" w:rsidR="00A8059F" w:rsidP="001D72B2" w14:paraId="5473E200" w14:textId="1DC5B6AC">
      <w:pPr>
        <w:pStyle w:val="JuQuot"/>
        <w:rPr>
          <w:rFonts w:eastAsia="Times New Roman"/>
        </w:rPr>
      </w:pPr>
      <w:r w:rsidRPr="00FC1073">
        <w:rPr>
          <w:rFonts w:eastAsia="Times New Roman"/>
        </w:rPr>
        <w:t>Open source</w:t>
      </w:r>
      <w:r w:rsidRPr="00FC1073">
        <w:rPr>
          <w:rFonts w:eastAsia="Times New Roman"/>
        </w:rPr>
        <w:t xml:space="preserve"> studies have pointed to the preponderance of pro-Brexit or anti-EU</w:t>
      </w:r>
      <w:r w:rsidR="00CA0551">
        <w:rPr>
          <w:rFonts w:eastAsia="Times New Roman"/>
        </w:rPr>
        <w:t xml:space="preserve"> </w:t>
      </w:r>
      <w:r w:rsidRPr="00FC1073">
        <w:rPr>
          <w:rFonts w:eastAsia="Times New Roman"/>
        </w:rPr>
        <w:t xml:space="preserve">stories on RT and Sputnik, and the use of </w:t>
      </w:r>
      <w:r w:rsidRPr="00FC1073" w:rsidR="001D72B2">
        <w:rPr>
          <w:rFonts w:eastAsia="Times New Roman"/>
        </w:rPr>
        <w:t>‘</w:t>
      </w:r>
      <w:r w:rsidRPr="00FC1073">
        <w:rPr>
          <w:rFonts w:eastAsia="Times New Roman"/>
        </w:rPr>
        <w:t>bots</w:t>
      </w:r>
      <w:r w:rsidRPr="00FC1073" w:rsidR="001D72B2">
        <w:rPr>
          <w:rFonts w:eastAsia="Times New Roman"/>
        </w:rPr>
        <w:t>’</w:t>
      </w:r>
      <w:r w:rsidRPr="00FC1073">
        <w:rPr>
          <w:rFonts w:eastAsia="Times New Roman"/>
        </w:rPr>
        <w:t xml:space="preserve"> and </w:t>
      </w:r>
      <w:r w:rsidRPr="00FC1073" w:rsidR="001D72B2">
        <w:rPr>
          <w:rFonts w:eastAsia="Times New Roman"/>
        </w:rPr>
        <w:t>‘</w:t>
      </w:r>
      <w:r w:rsidRPr="00FC1073">
        <w:rPr>
          <w:rFonts w:eastAsia="Times New Roman"/>
        </w:rPr>
        <w:t>trolls</w:t>
      </w:r>
      <w:r w:rsidRPr="00FC1073" w:rsidR="001D72B2">
        <w:rPr>
          <w:rFonts w:eastAsia="Times New Roman"/>
        </w:rPr>
        <w:t>’</w:t>
      </w:r>
      <w:r w:rsidRPr="00FC1073">
        <w:rPr>
          <w:rFonts w:eastAsia="Times New Roman"/>
        </w:rPr>
        <w:t>, as evidence of Russian attempts to influence the process.”</w:t>
      </w:r>
    </w:p>
    <w:p w:rsidRPr="00FC1073" w:rsidR="00A8059F" w:rsidP="001D72B2" w14:paraId="7CB1F3FC" w14:textId="44FDABBE">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47</w:t>
      </w:r>
      <w:r w:rsidRPr="00FC1073">
        <w:rPr>
          <w:rFonts w:eastAsia="Times New Roman"/>
        </w:rPr>
        <w:fldChar w:fldCharType="end"/>
      </w:r>
      <w:r w:rsidRPr="00FC1073">
        <w:rPr>
          <w:rFonts w:eastAsia="Times New Roman"/>
        </w:rPr>
        <w:t xml:space="preserve">.  The report also noted the existence of “credible </w:t>
      </w:r>
      <w:r w:rsidRPr="00FC1073">
        <w:rPr>
          <w:rFonts w:eastAsia="Times New Roman"/>
        </w:rPr>
        <w:t>open source</w:t>
      </w:r>
      <w:r w:rsidRPr="00FC1073">
        <w:rPr>
          <w:rFonts w:eastAsia="Times New Roman"/>
        </w:rPr>
        <w:t xml:space="preserve"> commentary” suggesting that Russia </w:t>
      </w:r>
      <w:r w:rsidR="008F0B0B">
        <w:rPr>
          <w:rFonts w:eastAsia="Times New Roman"/>
        </w:rPr>
        <w:t xml:space="preserve">had </w:t>
      </w:r>
      <w:r w:rsidRPr="00FC1073">
        <w:rPr>
          <w:rFonts w:eastAsia="Times New Roman"/>
        </w:rPr>
        <w:t>undert</w:t>
      </w:r>
      <w:r w:rsidR="008F0B0B">
        <w:rPr>
          <w:rFonts w:eastAsia="Times New Roman"/>
        </w:rPr>
        <w:t>a</w:t>
      </w:r>
      <w:r w:rsidRPr="00FC1073">
        <w:rPr>
          <w:rFonts w:eastAsia="Times New Roman"/>
        </w:rPr>
        <w:t>k</w:t>
      </w:r>
      <w:r w:rsidR="008F0B0B">
        <w:rPr>
          <w:rFonts w:eastAsia="Times New Roman"/>
        </w:rPr>
        <w:t>en</w:t>
      </w:r>
      <w:r w:rsidRPr="00FC1073">
        <w:rPr>
          <w:rFonts w:eastAsia="Times New Roman"/>
        </w:rPr>
        <w:t xml:space="preserve"> influence campaigns in relation to the Scottish independence referendum.</w:t>
      </w:r>
    </w:p>
    <w:bookmarkStart w:name="paragraph00048" w:id="35"/>
    <w:p w:rsidRPr="00FC1073" w:rsidR="00A8059F" w:rsidP="001D72B2" w14:paraId="51EA1085" w14:textId="48E8CBBE">
      <w:pPr>
        <w:pStyle w:val="JuPara"/>
        <w:keepNext/>
        <w:keepLines/>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48</w:t>
      </w:r>
      <w:r w:rsidRPr="00FC1073">
        <w:rPr>
          <w:rFonts w:eastAsia="Times New Roman"/>
        </w:rPr>
        <w:fldChar w:fldCharType="end"/>
      </w:r>
      <w:bookmarkEnd w:id="35"/>
      <w:r w:rsidRPr="00FC1073">
        <w:rPr>
          <w:rFonts w:eastAsia="Times New Roman"/>
        </w:rPr>
        <w:t>.  Concerning the Government</w:t>
      </w:r>
      <w:r w:rsidRPr="00FC1073" w:rsidR="001D72B2">
        <w:rPr>
          <w:rFonts w:eastAsia="Times New Roman"/>
        </w:rPr>
        <w:t>’</w:t>
      </w:r>
      <w:r w:rsidRPr="00FC1073">
        <w:rPr>
          <w:rFonts w:eastAsia="Times New Roman"/>
        </w:rPr>
        <w:t>s response to allegations of Russian interference in its democratic processes, the report indicated:</w:t>
      </w:r>
    </w:p>
    <w:p w:rsidRPr="00FC1073" w:rsidR="00A8059F" w:rsidP="001D72B2" w14:paraId="1B888F77" w14:textId="5F5880DB">
      <w:pPr>
        <w:pStyle w:val="JuQuot"/>
        <w:keepNext/>
        <w:keepLines/>
        <w:rPr>
          <w:rFonts w:eastAsia="Times New Roman"/>
        </w:rPr>
      </w:pPr>
      <w:r w:rsidRPr="00FC1073">
        <w:rPr>
          <w:rFonts w:eastAsia="Times New Roman"/>
        </w:rPr>
        <w:t xml:space="preserve">“The written evidence provided to us appeared to suggest that [the Government] had not seen or sought evidence of successful interference in UK democratic processes or any activity that has had a material impact on an election, for example influencing results. ***. ***. This focus on *** indicates that </w:t>
      </w:r>
      <w:r w:rsidRPr="00FC1073">
        <w:rPr>
          <w:rFonts w:eastAsia="Times New Roman"/>
        </w:rPr>
        <w:t>open source</w:t>
      </w:r>
      <w:r w:rsidRPr="00FC1073">
        <w:rPr>
          <w:rFonts w:eastAsia="Times New Roman"/>
        </w:rPr>
        <w:t xml:space="preserve"> material (for example, the studies of attempts to influence the referendum using RT and Sputnik, or social media campaigns referred to earlier) was not fully </w:t>
      </w:r>
      <w:r w:rsidRPr="00FC1073">
        <w:rPr>
          <w:rFonts w:eastAsia="Times New Roman"/>
        </w:rPr>
        <w:t>taken into account</w:t>
      </w:r>
      <w:r w:rsidRPr="00FC1073">
        <w:rPr>
          <w:rFonts w:eastAsia="Times New Roman"/>
        </w:rPr>
        <w:t xml:space="preserve">. Given that the Committee has previously been informed that </w:t>
      </w:r>
      <w:r w:rsidRPr="00FC1073">
        <w:rPr>
          <w:rFonts w:eastAsia="Times New Roman"/>
        </w:rPr>
        <w:t>open source</w:t>
      </w:r>
      <w:r w:rsidRPr="00FC1073">
        <w:rPr>
          <w:rFonts w:eastAsia="Times New Roman"/>
        </w:rPr>
        <w:t xml:space="preserve"> material is now fully represented in the Government</w:t>
      </w:r>
      <w:r w:rsidRPr="00FC1073" w:rsidR="001D72B2">
        <w:rPr>
          <w:rFonts w:eastAsia="Times New Roman"/>
        </w:rPr>
        <w:t>’</w:t>
      </w:r>
      <w:r w:rsidRPr="00FC1073">
        <w:rPr>
          <w:rFonts w:eastAsia="Times New Roman"/>
        </w:rPr>
        <w:t>s understanding of the threat picture, it was surprising to us that in this instance it was not.</w:t>
      </w:r>
    </w:p>
    <w:p w:rsidRPr="00FC1073" w:rsidR="00A8059F" w:rsidP="001D72B2" w14:paraId="60F49734" w14:textId="79425343">
      <w:pPr>
        <w:pStyle w:val="JuQuot"/>
        <w:rPr>
          <w:rFonts w:eastAsia="Times New Roman"/>
        </w:rPr>
      </w:pPr>
      <w:r w:rsidRPr="00FC1073">
        <w:rPr>
          <w:rFonts w:eastAsia="Times New Roman"/>
        </w:rPr>
        <w:t xml:space="preserve">Whilst it may be true that some issues highlighted in open source did not require the secret investigative capabilities of the intelligence and security Agencies or were at the </w:t>
      </w:r>
      <w:r w:rsidRPr="00FC1073">
        <w:rPr>
          <w:rFonts w:eastAsia="Times New Roman"/>
        </w:rPr>
        <w:t xml:space="preserve">periphery of their remits, the Agencies nonetheless have capabilities which allow them to </w:t>
      </w:r>
      <w:r w:rsidRPr="00FC1073" w:rsidR="001D72B2">
        <w:rPr>
          <w:rFonts w:eastAsia="Times New Roman"/>
        </w:rPr>
        <w:t>‘</w:t>
      </w:r>
      <w:r w:rsidRPr="00FC1073">
        <w:rPr>
          <w:rFonts w:eastAsia="Times New Roman"/>
        </w:rPr>
        <w:t>stand on the shoulders</w:t>
      </w:r>
      <w:r w:rsidRPr="00FC1073" w:rsidR="001D72B2">
        <w:rPr>
          <w:rFonts w:eastAsia="Times New Roman"/>
        </w:rPr>
        <w:t>’</w:t>
      </w:r>
      <w:r w:rsidRPr="00FC1073">
        <w:rPr>
          <w:rFonts w:eastAsia="Times New Roman"/>
        </w:rPr>
        <w:t xml:space="preserve"> of open source coverage: for example, GCHQ might attempt to look behind the suspicious social media accounts which open source analysis has identified to uncover their true operators (and even disrupt their use), or SIS [Secret Intelligence Service, otherwise known as MI6] might specifically task an agent to provide information on the extent and nature of any Russian influence campaigns. However, we have found *** which suggests that ***. ***.</w:t>
      </w:r>
    </w:p>
    <w:p w:rsidRPr="00FC1073" w:rsidR="00A8059F" w:rsidP="001D72B2" w14:paraId="225990F7" w14:textId="77777777">
      <w:pPr>
        <w:pStyle w:val="JuQuot"/>
        <w:rPr>
          <w:rFonts w:eastAsia="Times New Roman"/>
        </w:rPr>
      </w:pPr>
      <w:r w:rsidRPr="00FC1073">
        <w:rPr>
          <w:rFonts w:eastAsia="Times New Roman"/>
        </w:rPr>
        <w:t>(iii)  Lack of retrospective assessment</w:t>
      </w:r>
    </w:p>
    <w:p w:rsidRPr="00FC1073" w:rsidR="00A8059F" w:rsidP="001D72B2" w14:paraId="611B1CDC" w14:textId="52B267E5">
      <w:pPr>
        <w:pStyle w:val="JuQuot"/>
        <w:rPr>
          <w:rFonts w:eastAsia="Times New Roman"/>
        </w:rPr>
      </w:pPr>
      <w:r w:rsidRPr="00FC1073">
        <w:rPr>
          <w:rFonts w:eastAsia="Times New Roman"/>
        </w:rPr>
        <w:t>We have not been provided with any post-referendum assessment of Russian attempts at interference, ***. This situation is in stark contrast to the US handling of allegations of Russian interference in the 2016 presidential election, where an intelligence community assessment was produced within two months of the vote, with an unclassified summary being made public. Whilst the issues at stake in the EU</w:t>
      </w:r>
      <w:r w:rsidR="00CA0551">
        <w:rPr>
          <w:rFonts w:eastAsia="Times New Roman"/>
        </w:rPr>
        <w:t xml:space="preserve"> </w:t>
      </w:r>
      <w:r w:rsidRPr="00FC1073">
        <w:rPr>
          <w:rFonts w:eastAsia="Times New Roman"/>
        </w:rPr>
        <w:t>referendum campaign are less clear-cut, it is nonetheless the Committee</w:t>
      </w:r>
      <w:r w:rsidRPr="00FC1073" w:rsidR="001D72B2">
        <w:rPr>
          <w:rFonts w:eastAsia="Times New Roman"/>
        </w:rPr>
        <w:t>’</w:t>
      </w:r>
      <w:r w:rsidRPr="00FC1073">
        <w:rPr>
          <w:rFonts w:eastAsia="Times New Roman"/>
        </w:rPr>
        <w:t>s view that the UK Intelligence Community should produce an analogous assessment of potential Russian interference in the EU referendum and that an unclassified summary of it be published.</w:t>
      </w:r>
    </w:p>
    <w:p w:rsidRPr="00FC1073" w:rsidR="00A8059F" w:rsidP="001D72B2" w14:paraId="682F088C" w14:textId="7B45BC24">
      <w:pPr>
        <w:pStyle w:val="JuQuot"/>
        <w:rPr>
          <w:rFonts w:eastAsia="Times New Roman"/>
        </w:rPr>
      </w:pPr>
      <w:r w:rsidRPr="00FC1073">
        <w:rPr>
          <w:rFonts w:eastAsia="Times New Roman"/>
        </w:rPr>
        <w:t>***. Even if the conclusion of any such assessment were that there was minimal interference, this would nonetheless represent a helpful reassurance to the public that the UK</w:t>
      </w:r>
      <w:r w:rsidRPr="00FC1073" w:rsidR="001D72B2">
        <w:rPr>
          <w:rFonts w:eastAsia="Times New Roman"/>
        </w:rPr>
        <w:t>’</w:t>
      </w:r>
      <w:r w:rsidRPr="00FC1073">
        <w:rPr>
          <w:rFonts w:eastAsia="Times New Roman"/>
        </w:rPr>
        <w:t>s democratic processes had remained relatively safe.”</w:t>
      </w:r>
    </w:p>
    <w:p w:rsidRPr="00FC1073" w:rsidR="00A8059F" w:rsidP="001D72B2" w14:paraId="6F67E0E3" w14:textId="15FE40C7">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49</w:t>
      </w:r>
      <w:r w:rsidRPr="00FC1073">
        <w:rPr>
          <w:rFonts w:eastAsia="Times New Roman"/>
        </w:rPr>
        <w:fldChar w:fldCharType="end"/>
      </w:r>
      <w:r w:rsidRPr="00FC1073">
        <w:rPr>
          <w:rFonts w:eastAsia="Times New Roman"/>
        </w:rPr>
        <w:t xml:space="preserve">.  The report noted that following the end of the Cold War, the operational effort allocated to countering Russian Hostile State Activity </w:t>
      </w:r>
      <w:r w:rsidR="008F0B0B">
        <w:rPr>
          <w:rFonts w:eastAsia="Times New Roman"/>
        </w:rPr>
        <w:t xml:space="preserve">had </w:t>
      </w:r>
      <w:r w:rsidRPr="00FC1073">
        <w:rPr>
          <w:rFonts w:eastAsia="Times New Roman"/>
        </w:rPr>
        <w:t>decreased. The report continued:</w:t>
      </w:r>
    </w:p>
    <w:p w:rsidRPr="00FC1073" w:rsidR="00A8059F" w:rsidP="001D72B2" w14:paraId="7F2B523B" w14:textId="77777777">
      <w:pPr>
        <w:pStyle w:val="JuQuot"/>
        <w:rPr>
          <w:rFonts w:eastAsia="Times New Roman"/>
        </w:rPr>
      </w:pPr>
      <w:r w:rsidRPr="00FC1073">
        <w:rPr>
          <w:rFonts w:eastAsia="Times New Roman"/>
        </w:rPr>
        <w:t>“We fully recognise the very considerable pressures on the Agencies since 9/11, and that they have a finite amount of resource, which they must focus on operational priorities. Nevertheless, reacting to the here and now is inherently inefficient and – in our opinion – until recently, the Government had badly underestimated the Russian threat and the response it required.”</w:t>
      </w:r>
    </w:p>
    <w:p w:rsidRPr="00FC1073" w:rsidR="00A8059F" w:rsidP="001D72B2" w14:paraId="3BFEA5AF" w14:textId="5C45C7EA">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50</w:t>
      </w:r>
      <w:r w:rsidRPr="00FC1073">
        <w:rPr>
          <w:rFonts w:eastAsia="Times New Roman"/>
        </w:rPr>
        <w:fldChar w:fldCharType="end"/>
      </w:r>
      <w:r w:rsidRPr="00FC1073">
        <w:rPr>
          <w:rFonts w:eastAsia="Times New Roman"/>
        </w:rPr>
        <w:t xml:space="preserve">.  The </w:t>
      </w:r>
      <w:r w:rsidR="0010626D">
        <w:rPr>
          <w:rFonts w:eastAsia="Times New Roman"/>
        </w:rPr>
        <w:t>i</w:t>
      </w:r>
      <w:r w:rsidRPr="00FC1073">
        <w:rPr>
          <w:rFonts w:eastAsia="Times New Roman"/>
        </w:rPr>
        <w:t xml:space="preserve">ntelligence </w:t>
      </w:r>
      <w:r w:rsidR="0010626D">
        <w:rPr>
          <w:rFonts w:eastAsia="Times New Roman"/>
        </w:rPr>
        <w:t>a</w:t>
      </w:r>
      <w:r w:rsidRPr="00FC1073">
        <w:rPr>
          <w:rFonts w:eastAsia="Times New Roman"/>
        </w:rPr>
        <w:t xml:space="preserve">gencies had informed the ISC that DCMS had primary responsibility for disinformation campaigns, and that the Electoral Commission (see paragraphs </w:t>
      </w:r>
      <w:r w:rsidRPr="00FC1073">
        <w:rPr>
          <w:rFonts w:eastAsia="Times New Roman"/>
        </w:rPr>
        <w:fldChar w:fldCharType="begin"/>
      </w:r>
      <w:r w:rsidRPr="00FC1073">
        <w:rPr>
          <w:rFonts w:eastAsia="Times New Roman"/>
        </w:rPr>
        <w:instrText xml:space="preserve">REF paragraph00030 \h \* CharFormat </w:instrText>
      </w:r>
      <w:r w:rsidRPr="00FC1073">
        <w:rPr>
          <w:rFonts w:eastAsia="Times New Roman"/>
        </w:rPr>
        <w:fldChar w:fldCharType="separate"/>
      </w:r>
      <w:r w:rsidR="00A00646">
        <w:rPr>
          <w:rFonts w:eastAsia="Times New Roman"/>
        </w:rPr>
        <w:t>30</w:t>
      </w:r>
      <w:r w:rsidRPr="00FC1073">
        <w:rPr>
          <w:rFonts w:eastAsia="Times New Roman"/>
        </w:rPr>
        <w:fldChar w:fldCharType="end"/>
      </w:r>
      <w:r w:rsidRPr="00FC1073">
        <w:rPr>
          <w:rFonts w:eastAsia="Times New Roman"/>
        </w:rPr>
        <w:t>-</w:t>
      </w:r>
      <w:r w:rsidRPr="00FC1073">
        <w:rPr>
          <w:rFonts w:eastAsia="Times New Roman"/>
        </w:rPr>
        <w:fldChar w:fldCharType="begin"/>
      </w:r>
      <w:r w:rsidRPr="00FC1073">
        <w:rPr>
          <w:rFonts w:eastAsia="Times New Roman"/>
        </w:rPr>
        <w:instrText xml:space="preserve">REF paragraph00031 \h \* CharFormat </w:instrText>
      </w:r>
      <w:r w:rsidRPr="00FC1073">
        <w:rPr>
          <w:rFonts w:eastAsia="Times New Roman"/>
        </w:rPr>
        <w:fldChar w:fldCharType="separate"/>
      </w:r>
      <w:r w:rsidR="00A00646">
        <w:rPr>
          <w:rFonts w:eastAsia="Times New Roman"/>
        </w:rPr>
        <w:t>31</w:t>
      </w:r>
      <w:r w:rsidRPr="00FC1073">
        <w:rPr>
          <w:rFonts w:eastAsia="Times New Roman"/>
        </w:rPr>
        <w:fldChar w:fldCharType="end"/>
      </w:r>
      <w:r w:rsidRPr="00FC1073">
        <w:rPr>
          <w:rFonts w:eastAsia="Times New Roman"/>
        </w:rPr>
        <w:t xml:space="preserve"> above) had responsibility for the overall security of democratic processes. However, DCMS told the ISC that its function was largely confined to the broad </w:t>
      </w:r>
      <w:r w:rsidR="00CA0551">
        <w:rPr>
          <w:rFonts w:eastAsia="Times New Roman"/>
        </w:rPr>
        <w:t>g</w:t>
      </w:r>
      <w:r w:rsidRPr="00FC1073">
        <w:rPr>
          <w:rFonts w:eastAsia="Times New Roman"/>
        </w:rPr>
        <w:t>overnment policy regarding the use of disinformation rather than an assessment of, or operations against, hostile State campaigns. According to the ISC:</w:t>
      </w:r>
    </w:p>
    <w:p w:rsidRPr="00FC1073" w:rsidR="00A8059F" w:rsidP="001D72B2" w14:paraId="3326F4FB" w14:textId="35200B2D">
      <w:pPr>
        <w:pStyle w:val="JuQuot"/>
        <w:rPr>
          <w:rFonts w:eastAsia="Times New Roman"/>
        </w:rPr>
      </w:pPr>
      <w:r w:rsidRPr="00FC1073">
        <w:rPr>
          <w:rFonts w:eastAsia="Times New Roman"/>
        </w:rPr>
        <w:t xml:space="preserve">“DCMS is a small Whitehall policy </w:t>
      </w:r>
      <w:r w:rsidRPr="00FC1073">
        <w:rPr>
          <w:rFonts w:eastAsia="Times New Roman"/>
        </w:rPr>
        <w:t>department</w:t>
      </w:r>
      <w:r w:rsidRPr="00FC1073">
        <w:rPr>
          <w:rFonts w:eastAsia="Times New Roman"/>
        </w:rPr>
        <w:t xml:space="preserve"> and the Electoral Commission is an arm</w:t>
      </w:r>
      <w:r w:rsidRPr="00FC1073" w:rsidR="001D72B2">
        <w:rPr>
          <w:rFonts w:eastAsia="Times New Roman"/>
        </w:rPr>
        <w:t>’</w:t>
      </w:r>
      <w:r w:rsidRPr="00FC1073">
        <w:rPr>
          <w:rFonts w:eastAsia="Times New Roman"/>
        </w:rPr>
        <w:t xml:space="preserve">s length body; neither is in the central position required to tackle a major hostile state threat to our democracy. Protecting our democratic discourse and processes from hostile foreign interference is a central responsibility of </w:t>
      </w:r>
      <w:r w:rsidRPr="00FC1073">
        <w:rPr>
          <w:rFonts w:eastAsia="Times New Roman"/>
        </w:rPr>
        <w:t>Government, and</w:t>
      </w:r>
      <w:r w:rsidRPr="00FC1073">
        <w:rPr>
          <w:rFonts w:eastAsia="Times New Roman"/>
        </w:rPr>
        <w:t xml:space="preserve"> should be a ministerial priority.”</w:t>
      </w:r>
    </w:p>
    <w:bookmarkStart w:name="paragraph00051" w:id="36"/>
    <w:p w:rsidRPr="00FC1073" w:rsidR="00A8059F" w:rsidP="001D72B2" w14:paraId="789102D1" w14:textId="294F2D44">
      <w:pPr>
        <w:ind w:firstLine="284"/>
        <w:jc w:val="both"/>
        <w:rPr>
          <w:rFonts w:ascii="Times New Roman" w:hAnsi="Times New Roman" w:eastAsia="Times New Roman" w:cs="Times New Roman"/>
        </w:rPr>
      </w:pPr>
      <w:r w:rsidRPr="00FC1073">
        <w:rPr>
          <w:rStyle w:val="JuParaChar"/>
        </w:rPr>
        <w:fldChar w:fldCharType="begin"/>
      </w:r>
      <w:r w:rsidRPr="00FC1073">
        <w:rPr>
          <w:rStyle w:val="JuParaChar"/>
        </w:rPr>
        <w:instrText xml:space="preserve"> SEQ level0 \*arabic \* MERGEFORMAT </w:instrText>
      </w:r>
      <w:r w:rsidRPr="00FC1073">
        <w:rPr>
          <w:rStyle w:val="JuParaChar"/>
        </w:rPr>
        <w:fldChar w:fldCharType="separate"/>
      </w:r>
      <w:r w:rsidR="00A00646">
        <w:rPr>
          <w:rStyle w:val="JuParaChar"/>
          <w:noProof/>
        </w:rPr>
        <w:t>51</w:t>
      </w:r>
      <w:r w:rsidRPr="00FC1073">
        <w:rPr>
          <w:rStyle w:val="JuParaChar"/>
        </w:rPr>
        <w:fldChar w:fldCharType="end"/>
      </w:r>
      <w:bookmarkEnd w:id="36"/>
      <w:r w:rsidRPr="00FC1073">
        <w:rPr>
          <w:rStyle w:val="JuParaChar"/>
        </w:rPr>
        <w:t xml:space="preserve">.  The report also considered whether the </w:t>
      </w:r>
      <w:r w:rsidR="0037062C">
        <w:rPr>
          <w:rStyle w:val="JuParaChar"/>
        </w:rPr>
        <w:t>i</w:t>
      </w:r>
      <w:r w:rsidRPr="00FC1073">
        <w:rPr>
          <w:rStyle w:val="JuParaChar"/>
        </w:rPr>
        <w:t xml:space="preserve">ntelligence </w:t>
      </w:r>
      <w:r w:rsidR="0037062C">
        <w:rPr>
          <w:rStyle w:val="JuParaChar"/>
        </w:rPr>
        <w:t>c</w:t>
      </w:r>
      <w:r w:rsidRPr="00FC1073">
        <w:rPr>
          <w:rStyle w:val="JuParaChar"/>
        </w:rPr>
        <w:t xml:space="preserve">ommunity had all the powers and tools it needed to counter Russian </w:t>
      </w:r>
      <w:r w:rsidR="0037062C">
        <w:rPr>
          <w:rStyle w:val="JuParaChar"/>
        </w:rPr>
        <w:t>h</w:t>
      </w:r>
      <w:r w:rsidRPr="00FC1073">
        <w:rPr>
          <w:rStyle w:val="JuParaChar"/>
        </w:rPr>
        <w:t xml:space="preserve">ostile State </w:t>
      </w:r>
      <w:r w:rsidR="0037062C">
        <w:rPr>
          <w:rStyle w:val="JuParaChar"/>
        </w:rPr>
        <w:t>a</w:t>
      </w:r>
      <w:r w:rsidRPr="00FC1073">
        <w:rPr>
          <w:rStyle w:val="JuParaChar"/>
        </w:rPr>
        <w:t>ctivity. Under the heading “Protecting democracy”</w:t>
      </w:r>
      <w:r w:rsidR="00CA0551">
        <w:rPr>
          <w:rStyle w:val="JuParaChar"/>
        </w:rPr>
        <w:t>,</w:t>
      </w:r>
      <w:r w:rsidRPr="00FC1073">
        <w:rPr>
          <w:rStyle w:val="JuParaChar"/>
        </w:rPr>
        <w:t xml:space="preserve"> it stated:</w:t>
      </w:r>
    </w:p>
    <w:p w:rsidRPr="00FC1073" w:rsidR="00A8059F" w:rsidP="001D72B2" w14:paraId="6E26109F" w14:textId="4855E529">
      <w:pPr>
        <w:pStyle w:val="JuQuot"/>
        <w:rPr>
          <w:rFonts w:eastAsia="Times New Roman"/>
        </w:rPr>
      </w:pPr>
      <w:r w:rsidRPr="00FC1073">
        <w:rPr>
          <w:rFonts w:eastAsia="Times New Roman"/>
        </w:rPr>
        <w:t xml:space="preserve">“The [DCMS] Select Committee has already asked the Government </w:t>
      </w:r>
      <w:r w:rsidRPr="00FC1073" w:rsidR="001D72B2">
        <w:rPr>
          <w:rFonts w:eastAsia="Times New Roman"/>
        </w:rPr>
        <w:t>‘</w:t>
      </w:r>
      <w:r w:rsidRPr="00FC1073">
        <w:rPr>
          <w:rFonts w:eastAsia="Times New Roman"/>
        </w:rPr>
        <w:t xml:space="preserve">whether current legislation to protect the electoral process from malign interference is sufficient. Legislation should be in line with the latest technological </w:t>
      </w:r>
      <w:r w:rsidRPr="00FC1073">
        <w:rPr>
          <w:rFonts w:eastAsia="Times New Roman"/>
        </w:rPr>
        <w:t>developments</w:t>
      </w:r>
      <w:r w:rsidRPr="00FC1073" w:rsidR="001D72B2">
        <w:rPr>
          <w:rFonts w:eastAsia="Times New Roman"/>
        </w:rPr>
        <w:t>’</w:t>
      </w:r>
      <w:r w:rsidRPr="00FC1073">
        <w:rPr>
          <w:rFonts w:eastAsia="Times New Roman"/>
        </w:rPr>
        <w:t xml:space="preserve">. We note that </w:t>
      </w:r>
      <w:r w:rsidRPr="00FC1073">
        <w:rPr>
          <w:rFonts w:eastAsia="Times New Roman"/>
        </w:rPr>
        <w:t>physical interference in the UK</w:t>
      </w:r>
      <w:r w:rsidRPr="00FC1073" w:rsidR="001D72B2">
        <w:rPr>
          <w:rFonts w:eastAsia="Times New Roman"/>
        </w:rPr>
        <w:t>’</w:t>
      </w:r>
      <w:r w:rsidRPr="00FC1073">
        <w:rPr>
          <w:rFonts w:eastAsia="Times New Roman"/>
        </w:rPr>
        <w:t>s democratic processes is less likely given the use of a paper-based system – however, we support the DCMS Select Committee</w:t>
      </w:r>
      <w:r w:rsidRPr="00FC1073" w:rsidR="001D72B2">
        <w:rPr>
          <w:rFonts w:eastAsia="Times New Roman"/>
        </w:rPr>
        <w:t>’</w:t>
      </w:r>
      <w:r w:rsidRPr="00FC1073">
        <w:rPr>
          <w:rFonts w:eastAsia="Times New Roman"/>
        </w:rPr>
        <w:t xml:space="preserve">s calls for the Electoral Commission to be given power to </w:t>
      </w:r>
      <w:r w:rsidRPr="00FC1073" w:rsidR="001D72B2">
        <w:rPr>
          <w:rFonts w:eastAsia="Times New Roman"/>
        </w:rPr>
        <w:t>‘</w:t>
      </w:r>
      <w:r w:rsidRPr="00FC1073">
        <w:rPr>
          <w:rFonts w:eastAsia="Times New Roman"/>
        </w:rPr>
        <w:t>stop someone acting illegally in a campaign if they live outside the UK</w:t>
      </w:r>
      <w:r w:rsidRPr="00FC1073" w:rsidR="001D72B2">
        <w:rPr>
          <w:rFonts w:eastAsia="Times New Roman"/>
        </w:rPr>
        <w:t>’</w:t>
      </w:r>
      <w:r w:rsidRPr="00FC1073">
        <w:rPr>
          <w:rFonts w:eastAsia="Times New Roman"/>
        </w:rPr>
        <w:t>.</w:t>
      </w:r>
    </w:p>
    <w:p w:rsidRPr="00FC1073" w:rsidR="00A8059F" w:rsidP="001D72B2" w14:paraId="455897FA" w14:textId="15DFE386">
      <w:pPr>
        <w:pStyle w:val="JuQuot"/>
        <w:rPr>
          <w:rFonts w:eastAsia="Times New Roman"/>
        </w:rPr>
      </w:pPr>
      <w:r w:rsidRPr="00FC1073">
        <w:rPr>
          <w:rFonts w:eastAsia="Times New Roman"/>
        </w:rPr>
        <w:t xml:space="preserve">Separately, there is the question of influence over our democratic processes. Questions have been raised over whether electoral law is sufficiently up to date, given </w:t>
      </w:r>
      <w:r w:rsidRPr="00FC1073" w:rsidR="001D72B2">
        <w:rPr>
          <w:rFonts w:eastAsia="Times New Roman"/>
        </w:rPr>
        <w:t>‘</w:t>
      </w:r>
      <w:r w:rsidRPr="00FC1073">
        <w:rPr>
          <w:rFonts w:eastAsia="Times New Roman"/>
        </w:rPr>
        <w:t>the move from physical billboards to online, micro-targeted political campaigning</w:t>
      </w:r>
      <w:r w:rsidRPr="00FC1073" w:rsidR="001D72B2">
        <w:rPr>
          <w:rFonts w:eastAsia="Times New Roman"/>
        </w:rPr>
        <w:t>’</w:t>
      </w:r>
      <w:r w:rsidRPr="00FC1073">
        <w:rPr>
          <w:rFonts w:eastAsia="Times New Roman"/>
        </w:rPr>
        <w:t xml:space="preserve">. We note – and, again, agree with the DCMS Select Committee – that </w:t>
      </w:r>
      <w:r w:rsidRPr="00FC1073" w:rsidR="001D72B2">
        <w:rPr>
          <w:rFonts w:eastAsia="Times New Roman"/>
        </w:rPr>
        <w:t>‘</w:t>
      </w:r>
      <w:r w:rsidRPr="00FC1073">
        <w:rPr>
          <w:rFonts w:eastAsia="Times New Roman"/>
        </w:rPr>
        <w:t xml:space="preserve">the UK is clearly vulnerable to covert digital influence </w:t>
      </w:r>
      <w:r w:rsidRPr="00FC1073">
        <w:rPr>
          <w:rFonts w:eastAsia="Times New Roman"/>
        </w:rPr>
        <w:t>campaigns</w:t>
      </w:r>
      <w:r w:rsidRPr="00FC1073" w:rsidR="001D72B2">
        <w:rPr>
          <w:rFonts w:eastAsia="Times New Roman"/>
        </w:rPr>
        <w:t>’</w:t>
      </w:r>
      <w:r w:rsidRPr="00FC1073">
        <w:rPr>
          <w:rFonts w:eastAsia="Times New Roman"/>
        </w:rPr>
        <w:t>. In this respect, we have already questioned whether the Electoral Commission has sufficient powers to ensure the security of democratic processes where hostile state threats are involved; if it is to tackle foreign interference, then it must be given the necessary legislative powers.”</w:t>
      </w:r>
    </w:p>
    <w:p w:rsidRPr="00FC1073" w:rsidR="00A8059F" w:rsidP="001D72B2" w14:paraId="72CB212B" w14:textId="5D8847D1">
      <w:pPr>
        <w:pStyle w:val="JuH1"/>
        <w:rPr>
          <w:rFonts w:eastAsia="MingLiU"/>
        </w:rPr>
      </w:pPr>
      <w:r w:rsidRPr="00FC1073">
        <w:rPr>
          <w:rFonts w:eastAsia="MingLiU"/>
        </w:rPr>
        <w:t>The Government</w:t>
      </w:r>
      <w:r w:rsidRPr="00FC1073" w:rsidR="001D72B2">
        <w:rPr>
          <w:rFonts w:eastAsia="MingLiU"/>
        </w:rPr>
        <w:t>’</w:t>
      </w:r>
      <w:r w:rsidRPr="00FC1073">
        <w:rPr>
          <w:rFonts w:eastAsia="MingLiU"/>
        </w:rPr>
        <w:t>s public response to the “Russia” report</w:t>
      </w:r>
      <w:r w:rsidR="00D65A95">
        <w:rPr>
          <w:rFonts w:eastAsia="MingLiU"/>
        </w:rPr>
        <w:t xml:space="preserve"> of the </w:t>
      </w:r>
      <w:r w:rsidRPr="00FC1073" w:rsidR="00D65A95">
        <w:t>Intelligence and Security Committee of Parliament</w:t>
      </w:r>
    </w:p>
    <w:bookmarkStart w:name="paragraph00052" w:id="37"/>
    <w:p w:rsidRPr="00FC1073" w:rsidR="00A8059F" w:rsidP="001D72B2" w14:paraId="75C4562B" w14:textId="50380D05">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52</w:t>
      </w:r>
      <w:r w:rsidRPr="00FC1073">
        <w:rPr>
          <w:rFonts w:eastAsia="Times New Roman"/>
        </w:rPr>
        <w:fldChar w:fldCharType="end"/>
      </w:r>
      <w:bookmarkEnd w:id="37"/>
      <w:r w:rsidRPr="00FC1073">
        <w:rPr>
          <w:rFonts w:eastAsia="Times New Roman"/>
        </w:rPr>
        <w:t>.  In July 2020 the Government published a public response to the ISC</w:t>
      </w:r>
      <w:r w:rsidR="00CA0551">
        <w:rPr>
          <w:rFonts w:eastAsia="Times New Roman"/>
        </w:rPr>
        <w:t xml:space="preserve"> </w:t>
      </w:r>
      <w:r w:rsidRPr="00FC1073">
        <w:rPr>
          <w:rFonts w:eastAsia="Times New Roman"/>
        </w:rPr>
        <w:t>report. It stated that:</w:t>
      </w:r>
    </w:p>
    <w:p w:rsidRPr="00FC1073" w:rsidR="00A8059F" w:rsidP="001D72B2" w14:paraId="082AB107" w14:textId="5EFE7F60">
      <w:pPr>
        <w:pStyle w:val="JuQuot"/>
        <w:rPr>
          <w:rFonts w:eastAsia="Times New Roman"/>
        </w:rPr>
      </w:pPr>
      <w:r w:rsidRPr="00FC1073">
        <w:rPr>
          <w:rFonts w:eastAsia="Times New Roman"/>
        </w:rPr>
        <w:t>“The UK</w:t>
      </w:r>
      <w:r w:rsidRPr="00FC1073" w:rsidR="001D72B2">
        <w:rPr>
          <w:rFonts w:eastAsia="Times New Roman"/>
        </w:rPr>
        <w:t>’</w:t>
      </w:r>
      <w:r w:rsidRPr="00FC1073">
        <w:rPr>
          <w:rFonts w:eastAsia="Times New Roman"/>
        </w:rPr>
        <w:t>s free and open democracy is one of our nation</w:t>
      </w:r>
      <w:r w:rsidRPr="00FC1073" w:rsidR="001D72B2">
        <w:rPr>
          <w:rFonts w:eastAsia="Times New Roman"/>
        </w:rPr>
        <w:t>’</w:t>
      </w:r>
      <w:r w:rsidRPr="00FC1073">
        <w:rPr>
          <w:rFonts w:eastAsia="Times New Roman"/>
        </w:rPr>
        <w:t>s greatest strengths. However, we know that certain states seek to exploit our open system to sow division and undermine trust in our democracy, and those of our allies, through disinformation, cyber-attacks and other methods. We have made clear that any foreign interference in the UK</w:t>
      </w:r>
      <w:r w:rsidRPr="00FC1073" w:rsidR="001D72B2">
        <w:rPr>
          <w:rFonts w:eastAsia="Times New Roman"/>
        </w:rPr>
        <w:t>’</w:t>
      </w:r>
      <w:r w:rsidRPr="00FC1073">
        <w:rPr>
          <w:rFonts w:eastAsia="Times New Roman"/>
        </w:rPr>
        <w:t>s Democratic processes is completely unacceptable. It is, and always will be, an absolute priority to protect the UK against foreign interference, whether from Russia or any other state.</w:t>
      </w:r>
    </w:p>
    <w:p w:rsidRPr="00FC1073" w:rsidR="00A8059F" w:rsidP="001D72B2" w14:paraId="68D60154" w14:textId="77777777">
      <w:pPr>
        <w:pStyle w:val="JuQuot"/>
        <w:rPr>
          <w:rFonts w:eastAsia="Times New Roman"/>
        </w:rPr>
      </w:pPr>
      <w:r w:rsidRPr="00FC1073">
        <w:rPr>
          <w:rFonts w:eastAsia="Times New Roman"/>
        </w:rPr>
        <w:t>We have worked with industry, civil society and international partners to implement robust systems to secure our Democratic processes and deter attempts to interfere in it. This work is undertaken with the utmost regard for the freedom of the press, political and parliamentary discourse and freedom of speech. We will always balance the need to secure our Democracy with our duty to uphold our values.”</w:t>
      </w:r>
    </w:p>
    <w:bookmarkStart w:name="paragraph00053" w:id="38"/>
    <w:p w:rsidRPr="00FC1073" w:rsidR="00A8059F" w:rsidP="001D72B2" w14:paraId="74FDDEA9" w14:textId="072339A7">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53</w:t>
      </w:r>
      <w:r w:rsidRPr="00FC1073">
        <w:rPr>
          <w:rFonts w:eastAsia="Times New Roman"/>
        </w:rPr>
        <w:fldChar w:fldCharType="end"/>
      </w:r>
      <w:bookmarkEnd w:id="38"/>
      <w:r w:rsidRPr="00FC1073">
        <w:rPr>
          <w:rFonts w:eastAsia="Times New Roman"/>
        </w:rPr>
        <w:t>.  The Government acknowledged that it was “almost certain that Russian actors sought to interfere in the 2019 General Election through the online amplification of illicitly acquired and leaked Government documents”</w:t>
      </w:r>
      <w:r w:rsidR="00ED7CB1">
        <w:rPr>
          <w:rFonts w:eastAsia="Times New Roman"/>
        </w:rPr>
        <w:t>.</w:t>
      </w:r>
      <w:r w:rsidRPr="00FC1073">
        <w:rPr>
          <w:rFonts w:eastAsia="Times New Roman"/>
        </w:rPr>
        <w:t xml:space="preserve"> The response also referred to “several incidents during the 2019 General Election including distributed denial of service attacks against political parties, and suspicious emails received by candidates”</w:t>
      </w:r>
      <w:r w:rsidR="00ED7CB1">
        <w:rPr>
          <w:rFonts w:eastAsia="Times New Roman"/>
        </w:rPr>
        <w:t>.</w:t>
      </w:r>
      <w:r w:rsidRPr="00FC1073">
        <w:rPr>
          <w:rFonts w:eastAsia="Times New Roman"/>
        </w:rPr>
        <w:t xml:space="preserve"> However, the Government had seen “no evidence of successful interference in the EU</w:t>
      </w:r>
      <w:r w:rsidR="00CA0551">
        <w:rPr>
          <w:rFonts w:eastAsia="Times New Roman"/>
        </w:rPr>
        <w:t xml:space="preserve"> </w:t>
      </w:r>
      <w:r w:rsidRPr="00FC1073">
        <w:rPr>
          <w:rFonts w:eastAsia="Times New Roman"/>
        </w:rPr>
        <w:t>Referendum”.</w:t>
      </w:r>
    </w:p>
    <w:bookmarkStart w:name="paragraph00054" w:id="39"/>
    <w:p w:rsidRPr="00FC1073" w:rsidR="00A8059F" w:rsidP="001D72B2" w14:paraId="4A53EFDB" w14:textId="1A5E9327">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54</w:t>
      </w:r>
      <w:r w:rsidRPr="00FC1073">
        <w:rPr>
          <w:rFonts w:eastAsia="Times New Roman"/>
        </w:rPr>
        <w:fldChar w:fldCharType="end"/>
      </w:r>
      <w:bookmarkEnd w:id="39"/>
      <w:r w:rsidRPr="00FC1073">
        <w:rPr>
          <w:rFonts w:eastAsia="Times New Roman"/>
        </w:rPr>
        <w:t>.  The response continued:</w:t>
      </w:r>
    </w:p>
    <w:p w:rsidRPr="00FC1073" w:rsidR="00A8059F" w:rsidP="001D72B2" w14:paraId="11258525" w14:textId="77777777">
      <w:pPr>
        <w:pStyle w:val="JuQuot"/>
        <w:rPr>
          <w:rFonts w:eastAsia="Times New Roman"/>
        </w:rPr>
      </w:pPr>
      <w:r w:rsidRPr="00FC1073">
        <w:rPr>
          <w:rFonts w:eastAsia="Times New Roman"/>
        </w:rPr>
        <w:t xml:space="preserve">“Whilst there is no evidence of a </w:t>
      </w:r>
      <w:r w:rsidRPr="00FC1073">
        <w:rPr>
          <w:rFonts w:eastAsia="Times New Roman"/>
        </w:rPr>
        <w:t>broad spectrum</w:t>
      </w:r>
      <w:r w:rsidRPr="00FC1073">
        <w:rPr>
          <w:rFonts w:eastAsia="Times New Roman"/>
        </w:rPr>
        <w:t xml:space="preserve"> Russian campaign against the election, any attempt to interfere in our democratic processes is completely unacceptable. There is an ongoing criminal </w:t>
      </w:r>
      <w:r w:rsidRPr="00FC1073">
        <w:rPr>
          <w:rFonts w:eastAsia="Times New Roman"/>
        </w:rPr>
        <w:t>investigation</w:t>
      </w:r>
      <w:r w:rsidRPr="00FC1073">
        <w:rPr>
          <w:rFonts w:eastAsia="Times New Roman"/>
        </w:rPr>
        <w:t xml:space="preserve"> and it would be inappropriate for us to say anything further at this point.</w:t>
      </w:r>
    </w:p>
    <w:p w:rsidRPr="00FC1073" w:rsidR="00A8059F" w:rsidP="001D72B2" w14:paraId="67719516" w14:textId="77777777">
      <w:pPr>
        <w:pStyle w:val="JuQuot"/>
        <w:rPr>
          <w:rFonts w:eastAsia="Times New Roman"/>
        </w:rPr>
      </w:pPr>
      <w:r w:rsidRPr="00FC1073">
        <w:rPr>
          <w:rFonts w:eastAsia="Times New Roman"/>
        </w:rPr>
        <w:t>...</w:t>
      </w:r>
    </w:p>
    <w:p w:rsidRPr="00FC1073" w:rsidR="00A8059F" w:rsidP="001D72B2" w14:paraId="0B71531F" w14:textId="77777777">
      <w:pPr>
        <w:pStyle w:val="JuQuot"/>
        <w:rPr>
          <w:rFonts w:eastAsia="Times New Roman"/>
        </w:rPr>
      </w:pPr>
      <w:r w:rsidRPr="00FC1073">
        <w:rPr>
          <w:rFonts w:eastAsia="Times New Roman"/>
        </w:rPr>
        <w:t xml:space="preserve">The Intelligence and Security Agencies produce and contribute to regular assessments of the threat posed by Hostile State Activity, including around potential interference in UK democratic processes. We keep such assessments under review and, where </w:t>
      </w:r>
      <w:r w:rsidRPr="00FC1073">
        <w:rPr>
          <w:rFonts w:eastAsia="Times New Roman"/>
        </w:rPr>
        <w:t xml:space="preserve">necessary, update them in response to new intelligence, including during democratic events such as elections and referendums. Where new information emerges, the Government will always consider the most appropriate use of any intelligence it develops or receives, including whether it is appropriate to make this public. Given this </w:t>
      </w:r>
      <w:r w:rsidRPr="00FC1073">
        <w:rPr>
          <w:rFonts w:eastAsia="Times New Roman"/>
        </w:rPr>
        <w:t>long standing</w:t>
      </w:r>
      <w:r w:rsidRPr="00FC1073">
        <w:rPr>
          <w:rFonts w:eastAsia="Times New Roman"/>
        </w:rPr>
        <w:t xml:space="preserve"> approach, a retrospective assessment of the EU Referendum is not necessary.”</w:t>
      </w:r>
    </w:p>
    <w:p w:rsidRPr="00FC1073" w:rsidR="00A8059F" w:rsidP="001D72B2" w14:paraId="158E95D8" w14:textId="6D677D4E">
      <w:pPr>
        <w:pStyle w:val="JuH1"/>
        <w:rPr>
          <w:rFonts w:eastAsia="MingLiU"/>
        </w:rPr>
      </w:pPr>
      <w:r w:rsidRPr="00FC1073">
        <w:rPr>
          <w:rFonts w:eastAsia="MingLiU"/>
        </w:rPr>
        <w:t>National Cyber Security Centre Annual Review 2023</w:t>
      </w:r>
    </w:p>
    <w:p w:rsidRPr="00E06DFC" w:rsidR="00A8059F" w:rsidP="001D72B2" w14:paraId="1A17412F" w14:textId="08F16508">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55</w:t>
      </w:r>
      <w:r w:rsidRPr="00FC1073">
        <w:rPr>
          <w:rFonts w:eastAsia="Times New Roman"/>
        </w:rPr>
        <w:fldChar w:fldCharType="end"/>
      </w:r>
      <w:r w:rsidRPr="00FC1073">
        <w:rPr>
          <w:rFonts w:eastAsia="Times New Roman"/>
        </w:rPr>
        <w:t xml:space="preserve">.  The </w:t>
      </w:r>
      <w:r w:rsidRPr="00FC1073" w:rsidR="00414F04">
        <w:rPr>
          <w:rFonts w:eastAsia="MingLiU"/>
        </w:rPr>
        <w:t xml:space="preserve">National Cyber Security Centre </w:t>
      </w:r>
      <w:r w:rsidR="00414F04">
        <w:rPr>
          <w:rFonts w:eastAsia="MingLiU"/>
        </w:rPr>
        <w:t>(</w:t>
      </w:r>
      <w:r w:rsidRPr="00FC1073">
        <w:rPr>
          <w:rFonts w:eastAsia="Times New Roman"/>
        </w:rPr>
        <w:t>NCSC</w:t>
      </w:r>
      <w:r w:rsidR="00414F04">
        <w:rPr>
          <w:rFonts w:eastAsia="Times New Roman"/>
        </w:rPr>
        <w:t>)</w:t>
      </w:r>
      <w:r w:rsidRPr="00FC1073">
        <w:rPr>
          <w:rFonts w:eastAsia="Times New Roman"/>
        </w:rPr>
        <w:t xml:space="preserve">, which is part of Government Communication Headquarters (GCHQ </w:t>
      </w:r>
      <w:r w:rsidR="00414F04">
        <w:rPr>
          <w:rFonts w:eastAsia="Times New Roman"/>
        </w:rPr>
        <w:t xml:space="preserve">– </w:t>
      </w:r>
      <w:r w:rsidRPr="00FC1073">
        <w:rPr>
          <w:rFonts w:eastAsia="Times New Roman"/>
        </w:rPr>
        <w:t>the United Kingdom</w:t>
      </w:r>
      <w:r w:rsidRPr="00FC1073" w:rsidR="001D72B2">
        <w:rPr>
          <w:rFonts w:eastAsia="Times New Roman"/>
        </w:rPr>
        <w:t>’</w:t>
      </w:r>
      <w:r w:rsidRPr="00FC1073">
        <w:rPr>
          <w:rFonts w:eastAsia="Times New Roman"/>
        </w:rPr>
        <w:t xml:space="preserve">s intelligence, security and cyber </w:t>
      </w:r>
      <w:r w:rsidR="002579C4">
        <w:rPr>
          <w:rFonts w:eastAsia="Times New Roman"/>
        </w:rPr>
        <w:t>a</w:t>
      </w:r>
      <w:r w:rsidRPr="00FC1073">
        <w:rPr>
          <w:rFonts w:eastAsia="Times New Roman"/>
        </w:rPr>
        <w:t xml:space="preserve">gency), was launched in October 2016 to act as a bridge between industry and government, and provide a unified source of advice, </w:t>
      </w:r>
      <w:r w:rsidRPr="00E06DFC">
        <w:rPr>
          <w:rFonts w:eastAsia="Times New Roman"/>
        </w:rPr>
        <w:t>guidance and support on cyber security, including the management of cyber security incidents. It works collaboratively with other law enforcement agencies, defence agencies, the United Kingdom</w:t>
      </w:r>
      <w:r w:rsidRPr="00E06DFC" w:rsidR="001D72B2">
        <w:rPr>
          <w:rFonts w:eastAsia="Times New Roman"/>
        </w:rPr>
        <w:t>’</w:t>
      </w:r>
      <w:r w:rsidRPr="00E06DFC">
        <w:rPr>
          <w:rFonts w:eastAsia="Times New Roman"/>
        </w:rPr>
        <w:t xml:space="preserve">s </w:t>
      </w:r>
      <w:r w:rsidRPr="00E06DFC" w:rsidR="002579C4">
        <w:rPr>
          <w:rFonts w:eastAsia="Times New Roman"/>
        </w:rPr>
        <w:t>i</w:t>
      </w:r>
      <w:r w:rsidRPr="00E06DFC">
        <w:rPr>
          <w:rFonts w:eastAsia="Times New Roman"/>
        </w:rPr>
        <w:t xml:space="preserve">ntelligence and </w:t>
      </w:r>
      <w:r w:rsidRPr="00E06DFC" w:rsidR="002579C4">
        <w:rPr>
          <w:rFonts w:eastAsia="Times New Roman"/>
        </w:rPr>
        <w:t>s</w:t>
      </w:r>
      <w:r w:rsidRPr="00E06DFC">
        <w:rPr>
          <w:rFonts w:eastAsia="Times New Roman"/>
        </w:rPr>
        <w:t xml:space="preserve">ecurity </w:t>
      </w:r>
      <w:r w:rsidRPr="00E06DFC" w:rsidR="002579C4">
        <w:rPr>
          <w:rFonts w:eastAsia="Times New Roman"/>
        </w:rPr>
        <w:t>a</w:t>
      </w:r>
      <w:r w:rsidRPr="00E06DFC">
        <w:rPr>
          <w:rFonts w:eastAsia="Times New Roman"/>
        </w:rPr>
        <w:t>gencies, and international partners.</w:t>
      </w:r>
    </w:p>
    <w:bookmarkStart w:name="paragraph00056" w:id="40"/>
    <w:p w:rsidRPr="00E06DFC" w:rsidR="00A8059F" w:rsidP="001D72B2" w14:paraId="092C6705" w14:textId="2FBDAC83">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56</w:t>
      </w:r>
      <w:r w:rsidRPr="00E06DFC">
        <w:rPr>
          <w:rFonts w:eastAsia="Times New Roman"/>
        </w:rPr>
        <w:fldChar w:fldCharType="end"/>
      </w:r>
      <w:bookmarkEnd w:id="40"/>
      <w:r w:rsidRPr="00E06DFC">
        <w:rPr>
          <w:rFonts w:eastAsia="Times New Roman"/>
        </w:rPr>
        <w:t xml:space="preserve">.  On the issue of election interference, the NCSC </w:t>
      </w:r>
      <w:r w:rsidRPr="00E06DFC" w:rsidR="00CA0551">
        <w:rPr>
          <w:rFonts w:eastAsia="Times New Roman"/>
        </w:rPr>
        <w:t xml:space="preserve">stated </w:t>
      </w:r>
      <w:r w:rsidRPr="00E06DFC">
        <w:rPr>
          <w:rFonts w:eastAsia="Times New Roman"/>
        </w:rPr>
        <w:t>the following in its 2023 annual review:</w:t>
      </w:r>
    </w:p>
    <w:p w:rsidRPr="00E06DFC" w:rsidR="00A8059F" w:rsidP="001D72B2" w14:paraId="0778CE1D" w14:textId="77777777">
      <w:pPr>
        <w:pStyle w:val="JuQuot"/>
        <w:rPr>
          <w:rFonts w:eastAsia="Times New Roman"/>
        </w:rPr>
      </w:pPr>
      <w:r w:rsidRPr="00E06DFC">
        <w:rPr>
          <w:rFonts w:eastAsia="Times New Roman"/>
        </w:rPr>
        <w:t>“</w:t>
      </w:r>
      <w:r w:rsidRPr="00E9157B">
        <w:rPr>
          <w:rFonts w:eastAsia="Times New Roman"/>
          <w:b/>
          <w:bCs/>
        </w:rPr>
        <w:t>Russian attempts to manipulate democratic institutions</w:t>
      </w:r>
    </w:p>
    <w:p w:rsidRPr="00E06DFC" w:rsidR="00A8059F" w:rsidP="001D72B2" w14:paraId="4087D0DA" w14:textId="77777777">
      <w:pPr>
        <w:pStyle w:val="JuQuot"/>
        <w:rPr>
          <w:rFonts w:eastAsia="Times New Roman"/>
        </w:rPr>
      </w:pPr>
      <w:r w:rsidRPr="00E06DFC">
        <w:rPr>
          <w:rFonts w:eastAsia="Times New Roman"/>
        </w:rPr>
        <w:t xml:space="preserve">It is no secret that Russia seeks to weaken and divide their adversaries by interfering in elections using mis and dis-information, </w:t>
      </w:r>
      <w:r w:rsidRPr="00E06DFC">
        <w:rPr>
          <w:rFonts w:eastAsia="Times New Roman"/>
        </w:rPr>
        <w:t>cyber attacks</w:t>
      </w:r>
      <w:r w:rsidRPr="00E06DFC">
        <w:rPr>
          <w:rFonts w:eastAsia="Times New Roman"/>
        </w:rPr>
        <w:t>, and other methods.</w:t>
      </w:r>
    </w:p>
    <w:p w:rsidRPr="00FC1073" w:rsidR="00A8059F" w:rsidP="001D72B2" w14:paraId="35641C61" w14:textId="77777777">
      <w:pPr>
        <w:pStyle w:val="JuQuot"/>
        <w:rPr>
          <w:rFonts w:eastAsia="Times New Roman"/>
        </w:rPr>
      </w:pPr>
      <w:r w:rsidRPr="00E06DFC">
        <w:rPr>
          <w:rFonts w:eastAsia="Times New Roman"/>
        </w:rPr>
        <w:t>The UK government assesses that it is almost certain that Russian</w:t>
      </w:r>
      <w:r w:rsidRPr="00FC1073">
        <w:rPr>
          <w:rFonts w:eastAsia="Times New Roman"/>
        </w:rPr>
        <w:t xml:space="preserve"> actors sought to interfere in the 2019 general election. In the coming months, with UK and US elections on the horizon we can expect to see the integrity of our systems tested again.</w:t>
      </w:r>
    </w:p>
    <w:p w:rsidRPr="00FC1073" w:rsidR="00A8059F" w:rsidP="001D72B2" w14:paraId="5CA17F44" w14:textId="6396D475">
      <w:pPr>
        <w:pStyle w:val="JuQuot"/>
        <w:rPr>
          <w:rFonts w:eastAsia="Times New Roman"/>
        </w:rPr>
      </w:pPr>
      <w:r w:rsidRPr="00FC1073">
        <w:rPr>
          <w:rFonts w:eastAsia="Times New Roman"/>
        </w:rPr>
        <w:t>Protecting our democratic and electoral processes against foreign interference, whether from Russia or any other state, is and always will be an absolute priority for the NCSC and we will continue to support the government</w:t>
      </w:r>
      <w:r w:rsidRPr="00FC1073" w:rsidR="001D72B2">
        <w:rPr>
          <w:rFonts w:eastAsia="Times New Roman"/>
        </w:rPr>
        <w:t>’</w:t>
      </w:r>
      <w:r w:rsidRPr="00FC1073">
        <w:rPr>
          <w:rFonts w:eastAsia="Times New Roman"/>
        </w:rPr>
        <w:t>s critical work in this area.</w:t>
      </w:r>
    </w:p>
    <w:p w:rsidRPr="00FC1073" w:rsidR="00A8059F" w:rsidP="001D72B2" w14:paraId="3A9C3F3A" w14:textId="77777777">
      <w:pPr>
        <w:pStyle w:val="JuQuot"/>
        <w:rPr>
          <w:rFonts w:eastAsia="Times New Roman"/>
        </w:rPr>
      </w:pPr>
      <w:r w:rsidRPr="00FC1073">
        <w:rPr>
          <w:rFonts w:eastAsia="Times New Roman"/>
        </w:rPr>
        <w:t>...</w:t>
      </w:r>
    </w:p>
    <w:p w:rsidRPr="00FC1073" w:rsidR="00A8059F" w:rsidP="001D72B2" w14:paraId="173260A6" w14:textId="77777777">
      <w:pPr>
        <w:pStyle w:val="JuQuot"/>
        <w:rPr>
          <w:rFonts w:eastAsia="Times New Roman"/>
          <w:b/>
          <w:bCs/>
        </w:rPr>
      </w:pPr>
      <w:r w:rsidRPr="00FC1073">
        <w:rPr>
          <w:rFonts w:eastAsia="Times New Roman"/>
          <w:b/>
          <w:bCs/>
        </w:rPr>
        <w:t>Case study: Defending our democracy in a new digital age –</w:t>
      </w:r>
    </w:p>
    <w:p w:rsidRPr="00FC1073" w:rsidR="00A8059F" w:rsidP="001D72B2" w14:paraId="02B28C36" w14:textId="77777777">
      <w:pPr>
        <w:pStyle w:val="JuQuot"/>
        <w:rPr>
          <w:rFonts w:eastAsia="Times New Roman"/>
          <w:b/>
          <w:bCs/>
        </w:rPr>
      </w:pPr>
      <w:r w:rsidRPr="00FC1073">
        <w:rPr>
          <w:rFonts w:eastAsia="Times New Roman"/>
          <w:b/>
          <w:bCs/>
        </w:rPr>
        <w:t>at the ballot box and beyond</w:t>
      </w:r>
    </w:p>
    <w:p w:rsidRPr="00FC1073" w:rsidR="00A8059F" w:rsidP="001D72B2" w14:paraId="16B9A72C" w14:textId="77777777">
      <w:pPr>
        <w:pStyle w:val="JuQuot"/>
        <w:rPr>
          <w:rFonts w:eastAsia="Times New Roman"/>
        </w:rPr>
      </w:pPr>
      <w:r w:rsidRPr="00FC1073">
        <w:rPr>
          <w:rFonts w:eastAsia="Times New Roman"/>
        </w:rPr>
        <w:t>...</w:t>
      </w:r>
    </w:p>
    <w:p w:rsidRPr="00FC1073" w:rsidR="00A8059F" w:rsidP="001D72B2" w14:paraId="6B4EF543" w14:textId="77777777">
      <w:pPr>
        <w:pStyle w:val="JuQuot"/>
        <w:rPr>
          <w:rFonts w:eastAsia="Times New Roman"/>
        </w:rPr>
      </w:pPr>
      <w:r w:rsidRPr="00FC1073">
        <w:rPr>
          <w:rFonts w:eastAsia="Times New Roman"/>
        </w:rPr>
        <w:t>With elections on the horizon, including a general election, and with people around the world set to go to the polls from Belgium to the US in the next year, the UK and its allies cannot be complacent to the threat of foreign cyber interference and attempts at influencing our democratic processes. The NCSC is working with our allies around the world to share insights and approaches to help improve collective cyber resilience of global democracy.</w:t>
      </w:r>
    </w:p>
    <w:p w:rsidRPr="00FC1073" w:rsidR="00A8059F" w:rsidP="001D72B2" w14:paraId="4F23F79C" w14:textId="34D8B381">
      <w:pPr>
        <w:pStyle w:val="JuQuot"/>
        <w:rPr>
          <w:rFonts w:eastAsia="Times New Roman"/>
        </w:rPr>
      </w:pPr>
      <w:r w:rsidRPr="00FC1073">
        <w:rPr>
          <w:rFonts w:eastAsia="Times New Roman"/>
        </w:rPr>
        <w:t>Defending democracy is a critical part of the NCSC</w:t>
      </w:r>
      <w:r w:rsidRPr="00FC1073" w:rsidR="001D72B2">
        <w:rPr>
          <w:rFonts w:eastAsia="Times New Roman"/>
        </w:rPr>
        <w:t>’</w:t>
      </w:r>
      <w:r w:rsidRPr="00FC1073">
        <w:rPr>
          <w:rFonts w:eastAsia="Times New Roman"/>
        </w:rPr>
        <w:t>s mission as it gets to the heart of what it means to keep the UK safe, and to act responsibly, in cyberspace.</w:t>
      </w:r>
    </w:p>
    <w:p w:rsidRPr="00FC1073" w:rsidR="00A8059F" w:rsidP="001D72B2" w14:paraId="31DF07A5" w14:textId="77777777">
      <w:pPr>
        <w:pStyle w:val="JuQuot"/>
        <w:rPr>
          <w:rFonts w:eastAsia="Times New Roman"/>
        </w:rPr>
      </w:pPr>
      <w:r w:rsidRPr="00FC1073">
        <w:rPr>
          <w:rFonts w:eastAsia="Times New Roman"/>
        </w:rPr>
        <w:t>As part of a cross-government effort, alongside partners in industry, civil society and others, we are working to protect the values at the foundation of our society.</w:t>
      </w:r>
    </w:p>
    <w:p w:rsidRPr="00E9157B" w:rsidR="00A8059F" w:rsidP="00E9157B" w14:paraId="543514F7" w14:textId="77777777">
      <w:pPr>
        <w:pStyle w:val="JuQuot"/>
        <w:keepNext/>
        <w:rPr>
          <w:rFonts w:eastAsia="Times New Roman"/>
          <w:b/>
          <w:bCs/>
        </w:rPr>
      </w:pPr>
      <w:r w:rsidRPr="00E9157B">
        <w:rPr>
          <w:rFonts w:eastAsia="Times New Roman"/>
          <w:b/>
          <w:bCs/>
        </w:rPr>
        <w:t>Responding to threats</w:t>
      </w:r>
    </w:p>
    <w:p w:rsidRPr="00FC1073" w:rsidR="00A8059F" w:rsidP="001D72B2" w14:paraId="13722146" w14:textId="442EA99B">
      <w:pPr>
        <w:pStyle w:val="JuQuot"/>
        <w:rPr>
          <w:rFonts w:eastAsia="Times New Roman"/>
        </w:rPr>
      </w:pPr>
      <w:r w:rsidRPr="00FC1073">
        <w:rPr>
          <w:rFonts w:eastAsia="Times New Roman"/>
        </w:rPr>
        <w:t>Protecting our democracy in cyberspace requires a continuous effort as the cyber threat to the UK</w:t>
      </w:r>
      <w:r w:rsidRPr="00FC1073" w:rsidR="001D72B2">
        <w:rPr>
          <w:rFonts w:eastAsia="Times New Roman"/>
        </w:rPr>
        <w:t>’</w:t>
      </w:r>
      <w:r w:rsidRPr="00FC1073">
        <w:rPr>
          <w:rFonts w:eastAsia="Times New Roman"/>
        </w:rPr>
        <w:t>s democratic institutions and processes is significant and comes from many malicious actors.</w:t>
      </w:r>
    </w:p>
    <w:p w:rsidRPr="00FC1073" w:rsidR="00A8059F" w:rsidP="001D72B2" w14:paraId="1C73303B" w14:textId="77777777">
      <w:pPr>
        <w:pStyle w:val="JuQuot"/>
        <w:rPr>
          <w:rFonts w:eastAsia="Times New Roman"/>
        </w:rPr>
      </w:pPr>
      <w:r w:rsidRPr="00FC1073">
        <w:rPr>
          <w:rFonts w:eastAsia="Times New Roman"/>
        </w:rPr>
        <w:t>Over the past year, the NCSC has surged its efforts to advise on the smooth running of local elections, political party leadership contests and once‑in‑a‑generation constitutional events such as the Coronation of His Majesty the King.</w:t>
      </w:r>
    </w:p>
    <w:p w:rsidRPr="00FC1073" w:rsidR="00A8059F" w:rsidP="001D72B2" w14:paraId="0A0E0AF3" w14:textId="77777777">
      <w:pPr>
        <w:pStyle w:val="JuQuot"/>
        <w:rPr>
          <w:rFonts w:eastAsia="Times New Roman"/>
        </w:rPr>
      </w:pPr>
      <w:r w:rsidRPr="00FC1073">
        <w:rPr>
          <w:rFonts w:eastAsia="Times New Roman"/>
        </w:rPr>
        <w:t>We have supported a range of entities involved in the democratic process with their responses to cyber incidents, ranging from phishing attacks to more sophisticated compromises.</w:t>
      </w:r>
    </w:p>
    <w:p w:rsidRPr="00FC1073" w:rsidR="00A8059F" w:rsidP="001D72B2" w14:paraId="57C6B2A4" w14:textId="77777777">
      <w:pPr>
        <w:pStyle w:val="JuQuot"/>
        <w:rPr>
          <w:rFonts w:eastAsia="Times New Roman"/>
        </w:rPr>
      </w:pPr>
      <w:r w:rsidRPr="00FC1073">
        <w:rPr>
          <w:rFonts w:eastAsia="Times New Roman"/>
        </w:rPr>
        <w:t>And we have provided longer-term guidance for improving resilience, both across supply chains that underpin the functioning of key services and to individuals active in our democracy, such as politicians, where we have seen them being targeted.</w:t>
      </w:r>
    </w:p>
    <w:p w:rsidRPr="00E9157B" w:rsidR="00A8059F" w:rsidP="001D72B2" w14:paraId="7CC0176A" w14:textId="77777777">
      <w:pPr>
        <w:pStyle w:val="JuQuot"/>
        <w:rPr>
          <w:rFonts w:eastAsia="Times New Roman"/>
          <w:b/>
          <w:bCs/>
        </w:rPr>
      </w:pPr>
      <w:r w:rsidRPr="00E9157B">
        <w:rPr>
          <w:rFonts w:eastAsia="Times New Roman"/>
          <w:b/>
          <w:bCs/>
        </w:rPr>
        <w:t>Looking ahead</w:t>
      </w:r>
    </w:p>
    <w:p w:rsidRPr="00FC1073" w:rsidR="00A8059F" w:rsidP="001D72B2" w14:paraId="704F358A" w14:textId="77777777">
      <w:pPr>
        <w:pStyle w:val="JuQuot"/>
        <w:rPr>
          <w:rFonts w:eastAsia="Times New Roman"/>
        </w:rPr>
      </w:pPr>
      <w:r w:rsidRPr="00FC1073">
        <w:rPr>
          <w:rFonts w:eastAsia="Times New Roman"/>
        </w:rPr>
        <w:t>The next general election is set to take place before the end of January 2025, with local and mayoral elections scheduled next May. The NCSC is already working with key stakeholders across government, UK parliament, the devolved administrations and legislatures, and industry to prepare for it.</w:t>
      </w:r>
    </w:p>
    <w:p w:rsidRPr="00FC1073" w:rsidR="00A8059F" w:rsidP="001D72B2" w14:paraId="29C5EF09" w14:textId="77777777">
      <w:pPr>
        <w:pStyle w:val="JuQuot"/>
        <w:rPr>
          <w:rFonts w:eastAsia="Times New Roman"/>
        </w:rPr>
      </w:pPr>
      <w:r w:rsidRPr="00FC1073">
        <w:rPr>
          <w:rFonts w:eastAsia="Times New Roman"/>
        </w:rPr>
        <w:t>When the UK goes to the polls, the act of casting your vote is completed using pencil and paper, significantly reducing the chances of a cyber actor affecting the integrity of the results.</w:t>
      </w:r>
    </w:p>
    <w:p w:rsidRPr="00FC1073" w:rsidR="00A8059F" w:rsidP="001D72B2" w14:paraId="29700882" w14:textId="77777777">
      <w:pPr>
        <w:pStyle w:val="JuQuot"/>
        <w:rPr>
          <w:rFonts w:eastAsia="Times New Roman"/>
        </w:rPr>
      </w:pPr>
      <w:r w:rsidRPr="00FC1073">
        <w:rPr>
          <w:rFonts w:eastAsia="Times New Roman"/>
        </w:rPr>
        <w:t>However, the act of voting marks the end of the sprint, as a significant amount of cyber-resilience building needs to take place before this to secure the services which support our elections and the integrity of an open public discourse.</w:t>
      </w:r>
    </w:p>
    <w:p w:rsidRPr="00FC1073" w:rsidR="00A8059F" w:rsidP="001D72B2" w14:paraId="4A032DB4" w14:textId="2B482412">
      <w:pPr>
        <w:pStyle w:val="JuQuot"/>
        <w:rPr>
          <w:rFonts w:eastAsia="Times New Roman"/>
        </w:rPr>
      </w:pPr>
      <w:r w:rsidRPr="00FC1073">
        <w:rPr>
          <w:rFonts w:eastAsia="Times New Roman"/>
        </w:rPr>
        <w:t>The government</w:t>
      </w:r>
      <w:r w:rsidRPr="00FC1073" w:rsidR="001D72B2">
        <w:rPr>
          <w:rFonts w:eastAsia="Times New Roman"/>
        </w:rPr>
        <w:t>’</w:t>
      </w:r>
      <w:r w:rsidRPr="00FC1073">
        <w:rPr>
          <w:rFonts w:eastAsia="Times New Roman"/>
        </w:rPr>
        <w:t>s Defending Democracy Taskforce has established the Joint Election Security Preparedness unit (JESP), which takes overall responsibility for coordinating electoral security and drives the government</w:t>
      </w:r>
      <w:r w:rsidRPr="00FC1073" w:rsidR="001D72B2">
        <w:rPr>
          <w:rFonts w:eastAsia="Times New Roman"/>
        </w:rPr>
        <w:t>’</w:t>
      </w:r>
      <w:r w:rsidRPr="00FC1073">
        <w:rPr>
          <w:rFonts w:eastAsia="Times New Roman"/>
        </w:rPr>
        <w:t>s election preparedness.</w:t>
      </w:r>
    </w:p>
    <w:p w:rsidRPr="00FC1073" w:rsidR="00A8059F" w:rsidP="001D72B2" w14:paraId="76FD415B" w14:textId="77777777">
      <w:pPr>
        <w:pStyle w:val="JuQuot"/>
        <w:rPr>
          <w:rFonts w:eastAsia="Times New Roman"/>
        </w:rPr>
      </w:pPr>
      <w:r w:rsidRPr="00FC1073">
        <w:rPr>
          <w:rFonts w:eastAsia="Times New Roman"/>
        </w:rPr>
        <w:t>It plays a central role in convening government departments, the devolved administrations and legislatures, and security resources to ensure our systems and processes are resilient.</w:t>
      </w:r>
    </w:p>
    <w:p w:rsidRPr="00FC1073" w:rsidR="00A8059F" w:rsidP="001D72B2" w14:paraId="6CC140A2" w14:textId="77777777">
      <w:pPr>
        <w:pStyle w:val="JuQuot"/>
        <w:rPr>
          <w:rFonts w:eastAsia="Times New Roman"/>
        </w:rPr>
      </w:pPr>
      <w:r w:rsidRPr="00FC1073">
        <w:rPr>
          <w:rFonts w:eastAsia="Times New Roman"/>
        </w:rPr>
        <w:t>And for those who have a direct role to play, the NCSC has existing defending democracy guidance, which is currently being refreshed. We strongly encourage following the recommended steps to ensure online protections are in place.</w:t>
      </w:r>
    </w:p>
    <w:p w:rsidRPr="00FC1073" w:rsidR="00A8059F" w:rsidP="001D72B2" w14:paraId="4CD97B5D" w14:textId="77777777">
      <w:pPr>
        <w:pStyle w:val="JuQuot"/>
        <w:rPr>
          <w:rFonts w:eastAsia="Times New Roman"/>
        </w:rPr>
      </w:pPr>
      <w:r w:rsidRPr="00FC1073">
        <w:rPr>
          <w:rFonts w:eastAsia="Times New Roman"/>
        </w:rPr>
        <w:t>...</w:t>
      </w:r>
    </w:p>
    <w:p w:rsidRPr="00E9157B" w:rsidR="00A8059F" w:rsidP="001D72B2" w14:paraId="4E5E8A02" w14:textId="77777777">
      <w:pPr>
        <w:pStyle w:val="JuQuot"/>
        <w:keepNext/>
        <w:keepLines/>
        <w:rPr>
          <w:rFonts w:eastAsia="Times New Roman"/>
          <w:b/>
          <w:bCs/>
        </w:rPr>
      </w:pPr>
      <w:r w:rsidRPr="00E9157B">
        <w:rPr>
          <w:rFonts w:eastAsia="Times New Roman"/>
          <w:b/>
          <w:bCs/>
        </w:rPr>
        <w:t>Collective action</w:t>
      </w:r>
    </w:p>
    <w:p w:rsidRPr="00FC1073" w:rsidR="00A8059F" w:rsidP="001D72B2" w14:paraId="1BE145CC" w14:textId="58E3F95B">
      <w:pPr>
        <w:pStyle w:val="JuQuot"/>
        <w:keepNext/>
        <w:keepLines/>
        <w:rPr>
          <w:rFonts w:eastAsia="Times New Roman"/>
        </w:rPr>
      </w:pPr>
      <w:r w:rsidRPr="00FC1073">
        <w:rPr>
          <w:rFonts w:eastAsia="Times New Roman"/>
        </w:rPr>
        <w:t>Defending the UK</w:t>
      </w:r>
      <w:r w:rsidRPr="00FC1073" w:rsidR="001D72B2">
        <w:rPr>
          <w:rFonts w:eastAsia="Times New Roman"/>
        </w:rPr>
        <w:t>’</w:t>
      </w:r>
      <w:r w:rsidRPr="00FC1073">
        <w:rPr>
          <w:rFonts w:eastAsia="Times New Roman"/>
        </w:rPr>
        <w:t>s democratic institutions and processes is a priority for the NCSC. However, it is not something we can achieve alone.</w:t>
      </w:r>
    </w:p>
    <w:p w:rsidRPr="00FC1073" w:rsidR="00A8059F" w:rsidP="001D72B2" w14:paraId="2C3F5922" w14:textId="77777777">
      <w:pPr>
        <w:pStyle w:val="JuQuot"/>
        <w:rPr>
          <w:rFonts w:eastAsia="Times New Roman"/>
        </w:rPr>
      </w:pPr>
      <w:r w:rsidRPr="00FC1073">
        <w:rPr>
          <w:rFonts w:eastAsia="Times New Roman"/>
        </w:rPr>
        <w:t>It requires a collective effort across the whole of society, including industry and in partnership with allies, to defend our values and make the UK an unattractive environment for hostile actors.</w:t>
      </w:r>
    </w:p>
    <w:p w:rsidRPr="00FC1073" w:rsidR="00A8059F" w:rsidP="001D72B2" w14:paraId="154B45C5" w14:textId="77777777">
      <w:pPr>
        <w:pStyle w:val="JuQuot"/>
        <w:rPr>
          <w:rFonts w:eastAsia="Times New Roman"/>
        </w:rPr>
      </w:pPr>
      <w:r w:rsidRPr="00FC1073">
        <w:rPr>
          <w:rFonts w:eastAsia="Times New Roman"/>
        </w:rPr>
        <w:t>Our democracy is founded on the principle of participation; every member of the public across the four nations of the UK has a stake, and everyone has a role to play in defending it.</w:t>
      </w:r>
    </w:p>
    <w:p w:rsidRPr="00FC1073" w:rsidR="00A8059F" w:rsidP="001D72B2" w14:paraId="03C056EF" w14:textId="77777777">
      <w:pPr>
        <w:pStyle w:val="JuQuot"/>
        <w:rPr>
          <w:rFonts w:eastAsia="Times New Roman"/>
        </w:rPr>
      </w:pPr>
      <w:r w:rsidRPr="00FC1073">
        <w:rPr>
          <w:rFonts w:eastAsia="Times New Roman"/>
        </w:rPr>
        <w:t>By acting now to strengthen systems and accounts – rather than waiting until an incident occurs or an election is called – we can help make our society safer online.”</w:t>
      </w:r>
    </w:p>
    <w:p w:rsidRPr="00FC1073" w:rsidR="00A8059F" w:rsidP="001D72B2" w14:paraId="04D3C36E" w14:textId="76473AB1">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57</w:t>
      </w:r>
      <w:r w:rsidRPr="00FC1073">
        <w:rPr>
          <w:rFonts w:eastAsia="Times New Roman"/>
        </w:rPr>
        <w:fldChar w:fldCharType="end"/>
      </w:r>
      <w:r w:rsidRPr="00FC1073">
        <w:rPr>
          <w:rFonts w:eastAsia="Times New Roman"/>
        </w:rPr>
        <w:t>.  In its 2024 annual review, the NCSC noted:</w:t>
      </w:r>
    </w:p>
    <w:p w:rsidRPr="00FC1073" w:rsidR="00A8059F" w:rsidP="001D72B2" w14:paraId="4AFCF3B4" w14:textId="470EE7EE">
      <w:pPr>
        <w:pStyle w:val="JuQuot"/>
        <w:rPr>
          <w:rFonts w:eastAsia="Times New Roman"/>
        </w:rPr>
      </w:pPr>
      <w:r w:rsidRPr="00FC1073">
        <w:rPr>
          <w:rFonts w:eastAsia="Times New Roman"/>
        </w:rPr>
        <w:t xml:space="preserve">“The 2024 general election took place in a complex information environment. The NCSC partnered with colleagues across government to offer expert technical advice on how to protect against and respond to information-based incidents. This included using our expertise in exercising to test </w:t>
      </w:r>
      <w:r w:rsidRPr="00FC1073">
        <w:rPr>
          <w:rFonts w:eastAsia="Times New Roman"/>
        </w:rPr>
        <w:t>a number of</w:t>
      </w:r>
      <w:r w:rsidRPr="00FC1073">
        <w:rPr>
          <w:rFonts w:eastAsia="Times New Roman"/>
        </w:rPr>
        <w:t xml:space="preserve"> scenarios and our collective readiness to respond to any incidents, as well as participating in JESP</w:t>
      </w:r>
      <w:r w:rsidRPr="00FC1073" w:rsidR="001D72B2">
        <w:rPr>
          <w:rFonts w:eastAsia="Times New Roman"/>
        </w:rPr>
        <w:t>’</w:t>
      </w:r>
      <w:r w:rsidRPr="00FC1073">
        <w:rPr>
          <w:rFonts w:eastAsia="Times New Roman"/>
        </w:rPr>
        <w:t>s Election Security Exercise Programme.”</w:t>
      </w:r>
    </w:p>
    <w:p w:rsidRPr="00FC1073" w:rsidR="00A8059F" w:rsidP="001D72B2" w14:paraId="651E28B0" w14:textId="1A8FF7CE">
      <w:pPr>
        <w:pStyle w:val="JuH1"/>
        <w:rPr>
          <w:rFonts w:eastAsia="Times New Roman"/>
        </w:rPr>
      </w:pPr>
      <w:r w:rsidRPr="00FC1073">
        <w:rPr>
          <w:rFonts w:eastAsia="Times New Roman"/>
        </w:rPr>
        <w:t>Independent Reviewer of Terrorism and State Threat Legislation</w:t>
      </w:r>
      <w:r w:rsidR="002579C4">
        <w:rPr>
          <w:rFonts w:eastAsia="Times New Roman"/>
        </w:rPr>
        <w:t xml:space="preserve"> –</w:t>
      </w:r>
      <w:r w:rsidRPr="00FC1073">
        <w:rPr>
          <w:rFonts w:eastAsia="Times New Roman"/>
        </w:rPr>
        <w:t xml:space="preserve"> report of 19 May 2025</w:t>
      </w:r>
    </w:p>
    <w:bookmarkStart w:name="paragraph00058" w:id="41"/>
    <w:p w:rsidRPr="00FC1073" w:rsidR="00A8059F" w:rsidP="001D72B2" w14:paraId="510BE225" w14:textId="62FC19B1">
      <w:pPr>
        <w:pStyle w:val="JuPara"/>
      </w:pPr>
      <w:r w:rsidRPr="00FC1073">
        <w:fldChar w:fldCharType="begin"/>
      </w:r>
      <w:r w:rsidRPr="00FC1073">
        <w:instrText xml:space="preserve"> SEQ level0 \*arabic \* MERGEFORMAT </w:instrText>
      </w:r>
      <w:r w:rsidRPr="00FC1073">
        <w:fldChar w:fldCharType="separate"/>
      </w:r>
      <w:r w:rsidR="00A00646">
        <w:rPr>
          <w:noProof/>
        </w:rPr>
        <w:t>58</w:t>
      </w:r>
      <w:r w:rsidRPr="00FC1073">
        <w:fldChar w:fldCharType="end"/>
      </w:r>
      <w:bookmarkEnd w:id="41"/>
      <w:r w:rsidRPr="00FC1073">
        <w:t xml:space="preserve">.  The Independent Reviewer of Terrorism Legislation is a person wholly independent of </w:t>
      </w:r>
      <w:r w:rsidR="002579C4">
        <w:t>g</w:t>
      </w:r>
      <w:r w:rsidRPr="00FC1073">
        <w:t>overnment, appointed by the Home Secretary and by the Treasury for a renewable three-year term. He is tasked with reporting to the Home Secretary and to Parliament on the operation of counterterrorism law in the United Kingdom. These reports are laid before Parliament to inform the public and political debate.</w:t>
      </w:r>
    </w:p>
    <w:p w:rsidRPr="00FC1073" w:rsidR="00A8059F" w:rsidP="001D72B2" w14:paraId="4FEF8918" w14:textId="7C7291C2">
      <w:pPr>
        <w:pStyle w:val="JuPara"/>
      </w:pPr>
      <w:r>
        <w:fldChar w:fldCharType="begin"/>
      </w:r>
      <w:r>
        <w:instrText xml:space="preserve"> SEQ level0 \*arabic \* MERGEFORMAT </w:instrText>
      </w:r>
      <w:r>
        <w:fldChar w:fldCharType="separate"/>
      </w:r>
      <w:r>
        <w:rPr>
          <w:noProof/>
        </w:rPr>
        <w:t>59</w:t>
      </w:r>
      <w:r>
        <w:rPr>
          <w:noProof/>
        </w:rPr>
        <w:fldChar w:fldCharType="end"/>
      </w:r>
      <w:r w:rsidRPr="00FC1073">
        <w:t>.  The purpose of this independent review was to examine whether there were tools available in terrorism legislation which should be emulated or adapted to address State-based security threats to the United Kingdom. It was separate from the Independent Reviewer</w:t>
      </w:r>
      <w:r w:rsidRPr="00FC1073" w:rsidR="001D72B2">
        <w:t>’</w:t>
      </w:r>
      <w:r w:rsidRPr="00FC1073">
        <w:t>s much longer annual review of State Threat legislation which has now been submitted to the Home Office, and which considers in detail its effectiveness, fairness and any potential pitfalls.</w:t>
      </w:r>
    </w:p>
    <w:p w:rsidRPr="00FC1073" w:rsidR="00A8059F" w:rsidP="001D72B2" w14:paraId="336B4DE3" w14:textId="59D176C5">
      <w:pPr>
        <w:pStyle w:val="JuPara"/>
      </w:pPr>
      <w:r>
        <w:fldChar w:fldCharType="begin"/>
      </w:r>
      <w:r>
        <w:instrText xml:space="preserve"> SEQ level0 \*arabic \* MERGEFORMAT </w:instrText>
      </w:r>
      <w:r>
        <w:fldChar w:fldCharType="separate"/>
      </w:r>
      <w:r>
        <w:rPr>
          <w:noProof/>
        </w:rPr>
        <w:t>60</w:t>
      </w:r>
      <w:r>
        <w:rPr>
          <w:noProof/>
        </w:rPr>
        <w:fldChar w:fldCharType="end"/>
      </w:r>
      <w:r w:rsidRPr="00FC1073">
        <w:t>.  The Independent Reviewer noted that the Terrorism Act 2000 did not cover the actions of State entities, and that there were terrorism powers that were not currently replicated in existing State Threat legislation. He made the following recommendations:</w:t>
      </w:r>
    </w:p>
    <w:p w:rsidRPr="00FC1073" w:rsidR="00A8059F" w:rsidP="00E9157B" w14:paraId="3697D415" w14:textId="38DDEE0F">
      <w:pPr>
        <w:pStyle w:val="JuPara"/>
      </w:pPr>
      <w:r>
        <w:t xml:space="preserve">(a)  the </w:t>
      </w:r>
      <w:r w:rsidR="00A00646">
        <w:t>a</w:t>
      </w:r>
      <w:r w:rsidRPr="00FC1073">
        <w:t>bility to issue Statutory Alert and Liability Threat Notices against Foreign Intelligence Services, an equivalent to proscription under the Terrorism Act 2000</w:t>
      </w:r>
      <w:r>
        <w:t xml:space="preserve"> – t</w:t>
      </w:r>
      <w:r w:rsidRPr="00FC1073">
        <w:t xml:space="preserve">his power, available against State entities, and private entities acting as </w:t>
      </w:r>
      <w:r w:rsidR="002579C4">
        <w:t>f</w:t>
      </w:r>
      <w:r w:rsidRPr="00FC1073">
        <w:t xml:space="preserve">oreign </w:t>
      </w:r>
      <w:r w:rsidR="002579C4">
        <w:t>i</w:t>
      </w:r>
      <w:r w:rsidRPr="00FC1073">
        <w:t xml:space="preserve">ntelligence </w:t>
      </w:r>
      <w:r w:rsidR="002579C4">
        <w:t>s</w:t>
      </w:r>
      <w:r w:rsidRPr="00FC1073">
        <w:t>ervices, would be added to the NSA</w:t>
      </w:r>
      <w:r w:rsidR="003B72AE">
        <w:t xml:space="preserve"> 2023</w:t>
      </w:r>
      <w:r>
        <w:t>;</w:t>
      </w:r>
    </w:p>
    <w:p w:rsidRPr="00FC1073" w:rsidR="00A8059F" w:rsidP="00E9157B" w14:paraId="79B00291" w14:textId="7D8559A4">
      <w:pPr>
        <w:pStyle w:val="JuPara"/>
      </w:pPr>
      <w:r>
        <w:t>(b)  </w:t>
      </w:r>
      <w:r w:rsidR="00A00646">
        <w:t>c</w:t>
      </w:r>
      <w:r w:rsidRPr="00FC1073">
        <w:t xml:space="preserve">reation of additional criminal offences for individuals who invite support for or display the insignia of the </w:t>
      </w:r>
      <w:r w:rsidR="002579C4">
        <w:t>f</w:t>
      </w:r>
      <w:r w:rsidRPr="00FC1073">
        <w:t xml:space="preserve">oreign </w:t>
      </w:r>
      <w:r w:rsidR="002579C4">
        <w:t>i</w:t>
      </w:r>
      <w:r w:rsidRPr="00FC1073">
        <w:t xml:space="preserve">ntelligence </w:t>
      </w:r>
      <w:r w:rsidR="002579C4">
        <w:t>s</w:t>
      </w:r>
      <w:r w:rsidRPr="00FC1073">
        <w:t>ervice in question</w:t>
      </w:r>
      <w:r>
        <w:t>;</w:t>
      </w:r>
    </w:p>
    <w:p w:rsidRPr="00FC1073" w:rsidR="00A8059F" w:rsidP="00E9157B" w14:paraId="705F65D1" w14:textId="0E7D79CA">
      <w:pPr>
        <w:pStyle w:val="JuPara"/>
      </w:pPr>
      <w:r>
        <w:t xml:space="preserve">(c)  the </w:t>
      </w:r>
      <w:r w:rsidR="00A00646">
        <w:t>a</w:t>
      </w:r>
      <w:r w:rsidRPr="00FC1073">
        <w:t xml:space="preserve">pplication of the acts preparatory offence to certain State Threat activity done in the </w:t>
      </w:r>
      <w:r>
        <w:t>United Kingdom</w:t>
      </w:r>
      <w:r w:rsidRPr="00FC1073">
        <w:t xml:space="preserve"> where the intended target </w:t>
      </w:r>
      <w:r w:rsidR="00A82998">
        <w:t>wa</w:t>
      </w:r>
      <w:r w:rsidRPr="00FC1073">
        <w:t>s overseas</w:t>
      </w:r>
      <w:r>
        <w:t>;</w:t>
      </w:r>
    </w:p>
    <w:p w:rsidRPr="00FC1073" w:rsidR="00A8059F" w:rsidP="00E9157B" w14:paraId="16D1E78F" w14:textId="23B24B43">
      <w:pPr>
        <w:pStyle w:val="JuPara"/>
      </w:pPr>
      <w:r>
        <w:t xml:space="preserve">(d)  the </w:t>
      </w:r>
      <w:r w:rsidR="00A00646">
        <w:t>p</w:t>
      </w:r>
      <w:r w:rsidRPr="00FC1073">
        <w:t>olice to be given power to erect cordons in State Threat investigations</w:t>
      </w:r>
      <w:r>
        <w:t>;</w:t>
      </w:r>
    </w:p>
    <w:p w:rsidRPr="00FC1073" w:rsidR="00A8059F" w:rsidP="00E9157B" w14:paraId="0DAD0A55" w14:textId="70ECA32E">
      <w:pPr>
        <w:pStyle w:val="JuPara"/>
      </w:pPr>
      <w:r>
        <w:t>(e)  c</w:t>
      </w:r>
      <w:r w:rsidRPr="00FC1073">
        <w:t xml:space="preserve">onsideration </w:t>
      </w:r>
      <w:r w:rsidR="00A82998">
        <w:t xml:space="preserve">to </w:t>
      </w:r>
      <w:r w:rsidRPr="00FC1073">
        <w:t>be given to a power to stop and search individuals without suspicion in high threat situations, or locations such as the premises of a known State Threat target</w:t>
      </w:r>
      <w:r>
        <w:t>;</w:t>
      </w:r>
    </w:p>
    <w:p w:rsidRPr="00FC1073" w:rsidR="00A8059F" w:rsidP="00E9157B" w14:paraId="427206E4" w14:textId="5E878739">
      <w:pPr>
        <w:pStyle w:val="JuPara"/>
      </w:pPr>
      <w:r>
        <w:t>(f)  the p</w:t>
      </w:r>
      <w:r w:rsidRPr="00FC1073">
        <w:t>ower in limited circumstances to carry out post-charge interviews in State Threat criminal investigations</w:t>
      </w:r>
      <w:r>
        <w:t>;</w:t>
      </w:r>
    </w:p>
    <w:p w:rsidRPr="00FC1073" w:rsidR="00A8059F" w:rsidP="00E9157B" w14:paraId="2B7F3285" w14:textId="12B3E7B1">
      <w:pPr>
        <w:pStyle w:val="JuPara"/>
      </w:pPr>
      <w:r>
        <w:t>(g)  the p</w:t>
      </w:r>
      <w:r w:rsidRPr="00FC1073">
        <w:t xml:space="preserve">olice to be given the power to seize passports </w:t>
      </w:r>
      <w:r w:rsidRPr="00FC1073">
        <w:t>on the basis of</w:t>
      </w:r>
      <w:r w:rsidRPr="00FC1073">
        <w:t xml:space="preserve"> suspected foreign power threat activity, as currently exist</w:t>
      </w:r>
      <w:r w:rsidR="00A82998">
        <w:t>ed</w:t>
      </w:r>
      <w:r w:rsidRPr="00FC1073">
        <w:t xml:space="preserve"> in terrorism cases</w:t>
      </w:r>
      <w:r>
        <w:t>;</w:t>
      </w:r>
    </w:p>
    <w:p w:rsidRPr="00FC1073" w:rsidR="00A8059F" w:rsidP="00E9157B" w14:paraId="49C1DC0D" w14:textId="4D7B4C85">
      <w:pPr>
        <w:pStyle w:val="JuPara"/>
      </w:pPr>
      <w:r>
        <w:t>(h)  t</w:t>
      </w:r>
      <w:r w:rsidRPr="00FC1073">
        <w:t xml:space="preserve">he relocation power should be available in a wider range of State Threat Prevention and Investigation Measures under Part 2 of the </w:t>
      </w:r>
      <w:r>
        <w:t>NSA</w:t>
      </w:r>
      <w:r w:rsidRPr="00FC1073">
        <w:t xml:space="preserve"> 2023</w:t>
      </w:r>
      <w:r>
        <w:t>;</w:t>
      </w:r>
      <w:r w:rsidR="00A82998">
        <w:t xml:space="preserve"> and</w:t>
      </w:r>
    </w:p>
    <w:p w:rsidRPr="00FC1073" w:rsidR="00A8059F" w:rsidP="00E9157B" w14:paraId="2D23C05B" w14:textId="0E336D13">
      <w:pPr>
        <w:pStyle w:val="JuPara"/>
      </w:pPr>
      <w:r>
        <w:t>(</w:t>
      </w:r>
      <w:r>
        <w:t>i</w:t>
      </w:r>
      <w:r>
        <w:t>)  an a</w:t>
      </w:r>
      <w:r w:rsidRPr="00FC1073">
        <w:t xml:space="preserve">mendment to the Serious Crime Act 2007 to allow </w:t>
      </w:r>
      <w:r>
        <w:t xml:space="preserve">the </w:t>
      </w:r>
      <w:r w:rsidRPr="00FC1073">
        <w:t>police to apply directly to the High Court for Serious Crime Prevention Orders in State Threat cases.</w:t>
      </w:r>
    </w:p>
    <w:p w:rsidRPr="00FC1073" w:rsidR="00A8059F" w:rsidP="001D72B2" w14:paraId="4F973089" w14:textId="53594844">
      <w:pPr>
        <w:pStyle w:val="JuPara"/>
        <w:rPr>
          <w:rFonts w:eastAsia="Times New Roman"/>
        </w:rPr>
      </w:pPr>
      <w:r>
        <w:fldChar w:fldCharType="begin"/>
      </w:r>
      <w:r>
        <w:instrText xml:space="preserve"> SEQ level0 \*arabic \* MERGEFORMAT </w:instrText>
      </w:r>
      <w:r>
        <w:fldChar w:fldCharType="separate"/>
      </w:r>
      <w:bookmarkStart w:name="paragraph00061" w:id="42"/>
      <w:r>
        <w:rPr>
          <w:noProof/>
        </w:rPr>
        <w:t>61</w:t>
      </w:r>
      <w:bookmarkEnd w:id="42"/>
      <w:r>
        <w:fldChar w:fldCharType="end"/>
      </w:r>
      <w:r w:rsidRPr="00FC1073">
        <w:t xml:space="preserve">.  The Independent Reviewer considered that the </w:t>
      </w:r>
      <w:r w:rsidR="002579C4">
        <w:t>g</w:t>
      </w:r>
      <w:r w:rsidRPr="00FC1073">
        <w:t xml:space="preserve">overnment needed to do even more to warn the public about the risk posed by the most dangerous </w:t>
      </w:r>
      <w:r w:rsidR="002579C4">
        <w:t>f</w:t>
      </w:r>
      <w:r w:rsidRPr="00FC1073">
        <w:t xml:space="preserve">oreign </w:t>
      </w:r>
      <w:r w:rsidR="002579C4">
        <w:t>i</w:t>
      </w:r>
      <w:r w:rsidRPr="00FC1073">
        <w:t xml:space="preserve">ntelligence </w:t>
      </w:r>
      <w:r w:rsidR="002579C4">
        <w:t>s</w:t>
      </w:r>
      <w:r w:rsidRPr="00FC1073">
        <w:t>ervices. Whilst few Foreign Intelligence Services would ever act openly, the fact that such organisations actively aspired to damage national security should be prominently exposed for public consumption.</w:t>
      </w:r>
    </w:p>
    <w:p w:rsidRPr="00E9157B" w:rsidR="00A8059F" w:rsidP="001D72B2" w14:paraId="762DCA90" w14:textId="77777777">
      <w:pPr>
        <w:pStyle w:val="JuHIRoman"/>
        <w:rPr>
          <w:rFonts w:eastAsia="MingLiU"/>
        </w:rPr>
      </w:pPr>
      <w:r w:rsidRPr="00E9157B">
        <w:rPr>
          <w:rFonts w:eastAsia="MingLiU"/>
          <w:caps w:val="0"/>
        </w:rPr>
        <w:t>INTERNATIONAL LAW AND PRACTICE</w:t>
      </w:r>
    </w:p>
    <w:p w:rsidRPr="00E9157B" w:rsidR="00A8059F" w:rsidP="001D72B2" w14:paraId="55C0EB80" w14:textId="77777777">
      <w:pPr>
        <w:pStyle w:val="JuHA"/>
        <w:rPr>
          <w:rFonts w:eastAsia="MingLiU"/>
        </w:rPr>
      </w:pPr>
      <w:r w:rsidRPr="00E9157B">
        <w:rPr>
          <w:rFonts w:eastAsia="MingLiU"/>
        </w:rPr>
        <w:t>United Nations</w:t>
      </w:r>
    </w:p>
    <w:p w:rsidRPr="00E9157B" w:rsidR="00A8059F" w:rsidP="001D72B2" w14:paraId="65176AA2" w14:textId="6FA5A288">
      <w:pPr>
        <w:pStyle w:val="JuH1"/>
        <w:rPr>
          <w:rFonts w:eastAsia="MingLiU"/>
        </w:rPr>
      </w:pPr>
      <w:r w:rsidRPr="00E9157B">
        <w:rPr>
          <w:rFonts w:eastAsia="MingLiU"/>
        </w:rPr>
        <w:t xml:space="preserve">League of Nations: International Convention </w:t>
      </w:r>
      <w:r w:rsidRPr="00E9157B" w:rsidR="00236DC5">
        <w:rPr>
          <w:rFonts w:eastAsia="MingLiU"/>
        </w:rPr>
        <w:t>c</w:t>
      </w:r>
      <w:r w:rsidRPr="00E9157B">
        <w:rPr>
          <w:rFonts w:eastAsia="MingLiU"/>
        </w:rPr>
        <w:t>oncerning the Use of Broadcasting in the Cause of Peace</w:t>
      </w:r>
    </w:p>
    <w:p w:rsidRPr="00E06DFC" w:rsidR="00A8059F" w:rsidP="001D72B2" w14:paraId="4E62C096" w14:textId="636A2418">
      <w:pPr>
        <w:pStyle w:val="JuPara"/>
        <w:rPr>
          <w:rFonts w:eastAsia="Times New Roman"/>
        </w:rPr>
      </w:pPr>
      <w:r w:rsidRPr="00E9157B">
        <w:rPr>
          <w:rFonts w:eastAsia="Times New Roman"/>
        </w:rPr>
        <w:fldChar w:fldCharType="begin"/>
      </w:r>
      <w:r w:rsidRPr="00E9157B">
        <w:rPr>
          <w:rFonts w:eastAsia="Times New Roman"/>
        </w:rPr>
        <w:instrText xml:space="preserve"> SEQ level0 \*arabic \* MERGEFORMAT </w:instrText>
      </w:r>
      <w:r w:rsidRPr="00E9157B">
        <w:rPr>
          <w:rFonts w:eastAsia="Times New Roman"/>
        </w:rPr>
        <w:fldChar w:fldCharType="separate"/>
      </w:r>
      <w:r w:rsidRPr="00E9157B" w:rsidR="00A00646">
        <w:rPr>
          <w:rFonts w:eastAsia="Times New Roman"/>
          <w:noProof/>
        </w:rPr>
        <w:t>62</w:t>
      </w:r>
      <w:r w:rsidRPr="00E9157B">
        <w:rPr>
          <w:rFonts w:eastAsia="Times New Roman"/>
        </w:rPr>
        <w:fldChar w:fldCharType="end"/>
      </w:r>
      <w:r w:rsidRPr="00E9157B">
        <w:rPr>
          <w:rFonts w:eastAsia="Times New Roman"/>
        </w:rPr>
        <w:t>.  The League of Nations recognised the risks posed by disinformation. By virtue of the</w:t>
      </w:r>
      <w:r w:rsidRPr="00E9157B" w:rsidR="00CA0551">
        <w:rPr>
          <w:rFonts w:eastAsia="Times New Roman"/>
        </w:rPr>
        <w:t xml:space="preserve"> </w:t>
      </w:r>
      <w:r w:rsidRPr="00E9157B">
        <w:rPr>
          <w:rFonts w:eastAsia="Times New Roman"/>
        </w:rPr>
        <w:t xml:space="preserve">International Convention </w:t>
      </w:r>
      <w:r w:rsidRPr="00E9157B" w:rsidR="00236DC5">
        <w:rPr>
          <w:rFonts w:eastAsia="Times New Roman"/>
        </w:rPr>
        <w:t>c</w:t>
      </w:r>
      <w:r w:rsidRPr="00E9157B">
        <w:rPr>
          <w:rFonts w:eastAsia="Times New Roman"/>
        </w:rPr>
        <w:t>oncerning the Use of Broadcasting in the Cause of Peace, which was signed in Geneva on 23 September 1936 (</w:t>
      </w:r>
      <w:r w:rsidRPr="00E9157B" w:rsidR="009762E9">
        <w:rPr>
          <w:rFonts w:eastAsia="Times New Roman"/>
        </w:rPr>
        <w:t xml:space="preserve">186 </w:t>
      </w:r>
      <w:r w:rsidRPr="00E9157B">
        <w:rPr>
          <w:rFonts w:eastAsia="Times New Roman"/>
        </w:rPr>
        <w:t xml:space="preserve">LNTS </w:t>
      </w:r>
      <w:r w:rsidRPr="00E9157B" w:rsidR="009762E9">
        <w:rPr>
          <w:rFonts w:eastAsia="Times New Roman"/>
        </w:rPr>
        <w:t>301</w:t>
      </w:r>
      <w:r w:rsidRPr="00E9157B">
        <w:rPr>
          <w:rFonts w:eastAsia="Times New Roman"/>
        </w:rPr>
        <w:t>), the High Contracting Parties undertook to prohibit and stop the broadcasting within their respective</w:t>
      </w:r>
      <w:r w:rsidRPr="00FC1073">
        <w:rPr>
          <w:rFonts w:eastAsia="Times New Roman"/>
        </w:rPr>
        <w:t xml:space="preserve"> territories of any transmission which would be to the detriment of good international understanding (by, </w:t>
      </w:r>
      <w:r w:rsidRPr="00FC1073">
        <w:rPr>
          <w:rFonts w:eastAsia="Times New Roman"/>
          <w:i/>
          <w:iCs/>
        </w:rPr>
        <w:t>inter alia</w:t>
      </w:r>
      <w:r w:rsidRPr="00FC1073">
        <w:rPr>
          <w:rFonts w:eastAsia="Times New Roman"/>
        </w:rPr>
        <w:t xml:space="preserve">, statements the incorrectness of which were or ought to have </w:t>
      </w:r>
      <w:r w:rsidRPr="00E06DFC">
        <w:rPr>
          <w:rFonts w:eastAsia="Times New Roman"/>
        </w:rPr>
        <w:t>been known to the persons responsible for the broadcast) or which would incite the population to acts incompatible with the internal order or the security of a territory of a High Contracting Party and to rectify them at the earliest possible moment by the most effective means.</w:t>
      </w:r>
    </w:p>
    <w:p w:rsidRPr="00E06DFC" w:rsidR="00A8059F" w:rsidP="001D72B2" w14:paraId="3D831E5F" w14:textId="77777777">
      <w:pPr>
        <w:pStyle w:val="JuH1"/>
        <w:rPr>
          <w:rFonts w:eastAsia="MingLiU"/>
        </w:rPr>
      </w:pPr>
      <w:r w:rsidRPr="00E06DFC">
        <w:rPr>
          <w:rFonts w:eastAsia="MingLiU"/>
        </w:rPr>
        <w:t>Joint declaration on freedom of expression and “fake news”, disinformation and propaganda (March 2017)</w:t>
      </w:r>
    </w:p>
    <w:p w:rsidRPr="008C5B81" w:rsidR="00A8059F" w:rsidP="001D72B2" w14:paraId="6A310138" w14:textId="3A510DEF">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63</w:t>
      </w:r>
      <w:r w:rsidRPr="00E06DFC">
        <w:rPr>
          <w:rFonts w:eastAsia="Times New Roman"/>
        </w:rPr>
        <w:fldChar w:fldCharType="end"/>
      </w:r>
      <w:r w:rsidRPr="00E06DFC">
        <w:rPr>
          <w:rFonts w:eastAsia="Times New Roman"/>
        </w:rPr>
        <w:t>.  This joint declaration was issued by the United Nations (UN) Special Rapporteur on Freedom of Opinion and Expression, the Organization for Security and Co-operation in Europe (OSCE) Representative on Freedom of the Media, the Organization of American States (OAS) Special Rapporteur on Freedom of Expression and the African Commission on Human and Peoples</w:t>
      </w:r>
      <w:r w:rsidRPr="00E06DFC" w:rsidR="001D72B2">
        <w:rPr>
          <w:rFonts w:eastAsia="Times New Roman"/>
        </w:rPr>
        <w:t>’</w:t>
      </w:r>
      <w:r w:rsidRPr="00E06DFC">
        <w:rPr>
          <w:rFonts w:eastAsia="Times New Roman"/>
        </w:rPr>
        <w:t xml:space="preserve"> Rights (ACHPR) Special Rapporteur on Freedom of Expression and </w:t>
      </w:r>
      <w:r w:rsidRPr="00E06DFC">
        <w:rPr>
          <w:rFonts w:eastAsia="Times New Roman"/>
        </w:rPr>
        <w:t>Access to Information. Together, they noted the growing prevalence of disinformation and propaganda in legacy and social media, fuelled by both States and non-State actors, and</w:t>
      </w:r>
      <w:r w:rsidRPr="00FC1073">
        <w:rPr>
          <w:rFonts w:eastAsia="Times New Roman"/>
        </w:rPr>
        <w:t xml:space="preserve"> expressed concern that disinformation and propaganda were often designed and implemented so as to mislead a population, as well as to interfere with the public</w:t>
      </w:r>
      <w:r w:rsidRPr="00FC1073" w:rsidR="001D72B2">
        <w:rPr>
          <w:rFonts w:eastAsia="Times New Roman"/>
        </w:rPr>
        <w:t>’</w:t>
      </w:r>
      <w:r w:rsidRPr="00FC1073">
        <w:rPr>
          <w:rFonts w:eastAsia="Times New Roman"/>
        </w:rPr>
        <w:t xml:space="preserve">s right to know and </w:t>
      </w:r>
      <w:r w:rsidRPr="008C5B81">
        <w:rPr>
          <w:rFonts w:eastAsia="Times New Roman"/>
        </w:rPr>
        <w:t>the right of individuals to seek, receive and impart information and ideas of all kinds.</w:t>
      </w:r>
    </w:p>
    <w:p w:rsidRPr="008C5B81" w:rsidR="00A8059F" w:rsidP="001D72B2" w14:paraId="7508B1F5" w14:textId="77777777">
      <w:pPr>
        <w:pStyle w:val="JuH1"/>
        <w:rPr>
          <w:rFonts w:eastAsia="MingLiU"/>
        </w:rPr>
      </w:pPr>
      <w:r w:rsidRPr="008C5B81">
        <w:rPr>
          <w:rFonts w:eastAsia="MingLiU"/>
        </w:rPr>
        <w:t>Office of the High Commissioner for Human Rights: 2021 Handbook on International Human Rights Standards on Elections</w:t>
      </w:r>
    </w:p>
    <w:bookmarkStart w:name="paragraph00064" w:id="43"/>
    <w:p w:rsidRPr="008C5B81" w:rsidR="00A8059F" w:rsidP="001D72B2" w14:paraId="69A0046E" w14:textId="331C600E">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64</w:t>
      </w:r>
      <w:r w:rsidRPr="008C5B81">
        <w:rPr>
          <w:rFonts w:eastAsia="Times New Roman"/>
        </w:rPr>
        <w:fldChar w:fldCharType="end"/>
      </w:r>
      <w:bookmarkEnd w:id="43"/>
      <w:r w:rsidRPr="008C5B81">
        <w:rPr>
          <w:rFonts w:eastAsia="Times New Roman"/>
        </w:rPr>
        <w:t>.  This 2021 handbook made the following remarks about the impact of disinformation on elections:</w:t>
      </w:r>
    </w:p>
    <w:p w:rsidRPr="008C5B81" w:rsidR="00A8059F" w:rsidP="001D72B2" w14:paraId="3AD6D6B0" w14:textId="77777777">
      <w:pPr>
        <w:pStyle w:val="JuQuot"/>
        <w:rPr>
          <w:rFonts w:eastAsia="Times New Roman"/>
        </w:rPr>
      </w:pPr>
      <w:r w:rsidRPr="008C5B81">
        <w:rPr>
          <w:rFonts w:eastAsia="Times New Roman"/>
        </w:rPr>
        <w:t>“Impact of big data manipulation and social media on elections</w:t>
      </w:r>
    </w:p>
    <w:p w:rsidRPr="00FC1073" w:rsidR="00A8059F" w:rsidP="001D72B2" w14:paraId="5EF6F8E6" w14:textId="25BDB32D">
      <w:pPr>
        <w:pStyle w:val="JuQuot"/>
        <w:rPr>
          <w:rFonts w:eastAsia="Times New Roman"/>
        </w:rPr>
      </w:pPr>
      <w:r w:rsidRPr="008C5B81">
        <w:rPr>
          <w:rFonts w:eastAsia="Times New Roman"/>
        </w:rPr>
        <w:t>New challenges to elections have arisen in the digital age, notably information disorder and big data manipulation. While the human right to impart information</w:t>
      </w:r>
      <w:r w:rsidRPr="00FC1073">
        <w:rPr>
          <w:rFonts w:eastAsia="Times New Roman"/>
        </w:rPr>
        <w:t xml:space="preserve"> and ideas is not limited to </w:t>
      </w:r>
      <w:r w:rsidRPr="00FC1073" w:rsidR="001D72B2">
        <w:rPr>
          <w:rFonts w:eastAsia="Times New Roman"/>
        </w:rPr>
        <w:t>‘</w:t>
      </w:r>
      <w:r w:rsidRPr="00FC1073">
        <w:rPr>
          <w:rFonts w:eastAsia="Times New Roman"/>
        </w:rPr>
        <w:t>correct</w:t>
      </w:r>
      <w:r w:rsidRPr="00FC1073" w:rsidR="001D72B2">
        <w:rPr>
          <w:rFonts w:eastAsia="Times New Roman"/>
        </w:rPr>
        <w:t>’</w:t>
      </w:r>
      <w:r w:rsidRPr="00FC1073">
        <w:rPr>
          <w:rFonts w:eastAsia="Times New Roman"/>
        </w:rPr>
        <w:t xml:space="preserve"> statements, and protects information and ideas that may shock, offend and disturb, widespread disinformation may pose significant threats to the right to political participation, both in relation to the right to participate in public affairs and to stand for elections and vote. Social media platforms have become key for political actors to disseminate disinformation, often helped by the preference of content curation algorithms for sensationalist content and the possibility to micro-target political advertising. In the context of electoral processes, social media may be instrumentalized to influence the outcomes of elections by discrediting candidates and political parties, providing incorrect information about the voting process (vote suppression) and seeking to influence the voting choices of particular segments of society that may be targeted based on patterns suggested by the processing of personal data and social media activity.</w:t>
      </w:r>
    </w:p>
    <w:p w:rsidRPr="00FC1073" w:rsidR="00A8059F" w:rsidP="001D72B2" w14:paraId="43B77D06" w14:textId="149E9457">
      <w:pPr>
        <w:pStyle w:val="JuQuot"/>
        <w:rPr>
          <w:rFonts w:eastAsia="Times New Roman"/>
        </w:rPr>
      </w:pPr>
      <w:r w:rsidRPr="00FC1073">
        <w:rPr>
          <w:rFonts w:eastAsia="Times New Roman"/>
        </w:rPr>
        <w:t>Disinformation may result in prerequisite rights to free and genuine elections being violated. For example, hate speech and discrimination can be amplified by online disinformation campaigns and may in turn lead to risks to the security of person and hate crimes. Freedom of expression and access to information may also be affected if a voter only has access to news through one social media platform that predominantly or only contains disinformation. Disseminating disinformation may lead to reducing understanding among people with different opinions or backgrounds and exacerbating polarization, playing on and distorting people</w:t>
      </w:r>
      <w:r w:rsidRPr="00FC1073" w:rsidR="001D72B2">
        <w:rPr>
          <w:rFonts w:eastAsia="Times New Roman"/>
        </w:rPr>
        <w:t>’</w:t>
      </w:r>
      <w:r w:rsidRPr="00FC1073">
        <w:rPr>
          <w:rFonts w:eastAsia="Times New Roman"/>
        </w:rPr>
        <w:t>s negative views of others. It can be used to splinter and manipulate public discourse, depriving voters of critical information for their decision-making.</w:t>
      </w:r>
    </w:p>
    <w:p w:rsidRPr="00FC1073" w:rsidR="00A8059F" w:rsidP="001D72B2" w14:paraId="7144377A" w14:textId="59028A30">
      <w:pPr>
        <w:pStyle w:val="JuQuot"/>
        <w:rPr>
          <w:rFonts w:eastAsia="Times New Roman"/>
        </w:rPr>
      </w:pPr>
      <w:r w:rsidRPr="00FC1073">
        <w:rPr>
          <w:rFonts w:eastAsia="Times New Roman"/>
        </w:rPr>
        <w:t xml:space="preserve">While disinformation constitutes a real challenge in the electoral context, States should refrain from general and ambiguous prohibition of the dissemination of information, such as </w:t>
      </w:r>
      <w:r w:rsidRPr="00FC1073" w:rsidR="001D72B2">
        <w:rPr>
          <w:rFonts w:eastAsia="Times New Roman"/>
        </w:rPr>
        <w:t>‘</w:t>
      </w:r>
      <w:r w:rsidRPr="00FC1073">
        <w:rPr>
          <w:rFonts w:eastAsia="Times New Roman"/>
        </w:rPr>
        <w:t>falsehoods</w:t>
      </w:r>
      <w:r w:rsidRPr="00FC1073" w:rsidR="001D72B2">
        <w:rPr>
          <w:rFonts w:eastAsia="Times New Roman"/>
        </w:rPr>
        <w:t>’</w:t>
      </w:r>
      <w:r w:rsidRPr="00FC1073">
        <w:rPr>
          <w:rFonts w:eastAsia="Times New Roman"/>
        </w:rPr>
        <w:t xml:space="preserve"> or </w:t>
      </w:r>
      <w:r w:rsidRPr="00FC1073" w:rsidR="001D72B2">
        <w:rPr>
          <w:rFonts w:eastAsia="Times New Roman"/>
        </w:rPr>
        <w:t>‘</w:t>
      </w:r>
      <w:r w:rsidRPr="00FC1073">
        <w:rPr>
          <w:rFonts w:eastAsia="Times New Roman"/>
        </w:rPr>
        <w:t>non-objective information</w:t>
      </w:r>
      <w:r w:rsidRPr="00FC1073" w:rsidR="001D72B2">
        <w:rPr>
          <w:rFonts w:eastAsia="Times New Roman"/>
        </w:rPr>
        <w:t>’</w:t>
      </w:r>
      <w:r w:rsidRPr="00FC1073">
        <w:rPr>
          <w:rFonts w:eastAsia="Times New Roman"/>
        </w:rPr>
        <w:t>. Such terms do not adequately describe the content that is prohibited. As a result, they provide the authorities with a broad remit to censor the expression of unpopular, controversial or minority opinions, as well as criticism of the Government and politicians in the media and during electoral campaigns. Human rights experts have recommended that approaches to combat disinformation should avoid criminalization and be instead evidence-based and tailored to the proven or documented impacts of disinformation and propaganda. These measures could include the promotion of independent fact-checking mechanisms, the provision of support for independent and diverse public service media outlets, public education and digital literacy campaigns.”</w:t>
      </w:r>
    </w:p>
    <w:p w:rsidRPr="008C5B81" w:rsidR="00A8059F" w:rsidP="001D72B2" w14:paraId="61113D87" w14:textId="77777777">
      <w:pPr>
        <w:pStyle w:val="JuH1"/>
        <w:rPr>
          <w:rFonts w:eastAsia="MingLiU"/>
        </w:rPr>
      </w:pPr>
      <w:r w:rsidRPr="008C5B81">
        <w:rPr>
          <w:rFonts w:eastAsia="MingLiU"/>
        </w:rPr>
        <w:t>Human Rights Council Resolution 49/21 of 1 April 2021 on the role of States in countering the negative impact of disinformation on the enjoyment and realization of human rights</w:t>
      </w:r>
    </w:p>
    <w:bookmarkStart w:name="paragraph00065" w:id="44"/>
    <w:p w:rsidRPr="00FC1073" w:rsidR="00A8059F" w:rsidP="001D72B2" w14:paraId="6D7247C5" w14:textId="072CCF5E">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65</w:t>
      </w:r>
      <w:r w:rsidRPr="008C5B81">
        <w:rPr>
          <w:rFonts w:eastAsia="Times New Roman"/>
        </w:rPr>
        <w:fldChar w:fldCharType="end"/>
      </w:r>
      <w:bookmarkEnd w:id="44"/>
      <w:r w:rsidRPr="008C5B81">
        <w:rPr>
          <w:rFonts w:eastAsia="Times New Roman"/>
        </w:rPr>
        <w:t xml:space="preserve">.  In </w:t>
      </w:r>
      <w:r w:rsidRPr="008C5B81" w:rsidR="00A512EE">
        <w:rPr>
          <w:rFonts w:eastAsia="Times New Roman"/>
        </w:rPr>
        <w:t xml:space="preserve">its </w:t>
      </w:r>
      <w:r w:rsidRPr="008C5B81">
        <w:rPr>
          <w:rFonts w:eastAsia="Times New Roman"/>
        </w:rPr>
        <w:t>Resolution</w:t>
      </w:r>
      <w:r w:rsidRPr="008C5B81" w:rsidR="00A512EE">
        <w:rPr>
          <w:rFonts w:eastAsia="Times New Roman"/>
        </w:rPr>
        <w:t xml:space="preserve"> 49/21</w:t>
      </w:r>
      <w:r w:rsidRPr="008C5B81" w:rsidR="004469F1">
        <w:rPr>
          <w:rFonts w:eastAsia="Times New Roman"/>
        </w:rPr>
        <w:t xml:space="preserve"> (</w:t>
      </w:r>
      <w:r w:rsidRPr="008C5B81" w:rsidR="004469F1">
        <w:t>UN Doc. A/HRC/RES/49/21</w:t>
      </w:r>
      <w:r w:rsidR="004469F1">
        <w:t>)</w:t>
      </w:r>
      <w:r w:rsidR="00A512EE">
        <w:rPr>
          <w:rFonts w:eastAsia="Times New Roman"/>
        </w:rPr>
        <w:t>,</w:t>
      </w:r>
      <w:r w:rsidRPr="00FC1073">
        <w:rPr>
          <w:rFonts w:eastAsia="Times New Roman"/>
        </w:rPr>
        <w:t xml:space="preserve"> the </w:t>
      </w:r>
      <w:r w:rsidR="00A512EE">
        <w:rPr>
          <w:rFonts w:eastAsia="Times New Roman"/>
        </w:rPr>
        <w:t>U</w:t>
      </w:r>
      <w:r w:rsidR="00667C2C">
        <w:rPr>
          <w:rFonts w:eastAsia="Times New Roman"/>
        </w:rPr>
        <w:t>N</w:t>
      </w:r>
      <w:r w:rsidR="00A512EE">
        <w:rPr>
          <w:rFonts w:eastAsia="Times New Roman"/>
        </w:rPr>
        <w:t xml:space="preserve"> </w:t>
      </w:r>
      <w:r w:rsidRPr="00FC1073">
        <w:rPr>
          <w:rFonts w:eastAsia="Times New Roman"/>
        </w:rPr>
        <w:t xml:space="preserve">Human Rights Council </w:t>
      </w:r>
      <w:r w:rsidR="00CA0551">
        <w:rPr>
          <w:rFonts w:eastAsia="Times New Roman"/>
        </w:rPr>
        <w:t>stated</w:t>
      </w:r>
      <w:r w:rsidRPr="00FC1073" w:rsidR="00CA0551">
        <w:rPr>
          <w:rFonts w:eastAsia="Times New Roman"/>
        </w:rPr>
        <w:t xml:space="preserve"> </w:t>
      </w:r>
      <w:r w:rsidRPr="00FC1073">
        <w:rPr>
          <w:rFonts w:eastAsia="Times New Roman"/>
        </w:rPr>
        <w:t>the following:</w:t>
      </w:r>
    </w:p>
    <w:p w:rsidRPr="00FC1073" w:rsidR="00A8059F" w:rsidP="001D72B2" w14:paraId="543847B4" w14:textId="1822F383">
      <w:pPr>
        <w:pStyle w:val="JuQuot"/>
        <w:rPr>
          <w:rFonts w:eastAsia="Times New Roman"/>
        </w:rPr>
      </w:pPr>
      <w:r w:rsidRPr="00FC1073">
        <w:rPr>
          <w:rFonts w:eastAsia="Times New Roman"/>
        </w:rPr>
        <w:t>“...</w:t>
      </w:r>
      <w:r w:rsidR="00CA0551">
        <w:rPr>
          <w:rFonts w:eastAsia="Times New Roman"/>
        </w:rPr>
        <w:t xml:space="preserve"> </w:t>
      </w:r>
      <w:r w:rsidRPr="00FC1073">
        <w:rPr>
          <w:rFonts w:eastAsia="Times New Roman"/>
          <w:i/>
          <w:iCs/>
        </w:rPr>
        <w:t>Emphasizing</w:t>
      </w:r>
      <w:r w:rsidRPr="00FC1073">
        <w:rPr>
          <w:rFonts w:eastAsia="Times New Roman"/>
        </w:rPr>
        <w:t xml:space="preserve"> further that disinformation is a threat to democracy that can suppress political engagement, engender or deepen distrust towards democratic institutions and processes, and hinder the realization of informed participation in political and public affairs,</w:t>
      </w:r>
    </w:p>
    <w:p w:rsidRPr="00FC1073" w:rsidR="00A8059F" w:rsidP="001D72B2" w14:paraId="0E23970A" w14:textId="77777777">
      <w:pPr>
        <w:pStyle w:val="JuQuot"/>
        <w:rPr>
          <w:rFonts w:eastAsia="Times New Roman"/>
        </w:rPr>
      </w:pPr>
      <w:r w:rsidRPr="00FC1073">
        <w:rPr>
          <w:rFonts w:eastAsia="Times New Roman"/>
        </w:rPr>
        <w:t>...</w:t>
      </w:r>
    </w:p>
    <w:p w:rsidRPr="00FC1073" w:rsidR="00A8059F" w:rsidP="001D72B2" w14:paraId="06661B86" w14:textId="77777777">
      <w:pPr>
        <w:pStyle w:val="JuQuot"/>
        <w:rPr>
          <w:rFonts w:eastAsia="Times New Roman"/>
        </w:rPr>
      </w:pPr>
      <w:r w:rsidRPr="00FC1073">
        <w:rPr>
          <w:rFonts w:eastAsia="Times New Roman"/>
          <w:i/>
          <w:iCs/>
        </w:rPr>
        <w:t>Expressing</w:t>
      </w:r>
      <w:r w:rsidRPr="00FC1073">
        <w:rPr>
          <w:rFonts w:eastAsia="Times New Roman"/>
        </w:rPr>
        <w:t xml:space="preserve"> concern about the dissemination of disinformation by both traditional and digital means, and that digital technology can be used to create, disseminate and amplify disinformation by State and non-State actors for political, ideological or commercial motives at an alarming scale, speed and reach,</w:t>
      </w:r>
    </w:p>
    <w:p w:rsidRPr="00FC1073" w:rsidR="00A8059F" w:rsidP="001D72B2" w14:paraId="163AA2B2" w14:textId="77777777">
      <w:pPr>
        <w:pStyle w:val="JuQuot"/>
        <w:rPr>
          <w:rFonts w:eastAsia="Times New Roman"/>
        </w:rPr>
      </w:pPr>
      <w:r w:rsidRPr="00FC1073">
        <w:rPr>
          <w:rFonts w:eastAsia="Times New Roman"/>
        </w:rPr>
        <w:t>...</w:t>
      </w:r>
    </w:p>
    <w:p w:rsidRPr="00FC1073" w:rsidR="00A8059F" w:rsidP="001D72B2" w14:paraId="62805749" w14:textId="235AB48C">
      <w:pPr>
        <w:pStyle w:val="JuQuot"/>
        <w:rPr>
          <w:rFonts w:eastAsia="Times New Roman"/>
        </w:rPr>
      </w:pPr>
      <w:r w:rsidRPr="00FC1073">
        <w:rPr>
          <w:rFonts w:eastAsia="Times New Roman"/>
          <w:i/>
          <w:iCs/>
        </w:rPr>
        <w:t>Stressing</w:t>
      </w:r>
      <w:r w:rsidRPr="00FC1073">
        <w:rPr>
          <w:rFonts w:eastAsia="Times New Roman"/>
        </w:rPr>
        <w:t xml:space="preserve"> that condemning and countering disinformation should not be used as a pretext to restrict the enjoyment and realization of human rights or to justify censorship, including through vague and overly broad laws criminalizing disinformation, and that all policies or legislation undertaken to counter disinformation must be in compliance with States</w:t>
      </w:r>
      <w:r w:rsidRPr="00FC1073" w:rsidR="001D72B2">
        <w:rPr>
          <w:rFonts w:eastAsia="Times New Roman"/>
        </w:rPr>
        <w:t>’</w:t>
      </w:r>
      <w:r w:rsidRPr="00FC1073">
        <w:rPr>
          <w:rFonts w:eastAsia="Times New Roman"/>
        </w:rPr>
        <w:t xml:space="preserve"> obligations under international human rights law, including the requirement that any restrictions on freedom of expression comply with the principles of legality and necessity,</w:t>
      </w:r>
    </w:p>
    <w:p w:rsidRPr="00FC1073" w:rsidR="00A8059F" w:rsidP="001D72B2" w14:paraId="70A17671" w14:textId="77777777">
      <w:pPr>
        <w:pStyle w:val="JuQuot"/>
        <w:rPr>
          <w:rFonts w:eastAsia="Times New Roman"/>
        </w:rPr>
      </w:pPr>
      <w:r w:rsidRPr="00FC1073">
        <w:rPr>
          <w:rFonts w:eastAsia="Times New Roman"/>
        </w:rPr>
        <w:t>1.  </w:t>
      </w:r>
      <w:r w:rsidRPr="00FC1073">
        <w:rPr>
          <w:rFonts w:eastAsia="Times New Roman"/>
          <w:i/>
          <w:iCs/>
        </w:rPr>
        <w:t>Affirms</w:t>
      </w:r>
      <w:r w:rsidRPr="00FC1073">
        <w:rPr>
          <w:rFonts w:eastAsia="Times New Roman"/>
        </w:rPr>
        <w:t xml:space="preserve"> that disinformation can negatively affect the enjoyment and realization of all human rights, and that States play a central role in countering disinformation;</w:t>
      </w:r>
    </w:p>
    <w:p w:rsidRPr="00FC1073" w:rsidR="00A8059F" w:rsidP="001D72B2" w14:paraId="7D49AE9B" w14:textId="7B7BDC74">
      <w:pPr>
        <w:pStyle w:val="JuQuot"/>
        <w:rPr>
          <w:rFonts w:eastAsia="Times New Roman"/>
        </w:rPr>
      </w:pPr>
      <w:r w:rsidRPr="00FC1073">
        <w:rPr>
          <w:rFonts w:eastAsia="Times New Roman"/>
        </w:rPr>
        <w:t>2.  </w:t>
      </w:r>
      <w:r w:rsidRPr="00FC1073">
        <w:rPr>
          <w:rFonts w:eastAsia="Times New Roman"/>
          <w:i/>
          <w:iCs/>
        </w:rPr>
        <w:t>Calls</w:t>
      </w:r>
      <w:r w:rsidRPr="00FC1073">
        <w:rPr>
          <w:rFonts w:eastAsia="Times New Roman"/>
        </w:rPr>
        <w:t xml:space="preserve"> upon States to ensure that their responses to the spread of disinformation comply with international human rights law and that their efforts to counter disinformation promote, protect and respect individuals</w:t>
      </w:r>
      <w:r w:rsidRPr="00FC1073" w:rsidR="001D72B2">
        <w:rPr>
          <w:rFonts w:eastAsia="Times New Roman"/>
        </w:rPr>
        <w:t>’</w:t>
      </w:r>
      <w:r w:rsidRPr="00FC1073">
        <w:rPr>
          <w:rFonts w:eastAsia="Times New Roman"/>
        </w:rPr>
        <w:t xml:space="preserve"> freedom of expression and freedom to seek, receive and impart information, as well as other human rights;</w:t>
      </w:r>
    </w:p>
    <w:p w:rsidRPr="00FC1073" w:rsidR="00A8059F" w:rsidP="001D72B2" w14:paraId="0EBC5D55" w14:textId="77777777">
      <w:pPr>
        <w:pStyle w:val="JuQuot"/>
        <w:rPr>
          <w:rFonts w:eastAsia="Times New Roman"/>
        </w:rPr>
      </w:pPr>
      <w:r w:rsidRPr="00FC1073">
        <w:rPr>
          <w:rFonts w:eastAsia="Times New Roman"/>
        </w:rPr>
        <w:t>3.  </w:t>
      </w:r>
      <w:r w:rsidRPr="00FC1073">
        <w:rPr>
          <w:rFonts w:eastAsia="Times New Roman"/>
          <w:i/>
          <w:iCs/>
        </w:rPr>
        <w:t>Urges</w:t>
      </w:r>
      <w:r w:rsidRPr="00FC1073">
        <w:rPr>
          <w:rFonts w:eastAsia="Times New Roman"/>
        </w:rPr>
        <w:t xml:space="preserve"> States to facilitate an environment supportive of countering disinformation through multidimensional and multi-stakeholder responses that </w:t>
      </w:r>
      <w:r w:rsidRPr="00FC1073">
        <w:rPr>
          <w:rFonts w:eastAsia="Times New Roman"/>
        </w:rPr>
        <w:t>are in compliance with</w:t>
      </w:r>
      <w:r w:rsidRPr="00FC1073">
        <w:rPr>
          <w:rFonts w:eastAsia="Times New Roman"/>
        </w:rPr>
        <w:t xml:space="preserve"> international human rights law, including through enhanced cooperation with international organizations, civil society, the media, the private sector and other stakeholders;</w:t>
      </w:r>
    </w:p>
    <w:p w:rsidRPr="00FC1073" w:rsidR="00A8059F" w:rsidP="001D72B2" w14:paraId="6B554471" w14:textId="77777777">
      <w:pPr>
        <w:pStyle w:val="JuQuot"/>
        <w:rPr>
          <w:rFonts w:eastAsia="Times New Roman"/>
        </w:rPr>
      </w:pPr>
      <w:r w:rsidRPr="00FC1073">
        <w:rPr>
          <w:rFonts w:eastAsia="Times New Roman"/>
        </w:rPr>
        <w:t>4.  </w:t>
      </w:r>
      <w:r w:rsidRPr="00FC1073">
        <w:rPr>
          <w:rFonts w:eastAsia="Times New Roman"/>
          <w:i/>
          <w:iCs/>
        </w:rPr>
        <w:t>Invites</w:t>
      </w:r>
      <w:r w:rsidRPr="00FC1073">
        <w:rPr>
          <w:rFonts w:eastAsia="Times New Roman"/>
        </w:rPr>
        <w:t xml:space="preserve"> States to encourage business enterprises, including social media companies, to address disinformation while respecting human rights, including through the review of business models, in particular the role of algorithms and ranking systems in amplifying disinformation, enhancing transparency, enforcing all applicable legal protections for users and encouraging due diligence in line with the Guiding Principles on Business and Human Rights;</w:t>
      </w:r>
    </w:p>
    <w:p w:rsidRPr="00FC1073" w:rsidR="00A8059F" w:rsidP="001D72B2" w14:paraId="412F9697" w14:textId="77777777">
      <w:pPr>
        <w:pStyle w:val="JuQuot"/>
        <w:rPr>
          <w:rFonts w:eastAsia="Times New Roman"/>
        </w:rPr>
      </w:pPr>
      <w:r w:rsidRPr="00FC1073">
        <w:rPr>
          <w:rFonts w:eastAsia="Times New Roman"/>
        </w:rPr>
        <w:t>5.  </w:t>
      </w:r>
      <w:r w:rsidRPr="00FC1073">
        <w:rPr>
          <w:rFonts w:eastAsia="Times New Roman"/>
          <w:i/>
          <w:iCs/>
        </w:rPr>
        <w:t>Calls</w:t>
      </w:r>
      <w:r w:rsidRPr="00FC1073">
        <w:rPr>
          <w:rFonts w:eastAsia="Times New Roman"/>
        </w:rPr>
        <w:t xml:space="preserve"> upon all States to refrain from conducting or sponsoring disinformation campaigns domestically or transnationally for political or other purposes, and encourages them to condemn such acts;</w:t>
      </w:r>
    </w:p>
    <w:p w:rsidR="004469F1" w:rsidP="001D72B2" w14:paraId="612CAF08" w14:textId="77777777">
      <w:pPr>
        <w:pStyle w:val="JuQuot"/>
        <w:rPr>
          <w:rFonts w:eastAsia="Times New Roman"/>
        </w:rPr>
      </w:pPr>
      <w:r w:rsidRPr="00FC1073">
        <w:rPr>
          <w:rFonts w:eastAsia="Times New Roman"/>
        </w:rPr>
        <w:t>6.  </w:t>
      </w:r>
      <w:r w:rsidRPr="00FC1073">
        <w:rPr>
          <w:rFonts w:eastAsia="Times New Roman"/>
          <w:i/>
          <w:iCs/>
        </w:rPr>
        <w:t>Commits</w:t>
      </w:r>
      <w:r w:rsidRPr="00FC1073">
        <w:rPr>
          <w:rFonts w:eastAsia="Times New Roman"/>
        </w:rPr>
        <w:t xml:space="preserve"> to the promotion of </w:t>
      </w:r>
      <w:r w:rsidRPr="00E06DFC">
        <w:rPr>
          <w:rFonts w:eastAsia="Times New Roman"/>
        </w:rPr>
        <w:t xml:space="preserve">international cooperation to counter the negative impact of disinformation on the enjoyment and realization of human rights; </w:t>
      </w:r>
    </w:p>
    <w:p w:rsidRPr="00E06DFC" w:rsidR="00A8059F" w:rsidP="001D72B2" w14:paraId="59B0FC4A" w14:textId="0E2FF73E">
      <w:pPr>
        <w:pStyle w:val="JuQuot"/>
        <w:rPr>
          <w:rFonts w:eastAsia="Times New Roman"/>
        </w:rPr>
      </w:pPr>
      <w:r w:rsidRPr="00E06DFC">
        <w:rPr>
          <w:rFonts w:eastAsia="Times New Roman"/>
        </w:rPr>
        <w:t>...”</w:t>
      </w:r>
    </w:p>
    <w:p w:rsidRPr="00E06DFC" w:rsidR="00A8059F" w:rsidP="001D72B2" w14:paraId="75CB9020" w14:textId="5D1BF248">
      <w:pPr>
        <w:pStyle w:val="JuH1"/>
        <w:rPr>
          <w:rFonts w:eastAsia="MingLiU"/>
        </w:rPr>
      </w:pPr>
      <w:r w:rsidRPr="00E06DFC">
        <w:rPr>
          <w:rFonts w:eastAsia="MingLiU"/>
        </w:rPr>
        <w:t>Disinformation and freedom of opinion and expression – Report of the UN Special Rapporteur on the promotion and protection of the right to freedom of opinion and expression (13 April 2021)</w:t>
      </w:r>
    </w:p>
    <w:bookmarkStart w:name="paragraph00066" w:id="45"/>
    <w:p w:rsidRPr="00E06DFC" w:rsidR="00A8059F" w:rsidP="001D72B2" w14:paraId="1D651563" w14:textId="43BAF196">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66</w:t>
      </w:r>
      <w:r w:rsidRPr="00E06DFC">
        <w:rPr>
          <w:rFonts w:eastAsia="Times New Roman"/>
        </w:rPr>
        <w:fldChar w:fldCharType="end"/>
      </w:r>
      <w:bookmarkEnd w:id="45"/>
      <w:r w:rsidRPr="00E06DFC">
        <w:rPr>
          <w:rFonts w:eastAsia="Times New Roman"/>
        </w:rPr>
        <w:t>.  The Special Rapporteur acknowledged that disinformation was a complex, multifaceted phenomenon with serious consequences, including destroying people</w:t>
      </w:r>
      <w:r w:rsidRPr="00E06DFC" w:rsidR="001D72B2">
        <w:rPr>
          <w:rFonts w:eastAsia="Times New Roman"/>
        </w:rPr>
        <w:t>’</w:t>
      </w:r>
      <w:r w:rsidRPr="00E06DFC">
        <w:rPr>
          <w:rFonts w:eastAsia="Times New Roman"/>
        </w:rPr>
        <w:t>s trust in democratic institutions. However, while disinformation was problematic, so too were the responses of States. Laws and policies were often being made with sub-optimal</w:t>
      </w:r>
      <w:r w:rsidRPr="00FC1073">
        <w:rPr>
          <w:rFonts w:eastAsia="Times New Roman"/>
        </w:rPr>
        <w:t xml:space="preserve"> knowledge of online harm, and without adequate data, </w:t>
      </w:r>
      <w:r w:rsidRPr="00E06DFC">
        <w:rPr>
          <w:rFonts w:eastAsia="Times New Roman"/>
        </w:rPr>
        <w:t xml:space="preserve">research or public consultations. States had resorted to disproportionate measures such as </w:t>
      </w:r>
      <w:r w:rsidRPr="00E06DFC" w:rsidR="008F6EE4">
        <w:rPr>
          <w:rFonts w:eastAsia="Times New Roman"/>
        </w:rPr>
        <w:t>i</w:t>
      </w:r>
      <w:r w:rsidRPr="00E06DFC">
        <w:rPr>
          <w:rFonts w:eastAsia="Times New Roman"/>
        </w:rPr>
        <w:t>nternet shutdowns and vague and overly broad laws to criminali</w:t>
      </w:r>
      <w:r w:rsidRPr="00E06DFC" w:rsidR="00CA0551">
        <w:rPr>
          <w:rFonts w:eastAsia="Times New Roman"/>
        </w:rPr>
        <w:t>s</w:t>
      </w:r>
      <w:r w:rsidRPr="00E06DFC">
        <w:rPr>
          <w:rFonts w:eastAsia="Times New Roman"/>
        </w:rPr>
        <w:t>e, block, censor and chill online speech and shrink civic space. These measures were not only incompatible with international human rights law but also contributed to amplifying misperceptions, fostering fear and entrenching public mistrust of institutions.</w:t>
      </w:r>
    </w:p>
    <w:p w:rsidRPr="00E06DFC" w:rsidR="00A8059F" w:rsidP="001D72B2" w14:paraId="49F230E2" w14:textId="77777777">
      <w:pPr>
        <w:pStyle w:val="JuHA"/>
        <w:rPr>
          <w:rFonts w:eastAsia="MingLiU"/>
        </w:rPr>
      </w:pPr>
      <w:r w:rsidRPr="00E06DFC">
        <w:rPr>
          <w:rFonts w:eastAsia="MingLiU"/>
        </w:rPr>
        <w:t>Council of Europe</w:t>
      </w:r>
    </w:p>
    <w:p w:rsidRPr="00E06DFC" w:rsidR="00A8059F" w:rsidP="001D72B2" w14:paraId="6B4A3799" w14:textId="4D56FDBD">
      <w:pPr>
        <w:pStyle w:val="JuH1"/>
        <w:rPr>
          <w:rFonts w:eastAsia="MingLiU"/>
        </w:rPr>
      </w:pPr>
      <w:r w:rsidRPr="00E06DFC">
        <w:rPr>
          <w:rFonts w:eastAsia="MingLiU"/>
        </w:rPr>
        <w:t>Resolution 2254 (2019) of the Parliamentary Assembly of the Council of Europe: Media freedom as a condition for democratic elections</w:t>
      </w:r>
    </w:p>
    <w:bookmarkStart w:name="paragraph00067" w:id="46"/>
    <w:p w:rsidRPr="00FC1073" w:rsidR="00A8059F" w:rsidP="001D72B2" w14:paraId="1943DF32" w14:textId="23A21086">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67</w:t>
      </w:r>
      <w:r w:rsidRPr="00E06DFC">
        <w:rPr>
          <w:rFonts w:eastAsia="Times New Roman"/>
        </w:rPr>
        <w:fldChar w:fldCharType="end"/>
      </w:r>
      <w:bookmarkEnd w:id="46"/>
      <w:r w:rsidRPr="00E06DFC">
        <w:rPr>
          <w:rFonts w:eastAsia="Times New Roman"/>
        </w:rPr>
        <w:t xml:space="preserve">.  In </w:t>
      </w:r>
      <w:r w:rsidRPr="00E06DFC" w:rsidR="00667C2C">
        <w:rPr>
          <w:rFonts w:eastAsia="Times New Roman"/>
        </w:rPr>
        <w:t xml:space="preserve">its </w:t>
      </w:r>
      <w:r w:rsidRPr="00E06DFC">
        <w:rPr>
          <w:rFonts w:eastAsia="Times New Roman"/>
        </w:rPr>
        <w:t>Resolution</w:t>
      </w:r>
      <w:r w:rsidRPr="00E06DFC" w:rsidR="00CA0551">
        <w:rPr>
          <w:rFonts w:eastAsia="Times New Roman"/>
        </w:rPr>
        <w:t xml:space="preserve"> </w:t>
      </w:r>
      <w:r w:rsidRPr="00E06DFC" w:rsidR="00CA0551">
        <w:rPr>
          <w:rFonts w:eastAsia="MingLiU"/>
        </w:rPr>
        <w:t>2254 (2019),</w:t>
      </w:r>
      <w:r w:rsidRPr="00E06DFC">
        <w:rPr>
          <w:rFonts w:eastAsia="Times New Roman"/>
        </w:rPr>
        <w:t xml:space="preserve"> </w:t>
      </w:r>
      <w:r w:rsidRPr="00E06DFC" w:rsidR="00992869">
        <w:rPr>
          <w:rFonts w:eastAsia="Times New Roman"/>
        </w:rPr>
        <w:t xml:space="preserve">the Parliamentary Assembly </w:t>
      </w:r>
      <w:r w:rsidRPr="00E06DFC" w:rsidR="008F6EE4">
        <w:rPr>
          <w:rFonts w:eastAsia="Times New Roman"/>
        </w:rPr>
        <w:t xml:space="preserve">reiterated </w:t>
      </w:r>
      <w:r w:rsidRPr="00E06DFC">
        <w:rPr>
          <w:rFonts w:eastAsia="Times New Roman"/>
        </w:rPr>
        <w:t>that free elections were a pillar of every democratic society, and that the electorate could not be said to have genuine</w:t>
      </w:r>
      <w:r w:rsidRPr="00FC1073">
        <w:rPr>
          <w:rFonts w:eastAsia="Times New Roman"/>
        </w:rPr>
        <w:t xml:space="preserve"> freedom of choice if that choice was not a well-informed one. Consequently, the right to freedom of information and media freedom were essential preconditions of the right to free elections, in accordance with Article 3 of Protocol No. 1 to the Convention. It continued:</w:t>
      </w:r>
    </w:p>
    <w:p w:rsidRPr="00FC1073" w:rsidR="00A8059F" w:rsidP="001D72B2" w14:paraId="5BD64952" w14:textId="554E4A26">
      <w:pPr>
        <w:pStyle w:val="JuQuot"/>
        <w:rPr>
          <w:rFonts w:eastAsia="Times New Roman"/>
        </w:rPr>
      </w:pPr>
      <w:r w:rsidRPr="00FC1073">
        <w:rPr>
          <w:rFonts w:eastAsia="Times New Roman"/>
        </w:rPr>
        <w:t xml:space="preserve">“3.  Alongside the professional media, new media players have arrived on the scene: social media. They are having an increasing impact on the public, including during election campaigns: they enable political parties and candidates to pass on their messages </w:t>
      </w:r>
      <w:r w:rsidRPr="00FC1073" w:rsidR="001D72B2">
        <w:rPr>
          <w:rFonts w:eastAsia="Times New Roman"/>
        </w:rPr>
        <w:t>‘</w:t>
      </w:r>
      <w:r w:rsidRPr="00FC1073">
        <w:rPr>
          <w:rFonts w:eastAsia="Times New Roman"/>
        </w:rPr>
        <w:t>directly</w:t>
      </w:r>
      <w:r w:rsidRPr="00FC1073" w:rsidR="001D72B2">
        <w:rPr>
          <w:rFonts w:eastAsia="Times New Roman"/>
        </w:rPr>
        <w:t>’</w:t>
      </w:r>
      <w:r w:rsidRPr="00FC1073">
        <w:rPr>
          <w:rFonts w:eastAsia="Times New Roman"/>
        </w:rPr>
        <w:t xml:space="preserve"> to the electorate, and are a means for their supporters to disseminate those messages.</w:t>
      </w:r>
    </w:p>
    <w:p w:rsidRPr="00FC1073" w:rsidR="00A8059F" w:rsidP="001D72B2" w14:paraId="46C7A58E" w14:textId="1B60A0DA">
      <w:pPr>
        <w:pStyle w:val="JuQuot"/>
        <w:rPr>
          <w:rFonts w:eastAsia="Times New Roman"/>
        </w:rPr>
      </w:pPr>
      <w:r w:rsidRPr="00FC1073">
        <w:rPr>
          <w:rFonts w:eastAsia="Times New Roman"/>
        </w:rPr>
        <w:t xml:space="preserve">4.  In many countries, social media are not subject to the general regulations governing the media or to the specific rules that apply at election times. Moreover, the </w:t>
      </w:r>
      <w:r w:rsidRPr="00FC1073">
        <w:rPr>
          <w:rFonts w:eastAsia="Times New Roman"/>
        </w:rPr>
        <w:t>particular nature</w:t>
      </w:r>
      <w:r w:rsidRPr="00FC1073">
        <w:rPr>
          <w:rFonts w:eastAsia="Times New Roman"/>
        </w:rPr>
        <w:t xml:space="preserve"> of online communication makes it difficult to apply to social media the principles which the professional media must respect. Most attempts at regulation have failed to yield convincing results of compliance; other attempts have been heavy</w:t>
      </w:r>
      <w:r w:rsidR="00CA0551">
        <w:rPr>
          <w:rFonts w:eastAsia="Times New Roman"/>
        </w:rPr>
        <w:t>-</w:t>
      </w:r>
      <w:r w:rsidRPr="00FC1073">
        <w:rPr>
          <w:rFonts w:eastAsia="Times New Roman"/>
        </w:rPr>
        <w:t xml:space="preserve">handed and have amounted to censorship. Furthermore, sites which have been </w:t>
      </w:r>
      <w:r w:rsidRPr="00FC1073">
        <w:rPr>
          <w:rFonts w:eastAsia="Times New Roman"/>
        </w:rPr>
        <w:t>closed down</w:t>
      </w:r>
      <w:r w:rsidRPr="00FC1073">
        <w:rPr>
          <w:rFonts w:eastAsia="Times New Roman"/>
        </w:rPr>
        <w:t xml:space="preserve"> can respond by creating </w:t>
      </w:r>
      <w:r w:rsidRPr="00FC1073" w:rsidR="001D72B2">
        <w:rPr>
          <w:rFonts w:eastAsia="Times New Roman"/>
        </w:rPr>
        <w:t>‘</w:t>
      </w:r>
      <w:r w:rsidRPr="00FC1073">
        <w:rPr>
          <w:rFonts w:eastAsia="Times New Roman"/>
        </w:rPr>
        <w:t>mirror sites</w:t>
      </w:r>
      <w:r w:rsidRPr="00FC1073" w:rsidR="001D72B2">
        <w:rPr>
          <w:rFonts w:eastAsia="Times New Roman"/>
        </w:rPr>
        <w:t>’</w:t>
      </w:r>
      <w:r w:rsidRPr="00FC1073">
        <w:rPr>
          <w:rFonts w:eastAsia="Times New Roman"/>
        </w:rPr>
        <w:t xml:space="preserve"> beyond national borders, which makes the sanctions adopted by domestic authorities less effective. There is also a lack of self</w:t>
      </w:r>
      <w:r w:rsidRPr="00FC1073">
        <w:rPr>
          <w:rFonts w:eastAsia="Times New Roman"/>
        </w:rPr>
        <w:noBreakHyphen/>
        <w:t>regulation by social media, which often disregard the conventions that have been widely accepted by the professional media.</w:t>
      </w:r>
    </w:p>
    <w:p w:rsidRPr="00FC1073" w:rsidR="00A8059F" w:rsidP="001D72B2" w14:paraId="74271F76" w14:textId="2E680E95">
      <w:pPr>
        <w:pStyle w:val="JuQuot"/>
        <w:rPr>
          <w:rFonts w:eastAsia="Times New Roman"/>
        </w:rPr>
      </w:pPr>
      <w:r w:rsidRPr="00FC1073">
        <w:rPr>
          <w:rFonts w:eastAsia="Times New Roman"/>
        </w:rPr>
        <w:t xml:space="preserve">5.  Given the existing legal gaps, the various forms of malevolent online communication endanger the smooth and fair conduct of the electoral process and, ultimately, of democracy itself. Today, there is sufficient proof that autocratic regimes and anonymous stakeholders or interest groups use social media to manipulate public </w:t>
      </w:r>
      <w:r w:rsidRPr="00FC1073">
        <w:rPr>
          <w:rFonts w:eastAsia="Times New Roman"/>
        </w:rPr>
        <w:t xml:space="preserve">opinion with false news, co-ordinated disinformation campaigns, and trolls or bots to attack not only candidates in the opposing camp, but also human rights defenders, activists, civil society groups and journalists. Furthermore, even though recent research seems to show that social media users are exposed to more diverse information sources than those not using online sources, </w:t>
      </w:r>
      <w:r w:rsidRPr="00FC1073" w:rsidR="001D72B2">
        <w:rPr>
          <w:rFonts w:eastAsia="Times New Roman"/>
        </w:rPr>
        <w:t>‘</w:t>
      </w:r>
      <w:r w:rsidRPr="00FC1073">
        <w:rPr>
          <w:rFonts w:eastAsia="Times New Roman"/>
        </w:rPr>
        <w:t>filter bubbles</w:t>
      </w:r>
      <w:r w:rsidRPr="00FC1073" w:rsidR="001D72B2">
        <w:rPr>
          <w:rFonts w:eastAsia="Times New Roman"/>
        </w:rPr>
        <w:t>’</w:t>
      </w:r>
      <w:r w:rsidRPr="00FC1073">
        <w:rPr>
          <w:rFonts w:eastAsia="Times New Roman"/>
        </w:rPr>
        <w:t xml:space="preserve"> and </w:t>
      </w:r>
      <w:r w:rsidRPr="00FC1073" w:rsidR="001D72B2">
        <w:rPr>
          <w:rFonts w:eastAsia="Times New Roman"/>
        </w:rPr>
        <w:t>‘</w:t>
      </w:r>
      <w:r w:rsidRPr="00FC1073">
        <w:rPr>
          <w:rFonts w:eastAsia="Times New Roman"/>
        </w:rPr>
        <w:t xml:space="preserve">echo </w:t>
      </w:r>
      <w:r w:rsidRPr="00FC1073">
        <w:rPr>
          <w:rFonts w:eastAsia="Times New Roman"/>
        </w:rPr>
        <w:t>chambers</w:t>
      </w:r>
      <w:r w:rsidRPr="00FC1073" w:rsidR="001D72B2">
        <w:rPr>
          <w:rFonts w:eastAsia="Times New Roman"/>
        </w:rPr>
        <w:t>’</w:t>
      </w:r>
      <w:r w:rsidRPr="00FC1073">
        <w:rPr>
          <w:rFonts w:eastAsia="Times New Roman"/>
        </w:rPr>
        <w:t xml:space="preserve"> may hamper the potential benefits of such positive exposure, compartmentalise information flows and undermine internet users</w:t>
      </w:r>
      <w:r w:rsidRPr="00FC1073" w:rsidR="001D72B2">
        <w:rPr>
          <w:rFonts w:eastAsia="Times New Roman"/>
        </w:rPr>
        <w:t>’</w:t>
      </w:r>
      <w:r w:rsidRPr="00FC1073">
        <w:rPr>
          <w:rFonts w:eastAsia="Times New Roman"/>
        </w:rPr>
        <w:t xml:space="preserve"> ability to think critically, thus reinforcing prejudices.</w:t>
      </w:r>
    </w:p>
    <w:p w:rsidRPr="00FC1073" w:rsidR="00A8059F" w:rsidP="001D72B2" w14:paraId="1BEEDAC5" w14:textId="77777777">
      <w:pPr>
        <w:pStyle w:val="JuQuot"/>
        <w:rPr>
          <w:rFonts w:eastAsia="Times New Roman"/>
        </w:rPr>
      </w:pPr>
      <w:r w:rsidRPr="00FC1073">
        <w:rPr>
          <w:rFonts w:eastAsia="Times New Roman"/>
        </w:rPr>
        <w:t>6.  In order to respond effectively to these problems, member States should guarantee the right to information through independent media; in addition, they should implement effective strategies to protect the electoral process and democracy from the threat of information manipulation and undue propaganda through social media.</w:t>
      </w:r>
    </w:p>
    <w:p w:rsidRPr="00FC1073" w:rsidR="00A8059F" w:rsidP="001D72B2" w14:paraId="354B766F" w14:textId="77777777">
      <w:pPr>
        <w:pStyle w:val="JuQuot"/>
        <w:rPr>
          <w:rFonts w:eastAsia="Times New Roman"/>
        </w:rPr>
      </w:pPr>
      <w:r w:rsidRPr="00FC1073">
        <w:rPr>
          <w:rFonts w:eastAsia="Times New Roman"/>
        </w:rPr>
        <w:t>...</w:t>
      </w:r>
    </w:p>
    <w:p w:rsidRPr="00FC1073" w:rsidR="00A8059F" w:rsidP="001D72B2" w14:paraId="2B0B4303" w14:textId="6AC18798">
      <w:pPr>
        <w:pStyle w:val="JuQuot"/>
        <w:rPr>
          <w:rFonts w:eastAsia="Times New Roman"/>
        </w:rPr>
      </w:pPr>
      <w:r w:rsidRPr="00FC1073">
        <w:rPr>
          <w:rFonts w:eastAsia="Times New Roman"/>
        </w:rPr>
        <w:t xml:space="preserve">8.  Accordingly, the Assembly calls on member States to review, where necessary, their regulatory frameworks governing media coverage of election campaigns, </w:t>
      </w:r>
      <w:r w:rsidRPr="00FC1073">
        <w:rPr>
          <w:rFonts w:eastAsia="Times New Roman"/>
        </w:rPr>
        <w:t>in order to</w:t>
      </w:r>
      <w:r w:rsidRPr="00FC1073">
        <w:rPr>
          <w:rFonts w:eastAsia="Times New Roman"/>
        </w:rPr>
        <w:t xml:space="preserve"> bring them into line with Council of Europe standards ...</w:t>
      </w:r>
    </w:p>
    <w:p w:rsidRPr="00FC1073" w:rsidR="00A8059F" w:rsidP="001D72B2" w14:paraId="6A1696E4" w14:textId="77777777">
      <w:pPr>
        <w:pStyle w:val="JuQuot"/>
        <w:rPr>
          <w:rFonts w:eastAsia="Times New Roman"/>
        </w:rPr>
      </w:pPr>
      <w:r w:rsidRPr="00FC1073">
        <w:rPr>
          <w:rFonts w:eastAsia="Times New Roman"/>
        </w:rPr>
        <w:t>9.  Concerning more specifically the risks posed by disinformation and undue propaganda on the internet and social media for the smooth conduct of the electoral process, the Assembly calls on member States to:</w:t>
      </w:r>
    </w:p>
    <w:p w:rsidRPr="00FC1073" w:rsidR="00A8059F" w:rsidP="001D72B2" w14:paraId="7FA789A2" w14:textId="77777777">
      <w:pPr>
        <w:pStyle w:val="JuQuot"/>
        <w:rPr>
          <w:rFonts w:eastAsia="Times New Roman"/>
        </w:rPr>
      </w:pPr>
      <w:r w:rsidRPr="00FC1073">
        <w:rPr>
          <w:rFonts w:eastAsia="Times New Roman"/>
        </w:rPr>
        <w:t>9.1  refrain from disseminating or encouraging the dissemination on the internet of statements, communications or news which they know or can reasonably be expected to know to be disinformation or undue propaganda;</w:t>
      </w:r>
    </w:p>
    <w:p w:rsidRPr="00FC1073" w:rsidR="00A8059F" w:rsidP="001D72B2" w14:paraId="5957FFC4" w14:textId="77777777">
      <w:pPr>
        <w:pStyle w:val="JuQuot"/>
        <w:rPr>
          <w:rFonts w:eastAsia="Times New Roman"/>
        </w:rPr>
      </w:pPr>
      <w:r w:rsidRPr="00FC1073">
        <w:rPr>
          <w:rFonts w:eastAsia="Times New Roman"/>
        </w:rPr>
        <w:t>9.2  develop</w:t>
      </w:r>
      <w:r w:rsidRPr="00FC1073">
        <w:rPr>
          <w:rFonts w:eastAsia="Times New Roman"/>
        </w:rPr>
        <w:t xml:space="preserve"> specific regulatory frameworks for internet content at election times and include in these </w:t>
      </w:r>
      <w:r w:rsidRPr="00FC1073">
        <w:rPr>
          <w:rFonts w:eastAsia="Times New Roman"/>
        </w:rPr>
        <w:t>frameworks</w:t>
      </w:r>
      <w:r w:rsidRPr="00FC1073">
        <w:rPr>
          <w:rFonts w:eastAsia="Times New Roman"/>
        </w:rPr>
        <w:t xml:space="preserve"> provisions on transparency in relation to sponsored content published on social media, so that the public can be aware of the source that funds electoral advertising or any other information or opinion;</w:t>
      </w:r>
    </w:p>
    <w:p w:rsidRPr="00FC1073" w:rsidR="00A8059F" w:rsidP="001D72B2" w14:paraId="1FFBDC0B" w14:textId="77777777">
      <w:pPr>
        <w:pStyle w:val="JuQuot"/>
        <w:rPr>
          <w:rFonts w:eastAsia="Times New Roman"/>
        </w:rPr>
      </w:pPr>
      <w:r w:rsidRPr="00FC1073">
        <w:rPr>
          <w:rFonts w:eastAsia="Times New Roman"/>
        </w:rPr>
        <w:t>9.3  establish clear legal liability for social media companies which publish illegal content harmful to candidates or violate essential rules of media communication during election times;</w:t>
      </w:r>
    </w:p>
    <w:p w:rsidRPr="00FC1073" w:rsidR="00A8059F" w:rsidP="001D72B2" w14:paraId="1C3563AC" w14:textId="628DFFD3">
      <w:pPr>
        <w:pStyle w:val="JuQuot"/>
        <w:rPr>
          <w:rFonts w:eastAsia="Times New Roman"/>
        </w:rPr>
      </w:pPr>
      <w:r w:rsidRPr="00FC1073">
        <w:rPr>
          <w:rFonts w:eastAsia="Times New Roman"/>
        </w:rPr>
        <w:t>9.4  ensure that sanctions provided for in relation to unlawful content are not diverted to force self-censorship of opponents</w:t>
      </w:r>
      <w:r w:rsidRPr="00FC1073" w:rsidR="001D72B2">
        <w:rPr>
          <w:rFonts w:eastAsia="Times New Roman"/>
        </w:rPr>
        <w:t>’</w:t>
      </w:r>
      <w:r w:rsidRPr="00FC1073">
        <w:rPr>
          <w:rFonts w:eastAsia="Times New Roman"/>
        </w:rPr>
        <w:t xml:space="preserve"> opinions and critical views, and limit the application of extreme measures such as the blocking of entire websites, IP addresses, ports or network protocols to the most serious cases, in full compliance with the strict conditions set out in Article 10 of the European Convention on Human Rights;</w:t>
      </w:r>
    </w:p>
    <w:p w:rsidRPr="00FC1073" w:rsidR="00A8059F" w:rsidP="001D72B2" w14:paraId="473D7083" w14:textId="77777777">
      <w:pPr>
        <w:pStyle w:val="JuQuot"/>
        <w:rPr>
          <w:rFonts w:eastAsia="Times New Roman"/>
        </w:rPr>
      </w:pPr>
      <w:r w:rsidRPr="00FC1073">
        <w:rPr>
          <w:rFonts w:eastAsia="Times New Roman"/>
        </w:rPr>
        <w:t>9.5  provide specific training for electoral management bodies and media regulators, so that their members can gain a better understanding of the new media environment, with a view to enhancing implementation of regulations on political communication via social media;</w:t>
      </w:r>
    </w:p>
    <w:p w:rsidRPr="00E06DFC" w:rsidR="00A8059F" w:rsidP="001D72B2" w14:paraId="1B121FD1" w14:textId="77777777">
      <w:pPr>
        <w:pStyle w:val="JuQuot"/>
        <w:rPr>
          <w:rFonts w:eastAsia="Times New Roman"/>
        </w:rPr>
      </w:pPr>
      <w:r w:rsidRPr="00FC1073">
        <w:rPr>
          <w:rFonts w:eastAsia="Times New Roman"/>
        </w:rPr>
        <w:t>9.6  encourage</w:t>
      </w:r>
      <w:r w:rsidRPr="00FC1073">
        <w:rPr>
          <w:rFonts w:eastAsia="Times New Roman"/>
        </w:rPr>
        <w:t xml:space="preserve"> all stakeholders – including internet intermediaries, media outlets, civil society and academia – to develop participatory initiatives to enable the </w:t>
      </w:r>
      <w:r w:rsidRPr="00FC1073">
        <w:rPr>
          <w:rFonts w:eastAsia="Times New Roman"/>
        </w:rPr>
        <w:t>general public</w:t>
      </w:r>
      <w:r w:rsidRPr="00FC1073">
        <w:rPr>
          <w:rFonts w:eastAsia="Times New Roman"/>
        </w:rPr>
        <w:t xml:space="preserve"> to have a better understanding of the danger of disinformation and undue propaganda on the internet, and to seek togethe</w:t>
      </w:r>
      <w:r w:rsidRPr="00E06DFC">
        <w:rPr>
          <w:rFonts w:eastAsia="Times New Roman"/>
        </w:rPr>
        <w:t>r appropriate responses to these phenomena.”</w:t>
      </w:r>
    </w:p>
    <w:p w:rsidRPr="00E06DFC" w:rsidR="00A8059F" w:rsidP="001D72B2" w14:paraId="215B60AE" w14:textId="1D7BCBE8">
      <w:pPr>
        <w:pStyle w:val="JuH1"/>
        <w:rPr>
          <w:rFonts w:eastAsia="MingLiU"/>
        </w:rPr>
      </w:pPr>
      <w:r w:rsidRPr="00E06DFC">
        <w:rPr>
          <w:rFonts w:eastAsia="MingLiU"/>
        </w:rPr>
        <w:t xml:space="preserve">Parliamentary Assembly </w:t>
      </w:r>
      <w:r w:rsidRPr="00E06DFC">
        <w:rPr>
          <w:rFonts w:eastAsia="MingLiU"/>
        </w:rPr>
        <w:t>Resolution 2326 (2020): Democracy hacked? How to respond?</w:t>
      </w:r>
    </w:p>
    <w:p w:rsidRPr="00FC1073" w:rsidR="00A8059F" w:rsidP="001D72B2" w14:paraId="4998BF30" w14:textId="6E2C5620">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68</w:t>
      </w:r>
      <w:r w:rsidRPr="00E06DFC">
        <w:rPr>
          <w:rFonts w:eastAsia="Times New Roman"/>
        </w:rPr>
        <w:fldChar w:fldCharType="end"/>
      </w:r>
      <w:r w:rsidRPr="00E06DFC">
        <w:rPr>
          <w:rFonts w:eastAsia="Times New Roman"/>
        </w:rPr>
        <w:t xml:space="preserve">.  In </w:t>
      </w:r>
      <w:r w:rsidRPr="00E06DFC" w:rsidR="00667C2C">
        <w:rPr>
          <w:rFonts w:eastAsia="Times New Roman"/>
        </w:rPr>
        <w:t xml:space="preserve">its </w:t>
      </w:r>
      <w:r w:rsidRPr="00E06DFC">
        <w:rPr>
          <w:rFonts w:eastAsia="Times New Roman"/>
        </w:rPr>
        <w:t>Resolution</w:t>
      </w:r>
      <w:r w:rsidRPr="00E06DFC" w:rsidR="00667C2C">
        <w:rPr>
          <w:rFonts w:eastAsia="Times New Roman"/>
        </w:rPr>
        <w:t xml:space="preserve"> </w:t>
      </w:r>
      <w:r w:rsidRPr="00E06DFC" w:rsidR="00667C2C">
        <w:rPr>
          <w:rFonts w:eastAsia="MingLiU"/>
        </w:rPr>
        <w:t>2326 (2020)</w:t>
      </w:r>
      <w:r w:rsidRPr="00E06DFC" w:rsidR="00F132B6">
        <w:rPr>
          <w:rFonts w:eastAsia="Times New Roman"/>
        </w:rPr>
        <w:t>,</w:t>
      </w:r>
      <w:r w:rsidRPr="00E06DFC">
        <w:rPr>
          <w:rFonts w:eastAsia="Times New Roman"/>
        </w:rPr>
        <w:t xml:space="preserve"> </w:t>
      </w:r>
      <w:r w:rsidRPr="00E06DFC" w:rsidR="00992869">
        <w:rPr>
          <w:rFonts w:eastAsia="Times New Roman"/>
        </w:rPr>
        <w:t xml:space="preserve">the Parliamentary Assembly </w:t>
      </w:r>
      <w:r w:rsidRPr="00E06DFC">
        <w:rPr>
          <w:rFonts w:eastAsia="Times New Roman"/>
        </w:rPr>
        <w:t xml:space="preserve">expressed concern about, </w:t>
      </w:r>
      <w:r w:rsidRPr="00E06DFC">
        <w:rPr>
          <w:rFonts w:eastAsia="Times New Roman"/>
          <w:i/>
          <w:iCs/>
        </w:rPr>
        <w:t>inter alia</w:t>
      </w:r>
      <w:r w:rsidRPr="00E06DFC">
        <w:rPr>
          <w:rFonts w:eastAsia="Times New Roman"/>
        </w:rPr>
        <w:t>, the spread of disinformation campaigns aimed at shaping public opinion and trends of foreign</w:t>
      </w:r>
      <w:r w:rsidRPr="00FC1073">
        <w:rPr>
          <w:rFonts w:eastAsia="Times New Roman"/>
        </w:rPr>
        <w:t xml:space="preserve"> electoral interference and manipulation. In </w:t>
      </w:r>
      <w:r w:rsidR="00992869">
        <w:rPr>
          <w:rFonts w:eastAsia="Times New Roman"/>
        </w:rPr>
        <w:t>the Assembly’s</w:t>
      </w:r>
      <w:r w:rsidRPr="00FC1073" w:rsidR="00992869">
        <w:rPr>
          <w:rFonts w:eastAsia="Times New Roman"/>
        </w:rPr>
        <w:t xml:space="preserve"> </w:t>
      </w:r>
      <w:r w:rsidRPr="00FC1073">
        <w:rPr>
          <w:rFonts w:eastAsia="Times New Roman"/>
        </w:rPr>
        <w:t xml:space="preserve">view, these represented a challenge for democracy, and </w:t>
      </w:r>
      <w:r w:rsidRPr="00FC1073">
        <w:rPr>
          <w:rFonts w:eastAsia="Times New Roman"/>
        </w:rPr>
        <w:t>in particular for</w:t>
      </w:r>
      <w:r w:rsidRPr="00FC1073">
        <w:rPr>
          <w:rFonts w:eastAsia="Times New Roman"/>
        </w:rPr>
        <w:t xml:space="preserve"> the electoral processes throughout Council of Europe member States, affecting the right to freedom of expression, including the right to receive information, and the right to free elections.</w:t>
      </w:r>
    </w:p>
    <w:p w:rsidRPr="00FC1073" w:rsidR="00A8059F" w:rsidP="001D72B2" w14:paraId="03EB7553" w14:textId="7AB4001A">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69</w:t>
      </w:r>
      <w:r w:rsidRPr="00FC1073">
        <w:rPr>
          <w:rFonts w:eastAsia="Times New Roman"/>
        </w:rPr>
        <w:fldChar w:fldCharType="end"/>
      </w:r>
      <w:r w:rsidRPr="00FC1073">
        <w:rPr>
          <w:rFonts w:eastAsia="Times New Roman"/>
        </w:rPr>
        <w:t xml:space="preserve">.  According to </w:t>
      </w:r>
      <w:r w:rsidR="00992869">
        <w:rPr>
          <w:rFonts w:eastAsia="Times New Roman"/>
        </w:rPr>
        <w:t>the Parliamentary Assembly</w:t>
      </w:r>
      <w:r w:rsidRPr="00FC1073">
        <w:rPr>
          <w:rFonts w:eastAsia="Times New Roman"/>
        </w:rPr>
        <w:t xml:space="preserve">, </w:t>
      </w:r>
      <w:r w:rsidRPr="00FC1073">
        <w:rPr>
          <w:rFonts w:eastAsia="Times New Roman"/>
        </w:rPr>
        <w:t>in order to</w:t>
      </w:r>
      <w:r w:rsidRPr="00FC1073">
        <w:rPr>
          <w:rFonts w:eastAsia="Times New Roman"/>
        </w:rPr>
        <w:t xml:space="preserve"> address disinformation challenges in the context of democratic elections, </w:t>
      </w:r>
      <w:r w:rsidR="008F6EE4">
        <w:rPr>
          <w:rFonts w:eastAsia="Times New Roman"/>
        </w:rPr>
        <w:t>g</w:t>
      </w:r>
      <w:r w:rsidRPr="00FC1073">
        <w:rPr>
          <w:rFonts w:eastAsia="Times New Roman"/>
        </w:rPr>
        <w:t>overnments of Council of Europe member States needed to:</w:t>
      </w:r>
    </w:p>
    <w:p w:rsidRPr="00FC1073" w:rsidR="00A8059F" w:rsidP="00E9157B" w14:paraId="7B009F4E" w14:textId="6674E1AD">
      <w:pPr>
        <w:pStyle w:val="JuPara"/>
        <w:rPr>
          <w:rFonts w:eastAsia="Times New Roman"/>
        </w:rPr>
      </w:pPr>
      <w:r>
        <w:rPr>
          <w:rFonts w:eastAsia="Times New Roman"/>
        </w:rPr>
        <w:t>(</w:t>
      </w:r>
      <w:r>
        <w:rPr>
          <w:rFonts w:eastAsia="Times New Roman"/>
        </w:rPr>
        <w:t>i</w:t>
      </w:r>
      <w:r>
        <w:rPr>
          <w:rFonts w:eastAsia="Times New Roman"/>
        </w:rPr>
        <w:t>)  </w:t>
      </w:r>
      <w:r w:rsidRPr="00FC1073">
        <w:rPr>
          <w:rFonts w:eastAsia="Times New Roman"/>
        </w:rPr>
        <w:t>recognise the transnational nature of the problem and enhance cooperation with internet intermediaries and social media operators;</w:t>
      </w:r>
    </w:p>
    <w:p w:rsidRPr="00FC1073" w:rsidR="00A8059F" w:rsidP="00E9157B" w14:paraId="61EC6F57" w14:textId="2B8CF826">
      <w:pPr>
        <w:pStyle w:val="JuPara"/>
        <w:rPr>
          <w:rFonts w:eastAsia="Times New Roman"/>
        </w:rPr>
      </w:pPr>
      <w:r>
        <w:rPr>
          <w:rFonts w:eastAsia="Times New Roman"/>
        </w:rPr>
        <w:t>(ii)  </w:t>
      </w:r>
      <w:r w:rsidRPr="00FC1073">
        <w:rPr>
          <w:rFonts w:eastAsia="Times New Roman"/>
        </w:rPr>
        <w:t>enable voters to receive trustworthy information and become more informed and engaged;</w:t>
      </w:r>
    </w:p>
    <w:p w:rsidRPr="00FC1073" w:rsidR="00A8059F" w:rsidP="00E9157B" w14:paraId="46784E1F" w14:textId="0C6A9BE0">
      <w:pPr>
        <w:pStyle w:val="JuPara"/>
        <w:rPr>
          <w:rFonts w:eastAsia="Times New Roman"/>
        </w:rPr>
      </w:pPr>
      <w:r>
        <w:rPr>
          <w:rFonts w:eastAsia="Times New Roman"/>
        </w:rPr>
        <w:t>(iii)  </w:t>
      </w:r>
      <w:r w:rsidRPr="00FC1073">
        <w:rPr>
          <w:rFonts w:eastAsia="Times New Roman"/>
        </w:rPr>
        <w:t>break up the monopoly of technology companies controlling, to a great extent, citizen</w:t>
      </w:r>
      <w:r w:rsidRPr="00FC1073" w:rsidR="001D72B2">
        <w:rPr>
          <w:rFonts w:eastAsia="Times New Roman"/>
        </w:rPr>
        <w:t>’</w:t>
      </w:r>
      <w:r w:rsidRPr="00FC1073">
        <w:rPr>
          <w:rFonts w:eastAsia="Times New Roman"/>
        </w:rPr>
        <w:t>s access to information and data; and</w:t>
      </w:r>
    </w:p>
    <w:p w:rsidRPr="00FC1073" w:rsidR="00A8059F" w:rsidP="00E9157B" w14:paraId="1059DC39" w14:textId="6A316657">
      <w:pPr>
        <w:pStyle w:val="JuPara"/>
        <w:rPr>
          <w:rFonts w:eastAsia="Times New Roman"/>
        </w:rPr>
      </w:pPr>
      <w:r>
        <w:rPr>
          <w:rFonts w:eastAsia="Times New Roman"/>
        </w:rPr>
        <w:t>(iv)  </w:t>
      </w:r>
      <w:r w:rsidRPr="00FC1073">
        <w:rPr>
          <w:rFonts w:eastAsia="Times New Roman"/>
        </w:rPr>
        <w:t xml:space="preserve">consider updating national legislation </w:t>
      </w:r>
      <w:r w:rsidRPr="00FC1073">
        <w:rPr>
          <w:rFonts w:eastAsia="Times New Roman"/>
        </w:rPr>
        <w:t>in order to</w:t>
      </w:r>
      <w:r w:rsidRPr="00FC1073">
        <w:rPr>
          <w:rFonts w:eastAsia="Times New Roman"/>
        </w:rPr>
        <w:t xml:space="preserve"> counter disinformation campaigns more effectively.</w:t>
      </w:r>
    </w:p>
    <w:p w:rsidRPr="00E06DFC" w:rsidR="00A8059F" w:rsidP="001D72B2" w14:paraId="62622BD4" w14:textId="55743DBF">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70</w:t>
      </w:r>
      <w:r w:rsidRPr="00FC1073">
        <w:rPr>
          <w:rFonts w:eastAsia="Times New Roman"/>
        </w:rPr>
        <w:fldChar w:fldCharType="end"/>
      </w:r>
      <w:r w:rsidRPr="00FC1073">
        <w:rPr>
          <w:rFonts w:eastAsia="Times New Roman"/>
        </w:rPr>
        <w:t>.  </w:t>
      </w:r>
      <w:r w:rsidR="00992869">
        <w:rPr>
          <w:rFonts w:eastAsia="Times New Roman"/>
        </w:rPr>
        <w:t>The Parliamentary Assembly</w:t>
      </w:r>
      <w:r w:rsidRPr="00FC1073" w:rsidR="00992869">
        <w:rPr>
          <w:rFonts w:eastAsia="Times New Roman"/>
        </w:rPr>
        <w:t xml:space="preserve"> </w:t>
      </w:r>
      <w:r w:rsidRPr="00FC1073">
        <w:rPr>
          <w:rFonts w:eastAsia="Times New Roman"/>
        </w:rPr>
        <w:t xml:space="preserve">therefore called on Council of Europe member States to implement a number of strategies from a European and global perspective which were targeted both at elections and candidates in elections as well as the political process </w:t>
      </w:r>
      <w:r w:rsidRPr="00E06DFC">
        <w:rPr>
          <w:rFonts w:eastAsia="Times New Roman"/>
        </w:rPr>
        <w:t>more generally, and to create a model that include</w:t>
      </w:r>
      <w:r w:rsidRPr="00E06DFC" w:rsidR="00992869">
        <w:rPr>
          <w:rFonts w:eastAsia="Times New Roman"/>
        </w:rPr>
        <w:t>d</w:t>
      </w:r>
      <w:r w:rsidRPr="00E06DFC">
        <w:rPr>
          <w:rFonts w:eastAsia="Times New Roman"/>
        </w:rPr>
        <w:t xml:space="preserve"> co</w:t>
      </w:r>
      <w:r w:rsidRPr="00E06DFC">
        <w:rPr>
          <w:rFonts w:eastAsia="Times New Roman"/>
        </w:rPr>
        <w:noBreakHyphen/>
        <w:t>responsibility and multiple regulatory and conflict-resolution approaches.</w:t>
      </w:r>
    </w:p>
    <w:p w:rsidRPr="00E06DFC" w:rsidR="00A8059F" w:rsidP="001D72B2" w14:paraId="6B385BE6" w14:textId="77777777">
      <w:pPr>
        <w:pStyle w:val="JuH1"/>
        <w:rPr>
          <w:rFonts w:eastAsia="MingLiU"/>
        </w:rPr>
      </w:pPr>
      <w:r w:rsidRPr="00E06DFC">
        <w:rPr>
          <w:rFonts w:eastAsia="MingLiU"/>
        </w:rPr>
        <w:t>Other material from the Council of Europe on disinformation and electoral campaigns</w:t>
      </w:r>
    </w:p>
    <w:p w:rsidRPr="00E06DFC" w:rsidR="00A8059F" w:rsidP="001D72B2" w14:paraId="6C2A785E" w14:textId="6771A0E0">
      <w:pPr>
        <w:pStyle w:val="JuHa0"/>
        <w:rPr>
          <w:rFonts w:eastAsia="MingLiU"/>
        </w:rPr>
      </w:pPr>
      <w:r w:rsidRPr="00E06DFC">
        <w:rPr>
          <w:rFonts w:eastAsia="MingLiU"/>
        </w:rPr>
        <w:t xml:space="preserve">European Commission for Democracy </w:t>
      </w:r>
      <w:r w:rsidRPr="00E06DFC" w:rsidR="00440304">
        <w:rPr>
          <w:rFonts w:eastAsia="MingLiU"/>
        </w:rPr>
        <w:t>t</w:t>
      </w:r>
      <w:r w:rsidRPr="00E06DFC">
        <w:rPr>
          <w:rFonts w:eastAsia="MingLiU"/>
        </w:rPr>
        <w:t xml:space="preserve">hrough Law (Venice Commission): </w:t>
      </w:r>
      <w:r w:rsidRPr="00E06DFC" w:rsidR="00667C2C">
        <w:rPr>
          <w:rFonts w:eastAsia="MingLiU"/>
        </w:rPr>
        <w:t>“</w:t>
      </w:r>
      <w:r w:rsidRPr="00E06DFC">
        <w:rPr>
          <w:rFonts w:eastAsia="MingLiU"/>
        </w:rPr>
        <w:t>The impact of the information disorder (disinformation) on elections</w:t>
      </w:r>
      <w:r w:rsidRPr="00E06DFC" w:rsidR="00667C2C">
        <w:rPr>
          <w:rFonts w:eastAsia="MingLiU"/>
        </w:rPr>
        <w:t>”</w:t>
      </w:r>
      <w:r w:rsidRPr="00E06DFC">
        <w:rPr>
          <w:rFonts w:eastAsia="MingLiU"/>
        </w:rPr>
        <w:t xml:space="preserve"> (November 2018)</w:t>
      </w:r>
    </w:p>
    <w:bookmarkStart w:name="paragraph00071" w:id="47"/>
    <w:p w:rsidRPr="00E06DFC" w:rsidR="00A8059F" w:rsidP="001D72B2" w14:paraId="3458AB0E" w14:textId="0D359F13">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71</w:t>
      </w:r>
      <w:r w:rsidRPr="00E06DFC">
        <w:rPr>
          <w:rFonts w:eastAsia="Times New Roman"/>
        </w:rPr>
        <w:fldChar w:fldCharType="end"/>
      </w:r>
      <w:bookmarkEnd w:id="47"/>
      <w:r w:rsidRPr="00E06DFC">
        <w:rPr>
          <w:rFonts w:eastAsia="Times New Roman"/>
        </w:rPr>
        <w:t>.  According to the author of this report</w:t>
      </w:r>
      <w:r w:rsidR="001D2EB5">
        <w:rPr>
          <w:rFonts w:eastAsia="Times New Roman"/>
        </w:rPr>
        <w:t>:</w:t>
      </w:r>
    </w:p>
    <w:p w:rsidRPr="00FC1073" w:rsidR="00A8059F" w:rsidP="001D72B2" w14:paraId="48A70A22" w14:textId="62605FB8">
      <w:pPr>
        <w:pStyle w:val="JuQuot"/>
        <w:rPr>
          <w:rFonts w:eastAsia="Times New Roman"/>
        </w:rPr>
      </w:pPr>
      <w:r w:rsidRPr="00E06DFC">
        <w:rPr>
          <w:rFonts w:eastAsia="Times New Roman"/>
        </w:rPr>
        <w:t>“Today we are witnessing the parallel proliferation of information and its pollution at a global scale. The internet-based services have enriched and diversified</w:t>
      </w:r>
      <w:r w:rsidRPr="00FC1073">
        <w:rPr>
          <w:rFonts w:eastAsia="Times New Roman"/>
        </w:rPr>
        <w:t xml:space="preserve"> news sources, facilitating individuals</w:t>
      </w:r>
      <w:r w:rsidRPr="00FC1073" w:rsidR="001D72B2">
        <w:rPr>
          <w:rFonts w:eastAsia="Times New Roman"/>
        </w:rPr>
        <w:t>’</w:t>
      </w:r>
      <w:r w:rsidRPr="00FC1073">
        <w:rPr>
          <w:rFonts w:eastAsia="Times New Roman"/>
        </w:rPr>
        <w:t xml:space="preserve"> access to information and their decisions on the most crucial matters in democracy, notably on the choice of their legislature. However, at the same time, a new era of information disorder (</w:t>
      </w:r>
      <w:r w:rsidRPr="00FC1073">
        <w:rPr>
          <w:rFonts w:eastAsia="Times New Roman"/>
        </w:rPr>
        <w:t>CoE</w:t>
      </w:r>
      <w:r w:rsidRPr="00FC1073">
        <w:rPr>
          <w:rFonts w:eastAsia="Times New Roman"/>
        </w:rPr>
        <w:t xml:space="preserve"> Information Disorder Report, 2017) distorted the communication ecosystem to the point where voters may be seriously encumbered in their decisions by misleading, manipulative and false information designed to influence their votes. This environment potentially undermines the exercise of the right to free elections and creates considerable risks to the functioning of a democratic system.”</w:t>
      </w:r>
    </w:p>
    <w:p w:rsidRPr="00E06DFC" w:rsidR="00A8059F" w:rsidP="001D72B2" w14:paraId="4B3C9038" w14:textId="5D244C61">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72</w:t>
      </w:r>
      <w:r w:rsidRPr="00E06DFC">
        <w:rPr>
          <w:rFonts w:eastAsia="Times New Roman"/>
        </w:rPr>
        <w:fldChar w:fldCharType="end"/>
      </w:r>
      <w:r w:rsidRPr="00E06DFC">
        <w:rPr>
          <w:rFonts w:eastAsia="Times New Roman"/>
        </w:rPr>
        <w:t>.  </w:t>
      </w:r>
      <w:r w:rsidRPr="00E06DFC">
        <w:rPr>
          <w:rFonts w:eastAsia="Times New Roman"/>
        </w:rPr>
        <w:t>As a consequence</w:t>
      </w:r>
      <w:r w:rsidRPr="00E06DFC">
        <w:rPr>
          <w:rFonts w:eastAsia="Times New Roman"/>
        </w:rPr>
        <w:t xml:space="preserve">, </w:t>
      </w:r>
      <w:r w:rsidRPr="00E06DFC" w:rsidR="00E87650">
        <w:rPr>
          <w:rFonts w:eastAsia="Times New Roman"/>
        </w:rPr>
        <w:t>the author</w:t>
      </w:r>
      <w:r w:rsidRPr="00E06DFC">
        <w:rPr>
          <w:rFonts w:eastAsia="Times New Roman"/>
        </w:rPr>
        <w:t xml:space="preserve"> believed that “[t]he guarantees of a level playing field aimed at ensuring fair, clean and clear campaigns </w:t>
      </w:r>
      <w:r w:rsidRPr="00E06DFC" w:rsidR="0007063C">
        <w:rPr>
          <w:rFonts w:eastAsia="Times New Roman"/>
        </w:rPr>
        <w:t xml:space="preserve">[were] </w:t>
      </w:r>
      <w:r w:rsidRPr="00E06DFC">
        <w:rPr>
          <w:rFonts w:eastAsia="Times New Roman"/>
        </w:rPr>
        <w:t>under threat”.</w:t>
      </w:r>
    </w:p>
    <w:p w:rsidRPr="00E06DFC" w:rsidR="00A8059F" w:rsidP="001D72B2" w14:paraId="6D759453" w14:textId="77777777">
      <w:pPr>
        <w:pStyle w:val="JuHa0"/>
        <w:rPr>
          <w:rFonts w:eastAsia="MingLiU"/>
        </w:rPr>
      </w:pPr>
      <w:r w:rsidRPr="00E06DFC">
        <w:rPr>
          <w:rFonts w:eastAsia="MingLiU"/>
        </w:rPr>
        <w:t>Information Disorder: Toward an interdisciplinary framework for research and policy making, Council of Europe report DGI(2017)09</w:t>
      </w:r>
    </w:p>
    <w:p w:rsidRPr="00FC1073" w:rsidR="00A8059F" w:rsidP="001D72B2" w14:paraId="52C82824" w14:textId="3AF57855">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73</w:t>
      </w:r>
      <w:r w:rsidRPr="00E06DFC">
        <w:rPr>
          <w:rFonts w:eastAsia="Times New Roman"/>
        </w:rPr>
        <w:fldChar w:fldCharType="end"/>
      </w:r>
      <w:r w:rsidRPr="00E06DFC">
        <w:rPr>
          <w:rFonts w:eastAsia="Times New Roman"/>
        </w:rPr>
        <w:t>.  The authors of this report identified three different</w:t>
      </w:r>
      <w:r w:rsidRPr="00FC1073">
        <w:rPr>
          <w:rFonts w:eastAsia="Times New Roman"/>
        </w:rPr>
        <w:t xml:space="preserve"> types of information disorder: misinformation, disinformation and </w:t>
      </w:r>
      <w:r w:rsidRPr="00FC1073">
        <w:rPr>
          <w:rFonts w:eastAsia="Times New Roman"/>
        </w:rPr>
        <w:t>mal-information</w:t>
      </w:r>
      <w:r w:rsidRPr="00FC1073">
        <w:rPr>
          <w:rFonts w:eastAsia="Times New Roman"/>
        </w:rPr>
        <w:t>. Using the dimensions of harm and falseness, they described the differences between these three types as follows:</w:t>
      </w:r>
    </w:p>
    <w:p w:rsidRPr="00FC1073" w:rsidR="00A8059F" w:rsidP="00E9157B" w14:paraId="63B8CDCF" w14:textId="0ACF7702">
      <w:pPr>
        <w:pStyle w:val="JuPara"/>
        <w:rPr>
          <w:rFonts w:eastAsia="Times New Roman"/>
        </w:rPr>
      </w:pPr>
      <w:r>
        <w:rPr>
          <w:rFonts w:eastAsia="Times New Roman"/>
        </w:rPr>
        <w:t>(</w:t>
      </w:r>
      <w:r>
        <w:rPr>
          <w:rFonts w:eastAsia="Times New Roman"/>
        </w:rPr>
        <w:t>i</w:t>
      </w:r>
      <w:r>
        <w:rPr>
          <w:rFonts w:eastAsia="Times New Roman"/>
        </w:rPr>
        <w:t>)  </w:t>
      </w:r>
      <w:r w:rsidRPr="00FC1073">
        <w:rPr>
          <w:rFonts w:eastAsia="Times New Roman"/>
        </w:rPr>
        <w:t>misinformation is when false information is shared, but no harm is meant;</w:t>
      </w:r>
    </w:p>
    <w:p w:rsidRPr="00FC1073" w:rsidR="00A8059F" w:rsidP="00E9157B" w14:paraId="43BC6B25" w14:textId="13E7F51C">
      <w:pPr>
        <w:pStyle w:val="JuPara"/>
        <w:rPr>
          <w:rFonts w:eastAsia="Times New Roman"/>
        </w:rPr>
      </w:pPr>
      <w:r>
        <w:rPr>
          <w:rFonts w:eastAsia="Times New Roman"/>
        </w:rPr>
        <w:t>(ii)  </w:t>
      </w:r>
      <w:r w:rsidRPr="00FC1073">
        <w:rPr>
          <w:rFonts w:eastAsia="Times New Roman"/>
        </w:rPr>
        <w:t>disinformation is when false information is knowingly shared to cause harm; and</w:t>
      </w:r>
    </w:p>
    <w:p w:rsidRPr="00FC1073" w:rsidR="00A8059F" w:rsidP="00E9157B" w14:paraId="2E674854" w14:textId="23ADCC97">
      <w:pPr>
        <w:pStyle w:val="JuPara"/>
        <w:rPr>
          <w:rFonts w:eastAsia="Times New Roman"/>
        </w:rPr>
      </w:pPr>
      <w:r>
        <w:rPr>
          <w:rFonts w:eastAsia="Times New Roman"/>
        </w:rPr>
        <w:t>(iii)  </w:t>
      </w:r>
      <w:r w:rsidRPr="00FC1073">
        <w:rPr>
          <w:rFonts w:eastAsia="Times New Roman"/>
        </w:rPr>
        <w:t>mal-information</w:t>
      </w:r>
      <w:r w:rsidRPr="00FC1073">
        <w:rPr>
          <w:rFonts w:eastAsia="Times New Roman"/>
        </w:rPr>
        <w:t xml:space="preserve"> is when genuine information is shared to cause harm, often by moving information designed to stay private into the public sphere.</w:t>
      </w:r>
    </w:p>
    <w:p w:rsidRPr="00FC1073" w:rsidR="00A8059F" w:rsidP="001D72B2" w14:paraId="4B4E88D8" w14:textId="77BFC2A6">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74</w:t>
      </w:r>
      <w:r w:rsidRPr="00FC1073">
        <w:rPr>
          <w:rFonts w:eastAsia="Times New Roman"/>
        </w:rPr>
        <w:fldChar w:fldCharType="end"/>
      </w:r>
      <w:r w:rsidRPr="00FC1073">
        <w:rPr>
          <w:rFonts w:eastAsia="Times New Roman"/>
        </w:rPr>
        <w:t>.  As the report explains, the “agent” who created a fabricated message might be different to the agent who produced that message, who might also be different from the agent who distributed it. A thorough understanding was needed of who these agents were and what motivated them. There was also a need to examine how mis-, dis- and mal-information were being consumed, interpreted and acted upon – in particular, whether they were being re-shared as the original agent intended, and whether they were continuing to travel online, or if they had moved offline into personal conversations, which were difficult to capture.</w:t>
      </w:r>
    </w:p>
    <w:bookmarkStart w:name="paragraph00075" w:id="48"/>
    <w:p w:rsidRPr="00FC1073" w:rsidR="00A8059F" w:rsidP="001D72B2" w14:paraId="1EE4A781" w14:textId="11F3B926">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75</w:t>
      </w:r>
      <w:r w:rsidRPr="00FC1073">
        <w:rPr>
          <w:rFonts w:eastAsia="Times New Roman"/>
        </w:rPr>
        <w:fldChar w:fldCharType="end"/>
      </w:r>
      <w:bookmarkEnd w:id="48"/>
      <w:r w:rsidRPr="00FC1073">
        <w:rPr>
          <w:rFonts w:eastAsia="Times New Roman"/>
        </w:rPr>
        <w:t>.  In the specific context of elections, the report said the following:</w:t>
      </w:r>
    </w:p>
    <w:p w:rsidRPr="00FC1073" w:rsidR="00A8059F" w:rsidP="001D72B2" w14:paraId="44FABBF5" w14:textId="77777777">
      <w:pPr>
        <w:pStyle w:val="JuQuot"/>
        <w:rPr>
          <w:rFonts w:eastAsia="Times New Roman"/>
        </w:rPr>
      </w:pPr>
      <w:r w:rsidRPr="00FC1073">
        <w:rPr>
          <w:rFonts w:eastAsia="Times New Roman"/>
        </w:rPr>
        <w:t>“The shock of the Brexit referendum, the US election, Le Pen reaching the run-off vote in the French election and the overturning of the Kenyan election have been used as examples of the potential power of systematic dis-information campaigns. However, empirical data about the exact influence of such campaigns does not exist.</w:t>
      </w:r>
    </w:p>
    <w:p w:rsidRPr="00FC1073" w:rsidR="00A8059F" w:rsidP="001D72B2" w14:paraId="62097367" w14:textId="6B219838">
      <w:pPr>
        <w:pStyle w:val="JuQuot"/>
        <w:rPr>
          <w:rFonts w:eastAsia="Times New Roman"/>
        </w:rPr>
      </w:pPr>
      <w:r w:rsidRPr="00FC1073">
        <w:rPr>
          <w:rFonts w:eastAsia="Times New Roman"/>
        </w:rPr>
        <w:t xml:space="preserve">As Danah Boyd argues about recent responses to fears about mis- and dis-information, </w:t>
      </w:r>
      <w:r w:rsidRPr="00FC1073" w:rsidR="001D72B2">
        <w:rPr>
          <w:rFonts w:eastAsia="Times New Roman"/>
        </w:rPr>
        <w:t>‘</w:t>
      </w:r>
      <w:r w:rsidRPr="00FC1073">
        <w:rPr>
          <w:rFonts w:eastAsia="Times New Roman"/>
        </w:rPr>
        <w:t>It</w:t>
      </w:r>
      <w:r w:rsidRPr="00FC1073" w:rsidR="001D72B2">
        <w:rPr>
          <w:rFonts w:eastAsia="Times New Roman"/>
        </w:rPr>
        <w:t>’</w:t>
      </w:r>
      <w:r w:rsidRPr="00FC1073">
        <w:rPr>
          <w:rFonts w:eastAsia="Times New Roman"/>
        </w:rPr>
        <w:t>s part of a long and complicated history, and it sheds light on a variety of social, economic, cultural, technological, and political dynamics that will not be addressed through simplistic solutions.</w:t>
      </w:r>
      <w:r w:rsidRPr="00FC1073" w:rsidR="001D72B2">
        <w:rPr>
          <w:rFonts w:eastAsia="Times New Roman"/>
        </w:rPr>
        <w:t>’</w:t>
      </w:r>
      <w:r w:rsidRPr="00FC1073">
        <w:rPr>
          <w:rFonts w:eastAsia="Times New Roman"/>
        </w:rPr>
        <w:t xml:space="preserve"> Certainly, we </w:t>
      </w:r>
      <w:r w:rsidRPr="00FC1073">
        <w:rPr>
          <w:rFonts w:eastAsia="Times New Roman"/>
        </w:rPr>
        <w:t>have to</w:t>
      </w:r>
      <w:r w:rsidRPr="00FC1073">
        <w:rPr>
          <w:rFonts w:eastAsia="Times New Roman"/>
        </w:rPr>
        <w:t xml:space="preserve"> look for explanations for how societies, particularly in the West, have become so segregated in terms of terms of age, race, religion, class and politics. Recognizing the impact of factors such as the collapse of the welfare state, the failure of democratic institutions to provide public services, climate change and miscalculated foreign interventions [is] required. We cannot see the phenomenon of mis- and dis-information in </w:t>
      </w:r>
      <w:r w:rsidRPr="00FC1073">
        <w:rPr>
          <w:rFonts w:eastAsia="Times New Roman"/>
        </w:rPr>
        <w:t>isolation, but</w:t>
      </w:r>
      <w:r w:rsidRPr="00FC1073">
        <w:rPr>
          <w:rFonts w:eastAsia="Times New Roman"/>
        </w:rPr>
        <w:t xml:space="preserve"> must consider its impact amid the new-media ecosystem. This ecosystem is dominated by increasingly partisan radio, television and social media; exaggerated emotional articulations of the world; quick delivery via algorithmically derived feeds on smartphones and audiences that skim headlines to cope with the floods of information before them. Making sense of mis-, dis- and mal-information as a type of information disorder, and learning how it works, </w:t>
      </w:r>
      <w:r w:rsidRPr="00FC1073">
        <w:rPr>
          <w:rFonts w:eastAsia="Times New Roman"/>
        </w:rPr>
        <w:t>is a necessity for open democracies. Likewise, neglecting to understand the structural reasons for its effectiveness is a grave mistake.</w:t>
      </w:r>
    </w:p>
    <w:p w:rsidRPr="00FC1073" w:rsidR="00A8059F" w:rsidP="001D72B2" w14:paraId="1F9D289C" w14:textId="77777777">
      <w:pPr>
        <w:pStyle w:val="JuQuot"/>
        <w:rPr>
          <w:rFonts w:eastAsia="Times New Roman"/>
        </w:rPr>
      </w:pPr>
      <w:r w:rsidRPr="00FC1073">
        <w:rPr>
          <w:rFonts w:eastAsia="Times New Roman"/>
        </w:rPr>
        <w:t>...</w:t>
      </w:r>
    </w:p>
    <w:p w:rsidRPr="00FC1073" w:rsidR="00A8059F" w:rsidP="001D72B2" w14:paraId="6B2BBB9D" w14:textId="483D33B0">
      <w:pPr>
        <w:pStyle w:val="JuQuot"/>
        <w:rPr>
          <w:rFonts w:eastAsia="Times New Roman"/>
        </w:rPr>
      </w:pPr>
      <w:r w:rsidRPr="00FC1073">
        <w:rPr>
          <w:rFonts w:eastAsia="Times New Roman"/>
        </w:rPr>
        <w:t xml:space="preserve">Fabricated </w:t>
      </w:r>
      <w:r w:rsidRPr="00FC1073" w:rsidR="001D72B2">
        <w:rPr>
          <w:rFonts w:eastAsia="Times New Roman"/>
        </w:rPr>
        <w:t>‘</w:t>
      </w:r>
      <w:r w:rsidRPr="00FC1073">
        <w:rPr>
          <w:rFonts w:eastAsia="Times New Roman"/>
        </w:rPr>
        <w:t>news</w:t>
      </w:r>
      <w:r w:rsidRPr="00FC1073" w:rsidR="001D72B2">
        <w:rPr>
          <w:rFonts w:eastAsia="Times New Roman"/>
        </w:rPr>
        <w:t>’</w:t>
      </w:r>
      <w:r w:rsidRPr="00FC1073">
        <w:rPr>
          <w:rFonts w:eastAsia="Times New Roman"/>
        </w:rPr>
        <w:t xml:space="preserve"> websites created solely for profit have existed for years. ... However, the US election shone a light on how many of these sites are located </w:t>
      </w:r>
      <w:r w:rsidRPr="00FC1073">
        <w:rPr>
          <w:rFonts w:eastAsia="Times New Roman"/>
        </w:rPr>
        <w:t>overseas, but</w:t>
      </w:r>
      <w:r w:rsidRPr="00FC1073">
        <w:rPr>
          <w:rFonts w:eastAsia="Times New Roman"/>
        </w:rPr>
        <w:t xml:space="preserve"> aimed at US audiences. </w:t>
      </w:r>
      <w:r w:rsidRPr="00FC1073">
        <w:rPr>
          <w:rFonts w:eastAsia="Times New Roman"/>
          <w:i/>
          <w:iCs/>
        </w:rPr>
        <w:t xml:space="preserve">Buzzfeed </w:t>
      </w:r>
      <w:r w:rsidRPr="00FC1073">
        <w:rPr>
          <w:rFonts w:eastAsia="Times New Roman"/>
        </w:rPr>
        <w:t>was one of the first news organisations to detail the phenomenon of English-language websites created by Macedonians to capitalise on US readers</w:t>
      </w:r>
      <w:r w:rsidRPr="00FC1073" w:rsidR="001D72B2">
        <w:rPr>
          <w:rFonts w:eastAsia="Times New Roman"/>
        </w:rPr>
        <w:t>’</w:t>
      </w:r>
      <w:r w:rsidRPr="00FC1073">
        <w:rPr>
          <w:rFonts w:eastAsia="Times New Roman"/>
        </w:rPr>
        <w:t xml:space="preserve"> enthusiasm for sensationalist stories. The small city of Veles in Macedonia produced </w:t>
      </w:r>
      <w:r w:rsidRPr="00FC1073" w:rsidR="001D72B2">
        <w:rPr>
          <w:rFonts w:eastAsia="Times New Roman"/>
        </w:rPr>
        <w:t>‘</w:t>
      </w:r>
      <w:r w:rsidRPr="00FC1073">
        <w:rPr>
          <w:rFonts w:eastAsia="Times New Roman"/>
        </w:rPr>
        <w:t>an enterprise of cool, pure amorality, free not only of ideology but of any concern or feeling about the substance of the election. These Macedonians on Facebook didn</w:t>
      </w:r>
      <w:r w:rsidRPr="00FC1073" w:rsidR="001D72B2">
        <w:rPr>
          <w:rFonts w:eastAsia="Times New Roman"/>
        </w:rPr>
        <w:t>’</w:t>
      </w:r>
      <w:r w:rsidRPr="00FC1073">
        <w:rPr>
          <w:rFonts w:eastAsia="Times New Roman"/>
        </w:rPr>
        <w:t>t care if Trump won or lost the White House. They only wanted pocket money to pay for things.</w:t>
      </w:r>
      <w:r w:rsidRPr="00FC1073" w:rsidR="001D72B2">
        <w:rPr>
          <w:rFonts w:eastAsia="Times New Roman"/>
        </w:rPr>
        <w:t>’</w:t>
      </w:r>
    </w:p>
    <w:p w:rsidRPr="00FC1073" w:rsidR="00A8059F" w:rsidP="001D72B2" w14:paraId="07C9792A" w14:textId="77777777">
      <w:pPr>
        <w:pStyle w:val="JuQuot"/>
        <w:rPr>
          <w:rFonts w:eastAsia="Times New Roman"/>
        </w:rPr>
      </w:pPr>
      <w:r w:rsidRPr="00FC1073">
        <w:rPr>
          <w:rFonts w:eastAsia="Times New Roman"/>
        </w:rPr>
        <w:t xml:space="preserve">This example from Veles also underscores the difficulty of assessing the true motivation of any </w:t>
      </w:r>
      <w:r w:rsidRPr="00FC1073">
        <w:rPr>
          <w:rFonts w:eastAsia="Times New Roman"/>
        </w:rPr>
        <w:t>particular agent</w:t>
      </w:r>
      <w:r w:rsidRPr="00FC1073">
        <w:rPr>
          <w:rFonts w:eastAsia="Times New Roman"/>
        </w:rPr>
        <w:t>. The dominant narrative has been that these young people were motivated by the financial benefits. We can assume this is true, as they undoubtedly made money, but we will unlikely ever know whether there was any coordinated attempt to encourage these teenagers to start this type of work in the first place.”</w:t>
      </w:r>
    </w:p>
    <w:p w:rsidRPr="00FC1073" w:rsidR="00A8059F" w:rsidP="001D72B2" w14:paraId="5739EEF0" w14:textId="572D6DE4">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76</w:t>
      </w:r>
      <w:r w:rsidRPr="00FC1073">
        <w:rPr>
          <w:rFonts w:eastAsia="Times New Roman"/>
        </w:rPr>
        <w:fldChar w:fldCharType="end"/>
      </w:r>
      <w:r w:rsidRPr="00FC1073">
        <w:rPr>
          <w:rFonts w:eastAsia="Times New Roman"/>
        </w:rPr>
        <w:t>.  The report made thirty-four recommendations, targeted at technology companies, national governments, media organisations, civil society, education ministries and funding bodies. In respect of national governments, its recommendations were as follows:</w:t>
      </w:r>
    </w:p>
    <w:p w:rsidRPr="00FC1073" w:rsidR="00A8059F" w:rsidP="001D72B2" w14:paraId="64904D3E" w14:textId="77777777">
      <w:pPr>
        <w:pStyle w:val="JuQuot"/>
        <w:rPr>
          <w:rFonts w:eastAsia="Times New Roman"/>
        </w:rPr>
      </w:pPr>
      <w:r w:rsidRPr="00FC1073">
        <w:rPr>
          <w:rFonts w:eastAsia="Times New Roman"/>
        </w:rPr>
        <w:t>“1.  </w:t>
      </w:r>
      <w:r w:rsidRPr="00FC1073">
        <w:rPr>
          <w:rFonts w:eastAsia="Times New Roman"/>
          <w:b/>
          <w:bCs/>
        </w:rPr>
        <w:t>Commission research to map information disorder</w:t>
      </w:r>
      <w:r w:rsidRPr="00FC1073">
        <w:rPr>
          <w:rFonts w:eastAsia="Times New Roman"/>
        </w:rPr>
        <w:t>. National governments should commission research studies to examine information disorder within their respective countries, using the conceptual map provided in this report. What types of information disorder are most common? Which platforms are the primary vehicles for dissemination? What research has been carried out that examines audience responses to this type of content in specific countries? The methodology should be consistent across these research studies exercises, so that different countries can be accurately compared.</w:t>
      </w:r>
    </w:p>
    <w:p w:rsidRPr="00FC1073" w:rsidR="00A8059F" w:rsidP="001D72B2" w14:paraId="0EF03E7C" w14:textId="21DF5AD8">
      <w:pPr>
        <w:pStyle w:val="JuQuot"/>
        <w:rPr>
          <w:rFonts w:eastAsia="Times New Roman"/>
        </w:rPr>
      </w:pPr>
      <w:r w:rsidRPr="00FC1073">
        <w:rPr>
          <w:rFonts w:eastAsia="Times New Roman"/>
        </w:rPr>
        <w:t>2.  </w:t>
      </w:r>
      <w:r w:rsidRPr="00FC1073">
        <w:rPr>
          <w:rFonts w:eastAsia="Times New Roman"/>
          <w:b/>
          <w:bCs/>
        </w:rPr>
        <w:t>Regulate ad networks</w:t>
      </w:r>
      <w:r w:rsidRPr="00FC1073">
        <w:rPr>
          <w:rFonts w:eastAsia="Times New Roman"/>
        </w:rPr>
        <w:t xml:space="preserve">. While the platforms are taking steps to prevent fabricated </w:t>
      </w:r>
      <w:r w:rsidRPr="00FC1073" w:rsidR="001D72B2">
        <w:rPr>
          <w:rFonts w:eastAsia="Times New Roman"/>
        </w:rPr>
        <w:t>‘</w:t>
      </w:r>
      <w:r w:rsidRPr="00FC1073">
        <w:rPr>
          <w:rFonts w:eastAsia="Times New Roman"/>
        </w:rPr>
        <w:t>news</w:t>
      </w:r>
      <w:r w:rsidRPr="00FC1073" w:rsidR="001D72B2">
        <w:rPr>
          <w:rFonts w:eastAsia="Times New Roman"/>
        </w:rPr>
        <w:t>’</w:t>
      </w:r>
      <w:r w:rsidRPr="00FC1073">
        <w:rPr>
          <w:rFonts w:eastAsia="Times New Roman"/>
        </w:rPr>
        <w:t xml:space="preserve"> sites from making money, other networks are stepping in to fill the gap. States should draft regulations to prevent any advertising from appearing on these sites.</w:t>
      </w:r>
    </w:p>
    <w:p w:rsidRPr="00FC1073" w:rsidR="00A8059F" w:rsidP="001D72B2" w14:paraId="3199D14C" w14:textId="77777777">
      <w:pPr>
        <w:pStyle w:val="JuQuot"/>
        <w:rPr>
          <w:rFonts w:eastAsia="Times New Roman"/>
        </w:rPr>
      </w:pPr>
      <w:r w:rsidRPr="00FC1073">
        <w:rPr>
          <w:rFonts w:eastAsia="Times New Roman"/>
        </w:rPr>
        <w:t>3.  </w:t>
      </w:r>
      <w:r w:rsidRPr="00FC1073">
        <w:rPr>
          <w:rFonts w:eastAsia="Times New Roman"/>
          <w:b/>
          <w:bCs/>
        </w:rPr>
        <w:t>Require transparency around Facebook ads</w:t>
      </w:r>
      <w:r w:rsidRPr="00FC1073">
        <w:rPr>
          <w:rFonts w:eastAsia="Times New Roman"/>
        </w:rPr>
        <w:t>. There is currently no oversight in terms of who purchases ads on Facebook, what ads they purchase and which users are targeted. National governments should demand transparency about these ads so that ad purchasers and Facebook can be held accountable.</w:t>
      </w:r>
    </w:p>
    <w:p w:rsidRPr="00FC1073" w:rsidR="00A8059F" w:rsidP="001D72B2" w14:paraId="74FF1790" w14:textId="423B5B4F">
      <w:pPr>
        <w:pStyle w:val="JuQuot"/>
        <w:rPr>
          <w:rFonts w:eastAsia="Times New Roman"/>
        </w:rPr>
      </w:pPr>
      <w:r w:rsidRPr="00FC1073">
        <w:rPr>
          <w:rFonts w:eastAsia="Times New Roman"/>
        </w:rPr>
        <w:t>4.  </w:t>
      </w:r>
      <w:r w:rsidRPr="00FC1073">
        <w:rPr>
          <w:rFonts w:eastAsia="Times New Roman"/>
          <w:b/>
          <w:bCs/>
        </w:rPr>
        <w:t>Support public service media organisations and local news outlets</w:t>
      </w:r>
      <w:r w:rsidRPr="00FC1073">
        <w:rPr>
          <w:rFonts w:eastAsia="Times New Roman"/>
        </w:rPr>
        <w:t xml:space="preserve">. The financial strains placed on news organisations in recent years has led to </w:t>
      </w:r>
      <w:r w:rsidRPr="00FC1073" w:rsidR="001D72B2">
        <w:rPr>
          <w:rFonts w:eastAsia="Times New Roman"/>
        </w:rPr>
        <w:t>‘</w:t>
      </w:r>
      <w:r w:rsidRPr="00FC1073">
        <w:rPr>
          <w:rFonts w:eastAsia="Times New Roman"/>
        </w:rPr>
        <w:t>news deserts</w:t>
      </w:r>
      <w:r w:rsidRPr="00FC1073" w:rsidR="001D72B2">
        <w:rPr>
          <w:rFonts w:eastAsia="Times New Roman"/>
        </w:rPr>
        <w:t>’</w:t>
      </w:r>
      <w:r w:rsidRPr="00FC1073">
        <w:rPr>
          <w:rFonts w:eastAsia="Times New Roman"/>
        </w:rPr>
        <w:t xml:space="preserve"> in certain areas. If we are serious about reducing the impact of information disorder, supporting quality journalism initiatives at the local, regional and national level needs to be a priority.</w:t>
      </w:r>
    </w:p>
    <w:p w:rsidRPr="00FC1073" w:rsidR="00A8059F" w:rsidP="001D72B2" w14:paraId="7937F009" w14:textId="77777777">
      <w:pPr>
        <w:pStyle w:val="JuQuot"/>
        <w:rPr>
          <w:rFonts w:eastAsia="Times New Roman"/>
        </w:rPr>
      </w:pPr>
      <w:r w:rsidRPr="00FC1073">
        <w:rPr>
          <w:rFonts w:eastAsia="Times New Roman"/>
        </w:rPr>
        <w:t>5.  </w:t>
      </w:r>
      <w:r w:rsidRPr="00FC1073">
        <w:rPr>
          <w:rFonts w:eastAsia="Times New Roman"/>
          <w:b/>
          <w:bCs/>
        </w:rPr>
        <w:t>Roll out advanced cyber-security training</w:t>
      </w:r>
      <w:r w:rsidRPr="00FC1073">
        <w:rPr>
          <w:rFonts w:eastAsia="Times New Roman"/>
        </w:rPr>
        <w:t xml:space="preserve">. Many government institutions use bespoke computer systems that are incredibly easy to hack, enabling the theft of data and the generation of </w:t>
      </w:r>
      <w:r w:rsidRPr="00FC1073">
        <w:rPr>
          <w:rFonts w:eastAsia="Times New Roman"/>
        </w:rPr>
        <w:t>mal-information</w:t>
      </w:r>
      <w:r w:rsidRPr="00FC1073">
        <w:rPr>
          <w:rFonts w:eastAsia="Times New Roman"/>
        </w:rPr>
        <w:t>. Training should be available at all levels of government to ensure everyone understands digital security best practices and to prevent attempts at hacking and phishing.</w:t>
      </w:r>
    </w:p>
    <w:p w:rsidRPr="00FC1073" w:rsidR="00A8059F" w:rsidP="001D72B2" w14:paraId="72008BDE" w14:textId="54CF2522">
      <w:pPr>
        <w:pStyle w:val="JuQuot"/>
        <w:rPr>
          <w:rFonts w:eastAsia="Times New Roman"/>
        </w:rPr>
      </w:pPr>
      <w:r w:rsidRPr="00FC1073">
        <w:rPr>
          <w:rFonts w:eastAsia="Times New Roman"/>
        </w:rPr>
        <w:t>6.  </w:t>
      </w:r>
      <w:r w:rsidRPr="00FC1073">
        <w:rPr>
          <w:rFonts w:eastAsia="Times New Roman"/>
          <w:b/>
          <w:bCs/>
        </w:rPr>
        <w:t>Enforce minimum levels of public service news on to the platforms</w:t>
      </w:r>
      <w:r w:rsidRPr="00FC1073">
        <w:rPr>
          <w:rFonts w:eastAsia="Times New Roman"/>
        </w:rPr>
        <w:t>. Encourage platforms to work with independent public media organisations to integrate quality news and analysis into users</w:t>
      </w:r>
      <w:r w:rsidRPr="00FC1073" w:rsidR="001D72B2">
        <w:rPr>
          <w:rFonts w:eastAsia="Times New Roman"/>
        </w:rPr>
        <w:t>’</w:t>
      </w:r>
      <w:r w:rsidRPr="00FC1073">
        <w:rPr>
          <w:rFonts w:eastAsia="Times New Roman"/>
        </w:rPr>
        <w:t xml:space="preserve"> feeds.”</w:t>
      </w:r>
    </w:p>
    <w:p w:rsidRPr="00FC1073" w:rsidR="00A8059F" w:rsidP="001D72B2" w14:paraId="1A02B491" w14:textId="086C2E61">
      <w:pPr>
        <w:pStyle w:val="JuHa0"/>
        <w:rPr>
          <w:rFonts w:eastAsia="MingLiU"/>
        </w:rPr>
      </w:pPr>
      <w:r w:rsidRPr="00FC1073">
        <w:rPr>
          <w:rFonts w:eastAsia="MingLiU"/>
        </w:rPr>
        <w:t xml:space="preserve">Council of Europe: </w:t>
      </w:r>
      <w:r w:rsidR="0049441B">
        <w:rPr>
          <w:rFonts w:eastAsia="MingLiU"/>
        </w:rPr>
        <w:t>“</w:t>
      </w:r>
      <w:r w:rsidRPr="00FC1073">
        <w:rPr>
          <w:rFonts w:eastAsia="MingLiU"/>
        </w:rPr>
        <w:t>Disinformation and Electoral Campaigns</w:t>
      </w:r>
      <w:r w:rsidR="0049441B">
        <w:rPr>
          <w:rFonts w:eastAsia="MingLiU"/>
        </w:rPr>
        <w:t>”</w:t>
      </w:r>
      <w:r w:rsidRPr="00FC1073">
        <w:rPr>
          <w:rFonts w:eastAsia="MingLiU"/>
        </w:rPr>
        <w:t xml:space="preserve"> (June 2019)</w:t>
      </w:r>
    </w:p>
    <w:p w:rsidRPr="00FC1073" w:rsidR="00A8059F" w:rsidP="001D72B2" w14:paraId="74D5EE52" w14:textId="54931315">
      <w:pPr>
        <w:pStyle w:val="JuPara"/>
        <w:rPr>
          <w:rFonts w:eastAsia="Times New Roman"/>
          <w:lang w:bidi="en-US"/>
        </w:rPr>
      </w:pPr>
      <w:r w:rsidRPr="00FC1073">
        <w:rPr>
          <w:rFonts w:eastAsia="Times New Roman"/>
          <w:lang w:bidi="en-US"/>
        </w:rPr>
        <w:fldChar w:fldCharType="begin"/>
      </w:r>
      <w:r w:rsidRPr="00FC1073">
        <w:rPr>
          <w:rFonts w:eastAsia="Times New Roman"/>
          <w:lang w:bidi="en-US"/>
        </w:rPr>
        <w:instrText xml:space="preserve"> SEQ level0 \*arabic \* MERGEFORMAT </w:instrText>
      </w:r>
      <w:r w:rsidRPr="00FC1073">
        <w:rPr>
          <w:rFonts w:eastAsia="Times New Roman"/>
          <w:lang w:bidi="en-US"/>
        </w:rPr>
        <w:fldChar w:fldCharType="separate"/>
      </w:r>
      <w:r w:rsidR="00A00646">
        <w:rPr>
          <w:rFonts w:eastAsia="Times New Roman"/>
          <w:noProof/>
          <w:lang w:bidi="en-US"/>
        </w:rPr>
        <w:t>77</w:t>
      </w:r>
      <w:r w:rsidRPr="00FC1073">
        <w:rPr>
          <w:rFonts w:eastAsia="Times New Roman"/>
          <w:lang w:bidi="en-US"/>
        </w:rPr>
        <w:fldChar w:fldCharType="end"/>
      </w:r>
      <w:r w:rsidRPr="00FC1073">
        <w:rPr>
          <w:rFonts w:eastAsia="Times New Roman"/>
          <w:lang w:bidi="en-US"/>
        </w:rPr>
        <w:t xml:space="preserve">.  This report provided an overview of the legal framework in </w:t>
      </w:r>
      <w:r w:rsidRPr="00FC1073">
        <w:rPr>
          <w:rFonts w:eastAsia="Times New Roman"/>
          <w:lang w:bidi="en-US"/>
        </w:rPr>
        <w:t>a number of</w:t>
      </w:r>
      <w:r w:rsidRPr="00FC1073">
        <w:rPr>
          <w:rFonts w:eastAsia="Times New Roman"/>
          <w:lang w:bidi="en-US"/>
        </w:rPr>
        <w:t xml:space="preserve"> different States. In respect of the United Kingdom, it </w:t>
      </w:r>
      <w:r w:rsidR="00F132B6">
        <w:rPr>
          <w:rFonts w:eastAsia="Times New Roman"/>
          <w:lang w:bidi="en-US"/>
        </w:rPr>
        <w:t>stated</w:t>
      </w:r>
      <w:r w:rsidRPr="00FC1073" w:rsidR="00F132B6">
        <w:rPr>
          <w:rFonts w:eastAsia="Times New Roman"/>
          <w:lang w:bidi="en-US"/>
        </w:rPr>
        <w:t xml:space="preserve"> </w:t>
      </w:r>
      <w:r w:rsidRPr="00FC1073">
        <w:rPr>
          <w:rFonts w:eastAsia="Times New Roman"/>
          <w:lang w:bidi="en-US"/>
        </w:rPr>
        <w:t>the following:</w:t>
      </w:r>
    </w:p>
    <w:p w:rsidRPr="00FC1073" w:rsidR="00A8059F" w:rsidP="001D72B2" w14:paraId="7361DF88" w14:textId="7AED0861">
      <w:pPr>
        <w:pStyle w:val="JuQuot"/>
        <w:rPr>
          <w:rFonts w:eastAsia="Times New Roman"/>
          <w:lang w:bidi="en-US"/>
        </w:rPr>
      </w:pPr>
      <w:r w:rsidRPr="00FC1073">
        <w:rPr>
          <w:rFonts w:eastAsia="Times New Roman"/>
          <w:lang w:bidi="en-US"/>
        </w:rPr>
        <w:t xml:space="preserve">“The British Electoral Commission has called for increasing transparency for voters </w:t>
      </w:r>
      <w:r w:rsidRPr="00FC1073">
        <w:rPr>
          <w:rFonts w:eastAsia="Times New Roman"/>
          <w:lang w:bidi="en-US"/>
        </w:rPr>
        <w:t>with regard to</w:t>
      </w:r>
      <w:r w:rsidRPr="00FC1073">
        <w:rPr>
          <w:rFonts w:eastAsia="Times New Roman"/>
          <w:lang w:bidi="en-US"/>
        </w:rPr>
        <w:t xml:space="preserve"> the practice of digital electoral campaigns. It has provided recommendations on the responsibility of digital campaigns, spending on digital campaigns, the transparency of payments for digital campaigns and enforcement of these rules.”</w:t>
      </w:r>
    </w:p>
    <w:p w:rsidRPr="00FC1073" w:rsidR="00A8059F" w:rsidP="001D72B2" w14:paraId="0CC95A59" w14:textId="002EA2B8">
      <w:pPr>
        <w:pStyle w:val="JuPara"/>
        <w:rPr>
          <w:rFonts w:eastAsia="Times New Roman"/>
          <w:lang w:bidi="en-US"/>
        </w:rPr>
      </w:pPr>
      <w:r w:rsidRPr="00FC1073">
        <w:rPr>
          <w:rFonts w:eastAsia="Times New Roman"/>
          <w:lang w:bidi="en-US"/>
        </w:rPr>
        <w:fldChar w:fldCharType="begin"/>
      </w:r>
      <w:r w:rsidRPr="00FC1073">
        <w:rPr>
          <w:rFonts w:eastAsia="Times New Roman"/>
          <w:lang w:bidi="en-US"/>
        </w:rPr>
        <w:instrText xml:space="preserve"> SEQ level0 \*arabic \* MERGEFORMAT </w:instrText>
      </w:r>
      <w:r w:rsidRPr="00FC1073">
        <w:rPr>
          <w:rFonts w:eastAsia="Times New Roman"/>
          <w:lang w:bidi="en-US"/>
        </w:rPr>
        <w:fldChar w:fldCharType="separate"/>
      </w:r>
      <w:r w:rsidR="00A00646">
        <w:rPr>
          <w:rFonts w:eastAsia="Times New Roman"/>
          <w:noProof/>
          <w:lang w:bidi="en-US"/>
        </w:rPr>
        <w:t>78</w:t>
      </w:r>
      <w:r w:rsidRPr="00FC1073">
        <w:rPr>
          <w:rFonts w:eastAsia="Times New Roman"/>
          <w:lang w:bidi="en-US"/>
        </w:rPr>
        <w:fldChar w:fldCharType="end"/>
      </w:r>
      <w:r w:rsidRPr="00FC1073">
        <w:rPr>
          <w:rFonts w:eastAsia="Times New Roman"/>
          <w:lang w:bidi="en-US"/>
        </w:rPr>
        <w:t>.  The report noted that many countries clearly were aware of the dangers of the manipulation of public opinion during electoral campaigns and comprehensive efforts were being made to implement new regulations to counter disinformation. However, there remained many obstacles to drafting effective rules that were compatible with constitutional and international standards.</w:t>
      </w:r>
    </w:p>
    <w:bookmarkStart w:name="paragraph00079" w:id="49"/>
    <w:p w:rsidRPr="00FC1073" w:rsidR="00A8059F" w:rsidP="001D72B2" w14:paraId="239BB837" w14:textId="3D2C52BA">
      <w:pPr>
        <w:pStyle w:val="JuPara"/>
        <w:rPr>
          <w:rFonts w:eastAsia="Times New Roman"/>
          <w:lang w:bidi="en-US"/>
        </w:rPr>
      </w:pPr>
      <w:r w:rsidRPr="00FC1073">
        <w:rPr>
          <w:rFonts w:eastAsia="Times New Roman"/>
          <w:lang w:bidi="en-US"/>
        </w:rPr>
        <w:fldChar w:fldCharType="begin"/>
      </w:r>
      <w:r w:rsidRPr="00FC1073">
        <w:rPr>
          <w:rFonts w:eastAsia="Times New Roman"/>
          <w:lang w:bidi="en-US"/>
        </w:rPr>
        <w:instrText xml:space="preserve"> SEQ level0 \*arabic \* MERGEFORMAT </w:instrText>
      </w:r>
      <w:r w:rsidRPr="00FC1073">
        <w:rPr>
          <w:rFonts w:eastAsia="Times New Roman"/>
          <w:lang w:bidi="en-US"/>
        </w:rPr>
        <w:fldChar w:fldCharType="separate"/>
      </w:r>
      <w:r w:rsidR="00A00646">
        <w:rPr>
          <w:rFonts w:eastAsia="Times New Roman"/>
          <w:noProof/>
          <w:lang w:bidi="en-US"/>
        </w:rPr>
        <w:t>79</w:t>
      </w:r>
      <w:r w:rsidRPr="00FC1073">
        <w:rPr>
          <w:rFonts w:eastAsia="Times New Roman"/>
          <w:lang w:bidi="en-US"/>
        </w:rPr>
        <w:fldChar w:fldCharType="end"/>
      </w:r>
      <w:bookmarkEnd w:id="49"/>
      <w:r w:rsidRPr="00FC1073">
        <w:rPr>
          <w:rFonts w:eastAsia="Times New Roman"/>
          <w:lang w:bidi="en-US"/>
        </w:rPr>
        <w:t xml:space="preserve">.  The report made </w:t>
      </w:r>
      <w:r w:rsidRPr="00FC1073">
        <w:rPr>
          <w:rFonts w:eastAsia="Times New Roman"/>
          <w:lang w:bidi="en-US"/>
        </w:rPr>
        <w:t>a number of</w:t>
      </w:r>
      <w:r w:rsidRPr="00FC1073">
        <w:rPr>
          <w:rFonts w:eastAsia="Times New Roman"/>
          <w:lang w:bidi="en-US"/>
        </w:rPr>
        <w:t xml:space="preserve"> recommendations falling into three</w:t>
      </w:r>
      <w:r w:rsidR="00821143">
        <w:rPr>
          <w:rFonts w:eastAsia="Times New Roman"/>
          <w:lang w:bidi="en-US"/>
        </w:rPr>
        <w:t> </w:t>
      </w:r>
      <w:r w:rsidRPr="00FC1073">
        <w:rPr>
          <w:rFonts w:eastAsia="Times New Roman"/>
          <w:lang w:bidi="en-US"/>
        </w:rPr>
        <w:t>categories:</w:t>
      </w:r>
    </w:p>
    <w:p w:rsidRPr="00FC1073" w:rsidR="00A8059F" w:rsidP="00E9157B" w14:paraId="27F6CC15" w14:textId="444BDEF6">
      <w:pPr>
        <w:pStyle w:val="JuPara"/>
        <w:rPr>
          <w:rFonts w:eastAsia="Times New Roman"/>
          <w:lang w:bidi="en-US"/>
        </w:rPr>
      </w:pPr>
      <w:r>
        <w:rPr>
          <w:rFonts w:eastAsia="Times New Roman"/>
          <w:lang w:bidi="en-US"/>
        </w:rPr>
        <w:t>(</w:t>
      </w:r>
      <w:r>
        <w:rPr>
          <w:rFonts w:eastAsia="Times New Roman"/>
          <w:lang w:bidi="en-US"/>
        </w:rPr>
        <w:t>i</w:t>
      </w:r>
      <w:r>
        <w:rPr>
          <w:rFonts w:eastAsia="Times New Roman"/>
          <w:lang w:bidi="en-US"/>
        </w:rPr>
        <w:t>)  </w:t>
      </w:r>
      <w:r w:rsidRPr="00FC1073">
        <w:rPr>
          <w:rFonts w:eastAsia="Times New Roman"/>
          <w:lang w:bidi="en-US"/>
        </w:rPr>
        <w:t>digital law regulations which would require transparency from service providers about their activities and the protection of personal data;</w:t>
      </w:r>
    </w:p>
    <w:p w:rsidRPr="00FC1073" w:rsidR="00A8059F" w:rsidP="00E9157B" w14:paraId="41FFFAA6" w14:textId="0012C97F">
      <w:pPr>
        <w:pStyle w:val="JuPara"/>
        <w:rPr>
          <w:rFonts w:eastAsia="Times New Roman"/>
          <w:lang w:bidi="en-US"/>
        </w:rPr>
      </w:pPr>
      <w:r>
        <w:rPr>
          <w:rFonts w:eastAsia="Times New Roman"/>
          <w:lang w:bidi="en-US"/>
        </w:rPr>
        <w:t>(ii)  </w:t>
      </w:r>
      <w:r w:rsidRPr="00FC1073">
        <w:rPr>
          <w:rFonts w:eastAsia="Times New Roman"/>
          <w:lang w:bidi="en-US"/>
        </w:rPr>
        <w:t>electoral law regulations, including longer electoral campaigns, transparency of financial resources of providers and a ban on electoral expenditure on digital activities by a foreign legal or physical person; and</w:t>
      </w:r>
    </w:p>
    <w:p w:rsidRPr="00FC1073" w:rsidR="00A8059F" w:rsidP="00E9157B" w14:paraId="143F94EA" w14:textId="6334889B">
      <w:pPr>
        <w:pStyle w:val="JuPara"/>
        <w:rPr>
          <w:rFonts w:eastAsia="Times New Roman"/>
          <w:lang w:bidi="en-US"/>
        </w:rPr>
      </w:pPr>
      <w:r>
        <w:rPr>
          <w:rFonts w:eastAsia="Times New Roman"/>
          <w:lang w:bidi="en-US"/>
        </w:rPr>
        <w:t>(iii)  </w:t>
      </w:r>
      <w:r w:rsidRPr="00FC1073">
        <w:rPr>
          <w:rFonts w:eastAsia="Times New Roman"/>
          <w:lang w:bidi="en-US"/>
        </w:rPr>
        <w:t xml:space="preserve">good practice, including measures which would concentrate on </w:t>
      </w:r>
      <w:r w:rsidRPr="00FC1073">
        <w:rPr>
          <w:rFonts w:eastAsia="Times New Roman"/>
          <w:lang w:bidi="en-US"/>
        </w:rPr>
        <w:t>fact-checking</w:t>
      </w:r>
      <w:r w:rsidRPr="00FC1073">
        <w:rPr>
          <w:rFonts w:eastAsia="Times New Roman"/>
          <w:lang w:bidi="en-US"/>
        </w:rPr>
        <w:t>, cooperation with all stakeholders, ethics, the development of literacy programmes and the self-regulation of service providers, all supporting quality journalism.</w:t>
      </w:r>
    </w:p>
    <w:p w:rsidRPr="00FC1073" w:rsidR="00A8059F" w:rsidP="001D72B2" w14:paraId="664089FB" w14:textId="571206B4">
      <w:pPr>
        <w:pStyle w:val="JuHa0"/>
        <w:rPr>
          <w:rFonts w:eastAsia="Times New Roman"/>
        </w:rPr>
      </w:pPr>
      <w:r w:rsidRPr="00FC1073">
        <w:rPr>
          <w:rFonts w:eastAsia="Times New Roman"/>
        </w:rPr>
        <w:t xml:space="preserve">Venice Commission: </w:t>
      </w:r>
      <w:r w:rsidR="0049441B">
        <w:rPr>
          <w:rFonts w:eastAsia="Times New Roman"/>
        </w:rPr>
        <w:t>“</w:t>
      </w:r>
      <w:r w:rsidRPr="00FC1073">
        <w:rPr>
          <w:rFonts w:eastAsia="Times New Roman"/>
        </w:rPr>
        <w:t>Urgent Report on the Cancellation of Election Results by Constitutional Courts</w:t>
      </w:r>
      <w:r w:rsidR="0049441B">
        <w:rPr>
          <w:rFonts w:eastAsia="Times New Roman"/>
        </w:rPr>
        <w:t>”</w:t>
      </w:r>
    </w:p>
    <w:p w:rsidRPr="00FC1073" w:rsidR="00A8059F" w:rsidP="001D72B2" w14:paraId="54FA4C22" w14:textId="0E23CC2C">
      <w:pPr>
        <w:pStyle w:val="JuPara"/>
        <w:rPr>
          <w:rFonts w:eastAsia="Times New Roman"/>
          <w:lang w:bidi="en-US"/>
        </w:rPr>
      </w:pPr>
      <w:r w:rsidRPr="00FC1073">
        <w:rPr>
          <w:rFonts w:eastAsia="Times New Roman"/>
          <w:lang w:bidi="en-US"/>
        </w:rPr>
        <w:fldChar w:fldCharType="begin"/>
      </w:r>
      <w:r w:rsidRPr="00FC1073">
        <w:rPr>
          <w:rFonts w:eastAsia="Times New Roman"/>
          <w:lang w:bidi="en-US"/>
        </w:rPr>
        <w:instrText xml:space="preserve"> SEQ level0 \*arabic \* MERGEFORMAT </w:instrText>
      </w:r>
      <w:r w:rsidRPr="00FC1073">
        <w:rPr>
          <w:rFonts w:eastAsia="Times New Roman"/>
          <w:lang w:bidi="en-US"/>
        </w:rPr>
        <w:fldChar w:fldCharType="separate"/>
      </w:r>
      <w:r w:rsidR="00A00646">
        <w:rPr>
          <w:rFonts w:eastAsia="Times New Roman"/>
          <w:noProof/>
          <w:lang w:bidi="en-US"/>
        </w:rPr>
        <w:t>80</w:t>
      </w:r>
      <w:r w:rsidRPr="00FC1073">
        <w:rPr>
          <w:rFonts w:eastAsia="Times New Roman"/>
          <w:lang w:bidi="en-US"/>
        </w:rPr>
        <w:fldChar w:fldCharType="end"/>
      </w:r>
      <w:r w:rsidRPr="00FC1073">
        <w:rPr>
          <w:rFonts w:eastAsia="Times New Roman"/>
          <w:lang w:bidi="en-US"/>
        </w:rPr>
        <w:t>.  In this report, issued on 27 January 2025, the Venice Commission responded to a request by the President of the Parliamentary Assembly of the Council of Europe for an urgent report on the following question:</w:t>
      </w:r>
    </w:p>
    <w:p w:rsidRPr="00FC1073" w:rsidR="00A8059F" w:rsidP="001D72B2" w14:paraId="2147880C" w14:textId="77777777">
      <w:pPr>
        <w:pStyle w:val="JuQuot"/>
        <w:rPr>
          <w:rFonts w:eastAsia="Times New Roman"/>
          <w:lang w:bidi="en-US"/>
        </w:rPr>
      </w:pPr>
      <w:r w:rsidRPr="00FC1073">
        <w:rPr>
          <w:rFonts w:eastAsia="Times New Roman"/>
          <w:lang w:bidi="en-US"/>
        </w:rPr>
        <w:t>“Under which conditions and under which legal standards can a constitutional court invalidate elections, drawing from the recent Romanian case?”</w:t>
      </w:r>
    </w:p>
    <w:p w:rsidRPr="00FC1073" w:rsidR="00A8059F" w:rsidP="001D72B2" w14:paraId="503B0A14" w14:textId="72677D20">
      <w:pPr>
        <w:pStyle w:val="JuPara"/>
        <w:rPr>
          <w:rFonts w:eastAsia="Times New Roman"/>
          <w:lang w:bidi="en-US"/>
        </w:rPr>
      </w:pPr>
      <w:r w:rsidRPr="00FC1073">
        <w:rPr>
          <w:rFonts w:eastAsia="Times New Roman"/>
          <w:lang w:bidi="en-US"/>
        </w:rPr>
        <w:fldChar w:fldCharType="begin"/>
      </w:r>
      <w:r w:rsidRPr="00FC1073">
        <w:rPr>
          <w:rFonts w:eastAsia="Times New Roman"/>
          <w:lang w:bidi="en-US"/>
        </w:rPr>
        <w:instrText xml:space="preserve"> SEQ level0 \*arabic \* MERGEFORMAT </w:instrText>
      </w:r>
      <w:r w:rsidRPr="00FC1073">
        <w:rPr>
          <w:rFonts w:eastAsia="Times New Roman"/>
          <w:lang w:bidi="en-US"/>
        </w:rPr>
        <w:fldChar w:fldCharType="separate"/>
      </w:r>
      <w:r w:rsidR="00A00646">
        <w:rPr>
          <w:rFonts w:eastAsia="Times New Roman"/>
          <w:noProof/>
          <w:lang w:bidi="en-US"/>
        </w:rPr>
        <w:t>81</w:t>
      </w:r>
      <w:r w:rsidRPr="00FC1073">
        <w:rPr>
          <w:rFonts w:eastAsia="Times New Roman"/>
          <w:lang w:bidi="en-US"/>
        </w:rPr>
        <w:fldChar w:fldCharType="end"/>
      </w:r>
      <w:r w:rsidRPr="00FC1073">
        <w:rPr>
          <w:rFonts w:eastAsia="Times New Roman"/>
          <w:lang w:bidi="en-US"/>
        </w:rPr>
        <w:t xml:space="preserve">.  The request followed the annulment by the Romanian Constitutional Court on 6 December 2024 of the first round of the </w:t>
      </w:r>
      <w:r w:rsidR="009E712F">
        <w:rPr>
          <w:rFonts w:eastAsia="Times New Roman"/>
          <w:lang w:bidi="en-US"/>
        </w:rPr>
        <w:t>p</w:t>
      </w:r>
      <w:r w:rsidRPr="00FC1073">
        <w:rPr>
          <w:rFonts w:eastAsia="Times New Roman"/>
          <w:lang w:bidi="en-US"/>
        </w:rPr>
        <w:t>residential election, on the basis that information from Romania</w:t>
      </w:r>
      <w:r w:rsidRPr="00FC1073" w:rsidR="001D72B2">
        <w:rPr>
          <w:rFonts w:eastAsia="Times New Roman"/>
          <w:lang w:bidi="en-US"/>
        </w:rPr>
        <w:t>’</w:t>
      </w:r>
      <w:r w:rsidRPr="00FC1073">
        <w:rPr>
          <w:rFonts w:eastAsia="Times New Roman"/>
          <w:lang w:bidi="en-US"/>
        </w:rPr>
        <w:t xml:space="preserve">s intelligence agencies had revealed voter manipulation and distortion of equal opportunities for electoral competitors through the non-transparent use of digital technologies and artificial intelligence in the electoral campaign, as well as through the </w:t>
      </w:r>
      <w:r w:rsidRPr="00FC1073">
        <w:rPr>
          <w:rFonts w:eastAsia="Times New Roman"/>
          <w:lang w:bidi="en-US"/>
        </w:rPr>
        <w:t>financing of the electoral campaign from undeclared sources, including online.</w:t>
      </w:r>
    </w:p>
    <w:bookmarkStart w:name="paragraph00082" w:id="50"/>
    <w:p w:rsidRPr="00FC1073" w:rsidR="00A8059F" w:rsidP="001D72B2" w14:paraId="03FE7351" w14:textId="15779104">
      <w:pPr>
        <w:pStyle w:val="JuPara"/>
        <w:rPr>
          <w:rFonts w:eastAsia="Times New Roman"/>
          <w:lang w:bidi="en-US"/>
        </w:rPr>
      </w:pPr>
      <w:r w:rsidRPr="00FC1073">
        <w:rPr>
          <w:rFonts w:eastAsia="Times New Roman"/>
          <w:lang w:bidi="en-US"/>
        </w:rPr>
        <w:fldChar w:fldCharType="begin"/>
      </w:r>
      <w:r w:rsidRPr="00FC1073">
        <w:rPr>
          <w:rFonts w:eastAsia="Times New Roman"/>
          <w:lang w:bidi="en-US"/>
        </w:rPr>
        <w:instrText xml:space="preserve"> SEQ level0 \*arabic \* MERGEFORMAT </w:instrText>
      </w:r>
      <w:r w:rsidRPr="00FC1073">
        <w:rPr>
          <w:rFonts w:eastAsia="Times New Roman"/>
          <w:lang w:bidi="en-US"/>
        </w:rPr>
        <w:fldChar w:fldCharType="separate"/>
      </w:r>
      <w:r w:rsidR="00A00646">
        <w:rPr>
          <w:rFonts w:eastAsia="Times New Roman"/>
          <w:noProof/>
          <w:lang w:bidi="en-US"/>
        </w:rPr>
        <w:t>82</w:t>
      </w:r>
      <w:r w:rsidRPr="00FC1073">
        <w:rPr>
          <w:rFonts w:eastAsia="Times New Roman"/>
          <w:lang w:bidi="en-US"/>
        </w:rPr>
        <w:fldChar w:fldCharType="end"/>
      </w:r>
      <w:bookmarkEnd w:id="50"/>
      <w:r w:rsidRPr="00FC1073">
        <w:rPr>
          <w:rFonts w:eastAsia="Times New Roman"/>
          <w:lang w:bidi="en-US"/>
        </w:rPr>
        <w:t>.  The Venice Commission took the view that “external influence” – by non-governmental organisations, the media (social media in particular), especially those sponsored and financed from abroad, and foreign State and non-State actors – was not less detrimental and could have the same (or even more severe) consequences as a breach of election rules by candidates, political parties and State officials.</w:t>
      </w:r>
      <w:r w:rsidRPr="00FC1073">
        <w:t xml:space="preserve"> </w:t>
      </w:r>
      <w:r w:rsidRPr="00FC1073">
        <w:rPr>
          <w:rFonts w:eastAsia="Times New Roman"/>
          <w:lang w:bidi="en-US"/>
        </w:rPr>
        <w:t>However, even though irregularities linked to the registration and campaign parts of the electoral cycle could tilt the playing field in favour of specific candidates and/or have a profound impact on the opinion of voters, it could be more challenging to establish objectively their impact on the election result than it was to establish the impact of irregularities during the voting and counting process.</w:t>
      </w:r>
    </w:p>
    <w:bookmarkStart w:name="paragraph00083" w:id="51"/>
    <w:p w:rsidRPr="00FC1073" w:rsidR="00A8059F" w:rsidP="001D72B2" w14:paraId="539A99EE" w14:textId="5678D2E1">
      <w:pPr>
        <w:pStyle w:val="JuPara"/>
        <w:rPr>
          <w:rFonts w:eastAsia="Times New Roman"/>
          <w:lang w:bidi="en-US"/>
        </w:rPr>
      </w:pPr>
      <w:r w:rsidRPr="00FC1073">
        <w:rPr>
          <w:rFonts w:eastAsia="Times New Roman"/>
          <w:lang w:bidi="en-US"/>
        </w:rPr>
        <w:fldChar w:fldCharType="begin"/>
      </w:r>
      <w:r w:rsidRPr="00FC1073">
        <w:rPr>
          <w:rFonts w:eastAsia="Times New Roman"/>
          <w:lang w:bidi="en-US"/>
        </w:rPr>
        <w:instrText xml:space="preserve"> SEQ level0 \*arabic \* MERGEFORMAT </w:instrText>
      </w:r>
      <w:r w:rsidRPr="00FC1073">
        <w:rPr>
          <w:rFonts w:eastAsia="Times New Roman"/>
          <w:lang w:bidi="en-US"/>
        </w:rPr>
        <w:fldChar w:fldCharType="separate"/>
      </w:r>
      <w:r w:rsidR="00A00646">
        <w:rPr>
          <w:rFonts w:eastAsia="Times New Roman"/>
          <w:noProof/>
          <w:lang w:bidi="en-US"/>
        </w:rPr>
        <w:t>83</w:t>
      </w:r>
      <w:r w:rsidRPr="00FC1073">
        <w:rPr>
          <w:rFonts w:eastAsia="Times New Roman"/>
          <w:lang w:bidi="en-US"/>
        </w:rPr>
        <w:fldChar w:fldCharType="end"/>
      </w:r>
      <w:bookmarkEnd w:id="51"/>
      <w:r w:rsidRPr="00FC1073">
        <w:rPr>
          <w:rFonts w:eastAsia="Times New Roman"/>
          <w:lang w:bidi="en-US"/>
        </w:rPr>
        <w:t>.  </w:t>
      </w:r>
      <w:r w:rsidRPr="00FC1073">
        <w:rPr>
          <w:rFonts w:eastAsia="Times New Roman"/>
          <w:lang w:bidi="en-US"/>
        </w:rPr>
        <w:t>With regard to</w:t>
      </w:r>
      <w:r w:rsidRPr="00FC1073">
        <w:rPr>
          <w:rFonts w:eastAsia="Times New Roman"/>
          <w:lang w:bidi="en-US"/>
        </w:rPr>
        <w:t xml:space="preserve"> the new challenges posed by online campaigning and disinformation, the Venice Commission said the following:</w:t>
      </w:r>
    </w:p>
    <w:p w:rsidRPr="00FC1073" w:rsidR="00A8059F" w:rsidP="001D72B2" w14:paraId="6D101F71" w14:textId="77777777">
      <w:pPr>
        <w:pStyle w:val="JuQuot"/>
        <w:rPr>
          <w:rFonts w:eastAsia="Times New Roman"/>
          <w:lang w:bidi="en-US"/>
        </w:rPr>
      </w:pPr>
      <w:r w:rsidRPr="00FC1073">
        <w:rPr>
          <w:rFonts w:eastAsia="Times New Roman"/>
          <w:lang w:bidi="en-US"/>
        </w:rPr>
        <w:t>“Compared to traditional broadcast and print media, social media flow freely across borders, and in most countries social media and campaigning online are not regulated in the context of elections to the extent that traditional media and traditional campaigning are. Yet the liberal character of social media does not mean that it is beyond national regulation and enforcement in the context of elections. The increasing importance of online campaigning– including by use of AI, which has the potential to magnify the effect of disinformation and manipulation of public opinion – raises new challenges in relation to 1) campaign propaganda, disinformation and the content of campaign messaging; and 2) the rules on campaign finance and transparency, including</w:t>
      </w:r>
      <w:r w:rsidRPr="00FC1073">
        <w:t xml:space="preserve"> </w:t>
      </w:r>
      <w:r w:rsidRPr="00FC1073">
        <w:rPr>
          <w:rFonts w:eastAsia="Times New Roman"/>
          <w:lang w:bidi="en-US"/>
        </w:rPr>
        <w:t>restrictions on contributions from anonymous and foreign sources, and on misuse of administrative resources. From a legal point of view, it is important to distinguish between these two matters.</w:t>
      </w:r>
    </w:p>
    <w:p w:rsidRPr="00FC1073" w:rsidR="00A8059F" w:rsidP="001D72B2" w14:paraId="1E93260B" w14:textId="28735130">
      <w:pPr>
        <w:pStyle w:val="JuQuot"/>
        <w:rPr>
          <w:rFonts w:eastAsia="Times New Roman"/>
          <w:lang w:bidi="en-US"/>
        </w:rPr>
      </w:pPr>
      <w:r w:rsidRPr="00FC1073">
        <w:rPr>
          <w:rFonts w:eastAsia="Times New Roman"/>
          <w:lang w:bidi="en-US"/>
        </w:rPr>
        <w:t>As concerns, firstly, campaign propaganda, it should be noted that electoral campaigns are in essence information campaigns by the candidates designed to convince the voters. Statements on policy made by candidates in the context of an election may often be regarded by their opponents as disinformation or false information. Regardless of form and medium, political statements in the context of campaigning are typically value judgments or statements that fall under the candidate</w:t>
      </w:r>
      <w:r w:rsidRPr="00FC1073" w:rsidR="001D72B2">
        <w:rPr>
          <w:rFonts w:eastAsia="Times New Roman"/>
          <w:lang w:bidi="en-US"/>
        </w:rPr>
        <w:t>’</w:t>
      </w:r>
      <w:r w:rsidRPr="00FC1073">
        <w:rPr>
          <w:rFonts w:eastAsia="Times New Roman"/>
          <w:lang w:bidi="en-US"/>
        </w:rPr>
        <w:t>s freedom of expression, unless they exceed permissible limits, e.g. in the form of hate speech against political opponents. Considering the ECtHR</w:t>
      </w:r>
      <w:r w:rsidRPr="00FC1073" w:rsidR="001D72B2">
        <w:rPr>
          <w:rFonts w:eastAsia="Times New Roman"/>
          <w:lang w:bidi="en-US"/>
        </w:rPr>
        <w:t>’</w:t>
      </w:r>
      <w:r w:rsidRPr="00FC1073">
        <w:rPr>
          <w:rFonts w:eastAsia="Times New Roman"/>
          <w:lang w:bidi="en-US"/>
        </w:rPr>
        <w:t>s jurisprudence on judicial interference with campaign messaging, it is currently hard to see how the form and content of campaign messaging of candidates could amount to a violation of electoral law that may lead to the annulment of the elections.</w:t>
      </w:r>
    </w:p>
    <w:p w:rsidRPr="00FC1073" w:rsidR="00A8059F" w:rsidP="001D72B2" w14:paraId="0E272E5E" w14:textId="073839A0">
      <w:pPr>
        <w:pStyle w:val="JuQuot"/>
        <w:rPr>
          <w:rFonts w:eastAsia="Times New Roman"/>
          <w:lang w:bidi="en-US"/>
        </w:rPr>
      </w:pPr>
      <w:r w:rsidRPr="00FC1073">
        <w:rPr>
          <w:rFonts w:eastAsia="Times New Roman"/>
          <w:lang w:bidi="en-US"/>
        </w:rPr>
        <w:t>Ideally, States should regulate the consequences of information disorders, cyber</w:t>
      </w:r>
      <w:r w:rsidR="0058541F">
        <w:rPr>
          <w:rFonts w:eastAsia="Times New Roman"/>
          <w:lang w:bidi="en-US"/>
        </w:rPr>
        <w:t>-</w:t>
      </w:r>
      <w:r w:rsidRPr="00FC1073">
        <w:rPr>
          <w:rFonts w:eastAsia="Times New Roman"/>
          <w:lang w:bidi="en-US"/>
        </w:rPr>
        <w:t>attacks and other digital threats to electoral integrity. ...</w:t>
      </w:r>
    </w:p>
    <w:p w:rsidRPr="00FC1073" w:rsidR="00A8059F" w:rsidP="001D72B2" w14:paraId="102A92BC" w14:textId="77777777">
      <w:pPr>
        <w:pStyle w:val="JuQuot"/>
        <w:rPr>
          <w:rFonts w:eastAsia="Times New Roman"/>
          <w:lang w:bidi="en-US"/>
        </w:rPr>
      </w:pPr>
      <w:r w:rsidRPr="00FC1073">
        <w:rPr>
          <w:rFonts w:eastAsia="Times New Roman"/>
          <w:lang w:bidi="en-US"/>
        </w:rPr>
        <w:t>In this connection, attention is drawn to the recent Interpretative declaration of the Code of good practice in electoral matters as concerns digital technologies and artificial intelligence, in which the Venice Commission emphasised 1) that the freedom of voters to form an opinion includes the right to have access to all kinds of information enabling them to be correctly informed before making a decision (which can be affected by online information disorders); and 2) that equality of opportunity also applies to the use of digital technologies and artificial intelligence in the electoral campaign, including the functions and services of internet intermediaries. ...</w:t>
      </w:r>
    </w:p>
    <w:p w:rsidRPr="00FC1073" w:rsidR="00A8059F" w:rsidP="001D72B2" w14:paraId="4C4BEDD1" w14:textId="77777777">
      <w:pPr>
        <w:pStyle w:val="JuQuot"/>
        <w:rPr>
          <w:rFonts w:eastAsia="Times New Roman"/>
          <w:lang w:bidi="en-US"/>
        </w:rPr>
      </w:pPr>
      <w:r w:rsidRPr="00FC1073">
        <w:rPr>
          <w:rFonts w:eastAsia="Times New Roman"/>
          <w:lang w:bidi="en-US"/>
        </w:rPr>
        <w:t>Secondly, whilst online campaigning based on social media platforms may be novel in form and impact, in the opinion of the Venice Commission its use should still be subject to the general rules on campaign finance and transparency. ...</w:t>
      </w:r>
    </w:p>
    <w:p w:rsidRPr="00FC1073" w:rsidR="00A8059F" w:rsidP="001D72B2" w14:paraId="17EF5B9F" w14:textId="3BF7D464">
      <w:pPr>
        <w:pStyle w:val="JuQuot"/>
        <w:rPr>
          <w:rFonts w:eastAsia="Times New Roman"/>
          <w:lang w:bidi="en-US"/>
        </w:rPr>
      </w:pPr>
      <w:r w:rsidRPr="00FC1073">
        <w:rPr>
          <w:rFonts w:eastAsia="Times New Roman"/>
          <w:lang w:bidi="en-US"/>
        </w:rPr>
        <w:t>One challenge in respect of social media, where content is generated by users, is how to attribute online support for a candidate to the campaign of that candidate. The simple fact that a candidate is successful in online campaigning, and that the use of social media platforms may amplify a candidate</w:t>
      </w:r>
      <w:r w:rsidRPr="00FC1073" w:rsidR="001D72B2">
        <w:rPr>
          <w:rFonts w:eastAsia="Times New Roman"/>
          <w:lang w:bidi="en-US"/>
        </w:rPr>
        <w:t>’</w:t>
      </w:r>
      <w:r w:rsidRPr="00FC1073">
        <w:rPr>
          <w:rFonts w:eastAsia="Times New Roman"/>
          <w:lang w:bidi="en-US"/>
        </w:rPr>
        <w:t>s message beyond what was possible with print and broadcast media, does not mean that the candidate has violated rules on campaign spending and transparency and thus obtained an unfair advantage. ...</w:t>
      </w:r>
    </w:p>
    <w:p w:rsidRPr="00FC1073" w:rsidR="00A8059F" w:rsidP="001D72B2" w14:paraId="549A9D6E" w14:textId="50EA9FD3">
      <w:pPr>
        <w:pStyle w:val="JuQuot"/>
        <w:rPr>
          <w:rFonts w:eastAsia="Times New Roman"/>
          <w:lang w:bidi="en-US"/>
        </w:rPr>
      </w:pPr>
      <w:r w:rsidRPr="00FC1073">
        <w:rPr>
          <w:rFonts w:eastAsia="Times New Roman"/>
          <w:lang w:bidi="en-US"/>
        </w:rPr>
        <w:t xml:space="preserve">In this connection, attention is drawn again to the Interpretative declaration of the Code of good practice in electoral matters as concerns digital technologies and artificial intelligence, in which the Venice Commission calls on States to regulate, </w:t>
      </w:r>
      <w:r w:rsidRPr="00FC1073">
        <w:rPr>
          <w:rFonts w:eastAsia="Times New Roman"/>
          <w:i/>
          <w:iCs/>
          <w:lang w:bidi="en-US"/>
        </w:rPr>
        <w:t>inter alia</w:t>
      </w:r>
      <w:r w:rsidRPr="00FC1073">
        <w:rPr>
          <w:rFonts w:eastAsia="Times New Roman"/>
          <w:lang w:bidi="en-US"/>
        </w:rPr>
        <w:t>, that online electoral advertising must always be identified as such and must be transparent regarding the identity of its sponsor and the dissemination technique being used; that funding of online activities must be transparent, with potential limits on political parties</w:t>
      </w:r>
      <w:r w:rsidRPr="00FC1073" w:rsidR="001D72B2">
        <w:rPr>
          <w:rFonts w:eastAsia="Times New Roman"/>
          <w:lang w:bidi="en-US"/>
        </w:rPr>
        <w:t>’</w:t>
      </w:r>
      <w:r w:rsidRPr="00FC1073">
        <w:rPr>
          <w:rFonts w:eastAsia="Times New Roman"/>
          <w:lang w:bidi="en-US"/>
        </w:rPr>
        <w:t xml:space="preserve"> spending on digital advertising; and that social media platforms are required to consistently disclose data on political advertising and their sponsors. According to the Interpretative declaration, banning certain forms of paid political advertising on social media during electoral periods may be an option, particularly when automated mass dissemination or micro-targeting techniques based on artificial intelligence are being employed, and the option to prohibit political parties and candidates from campaigning anonymously could also be justified. Furthermore, the Venice Commission has previously stated that third parties should be free to fundraise and express views on political issues as a means of free expression, and their activity should not be unconditionally prohibited; at the same time, some forms of regulation, with comparable obligations and restrictions as apply to parties and party candidates, should be extended to third parties that are involved in the campaign, to ensure transparency and accountability.</w:t>
      </w:r>
    </w:p>
    <w:p w:rsidRPr="00FC1073" w:rsidR="00A8059F" w:rsidP="001D72B2" w14:paraId="4A96676B" w14:textId="77777777">
      <w:pPr>
        <w:pStyle w:val="JuQuot"/>
        <w:rPr>
          <w:rFonts w:eastAsia="Times New Roman"/>
          <w:lang w:bidi="en-US"/>
        </w:rPr>
      </w:pPr>
      <w:r w:rsidRPr="00FC1073">
        <w:rPr>
          <w:rFonts w:eastAsia="Times New Roman"/>
          <w:lang w:bidi="en-US"/>
        </w:rPr>
        <w:t xml:space="preserve">As mentioned above in the chapter on procedural questions, procedural safeguards for election disputes gain particular importance when it comes to decisions on cancellation of election results. The law must guarantee safeguards such as impartiality, precise norms to limit the discretion of the authority, guarantees of a fair, objective and reasoned decision, </w:t>
      </w:r>
      <w:r w:rsidRPr="00FC1073">
        <w:rPr>
          <w:rFonts w:eastAsia="Times New Roman"/>
          <w:lang w:bidi="en-US"/>
        </w:rPr>
        <w:t>in order to</w:t>
      </w:r>
      <w:r w:rsidRPr="00FC1073">
        <w:rPr>
          <w:rFonts w:eastAsia="Times New Roman"/>
          <w:lang w:bidi="en-US"/>
        </w:rPr>
        <w:t xml:space="preserve"> prevent arbitrary decisions and to be in accordance with the ECHR. Proving violations of the law by campaigning online and via social media is particularly challenging. Well-reasoned, transparent decisions on such matters are crucial. In the opinion of the Venice Commission, such decisions should precisely indicate the violations and the evidence, and they must not be based solely on classified intelligence (which may only be used as contextual information), as this would not guarantee the necessary transparency and verifiability.”</w:t>
      </w:r>
    </w:p>
    <w:p w:rsidRPr="00E06DFC" w:rsidR="00A8059F" w:rsidP="001D72B2" w14:paraId="070A4147" w14:textId="77777777">
      <w:pPr>
        <w:pStyle w:val="JuHIRoman"/>
        <w:rPr>
          <w:rFonts w:eastAsia="MingLiU"/>
        </w:rPr>
      </w:pPr>
      <w:r w:rsidRPr="00E06DFC">
        <w:rPr>
          <w:rFonts w:eastAsia="MingLiU"/>
          <w:caps w:val="0"/>
        </w:rPr>
        <w:t>EUROPEAN UNION</w:t>
      </w:r>
    </w:p>
    <w:p w:rsidRPr="00E06DFC" w:rsidR="00A8059F" w:rsidP="001D72B2" w14:paraId="2F76E642" w14:textId="49505A03">
      <w:pPr>
        <w:pStyle w:val="JuHA"/>
        <w:rPr>
          <w:rFonts w:eastAsia="MingLiU"/>
        </w:rPr>
      </w:pPr>
      <w:r w:rsidRPr="00E06DFC">
        <w:rPr>
          <w:rFonts w:eastAsia="MingLiU"/>
        </w:rPr>
        <w:t>Council Regulation (EU) 2022/350 of 1 March 2022 amending Regulation (EU) No</w:t>
      </w:r>
      <w:r w:rsidRPr="00E06DFC" w:rsidR="0064285C">
        <w:rPr>
          <w:rFonts w:eastAsia="MingLiU"/>
        </w:rPr>
        <w:t>.</w:t>
      </w:r>
      <w:r w:rsidRPr="00E06DFC">
        <w:rPr>
          <w:rFonts w:eastAsia="MingLiU"/>
        </w:rPr>
        <w:t xml:space="preserve"> 833/2014 concerning restrictive measures in view of Russia</w:t>
      </w:r>
      <w:r w:rsidRPr="00E06DFC" w:rsidR="001D72B2">
        <w:rPr>
          <w:rFonts w:eastAsia="MingLiU"/>
        </w:rPr>
        <w:t>’</w:t>
      </w:r>
      <w:r w:rsidRPr="00E06DFC">
        <w:rPr>
          <w:rFonts w:eastAsia="MingLiU"/>
        </w:rPr>
        <w:t>s actions destabilising the situation in Ukraine</w:t>
      </w:r>
      <w:r w:rsidRPr="00E06DFC" w:rsidR="0064285C">
        <w:rPr>
          <w:rFonts w:eastAsia="MingLiU"/>
        </w:rPr>
        <w:t xml:space="preserve"> (OJ 2022 L 65, p. 1)</w:t>
      </w:r>
      <w:r w:rsidRPr="00E06DFC">
        <w:rPr>
          <w:rFonts w:eastAsia="MingLiU"/>
        </w:rPr>
        <w:t>, and Council Decision (CFSP) 2022/351 of 1 March 2022 amending Decision 2014/512/CFSP concerning restrictive measures in view of Russia</w:t>
      </w:r>
      <w:r w:rsidRPr="00E06DFC" w:rsidR="001D72B2">
        <w:rPr>
          <w:rFonts w:eastAsia="MingLiU"/>
        </w:rPr>
        <w:t>’</w:t>
      </w:r>
      <w:r w:rsidRPr="00E06DFC">
        <w:rPr>
          <w:rFonts w:eastAsia="MingLiU"/>
        </w:rPr>
        <w:t>s actions destabilising the situation in Ukraine</w:t>
      </w:r>
      <w:r w:rsidRPr="00E06DFC" w:rsidR="0064285C">
        <w:rPr>
          <w:rFonts w:eastAsia="MingLiU"/>
        </w:rPr>
        <w:t xml:space="preserve"> (OJ 2022 L 65, p. 5)</w:t>
      </w:r>
    </w:p>
    <w:bookmarkStart w:name="paragraph00084" w:id="52"/>
    <w:p w:rsidRPr="00FC1073" w:rsidR="00A8059F" w:rsidP="001D72B2" w14:paraId="7F6C44EB" w14:textId="1FBFE434">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84</w:t>
      </w:r>
      <w:r w:rsidRPr="00E06DFC">
        <w:rPr>
          <w:rFonts w:eastAsia="Times New Roman"/>
        </w:rPr>
        <w:fldChar w:fldCharType="end"/>
      </w:r>
      <w:bookmarkEnd w:id="52"/>
      <w:r w:rsidRPr="00E06DFC">
        <w:rPr>
          <w:rFonts w:eastAsia="Times New Roman"/>
        </w:rPr>
        <w:t>.  The above-mentioned Regulation</w:t>
      </w:r>
      <w:r w:rsidRPr="00FC1073">
        <w:rPr>
          <w:rFonts w:eastAsia="Times New Roman"/>
        </w:rPr>
        <w:t xml:space="preserve"> and Decision underlined the need to further strengthen the resilience of the European Union and </w:t>
      </w:r>
      <w:r w:rsidR="0049441B">
        <w:rPr>
          <w:rFonts w:eastAsia="Times New Roman"/>
        </w:rPr>
        <w:t>m</w:t>
      </w:r>
      <w:r w:rsidRPr="00FC1073">
        <w:rPr>
          <w:rFonts w:eastAsia="Times New Roman"/>
        </w:rPr>
        <w:t xml:space="preserve">ember States as well as their ability to counter hybrid threats, including disinformation and influence operations. Both </w:t>
      </w:r>
      <w:r w:rsidR="00770B8A">
        <w:rPr>
          <w:rFonts w:eastAsia="Times New Roman"/>
        </w:rPr>
        <w:t xml:space="preserve">the Regulation and the Decision </w:t>
      </w:r>
      <w:r w:rsidRPr="00FC1073">
        <w:rPr>
          <w:rFonts w:eastAsia="Times New Roman"/>
        </w:rPr>
        <w:t>noted</w:t>
      </w:r>
      <w:r w:rsidR="00A336DF">
        <w:rPr>
          <w:rFonts w:eastAsia="Times New Roman"/>
        </w:rPr>
        <w:t xml:space="preserve"> the following</w:t>
      </w:r>
      <w:r w:rsidRPr="00FC1073">
        <w:rPr>
          <w:rFonts w:eastAsia="Times New Roman"/>
        </w:rPr>
        <w:t xml:space="preserve"> in paragraph (6) of their respective Preambles</w:t>
      </w:r>
      <w:r w:rsidR="00A336DF">
        <w:rPr>
          <w:rFonts w:eastAsia="Times New Roman"/>
        </w:rPr>
        <w:t>:</w:t>
      </w:r>
    </w:p>
    <w:p w:rsidRPr="00FC1073" w:rsidR="00A8059F" w:rsidP="001D72B2" w14:paraId="779CEE7E" w14:textId="1FA25A9C">
      <w:pPr>
        <w:pStyle w:val="JuQuot"/>
        <w:rPr>
          <w:rFonts w:eastAsia="Times New Roman"/>
        </w:rPr>
      </w:pPr>
      <w:r w:rsidRPr="00FC1073">
        <w:rPr>
          <w:rFonts w:eastAsia="Times New Roman"/>
        </w:rPr>
        <w:t>“</w:t>
      </w:r>
      <w:r w:rsidR="00A336DF">
        <w:rPr>
          <w:rFonts w:eastAsia="Times New Roman"/>
        </w:rPr>
        <w:t>T</w:t>
      </w:r>
      <w:r w:rsidRPr="00FC1073">
        <w:rPr>
          <w:rFonts w:eastAsia="Times New Roman"/>
        </w:rPr>
        <w:t xml:space="preserve">he Russian Federation has engaged in a systematic, international campaign of media manipulation and distortion of facts </w:t>
      </w:r>
      <w:r w:rsidRPr="00FC1073">
        <w:rPr>
          <w:rFonts w:eastAsia="Times New Roman"/>
        </w:rPr>
        <w:t>in order to</w:t>
      </w:r>
      <w:r w:rsidRPr="00FC1073">
        <w:rPr>
          <w:rFonts w:eastAsia="Times New Roman"/>
        </w:rPr>
        <w:t xml:space="preserve"> enhance its strategy of destabilisation of its neighbouring countries and of the Union and its Member States. In particular, the propaganda has repeatedly and consistently targeted European political parties, especially during election periods, as well as targeting civil society, asylum seekers, Russian ethnic minorities, gender minorities, and the functioning of democratic institutions in the Union and its Member States.”</w:t>
      </w:r>
    </w:p>
    <w:p w:rsidRPr="00E06DFC" w:rsidR="00A8059F" w:rsidP="001D72B2" w14:paraId="5A76532E" w14:textId="5DC77BCF">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85</w:t>
      </w:r>
      <w:r w:rsidRPr="00FC1073">
        <w:rPr>
          <w:rFonts w:eastAsia="Times New Roman"/>
        </w:rPr>
        <w:fldChar w:fldCharType="end"/>
      </w:r>
      <w:r w:rsidRPr="00FC1073">
        <w:rPr>
          <w:rFonts w:eastAsia="Times New Roman"/>
        </w:rPr>
        <w:t>.  Through this Regulation and Decision</w:t>
      </w:r>
      <w:r w:rsidR="00F132B6">
        <w:rPr>
          <w:rFonts w:eastAsia="Times New Roman"/>
        </w:rPr>
        <w:t>,</w:t>
      </w:r>
      <w:r w:rsidRPr="00FC1073">
        <w:rPr>
          <w:rFonts w:eastAsia="Times New Roman"/>
        </w:rPr>
        <w:t xml:space="preserve"> the European Union prohibited operators from broadcasting any content by certain identified legal persons, entities or bodies, including </w:t>
      </w:r>
      <w:r w:rsidRPr="00E06DFC">
        <w:rPr>
          <w:rFonts w:eastAsia="Times New Roman"/>
        </w:rPr>
        <w:t>through transmission or distribution by any means such as cable, satellite, IP-TV, internet service providers, internet video-sharing platforms or applications, whether new or pre-installed. The identified legal persons, entities or bodies were RT</w:t>
      </w:r>
      <w:r w:rsidRPr="00E06DFC" w:rsidR="000272C7">
        <w:rPr>
          <w:rFonts w:eastAsia="Times New Roman"/>
        </w:rPr>
        <w:t>/</w:t>
      </w:r>
      <w:r w:rsidRPr="00E06DFC">
        <w:rPr>
          <w:rFonts w:eastAsia="Times New Roman"/>
        </w:rPr>
        <w:t>Russia Today English, RT</w:t>
      </w:r>
      <w:r w:rsidRPr="00E06DFC" w:rsidR="000272C7">
        <w:rPr>
          <w:rFonts w:eastAsia="Times New Roman"/>
        </w:rPr>
        <w:t>/</w:t>
      </w:r>
      <w:r w:rsidRPr="00E06DFC">
        <w:rPr>
          <w:rFonts w:eastAsia="Times New Roman"/>
        </w:rPr>
        <w:t xml:space="preserve">Russia Today UK, </w:t>
      </w:r>
      <w:r w:rsidRPr="00E06DFC" w:rsidR="00D30691">
        <w:rPr>
          <w:rFonts w:eastAsia="Times New Roman"/>
        </w:rPr>
        <w:t>RT</w:t>
      </w:r>
      <w:r w:rsidRPr="00E06DFC" w:rsidR="000272C7">
        <w:rPr>
          <w:rFonts w:eastAsia="Times New Roman"/>
        </w:rPr>
        <w:t>/</w:t>
      </w:r>
      <w:r w:rsidRPr="00E06DFC" w:rsidR="00D30691">
        <w:rPr>
          <w:rFonts w:eastAsia="Times New Roman"/>
        </w:rPr>
        <w:t>Russia Today</w:t>
      </w:r>
      <w:r w:rsidRPr="00E06DFC">
        <w:rPr>
          <w:rFonts w:eastAsia="Times New Roman"/>
        </w:rPr>
        <w:t xml:space="preserve"> Germany, </w:t>
      </w:r>
      <w:r w:rsidRPr="00E06DFC" w:rsidR="00D30691">
        <w:rPr>
          <w:rFonts w:eastAsia="Times New Roman"/>
        </w:rPr>
        <w:t>RT</w:t>
      </w:r>
      <w:r w:rsidRPr="00E06DFC" w:rsidR="000272C7">
        <w:rPr>
          <w:rFonts w:eastAsia="Times New Roman"/>
        </w:rPr>
        <w:t>/</w:t>
      </w:r>
      <w:r w:rsidRPr="00E06DFC" w:rsidR="00D30691">
        <w:rPr>
          <w:rFonts w:eastAsia="Times New Roman"/>
        </w:rPr>
        <w:t>Russia Today</w:t>
      </w:r>
      <w:r w:rsidRPr="00E06DFC">
        <w:rPr>
          <w:rFonts w:eastAsia="Times New Roman"/>
        </w:rPr>
        <w:t xml:space="preserve"> France, RT</w:t>
      </w:r>
      <w:r w:rsidRPr="00E06DFC" w:rsidR="000272C7">
        <w:rPr>
          <w:rFonts w:eastAsia="Times New Roman"/>
        </w:rPr>
        <w:t>/</w:t>
      </w:r>
      <w:r w:rsidRPr="00E06DFC">
        <w:rPr>
          <w:rFonts w:eastAsia="Times New Roman"/>
        </w:rPr>
        <w:t xml:space="preserve">Russia Today Spanish and Sputnik. A challenge to this Regulation and Decision on the grounds, </w:t>
      </w:r>
      <w:r w:rsidRPr="00E06DFC">
        <w:rPr>
          <w:rFonts w:eastAsia="Times New Roman"/>
          <w:i/>
          <w:iCs/>
        </w:rPr>
        <w:t>inter</w:t>
      </w:r>
      <w:r w:rsidRPr="00E06DFC" w:rsidR="009528D4">
        <w:rPr>
          <w:rFonts w:eastAsia="Times New Roman"/>
          <w:i/>
          <w:iCs/>
        </w:rPr>
        <w:t xml:space="preserve"> </w:t>
      </w:r>
      <w:r w:rsidRPr="00E06DFC">
        <w:rPr>
          <w:rFonts w:eastAsia="Times New Roman"/>
          <w:i/>
          <w:iCs/>
        </w:rPr>
        <w:t>alia</w:t>
      </w:r>
      <w:r w:rsidRPr="00E06DFC">
        <w:rPr>
          <w:rFonts w:eastAsia="Times New Roman"/>
        </w:rPr>
        <w:t>, that it breached RT</w:t>
      </w:r>
      <w:r w:rsidRPr="00E06DFC" w:rsidR="001D72B2">
        <w:rPr>
          <w:rFonts w:eastAsia="Times New Roman"/>
        </w:rPr>
        <w:t>’</w:t>
      </w:r>
      <w:r w:rsidRPr="00E06DFC">
        <w:rPr>
          <w:rFonts w:eastAsia="Times New Roman"/>
        </w:rPr>
        <w:t xml:space="preserve">s “rights of the defence, freedom of expression and information, freedom to conduct a business and the principle of non-discrimination on grounds of nationality” was rejected by the Grand Chamber of the General Court </w:t>
      </w:r>
      <w:r w:rsidR="005A7676">
        <w:rPr>
          <w:rFonts w:eastAsia="Times New Roman"/>
        </w:rPr>
        <w:t xml:space="preserve">of the European Union </w:t>
      </w:r>
      <w:r w:rsidRPr="00E06DFC">
        <w:rPr>
          <w:rFonts w:eastAsia="Times New Roman"/>
        </w:rPr>
        <w:t xml:space="preserve">in its judgment of 27 July 2022 in </w:t>
      </w:r>
      <w:r w:rsidRPr="00E06DFC">
        <w:rPr>
          <w:rFonts w:eastAsia="Times New Roman"/>
          <w:i/>
          <w:iCs/>
        </w:rPr>
        <w:t>RT France v</w:t>
      </w:r>
      <w:r w:rsidRPr="00E06DFC" w:rsidR="00991612">
        <w:rPr>
          <w:rFonts w:eastAsia="Times New Roman"/>
          <w:i/>
          <w:iCs/>
        </w:rPr>
        <w:t>.</w:t>
      </w:r>
      <w:r w:rsidRPr="00E06DFC">
        <w:rPr>
          <w:rFonts w:eastAsia="Times New Roman"/>
          <w:i/>
          <w:iCs/>
        </w:rPr>
        <w:t xml:space="preserve"> Council </w:t>
      </w:r>
      <w:r w:rsidRPr="00E06DFC">
        <w:rPr>
          <w:rFonts w:eastAsia="Times New Roman"/>
        </w:rPr>
        <w:t>(</w:t>
      </w:r>
      <w:r w:rsidRPr="00E06DFC" w:rsidR="00991612">
        <w:rPr>
          <w:rFonts w:eastAsia="Times New Roman"/>
        </w:rPr>
        <w:t xml:space="preserve">T-125/22, </w:t>
      </w:r>
      <w:r w:rsidRPr="00E06DFC">
        <w:rPr>
          <w:rFonts w:eastAsia="Times New Roman"/>
        </w:rPr>
        <w:t xml:space="preserve">EU:T:2022:483). An appeal to the </w:t>
      </w:r>
      <w:r w:rsidR="005A7676">
        <w:rPr>
          <w:rFonts w:eastAsia="Times New Roman"/>
        </w:rPr>
        <w:t>Court of Justice of the European Union</w:t>
      </w:r>
      <w:r w:rsidRPr="00E06DFC">
        <w:rPr>
          <w:rFonts w:eastAsia="Times New Roman"/>
        </w:rPr>
        <w:t xml:space="preserve"> (Case</w:t>
      </w:r>
      <w:r w:rsidR="004D1993">
        <w:rPr>
          <w:rFonts w:eastAsia="Times New Roman"/>
        </w:rPr>
        <w:t xml:space="preserve"> </w:t>
      </w:r>
      <w:r w:rsidRPr="00E06DFC">
        <w:rPr>
          <w:rFonts w:eastAsia="Times New Roman"/>
        </w:rPr>
        <w:t>C</w:t>
      </w:r>
      <w:r w:rsidRPr="00E06DFC" w:rsidR="00BA7F1C">
        <w:rPr>
          <w:rFonts w:eastAsia="Times New Roman"/>
        </w:rPr>
        <w:noBreakHyphen/>
      </w:r>
      <w:r w:rsidRPr="00E06DFC">
        <w:rPr>
          <w:rFonts w:eastAsia="Times New Roman"/>
        </w:rPr>
        <w:t>620/22 P) was withdrawn by RT France on 6</w:t>
      </w:r>
      <w:r w:rsidR="00FC150D">
        <w:rPr>
          <w:rFonts w:eastAsia="Times New Roman"/>
        </w:rPr>
        <w:t> </w:t>
      </w:r>
      <w:r w:rsidRPr="00E06DFC">
        <w:rPr>
          <w:rFonts w:eastAsia="Times New Roman"/>
        </w:rPr>
        <w:t>June 2023.</w:t>
      </w:r>
    </w:p>
    <w:p w:rsidRPr="00E06DFC" w:rsidR="00A8059F" w:rsidP="001D72B2" w14:paraId="0861EBD9" w14:textId="109F02FA">
      <w:pPr>
        <w:pStyle w:val="JuHA"/>
        <w:rPr>
          <w:rFonts w:eastAsia="MingLiU"/>
        </w:rPr>
      </w:pPr>
      <w:r w:rsidRPr="00E06DFC">
        <w:rPr>
          <w:rFonts w:eastAsia="MingLiU"/>
        </w:rPr>
        <w:t>Digital Services Act</w:t>
      </w:r>
    </w:p>
    <w:bookmarkStart w:name="paragraph00086" w:id="53"/>
    <w:p w:rsidRPr="00FC1073" w:rsidR="00A8059F" w:rsidP="001D72B2" w14:paraId="2FA19908" w14:textId="3F41F24F">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86</w:t>
      </w:r>
      <w:r w:rsidRPr="00E06DFC">
        <w:rPr>
          <w:rFonts w:eastAsia="Times New Roman"/>
        </w:rPr>
        <w:fldChar w:fldCharType="end"/>
      </w:r>
      <w:bookmarkEnd w:id="53"/>
      <w:r w:rsidRPr="00E06DFC">
        <w:rPr>
          <w:rFonts w:eastAsia="Times New Roman"/>
        </w:rPr>
        <w:t>.  Under Regulation (EU) 2022/2065 of the European Parliament and of the Council of 19 October 2022 on a Single Market For Digital Services and amending Directive 2000/31/EC (Digital Services Act) (</w:t>
      </w:r>
      <w:r w:rsidRPr="00E06DFC" w:rsidR="002A637B">
        <w:rPr>
          <w:rFonts w:eastAsia="Times New Roman"/>
        </w:rPr>
        <w:t>OJ 2022 L 277, p. 1</w:t>
      </w:r>
      <w:r w:rsidRPr="00E06DFC">
        <w:rPr>
          <w:rFonts w:eastAsia="Times New Roman"/>
        </w:rPr>
        <w:t>), designated services with more than 45 million active users (“Very Large Online Platforms” and “Very Large Online Search Engines</w:t>
      </w:r>
      <w:r w:rsidRPr="00FC1073">
        <w:rPr>
          <w:rFonts w:eastAsia="Times New Roman"/>
        </w:rPr>
        <w:t xml:space="preserve">”) in the European </w:t>
      </w:r>
      <w:r w:rsidRPr="00FC1073">
        <w:rPr>
          <w:rFonts w:eastAsia="Times New Roman"/>
        </w:rPr>
        <w:t>Union have the obligation to assess in depth the systemic risks stemming from the design, functioning and use of their services, as well as from potential misuses by the recipients of the service, and should take appropriate measures to mitigate the actual or foreseeable negative effects on democratic processes, civic discourse and electoral processes, as well as public security.</w:t>
      </w:r>
    </w:p>
    <w:p w:rsidRPr="00FC1073" w:rsidR="00A8059F" w:rsidP="001D72B2" w14:paraId="6578A065" w14:textId="019F8744">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87</w:t>
      </w:r>
      <w:r w:rsidRPr="00FC1073">
        <w:rPr>
          <w:rFonts w:eastAsia="Times New Roman"/>
        </w:rPr>
        <w:fldChar w:fldCharType="end"/>
      </w:r>
      <w:r w:rsidRPr="00FC1073">
        <w:rPr>
          <w:rFonts w:eastAsia="Times New Roman"/>
        </w:rPr>
        <w:t>.  When assessing such systemic risks, providers of Very Large Online Platforms and of Very Large Online Search Engines should focus on the systems or other elements that might contribute to the risks, including all the algorithmic systems that might be relevant, in particular their recommender systems and advertising systems, paying attention to the related data collection and use practices. They should also assess whether their terms and conditions and the enforcement thereof were appropriate, as well as their content moderation processes, technical tools and allocated resources. Such providers should pay particular attention to how their services were being used to disseminate or amplify misleading or deceptive content, including disinformation. Where the algorithmic amplification of information contributed to the systemic risks, those providers should duly reflect this in their risk assessments. Where risks were localised or there were linguistic differences, those providers should also account for this in their risk assessments. Providers of Very Large Online Platforms and of Very Large Online Search Engines should</w:t>
      </w:r>
      <w:r w:rsidRPr="00FC1073">
        <w:rPr>
          <w:rFonts w:eastAsia="Times New Roman"/>
        </w:rPr>
        <w:t>, in particular, assess</w:t>
      </w:r>
      <w:r w:rsidRPr="00FC1073">
        <w:rPr>
          <w:rFonts w:eastAsia="Times New Roman"/>
        </w:rPr>
        <w:t xml:space="preserve"> how the design and functioning of their service, as well as the intentional and coordinated manipulation and use of their services, or the systemic infringement of their terms of service, contributed to such risks. Such risks might arise, for example, through the inauthentic use of the service, such as the creation of fake accounts, the use of bots or deceptive use of a service, and other automated or partially automated behaviours, which might lead to the rapid and widespread dissemination to the public of information that was illegal content or incompatible with an online platform</w:t>
      </w:r>
      <w:r w:rsidRPr="00FC1073" w:rsidR="001D72B2">
        <w:rPr>
          <w:rFonts w:eastAsia="Times New Roman"/>
        </w:rPr>
        <w:t>’</w:t>
      </w:r>
      <w:r w:rsidRPr="00FC1073">
        <w:rPr>
          <w:rFonts w:eastAsia="Times New Roman"/>
        </w:rPr>
        <w:t>s or online search engine</w:t>
      </w:r>
      <w:r w:rsidRPr="00FC1073" w:rsidR="001D72B2">
        <w:rPr>
          <w:rFonts w:eastAsia="Times New Roman"/>
        </w:rPr>
        <w:t>’</w:t>
      </w:r>
      <w:r w:rsidRPr="00FC1073">
        <w:rPr>
          <w:rFonts w:eastAsia="Times New Roman"/>
        </w:rPr>
        <w:t>s terms and conditions and that contributed to disinformation campaigns.</w:t>
      </w:r>
    </w:p>
    <w:p w:rsidRPr="00FC1073" w:rsidR="00A8059F" w:rsidP="001D72B2" w14:paraId="5FAE3063" w14:textId="5FF99118">
      <w:pPr>
        <w:pStyle w:val="JuHA"/>
        <w:rPr>
          <w:rFonts w:eastAsia="MingLiU"/>
        </w:rPr>
      </w:pPr>
      <w:r w:rsidRPr="00FC1073">
        <w:rPr>
          <w:rFonts w:eastAsia="MingLiU"/>
        </w:rPr>
        <w:t>European Commission</w:t>
      </w:r>
    </w:p>
    <w:bookmarkStart w:name="paragraph00088" w:id="54"/>
    <w:p w:rsidRPr="00FC1073" w:rsidR="00A8059F" w:rsidP="001D72B2" w14:paraId="38831CCF" w14:textId="3034A701">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88</w:t>
      </w:r>
      <w:r w:rsidRPr="00FC1073">
        <w:rPr>
          <w:rFonts w:eastAsia="Times New Roman"/>
        </w:rPr>
        <w:fldChar w:fldCharType="end"/>
      </w:r>
      <w:bookmarkEnd w:id="54"/>
      <w:r w:rsidRPr="00FC1073">
        <w:rPr>
          <w:rFonts w:eastAsia="Times New Roman"/>
        </w:rPr>
        <w:t>.  The European Commission recognised that disinformation and foreign information manipulation and interference were a serious threat to societies</w:t>
      </w:r>
      <w:r>
        <w:rPr>
          <w:rFonts w:eastAsia="Times New Roman"/>
          <w:vertAlign w:val="superscript"/>
        </w:rPr>
        <w:footnoteReference w:id="2"/>
      </w:r>
      <w:r w:rsidR="00F132B6">
        <w:rPr>
          <w:rFonts w:eastAsia="Times New Roman"/>
        </w:rPr>
        <w:t>.</w:t>
      </w:r>
      <w:r w:rsidRPr="00FC1073">
        <w:rPr>
          <w:rFonts w:eastAsia="Times New Roman"/>
        </w:rPr>
        <w:t xml:space="preserve"> They could undermine democratic institutions and processes (such as elections) by preventing people from making informed decisions or discouraging them from voting, and they could polarise societies by pitting communities against each other. As new technologies made it possible for hostile actors to spread disinformation and to manipulate information at a scale and with a speed never seen before, the European Commission indicated </w:t>
      </w:r>
      <w:r w:rsidRPr="00FC1073">
        <w:rPr>
          <w:rFonts w:eastAsia="Times New Roman"/>
        </w:rPr>
        <w:t xml:space="preserve">that tackling disinformation and information manipulation was one of the most pressing issues for the European Union and its </w:t>
      </w:r>
      <w:r w:rsidR="00F132B6">
        <w:rPr>
          <w:rFonts w:eastAsia="Times New Roman"/>
        </w:rPr>
        <w:t>m</w:t>
      </w:r>
      <w:r w:rsidRPr="00FC1073">
        <w:rPr>
          <w:rFonts w:eastAsia="Times New Roman"/>
        </w:rPr>
        <w:t>ember States.</w:t>
      </w:r>
    </w:p>
    <w:p w:rsidRPr="00FC1073" w:rsidR="00A8059F" w:rsidP="001D72B2" w14:paraId="18F4F8AF" w14:textId="5EE65262">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89</w:t>
      </w:r>
      <w:r w:rsidRPr="00FC1073">
        <w:rPr>
          <w:rFonts w:eastAsia="Times New Roman"/>
        </w:rPr>
        <w:fldChar w:fldCharType="end"/>
      </w:r>
      <w:r w:rsidRPr="00FC1073">
        <w:rPr>
          <w:rFonts w:eastAsia="Times New Roman"/>
        </w:rPr>
        <w:t>.  Consequently, the Commission was strengthening its strategic communication in response to disinformation, foreign information manipulation and interference targeting EU policies. The Commission</w:t>
      </w:r>
      <w:r w:rsidRPr="00FC1073" w:rsidR="001D72B2">
        <w:rPr>
          <w:rFonts w:eastAsia="Times New Roman"/>
        </w:rPr>
        <w:t>’</w:t>
      </w:r>
      <w:r w:rsidRPr="00FC1073">
        <w:rPr>
          <w:rFonts w:eastAsia="Times New Roman"/>
        </w:rPr>
        <w:t>s response to disinformation was centred around: developing policies to strengthen European democracies, making it more difficult for disinformation actors to misuse online platforms, and protecting journalists and media pluralism; countering foreign interference and cyberattacks through awareness-raising projects, advanced technological solutions, and improved coordination; building societal resilience against disinformation through media literacy and awareness raising; and cooperating with institutions, national authorities, civil society and other organisations.</w:t>
      </w:r>
    </w:p>
    <w:p w:rsidRPr="00FC1073" w:rsidR="00A8059F" w:rsidP="001D72B2" w14:paraId="08F50FFE" w14:textId="75B8DD94">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90</w:t>
      </w:r>
      <w:r w:rsidRPr="00FC1073">
        <w:rPr>
          <w:rFonts w:eastAsia="Times New Roman"/>
        </w:rPr>
        <w:fldChar w:fldCharType="end"/>
      </w:r>
      <w:r w:rsidRPr="00FC1073">
        <w:rPr>
          <w:rFonts w:eastAsia="Times New Roman"/>
        </w:rPr>
        <w:t>.  On 26 March 2024 the Commission published guidelines on recommended measures to Very Large Online Platforms and Search Engines to mitigate systemic risks online that might impact the integrity of elections, with specific guidance for the European Parliament elections in June 2024.</w:t>
      </w:r>
    </w:p>
    <w:p w:rsidRPr="00FC1073" w:rsidR="00A8059F" w:rsidP="001D72B2" w14:paraId="3C734283" w14:textId="7191712F">
      <w:pPr>
        <w:pStyle w:val="JuPara"/>
        <w:rPr>
          <w:rFonts w:eastAsia="Times New Roman"/>
        </w:rPr>
      </w:pPr>
      <w:r w:rsidRPr="00FC1073">
        <w:rPr>
          <w:rFonts w:eastAsia="Times New Roman"/>
        </w:rPr>
        <w:fldChar w:fldCharType="begin"/>
      </w:r>
      <w:r w:rsidRPr="00FC1073">
        <w:rPr>
          <w:rFonts w:eastAsia="Times New Roman"/>
        </w:rPr>
        <w:instrText xml:space="preserve"> SEQ level0 \*arabic \* MERGEFORMAT </w:instrText>
      </w:r>
      <w:r w:rsidRPr="00FC1073">
        <w:rPr>
          <w:rFonts w:eastAsia="Times New Roman"/>
        </w:rPr>
        <w:fldChar w:fldCharType="separate"/>
      </w:r>
      <w:r w:rsidR="00A00646">
        <w:rPr>
          <w:rFonts w:eastAsia="Times New Roman"/>
          <w:noProof/>
        </w:rPr>
        <w:t>91</w:t>
      </w:r>
      <w:r w:rsidRPr="00FC1073">
        <w:rPr>
          <w:rFonts w:eastAsia="Times New Roman"/>
        </w:rPr>
        <w:fldChar w:fldCharType="end"/>
      </w:r>
      <w:r w:rsidRPr="00FC1073">
        <w:rPr>
          <w:rFonts w:eastAsia="Times New Roman"/>
        </w:rPr>
        <w:t>.  These guidelines recommended mitigation measures and best practices to be undertaken by Very Large Online Platforms and Search Engines before, during, and after electoral events, such as to:</w:t>
      </w:r>
    </w:p>
    <w:p w:rsidRPr="00FC1073" w:rsidR="00A8059F" w:rsidP="00E9157B" w14:paraId="2CCB811F" w14:textId="4EFE7581">
      <w:pPr>
        <w:pStyle w:val="JuPara"/>
        <w:rPr>
          <w:rFonts w:eastAsia="Times New Roman"/>
        </w:rPr>
      </w:pPr>
      <w:r>
        <w:rPr>
          <w:rFonts w:eastAsia="Times New Roman"/>
        </w:rPr>
        <w:t>(</w:t>
      </w:r>
      <w:r>
        <w:rPr>
          <w:rFonts w:eastAsia="Times New Roman"/>
        </w:rPr>
        <w:t>i</w:t>
      </w:r>
      <w:r>
        <w:rPr>
          <w:rFonts w:eastAsia="Times New Roman"/>
        </w:rPr>
        <w:t>)  </w:t>
      </w:r>
      <w:r w:rsidRPr="00FC1073">
        <w:rPr>
          <w:rFonts w:eastAsia="Times New Roman"/>
        </w:rPr>
        <w:t>reinforce their internal processes, including by setting up internal teams with adequate resources, using available analysis and information on local context-specific risks and on the use of their services by users to search and obtain information before, during and after elections, to improve their mitigation measures;</w:t>
      </w:r>
    </w:p>
    <w:p w:rsidRPr="00FC1073" w:rsidR="00A8059F" w:rsidP="00E9157B" w14:paraId="16253A76" w14:textId="2F58E815">
      <w:pPr>
        <w:pStyle w:val="JuPara"/>
        <w:rPr>
          <w:rFonts w:eastAsia="Times New Roman"/>
        </w:rPr>
      </w:pPr>
      <w:r>
        <w:rPr>
          <w:rFonts w:eastAsia="Times New Roman"/>
        </w:rPr>
        <w:t>(ii)  </w:t>
      </w:r>
      <w:r w:rsidRPr="00FC1073">
        <w:rPr>
          <w:rFonts w:eastAsia="Times New Roman"/>
        </w:rPr>
        <w:t>implement elections-specific risk mitigation measures tailored to each individual electoral period and local context. Among the mitigation measures included in the guidelines, Very Large Online Platforms and Search Engines should promote official information on electoral processes, implement media literacy initiatives, and adapt their recommender systems to empower users and reduce the monetisation and virality of content that threatened the integrity of electoral processes. Moreover, political advertising should be clearly labelled as such, in anticipation of the new regulation on the transparency and targeting of political advertising;</w:t>
      </w:r>
    </w:p>
    <w:p w:rsidRPr="00FC1073" w:rsidR="00A8059F" w:rsidP="00E9157B" w14:paraId="2D407D30" w14:textId="06418C23">
      <w:pPr>
        <w:pStyle w:val="JuPara"/>
        <w:rPr>
          <w:rFonts w:eastAsia="Times New Roman"/>
        </w:rPr>
      </w:pPr>
      <w:r>
        <w:rPr>
          <w:rFonts w:eastAsia="Times New Roman"/>
        </w:rPr>
        <w:t>(iii)  </w:t>
      </w:r>
      <w:r w:rsidRPr="00FC1073">
        <w:rPr>
          <w:rFonts w:eastAsia="Times New Roman"/>
        </w:rPr>
        <w:t xml:space="preserve">adopt specific mitigation measures linked to generative </w:t>
      </w:r>
      <w:r w:rsidR="006A1C26">
        <w:rPr>
          <w:rFonts w:eastAsia="Times New Roman"/>
        </w:rPr>
        <w:t>a</w:t>
      </w:r>
      <w:r w:rsidRPr="00FC1073">
        <w:rPr>
          <w:rFonts w:eastAsia="Times New Roman"/>
        </w:rPr>
        <w:t xml:space="preserve">rtificial </w:t>
      </w:r>
      <w:r w:rsidR="006A1C26">
        <w:rPr>
          <w:rFonts w:eastAsia="Times New Roman"/>
        </w:rPr>
        <w:t>i</w:t>
      </w:r>
      <w:r w:rsidRPr="00FC1073">
        <w:rPr>
          <w:rFonts w:eastAsia="Times New Roman"/>
        </w:rPr>
        <w:t>ntelligence (AI): Very Large Online Platforms and Search Engines whose services could be used to create and/or disseminate generative AI content should assess and mitigate specific risks linked to AI, for example by clearly labelling content generated by AI (such as deepfakes), adapting their terms and conditions accordingly and enforcing them adequately;</w:t>
      </w:r>
    </w:p>
    <w:p w:rsidRPr="00FC1073" w:rsidR="00A8059F" w:rsidP="00E9157B" w14:paraId="1E0F5662" w14:textId="03A99073">
      <w:pPr>
        <w:pStyle w:val="JuPara"/>
        <w:rPr>
          <w:rFonts w:eastAsia="Times New Roman"/>
        </w:rPr>
      </w:pPr>
      <w:r>
        <w:rPr>
          <w:rFonts w:eastAsia="Times New Roman"/>
        </w:rPr>
        <w:t>(iv)  </w:t>
      </w:r>
      <w:r w:rsidRPr="00FC1073">
        <w:rPr>
          <w:rFonts w:eastAsia="Times New Roman"/>
        </w:rPr>
        <w:t xml:space="preserve">cooperate with EU level and national authorities, independent experts, and civil society organisations to foster an efficient exchange of information before, during and after the election and facilitate the use of </w:t>
      </w:r>
      <w:r w:rsidRPr="00FC1073">
        <w:rPr>
          <w:rFonts w:eastAsia="Times New Roman"/>
        </w:rPr>
        <w:t>adequate mitigation measures, including in the areas of Foreign Information Manipulation and Interference, disinformation and cybersecurity;</w:t>
      </w:r>
    </w:p>
    <w:p w:rsidRPr="00FC1073" w:rsidR="00A8059F" w:rsidP="00E9157B" w14:paraId="4D71AD11" w14:textId="0456D9E1">
      <w:pPr>
        <w:pStyle w:val="JuPara"/>
        <w:rPr>
          <w:rFonts w:eastAsia="Times New Roman"/>
        </w:rPr>
      </w:pPr>
      <w:r>
        <w:rPr>
          <w:rFonts w:eastAsia="Times New Roman"/>
        </w:rPr>
        <w:t>(v)  </w:t>
      </w:r>
      <w:r w:rsidRPr="00FC1073">
        <w:rPr>
          <w:rFonts w:eastAsia="Times New Roman"/>
        </w:rPr>
        <w:t>adopt specific measures, including an incident response mechanism, during an electoral period to reduce the impact of incidents that could have a significant effect on the election outcome or turnout; and</w:t>
      </w:r>
    </w:p>
    <w:p w:rsidRPr="00E06DFC" w:rsidR="00A8059F" w:rsidP="00E9157B" w14:paraId="1D09393F" w14:textId="7D4FA67A">
      <w:pPr>
        <w:pStyle w:val="JuPara"/>
        <w:rPr>
          <w:rFonts w:eastAsia="Times New Roman"/>
        </w:rPr>
      </w:pPr>
      <w:r>
        <w:rPr>
          <w:rFonts w:eastAsia="Times New Roman"/>
        </w:rPr>
        <w:t>(vi)  </w:t>
      </w:r>
      <w:r w:rsidRPr="00FC1073">
        <w:rPr>
          <w:rFonts w:eastAsia="Times New Roman"/>
        </w:rPr>
        <w:t xml:space="preserve">assess the effectiveness of the measures through post-election reviews. Very </w:t>
      </w:r>
      <w:r w:rsidRPr="00E06DFC">
        <w:rPr>
          <w:rFonts w:eastAsia="Times New Roman"/>
        </w:rPr>
        <w:t>Large Online Platforms and Search Engines should publish a non-confidential version of such post-election review documents, providing opportunity for public feedback on the risk mitigation measures put in place.</w:t>
      </w:r>
    </w:p>
    <w:p w:rsidRPr="00E06DFC" w:rsidR="00A8059F" w:rsidP="001D72B2" w14:paraId="05E5F816" w14:textId="77777777">
      <w:pPr>
        <w:pStyle w:val="JuHIRoman"/>
        <w:rPr>
          <w:rFonts w:eastAsia="MingLiU"/>
        </w:rPr>
      </w:pPr>
      <w:r w:rsidRPr="00E06DFC">
        <w:rPr>
          <w:rFonts w:eastAsia="MingLiU"/>
          <w:caps w:val="0"/>
        </w:rPr>
        <w:t>OTHER MATERIALS</w:t>
      </w:r>
    </w:p>
    <w:p w:rsidRPr="00E06DFC" w:rsidR="00A8059F" w:rsidP="001D72B2" w14:paraId="626B216E" w14:textId="1BA9BE4F">
      <w:pPr>
        <w:pStyle w:val="JuHA"/>
        <w:numPr>
          <w:ilvl w:val="0"/>
          <w:numId w:val="0"/>
        </w:numPr>
        <w:ind w:left="510" w:hanging="340"/>
      </w:pPr>
      <w:r w:rsidRPr="00E06DFC">
        <w:t>R</w:t>
      </w:r>
      <w:r w:rsidRPr="00E06DFC">
        <w:t>eport by the United States</w:t>
      </w:r>
      <w:r w:rsidRPr="00E06DFC" w:rsidR="001D72B2">
        <w:t>’</w:t>
      </w:r>
      <w:r w:rsidRPr="00E06DFC">
        <w:t xml:space="preserve"> Senate Select Committee on Intelligence</w:t>
      </w:r>
    </w:p>
    <w:bookmarkStart w:name="paragraph00092" w:id="55"/>
    <w:p w:rsidRPr="00E06DFC" w:rsidR="00A8059F" w:rsidP="001D72B2" w14:paraId="42EE7711" w14:textId="4E4BEAF6">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92</w:t>
      </w:r>
      <w:r w:rsidRPr="00E06DFC">
        <w:rPr>
          <w:rFonts w:eastAsia="Times New Roman"/>
        </w:rPr>
        <w:fldChar w:fldCharType="end"/>
      </w:r>
      <w:bookmarkEnd w:id="55"/>
      <w:r w:rsidRPr="00E06DFC">
        <w:rPr>
          <w:rFonts w:eastAsia="Times New Roman"/>
        </w:rPr>
        <w:t>.  Following allegations of interference by Russia in the 2016</w:t>
      </w:r>
      <w:r w:rsidRPr="00E06DFC" w:rsidR="009E712F">
        <w:rPr>
          <w:rFonts w:eastAsia="Times New Roman"/>
        </w:rPr>
        <w:t xml:space="preserve"> US</w:t>
      </w:r>
      <w:r w:rsidRPr="00E06DFC">
        <w:rPr>
          <w:rFonts w:eastAsia="Times New Roman"/>
        </w:rPr>
        <w:t xml:space="preserve"> </w:t>
      </w:r>
      <w:r w:rsidRPr="00E06DFC" w:rsidR="009E712F">
        <w:rPr>
          <w:rFonts w:eastAsia="Times New Roman"/>
        </w:rPr>
        <w:t>p</w:t>
      </w:r>
      <w:r w:rsidRPr="00E06DFC">
        <w:rPr>
          <w:rFonts w:eastAsia="Times New Roman"/>
        </w:rPr>
        <w:t>residential election, a bipartisan report was prepared by the Senate Select Committee on Intelligence. From 2017 to 2019 the Committee held hearings, conducted interviews and</w:t>
      </w:r>
      <w:r w:rsidRPr="00FC1073">
        <w:rPr>
          <w:rFonts w:eastAsia="Times New Roman"/>
        </w:rPr>
        <w:t xml:space="preserve"> reviewed intelligence relat</w:t>
      </w:r>
      <w:r w:rsidR="00ED7CB1">
        <w:rPr>
          <w:rFonts w:eastAsia="Times New Roman"/>
        </w:rPr>
        <w:t>ing</w:t>
      </w:r>
      <w:r w:rsidRPr="00FC1073">
        <w:rPr>
          <w:rFonts w:eastAsia="Times New Roman"/>
        </w:rPr>
        <w:t xml:space="preserve"> to Russian attempts in 2016 to access election infrastructure. It sought to determine the extent of </w:t>
      </w:r>
      <w:r w:rsidRPr="00E06DFC">
        <w:rPr>
          <w:rFonts w:eastAsia="Times New Roman"/>
        </w:rPr>
        <w:t xml:space="preserve">Russian activities, identify the response of the US </w:t>
      </w:r>
      <w:r w:rsidRPr="00E06DFC" w:rsidR="00ED7CB1">
        <w:rPr>
          <w:rFonts w:eastAsia="Times New Roman"/>
        </w:rPr>
        <w:t>g</w:t>
      </w:r>
      <w:r w:rsidRPr="00E06DFC">
        <w:rPr>
          <w:rFonts w:eastAsia="Times New Roman"/>
        </w:rPr>
        <w:t>overnment at the state, local and federal level to the threat, and make recommendations on how to better prepare for such threats in the future.</w:t>
      </w:r>
    </w:p>
    <w:bookmarkStart w:name="paragraph00093" w:id="56"/>
    <w:p w:rsidRPr="00E06DFC" w:rsidR="00A8059F" w:rsidP="001D72B2" w14:paraId="515A958D" w14:textId="22600F17">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93</w:t>
      </w:r>
      <w:r w:rsidRPr="00E06DFC">
        <w:rPr>
          <w:rFonts w:eastAsia="Times New Roman"/>
        </w:rPr>
        <w:fldChar w:fldCharType="end"/>
      </w:r>
      <w:bookmarkEnd w:id="56"/>
      <w:r w:rsidRPr="00E06DFC">
        <w:rPr>
          <w:rFonts w:eastAsia="Times New Roman"/>
        </w:rPr>
        <w:t xml:space="preserve">.  The Committee completed its report on 8 May 2018 and released an unclassified summary (later followed by the redacted report). The Committee concluded that in 2016 cyber actors affiliated with the Russian </w:t>
      </w:r>
      <w:r w:rsidRPr="00E06DFC" w:rsidR="00ED7CB1">
        <w:rPr>
          <w:rFonts w:eastAsia="Times New Roman"/>
        </w:rPr>
        <w:t>g</w:t>
      </w:r>
      <w:r w:rsidRPr="00E06DFC">
        <w:rPr>
          <w:rFonts w:eastAsia="Times New Roman"/>
        </w:rPr>
        <w:t>overnment had conducted an unprecedented, coordinated cyber campaign against state election infrastructure. Russian actors had scanned databases for vulnerabilities, attempted intrusions and in a small number of cases successfully penetrated a voter registration database. This activity was part of a larger campaign to prepare to undermine confidence in the voting process. However, the Committee had not seen any evidence that vote tallies were manipulated or that voter registration information was deleted or modified.</w:t>
      </w:r>
    </w:p>
    <w:p w:rsidRPr="00E06DFC" w:rsidR="00A8059F" w:rsidP="001D72B2" w14:paraId="1B281BEA" w14:textId="312DE009">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94</w:t>
      </w:r>
      <w:r w:rsidRPr="00E06DFC">
        <w:rPr>
          <w:rFonts w:eastAsia="Times New Roman"/>
        </w:rPr>
        <w:fldChar w:fldCharType="end"/>
      </w:r>
      <w:r w:rsidRPr="00E06DFC">
        <w:rPr>
          <w:rFonts w:eastAsia="Times New Roman"/>
        </w:rPr>
        <w:t xml:space="preserve">.  The Committee further found that in addition to cyber activity directed at state election infrastructure, Russia had undertaken a wide variety of intelligence-related activities targeting the US voting process. These activities began at least as early as </w:t>
      </w:r>
      <w:r w:rsidRPr="00E06DFC" w:rsidR="00F132B6">
        <w:rPr>
          <w:rFonts w:eastAsia="Times New Roman"/>
        </w:rPr>
        <w:t xml:space="preserve">in </w:t>
      </w:r>
      <w:r w:rsidRPr="00E06DFC">
        <w:rPr>
          <w:rFonts w:eastAsia="Times New Roman"/>
        </w:rPr>
        <w:t xml:space="preserve">2014, continued </w:t>
      </w:r>
      <w:r w:rsidRPr="00E06DFC" w:rsidR="00F132B6">
        <w:rPr>
          <w:rFonts w:eastAsia="Times New Roman"/>
        </w:rPr>
        <w:t xml:space="preserve">until </w:t>
      </w:r>
      <w:r w:rsidRPr="00E06DFC" w:rsidR="00E8221E">
        <w:rPr>
          <w:rFonts w:eastAsia="Times New Roman"/>
        </w:rPr>
        <w:t>e</w:t>
      </w:r>
      <w:r w:rsidRPr="00E06DFC">
        <w:rPr>
          <w:rFonts w:eastAsia="Times New Roman"/>
        </w:rPr>
        <w:t xml:space="preserve">lection </w:t>
      </w:r>
      <w:r w:rsidRPr="00E06DFC" w:rsidR="00E8221E">
        <w:rPr>
          <w:rFonts w:eastAsia="Times New Roman"/>
        </w:rPr>
        <w:t>d</w:t>
      </w:r>
      <w:r w:rsidRPr="00E06DFC">
        <w:rPr>
          <w:rFonts w:eastAsia="Times New Roman"/>
        </w:rPr>
        <w:t>ay 2016, and included traditional information</w:t>
      </w:r>
      <w:r w:rsidRPr="00E06DFC" w:rsidR="000272C7">
        <w:rPr>
          <w:rFonts w:eastAsia="Times New Roman"/>
        </w:rPr>
        <w:t>-</w:t>
      </w:r>
      <w:r w:rsidRPr="00E06DFC">
        <w:rPr>
          <w:rFonts w:eastAsia="Times New Roman"/>
        </w:rPr>
        <w:t>gathering efforts</w:t>
      </w:r>
      <w:r w:rsidRPr="00E06DFC" w:rsidR="00E8221E">
        <w:rPr>
          <w:rFonts w:eastAsia="Times New Roman"/>
        </w:rPr>
        <w:t>,</w:t>
      </w:r>
      <w:r w:rsidRPr="00E06DFC">
        <w:rPr>
          <w:rFonts w:eastAsia="Times New Roman"/>
        </w:rPr>
        <w:t xml:space="preserve"> as well as operations </w:t>
      </w:r>
      <w:r w:rsidRPr="00E06DFC" w:rsidR="00C76CE6">
        <w:rPr>
          <w:rFonts w:eastAsia="Times New Roman"/>
        </w:rPr>
        <w:t xml:space="preserve">that, it is </w:t>
      </w:r>
      <w:r w:rsidRPr="00E06DFC">
        <w:rPr>
          <w:rFonts w:eastAsia="Times New Roman"/>
        </w:rPr>
        <w:t>likely</w:t>
      </w:r>
      <w:r w:rsidRPr="00E06DFC" w:rsidR="00C76CE6">
        <w:rPr>
          <w:rFonts w:eastAsia="Times New Roman"/>
        </w:rPr>
        <w:t>, were</w:t>
      </w:r>
      <w:r w:rsidRPr="00E06DFC">
        <w:rPr>
          <w:rFonts w:eastAsia="Times New Roman"/>
        </w:rPr>
        <w:t xml:space="preserve"> aimed at preparing to discredit the integrity of the US voting process and election results.</w:t>
      </w:r>
    </w:p>
    <w:p w:rsidRPr="00E06DFC" w:rsidR="00A8059F" w:rsidP="001D72B2" w14:paraId="6CC3A3BE" w14:textId="38E7FC45">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95</w:t>
      </w:r>
      <w:r w:rsidRPr="00E06DFC">
        <w:rPr>
          <w:rFonts w:eastAsia="Times New Roman"/>
        </w:rPr>
        <w:fldChar w:fldCharType="end"/>
      </w:r>
      <w:r w:rsidRPr="00E06DFC">
        <w:rPr>
          <w:rFonts w:eastAsia="Times New Roman"/>
        </w:rPr>
        <w:t>.  While the full scope of Russian activity against the states remained unclear because of collection gaps, the Committee found ample evidence to conclude that the Russian government</w:t>
      </w:r>
      <w:r w:rsidRPr="00FC1073">
        <w:rPr>
          <w:rFonts w:eastAsia="Times New Roman"/>
        </w:rPr>
        <w:t xml:space="preserve"> was developing capabilities to undermine </w:t>
      </w:r>
      <w:r w:rsidRPr="00E06DFC">
        <w:rPr>
          <w:rFonts w:eastAsia="Times New Roman"/>
        </w:rPr>
        <w:t xml:space="preserve">confidence in the </w:t>
      </w:r>
      <w:r w:rsidRPr="00E06DFC" w:rsidR="000272C7">
        <w:rPr>
          <w:rFonts w:eastAsia="Times New Roman"/>
        </w:rPr>
        <w:t>US</w:t>
      </w:r>
      <w:r w:rsidRPr="00E06DFC">
        <w:rPr>
          <w:rFonts w:eastAsia="Times New Roman"/>
        </w:rPr>
        <w:t xml:space="preserve"> election infrastructure, including voter processes.</w:t>
      </w:r>
    </w:p>
    <w:p w:rsidRPr="00E06DFC" w:rsidR="00A8059F" w:rsidP="001D72B2" w14:paraId="286D91A8" w14:textId="5F6BA0C7">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96</w:t>
      </w:r>
      <w:r w:rsidRPr="00E06DFC">
        <w:rPr>
          <w:rFonts w:eastAsia="Times New Roman"/>
        </w:rPr>
        <w:fldChar w:fldCharType="end"/>
      </w:r>
      <w:r w:rsidRPr="00E06DFC">
        <w:rPr>
          <w:rFonts w:eastAsia="Times New Roman"/>
        </w:rPr>
        <w:t>.  The Committee further found that the initial response of the Department of Homeland Security had been inadequate to counter the threat.</w:t>
      </w:r>
    </w:p>
    <w:p w:rsidRPr="00E06DFC" w:rsidR="00A8059F" w:rsidP="001D72B2" w14:paraId="0E79A796" w14:textId="7687AE14">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97</w:t>
      </w:r>
      <w:r w:rsidRPr="00E06DFC">
        <w:rPr>
          <w:rFonts w:eastAsia="Times New Roman"/>
        </w:rPr>
        <w:fldChar w:fldCharType="end"/>
      </w:r>
      <w:r w:rsidRPr="00E06DFC">
        <w:rPr>
          <w:rFonts w:eastAsia="Times New Roman"/>
        </w:rPr>
        <w:t xml:space="preserve">.  Despite the progress on communication and improvements to the security of the election process, the Committee remained concerned about </w:t>
      </w:r>
      <w:r w:rsidRPr="00E06DFC">
        <w:rPr>
          <w:rFonts w:eastAsia="Times New Roman"/>
        </w:rPr>
        <w:t>a number of</w:t>
      </w:r>
      <w:r w:rsidRPr="00E06DFC">
        <w:rPr>
          <w:rFonts w:eastAsia="Times New Roman"/>
        </w:rPr>
        <w:t xml:space="preserve"> potential vulnerabilities in election infrastructure. </w:t>
      </w:r>
      <w:r w:rsidRPr="00E06DFC">
        <w:rPr>
          <w:rFonts w:eastAsia="Times New Roman"/>
        </w:rPr>
        <w:t>In particular, voting</w:t>
      </w:r>
      <w:r w:rsidRPr="00E06DFC">
        <w:rPr>
          <w:rFonts w:eastAsia="Times New Roman"/>
        </w:rPr>
        <w:t xml:space="preserve"> systems across the US were outdated, and many aspects of election infrastructure systems were connected to and could be accessed over the </w:t>
      </w:r>
      <w:r w:rsidRPr="00E06DFC" w:rsidR="000C1172">
        <w:rPr>
          <w:rFonts w:eastAsia="Times New Roman"/>
        </w:rPr>
        <w:t>i</w:t>
      </w:r>
      <w:r w:rsidRPr="00E06DFC">
        <w:rPr>
          <w:rFonts w:eastAsia="Times New Roman"/>
        </w:rPr>
        <w:t>nternet.</w:t>
      </w:r>
    </w:p>
    <w:bookmarkStart w:name="paragraph00098" w:id="57"/>
    <w:p w:rsidRPr="00E06DFC" w:rsidR="00A8059F" w:rsidP="001D72B2" w14:paraId="6C1ED8E4" w14:textId="4563FE5B">
      <w:pPr>
        <w:pStyle w:val="JuPara"/>
        <w:rPr>
          <w:rFonts w:eastAsia="Times New Roman"/>
        </w:rPr>
      </w:pPr>
      <w:r w:rsidRPr="00E06DFC">
        <w:rPr>
          <w:rFonts w:eastAsia="Times New Roman"/>
        </w:rPr>
        <w:fldChar w:fldCharType="begin"/>
      </w:r>
      <w:r w:rsidRPr="00E06DFC">
        <w:rPr>
          <w:rFonts w:eastAsia="Times New Roman"/>
        </w:rPr>
        <w:instrText xml:space="preserve"> SEQ level0 \*arabic \* MERGEFORMAT </w:instrText>
      </w:r>
      <w:r w:rsidRPr="00E06DFC">
        <w:rPr>
          <w:rFonts w:eastAsia="Times New Roman"/>
        </w:rPr>
        <w:fldChar w:fldCharType="separate"/>
      </w:r>
      <w:r w:rsidRPr="00E06DFC" w:rsidR="00A00646">
        <w:rPr>
          <w:rFonts w:eastAsia="Times New Roman"/>
          <w:noProof/>
        </w:rPr>
        <w:t>98</w:t>
      </w:r>
      <w:r w:rsidRPr="00E06DFC">
        <w:rPr>
          <w:rFonts w:eastAsia="Times New Roman"/>
        </w:rPr>
        <w:fldChar w:fldCharType="end"/>
      </w:r>
      <w:bookmarkEnd w:id="57"/>
      <w:r w:rsidRPr="00E06DFC">
        <w:rPr>
          <w:rFonts w:eastAsia="Times New Roman"/>
        </w:rPr>
        <w:t>.  The Senate Select Committee on Intelligence recommended the following steps to better defend against a hostile nation-State which might seek to undermine US democracy: reinforce states</w:t>
      </w:r>
      <w:r w:rsidRPr="00E06DFC" w:rsidR="001D72B2">
        <w:rPr>
          <w:rFonts w:eastAsia="Times New Roman"/>
        </w:rPr>
        <w:t>’</w:t>
      </w:r>
      <w:r w:rsidRPr="00E06DFC">
        <w:rPr>
          <w:rFonts w:eastAsia="Times New Roman"/>
        </w:rPr>
        <w:t xml:space="preserve"> primacy in running elections; create effective deterrence</w:t>
      </w:r>
      <w:r w:rsidRPr="00FC1073">
        <w:rPr>
          <w:rFonts w:eastAsia="Times New Roman"/>
        </w:rPr>
        <w:t>; improve information</w:t>
      </w:r>
      <w:r w:rsidR="000C1172">
        <w:rPr>
          <w:rFonts w:eastAsia="Times New Roman"/>
        </w:rPr>
        <w:t>-</w:t>
      </w:r>
      <w:r w:rsidRPr="00FC1073">
        <w:rPr>
          <w:rFonts w:eastAsia="Times New Roman"/>
        </w:rPr>
        <w:t xml:space="preserve">sharing on threats; secure </w:t>
      </w:r>
      <w:r w:rsidRPr="00E06DFC">
        <w:rPr>
          <w:rFonts w:eastAsia="Times New Roman"/>
        </w:rPr>
        <w:t>election-related systems; take steps to secure the vote itself; and provide assistance for the states.</w:t>
      </w:r>
    </w:p>
    <w:p w:rsidRPr="00E06DFC" w:rsidR="00A8059F" w:rsidP="001D72B2" w14:paraId="767393E4" w14:textId="77777777">
      <w:pPr>
        <w:pStyle w:val="JuHHead"/>
      </w:pPr>
      <w:r w:rsidRPr="00E06DFC">
        <w:t>THE LAW</w:t>
      </w:r>
    </w:p>
    <w:p w:rsidRPr="00E06DFC" w:rsidR="00A8059F" w:rsidP="001D72B2" w14:paraId="4AFD95C7" w14:textId="76BCC594">
      <w:pPr>
        <w:pStyle w:val="JuPara"/>
      </w:pPr>
      <w:r>
        <w:fldChar w:fldCharType="begin"/>
      </w:r>
      <w:r>
        <w:instrText xml:space="preserve"> SEQ level0 \*arabic \* MERGEFORMAT </w:instrText>
      </w:r>
      <w:r>
        <w:fldChar w:fldCharType="separate"/>
      </w:r>
      <w:r w:rsidRPr="00E06DFC">
        <w:rPr>
          <w:noProof/>
        </w:rPr>
        <w:t>99</w:t>
      </w:r>
      <w:r w:rsidRPr="00E06DFC">
        <w:rPr>
          <w:noProof/>
        </w:rPr>
        <w:fldChar w:fldCharType="end"/>
      </w:r>
      <w:r w:rsidRPr="00E06DFC">
        <w:t>.  The applicants complain</w:t>
      </w:r>
      <w:r w:rsidRPr="00E06DFC" w:rsidR="00B5340A">
        <w:t>ed</w:t>
      </w:r>
      <w:r w:rsidRPr="00E06DFC">
        <w:t xml:space="preserve"> under Article 3 of Protocol No. 1 to the Convention that the respondent State </w:t>
      </w:r>
      <w:r w:rsidRPr="00E06DFC" w:rsidR="00B5340A">
        <w:t xml:space="preserve">had </w:t>
      </w:r>
      <w:r w:rsidRPr="00E06DFC">
        <w:t xml:space="preserve">breached its positive obligation to investigate hostile State interference in its democratic elections, and that it </w:t>
      </w:r>
      <w:r w:rsidRPr="00E06DFC" w:rsidR="00B5340A">
        <w:t xml:space="preserve">had </w:t>
      </w:r>
      <w:r w:rsidRPr="00E06DFC">
        <w:t>failed to put in place an effective legal and institutional framework to secure its obligations under that Article.</w:t>
      </w:r>
    </w:p>
    <w:p w:rsidRPr="00E06DFC" w:rsidR="00A8059F" w:rsidP="001D72B2" w14:paraId="7D67C82F" w14:textId="77777777">
      <w:pPr>
        <w:pStyle w:val="JuPara"/>
        <w:rPr>
          <w:rFonts w:eastAsia="Times New Roman"/>
        </w:rPr>
      </w:pPr>
      <w:r w:rsidRPr="00E06DFC">
        <w:rPr>
          <w:rFonts w:eastAsia="Times New Roman"/>
        </w:rPr>
        <w:t>Article 3 of Protocol No. 1 reads as follows:</w:t>
      </w:r>
    </w:p>
    <w:p w:rsidRPr="00FC1073" w:rsidR="00A8059F" w:rsidP="001D72B2" w14:paraId="1177AB90" w14:textId="77777777">
      <w:pPr>
        <w:pStyle w:val="JuQuot"/>
        <w:rPr>
          <w:rFonts w:eastAsia="Times New Roman"/>
        </w:rPr>
      </w:pPr>
      <w:r w:rsidRPr="00E06DFC">
        <w:rPr>
          <w:rFonts w:eastAsia="Times New Roman"/>
        </w:rPr>
        <w:t>“The High Contracting Parties undertake to hold free elections at reasonable intervals by secret ballot, under conditions which will ensure the free expression of the opinion of the people in the choice of the legislature.”</w:t>
      </w:r>
    </w:p>
    <w:p w:rsidRPr="00E06DFC" w:rsidR="00A8059F" w:rsidP="001D72B2" w14:paraId="36FD69C9" w14:textId="77777777">
      <w:pPr>
        <w:pStyle w:val="JuHIRoman"/>
      </w:pPr>
      <w:r w:rsidRPr="00E06DFC">
        <w:rPr>
          <w:caps w:val="0"/>
        </w:rPr>
        <w:t>ADMISSIBILITY</w:t>
      </w:r>
    </w:p>
    <w:p w:rsidRPr="00E06DFC" w:rsidR="00A8059F" w:rsidP="001D72B2" w14:paraId="32D01FE2" w14:textId="2821CF0A">
      <w:pPr>
        <w:pStyle w:val="JuHA"/>
      </w:pPr>
      <w:r w:rsidRPr="00E06DFC">
        <w:t>A</w:t>
      </w:r>
      <w:r w:rsidRPr="00E06DFC">
        <w:t>pplicability of Article 3 of Protocol No. 1</w:t>
      </w:r>
    </w:p>
    <w:p w:rsidRPr="00E06DFC" w:rsidR="00A8059F" w:rsidP="001D72B2" w14:paraId="7563EF19" w14:textId="3BB62A7E">
      <w:pPr>
        <w:pStyle w:val="JuH1"/>
      </w:pPr>
      <w:r w:rsidRPr="00E06DFC">
        <w:t>The parties</w:t>
      </w:r>
      <w:r w:rsidRPr="00E06DFC" w:rsidR="001D72B2">
        <w:t>’</w:t>
      </w:r>
      <w:r w:rsidRPr="00E06DFC">
        <w:t xml:space="preserve"> submissions</w:t>
      </w:r>
    </w:p>
    <w:p w:rsidRPr="00E06DFC" w:rsidR="00A8059F" w:rsidP="001D72B2" w14:paraId="15D895A9" w14:textId="77777777">
      <w:pPr>
        <w:pStyle w:val="JuHa0"/>
      </w:pPr>
      <w:r w:rsidRPr="00E06DFC">
        <w:t>The Government</w:t>
      </w:r>
    </w:p>
    <w:bookmarkStart w:name="paragraph00100" w:id="58"/>
    <w:p w:rsidRPr="00E06DFC" w:rsidR="00A8059F" w:rsidP="001D72B2" w14:paraId="30F2265F" w14:textId="6F8DBBD5">
      <w:pPr>
        <w:pStyle w:val="JuParaLast"/>
        <w:keepNext w:val="0"/>
        <w:keepLines w:val="0"/>
        <w:spacing w:before="0" w:after="0"/>
        <w:contextualSpacing/>
      </w:pPr>
      <w:r w:rsidRPr="00E06DFC">
        <w:fldChar w:fldCharType="begin"/>
      </w:r>
      <w:r w:rsidRPr="00E06DFC">
        <w:instrText xml:space="preserve"> SEQ level0 \*arabic \* MERGEFORMAT </w:instrText>
      </w:r>
      <w:r w:rsidRPr="00E06DFC">
        <w:fldChar w:fldCharType="separate"/>
      </w:r>
      <w:r w:rsidRPr="00E06DFC" w:rsidR="00A00646">
        <w:rPr>
          <w:noProof/>
        </w:rPr>
        <w:t>100</w:t>
      </w:r>
      <w:r w:rsidRPr="00E06DFC">
        <w:fldChar w:fldCharType="end"/>
      </w:r>
      <w:bookmarkEnd w:id="58"/>
      <w:r w:rsidRPr="00E06DFC">
        <w:t xml:space="preserve">.  The Government argued that the Court had thus far interpreted Article 3 of Protocol No. 1 as imposing a relatively narrow range of obligations on States. The violations found by the Court had generally fallen into one of three broad categories: direct restrictions by the State on who might stand or vote in an election; failure by the State to act in accordance with its own electoral law; and failure by the State to provide a reasonably fair and effective system of remedies for alleged breaches of electoral law. Moreover, this was an area in which the Court had found the margin of appreciation to be wide, as there were numerous ways of organising and running electoral systems and a wealth of differences in, </w:t>
      </w:r>
      <w:r w:rsidRPr="00E06DFC">
        <w:rPr>
          <w:i/>
          <w:iCs/>
        </w:rPr>
        <w:t>inter alia</w:t>
      </w:r>
      <w:r w:rsidRPr="00E06DFC">
        <w:t xml:space="preserve">, historical development, cultural diversity and political thought within Europe which it </w:t>
      </w:r>
      <w:r w:rsidRPr="00E06DFC">
        <w:t xml:space="preserve">was for each Contracting State to mould into its own democratic vision (the Government cited, in this respect, </w:t>
      </w:r>
      <w:r w:rsidRPr="00E06DFC">
        <w:rPr>
          <w:i/>
          <w:iCs/>
        </w:rPr>
        <w:t>Hirst v. the United Kingdom (no. 2)</w:t>
      </w:r>
      <w:r w:rsidRPr="00E06DFC">
        <w:t xml:space="preserve"> [GC], no. 74025/01, § 60, ECHR 2005-IX).</w:t>
      </w:r>
    </w:p>
    <w:p w:rsidRPr="00E06DFC" w:rsidR="00A8059F" w:rsidP="001D72B2" w14:paraId="54B6EA45" w14:textId="5804D307">
      <w:pPr>
        <w:pStyle w:val="JuParaLast"/>
        <w:keepNext w:val="0"/>
        <w:keepLines w:val="0"/>
        <w:spacing w:before="0" w:after="0"/>
        <w:contextualSpacing/>
      </w:pPr>
      <w:r>
        <w:fldChar w:fldCharType="begin"/>
      </w:r>
      <w:r>
        <w:instrText xml:space="preserve"> SEQ level0 \*arabic \* MERGEFORMAT </w:instrText>
      </w:r>
      <w:r>
        <w:fldChar w:fldCharType="separate"/>
      </w:r>
      <w:r w:rsidRPr="00E06DFC">
        <w:rPr>
          <w:noProof/>
        </w:rPr>
        <w:t>101</w:t>
      </w:r>
      <w:r w:rsidRPr="00E06DFC">
        <w:rPr>
          <w:noProof/>
        </w:rPr>
        <w:fldChar w:fldCharType="end"/>
      </w:r>
      <w:r w:rsidRPr="00E06DFC">
        <w:t>.  According to the Government, the applicants, in seeking to impose on Contracting States obligations to take prescriptive and specific steps to protect people from interference by external third parties, which was said to take the form of spreading incorrect information on social media, and to investigate alleged interferences, were inviting the Court to create a new, prescriptive and far-reaching category of positive obligations under Article 3 of Protocol No. 1 to the Convention. Such duties would significantly extend the recognised obligations on the State in a way which was disconsonant with the Court</w:t>
      </w:r>
      <w:r w:rsidRPr="00E06DFC" w:rsidR="001D72B2">
        <w:t>’</w:t>
      </w:r>
      <w:r w:rsidRPr="00E06DFC">
        <w:t>s principled case-law, and inconsistent with the wide margin of appreciation afforded to States in this area.</w:t>
      </w:r>
    </w:p>
    <w:p w:rsidRPr="00E06DFC" w:rsidR="00A8059F" w:rsidP="001D72B2" w14:paraId="08463827" w14:textId="579A9D26">
      <w:pPr>
        <w:pStyle w:val="JuParaLast"/>
        <w:keepNext w:val="0"/>
        <w:keepLines w:val="0"/>
        <w:spacing w:before="0"/>
        <w:contextualSpacing/>
        <w:rPr>
          <w:rFonts w:ascii="Times New Roman" w:hAnsi="Times New Roman" w:eastAsia="Times New Roman" w:cs="Times New Roman"/>
        </w:rPr>
      </w:pPr>
      <w:r>
        <w:fldChar w:fldCharType="begin"/>
      </w:r>
      <w:r>
        <w:instrText xml:space="preserve"> SEQ level0 \*arabic \* MERGEFORMAT </w:instrText>
      </w:r>
      <w:r>
        <w:fldChar w:fldCharType="separate"/>
      </w:r>
      <w:r w:rsidRPr="00E06DFC">
        <w:rPr>
          <w:noProof/>
        </w:rPr>
        <w:t>102</w:t>
      </w:r>
      <w:r w:rsidRPr="00E06DFC">
        <w:rPr>
          <w:noProof/>
        </w:rPr>
        <w:fldChar w:fldCharType="end"/>
      </w:r>
      <w:r w:rsidRPr="00E06DFC">
        <w:t>.  T</w:t>
      </w:r>
      <w:r w:rsidRPr="00E06DFC">
        <w:rPr>
          <w:rFonts w:ascii="Times New Roman" w:hAnsi="Times New Roman" w:eastAsia="Times New Roman" w:cs="Times New Roman"/>
        </w:rPr>
        <w:t xml:space="preserve">he Government further argued that there was no authority for the proposition that a procedural obligation to investigate arguable violations of Article 3 of Protocol No. 1 existed. Investigative obligations were rightly described as “adjectival” because they existed to ensure that the primary right was effective (the Government cited, in this respect, </w:t>
      </w:r>
      <w:r w:rsidRPr="00E06DFC">
        <w:rPr>
          <w:rFonts w:ascii="Times New Roman" w:hAnsi="Times New Roman" w:eastAsia="Times New Roman" w:cs="Times New Roman"/>
          <w:i/>
          <w:iCs/>
        </w:rPr>
        <w:t>Al Nashiri v. Romania</w:t>
      </w:r>
      <w:r w:rsidRPr="00E06DFC">
        <w:rPr>
          <w:rFonts w:ascii="Times New Roman" w:hAnsi="Times New Roman" w:eastAsia="Times New Roman" w:cs="Times New Roman"/>
        </w:rPr>
        <w:t>, no. 33234/12, § 629, 31 May 2018). Since the State was not under any of the positive systemic obligations contended for by the applicants, it could not have been under any duty to investigate arguable breaches of those obligations. Moreover, such a duty would be inconsistent with the wide margin of appreciation enjoyed by States in implementing and securing the rights under Article 3 of Protocol No. 1.</w:t>
      </w:r>
    </w:p>
    <w:bookmarkStart w:name="paragraph00103" w:id="59"/>
    <w:p w:rsidRPr="00E06DFC" w:rsidR="00A8059F" w:rsidP="001D72B2" w14:paraId="08E4F6E7" w14:textId="775260C1">
      <w:pPr>
        <w:pStyle w:val="JuParaLast"/>
        <w:keepNext w:val="0"/>
        <w:keepLines w:val="0"/>
        <w:spacing w:before="0"/>
        <w:contextualSpacing/>
        <w:rPr>
          <w:rFonts w:ascii="Times New Roman" w:hAnsi="Times New Roman" w:eastAsia="Times New Roman" w:cs="Times New Roman"/>
        </w:rPr>
      </w:pP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 SEQ level0 \*arabic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noProof/>
        </w:rPr>
        <w:t>103</w:t>
      </w:r>
      <w:r w:rsidRPr="00E06DFC">
        <w:rPr>
          <w:rFonts w:ascii="Times New Roman" w:hAnsi="Times New Roman" w:eastAsia="Times New Roman" w:cs="Times New Roman"/>
        </w:rPr>
        <w:fldChar w:fldCharType="end"/>
      </w:r>
      <w:bookmarkEnd w:id="59"/>
      <w:r w:rsidRPr="00E06DFC">
        <w:rPr>
          <w:rFonts w:ascii="Times New Roman" w:hAnsi="Times New Roman" w:eastAsia="Times New Roman" w:cs="Times New Roman"/>
        </w:rPr>
        <w:t xml:space="preserve">.  There were also serious principled objections to a legal duty being placed on the State to investigate supposed interferences with an election which were not said to have broken domestic electoral </w:t>
      </w:r>
      <w:r w:rsidRPr="00E06DFC">
        <w:rPr>
          <w:rFonts w:ascii="Times New Roman" w:hAnsi="Times New Roman" w:eastAsia="Times New Roman" w:cs="Times New Roman"/>
        </w:rPr>
        <w:t>law</w:t>
      </w:r>
      <w:r w:rsidRPr="00E06DFC">
        <w:rPr>
          <w:rFonts w:ascii="Times New Roman" w:hAnsi="Times New Roman" w:eastAsia="Times New Roman" w:cs="Times New Roman"/>
        </w:rPr>
        <w:t xml:space="preserve"> and which had not been shown to have altered the outcome of an election. Such a duty would risk engaging State bodies in an exercise which could be perceived as serving politically partisan ends. It could also engage the courts in a highly politicised and contested </w:t>
      </w:r>
      <w:r w:rsidRPr="00E06DFC">
        <w:rPr>
          <w:rFonts w:ascii="Times New Roman" w:hAnsi="Times New Roman" w:eastAsia="Times New Roman" w:cs="Times New Roman"/>
        </w:rPr>
        <w:t>context, and</w:t>
      </w:r>
      <w:r w:rsidRPr="00E06DFC">
        <w:rPr>
          <w:rFonts w:ascii="Times New Roman" w:hAnsi="Times New Roman" w:eastAsia="Times New Roman" w:cs="Times New Roman"/>
        </w:rPr>
        <w:t xml:space="preserve"> would risk exactly the kind of arbitrariness that Article 3 of Protocol No. 1 protected against.</w:t>
      </w:r>
    </w:p>
    <w:p w:rsidRPr="00E06DFC" w:rsidR="00A8059F" w:rsidP="001D72B2" w14:paraId="52E0C160" w14:textId="3580294E">
      <w:pPr>
        <w:pStyle w:val="JuParaLast"/>
        <w:keepNext w:val="0"/>
        <w:keepLines w:val="0"/>
        <w:spacing w:before="0"/>
        <w:contextualSpacing/>
        <w:rPr>
          <w:rFonts w:ascii="Times New Roman" w:hAnsi="Times New Roman" w:eastAsia="Times New Roman" w:cs="Times New Roman"/>
        </w:rPr>
      </w:pP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 SEQ level0 \*arabic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noProof/>
        </w:rPr>
        <w:t>104</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Were such a duty to exist, the Government argued that the threshold for its engagement would necessarily be a high one. The core principle of Article 3 of Protocol No. 1 was that the practical effectiveness of the right to vote and stand for election should not be thwarted and its very essence should not be impaired. That threshold had plainly not been met in the present case, even if the applicants</w:t>
      </w:r>
      <w:r w:rsidRPr="00E06DFC" w:rsidR="001D72B2">
        <w:rPr>
          <w:rFonts w:ascii="Times New Roman" w:hAnsi="Times New Roman" w:eastAsia="Times New Roman" w:cs="Times New Roman"/>
        </w:rPr>
        <w:t>’</w:t>
      </w:r>
      <w:r w:rsidRPr="00E06DFC">
        <w:rPr>
          <w:rFonts w:ascii="Times New Roman" w:hAnsi="Times New Roman" w:eastAsia="Times New Roman" w:cs="Times New Roman"/>
        </w:rPr>
        <w:t xml:space="preserve"> case were to be taken at its highest. There was no suggestion that anyone who wished to vote in an election was prevented from doing so; that any person</w:t>
      </w:r>
      <w:r w:rsidRPr="00E06DFC" w:rsidR="001D72B2">
        <w:rPr>
          <w:rFonts w:ascii="Times New Roman" w:hAnsi="Times New Roman" w:eastAsia="Times New Roman" w:cs="Times New Roman"/>
        </w:rPr>
        <w:t>’</w:t>
      </w:r>
      <w:r w:rsidRPr="00E06DFC">
        <w:rPr>
          <w:rFonts w:ascii="Times New Roman" w:hAnsi="Times New Roman" w:eastAsia="Times New Roman" w:cs="Times New Roman"/>
        </w:rPr>
        <w:t xml:space="preserve">s vote was not counted; that any voter was intimidated; or that the outcome of any election would or even might have been different </w:t>
      </w:r>
      <w:r w:rsidRPr="00E06DFC">
        <w:rPr>
          <w:rFonts w:ascii="Times New Roman" w:hAnsi="Times New Roman" w:eastAsia="Times New Roman" w:cs="Times New Roman"/>
        </w:rPr>
        <w:t>as a result of</w:t>
      </w:r>
      <w:r w:rsidRPr="00E06DFC">
        <w:rPr>
          <w:rFonts w:ascii="Times New Roman" w:hAnsi="Times New Roman" w:eastAsia="Times New Roman" w:cs="Times New Roman"/>
        </w:rPr>
        <w:t xml:space="preserve"> Russian interference. In</w:t>
      </w:r>
      <w:r w:rsidRPr="00E06DFC" w:rsidR="00005A97">
        <w:rPr>
          <w:rFonts w:ascii="Times New Roman" w:hAnsi="Times New Roman" w:eastAsia="Times New Roman" w:cs="Times New Roman"/>
        </w:rPr>
        <w:t xml:space="preserve"> </w:t>
      </w:r>
      <w:r w:rsidRPr="00E06DFC">
        <w:rPr>
          <w:rFonts w:ascii="Times New Roman" w:hAnsi="Times New Roman" w:eastAsia="Times New Roman" w:cs="Times New Roman"/>
        </w:rPr>
        <w:t>so</w:t>
      </w:r>
      <w:r w:rsidRPr="00E06DFC" w:rsidR="00005A97">
        <w:rPr>
          <w:rFonts w:ascii="Times New Roman" w:hAnsi="Times New Roman" w:eastAsia="Times New Roman" w:cs="Times New Roman"/>
        </w:rPr>
        <w:t xml:space="preserve"> </w:t>
      </w:r>
      <w:r w:rsidRPr="00E06DFC">
        <w:rPr>
          <w:rFonts w:ascii="Times New Roman" w:hAnsi="Times New Roman" w:eastAsia="Times New Roman" w:cs="Times New Roman"/>
        </w:rPr>
        <w:t>far as the applicants relied on Russia</w:t>
      </w:r>
      <w:r w:rsidRPr="00E06DFC" w:rsidR="001D72B2">
        <w:rPr>
          <w:rFonts w:ascii="Times New Roman" w:hAnsi="Times New Roman" w:eastAsia="Times New Roman" w:cs="Times New Roman"/>
        </w:rPr>
        <w:t>’</w:t>
      </w:r>
      <w:r w:rsidRPr="00E06DFC">
        <w:rPr>
          <w:rFonts w:ascii="Times New Roman" w:hAnsi="Times New Roman" w:eastAsia="Times New Roman" w:cs="Times New Roman"/>
        </w:rPr>
        <w:t xml:space="preserve">s use of a highly sophisticated network of “bots”, “trolls” and other partisan social media and news media sites, it was not clear how </w:t>
      </w:r>
      <w:r w:rsidRPr="00E06DFC">
        <w:rPr>
          <w:rFonts w:ascii="Times New Roman" w:hAnsi="Times New Roman" w:eastAsia="Times New Roman" w:cs="Times New Roman"/>
        </w:rPr>
        <w:t xml:space="preserve">these could impair the practical effectiveness of the right of any voter to vote and thereby freely express his or her opinion. Every voter would cast his or her vote for a complex variety of reasons. It was therefore inherently unlikely that any </w:t>
      </w:r>
      <w:r w:rsidRPr="00E06DFC">
        <w:rPr>
          <w:rFonts w:ascii="Times New Roman" w:hAnsi="Times New Roman" w:eastAsia="Times New Roman" w:cs="Times New Roman"/>
        </w:rPr>
        <w:t>particular piece</w:t>
      </w:r>
      <w:r w:rsidRPr="00E06DFC">
        <w:rPr>
          <w:rFonts w:ascii="Times New Roman" w:hAnsi="Times New Roman" w:eastAsia="Times New Roman" w:cs="Times New Roman"/>
        </w:rPr>
        <w:t xml:space="preserve"> of incorrect information read online would cause an individual voter to cast his or her vote differently.</w:t>
      </w:r>
    </w:p>
    <w:p w:rsidRPr="00E06DFC" w:rsidR="00A8059F" w:rsidP="001D72B2" w14:paraId="13676854" w14:textId="77777777">
      <w:pPr>
        <w:pStyle w:val="JuHa0"/>
      </w:pPr>
      <w:r w:rsidRPr="00E06DFC">
        <w:t>The applicants</w:t>
      </w:r>
    </w:p>
    <w:p w:rsidRPr="00E06DFC" w:rsidR="00A8059F" w:rsidP="001D72B2" w14:paraId="011A19F0" w14:textId="638493CE">
      <w:pPr>
        <w:pStyle w:val="JuParaLast"/>
        <w:keepNext w:val="0"/>
        <w:keepLines w:val="0"/>
        <w:spacing w:before="0"/>
        <w:contextualSpacing/>
        <w:rPr>
          <w:rFonts w:ascii="Times New Roman" w:hAnsi="Times New Roman" w:eastAsia="Times New Roman" w:cs="Times New Roman"/>
        </w:rPr>
      </w:pPr>
      <w:r>
        <w:fldChar w:fldCharType="begin"/>
      </w:r>
      <w:r>
        <w:instrText xml:space="preserve"> SEQ level0 \*arabic \* MERGEFORMAT </w:instrText>
      </w:r>
      <w:r>
        <w:fldChar w:fldCharType="separate"/>
      </w:r>
      <w:r w:rsidRPr="00E06DFC">
        <w:rPr>
          <w:noProof/>
        </w:rPr>
        <w:t>105</w:t>
      </w:r>
      <w:r w:rsidRPr="00E06DFC">
        <w:rPr>
          <w:noProof/>
        </w:rPr>
        <w:fldChar w:fldCharType="end"/>
      </w:r>
      <w:r w:rsidRPr="00E06DFC">
        <w:t>.  </w:t>
      </w:r>
      <w:r w:rsidRPr="00E06DFC">
        <w:rPr>
          <w:rFonts w:ascii="Times New Roman" w:hAnsi="Times New Roman" w:eastAsia="Times New Roman" w:cs="Times New Roman"/>
        </w:rPr>
        <w:t xml:space="preserve">The applicants submitted that Article 3 of Protocol No. 1 imposed an obligation on Contracting States to hold free and fair elections under conditions which would ensure the free expression of the people in the choice of legislature. This encompassed a positive obligation to take active steps to organise elections under fair conditions (they </w:t>
      </w:r>
      <w:r w:rsidRPr="00E06DFC" w:rsidR="00F63CE1">
        <w:rPr>
          <w:rFonts w:ascii="Times New Roman" w:hAnsi="Times New Roman" w:eastAsia="Times New Roman" w:cs="Times New Roman"/>
        </w:rPr>
        <w:t>referred</w:t>
      </w:r>
      <w:r w:rsidRPr="00E06DFC">
        <w:rPr>
          <w:rFonts w:ascii="Times New Roman" w:hAnsi="Times New Roman" w:eastAsia="Times New Roman" w:cs="Times New Roman"/>
        </w:rPr>
        <w:t>, for example,</w:t>
      </w:r>
      <w:r w:rsidRPr="00E06DFC" w:rsidR="00F63CE1">
        <w:rPr>
          <w:rFonts w:ascii="Times New Roman" w:hAnsi="Times New Roman" w:eastAsia="Times New Roman" w:cs="Times New Roman"/>
        </w:rPr>
        <w:t xml:space="preserve"> to</w:t>
      </w:r>
      <w:r w:rsidRPr="00E06DFC">
        <w:rPr>
          <w:rFonts w:ascii="Times New Roman" w:hAnsi="Times New Roman" w:eastAsia="Times New Roman" w:cs="Times New Roman"/>
        </w:rPr>
        <w:t xml:space="preserve"> </w:t>
      </w:r>
      <w:bookmarkStart w:name="_cl39641THELAW" w:id="60"/>
      <w:r w:rsidRPr="00E06DFC">
        <w:rPr>
          <w:rFonts w:ascii="Times New Roman" w:hAnsi="Times New Roman" w:eastAsia="Times New Roman" w:cs="Times New Roman"/>
          <w:i/>
          <w:iCs/>
        </w:rPr>
        <w:t>Yumak</w:t>
      </w:r>
      <w:r w:rsidRPr="00E06DFC">
        <w:rPr>
          <w:rFonts w:ascii="Times New Roman" w:hAnsi="Times New Roman" w:eastAsia="Times New Roman" w:cs="Times New Roman"/>
          <w:i/>
          <w:iCs/>
        </w:rPr>
        <w:t xml:space="preserve"> and Sadak v. Turkey</w:t>
      </w:r>
      <w:bookmarkEnd w:id="60"/>
      <w:r w:rsidRPr="00E06DFC">
        <w:rPr>
          <w:rFonts w:ascii="Times New Roman" w:hAnsi="Times New Roman" w:eastAsia="Times New Roman" w:cs="Times New Roman"/>
        </w:rPr>
        <w:t xml:space="preserve"> [GC], no. 10226/03, § 106, ECHR 2008), and required the State to ensure that any interference with or limitation to the rights guaranteed by Article 3 of Protocol No. 1 did not thwart the free expression of the people in the choice of legislature (ibid</w:t>
      </w:r>
      <w:r w:rsidRPr="00E06DFC" w:rsidR="00F63CE1">
        <w:rPr>
          <w:rFonts w:ascii="Times New Roman" w:hAnsi="Times New Roman" w:eastAsia="Times New Roman" w:cs="Times New Roman"/>
        </w:rPr>
        <w:t>.</w:t>
      </w:r>
      <w:r w:rsidRPr="00E06DFC">
        <w:rPr>
          <w:rFonts w:ascii="Times New Roman" w:hAnsi="Times New Roman" w:eastAsia="Times New Roman" w:cs="Times New Roman"/>
        </w:rPr>
        <w:t>, §</w:t>
      </w:r>
      <w:r w:rsidR="004612D7">
        <w:rPr>
          <w:rFonts w:ascii="Times New Roman" w:hAnsi="Times New Roman" w:eastAsia="Times New Roman" w:cs="Times New Roman"/>
        </w:rPr>
        <w:t> </w:t>
      </w:r>
      <w:r w:rsidRPr="00E06DFC">
        <w:rPr>
          <w:rFonts w:ascii="Times New Roman" w:hAnsi="Times New Roman" w:eastAsia="Times New Roman" w:cs="Times New Roman"/>
        </w:rPr>
        <w:t>109). The positive obligations in Article 3 of Protocol No. 1 were necessarily context</w:t>
      </w:r>
      <w:r w:rsidRPr="00E06DFC" w:rsidR="00F63CE1">
        <w:rPr>
          <w:rFonts w:ascii="Times New Roman" w:hAnsi="Times New Roman" w:eastAsia="Times New Roman" w:cs="Times New Roman"/>
        </w:rPr>
        <w:t>-</w:t>
      </w:r>
      <w:r w:rsidRPr="00E06DFC">
        <w:rPr>
          <w:rFonts w:ascii="Times New Roman" w:hAnsi="Times New Roman" w:eastAsia="Times New Roman" w:cs="Times New Roman"/>
        </w:rPr>
        <w:t>specific, and included</w:t>
      </w:r>
      <w:r w:rsidRPr="00E06DFC" w:rsidR="005F5897">
        <w:rPr>
          <w:rFonts w:ascii="Times New Roman" w:hAnsi="Times New Roman" w:eastAsia="Times New Roman" w:cs="Times New Roman"/>
        </w:rPr>
        <w:t>:</w:t>
      </w:r>
      <w:r w:rsidRPr="00E06DFC">
        <w:rPr>
          <w:rFonts w:ascii="Times New Roman" w:hAnsi="Times New Roman" w:eastAsia="Times New Roman" w:cs="Times New Roman"/>
        </w:rPr>
        <w:t xml:space="preserve"> guaranteeing pluralism and the absence of compulsion or pressure (</w:t>
      </w:r>
      <w:r w:rsidRPr="00E06DFC" w:rsidR="00F63CE1">
        <w:rPr>
          <w:rFonts w:ascii="Times New Roman" w:hAnsi="Times New Roman" w:eastAsia="Times New Roman" w:cs="Times New Roman"/>
        </w:rPr>
        <w:t>ibid.</w:t>
      </w:r>
      <w:r w:rsidRPr="00E06DFC">
        <w:rPr>
          <w:rFonts w:ascii="Times New Roman" w:hAnsi="Times New Roman" w:eastAsia="Times New Roman" w:cs="Times New Roman"/>
        </w:rPr>
        <w:t>, §§ 106-08</w:t>
      </w:r>
      <w:r w:rsidRPr="00E06DFC" w:rsidR="00F63CE1">
        <w:rPr>
          <w:rFonts w:ascii="Times New Roman" w:hAnsi="Times New Roman" w:eastAsia="Times New Roman" w:cs="Times New Roman"/>
        </w:rPr>
        <w:t xml:space="preserve">; </w:t>
      </w:r>
      <w:r w:rsidRPr="00E06DFC" w:rsidR="00F63407">
        <w:rPr>
          <w:rFonts w:ascii="Times New Roman" w:hAnsi="Times New Roman" w:eastAsia="Times New Roman" w:cs="Times New Roman"/>
        </w:rPr>
        <w:t>the applicants also referred to</w:t>
      </w:r>
      <w:r w:rsidRPr="00E06DFC">
        <w:rPr>
          <w:rFonts w:ascii="Times New Roman" w:hAnsi="Times New Roman" w:eastAsia="Times New Roman" w:cs="Times New Roman"/>
        </w:rPr>
        <w:t xml:space="preserve"> </w:t>
      </w:r>
      <w:bookmarkStart w:name="_cl23729THELAW" w:id="61"/>
      <w:r w:rsidRPr="00E06DFC">
        <w:rPr>
          <w:rFonts w:ascii="Times New Roman" w:hAnsi="Times New Roman" w:eastAsia="Times New Roman" w:cs="Times New Roman"/>
          <w:i/>
          <w:iCs/>
        </w:rPr>
        <w:t>Communist Party of Russia and Others v. Russia</w:t>
      </w:r>
      <w:bookmarkEnd w:id="61"/>
      <w:r w:rsidRPr="00E06DFC">
        <w:rPr>
          <w:rFonts w:ascii="Times New Roman" w:hAnsi="Times New Roman" w:eastAsia="Times New Roman" w:cs="Times New Roman"/>
        </w:rPr>
        <w:t>, no. 29400/05, §§ 124</w:t>
      </w:r>
      <w:r w:rsidRPr="00E06DFC" w:rsidR="00F63CE1">
        <w:rPr>
          <w:rFonts w:ascii="Times New Roman" w:hAnsi="Times New Roman" w:eastAsia="Times New Roman" w:cs="Times New Roman"/>
        </w:rPr>
        <w:noBreakHyphen/>
      </w:r>
      <w:r w:rsidRPr="00E06DFC">
        <w:rPr>
          <w:rFonts w:ascii="Times New Roman" w:hAnsi="Times New Roman" w:eastAsia="Times New Roman" w:cs="Times New Roman"/>
        </w:rPr>
        <w:t>26, 19 June 2012)</w:t>
      </w:r>
      <w:r w:rsidRPr="00E06DFC" w:rsidR="005F5897">
        <w:rPr>
          <w:rFonts w:ascii="Times New Roman" w:hAnsi="Times New Roman" w:eastAsia="Times New Roman" w:cs="Times New Roman"/>
        </w:rPr>
        <w:t>;</w:t>
      </w:r>
      <w:r w:rsidRPr="00E06DFC">
        <w:rPr>
          <w:rFonts w:ascii="Times New Roman" w:hAnsi="Times New Roman" w:eastAsia="Times New Roman" w:cs="Times New Roman"/>
        </w:rPr>
        <w:t xml:space="preserve"> tackling threats to the fairness of the electoral process (see </w:t>
      </w:r>
      <w:bookmarkStart w:name="_cl37773THELAW" w:id="62"/>
      <w:r w:rsidRPr="00E06DFC">
        <w:rPr>
          <w:rFonts w:ascii="Times New Roman" w:hAnsi="Times New Roman" w:eastAsia="Times New Roman" w:cs="Times New Roman"/>
          <w:i/>
          <w:iCs/>
        </w:rPr>
        <w:t>The Georgian Labour Party v.</w:t>
      </w:r>
      <w:r w:rsidRPr="00E06DFC" w:rsidR="00BB25AD">
        <w:rPr>
          <w:rFonts w:ascii="Times New Roman" w:hAnsi="Times New Roman" w:eastAsia="Times New Roman" w:cs="Times New Roman"/>
          <w:i/>
          <w:iCs/>
        </w:rPr>
        <w:t> </w:t>
      </w:r>
      <w:r w:rsidRPr="00E06DFC">
        <w:rPr>
          <w:rFonts w:ascii="Times New Roman" w:hAnsi="Times New Roman" w:eastAsia="Times New Roman" w:cs="Times New Roman"/>
          <w:i/>
          <w:iCs/>
        </w:rPr>
        <w:t>Georgia</w:t>
      </w:r>
      <w:bookmarkEnd w:id="62"/>
      <w:r w:rsidRPr="00E06DFC">
        <w:rPr>
          <w:rFonts w:ascii="Times New Roman" w:hAnsi="Times New Roman" w:eastAsia="Times New Roman" w:cs="Times New Roman"/>
        </w:rPr>
        <w:t>, no. 9103/04, §§ 82-87, ECHR</w:t>
      </w:r>
      <w:r w:rsidRPr="00E06DFC" w:rsidR="00F63CE1">
        <w:rPr>
          <w:rFonts w:ascii="Times New Roman" w:hAnsi="Times New Roman" w:eastAsia="Times New Roman" w:cs="Times New Roman"/>
        </w:rPr>
        <w:t xml:space="preserve"> </w:t>
      </w:r>
      <w:r w:rsidRPr="00E06DFC">
        <w:rPr>
          <w:rFonts w:ascii="Times New Roman" w:hAnsi="Times New Roman" w:eastAsia="Times New Roman" w:cs="Times New Roman"/>
        </w:rPr>
        <w:t>2008)</w:t>
      </w:r>
      <w:r w:rsidRPr="00E06DFC" w:rsidR="005F5897">
        <w:rPr>
          <w:rFonts w:ascii="Times New Roman" w:hAnsi="Times New Roman" w:eastAsia="Times New Roman" w:cs="Times New Roman"/>
        </w:rPr>
        <w:t>;</w:t>
      </w:r>
      <w:r w:rsidRPr="00E06DFC">
        <w:rPr>
          <w:rFonts w:ascii="Times New Roman" w:hAnsi="Times New Roman" w:eastAsia="Times New Roman" w:cs="Times New Roman"/>
        </w:rPr>
        <w:t xml:space="preserve"> and establishing a system for the effective investigation of complaints and appeals in electoral matters (</w:t>
      </w:r>
      <w:bookmarkStart w:name="_cl20705THELAW" w:id="63"/>
      <w:r w:rsidRPr="00E06DFC">
        <w:rPr>
          <w:rFonts w:ascii="Times New Roman" w:hAnsi="Times New Roman" w:eastAsia="Times New Roman" w:cs="Times New Roman"/>
        </w:rPr>
        <w:t xml:space="preserve">see </w:t>
      </w:r>
      <w:bookmarkEnd w:id="63"/>
      <w:r w:rsidRPr="00E06DFC">
        <w:rPr>
          <w:i/>
          <w:iCs/>
        </w:rPr>
        <w:t>Namat Aliyev v. Azerbaijan</w:t>
      </w:r>
      <w:r w:rsidRPr="00E06DFC">
        <w:t>, no. 18705/06, § 81, 8</w:t>
      </w:r>
      <w:r w:rsidR="001A0097">
        <w:t> </w:t>
      </w:r>
      <w:r w:rsidRPr="00E06DFC">
        <w:t>April 2010</w:t>
      </w:r>
      <w:r w:rsidRPr="00E06DFC">
        <w:rPr>
          <w:rFonts w:ascii="Times New Roman" w:hAnsi="Times New Roman" w:eastAsia="Times New Roman" w:cs="Times New Roman"/>
        </w:rPr>
        <w:t>).</w:t>
      </w:r>
    </w:p>
    <w:p w:rsidRPr="00E06DFC" w:rsidR="00A8059F" w:rsidP="001D72B2" w14:paraId="6161C13C" w14:textId="6D4CE401">
      <w:pPr>
        <w:pStyle w:val="JuParaLast"/>
        <w:keepNext w:val="0"/>
        <w:keepLines w:val="0"/>
        <w:spacing w:before="0"/>
        <w:contextualSpacing/>
        <w:rPr>
          <w:rFonts w:ascii="Times New Roman" w:hAnsi="Times New Roman" w:eastAsia="Times New Roman" w:cs="Times New Roman"/>
        </w:rPr>
      </w:pP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 SEQ level0 \*arabic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noProof/>
        </w:rPr>
        <w:t>106</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The applicants pointed out that the Court had already found Article 3 of Protocol No. 1 to entail a positive obligation to ensure that electoral integrity was not undermined by improper domestic pressure (</w:t>
      </w:r>
      <w:r w:rsidRPr="00E06DFC" w:rsidR="00172B15">
        <w:rPr>
          <w:rFonts w:ascii="Times New Roman" w:hAnsi="Times New Roman" w:eastAsia="Times New Roman" w:cs="Times New Roman"/>
        </w:rPr>
        <w:t>they referred</w:t>
      </w:r>
      <w:r w:rsidRPr="00E06DFC">
        <w:rPr>
          <w:rFonts w:ascii="Times New Roman" w:hAnsi="Times New Roman" w:eastAsia="Times New Roman" w:cs="Times New Roman"/>
        </w:rPr>
        <w:t xml:space="preserve">, for example, </w:t>
      </w:r>
      <w:bookmarkStart w:name="_cl28826THELAW" w:id="64"/>
      <w:r w:rsidRPr="00E06DFC" w:rsidR="00172B15">
        <w:rPr>
          <w:rFonts w:ascii="Times New Roman" w:hAnsi="Times New Roman" w:eastAsia="Times New Roman" w:cs="Times New Roman"/>
        </w:rPr>
        <w:t xml:space="preserve">to </w:t>
      </w:r>
      <w:r w:rsidRPr="00E06DFC">
        <w:rPr>
          <w:rFonts w:ascii="Times New Roman" w:hAnsi="Times New Roman" w:eastAsia="Times New Roman" w:cs="Times New Roman"/>
          <w:i/>
          <w:iCs/>
        </w:rPr>
        <w:t>Karimov v. Azerbaijan</w:t>
      </w:r>
      <w:bookmarkEnd w:id="64"/>
      <w:r w:rsidRPr="00E06DFC">
        <w:rPr>
          <w:rFonts w:ascii="Times New Roman" w:hAnsi="Times New Roman" w:eastAsia="Times New Roman" w:cs="Times New Roman"/>
        </w:rPr>
        <w:t xml:space="preserve">, no. 12535/06, §§ 42-50, 25 September 2014; </w:t>
      </w:r>
      <w:r w:rsidRPr="00E06DFC">
        <w:rPr>
          <w:rFonts w:ascii="Times New Roman" w:hAnsi="Times New Roman" w:eastAsia="Times New Roman" w:cs="Times New Roman"/>
          <w:i/>
          <w:iCs/>
        </w:rPr>
        <w:t>Namat Aliyev</w:t>
      </w:r>
      <w:r w:rsidRPr="00E06DFC">
        <w:rPr>
          <w:rFonts w:ascii="Times New Roman" w:hAnsi="Times New Roman" w:eastAsia="Times New Roman" w:cs="Times New Roman"/>
        </w:rPr>
        <w:t xml:space="preserve">, cited above, §§ 70-90; and </w:t>
      </w:r>
      <w:r w:rsidRPr="00E06DFC">
        <w:rPr>
          <w:rFonts w:ascii="Times New Roman" w:hAnsi="Times New Roman" w:eastAsia="Times New Roman" w:cs="Times New Roman"/>
          <w:i/>
          <w:iCs/>
        </w:rPr>
        <w:t>Communist Party of Russia</w:t>
      </w:r>
      <w:r w:rsidRPr="00E06DFC" w:rsidR="007E4A23">
        <w:rPr>
          <w:rFonts w:ascii="Times New Roman" w:hAnsi="Times New Roman" w:eastAsia="Times New Roman" w:cs="Times New Roman"/>
          <w:i/>
          <w:iCs/>
        </w:rPr>
        <w:t xml:space="preserve"> and Others</w:t>
      </w:r>
      <w:r w:rsidRPr="00E06DFC">
        <w:rPr>
          <w:rFonts w:ascii="Times New Roman" w:hAnsi="Times New Roman" w:eastAsia="Times New Roman" w:cs="Times New Roman"/>
        </w:rPr>
        <w:t>, cited above, §§</w:t>
      </w:r>
      <w:r w:rsidR="004612D7">
        <w:rPr>
          <w:rFonts w:ascii="Times New Roman" w:hAnsi="Times New Roman" w:eastAsia="Times New Roman" w:cs="Times New Roman"/>
        </w:rPr>
        <w:t> </w:t>
      </w:r>
      <w:r w:rsidRPr="00E06DFC">
        <w:rPr>
          <w:rFonts w:ascii="Times New Roman" w:hAnsi="Times New Roman" w:eastAsia="Times New Roman" w:cs="Times New Roman"/>
        </w:rPr>
        <w:t>107-29). It had specifically (if indirectly) adverted to the risks of direct, malicious interference in elections, and the need to safeguard against this (</w:t>
      </w:r>
      <w:r w:rsidRPr="00E06DFC" w:rsidR="00F63407">
        <w:rPr>
          <w:rFonts w:ascii="Times New Roman" w:hAnsi="Times New Roman" w:eastAsia="Times New Roman" w:cs="Times New Roman"/>
        </w:rPr>
        <w:t>the applicants referred to</w:t>
      </w:r>
      <w:r w:rsidRPr="00E06DFC">
        <w:rPr>
          <w:rFonts w:ascii="Times New Roman" w:hAnsi="Times New Roman" w:eastAsia="Times New Roman" w:cs="Times New Roman"/>
        </w:rPr>
        <w:t xml:space="preserve"> </w:t>
      </w:r>
      <w:r w:rsidRPr="00E06DFC">
        <w:rPr>
          <w:rFonts w:ascii="Times New Roman" w:hAnsi="Times New Roman" w:eastAsia="Times New Roman" w:cs="Times New Roman"/>
          <w:i/>
          <w:iCs/>
        </w:rPr>
        <w:t>Communist Party of Russia</w:t>
      </w:r>
      <w:r w:rsidRPr="00E06DFC" w:rsidR="007E4A23">
        <w:rPr>
          <w:rFonts w:ascii="Times New Roman" w:hAnsi="Times New Roman" w:eastAsia="Times New Roman" w:cs="Times New Roman"/>
          <w:i/>
          <w:iCs/>
        </w:rPr>
        <w:t xml:space="preserve"> and Others</w:t>
      </w:r>
      <w:r w:rsidRPr="00E06DFC">
        <w:rPr>
          <w:rFonts w:ascii="Times New Roman" w:hAnsi="Times New Roman" w:eastAsia="Times New Roman" w:cs="Times New Roman"/>
        </w:rPr>
        <w:t xml:space="preserve">, cited above, § 123), and </w:t>
      </w:r>
      <w:r w:rsidRPr="00E06DFC" w:rsidR="005F5897">
        <w:rPr>
          <w:rFonts w:ascii="Times New Roman" w:hAnsi="Times New Roman" w:eastAsia="Times New Roman" w:cs="Times New Roman"/>
        </w:rPr>
        <w:t xml:space="preserve">had </w:t>
      </w:r>
      <w:r w:rsidRPr="00E06DFC">
        <w:rPr>
          <w:rFonts w:ascii="Times New Roman" w:hAnsi="Times New Roman" w:eastAsia="Times New Roman" w:cs="Times New Roman"/>
        </w:rPr>
        <w:t>confirmed that electoral interference having an “undue influence on voter choice” was an irregularity of a type which could thwart the democratic nature of an election (</w:t>
      </w:r>
      <w:r w:rsidRPr="00E06DFC" w:rsidR="00F63407">
        <w:rPr>
          <w:rFonts w:ascii="Times New Roman" w:hAnsi="Times New Roman" w:eastAsia="Times New Roman" w:cs="Times New Roman"/>
        </w:rPr>
        <w:t xml:space="preserve">the applicants referred to </w:t>
      </w:r>
      <w:bookmarkStart w:name="_cl26107THELAW" w:id="65"/>
      <w:r w:rsidRPr="00E06DFC">
        <w:rPr>
          <w:rFonts w:ascii="Times New Roman" w:hAnsi="Times New Roman" w:eastAsia="Times New Roman" w:cs="Times New Roman"/>
          <w:i/>
          <w:iCs/>
        </w:rPr>
        <w:t>Gahramanli</w:t>
      </w:r>
      <w:r w:rsidRPr="00E06DFC">
        <w:rPr>
          <w:rFonts w:ascii="Times New Roman" w:hAnsi="Times New Roman" w:eastAsia="Times New Roman" w:cs="Times New Roman"/>
          <w:i/>
          <w:iCs/>
        </w:rPr>
        <w:t xml:space="preserve"> and Others v. Azerbaijan</w:t>
      </w:r>
      <w:bookmarkEnd w:id="65"/>
      <w:r w:rsidRPr="00E06DFC">
        <w:rPr>
          <w:rFonts w:ascii="Times New Roman" w:hAnsi="Times New Roman" w:eastAsia="Times New Roman" w:cs="Times New Roman"/>
        </w:rPr>
        <w:t>, no. 36503/11, §</w:t>
      </w:r>
      <w:r w:rsidR="00497565">
        <w:rPr>
          <w:rFonts w:ascii="Times New Roman" w:hAnsi="Times New Roman" w:eastAsia="Times New Roman" w:cs="Times New Roman"/>
        </w:rPr>
        <w:t> </w:t>
      </w:r>
      <w:r w:rsidRPr="00E06DFC">
        <w:rPr>
          <w:rFonts w:ascii="Times New Roman" w:hAnsi="Times New Roman" w:eastAsia="Times New Roman" w:cs="Times New Roman"/>
        </w:rPr>
        <w:t>73, 8 October 2015). In their view, as there was no principled difference between threats emanating from the domestic sphere (even from the State itself) and threats emanating from abroad, Article 3 of Protocol</w:t>
      </w:r>
      <w:r w:rsidRPr="00E06DFC" w:rsidR="00F63CE1">
        <w:rPr>
          <w:rFonts w:ascii="Times New Roman" w:hAnsi="Times New Roman" w:eastAsia="Times New Roman" w:cs="Times New Roman"/>
        </w:rPr>
        <w:t xml:space="preserve"> </w:t>
      </w:r>
      <w:r w:rsidRPr="00E06DFC">
        <w:rPr>
          <w:rFonts w:ascii="Times New Roman" w:hAnsi="Times New Roman" w:eastAsia="Times New Roman" w:cs="Times New Roman"/>
        </w:rPr>
        <w:t>No.</w:t>
      </w:r>
      <w:r w:rsidRPr="00E06DFC" w:rsidR="00F92F09">
        <w:rPr>
          <w:rFonts w:ascii="Times New Roman" w:hAnsi="Times New Roman" w:eastAsia="Times New Roman" w:cs="Times New Roman"/>
        </w:rPr>
        <w:t> </w:t>
      </w:r>
      <w:r w:rsidRPr="00E06DFC">
        <w:rPr>
          <w:rFonts w:ascii="Times New Roman" w:hAnsi="Times New Roman" w:eastAsia="Times New Roman" w:cs="Times New Roman"/>
        </w:rPr>
        <w:t>1 also had to include a positive obligation to protect an electoral system from external pressure, interference or attacks by foreign actors.</w:t>
      </w:r>
      <w:r w:rsidRPr="00E06DFC" w:rsidR="00F92F09">
        <w:rPr>
          <w:rFonts w:ascii="Times New Roman" w:hAnsi="Times New Roman" w:eastAsia="Times New Roman" w:cs="Times New Roman"/>
        </w:rPr>
        <w:t xml:space="preserve"> </w:t>
      </w:r>
      <w:r w:rsidRPr="00E06DFC">
        <w:rPr>
          <w:rFonts w:ascii="Times New Roman" w:hAnsi="Times New Roman" w:eastAsia="Times New Roman" w:cs="Times New Roman"/>
        </w:rPr>
        <w:t>The acknowledgment of such an obligation would not expand the scope of the primary right under Article 3 of Protocol No. 1.</w:t>
      </w:r>
    </w:p>
    <w:p w:rsidRPr="00E06DFC" w:rsidR="00A8059F" w:rsidP="001D72B2" w14:paraId="7E3F0BB6" w14:textId="6C745B44">
      <w:pPr>
        <w:pStyle w:val="JuParaLast"/>
        <w:keepNext w:val="0"/>
        <w:keepLines w:val="0"/>
        <w:spacing w:before="0"/>
        <w:contextualSpacing/>
        <w:rPr>
          <w:rFonts w:ascii="Times New Roman" w:hAnsi="Times New Roman" w:eastAsia="Times New Roman" w:cs="Times New Roman"/>
        </w:rPr>
      </w:pP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 SEQ level0 \*arabic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noProof/>
        </w:rPr>
        <w:t>107</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In the applicants</w:t>
      </w:r>
      <w:r w:rsidRPr="00E06DFC" w:rsidR="001D72B2">
        <w:rPr>
          <w:rFonts w:ascii="Times New Roman" w:hAnsi="Times New Roman" w:eastAsia="Times New Roman" w:cs="Times New Roman"/>
        </w:rPr>
        <w:t>’</w:t>
      </w:r>
      <w:r w:rsidRPr="00E06DFC">
        <w:rPr>
          <w:rFonts w:ascii="Times New Roman" w:hAnsi="Times New Roman" w:eastAsia="Times New Roman" w:cs="Times New Roman"/>
        </w:rPr>
        <w:t xml:space="preserve"> view, the Government were therefore wrong to suggest that the obligations under Article 3 of Protocol No. 1 were principally negative, and that the only positive duty under that Article was to have in place a reasonably effective independent system of remedies for breaches of electoral law (see the Government</w:t>
      </w:r>
      <w:r w:rsidRPr="00E06DFC" w:rsidR="001D72B2">
        <w:rPr>
          <w:rFonts w:ascii="Times New Roman" w:hAnsi="Times New Roman" w:eastAsia="Times New Roman" w:cs="Times New Roman"/>
        </w:rPr>
        <w:t>’</w:t>
      </w:r>
      <w:r w:rsidRPr="00E06DFC">
        <w:rPr>
          <w:rFonts w:ascii="Times New Roman" w:hAnsi="Times New Roman" w:eastAsia="Times New Roman" w:cs="Times New Roman"/>
        </w:rPr>
        <w:t>s submissions summarised in paragraph </w:t>
      </w: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REF paragraph00100 \h \* CharFormat </w:instrText>
      </w:r>
      <w:r w:rsidRPr="00E06DFC" w:rsidR="00961252">
        <w:rPr>
          <w:rFonts w:ascii="Times New Roman" w:hAnsi="Times New Roman" w:eastAsia="Times New Roman" w:cs="Times New Roman"/>
        </w:rPr>
        <w:instrText xml:space="preserve">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rPr>
        <w:t>100</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xml:space="preserve"> above). In this regard it was noteworthy that when the Grand Chamber considered the duty to have in place a system of remedies</w:t>
      </w:r>
      <w:r w:rsidRPr="00E06DFC" w:rsidR="00F63CE1">
        <w:rPr>
          <w:rFonts w:ascii="Times New Roman" w:hAnsi="Times New Roman" w:eastAsia="Times New Roman" w:cs="Times New Roman"/>
        </w:rPr>
        <w:t>,</w:t>
      </w:r>
      <w:r w:rsidRPr="00E06DFC">
        <w:rPr>
          <w:rFonts w:ascii="Times New Roman" w:hAnsi="Times New Roman" w:eastAsia="Times New Roman" w:cs="Times New Roman"/>
        </w:rPr>
        <w:t xml:space="preserve"> it described it as “an important device at the State</w:t>
      </w:r>
      <w:r w:rsidRPr="00E06DFC" w:rsidR="001D72B2">
        <w:rPr>
          <w:rFonts w:ascii="Times New Roman" w:hAnsi="Times New Roman" w:eastAsia="Times New Roman" w:cs="Times New Roman"/>
        </w:rPr>
        <w:t>’</w:t>
      </w:r>
      <w:r w:rsidRPr="00E06DFC">
        <w:rPr>
          <w:rFonts w:ascii="Times New Roman" w:hAnsi="Times New Roman" w:eastAsia="Times New Roman" w:cs="Times New Roman"/>
        </w:rPr>
        <w:t xml:space="preserve">s disposal in achieving the fulfilment of its positive duty” under Article 3 of Protocol No. 1 (see </w:t>
      </w:r>
      <w:bookmarkStart w:name="_cl32370THELAW" w:id="66"/>
      <w:r w:rsidRPr="00E06DFC">
        <w:rPr>
          <w:rFonts w:ascii="Times New Roman" w:hAnsi="Times New Roman" w:eastAsia="Times New Roman" w:cs="Times New Roman"/>
          <w:i/>
          <w:iCs/>
        </w:rPr>
        <w:t>Mugemangango</w:t>
      </w:r>
      <w:r w:rsidRPr="00E06DFC">
        <w:rPr>
          <w:rFonts w:ascii="Times New Roman" w:hAnsi="Times New Roman" w:eastAsia="Times New Roman" w:cs="Times New Roman"/>
          <w:i/>
          <w:iCs/>
        </w:rPr>
        <w:t xml:space="preserve"> v. Belgium</w:t>
      </w:r>
      <w:bookmarkEnd w:id="66"/>
      <w:r w:rsidRPr="00E06DFC">
        <w:rPr>
          <w:rFonts w:ascii="Times New Roman" w:hAnsi="Times New Roman" w:eastAsia="Times New Roman" w:cs="Times New Roman"/>
        </w:rPr>
        <w:t xml:space="preserve"> [GC], no. 310/15, § 69, 10 July 2020).</w:t>
      </w:r>
    </w:p>
    <w:p w:rsidRPr="00E06DFC" w:rsidR="00A8059F" w:rsidP="001D72B2" w14:paraId="53B14684" w14:textId="646A69DE">
      <w:pPr>
        <w:pStyle w:val="JuParaLast"/>
        <w:keepNext w:val="0"/>
        <w:keepLines w:val="0"/>
        <w:spacing w:before="0"/>
        <w:contextualSpacing/>
        <w:rPr>
          <w:rFonts w:ascii="Times New Roman" w:hAnsi="Times New Roman" w:eastAsia="Times New Roman" w:cs="Times New Roman"/>
        </w:rPr>
      </w:pP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 SEQ level0 \*arabic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noProof/>
        </w:rPr>
        <w:t>108</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According to the applicants, a necessary corollary of the State</w:t>
      </w:r>
      <w:r w:rsidRPr="00E06DFC" w:rsidR="001D72B2">
        <w:rPr>
          <w:rFonts w:ascii="Times New Roman" w:hAnsi="Times New Roman" w:eastAsia="Times New Roman" w:cs="Times New Roman"/>
        </w:rPr>
        <w:t>’</w:t>
      </w:r>
      <w:r w:rsidRPr="00E06DFC">
        <w:rPr>
          <w:rFonts w:ascii="Times New Roman" w:hAnsi="Times New Roman" w:eastAsia="Times New Roman" w:cs="Times New Roman"/>
        </w:rPr>
        <w:t>s overarching obligation to organise democratic elections under conditions which would ensure the free expression of the opinion of the people in the choice of the legislature was a duty to investigate credible allegations of electoral irregularities or interferences which threatened to undermine the integrity and effectiveness of an electoral procedure aimed at identifying the will of the people through universal suffrage. The State could not properly determine which positive measures to adopt to ensure that the free expression of the opinion of the people was respected if it had failed to investigate or had turned a blind eye to credible allegations of interferences which threatened to undermine that fundamental principle.</w:t>
      </w:r>
    </w:p>
    <w:bookmarkStart w:name="paragraph00109" w:id="67"/>
    <w:p w:rsidRPr="00E06DFC" w:rsidR="00A8059F" w:rsidP="001D72B2" w14:paraId="52EB2A77" w14:textId="28BC0D7F">
      <w:pPr>
        <w:pStyle w:val="JuParaLast"/>
        <w:keepNext w:val="0"/>
        <w:keepLines w:val="0"/>
        <w:spacing w:before="0"/>
        <w:contextualSpacing/>
        <w:rPr>
          <w:rFonts w:ascii="Times New Roman" w:hAnsi="Times New Roman" w:eastAsia="Times New Roman" w:cs="Times New Roman"/>
        </w:rPr>
      </w:pP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 SEQ level0 \*arabic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noProof/>
        </w:rPr>
        <w:t>109</w:t>
      </w:r>
      <w:r w:rsidRPr="00E06DFC">
        <w:rPr>
          <w:rFonts w:ascii="Times New Roman" w:hAnsi="Times New Roman" w:eastAsia="Times New Roman" w:cs="Times New Roman"/>
        </w:rPr>
        <w:fldChar w:fldCharType="end"/>
      </w:r>
      <w:bookmarkEnd w:id="67"/>
      <w:r w:rsidRPr="00E06DFC">
        <w:rPr>
          <w:rFonts w:ascii="Times New Roman" w:hAnsi="Times New Roman" w:eastAsia="Times New Roman" w:cs="Times New Roman"/>
        </w:rPr>
        <w:t xml:space="preserve">.  Consequently, the applicants argued that when faced with credible evidence of improper interference in an election, the State was obliged to take additional steps to obtain more information and verify the accuracy of the allegations (see </w:t>
      </w:r>
      <w:r w:rsidRPr="00E06DFC">
        <w:rPr>
          <w:rFonts w:ascii="Times New Roman" w:hAnsi="Times New Roman" w:eastAsia="Times New Roman" w:cs="Times New Roman"/>
          <w:i/>
          <w:iCs/>
        </w:rPr>
        <w:t>Namat Aliyev</w:t>
      </w:r>
      <w:r w:rsidRPr="00E06DFC">
        <w:rPr>
          <w:rFonts w:ascii="Times New Roman" w:hAnsi="Times New Roman" w:eastAsia="Times New Roman" w:cs="Times New Roman"/>
        </w:rPr>
        <w:t xml:space="preserve">, cited above, § 88). The Court had previously identified a requirement to investigate the circumstances leading to the breach of a positive obligation in order to avoid repetition (see, for example, </w:t>
      </w:r>
      <w:bookmarkStart w:name="_cl32145THELAW" w:id="68"/>
      <w:bookmarkStart w:name="_cl31565THELAW" w:id="69"/>
      <w:r w:rsidRPr="00E06DFC">
        <w:rPr>
          <w:rFonts w:ascii="Times New Roman" w:hAnsi="Times New Roman" w:eastAsia="Times New Roman" w:cs="Times New Roman"/>
          <w:i/>
          <w:iCs/>
        </w:rPr>
        <w:t>Mocanu and Others v. Romania</w:t>
      </w:r>
      <w:bookmarkEnd w:id="68"/>
      <w:r w:rsidRPr="00E06DFC">
        <w:rPr>
          <w:rFonts w:ascii="Times New Roman" w:hAnsi="Times New Roman" w:eastAsia="Times New Roman" w:cs="Times New Roman"/>
        </w:rPr>
        <w:t xml:space="preserve"> [GC], nos. 10865/09 and 2 others, §§ 317</w:t>
      </w:r>
      <w:r w:rsidRPr="00E06DFC" w:rsidR="00350490">
        <w:rPr>
          <w:rFonts w:ascii="Times New Roman" w:hAnsi="Times New Roman" w:eastAsia="Times New Roman" w:cs="Times New Roman"/>
        </w:rPr>
        <w:noBreakHyphen/>
      </w:r>
      <w:r w:rsidRPr="00E06DFC">
        <w:rPr>
          <w:rFonts w:ascii="Times New Roman" w:hAnsi="Times New Roman" w:eastAsia="Times New Roman" w:cs="Times New Roman"/>
        </w:rPr>
        <w:t>18, ECHR</w:t>
      </w:r>
      <w:r w:rsidRPr="00E06DFC" w:rsidR="00F63CE1">
        <w:rPr>
          <w:rFonts w:ascii="Times New Roman" w:hAnsi="Times New Roman" w:eastAsia="Times New Roman" w:cs="Times New Roman"/>
        </w:rPr>
        <w:t xml:space="preserve"> </w:t>
      </w:r>
      <w:r w:rsidRPr="00E06DFC">
        <w:rPr>
          <w:rFonts w:ascii="Times New Roman" w:hAnsi="Times New Roman" w:eastAsia="Times New Roman" w:cs="Times New Roman"/>
        </w:rPr>
        <w:t xml:space="preserve">2014, and </w:t>
      </w:r>
      <w:r w:rsidRPr="00E06DFC">
        <w:rPr>
          <w:rFonts w:ascii="Times New Roman" w:hAnsi="Times New Roman" w:eastAsia="Times New Roman" w:cs="Times New Roman"/>
          <w:i/>
          <w:iCs/>
        </w:rPr>
        <w:t>McCann</w:t>
      </w:r>
      <w:r w:rsidRPr="00E9157B">
        <w:rPr>
          <w:rFonts w:ascii="Times New Roman" w:hAnsi="Times New Roman" w:eastAsia="Times New Roman" w:cs="Times New Roman"/>
          <w:i/>
          <w:iCs/>
        </w:rPr>
        <w:t xml:space="preserve"> </w:t>
      </w:r>
      <w:r w:rsidRPr="00E06DFC">
        <w:rPr>
          <w:rFonts w:ascii="Times New Roman" w:hAnsi="Times New Roman" w:eastAsia="Times New Roman" w:cs="Times New Roman"/>
          <w:i/>
          <w:iCs/>
        </w:rPr>
        <w:t>and Others v. the United Kingdom</w:t>
      </w:r>
      <w:bookmarkEnd w:id="69"/>
      <w:r w:rsidRPr="00E06DFC">
        <w:rPr>
          <w:rFonts w:ascii="Times New Roman" w:hAnsi="Times New Roman" w:eastAsia="Times New Roman" w:cs="Times New Roman"/>
        </w:rPr>
        <w:t>, 27</w:t>
      </w:r>
      <w:r w:rsidRPr="00E06DFC" w:rsidR="00F92F09">
        <w:rPr>
          <w:rFonts w:ascii="Times New Roman" w:hAnsi="Times New Roman" w:eastAsia="Times New Roman" w:cs="Times New Roman"/>
        </w:rPr>
        <w:t> </w:t>
      </w:r>
      <w:r w:rsidRPr="00E06DFC">
        <w:rPr>
          <w:rFonts w:ascii="Times New Roman" w:hAnsi="Times New Roman" w:eastAsia="Times New Roman" w:cs="Times New Roman"/>
        </w:rPr>
        <w:t>September 1995, §§ 146 and 161, Series A no. 324) and the same reasoning underpinned and informed the positive obligation to investigate in the context of Article 3 of Protocol No. 1: the investigation had to ensure, as far as possible, that the full facts were identified so that lessons could be learned and implemented. Such an obligation was necessary for the right in Article 3 of Protocol No. 1 to be practical and effective and neither impinged on the Contracting States</w:t>
      </w:r>
      <w:r w:rsidRPr="00E06DFC" w:rsidR="001D72B2">
        <w:rPr>
          <w:rFonts w:ascii="Times New Roman" w:hAnsi="Times New Roman" w:eastAsia="Times New Roman" w:cs="Times New Roman"/>
        </w:rPr>
        <w:t>’</w:t>
      </w:r>
      <w:r w:rsidRPr="00E06DFC">
        <w:rPr>
          <w:rFonts w:ascii="Times New Roman" w:hAnsi="Times New Roman" w:eastAsia="Times New Roman" w:cs="Times New Roman"/>
        </w:rPr>
        <w:t xml:space="preserve"> wide margin of appreciation nor interfered with their broad latitude in moulding their own democratic vision.</w:t>
      </w:r>
    </w:p>
    <w:p w:rsidRPr="00FC1073" w:rsidR="00A8059F" w:rsidP="001D72B2" w14:paraId="22C90261" w14:textId="14E6F058">
      <w:pPr>
        <w:pStyle w:val="JuParaLast"/>
        <w:keepNext w:val="0"/>
        <w:keepLines w:val="0"/>
        <w:spacing w:before="0"/>
        <w:contextualSpacing/>
        <w:rPr>
          <w:rFonts w:ascii="Times New Roman" w:hAnsi="Times New Roman" w:eastAsia="Times New Roman" w:cs="Times New Roman"/>
        </w:rPr>
      </w:pP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 SEQ level0 \*arabic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noProof/>
        </w:rPr>
        <w:t>110</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Furthermore, the applicants argued that the contention that an investigatory obligation would engage the courts in a highly politicised and contested context (see the Government</w:t>
      </w:r>
      <w:r w:rsidRPr="00E06DFC" w:rsidR="001D72B2">
        <w:rPr>
          <w:rFonts w:ascii="Times New Roman" w:hAnsi="Times New Roman" w:eastAsia="Times New Roman" w:cs="Times New Roman"/>
        </w:rPr>
        <w:t>’</w:t>
      </w:r>
      <w:r w:rsidRPr="00E06DFC">
        <w:rPr>
          <w:rFonts w:ascii="Times New Roman" w:hAnsi="Times New Roman" w:eastAsia="Times New Roman" w:cs="Times New Roman"/>
        </w:rPr>
        <w:t xml:space="preserve">s submissions summarised in paragraph </w:t>
      </w: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REF paragraph00103 \h \* CharFormat </w:instrText>
      </w:r>
      <w:r w:rsidRPr="00E06DFC" w:rsidR="00961252">
        <w:rPr>
          <w:rFonts w:ascii="Times New Roman" w:hAnsi="Times New Roman" w:eastAsia="Times New Roman" w:cs="Times New Roman"/>
        </w:rPr>
        <w:instrText xml:space="preserve">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rPr>
        <w:t>103</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xml:space="preserve"> above) was no answer to their claim, since all claims of violations of Article 3 of Protocol No. 1 occurred in such a context.</w:t>
      </w:r>
    </w:p>
    <w:p w:rsidRPr="008C5B81" w:rsidR="00A8059F" w:rsidP="001D72B2" w14:paraId="146D1357" w14:textId="515E78F5">
      <w:pPr>
        <w:pStyle w:val="JuParaLast"/>
        <w:keepNext w:val="0"/>
        <w:keepLines w:val="0"/>
        <w:spacing w:before="0"/>
        <w:contextualSpacing/>
        <w:rPr>
          <w:rFonts w:ascii="Times New Roman" w:hAnsi="Times New Roman" w:eastAsia="Times New Roman" w:cs="Times New Roman"/>
        </w:rPr>
      </w:pPr>
      <w:r w:rsidRPr="00FC1073">
        <w:rPr>
          <w:rFonts w:ascii="Times New Roman" w:hAnsi="Times New Roman" w:eastAsia="Times New Roman" w:cs="Times New Roman"/>
        </w:rPr>
        <w:fldChar w:fldCharType="begin"/>
      </w:r>
      <w:r w:rsidRPr="00FC1073">
        <w:rPr>
          <w:rFonts w:ascii="Times New Roman" w:hAnsi="Times New Roman" w:eastAsia="Times New Roman" w:cs="Times New Roman"/>
        </w:rPr>
        <w:instrText xml:space="preserve"> SEQ level0 \*arabic \* MERGEFORMAT </w:instrText>
      </w:r>
      <w:r w:rsidRPr="00FC1073">
        <w:rPr>
          <w:rFonts w:ascii="Times New Roman" w:hAnsi="Times New Roman" w:eastAsia="Times New Roman" w:cs="Times New Roman"/>
        </w:rPr>
        <w:fldChar w:fldCharType="separate"/>
      </w:r>
      <w:r w:rsidR="00A00646">
        <w:rPr>
          <w:rFonts w:ascii="Times New Roman" w:hAnsi="Times New Roman" w:eastAsia="Times New Roman" w:cs="Times New Roman"/>
          <w:noProof/>
        </w:rPr>
        <w:t>111</w:t>
      </w:r>
      <w:r w:rsidRPr="00FC1073">
        <w:rPr>
          <w:rFonts w:ascii="Times New Roman" w:hAnsi="Times New Roman" w:eastAsia="Times New Roman" w:cs="Times New Roman"/>
        </w:rPr>
        <w:fldChar w:fldCharType="end"/>
      </w:r>
      <w:r w:rsidRPr="00FC1073">
        <w:rPr>
          <w:rFonts w:ascii="Times New Roman" w:hAnsi="Times New Roman" w:eastAsia="Times New Roman" w:cs="Times New Roman"/>
        </w:rPr>
        <w:t>.  </w:t>
      </w:r>
      <w:r w:rsidRPr="00E06DFC">
        <w:rPr>
          <w:rFonts w:ascii="Times New Roman" w:hAnsi="Times New Roman" w:eastAsia="Times New Roman" w:cs="Times New Roman"/>
        </w:rPr>
        <w:t xml:space="preserve">As </w:t>
      </w:r>
      <w:r w:rsidRPr="00E06DFC" w:rsidR="000272C7">
        <w:rPr>
          <w:rFonts w:ascii="Times New Roman" w:hAnsi="Times New Roman" w:eastAsia="Times New Roman" w:cs="Times New Roman"/>
        </w:rPr>
        <w:t>to</w:t>
      </w:r>
      <w:r w:rsidRPr="00E06DFC">
        <w:rPr>
          <w:rFonts w:ascii="Times New Roman" w:hAnsi="Times New Roman" w:eastAsia="Times New Roman" w:cs="Times New Roman"/>
        </w:rPr>
        <w:t xml:space="preserve"> whether the investigatory obligation was triggered in the present case, the applicants argued that the Government could not rely on the </w:t>
      </w:r>
      <w:r w:rsidRPr="00E06DFC">
        <w:rPr>
          <w:rFonts w:ascii="Times New Roman" w:hAnsi="Times New Roman" w:eastAsia="Times New Roman" w:cs="Times New Roman"/>
        </w:rPr>
        <w:t xml:space="preserve">absence of evidence that Russian interference had altered the outcome of an election in a case where the very subject matter of the complaint was that the Government </w:t>
      </w:r>
      <w:r w:rsidRPr="008C5B81">
        <w:rPr>
          <w:rFonts w:ascii="Times New Roman" w:hAnsi="Times New Roman" w:eastAsia="Times New Roman" w:cs="Times New Roman"/>
        </w:rPr>
        <w:t>had failed to investigate that issue. It was sufficient that there was evidence that interference had occurred.</w:t>
      </w:r>
    </w:p>
    <w:p w:rsidRPr="008C5B81" w:rsidR="00A8059F" w:rsidP="001D72B2" w14:paraId="378BAAC0" w14:textId="62F7E039">
      <w:pPr>
        <w:pStyle w:val="JuH1"/>
        <w:rPr>
          <w:rFonts w:eastAsiaTheme="minorHAnsi"/>
        </w:rPr>
      </w:pPr>
      <w:r w:rsidRPr="008C5B81">
        <w:rPr>
          <w:rFonts w:eastAsiaTheme="minorHAnsi"/>
        </w:rPr>
        <w:t>The Court</w:t>
      </w:r>
      <w:r w:rsidRPr="008C5B81" w:rsidR="001D72B2">
        <w:rPr>
          <w:rFonts w:eastAsiaTheme="minorHAnsi"/>
        </w:rPr>
        <w:t>’</w:t>
      </w:r>
      <w:r w:rsidRPr="008C5B81">
        <w:rPr>
          <w:rFonts w:eastAsiaTheme="minorHAnsi"/>
        </w:rPr>
        <w:t>s assessment</w:t>
      </w:r>
    </w:p>
    <w:p w:rsidRPr="008C5B81" w:rsidR="00A8059F" w:rsidP="001D72B2" w14:paraId="04225FCB" w14:textId="77777777">
      <w:pPr>
        <w:pStyle w:val="JuHa0"/>
        <w:rPr>
          <w:rFonts w:eastAsia="MingLiU"/>
        </w:rPr>
      </w:pPr>
      <w:r w:rsidRPr="008C5B81">
        <w:rPr>
          <w:rFonts w:eastAsia="MingLiU"/>
        </w:rPr>
        <w:t>General principles</w:t>
      </w:r>
    </w:p>
    <w:p w:rsidRPr="008C5B81" w:rsidR="00A8059F" w:rsidP="001D72B2" w14:paraId="35C1B2A2" w14:textId="77777777">
      <w:pPr>
        <w:pStyle w:val="JuHi"/>
        <w:rPr>
          <w:rFonts w:eastAsia="MingLiU"/>
        </w:rPr>
      </w:pPr>
      <w:r w:rsidRPr="008C5B81">
        <w:rPr>
          <w:rFonts w:eastAsia="MingLiU"/>
        </w:rPr>
        <w:t>Democracy and its protection in the Convention system</w:t>
      </w:r>
    </w:p>
    <w:p w:rsidRPr="008C5B81" w:rsidR="00A8059F" w:rsidP="001D72B2" w14:paraId="62EEBA0E" w14:textId="30533535">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112</w:t>
      </w:r>
      <w:r w:rsidRPr="008C5B81">
        <w:rPr>
          <w:rFonts w:eastAsia="Times New Roman"/>
        </w:rPr>
        <w:fldChar w:fldCharType="end"/>
      </w:r>
      <w:r w:rsidRPr="008C5B81">
        <w:rPr>
          <w:rFonts w:eastAsia="Times New Roman"/>
        </w:rPr>
        <w:t xml:space="preserve">.  Democracy constitutes a fundamental element of the “European public order”. That is apparent, firstly, from the Preamble to the Convention, which establishes a very clear connection between the Convention and democracy by stating that the maintenance and further realisation of human rights and fundamental freedoms are best ensured on the one hand by an effective political democracy and on the other by a common understanding and observance of human rights. The Preamble goes on to affirm that European countries have a common heritage of political traditions, ideals, freedom and the rule of law. This common heritage consists in the underlying values of the Convention; thus, the Court has pointed out on many occasions that the Convention was in fact designed to maintain and promote the ideals and values of a democratic society. In other words, democracy is the only political model contemplated by the Convention and, accordingly, the only one compatible with it (see, among many authorities, </w:t>
      </w:r>
      <w:r w:rsidRPr="008C5B81">
        <w:rPr>
          <w:rFonts w:eastAsia="Times New Roman"/>
          <w:i/>
          <w:iCs/>
        </w:rPr>
        <w:t>Ždanoka</w:t>
      </w:r>
      <w:r w:rsidRPr="008C5B81">
        <w:rPr>
          <w:rFonts w:eastAsia="Times New Roman"/>
          <w:i/>
          <w:iCs/>
        </w:rPr>
        <w:t xml:space="preserve"> v. Latvia</w:t>
      </w:r>
      <w:r w:rsidRPr="008C5B81">
        <w:rPr>
          <w:rFonts w:eastAsia="Times New Roman"/>
        </w:rPr>
        <w:t xml:space="preserve"> [GC], no. 58278/00, § 98, ECHR</w:t>
      </w:r>
      <w:r w:rsidRPr="008C5B81" w:rsidR="00F63CE1">
        <w:rPr>
          <w:rFonts w:eastAsia="Times New Roman"/>
        </w:rPr>
        <w:t xml:space="preserve"> </w:t>
      </w:r>
      <w:r w:rsidRPr="008C5B81">
        <w:rPr>
          <w:rFonts w:eastAsia="Times New Roman"/>
        </w:rPr>
        <w:t>2006</w:t>
      </w:r>
      <w:r w:rsidRPr="008C5B81">
        <w:rPr>
          <w:rFonts w:eastAsia="Times New Roman"/>
        </w:rPr>
        <w:noBreakHyphen/>
        <w:t>IV</w:t>
      </w:r>
      <w:r w:rsidRPr="008C5B81" w:rsidR="00F63CE1">
        <w:rPr>
          <w:rFonts w:eastAsia="Times New Roman"/>
        </w:rPr>
        <w:t>,</w:t>
      </w:r>
      <w:r w:rsidRPr="008C5B81">
        <w:rPr>
          <w:rFonts w:eastAsia="Times New Roman"/>
        </w:rPr>
        <w:t xml:space="preserve"> and </w:t>
      </w:r>
      <w:r w:rsidRPr="008C5B81">
        <w:rPr>
          <w:rFonts w:eastAsia="Times New Roman"/>
          <w:i/>
          <w:iCs/>
        </w:rPr>
        <w:t>United Communist Party of Turkey and Others v. Turkey</w:t>
      </w:r>
      <w:r w:rsidRPr="008C5B81">
        <w:rPr>
          <w:rFonts w:eastAsia="Times New Roman"/>
        </w:rPr>
        <w:t xml:space="preserve">, 30 January 1998, § 45, </w:t>
      </w:r>
      <w:r w:rsidRPr="008C5B81">
        <w:rPr>
          <w:rFonts w:eastAsia="Times New Roman"/>
          <w:i/>
          <w:iCs/>
        </w:rPr>
        <w:t>Reports of Judgments and Decisions</w:t>
      </w:r>
      <w:r w:rsidRPr="008C5B81">
        <w:rPr>
          <w:rFonts w:eastAsia="Times New Roman"/>
        </w:rPr>
        <w:t xml:space="preserve"> 1998-I).</w:t>
      </w:r>
    </w:p>
    <w:p w:rsidRPr="008C5B81" w:rsidR="00A8059F" w:rsidP="001D72B2" w14:paraId="7B6496AE" w14:textId="29ED7948">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113</w:t>
      </w:r>
      <w:r w:rsidRPr="008C5B81">
        <w:rPr>
          <w:rFonts w:eastAsia="Times New Roman"/>
        </w:rPr>
        <w:fldChar w:fldCharType="end"/>
      </w:r>
      <w:r w:rsidRPr="008C5B81">
        <w:rPr>
          <w:rFonts w:eastAsia="Times New Roman"/>
        </w:rPr>
        <w:t xml:space="preserve">.  The rights guaranteed under Article 3 of Protocol No. 1 are crucial to establishing and maintaining the foundations of an effective and meaningful democracy governed by the rule of law and are accordingly of prime importance in the Convention system (see, among other authorities, </w:t>
      </w:r>
      <w:r w:rsidRPr="008C5B81">
        <w:rPr>
          <w:rFonts w:eastAsia="Times New Roman"/>
          <w:i/>
          <w:iCs/>
        </w:rPr>
        <w:t xml:space="preserve">Mathieu-Mohin and </w:t>
      </w:r>
      <w:r w:rsidRPr="008C5B81">
        <w:rPr>
          <w:rFonts w:eastAsia="Times New Roman"/>
          <w:i/>
          <w:iCs/>
        </w:rPr>
        <w:t>Clerfayt</w:t>
      </w:r>
      <w:r w:rsidRPr="008C5B81">
        <w:rPr>
          <w:rFonts w:eastAsia="Times New Roman"/>
          <w:i/>
          <w:iCs/>
        </w:rPr>
        <w:t xml:space="preserve"> v. Belgium</w:t>
      </w:r>
      <w:r w:rsidRPr="008C5B81">
        <w:rPr>
          <w:rFonts w:eastAsia="Times New Roman"/>
        </w:rPr>
        <w:t xml:space="preserve">, 2 March 1987, § 47, Series A no. 113; </w:t>
      </w:r>
      <w:r w:rsidRPr="008C5B81">
        <w:rPr>
          <w:rFonts w:eastAsia="Times New Roman"/>
          <w:i/>
          <w:iCs/>
        </w:rPr>
        <w:t>Ždanoka</w:t>
      </w:r>
      <w:r w:rsidRPr="008C5B81">
        <w:rPr>
          <w:rFonts w:eastAsia="Times New Roman"/>
        </w:rPr>
        <w:t xml:space="preserve">, cited above, §§ 98 and 103; </w:t>
      </w:r>
      <w:r w:rsidRPr="008C5B81">
        <w:rPr>
          <w:rFonts w:eastAsia="Times New Roman"/>
          <w:i/>
          <w:iCs/>
        </w:rPr>
        <w:t>Sitaropoulos</w:t>
      </w:r>
      <w:r w:rsidRPr="008C5B81">
        <w:rPr>
          <w:rFonts w:eastAsia="Times New Roman"/>
          <w:i/>
          <w:iCs/>
        </w:rPr>
        <w:t xml:space="preserve"> and </w:t>
      </w:r>
      <w:r w:rsidRPr="008C5B81">
        <w:rPr>
          <w:rFonts w:eastAsia="Times New Roman"/>
          <w:i/>
          <w:iCs/>
        </w:rPr>
        <w:t>Giakoumopoulos</w:t>
      </w:r>
      <w:r w:rsidRPr="008C5B81">
        <w:rPr>
          <w:rFonts w:eastAsia="Times New Roman"/>
          <w:i/>
          <w:iCs/>
        </w:rPr>
        <w:t xml:space="preserve"> v. Greece</w:t>
      </w:r>
      <w:r w:rsidRPr="008C5B81">
        <w:rPr>
          <w:rFonts w:eastAsia="Times New Roman"/>
        </w:rPr>
        <w:t xml:space="preserve"> [GC], no. 42202/07, § 63, ECHR 2012; </w:t>
      </w:r>
      <w:r w:rsidRPr="008C5B81">
        <w:rPr>
          <w:rFonts w:eastAsia="Times New Roman"/>
          <w:i/>
          <w:iCs/>
        </w:rPr>
        <w:t>Karácsony and Others v. Hungary</w:t>
      </w:r>
      <w:r w:rsidRPr="008C5B81">
        <w:rPr>
          <w:rFonts w:eastAsia="Times New Roman"/>
        </w:rPr>
        <w:t xml:space="preserve"> [GC], nos. 42461/13 and 44357/13, § 141, 17 May 2016; </w:t>
      </w:r>
      <w:r w:rsidRPr="008C5B81">
        <w:rPr>
          <w:rFonts w:eastAsia="Times New Roman"/>
          <w:i/>
          <w:iCs/>
        </w:rPr>
        <w:t>Mugemangango</w:t>
      </w:r>
      <w:r w:rsidRPr="008C5B81">
        <w:rPr>
          <w:rFonts w:eastAsia="Times New Roman"/>
        </w:rPr>
        <w:t xml:space="preserve">, cited above, § 67; and </w:t>
      </w:r>
      <w:r w:rsidRPr="008C5B81">
        <w:rPr>
          <w:rFonts w:eastAsia="Times New Roman"/>
          <w:i/>
          <w:iCs/>
        </w:rPr>
        <w:t>Selahattin Demirtaş v.</w:t>
      </w:r>
      <w:r w:rsidRPr="008C5B81" w:rsidR="00F92F09">
        <w:rPr>
          <w:rFonts w:eastAsia="Times New Roman"/>
          <w:i/>
          <w:iCs/>
        </w:rPr>
        <w:t> </w:t>
      </w:r>
      <w:r w:rsidRPr="008C5B81">
        <w:rPr>
          <w:rFonts w:eastAsia="Times New Roman"/>
          <w:i/>
          <w:iCs/>
        </w:rPr>
        <w:t>Turkey (no. 2)</w:t>
      </w:r>
      <w:r w:rsidRPr="008C5B81">
        <w:rPr>
          <w:rFonts w:eastAsia="Times New Roman"/>
        </w:rPr>
        <w:t xml:space="preserve"> [GC], no. 14305/17, § 382, 22 December 2020). Free elections and freedom of expression, in particular freedom of political debate, form the foundation of any democracy (see </w:t>
      </w:r>
      <w:r w:rsidRPr="008C5B81">
        <w:rPr>
          <w:rFonts w:eastAsia="Times New Roman"/>
          <w:i/>
          <w:iCs/>
        </w:rPr>
        <w:t>Selahattin Demirtaş</w:t>
      </w:r>
      <w:r w:rsidRPr="008C5B81">
        <w:rPr>
          <w:rFonts w:eastAsia="Times New Roman"/>
        </w:rPr>
        <w:t>, cited above, §</w:t>
      </w:r>
      <w:r w:rsidRPr="008C5B81" w:rsidR="00F92F09">
        <w:rPr>
          <w:rFonts w:eastAsia="Times New Roman"/>
        </w:rPr>
        <w:t> </w:t>
      </w:r>
      <w:r w:rsidRPr="008C5B81">
        <w:rPr>
          <w:rFonts w:eastAsia="Times New Roman"/>
        </w:rPr>
        <w:t xml:space="preserve">383, and </w:t>
      </w:r>
      <w:r w:rsidRPr="008C5B81">
        <w:rPr>
          <w:rFonts w:ascii="Times New Roman" w:hAnsi="Times New Roman" w:eastAsia="Times New Roman" w:cs="Times New Roman"/>
          <w:i/>
          <w:iCs/>
        </w:rPr>
        <w:t>Tănase v. Moldova</w:t>
      </w:r>
      <w:r w:rsidRPr="008C5B81">
        <w:rPr>
          <w:rFonts w:ascii="Times New Roman" w:hAnsi="Times New Roman" w:eastAsia="Times New Roman" w:cs="Times New Roman"/>
        </w:rPr>
        <w:t xml:space="preserve"> [GC], no. 7/08, § 154, ECHR 2010</w:t>
      </w:r>
      <w:r w:rsidRPr="008C5B81">
        <w:rPr>
          <w:rFonts w:eastAsia="Times New Roman"/>
        </w:rPr>
        <w:t>).</w:t>
      </w:r>
    </w:p>
    <w:p w:rsidRPr="008C5B81" w:rsidR="00A8059F" w:rsidP="001D72B2" w14:paraId="5CF58B1E" w14:textId="53FBD1C3">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114</w:t>
      </w:r>
      <w:r w:rsidRPr="008C5B81">
        <w:rPr>
          <w:rFonts w:eastAsia="Times New Roman"/>
        </w:rPr>
        <w:fldChar w:fldCharType="end"/>
      </w:r>
      <w:r w:rsidRPr="008C5B81">
        <w:rPr>
          <w:rFonts w:eastAsia="Times New Roman"/>
        </w:rPr>
        <w:t xml:space="preserve">.  It cannot be ruled out that a person or a group of persons will rely on the rights enshrined in the Convention or </w:t>
      </w:r>
      <w:r w:rsidRPr="008C5B81" w:rsidR="00F63CE1">
        <w:rPr>
          <w:rFonts w:eastAsia="Times New Roman"/>
        </w:rPr>
        <w:t xml:space="preserve">the </w:t>
      </w:r>
      <w:r w:rsidRPr="008C5B81">
        <w:rPr>
          <w:rFonts w:eastAsia="Times New Roman"/>
        </w:rPr>
        <w:t>Protocols</w:t>
      </w:r>
      <w:r w:rsidRPr="008C5B81" w:rsidR="00F63CE1">
        <w:rPr>
          <w:rFonts w:eastAsia="Times New Roman"/>
        </w:rPr>
        <w:t xml:space="preserve"> thereto</w:t>
      </w:r>
      <w:r w:rsidRPr="008C5B81">
        <w:rPr>
          <w:rFonts w:eastAsia="Times New Roman"/>
        </w:rPr>
        <w:t xml:space="preserve"> </w:t>
      </w:r>
      <w:r w:rsidRPr="008C5B81">
        <w:rPr>
          <w:rFonts w:eastAsia="Times New Roman"/>
        </w:rPr>
        <w:t>in order to</w:t>
      </w:r>
      <w:r w:rsidRPr="008C5B81">
        <w:rPr>
          <w:rFonts w:eastAsia="Times New Roman"/>
        </w:rPr>
        <w:t xml:space="preserve"> attempt to derive therefrom the right to conduct what amounts in practice to activities intended to destroy the rights or freedoms set forth in the Convention. It was precisely this concern which led the authors of the </w:t>
      </w:r>
      <w:r w:rsidRPr="008C5B81">
        <w:rPr>
          <w:rFonts w:eastAsia="Times New Roman"/>
        </w:rPr>
        <w:t xml:space="preserve">Convention to introduce Article 17 (see </w:t>
      </w:r>
      <w:r w:rsidRPr="008C5B81">
        <w:rPr>
          <w:rFonts w:eastAsia="Times New Roman"/>
          <w:i/>
          <w:iCs/>
        </w:rPr>
        <w:t>Ždanoka</w:t>
      </w:r>
      <w:r w:rsidRPr="008C5B81">
        <w:rPr>
          <w:rFonts w:eastAsia="Times New Roman"/>
        </w:rPr>
        <w:t xml:space="preserve">, cited above, § 99; see also </w:t>
      </w:r>
      <w:r w:rsidRPr="008C5B81">
        <w:rPr>
          <w:rFonts w:eastAsia="Times New Roman"/>
          <w:i/>
          <w:iCs/>
        </w:rPr>
        <w:t>Refah</w:t>
      </w:r>
      <w:r w:rsidRPr="008C5B81">
        <w:rPr>
          <w:rFonts w:eastAsia="Times New Roman"/>
          <w:i/>
          <w:iCs/>
        </w:rPr>
        <w:t xml:space="preserve"> Partisi (the Welfare Party) and </w:t>
      </w:r>
      <w:r w:rsidRPr="008C5B81">
        <w:rPr>
          <w:rFonts w:eastAsia="Times New Roman"/>
          <w:i/>
          <w:iCs/>
        </w:rPr>
        <w:t>Others</w:t>
      </w:r>
      <w:r w:rsidRPr="008C5B81">
        <w:rPr>
          <w:rFonts w:eastAsia="Times New Roman"/>
          <w:i/>
          <w:iCs/>
        </w:rPr>
        <w:t xml:space="preserve"> v. Turkey</w:t>
      </w:r>
      <w:r w:rsidRPr="008C5B81">
        <w:rPr>
          <w:rFonts w:eastAsia="Times New Roman"/>
        </w:rPr>
        <w:t xml:space="preserve"> [GC], nos. 41340/98</w:t>
      </w:r>
      <w:r w:rsidRPr="008C5B81" w:rsidR="005A6098">
        <w:rPr>
          <w:rFonts w:eastAsia="Times New Roman"/>
        </w:rPr>
        <w:t xml:space="preserve"> and 3 others</w:t>
      </w:r>
      <w:r w:rsidRPr="008C5B81">
        <w:rPr>
          <w:rFonts w:eastAsia="Times New Roman"/>
        </w:rPr>
        <w:t xml:space="preserve">, § 99, ECHR 2003-II). Consequently, </w:t>
      </w:r>
      <w:r w:rsidRPr="008C5B81">
        <w:rPr>
          <w:rFonts w:eastAsia="Times New Roman"/>
        </w:rPr>
        <w:t>in order to</w:t>
      </w:r>
      <w:r w:rsidRPr="008C5B81">
        <w:rPr>
          <w:rFonts w:eastAsia="Times New Roman"/>
        </w:rPr>
        <w:t xml:space="preserve"> guarantee the stability and effectiveness of a democratic system, the State may be required to take specific measures to protect itself. Thus, in</w:t>
      </w:r>
      <w:bookmarkStart w:name="_cl39020THELAW" w:id="70"/>
      <w:r w:rsidRPr="008C5B81">
        <w:rPr>
          <w:rFonts w:eastAsia="Times New Roman"/>
          <w:i/>
          <w:iCs/>
          <w:lang w:eastAsia="fr-FR"/>
        </w:rPr>
        <w:t xml:space="preserve"> </w:t>
      </w:r>
      <w:r w:rsidRPr="008C5B81">
        <w:rPr>
          <w:rFonts w:eastAsia="Times New Roman"/>
          <w:i/>
          <w:iCs/>
        </w:rPr>
        <w:t>Vogt v. German</w:t>
      </w:r>
      <w:bookmarkEnd w:id="70"/>
      <w:r w:rsidRPr="008C5B81">
        <w:rPr>
          <w:rFonts w:eastAsia="Times New Roman"/>
          <w:i/>
          <w:iCs/>
        </w:rPr>
        <w:t>y</w:t>
      </w:r>
      <w:r w:rsidRPr="008C5B81">
        <w:rPr>
          <w:rFonts w:eastAsia="Times New Roman"/>
        </w:rPr>
        <w:t xml:space="preserve"> (26</w:t>
      </w:r>
      <w:r w:rsidRPr="008C5B81" w:rsidR="00F92F09">
        <w:rPr>
          <w:rFonts w:eastAsia="Times New Roman"/>
        </w:rPr>
        <w:t> </w:t>
      </w:r>
      <w:r w:rsidRPr="008C5B81">
        <w:rPr>
          <w:rFonts w:eastAsia="Times New Roman"/>
        </w:rPr>
        <w:t xml:space="preserve">September 1995, §§ 51 and 59, Series A no. 323), </w:t>
      </w:r>
      <w:r w:rsidRPr="008C5B81">
        <w:rPr>
          <w:rFonts w:eastAsia="Times New Roman"/>
        </w:rPr>
        <w:t>with regard to</w:t>
      </w:r>
      <w:r w:rsidRPr="008C5B81">
        <w:rPr>
          <w:rFonts w:eastAsia="Times New Roman"/>
        </w:rPr>
        <w:t xml:space="preserve"> the requirement of political loyalty imposed on civil servants, the Court acknowledged the legitimacy of the concept of a “democracy capable of defending itself”.</w:t>
      </w:r>
    </w:p>
    <w:p w:rsidRPr="008C5B81" w:rsidR="00A8059F" w:rsidP="001D72B2" w14:paraId="52E6EC1E" w14:textId="506902A0">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115</w:t>
      </w:r>
      <w:r w:rsidRPr="008C5B81">
        <w:rPr>
          <w:rFonts w:eastAsia="Times New Roman"/>
        </w:rPr>
        <w:fldChar w:fldCharType="end"/>
      </w:r>
      <w:r w:rsidRPr="008C5B81">
        <w:rPr>
          <w:rFonts w:eastAsia="Times New Roman"/>
        </w:rPr>
        <w:t xml:space="preserve">.  The Court has also found that pluralism and democracy are based on a compromise that requires various concessions by individuals, who must sometimes be prepared to limit some of their freedoms so as to ensure the greater stability of the country as a whole (see </w:t>
      </w:r>
      <w:r w:rsidRPr="008C5B81">
        <w:rPr>
          <w:rFonts w:eastAsia="Times New Roman"/>
          <w:i/>
          <w:iCs/>
        </w:rPr>
        <w:t>Ždanoka</w:t>
      </w:r>
      <w:r w:rsidRPr="008C5B81">
        <w:rPr>
          <w:rFonts w:eastAsia="Times New Roman"/>
        </w:rPr>
        <w:t xml:space="preserve">, § 100, and </w:t>
      </w:r>
      <w:r w:rsidRPr="008C5B81">
        <w:rPr>
          <w:rFonts w:eastAsia="Times New Roman"/>
          <w:i/>
          <w:iCs/>
        </w:rPr>
        <w:t>Refah</w:t>
      </w:r>
      <w:r w:rsidRPr="008C5B81">
        <w:rPr>
          <w:rFonts w:eastAsia="Times New Roman"/>
          <w:i/>
          <w:iCs/>
        </w:rPr>
        <w:t xml:space="preserve"> Partisi (the Welfare Party) and Others</w:t>
      </w:r>
      <w:r w:rsidRPr="008C5B81">
        <w:rPr>
          <w:rFonts w:eastAsia="Times New Roman"/>
        </w:rPr>
        <w:t>, § 99</w:t>
      </w:r>
      <w:r w:rsidRPr="008C5B81" w:rsidR="00055F58">
        <w:rPr>
          <w:rFonts w:eastAsia="Times New Roman"/>
        </w:rPr>
        <w:t>, both cited above</w:t>
      </w:r>
      <w:r w:rsidRPr="008C5B81">
        <w:rPr>
          <w:rFonts w:eastAsia="Times New Roman"/>
        </w:rPr>
        <w:t xml:space="preserve">). The problem which is then posed is that of achieving a compromise between the requirements of defending democratic society on the one hand and protecting individual rights on the other (see </w:t>
      </w:r>
      <w:r w:rsidRPr="008C5B81">
        <w:rPr>
          <w:rFonts w:eastAsia="Times New Roman"/>
          <w:i/>
          <w:iCs/>
        </w:rPr>
        <w:t>Ždanoka</w:t>
      </w:r>
      <w:r w:rsidRPr="008C5B81">
        <w:rPr>
          <w:rFonts w:eastAsia="Times New Roman"/>
        </w:rPr>
        <w:t>, § 100</w:t>
      </w:r>
      <w:r w:rsidRPr="008C5B81" w:rsidR="003368D7">
        <w:rPr>
          <w:rFonts w:eastAsia="Times New Roman"/>
        </w:rPr>
        <w:t>,</w:t>
      </w:r>
      <w:r w:rsidRPr="008C5B81">
        <w:rPr>
          <w:rFonts w:eastAsia="Times New Roman"/>
        </w:rPr>
        <w:t xml:space="preserve"> and </w:t>
      </w:r>
      <w:bookmarkStart w:name="_cl38368THELAW" w:id="71"/>
      <w:r w:rsidRPr="008C5B81">
        <w:rPr>
          <w:rFonts w:eastAsia="Times New Roman"/>
          <w:i/>
          <w:iCs/>
        </w:rPr>
        <w:t>United Communist Party of Turkey and Others</w:t>
      </w:r>
      <w:bookmarkEnd w:id="71"/>
      <w:r w:rsidRPr="008C5B81">
        <w:rPr>
          <w:rFonts w:eastAsia="Times New Roman"/>
        </w:rPr>
        <w:t>, § 32</w:t>
      </w:r>
      <w:r w:rsidRPr="008C5B81" w:rsidR="00055F58">
        <w:rPr>
          <w:rFonts w:eastAsia="Times New Roman"/>
        </w:rPr>
        <w:t>, both cited above</w:t>
      </w:r>
      <w:r w:rsidRPr="008C5B81">
        <w:rPr>
          <w:rFonts w:eastAsia="Times New Roman"/>
        </w:rPr>
        <w:t xml:space="preserve">). Every time a State intends to rely on the principle of “a democracy capable of defending itself” in order to justify interference with individual rights, it must carefully evaluate the scope and consequences of the measure under consideration, to ensure that a balance is achieved between the requirements of defending democratic society and protecting individual rights (see </w:t>
      </w:r>
      <w:r w:rsidRPr="008C5B81">
        <w:rPr>
          <w:rFonts w:eastAsia="Times New Roman"/>
          <w:i/>
          <w:iCs/>
        </w:rPr>
        <w:t>Ždanoka</w:t>
      </w:r>
      <w:r w:rsidRPr="008C5B81">
        <w:rPr>
          <w:rFonts w:eastAsia="Times New Roman"/>
        </w:rPr>
        <w:t>, cited above, § 100).</w:t>
      </w:r>
    </w:p>
    <w:bookmarkStart w:name="paragraph00116" w:id="72"/>
    <w:p w:rsidRPr="008C5B81" w:rsidR="00A8059F" w:rsidP="001D72B2" w14:paraId="7FFD1C27" w14:textId="67969814">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116</w:t>
      </w:r>
      <w:r w:rsidRPr="008C5B81">
        <w:rPr>
          <w:rFonts w:eastAsia="Times New Roman"/>
        </w:rPr>
        <w:fldChar w:fldCharType="end"/>
      </w:r>
      <w:bookmarkEnd w:id="72"/>
      <w:r w:rsidRPr="008C5B81">
        <w:rPr>
          <w:rFonts w:eastAsia="Times New Roman"/>
        </w:rPr>
        <w:t>.  </w:t>
      </w:r>
      <w:r w:rsidRPr="008C5B81" w:rsidR="00055F58">
        <w:rPr>
          <w:rFonts w:eastAsia="Times New Roman"/>
        </w:rPr>
        <w:t>Lastly</w:t>
      </w:r>
      <w:r w:rsidRPr="008C5B81">
        <w:rPr>
          <w:rFonts w:eastAsia="Times New Roman"/>
        </w:rPr>
        <w:t xml:space="preserve">, </w:t>
      </w:r>
      <w:r w:rsidRPr="008C5B81">
        <w:rPr>
          <w:rFonts w:eastAsia="Times New Roman"/>
        </w:rPr>
        <w:t>with regard to</w:t>
      </w:r>
      <w:r w:rsidRPr="008C5B81">
        <w:rPr>
          <w:rFonts w:eastAsia="Times New Roman"/>
        </w:rPr>
        <w:t xml:space="preserve"> the implementation of measures intended to defend democratic values, the Court stated in </w:t>
      </w:r>
      <w:r w:rsidRPr="008C5B81">
        <w:rPr>
          <w:rFonts w:eastAsia="Times New Roman"/>
          <w:i/>
          <w:iCs/>
        </w:rPr>
        <w:t>Refah</w:t>
      </w:r>
      <w:r w:rsidRPr="008C5B81">
        <w:rPr>
          <w:rFonts w:eastAsia="Times New Roman"/>
          <w:i/>
          <w:iCs/>
        </w:rPr>
        <w:t xml:space="preserve"> Partisi (the Welfare Party) and Others</w:t>
      </w:r>
      <w:r w:rsidRPr="008C5B81">
        <w:rPr>
          <w:rFonts w:eastAsia="Times New Roman"/>
        </w:rPr>
        <w:t xml:space="preserve"> (cited above, § 102):</w:t>
      </w:r>
    </w:p>
    <w:p w:rsidRPr="008C5B81" w:rsidR="00A8059F" w:rsidP="001D72B2" w14:paraId="2C2DFB88" w14:textId="17551CF2">
      <w:pPr>
        <w:pStyle w:val="JuQuot"/>
        <w:rPr>
          <w:rFonts w:eastAsia="Times New Roman"/>
        </w:rPr>
      </w:pPr>
      <w:r w:rsidRPr="008C5B81">
        <w:rPr>
          <w:rFonts w:eastAsia="Times New Roman"/>
        </w:rPr>
        <w:t>“</w:t>
      </w:r>
      <w:r w:rsidRPr="008C5B81" w:rsidR="00515F65">
        <w:rPr>
          <w:rFonts w:eastAsia="Times New Roman"/>
        </w:rPr>
        <w:t>[</w:t>
      </w:r>
      <w:r w:rsidRPr="008C5B81">
        <w:rPr>
          <w:rFonts w:eastAsia="Times New Roman"/>
        </w:rPr>
        <w:t>T</w:t>
      </w:r>
      <w:r w:rsidRPr="008C5B81" w:rsidR="00515F65">
        <w:rPr>
          <w:rFonts w:eastAsia="Times New Roman"/>
        </w:rPr>
        <w:t>]</w:t>
      </w:r>
      <w:r w:rsidRPr="008C5B81">
        <w:rPr>
          <w:rFonts w:eastAsia="Times New Roman"/>
        </w:rPr>
        <w:t xml:space="preserve">he Court considers that a State cannot be required to wait, before intervening, until a political party has seized power and begun to take concrete steps to implement a policy incompatible with the standards of the Convention and democracy, even though the danger of that policy for democracy is sufficiently established and imminent. The Court accepts that where the presence of such a danger has been established by the national courts, after detailed scrutiny subjected to rigorous European supervision, a State may </w:t>
      </w:r>
      <w:r w:rsidRPr="008C5B81" w:rsidR="001D72B2">
        <w:rPr>
          <w:rFonts w:eastAsia="Times New Roman"/>
        </w:rPr>
        <w:t>‘</w:t>
      </w:r>
      <w:r w:rsidRPr="008C5B81">
        <w:rPr>
          <w:rFonts w:eastAsia="Times New Roman"/>
        </w:rPr>
        <w:t>reasonably forestall the execution of such a policy, which is incompatible with the Convention</w:t>
      </w:r>
      <w:r w:rsidRPr="008C5B81" w:rsidR="001D72B2">
        <w:rPr>
          <w:rFonts w:eastAsia="Times New Roman"/>
        </w:rPr>
        <w:t>’</w:t>
      </w:r>
      <w:r w:rsidRPr="008C5B81">
        <w:rPr>
          <w:rFonts w:eastAsia="Times New Roman"/>
        </w:rPr>
        <w:t>s provisions, before an attempt is made to implement it through concrete steps that might prejudice civil peace and the country</w:t>
      </w:r>
      <w:r w:rsidRPr="008C5B81" w:rsidR="001D72B2">
        <w:rPr>
          <w:rFonts w:eastAsia="Times New Roman"/>
        </w:rPr>
        <w:t>’</w:t>
      </w:r>
      <w:r w:rsidRPr="008C5B81">
        <w:rPr>
          <w:rFonts w:eastAsia="Times New Roman"/>
        </w:rPr>
        <w:t>s democratic regime</w:t>
      </w:r>
      <w:r w:rsidRPr="008C5B81" w:rsidR="001D72B2">
        <w:rPr>
          <w:rFonts w:eastAsia="Times New Roman"/>
        </w:rPr>
        <w:t>’</w:t>
      </w:r>
      <w:r w:rsidRPr="008C5B81">
        <w:rPr>
          <w:rFonts w:eastAsia="Times New Roman"/>
        </w:rPr>
        <w:t xml:space="preserve"> ...”</w:t>
      </w:r>
    </w:p>
    <w:p w:rsidRPr="008C5B81" w:rsidR="00A8059F" w:rsidP="001D72B2" w14:paraId="7B175184" w14:textId="77777777">
      <w:pPr>
        <w:pStyle w:val="JuHi"/>
        <w:rPr>
          <w:rFonts w:eastAsia="MingLiU"/>
        </w:rPr>
      </w:pPr>
      <w:r w:rsidRPr="008C5B81">
        <w:rPr>
          <w:rFonts w:eastAsia="MingLiU"/>
        </w:rPr>
        <w:t>Article 3 of Protocol No. 1</w:t>
      </w:r>
    </w:p>
    <w:p w:rsidRPr="008C5B81" w:rsidR="00A8059F" w:rsidP="001D72B2" w14:paraId="489F2F3C" w14:textId="36CE0F0B">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117</w:t>
      </w:r>
      <w:r w:rsidRPr="008C5B81">
        <w:rPr>
          <w:rFonts w:eastAsia="Times New Roman"/>
        </w:rPr>
        <w:fldChar w:fldCharType="end"/>
      </w:r>
      <w:r w:rsidRPr="008C5B81">
        <w:rPr>
          <w:rFonts w:eastAsia="Times New Roman"/>
        </w:rPr>
        <w:t xml:space="preserve">.  Although Article 3 of Protocol No. 1 differs from the other rights guaranteed in the Convention and </w:t>
      </w:r>
      <w:r w:rsidRPr="008C5B81" w:rsidR="00055F58">
        <w:rPr>
          <w:rFonts w:eastAsia="Times New Roman"/>
        </w:rPr>
        <w:t xml:space="preserve">the </w:t>
      </w:r>
      <w:r w:rsidRPr="008C5B81">
        <w:rPr>
          <w:rFonts w:eastAsia="Times New Roman"/>
        </w:rPr>
        <w:t>Protocols</w:t>
      </w:r>
      <w:r w:rsidRPr="008C5B81" w:rsidR="00055F58">
        <w:rPr>
          <w:rFonts w:eastAsia="Times New Roman"/>
        </w:rPr>
        <w:t xml:space="preserve"> thereto</w:t>
      </w:r>
      <w:r w:rsidRPr="008C5B81">
        <w:rPr>
          <w:rFonts w:eastAsia="Times New Roman"/>
        </w:rPr>
        <w:t xml:space="preserve">, as it is phrased in terms of the obligation for the High Contracting Party to hold elections under conditions which ensure the free expression of the opinion of the people rather than in terms of a particular right or freedom, the Court, having regard to the preparatory work on Article 3 of Protocol No. 1 and the interpretation </w:t>
      </w:r>
      <w:r w:rsidRPr="008C5B81">
        <w:rPr>
          <w:rFonts w:eastAsia="Times New Roman"/>
        </w:rPr>
        <w:t>of that provision in the context of the Convention as a whole, has established that it implies individual rights, primarily the right to vote and to stand for election (see</w:t>
      </w:r>
      <w:r w:rsidRPr="008C5B81" w:rsidR="00055F58">
        <w:rPr>
          <w:rFonts w:eastAsia="Times New Roman"/>
        </w:rPr>
        <w:t xml:space="preserve"> the above-cited cases of</w:t>
      </w:r>
      <w:r w:rsidRPr="008C5B81">
        <w:rPr>
          <w:rFonts w:eastAsia="Times New Roman"/>
        </w:rPr>
        <w:t xml:space="preserve"> </w:t>
      </w:r>
      <w:r w:rsidRPr="008C5B81">
        <w:rPr>
          <w:rFonts w:eastAsia="Times New Roman"/>
          <w:i/>
          <w:iCs/>
        </w:rPr>
        <w:t>Selahattin Demirtaş</w:t>
      </w:r>
      <w:r w:rsidRPr="008C5B81">
        <w:rPr>
          <w:rFonts w:eastAsia="Times New Roman"/>
        </w:rPr>
        <w:t xml:space="preserve">, § 385; </w:t>
      </w:r>
      <w:r w:rsidRPr="008C5B81">
        <w:rPr>
          <w:rFonts w:eastAsia="Times New Roman"/>
          <w:i/>
          <w:iCs/>
        </w:rPr>
        <w:t>Ždanoka</w:t>
      </w:r>
      <w:r w:rsidRPr="008C5B81">
        <w:rPr>
          <w:rFonts w:eastAsia="Times New Roman"/>
        </w:rPr>
        <w:t>, §</w:t>
      </w:r>
      <w:r w:rsidRPr="008C5B81" w:rsidR="00F92F09">
        <w:rPr>
          <w:rFonts w:eastAsia="Times New Roman"/>
        </w:rPr>
        <w:t> </w:t>
      </w:r>
      <w:r w:rsidRPr="008C5B81">
        <w:rPr>
          <w:rFonts w:eastAsia="Times New Roman"/>
        </w:rPr>
        <w:t xml:space="preserve">102; and </w:t>
      </w:r>
      <w:bookmarkStart w:name="_cl31463THELAW" w:id="73"/>
      <w:r w:rsidRPr="008C5B81">
        <w:rPr>
          <w:rFonts w:eastAsia="Times New Roman"/>
          <w:i/>
          <w:iCs/>
        </w:rPr>
        <w:t>Mathieu-Mohin and Clerfayt</w:t>
      </w:r>
      <w:bookmarkEnd w:id="73"/>
      <w:r w:rsidRPr="008C5B81">
        <w:rPr>
          <w:rFonts w:eastAsia="Times New Roman"/>
        </w:rPr>
        <w:t>, §§ 46-51).</w:t>
      </w:r>
    </w:p>
    <w:bookmarkStart w:name="paragraph00118" w:id="74"/>
    <w:p w:rsidRPr="008C5B81" w:rsidR="00A8059F" w:rsidP="001D72B2" w14:paraId="1DE3FB6C" w14:textId="385EA379">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118</w:t>
      </w:r>
      <w:r w:rsidRPr="008C5B81">
        <w:rPr>
          <w:rFonts w:eastAsia="Times New Roman"/>
        </w:rPr>
        <w:fldChar w:fldCharType="end"/>
      </w:r>
      <w:bookmarkEnd w:id="74"/>
      <w:r w:rsidRPr="008C5B81">
        <w:rPr>
          <w:rFonts w:eastAsia="Times New Roman"/>
        </w:rPr>
        <w:t>.  However, since Article</w:t>
      </w:r>
      <w:r w:rsidRPr="008C5B81" w:rsidR="007A675A">
        <w:rPr>
          <w:rFonts w:eastAsia="Times New Roman"/>
        </w:rPr>
        <w:t xml:space="preserve"> 3 of Protocol No. 1</w:t>
      </w:r>
      <w:r w:rsidRPr="008C5B81">
        <w:rPr>
          <w:rFonts w:eastAsia="Times New Roman"/>
        </w:rPr>
        <w:t xml:space="preserve"> lays down, in general terms, the obligation of the High Contracting Parties to hold free elections by secret ballot “at reasonable intervals</w:t>
      </w:r>
      <w:r w:rsidRPr="008C5B81" w:rsidR="004921B6">
        <w:rPr>
          <w:rFonts w:eastAsia="Times New Roman"/>
        </w:rPr>
        <w:t xml:space="preserve"> ...</w:t>
      </w:r>
      <w:r w:rsidRPr="008C5B81">
        <w:rPr>
          <w:rFonts w:eastAsia="Times New Roman"/>
        </w:rPr>
        <w:t xml:space="preserve"> under conditions which </w:t>
      </w:r>
      <w:r w:rsidRPr="008C5B81" w:rsidR="004921B6">
        <w:rPr>
          <w:rFonts w:eastAsia="Times New Roman"/>
        </w:rPr>
        <w:t xml:space="preserve">... </w:t>
      </w:r>
      <w:r w:rsidRPr="008C5B81">
        <w:rPr>
          <w:rFonts w:eastAsia="Times New Roman"/>
        </w:rPr>
        <w:t xml:space="preserve">ensure the free expression of the opinion of the people”, it also guarantees a more general right, namely that of benefiting from legislative elections in accordance with the above-mentioned formula (see </w:t>
      </w:r>
      <w:r w:rsidRPr="008C5B81">
        <w:rPr>
          <w:rFonts w:eastAsia="Times New Roman"/>
          <w:i/>
          <w:iCs/>
        </w:rPr>
        <w:t>Partija</w:t>
      </w:r>
      <w:r w:rsidRPr="008C5B81">
        <w:rPr>
          <w:rFonts w:eastAsia="Times New Roman"/>
          <w:i/>
          <w:iCs/>
        </w:rPr>
        <w:t xml:space="preserve"> “Jaunie </w:t>
      </w:r>
      <w:r w:rsidRPr="008C5B81">
        <w:rPr>
          <w:rFonts w:eastAsia="Times New Roman"/>
          <w:i/>
          <w:iCs/>
        </w:rPr>
        <w:t>Demokrāti</w:t>
      </w:r>
      <w:r w:rsidRPr="008C5B81">
        <w:rPr>
          <w:rFonts w:eastAsia="Times New Roman"/>
          <w:i/>
          <w:iCs/>
        </w:rPr>
        <w:t xml:space="preserve">” and </w:t>
      </w:r>
      <w:r w:rsidRPr="008C5B81">
        <w:rPr>
          <w:rFonts w:eastAsia="Times New Roman"/>
          <w:i/>
          <w:iCs/>
        </w:rPr>
        <w:t>Partija</w:t>
      </w:r>
      <w:r w:rsidRPr="008C5B81">
        <w:rPr>
          <w:rFonts w:eastAsia="Times New Roman"/>
          <w:i/>
          <w:iCs/>
        </w:rPr>
        <w:t xml:space="preserve"> “</w:t>
      </w:r>
      <w:r w:rsidRPr="008C5B81">
        <w:rPr>
          <w:rFonts w:eastAsia="Times New Roman"/>
          <w:i/>
          <w:iCs/>
        </w:rPr>
        <w:t>Mūsu</w:t>
      </w:r>
      <w:r w:rsidRPr="008C5B81">
        <w:rPr>
          <w:rFonts w:eastAsia="Times New Roman"/>
          <w:i/>
          <w:iCs/>
        </w:rPr>
        <w:t xml:space="preserve"> Zeme” v. Latvia</w:t>
      </w:r>
      <w:r w:rsidRPr="008C5B81">
        <w:rPr>
          <w:rFonts w:eastAsia="Times New Roman"/>
        </w:rPr>
        <w:t xml:space="preserve"> (dec.), nos. 10547/07 and</w:t>
      </w:r>
      <w:r w:rsidRPr="008C5B81" w:rsidR="00A8403D">
        <w:rPr>
          <w:rFonts w:eastAsia="Times New Roman"/>
        </w:rPr>
        <w:t> </w:t>
      </w:r>
      <w:r w:rsidRPr="008C5B81">
        <w:rPr>
          <w:rFonts w:eastAsia="Times New Roman"/>
        </w:rPr>
        <w:t xml:space="preserve">34049/07, 29 November 2007). The State is therefore under an obligation to adopt positive measures to organise elections “under conditions which will ensure the free expression of the opinion of the people in the choice of the legislature” (see </w:t>
      </w:r>
      <w:r w:rsidRPr="008C5B81">
        <w:rPr>
          <w:rFonts w:eastAsia="Times New Roman"/>
          <w:i/>
          <w:iCs/>
        </w:rPr>
        <w:t>Communist Party of Russia and Others</w:t>
      </w:r>
      <w:r w:rsidRPr="008C5B81">
        <w:rPr>
          <w:rFonts w:eastAsia="Times New Roman"/>
        </w:rPr>
        <w:t xml:space="preserve">, cited above, § 107; see also </w:t>
      </w:r>
      <w:r w:rsidRPr="008C5B81">
        <w:rPr>
          <w:rFonts w:eastAsia="Times New Roman"/>
          <w:i/>
          <w:iCs/>
        </w:rPr>
        <w:t>Yumak</w:t>
      </w:r>
      <w:r w:rsidRPr="008C5B81">
        <w:rPr>
          <w:rFonts w:eastAsia="Times New Roman"/>
          <w:i/>
          <w:iCs/>
        </w:rPr>
        <w:t xml:space="preserve"> and Sadak</w:t>
      </w:r>
      <w:r w:rsidRPr="008C5B81">
        <w:rPr>
          <w:rFonts w:eastAsia="Times New Roman"/>
        </w:rPr>
        <w:t>, cited above, § 106).</w:t>
      </w:r>
    </w:p>
    <w:bookmarkStart w:name="paragraph00119" w:id="75"/>
    <w:p w:rsidRPr="008C5B81" w:rsidR="00A8059F" w:rsidP="001D72B2" w14:paraId="4E3123EB" w14:textId="5C17EDC9">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119</w:t>
      </w:r>
      <w:r w:rsidRPr="008C5B81">
        <w:rPr>
          <w:rFonts w:eastAsia="Times New Roman"/>
        </w:rPr>
        <w:fldChar w:fldCharType="end"/>
      </w:r>
      <w:bookmarkEnd w:id="75"/>
      <w:r w:rsidRPr="008C5B81">
        <w:rPr>
          <w:rFonts w:eastAsia="Times New Roman"/>
        </w:rPr>
        <w:t>.  Consequently, the Court has to satisfy itself that the conditions in which applicants</w:t>
      </w:r>
      <w:r w:rsidRPr="008C5B81" w:rsidR="001D72B2">
        <w:rPr>
          <w:rFonts w:eastAsia="Times New Roman"/>
        </w:rPr>
        <w:t>’</w:t>
      </w:r>
      <w:r w:rsidRPr="008C5B81">
        <w:rPr>
          <w:rFonts w:eastAsia="Times New Roman"/>
        </w:rPr>
        <w:t xml:space="preserve"> individual electoral rights were exercised did not curtail the rights in question to such an extent as to impair their very essence and deprive them of their effectiveness (see </w:t>
      </w:r>
      <w:bookmarkStart w:name="_cl20152THELAW" w:id="76"/>
      <w:r w:rsidRPr="008C5B81">
        <w:rPr>
          <w:rFonts w:eastAsia="Times New Roman"/>
          <w:i/>
          <w:iCs/>
        </w:rPr>
        <w:t>Abdalov and Others v. Azerbaijan</w:t>
      </w:r>
      <w:bookmarkEnd w:id="76"/>
      <w:r w:rsidRPr="008C5B81">
        <w:rPr>
          <w:rFonts w:eastAsia="Times New Roman"/>
        </w:rPr>
        <w:t>, nos.</w:t>
      </w:r>
      <w:r w:rsidRPr="008C5B81" w:rsidR="00BB25AD">
        <w:rPr>
          <w:rFonts w:eastAsia="Times New Roman"/>
        </w:rPr>
        <w:t> </w:t>
      </w:r>
      <w:r w:rsidRPr="008C5B81">
        <w:rPr>
          <w:rFonts w:eastAsia="Times New Roman"/>
        </w:rPr>
        <w:t xml:space="preserve">28508/11 and 33773/18, § 91, 11 July 2019; </w:t>
      </w:r>
      <w:r w:rsidRPr="008C5B81">
        <w:rPr>
          <w:rFonts w:eastAsia="Times New Roman"/>
          <w:i/>
          <w:iCs/>
        </w:rPr>
        <w:t>Namat Aliyev</w:t>
      </w:r>
      <w:r w:rsidRPr="008C5B81">
        <w:rPr>
          <w:rFonts w:eastAsia="Times New Roman"/>
        </w:rPr>
        <w:t xml:space="preserve">, </w:t>
      </w:r>
      <w:r w:rsidRPr="008C5B81" w:rsidR="00055F58">
        <w:rPr>
          <w:rFonts w:eastAsia="Times New Roman"/>
        </w:rPr>
        <w:t xml:space="preserve">cited </w:t>
      </w:r>
      <w:r w:rsidRPr="008C5B81">
        <w:rPr>
          <w:rFonts w:eastAsia="Times New Roman"/>
        </w:rPr>
        <w:t>above, §</w:t>
      </w:r>
      <w:r w:rsidRPr="008C5B81" w:rsidR="00BB25AD">
        <w:rPr>
          <w:rFonts w:eastAsia="Times New Roman"/>
        </w:rPr>
        <w:t> </w:t>
      </w:r>
      <w:r w:rsidRPr="008C5B81">
        <w:rPr>
          <w:rFonts w:eastAsia="Times New Roman"/>
        </w:rPr>
        <w:t xml:space="preserve">75; </w:t>
      </w:r>
      <w:r w:rsidRPr="008C5B81">
        <w:rPr>
          <w:rFonts w:eastAsia="Times New Roman"/>
          <w:i/>
          <w:iCs/>
        </w:rPr>
        <w:t>Scoppola</w:t>
      </w:r>
      <w:r w:rsidRPr="008C5B81">
        <w:rPr>
          <w:rFonts w:eastAsia="Times New Roman"/>
          <w:i/>
          <w:iCs/>
        </w:rPr>
        <w:t xml:space="preserve"> v. Italy</w:t>
      </w:r>
      <w:r w:rsidRPr="008C5B81" w:rsidR="00055F58">
        <w:rPr>
          <w:rFonts w:eastAsia="Times New Roman"/>
          <w:i/>
          <w:iCs/>
        </w:rPr>
        <w:t xml:space="preserve"> </w:t>
      </w:r>
      <w:r w:rsidRPr="008C5B81">
        <w:rPr>
          <w:rFonts w:eastAsia="Times New Roman"/>
          <w:i/>
          <w:iCs/>
        </w:rPr>
        <w:t>(no. 3)</w:t>
      </w:r>
      <w:r w:rsidRPr="008C5B81" w:rsidR="00055F58">
        <w:rPr>
          <w:rFonts w:eastAsia="Times New Roman"/>
        </w:rPr>
        <w:t xml:space="preserve"> </w:t>
      </w:r>
      <w:r w:rsidRPr="008C5B81">
        <w:rPr>
          <w:rFonts w:eastAsia="Times New Roman"/>
        </w:rPr>
        <w:t xml:space="preserve">[GC], no. 126/05, § 84, 22 May 2012; and </w:t>
      </w:r>
      <w:r w:rsidRPr="008C5B81">
        <w:rPr>
          <w:rFonts w:eastAsia="Times New Roman"/>
          <w:i/>
          <w:iCs/>
        </w:rPr>
        <w:t>Riza and Others v. Bulgaria</w:t>
      </w:r>
      <w:r w:rsidRPr="008C5B81">
        <w:rPr>
          <w:rFonts w:eastAsia="Times New Roman"/>
        </w:rPr>
        <w:t>, nos. 48555/10 and 48377/10, § 142, 13 October 2015). Such conditions must not thwart the free expression of the people in the choice of legislature – in other words, they must reflect, or not run counter to, the concern to maintain the integrity and effectiveness of an electoral procedure aimed at identifying the will of the people through universal suffrage (see</w:t>
      </w:r>
      <w:r w:rsidRPr="008C5B81" w:rsidR="00055F58">
        <w:rPr>
          <w:rFonts w:eastAsia="Times New Roman"/>
        </w:rPr>
        <w:t xml:space="preserve"> </w:t>
      </w:r>
      <w:r w:rsidRPr="008C5B81">
        <w:rPr>
          <w:rFonts w:eastAsia="Times New Roman"/>
          <w:i/>
          <w:iCs/>
        </w:rPr>
        <w:t>Hirst</w:t>
      </w:r>
      <w:r w:rsidRPr="008C5B81">
        <w:rPr>
          <w:rFonts w:eastAsia="Times New Roman"/>
        </w:rPr>
        <w:t>, cited above, § 62).</w:t>
      </w:r>
    </w:p>
    <w:p w:rsidRPr="008C5B81" w:rsidR="00A8059F" w:rsidP="001D72B2" w14:paraId="4E3BC55D" w14:textId="7F917811">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120</w:t>
      </w:r>
      <w:r w:rsidRPr="008C5B81">
        <w:rPr>
          <w:rFonts w:eastAsia="Times New Roman"/>
        </w:rPr>
        <w:fldChar w:fldCharType="end"/>
      </w:r>
      <w:r w:rsidRPr="008C5B81">
        <w:rPr>
          <w:rFonts w:eastAsia="Times New Roman"/>
        </w:rPr>
        <w:t xml:space="preserve">.  There can be no democracy without pluralism (see </w:t>
      </w:r>
      <w:r w:rsidRPr="008C5B81">
        <w:rPr>
          <w:rFonts w:eastAsia="Times New Roman"/>
          <w:i/>
          <w:iCs/>
        </w:rPr>
        <w:t>Gorzelik</w:t>
      </w:r>
      <w:r w:rsidRPr="008C5B81">
        <w:rPr>
          <w:rFonts w:eastAsia="Times New Roman"/>
          <w:i/>
          <w:iCs/>
        </w:rPr>
        <w:t xml:space="preserve"> and</w:t>
      </w:r>
      <w:r w:rsidRPr="008C5B81" w:rsidR="00055F58">
        <w:rPr>
          <w:rFonts w:eastAsia="Times New Roman"/>
          <w:i/>
          <w:iCs/>
        </w:rPr>
        <w:t xml:space="preserve"> </w:t>
      </w:r>
      <w:r w:rsidRPr="008C5B81">
        <w:rPr>
          <w:rFonts w:eastAsia="Times New Roman"/>
          <w:i/>
          <w:iCs/>
        </w:rPr>
        <w:t>Others v. Poland</w:t>
      </w:r>
      <w:r w:rsidRPr="008C5B81">
        <w:rPr>
          <w:rFonts w:eastAsia="Times New Roman"/>
        </w:rPr>
        <w:t xml:space="preserve"> [GC], no. 44158/98, §§ 89 et</w:t>
      </w:r>
      <w:r w:rsidRPr="008C5B81" w:rsidR="00055F58">
        <w:rPr>
          <w:rFonts w:eastAsia="Times New Roman"/>
        </w:rPr>
        <w:t xml:space="preserve"> </w:t>
      </w:r>
      <w:r w:rsidRPr="008C5B81">
        <w:rPr>
          <w:rFonts w:eastAsia="Times New Roman"/>
        </w:rPr>
        <w:t xml:space="preserve">seq., </w:t>
      </w:r>
      <w:r w:rsidRPr="008C5B81" w:rsidR="00CA28E7">
        <w:rPr>
          <w:rFonts w:eastAsia="Times New Roman"/>
        </w:rPr>
        <w:t>ECHR</w:t>
      </w:r>
      <w:r w:rsidRPr="008C5B81">
        <w:rPr>
          <w:rFonts w:eastAsia="Times New Roman"/>
        </w:rPr>
        <w:t xml:space="preserve"> 2004</w:t>
      </w:r>
      <w:r w:rsidRPr="008C5B81" w:rsidR="00CA28E7">
        <w:rPr>
          <w:rFonts w:eastAsia="Times New Roman"/>
        </w:rPr>
        <w:noBreakHyphen/>
        <w:t>I</w:t>
      </w:r>
      <w:r w:rsidRPr="008C5B81">
        <w:rPr>
          <w:rFonts w:eastAsia="Times New Roman"/>
        </w:rPr>
        <w:t>), which cannot be attained without the adoption of certain positive measures. In the field of audiovisual broadcasting</w:t>
      </w:r>
      <w:r w:rsidRPr="008C5B81" w:rsidR="004A1022">
        <w:rPr>
          <w:rFonts w:eastAsia="Times New Roman"/>
        </w:rPr>
        <w:t>,</w:t>
      </w:r>
      <w:r w:rsidRPr="008C5B81">
        <w:rPr>
          <w:rFonts w:eastAsia="Times New Roman"/>
        </w:rPr>
        <w:t xml:space="preserve"> the Court has said that where a State “decide[s] to create a public broadcasting system, ... domestic law and practice must guarantee that the system provides a pluralistic service” (see </w:t>
      </w:r>
      <w:bookmarkStart w:name="_cl31163THELAW" w:id="77"/>
      <w:r w:rsidRPr="008C5B81">
        <w:rPr>
          <w:rFonts w:eastAsia="Times New Roman"/>
          <w:i/>
          <w:iCs/>
        </w:rPr>
        <w:t>Manole and Others v. Moldova</w:t>
      </w:r>
      <w:bookmarkEnd w:id="77"/>
      <w:r w:rsidRPr="008C5B81">
        <w:rPr>
          <w:rFonts w:eastAsia="Times New Roman"/>
        </w:rPr>
        <w:t>, no. 13936/02, §§ 100-01, ECHR 2009). In the context of elections</w:t>
      </w:r>
      <w:r w:rsidRPr="008C5B81" w:rsidR="00055F58">
        <w:rPr>
          <w:rFonts w:eastAsia="Times New Roman"/>
        </w:rPr>
        <w:t>,</w:t>
      </w:r>
      <w:r w:rsidRPr="008C5B81">
        <w:rPr>
          <w:rFonts w:eastAsia="Times New Roman"/>
        </w:rPr>
        <w:t xml:space="preserve"> the duty of the State to adopt some positive measures to secure pluralism of views has also been recognised by the Court (see, for example,</w:t>
      </w:r>
      <w:r w:rsidRPr="008C5B81">
        <w:rPr>
          <w:rFonts w:eastAsia="Times New Roman"/>
          <w:i/>
          <w:iCs/>
        </w:rPr>
        <w:t xml:space="preserve"> Communist Party of Russia and Others</w:t>
      </w:r>
      <w:r w:rsidRPr="008C5B81">
        <w:rPr>
          <w:rFonts w:eastAsia="Times New Roman"/>
        </w:rPr>
        <w:t xml:space="preserve">, cited above, § 125; see also, </w:t>
      </w:r>
      <w:r w:rsidRPr="008C5B81">
        <w:rPr>
          <w:rFonts w:eastAsia="Times New Roman"/>
          <w:i/>
          <w:iCs/>
        </w:rPr>
        <w:t>mutatis mutandis</w:t>
      </w:r>
      <w:r w:rsidRPr="008C5B81">
        <w:rPr>
          <w:rFonts w:eastAsia="Times New Roman"/>
        </w:rPr>
        <w:t xml:space="preserve">, </w:t>
      </w:r>
      <w:r w:rsidRPr="008C5B81">
        <w:rPr>
          <w:rFonts w:eastAsia="Times New Roman"/>
          <w:i/>
          <w:iCs/>
        </w:rPr>
        <w:t>Informationsverein</w:t>
      </w:r>
      <w:r w:rsidRPr="008C5B81">
        <w:rPr>
          <w:rFonts w:eastAsia="Times New Roman"/>
          <w:i/>
          <w:iCs/>
        </w:rPr>
        <w:t xml:space="preserve"> </w:t>
      </w:r>
      <w:r w:rsidRPr="008C5B81">
        <w:rPr>
          <w:rFonts w:eastAsia="Times New Roman"/>
          <w:i/>
          <w:iCs/>
        </w:rPr>
        <w:t>Lentia</w:t>
      </w:r>
      <w:r w:rsidRPr="008C5B81">
        <w:rPr>
          <w:rFonts w:eastAsia="Times New Roman"/>
          <w:i/>
          <w:iCs/>
        </w:rPr>
        <w:t xml:space="preserve"> and Others v. Austria</w:t>
      </w:r>
      <w:r w:rsidRPr="008C5B81">
        <w:rPr>
          <w:rFonts w:eastAsia="Times New Roman"/>
        </w:rPr>
        <w:t>, 24</w:t>
      </w:r>
      <w:r w:rsidRPr="008C5B81" w:rsidR="0058541F">
        <w:rPr>
          <w:rFonts w:eastAsia="Times New Roman"/>
        </w:rPr>
        <w:t> </w:t>
      </w:r>
      <w:r w:rsidRPr="008C5B81">
        <w:rPr>
          <w:rFonts w:eastAsia="Times New Roman"/>
        </w:rPr>
        <w:t xml:space="preserve">November 1993, § 38, Series A no. 276, and </w:t>
      </w:r>
      <w:r w:rsidRPr="008C5B81">
        <w:rPr>
          <w:rFonts w:eastAsia="Times New Roman"/>
          <w:i/>
          <w:iCs/>
        </w:rPr>
        <w:t>Russian Conservative Party of Entrepreneurs and Others v. Russia</w:t>
      </w:r>
      <w:r w:rsidRPr="008C5B81">
        <w:rPr>
          <w:rFonts w:eastAsia="Times New Roman"/>
        </w:rPr>
        <w:t>, nos. 55066/00 and</w:t>
      </w:r>
      <w:r w:rsidRPr="008C5B81" w:rsidR="00F92F09">
        <w:rPr>
          <w:rFonts w:eastAsia="Times New Roman"/>
        </w:rPr>
        <w:t> </w:t>
      </w:r>
      <w:r w:rsidRPr="008C5B81">
        <w:rPr>
          <w:rFonts w:eastAsia="Times New Roman"/>
        </w:rPr>
        <w:t>55638/00, §§</w:t>
      </w:r>
      <w:r w:rsidRPr="008C5B81" w:rsidR="00450CA4">
        <w:rPr>
          <w:rFonts w:eastAsia="Times New Roman"/>
        </w:rPr>
        <w:t> </w:t>
      </w:r>
      <w:r w:rsidRPr="008C5B81">
        <w:rPr>
          <w:rFonts w:eastAsia="Times New Roman"/>
        </w:rPr>
        <w:t>71</w:t>
      </w:r>
      <w:r w:rsidRPr="008C5B81" w:rsidR="00450CA4">
        <w:rPr>
          <w:rFonts w:eastAsia="Times New Roman"/>
        </w:rPr>
        <w:noBreakHyphen/>
      </w:r>
      <w:r w:rsidRPr="008C5B81">
        <w:rPr>
          <w:rFonts w:eastAsia="Times New Roman"/>
        </w:rPr>
        <w:t>72, 11 January 2007).</w:t>
      </w:r>
    </w:p>
    <w:bookmarkStart w:name="paragraph00121" w:id="78"/>
    <w:p w:rsidRPr="008C5B81" w:rsidR="00A8059F" w:rsidP="001D72B2" w14:paraId="660F5634" w14:textId="0AB82D4C">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121</w:t>
      </w:r>
      <w:r w:rsidRPr="008C5B81">
        <w:rPr>
          <w:rFonts w:eastAsia="Times New Roman"/>
        </w:rPr>
        <w:fldChar w:fldCharType="end"/>
      </w:r>
      <w:bookmarkEnd w:id="78"/>
      <w:r w:rsidRPr="008C5B81">
        <w:rPr>
          <w:rFonts w:eastAsia="Times New Roman"/>
        </w:rPr>
        <w:t xml:space="preserve">.  In this regard, the Court is mindful of the stance taken by the Venice Commission that “equality of opportunity” </w:t>
      </w:r>
      <w:r w:rsidRPr="008C5B81" w:rsidR="00055F58">
        <w:rPr>
          <w:rFonts w:eastAsia="Times New Roman"/>
        </w:rPr>
        <w:t xml:space="preserve">must </w:t>
      </w:r>
      <w:r w:rsidRPr="008C5B81">
        <w:rPr>
          <w:rFonts w:eastAsia="Times New Roman"/>
        </w:rPr>
        <w:t xml:space="preserve">be guaranteed to all parties </w:t>
      </w:r>
      <w:r w:rsidRPr="008C5B81">
        <w:rPr>
          <w:rFonts w:eastAsia="Times New Roman"/>
        </w:rPr>
        <w:t>and candidates alike</w:t>
      </w:r>
      <w:r w:rsidRPr="008C5B81" w:rsidR="00706CD2">
        <w:rPr>
          <w:rFonts w:eastAsia="Times New Roman"/>
        </w:rPr>
        <w:t>,</w:t>
      </w:r>
      <w:r w:rsidRPr="008C5B81">
        <w:rPr>
          <w:rFonts w:eastAsia="Times New Roman"/>
        </w:rPr>
        <w:t xml:space="preserve"> entailing a neutral attitude by State authorities, in particular with regard to the election campaign and coverage by the media (see </w:t>
      </w:r>
      <w:r w:rsidRPr="008C5B81">
        <w:rPr>
          <w:rFonts w:eastAsia="Times New Roman"/>
          <w:i/>
          <w:iCs/>
        </w:rPr>
        <w:t>Communist Party of Russia and Others</w:t>
      </w:r>
      <w:r w:rsidRPr="008C5B81">
        <w:rPr>
          <w:rFonts w:eastAsia="Times New Roman"/>
        </w:rPr>
        <w:t xml:space="preserve">, cited above, § 108; see also paragraph </w:t>
      </w:r>
      <w:r w:rsidRPr="008C5B81">
        <w:rPr>
          <w:rFonts w:eastAsia="Times New Roman"/>
        </w:rPr>
        <w:fldChar w:fldCharType="begin"/>
      </w:r>
      <w:r w:rsidRPr="008C5B81">
        <w:rPr>
          <w:rFonts w:eastAsia="Times New Roman"/>
        </w:rPr>
        <w:instrText xml:space="preserve">REF paragraph00083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83</w:t>
      </w:r>
      <w:r w:rsidRPr="008C5B81">
        <w:rPr>
          <w:rFonts w:eastAsia="Times New Roman"/>
        </w:rPr>
        <w:fldChar w:fldCharType="end"/>
      </w:r>
      <w:r w:rsidRPr="008C5B81">
        <w:rPr>
          <w:rFonts w:eastAsia="Times New Roman"/>
        </w:rPr>
        <w:t xml:space="preserve"> above).</w:t>
      </w:r>
    </w:p>
    <w:bookmarkStart w:name="paragraph00122" w:id="79"/>
    <w:p w:rsidRPr="008C5B81" w:rsidR="00A8059F" w:rsidP="001D72B2" w14:paraId="756AE56D" w14:textId="552AD567">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122</w:t>
      </w:r>
      <w:r w:rsidRPr="008C5B81">
        <w:rPr>
          <w:rFonts w:eastAsia="Times New Roman"/>
        </w:rPr>
        <w:fldChar w:fldCharType="end"/>
      </w:r>
      <w:bookmarkEnd w:id="79"/>
      <w:r w:rsidRPr="008C5B81">
        <w:rPr>
          <w:rFonts w:eastAsia="Times New Roman"/>
        </w:rPr>
        <w:t xml:space="preserve">.  The Court has repeatedly warned against prior restraints on free speech (see, for example, </w:t>
      </w:r>
      <w:r w:rsidRPr="008C5B81">
        <w:rPr>
          <w:rFonts w:eastAsia="Times New Roman"/>
          <w:i/>
          <w:iCs/>
        </w:rPr>
        <w:t>Communist Party of Russia and Others</w:t>
      </w:r>
      <w:r w:rsidRPr="008C5B81">
        <w:rPr>
          <w:rFonts w:eastAsia="Times New Roman"/>
        </w:rPr>
        <w:t>, cited above, § 127; see also The Sunday Times</w:t>
      </w:r>
      <w:r w:rsidRPr="008C5B81">
        <w:rPr>
          <w:rFonts w:eastAsia="Times New Roman"/>
          <w:i/>
          <w:iCs/>
        </w:rPr>
        <w:t xml:space="preserve"> v. the United Kingdom</w:t>
      </w:r>
      <w:r w:rsidRPr="008C5B81">
        <w:rPr>
          <w:rFonts w:eastAsia="Times New Roman"/>
        </w:rPr>
        <w:t xml:space="preserve"> </w:t>
      </w:r>
      <w:r w:rsidRPr="008C5B81">
        <w:rPr>
          <w:rFonts w:eastAsia="Times New Roman"/>
          <w:i/>
          <w:iCs/>
        </w:rPr>
        <w:t>(no. 2)</w:t>
      </w:r>
      <w:r w:rsidRPr="008C5B81">
        <w:rPr>
          <w:rFonts w:eastAsia="Times New Roman"/>
        </w:rPr>
        <w:t>, 26 November 1991, § 51, Series A no. 217), and stressed that in the sphere of political debate wide limits of criticism are acceptable (see</w:t>
      </w:r>
      <w:r w:rsidRPr="008C5B81">
        <w:rPr>
          <w:rFonts w:eastAsia="Times New Roman"/>
          <w:i/>
          <w:iCs/>
        </w:rPr>
        <w:t xml:space="preserve"> Communist Party of Russia and Others</w:t>
      </w:r>
      <w:r w:rsidRPr="008C5B81">
        <w:rPr>
          <w:rFonts w:eastAsia="Times New Roman"/>
        </w:rPr>
        <w:t xml:space="preserve">, cited above, § 127, and </w:t>
      </w:r>
      <w:r w:rsidRPr="008C5B81">
        <w:rPr>
          <w:rFonts w:eastAsia="Times New Roman"/>
          <w:i/>
          <w:iCs/>
        </w:rPr>
        <w:t>Lingens</w:t>
      </w:r>
      <w:r w:rsidRPr="008C5B81">
        <w:rPr>
          <w:rFonts w:eastAsia="Times New Roman"/>
          <w:i/>
          <w:iCs/>
        </w:rPr>
        <w:t xml:space="preserve"> v. Austria</w:t>
      </w:r>
      <w:r w:rsidRPr="008C5B81">
        <w:rPr>
          <w:rFonts w:eastAsia="Times New Roman"/>
        </w:rPr>
        <w:t xml:space="preserve">, 8 July 1986, §§ 41 and 42, Series A no. 103). In </w:t>
      </w:r>
      <w:r w:rsidRPr="008C5B81">
        <w:rPr>
          <w:rFonts w:eastAsia="Times New Roman"/>
          <w:i/>
          <w:iCs/>
        </w:rPr>
        <w:t>Bowman v. the United Kingdom</w:t>
      </w:r>
      <w:r w:rsidRPr="008C5B81">
        <w:rPr>
          <w:rFonts w:eastAsia="Times New Roman"/>
        </w:rPr>
        <w:t xml:space="preserve"> (19</w:t>
      </w:r>
      <w:r w:rsidRPr="008C5B81" w:rsidR="00F92F09">
        <w:rPr>
          <w:rFonts w:eastAsia="Times New Roman"/>
        </w:rPr>
        <w:t> </w:t>
      </w:r>
      <w:r w:rsidRPr="008C5B81">
        <w:rPr>
          <w:rFonts w:eastAsia="Times New Roman"/>
        </w:rPr>
        <w:t xml:space="preserve">February 1998, § 42, </w:t>
      </w:r>
      <w:r w:rsidRPr="008C5B81">
        <w:rPr>
          <w:rFonts w:eastAsia="Times New Roman"/>
          <w:i/>
          <w:iCs/>
        </w:rPr>
        <w:t>Reports</w:t>
      </w:r>
      <w:r w:rsidRPr="008C5B81" w:rsidR="00055F58">
        <w:rPr>
          <w:rFonts w:eastAsia="Times New Roman"/>
        </w:rPr>
        <w:t xml:space="preserve"> </w:t>
      </w:r>
      <w:r w:rsidRPr="008C5B81">
        <w:rPr>
          <w:rFonts w:eastAsia="Times New Roman"/>
        </w:rPr>
        <w:t>1998-I)</w:t>
      </w:r>
      <w:r w:rsidRPr="008C5B81" w:rsidR="00055F58">
        <w:rPr>
          <w:rFonts w:eastAsia="Times New Roman"/>
        </w:rPr>
        <w:t>,</w:t>
      </w:r>
      <w:r w:rsidRPr="008C5B81">
        <w:rPr>
          <w:rFonts w:eastAsia="Times New Roman"/>
        </w:rPr>
        <w:t xml:space="preserve"> the Court emphasised the interrelation</w:t>
      </w:r>
      <w:r w:rsidRPr="008C5B81" w:rsidR="00CA7038">
        <w:rPr>
          <w:rFonts w:eastAsia="Times New Roman"/>
        </w:rPr>
        <w:t>ship</w:t>
      </w:r>
      <w:r w:rsidRPr="008C5B81">
        <w:rPr>
          <w:rFonts w:eastAsia="Times New Roman"/>
        </w:rPr>
        <w:t xml:space="preserve"> between free elections and freedom of expression, holding that “it </w:t>
      </w:r>
      <w:r w:rsidRPr="008C5B81" w:rsidR="002B28FF">
        <w:rPr>
          <w:rFonts w:eastAsia="Times New Roman"/>
        </w:rPr>
        <w:t>[was]</w:t>
      </w:r>
      <w:r w:rsidRPr="008C5B81">
        <w:rPr>
          <w:rFonts w:eastAsia="Times New Roman"/>
        </w:rPr>
        <w:t xml:space="preserve"> particularly important in the period preceding an election that opinions and information of all kinds </w:t>
      </w:r>
      <w:r w:rsidRPr="008C5B81" w:rsidR="002B28FF">
        <w:rPr>
          <w:rFonts w:eastAsia="Times New Roman"/>
        </w:rPr>
        <w:t xml:space="preserve">[were] </w:t>
      </w:r>
      <w:r w:rsidRPr="008C5B81">
        <w:rPr>
          <w:rFonts w:eastAsia="Times New Roman"/>
        </w:rPr>
        <w:t>permitted to circulate freely”.</w:t>
      </w:r>
    </w:p>
    <w:bookmarkStart w:name="_cl22538THELAW" w:id="80"/>
    <w:bookmarkStart w:name="paragraph00123" w:id="81"/>
    <w:p w:rsidRPr="008C5B81" w:rsidR="00A8059F" w:rsidP="001D72B2" w14:paraId="20F06CF4" w14:textId="5F338095">
      <w:pPr>
        <w:pStyle w:val="JuPara"/>
        <w:rPr>
          <w:rFonts w:eastAsia="Times New Roman"/>
        </w:rPr>
      </w:pPr>
      <w:r w:rsidRPr="008C5B81">
        <w:fldChar w:fldCharType="begin"/>
      </w:r>
      <w:r w:rsidRPr="008C5B81">
        <w:instrText xml:space="preserve"> SEQ level0 \*arabic \* MERGEFORMAT </w:instrText>
      </w:r>
      <w:r w:rsidRPr="008C5B81">
        <w:fldChar w:fldCharType="separate"/>
      </w:r>
      <w:r w:rsidRPr="008C5B81" w:rsidR="00A00646">
        <w:rPr>
          <w:noProof/>
        </w:rPr>
        <w:t>123</w:t>
      </w:r>
      <w:r w:rsidRPr="008C5B81">
        <w:fldChar w:fldCharType="end"/>
      </w:r>
      <w:bookmarkEnd w:id="80"/>
      <w:bookmarkEnd w:id="81"/>
      <w:r w:rsidRPr="008C5B81">
        <w:rPr>
          <w:rFonts w:eastAsia="Times New Roman"/>
        </w:rPr>
        <w:t>.  Article 3 of Protocol No. 1 also requires the existence of a domestic system for the effective examination of individual complaints and appeals in matters concerning electoral rights (see</w:t>
      </w:r>
      <w:r w:rsidRPr="008C5B81">
        <w:rPr>
          <w:rFonts w:eastAsia="Times New Roman"/>
          <w:i/>
          <w:iCs/>
        </w:rPr>
        <w:t xml:space="preserve"> </w:t>
      </w:r>
      <w:r w:rsidRPr="008C5B81">
        <w:rPr>
          <w:rFonts w:eastAsia="Times New Roman"/>
          <w:i/>
          <w:iCs/>
        </w:rPr>
        <w:t>Mugemangango</w:t>
      </w:r>
      <w:r w:rsidRPr="008C5B81">
        <w:rPr>
          <w:rFonts w:eastAsia="Times New Roman"/>
        </w:rPr>
        <w:t>, cited above, § 69</w:t>
      </w:r>
      <w:r w:rsidRPr="008C5B81" w:rsidR="00055F58">
        <w:rPr>
          <w:rFonts w:eastAsia="Times New Roman"/>
        </w:rPr>
        <w:t>;</w:t>
      </w:r>
      <w:r w:rsidRPr="008C5B81">
        <w:rPr>
          <w:rFonts w:eastAsia="Times New Roman"/>
        </w:rPr>
        <w:t xml:space="preserve"> </w:t>
      </w:r>
      <w:r w:rsidRPr="008C5B81">
        <w:rPr>
          <w:rFonts w:eastAsia="Times New Roman"/>
          <w:i/>
          <w:iCs/>
        </w:rPr>
        <w:t>Namat Aliyev</w:t>
      </w:r>
      <w:r w:rsidRPr="008C5B81">
        <w:rPr>
          <w:rFonts w:eastAsia="Times New Roman"/>
        </w:rPr>
        <w:t>, cited above, § 81</w:t>
      </w:r>
      <w:r w:rsidRPr="008C5B81" w:rsidR="00055F58">
        <w:rPr>
          <w:rFonts w:eastAsia="Times New Roman"/>
        </w:rPr>
        <w:t>;</w:t>
      </w:r>
      <w:r w:rsidRPr="008C5B81">
        <w:rPr>
          <w:rFonts w:eastAsia="Times New Roman"/>
        </w:rPr>
        <w:t xml:space="preserve"> and </w:t>
      </w:r>
      <w:r w:rsidRPr="008C5B81">
        <w:rPr>
          <w:rFonts w:eastAsia="Times New Roman"/>
          <w:i/>
          <w:iCs/>
        </w:rPr>
        <w:t>Davydov and Others v. Russia</w:t>
      </w:r>
      <w:r w:rsidRPr="008C5B81">
        <w:rPr>
          <w:rFonts w:eastAsia="Times New Roman"/>
        </w:rPr>
        <w:t>, no. 75947/11, § 274, 30 May 2017). The existence of such a system is one of the essential guarantees of free and fair elections and is an important safeguard against arbitrariness in the electoral process (see</w:t>
      </w:r>
      <w:r w:rsidRPr="008C5B81">
        <w:rPr>
          <w:rFonts w:eastAsia="Times New Roman"/>
          <w:i/>
          <w:iCs/>
        </w:rPr>
        <w:t xml:space="preserve"> </w:t>
      </w:r>
      <w:r w:rsidRPr="008C5B81">
        <w:rPr>
          <w:rFonts w:eastAsia="Times New Roman"/>
          <w:i/>
          <w:iCs/>
        </w:rPr>
        <w:t>Mugemangango</w:t>
      </w:r>
      <w:r w:rsidRPr="008C5B81">
        <w:rPr>
          <w:rFonts w:eastAsia="Times New Roman"/>
        </w:rPr>
        <w:t>, cited above, § 69</w:t>
      </w:r>
      <w:r w:rsidRPr="008C5B81" w:rsidR="00055F58">
        <w:rPr>
          <w:rFonts w:eastAsia="Times New Roman"/>
        </w:rPr>
        <w:t>,</w:t>
      </w:r>
      <w:r w:rsidRPr="008C5B81">
        <w:rPr>
          <w:rFonts w:eastAsia="Times New Roman"/>
        </w:rPr>
        <w:t xml:space="preserve"> and </w:t>
      </w:r>
      <w:r w:rsidRPr="008C5B81">
        <w:rPr>
          <w:rFonts w:eastAsia="Times New Roman"/>
          <w:i/>
          <w:iCs/>
        </w:rPr>
        <w:t>Petkov and Others v. Bulgaria</w:t>
      </w:r>
      <w:r w:rsidRPr="008C5B81">
        <w:rPr>
          <w:rFonts w:eastAsia="Times New Roman"/>
        </w:rPr>
        <w:t>, nos. 77568/01 and 2</w:t>
      </w:r>
      <w:r w:rsidRPr="008C5B81" w:rsidR="00450CA4">
        <w:rPr>
          <w:rFonts w:eastAsia="Times New Roman"/>
        </w:rPr>
        <w:t> </w:t>
      </w:r>
      <w:r w:rsidRPr="008C5B81">
        <w:rPr>
          <w:rFonts w:eastAsia="Times New Roman"/>
        </w:rPr>
        <w:t>others, § 63, 11 June 2009). Such a system ensures the effective exercise of the rights to vote and to stand for election, maintains general confidence in the State</w:t>
      </w:r>
      <w:r w:rsidRPr="008C5B81" w:rsidR="001D72B2">
        <w:rPr>
          <w:rFonts w:eastAsia="Times New Roman"/>
        </w:rPr>
        <w:t>’</w:t>
      </w:r>
      <w:r w:rsidRPr="008C5B81">
        <w:rPr>
          <w:rFonts w:eastAsia="Times New Roman"/>
        </w:rPr>
        <w:t>s administration of the electoral process</w:t>
      </w:r>
      <w:r w:rsidRPr="008C5B81" w:rsidR="008D2002">
        <w:rPr>
          <w:rFonts w:eastAsia="Times New Roman"/>
        </w:rPr>
        <w:t>,</w:t>
      </w:r>
      <w:r w:rsidRPr="008C5B81">
        <w:rPr>
          <w:rFonts w:eastAsia="Times New Roman"/>
        </w:rPr>
        <w:t xml:space="preserve"> and constitutes an important device at the State</w:t>
      </w:r>
      <w:r w:rsidRPr="008C5B81" w:rsidR="001D72B2">
        <w:rPr>
          <w:rFonts w:eastAsia="Times New Roman"/>
        </w:rPr>
        <w:t>’</w:t>
      </w:r>
      <w:r w:rsidRPr="008C5B81">
        <w:rPr>
          <w:rFonts w:eastAsia="Times New Roman"/>
        </w:rPr>
        <w:t>s disposal in achieving the fulfilment of its positive duty under Article 3 of Protocol No. 1 to hold democratic elections. Indeed, the State</w:t>
      </w:r>
      <w:r w:rsidRPr="008C5B81" w:rsidR="001D72B2">
        <w:rPr>
          <w:rFonts w:eastAsia="Times New Roman"/>
        </w:rPr>
        <w:t>’</w:t>
      </w:r>
      <w:r w:rsidRPr="008C5B81">
        <w:rPr>
          <w:rFonts w:eastAsia="Times New Roman"/>
        </w:rPr>
        <w:t>s solemn undertaking under Article 3 of Protocol No. 1 and the individual rights guaranteed by that provision would be illusory if, throughout the electoral process, specific instances indicative of failure to ensure democratic elections were not open to challenge by individuals before a competent domestic body capable of effectively dealing with the matter (see</w:t>
      </w:r>
      <w:r w:rsidRPr="008C5B81" w:rsidR="00055F58">
        <w:rPr>
          <w:rFonts w:eastAsia="Times New Roman"/>
        </w:rPr>
        <w:t xml:space="preserve"> the above-cited cases of</w:t>
      </w:r>
      <w:r w:rsidRPr="008C5B81">
        <w:rPr>
          <w:rFonts w:eastAsia="Times New Roman"/>
        </w:rPr>
        <w:t xml:space="preserve"> </w:t>
      </w:r>
      <w:r w:rsidRPr="008C5B81">
        <w:rPr>
          <w:rFonts w:eastAsia="Times New Roman"/>
          <w:i/>
          <w:iCs/>
        </w:rPr>
        <w:t>Mugemangango</w:t>
      </w:r>
      <w:r w:rsidRPr="008C5B81">
        <w:rPr>
          <w:rFonts w:eastAsia="Times New Roman"/>
        </w:rPr>
        <w:t xml:space="preserve">, § 69; </w:t>
      </w:r>
      <w:r w:rsidRPr="008C5B81">
        <w:rPr>
          <w:rFonts w:eastAsia="Times New Roman"/>
          <w:i/>
          <w:iCs/>
        </w:rPr>
        <w:t>Namat Aliyev</w:t>
      </w:r>
      <w:r w:rsidRPr="008C5B81">
        <w:rPr>
          <w:rFonts w:eastAsia="Times New Roman"/>
        </w:rPr>
        <w:t xml:space="preserve">, § 81; and </w:t>
      </w:r>
      <w:r w:rsidRPr="008C5B81">
        <w:rPr>
          <w:rFonts w:eastAsia="Times New Roman"/>
          <w:i/>
          <w:iCs/>
        </w:rPr>
        <w:t>Davydov and Others</w:t>
      </w:r>
      <w:r w:rsidRPr="008C5B81">
        <w:rPr>
          <w:rFonts w:eastAsia="Times New Roman"/>
        </w:rPr>
        <w:t>, § 274).</w:t>
      </w:r>
    </w:p>
    <w:p w:rsidRPr="008C5B81" w:rsidR="00A8059F" w:rsidP="001D72B2" w14:paraId="429084E9" w14:textId="184ACCDA">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124</w:t>
      </w:r>
      <w:r w:rsidRPr="008C5B81">
        <w:rPr>
          <w:rFonts w:eastAsia="Times New Roman"/>
        </w:rPr>
        <w:fldChar w:fldCharType="end"/>
      </w:r>
      <w:r w:rsidRPr="008C5B81">
        <w:rPr>
          <w:rFonts w:eastAsia="Times New Roman"/>
        </w:rPr>
        <w:t>.  For the examination of appeals to be effective, the decision-making process concerning challenges to election results must be accompanied by adequate and sufficient safeguards ensuring</w:t>
      </w:r>
      <w:r w:rsidRPr="008C5B81">
        <w:rPr>
          <w:rFonts w:eastAsia="Times New Roman"/>
        </w:rPr>
        <w:t>, in particular, that</w:t>
      </w:r>
      <w:r w:rsidRPr="008C5B81">
        <w:rPr>
          <w:rFonts w:eastAsia="Times New Roman"/>
        </w:rPr>
        <w:t xml:space="preserve"> any arbitrariness can be avoided. In particular, the decisions in question must be taken by a body which can provide sufficient guarantees of its impartiality. Similarly, the discretion enjoyed by the body concerned must not be excessive; it must be circumscribed with sufficient precision by the provisions of domestic law. Lastly, the procedure must be such as to </w:t>
      </w:r>
      <w:r w:rsidRPr="008C5B81">
        <w:rPr>
          <w:rFonts w:eastAsia="Times New Roman"/>
        </w:rPr>
        <w:t xml:space="preserve">guarantee a fair, objective and sufficiently reasoned decision (see </w:t>
      </w:r>
      <w:r w:rsidRPr="008C5B81">
        <w:rPr>
          <w:rFonts w:eastAsia="Times New Roman"/>
          <w:i/>
          <w:iCs/>
        </w:rPr>
        <w:t>Mugemangango</w:t>
      </w:r>
      <w:r w:rsidRPr="008C5B81">
        <w:rPr>
          <w:rFonts w:eastAsia="Times New Roman"/>
        </w:rPr>
        <w:t>, cited above, § 70, with further references therein).</w:t>
      </w:r>
    </w:p>
    <w:bookmarkStart w:name="paragraph00125" w:id="82"/>
    <w:p w:rsidRPr="008C5B81" w:rsidR="00A8059F" w:rsidP="001D72B2" w14:paraId="3D47C84B" w14:textId="78F50274">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125</w:t>
      </w:r>
      <w:r w:rsidRPr="008C5B81">
        <w:rPr>
          <w:rFonts w:eastAsia="Times New Roman"/>
        </w:rPr>
        <w:fldChar w:fldCharType="end"/>
      </w:r>
      <w:bookmarkEnd w:id="82"/>
      <w:r w:rsidRPr="008C5B81">
        <w:rPr>
          <w:rFonts w:eastAsia="Times New Roman"/>
        </w:rPr>
        <w:t xml:space="preserve">.  That being said, Article 3 of Protocol No. 1 was not conceived as a code on electoral matters, designed to regulate all aspects of the electoral process (see </w:t>
      </w:r>
      <w:r w:rsidRPr="008C5B81">
        <w:rPr>
          <w:rFonts w:eastAsia="Times New Roman"/>
          <w:i/>
          <w:iCs/>
        </w:rPr>
        <w:t>Communist Party of Russia and Others</w:t>
      </w:r>
      <w:r w:rsidRPr="008C5B81">
        <w:rPr>
          <w:rFonts w:eastAsia="Times New Roman"/>
        </w:rPr>
        <w:t xml:space="preserve">, cited above, § 108) and the margin of appreciation in this area is, consequently, wide (see, for example, </w:t>
      </w:r>
      <w:r w:rsidRPr="008C5B81">
        <w:rPr>
          <w:rFonts w:eastAsia="Times New Roman"/>
          <w:i/>
          <w:iCs/>
        </w:rPr>
        <w:t>Mugemangango</w:t>
      </w:r>
      <w:r w:rsidRPr="008C5B81">
        <w:rPr>
          <w:rFonts w:eastAsia="Times New Roman"/>
        </w:rPr>
        <w:t xml:space="preserve">, cited above, § 73, and </w:t>
      </w:r>
      <w:r w:rsidRPr="008C5B81">
        <w:rPr>
          <w:rFonts w:eastAsia="Times New Roman"/>
          <w:i/>
          <w:iCs/>
        </w:rPr>
        <w:t>Hirst</w:t>
      </w:r>
      <w:r w:rsidRPr="008C5B81">
        <w:rPr>
          <w:rFonts w:eastAsia="Times New Roman"/>
        </w:rPr>
        <w:t xml:space="preserve">, cited above, § 61, with further references therein). There are numerous ways of organising and running electoral systems and a wealth of differences, </w:t>
      </w:r>
      <w:r w:rsidRPr="008C5B81">
        <w:rPr>
          <w:rFonts w:eastAsia="Times New Roman"/>
          <w:i/>
          <w:iCs/>
        </w:rPr>
        <w:t>inter alia</w:t>
      </w:r>
      <w:r w:rsidRPr="008C5B81">
        <w:rPr>
          <w:rFonts w:eastAsia="Times New Roman"/>
        </w:rPr>
        <w:t xml:space="preserve">, in historical development, cultural diversity and political thought within Europe (see </w:t>
      </w:r>
      <w:r w:rsidRPr="008C5B81">
        <w:rPr>
          <w:rFonts w:eastAsia="Times New Roman"/>
          <w:i/>
          <w:iCs/>
        </w:rPr>
        <w:t>Mugemangango</w:t>
      </w:r>
      <w:r w:rsidRPr="008C5B81">
        <w:rPr>
          <w:rFonts w:eastAsia="Times New Roman"/>
        </w:rPr>
        <w:t xml:space="preserve">, § 73, and </w:t>
      </w:r>
      <w:r w:rsidRPr="008C5B81">
        <w:rPr>
          <w:rFonts w:eastAsia="Times New Roman"/>
          <w:i/>
          <w:iCs/>
        </w:rPr>
        <w:t>Hirst</w:t>
      </w:r>
      <w:r w:rsidRPr="008C5B81">
        <w:rPr>
          <w:rFonts w:eastAsia="Times New Roman"/>
        </w:rPr>
        <w:t>, § 61</w:t>
      </w:r>
      <w:r w:rsidRPr="008C5B81" w:rsidR="00055F58">
        <w:rPr>
          <w:rFonts w:eastAsia="Times New Roman"/>
        </w:rPr>
        <w:t>, both cited above</w:t>
      </w:r>
      <w:r w:rsidRPr="008C5B81">
        <w:rPr>
          <w:rFonts w:eastAsia="Times New Roman"/>
        </w:rPr>
        <w:t xml:space="preserve">; see also </w:t>
      </w:r>
      <w:r w:rsidRPr="008C5B81">
        <w:rPr>
          <w:rFonts w:eastAsia="Times New Roman"/>
          <w:i/>
          <w:iCs/>
        </w:rPr>
        <w:t>Ždanoka</w:t>
      </w:r>
      <w:r w:rsidRPr="008C5B81">
        <w:rPr>
          <w:rFonts w:eastAsia="Times New Roman"/>
        </w:rPr>
        <w:t>, cited above, § 103). The States therefore “enjoy considerable latitude to establish rules within their constitutional order governing parliamentary elections and the composition of the parliament, and ... the relevant criteria may vary according to the historical and political factors peculiar to each State” (see</w:t>
      </w:r>
      <w:r w:rsidRPr="008C5B81">
        <w:rPr>
          <w:rFonts w:eastAsia="Times New Roman"/>
          <w:i/>
          <w:iCs/>
        </w:rPr>
        <w:t xml:space="preserve"> Communist Party of Russia and Others</w:t>
      </w:r>
      <w:r w:rsidRPr="008C5B81">
        <w:rPr>
          <w:rFonts w:eastAsia="Times New Roman"/>
        </w:rPr>
        <w:t xml:space="preserve">, cited above, § 108, and </w:t>
      </w:r>
      <w:r w:rsidRPr="008C5B81">
        <w:rPr>
          <w:rFonts w:eastAsia="Times New Roman"/>
          <w:i/>
          <w:iCs/>
        </w:rPr>
        <w:t>Aziz v. Cyprus</w:t>
      </w:r>
      <w:r w:rsidRPr="008C5B81">
        <w:rPr>
          <w:rFonts w:eastAsia="Times New Roman"/>
        </w:rPr>
        <w:t>, no. 69949/01, § 28, ECHR 2004‑V).</w:t>
      </w:r>
    </w:p>
    <w:p w:rsidRPr="008C5B81" w:rsidR="00A8059F" w:rsidP="001D72B2" w14:paraId="05DBC36F" w14:textId="71A62072">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126</w:t>
      </w:r>
      <w:r w:rsidRPr="008C5B81">
        <w:rPr>
          <w:rFonts w:eastAsia="Times New Roman"/>
        </w:rPr>
        <w:fldChar w:fldCharType="end"/>
      </w:r>
      <w:r w:rsidRPr="008C5B81">
        <w:rPr>
          <w:rFonts w:eastAsia="Times New Roman"/>
        </w:rPr>
        <w:t>.  Thus, the Court has held that any electoral legislation must be assessed in the light of the political evolution of the country concerned, so that features that would be regarded as unacceptable in the context of one system may be justified in the context of another. It has, however, emphasised that the State</w:t>
      </w:r>
      <w:r w:rsidRPr="008C5B81" w:rsidR="001D72B2">
        <w:rPr>
          <w:rFonts w:eastAsia="Times New Roman"/>
        </w:rPr>
        <w:t>’</w:t>
      </w:r>
      <w:r w:rsidRPr="008C5B81">
        <w:rPr>
          <w:rFonts w:eastAsia="Times New Roman"/>
        </w:rPr>
        <w:t>s margin of appreciation in this regard is limited by the obligation to respect the fundamental principle of Article 3 of Protocol No. 1, namely “the free expression of the opinion of the people in the choice of the legislature” (see</w:t>
      </w:r>
      <w:r w:rsidRPr="008C5B81" w:rsidR="00055F58">
        <w:rPr>
          <w:rFonts w:eastAsia="Times New Roman"/>
        </w:rPr>
        <w:t xml:space="preserve"> the above-cited cases of</w:t>
      </w:r>
      <w:r w:rsidRPr="008C5B81">
        <w:rPr>
          <w:rFonts w:eastAsia="Times New Roman"/>
        </w:rPr>
        <w:t xml:space="preserve"> </w:t>
      </w:r>
      <w:r w:rsidRPr="008C5B81">
        <w:rPr>
          <w:rFonts w:eastAsia="Times New Roman"/>
          <w:i/>
          <w:iCs/>
        </w:rPr>
        <w:t>Mugemangango</w:t>
      </w:r>
      <w:r w:rsidRPr="008C5B81">
        <w:rPr>
          <w:rFonts w:eastAsia="Times New Roman"/>
        </w:rPr>
        <w:t xml:space="preserve">, § 73; </w:t>
      </w:r>
      <w:r w:rsidRPr="008C5B81">
        <w:rPr>
          <w:rFonts w:eastAsia="Times New Roman"/>
          <w:i/>
          <w:iCs/>
        </w:rPr>
        <w:t>Mathieu-Mohin and Clerfayt</w:t>
      </w:r>
      <w:r w:rsidRPr="008C5B81">
        <w:rPr>
          <w:rFonts w:eastAsia="Times New Roman"/>
        </w:rPr>
        <w:t xml:space="preserve">, § 54; and </w:t>
      </w:r>
      <w:r w:rsidRPr="008C5B81">
        <w:rPr>
          <w:rFonts w:eastAsia="Times New Roman"/>
          <w:i/>
          <w:iCs/>
        </w:rPr>
        <w:t>Tănase</w:t>
      </w:r>
      <w:r w:rsidRPr="008C5B81">
        <w:rPr>
          <w:rFonts w:eastAsia="Times New Roman"/>
        </w:rPr>
        <w:t>, § 157).</w:t>
      </w:r>
    </w:p>
    <w:p w:rsidRPr="008C5B81" w:rsidR="00A8059F" w:rsidP="001D72B2" w14:paraId="5AE53929" w14:textId="77777777">
      <w:pPr>
        <w:pStyle w:val="JuHi"/>
        <w:rPr>
          <w:rFonts w:eastAsia="Times New Roman"/>
        </w:rPr>
      </w:pPr>
      <w:r w:rsidRPr="008C5B81">
        <w:rPr>
          <w:rFonts w:eastAsia="Times New Roman"/>
        </w:rPr>
        <w:t>The procedural obligation to investigate</w:t>
      </w:r>
    </w:p>
    <w:bookmarkStart w:name="paragraph00127" w:id="83"/>
    <w:p w:rsidRPr="008C5B81" w:rsidR="00A8059F" w:rsidP="001D72B2" w14:paraId="26CED0CF" w14:textId="62520C37">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127</w:t>
      </w:r>
      <w:r w:rsidRPr="008C5B81">
        <w:rPr>
          <w:rFonts w:eastAsia="Times New Roman"/>
        </w:rPr>
        <w:fldChar w:fldCharType="end"/>
      </w:r>
      <w:bookmarkEnd w:id="83"/>
      <w:r w:rsidRPr="008C5B81">
        <w:rPr>
          <w:rFonts w:eastAsia="Times New Roman"/>
        </w:rPr>
        <w:t>.  The Court has held that the obligations under Articles 2, 3 and 4 of the Convention, read in conjunction with the State</w:t>
      </w:r>
      <w:r w:rsidRPr="008C5B81" w:rsidR="001D72B2">
        <w:rPr>
          <w:rFonts w:eastAsia="Times New Roman"/>
        </w:rPr>
        <w:t>’</w:t>
      </w:r>
      <w:r w:rsidRPr="008C5B81">
        <w:rPr>
          <w:rFonts w:eastAsia="Times New Roman"/>
        </w:rPr>
        <w:t xml:space="preserve">s general duty under Article 1 of the Convention to “secure to everyone within [its] jurisdiction the rights and freedoms defined in [the] Convention”, require that there should be some form of effective official investigation when individuals raise an arguable claim that they have suffered treatment infringing those Articles (in the context of Article 2, see, among many </w:t>
      </w:r>
      <w:r w:rsidRPr="008C5B81" w:rsidR="00055F58">
        <w:rPr>
          <w:rFonts w:eastAsia="Times New Roman"/>
        </w:rPr>
        <w:t>authorities</w:t>
      </w:r>
      <w:r w:rsidRPr="008C5B81">
        <w:rPr>
          <w:rFonts w:eastAsia="Times New Roman"/>
        </w:rPr>
        <w:t xml:space="preserve">, </w:t>
      </w:r>
      <w:r w:rsidRPr="008C5B81">
        <w:rPr>
          <w:rFonts w:eastAsia="Times New Roman"/>
          <w:i/>
          <w:iCs/>
        </w:rPr>
        <w:t>McCann and Others</w:t>
      </w:r>
      <w:r w:rsidRPr="008C5B81">
        <w:rPr>
          <w:rFonts w:eastAsia="Times New Roman"/>
        </w:rPr>
        <w:t xml:space="preserve">, cited above, § 161, and </w:t>
      </w:r>
      <w:r w:rsidRPr="008C5B81">
        <w:rPr>
          <w:rFonts w:eastAsia="Times New Roman"/>
          <w:i/>
          <w:iCs/>
        </w:rPr>
        <w:t>Kaya v. Turkey</w:t>
      </w:r>
      <w:r w:rsidRPr="008C5B81">
        <w:rPr>
          <w:rFonts w:eastAsia="Times New Roman"/>
        </w:rPr>
        <w:t xml:space="preserve">, 19 February 1998, § 86, </w:t>
      </w:r>
      <w:r w:rsidRPr="008C5B81">
        <w:rPr>
          <w:rFonts w:eastAsia="Times New Roman"/>
          <w:i/>
          <w:iCs/>
        </w:rPr>
        <w:t>Reports</w:t>
      </w:r>
      <w:r w:rsidRPr="008C5B81">
        <w:rPr>
          <w:rFonts w:eastAsia="Times New Roman"/>
        </w:rPr>
        <w:t xml:space="preserve"> 1998-I</w:t>
      </w:r>
      <w:bookmarkStart w:name="_cl21236THELAW" w:id="84"/>
      <w:r w:rsidRPr="008C5B81">
        <w:rPr>
          <w:rFonts w:eastAsia="Times New Roman"/>
        </w:rPr>
        <w:t xml:space="preserve">; in respect of Article 3, see, among many </w:t>
      </w:r>
      <w:r w:rsidRPr="008C5B81" w:rsidR="00055F58">
        <w:rPr>
          <w:rFonts w:eastAsia="Times New Roman"/>
        </w:rPr>
        <w:t>authorities</w:t>
      </w:r>
      <w:r w:rsidRPr="008C5B81">
        <w:rPr>
          <w:rFonts w:eastAsia="Times New Roman"/>
        </w:rPr>
        <w:t xml:space="preserve">, </w:t>
      </w:r>
      <w:r w:rsidRPr="008C5B81">
        <w:rPr>
          <w:rFonts w:eastAsia="Times New Roman"/>
          <w:i/>
          <w:iCs/>
        </w:rPr>
        <w:t>Assenov</w:t>
      </w:r>
      <w:r w:rsidRPr="008C5B81">
        <w:rPr>
          <w:rFonts w:eastAsia="Times New Roman"/>
          <w:i/>
          <w:iCs/>
        </w:rPr>
        <w:t xml:space="preserve"> and Others v. Bulgaria</w:t>
      </w:r>
      <w:bookmarkEnd w:id="84"/>
      <w:r w:rsidRPr="008C5B81">
        <w:rPr>
          <w:rFonts w:eastAsia="Times New Roman"/>
        </w:rPr>
        <w:t xml:space="preserve">, 28 October 1998, § 102, </w:t>
      </w:r>
      <w:r w:rsidRPr="008C5B81">
        <w:rPr>
          <w:rFonts w:eastAsia="Times New Roman"/>
          <w:i/>
          <w:iCs/>
        </w:rPr>
        <w:t xml:space="preserve">Reports </w:t>
      </w:r>
      <w:r w:rsidRPr="008C5B81">
        <w:rPr>
          <w:rFonts w:eastAsia="Times New Roman"/>
        </w:rPr>
        <w:t>1998</w:t>
      </w:r>
      <w:r w:rsidRPr="008C5B81">
        <w:rPr>
          <w:rFonts w:eastAsia="Times New Roman"/>
        </w:rPr>
        <w:noBreakHyphen/>
        <w:t>VIII</w:t>
      </w:r>
      <w:bookmarkStart w:name="_cl25116THELAW" w:id="85"/>
      <w:r w:rsidRPr="008C5B81">
        <w:rPr>
          <w:rFonts w:eastAsia="Times New Roman"/>
        </w:rPr>
        <w:t xml:space="preserve">; </w:t>
      </w:r>
      <w:r w:rsidRPr="008C5B81">
        <w:rPr>
          <w:rFonts w:eastAsia="Times New Roman"/>
          <w:i/>
          <w:iCs/>
        </w:rPr>
        <w:t>El-Masri v. the former Yugoslav Republic of Macedonia</w:t>
      </w:r>
      <w:bookmarkEnd w:id="85"/>
      <w:r w:rsidRPr="008C5B81">
        <w:rPr>
          <w:rFonts w:eastAsia="Times New Roman"/>
        </w:rPr>
        <w:t xml:space="preserve"> [GC], no.</w:t>
      </w:r>
      <w:r w:rsidRPr="008C5B81" w:rsidR="00055F58">
        <w:rPr>
          <w:rFonts w:eastAsia="Times New Roman"/>
        </w:rPr>
        <w:t> </w:t>
      </w:r>
      <w:r w:rsidRPr="008C5B81">
        <w:rPr>
          <w:rFonts w:eastAsia="Times New Roman"/>
        </w:rPr>
        <w:t xml:space="preserve">39630/09, § 182, ECHR 2012; and </w:t>
      </w:r>
      <w:bookmarkStart w:name="_cl40425THELAW" w:id="86"/>
      <w:r w:rsidRPr="008C5B81">
        <w:rPr>
          <w:rFonts w:eastAsia="Times New Roman"/>
          <w:i/>
          <w:iCs/>
        </w:rPr>
        <w:t>X and Others v. Bulgaria</w:t>
      </w:r>
      <w:bookmarkEnd w:id="86"/>
      <w:r w:rsidRPr="008C5B81">
        <w:rPr>
          <w:rFonts w:eastAsia="Times New Roman"/>
        </w:rPr>
        <w:t xml:space="preserve"> [GC], no. 22457/16, § 184, 2 February 2021; and, in respect of Article 4, see </w:t>
      </w:r>
      <w:bookmarkStart w:name="_cl34850THELAW" w:id="87"/>
      <w:r w:rsidRPr="008C5B81">
        <w:rPr>
          <w:rFonts w:eastAsia="Times New Roman"/>
          <w:i/>
          <w:iCs/>
        </w:rPr>
        <w:t>Rantsev</w:t>
      </w:r>
      <w:r w:rsidRPr="008C5B81">
        <w:rPr>
          <w:rFonts w:eastAsia="Times New Roman"/>
          <w:i/>
          <w:iCs/>
        </w:rPr>
        <w:t xml:space="preserve"> v. Cyprus and Russia</w:t>
      </w:r>
      <w:bookmarkEnd w:id="87"/>
      <w:r w:rsidRPr="008C5B81">
        <w:rPr>
          <w:rFonts w:eastAsia="Times New Roman"/>
        </w:rPr>
        <w:t xml:space="preserve">, no. 25965/04, §§ 283 and 288, ECHR 2010), regardless of whether the treatment is imputable to State agents (see </w:t>
      </w:r>
      <w:r w:rsidRPr="008C5B81">
        <w:rPr>
          <w:rFonts w:eastAsia="Times New Roman"/>
          <w:i/>
          <w:iCs/>
        </w:rPr>
        <w:t>Menson v. the United Kingdom</w:t>
      </w:r>
      <w:r w:rsidRPr="008C5B81">
        <w:rPr>
          <w:rFonts w:eastAsia="Times New Roman"/>
        </w:rPr>
        <w:t xml:space="preserve"> (dec.), no. 47916/99, ECHR 2003‑V; </w:t>
      </w:r>
      <w:r w:rsidRPr="008C5B81">
        <w:rPr>
          <w:rFonts w:eastAsia="Times New Roman"/>
          <w:i/>
          <w:iCs/>
        </w:rPr>
        <w:t>X and Others v. Bulgaria</w:t>
      </w:r>
      <w:r w:rsidRPr="008C5B81">
        <w:rPr>
          <w:rFonts w:eastAsia="Times New Roman"/>
        </w:rPr>
        <w:t xml:space="preserve">, cited above, </w:t>
      </w:r>
      <w:r w:rsidRPr="008C5B81">
        <w:rPr>
          <w:rFonts w:eastAsia="Times New Roman" w:cstheme="minorHAnsi"/>
        </w:rPr>
        <w:t>§</w:t>
      </w:r>
      <w:r w:rsidRPr="008C5B81">
        <w:rPr>
          <w:rFonts w:eastAsia="Times New Roman"/>
        </w:rPr>
        <w:t xml:space="preserve"> 184; and </w:t>
      </w:r>
      <w:r w:rsidRPr="008C5B81">
        <w:rPr>
          <w:rFonts w:eastAsia="Times New Roman"/>
          <w:i/>
          <w:iCs/>
        </w:rPr>
        <w:t>Rantsev</w:t>
      </w:r>
      <w:r w:rsidRPr="008C5B81">
        <w:rPr>
          <w:rFonts w:eastAsia="Times New Roman"/>
        </w:rPr>
        <w:t xml:space="preserve">, cited above, </w:t>
      </w:r>
      <w:r w:rsidRPr="008C5B81">
        <w:rPr>
          <w:rFonts w:eastAsia="Times New Roman" w:cstheme="minorHAnsi"/>
        </w:rPr>
        <w:t>§</w:t>
      </w:r>
      <w:r w:rsidRPr="008C5B81">
        <w:rPr>
          <w:rFonts w:eastAsia="Times New Roman"/>
        </w:rPr>
        <w:t xml:space="preserve"> 289). The investigation is a means of ensuring that the legislative and administrative framework set up to protect the substantive rights is properly implemented and any breaches of that right are repressed and punished (see, for example, </w:t>
      </w:r>
      <w:bookmarkStart w:name="_cl21110THELAW" w:id="88"/>
      <w:r w:rsidRPr="008C5B81">
        <w:rPr>
          <w:rFonts w:eastAsia="Times New Roman"/>
          <w:i/>
          <w:iCs/>
        </w:rPr>
        <w:t>Armani Da Silva v.</w:t>
      </w:r>
      <w:r w:rsidRPr="008C5B81" w:rsidR="00F92F09">
        <w:rPr>
          <w:rFonts w:eastAsia="Times New Roman"/>
          <w:i/>
          <w:iCs/>
        </w:rPr>
        <w:t> </w:t>
      </w:r>
      <w:r w:rsidRPr="008C5B81">
        <w:rPr>
          <w:rFonts w:eastAsia="Times New Roman"/>
          <w:i/>
          <w:iCs/>
        </w:rPr>
        <w:t>the United Kingdom</w:t>
      </w:r>
      <w:bookmarkEnd w:id="88"/>
      <w:r w:rsidRPr="008C5B81">
        <w:rPr>
          <w:rFonts w:eastAsia="Times New Roman"/>
        </w:rPr>
        <w:t xml:space="preserve"> [GC], no. 5878/08, § 230, 30 March 2016</w:t>
      </w:r>
      <w:r w:rsidRPr="008C5B81" w:rsidR="007F6350">
        <w:rPr>
          <w:rFonts w:eastAsia="Times New Roman"/>
        </w:rPr>
        <w:t>,</w:t>
      </w:r>
      <w:r w:rsidRPr="008C5B81">
        <w:rPr>
          <w:rFonts w:eastAsia="Times New Roman"/>
        </w:rPr>
        <w:t xml:space="preserve"> and </w:t>
      </w:r>
      <w:bookmarkStart w:name="_cl26552THELAW" w:id="89"/>
      <w:r w:rsidRPr="008C5B81">
        <w:rPr>
          <w:rFonts w:eastAsia="Times New Roman"/>
          <w:i/>
          <w:iCs/>
        </w:rPr>
        <w:t xml:space="preserve">Giuliani and </w:t>
      </w:r>
      <w:r w:rsidRPr="008C5B81">
        <w:rPr>
          <w:rFonts w:eastAsia="Times New Roman"/>
          <w:i/>
          <w:iCs/>
        </w:rPr>
        <w:t>Gaggio</w:t>
      </w:r>
      <w:r w:rsidRPr="008C5B81">
        <w:rPr>
          <w:rFonts w:eastAsia="Times New Roman"/>
          <w:i/>
          <w:iCs/>
        </w:rPr>
        <w:t xml:space="preserve"> v. Italy</w:t>
      </w:r>
      <w:bookmarkEnd w:id="89"/>
      <w:r w:rsidRPr="008C5B81">
        <w:rPr>
          <w:rFonts w:eastAsia="Times New Roman"/>
        </w:rPr>
        <w:t xml:space="preserve"> [GC], no. 23458/02, § 298, ECHR 2011). </w:t>
      </w:r>
      <w:r w:rsidRPr="008C5B81">
        <w:t>It</w:t>
      </w:r>
      <w:r w:rsidRPr="008C5B81">
        <w:rPr>
          <w:rFonts w:eastAsia="Times New Roman"/>
        </w:rPr>
        <w:t xml:space="preserve"> should therefore be capable of leading to the identification and punishment of those responsible (see, for example, </w:t>
      </w:r>
      <w:r w:rsidRPr="008C5B81">
        <w:rPr>
          <w:rFonts w:eastAsia="Times New Roman"/>
          <w:i/>
          <w:iCs/>
        </w:rPr>
        <w:t>El</w:t>
      </w:r>
      <w:r w:rsidRPr="008C5B81">
        <w:rPr>
          <w:rFonts w:eastAsia="Times New Roman"/>
          <w:i/>
          <w:iCs/>
        </w:rPr>
        <w:noBreakHyphen/>
        <w:t>Masri</w:t>
      </w:r>
      <w:r w:rsidRPr="008C5B81">
        <w:rPr>
          <w:rFonts w:eastAsia="Times New Roman"/>
        </w:rPr>
        <w:t xml:space="preserve">, cited above, </w:t>
      </w:r>
      <w:r w:rsidRPr="008C5B81">
        <w:rPr>
          <w:rFonts w:eastAsia="Times New Roman" w:cstheme="minorHAnsi"/>
        </w:rPr>
        <w:t>§ 182)</w:t>
      </w:r>
      <w:r w:rsidRPr="008C5B81">
        <w:rPr>
          <w:rFonts w:eastAsia="Times New Roman"/>
        </w:rPr>
        <w:t>.</w:t>
      </w:r>
    </w:p>
    <w:bookmarkStart w:name="paragraph00128" w:id="90"/>
    <w:p w:rsidRPr="008C5B81" w:rsidR="00A8059F" w:rsidP="001D72B2" w14:paraId="672D52CA" w14:textId="1CCBA848">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128</w:t>
      </w:r>
      <w:r w:rsidRPr="008C5B81">
        <w:rPr>
          <w:rFonts w:eastAsia="Times New Roman"/>
        </w:rPr>
        <w:fldChar w:fldCharType="end"/>
      </w:r>
      <w:bookmarkEnd w:id="90"/>
      <w:r w:rsidRPr="008C5B81">
        <w:rPr>
          <w:rFonts w:eastAsia="Times New Roman"/>
        </w:rPr>
        <w:t xml:space="preserve">.  While all Convention rights must be interpreted so as to ensure that they are practical and effective, and not theoretical and illusory (see, among many </w:t>
      </w:r>
      <w:r w:rsidRPr="008C5B81" w:rsidR="00E2671F">
        <w:rPr>
          <w:rFonts w:eastAsia="Times New Roman"/>
        </w:rPr>
        <w:t>authorities</w:t>
      </w:r>
      <w:r w:rsidRPr="008C5B81">
        <w:rPr>
          <w:rFonts w:eastAsia="Times New Roman"/>
        </w:rPr>
        <w:t xml:space="preserve">, </w:t>
      </w:r>
      <w:r w:rsidRPr="008C5B81">
        <w:rPr>
          <w:rFonts w:eastAsia="Times New Roman"/>
          <w:i/>
          <w:iCs/>
        </w:rPr>
        <w:t>Selahattin Demirtaş</w:t>
      </w:r>
      <w:r w:rsidRPr="008C5B81">
        <w:rPr>
          <w:rFonts w:eastAsia="Times New Roman"/>
        </w:rPr>
        <w:t>, cited above, § 386), the Court has been extremely cautious in extending this free</w:t>
      </w:r>
      <w:r w:rsidRPr="008C5B81" w:rsidR="00B53584">
        <w:rPr>
          <w:rFonts w:eastAsia="Times New Roman"/>
        </w:rPr>
        <w:t>-</w:t>
      </w:r>
      <w:r w:rsidRPr="008C5B81">
        <w:rPr>
          <w:rFonts w:eastAsia="Times New Roman"/>
        </w:rPr>
        <w:t>standing procedural obligation to investigate to cases which do not concern alleged breaches of the non-</w:t>
      </w:r>
      <w:r w:rsidRPr="008C5B81">
        <w:rPr>
          <w:rFonts w:eastAsia="Times New Roman"/>
        </w:rPr>
        <w:t>derogable</w:t>
      </w:r>
      <w:r w:rsidRPr="008C5B81">
        <w:rPr>
          <w:rFonts w:eastAsia="Times New Roman"/>
        </w:rPr>
        <w:t xml:space="preserve"> rights in Articles 2, 3 and 4 of the Convention. It has done so in certain Article 8 cases concerning grave interferences with physical or psychological integrity (see, for example, </w:t>
      </w:r>
      <w:bookmarkStart w:name="_cl30820THELAW" w:id="91"/>
      <w:bookmarkStart w:name="_cl40959THELAW" w:id="92"/>
      <w:r w:rsidRPr="008C5B81">
        <w:rPr>
          <w:rFonts w:eastAsia="Times New Roman"/>
          <w:i/>
          <w:iCs/>
        </w:rPr>
        <w:t>M.C. v. Bulgaria</w:t>
      </w:r>
      <w:bookmarkEnd w:id="91"/>
      <w:r w:rsidRPr="008C5B81">
        <w:rPr>
          <w:rFonts w:eastAsia="Times New Roman"/>
        </w:rPr>
        <w:t>, no. 39272/98, §</w:t>
      </w:r>
      <w:r w:rsidRPr="008C5B81" w:rsidR="00F92F09">
        <w:rPr>
          <w:rFonts w:eastAsia="Times New Roman"/>
        </w:rPr>
        <w:t> </w:t>
      </w:r>
      <w:r w:rsidRPr="008C5B81">
        <w:rPr>
          <w:rFonts w:eastAsia="Times New Roman"/>
        </w:rPr>
        <w:t xml:space="preserve">153, ECHR 2003-XII, which concerned rape; </w:t>
      </w:r>
      <w:bookmarkStart w:name="_cl31704THELAW" w:id="93"/>
      <w:bookmarkEnd w:id="92"/>
      <w:r w:rsidRPr="008C5B81">
        <w:rPr>
          <w:rFonts w:eastAsia="Times New Roman"/>
          <w:i/>
          <w:iCs/>
        </w:rPr>
        <w:t>Mehmet Ulusoy and Others v. Turkey</w:t>
      </w:r>
      <w:bookmarkEnd w:id="93"/>
      <w:r w:rsidRPr="008C5B81">
        <w:rPr>
          <w:rFonts w:eastAsia="Times New Roman"/>
        </w:rPr>
        <w:t>, no. 54969/09, §§ 90-93, 25 June 2019, which concerned remedies for medical negligence</w:t>
      </w:r>
      <w:r w:rsidRPr="008C5B81" w:rsidR="00477CDB">
        <w:rPr>
          <w:rFonts w:eastAsia="Times New Roman"/>
        </w:rPr>
        <w:t>;</w:t>
      </w:r>
      <w:r w:rsidRPr="008C5B81" w:rsidR="00477CDB">
        <w:t xml:space="preserve"> </w:t>
      </w:r>
      <w:r w:rsidRPr="008C5B81" w:rsidR="00477CDB">
        <w:rPr>
          <w:i/>
          <w:iCs/>
        </w:rPr>
        <w:t>Volodina v. Russia (no. 2)</w:t>
      </w:r>
      <w:r w:rsidRPr="008C5B81" w:rsidR="00477CDB">
        <w:t>, no.</w:t>
      </w:r>
      <w:r w:rsidRPr="008C5B81" w:rsidR="00E2671F">
        <w:t> </w:t>
      </w:r>
      <w:r w:rsidRPr="008C5B81" w:rsidR="00477CDB">
        <w:t>40419/19, § 49, 14</w:t>
      </w:r>
      <w:r w:rsidRPr="008C5B81" w:rsidR="00BB25AD">
        <w:t> </w:t>
      </w:r>
      <w:r w:rsidRPr="008C5B81" w:rsidR="00477CDB">
        <w:t xml:space="preserve">September 2021, which concerned cyberviolence; and </w:t>
      </w:r>
      <w:r w:rsidRPr="008C5B81" w:rsidR="00477CDB">
        <w:rPr>
          <w:rFonts w:eastAsia="Times New Roman"/>
          <w:i/>
          <w:iCs/>
        </w:rPr>
        <w:t>Petrovi</w:t>
      </w:r>
      <w:r w:rsidRPr="008C5B81" w:rsidR="00845069">
        <w:rPr>
          <w:rFonts w:eastAsia="Times New Roman" w:cstheme="minorHAnsi"/>
          <w:i/>
          <w:iCs/>
        </w:rPr>
        <w:t>ć</w:t>
      </w:r>
      <w:r w:rsidRPr="008C5B81" w:rsidR="00477CDB">
        <w:rPr>
          <w:rFonts w:eastAsia="Times New Roman"/>
          <w:i/>
          <w:iCs/>
        </w:rPr>
        <w:t xml:space="preserve"> and Others v. Croatia</w:t>
      </w:r>
      <w:r w:rsidRPr="008C5B81" w:rsidR="00477CDB">
        <w:rPr>
          <w:rFonts w:eastAsia="Times New Roman"/>
        </w:rPr>
        <w:t xml:space="preserve">, nos. 32514/22 and </w:t>
      </w:r>
      <w:r w:rsidRPr="008C5B81" w:rsidR="00845069">
        <w:rPr>
          <w:rFonts w:eastAsia="Times New Roman"/>
        </w:rPr>
        <w:t>2 others</w:t>
      </w:r>
      <w:r w:rsidRPr="008C5B81" w:rsidR="00477CDB">
        <w:rPr>
          <w:rFonts w:eastAsia="Times New Roman"/>
        </w:rPr>
        <w:t>, §</w:t>
      </w:r>
      <w:r w:rsidRPr="008C5B81" w:rsidR="00E2671F">
        <w:rPr>
          <w:rFonts w:eastAsia="Times New Roman"/>
        </w:rPr>
        <w:t> </w:t>
      </w:r>
      <w:r w:rsidRPr="008C5B81" w:rsidR="00477CDB">
        <w:rPr>
          <w:rFonts w:eastAsia="Times New Roman"/>
        </w:rPr>
        <w:t>147, 14 January 2025, which concerned the abduction of new-born babies from State-run hospitals</w:t>
      </w:r>
      <w:r w:rsidRPr="008C5B81">
        <w:rPr>
          <w:rFonts w:eastAsia="Times New Roman"/>
        </w:rPr>
        <w:t xml:space="preserve">). In addition, in a small number of Article 1 of Protocol No. 1 cases </w:t>
      </w:r>
      <w:r w:rsidRPr="008C5B81" w:rsidR="00956F79">
        <w:rPr>
          <w:rFonts w:eastAsia="Times New Roman"/>
        </w:rPr>
        <w:t>the Court</w:t>
      </w:r>
      <w:r w:rsidRPr="008C5B81">
        <w:rPr>
          <w:rFonts w:eastAsia="Times New Roman"/>
        </w:rPr>
        <w:t xml:space="preserve"> has established the need for a criminal investigation in the event of theft or fraud (</w:t>
      </w:r>
      <w:r w:rsidRPr="008C5B81" w:rsidR="001D3836">
        <w:rPr>
          <w:rFonts w:eastAsia="Times New Roman"/>
        </w:rPr>
        <w:t xml:space="preserve">see, </w:t>
      </w:r>
      <w:r w:rsidRPr="008C5B81">
        <w:rPr>
          <w:rFonts w:eastAsia="Times New Roman"/>
        </w:rPr>
        <w:t xml:space="preserve">for example, </w:t>
      </w:r>
      <w:bookmarkStart w:name="_cl22317THELAW" w:id="94"/>
      <w:r w:rsidRPr="008C5B81">
        <w:rPr>
          <w:rFonts w:eastAsia="Times New Roman"/>
          <w:i/>
          <w:iCs/>
        </w:rPr>
        <w:t>Blumberga</w:t>
      </w:r>
      <w:r w:rsidRPr="008C5B81">
        <w:rPr>
          <w:rFonts w:eastAsia="Times New Roman"/>
          <w:i/>
          <w:iCs/>
        </w:rPr>
        <w:t xml:space="preserve"> v. Latvia</w:t>
      </w:r>
      <w:bookmarkEnd w:id="94"/>
      <w:r w:rsidRPr="008C5B81">
        <w:rPr>
          <w:rFonts w:eastAsia="Times New Roman"/>
        </w:rPr>
        <w:t xml:space="preserve">, no. 70930/01, §§ 67-68, 14 October 2008; </w:t>
      </w:r>
      <w:bookmarkStart w:name="_cl42097THELAW" w:id="95"/>
      <w:r w:rsidRPr="008C5B81">
        <w:rPr>
          <w:rFonts w:eastAsia="Times New Roman"/>
          <w:i/>
          <w:iCs/>
        </w:rPr>
        <w:t>Nikolay Kostadinov v.</w:t>
      </w:r>
      <w:r w:rsidRPr="008C5B81" w:rsidR="00F92F09">
        <w:rPr>
          <w:rFonts w:eastAsia="Times New Roman"/>
          <w:i/>
          <w:iCs/>
        </w:rPr>
        <w:t> </w:t>
      </w:r>
      <w:r w:rsidRPr="008C5B81">
        <w:rPr>
          <w:rFonts w:eastAsia="Times New Roman"/>
          <w:i/>
          <w:iCs/>
        </w:rPr>
        <w:t>Bulgaria</w:t>
      </w:r>
      <w:bookmarkEnd w:id="95"/>
      <w:r w:rsidRPr="008C5B81">
        <w:rPr>
          <w:rFonts w:eastAsia="Times New Roman"/>
        </w:rPr>
        <w:t>, no. 21743/15, §</w:t>
      </w:r>
      <w:r w:rsidRPr="008C5B81" w:rsidR="00E2671F">
        <w:rPr>
          <w:rFonts w:eastAsia="Times New Roman"/>
        </w:rPr>
        <w:t> </w:t>
      </w:r>
      <w:r w:rsidRPr="008C5B81">
        <w:rPr>
          <w:rFonts w:eastAsia="Times New Roman"/>
        </w:rPr>
        <w:t xml:space="preserve">55, 8 November 2022; and </w:t>
      </w:r>
      <w:bookmarkStart w:name="_cl42251THELAW" w:id="96"/>
      <w:r w:rsidRPr="008C5B81">
        <w:rPr>
          <w:rFonts w:eastAsia="Times New Roman"/>
          <w:i/>
          <w:iCs/>
        </w:rPr>
        <w:t>Korotyuk</w:t>
      </w:r>
      <w:r w:rsidRPr="008C5B81">
        <w:rPr>
          <w:rFonts w:eastAsia="Times New Roman"/>
          <w:i/>
          <w:iCs/>
        </w:rPr>
        <w:t xml:space="preserve"> v. Ukraine</w:t>
      </w:r>
      <w:bookmarkEnd w:id="96"/>
      <w:r w:rsidRPr="008C5B81">
        <w:rPr>
          <w:rFonts w:eastAsia="Times New Roman"/>
        </w:rPr>
        <w:t>, no. 74663/17, §§ 36-37, 19 January 2023).</w:t>
      </w:r>
    </w:p>
    <w:bookmarkStart w:name="paragraph00129" w:id="97"/>
    <w:p w:rsidRPr="008C5B81" w:rsidR="00A8059F" w:rsidP="001D72B2" w14:paraId="50CDF50F" w14:textId="30BB2631">
      <w:pPr>
        <w:pStyle w:val="JuPara"/>
        <w:rPr>
          <w:rFonts w:ascii="Times New Roman" w:hAnsi="Times New Roman" w:eastAsia="Times New Roman" w:cs="Times New Roman"/>
        </w:rPr>
      </w:pPr>
      <w:r w:rsidRPr="008C5B81">
        <w:rPr>
          <w:rFonts w:ascii="Times New Roman" w:hAnsi="Times New Roman" w:eastAsia="Times New Roman" w:cs="Times New Roman"/>
        </w:rPr>
        <w:fldChar w:fldCharType="begin"/>
      </w:r>
      <w:r w:rsidRPr="008C5B81">
        <w:rPr>
          <w:rFonts w:ascii="Times New Roman" w:hAnsi="Times New Roman" w:eastAsia="Times New Roman" w:cs="Times New Roman"/>
        </w:rPr>
        <w:instrText xml:space="preserve"> SEQ level0 \*arabic \* MERGEFORMAT </w:instrText>
      </w:r>
      <w:r w:rsidRPr="008C5B81">
        <w:rPr>
          <w:rFonts w:ascii="Times New Roman" w:hAnsi="Times New Roman" w:eastAsia="Times New Roman" w:cs="Times New Roman"/>
        </w:rPr>
        <w:fldChar w:fldCharType="separate"/>
      </w:r>
      <w:r w:rsidRPr="008C5B81" w:rsidR="00A00646">
        <w:rPr>
          <w:rFonts w:ascii="Times New Roman" w:hAnsi="Times New Roman" w:eastAsia="Times New Roman" w:cs="Times New Roman"/>
          <w:noProof/>
        </w:rPr>
        <w:t>129</w:t>
      </w:r>
      <w:r w:rsidRPr="008C5B81">
        <w:rPr>
          <w:rFonts w:ascii="Times New Roman" w:hAnsi="Times New Roman" w:eastAsia="Times New Roman" w:cs="Times New Roman"/>
        </w:rPr>
        <w:fldChar w:fldCharType="end"/>
      </w:r>
      <w:bookmarkEnd w:id="97"/>
      <w:r w:rsidRPr="008C5B81">
        <w:rPr>
          <w:rFonts w:ascii="Times New Roman" w:hAnsi="Times New Roman" w:eastAsia="Times New Roman" w:cs="Times New Roman"/>
        </w:rPr>
        <w:t xml:space="preserve">.  However, “the obligation to investigate is less exacting with regard to less serious crimes, such as those involving property, than with regard to more serious ones, such as violent crimes, and in particular those which would fall within the scope of Articles 2 and 3 of the Convention” (see </w:t>
      </w:r>
      <w:r w:rsidRPr="008C5B81">
        <w:rPr>
          <w:rFonts w:ascii="Times New Roman" w:hAnsi="Times New Roman" w:eastAsia="Times New Roman" w:cs="Times New Roman"/>
          <w:i/>
          <w:iCs/>
        </w:rPr>
        <w:t>Blumberga</w:t>
      </w:r>
      <w:r w:rsidRPr="008C5B81">
        <w:rPr>
          <w:rFonts w:ascii="Times New Roman" w:hAnsi="Times New Roman" w:eastAsia="Times New Roman" w:cs="Times New Roman"/>
        </w:rPr>
        <w:t xml:space="preserve">, cited above, § 67). In cases falling under Articles 2, 3 and 4 of the Convention, the effectiveness of the investigation has been assessed by reference to the adequacy of the investigative measures, the promptness of the investigation, the independence of the investigation and the involvement of the victim (see, for example, </w:t>
      </w:r>
      <w:r w:rsidRPr="008C5B81">
        <w:rPr>
          <w:rFonts w:ascii="Times New Roman" w:hAnsi="Times New Roman" w:eastAsia="Times New Roman" w:cs="Times New Roman"/>
          <w:i/>
          <w:iCs/>
        </w:rPr>
        <w:t>Armani da Silva</w:t>
      </w:r>
      <w:r w:rsidRPr="008C5B81">
        <w:rPr>
          <w:rFonts w:ascii="Times New Roman" w:hAnsi="Times New Roman" w:eastAsia="Times New Roman" w:cs="Times New Roman"/>
        </w:rPr>
        <w:t>, §§ 232-37</w:t>
      </w:r>
      <w:r w:rsidRPr="008C5B81" w:rsidR="00E2671F">
        <w:rPr>
          <w:rFonts w:ascii="Times New Roman" w:hAnsi="Times New Roman" w:eastAsia="Times New Roman" w:cs="Times New Roman"/>
        </w:rPr>
        <w:t>,</w:t>
      </w:r>
      <w:r w:rsidRPr="008C5B81">
        <w:rPr>
          <w:rFonts w:ascii="Times New Roman" w:hAnsi="Times New Roman" w:eastAsia="Times New Roman" w:cs="Times New Roman"/>
        </w:rPr>
        <w:t xml:space="preserve"> and </w:t>
      </w:r>
      <w:r w:rsidRPr="008C5B81">
        <w:rPr>
          <w:rFonts w:ascii="Times New Roman" w:hAnsi="Times New Roman" w:eastAsia="Times New Roman" w:cs="Times New Roman"/>
          <w:i/>
          <w:iCs/>
        </w:rPr>
        <w:t>El</w:t>
      </w:r>
      <w:r w:rsidRPr="008C5B81" w:rsidR="00172B15">
        <w:rPr>
          <w:rFonts w:ascii="Times New Roman" w:hAnsi="Times New Roman" w:eastAsia="Times New Roman" w:cs="Times New Roman"/>
          <w:i/>
          <w:iCs/>
        </w:rPr>
        <w:noBreakHyphen/>
      </w:r>
      <w:r w:rsidRPr="008C5B81">
        <w:rPr>
          <w:rFonts w:ascii="Times New Roman" w:hAnsi="Times New Roman" w:eastAsia="Times New Roman" w:cs="Times New Roman"/>
          <w:i/>
          <w:iCs/>
        </w:rPr>
        <w:t>Masri</w:t>
      </w:r>
      <w:r w:rsidRPr="008C5B81">
        <w:rPr>
          <w:rFonts w:ascii="Times New Roman" w:hAnsi="Times New Roman" w:eastAsia="Times New Roman" w:cs="Times New Roman"/>
        </w:rPr>
        <w:t>, §§ 182-85</w:t>
      </w:r>
      <w:r w:rsidRPr="008C5B81" w:rsidR="00E2671F">
        <w:rPr>
          <w:rFonts w:ascii="Times New Roman" w:hAnsi="Times New Roman" w:eastAsia="Times New Roman" w:cs="Times New Roman"/>
        </w:rPr>
        <w:t>, both cited above</w:t>
      </w:r>
      <w:r w:rsidRPr="008C5B81">
        <w:rPr>
          <w:rFonts w:ascii="Times New Roman" w:hAnsi="Times New Roman" w:eastAsia="Times New Roman" w:cs="Times New Roman"/>
        </w:rPr>
        <w:t>). In the context of less serious crimes</w:t>
      </w:r>
      <w:r w:rsidRPr="008C5B81" w:rsidR="00091AE1">
        <w:rPr>
          <w:rFonts w:ascii="Times New Roman" w:hAnsi="Times New Roman" w:eastAsia="Times New Roman" w:cs="Times New Roman"/>
        </w:rPr>
        <w:t>,</w:t>
      </w:r>
      <w:r w:rsidRPr="008C5B81">
        <w:rPr>
          <w:rFonts w:ascii="Times New Roman" w:hAnsi="Times New Roman" w:eastAsia="Times New Roman" w:cs="Times New Roman"/>
        </w:rPr>
        <w:t xml:space="preserve"> “the State will only fail to fulfil its positive obligation ... where flagrant and serious deficiencies in the criminal investigation or prosecution can be identified”; and the possibility of bringing civil proceedings against the alleged perpetrators of a crime might provide the victim with a viable alternative means of securing the protection of his</w:t>
      </w:r>
      <w:r w:rsidRPr="008C5B81" w:rsidR="00956F79">
        <w:rPr>
          <w:rFonts w:ascii="Times New Roman" w:hAnsi="Times New Roman" w:eastAsia="Times New Roman" w:cs="Times New Roman"/>
        </w:rPr>
        <w:t xml:space="preserve"> or her</w:t>
      </w:r>
      <w:r w:rsidRPr="008C5B81">
        <w:rPr>
          <w:rFonts w:ascii="Times New Roman" w:hAnsi="Times New Roman" w:eastAsia="Times New Roman" w:cs="Times New Roman"/>
        </w:rPr>
        <w:t xml:space="preserve"> rights, even if criminal proceedings have not been brought to a successful conclusion, provided that the lack of prospects of success of civil proceedings is not “the direct </w:t>
      </w:r>
      <w:r w:rsidRPr="008C5B81">
        <w:rPr>
          <w:rFonts w:ascii="Times New Roman" w:hAnsi="Times New Roman" w:eastAsia="Times New Roman" w:cs="Times New Roman"/>
        </w:rPr>
        <w:t xml:space="preserve">consequence of exceptionally serious and flagrant deficiencies in the conduct of criminal proceedings arising out of the same set of facts” (see </w:t>
      </w:r>
      <w:r w:rsidRPr="008C5B81">
        <w:rPr>
          <w:rFonts w:ascii="Times New Roman" w:hAnsi="Times New Roman" w:eastAsia="Times New Roman" w:cs="Times New Roman"/>
          <w:i/>
          <w:iCs/>
        </w:rPr>
        <w:t>Blumberga</w:t>
      </w:r>
      <w:r w:rsidRPr="008C5B81">
        <w:rPr>
          <w:rFonts w:ascii="Times New Roman" w:hAnsi="Times New Roman" w:eastAsia="Times New Roman" w:cs="Times New Roman"/>
        </w:rPr>
        <w:t xml:space="preserve">, cited above, </w:t>
      </w:r>
      <w:r w:rsidRPr="008C5B81" w:rsidR="00E2671F">
        <w:rPr>
          <w:rFonts w:ascii="Times New Roman" w:hAnsi="Times New Roman" w:eastAsia="Times New Roman" w:cs="Times New Roman"/>
        </w:rPr>
        <w:t>§</w:t>
      </w:r>
      <w:r w:rsidRPr="008C5B81">
        <w:rPr>
          <w:rFonts w:ascii="Times New Roman" w:hAnsi="Times New Roman" w:eastAsia="Times New Roman" w:cs="Times New Roman"/>
        </w:rPr>
        <w:t>§ 67-68).</w:t>
      </w:r>
    </w:p>
    <w:p w:rsidRPr="008C5B81" w:rsidR="00A8059F" w:rsidP="001D72B2" w14:paraId="083F2CF3" w14:textId="77777777">
      <w:pPr>
        <w:pStyle w:val="JuHa0"/>
        <w:rPr>
          <w:rFonts w:eastAsia="MingLiU"/>
        </w:rPr>
      </w:pPr>
      <w:r w:rsidRPr="008C5B81">
        <w:rPr>
          <w:rFonts w:eastAsia="MingLiU"/>
        </w:rPr>
        <w:t>Application of those principles to the facts of the present case</w:t>
      </w:r>
    </w:p>
    <w:p w:rsidRPr="008C5B81" w:rsidR="00A8059F" w:rsidP="001D72B2" w14:paraId="7AAC1A59" w14:textId="43CA072C">
      <w:pPr>
        <w:pStyle w:val="JuPara"/>
        <w:rPr>
          <w:rFonts w:eastAsia="Times New Roman"/>
        </w:rPr>
      </w:pPr>
      <w:r w:rsidRPr="008C5B81">
        <w:rPr>
          <w:rFonts w:eastAsia="Times New Roman"/>
          <w:lang w:bidi="en-US"/>
        </w:rPr>
        <w:fldChar w:fldCharType="begin"/>
      </w:r>
      <w:r w:rsidRPr="008C5B81">
        <w:rPr>
          <w:rFonts w:eastAsia="Times New Roman"/>
          <w:lang w:bidi="en-US"/>
        </w:rPr>
        <w:instrText xml:space="preserve"> SEQ level0 \*arabic \* MERGEFORMAT </w:instrText>
      </w:r>
      <w:r w:rsidRPr="008C5B81">
        <w:rPr>
          <w:rFonts w:eastAsia="Times New Roman"/>
          <w:lang w:bidi="en-US"/>
        </w:rPr>
        <w:fldChar w:fldCharType="separate"/>
      </w:r>
      <w:r w:rsidRPr="008C5B81" w:rsidR="00A00646">
        <w:rPr>
          <w:rFonts w:eastAsia="Times New Roman"/>
          <w:noProof/>
          <w:lang w:bidi="en-US"/>
        </w:rPr>
        <w:t>130</w:t>
      </w:r>
      <w:r w:rsidRPr="008C5B81">
        <w:rPr>
          <w:rFonts w:eastAsia="Times New Roman"/>
          <w:lang w:bidi="en-US"/>
        </w:rPr>
        <w:fldChar w:fldCharType="end"/>
      </w:r>
      <w:r w:rsidRPr="008C5B81">
        <w:rPr>
          <w:rFonts w:eastAsia="Times New Roman"/>
          <w:lang w:bidi="en-US"/>
        </w:rPr>
        <w:t xml:space="preserve">.  As the Government correctly point out (see paragraph </w:t>
      </w:r>
      <w:r w:rsidRPr="008C5B81">
        <w:rPr>
          <w:rFonts w:eastAsia="Times New Roman"/>
          <w:lang w:bidi="en-US"/>
        </w:rPr>
        <w:fldChar w:fldCharType="begin"/>
      </w:r>
      <w:r w:rsidRPr="008C5B81">
        <w:rPr>
          <w:rFonts w:eastAsia="Times New Roman"/>
          <w:lang w:bidi="en-US"/>
        </w:rPr>
        <w:instrText xml:space="preserve">REF paragraph00100 \h \* CharFormat </w:instrText>
      </w:r>
      <w:r w:rsidRPr="008C5B81" w:rsidR="00C53862">
        <w:rPr>
          <w:rFonts w:eastAsia="Times New Roman"/>
          <w:lang w:bidi="en-US"/>
        </w:rPr>
        <w:instrText xml:space="preserve"> \* MERGEFORMAT </w:instrText>
      </w:r>
      <w:r w:rsidRPr="008C5B81">
        <w:rPr>
          <w:rFonts w:eastAsia="Times New Roman"/>
          <w:lang w:bidi="en-US"/>
        </w:rPr>
        <w:fldChar w:fldCharType="separate"/>
      </w:r>
      <w:r w:rsidRPr="008C5B81" w:rsidR="00A00646">
        <w:rPr>
          <w:rFonts w:eastAsia="Times New Roman"/>
          <w:lang w:bidi="en-US"/>
        </w:rPr>
        <w:t>100</w:t>
      </w:r>
      <w:r w:rsidRPr="008C5B81">
        <w:rPr>
          <w:rFonts w:eastAsia="Times New Roman"/>
          <w:lang w:bidi="en-US"/>
        </w:rPr>
        <w:fldChar w:fldCharType="end"/>
      </w:r>
      <w:r w:rsidRPr="008C5B81">
        <w:rPr>
          <w:rFonts w:eastAsia="Times New Roman"/>
          <w:lang w:bidi="en-US"/>
        </w:rPr>
        <w:t xml:space="preserve"> above), to date the majority of violations of Article 3 of Protocol No. 1 found by the Court have fallen into one of three broad categories: direct restrictions by the State on who may stand or vote in an election; failure by the State to act in accordance with its own electoral law; and failure by the State to provide a reasonably fair and effective system of remedies for alleged breaches of electoral law.</w:t>
      </w:r>
      <w:r w:rsidRPr="008C5B81">
        <w:rPr>
          <w:rFonts w:eastAsia="Times New Roman"/>
        </w:rPr>
        <w:t xml:space="preserve"> However, the Court has acknowledged that as Article 3 of Protocol No. 1 lays down, in general terms, the obligation of the High Contracting Parties to hold free elections “at reasonable intervals</w:t>
      </w:r>
      <w:r w:rsidRPr="008C5B81" w:rsidR="00091AE1">
        <w:rPr>
          <w:rFonts w:eastAsia="Times New Roman"/>
        </w:rPr>
        <w:t xml:space="preserve"> by secret ballot</w:t>
      </w:r>
      <w:r w:rsidRPr="008C5B81">
        <w:rPr>
          <w:rFonts w:eastAsia="Times New Roman"/>
        </w:rPr>
        <w:t>, under conditions which</w:t>
      </w:r>
      <w:r w:rsidRPr="008C5B81" w:rsidR="00091AE1">
        <w:rPr>
          <w:rFonts w:eastAsia="Times New Roman"/>
        </w:rPr>
        <w:t xml:space="preserve"> will</w:t>
      </w:r>
      <w:r w:rsidRPr="008C5B81">
        <w:rPr>
          <w:rFonts w:eastAsia="Times New Roman"/>
        </w:rPr>
        <w:t xml:space="preserve"> ensure the free expression of the opinion of the people”, it also guarantees a more general right, namely that of benefiting from legislative elections in accordance with the above</w:t>
      </w:r>
      <w:r w:rsidRPr="008C5B81" w:rsidR="00E2671F">
        <w:rPr>
          <w:rFonts w:eastAsia="Times New Roman"/>
        </w:rPr>
        <w:t>-</w:t>
      </w:r>
      <w:r w:rsidRPr="008C5B81">
        <w:rPr>
          <w:rFonts w:eastAsia="Times New Roman"/>
        </w:rPr>
        <w:t xml:space="preserve">mentioned </w:t>
      </w:r>
      <w:r w:rsidRPr="008C5B81" w:rsidR="00091AE1">
        <w:rPr>
          <w:rFonts w:eastAsia="Times New Roman"/>
        </w:rPr>
        <w:t xml:space="preserve">wording </w:t>
      </w:r>
      <w:r w:rsidRPr="008C5B81">
        <w:rPr>
          <w:rFonts w:eastAsia="Times New Roman"/>
        </w:rPr>
        <w:t xml:space="preserve">(see </w:t>
      </w:r>
      <w:r w:rsidRPr="008C5B81">
        <w:rPr>
          <w:rFonts w:eastAsia="Times New Roman"/>
          <w:i/>
          <w:iCs/>
        </w:rPr>
        <w:t>Partija</w:t>
      </w:r>
      <w:r w:rsidRPr="008C5B81">
        <w:rPr>
          <w:rFonts w:eastAsia="Times New Roman"/>
          <w:i/>
          <w:iCs/>
        </w:rPr>
        <w:t xml:space="preserve"> “Jaunie </w:t>
      </w:r>
      <w:r w:rsidRPr="008C5B81">
        <w:rPr>
          <w:rFonts w:eastAsia="Times New Roman"/>
          <w:i/>
          <w:iCs/>
        </w:rPr>
        <w:t>Demokrāti</w:t>
      </w:r>
      <w:r w:rsidRPr="008C5B81">
        <w:rPr>
          <w:rFonts w:eastAsia="Times New Roman"/>
          <w:i/>
          <w:iCs/>
        </w:rPr>
        <w:t xml:space="preserve">” and </w:t>
      </w:r>
      <w:r w:rsidRPr="008C5B81">
        <w:rPr>
          <w:rFonts w:eastAsia="Times New Roman"/>
          <w:i/>
          <w:iCs/>
        </w:rPr>
        <w:t>Partija</w:t>
      </w:r>
      <w:r w:rsidRPr="008C5B81">
        <w:rPr>
          <w:rFonts w:eastAsia="Times New Roman"/>
          <w:i/>
          <w:iCs/>
        </w:rPr>
        <w:t xml:space="preserve"> “</w:t>
      </w:r>
      <w:r w:rsidRPr="008C5B81">
        <w:rPr>
          <w:rFonts w:eastAsia="Times New Roman"/>
          <w:i/>
          <w:iCs/>
        </w:rPr>
        <w:t>Mūsu</w:t>
      </w:r>
      <w:r w:rsidRPr="008C5B81">
        <w:rPr>
          <w:rFonts w:eastAsia="Times New Roman"/>
          <w:i/>
          <w:iCs/>
        </w:rPr>
        <w:t xml:space="preserve"> Zeme”</w:t>
      </w:r>
      <w:r w:rsidRPr="008C5B81">
        <w:rPr>
          <w:rFonts w:eastAsia="Times New Roman"/>
        </w:rPr>
        <w:t>, cited above).</w:t>
      </w:r>
    </w:p>
    <w:bookmarkStart w:name="paragraph00131" w:id="98"/>
    <w:p w:rsidRPr="008C5B81" w:rsidR="00A8059F" w:rsidP="001D72B2" w14:paraId="377BD1C0" w14:textId="7AEBE079">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131</w:t>
      </w:r>
      <w:r w:rsidRPr="008C5B81">
        <w:rPr>
          <w:rFonts w:eastAsia="Times New Roman"/>
        </w:rPr>
        <w:fldChar w:fldCharType="end"/>
      </w:r>
      <w:bookmarkEnd w:id="98"/>
      <w:r w:rsidRPr="008C5B81">
        <w:rPr>
          <w:rFonts w:eastAsia="Times New Roman"/>
        </w:rPr>
        <w:t xml:space="preserve">.  Member States are therefore under an obligation to adopt positive measures to organise elections “under conditions which will ensure the free expression of the opinion of the people in the choice of the legislature” (see </w:t>
      </w:r>
      <w:r w:rsidRPr="008C5B81">
        <w:rPr>
          <w:rFonts w:eastAsia="Times New Roman"/>
          <w:i/>
          <w:iCs/>
        </w:rPr>
        <w:t>Communist Party of Russia and Others</w:t>
      </w:r>
      <w:r w:rsidRPr="008C5B81">
        <w:rPr>
          <w:rFonts w:eastAsia="Times New Roman"/>
        </w:rPr>
        <w:t xml:space="preserve">, cited above, § 107; see also </w:t>
      </w:r>
      <w:r w:rsidRPr="008C5B81">
        <w:rPr>
          <w:rFonts w:eastAsia="Times New Roman"/>
          <w:i/>
          <w:iCs/>
        </w:rPr>
        <w:t>Yumak</w:t>
      </w:r>
      <w:r w:rsidRPr="008C5B81">
        <w:rPr>
          <w:rFonts w:eastAsia="Times New Roman"/>
          <w:i/>
          <w:iCs/>
        </w:rPr>
        <w:t xml:space="preserve"> and Sadak</w:t>
      </w:r>
      <w:r w:rsidRPr="008C5B81">
        <w:rPr>
          <w:rFonts w:eastAsia="Times New Roman"/>
        </w:rPr>
        <w:t>, cited above, § 106), and there may be a violation of Article 3 of Protocol No. 1 if the conditions in which applicants</w:t>
      </w:r>
      <w:r w:rsidRPr="008C5B81" w:rsidR="001D72B2">
        <w:rPr>
          <w:rFonts w:eastAsia="Times New Roman"/>
        </w:rPr>
        <w:t>’</w:t>
      </w:r>
      <w:r w:rsidRPr="008C5B81">
        <w:rPr>
          <w:rFonts w:eastAsia="Times New Roman"/>
        </w:rPr>
        <w:t xml:space="preserve"> individual electoral rights are exercised curtail their rights under that Article to such an extent as to impair their very essence and deprive them of their effectiveness (see the case-law cited in paragraph </w:t>
      </w:r>
      <w:r w:rsidRPr="008C5B81">
        <w:rPr>
          <w:rFonts w:eastAsia="Times New Roman"/>
        </w:rPr>
        <w:fldChar w:fldCharType="begin"/>
      </w:r>
      <w:r w:rsidRPr="008C5B81">
        <w:rPr>
          <w:rFonts w:eastAsia="Times New Roman"/>
        </w:rPr>
        <w:instrText xml:space="preserve">REF paragraph00119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119</w:t>
      </w:r>
      <w:r w:rsidRPr="008C5B81">
        <w:rPr>
          <w:rFonts w:eastAsia="Times New Roman"/>
        </w:rPr>
        <w:fldChar w:fldCharType="end"/>
      </w:r>
      <w:r w:rsidRPr="008C5B81">
        <w:rPr>
          <w:rFonts w:eastAsia="Times New Roman"/>
        </w:rPr>
        <w:t xml:space="preserve"> above). The scope of this obligation extends beyond the integrity of the result of the election, in the narrow sense, and encompasses the circulation of political opinions and information in the period preceding an election (see </w:t>
      </w:r>
      <w:r w:rsidRPr="008C5B81">
        <w:rPr>
          <w:rFonts w:eastAsia="Times New Roman"/>
          <w:i/>
          <w:iCs/>
        </w:rPr>
        <w:t>Communist Party of Russia and Others</w:t>
      </w:r>
      <w:r w:rsidRPr="008C5B81">
        <w:rPr>
          <w:rFonts w:eastAsia="Times New Roman"/>
        </w:rPr>
        <w:t xml:space="preserve">, cited above, </w:t>
      </w:r>
      <w:r w:rsidRPr="008C5B81">
        <w:rPr>
          <w:rFonts w:eastAsia="Times New Roman" w:cstheme="minorHAnsi"/>
        </w:rPr>
        <w:t>§</w:t>
      </w:r>
      <w:r w:rsidRPr="008C5B81">
        <w:rPr>
          <w:rFonts w:eastAsia="Times New Roman"/>
        </w:rPr>
        <w:t xml:space="preserve"> 79; see also, </w:t>
      </w:r>
      <w:r w:rsidRPr="008C5B81">
        <w:rPr>
          <w:rFonts w:eastAsia="Times New Roman"/>
          <w:i/>
          <w:iCs/>
        </w:rPr>
        <w:t>mutatis mutandis</w:t>
      </w:r>
      <w:r w:rsidRPr="008C5B81">
        <w:rPr>
          <w:rFonts w:eastAsia="Times New Roman"/>
        </w:rPr>
        <w:t xml:space="preserve">, </w:t>
      </w:r>
      <w:r w:rsidRPr="008C5B81">
        <w:rPr>
          <w:rFonts w:eastAsia="Times New Roman"/>
          <w:i/>
          <w:iCs/>
        </w:rPr>
        <w:t>Bowman</w:t>
      </w:r>
      <w:r w:rsidRPr="008C5B81">
        <w:rPr>
          <w:rFonts w:eastAsia="Times New Roman"/>
        </w:rPr>
        <w:t xml:space="preserve">, cited above, </w:t>
      </w:r>
      <w:r w:rsidRPr="008C5B81">
        <w:rPr>
          <w:rFonts w:eastAsia="Times New Roman" w:cstheme="minorHAnsi"/>
        </w:rPr>
        <w:t>§</w:t>
      </w:r>
      <w:r w:rsidRPr="008C5B81">
        <w:rPr>
          <w:rFonts w:eastAsia="Times New Roman"/>
        </w:rPr>
        <w:t xml:space="preserve"> 42) and, more generally, the equality of opportunity afforded to candidates (see paragraphs </w:t>
      </w:r>
      <w:r w:rsidRPr="008C5B81">
        <w:rPr>
          <w:rFonts w:eastAsia="Times New Roman"/>
        </w:rPr>
        <w:fldChar w:fldCharType="begin"/>
      </w:r>
      <w:r w:rsidRPr="008C5B81">
        <w:rPr>
          <w:rFonts w:eastAsia="Times New Roman"/>
        </w:rPr>
        <w:instrText xml:space="preserve">REF paragraph00083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83</w:t>
      </w:r>
      <w:r w:rsidRPr="008C5B81">
        <w:rPr>
          <w:rFonts w:eastAsia="Times New Roman"/>
        </w:rPr>
        <w:fldChar w:fldCharType="end"/>
      </w:r>
      <w:r w:rsidRPr="008C5B81">
        <w:rPr>
          <w:rFonts w:eastAsia="Times New Roman"/>
        </w:rPr>
        <w:t xml:space="preserve"> and </w:t>
      </w:r>
      <w:r w:rsidRPr="008C5B81">
        <w:rPr>
          <w:rFonts w:eastAsia="Times New Roman"/>
        </w:rPr>
        <w:fldChar w:fldCharType="begin"/>
      </w:r>
      <w:r w:rsidRPr="008C5B81">
        <w:rPr>
          <w:rFonts w:eastAsia="Times New Roman"/>
        </w:rPr>
        <w:instrText xml:space="preserve">REF paragraph00121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121</w:t>
      </w:r>
      <w:r w:rsidRPr="008C5B81">
        <w:rPr>
          <w:rFonts w:eastAsia="Times New Roman"/>
        </w:rPr>
        <w:fldChar w:fldCharType="end"/>
      </w:r>
      <w:r w:rsidRPr="008C5B81">
        <w:rPr>
          <w:rFonts w:eastAsia="Times New Roman"/>
        </w:rPr>
        <w:t xml:space="preserve"> above).</w:t>
      </w:r>
    </w:p>
    <w:p w:rsidRPr="008C5B81" w:rsidR="00A8059F" w:rsidP="001D72B2" w14:paraId="242A91B0" w14:textId="6EDE1009">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132</w:t>
      </w:r>
      <w:r w:rsidRPr="008C5B81">
        <w:rPr>
          <w:rFonts w:eastAsia="Times New Roman"/>
        </w:rPr>
        <w:fldChar w:fldCharType="end"/>
      </w:r>
      <w:r w:rsidRPr="008C5B81">
        <w:rPr>
          <w:rFonts w:eastAsia="Times New Roman"/>
        </w:rPr>
        <w:t xml:space="preserve">.  To date, cases falling under this head have concerned conditions created by (or within) the respondent State which, it was argued, thwarted the free expression of the opinion of the people in the choice of legislature. For example, in </w:t>
      </w:r>
      <w:r w:rsidRPr="008C5B81">
        <w:rPr>
          <w:rFonts w:eastAsia="Times New Roman"/>
          <w:i/>
          <w:iCs/>
        </w:rPr>
        <w:t>Communist Party of Russia and Others</w:t>
      </w:r>
      <w:r w:rsidRPr="008C5B81">
        <w:rPr>
          <w:rFonts w:eastAsia="Times New Roman"/>
        </w:rPr>
        <w:t xml:space="preserve"> (cited above) the applicants – two political parties and six opposition candidates – complained that their right to free elections guaranteed by Article 3 of Protocol No. 1 to the Convention had been breached on account of the biased media coverage of the 2003 parliamentary elections campaign by the major television stations. Although Russian law guaranteed the neutrality of the broadcasting companies, the applicants claimed that the law was not complied with in </w:t>
      </w:r>
      <w:r w:rsidRPr="008C5B81">
        <w:rPr>
          <w:rFonts w:eastAsia="Times New Roman"/>
        </w:rPr>
        <w:t xml:space="preserve">practice, and that </w:t>
      </w:r>
      <w:r w:rsidRPr="008C5B81">
        <w:rPr>
          <w:rFonts w:eastAsia="Times New Roman"/>
          <w:i/>
          <w:iCs/>
        </w:rPr>
        <w:t>de jure</w:t>
      </w:r>
      <w:r w:rsidRPr="008C5B81">
        <w:rPr>
          <w:rFonts w:eastAsia="Times New Roman"/>
        </w:rPr>
        <w:t xml:space="preserve"> neutrality of the five nationwide channels did not exist </w:t>
      </w:r>
      <w:r w:rsidRPr="008C5B81">
        <w:rPr>
          <w:rFonts w:eastAsia="Times New Roman"/>
          <w:i/>
          <w:iCs/>
        </w:rPr>
        <w:t>de facto</w:t>
      </w:r>
      <w:r w:rsidRPr="008C5B81">
        <w:rPr>
          <w:rFonts w:eastAsia="Times New Roman"/>
        </w:rPr>
        <w:t xml:space="preserve">. The Court found that the respondent State had been under a positive obligation to intervene </w:t>
      </w:r>
      <w:r w:rsidRPr="008C5B81">
        <w:rPr>
          <w:rFonts w:eastAsia="Times New Roman"/>
        </w:rPr>
        <w:t>in order to</w:t>
      </w:r>
      <w:r w:rsidRPr="008C5B81">
        <w:rPr>
          <w:rFonts w:eastAsia="Times New Roman"/>
        </w:rPr>
        <w:t xml:space="preserve"> </w:t>
      </w:r>
      <w:r w:rsidRPr="008C5B81">
        <w:rPr>
          <w:rFonts w:eastAsia="Times New Roman"/>
        </w:rPr>
        <w:t>open up</w:t>
      </w:r>
      <w:r w:rsidRPr="008C5B81">
        <w:rPr>
          <w:rFonts w:eastAsia="Times New Roman"/>
        </w:rPr>
        <w:t xml:space="preserve"> the media to different viewpoints. However, it considered that the respondent State had taken certain steps to guarantee some visibility of opposition parties and candidates on Russian television. While these arrangements probably did not secure </w:t>
      </w:r>
      <w:r w:rsidRPr="008C5B81">
        <w:rPr>
          <w:rFonts w:eastAsia="Times New Roman"/>
          <w:i/>
          <w:iCs/>
        </w:rPr>
        <w:t>de</w:t>
      </w:r>
      <w:r w:rsidRPr="008C5B81" w:rsidR="00E2671F">
        <w:rPr>
          <w:rFonts w:eastAsia="Times New Roman"/>
          <w:i/>
          <w:iCs/>
        </w:rPr>
        <w:t xml:space="preserve"> </w:t>
      </w:r>
      <w:r w:rsidRPr="008C5B81">
        <w:rPr>
          <w:rFonts w:eastAsia="Times New Roman"/>
          <w:i/>
          <w:iCs/>
        </w:rPr>
        <w:t>facto</w:t>
      </w:r>
      <w:r w:rsidRPr="008C5B81">
        <w:rPr>
          <w:rFonts w:eastAsia="Times New Roman"/>
        </w:rPr>
        <w:t xml:space="preserve"> equality of all competing political forces in terms of their presence on television screens, having regard to the margin of appreciation enjoyed by the States under Article 3 of Protocol No. 1, it could not be considered established that the State had failed to meet its positive obligations in this area to such an extent that it amounted to a violation of that provision (ibid</w:t>
      </w:r>
      <w:r w:rsidRPr="008C5B81" w:rsidR="00E2671F">
        <w:rPr>
          <w:rFonts w:eastAsia="Times New Roman"/>
        </w:rPr>
        <w:t>.</w:t>
      </w:r>
      <w:r w:rsidRPr="008C5B81">
        <w:rPr>
          <w:rFonts w:eastAsia="Times New Roman"/>
        </w:rPr>
        <w:t>, §§</w:t>
      </w:r>
      <w:r w:rsidRPr="008C5B81" w:rsidR="00BB25AD">
        <w:rPr>
          <w:rFonts w:eastAsia="Times New Roman"/>
        </w:rPr>
        <w:t> </w:t>
      </w:r>
      <w:r w:rsidRPr="008C5B81">
        <w:rPr>
          <w:rFonts w:eastAsia="Times New Roman"/>
        </w:rPr>
        <w:t>126-28).</w:t>
      </w:r>
    </w:p>
    <w:bookmarkStart w:name="paragraph00133" w:id="99"/>
    <w:p w:rsidRPr="008C5B81" w:rsidR="00A8059F" w:rsidP="001D72B2" w14:paraId="1023C5BD" w14:textId="7D76C6FB">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133</w:t>
      </w:r>
      <w:r w:rsidRPr="008C5B81">
        <w:rPr>
          <w:rFonts w:eastAsia="Times New Roman"/>
        </w:rPr>
        <w:fldChar w:fldCharType="end"/>
      </w:r>
      <w:bookmarkEnd w:id="99"/>
      <w:r w:rsidRPr="008C5B81">
        <w:rPr>
          <w:rFonts w:eastAsia="Times New Roman"/>
        </w:rPr>
        <w:t xml:space="preserve">.  Nonetheless, although the Court has, to date, only dealt with cases concerning conditions created by (or within) the respondent State which, it was argued, thwarted the free expression of the opinion of the people in the choice of </w:t>
      </w:r>
      <w:r w:rsidRPr="008C5B81" w:rsidR="00C8435A">
        <w:rPr>
          <w:rFonts w:eastAsia="Times New Roman"/>
        </w:rPr>
        <w:t xml:space="preserve">the </w:t>
      </w:r>
      <w:r w:rsidRPr="008C5B81">
        <w:rPr>
          <w:rFonts w:eastAsia="Times New Roman"/>
        </w:rPr>
        <w:t xml:space="preserve">legislature, the object and purpose of the Convention require its provisions to be interpreted and applied in such a way as to make their stipulations not theoretical or illusory but practical and effective (see, among many </w:t>
      </w:r>
      <w:r w:rsidRPr="008C5B81" w:rsidR="00E2671F">
        <w:rPr>
          <w:rFonts w:eastAsia="Times New Roman"/>
        </w:rPr>
        <w:t>authorities</w:t>
      </w:r>
      <w:r w:rsidRPr="008C5B81">
        <w:rPr>
          <w:rFonts w:eastAsia="Times New Roman"/>
        </w:rPr>
        <w:t xml:space="preserve">, </w:t>
      </w:r>
      <w:r w:rsidRPr="008C5B81">
        <w:rPr>
          <w:rFonts w:eastAsia="Times New Roman"/>
          <w:i/>
          <w:iCs/>
        </w:rPr>
        <w:t>Selahattin Demirtaş</w:t>
      </w:r>
      <w:r w:rsidRPr="008C5B81">
        <w:rPr>
          <w:rFonts w:eastAsia="Times New Roman"/>
        </w:rPr>
        <w:t>, cited above, § 386).</w:t>
      </w:r>
    </w:p>
    <w:bookmarkStart w:name="paragraph00134" w:id="100"/>
    <w:p w:rsidRPr="008C5B81" w:rsidR="00A8059F" w:rsidP="001D72B2" w14:paraId="47658AFF" w14:textId="78483743">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134</w:t>
      </w:r>
      <w:r w:rsidRPr="008C5B81">
        <w:rPr>
          <w:rFonts w:eastAsia="Times New Roman"/>
        </w:rPr>
        <w:fldChar w:fldCharType="end"/>
      </w:r>
      <w:bookmarkEnd w:id="100"/>
      <w:r w:rsidRPr="008C5B81">
        <w:rPr>
          <w:rFonts w:eastAsia="Times New Roman"/>
        </w:rPr>
        <w:t xml:space="preserve">.  In this regard, it is not in dispute that State actors and non-State actors have weaponised disinformation </w:t>
      </w:r>
      <w:r w:rsidRPr="008C5B81">
        <w:rPr>
          <w:rFonts w:eastAsia="Times New Roman"/>
        </w:rPr>
        <w:t>in order to</w:t>
      </w:r>
      <w:r w:rsidRPr="008C5B81">
        <w:rPr>
          <w:rFonts w:eastAsia="Times New Roman"/>
        </w:rPr>
        <w:t xml:space="preserve"> interfere in democratic elections. While new technologies, such as social media platforms, have enabled political parties to disseminate information directly to the electorate, they have also made it possible for hostile actors to spread disinformation and manipulate information at a scale and with a speed never seen before (see paragraphs </w:t>
      </w:r>
      <w:r w:rsidRPr="008C5B81">
        <w:rPr>
          <w:rFonts w:eastAsia="Times New Roman"/>
        </w:rPr>
        <w:fldChar w:fldCharType="begin"/>
      </w:r>
      <w:r w:rsidRPr="008C5B81">
        <w:rPr>
          <w:rFonts w:eastAsia="Times New Roman"/>
        </w:rPr>
        <w:instrText xml:space="preserve">REF paragraph00064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64</w:t>
      </w:r>
      <w:r w:rsidRPr="008C5B81">
        <w:rPr>
          <w:rFonts w:eastAsia="Times New Roman"/>
        </w:rPr>
        <w:fldChar w:fldCharType="end"/>
      </w:r>
      <w:r w:rsidRPr="008C5B81">
        <w:rPr>
          <w:rFonts w:eastAsia="Times New Roman"/>
        </w:rPr>
        <w:t xml:space="preserve">, </w:t>
      </w:r>
      <w:r w:rsidRPr="008C5B81">
        <w:rPr>
          <w:rFonts w:eastAsia="Times New Roman"/>
        </w:rPr>
        <w:fldChar w:fldCharType="begin"/>
      </w:r>
      <w:r w:rsidRPr="008C5B81">
        <w:rPr>
          <w:rFonts w:eastAsia="Times New Roman"/>
        </w:rPr>
        <w:instrText xml:space="preserve">REF paragraph00067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67</w:t>
      </w:r>
      <w:r w:rsidRPr="008C5B81">
        <w:rPr>
          <w:rFonts w:eastAsia="Times New Roman"/>
        </w:rPr>
        <w:fldChar w:fldCharType="end"/>
      </w:r>
      <w:r w:rsidRPr="008C5B81">
        <w:rPr>
          <w:rFonts w:eastAsia="Times New Roman"/>
        </w:rPr>
        <w:t xml:space="preserve"> and </w:t>
      </w:r>
      <w:r w:rsidRPr="008C5B81">
        <w:rPr>
          <w:rFonts w:eastAsia="Times New Roman"/>
        </w:rPr>
        <w:fldChar w:fldCharType="begin"/>
      </w:r>
      <w:r w:rsidRPr="008C5B81">
        <w:rPr>
          <w:rFonts w:eastAsia="Times New Roman"/>
        </w:rPr>
        <w:instrText xml:space="preserve">REF paragraph00088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88</w:t>
      </w:r>
      <w:r w:rsidRPr="008C5B81">
        <w:rPr>
          <w:rFonts w:eastAsia="Times New Roman"/>
        </w:rPr>
        <w:fldChar w:fldCharType="end"/>
      </w:r>
      <w:r w:rsidRPr="008C5B81">
        <w:rPr>
          <w:rFonts w:eastAsia="Times New Roman"/>
        </w:rPr>
        <w:t xml:space="preserve"> above). The NCSC, which is part of one of the United Kingdom </w:t>
      </w:r>
      <w:r w:rsidRPr="008C5B81" w:rsidR="0010626D">
        <w:rPr>
          <w:rFonts w:eastAsia="Times New Roman"/>
        </w:rPr>
        <w:t>i</w:t>
      </w:r>
      <w:r w:rsidRPr="008C5B81">
        <w:rPr>
          <w:rFonts w:eastAsia="Times New Roman"/>
        </w:rPr>
        <w:t xml:space="preserve">ntelligence </w:t>
      </w:r>
      <w:r w:rsidRPr="008C5B81" w:rsidR="0010626D">
        <w:rPr>
          <w:rFonts w:eastAsia="Times New Roman"/>
        </w:rPr>
        <w:t>a</w:t>
      </w:r>
      <w:r w:rsidRPr="008C5B81">
        <w:rPr>
          <w:rFonts w:eastAsia="Times New Roman"/>
        </w:rPr>
        <w:t xml:space="preserve">gencies, has said that it is “no secret” that Russia seeks to weaken and divide its adversaries by interfering in elections using mis- and disinformation, cyber-attacks and other methods (see paragraph </w:t>
      </w:r>
      <w:r w:rsidRPr="008C5B81">
        <w:rPr>
          <w:rFonts w:eastAsia="Times New Roman"/>
        </w:rPr>
        <w:fldChar w:fldCharType="begin"/>
      </w:r>
      <w:r w:rsidRPr="008C5B81">
        <w:rPr>
          <w:rFonts w:eastAsia="Times New Roman"/>
        </w:rPr>
        <w:instrText xml:space="preserve">REF paragraph00056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56</w:t>
      </w:r>
      <w:r w:rsidRPr="008C5B81">
        <w:rPr>
          <w:rFonts w:eastAsia="Times New Roman"/>
        </w:rPr>
        <w:fldChar w:fldCharType="end"/>
      </w:r>
      <w:r w:rsidRPr="008C5B81">
        <w:rPr>
          <w:rFonts w:eastAsia="Times New Roman"/>
        </w:rPr>
        <w:t xml:space="preserve"> above). In addition, the Council of the European Union has indicated that the Russian Federation has engaged in a systematic, international campaign of media manipulation and distortion of facts in order to enhance its strategy of destabilisation of its neighbouring countries and of the European Union and its </w:t>
      </w:r>
      <w:r w:rsidRPr="008C5B81" w:rsidR="00E2671F">
        <w:rPr>
          <w:rFonts w:eastAsia="Times New Roman"/>
        </w:rPr>
        <w:t>m</w:t>
      </w:r>
      <w:r w:rsidRPr="008C5B81">
        <w:rPr>
          <w:rFonts w:eastAsia="Times New Roman"/>
        </w:rPr>
        <w:t xml:space="preserve">ember States (see paragraph </w:t>
      </w:r>
      <w:r w:rsidRPr="008C5B81">
        <w:rPr>
          <w:rFonts w:eastAsia="Times New Roman"/>
        </w:rPr>
        <w:fldChar w:fldCharType="begin"/>
      </w:r>
      <w:r w:rsidRPr="008C5B81">
        <w:rPr>
          <w:rFonts w:eastAsia="Times New Roman"/>
        </w:rPr>
        <w:instrText xml:space="preserve">REF paragraph00084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84</w:t>
      </w:r>
      <w:r w:rsidRPr="008C5B81">
        <w:rPr>
          <w:rFonts w:eastAsia="Times New Roman"/>
        </w:rPr>
        <w:fldChar w:fldCharType="end"/>
      </w:r>
      <w:r w:rsidRPr="008C5B81">
        <w:rPr>
          <w:rFonts w:eastAsia="Times New Roman"/>
        </w:rPr>
        <w:t xml:space="preserve"> above). More specifically, both the United Kingdom and the United States of America have acknowledged that there were attempts by the Russian Federation to interfere in their democratic elections (see paragraphs </w:t>
      </w:r>
      <w:r w:rsidRPr="008C5B81">
        <w:rPr>
          <w:rFonts w:eastAsia="Times New Roman"/>
        </w:rPr>
        <w:fldChar w:fldCharType="begin"/>
      </w:r>
      <w:r w:rsidRPr="008C5B81">
        <w:rPr>
          <w:rFonts w:eastAsia="Times New Roman"/>
        </w:rPr>
        <w:instrText xml:space="preserve">REF paragraph00053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53</w:t>
      </w:r>
      <w:r w:rsidRPr="008C5B81">
        <w:rPr>
          <w:rFonts w:eastAsia="Times New Roman"/>
        </w:rPr>
        <w:fldChar w:fldCharType="end"/>
      </w:r>
      <w:r w:rsidRPr="008C5B81">
        <w:rPr>
          <w:rFonts w:eastAsia="Times New Roman"/>
        </w:rPr>
        <w:t xml:space="preserve"> and </w:t>
      </w:r>
      <w:r w:rsidRPr="008C5B81">
        <w:rPr>
          <w:rFonts w:eastAsia="Times New Roman"/>
        </w:rPr>
        <w:fldChar w:fldCharType="begin"/>
      </w:r>
      <w:r w:rsidRPr="008C5B81">
        <w:rPr>
          <w:rFonts w:eastAsia="Times New Roman"/>
        </w:rPr>
        <w:instrText xml:space="preserve">REF paragraph00093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93</w:t>
      </w:r>
      <w:r w:rsidRPr="008C5B81">
        <w:rPr>
          <w:rFonts w:eastAsia="Times New Roman"/>
        </w:rPr>
        <w:fldChar w:fldCharType="end"/>
      </w:r>
      <w:r w:rsidRPr="008C5B81">
        <w:rPr>
          <w:rFonts w:eastAsia="Times New Roman"/>
        </w:rPr>
        <w:t xml:space="preserve"> above).</w:t>
      </w:r>
    </w:p>
    <w:bookmarkStart w:name="paragraph00135" w:id="101"/>
    <w:p w:rsidRPr="008C5B81" w:rsidR="00A8059F" w:rsidP="001D72B2" w14:paraId="1D924057" w14:textId="70F1DE12">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135</w:t>
      </w:r>
      <w:r w:rsidRPr="008C5B81">
        <w:rPr>
          <w:rFonts w:eastAsia="Times New Roman"/>
        </w:rPr>
        <w:fldChar w:fldCharType="end"/>
      </w:r>
      <w:bookmarkEnd w:id="101"/>
      <w:r w:rsidRPr="008C5B81">
        <w:rPr>
          <w:rFonts w:eastAsia="Times New Roman"/>
        </w:rPr>
        <w:t xml:space="preserve">.  It is also not in doubt that the dissemination of disinformation </w:t>
      </w:r>
      <w:r w:rsidRPr="008C5B81">
        <w:rPr>
          <w:rFonts w:eastAsia="Times New Roman"/>
        </w:rPr>
        <w:t>is capable of posing</w:t>
      </w:r>
      <w:r w:rsidRPr="008C5B81">
        <w:rPr>
          <w:rFonts w:eastAsia="Times New Roman"/>
        </w:rPr>
        <w:t xml:space="preserve"> a significant threat to democracy. The Office of the UN</w:t>
      </w:r>
      <w:r w:rsidRPr="008C5B81" w:rsidR="00E2671F">
        <w:rPr>
          <w:rFonts w:eastAsia="Times New Roman"/>
        </w:rPr>
        <w:t xml:space="preserve"> </w:t>
      </w:r>
      <w:r w:rsidRPr="008C5B81">
        <w:rPr>
          <w:rFonts w:eastAsia="Times New Roman"/>
        </w:rPr>
        <w:t xml:space="preserve">High Commissioner for Human Rights has acknowledged that widespread disinformation </w:t>
      </w:r>
      <w:r w:rsidRPr="008C5B81" w:rsidR="004C07DB">
        <w:rPr>
          <w:rFonts w:eastAsia="Times New Roman"/>
        </w:rPr>
        <w:t>may</w:t>
      </w:r>
      <w:r w:rsidRPr="008C5B81">
        <w:rPr>
          <w:rFonts w:eastAsia="Times New Roman"/>
        </w:rPr>
        <w:t xml:space="preserve"> pose significant threats to the right to stand for elections and </w:t>
      </w:r>
      <w:r w:rsidRPr="008C5B81">
        <w:rPr>
          <w:rFonts w:eastAsia="Times New Roman"/>
        </w:rPr>
        <w:t>vote, and</w:t>
      </w:r>
      <w:r w:rsidRPr="008C5B81">
        <w:rPr>
          <w:rFonts w:eastAsia="Times New Roman"/>
        </w:rPr>
        <w:t xml:space="preserve"> could therefore result in prerequisite rights to free and genuine elections being violated (see paragraph </w:t>
      </w:r>
      <w:r w:rsidRPr="008C5B81">
        <w:rPr>
          <w:rFonts w:eastAsia="Times New Roman"/>
        </w:rPr>
        <w:fldChar w:fldCharType="begin"/>
      </w:r>
      <w:r w:rsidRPr="008C5B81">
        <w:rPr>
          <w:rFonts w:eastAsia="Times New Roman"/>
        </w:rPr>
        <w:instrText xml:space="preserve">REF paragraph00064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64</w:t>
      </w:r>
      <w:r w:rsidRPr="008C5B81">
        <w:rPr>
          <w:rFonts w:eastAsia="Times New Roman"/>
        </w:rPr>
        <w:fldChar w:fldCharType="end"/>
      </w:r>
      <w:r w:rsidRPr="008C5B81">
        <w:rPr>
          <w:rFonts w:eastAsia="Times New Roman"/>
        </w:rPr>
        <w:t xml:space="preserve"> above). The UN</w:t>
      </w:r>
      <w:r w:rsidRPr="008C5B81" w:rsidR="00E2671F">
        <w:rPr>
          <w:rFonts w:eastAsia="Times New Roman"/>
        </w:rPr>
        <w:t xml:space="preserve"> </w:t>
      </w:r>
      <w:r w:rsidRPr="008C5B81">
        <w:rPr>
          <w:rFonts w:eastAsia="Times New Roman"/>
        </w:rPr>
        <w:t xml:space="preserve">Human Rights Council has emphasised that disinformation is a threat to democracy that can suppress political engagement, engender or deepen distrust towards </w:t>
      </w:r>
      <w:r w:rsidRPr="008C5B81">
        <w:rPr>
          <w:rFonts w:eastAsia="Times New Roman"/>
        </w:rPr>
        <w:t>democratic institutions and processes, and hinder the reali</w:t>
      </w:r>
      <w:r w:rsidRPr="008C5B81" w:rsidR="00FE681D">
        <w:rPr>
          <w:rFonts w:eastAsia="Times New Roman"/>
        </w:rPr>
        <w:t>s</w:t>
      </w:r>
      <w:r w:rsidRPr="008C5B81">
        <w:rPr>
          <w:rFonts w:eastAsia="Times New Roman"/>
        </w:rPr>
        <w:t xml:space="preserve">ation of informed participation in political and public affairs (see paragraph </w:t>
      </w:r>
      <w:r w:rsidRPr="008C5B81">
        <w:rPr>
          <w:rFonts w:eastAsia="Times New Roman"/>
        </w:rPr>
        <w:fldChar w:fldCharType="begin"/>
      </w:r>
      <w:r w:rsidRPr="008C5B81">
        <w:rPr>
          <w:rFonts w:eastAsia="Times New Roman"/>
        </w:rPr>
        <w:instrText xml:space="preserve">REF paragraph00065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65</w:t>
      </w:r>
      <w:r w:rsidRPr="008C5B81">
        <w:rPr>
          <w:rFonts w:eastAsia="Times New Roman"/>
        </w:rPr>
        <w:fldChar w:fldCharType="end"/>
      </w:r>
      <w:r w:rsidRPr="008C5B81">
        <w:rPr>
          <w:rFonts w:eastAsia="Times New Roman"/>
        </w:rPr>
        <w:t xml:space="preserve"> above). Moreover, according to the Venice Commission, “a new era of information disorder” has “distorted the communication ecosystem to the point where voters may be seriously encumbered in their decisions by misleading, manipulative and false information designed to influence their votes” (see paragraph </w:t>
      </w:r>
      <w:r w:rsidRPr="008C5B81">
        <w:rPr>
          <w:rFonts w:eastAsia="Times New Roman"/>
        </w:rPr>
        <w:fldChar w:fldCharType="begin"/>
      </w:r>
      <w:r w:rsidRPr="008C5B81">
        <w:rPr>
          <w:rFonts w:eastAsia="Times New Roman"/>
        </w:rPr>
        <w:instrText xml:space="preserve">REF paragraph00071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71</w:t>
      </w:r>
      <w:r w:rsidRPr="008C5B81">
        <w:rPr>
          <w:rFonts w:eastAsia="Times New Roman"/>
        </w:rPr>
        <w:fldChar w:fldCharType="end"/>
      </w:r>
      <w:r w:rsidRPr="008C5B81">
        <w:rPr>
          <w:rFonts w:eastAsia="Times New Roman"/>
        </w:rPr>
        <w:t xml:space="preserve"> above).</w:t>
      </w:r>
    </w:p>
    <w:bookmarkStart w:name="paragraph00136" w:id="102"/>
    <w:p w:rsidRPr="008C5B81" w:rsidR="00A8059F" w:rsidP="001D72B2" w14:paraId="0EBB0C12" w14:textId="40F186FF">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136</w:t>
      </w:r>
      <w:r w:rsidRPr="008C5B81">
        <w:rPr>
          <w:rFonts w:eastAsia="Times New Roman"/>
        </w:rPr>
        <w:fldChar w:fldCharType="end"/>
      </w:r>
      <w:bookmarkEnd w:id="102"/>
      <w:r w:rsidRPr="008C5B81">
        <w:rPr>
          <w:rFonts w:eastAsia="Times New Roman"/>
        </w:rPr>
        <w:t xml:space="preserve">.  Accordingly, the Court would accept that if there was a real risk that as a consequence of interference by a hostile State the rights of electors within a member State would be curtailed to such an extent as to impair their very essence, namely the free expression of the opinion of the people in the choice of their legislature, and deprive them of their effectiveness (see the case-law cited in paragraph </w:t>
      </w:r>
      <w:r w:rsidRPr="008C5B81">
        <w:rPr>
          <w:rFonts w:eastAsia="Times New Roman"/>
        </w:rPr>
        <w:fldChar w:fldCharType="begin"/>
      </w:r>
      <w:r w:rsidRPr="008C5B81">
        <w:rPr>
          <w:rFonts w:eastAsia="Times New Roman"/>
        </w:rPr>
        <w:instrText xml:space="preserve">REF paragraph00119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119</w:t>
      </w:r>
      <w:r w:rsidRPr="008C5B81">
        <w:rPr>
          <w:rFonts w:eastAsia="Times New Roman"/>
        </w:rPr>
        <w:fldChar w:fldCharType="end"/>
      </w:r>
      <w:r w:rsidRPr="008C5B81">
        <w:rPr>
          <w:rFonts w:eastAsia="Times New Roman"/>
        </w:rPr>
        <w:t xml:space="preserve"> above),</w:t>
      </w:r>
      <w:r w:rsidRPr="008C5B81">
        <w:t xml:space="preserve"> </w:t>
      </w:r>
      <w:r w:rsidRPr="008C5B81">
        <w:rPr>
          <w:rFonts w:eastAsia="Times New Roman"/>
        </w:rPr>
        <w:t>Article 3 of Protocol No. 1 may require that State to adopt positive measures to protect the integrity of its electoral processes, and to keep those measures under review.</w:t>
      </w:r>
    </w:p>
    <w:p w:rsidRPr="008C5B81" w:rsidR="00A8059F" w:rsidP="001D72B2" w14:paraId="38CAC670" w14:textId="09E1433E">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137</w:t>
      </w:r>
      <w:r w:rsidRPr="008C5B81">
        <w:rPr>
          <w:rFonts w:eastAsia="Times New Roman"/>
        </w:rPr>
        <w:fldChar w:fldCharType="end"/>
      </w:r>
      <w:r w:rsidRPr="008C5B81">
        <w:rPr>
          <w:rFonts w:eastAsia="Times New Roman"/>
        </w:rPr>
        <w:t>.  The applicants have sought to rely on the Court</w:t>
      </w:r>
      <w:r w:rsidRPr="008C5B81" w:rsidR="001D72B2">
        <w:rPr>
          <w:rFonts w:eastAsia="Times New Roman"/>
        </w:rPr>
        <w:t>’</w:t>
      </w:r>
      <w:r w:rsidRPr="008C5B81">
        <w:rPr>
          <w:rFonts w:eastAsia="Times New Roman"/>
        </w:rPr>
        <w:t>s Article 2 jurisprudence to support their contention that the State was under a further duty to investigate allegations of interference by Russia in the United Kingdom</w:t>
      </w:r>
      <w:r w:rsidRPr="008C5B81" w:rsidR="001D72B2">
        <w:rPr>
          <w:rFonts w:eastAsia="Times New Roman"/>
        </w:rPr>
        <w:t>’</w:t>
      </w:r>
      <w:r w:rsidRPr="008C5B81">
        <w:rPr>
          <w:rFonts w:eastAsia="Times New Roman"/>
        </w:rPr>
        <w:t xml:space="preserve">s electoral processes (see paragraph </w:t>
      </w:r>
      <w:r w:rsidRPr="008C5B81">
        <w:rPr>
          <w:rFonts w:eastAsia="Times New Roman"/>
        </w:rPr>
        <w:fldChar w:fldCharType="begin"/>
      </w:r>
      <w:r w:rsidRPr="008C5B81">
        <w:rPr>
          <w:rFonts w:eastAsia="Times New Roman"/>
        </w:rPr>
        <w:instrText xml:space="preserve">REF paragraph00109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109</w:t>
      </w:r>
      <w:r w:rsidRPr="008C5B81">
        <w:rPr>
          <w:rFonts w:eastAsia="Times New Roman"/>
        </w:rPr>
        <w:fldChar w:fldCharType="end"/>
      </w:r>
      <w:r w:rsidRPr="008C5B81">
        <w:rPr>
          <w:rFonts w:eastAsia="Times New Roman"/>
        </w:rPr>
        <w:t xml:space="preserve"> above). However, there is nothing in the Court</w:t>
      </w:r>
      <w:r w:rsidRPr="008C5B81" w:rsidR="001D72B2">
        <w:rPr>
          <w:rFonts w:eastAsia="Times New Roman"/>
        </w:rPr>
        <w:t>’</w:t>
      </w:r>
      <w:r w:rsidRPr="008C5B81">
        <w:rPr>
          <w:rFonts w:eastAsia="Times New Roman"/>
        </w:rPr>
        <w:t>s case-law to imply the existence, under Article 3 of Protocol No. 1, of a free</w:t>
      </w:r>
      <w:r w:rsidRPr="008C5B81" w:rsidR="002C5BDE">
        <w:rPr>
          <w:rFonts w:eastAsia="Times New Roman"/>
        </w:rPr>
        <w:t>-</w:t>
      </w:r>
      <w:r w:rsidRPr="008C5B81">
        <w:rPr>
          <w:rFonts w:eastAsia="Times New Roman"/>
        </w:rPr>
        <w:t>standing procedural obligation to investigate arguable claims of a breach of individuals</w:t>
      </w:r>
      <w:r w:rsidRPr="008C5B81" w:rsidR="001D72B2">
        <w:rPr>
          <w:rFonts w:eastAsia="Times New Roman"/>
        </w:rPr>
        <w:t>’</w:t>
      </w:r>
      <w:r w:rsidRPr="008C5B81">
        <w:rPr>
          <w:rFonts w:eastAsia="Times New Roman"/>
        </w:rPr>
        <w:t xml:space="preserve"> rights under that Article (see paragraphs</w:t>
      </w:r>
      <w:r w:rsidRPr="008C5B81" w:rsidR="00F92F09">
        <w:rPr>
          <w:rFonts w:eastAsia="Times New Roman"/>
        </w:rPr>
        <w:t> </w:t>
      </w:r>
      <w:r w:rsidRPr="008C5B81">
        <w:rPr>
          <w:rFonts w:eastAsia="Times New Roman"/>
        </w:rPr>
        <w:fldChar w:fldCharType="begin"/>
      </w:r>
      <w:r w:rsidRPr="008C5B81">
        <w:rPr>
          <w:rFonts w:eastAsia="Times New Roman"/>
        </w:rPr>
        <w:instrText xml:space="preserve">REF paragraph00127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127</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paragraph00129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29</w:t>
      </w:r>
      <w:r w:rsidRPr="008C5B81">
        <w:rPr>
          <w:rFonts w:eastAsia="Times New Roman"/>
        </w:rPr>
        <w:fldChar w:fldCharType="end"/>
      </w:r>
      <w:r w:rsidRPr="008C5B81">
        <w:rPr>
          <w:rFonts w:eastAsia="Times New Roman"/>
        </w:rPr>
        <w:t>). Such cases are of a wholly different order from those falling under Articles 2, 3, 4, 8 and even Article 1 of Protocol No. 1, in which the Court has found there to exist a free</w:t>
      </w:r>
      <w:r w:rsidRPr="008C5B81" w:rsidR="00B53584">
        <w:rPr>
          <w:rFonts w:eastAsia="Times New Roman"/>
        </w:rPr>
        <w:t>-</w:t>
      </w:r>
      <w:r w:rsidRPr="008C5B81">
        <w:rPr>
          <w:rFonts w:eastAsia="Times New Roman"/>
        </w:rPr>
        <w:t>standing procedural obligation to investigate. Those cases primarily concerned criminal actions against an individual and/or grave interferences with an individual</w:t>
      </w:r>
      <w:r w:rsidRPr="008C5B81" w:rsidR="001D72B2">
        <w:rPr>
          <w:rFonts w:eastAsia="Times New Roman"/>
        </w:rPr>
        <w:t>’</w:t>
      </w:r>
      <w:r w:rsidRPr="008C5B81">
        <w:rPr>
          <w:rFonts w:eastAsia="Times New Roman"/>
        </w:rPr>
        <w:t>s physical or psychological integrity. The investigatory obligation was a corollary to the State</w:t>
      </w:r>
      <w:r w:rsidRPr="008C5B81" w:rsidR="001D72B2">
        <w:rPr>
          <w:rFonts w:eastAsia="Times New Roman"/>
        </w:rPr>
        <w:t>’</w:t>
      </w:r>
      <w:r w:rsidRPr="008C5B81">
        <w:rPr>
          <w:rFonts w:eastAsia="Times New Roman"/>
        </w:rPr>
        <w:t xml:space="preserve">s positive obligation to protect individuals from breaches of those rights by, </w:t>
      </w:r>
      <w:r w:rsidRPr="008C5B81">
        <w:rPr>
          <w:rFonts w:eastAsia="Times New Roman"/>
          <w:i/>
          <w:iCs/>
        </w:rPr>
        <w:t>inter alia</w:t>
      </w:r>
      <w:r w:rsidRPr="008C5B81">
        <w:rPr>
          <w:rFonts w:eastAsia="Times New Roman"/>
        </w:rPr>
        <w:t>, putting in place a regulatory framework for those purposes; in order to secure the effective implementation of that regulatory framework, the State had a separate obligation to investigate arguable claims of breaches of those rights, and the investigation had to be capable of leading to the identification and punishment of the persons responsible.</w:t>
      </w:r>
    </w:p>
    <w:p w:rsidRPr="008C5B81" w:rsidR="00A8059F" w:rsidP="001D72B2" w14:paraId="562B7D7E" w14:textId="6EF47D1D">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138</w:t>
      </w:r>
      <w:r w:rsidRPr="008C5B81">
        <w:rPr>
          <w:rFonts w:eastAsia="Times New Roman"/>
        </w:rPr>
        <w:fldChar w:fldCharType="end"/>
      </w:r>
      <w:r w:rsidRPr="008C5B81">
        <w:rPr>
          <w:rFonts w:eastAsia="Times New Roman"/>
        </w:rPr>
        <w:t>.  In view of the very different nature of complaints falling under Article 3 of Protocol No. 1, the Court does not consider that a free</w:t>
      </w:r>
      <w:r w:rsidRPr="008C5B81" w:rsidR="00B53584">
        <w:rPr>
          <w:rFonts w:eastAsia="Times New Roman"/>
        </w:rPr>
        <w:t>-</w:t>
      </w:r>
      <w:r w:rsidRPr="008C5B81">
        <w:rPr>
          <w:rFonts w:eastAsia="Times New Roman"/>
        </w:rPr>
        <w:t>standing obligation to investigate</w:t>
      </w:r>
      <w:r w:rsidRPr="008C5B81" w:rsidR="00F95F5C">
        <w:rPr>
          <w:rFonts w:eastAsia="Times New Roman"/>
        </w:rPr>
        <w:t xml:space="preserve"> –</w:t>
      </w:r>
      <w:r w:rsidRPr="008C5B81">
        <w:rPr>
          <w:rFonts w:eastAsia="Times New Roman"/>
        </w:rPr>
        <w:t xml:space="preserve"> analogous to that which exists where there is an arguable breach of, </w:t>
      </w:r>
      <w:r w:rsidRPr="008C5B81">
        <w:rPr>
          <w:rFonts w:eastAsia="Times New Roman"/>
          <w:i/>
          <w:iCs/>
        </w:rPr>
        <w:t>inter alia</w:t>
      </w:r>
      <w:r w:rsidRPr="008C5B81">
        <w:rPr>
          <w:rFonts w:eastAsia="Times New Roman"/>
        </w:rPr>
        <w:t>, Articles 2, 3 and 4 of the Convention</w:t>
      </w:r>
      <w:r w:rsidRPr="008C5B81" w:rsidR="00F95F5C">
        <w:rPr>
          <w:rFonts w:eastAsia="Times New Roman"/>
        </w:rPr>
        <w:t xml:space="preserve"> –</w:t>
      </w:r>
      <w:r w:rsidRPr="008C5B81">
        <w:rPr>
          <w:rFonts w:eastAsia="Times New Roman"/>
        </w:rPr>
        <w:t xml:space="preserve"> can or should now be read into that Article. At the same time, if a State were to ignore credible allegations of foreign interference in its elections, it would not be </w:t>
      </w:r>
      <w:r w:rsidRPr="008C5B81">
        <w:rPr>
          <w:rFonts w:eastAsia="Times New Roman"/>
        </w:rPr>
        <w:t>in a position</w:t>
      </w:r>
      <w:r w:rsidRPr="008C5B81">
        <w:t xml:space="preserve"> </w:t>
      </w:r>
      <w:r w:rsidRPr="008C5B81">
        <w:rPr>
          <w:rFonts w:eastAsia="Times New Roman"/>
        </w:rPr>
        <w:t xml:space="preserve">to adopt positive measures to protect the integrity of its electoral processes (see paragraph </w:t>
      </w:r>
      <w:r w:rsidRPr="008C5B81">
        <w:rPr>
          <w:rFonts w:eastAsia="Times New Roman"/>
        </w:rPr>
        <w:fldChar w:fldCharType="begin"/>
      </w:r>
      <w:r w:rsidRPr="008C5B81">
        <w:rPr>
          <w:rFonts w:eastAsia="Times New Roman"/>
        </w:rPr>
        <w:instrText xml:space="preserve">REF paragraph00136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136</w:t>
      </w:r>
      <w:r w:rsidRPr="008C5B81">
        <w:rPr>
          <w:rFonts w:eastAsia="Times New Roman"/>
        </w:rPr>
        <w:fldChar w:fldCharType="end"/>
      </w:r>
      <w:r w:rsidRPr="008C5B81">
        <w:rPr>
          <w:rFonts w:eastAsia="Times New Roman"/>
        </w:rPr>
        <w:t xml:space="preserve"> above). Therefore, while States may not have a separate and autonomous obligation to investigate arguable claims of a breach of an individual</w:t>
      </w:r>
      <w:r w:rsidRPr="008C5B81" w:rsidR="001D72B2">
        <w:rPr>
          <w:rFonts w:eastAsia="Times New Roman"/>
        </w:rPr>
        <w:t>’</w:t>
      </w:r>
      <w:r w:rsidRPr="008C5B81">
        <w:rPr>
          <w:rFonts w:eastAsia="Times New Roman"/>
        </w:rPr>
        <w:t>s rights under Article 3 of Protocol</w:t>
      </w:r>
      <w:r w:rsidRPr="008C5B81" w:rsidR="00E2671F">
        <w:rPr>
          <w:rFonts w:eastAsia="Times New Roman"/>
        </w:rPr>
        <w:t xml:space="preserve"> </w:t>
      </w:r>
      <w:r w:rsidRPr="008C5B81">
        <w:rPr>
          <w:rFonts w:eastAsia="Times New Roman"/>
        </w:rPr>
        <w:t xml:space="preserve">No. 1, a </w:t>
      </w:r>
      <w:r w:rsidRPr="008C5B81">
        <w:rPr>
          <w:rFonts w:eastAsia="Times New Roman"/>
        </w:rPr>
        <w:t>flagrant failure by a State to investigate credible allegations of interference in its elections could raise an issue under that Article if it impeded its ability to take positive measures to protect the electorate from the impairment of the very essence of its right to benefit from elections</w:t>
      </w:r>
      <w:r w:rsidRPr="008C5B81">
        <w:t xml:space="preserve"> “</w:t>
      </w:r>
      <w:r w:rsidRPr="008C5B81">
        <w:rPr>
          <w:rFonts w:eastAsia="Times New Roman"/>
        </w:rPr>
        <w:t>under conditions which</w:t>
      </w:r>
      <w:r w:rsidRPr="008C5B81" w:rsidR="00EA556C">
        <w:rPr>
          <w:rFonts w:eastAsia="Times New Roman"/>
        </w:rPr>
        <w:t xml:space="preserve"> [would]</w:t>
      </w:r>
      <w:r w:rsidRPr="008C5B81">
        <w:rPr>
          <w:rFonts w:eastAsia="Times New Roman"/>
        </w:rPr>
        <w:t xml:space="preserve"> ensure the free expression of the opinion of the people”</w:t>
      </w:r>
      <w:r w:rsidRPr="008C5B81" w:rsidR="004F0F46">
        <w:rPr>
          <w:rFonts w:eastAsia="Times New Roman"/>
        </w:rPr>
        <w:t>.</w:t>
      </w:r>
    </w:p>
    <w:p w:rsidRPr="008C5B81" w:rsidR="00A8059F" w:rsidP="001D72B2" w14:paraId="5D7A3D90" w14:textId="3470C0EA">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139</w:t>
      </w:r>
      <w:r w:rsidRPr="008C5B81">
        <w:rPr>
          <w:rFonts w:eastAsia="Times New Roman"/>
        </w:rPr>
        <w:fldChar w:fldCharType="end"/>
      </w:r>
      <w:r w:rsidRPr="008C5B81">
        <w:rPr>
          <w:rFonts w:eastAsia="Times New Roman"/>
        </w:rPr>
        <w:t xml:space="preserve">.  The purpose of any investigation would principally be to determine the nature and extent of the threat </w:t>
      </w:r>
      <w:r w:rsidRPr="008C5B81">
        <w:rPr>
          <w:rFonts w:eastAsia="Times New Roman"/>
        </w:rPr>
        <w:t>so as to</w:t>
      </w:r>
      <w:r w:rsidRPr="008C5B81">
        <w:rPr>
          <w:rFonts w:eastAsia="Times New Roman"/>
        </w:rPr>
        <w:t xml:space="preserve"> enable the State to take the measures necessary to protect the integrity of its electoral processes from external interference. The investigation would therefore be antecedent to the State putting in place or updating a legal and regulatory framework to satisfy the positive obligation to protect the integrity of its electoral processes, and any alleged failure to investigate </w:t>
      </w:r>
      <w:r w:rsidRPr="008C5B81" w:rsidR="00D8290F">
        <w:rPr>
          <w:rFonts w:eastAsia="Times New Roman"/>
        </w:rPr>
        <w:t>would</w:t>
      </w:r>
      <w:r w:rsidRPr="008C5B81">
        <w:rPr>
          <w:rFonts w:eastAsia="Times New Roman"/>
        </w:rPr>
        <w:t xml:space="preserve"> fall to be considered as part of that positive obligation (see paragraph </w:t>
      </w:r>
      <w:r w:rsidRPr="008C5B81">
        <w:rPr>
          <w:rFonts w:eastAsia="Times New Roman"/>
        </w:rPr>
        <w:fldChar w:fldCharType="begin"/>
      </w:r>
      <w:r w:rsidRPr="008C5B81">
        <w:rPr>
          <w:rFonts w:eastAsia="Times New Roman"/>
        </w:rPr>
        <w:instrText xml:space="preserve">REF paragraph00136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136</w:t>
      </w:r>
      <w:r w:rsidRPr="008C5B81">
        <w:rPr>
          <w:rFonts w:eastAsia="Times New Roman"/>
        </w:rPr>
        <w:fldChar w:fldCharType="end"/>
      </w:r>
      <w:r w:rsidRPr="008C5B81">
        <w:rPr>
          <w:rFonts w:eastAsia="Times New Roman"/>
        </w:rPr>
        <w:t xml:space="preserve"> above), and not as a separate violation of Article 3 of Protocol No. 1.</w:t>
      </w:r>
    </w:p>
    <w:p w:rsidRPr="008C5B81" w:rsidR="00A8059F" w:rsidP="001D72B2" w14:paraId="3598A1A4" w14:textId="4161A679">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140</w:t>
      </w:r>
      <w:r w:rsidRPr="008C5B81">
        <w:rPr>
          <w:rFonts w:eastAsia="Times New Roman"/>
        </w:rPr>
        <w:fldChar w:fldCharType="end"/>
      </w:r>
      <w:r w:rsidRPr="008C5B81">
        <w:rPr>
          <w:rFonts w:eastAsia="Times New Roman"/>
        </w:rPr>
        <w:t>.  Therefore, to the extent identified in the pr</w:t>
      </w:r>
      <w:r w:rsidRPr="008C5B81" w:rsidR="00EA556C">
        <w:rPr>
          <w:rFonts w:eastAsia="Times New Roman"/>
        </w:rPr>
        <w:t>e</w:t>
      </w:r>
      <w:r w:rsidRPr="008C5B81">
        <w:rPr>
          <w:rFonts w:eastAsia="Times New Roman"/>
        </w:rPr>
        <w:t>ceding paragraphs, the Court considers that Article 3 of Protocol No. 1 is applicable to the applicants</w:t>
      </w:r>
      <w:r w:rsidRPr="008C5B81" w:rsidR="001D72B2">
        <w:rPr>
          <w:rFonts w:eastAsia="Times New Roman"/>
        </w:rPr>
        <w:t>’</w:t>
      </w:r>
      <w:r w:rsidRPr="008C5B81">
        <w:rPr>
          <w:rFonts w:eastAsia="Times New Roman"/>
        </w:rPr>
        <w:t xml:space="preserve"> complaints.</w:t>
      </w:r>
    </w:p>
    <w:p w:rsidRPr="008C5B81" w:rsidR="00A8059F" w:rsidP="001D72B2" w14:paraId="3B7DF2BC" w14:textId="77777777">
      <w:pPr>
        <w:pStyle w:val="JuHA"/>
        <w:rPr>
          <w:rFonts w:eastAsia="MingLiU"/>
        </w:rPr>
      </w:pPr>
      <w:r w:rsidRPr="008C5B81">
        <w:t>Victim status</w:t>
      </w:r>
    </w:p>
    <w:p w:rsidRPr="008C5B81" w:rsidR="00A8059F" w:rsidP="001D72B2" w14:paraId="69D5EE2F" w14:textId="7585162A">
      <w:pPr>
        <w:pStyle w:val="JuH1"/>
      </w:pPr>
      <w:r w:rsidRPr="008C5B81">
        <w:t>The parties</w:t>
      </w:r>
      <w:r w:rsidRPr="008C5B81" w:rsidR="001D72B2">
        <w:t>’</w:t>
      </w:r>
      <w:r w:rsidRPr="008C5B81">
        <w:t xml:space="preserve"> submissions</w:t>
      </w:r>
    </w:p>
    <w:p w:rsidRPr="008C5B81" w:rsidR="00A8059F" w:rsidP="001D72B2" w14:paraId="4F1F83C0" w14:textId="5A3C3A0F">
      <w:pPr>
        <w:pStyle w:val="JuPara"/>
      </w:pPr>
      <w:r>
        <w:fldChar w:fldCharType="begin"/>
      </w:r>
      <w:r>
        <w:instrText xml:space="preserve"> SEQ level0 \*arabic \* MERGEFORMAT </w:instrText>
      </w:r>
      <w:r>
        <w:fldChar w:fldCharType="separate"/>
      </w:r>
      <w:r w:rsidRPr="008C5B81">
        <w:rPr>
          <w:noProof/>
        </w:rPr>
        <w:t>141</w:t>
      </w:r>
      <w:r w:rsidRPr="008C5B81">
        <w:rPr>
          <w:noProof/>
        </w:rPr>
        <w:fldChar w:fldCharType="end"/>
      </w:r>
      <w:r w:rsidRPr="008C5B81">
        <w:t xml:space="preserve">.  The Government argued that the applicants were not victims, within the meaning of Article 34 of the Convention, of any alleged violation of Article 3 of Protocol No. 1. The present application was therefore an </w:t>
      </w:r>
      <w:r w:rsidRPr="008C5B81" w:rsidR="00F92F09">
        <w:rPr>
          <w:i/>
          <w:iCs/>
        </w:rPr>
        <w:t>actio</w:t>
      </w:r>
      <w:r w:rsidRPr="008C5B81" w:rsidR="00E2671F">
        <w:rPr>
          <w:i/>
          <w:iCs/>
        </w:rPr>
        <w:t xml:space="preserve"> </w:t>
      </w:r>
      <w:r w:rsidRPr="008C5B81">
        <w:rPr>
          <w:i/>
          <w:iCs/>
        </w:rPr>
        <w:t>popularis</w:t>
      </w:r>
      <w:r w:rsidRPr="008C5B81">
        <w:t xml:space="preserve"> raising issues which were more appropriately addressed through the democratic institutions of State.</w:t>
      </w:r>
    </w:p>
    <w:p w:rsidRPr="008C5B81" w:rsidR="00A8059F" w:rsidP="001D72B2" w14:paraId="070E2E33" w14:textId="08BBE824">
      <w:pPr>
        <w:pStyle w:val="JuPara"/>
      </w:pPr>
      <w:r>
        <w:fldChar w:fldCharType="begin"/>
      </w:r>
      <w:r>
        <w:instrText xml:space="preserve"> SEQ level0 \*arabic \* MERGEFORMAT </w:instrText>
      </w:r>
      <w:r>
        <w:fldChar w:fldCharType="separate"/>
      </w:r>
      <w:r w:rsidRPr="008C5B81">
        <w:rPr>
          <w:noProof/>
        </w:rPr>
        <w:t>142</w:t>
      </w:r>
      <w:r w:rsidRPr="008C5B81">
        <w:rPr>
          <w:noProof/>
        </w:rPr>
        <w:fldChar w:fldCharType="end"/>
      </w:r>
      <w:r w:rsidRPr="008C5B81">
        <w:t>.  The applicants argued that they were “victims” of the alleged violations because, as members of the United Kingdom electorate and sitting members of the legislature, their rights were directly affected by the respondent State</w:t>
      </w:r>
      <w:r w:rsidRPr="008C5B81" w:rsidR="001D72B2">
        <w:t>’</w:t>
      </w:r>
      <w:r w:rsidRPr="008C5B81">
        <w:t>s inaction.</w:t>
      </w:r>
    </w:p>
    <w:p w:rsidRPr="008C5B81" w:rsidR="00A8059F" w:rsidP="001D72B2" w14:paraId="460F1F03" w14:textId="6FDCF9FC">
      <w:pPr>
        <w:pStyle w:val="JuH1"/>
      </w:pPr>
      <w:r w:rsidRPr="008C5B81">
        <w:t>The Court</w:t>
      </w:r>
      <w:r w:rsidRPr="008C5B81" w:rsidR="001D72B2">
        <w:t>’</w:t>
      </w:r>
      <w:r w:rsidRPr="008C5B81">
        <w:t>s assessment</w:t>
      </w:r>
    </w:p>
    <w:p w:rsidRPr="008C5B81" w:rsidR="00A8059F" w:rsidP="001D72B2" w14:paraId="4D2590AD" w14:textId="538C43F0">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8C5B81">
        <w:rPr>
          <w:noProof/>
        </w:rPr>
        <w:t>143</w:t>
      </w:r>
      <w:r w:rsidRPr="008C5B81">
        <w:rPr>
          <w:noProof/>
        </w:rPr>
        <w:fldChar w:fldCharType="end"/>
      </w:r>
      <w:r w:rsidRPr="008C5B81">
        <w:t>.  </w:t>
      </w:r>
      <w:r w:rsidRPr="008C5B81">
        <w:rPr>
          <w:rFonts w:ascii="Times New Roman" w:hAnsi="Times New Roman" w:eastAsia="Times New Roman" w:cs="Times New Roman"/>
        </w:rPr>
        <w:t>In order to</w:t>
      </w:r>
      <w:r w:rsidRPr="008C5B81">
        <w:rPr>
          <w:rFonts w:ascii="Times New Roman" w:hAnsi="Times New Roman" w:eastAsia="Times New Roman" w:cs="Times New Roman"/>
        </w:rPr>
        <w:t xml:space="preserve"> be able to lodge </w:t>
      </w:r>
      <w:r w:rsidRPr="008C5B81" w:rsidR="007B44F6">
        <w:rPr>
          <w:rFonts w:ascii="Times New Roman" w:hAnsi="Times New Roman" w:eastAsia="Times New Roman" w:cs="Times New Roman"/>
        </w:rPr>
        <w:t xml:space="preserve">an application </w:t>
      </w:r>
      <w:r w:rsidRPr="008C5B81">
        <w:rPr>
          <w:rFonts w:ascii="Times New Roman" w:hAnsi="Times New Roman" w:eastAsia="Times New Roman" w:cs="Times New Roman"/>
        </w:rPr>
        <w:t xml:space="preserve">by virtue of Article 34, a person, non-governmental organisation or group of individuals must be able to claim to be the victim of a violation of the rights set forth in the Convention. </w:t>
      </w:r>
      <w:r w:rsidRPr="008C5B81">
        <w:rPr>
          <w:rFonts w:ascii="Times New Roman" w:hAnsi="Times New Roman" w:eastAsia="Times New Roman" w:cs="Times New Roman"/>
        </w:rPr>
        <w:t>In order to</w:t>
      </w:r>
      <w:r w:rsidRPr="008C5B81">
        <w:rPr>
          <w:rFonts w:ascii="Times New Roman" w:hAnsi="Times New Roman" w:eastAsia="Times New Roman" w:cs="Times New Roman"/>
        </w:rPr>
        <w:t xml:space="preserve"> claim to be a victim of a violation, a person must be personally and directly affected by the impugned act or omission (see </w:t>
      </w:r>
      <w:r w:rsidRPr="008C5B81">
        <w:rPr>
          <w:rFonts w:ascii="Times New Roman" w:hAnsi="Times New Roman" w:eastAsia="Times New Roman" w:cs="Times New Roman"/>
          <w:i/>
          <w:iCs/>
        </w:rPr>
        <w:t xml:space="preserve">Verein </w:t>
      </w:r>
      <w:r w:rsidRPr="008C5B81">
        <w:rPr>
          <w:rFonts w:ascii="Times New Roman" w:hAnsi="Times New Roman" w:eastAsia="Times New Roman" w:cs="Times New Roman"/>
          <w:i/>
          <w:iCs/>
        </w:rPr>
        <w:t>KlimaSeniorinnen</w:t>
      </w:r>
      <w:r w:rsidRPr="008C5B81">
        <w:rPr>
          <w:rFonts w:ascii="Times New Roman" w:hAnsi="Times New Roman" w:eastAsia="Times New Roman" w:cs="Times New Roman"/>
          <w:i/>
          <w:iCs/>
        </w:rPr>
        <w:t xml:space="preserve"> Schweiz and Others v. Switzerland</w:t>
      </w:r>
      <w:r w:rsidRPr="008C5B81">
        <w:rPr>
          <w:rFonts w:ascii="Times New Roman" w:hAnsi="Times New Roman" w:eastAsia="Times New Roman" w:cs="Times New Roman"/>
        </w:rPr>
        <w:t xml:space="preserve"> [GC], no. 53600/20, §</w:t>
      </w:r>
      <w:r w:rsidRPr="008C5B81" w:rsidR="00F92F09">
        <w:rPr>
          <w:rFonts w:ascii="Times New Roman" w:hAnsi="Times New Roman" w:eastAsia="Times New Roman" w:cs="Times New Roman"/>
        </w:rPr>
        <w:t> </w:t>
      </w:r>
      <w:r w:rsidRPr="008C5B81">
        <w:rPr>
          <w:rFonts w:ascii="Times New Roman" w:hAnsi="Times New Roman" w:eastAsia="Times New Roman" w:cs="Times New Roman"/>
        </w:rPr>
        <w:t xml:space="preserve">466, 9 April 2024). The Convention does not envisage the bringing of an </w:t>
      </w:r>
      <w:r w:rsidRPr="008C5B81">
        <w:rPr>
          <w:rFonts w:ascii="Times New Roman" w:hAnsi="Times New Roman" w:eastAsia="Times New Roman" w:cs="Times New Roman"/>
          <w:i/>
          <w:iCs/>
        </w:rPr>
        <w:t>actio</w:t>
      </w:r>
      <w:r w:rsidRPr="008C5B81">
        <w:rPr>
          <w:rFonts w:ascii="Times New Roman" w:hAnsi="Times New Roman" w:eastAsia="Times New Roman" w:cs="Times New Roman"/>
          <w:i/>
          <w:iCs/>
        </w:rPr>
        <w:t xml:space="preserve"> </w:t>
      </w:r>
      <w:r w:rsidRPr="008C5B81">
        <w:rPr>
          <w:rFonts w:ascii="Times New Roman" w:hAnsi="Times New Roman" w:eastAsia="Times New Roman" w:cs="Times New Roman"/>
          <w:i/>
          <w:iCs/>
        </w:rPr>
        <w:t>popularis</w:t>
      </w:r>
      <w:r w:rsidRPr="008C5B81">
        <w:rPr>
          <w:rFonts w:ascii="Times New Roman" w:hAnsi="Times New Roman" w:eastAsia="Times New Roman" w:cs="Times New Roman"/>
        </w:rPr>
        <w:t xml:space="preserve"> for the interpretation of the rights it contains (see </w:t>
      </w:r>
      <w:r w:rsidRPr="008C5B81">
        <w:rPr>
          <w:rFonts w:ascii="Times New Roman" w:hAnsi="Times New Roman" w:eastAsia="Times New Roman" w:cs="Times New Roman"/>
          <w:i/>
          <w:iCs/>
        </w:rPr>
        <w:t>Tănase</w:t>
      </w:r>
      <w:r w:rsidRPr="008C5B81">
        <w:rPr>
          <w:rFonts w:ascii="Times New Roman" w:hAnsi="Times New Roman" w:eastAsia="Times New Roman" w:cs="Times New Roman"/>
        </w:rPr>
        <w:t>, cited above, § 104), and the Court</w:t>
      </w:r>
      <w:r w:rsidRPr="008C5B81" w:rsidR="001D72B2">
        <w:rPr>
          <w:rFonts w:ascii="Times New Roman" w:hAnsi="Times New Roman" w:eastAsia="Times New Roman" w:cs="Times New Roman"/>
        </w:rPr>
        <w:t>’</w:t>
      </w:r>
      <w:r w:rsidRPr="008C5B81">
        <w:rPr>
          <w:rFonts w:ascii="Times New Roman" w:hAnsi="Times New Roman" w:eastAsia="Times New Roman" w:cs="Times New Roman"/>
        </w:rPr>
        <w:t xml:space="preserve">s task is not normally to review the relevant law and practice </w:t>
      </w:r>
      <w:r w:rsidRPr="008C5B81">
        <w:rPr>
          <w:rFonts w:ascii="Times New Roman" w:hAnsi="Times New Roman" w:eastAsia="Times New Roman" w:cs="Times New Roman"/>
          <w:i/>
          <w:iCs/>
        </w:rPr>
        <w:t xml:space="preserve">in </w:t>
      </w:r>
      <w:r w:rsidRPr="008C5B81">
        <w:rPr>
          <w:rFonts w:ascii="Times New Roman" w:hAnsi="Times New Roman" w:eastAsia="Times New Roman" w:cs="Times New Roman"/>
          <w:i/>
          <w:iCs/>
        </w:rPr>
        <w:t>abstracto</w:t>
      </w:r>
      <w:r w:rsidRPr="008C5B81">
        <w:rPr>
          <w:rFonts w:ascii="Times New Roman" w:hAnsi="Times New Roman" w:eastAsia="Times New Roman" w:cs="Times New Roman"/>
        </w:rPr>
        <w:t xml:space="preserve">, but rather to determine whether the manner in which they were applied to, or affected, the applicant gave rise to a violation </w:t>
      </w:r>
      <w:r w:rsidRPr="008C5B81">
        <w:rPr>
          <w:rFonts w:ascii="Times New Roman" w:hAnsi="Times New Roman" w:eastAsia="Times New Roman" w:cs="Times New Roman"/>
        </w:rPr>
        <w:t xml:space="preserve">of the Convention (see </w:t>
      </w:r>
      <w:r w:rsidRPr="008C5B81">
        <w:rPr>
          <w:rFonts w:ascii="Times New Roman" w:hAnsi="Times New Roman" w:eastAsia="Times New Roman" w:cs="Times New Roman"/>
          <w:i/>
          <w:iCs/>
        </w:rPr>
        <w:t xml:space="preserve">Verein </w:t>
      </w:r>
      <w:r w:rsidRPr="008C5B81">
        <w:rPr>
          <w:rFonts w:ascii="Times New Roman" w:hAnsi="Times New Roman" w:eastAsia="Times New Roman" w:cs="Times New Roman"/>
          <w:i/>
          <w:iCs/>
        </w:rPr>
        <w:t>KlimaSeniorinnen</w:t>
      </w:r>
      <w:r w:rsidRPr="008C5B81">
        <w:rPr>
          <w:rFonts w:ascii="Times New Roman" w:hAnsi="Times New Roman" w:eastAsia="Times New Roman" w:cs="Times New Roman"/>
          <w:i/>
          <w:iCs/>
        </w:rPr>
        <w:t xml:space="preserve"> Schweiz and Others</w:t>
      </w:r>
      <w:r w:rsidRPr="008C5B81">
        <w:rPr>
          <w:rFonts w:ascii="Times New Roman" w:hAnsi="Times New Roman" w:eastAsia="Times New Roman" w:cs="Times New Roman"/>
        </w:rPr>
        <w:t>, cited above, § 460).</w:t>
      </w:r>
    </w:p>
    <w:bookmarkStart w:name="paragraph00144" w:id="103"/>
    <w:p w:rsidRPr="008C5B81" w:rsidR="00A8059F" w:rsidP="001D72B2" w14:paraId="352C2DD7" w14:textId="491A7389">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144</w:t>
      </w:r>
      <w:r w:rsidRPr="008C5B81">
        <w:rPr>
          <w:rFonts w:eastAsia="Times New Roman"/>
        </w:rPr>
        <w:fldChar w:fldCharType="end"/>
      </w:r>
      <w:bookmarkEnd w:id="103"/>
      <w:r w:rsidRPr="008C5B81">
        <w:rPr>
          <w:rFonts w:eastAsia="Times New Roman"/>
        </w:rPr>
        <w:t>.  In principle, anyone eligible to stand for election or vote in a member State could be a potential victim of a failure by that State to adopt positive measures to protect the integrity of its electoral processes. However, as the Court</w:t>
      </w:r>
      <w:r w:rsidRPr="008C5B81" w:rsidR="001D72B2">
        <w:rPr>
          <w:rFonts w:eastAsia="Times New Roman"/>
        </w:rPr>
        <w:t>’</w:t>
      </w:r>
      <w:r w:rsidRPr="008C5B81">
        <w:rPr>
          <w:rFonts w:eastAsia="Times New Roman"/>
        </w:rPr>
        <w:t xml:space="preserve">s task is not normally to review the relevant law and practice </w:t>
      </w:r>
      <w:r w:rsidRPr="008C5B81">
        <w:rPr>
          <w:rFonts w:eastAsia="Times New Roman"/>
          <w:i/>
          <w:iCs/>
        </w:rPr>
        <w:t>in</w:t>
      </w:r>
      <w:r w:rsidRPr="008C5B81" w:rsidR="00E2671F">
        <w:rPr>
          <w:rFonts w:eastAsia="Times New Roman"/>
          <w:i/>
          <w:iCs/>
        </w:rPr>
        <w:t xml:space="preserve"> </w:t>
      </w:r>
      <w:r w:rsidRPr="008C5B81">
        <w:rPr>
          <w:rFonts w:eastAsia="Times New Roman"/>
          <w:i/>
          <w:iCs/>
        </w:rPr>
        <w:t>abstracto</w:t>
      </w:r>
      <w:r w:rsidRPr="008C5B81">
        <w:rPr>
          <w:rFonts w:eastAsia="Times New Roman"/>
        </w:rPr>
        <w:t xml:space="preserve">, in order to demonstrate “victim status” an applicant would have to produce reasonable and convincing evidence of the likelihood that the right to benefit from elections held “under conditions which </w:t>
      </w:r>
      <w:r w:rsidRPr="008C5B81" w:rsidR="009F1A5E">
        <w:rPr>
          <w:rFonts w:eastAsia="Times New Roman"/>
        </w:rPr>
        <w:t xml:space="preserve">... </w:t>
      </w:r>
      <w:r w:rsidRPr="008C5B81">
        <w:rPr>
          <w:rFonts w:eastAsia="Times New Roman"/>
        </w:rPr>
        <w:t xml:space="preserve">ensure the free expression of the opinion of the people” would be curtailed to such an extent as to impair its very essence; mere suspicion or conjecture will be insufficient (see, </w:t>
      </w:r>
      <w:r w:rsidRPr="008C5B81">
        <w:rPr>
          <w:rFonts w:eastAsia="Times New Roman"/>
          <w:i/>
          <w:iCs/>
        </w:rPr>
        <w:t>mutatis mutandis</w:t>
      </w:r>
      <w:r w:rsidRPr="008C5B81">
        <w:rPr>
          <w:rFonts w:eastAsia="Times New Roman"/>
        </w:rPr>
        <w:t xml:space="preserve">, </w:t>
      </w:r>
      <w:r w:rsidRPr="008C5B81">
        <w:rPr>
          <w:rFonts w:eastAsia="Times New Roman"/>
          <w:i/>
          <w:iCs/>
        </w:rPr>
        <w:t xml:space="preserve">Verein </w:t>
      </w:r>
      <w:r w:rsidRPr="008C5B81">
        <w:rPr>
          <w:rFonts w:eastAsia="Times New Roman"/>
          <w:i/>
          <w:iCs/>
        </w:rPr>
        <w:t>KlimaSeniorinnen</w:t>
      </w:r>
      <w:r w:rsidRPr="008C5B81">
        <w:rPr>
          <w:rFonts w:eastAsia="Times New Roman"/>
          <w:i/>
          <w:iCs/>
        </w:rPr>
        <w:t xml:space="preserve"> Schweiz and Others</w:t>
      </w:r>
      <w:r w:rsidRPr="008C5B81">
        <w:rPr>
          <w:rFonts w:eastAsia="Times New Roman"/>
        </w:rPr>
        <w:t>, cited above, §</w:t>
      </w:r>
      <w:r w:rsidR="002860CD">
        <w:rPr>
          <w:rFonts w:eastAsia="Times New Roman"/>
        </w:rPr>
        <w:t> </w:t>
      </w:r>
      <w:r w:rsidRPr="008C5B81">
        <w:rPr>
          <w:rFonts w:eastAsia="Times New Roman"/>
        </w:rPr>
        <w:t xml:space="preserve">470; </w:t>
      </w:r>
      <w:bookmarkStart w:name="_cl43907THELAW" w:id="104"/>
      <w:r w:rsidRPr="008C5B81">
        <w:rPr>
          <w:rFonts w:eastAsia="Times New Roman"/>
          <w:i/>
          <w:iCs/>
        </w:rPr>
        <w:t>Communauté</w:t>
      </w:r>
      <w:r w:rsidRPr="008C5B81">
        <w:rPr>
          <w:rFonts w:eastAsia="Times New Roman"/>
          <w:i/>
          <w:iCs/>
        </w:rPr>
        <w:t xml:space="preserve"> </w:t>
      </w:r>
      <w:r w:rsidRPr="008C5B81">
        <w:rPr>
          <w:rFonts w:eastAsia="Times New Roman"/>
          <w:i/>
          <w:iCs/>
        </w:rPr>
        <w:t>genevoise</w:t>
      </w:r>
      <w:r w:rsidRPr="008C5B81">
        <w:rPr>
          <w:rFonts w:eastAsia="Times New Roman"/>
          <w:i/>
          <w:iCs/>
        </w:rPr>
        <w:t xml:space="preserve"> d</w:t>
      </w:r>
      <w:r w:rsidRPr="008C5B81" w:rsidR="001D72B2">
        <w:rPr>
          <w:rFonts w:eastAsia="Times New Roman"/>
          <w:i/>
          <w:iCs/>
        </w:rPr>
        <w:t>’</w:t>
      </w:r>
      <w:r w:rsidRPr="008C5B81">
        <w:rPr>
          <w:rFonts w:eastAsia="Times New Roman"/>
          <w:i/>
          <w:iCs/>
        </w:rPr>
        <w:t>action syndicale (CGAS) v.</w:t>
      </w:r>
      <w:r w:rsidRPr="008C5B81" w:rsidR="00F92F09">
        <w:rPr>
          <w:rFonts w:eastAsia="Times New Roman"/>
          <w:i/>
          <w:iCs/>
        </w:rPr>
        <w:t> </w:t>
      </w:r>
      <w:r w:rsidRPr="008C5B81">
        <w:rPr>
          <w:rFonts w:eastAsia="Times New Roman"/>
          <w:i/>
          <w:iCs/>
        </w:rPr>
        <w:t>Switzerland</w:t>
      </w:r>
      <w:bookmarkEnd w:id="104"/>
      <w:r w:rsidRPr="008C5B81">
        <w:rPr>
          <w:rFonts w:eastAsia="Times New Roman"/>
        </w:rPr>
        <w:t xml:space="preserve"> [GC], no. 21881/20, § 108, 27 November 2023; and </w:t>
      </w:r>
      <w:bookmarkStart w:name="_cl23277THELAW" w:id="105"/>
      <w:r w:rsidRPr="008C5B81">
        <w:rPr>
          <w:rFonts w:eastAsia="Times New Roman"/>
          <w:i/>
          <w:iCs/>
        </w:rPr>
        <w:t>Centre for Legal Resources on behalf of Valentin Câmpeanu v. Romania</w:t>
      </w:r>
      <w:bookmarkEnd w:id="105"/>
      <w:r w:rsidRPr="008C5B81">
        <w:rPr>
          <w:rFonts w:eastAsia="Times New Roman"/>
        </w:rPr>
        <w:t xml:space="preserve"> [GC], no.</w:t>
      </w:r>
      <w:r w:rsidRPr="008C5B81" w:rsidR="00F92F09">
        <w:rPr>
          <w:rFonts w:eastAsia="Times New Roman"/>
        </w:rPr>
        <w:t> </w:t>
      </w:r>
      <w:r w:rsidRPr="008C5B81">
        <w:rPr>
          <w:rFonts w:eastAsia="Times New Roman"/>
        </w:rPr>
        <w:t>47848/08, § 101, ECHR 2014).</w:t>
      </w:r>
    </w:p>
    <w:p w:rsidRPr="008C5B81" w:rsidR="00A8059F" w:rsidP="001D72B2" w14:paraId="7AE767A5" w14:textId="76C9126E">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145</w:t>
      </w:r>
      <w:r w:rsidRPr="008C5B81">
        <w:rPr>
          <w:rFonts w:eastAsia="Times New Roman"/>
        </w:rPr>
        <w:fldChar w:fldCharType="end"/>
      </w:r>
      <w:r w:rsidRPr="008C5B81">
        <w:rPr>
          <w:rFonts w:eastAsia="Times New Roman"/>
        </w:rPr>
        <w:t>.  </w:t>
      </w:r>
      <w:r w:rsidRPr="008C5B81">
        <w:rPr>
          <w:rFonts w:eastAsia="Times New Roman"/>
        </w:rPr>
        <w:t>In order for</w:t>
      </w:r>
      <w:r w:rsidRPr="008C5B81">
        <w:rPr>
          <w:rFonts w:eastAsia="Times New Roman"/>
        </w:rPr>
        <w:t xml:space="preserve"> this test to be met, there must exist evidence of interference of sufficient intensity to be capable of impairing the very essence of the right to benefit from elections held “under conditions which </w:t>
      </w:r>
      <w:r w:rsidRPr="008C5B81" w:rsidR="00DD5DC5">
        <w:rPr>
          <w:rFonts w:eastAsia="Times New Roman"/>
        </w:rPr>
        <w:t xml:space="preserve">will </w:t>
      </w:r>
      <w:r w:rsidRPr="008C5B81">
        <w:rPr>
          <w:rFonts w:eastAsia="Times New Roman"/>
        </w:rPr>
        <w:t>ensure the free expression of the opinion of the people”.</w:t>
      </w:r>
    </w:p>
    <w:p w:rsidRPr="008C5B81" w:rsidR="00A8059F" w:rsidP="001D72B2" w14:paraId="1A801D47" w14:textId="0FD5C174">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146</w:t>
      </w:r>
      <w:r w:rsidRPr="008C5B81">
        <w:rPr>
          <w:rFonts w:eastAsia="Times New Roman"/>
        </w:rPr>
        <w:fldChar w:fldCharType="end"/>
      </w:r>
      <w:r w:rsidRPr="008C5B81">
        <w:rPr>
          <w:rFonts w:eastAsia="Times New Roman"/>
        </w:rPr>
        <w:t xml:space="preserve">.  The applicants in the present case rely on the DCMS and ISC reports (see paragraphs </w:t>
      </w:r>
      <w:r w:rsidRPr="008C5B81">
        <w:rPr>
          <w:rFonts w:eastAsia="Times New Roman"/>
        </w:rPr>
        <w:fldChar w:fldCharType="begin"/>
      </w:r>
      <w:r w:rsidRPr="008C5B81">
        <w:rPr>
          <w:rFonts w:eastAsia="Times New Roman"/>
        </w:rPr>
        <w:instrText xml:space="preserve">REF paragraph00037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37</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paragraph00040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40</w:t>
      </w:r>
      <w:r w:rsidRPr="008C5B81">
        <w:rPr>
          <w:rFonts w:eastAsia="Times New Roman"/>
        </w:rPr>
        <w:fldChar w:fldCharType="end"/>
      </w:r>
      <w:r w:rsidRPr="008C5B81">
        <w:rPr>
          <w:rFonts w:eastAsia="Times New Roman"/>
        </w:rPr>
        <w:t xml:space="preserve"> and </w:t>
      </w:r>
      <w:r w:rsidRPr="008C5B81">
        <w:rPr>
          <w:rFonts w:eastAsia="Times New Roman"/>
        </w:rPr>
        <w:fldChar w:fldCharType="begin"/>
      </w:r>
      <w:r w:rsidRPr="008C5B81">
        <w:rPr>
          <w:rFonts w:eastAsia="Times New Roman"/>
        </w:rPr>
        <w:instrText xml:space="preserve">REF paragraph00041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41</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paragraph00051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51</w:t>
      </w:r>
      <w:r w:rsidRPr="008C5B81">
        <w:rPr>
          <w:rFonts w:eastAsia="Times New Roman"/>
        </w:rPr>
        <w:fldChar w:fldCharType="end"/>
      </w:r>
      <w:r w:rsidRPr="008C5B81">
        <w:rPr>
          <w:rFonts w:eastAsia="Times New Roman"/>
        </w:rPr>
        <w:t xml:space="preserve"> above)</w:t>
      </w:r>
      <w:r w:rsidRPr="008C5B81">
        <w:t xml:space="preserve"> as </w:t>
      </w:r>
      <w:r w:rsidRPr="008C5B81">
        <w:rPr>
          <w:rFonts w:eastAsia="Times New Roman"/>
        </w:rPr>
        <w:t>evidence of interference by Russia in the United Kingdom</w:t>
      </w:r>
      <w:r w:rsidRPr="008C5B81" w:rsidR="001D72B2">
        <w:rPr>
          <w:rFonts w:eastAsia="Times New Roman"/>
        </w:rPr>
        <w:t>’</w:t>
      </w:r>
      <w:r w:rsidRPr="008C5B81">
        <w:rPr>
          <w:rFonts w:eastAsia="Times New Roman"/>
        </w:rPr>
        <w:t xml:space="preserve">s electoral processes, through the spreading of disinformation and the running of “influence campaigns” (encompassing not only the spreading of disinformation but also other tactics such as illicit funding, disruption of electoral mechanics or direct attacks on one of the campaigns, for example using “hack and leak” tactics – see paragraph </w:t>
      </w:r>
      <w:r w:rsidRPr="008C5B81">
        <w:rPr>
          <w:rFonts w:eastAsia="Times New Roman"/>
        </w:rPr>
        <w:fldChar w:fldCharType="begin"/>
      </w:r>
      <w:r w:rsidRPr="008C5B81">
        <w:rPr>
          <w:rFonts w:eastAsia="Times New Roman"/>
        </w:rPr>
        <w:instrText xml:space="preserve">REF paragraph00044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44</w:t>
      </w:r>
      <w:r w:rsidRPr="008C5B81">
        <w:rPr>
          <w:rFonts w:eastAsia="Times New Roman"/>
        </w:rPr>
        <w:fldChar w:fldCharType="end"/>
      </w:r>
      <w:r w:rsidRPr="008C5B81">
        <w:rPr>
          <w:rFonts w:eastAsia="Times New Roman"/>
        </w:rPr>
        <w:t xml:space="preserve"> above). The DCMS</w:t>
      </w:r>
      <w:r w:rsidRPr="008C5B81" w:rsidR="00DD5DC5">
        <w:rPr>
          <w:rFonts w:eastAsia="Times New Roman"/>
        </w:rPr>
        <w:t xml:space="preserve"> Committee</w:t>
      </w:r>
      <w:r w:rsidRPr="008C5B81">
        <w:rPr>
          <w:rFonts w:eastAsia="Times New Roman"/>
        </w:rPr>
        <w:t xml:space="preserve"> and ISC reports, having been prepared prior to the 2019 election, principally focused on interference during the 2016 EU referendum,</w:t>
      </w:r>
      <w:r w:rsidRPr="008C5B81">
        <w:t xml:space="preserve"> which w</w:t>
      </w:r>
      <w:r w:rsidRPr="008C5B81">
        <w:rPr>
          <w:rFonts w:eastAsia="Times New Roman"/>
        </w:rPr>
        <w:t xml:space="preserve">as not “an election concerning the choice of the legislature” (see </w:t>
      </w:r>
      <w:r w:rsidRPr="008C5B81">
        <w:rPr>
          <w:rFonts w:eastAsia="Times New Roman"/>
          <w:i/>
          <w:iCs/>
        </w:rPr>
        <w:t>Moohan</w:t>
      </w:r>
      <w:r w:rsidRPr="008C5B81">
        <w:rPr>
          <w:rFonts w:eastAsia="Times New Roman"/>
          <w:i/>
          <w:iCs/>
        </w:rPr>
        <w:t xml:space="preserve"> and Gillan v. the United Kingdom</w:t>
      </w:r>
      <w:r w:rsidRPr="008C5B81" w:rsidR="00E2671F">
        <w:rPr>
          <w:rFonts w:eastAsia="Times New Roman"/>
        </w:rPr>
        <w:t xml:space="preserve"> </w:t>
      </w:r>
      <w:r w:rsidRPr="008C5B81">
        <w:rPr>
          <w:rFonts w:eastAsia="Times New Roman"/>
        </w:rPr>
        <w:t>(dec.), nos.</w:t>
      </w:r>
      <w:r w:rsidRPr="008C5B81" w:rsidR="00944B2A">
        <w:rPr>
          <w:rFonts w:eastAsia="Times New Roman"/>
        </w:rPr>
        <w:t> </w:t>
      </w:r>
      <w:r w:rsidRPr="008C5B81">
        <w:rPr>
          <w:rFonts w:eastAsia="Times New Roman"/>
        </w:rPr>
        <w:t xml:space="preserve">22962/15 </w:t>
      </w:r>
      <w:r w:rsidRPr="008C5B81" w:rsidR="00E2671F">
        <w:rPr>
          <w:rFonts w:eastAsia="Times New Roman"/>
        </w:rPr>
        <w:t xml:space="preserve">and </w:t>
      </w:r>
      <w:r w:rsidRPr="008C5B81">
        <w:rPr>
          <w:rFonts w:eastAsia="Times New Roman"/>
        </w:rPr>
        <w:t>23345/15, § 42, 13 June 2017). However, it is clear from both reports that Russia posed a significant and ongoing threat to the United Kingdom</w:t>
      </w:r>
      <w:r w:rsidRPr="008C5B81" w:rsidR="001D72B2">
        <w:rPr>
          <w:rFonts w:eastAsia="Times New Roman"/>
        </w:rPr>
        <w:t>’</w:t>
      </w:r>
      <w:r w:rsidRPr="008C5B81">
        <w:rPr>
          <w:rFonts w:eastAsia="Times New Roman"/>
        </w:rPr>
        <w:t xml:space="preserve">s democratic processes (see paragraph </w:t>
      </w:r>
      <w:r w:rsidRPr="008C5B81">
        <w:rPr>
          <w:rFonts w:eastAsia="Times New Roman"/>
        </w:rPr>
        <w:fldChar w:fldCharType="begin"/>
      </w:r>
      <w:r w:rsidRPr="008C5B81">
        <w:rPr>
          <w:rFonts w:eastAsia="Times New Roman"/>
        </w:rPr>
        <w:instrText xml:space="preserve">REF paragraph00043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43</w:t>
      </w:r>
      <w:r w:rsidRPr="008C5B81">
        <w:rPr>
          <w:rFonts w:eastAsia="Times New Roman"/>
        </w:rPr>
        <w:fldChar w:fldCharType="end"/>
      </w:r>
      <w:r w:rsidRPr="008C5B81">
        <w:rPr>
          <w:rFonts w:eastAsia="Times New Roman"/>
        </w:rPr>
        <w:t xml:space="preserve"> above) through disinformation campaigns and political influence operations (see paragraph</w:t>
      </w:r>
      <w:r w:rsidRPr="008C5B81" w:rsidR="00944B2A">
        <w:rPr>
          <w:rFonts w:eastAsia="Times New Roman"/>
        </w:rPr>
        <w:t> </w:t>
      </w:r>
      <w:r w:rsidRPr="008C5B81">
        <w:rPr>
          <w:rFonts w:eastAsia="Times New Roman"/>
        </w:rPr>
        <w:fldChar w:fldCharType="begin"/>
      </w:r>
      <w:r w:rsidRPr="008C5B81">
        <w:rPr>
          <w:rFonts w:eastAsia="Times New Roman"/>
        </w:rPr>
        <w:instrText xml:space="preserve">REF paragraph00045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45</w:t>
      </w:r>
      <w:r w:rsidRPr="008C5B81">
        <w:rPr>
          <w:rFonts w:eastAsia="Times New Roman"/>
        </w:rPr>
        <w:fldChar w:fldCharType="end"/>
      </w:r>
      <w:r w:rsidRPr="008C5B81">
        <w:rPr>
          <w:rFonts w:eastAsia="Times New Roman"/>
        </w:rPr>
        <w:t xml:space="preserve"> above). This threat was not unique to the United Kingdom; at the time the reports were published</w:t>
      </w:r>
      <w:r w:rsidRPr="008C5B81" w:rsidR="00B60D90">
        <w:rPr>
          <w:rFonts w:eastAsia="Times New Roman"/>
        </w:rPr>
        <w:t>,</w:t>
      </w:r>
      <w:r w:rsidRPr="008C5B81">
        <w:rPr>
          <w:rFonts w:eastAsia="Times New Roman"/>
        </w:rPr>
        <w:t xml:space="preserve"> concerns had been raised by the Council of Europe about the threat to democratic elections emanating from influence campaigns by, </w:t>
      </w:r>
      <w:r w:rsidRPr="008C5B81">
        <w:rPr>
          <w:rFonts w:eastAsia="Times New Roman"/>
          <w:i/>
          <w:iCs/>
        </w:rPr>
        <w:t>inter alia</w:t>
      </w:r>
      <w:r w:rsidRPr="008C5B81">
        <w:rPr>
          <w:rFonts w:eastAsia="Times New Roman"/>
        </w:rPr>
        <w:t xml:space="preserve">, hostile State actors (see paragraphs </w:t>
      </w:r>
      <w:r w:rsidRPr="008C5B81">
        <w:rPr>
          <w:rFonts w:eastAsia="Times New Roman"/>
        </w:rPr>
        <w:fldChar w:fldCharType="begin"/>
      </w:r>
      <w:r w:rsidRPr="008C5B81">
        <w:rPr>
          <w:rFonts w:eastAsia="Times New Roman"/>
        </w:rPr>
        <w:instrText xml:space="preserve">REF paragraph00067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67</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paragraph00079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79</w:t>
      </w:r>
      <w:r w:rsidRPr="008C5B81">
        <w:rPr>
          <w:rFonts w:eastAsia="Times New Roman"/>
        </w:rPr>
        <w:fldChar w:fldCharType="end"/>
      </w:r>
      <w:r w:rsidRPr="008C5B81">
        <w:rPr>
          <w:rFonts w:eastAsia="Times New Roman"/>
        </w:rPr>
        <w:t xml:space="preserve"> above), and there had been a widely</w:t>
      </w:r>
      <w:r w:rsidRPr="008C5B81" w:rsidR="00E2671F">
        <w:rPr>
          <w:rFonts w:eastAsia="Times New Roman"/>
        </w:rPr>
        <w:t xml:space="preserve"> </w:t>
      </w:r>
      <w:r w:rsidRPr="008C5B81">
        <w:rPr>
          <w:rFonts w:eastAsia="Times New Roman"/>
        </w:rPr>
        <w:t xml:space="preserve">publicised report by the Senate Select Committee on Intelligence into Russian interference in the 2016 US </w:t>
      </w:r>
      <w:r w:rsidRPr="008C5B81" w:rsidR="009E712F">
        <w:rPr>
          <w:rFonts w:eastAsia="Times New Roman"/>
        </w:rPr>
        <w:t xml:space="preserve">presidential </w:t>
      </w:r>
      <w:r w:rsidRPr="008C5B81">
        <w:rPr>
          <w:rFonts w:eastAsia="Times New Roman"/>
        </w:rPr>
        <w:t xml:space="preserve">election (see paragraphs </w:t>
      </w:r>
      <w:r w:rsidRPr="008C5B81">
        <w:rPr>
          <w:rFonts w:eastAsia="Times New Roman"/>
        </w:rPr>
        <w:fldChar w:fldCharType="begin"/>
      </w:r>
      <w:r w:rsidRPr="008C5B81">
        <w:rPr>
          <w:rFonts w:eastAsia="Times New Roman"/>
        </w:rPr>
        <w:instrText xml:space="preserve">REF paragraph00092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92</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paragraph00098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98</w:t>
      </w:r>
      <w:r w:rsidRPr="008C5B81">
        <w:rPr>
          <w:rFonts w:eastAsia="Times New Roman"/>
        </w:rPr>
        <w:fldChar w:fldCharType="end"/>
      </w:r>
      <w:r w:rsidRPr="008C5B81">
        <w:rPr>
          <w:rFonts w:eastAsia="Times New Roman"/>
        </w:rPr>
        <w:t xml:space="preserve"> above). Furthermore, the respondent Government</w:t>
      </w:r>
      <w:r w:rsidRPr="008C5B81" w:rsidR="00B60D90">
        <w:rPr>
          <w:rFonts w:eastAsia="Times New Roman"/>
        </w:rPr>
        <w:t>,</w:t>
      </w:r>
      <w:r w:rsidRPr="008C5B81">
        <w:rPr>
          <w:rFonts w:eastAsia="Times New Roman"/>
        </w:rPr>
        <w:t xml:space="preserve"> in respon</w:t>
      </w:r>
      <w:r w:rsidRPr="008C5B81" w:rsidR="00AE56E4">
        <w:rPr>
          <w:rFonts w:eastAsia="Times New Roman"/>
        </w:rPr>
        <w:t>ding</w:t>
      </w:r>
      <w:r w:rsidRPr="008C5B81">
        <w:rPr>
          <w:rFonts w:eastAsia="Times New Roman"/>
        </w:rPr>
        <w:t xml:space="preserve"> to the ISC report (see paragraphs </w:t>
      </w:r>
      <w:r w:rsidRPr="008C5B81">
        <w:rPr>
          <w:rFonts w:eastAsia="Times New Roman"/>
        </w:rPr>
        <w:fldChar w:fldCharType="begin"/>
      </w:r>
      <w:r w:rsidRPr="008C5B81">
        <w:rPr>
          <w:rFonts w:eastAsia="Times New Roman"/>
        </w:rPr>
        <w:instrText xml:space="preserve">REF paragraph00052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52</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paragraph00054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54</w:t>
      </w:r>
      <w:r w:rsidRPr="008C5B81">
        <w:rPr>
          <w:rFonts w:eastAsia="Times New Roman"/>
        </w:rPr>
        <w:fldChar w:fldCharType="end"/>
      </w:r>
      <w:r w:rsidRPr="008C5B81">
        <w:rPr>
          <w:rFonts w:eastAsia="Times New Roman"/>
        </w:rPr>
        <w:t xml:space="preserve"> above)</w:t>
      </w:r>
      <w:r w:rsidRPr="008C5B81" w:rsidR="00B60D90">
        <w:rPr>
          <w:rFonts w:eastAsia="Times New Roman"/>
        </w:rPr>
        <w:t>,</w:t>
      </w:r>
      <w:r w:rsidRPr="008C5B81">
        <w:rPr>
          <w:rFonts w:eastAsia="Times New Roman"/>
        </w:rPr>
        <w:t xml:space="preserve"> acknowledged that it was “almost certain that Russian actors </w:t>
      </w:r>
      <w:r w:rsidRPr="008C5B81" w:rsidR="009E712F">
        <w:rPr>
          <w:rFonts w:eastAsia="Times New Roman"/>
        </w:rPr>
        <w:t xml:space="preserve">[had] </w:t>
      </w:r>
      <w:r w:rsidRPr="008C5B81">
        <w:rPr>
          <w:rFonts w:eastAsia="Times New Roman"/>
        </w:rPr>
        <w:t xml:space="preserve">sought to interfere in the </w:t>
      </w:r>
      <w:r w:rsidRPr="008C5B81">
        <w:rPr>
          <w:rFonts w:eastAsia="Times New Roman"/>
        </w:rPr>
        <w:t>2019 General Election through the online amplification of illicitly acquired and leaked Government documents”</w:t>
      </w:r>
      <w:r w:rsidRPr="008C5B81" w:rsidR="00B60D90">
        <w:rPr>
          <w:rFonts w:eastAsia="Times New Roman"/>
        </w:rPr>
        <w:t>.</w:t>
      </w:r>
      <w:r w:rsidRPr="008C5B81">
        <w:rPr>
          <w:rFonts w:eastAsia="Times New Roman"/>
        </w:rPr>
        <w:t xml:space="preserve"> The response referred to “several incidents during the 2019 General Election including distributed denial of service attacks against political parties, and suspicious emails received by candidates”.</w:t>
      </w:r>
    </w:p>
    <w:p w:rsidRPr="008C5B81" w:rsidR="00A8059F" w:rsidP="001D72B2" w14:paraId="3FEFFBD8" w14:textId="2531A1B5">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147</w:t>
      </w:r>
      <w:r w:rsidRPr="008C5B81">
        <w:rPr>
          <w:rFonts w:eastAsia="Times New Roman"/>
        </w:rPr>
        <w:fldChar w:fldCharType="end"/>
      </w:r>
      <w:r w:rsidRPr="008C5B81">
        <w:rPr>
          <w:rFonts w:eastAsia="Times New Roman"/>
        </w:rPr>
        <w:t xml:space="preserve">.  As the Court has acknowledged that influence campaigns are capable of posing a significant threat to democracy – notably, by distorting the communication ecosystem to the point where voters might be seriously encumbered in their decisions by misleading, manipulative and false information designed to influence their votes (see paragraph </w:t>
      </w:r>
      <w:r w:rsidRPr="008C5B81">
        <w:rPr>
          <w:rFonts w:eastAsia="Times New Roman"/>
        </w:rPr>
        <w:fldChar w:fldCharType="begin"/>
      </w:r>
      <w:r w:rsidRPr="008C5B81">
        <w:rPr>
          <w:rFonts w:eastAsia="Times New Roman"/>
        </w:rPr>
        <w:instrText xml:space="preserve">REF paragraph00135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135</w:t>
      </w:r>
      <w:r w:rsidRPr="008C5B81">
        <w:rPr>
          <w:rFonts w:eastAsia="Times New Roman"/>
        </w:rPr>
        <w:fldChar w:fldCharType="end"/>
      </w:r>
      <w:r w:rsidRPr="008C5B81">
        <w:rPr>
          <w:rFonts w:eastAsia="Times New Roman"/>
        </w:rPr>
        <w:t xml:space="preserve"> above) – in the present case it would accept that there was evidence of interference in the United Kingdom</w:t>
      </w:r>
      <w:r w:rsidRPr="008C5B81" w:rsidR="001D72B2">
        <w:rPr>
          <w:rFonts w:eastAsia="Times New Roman"/>
        </w:rPr>
        <w:t>’</w:t>
      </w:r>
      <w:r w:rsidRPr="008C5B81" w:rsidR="006F48B6">
        <w:rPr>
          <w:rFonts w:eastAsia="Times New Roman"/>
        </w:rPr>
        <w:t>s</w:t>
      </w:r>
      <w:r w:rsidRPr="008C5B81">
        <w:rPr>
          <w:rFonts w:eastAsia="Times New Roman"/>
        </w:rPr>
        <w:t xml:space="preserve"> democratic processes of sufficient intensity to be capable of impairing the very essence of the right to benefit from elections held “under conditions which </w:t>
      </w:r>
      <w:r w:rsidRPr="008C5B81" w:rsidR="00D8290F">
        <w:rPr>
          <w:rFonts w:eastAsia="Times New Roman"/>
        </w:rPr>
        <w:t xml:space="preserve">[would] </w:t>
      </w:r>
      <w:r w:rsidRPr="008C5B81">
        <w:rPr>
          <w:rFonts w:eastAsia="Times New Roman"/>
        </w:rPr>
        <w:t>ensure the free expression of the opinion of the people”.</w:t>
      </w:r>
    </w:p>
    <w:p w:rsidRPr="008C5B81" w:rsidR="00A8059F" w:rsidP="001D72B2" w14:paraId="749D5925" w14:textId="166B3039">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148</w:t>
      </w:r>
      <w:r w:rsidRPr="008C5B81">
        <w:rPr>
          <w:rFonts w:eastAsia="Times New Roman"/>
        </w:rPr>
        <w:fldChar w:fldCharType="end"/>
      </w:r>
      <w:r w:rsidRPr="008C5B81">
        <w:rPr>
          <w:rFonts w:eastAsia="Times New Roman"/>
        </w:rPr>
        <w:t xml:space="preserve">.  However, the question whether or not interference is in practice capable of impairing the very essence of the right to benefit from elections held “under conditions which </w:t>
      </w:r>
      <w:r w:rsidRPr="008C5B81" w:rsidR="00FB1208">
        <w:rPr>
          <w:rFonts w:eastAsia="Times New Roman"/>
        </w:rPr>
        <w:t xml:space="preserve">will </w:t>
      </w:r>
      <w:r w:rsidRPr="008C5B81">
        <w:rPr>
          <w:rFonts w:eastAsia="Times New Roman"/>
        </w:rPr>
        <w:t>ensure the free expression of the opinion of the people” depends not only on the intensity of the interference but also on the measures in place at the national level to minimise the risk of that interference influencing the outcome of an election.</w:t>
      </w:r>
      <w:r w:rsidRPr="008C5B81">
        <w:t xml:space="preserve"> </w:t>
      </w:r>
      <w:r w:rsidRPr="008C5B81">
        <w:rPr>
          <w:rFonts w:eastAsia="Times New Roman"/>
        </w:rPr>
        <w:t>This issue is closely bound up with those which the Court will have to consider when examining the applicants</w:t>
      </w:r>
      <w:r w:rsidRPr="008C5B81" w:rsidR="001D72B2">
        <w:rPr>
          <w:rFonts w:eastAsia="Times New Roman"/>
        </w:rPr>
        <w:t>’</w:t>
      </w:r>
      <w:r w:rsidRPr="008C5B81">
        <w:rPr>
          <w:rFonts w:eastAsia="Times New Roman"/>
        </w:rPr>
        <w:t xml:space="preserve"> substantive complaints. It should therefore be joined to the examination on the merits.</w:t>
      </w:r>
    </w:p>
    <w:p w:rsidRPr="008C5B81" w:rsidR="00A8059F" w:rsidP="001D72B2" w14:paraId="5371CBD0" w14:textId="77777777">
      <w:pPr>
        <w:pStyle w:val="JuHA"/>
      </w:pPr>
      <w:r w:rsidRPr="008C5B81">
        <w:t>Other inadmissibility grounds</w:t>
      </w:r>
    </w:p>
    <w:p w:rsidRPr="008C5B81" w:rsidR="00A8059F" w:rsidP="001D72B2" w14:paraId="4FA4CFA4" w14:textId="60889C05">
      <w:pPr>
        <w:pStyle w:val="JuPara"/>
      </w:pPr>
      <w:r>
        <w:fldChar w:fldCharType="begin"/>
      </w:r>
      <w:r>
        <w:instrText xml:space="preserve"> SEQ level0 \*arabic \* MERGEFORMAT </w:instrText>
      </w:r>
      <w:r>
        <w:fldChar w:fldCharType="separate"/>
      </w:r>
      <w:r w:rsidRPr="008C5B81">
        <w:rPr>
          <w:noProof/>
        </w:rPr>
        <w:t>149</w:t>
      </w:r>
      <w:r w:rsidRPr="008C5B81">
        <w:rPr>
          <w:noProof/>
        </w:rPr>
        <w:fldChar w:fldCharType="end"/>
      </w:r>
      <w:r w:rsidRPr="008C5B81">
        <w:t>.  The Court notes that the applicants</w:t>
      </w:r>
      <w:r w:rsidRPr="008C5B81" w:rsidR="001D72B2">
        <w:t>’</w:t>
      </w:r>
      <w:r w:rsidRPr="008C5B81">
        <w:t xml:space="preserve"> complaint is neither manifestly ill-founded nor inadmissible on any other grounds listed in Article 35 of the Convention. It must therefore be declared admissible.</w:t>
      </w:r>
    </w:p>
    <w:p w:rsidRPr="008C5B81" w:rsidR="00A8059F" w:rsidP="001D72B2" w14:paraId="00BEA1B2" w14:textId="77777777">
      <w:pPr>
        <w:pStyle w:val="JuHIRoman"/>
      </w:pPr>
      <w:r w:rsidRPr="008C5B81">
        <w:rPr>
          <w:caps w:val="0"/>
        </w:rPr>
        <w:t>MERITS</w:t>
      </w:r>
    </w:p>
    <w:p w:rsidRPr="008C5B81" w:rsidR="00A8059F" w:rsidP="001D72B2" w14:paraId="2C4DD859" w14:textId="43B9534D">
      <w:pPr>
        <w:pStyle w:val="JuHA"/>
      </w:pPr>
      <w:r w:rsidRPr="008C5B81">
        <w:t>The parties</w:t>
      </w:r>
      <w:r w:rsidRPr="008C5B81" w:rsidR="001D72B2">
        <w:t>’</w:t>
      </w:r>
      <w:r w:rsidRPr="008C5B81">
        <w:t xml:space="preserve"> submissions</w:t>
      </w:r>
    </w:p>
    <w:p w:rsidRPr="008C5B81" w:rsidR="00A8059F" w:rsidP="001D72B2" w14:paraId="41718807" w14:textId="77777777">
      <w:pPr>
        <w:pStyle w:val="JuH1"/>
      </w:pPr>
      <w:r w:rsidRPr="008C5B81">
        <w:t>The applicants</w:t>
      </w:r>
    </w:p>
    <w:bookmarkStart w:name="paragraph00150" w:id="106"/>
    <w:p w:rsidRPr="008C5B81" w:rsidR="00A8059F" w:rsidP="001D72B2" w14:paraId="3B7C54A4" w14:textId="2572B46E">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150</w:t>
      </w:r>
      <w:r w:rsidRPr="008C5B81">
        <w:rPr>
          <w:rFonts w:eastAsia="Times New Roman"/>
        </w:rPr>
        <w:fldChar w:fldCharType="end"/>
      </w:r>
      <w:bookmarkEnd w:id="106"/>
      <w:r w:rsidRPr="008C5B81">
        <w:rPr>
          <w:rFonts w:eastAsia="Times New Roman"/>
        </w:rPr>
        <w:t>.  While the applicants accepted that the State had a margin of appreciation in how it discharged its duty to have in place an effective legal and institutional framework to secure its obligations under Article 3 of Protocol No. 1, they argued that this margin should not be all-embracing. For example, the margin of appreciation was usually narrow in cases where the State had failed to give any thought to an issue or had failed to act (</w:t>
      </w:r>
      <w:r w:rsidRPr="008C5B81" w:rsidR="00350D07">
        <w:rPr>
          <w:rFonts w:eastAsia="Times New Roman"/>
        </w:rPr>
        <w:t>the applicant referred to</w:t>
      </w:r>
      <w:r w:rsidRPr="008C5B81">
        <w:rPr>
          <w:rFonts w:eastAsia="Times New Roman"/>
        </w:rPr>
        <w:t xml:space="preserve"> </w:t>
      </w:r>
      <w:bookmarkStart w:name="_cl20943THELAW" w:id="107"/>
      <w:r w:rsidRPr="008C5B81">
        <w:rPr>
          <w:rFonts w:eastAsia="Times New Roman"/>
          <w:i/>
          <w:iCs/>
        </w:rPr>
        <w:t>Animal Defenders International v. the United Kingdom</w:t>
      </w:r>
      <w:bookmarkEnd w:id="107"/>
      <w:r w:rsidRPr="008C5B81">
        <w:rPr>
          <w:rFonts w:eastAsia="Times New Roman"/>
        </w:rPr>
        <w:t xml:space="preserve"> [GC], no. 48876/08, § 116, ECHR 2013). It would be more limited still where, </w:t>
      </w:r>
      <w:r w:rsidRPr="008C5B81">
        <w:rPr>
          <w:rFonts w:eastAsia="Times New Roman"/>
        </w:rPr>
        <w:t>as here, there was a European and international consensus on the standards to be achieved, with which the respondent State was out of step.</w:t>
      </w:r>
    </w:p>
    <w:bookmarkStart w:name="paragraph00151" w:id="108"/>
    <w:p w:rsidRPr="008C5B81" w:rsidR="00A8059F" w:rsidP="001D72B2" w14:paraId="2BC7DC84" w14:textId="2DDB47E2">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151</w:t>
      </w:r>
      <w:r w:rsidRPr="008C5B81">
        <w:rPr>
          <w:rFonts w:eastAsia="Times New Roman"/>
        </w:rPr>
        <w:fldChar w:fldCharType="end"/>
      </w:r>
      <w:bookmarkEnd w:id="108"/>
      <w:r w:rsidRPr="008C5B81">
        <w:rPr>
          <w:rFonts w:eastAsia="Times New Roman"/>
        </w:rPr>
        <w:t xml:space="preserve">.  The applicants further argued that the current domestic legal framework in the United Kingdom failed to satisfy the obligation to have in place an effective framework for the conduct of democratic elections under conditions which ensured the free expression of the opinion of the people. There was no legal entity with legal responsibility to prevent and combat foreign interference in United Kingdom elections, and the various entities which did have responsibilities in this area were reluctant to acknowledge or use their powers. The existing framework was therefore diffuse and inadequate. Furthermore, the developments that had occurred after the present application </w:t>
      </w:r>
      <w:r w:rsidRPr="008C5B81" w:rsidR="00D8290F">
        <w:rPr>
          <w:rFonts w:eastAsia="Times New Roman"/>
        </w:rPr>
        <w:t>was</w:t>
      </w:r>
      <w:r w:rsidRPr="008C5B81" w:rsidR="00B81627">
        <w:rPr>
          <w:rFonts w:eastAsia="Times New Roman"/>
        </w:rPr>
        <w:t xml:space="preserve"> </w:t>
      </w:r>
      <w:r w:rsidRPr="008C5B81">
        <w:rPr>
          <w:rFonts w:eastAsia="Times New Roman"/>
        </w:rPr>
        <w:t xml:space="preserve">lodged were “too little, too late”. They did not address the serious concerns of the ISC (see paragraphs </w:t>
      </w:r>
      <w:r w:rsidRPr="008C5B81">
        <w:rPr>
          <w:rFonts w:eastAsia="Times New Roman"/>
        </w:rPr>
        <w:fldChar w:fldCharType="begin"/>
      </w:r>
      <w:r w:rsidRPr="008C5B81">
        <w:rPr>
          <w:rFonts w:eastAsia="Times New Roman"/>
        </w:rPr>
        <w:instrText xml:space="preserve">REF paragraph00041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41</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paragraph00051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51</w:t>
      </w:r>
      <w:r w:rsidRPr="008C5B81">
        <w:rPr>
          <w:rFonts w:eastAsia="Times New Roman"/>
        </w:rPr>
        <w:fldChar w:fldCharType="end"/>
      </w:r>
      <w:r w:rsidRPr="008C5B81">
        <w:rPr>
          <w:rFonts w:eastAsia="Times New Roman"/>
        </w:rPr>
        <w:t xml:space="preserve"> above) and they did not discharge the respondent State</w:t>
      </w:r>
      <w:r w:rsidRPr="008C5B81" w:rsidR="001D72B2">
        <w:rPr>
          <w:rFonts w:eastAsia="Times New Roman"/>
        </w:rPr>
        <w:t>’</w:t>
      </w:r>
      <w:r w:rsidRPr="008C5B81">
        <w:rPr>
          <w:rFonts w:eastAsia="Times New Roman"/>
        </w:rPr>
        <w:t>s positive obligation under Article 3 of Protocol No. 1.</w:t>
      </w:r>
    </w:p>
    <w:p w:rsidRPr="008C5B81" w:rsidR="00A8059F" w:rsidP="001D72B2" w14:paraId="2D636BA0" w14:textId="50617C45">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152</w:t>
      </w:r>
      <w:r w:rsidRPr="008C5B81">
        <w:rPr>
          <w:rFonts w:eastAsia="Times New Roman"/>
        </w:rPr>
        <w:fldChar w:fldCharType="end"/>
      </w:r>
      <w:r w:rsidRPr="008C5B81">
        <w:rPr>
          <w:rFonts w:eastAsia="Times New Roman"/>
        </w:rPr>
        <w:t>.  </w:t>
      </w:r>
      <w:r w:rsidRPr="008C5B81" w:rsidR="00C53862">
        <w:rPr>
          <w:rFonts w:eastAsia="Times New Roman"/>
        </w:rPr>
        <w:t>Lastly</w:t>
      </w:r>
      <w:r w:rsidRPr="008C5B81">
        <w:rPr>
          <w:rFonts w:eastAsia="Times New Roman"/>
        </w:rPr>
        <w:t xml:space="preserve">, the applicants contended that in the present case objective and credible evidence of Russian interference was set out in the ISC Report (see paragraphs </w:t>
      </w:r>
      <w:r w:rsidRPr="008C5B81">
        <w:rPr>
          <w:rFonts w:eastAsia="Times New Roman"/>
        </w:rPr>
        <w:fldChar w:fldCharType="begin"/>
      </w:r>
      <w:r w:rsidRPr="008C5B81">
        <w:rPr>
          <w:rFonts w:eastAsia="Times New Roman"/>
        </w:rPr>
        <w:instrText xml:space="preserve">REF paragraph00041 \h \* CharFormat </w:instrText>
      </w:r>
      <w:r w:rsidRPr="008C5B81" w:rsidR="00C53862">
        <w:rPr>
          <w:rFonts w:eastAsia="Times New Roman"/>
        </w:rPr>
        <w:instrText xml:space="preserve"> \* MERGEFORMAT </w:instrText>
      </w:r>
      <w:r w:rsidRPr="008C5B81">
        <w:rPr>
          <w:rFonts w:eastAsia="Times New Roman"/>
        </w:rPr>
        <w:fldChar w:fldCharType="separate"/>
      </w:r>
      <w:r w:rsidRPr="008C5B81" w:rsidR="00A00646">
        <w:rPr>
          <w:rFonts w:eastAsia="Times New Roman"/>
        </w:rPr>
        <w:t>41</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paragraph00051 \h \* CharFormat </w:instrText>
      </w:r>
      <w:r w:rsidRPr="008C5B81" w:rsidR="00E06DFC">
        <w:rPr>
          <w:rFonts w:eastAsia="Times New Roman"/>
        </w:rPr>
        <w:instrText xml:space="preserve"> \* MERGEFORMAT </w:instrText>
      </w:r>
      <w:r w:rsidRPr="008C5B81">
        <w:rPr>
          <w:rFonts w:eastAsia="Times New Roman"/>
        </w:rPr>
        <w:fldChar w:fldCharType="separate"/>
      </w:r>
      <w:r w:rsidRPr="008C5B81" w:rsidR="00A00646">
        <w:rPr>
          <w:rFonts w:eastAsia="Times New Roman"/>
        </w:rPr>
        <w:t>51</w:t>
      </w:r>
      <w:r w:rsidRPr="008C5B81">
        <w:rPr>
          <w:rFonts w:eastAsia="Times New Roman"/>
        </w:rPr>
        <w:fldChar w:fldCharType="end"/>
      </w:r>
      <w:r w:rsidRPr="008C5B81">
        <w:rPr>
          <w:rFonts w:eastAsia="Times New Roman"/>
        </w:rPr>
        <w:t xml:space="preserve"> above). Notwithstanding the findings made in that report, the respondent Government had failed to </w:t>
      </w:r>
      <w:r w:rsidRPr="008C5B81">
        <w:rPr>
          <w:rFonts w:eastAsia="Times New Roman"/>
        </w:rPr>
        <w:t>conduct an investigation into</w:t>
      </w:r>
      <w:r w:rsidRPr="008C5B81">
        <w:rPr>
          <w:rFonts w:eastAsia="Times New Roman"/>
        </w:rPr>
        <w:t xml:space="preserve"> Russian interference in democratic elections in the United Kingdom. Without such an investigation, there was an unacceptable risk of repetition.</w:t>
      </w:r>
    </w:p>
    <w:p w:rsidRPr="008C5B81" w:rsidR="00A8059F" w:rsidP="001D72B2" w14:paraId="5A24B164" w14:textId="77777777">
      <w:pPr>
        <w:pStyle w:val="JuH1"/>
        <w:rPr>
          <w:rFonts w:eastAsia="Times New Roman"/>
        </w:rPr>
      </w:pPr>
      <w:r w:rsidRPr="008C5B81">
        <w:rPr>
          <w:rFonts w:eastAsia="Times New Roman"/>
        </w:rPr>
        <w:t>The Government</w:t>
      </w:r>
    </w:p>
    <w:p w:rsidRPr="008C5B81" w:rsidR="00A8059F" w:rsidP="001D72B2" w14:paraId="4CB6221E" w14:textId="46E954BC">
      <w:pPr>
        <w:pStyle w:val="JuParaLast"/>
        <w:keepNext w:val="0"/>
        <w:keepLines w:val="0"/>
        <w:spacing w:before="0"/>
        <w:contextualSpacing/>
        <w:rPr>
          <w:rFonts w:ascii="Times New Roman" w:hAnsi="Times New Roman" w:eastAsia="Times New Roman" w:cs="Times New Roman"/>
        </w:rPr>
      </w:pPr>
      <w:r>
        <w:fldChar w:fldCharType="begin"/>
      </w:r>
      <w:r>
        <w:instrText xml:space="preserve"> SEQ level0 \*arabic \* MERGEFORMAT </w:instrText>
      </w:r>
      <w:r>
        <w:fldChar w:fldCharType="separate"/>
      </w:r>
      <w:r w:rsidRPr="008C5B81">
        <w:rPr>
          <w:noProof/>
        </w:rPr>
        <w:t>153</w:t>
      </w:r>
      <w:r w:rsidRPr="008C5B81">
        <w:rPr>
          <w:noProof/>
        </w:rPr>
        <w:fldChar w:fldCharType="end"/>
      </w:r>
      <w:r w:rsidRPr="008C5B81">
        <w:t>.  </w:t>
      </w:r>
      <w:r w:rsidRPr="008C5B81">
        <w:rPr>
          <w:rFonts w:ascii="Times New Roman" w:hAnsi="Times New Roman" w:eastAsia="Times New Roman" w:cs="Times New Roman"/>
        </w:rPr>
        <w:t xml:space="preserve">According to the Government, the phenomenon of disinformation spread online by hostile foreign States raised complex issues which required careful consideration. There </w:t>
      </w:r>
      <w:r w:rsidRPr="008C5B81">
        <w:rPr>
          <w:rFonts w:ascii="Times New Roman" w:hAnsi="Times New Roman" w:eastAsia="Times New Roman" w:cs="Times New Roman"/>
        </w:rPr>
        <w:t>was</w:t>
      </w:r>
      <w:r w:rsidRPr="008C5B81">
        <w:rPr>
          <w:rFonts w:ascii="Times New Roman" w:hAnsi="Times New Roman" w:eastAsia="Times New Roman" w:cs="Times New Roman"/>
        </w:rPr>
        <w:t xml:space="preserve"> no uniform answer and no consensus among Contracting States as to what sort of political and legislative responses were appropriate.</w:t>
      </w:r>
      <w:r w:rsidRPr="008C5B81" w:rsidR="00E2671F">
        <w:rPr>
          <w:rFonts w:ascii="Times New Roman" w:hAnsi="Times New Roman" w:eastAsia="Times New Roman" w:cs="Times New Roman"/>
        </w:rPr>
        <w:t xml:space="preserve"> </w:t>
      </w:r>
      <w:r w:rsidRPr="008C5B81">
        <w:rPr>
          <w:rFonts w:ascii="Times New Roman" w:hAnsi="Times New Roman" w:eastAsia="Times New Roman" w:cs="Times New Roman"/>
        </w:rPr>
        <w:t>Furthermore, given the State</w:t>
      </w:r>
      <w:r w:rsidRPr="008C5B81" w:rsidR="001D72B2">
        <w:rPr>
          <w:rFonts w:ascii="Times New Roman" w:hAnsi="Times New Roman" w:eastAsia="Times New Roman" w:cs="Times New Roman"/>
        </w:rPr>
        <w:t>’</w:t>
      </w:r>
      <w:r w:rsidRPr="008C5B81">
        <w:rPr>
          <w:rFonts w:ascii="Times New Roman" w:hAnsi="Times New Roman" w:eastAsia="Times New Roman" w:cs="Times New Roman"/>
        </w:rPr>
        <w:t>s obligation to respect and facilitate freedom of expression, particularly in the context of political speech, any requirement on the State to act as referee of public debate should necessarily be limited.</w:t>
      </w:r>
    </w:p>
    <w:p w:rsidRPr="008C5B81" w:rsidR="00A8059F" w:rsidP="001D72B2" w14:paraId="0247BC1C" w14:textId="006478D5">
      <w:pPr>
        <w:pStyle w:val="JuParaLast"/>
        <w:keepNext w:val="0"/>
        <w:keepLines w:val="0"/>
        <w:spacing w:before="0"/>
        <w:contextualSpacing/>
        <w:rPr>
          <w:rFonts w:ascii="Times New Roman" w:hAnsi="Times New Roman" w:eastAsia="Times New Roman" w:cs="Times New Roman"/>
        </w:rPr>
      </w:pPr>
      <w:r w:rsidRPr="008C5B81">
        <w:rPr>
          <w:rFonts w:ascii="Times New Roman" w:hAnsi="Times New Roman" w:eastAsia="Times New Roman" w:cs="Times New Roman"/>
        </w:rPr>
        <w:fldChar w:fldCharType="begin"/>
      </w:r>
      <w:r w:rsidRPr="008C5B81">
        <w:rPr>
          <w:rFonts w:ascii="Times New Roman" w:hAnsi="Times New Roman" w:eastAsia="Times New Roman" w:cs="Times New Roman"/>
        </w:rPr>
        <w:instrText xml:space="preserve"> SEQ level0 \*arabic \* MERGEFORMAT </w:instrText>
      </w:r>
      <w:r w:rsidRPr="008C5B81">
        <w:rPr>
          <w:rFonts w:ascii="Times New Roman" w:hAnsi="Times New Roman" w:eastAsia="Times New Roman" w:cs="Times New Roman"/>
        </w:rPr>
        <w:fldChar w:fldCharType="separate"/>
      </w:r>
      <w:r w:rsidRPr="008C5B81" w:rsidR="00A00646">
        <w:rPr>
          <w:rFonts w:ascii="Times New Roman" w:hAnsi="Times New Roman" w:eastAsia="Times New Roman" w:cs="Times New Roman"/>
          <w:noProof/>
        </w:rPr>
        <w:t>154</w:t>
      </w:r>
      <w:r w:rsidRPr="008C5B81">
        <w:rPr>
          <w:rFonts w:ascii="Times New Roman" w:hAnsi="Times New Roman" w:eastAsia="Times New Roman" w:cs="Times New Roman"/>
        </w:rPr>
        <w:fldChar w:fldCharType="end"/>
      </w:r>
      <w:r w:rsidRPr="008C5B81">
        <w:rPr>
          <w:rFonts w:ascii="Times New Roman" w:hAnsi="Times New Roman" w:eastAsia="Times New Roman" w:cs="Times New Roman"/>
        </w:rPr>
        <w:t xml:space="preserve">.  The Government therefore argued that in this area the margin of appreciation under Article 3 of Protocol No. 1 was wide. While the Government accepted that there was an international consensus that foreign interference in elections via the </w:t>
      </w:r>
      <w:r w:rsidRPr="008C5B81" w:rsidR="00561F45">
        <w:rPr>
          <w:rFonts w:ascii="Times New Roman" w:hAnsi="Times New Roman" w:eastAsia="Times New Roman" w:cs="Times New Roman"/>
        </w:rPr>
        <w:t>i</w:t>
      </w:r>
      <w:r w:rsidRPr="008C5B81">
        <w:rPr>
          <w:rFonts w:ascii="Times New Roman" w:hAnsi="Times New Roman" w:eastAsia="Times New Roman" w:cs="Times New Roman"/>
        </w:rPr>
        <w:t xml:space="preserve">nternet, and disinformation generally, was an issue of concern that States should take seriously, there was no international consensus about what should be done about it, or what any domestic legislative response should look like. Nonetheless, it was absurd to suggest – as the applicants did (see paragraph </w:t>
      </w:r>
      <w:r w:rsidRPr="008C5B81">
        <w:rPr>
          <w:rFonts w:ascii="Times New Roman" w:hAnsi="Times New Roman" w:eastAsia="Times New Roman" w:cs="Times New Roman"/>
        </w:rPr>
        <w:fldChar w:fldCharType="begin"/>
      </w:r>
      <w:r w:rsidRPr="008C5B81">
        <w:rPr>
          <w:rFonts w:ascii="Times New Roman" w:hAnsi="Times New Roman" w:eastAsia="Times New Roman" w:cs="Times New Roman"/>
        </w:rPr>
        <w:instrText xml:space="preserve">REF paragraph00150 \h \* CharFormat </w:instrText>
      </w:r>
      <w:r w:rsidRPr="008C5B81" w:rsidR="00C53862">
        <w:rPr>
          <w:rFonts w:ascii="Times New Roman" w:hAnsi="Times New Roman" w:eastAsia="Times New Roman" w:cs="Times New Roman"/>
        </w:rPr>
        <w:instrText xml:space="preserve"> \* MERGEFORMAT </w:instrText>
      </w:r>
      <w:r w:rsidRPr="008C5B81">
        <w:rPr>
          <w:rFonts w:ascii="Times New Roman" w:hAnsi="Times New Roman" w:eastAsia="Times New Roman" w:cs="Times New Roman"/>
        </w:rPr>
        <w:fldChar w:fldCharType="separate"/>
      </w:r>
      <w:r w:rsidRPr="008C5B81" w:rsidR="00A00646">
        <w:rPr>
          <w:rFonts w:ascii="Times New Roman" w:hAnsi="Times New Roman" w:eastAsia="Times New Roman" w:cs="Times New Roman"/>
        </w:rPr>
        <w:t>150</w:t>
      </w:r>
      <w:r w:rsidRPr="008C5B81">
        <w:rPr>
          <w:rFonts w:ascii="Times New Roman" w:hAnsi="Times New Roman" w:eastAsia="Times New Roman" w:cs="Times New Roman"/>
        </w:rPr>
        <w:fldChar w:fldCharType="end"/>
      </w:r>
      <w:r w:rsidRPr="008C5B81">
        <w:rPr>
          <w:rFonts w:ascii="Times New Roman" w:hAnsi="Times New Roman" w:eastAsia="Times New Roman" w:cs="Times New Roman"/>
        </w:rPr>
        <w:t xml:space="preserve"> below) – that the Government had given no thought to the issues raised by this case. On the contrary, a range of mechanisms had been put in place, or were being put in place, to tackle the phenomenon of disinformation spread online by hostile foreign States.</w:t>
      </w:r>
    </w:p>
    <w:p w:rsidRPr="00E06DFC" w:rsidR="00A8059F" w:rsidP="001D72B2" w14:paraId="15081E2B" w14:textId="58A990BB">
      <w:pPr>
        <w:pStyle w:val="JuParaLast"/>
        <w:keepNext w:val="0"/>
        <w:keepLines w:val="0"/>
        <w:spacing w:before="0"/>
        <w:contextualSpacing/>
        <w:rPr>
          <w:rFonts w:ascii="Times New Roman" w:hAnsi="Times New Roman" w:eastAsia="Times New Roman" w:cs="Times New Roman"/>
        </w:rPr>
      </w:pPr>
      <w:r w:rsidRPr="008C5B81">
        <w:rPr>
          <w:rFonts w:ascii="Times New Roman" w:hAnsi="Times New Roman" w:eastAsia="Times New Roman" w:cs="Times New Roman"/>
        </w:rPr>
        <w:fldChar w:fldCharType="begin"/>
      </w:r>
      <w:r w:rsidRPr="008C5B81">
        <w:rPr>
          <w:rFonts w:ascii="Times New Roman" w:hAnsi="Times New Roman" w:eastAsia="Times New Roman" w:cs="Times New Roman"/>
        </w:rPr>
        <w:instrText xml:space="preserve"> SEQ level0 \*arabic \* MERGEFORMAT </w:instrText>
      </w:r>
      <w:r w:rsidRPr="008C5B81">
        <w:rPr>
          <w:rFonts w:ascii="Times New Roman" w:hAnsi="Times New Roman" w:eastAsia="Times New Roman" w:cs="Times New Roman"/>
        </w:rPr>
        <w:fldChar w:fldCharType="separate"/>
      </w:r>
      <w:r w:rsidRPr="008C5B81" w:rsidR="00A00646">
        <w:rPr>
          <w:rFonts w:ascii="Times New Roman" w:hAnsi="Times New Roman" w:eastAsia="Times New Roman" w:cs="Times New Roman"/>
          <w:noProof/>
        </w:rPr>
        <w:t>155</w:t>
      </w:r>
      <w:r w:rsidRPr="008C5B81">
        <w:rPr>
          <w:rFonts w:ascii="Times New Roman" w:hAnsi="Times New Roman" w:eastAsia="Times New Roman" w:cs="Times New Roman"/>
        </w:rPr>
        <w:fldChar w:fldCharType="end"/>
      </w:r>
      <w:r w:rsidRPr="008C5B81">
        <w:rPr>
          <w:rFonts w:ascii="Times New Roman" w:hAnsi="Times New Roman" w:eastAsia="Times New Roman" w:cs="Times New Roman"/>
        </w:rPr>
        <w:t>.  In this regard, the Government</w:t>
      </w:r>
      <w:r w:rsidRPr="00E06DFC">
        <w:rPr>
          <w:rFonts w:ascii="Times New Roman" w:hAnsi="Times New Roman" w:eastAsia="Times New Roman" w:cs="Times New Roman"/>
        </w:rPr>
        <w:t xml:space="preserve"> argued that the United Kingdom had in place an effective legal and institutional framework, which was kept under regular review, and it continued to implement and develop policies and legislative proposals to address some of the issues raised by the applicants. For example, the NSA 2023 </w:t>
      </w:r>
      <w:r w:rsidRPr="00E06DFC" w:rsidR="00E54C70">
        <w:rPr>
          <w:rFonts w:ascii="Times New Roman" w:hAnsi="Times New Roman" w:eastAsia="Times New Roman" w:cs="Times New Roman"/>
        </w:rPr>
        <w:t>(</w:t>
      </w:r>
      <w:r w:rsidRPr="00E06DFC">
        <w:rPr>
          <w:rFonts w:ascii="Times New Roman" w:hAnsi="Times New Roman" w:eastAsia="Times New Roman" w:cs="Times New Roman"/>
        </w:rPr>
        <w:t>see paragraphs</w:t>
      </w:r>
      <w:r w:rsidRPr="00E06DFC" w:rsidR="00F92F09">
        <w:rPr>
          <w:rFonts w:ascii="Times New Roman" w:hAnsi="Times New Roman" w:eastAsia="Times New Roman" w:cs="Times New Roman"/>
        </w:rPr>
        <w:t> </w:t>
      </w: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REF paragraph00025 \h \* CharFormat </w:instrText>
      </w:r>
      <w:r w:rsidRPr="00E06DFC" w:rsidR="00C53862">
        <w:rPr>
          <w:rFonts w:ascii="Times New Roman" w:hAnsi="Times New Roman" w:eastAsia="Times New Roman" w:cs="Times New Roman"/>
        </w:rPr>
        <w:instrText xml:space="preserve">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rPr>
        <w:t>25</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w:t>
      </w: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REF paragraph00027 \h \* CharFormat </w:instrText>
      </w:r>
      <w:r w:rsidRPr="00E06DFC" w:rsidR="00C53862">
        <w:rPr>
          <w:rFonts w:ascii="Times New Roman" w:hAnsi="Times New Roman" w:eastAsia="Times New Roman" w:cs="Times New Roman"/>
        </w:rPr>
        <w:instrText xml:space="preserve">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rPr>
        <w:t>27</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xml:space="preserve"> above) contained a Foreign Influence Registration Scheme designed to protect the country from foreign threats, and the Elections Act</w:t>
      </w:r>
      <w:r w:rsidRPr="00E06DFC" w:rsidR="00E2671F">
        <w:rPr>
          <w:rFonts w:ascii="Times New Roman" w:hAnsi="Times New Roman" w:eastAsia="Times New Roman" w:cs="Times New Roman"/>
        </w:rPr>
        <w:t xml:space="preserve"> </w:t>
      </w:r>
      <w:r w:rsidRPr="00E06DFC">
        <w:rPr>
          <w:rFonts w:ascii="Times New Roman" w:hAnsi="Times New Roman" w:eastAsia="Times New Roman" w:cs="Times New Roman"/>
        </w:rPr>
        <w:t xml:space="preserve">2022 (see paragraph </w:t>
      </w: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REF paragraph00023 \h \* CharFormat </w:instrText>
      </w:r>
      <w:r w:rsidRPr="00E06DFC" w:rsidR="00C53862">
        <w:rPr>
          <w:rFonts w:ascii="Times New Roman" w:hAnsi="Times New Roman" w:eastAsia="Times New Roman" w:cs="Times New Roman"/>
        </w:rPr>
        <w:instrText xml:space="preserve">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rPr>
        <w:t>23</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xml:space="preserve"> above) implemented controls on online advertising in the context of political campaigns. In addition, specific </w:t>
      </w:r>
      <w:r w:rsidRPr="00E06DFC" w:rsidR="00D13700">
        <w:rPr>
          <w:rFonts w:ascii="Times New Roman" w:hAnsi="Times New Roman" w:eastAsia="Times New Roman" w:cs="Times New Roman"/>
        </w:rPr>
        <w:t>g</w:t>
      </w:r>
      <w:r w:rsidRPr="00E06DFC">
        <w:rPr>
          <w:rFonts w:ascii="Times New Roman" w:hAnsi="Times New Roman" w:eastAsia="Times New Roman" w:cs="Times New Roman"/>
        </w:rPr>
        <w:t xml:space="preserve">overnment </w:t>
      </w:r>
      <w:r w:rsidRPr="00E06DFC" w:rsidR="00D13700">
        <w:rPr>
          <w:rFonts w:ascii="Times New Roman" w:hAnsi="Times New Roman" w:eastAsia="Times New Roman" w:cs="Times New Roman"/>
        </w:rPr>
        <w:t>m</w:t>
      </w:r>
      <w:r w:rsidRPr="00E06DFC">
        <w:rPr>
          <w:rFonts w:ascii="Times New Roman" w:hAnsi="Times New Roman" w:eastAsia="Times New Roman" w:cs="Times New Roman"/>
        </w:rPr>
        <w:t xml:space="preserve">inisters had responsibility for matters of national security, including addressing the threat of foreign State interference. Other bodies, such as the Electoral Commission, the police and the </w:t>
      </w:r>
      <w:r w:rsidRPr="00E06DFC" w:rsidR="0010626D">
        <w:rPr>
          <w:rFonts w:ascii="Times New Roman" w:hAnsi="Times New Roman" w:eastAsia="Times New Roman" w:cs="Times New Roman"/>
        </w:rPr>
        <w:t>s</w:t>
      </w:r>
      <w:r w:rsidRPr="00E06DFC">
        <w:rPr>
          <w:rFonts w:ascii="Times New Roman" w:hAnsi="Times New Roman" w:eastAsia="Times New Roman" w:cs="Times New Roman"/>
        </w:rPr>
        <w:t xml:space="preserve">ecurity and </w:t>
      </w:r>
      <w:r w:rsidRPr="00E06DFC" w:rsidR="0010626D">
        <w:rPr>
          <w:rFonts w:ascii="Times New Roman" w:hAnsi="Times New Roman" w:eastAsia="Times New Roman" w:cs="Times New Roman"/>
        </w:rPr>
        <w:t>i</w:t>
      </w:r>
      <w:r w:rsidRPr="00E06DFC">
        <w:rPr>
          <w:rFonts w:ascii="Times New Roman" w:hAnsi="Times New Roman" w:eastAsia="Times New Roman" w:cs="Times New Roman"/>
        </w:rPr>
        <w:t xml:space="preserve">ntelligence </w:t>
      </w:r>
      <w:r w:rsidRPr="00E06DFC" w:rsidR="0010626D">
        <w:rPr>
          <w:rFonts w:ascii="Times New Roman" w:hAnsi="Times New Roman" w:eastAsia="Times New Roman" w:cs="Times New Roman"/>
        </w:rPr>
        <w:t>a</w:t>
      </w:r>
      <w:r w:rsidRPr="00E06DFC">
        <w:rPr>
          <w:rFonts w:ascii="Times New Roman" w:hAnsi="Times New Roman" w:eastAsia="Times New Roman" w:cs="Times New Roman"/>
        </w:rPr>
        <w:t>gencies, had related legal duties and functions.</w:t>
      </w:r>
    </w:p>
    <w:p w:rsidRPr="00E06DFC" w:rsidR="00A8059F" w:rsidP="001D72B2" w14:paraId="737A209A" w14:textId="604A1E01">
      <w:pPr>
        <w:pStyle w:val="JuParaLast"/>
        <w:keepNext w:val="0"/>
        <w:keepLines w:val="0"/>
        <w:spacing w:before="0"/>
        <w:contextualSpacing/>
        <w:rPr>
          <w:rFonts w:ascii="Times New Roman" w:hAnsi="Times New Roman" w:eastAsia="Times New Roman" w:cs="Times New Roman"/>
        </w:rPr>
      </w:pPr>
      <w:r w:rsidRPr="00E06DFC">
        <w:rPr>
          <w:rFonts w:ascii="Times New Roman" w:hAnsi="Times New Roman" w:eastAsia="Times New Roman" w:cs="Times New Roman"/>
        </w:rPr>
        <w:fldChar w:fldCharType="begin"/>
      </w:r>
      <w:r w:rsidRPr="00E06DFC">
        <w:rPr>
          <w:rFonts w:ascii="Times New Roman" w:hAnsi="Times New Roman" w:eastAsia="Times New Roman" w:cs="Times New Roman"/>
        </w:rPr>
        <w:instrText xml:space="preserve"> SEQ level0 \*arabic \* MERGEFORMAT </w:instrText>
      </w:r>
      <w:r w:rsidRPr="00E06DFC">
        <w:rPr>
          <w:rFonts w:ascii="Times New Roman" w:hAnsi="Times New Roman" w:eastAsia="Times New Roman" w:cs="Times New Roman"/>
        </w:rPr>
        <w:fldChar w:fldCharType="separate"/>
      </w:r>
      <w:r w:rsidRPr="00E06DFC" w:rsidR="00A00646">
        <w:rPr>
          <w:rFonts w:ascii="Times New Roman" w:hAnsi="Times New Roman" w:eastAsia="Times New Roman" w:cs="Times New Roman"/>
          <w:noProof/>
        </w:rPr>
        <w:t>156</w:t>
      </w:r>
      <w:r w:rsidRPr="00E06DFC">
        <w:rPr>
          <w:rFonts w:ascii="Times New Roman" w:hAnsi="Times New Roman" w:eastAsia="Times New Roman" w:cs="Times New Roman"/>
        </w:rPr>
        <w:fldChar w:fldCharType="end"/>
      </w:r>
      <w:r w:rsidRPr="00E06DFC">
        <w:rPr>
          <w:rFonts w:ascii="Times New Roman" w:hAnsi="Times New Roman" w:eastAsia="Times New Roman" w:cs="Times New Roman"/>
        </w:rPr>
        <w:t xml:space="preserve">.  The Government further argued that the intelligence and security </w:t>
      </w:r>
      <w:r w:rsidRPr="00E06DFC" w:rsidR="00D31DAD">
        <w:rPr>
          <w:rFonts w:ascii="Times New Roman" w:hAnsi="Times New Roman" w:eastAsia="Times New Roman" w:cs="Times New Roman"/>
        </w:rPr>
        <w:t>a</w:t>
      </w:r>
      <w:r w:rsidRPr="00E06DFC">
        <w:rPr>
          <w:rFonts w:ascii="Times New Roman" w:hAnsi="Times New Roman" w:eastAsia="Times New Roman" w:cs="Times New Roman"/>
        </w:rPr>
        <w:t>gencies and the police already investigate</w:t>
      </w:r>
      <w:r w:rsidRPr="00E06DFC" w:rsidR="00D31DAD">
        <w:rPr>
          <w:rFonts w:ascii="Times New Roman" w:hAnsi="Times New Roman" w:eastAsia="Times New Roman" w:cs="Times New Roman"/>
        </w:rPr>
        <w:t>d</w:t>
      </w:r>
      <w:r w:rsidRPr="00E06DFC">
        <w:rPr>
          <w:rFonts w:ascii="Times New Roman" w:hAnsi="Times New Roman" w:eastAsia="Times New Roman" w:cs="Times New Roman"/>
        </w:rPr>
        <w:t xml:space="preserve"> credible allegations of hostile State activity and potential criminal offences in relation to the holding of elections. Moreover, issues concerning attempted foreign State interference in domestic elections remained under regular consideration by the relevant organs of </w:t>
      </w:r>
      <w:r w:rsidRPr="00E06DFC" w:rsidR="00D13700">
        <w:rPr>
          <w:rFonts w:ascii="Times New Roman" w:hAnsi="Times New Roman" w:eastAsia="Times New Roman" w:cs="Times New Roman"/>
        </w:rPr>
        <w:t>g</w:t>
      </w:r>
      <w:r w:rsidRPr="00E06DFC">
        <w:rPr>
          <w:rFonts w:ascii="Times New Roman" w:hAnsi="Times New Roman" w:eastAsia="Times New Roman" w:cs="Times New Roman"/>
        </w:rPr>
        <w:t xml:space="preserve">overnment, and the conduct of investigations, the development of policy and legislative proposals and diplomatic efforts in connection with the prevention of hostile State activities continued to be informed by the work of </w:t>
      </w:r>
      <w:r w:rsidRPr="00E06DFC" w:rsidR="00D8290F">
        <w:rPr>
          <w:rFonts w:ascii="Times New Roman" w:hAnsi="Times New Roman" w:eastAsia="Times New Roman" w:cs="Times New Roman"/>
        </w:rPr>
        <w:t>p</w:t>
      </w:r>
      <w:r w:rsidRPr="00E06DFC">
        <w:rPr>
          <w:rFonts w:ascii="Times New Roman" w:hAnsi="Times New Roman" w:eastAsia="Times New Roman" w:cs="Times New Roman"/>
        </w:rPr>
        <w:t xml:space="preserve">arliamentary </w:t>
      </w:r>
      <w:r w:rsidRPr="00E06DFC" w:rsidR="00D8290F">
        <w:rPr>
          <w:rFonts w:ascii="Times New Roman" w:hAnsi="Times New Roman" w:eastAsia="Times New Roman" w:cs="Times New Roman"/>
        </w:rPr>
        <w:t>c</w:t>
      </w:r>
      <w:r w:rsidRPr="00E06DFC">
        <w:rPr>
          <w:rFonts w:ascii="Times New Roman" w:hAnsi="Times New Roman" w:eastAsia="Times New Roman" w:cs="Times New Roman"/>
        </w:rPr>
        <w:t>ommittees. Given the sensitivity and security implications of some of these issues, much of the work could not be addressed in the public domain, and in any event could not be the subject of a public inquiry.</w:t>
      </w:r>
    </w:p>
    <w:p w:rsidRPr="00E06DFC" w:rsidR="00A8059F" w:rsidP="001D72B2" w14:paraId="2F41A1A4" w14:textId="14B74171">
      <w:pPr>
        <w:pStyle w:val="JuH1"/>
        <w:rPr>
          <w:rFonts w:eastAsia="Times New Roman"/>
        </w:rPr>
      </w:pPr>
      <w:r w:rsidRPr="00E06DFC">
        <w:rPr>
          <w:rFonts w:eastAsia="Times New Roman"/>
        </w:rPr>
        <w:t>The third</w:t>
      </w:r>
      <w:r w:rsidRPr="00E06DFC" w:rsidR="008117AF">
        <w:rPr>
          <w:rFonts w:eastAsia="Times New Roman"/>
        </w:rPr>
        <w:t>-</w:t>
      </w:r>
      <w:r w:rsidRPr="00E06DFC">
        <w:rPr>
          <w:rFonts w:eastAsia="Times New Roman"/>
        </w:rPr>
        <w:t>party interven</w:t>
      </w:r>
      <w:r w:rsidRPr="00E06DFC" w:rsidR="007F6350">
        <w:rPr>
          <w:rFonts w:eastAsia="Times New Roman"/>
        </w:rPr>
        <w:t>e</w:t>
      </w:r>
      <w:r w:rsidRPr="00E06DFC">
        <w:rPr>
          <w:rFonts w:eastAsia="Times New Roman"/>
        </w:rPr>
        <w:t>r</w:t>
      </w:r>
    </w:p>
    <w:p w:rsidRPr="008C5B81" w:rsidR="00A8059F" w:rsidP="001D72B2" w14:paraId="03E2E76D" w14:textId="70875F64">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E06DFC">
        <w:rPr>
          <w:noProof/>
        </w:rPr>
        <w:t>157</w:t>
      </w:r>
      <w:r w:rsidRPr="00E06DFC">
        <w:rPr>
          <w:noProof/>
        </w:rPr>
        <w:fldChar w:fldCharType="end"/>
      </w:r>
      <w:r w:rsidRPr="00E06DFC">
        <w:t>.  </w:t>
      </w:r>
      <w:r w:rsidRPr="00E06DFC">
        <w:rPr>
          <w:rFonts w:ascii="Times New Roman" w:hAnsi="Times New Roman" w:eastAsia="Times New Roman" w:cs="Times New Roman"/>
        </w:rPr>
        <w:t>In its third</w:t>
      </w:r>
      <w:r w:rsidRPr="00E06DFC" w:rsidR="00E2671F">
        <w:rPr>
          <w:rFonts w:ascii="Times New Roman" w:hAnsi="Times New Roman" w:eastAsia="Times New Roman" w:cs="Times New Roman"/>
        </w:rPr>
        <w:t>-</w:t>
      </w:r>
      <w:r w:rsidRPr="00E06DFC">
        <w:rPr>
          <w:rFonts w:ascii="Times New Roman" w:hAnsi="Times New Roman" w:eastAsia="Times New Roman" w:cs="Times New Roman"/>
        </w:rPr>
        <w:t>party intervention</w:t>
      </w:r>
      <w:r w:rsidRPr="00E06DFC" w:rsidR="00E2671F">
        <w:rPr>
          <w:rFonts w:ascii="Times New Roman" w:hAnsi="Times New Roman" w:eastAsia="Times New Roman" w:cs="Times New Roman"/>
        </w:rPr>
        <w:t>,</w:t>
      </w:r>
      <w:r w:rsidRPr="00E06DFC">
        <w:rPr>
          <w:rFonts w:ascii="Times New Roman" w:hAnsi="Times New Roman" w:eastAsia="Times New Roman" w:cs="Times New Roman"/>
        </w:rPr>
        <w:t xml:space="preserve"> the European Information Society Institute (EISI) argued that digital advertising was crucial for modern politics and</w:t>
      </w:r>
      <w:r w:rsidRPr="00E06DFC" w:rsidR="00BD4118">
        <w:rPr>
          <w:rFonts w:ascii="Times New Roman" w:hAnsi="Times New Roman" w:eastAsia="Times New Roman" w:cs="Times New Roman"/>
        </w:rPr>
        <w:t xml:space="preserve"> that</w:t>
      </w:r>
      <w:r w:rsidRPr="00E06DFC">
        <w:rPr>
          <w:rFonts w:ascii="Times New Roman" w:hAnsi="Times New Roman" w:eastAsia="Times New Roman" w:cs="Times New Roman"/>
        </w:rPr>
        <w:t xml:space="preserve"> the transparency of how politicians talked to voters was the defining problem of our times. In the pre-election context, it was important that voters were informed about who was speaking to them and why they were being targeted and, in the post</w:t>
      </w:r>
      <w:r w:rsidRPr="00E06DFC" w:rsidR="00E2671F">
        <w:rPr>
          <w:rFonts w:ascii="Times New Roman" w:hAnsi="Times New Roman" w:eastAsia="Times New Roman" w:cs="Times New Roman"/>
        </w:rPr>
        <w:t>-</w:t>
      </w:r>
      <w:r w:rsidRPr="00E06DFC">
        <w:rPr>
          <w:rFonts w:ascii="Times New Roman" w:hAnsi="Times New Roman" w:eastAsia="Times New Roman" w:cs="Times New Roman"/>
        </w:rPr>
        <w:t xml:space="preserve">election </w:t>
      </w:r>
      <w:r w:rsidRPr="008C5B81">
        <w:rPr>
          <w:rFonts w:ascii="Times New Roman" w:hAnsi="Times New Roman" w:eastAsia="Times New Roman" w:cs="Times New Roman"/>
        </w:rPr>
        <w:t>context, substantiated allegations of election manipulation had to be investigated by impartial bodies. Transparency in both cases helped to solidify public trust in the democratic system.</w:t>
      </w:r>
    </w:p>
    <w:p w:rsidRPr="008C5B81" w:rsidR="00A8059F" w:rsidP="001D72B2" w14:paraId="32D4E1B8" w14:textId="4FD92193">
      <w:pPr>
        <w:pStyle w:val="JuHA"/>
      </w:pPr>
      <w:r w:rsidRPr="008C5B81">
        <w:t>The Court</w:t>
      </w:r>
      <w:r w:rsidRPr="008C5B81" w:rsidR="001D72B2">
        <w:t>’</w:t>
      </w:r>
      <w:r w:rsidRPr="008C5B81">
        <w:t>s assessment</w:t>
      </w:r>
    </w:p>
    <w:p w:rsidRPr="008C5B81" w:rsidR="00A8059F" w:rsidP="001D72B2" w14:paraId="2BE40E43" w14:textId="4676E94B">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158</w:t>
      </w:r>
      <w:r w:rsidRPr="008C5B81">
        <w:rPr>
          <w:rFonts w:eastAsia="Times New Roman"/>
        </w:rPr>
        <w:fldChar w:fldCharType="end"/>
      </w:r>
      <w:r w:rsidRPr="008C5B81">
        <w:rPr>
          <w:rFonts w:eastAsia="Times New Roman"/>
        </w:rPr>
        <w:t>.  While the Court does not underestimate the threat posed by the spreading of disinformation and the running of “influence campaigns”, their nature is nevertheless such that it is difficult to assess accurately the impact that they may have on individual voters and, by extension, on the outcome of a given election. The ISC report expressly recognised that the impact of Russia</w:t>
      </w:r>
      <w:r w:rsidRPr="008C5B81" w:rsidR="001D72B2">
        <w:rPr>
          <w:rFonts w:eastAsia="Times New Roman"/>
        </w:rPr>
        <w:t>’</w:t>
      </w:r>
      <w:r w:rsidRPr="008C5B81">
        <w:rPr>
          <w:rFonts w:eastAsia="Times New Roman"/>
        </w:rPr>
        <w:t xml:space="preserve">s attempts to influence elections in the United Kingdom would be “difficult – if not impossible – to assess” and consequently the ISC did not seek to do </w:t>
      </w:r>
      <w:r w:rsidRPr="008C5B81" w:rsidR="00BD4118">
        <w:rPr>
          <w:rFonts w:eastAsia="Times New Roman"/>
        </w:rPr>
        <w:t xml:space="preserve">so </w:t>
      </w:r>
      <w:r w:rsidRPr="008C5B81">
        <w:rPr>
          <w:rFonts w:eastAsia="Times New Roman"/>
        </w:rPr>
        <w:t xml:space="preserve">(see paragraph </w:t>
      </w:r>
      <w:r w:rsidRPr="008C5B81">
        <w:rPr>
          <w:rFonts w:eastAsia="Times New Roman"/>
        </w:rPr>
        <w:fldChar w:fldCharType="begin"/>
      </w:r>
      <w:r w:rsidRPr="008C5B81">
        <w:rPr>
          <w:rFonts w:eastAsia="Times New Roman"/>
        </w:rPr>
        <w:instrText xml:space="preserve">REF paragraph00046 \h \* CharFormat  \* MERGEFORMAT </w:instrText>
      </w:r>
      <w:r w:rsidRPr="008C5B81">
        <w:rPr>
          <w:rFonts w:eastAsia="Times New Roman"/>
        </w:rPr>
        <w:fldChar w:fldCharType="separate"/>
      </w:r>
      <w:r w:rsidRPr="008C5B81" w:rsidR="00A00646">
        <w:rPr>
          <w:rFonts w:eastAsia="Times New Roman"/>
        </w:rPr>
        <w:t>46</w:t>
      </w:r>
      <w:r w:rsidRPr="008C5B81">
        <w:rPr>
          <w:rFonts w:eastAsia="Times New Roman"/>
        </w:rPr>
        <w:fldChar w:fldCharType="end"/>
      </w:r>
      <w:r w:rsidRPr="008C5B81">
        <w:rPr>
          <w:rFonts w:eastAsia="Times New Roman"/>
        </w:rPr>
        <w:t xml:space="preserve"> above). Similarly, the Council of Europe </w:t>
      </w:r>
      <w:r w:rsidRPr="008C5B81">
        <w:rPr>
          <w:rFonts w:eastAsia="Times New Roman"/>
        </w:rPr>
        <w:t xml:space="preserve">report </w:t>
      </w:r>
      <w:r w:rsidRPr="008C5B81">
        <w:rPr>
          <w:rFonts w:eastAsia="Times New Roman"/>
        </w:rPr>
        <w:t>DG</w:t>
      </w:r>
      <w:r w:rsidRPr="008C5B81" w:rsidR="00E86D35">
        <w:rPr>
          <w:rFonts w:eastAsia="Times New Roman"/>
        </w:rPr>
        <w:t>I</w:t>
      </w:r>
      <w:r w:rsidRPr="008C5B81">
        <w:rPr>
          <w:rFonts w:eastAsia="Times New Roman"/>
        </w:rPr>
        <w:t>(</w:t>
      </w:r>
      <w:r w:rsidRPr="008C5B81">
        <w:rPr>
          <w:rFonts w:eastAsia="Times New Roman"/>
        </w:rPr>
        <w:t xml:space="preserve">2017)09 points out that while recent shock election results have been used as examples of the potential power of systemic disinformation campaigns, empirical data about the exact influence of such campaigns does not exist (see paragraph </w:t>
      </w:r>
      <w:r w:rsidRPr="008C5B81">
        <w:rPr>
          <w:rFonts w:eastAsia="Times New Roman"/>
        </w:rPr>
        <w:fldChar w:fldCharType="begin"/>
      </w:r>
      <w:r w:rsidRPr="008C5B81">
        <w:rPr>
          <w:rFonts w:eastAsia="Times New Roman"/>
        </w:rPr>
        <w:instrText xml:space="preserve">REF paragraph00075 \h \* CharFormat  \* MERGEFORMAT </w:instrText>
      </w:r>
      <w:r w:rsidRPr="008C5B81">
        <w:rPr>
          <w:rFonts w:eastAsia="Times New Roman"/>
        </w:rPr>
        <w:fldChar w:fldCharType="separate"/>
      </w:r>
      <w:r w:rsidRPr="008C5B81" w:rsidR="00A00646">
        <w:rPr>
          <w:rFonts w:eastAsia="Times New Roman"/>
        </w:rPr>
        <w:t>75</w:t>
      </w:r>
      <w:r w:rsidRPr="008C5B81">
        <w:rPr>
          <w:rFonts w:eastAsia="Times New Roman"/>
        </w:rPr>
        <w:fldChar w:fldCharType="end"/>
      </w:r>
      <w:r w:rsidRPr="008C5B81">
        <w:rPr>
          <w:rFonts w:eastAsia="Times New Roman"/>
        </w:rPr>
        <w:t xml:space="preserve"> above). More recently, the Venice Commission in its </w:t>
      </w:r>
      <w:r w:rsidRPr="008C5B81" w:rsidR="00EF7F50">
        <w:rPr>
          <w:rFonts w:eastAsia="Times New Roman"/>
        </w:rPr>
        <w:t>“</w:t>
      </w:r>
      <w:r w:rsidRPr="008C5B81">
        <w:rPr>
          <w:rFonts w:eastAsia="Times New Roman"/>
        </w:rPr>
        <w:t>Urgent Report on the Cancellation of Election Results by Constitutional Courts</w:t>
      </w:r>
      <w:r w:rsidRPr="008C5B81" w:rsidR="00EF7F50">
        <w:rPr>
          <w:rFonts w:eastAsia="Times New Roman"/>
        </w:rPr>
        <w:t>”</w:t>
      </w:r>
      <w:r w:rsidRPr="008C5B81">
        <w:rPr>
          <w:rFonts w:eastAsia="Times New Roman"/>
        </w:rPr>
        <w:t xml:space="preserve"> acknowledged that it could be more challenging to establish objectively the impact of external influence campaigns on the election result than it was to establish the impact of irregularities during the voting and counting process (see paragraph </w:t>
      </w:r>
      <w:r w:rsidRPr="008C5B81">
        <w:rPr>
          <w:rFonts w:eastAsia="Times New Roman"/>
        </w:rPr>
        <w:fldChar w:fldCharType="begin"/>
      </w:r>
      <w:r w:rsidRPr="008C5B81">
        <w:rPr>
          <w:rFonts w:eastAsia="Times New Roman"/>
        </w:rPr>
        <w:instrText xml:space="preserve">REF paragraph00082 \h \* CharFormat  \* MERGEFORMAT </w:instrText>
      </w:r>
      <w:r w:rsidRPr="008C5B81">
        <w:rPr>
          <w:rFonts w:eastAsia="Times New Roman"/>
        </w:rPr>
        <w:fldChar w:fldCharType="separate"/>
      </w:r>
      <w:r w:rsidRPr="008C5B81" w:rsidR="00A00646">
        <w:rPr>
          <w:rFonts w:eastAsia="Times New Roman"/>
        </w:rPr>
        <w:t>82</w:t>
      </w:r>
      <w:r w:rsidRPr="008C5B81">
        <w:rPr>
          <w:rFonts w:eastAsia="Times New Roman"/>
        </w:rPr>
        <w:fldChar w:fldCharType="end"/>
      </w:r>
      <w:r w:rsidRPr="008C5B81">
        <w:rPr>
          <w:rFonts w:eastAsia="Times New Roman"/>
        </w:rPr>
        <w:t xml:space="preserve"> above). The Court has itself acknowledged, in the context of a case concerning, </w:t>
      </w:r>
      <w:r w:rsidRPr="008C5B81">
        <w:rPr>
          <w:rFonts w:eastAsia="Times New Roman"/>
          <w:i/>
          <w:iCs/>
        </w:rPr>
        <w:t>inter alia</w:t>
      </w:r>
      <w:r w:rsidRPr="008C5B81">
        <w:rPr>
          <w:rFonts w:eastAsia="Times New Roman"/>
        </w:rPr>
        <w:t xml:space="preserve">, the exceeding by certain parties of the limits on election expenditure, that propaganda carried out by a political party or a candidate in the context of its electoral campaign would not be the only factor motivating the choice of its potential voters. That choice would also be affected by other factors, including those of a political, economic, sociological and psychological nature, with the consequence that it would be very difficult, if not impossible, to determine the exact and real causal link between “excessive” political advertising and the number of votes obtained by the party or candidate in question (see </w:t>
      </w:r>
      <w:r w:rsidRPr="008C5B81">
        <w:rPr>
          <w:rFonts w:eastAsia="Times New Roman"/>
          <w:i/>
          <w:iCs/>
        </w:rPr>
        <w:t>Partija</w:t>
      </w:r>
      <w:r w:rsidRPr="008C5B81">
        <w:rPr>
          <w:rFonts w:eastAsia="Times New Roman"/>
          <w:i/>
          <w:iCs/>
        </w:rPr>
        <w:t xml:space="preserve"> “Jaunie </w:t>
      </w:r>
      <w:r w:rsidRPr="008C5B81">
        <w:rPr>
          <w:rFonts w:eastAsia="Times New Roman"/>
          <w:i/>
          <w:iCs/>
        </w:rPr>
        <w:t>Demokrāti</w:t>
      </w:r>
      <w:r w:rsidRPr="008C5B81">
        <w:rPr>
          <w:rFonts w:eastAsia="Times New Roman"/>
          <w:i/>
          <w:iCs/>
        </w:rPr>
        <w:t xml:space="preserve">” and </w:t>
      </w:r>
      <w:r w:rsidRPr="008C5B81">
        <w:rPr>
          <w:rFonts w:eastAsia="Times New Roman"/>
          <w:i/>
          <w:iCs/>
        </w:rPr>
        <w:t>Partija</w:t>
      </w:r>
      <w:r w:rsidRPr="008C5B81">
        <w:rPr>
          <w:rFonts w:eastAsia="Times New Roman"/>
          <w:i/>
          <w:iCs/>
        </w:rPr>
        <w:t xml:space="preserve"> “</w:t>
      </w:r>
      <w:r w:rsidRPr="008C5B81">
        <w:rPr>
          <w:rFonts w:eastAsia="Times New Roman"/>
          <w:i/>
          <w:iCs/>
        </w:rPr>
        <w:t>Mūsu</w:t>
      </w:r>
      <w:r w:rsidRPr="008C5B81">
        <w:rPr>
          <w:rFonts w:eastAsia="Times New Roman"/>
          <w:i/>
          <w:iCs/>
        </w:rPr>
        <w:t xml:space="preserve"> Zeme”</w:t>
      </w:r>
      <w:r w:rsidRPr="008C5B81">
        <w:rPr>
          <w:rFonts w:eastAsia="Times New Roman"/>
        </w:rPr>
        <w:t>, cited above).</w:t>
      </w:r>
    </w:p>
    <w:p w:rsidRPr="008C5B81" w:rsidR="00A8059F" w:rsidP="001D72B2" w14:paraId="6703DF94" w14:textId="5AE0BEB5">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159</w:t>
      </w:r>
      <w:r w:rsidRPr="008C5B81">
        <w:rPr>
          <w:rFonts w:eastAsia="Times New Roman"/>
        </w:rPr>
        <w:fldChar w:fldCharType="end"/>
      </w:r>
      <w:r w:rsidRPr="008C5B81">
        <w:rPr>
          <w:rFonts w:eastAsia="Times New Roman"/>
        </w:rPr>
        <w:t xml:space="preserve">.  The fact that it is difficult to assess the impact of attempts by foreign agents to influence an election should not prevent States from taking measures to defend democratic values; indeed, the Court has made it clear that States are not required to wait, before intervening, until a threat to democracy is sufficiently established and imminent (see the case-law quoted in paragraph </w:t>
      </w:r>
      <w:r w:rsidRPr="008C5B81">
        <w:rPr>
          <w:rFonts w:eastAsia="Times New Roman"/>
        </w:rPr>
        <w:fldChar w:fldCharType="begin"/>
      </w:r>
      <w:r w:rsidRPr="008C5B81">
        <w:rPr>
          <w:rFonts w:eastAsia="Times New Roman"/>
        </w:rPr>
        <w:instrText xml:space="preserve">REF paragraph00116 \h \* CharFormat  \* MERGEFORMAT </w:instrText>
      </w:r>
      <w:r w:rsidRPr="008C5B81">
        <w:rPr>
          <w:rFonts w:eastAsia="Times New Roman"/>
        </w:rPr>
        <w:fldChar w:fldCharType="separate"/>
      </w:r>
      <w:r w:rsidRPr="008C5B81" w:rsidR="00A00646">
        <w:rPr>
          <w:rFonts w:eastAsia="Times New Roman"/>
        </w:rPr>
        <w:t>116</w:t>
      </w:r>
      <w:r w:rsidRPr="008C5B81">
        <w:rPr>
          <w:rFonts w:eastAsia="Times New Roman"/>
        </w:rPr>
        <w:fldChar w:fldCharType="end"/>
      </w:r>
      <w:r w:rsidRPr="008C5B81">
        <w:rPr>
          <w:rFonts w:eastAsia="Times New Roman"/>
        </w:rPr>
        <w:t xml:space="preserve"> above). However, while there is undoubtedly agreement among the international community that election interference through the weaponisation of disinformation </w:t>
      </w:r>
      <w:r w:rsidRPr="008C5B81" w:rsidR="00782B40">
        <w:rPr>
          <w:rFonts w:eastAsia="Times New Roman"/>
        </w:rPr>
        <w:t xml:space="preserve">– </w:t>
      </w:r>
      <w:r w:rsidRPr="008C5B81">
        <w:rPr>
          <w:rFonts w:eastAsia="Times New Roman"/>
        </w:rPr>
        <w:t xml:space="preserve">and, in some cases, cyber-attacks and “hack and leak” operations </w:t>
      </w:r>
      <w:r w:rsidRPr="008C5B81" w:rsidR="00782B40">
        <w:rPr>
          <w:rFonts w:eastAsia="Times New Roman"/>
        </w:rPr>
        <w:t xml:space="preserve">– </w:t>
      </w:r>
      <w:r w:rsidRPr="008C5B81">
        <w:rPr>
          <w:rFonts w:eastAsia="Times New Roman"/>
        </w:rPr>
        <w:t>poses a serious threat to democracy, at present there would appear to be no clear consensus as to what specific actions States would need to take to protect their democratic processes against such risks.</w:t>
      </w:r>
    </w:p>
    <w:p w:rsidRPr="008C5B81" w:rsidR="00A8059F" w:rsidP="001D72B2" w14:paraId="1AA5164C" w14:textId="31130F21">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160</w:t>
      </w:r>
      <w:r w:rsidRPr="008C5B81">
        <w:rPr>
          <w:rFonts w:eastAsia="Times New Roman"/>
        </w:rPr>
        <w:fldChar w:fldCharType="end"/>
      </w:r>
      <w:r w:rsidRPr="008C5B81">
        <w:rPr>
          <w:rFonts w:eastAsia="Times New Roman"/>
        </w:rPr>
        <w:t>.  In fact, the only area where there appears to be a clear consensus is in the conclusion that this is a complex global problem which cannot be addressed without the cooperation of international partners and social media companies. While warning of the dangers of disinformation and foreign election interference, international organisations have been equally vocal in warning against the risk of knee</w:t>
      </w:r>
      <w:r w:rsidRPr="008C5B81" w:rsidR="00561F45">
        <w:rPr>
          <w:rFonts w:eastAsia="Times New Roman"/>
        </w:rPr>
        <w:t>-</w:t>
      </w:r>
      <w:r w:rsidRPr="008C5B81">
        <w:rPr>
          <w:rFonts w:eastAsia="Times New Roman"/>
        </w:rPr>
        <w:t xml:space="preserve">jerk reactions to these dangers. The impact of disinformation and influence campaigns depends on a variety </w:t>
      </w:r>
      <w:r w:rsidRPr="008C5B81" w:rsidR="00575791">
        <w:rPr>
          <w:rFonts w:eastAsia="Times New Roman"/>
        </w:rPr>
        <w:t xml:space="preserve">of </w:t>
      </w:r>
      <w:r w:rsidRPr="008C5B81">
        <w:rPr>
          <w:rFonts w:eastAsia="Times New Roman"/>
        </w:rPr>
        <w:t xml:space="preserve">social, economic, cultural, technological and political dynamics that do not lend themselves to simplistic solutions (see the Council of Europe report </w:t>
      </w:r>
      <w:r w:rsidRPr="008C5B81">
        <w:rPr>
          <w:rFonts w:eastAsia="Times New Roman"/>
        </w:rPr>
        <w:t>DGI(</w:t>
      </w:r>
      <w:r w:rsidRPr="008C5B81">
        <w:rPr>
          <w:rFonts w:eastAsia="Times New Roman"/>
        </w:rPr>
        <w:t xml:space="preserve">2017)09, quoted in paragraph </w:t>
      </w:r>
      <w:r w:rsidRPr="008C5B81">
        <w:rPr>
          <w:rFonts w:eastAsia="Times New Roman"/>
        </w:rPr>
        <w:fldChar w:fldCharType="begin"/>
      </w:r>
      <w:r w:rsidRPr="008C5B81">
        <w:rPr>
          <w:rFonts w:eastAsia="Times New Roman"/>
        </w:rPr>
        <w:instrText xml:space="preserve">REF paragraph00075 \h \* CharFormat  \* MERGEFORMAT </w:instrText>
      </w:r>
      <w:r w:rsidRPr="008C5B81">
        <w:rPr>
          <w:rFonts w:eastAsia="Times New Roman"/>
        </w:rPr>
        <w:fldChar w:fldCharType="separate"/>
      </w:r>
      <w:r w:rsidRPr="008C5B81" w:rsidR="00A00646">
        <w:rPr>
          <w:rFonts w:eastAsia="Times New Roman"/>
        </w:rPr>
        <w:t>75</w:t>
      </w:r>
      <w:r w:rsidRPr="008C5B81">
        <w:rPr>
          <w:rFonts w:eastAsia="Times New Roman"/>
        </w:rPr>
        <w:fldChar w:fldCharType="end"/>
      </w:r>
      <w:r w:rsidRPr="008C5B81">
        <w:rPr>
          <w:rFonts w:eastAsia="Times New Roman"/>
        </w:rPr>
        <w:t xml:space="preserve"> above). These dynamics need to be properly understood </w:t>
      </w:r>
      <w:r w:rsidRPr="008C5B81">
        <w:rPr>
          <w:rFonts w:eastAsia="Times New Roman"/>
        </w:rPr>
        <w:t>in order for</w:t>
      </w:r>
      <w:r w:rsidRPr="008C5B81">
        <w:rPr>
          <w:rFonts w:eastAsia="Times New Roman"/>
        </w:rPr>
        <w:t xml:space="preserve"> the problem to be addressed effectively. Furthermore, there is a very fine line between addressing the dangers of disinformation and outright censorship. The UN Special Rapporteur on the promotion and protection of the right to freedom of opinion and expression </w:t>
      </w:r>
      <w:r w:rsidRPr="008C5B81">
        <w:rPr>
          <w:rFonts w:eastAsia="Times New Roman"/>
        </w:rPr>
        <w:t xml:space="preserve">has criticised responses by States made with “sub-optimal knowledge of online harm, and without adequate data, research or public consultations”, which were incompatible with international human rights law and which contributed to amplifying misperception, fear and mistrust of institutions (see paragraph </w:t>
      </w:r>
      <w:r w:rsidRPr="008C5B81">
        <w:rPr>
          <w:rFonts w:eastAsia="Times New Roman"/>
        </w:rPr>
        <w:fldChar w:fldCharType="begin"/>
      </w:r>
      <w:r w:rsidRPr="008C5B81">
        <w:rPr>
          <w:rFonts w:eastAsia="Times New Roman"/>
        </w:rPr>
        <w:instrText xml:space="preserve">REF paragraph00066 \h \* CharFormat  \* MERGEFORMAT </w:instrText>
      </w:r>
      <w:r w:rsidRPr="008C5B81">
        <w:rPr>
          <w:rFonts w:eastAsia="Times New Roman"/>
        </w:rPr>
        <w:fldChar w:fldCharType="separate"/>
      </w:r>
      <w:r w:rsidRPr="008C5B81" w:rsidR="00A00646">
        <w:rPr>
          <w:rFonts w:eastAsia="Times New Roman"/>
        </w:rPr>
        <w:t>66</w:t>
      </w:r>
      <w:r w:rsidRPr="008C5B81">
        <w:rPr>
          <w:rFonts w:eastAsia="Times New Roman"/>
        </w:rPr>
        <w:fldChar w:fldCharType="end"/>
      </w:r>
      <w:r w:rsidRPr="008C5B81">
        <w:rPr>
          <w:rFonts w:eastAsia="Times New Roman"/>
        </w:rPr>
        <w:t xml:space="preserve"> above). In addition, the Office of the UN High Commissioner for Human Rights has advised States to refrain from the general and ambiguous prohibition of the dissemination of information, which could provide the authorities with a broad remit to censor the expression of unpopular, controversial or minority opinions, as well as criticism of the </w:t>
      </w:r>
      <w:r w:rsidRPr="008C5B81" w:rsidR="00D8290F">
        <w:rPr>
          <w:rFonts w:eastAsia="Times New Roman"/>
        </w:rPr>
        <w:t>g</w:t>
      </w:r>
      <w:r w:rsidRPr="008C5B81">
        <w:rPr>
          <w:rFonts w:eastAsia="Times New Roman"/>
        </w:rPr>
        <w:t>overnment in the run</w:t>
      </w:r>
      <w:r w:rsidRPr="008C5B81" w:rsidR="003B2C71">
        <w:rPr>
          <w:rFonts w:eastAsia="Times New Roman"/>
        </w:rPr>
        <w:t>-</w:t>
      </w:r>
      <w:r w:rsidRPr="008C5B81">
        <w:rPr>
          <w:rFonts w:eastAsia="Times New Roman"/>
        </w:rPr>
        <w:t xml:space="preserve">up to an election (see paragraph </w:t>
      </w:r>
      <w:r w:rsidRPr="008C5B81">
        <w:rPr>
          <w:rFonts w:eastAsia="Times New Roman"/>
        </w:rPr>
        <w:fldChar w:fldCharType="begin"/>
      </w:r>
      <w:r w:rsidRPr="008C5B81">
        <w:rPr>
          <w:rFonts w:eastAsia="Times New Roman"/>
        </w:rPr>
        <w:instrText xml:space="preserve">REF paragraph00064 \h \* CharFormat  \* MERGEFORMAT </w:instrText>
      </w:r>
      <w:r w:rsidRPr="008C5B81">
        <w:rPr>
          <w:rFonts w:eastAsia="Times New Roman"/>
        </w:rPr>
        <w:fldChar w:fldCharType="separate"/>
      </w:r>
      <w:r w:rsidRPr="008C5B81" w:rsidR="00A00646">
        <w:rPr>
          <w:rFonts w:eastAsia="Times New Roman"/>
        </w:rPr>
        <w:t>64</w:t>
      </w:r>
      <w:r w:rsidRPr="008C5B81">
        <w:rPr>
          <w:rFonts w:eastAsia="Times New Roman"/>
        </w:rPr>
        <w:fldChar w:fldCharType="end"/>
      </w:r>
      <w:r w:rsidRPr="008C5B81">
        <w:rPr>
          <w:rFonts w:eastAsia="Times New Roman"/>
        </w:rPr>
        <w:t xml:space="preserve"> above).</w:t>
      </w:r>
    </w:p>
    <w:p w:rsidRPr="008C5B81" w:rsidR="00A8059F" w:rsidP="001D72B2" w14:paraId="4A5519CE" w14:textId="1FFDED98">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161</w:t>
      </w:r>
      <w:r w:rsidRPr="008C5B81">
        <w:rPr>
          <w:rFonts w:eastAsia="Times New Roman"/>
        </w:rPr>
        <w:fldChar w:fldCharType="end"/>
      </w:r>
      <w:r w:rsidRPr="008C5B81">
        <w:rPr>
          <w:rFonts w:eastAsia="Times New Roman"/>
        </w:rPr>
        <w:t xml:space="preserve">.  Consequently, any actions taken by States to counter the risk of foreign election interference through the dissemination of disinformation and the running of influence campaigns would have to be balanced against the right to freedom of expression under Article 10 of the Convention. In the context of Article 10, the Court has acknowledged that “it is particularly important in the period preceding an election that opinions and information of all kinds are permitted to circulate freely” (see the case-law quoted in paragraph </w:t>
      </w:r>
      <w:r w:rsidRPr="008C5B81">
        <w:rPr>
          <w:rFonts w:eastAsia="Times New Roman"/>
        </w:rPr>
        <w:fldChar w:fldCharType="begin"/>
      </w:r>
      <w:r w:rsidRPr="008C5B81">
        <w:rPr>
          <w:rFonts w:eastAsia="Times New Roman"/>
        </w:rPr>
        <w:instrText xml:space="preserve">REF paragraph00122 \h \* CharFormat  \* MERGEFORMAT </w:instrText>
      </w:r>
      <w:r w:rsidRPr="008C5B81">
        <w:rPr>
          <w:rFonts w:eastAsia="Times New Roman"/>
        </w:rPr>
        <w:fldChar w:fldCharType="separate"/>
      </w:r>
      <w:r w:rsidRPr="008C5B81" w:rsidR="00A00646">
        <w:rPr>
          <w:rFonts w:eastAsia="Times New Roman"/>
        </w:rPr>
        <w:t>122</w:t>
      </w:r>
      <w:r w:rsidRPr="008C5B81">
        <w:rPr>
          <w:rFonts w:eastAsia="Times New Roman"/>
        </w:rPr>
        <w:fldChar w:fldCharType="end"/>
      </w:r>
      <w:r w:rsidRPr="008C5B81">
        <w:rPr>
          <w:rFonts w:eastAsia="Times New Roman"/>
        </w:rPr>
        <w:t xml:space="preserve"> above). While the circulation of disinformation or misinformation could potentially interfere with the right to receive information inherent in Article 10, so could any measures taken to counter its circulation. Therefore, any such measures would need to be calibrated carefully to ensure that they do not interfere disproportionately with individuals</w:t>
      </w:r>
      <w:r w:rsidRPr="008C5B81" w:rsidR="001D72B2">
        <w:rPr>
          <w:rFonts w:eastAsia="Times New Roman"/>
        </w:rPr>
        <w:t>’</w:t>
      </w:r>
      <w:r w:rsidRPr="008C5B81">
        <w:rPr>
          <w:rFonts w:eastAsia="Times New Roman"/>
        </w:rPr>
        <w:t xml:space="preserve"> right to impart and receive information, especially in the period preceding an election, and take due account of the risk of abuse by Contracting States seeking to interfere in the outcome of their own elections. Indeed, the Court has previously held that a requirement to label organisations, media outlets and individuals as “foreign agents” violated Articles 10 and 11 of the Convention because the legislative framework and its application were arbitrary and not necessary in a democratic society; and it “contributed to shrinking democratic space by creating an environment of suspicion and mistrust towards civil society actors and independent voices, thereby undermining the very foundations of a democracy” (see </w:t>
      </w:r>
      <w:bookmarkStart w:name="_cl44391THELAW" w:id="109"/>
      <w:r w:rsidRPr="008C5B81">
        <w:rPr>
          <w:rFonts w:eastAsia="Times New Roman"/>
          <w:i/>
          <w:iCs/>
        </w:rPr>
        <w:t>Kobaliya</w:t>
      </w:r>
      <w:r w:rsidRPr="008C5B81">
        <w:rPr>
          <w:rFonts w:eastAsia="Times New Roman"/>
          <w:i/>
          <w:iCs/>
        </w:rPr>
        <w:t xml:space="preserve"> and Others v. Russia</w:t>
      </w:r>
      <w:bookmarkEnd w:id="109"/>
      <w:r w:rsidRPr="008C5B81">
        <w:rPr>
          <w:rFonts w:eastAsia="Times New Roman"/>
        </w:rPr>
        <w:t xml:space="preserve">, nos. 39446/16 and 106 others, § 98, 22 October 2024; see also </w:t>
      </w:r>
      <w:bookmarkStart w:name="_cl41744THELAW" w:id="110"/>
      <w:r w:rsidRPr="008C5B81">
        <w:rPr>
          <w:rFonts w:eastAsia="Times New Roman"/>
          <w:i/>
          <w:iCs/>
        </w:rPr>
        <w:t>Ecodefence</w:t>
      </w:r>
      <w:r w:rsidRPr="008C5B81">
        <w:rPr>
          <w:rFonts w:eastAsia="Times New Roman"/>
          <w:i/>
          <w:iCs/>
        </w:rPr>
        <w:t xml:space="preserve"> and Others v. Russia</w:t>
      </w:r>
      <w:bookmarkEnd w:id="110"/>
      <w:r w:rsidRPr="008C5B81">
        <w:rPr>
          <w:rFonts w:eastAsia="Times New Roman"/>
        </w:rPr>
        <w:t>, nos. 9988/13 and 60 others, 14 June 2022).</w:t>
      </w:r>
    </w:p>
    <w:bookmarkStart w:name="paragraph00162" w:id="111"/>
    <w:p w:rsidRPr="008C5B81" w:rsidR="00A8059F" w:rsidP="001D72B2" w14:paraId="3DCBD684" w14:textId="386C730A">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162</w:t>
      </w:r>
      <w:r w:rsidRPr="008C5B81">
        <w:rPr>
          <w:rFonts w:eastAsia="Times New Roman"/>
        </w:rPr>
        <w:fldChar w:fldCharType="end"/>
      </w:r>
      <w:bookmarkEnd w:id="111"/>
      <w:r w:rsidRPr="008C5B81">
        <w:rPr>
          <w:rFonts w:eastAsia="Times New Roman"/>
        </w:rPr>
        <w:t xml:space="preserve">.  Therefore, while States should not remain passive when faced with evidence that their democratic processes are under threat (see, </w:t>
      </w:r>
      <w:r w:rsidRPr="008C5B81">
        <w:rPr>
          <w:rFonts w:eastAsia="Times New Roman"/>
          <w:i/>
          <w:iCs/>
        </w:rPr>
        <w:t>mutatis</w:t>
      </w:r>
      <w:r w:rsidRPr="008C5B81" w:rsidR="00AE5F56">
        <w:rPr>
          <w:rFonts w:eastAsia="Times New Roman"/>
          <w:i/>
          <w:iCs/>
        </w:rPr>
        <w:t xml:space="preserve"> </w:t>
      </w:r>
      <w:r w:rsidRPr="008C5B81">
        <w:rPr>
          <w:rFonts w:eastAsia="Times New Roman"/>
          <w:i/>
          <w:iCs/>
        </w:rPr>
        <w:t>mutandis</w:t>
      </w:r>
      <w:r w:rsidRPr="008C5B81">
        <w:rPr>
          <w:rFonts w:eastAsia="Times New Roman"/>
        </w:rPr>
        <w:t xml:space="preserve">, </w:t>
      </w:r>
      <w:r w:rsidRPr="008C5B81">
        <w:rPr>
          <w:rFonts w:eastAsia="Times New Roman"/>
          <w:i/>
          <w:iCs/>
        </w:rPr>
        <w:t>Refah</w:t>
      </w:r>
      <w:r w:rsidRPr="008C5B81">
        <w:rPr>
          <w:rFonts w:eastAsia="Times New Roman"/>
          <w:i/>
          <w:iCs/>
        </w:rPr>
        <w:t xml:space="preserve"> Partisi (the Welfare Party) and Others</w:t>
      </w:r>
      <w:r w:rsidRPr="008C5B81" w:rsidR="008117AF">
        <w:rPr>
          <w:rFonts w:eastAsia="Times New Roman"/>
        </w:rPr>
        <w:t xml:space="preserve">, </w:t>
      </w:r>
      <w:r w:rsidRPr="008C5B81">
        <w:rPr>
          <w:rFonts w:eastAsia="Times New Roman"/>
        </w:rPr>
        <w:t xml:space="preserve">cited above, § 102), they must be accorded a wide margin of appreciation in the choice of means to be adopted in order to counter such threats. Indeed, in this </w:t>
      </w:r>
      <w:r w:rsidRPr="008C5B81" w:rsidR="00D8290F">
        <w:rPr>
          <w:rFonts w:eastAsia="Times New Roman"/>
        </w:rPr>
        <w:t xml:space="preserve">connection </w:t>
      </w:r>
      <w:r w:rsidRPr="008C5B81">
        <w:rPr>
          <w:rFonts w:eastAsia="Times New Roman"/>
        </w:rPr>
        <w:t xml:space="preserve">the Court has already held that they “enjoy considerable latitude to establish rules within their constitutional order governing parliamentary elections” (see </w:t>
      </w:r>
      <w:r w:rsidRPr="008C5B81">
        <w:rPr>
          <w:rFonts w:eastAsia="Times New Roman"/>
          <w:i/>
          <w:iCs/>
        </w:rPr>
        <w:t>Communist Party of Russia and Others</w:t>
      </w:r>
      <w:r w:rsidRPr="008C5B81">
        <w:rPr>
          <w:rFonts w:eastAsia="Times New Roman"/>
        </w:rPr>
        <w:t xml:space="preserve">, § 108, and </w:t>
      </w:r>
      <w:r w:rsidRPr="008C5B81">
        <w:rPr>
          <w:rFonts w:eastAsia="Times New Roman"/>
          <w:i/>
          <w:iCs/>
        </w:rPr>
        <w:t>Aziz</w:t>
      </w:r>
      <w:r w:rsidRPr="008C5B81">
        <w:rPr>
          <w:rFonts w:eastAsia="Times New Roman"/>
        </w:rPr>
        <w:t>, § 28</w:t>
      </w:r>
      <w:r w:rsidRPr="008C5B81" w:rsidR="00AE5F56">
        <w:rPr>
          <w:rFonts w:eastAsia="Times New Roman"/>
        </w:rPr>
        <w:t>, both cited above</w:t>
      </w:r>
      <w:r w:rsidRPr="008C5B81">
        <w:rPr>
          <w:rFonts w:eastAsia="Times New Roman"/>
        </w:rPr>
        <w:t>).</w:t>
      </w:r>
    </w:p>
    <w:p w:rsidRPr="008C5B81" w:rsidR="00A8059F" w:rsidP="001D72B2" w14:paraId="4FF16842" w14:textId="5CBF9796">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163</w:t>
      </w:r>
      <w:r w:rsidRPr="008C5B81">
        <w:rPr>
          <w:rFonts w:eastAsia="Times New Roman"/>
        </w:rPr>
        <w:fldChar w:fldCharType="end"/>
      </w:r>
      <w:r w:rsidRPr="008C5B81">
        <w:rPr>
          <w:rFonts w:eastAsia="Times New Roman"/>
        </w:rPr>
        <w:t>.  In the Court</w:t>
      </w:r>
      <w:r w:rsidRPr="008C5B81" w:rsidR="001D72B2">
        <w:rPr>
          <w:rFonts w:eastAsia="Times New Roman"/>
        </w:rPr>
        <w:t>’</w:t>
      </w:r>
      <w:r w:rsidRPr="008C5B81">
        <w:rPr>
          <w:rFonts w:eastAsia="Times New Roman"/>
        </w:rPr>
        <w:t>s view, the United Kingdom</w:t>
      </w:r>
      <w:r w:rsidRPr="008C5B81" w:rsidR="001D72B2">
        <w:rPr>
          <w:rFonts w:eastAsia="Times New Roman"/>
        </w:rPr>
        <w:t>’</w:t>
      </w:r>
      <w:r w:rsidRPr="008C5B81">
        <w:rPr>
          <w:rFonts w:eastAsia="Times New Roman"/>
        </w:rPr>
        <w:t>s response to the threat of Russian election interference did not fall outside the wide margin of appreciation afforded to it in this area.</w:t>
      </w:r>
    </w:p>
    <w:p w:rsidRPr="008C5B81" w:rsidR="00A8059F" w:rsidP="001D72B2" w14:paraId="7B3991CD" w14:textId="33861D1A">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164</w:t>
      </w:r>
      <w:r w:rsidRPr="008C5B81">
        <w:rPr>
          <w:rFonts w:eastAsia="Times New Roman"/>
        </w:rPr>
        <w:fldChar w:fldCharType="end"/>
      </w:r>
      <w:r w:rsidRPr="008C5B81">
        <w:rPr>
          <w:rFonts w:eastAsia="Times New Roman"/>
        </w:rPr>
        <w:t>.  There were undoubtedly shortcomings in the Government</w:t>
      </w:r>
      <w:r w:rsidRPr="008C5B81" w:rsidR="001D72B2">
        <w:rPr>
          <w:rFonts w:eastAsia="Times New Roman"/>
        </w:rPr>
        <w:t>’</w:t>
      </w:r>
      <w:r w:rsidRPr="008C5B81">
        <w:rPr>
          <w:rFonts w:eastAsia="Times New Roman"/>
        </w:rPr>
        <w:t xml:space="preserve">s initial response. In this regard, the ISC observed that “[t]he written evidence provided to us appeared to suggest that [the Government] had not seen or sought evidence of successful interference in UK democratic processes or any activity that has had a material impact on an election” (see paragraph </w:t>
      </w:r>
      <w:r w:rsidRPr="008C5B81">
        <w:rPr>
          <w:rFonts w:eastAsia="Times New Roman"/>
        </w:rPr>
        <w:fldChar w:fldCharType="begin"/>
      </w:r>
      <w:r w:rsidRPr="008C5B81">
        <w:rPr>
          <w:rFonts w:eastAsia="Times New Roman"/>
        </w:rPr>
        <w:instrText xml:space="preserve">REF paragraph00048 \h \* CharFormat  \* MERGEFORMAT </w:instrText>
      </w:r>
      <w:r w:rsidRPr="008C5B81">
        <w:rPr>
          <w:rFonts w:eastAsia="Times New Roman"/>
        </w:rPr>
        <w:fldChar w:fldCharType="separate"/>
      </w:r>
      <w:r w:rsidRPr="008C5B81" w:rsidR="00A00646">
        <w:rPr>
          <w:rFonts w:eastAsia="Times New Roman"/>
        </w:rPr>
        <w:t>48</w:t>
      </w:r>
      <w:r w:rsidRPr="008C5B81">
        <w:rPr>
          <w:rFonts w:eastAsia="Times New Roman"/>
        </w:rPr>
        <w:fldChar w:fldCharType="end"/>
      </w:r>
      <w:r w:rsidRPr="008C5B81">
        <w:rPr>
          <w:rFonts w:eastAsia="Times New Roman"/>
        </w:rPr>
        <w:t xml:space="preserve"> above). However, despite these initial shortcomings, there were in fact two</w:t>
      </w:r>
      <w:r w:rsidRPr="008C5B81" w:rsidR="005B3F16">
        <w:rPr>
          <w:rFonts w:eastAsia="Times New Roman"/>
        </w:rPr>
        <w:t> </w:t>
      </w:r>
      <w:r w:rsidRPr="008C5B81">
        <w:rPr>
          <w:rFonts w:eastAsia="Times New Roman"/>
        </w:rPr>
        <w:t>thorough and independent investigations into Russian interference in the United Kingdom</w:t>
      </w:r>
      <w:r w:rsidRPr="008C5B81" w:rsidR="001D72B2">
        <w:rPr>
          <w:rFonts w:eastAsia="Times New Roman"/>
        </w:rPr>
        <w:t>’</w:t>
      </w:r>
      <w:r w:rsidRPr="008C5B81">
        <w:rPr>
          <w:rFonts w:eastAsia="Times New Roman"/>
        </w:rPr>
        <w:t>s democratic processes.</w:t>
      </w:r>
    </w:p>
    <w:p w:rsidRPr="008C5B81" w:rsidR="00A8059F" w:rsidP="001D72B2" w14:paraId="6A9B5FE7" w14:textId="22BB0536">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165</w:t>
      </w:r>
      <w:r w:rsidRPr="008C5B81">
        <w:rPr>
          <w:rFonts w:eastAsia="Times New Roman"/>
        </w:rPr>
        <w:fldChar w:fldCharType="end"/>
      </w:r>
      <w:r w:rsidRPr="008C5B81">
        <w:rPr>
          <w:rFonts w:eastAsia="Times New Roman"/>
        </w:rPr>
        <w:t>.  The first report was by the DCMS</w:t>
      </w:r>
      <w:r w:rsidRPr="008C5B81" w:rsidR="00401E72">
        <w:rPr>
          <w:rFonts w:eastAsia="Times New Roman"/>
        </w:rPr>
        <w:t xml:space="preserve"> Committee</w:t>
      </w:r>
      <w:r w:rsidRPr="008C5B81">
        <w:rPr>
          <w:rFonts w:eastAsia="Times New Roman"/>
        </w:rPr>
        <w:t xml:space="preserve">, a cross-party committee of MPs appointed by the House of Commons. It conducted an inquiry on disinformation over the course of eighteen months covering, </w:t>
      </w:r>
      <w:r w:rsidRPr="008C5B81">
        <w:rPr>
          <w:rFonts w:eastAsia="Times New Roman"/>
          <w:i/>
          <w:iCs/>
        </w:rPr>
        <w:t>inter alia</w:t>
      </w:r>
      <w:r w:rsidRPr="008C5B81">
        <w:rPr>
          <w:rFonts w:eastAsia="Times New Roman"/>
        </w:rPr>
        <w:t>, how individuals</w:t>
      </w:r>
      <w:r w:rsidRPr="008C5B81" w:rsidR="001D72B2">
        <w:rPr>
          <w:rFonts w:eastAsia="Times New Roman"/>
        </w:rPr>
        <w:t>’</w:t>
      </w:r>
      <w:r w:rsidRPr="008C5B81">
        <w:rPr>
          <w:rFonts w:eastAsia="Times New Roman"/>
        </w:rPr>
        <w:t xml:space="preserve"> political choices might be affected and influenced by online information and interference by malign forces in political elections in the United Kingdom. Its report was published in February 2019 (see paragraphs </w:t>
      </w:r>
      <w:r w:rsidRPr="008C5B81">
        <w:rPr>
          <w:rFonts w:eastAsia="Times New Roman"/>
        </w:rPr>
        <w:fldChar w:fldCharType="begin"/>
      </w:r>
      <w:r w:rsidRPr="008C5B81">
        <w:rPr>
          <w:rFonts w:eastAsia="Times New Roman"/>
        </w:rPr>
        <w:instrText xml:space="preserve">REF paragraph00037 \h \* CharFormat  \* MERGEFORMAT </w:instrText>
      </w:r>
      <w:r w:rsidRPr="008C5B81">
        <w:rPr>
          <w:rFonts w:eastAsia="Times New Roman"/>
        </w:rPr>
        <w:fldChar w:fldCharType="separate"/>
      </w:r>
      <w:r w:rsidRPr="008C5B81" w:rsidR="00A00646">
        <w:rPr>
          <w:rFonts w:eastAsia="Times New Roman"/>
        </w:rPr>
        <w:t>37</w:t>
      </w:r>
      <w:r w:rsidRPr="008C5B81">
        <w:rPr>
          <w:rFonts w:eastAsia="Times New Roman"/>
        </w:rPr>
        <w:fldChar w:fldCharType="end"/>
      </w:r>
      <w:r w:rsidRPr="008C5B81">
        <w:rPr>
          <w:rFonts w:eastAsia="Times New Roman"/>
        </w:rPr>
        <w:t xml:space="preserve"> and </w:t>
      </w:r>
      <w:r w:rsidRPr="008C5B81">
        <w:rPr>
          <w:rFonts w:eastAsia="Times New Roman"/>
        </w:rPr>
        <w:fldChar w:fldCharType="begin"/>
      </w:r>
      <w:r w:rsidRPr="008C5B81">
        <w:rPr>
          <w:rFonts w:eastAsia="Times New Roman"/>
        </w:rPr>
        <w:instrText xml:space="preserve">REF paragraph00038 \h \* CharFormat  \* MERGEFORMAT </w:instrText>
      </w:r>
      <w:r w:rsidRPr="008C5B81">
        <w:rPr>
          <w:rFonts w:eastAsia="Times New Roman"/>
        </w:rPr>
        <w:fldChar w:fldCharType="separate"/>
      </w:r>
      <w:r w:rsidRPr="008C5B81" w:rsidR="00A00646">
        <w:rPr>
          <w:rFonts w:eastAsia="Times New Roman"/>
        </w:rPr>
        <w:t>38</w:t>
      </w:r>
      <w:r w:rsidRPr="008C5B81">
        <w:rPr>
          <w:rFonts w:eastAsia="Times New Roman"/>
        </w:rPr>
        <w:fldChar w:fldCharType="end"/>
      </w:r>
      <w:r w:rsidRPr="008C5B81">
        <w:rPr>
          <w:rFonts w:eastAsia="Times New Roman"/>
        </w:rPr>
        <w:t xml:space="preserve"> above).</w:t>
      </w:r>
    </w:p>
    <w:p w:rsidRPr="008C5B81" w:rsidR="00A8059F" w:rsidP="001D72B2" w14:paraId="65BB19A0" w14:textId="21A51E63">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166</w:t>
      </w:r>
      <w:r w:rsidRPr="008C5B81">
        <w:rPr>
          <w:rFonts w:eastAsia="Times New Roman"/>
        </w:rPr>
        <w:fldChar w:fldCharType="end"/>
      </w:r>
      <w:r w:rsidRPr="008C5B81">
        <w:rPr>
          <w:rFonts w:eastAsia="Times New Roman"/>
        </w:rPr>
        <w:t xml:space="preserve">.  The second report was by the ISC, a statutory committee with responsibility for oversight of the United Kingdom </w:t>
      </w:r>
      <w:r w:rsidRPr="008C5B81" w:rsidR="00401E72">
        <w:rPr>
          <w:rFonts w:eastAsia="Times New Roman"/>
        </w:rPr>
        <w:t>i</w:t>
      </w:r>
      <w:r w:rsidRPr="008C5B81">
        <w:rPr>
          <w:rFonts w:eastAsia="Times New Roman"/>
        </w:rPr>
        <w:t xml:space="preserve">ntelligence </w:t>
      </w:r>
      <w:r w:rsidRPr="008C5B81" w:rsidR="00401E72">
        <w:rPr>
          <w:rFonts w:eastAsia="Times New Roman"/>
        </w:rPr>
        <w:t>c</w:t>
      </w:r>
      <w:r w:rsidRPr="008C5B81">
        <w:rPr>
          <w:rFonts w:eastAsia="Times New Roman"/>
        </w:rPr>
        <w:t xml:space="preserve">ommunity. Its nine </w:t>
      </w:r>
      <w:r w:rsidRPr="008C5B81" w:rsidR="00AE5F56">
        <w:rPr>
          <w:rFonts w:eastAsia="Times New Roman"/>
        </w:rPr>
        <w:t>m</w:t>
      </w:r>
      <w:r w:rsidRPr="008C5B81">
        <w:rPr>
          <w:rFonts w:eastAsia="Times New Roman"/>
        </w:rPr>
        <w:t>embers were drawn from both Houses of Parliament, and appointed by the Houses of Parliament, having been nominated by the Prime Minister in consultation with the Leader of the Opposition.</w:t>
      </w:r>
      <w:r w:rsidRPr="008C5B81" w:rsidR="00AE5F56">
        <w:rPr>
          <w:rFonts w:eastAsia="Times New Roman"/>
        </w:rPr>
        <w:t xml:space="preserve"> </w:t>
      </w:r>
      <w:r w:rsidRPr="008C5B81">
        <w:rPr>
          <w:rFonts w:eastAsia="Times New Roman"/>
        </w:rPr>
        <w:t xml:space="preserve">Throughout 2018 the ISC conducted a major </w:t>
      </w:r>
      <w:r w:rsidRPr="008C5B81" w:rsidR="00AE5F56">
        <w:rPr>
          <w:rFonts w:eastAsia="Times New Roman"/>
        </w:rPr>
        <w:t>i</w:t>
      </w:r>
      <w:r w:rsidRPr="008C5B81">
        <w:rPr>
          <w:rFonts w:eastAsia="Times New Roman"/>
        </w:rPr>
        <w:t>nquiry</w:t>
      </w:r>
      <w:r w:rsidRPr="008C5B81" w:rsidR="00AE5F56">
        <w:rPr>
          <w:rFonts w:eastAsia="Times New Roman"/>
        </w:rPr>
        <w:t>,</w:t>
      </w:r>
      <w:r w:rsidRPr="008C5B81">
        <w:rPr>
          <w:rFonts w:eastAsia="Times New Roman"/>
        </w:rPr>
        <w:t xml:space="preserve"> covering various aspects of the Russian threat to the United Kingdom, together with an examination of how the United Kingdom Government had responded (see paragraphs </w:t>
      </w:r>
      <w:r w:rsidRPr="008C5B81">
        <w:rPr>
          <w:rFonts w:eastAsia="Times New Roman"/>
        </w:rPr>
        <w:fldChar w:fldCharType="begin"/>
      </w:r>
      <w:r w:rsidRPr="008C5B81">
        <w:rPr>
          <w:rFonts w:eastAsia="Times New Roman"/>
        </w:rPr>
        <w:instrText xml:space="preserve">REF paragraph00041 \h \* CharFormat  \* MERGEFORMAT </w:instrText>
      </w:r>
      <w:r w:rsidRPr="008C5B81">
        <w:rPr>
          <w:rFonts w:eastAsia="Times New Roman"/>
        </w:rPr>
        <w:fldChar w:fldCharType="separate"/>
      </w:r>
      <w:r w:rsidRPr="008C5B81" w:rsidR="00A00646">
        <w:rPr>
          <w:rFonts w:eastAsia="Times New Roman"/>
        </w:rPr>
        <w:t>41</w:t>
      </w:r>
      <w:r w:rsidRPr="008C5B81">
        <w:rPr>
          <w:rFonts w:eastAsia="Times New Roman"/>
        </w:rPr>
        <w:fldChar w:fldCharType="end"/>
      </w:r>
      <w:r w:rsidRPr="008C5B81">
        <w:rPr>
          <w:rFonts w:eastAsia="Times New Roman"/>
        </w:rPr>
        <w:t xml:space="preserve"> and </w:t>
      </w:r>
      <w:r w:rsidRPr="008C5B81">
        <w:rPr>
          <w:rFonts w:eastAsia="Times New Roman"/>
        </w:rPr>
        <w:fldChar w:fldCharType="begin"/>
      </w:r>
      <w:r w:rsidRPr="008C5B81">
        <w:rPr>
          <w:rFonts w:eastAsia="Times New Roman"/>
        </w:rPr>
        <w:instrText xml:space="preserve">REF paragraph00042 \h \* CharFormat  \* MERGEFORMAT </w:instrText>
      </w:r>
      <w:r w:rsidRPr="008C5B81">
        <w:rPr>
          <w:rFonts w:eastAsia="Times New Roman"/>
        </w:rPr>
        <w:fldChar w:fldCharType="separate"/>
      </w:r>
      <w:r w:rsidRPr="008C5B81" w:rsidR="00A00646">
        <w:rPr>
          <w:rFonts w:eastAsia="Times New Roman"/>
        </w:rPr>
        <w:t>42</w:t>
      </w:r>
      <w:r w:rsidRPr="008C5B81">
        <w:rPr>
          <w:rFonts w:eastAsia="Times New Roman"/>
        </w:rPr>
        <w:fldChar w:fldCharType="end"/>
      </w:r>
      <w:r w:rsidRPr="008C5B81">
        <w:rPr>
          <w:rFonts w:eastAsia="Times New Roman"/>
        </w:rPr>
        <w:t xml:space="preserve"> above). In its public response to the ISC report, the Government referred to “an ongoing criminal investigation” (see paragraph </w:t>
      </w:r>
      <w:r w:rsidRPr="008C5B81">
        <w:rPr>
          <w:rFonts w:eastAsia="Times New Roman"/>
        </w:rPr>
        <w:fldChar w:fldCharType="begin"/>
      </w:r>
      <w:r w:rsidRPr="008C5B81">
        <w:rPr>
          <w:rFonts w:eastAsia="Times New Roman"/>
        </w:rPr>
        <w:instrText xml:space="preserve">REF paragraph00054 \h \* CharFormat  \* MERGEFORMAT </w:instrText>
      </w:r>
      <w:r w:rsidRPr="008C5B81">
        <w:rPr>
          <w:rFonts w:eastAsia="Times New Roman"/>
        </w:rPr>
        <w:fldChar w:fldCharType="separate"/>
      </w:r>
      <w:r w:rsidRPr="008C5B81" w:rsidR="00A00646">
        <w:rPr>
          <w:rFonts w:eastAsia="Times New Roman"/>
        </w:rPr>
        <w:t>54</w:t>
      </w:r>
      <w:r w:rsidRPr="008C5B81">
        <w:rPr>
          <w:rFonts w:eastAsia="Times New Roman"/>
        </w:rPr>
        <w:fldChar w:fldCharType="end"/>
      </w:r>
      <w:r w:rsidRPr="008C5B81">
        <w:rPr>
          <w:rFonts w:eastAsia="Times New Roman"/>
        </w:rPr>
        <w:t xml:space="preserve"> above), although no further details have been provided about the nature, progress and/or outcome of that investigation.</w:t>
      </w:r>
    </w:p>
    <w:p w:rsidRPr="008C5B81" w:rsidR="00A8059F" w:rsidP="001D72B2" w14:paraId="55D300DD" w14:textId="43175801">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167</w:t>
      </w:r>
      <w:r w:rsidRPr="008C5B81">
        <w:rPr>
          <w:rFonts w:eastAsia="Times New Roman"/>
        </w:rPr>
        <w:fldChar w:fldCharType="end"/>
      </w:r>
      <w:r w:rsidRPr="008C5B81">
        <w:rPr>
          <w:rFonts w:eastAsia="Times New Roman"/>
        </w:rPr>
        <w:t>.  In their application to the Court</w:t>
      </w:r>
      <w:r w:rsidRPr="008C5B81" w:rsidR="005B3F16">
        <w:rPr>
          <w:rFonts w:eastAsia="Times New Roman"/>
        </w:rPr>
        <w:t>,</w:t>
      </w:r>
      <w:r w:rsidRPr="008C5B81">
        <w:rPr>
          <w:rFonts w:eastAsia="Times New Roman"/>
        </w:rPr>
        <w:t xml:space="preserve"> the applicants have not specified what further measures the respondent </w:t>
      </w:r>
      <w:r w:rsidRPr="008C5B81" w:rsidR="00757E56">
        <w:rPr>
          <w:rFonts w:eastAsia="Times New Roman"/>
        </w:rPr>
        <w:t xml:space="preserve">State </w:t>
      </w:r>
      <w:r w:rsidRPr="008C5B81">
        <w:rPr>
          <w:rFonts w:eastAsia="Times New Roman"/>
        </w:rPr>
        <w:t xml:space="preserve">ought to have taken to investigate allegations of Russian interference in its democratic processes. Before the domestic courts they called for a public inquiry (see paragraph </w:t>
      </w:r>
      <w:r w:rsidRPr="008C5B81">
        <w:rPr>
          <w:rFonts w:eastAsia="Times New Roman"/>
        </w:rPr>
        <w:fldChar w:fldCharType="begin"/>
      </w:r>
      <w:r w:rsidRPr="008C5B81">
        <w:rPr>
          <w:rFonts w:eastAsia="Times New Roman"/>
        </w:rPr>
        <w:instrText xml:space="preserve">REF paragraph00008 \h \* CharFormat  \* MERGEFORMAT </w:instrText>
      </w:r>
      <w:r w:rsidRPr="008C5B81">
        <w:rPr>
          <w:rFonts w:eastAsia="Times New Roman"/>
        </w:rPr>
        <w:fldChar w:fldCharType="separate"/>
      </w:r>
      <w:r w:rsidRPr="008C5B81" w:rsidR="00A00646">
        <w:rPr>
          <w:rFonts w:eastAsia="Times New Roman"/>
        </w:rPr>
        <w:t>8</w:t>
      </w:r>
      <w:r w:rsidRPr="008C5B81">
        <w:rPr>
          <w:rFonts w:eastAsia="Times New Roman"/>
        </w:rPr>
        <w:fldChar w:fldCharType="end"/>
      </w:r>
      <w:r w:rsidRPr="008C5B81">
        <w:rPr>
          <w:rFonts w:eastAsia="Times New Roman"/>
        </w:rPr>
        <w:t xml:space="preserve"> above). However, as the High Court noted, a public inquiry did not have investigatory powers of the type that the police and </w:t>
      </w:r>
      <w:r w:rsidRPr="008C5B81" w:rsidR="0010626D">
        <w:rPr>
          <w:rFonts w:eastAsia="Times New Roman"/>
        </w:rPr>
        <w:t>i</w:t>
      </w:r>
      <w:r w:rsidRPr="008C5B81">
        <w:rPr>
          <w:rFonts w:eastAsia="Times New Roman"/>
        </w:rPr>
        <w:t xml:space="preserve">ntelligence </w:t>
      </w:r>
      <w:r w:rsidRPr="008C5B81" w:rsidR="0010626D">
        <w:rPr>
          <w:rFonts w:eastAsia="Times New Roman"/>
        </w:rPr>
        <w:t>a</w:t>
      </w:r>
      <w:r w:rsidRPr="008C5B81">
        <w:rPr>
          <w:rFonts w:eastAsia="Times New Roman"/>
        </w:rPr>
        <w:t xml:space="preserve">gencies had and, </w:t>
      </w:r>
      <w:r w:rsidRPr="008C5B81">
        <w:rPr>
          <w:rFonts w:eastAsia="Times New Roman"/>
        </w:rPr>
        <w:t>as a consequence</w:t>
      </w:r>
      <w:r w:rsidRPr="008C5B81">
        <w:rPr>
          <w:rFonts w:eastAsia="Times New Roman"/>
        </w:rPr>
        <w:t>, could not fill any investigatory gap</w:t>
      </w:r>
      <w:r w:rsidRPr="008C5B81" w:rsidR="008338D2">
        <w:rPr>
          <w:rFonts w:eastAsia="Times New Roman"/>
        </w:rPr>
        <w:t xml:space="preserve"> that migh</w:t>
      </w:r>
      <w:r w:rsidRPr="008C5B81">
        <w:rPr>
          <w:rFonts w:eastAsia="Times New Roman"/>
        </w:rPr>
        <w:t xml:space="preserve">t </w:t>
      </w:r>
      <w:r w:rsidRPr="008C5B81" w:rsidR="008338D2">
        <w:rPr>
          <w:rFonts w:eastAsia="Times New Roman"/>
        </w:rPr>
        <w:t xml:space="preserve">have </w:t>
      </w:r>
      <w:r w:rsidRPr="008C5B81">
        <w:rPr>
          <w:rFonts w:eastAsia="Times New Roman"/>
        </w:rPr>
        <w:t xml:space="preserve">existed (see paragraph </w:t>
      </w:r>
      <w:r w:rsidRPr="008C5B81">
        <w:rPr>
          <w:rFonts w:eastAsia="Times New Roman"/>
        </w:rPr>
        <w:fldChar w:fldCharType="begin"/>
      </w:r>
      <w:r w:rsidRPr="008C5B81">
        <w:rPr>
          <w:rFonts w:eastAsia="Times New Roman"/>
        </w:rPr>
        <w:instrText xml:space="preserve">REF paragraph00012 \h \* CharFormat  \* MERGEFORMAT </w:instrText>
      </w:r>
      <w:r w:rsidRPr="008C5B81">
        <w:rPr>
          <w:rFonts w:eastAsia="Times New Roman"/>
        </w:rPr>
        <w:fldChar w:fldCharType="separate"/>
      </w:r>
      <w:r w:rsidRPr="008C5B81" w:rsidR="00A00646">
        <w:rPr>
          <w:rFonts w:eastAsia="Times New Roman"/>
        </w:rPr>
        <w:t>12</w:t>
      </w:r>
      <w:r w:rsidRPr="008C5B81">
        <w:rPr>
          <w:rFonts w:eastAsia="Times New Roman"/>
        </w:rPr>
        <w:fldChar w:fldCharType="end"/>
      </w:r>
      <w:r w:rsidRPr="008C5B81">
        <w:rPr>
          <w:rFonts w:eastAsia="Times New Roman"/>
        </w:rPr>
        <w:t xml:space="preserve"> above).</w:t>
      </w:r>
    </w:p>
    <w:p w:rsidRPr="008C5B81" w:rsidR="00A8059F" w:rsidP="001D72B2" w14:paraId="1AD51426" w14:textId="483A19E9">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168</w:t>
      </w:r>
      <w:r w:rsidRPr="008C5B81">
        <w:rPr>
          <w:rFonts w:eastAsia="Times New Roman"/>
        </w:rPr>
        <w:fldChar w:fldCharType="end"/>
      </w:r>
      <w:r w:rsidRPr="008C5B81">
        <w:rPr>
          <w:rFonts w:eastAsia="Times New Roman"/>
        </w:rPr>
        <w:t xml:space="preserve">.  In any event, following the publication of the ISC report, the Government went on to introduce three new Acts of Parliament: </w:t>
      </w:r>
      <w:r w:rsidRPr="008C5B81">
        <w:rPr>
          <w:rFonts w:eastAsia="Times New Roman"/>
        </w:rPr>
        <w:t>the</w:t>
      </w:r>
      <w:r w:rsidRPr="008C5B81">
        <w:rPr>
          <w:rFonts w:eastAsia="Times New Roman"/>
        </w:rPr>
        <w:t xml:space="preserve"> Elections Act 2022, the National Security Act 2023 (“the</w:t>
      </w:r>
      <w:r w:rsidRPr="008C5B81" w:rsidR="00AE5F56">
        <w:rPr>
          <w:rFonts w:eastAsia="Times New Roman"/>
        </w:rPr>
        <w:t xml:space="preserve"> </w:t>
      </w:r>
      <w:r w:rsidRPr="008C5B81">
        <w:rPr>
          <w:rFonts w:eastAsia="Times New Roman"/>
        </w:rPr>
        <w:t>NSA 2023”) and the Online Safety Act 2023.</w:t>
      </w:r>
    </w:p>
    <w:p w:rsidRPr="008C5B81" w:rsidR="00A8059F" w:rsidP="001D72B2" w14:paraId="7B72C4ED" w14:textId="3833E34B">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169</w:t>
      </w:r>
      <w:r w:rsidRPr="008C5B81">
        <w:rPr>
          <w:rFonts w:eastAsia="Times New Roman"/>
        </w:rPr>
        <w:fldChar w:fldCharType="end"/>
      </w:r>
      <w:r w:rsidRPr="008C5B81">
        <w:rPr>
          <w:rFonts w:eastAsia="Times New Roman"/>
        </w:rPr>
        <w:t xml:space="preserve">.  The </w:t>
      </w:r>
      <w:r w:rsidRPr="008C5B81" w:rsidR="004E6C0D">
        <w:rPr>
          <w:rFonts w:eastAsia="Times New Roman"/>
        </w:rPr>
        <w:t xml:space="preserve">Elections Act </w:t>
      </w:r>
      <w:r w:rsidRPr="008C5B81">
        <w:rPr>
          <w:rFonts w:eastAsia="Times New Roman"/>
        </w:rPr>
        <w:t>2022 restricted third-party election spending to United Kingdom-based entities and eligible overseas electors only, and Part</w:t>
      </w:r>
      <w:r w:rsidR="00B45595">
        <w:rPr>
          <w:rFonts w:eastAsia="Times New Roman"/>
        </w:rPr>
        <w:t> </w:t>
      </w:r>
      <w:r w:rsidRPr="008C5B81">
        <w:rPr>
          <w:rFonts w:eastAsia="Times New Roman"/>
        </w:rPr>
        <w:t xml:space="preserve">6 </w:t>
      </w:r>
      <w:r w:rsidRPr="008C5B81">
        <w:rPr>
          <w:rFonts w:eastAsia="Times New Roman"/>
        </w:rPr>
        <w:t xml:space="preserve">introduced a new requirement for digital campaigning material to display a digital imprint, with the name and address of the promoter of the material or any person on behalf of whom the material was being published (and who was not the promoter – see paragraphs </w:t>
      </w:r>
      <w:r w:rsidRPr="008C5B81">
        <w:rPr>
          <w:rFonts w:eastAsia="Times New Roman"/>
        </w:rPr>
        <w:fldChar w:fldCharType="begin"/>
      </w:r>
      <w:r w:rsidRPr="008C5B81">
        <w:rPr>
          <w:rFonts w:eastAsia="Times New Roman"/>
        </w:rPr>
        <w:instrText xml:space="preserve">REF paragraph00023 \h \* CharFormat  \* MERGEFORMAT </w:instrText>
      </w:r>
      <w:r w:rsidRPr="008C5B81">
        <w:rPr>
          <w:rFonts w:eastAsia="Times New Roman"/>
        </w:rPr>
        <w:fldChar w:fldCharType="separate"/>
      </w:r>
      <w:r w:rsidRPr="008C5B81" w:rsidR="00A00646">
        <w:rPr>
          <w:rFonts w:eastAsia="Times New Roman"/>
        </w:rPr>
        <w:t>23</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paragraph00024 \h \* CharFormat  \* MERGEFORMAT </w:instrText>
      </w:r>
      <w:r w:rsidRPr="008C5B81">
        <w:rPr>
          <w:rFonts w:eastAsia="Times New Roman"/>
        </w:rPr>
        <w:fldChar w:fldCharType="separate"/>
      </w:r>
      <w:r w:rsidRPr="008C5B81" w:rsidR="00A00646">
        <w:rPr>
          <w:rFonts w:eastAsia="Times New Roman"/>
        </w:rPr>
        <w:t>24</w:t>
      </w:r>
      <w:r w:rsidRPr="008C5B81">
        <w:rPr>
          <w:rFonts w:eastAsia="Times New Roman"/>
        </w:rPr>
        <w:fldChar w:fldCharType="end"/>
      </w:r>
      <w:r w:rsidRPr="008C5B81">
        <w:rPr>
          <w:rFonts w:eastAsia="Times New Roman"/>
        </w:rPr>
        <w:t xml:space="preserve"> above). The NSA 2023 explicitly criminalised assisting a foreign intelligence service in carrying out activities in the United Kingdom where such conduct was prejudicial to the United Kingdom</w:t>
      </w:r>
      <w:r w:rsidRPr="008C5B81" w:rsidR="001D72B2">
        <w:rPr>
          <w:rFonts w:eastAsia="Times New Roman"/>
        </w:rPr>
        <w:t>’</w:t>
      </w:r>
      <w:r w:rsidRPr="008C5B81">
        <w:rPr>
          <w:rFonts w:eastAsia="Times New Roman"/>
        </w:rPr>
        <w:t>s safety and interests; established a new offence of sabotage designed to capture State-linked saboteurs who acted in a way that was prejudicial to the United Kingdom</w:t>
      </w:r>
      <w:r w:rsidRPr="008C5B81" w:rsidR="001D72B2">
        <w:rPr>
          <w:rFonts w:eastAsia="Times New Roman"/>
        </w:rPr>
        <w:t>’</w:t>
      </w:r>
      <w:r w:rsidRPr="008C5B81">
        <w:rPr>
          <w:rFonts w:eastAsia="Times New Roman"/>
        </w:rPr>
        <w:t xml:space="preserve">s safety; established a new offence of foreign interference; increased the maximum custodial penalties for certain election-related offences that were carried out for or on behalf of, or with the intention to benefit, a foreign power; and introduced a Foreign Influence Registration Scheme (see paragraphs </w:t>
      </w:r>
      <w:r w:rsidRPr="008C5B81">
        <w:rPr>
          <w:rFonts w:eastAsia="Times New Roman"/>
        </w:rPr>
        <w:fldChar w:fldCharType="begin"/>
      </w:r>
      <w:r w:rsidRPr="008C5B81">
        <w:rPr>
          <w:rFonts w:eastAsia="Times New Roman"/>
        </w:rPr>
        <w:instrText xml:space="preserve">REF paragraph00026 \h \* CharFormat  \* MERGEFORMAT </w:instrText>
      </w:r>
      <w:r w:rsidRPr="008C5B81">
        <w:rPr>
          <w:rFonts w:eastAsia="Times New Roman"/>
        </w:rPr>
        <w:fldChar w:fldCharType="separate"/>
      </w:r>
      <w:r w:rsidRPr="008C5B81" w:rsidR="00A00646">
        <w:rPr>
          <w:rFonts w:eastAsia="Times New Roman"/>
        </w:rPr>
        <w:t>26</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paragraph00027 \h \* CharFormat  \* MERGEFORMAT </w:instrText>
      </w:r>
      <w:r w:rsidRPr="008C5B81">
        <w:rPr>
          <w:rFonts w:eastAsia="Times New Roman"/>
        </w:rPr>
        <w:fldChar w:fldCharType="separate"/>
      </w:r>
      <w:r w:rsidRPr="008C5B81" w:rsidR="00A00646">
        <w:rPr>
          <w:rFonts w:eastAsia="Times New Roman"/>
        </w:rPr>
        <w:t>27</w:t>
      </w:r>
      <w:r w:rsidRPr="008C5B81">
        <w:rPr>
          <w:rFonts w:eastAsia="Times New Roman"/>
        </w:rPr>
        <w:fldChar w:fldCharType="end"/>
      </w:r>
      <w:r w:rsidRPr="008C5B81">
        <w:rPr>
          <w:rFonts w:eastAsia="Times New Roman"/>
        </w:rPr>
        <w:t xml:space="preserve"> above). The O</w:t>
      </w:r>
      <w:r w:rsidRPr="008C5B81" w:rsidR="00E54C70">
        <w:rPr>
          <w:rFonts w:eastAsia="Times New Roman"/>
        </w:rPr>
        <w:t xml:space="preserve">nline </w:t>
      </w:r>
      <w:r w:rsidRPr="008C5B81">
        <w:rPr>
          <w:rFonts w:eastAsia="Times New Roman"/>
        </w:rPr>
        <w:t>S</w:t>
      </w:r>
      <w:r w:rsidRPr="008C5B81" w:rsidR="00E54C70">
        <w:rPr>
          <w:rFonts w:eastAsia="Times New Roman"/>
        </w:rPr>
        <w:t xml:space="preserve">afety </w:t>
      </w:r>
      <w:r w:rsidRPr="008C5B81">
        <w:rPr>
          <w:rFonts w:eastAsia="Times New Roman"/>
        </w:rPr>
        <w:t>A</w:t>
      </w:r>
      <w:r w:rsidRPr="008C5B81" w:rsidR="00E54C70">
        <w:rPr>
          <w:rFonts w:eastAsia="Times New Roman"/>
        </w:rPr>
        <w:t>ct</w:t>
      </w:r>
      <w:r w:rsidRPr="008C5B81">
        <w:rPr>
          <w:rFonts w:eastAsia="Times New Roman"/>
        </w:rPr>
        <w:t xml:space="preserve"> 2023 established a new regulatory regime holding tech companies accountable to an independent regulator and addressed misinformation and disinformation where it constituted illegal content or content harmful to children (see paragraph </w:t>
      </w:r>
      <w:r w:rsidRPr="008C5B81">
        <w:rPr>
          <w:rFonts w:eastAsia="Times New Roman"/>
        </w:rPr>
        <w:fldChar w:fldCharType="begin"/>
      </w:r>
      <w:r w:rsidRPr="008C5B81">
        <w:rPr>
          <w:rFonts w:eastAsia="Times New Roman"/>
        </w:rPr>
        <w:instrText xml:space="preserve">REF paragraph00028 \h \* CharFormat  \* MERGEFORMAT </w:instrText>
      </w:r>
      <w:r w:rsidRPr="008C5B81">
        <w:rPr>
          <w:rFonts w:eastAsia="Times New Roman"/>
        </w:rPr>
        <w:fldChar w:fldCharType="separate"/>
      </w:r>
      <w:r w:rsidRPr="008C5B81" w:rsidR="00A00646">
        <w:rPr>
          <w:rFonts w:eastAsia="Times New Roman"/>
        </w:rPr>
        <w:t>28</w:t>
      </w:r>
      <w:r w:rsidRPr="008C5B81">
        <w:rPr>
          <w:rFonts w:eastAsia="Times New Roman"/>
        </w:rPr>
        <w:fldChar w:fldCharType="end"/>
      </w:r>
      <w:r w:rsidRPr="008C5B81">
        <w:rPr>
          <w:rFonts w:eastAsia="Times New Roman"/>
        </w:rPr>
        <w:t xml:space="preserve"> above).</w:t>
      </w:r>
    </w:p>
    <w:p w:rsidRPr="008C5B81" w:rsidR="00A8059F" w:rsidP="001D72B2" w14:paraId="7CF9B11A" w14:textId="1F04DA94">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170</w:t>
      </w:r>
      <w:r w:rsidRPr="008C5B81">
        <w:rPr>
          <w:rFonts w:eastAsia="Times New Roman"/>
        </w:rPr>
        <w:fldChar w:fldCharType="end"/>
      </w:r>
      <w:r w:rsidRPr="008C5B81">
        <w:rPr>
          <w:rFonts w:eastAsia="Times New Roman"/>
        </w:rPr>
        <w:t xml:space="preserve">.  In addition to these legislative measures, the Government also created a Counter Disinformation Unit and the Defending Democracy Taskforce. The </w:t>
      </w:r>
      <w:r w:rsidRPr="008C5B81" w:rsidR="00EE54AD">
        <w:rPr>
          <w:rFonts w:eastAsia="Times New Roman"/>
        </w:rPr>
        <w:t xml:space="preserve">Counter Disinformation Unit </w:t>
      </w:r>
      <w:r w:rsidRPr="008C5B81">
        <w:rPr>
          <w:rFonts w:eastAsia="Times New Roman"/>
        </w:rPr>
        <w:t xml:space="preserve">(now known as the National Security Online Information Team) was set up in 2019 and leads the domestic operational and policy response for countering disinformation across </w:t>
      </w:r>
      <w:r w:rsidRPr="008C5B81" w:rsidR="00AE5F56">
        <w:rPr>
          <w:rFonts w:eastAsia="Times New Roman"/>
        </w:rPr>
        <w:t>g</w:t>
      </w:r>
      <w:r w:rsidRPr="008C5B81">
        <w:rPr>
          <w:rFonts w:eastAsia="Times New Roman"/>
        </w:rPr>
        <w:t xml:space="preserve">overnment. It also proactively monitors for harmful narratives that threaten the United Kingdom, and coordinates with </w:t>
      </w:r>
      <w:r w:rsidRPr="008C5B81" w:rsidR="00AE5F56">
        <w:rPr>
          <w:rFonts w:eastAsia="Times New Roman"/>
        </w:rPr>
        <w:t>g</w:t>
      </w:r>
      <w:r w:rsidRPr="008C5B81">
        <w:rPr>
          <w:rFonts w:eastAsia="Times New Roman"/>
        </w:rPr>
        <w:t>overnment departments to deploy the appropriate response to mis/disinformation (see paragraphs</w:t>
      </w:r>
      <w:r w:rsidRPr="008C5B81" w:rsidR="007C0A80">
        <w:rPr>
          <w:rFonts w:eastAsia="Times New Roman"/>
        </w:rPr>
        <w:t> </w:t>
      </w:r>
      <w:r w:rsidRPr="008C5B81">
        <w:rPr>
          <w:rFonts w:eastAsia="Times New Roman"/>
        </w:rPr>
        <w:fldChar w:fldCharType="begin"/>
      </w:r>
      <w:r w:rsidRPr="008C5B81">
        <w:rPr>
          <w:rFonts w:eastAsia="Times New Roman"/>
        </w:rPr>
        <w:instrText xml:space="preserve">REF paragraph00032 \h \* CharFormat  \* MERGEFORMAT </w:instrText>
      </w:r>
      <w:r w:rsidRPr="008C5B81">
        <w:rPr>
          <w:rFonts w:eastAsia="Times New Roman"/>
        </w:rPr>
        <w:fldChar w:fldCharType="separate"/>
      </w:r>
      <w:r w:rsidRPr="008C5B81" w:rsidR="00A00646">
        <w:rPr>
          <w:rFonts w:eastAsia="Times New Roman"/>
        </w:rPr>
        <w:t>32</w:t>
      </w:r>
      <w:r w:rsidRPr="008C5B81">
        <w:rPr>
          <w:rFonts w:eastAsia="Times New Roman"/>
        </w:rPr>
        <w:fldChar w:fldCharType="end"/>
      </w:r>
      <w:r w:rsidRPr="008C5B81" w:rsidR="007C0A80">
        <w:rPr>
          <w:rFonts w:eastAsia="Times New Roman"/>
        </w:rPr>
        <w:noBreakHyphen/>
      </w:r>
      <w:r w:rsidRPr="008C5B81">
        <w:rPr>
          <w:rFonts w:eastAsia="Times New Roman"/>
        </w:rPr>
        <w:fldChar w:fldCharType="begin"/>
      </w:r>
      <w:r w:rsidRPr="008C5B81">
        <w:rPr>
          <w:rFonts w:eastAsia="Times New Roman"/>
        </w:rPr>
        <w:instrText xml:space="preserve">REF paragraph00033 \h \* CharFormat  \* MERGEFORMAT </w:instrText>
      </w:r>
      <w:r w:rsidRPr="008C5B81">
        <w:rPr>
          <w:rFonts w:eastAsia="Times New Roman"/>
        </w:rPr>
        <w:fldChar w:fldCharType="separate"/>
      </w:r>
      <w:r w:rsidRPr="008C5B81" w:rsidR="00A00646">
        <w:rPr>
          <w:rFonts w:eastAsia="Times New Roman"/>
        </w:rPr>
        <w:t>33</w:t>
      </w:r>
      <w:r w:rsidRPr="008C5B81">
        <w:rPr>
          <w:rFonts w:eastAsia="Times New Roman"/>
        </w:rPr>
        <w:fldChar w:fldCharType="end"/>
      </w:r>
      <w:r w:rsidRPr="008C5B81">
        <w:rPr>
          <w:rFonts w:eastAsia="Times New Roman"/>
        </w:rPr>
        <w:t xml:space="preserve"> above). The Defending Democracy Taskforce was launched in 2022 and has the aim of protecting “the democratic integrity of the UK” with “particular focus on foreign interference”. It works with local councils, police forces and global tech companies to ensure that electoral processes and infrastructure are secure and resilient</w:t>
      </w:r>
      <w:r w:rsidRPr="008C5B81" w:rsidR="00A97DCA">
        <w:rPr>
          <w:rFonts w:eastAsia="Times New Roman"/>
        </w:rPr>
        <w:t>;</w:t>
      </w:r>
      <w:r w:rsidRPr="008C5B81">
        <w:rPr>
          <w:rFonts w:eastAsia="Times New Roman"/>
        </w:rPr>
        <w:t xml:space="preserve"> </w:t>
      </w:r>
      <w:r w:rsidRPr="008C5B81" w:rsidR="00A97DCA">
        <w:rPr>
          <w:rFonts w:eastAsia="Times New Roman"/>
        </w:rPr>
        <w:t xml:space="preserve">to </w:t>
      </w:r>
      <w:r w:rsidRPr="008C5B81">
        <w:rPr>
          <w:rFonts w:eastAsia="Times New Roman"/>
        </w:rPr>
        <w:t>ensure elected officials are protected “at all levels” from physical, cyber and additional threats</w:t>
      </w:r>
      <w:r w:rsidRPr="008C5B81" w:rsidR="00A97DCA">
        <w:rPr>
          <w:rFonts w:eastAsia="Times New Roman"/>
        </w:rPr>
        <w:t>;</w:t>
      </w:r>
      <w:r w:rsidRPr="008C5B81">
        <w:rPr>
          <w:rFonts w:eastAsia="Times New Roman"/>
        </w:rPr>
        <w:t xml:space="preserve"> and</w:t>
      </w:r>
      <w:r w:rsidRPr="008C5B81" w:rsidR="00A97DCA">
        <w:rPr>
          <w:rFonts w:eastAsia="Times New Roman"/>
        </w:rPr>
        <w:t xml:space="preserve"> to</w:t>
      </w:r>
      <w:r w:rsidRPr="008C5B81">
        <w:rPr>
          <w:rFonts w:eastAsia="Times New Roman"/>
        </w:rPr>
        <w:t xml:space="preserve"> counter disinformation efforts aimed at “disrupting our national conversation and skewing our democratic processes” (see paragraphs</w:t>
      </w:r>
      <w:r w:rsidRPr="008C5B81" w:rsidR="007C0A80">
        <w:rPr>
          <w:rFonts w:eastAsia="Times New Roman"/>
        </w:rPr>
        <w:t> </w:t>
      </w:r>
      <w:r w:rsidRPr="008C5B81">
        <w:rPr>
          <w:rFonts w:eastAsia="Times New Roman"/>
        </w:rPr>
        <w:fldChar w:fldCharType="begin"/>
      </w:r>
      <w:r w:rsidRPr="008C5B81">
        <w:rPr>
          <w:rFonts w:eastAsia="Times New Roman"/>
        </w:rPr>
        <w:instrText xml:space="preserve">REF paragraph00034 \h \* CharFormat  \* MERGEFORMAT </w:instrText>
      </w:r>
      <w:r w:rsidRPr="008C5B81">
        <w:rPr>
          <w:rFonts w:eastAsia="Times New Roman"/>
        </w:rPr>
        <w:fldChar w:fldCharType="separate"/>
      </w:r>
      <w:r w:rsidRPr="008C5B81" w:rsidR="00A00646">
        <w:rPr>
          <w:rFonts w:eastAsia="Times New Roman"/>
        </w:rPr>
        <w:t>34</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REF paragraph00036 \h \* CharFormat  \* MERGEFORMAT </w:instrText>
      </w:r>
      <w:r w:rsidRPr="008C5B81">
        <w:rPr>
          <w:rFonts w:eastAsia="Times New Roman"/>
        </w:rPr>
        <w:fldChar w:fldCharType="separate"/>
      </w:r>
      <w:r w:rsidRPr="008C5B81" w:rsidR="00A00646">
        <w:rPr>
          <w:rFonts w:eastAsia="Times New Roman"/>
        </w:rPr>
        <w:t>36</w:t>
      </w:r>
      <w:r w:rsidRPr="008C5B81">
        <w:rPr>
          <w:rFonts w:eastAsia="Times New Roman"/>
        </w:rPr>
        <w:fldChar w:fldCharType="end"/>
      </w:r>
      <w:r w:rsidRPr="008C5B81">
        <w:rPr>
          <w:rFonts w:eastAsia="Times New Roman"/>
        </w:rPr>
        <w:t xml:space="preserve"> above).</w:t>
      </w:r>
    </w:p>
    <w:p w:rsidRPr="008C5B81" w:rsidR="00A8059F" w:rsidP="001D72B2" w14:paraId="120C4023" w14:textId="35CCCC6B">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171</w:t>
      </w:r>
      <w:r w:rsidRPr="008C5B81">
        <w:rPr>
          <w:rFonts w:eastAsia="Times New Roman"/>
        </w:rPr>
        <w:fldChar w:fldCharType="end"/>
      </w:r>
      <w:r w:rsidRPr="008C5B81">
        <w:rPr>
          <w:rFonts w:eastAsia="Times New Roman"/>
        </w:rPr>
        <w:t xml:space="preserve">.  Furthermore, the need for further measures to counter threats by hostile State actors would appear to be being kept under review, for example by the Independent Reviewer of Terrorism Legislation (see paragraphs </w:t>
      </w:r>
      <w:r w:rsidRPr="008C5B81">
        <w:rPr>
          <w:rFonts w:eastAsia="Times New Roman"/>
        </w:rPr>
        <w:fldChar w:fldCharType="begin"/>
      </w:r>
      <w:r w:rsidRPr="008C5B81">
        <w:rPr>
          <w:rFonts w:eastAsia="Times New Roman"/>
        </w:rPr>
        <w:instrText xml:space="preserve">REF paragraph00058 \h \* CharFormat  \* MERGEFORMAT </w:instrText>
      </w:r>
      <w:r w:rsidRPr="008C5B81">
        <w:rPr>
          <w:rFonts w:eastAsia="Times New Roman"/>
        </w:rPr>
        <w:fldChar w:fldCharType="separate"/>
      </w:r>
      <w:r w:rsidRPr="008C5B81" w:rsidR="00A00646">
        <w:rPr>
          <w:rFonts w:eastAsia="Times New Roman"/>
        </w:rPr>
        <w:t>58</w:t>
      </w:r>
      <w:r w:rsidRPr="008C5B81">
        <w:rPr>
          <w:rFonts w:eastAsia="Times New Roman"/>
        </w:rPr>
        <w:fldChar w:fldCharType="end"/>
      </w:r>
      <w:r w:rsidRPr="008C5B81">
        <w:rPr>
          <w:rFonts w:eastAsia="Times New Roman"/>
        </w:rPr>
        <w:t>-</w:t>
      </w:r>
      <w:r w:rsidRPr="008C5B81">
        <w:rPr>
          <w:rFonts w:eastAsia="Times New Roman"/>
        </w:rPr>
        <w:fldChar w:fldCharType="begin"/>
      </w:r>
      <w:r w:rsidRPr="008C5B81">
        <w:rPr>
          <w:rFonts w:eastAsia="Times New Roman"/>
        </w:rPr>
        <w:instrText xml:space="preserve"> REF paragraph00061 \h  \* CharFormat  \* MERGEFORMAT </w:instrText>
      </w:r>
      <w:r w:rsidRPr="008C5B81">
        <w:rPr>
          <w:rFonts w:eastAsia="Times New Roman"/>
        </w:rPr>
        <w:fldChar w:fldCharType="separate"/>
      </w:r>
      <w:r w:rsidRPr="008C5B81" w:rsidR="00A00646">
        <w:rPr>
          <w:rFonts w:eastAsia="Times New Roman"/>
        </w:rPr>
        <w:t>61</w:t>
      </w:r>
      <w:r w:rsidRPr="008C5B81">
        <w:rPr>
          <w:rFonts w:eastAsia="Times New Roman"/>
        </w:rPr>
        <w:fldChar w:fldCharType="end"/>
      </w:r>
      <w:r w:rsidRPr="008C5B81">
        <w:rPr>
          <w:rFonts w:eastAsia="Times New Roman"/>
        </w:rPr>
        <w:t xml:space="preserve"> above).</w:t>
      </w:r>
    </w:p>
    <w:bookmarkStart w:name="paragraph00172" w:id="112"/>
    <w:p w:rsidRPr="008C5B81" w:rsidR="00A8059F" w:rsidP="001D72B2" w14:paraId="7B0544C5" w14:textId="18421FFB">
      <w:pPr>
        <w:pStyle w:val="JuPara"/>
        <w:rPr>
          <w:rFonts w:eastAsia="Times New Roman"/>
        </w:rPr>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172</w:t>
      </w:r>
      <w:r w:rsidRPr="008C5B81">
        <w:rPr>
          <w:rFonts w:eastAsia="Times New Roman"/>
        </w:rPr>
        <w:fldChar w:fldCharType="end"/>
      </w:r>
      <w:bookmarkEnd w:id="112"/>
      <w:r w:rsidRPr="008C5B81">
        <w:rPr>
          <w:rFonts w:eastAsia="Times New Roman"/>
        </w:rPr>
        <w:t xml:space="preserve">.  While the applicants have criticised these measures as “too little, too late” (see paragraph </w:t>
      </w:r>
      <w:r w:rsidRPr="008C5B81">
        <w:rPr>
          <w:rFonts w:eastAsia="Times New Roman"/>
        </w:rPr>
        <w:fldChar w:fldCharType="begin"/>
      </w:r>
      <w:r w:rsidRPr="008C5B81">
        <w:rPr>
          <w:rFonts w:eastAsia="Times New Roman"/>
        </w:rPr>
        <w:instrText xml:space="preserve">REF paragraph00151 \h \* CharFormat  \* MERGEFORMAT </w:instrText>
      </w:r>
      <w:r w:rsidRPr="008C5B81">
        <w:rPr>
          <w:rFonts w:eastAsia="Times New Roman"/>
        </w:rPr>
        <w:fldChar w:fldCharType="separate"/>
      </w:r>
      <w:r w:rsidRPr="008C5B81" w:rsidR="00A00646">
        <w:rPr>
          <w:rFonts w:eastAsia="Times New Roman"/>
        </w:rPr>
        <w:t>151</w:t>
      </w:r>
      <w:r w:rsidRPr="008C5B81">
        <w:rPr>
          <w:rFonts w:eastAsia="Times New Roman"/>
        </w:rPr>
        <w:fldChar w:fldCharType="end"/>
      </w:r>
      <w:r w:rsidRPr="008C5B81">
        <w:rPr>
          <w:rFonts w:eastAsia="Times New Roman"/>
        </w:rPr>
        <w:t xml:space="preserve"> above), the measures nevertheless appear to address the points raised by the applicants in their judicial review application (see paragraph </w:t>
      </w:r>
      <w:r w:rsidRPr="008C5B81">
        <w:rPr>
          <w:rFonts w:eastAsia="Times New Roman"/>
        </w:rPr>
        <w:fldChar w:fldCharType="begin"/>
      </w:r>
      <w:r w:rsidRPr="008C5B81">
        <w:rPr>
          <w:rFonts w:eastAsia="Times New Roman"/>
        </w:rPr>
        <w:instrText xml:space="preserve">REF paragraph00016 \h \* CharFormat  \* MERGEFORMAT </w:instrText>
      </w:r>
      <w:r w:rsidRPr="008C5B81">
        <w:rPr>
          <w:rFonts w:eastAsia="Times New Roman"/>
        </w:rPr>
        <w:fldChar w:fldCharType="separate"/>
      </w:r>
      <w:r w:rsidRPr="008C5B81" w:rsidR="00A00646">
        <w:rPr>
          <w:rFonts w:eastAsia="Times New Roman"/>
        </w:rPr>
        <w:t>16</w:t>
      </w:r>
      <w:r w:rsidRPr="008C5B81">
        <w:rPr>
          <w:rFonts w:eastAsia="Times New Roman"/>
        </w:rPr>
        <w:fldChar w:fldCharType="end"/>
      </w:r>
      <w:r w:rsidRPr="008C5B81">
        <w:rPr>
          <w:rFonts w:eastAsia="Times New Roman"/>
        </w:rPr>
        <w:t xml:space="preserve"> above). In any event, any failings cannot be considered to be sufficiently grave to have impaired the very essence of the applicants</w:t>
      </w:r>
      <w:r w:rsidRPr="008C5B81" w:rsidR="001D72B2">
        <w:rPr>
          <w:rFonts w:eastAsia="Times New Roman"/>
        </w:rPr>
        <w:t>’</w:t>
      </w:r>
      <w:r w:rsidRPr="008C5B81">
        <w:rPr>
          <w:rFonts w:eastAsia="Times New Roman"/>
        </w:rPr>
        <w:t xml:space="preserve"> right under Article 3 of Protocol No. 1 to benefit from elections held “under </w:t>
      </w:r>
      <w:r w:rsidRPr="008C5B81">
        <w:rPr>
          <w:rFonts w:eastAsia="Times New Roman"/>
        </w:rPr>
        <w:t xml:space="preserve">conditions which </w:t>
      </w:r>
      <w:r w:rsidRPr="008C5B81" w:rsidR="00C5154E">
        <w:rPr>
          <w:rFonts w:eastAsia="Times New Roman"/>
        </w:rPr>
        <w:t xml:space="preserve">will </w:t>
      </w:r>
      <w:r w:rsidRPr="008C5B81">
        <w:rPr>
          <w:rFonts w:eastAsia="Times New Roman"/>
        </w:rPr>
        <w:t xml:space="preserve">ensure the free expression of the opinion of the people” (see the case-law cited in paragraphs </w:t>
      </w:r>
      <w:r w:rsidRPr="008C5B81">
        <w:rPr>
          <w:rFonts w:eastAsia="Times New Roman"/>
        </w:rPr>
        <w:fldChar w:fldCharType="begin"/>
      </w:r>
      <w:r w:rsidRPr="008C5B81">
        <w:rPr>
          <w:rFonts w:eastAsia="Times New Roman"/>
        </w:rPr>
        <w:instrText xml:space="preserve">REF paragraph00119 \h \* CharFormat  \* MERGEFORMAT </w:instrText>
      </w:r>
      <w:r w:rsidRPr="008C5B81">
        <w:rPr>
          <w:rFonts w:eastAsia="Times New Roman"/>
        </w:rPr>
        <w:fldChar w:fldCharType="separate"/>
      </w:r>
      <w:r w:rsidRPr="008C5B81" w:rsidR="00A00646">
        <w:rPr>
          <w:rFonts w:eastAsia="Times New Roman"/>
        </w:rPr>
        <w:t>119</w:t>
      </w:r>
      <w:r w:rsidRPr="008C5B81">
        <w:rPr>
          <w:rFonts w:eastAsia="Times New Roman"/>
        </w:rPr>
        <w:fldChar w:fldCharType="end"/>
      </w:r>
      <w:r w:rsidRPr="008C5B81">
        <w:rPr>
          <w:rFonts w:eastAsia="Times New Roman"/>
        </w:rPr>
        <w:t xml:space="preserve"> and </w:t>
      </w:r>
      <w:r w:rsidRPr="008C5B81">
        <w:rPr>
          <w:rFonts w:eastAsia="Times New Roman"/>
        </w:rPr>
        <w:fldChar w:fldCharType="begin"/>
      </w:r>
      <w:r w:rsidRPr="008C5B81">
        <w:rPr>
          <w:rFonts w:eastAsia="Times New Roman"/>
        </w:rPr>
        <w:instrText xml:space="preserve">REF paragraph00131 \h \* CharFormat  \* MERGEFORMAT </w:instrText>
      </w:r>
      <w:r w:rsidRPr="008C5B81">
        <w:rPr>
          <w:rFonts w:eastAsia="Times New Roman"/>
        </w:rPr>
        <w:fldChar w:fldCharType="separate"/>
      </w:r>
      <w:r w:rsidRPr="008C5B81" w:rsidR="00A00646">
        <w:rPr>
          <w:rFonts w:eastAsia="Times New Roman"/>
        </w:rPr>
        <w:t>131</w:t>
      </w:r>
      <w:r w:rsidRPr="008C5B81">
        <w:rPr>
          <w:rFonts w:eastAsia="Times New Roman"/>
        </w:rPr>
        <w:fldChar w:fldCharType="end"/>
      </w:r>
      <w:r w:rsidRPr="008C5B81">
        <w:rPr>
          <w:rFonts w:eastAsia="Times New Roman"/>
        </w:rPr>
        <w:t xml:space="preserve"> above).</w:t>
      </w:r>
    </w:p>
    <w:p w:rsidRPr="008C5B81" w:rsidR="00A8059F" w:rsidP="001D72B2" w14:paraId="142C3367" w14:textId="3F358E9A">
      <w:pPr>
        <w:pStyle w:val="JuPara"/>
      </w:pPr>
      <w:r w:rsidRPr="008C5B81">
        <w:rPr>
          <w:rFonts w:eastAsia="Times New Roman"/>
        </w:rPr>
        <w:fldChar w:fldCharType="begin"/>
      </w:r>
      <w:r w:rsidRPr="008C5B81">
        <w:rPr>
          <w:rFonts w:eastAsia="Times New Roman"/>
        </w:rPr>
        <w:instrText xml:space="preserve"> SEQ level0 \*arabic \* MERGEFORMAT </w:instrText>
      </w:r>
      <w:r w:rsidRPr="008C5B81">
        <w:rPr>
          <w:rFonts w:eastAsia="Times New Roman"/>
        </w:rPr>
        <w:fldChar w:fldCharType="separate"/>
      </w:r>
      <w:r w:rsidRPr="008C5B81" w:rsidR="00A00646">
        <w:rPr>
          <w:rFonts w:eastAsia="Times New Roman"/>
          <w:noProof/>
        </w:rPr>
        <w:t>173</w:t>
      </w:r>
      <w:r w:rsidRPr="008C5B81">
        <w:rPr>
          <w:rFonts w:eastAsia="Times New Roman"/>
        </w:rPr>
        <w:fldChar w:fldCharType="end"/>
      </w:r>
      <w:r w:rsidRPr="008C5B81">
        <w:rPr>
          <w:rFonts w:eastAsia="Times New Roman"/>
        </w:rPr>
        <w:t>.  I</w:t>
      </w:r>
      <w:r w:rsidRPr="008C5B81">
        <w:t>n the light of the foregoing, the Court concludes that there has been no violation of Article 3 of Protocol No. 1 to the Convention. Consequently, there is no need to decide on the Government</w:t>
      </w:r>
      <w:r w:rsidRPr="008C5B81" w:rsidR="001D72B2">
        <w:t>’</w:t>
      </w:r>
      <w:r w:rsidRPr="008C5B81">
        <w:t>s preliminary objection concerning the applicants</w:t>
      </w:r>
      <w:r w:rsidRPr="008C5B81" w:rsidR="001D72B2">
        <w:t>’</w:t>
      </w:r>
      <w:r w:rsidRPr="008C5B81">
        <w:t xml:space="preserve"> victim status (see, for example, </w:t>
      </w:r>
      <w:r w:rsidRPr="008C5B81">
        <w:rPr>
          <w:i/>
          <w:iCs/>
        </w:rPr>
        <w:t>Communist Party of Russia and Others</w:t>
      </w:r>
      <w:r w:rsidRPr="008C5B81">
        <w:t xml:space="preserve">, cited above, </w:t>
      </w:r>
      <w:r w:rsidRPr="008C5B81">
        <w:rPr>
          <w:rFonts w:cstheme="minorHAnsi"/>
        </w:rPr>
        <w:t>§§</w:t>
      </w:r>
      <w:r w:rsidRPr="008C5B81">
        <w:t xml:space="preserve"> 80 and 129).</w:t>
      </w:r>
    </w:p>
    <w:p w:rsidRPr="008C5B81" w:rsidR="00A8059F" w:rsidP="001D72B2" w14:paraId="7EBCB761" w14:textId="6343F1E2">
      <w:pPr>
        <w:pStyle w:val="JuHHead"/>
      </w:pPr>
      <w:r w:rsidRPr="008C5B81">
        <w:t>FOR THESE REASONS, THE COURT, UNANIMOUSLY,</w:t>
      </w:r>
    </w:p>
    <w:p w:rsidRPr="008C5B81" w:rsidR="00DC35F5" w:rsidP="001D72B2" w14:paraId="678E49C4" w14:textId="4FB47C05">
      <w:pPr>
        <w:pStyle w:val="JuList"/>
      </w:pPr>
      <w:r w:rsidRPr="008C5B81">
        <w:rPr>
          <w:i/>
          <w:iCs/>
        </w:rPr>
        <w:t xml:space="preserve">Decides </w:t>
      </w:r>
      <w:r w:rsidRPr="008C5B81">
        <w:t>to join to the merits the Government</w:t>
      </w:r>
      <w:r w:rsidRPr="008C5B81" w:rsidR="001D72B2">
        <w:t>’</w:t>
      </w:r>
      <w:r w:rsidRPr="008C5B81">
        <w:t>s objection concerning the victim status of the applicants;</w:t>
      </w:r>
    </w:p>
    <w:p w:rsidRPr="008C5B81" w:rsidR="00DC35F5" w:rsidP="001D72B2" w14:paraId="58B0E0BC" w14:textId="77777777">
      <w:pPr>
        <w:pStyle w:val="JuList"/>
      </w:pPr>
      <w:r w:rsidRPr="008C5B81">
        <w:rPr>
          <w:i/>
          <w:iCs/>
        </w:rPr>
        <w:t xml:space="preserve">Declares </w:t>
      </w:r>
      <w:r w:rsidRPr="008C5B81">
        <w:t>the application admissible;</w:t>
      </w:r>
    </w:p>
    <w:p w:rsidRPr="008C5B81" w:rsidR="004D0EC7" w:rsidP="001D72B2" w14:paraId="4A049950" w14:textId="4E38B6BE">
      <w:pPr>
        <w:pStyle w:val="JuList"/>
      </w:pPr>
      <w:r w:rsidRPr="008C5B81">
        <w:rPr>
          <w:i/>
        </w:rPr>
        <w:t>Holds</w:t>
      </w:r>
      <w:r w:rsidRPr="008C5B81" w:rsidR="006B613A">
        <w:t xml:space="preserve"> </w:t>
      </w:r>
      <w:r w:rsidRPr="008C5B81">
        <w:t>that there has been no violation of Article 3 of Protocol No. 1 to the Convention, and that it is not necessary to decide on the Government</w:t>
      </w:r>
      <w:r w:rsidRPr="008C5B81" w:rsidR="001D72B2">
        <w:t>’</w:t>
      </w:r>
      <w:r w:rsidRPr="008C5B81">
        <w:t>s objection concerning the victim status of the applicants.</w:t>
      </w:r>
    </w:p>
    <w:p w:rsidRPr="008C5B81" w:rsidR="008E3A08" w:rsidP="001D72B2" w14:paraId="2D7A67DB" w14:textId="3BD1AD36">
      <w:pPr>
        <w:pStyle w:val="JuParaLast"/>
      </w:pPr>
      <w:r w:rsidRPr="008C5B81">
        <w:t xml:space="preserve">Done in English, and notified in writing on </w:t>
      </w:r>
      <w:r w:rsidRPr="008C5B81" w:rsidR="00A8059F">
        <w:rPr>
          <w:rFonts w:ascii="Times New Roman" w:hAnsi="Times New Roman" w:cs="Times New Roman"/>
        </w:rPr>
        <w:t>22 July 2025</w:t>
      </w:r>
      <w:r w:rsidRPr="008C5B81">
        <w:t>, pursuant to Rule 77</w:t>
      </w:r>
      <w:r w:rsidRPr="008C5B81" w:rsidR="00AE5F56">
        <w:t xml:space="preserve"> </w:t>
      </w:r>
      <w:r w:rsidRPr="008C5B81">
        <w:t>§§ 2 and 3 of the Rules of Court.</w:t>
      </w:r>
    </w:p>
    <w:p w:rsidRPr="008C5B81" w:rsidR="00675AF2" w:rsidP="001D72B2" w14:paraId="6F29E429" w14:textId="46F0097F">
      <w:pPr>
        <w:pStyle w:val="JuSigned"/>
      </w:pPr>
      <w:r w:rsidRPr="008C5B81">
        <w:tab/>
      </w:r>
      <w:r w:rsidRPr="008C5B81" w:rsidR="00C31C3A">
        <w:t>Simeon Petrovski</w:t>
      </w:r>
      <w:r w:rsidRPr="008C5B81">
        <w:tab/>
      </w:r>
      <w:r w:rsidRPr="008C5B81" w:rsidR="00A8059F">
        <w:t>Lado Chanturia</w:t>
      </w:r>
      <w:r w:rsidRPr="008C5B81">
        <w:br/>
      </w:r>
      <w:r w:rsidRPr="008C5B81">
        <w:tab/>
      </w:r>
      <w:r w:rsidRPr="008C5B81" w:rsidR="00C31C3A">
        <w:t xml:space="preserve">Deputy </w:t>
      </w:r>
      <w:r w:rsidRPr="008C5B81" w:rsidR="00A8059F">
        <w:rPr>
          <w:iCs/>
        </w:rPr>
        <w:t>Registrar</w:t>
      </w:r>
      <w:r w:rsidRPr="008C5B81">
        <w:tab/>
        <w:t>President</w:t>
      </w:r>
    </w:p>
    <w:p w:rsidRPr="008C2CF3" w:rsidR="004B5954" w:rsidP="00870AFB" w14:paraId="427C6C5F" w14:textId="0B083C5D">
      <w:pPr>
        <w:pStyle w:val="JuParaLast"/>
      </w:pPr>
      <w:r w:rsidRPr="008C2CF3">
        <w:t xml:space="preserve">In accordance with Article 45 § 2 of the Convention and Rule 74 § 2 of the Rules of Court, the </w:t>
      </w:r>
      <w:r>
        <w:t>concurring</w:t>
      </w:r>
      <w:r w:rsidRPr="008C2CF3">
        <w:t xml:space="preserve"> opinion of Judge </w:t>
      </w:r>
      <w:r>
        <w:t>Jakab</w:t>
      </w:r>
      <w:r w:rsidRPr="008C2CF3">
        <w:t xml:space="preserve"> is annexed to this judgment.</w:t>
      </w:r>
    </w:p>
    <w:p w:rsidR="004B5954" w:rsidP="00870AFB" w14:paraId="1C89F464" w14:textId="77777777">
      <w:pPr>
        <w:pStyle w:val="JuParaLast"/>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8C5B81" w:rsidR="000B128E" w:rsidP="000B128E" w14:paraId="6159B1BE" w14:textId="77777777">
      <w:pPr>
        <w:pStyle w:val="DecHTitle"/>
      </w:pPr>
      <w:r w:rsidRPr="008C5B81">
        <w:t>CONCURRING OPINION OF JUDGE JAKAB</w:t>
      </w:r>
    </w:p>
    <w:p w:rsidRPr="008C5B81" w:rsidR="000B128E" w:rsidP="000B128E" w14:paraId="4904BFC8" w14:textId="77777777">
      <w:pPr>
        <w:pStyle w:val="JuPara"/>
        <w:rPr>
          <w:bdr w:val="none" w:color="auto" w:sz="0" w:space="0" w:frame="1"/>
        </w:rPr>
      </w:pPr>
      <w:r w:rsidRPr="008C5B81">
        <w:rPr>
          <w:bdr w:val="none" w:color="auto" w:sz="0" w:space="0" w:frame="1"/>
        </w:rPr>
        <w:fldChar w:fldCharType="begin"/>
      </w:r>
      <w:r w:rsidRPr="008C5B81">
        <w:rPr>
          <w:bdr w:val="none" w:color="auto" w:sz="0" w:space="0" w:frame="1"/>
        </w:rPr>
        <w:instrText xml:space="preserve"> SEQ level0 \*arabic \* MERGEFORMAT </w:instrText>
      </w:r>
      <w:r w:rsidRPr="008C5B81">
        <w:rPr>
          <w:bdr w:val="none" w:color="auto" w:sz="0" w:space="0" w:frame="1"/>
        </w:rPr>
        <w:fldChar w:fldCharType="separate"/>
      </w:r>
      <w:r w:rsidRPr="008C5B81">
        <w:rPr>
          <w:bdr w:val="none" w:color="auto" w:sz="0" w:space="0" w:frame="1"/>
        </w:rPr>
        <w:t>1</w:t>
      </w:r>
      <w:r w:rsidRPr="008C5B81">
        <w:rPr>
          <w:bdr w:val="none" w:color="auto" w:sz="0" w:space="0" w:frame="1"/>
        </w:rPr>
        <w:fldChar w:fldCharType="end"/>
      </w:r>
      <w:r w:rsidRPr="008C5B81">
        <w:rPr>
          <w:bdr w:val="none" w:color="auto" w:sz="0" w:space="0" w:frame="1"/>
        </w:rPr>
        <w:t>.  While I agree with the outcome of the judgment, I would have preferred a more elaborate analysis of certain general questions. This case concerns the heart of the Court’s mission; it is complex, consequential and extremely timely, yet the relevant standards are still to be developed in a sufficiently detailed manner in the Court’s case-law.</w:t>
      </w:r>
    </w:p>
    <w:p w:rsidRPr="008C5B81" w:rsidR="000B128E" w:rsidP="000B128E" w14:paraId="563E3BDD" w14:textId="77777777">
      <w:pPr>
        <w:pStyle w:val="JuPara"/>
        <w:rPr>
          <w:bdr w:val="none" w:color="auto" w:sz="0" w:space="0" w:frame="1"/>
        </w:rPr>
      </w:pPr>
      <w:r w:rsidRPr="008C5B81">
        <w:rPr>
          <w:bdr w:val="none" w:color="auto" w:sz="0" w:space="0" w:frame="1"/>
        </w:rPr>
        <w:fldChar w:fldCharType="begin"/>
      </w:r>
      <w:r w:rsidRPr="008C5B81">
        <w:rPr>
          <w:bdr w:val="none" w:color="auto" w:sz="0" w:space="0" w:frame="1"/>
        </w:rPr>
        <w:instrText xml:space="preserve"> SEQ level0 \*arabic \* MERGEFORMAT </w:instrText>
      </w:r>
      <w:r w:rsidRPr="008C5B81">
        <w:rPr>
          <w:bdr w:val="none" w:color="auto" w:sz="0" w:space="0" w:frame="1"/>
        </w:rPr>
        <w:fldChar w:fldCharType="separate"/>
      </w:r>
      <w:r w:rsidRPr="008C5B81">
        <w:rPr>
          <w:bdr w:val="none" w:color="auto" w:sz="0" w:space="0" w:frame="1"/>
        </w:rPr>
        <w:t>2</w:t>
      </w:r>
      <w:r w:rsidRPr="008C5B81">
        <w:rPr>
          <w:bdr w:val="none" w:color="auto" w:sz="0" w:space="0" w:frame="1"/>
        </w:rPr>
        <w:fldChar w:fldCharType="end"/>
      </w:r>
      <w:r w:rsidRPr="008C5B81">
        <w:rPr>
          <w:bdr w:val="none" w:color="auto" w:sz="0" w:space="0" w:frame="1"/>
        </w:rPr>
        <w:t>.  The Court was established as part of a peace project after the Second World War. This project has largely been based on the insight that peace in Europe is significantly more likely between liberal democracies, which are built on the principles of democracy and the rule of law, including human rights protection. Preventing the erosion of liberal democracy therefore lies at the very core of the Court’s mission</w:t>
      </w:r>
      <w:r>
        <w:rPr>
          <w:rStyle w:val="FootnoteReference"/>
          <w:color w:val="242424"/>
          <w:bdr w:val="none" w:color="auto" w:sz="0" w:space="0" w:frame="1"/>
        </w:rPr>
        <w:footnoteReference w:id="3"/>
      </w:r>
      <w:r w:rsidRPr="008C5B81">
        <w:rPr>
          <w:bdr w:val="none" w:color="auto" w:sz="0" w:space="0" w:frame="1"/>
        </w:rPr>
        <w:t>. Viewed from this perspective, human rights protection in concrete cases is a legal technique, an institutional proxy to achieve this overarching purpose. In every case, therefore, we should emphatically consider what the direct and indirect effects of the Court’s judgment would be on the institutional system of liberal democracy in all Contracting Parties, and we should give preference to those interpretations of the Convention which directly or indirectly strengthen their resilience. If the institutional machinery of liberal democracy erodes, every other potential achievement of human rights protection is likely to slowly fade away as well.</w:t>
      </w:r>
    </w:p>
    <w:p w:rsidRPr="00804E99" w:rsidR="000B128E" w:rsidP="000B128E" w14:paraId="2C8B6FD1" w14:textId="77777777">
      <w:pPr>
        <w:pStyle w:val="JuPara"/>
        <w:rPr>
          <w:bdr w:val="none" w:color="auto" w:sz="0" w:space="0" w:frame="1"/>
        </w:rPr>
      </w:pPr>
      <w:r w:rsidRPr="008C5B81">
        <w:rPr>
          <w:bdr w:val="none" w:color="auto" w:sz="0" w:space="0" w:frame="1"/>
        </w:rPr>
        <w:fldChar w:fldCharType="begin"/>
      </w:r>
      <w:r w:rsidRPr="008C5B81">
        <w:rPr>
          <w:bdr w:val="none" w:color="auto" w:sz="0" w:space="0" w:frame="1"/>
        </w:rPr>
        <w:instrText xml:space="preserve"> SEQ level0 \*arabic \* MERGEFORMAT </w:instrText>
      </w:r>
      <w:r w:rsidRPr="008C5B81">
        <w:rPr>
          <w:bdr w:val="none" w:color="auto" w:sz="0" w:space="0" w:frame="1"/>
        </w:rPr>
        <w:fldChar w:fldCharType="separate"/>
      </w:r>
      <w:r w:rsidRPr="008C5B81">
        <w:rPr>
          <w:bdr w:val="none" w:color="auto" w:sz="0" w:space="0" w:frame="1"/>
        </w:rPr>
        <w:t>3</w:t>
      </w:r>
      <w:r w:rsidRPr="008C5B81">
        <w:rPr>
          <w:bdr w:val="none" w:color="auto" w:sz="0" w:space="0" w:frame="1"/>
        </w:rPr>
        <w:fldChar w:fldCharType="end"/>
      </w:r>
      <w:r w:rsidRPr="008C5B81">
        <w:rPr>
          <w:bdr w:val="none" w:color="auto" w:sz="0" w:space="0" w:frame="1"/>
        </w:rPr>
        <w:t xml:space="preserve">.  Guaranteeing the integrity of elections is </w:t>
      </w:r>
      <w:r w:rsidRPr="008C5B81">
        <w:rPr>
          <w:bdr w:val="none" w:color="auto" w:sz="0" w:space="0" w:frame="1"/>
        </w:rPr>
        <w:t>absolutely essential</w:t>
      </w:r>
      <w:r w:rsidRPr="008C5B81">
        <w:rPr>
          <w:bdr w:val="none" w:color="auto" w:sz="0" w:space="0" w:frame="1"/>
        </w:rPr>
        <w:t xml:space="preserve"> in this respect, since democratic accountability mechanisms are a precondition for human rights protection</w:t>
      </w:r>
      <w:r>
        <w:rPr>
          <w:rStyle w:val="FootnoteReference"/>
          <w:color w:val="242424"/>
          <w:bdr w:val="none" w:color="auto" w:sz="0" w:space="0" w:frame="1"/>
        </w:rPr>
        <w:footnoteReference w:id="4"/>
      </w:r>
      <w:r w:rsidRPr="008C5B81">
        <w:rPr>
          <w:bdr w:val="none" w:color="auto" w:sz="0" w:space="0" w:frame="1"/>
        </w:rPr>
        <w:t>. As the judgment rightly notes, the scale of election interference and the speed of the disinformation campaigns</w:t>
      </w:r>
      <w:r w:rsidRPr="00804E99">
        <w:rPr>
          <w:bdr w:val="none" w:color="auto" w:sz="0" w:space="0" w:frame="1"/>
        </w:rPr>
        <w:t xml:space="preserve"> that we are dealing with nowadays have “never [been] seen before” (see paragraph 134). This means, in my opinion, that the Court’s standards under Article 3 of Protocol No. 1 should also be further adjusted in the light of these new developments. Several Contracting Parties have recently been faced with countless instances of election interference – all attempting to weaken, polarise, erode and destabilise their domestic political and constitutional systems. The present case is about the self-defence of domestic democracies </w:t>
      </w:r>
      <w:r w:rsidRPr="00804E99">
        <w:rPr>
          <w:bdr w:val="none" w:color="auto" w:sz="0" w:space="0" w:frame="1"/>
        </w:rPr>
        <w:t xml:space="preserve">and, indirectly, about the self-defence of the Council of Europe itself. By clarifying its standards, the Court can help the Contracting Parties to find solutions for how to become more resilient democracies. </w:t>
      </w:r>
    </w:p>
    <w:p w:rsidRPr="00804E99" w:rsidR="000B128E" w:rsidP="000B128E" w14:paraId="7C4D794B" w14:textId="77777777">
      <w:pPr>
        <w:pStyle w:val="JuPara"/>
        <w:rPr>
          <w:bdr w:val="none" w:color="auto" w:sz="0" w:space="0" w:frame="1"/>
        </w:rPr>
      </w:pPr>
      <w:r w:rsidRPr="00804E99">
        <w:rPr>
          <w:bdr w:val="none" w:color="auto" w:sz="0" w:space="0" w:frame="1"/>
        </w:rPr>
        <w:fldChar w:fldCharType="begin"/>
      </w:r>
      <w:r w:rsidRPr="00804E99">
        <w:rPr>
          <w:bdr w:val="none" w:color="auto" w:sz="0" w:space="0" w:frame="1"/>
        </w:rPr>
        <w:instrText xml:space="preserve"> SEQ level0 \*arabic \* MERGEFORMAT </w:instrText>
      </w:r>
      <w:r w:rsidRPr="00804E99">
        <w:rPr>
          <w:bdr w:val="none" w:color="auto" w:sz="0" w:space="0" w:frame="1"/>
        </w:rPr>
        <w:fldChar w:fldCharType="separate"/>
      </w:r>
      <w:r w:rsidRPr="00804E99">
        <w:rPr>
          <w:bdr w:val="none" w:color="auto" w:sz="0" w:space="0" w:frame="1"/>
        </w:rPr>
        <w:t>4</w:t>
      </w:r>
      <w:r w:rsidRPr="00804E99">
        <w:rPr>
          <w:bdr w:val="none" w:color="auto" w:sz="0" w:space="0" w:frame="1"/>
        </w:rPr>
        <w:fldChar w:fldCharType="end"/>
      </w:r>
      <w:r w:rsidRPr="00804E99">
        <w:rPr>
          <w:bdr w:val="none" w:color="auto" w:sz="0" w:space="0" w:frame="1"/>
        </w:rPr>
        <w:t>.  The standards relied on by the Court need to be clarified on the following points:</w:t>
      </w:r>
    </w:p>
    <w:p w:rsidRPr="00804E99" w:rsidR="000B128E" w:rsidP="000B128E" w14:paraId="43332051" w14:textId="77777777">
      <w:pPr>
        <w:pStyle w:val="JuPara"/>
        <w:rPr>
          <w:bdr w:val="none" w:color="auto" w:sz="0" w:space="0" w:frame="1"/>
        </w:rPr>
      </w:pPr>
      <w:r w:rsidRPr="00804E99">
        <w:rPr>
          <w:bdr w:val="none" w:color="auto" w:sz="0" w:space="0" w:frame="1"/>
        </w:rPr>
        <w:t>(I)</w:t>
      </w:r>
      <w:r>
        <w:rPr>
          <w:bdr w:val="none" w:color="auto" w:sz="0" w:space="0" w:frame="1"/>
        </w:rPr>
        <w:t>  </w:t>
      </w:r>
      <w:r w:rsidRPr="00804E99">
        <w:rPr>
          <w:bdr w:val="none" w:color="auto" w:sz="0" w:space="0" w:frame="1"/>
        </w:rPr>
        <w:t>There are three categories of measures by which States can react to foreign electoral interference: (a) measures which are prohibited by the Convention (</w:t>
      </w:r>
      <w:r>
        <w:rPr>
          <w:bdr w:val="none" w:color="auto" w:sz="0" w:space="0" w:frame="1"/>
        </w:rPr>
        <w:t>for example</w:t>
      </w:r>
      <w:r w:rsidRPr="00804E99">
        <w:rPr>
          <w:bdr w:val="none" w:color="auto" w:sz="0" w:space="0" w:frame="1"/>
        </w:rPr>
        <w:t>, foreign agent laws</w:t>
      </w:r>
      <w:r>
        <w:rPr>
          <w:rStyle w:val="FootnoteReference"/>
          <w:color w:val="242424"/>
          <w:bdr w:val="none" w:color="auto" w:sz="0" w:space="0" w:frame="1"/>
        </w:rPr>
        <w:footnoteReference w:id="5"/>
      </w:r>
      <w:r w:rsidRPr="00804E99">
        <w:rPr>
          <w:bdr w:val="none" w:color="auto" w:sz="0" w:space="0" w:frame="1"/>
        </w:rPr>
        <w:t>)</w:t>
      </w:r>
      <w:r>
        <w:rPr>
          <w:bdr w:val="none" w:color="auto" w:sz="0" w:space="0" w:frame="1"/>
        </w:rPr>
        <w:t>;</w:t>
      </w:r>
      <w:r w:rsidRPr="00804E99">
        <w:rPr>
          <w:bdr w:val="none" w:color="auto" w:sz="0" w:space="0" w:frame="1"/>
        </w:rPr>
        <w:t xml:space="preserve"> (b) measures which are acceptable/allowed (but not required), provided they are proportionate</w:t>
      </w:r>
      <w:r>
        <w:rPr>
          <w:rStyle w:val="FootnoteReference"/>
          <w:color w:val="242424"/>
          <w:bdr w:val="none" w:color="auto" w:sz="0" w:space="0" w:frame="1"/>
        </w:rPr>
        <w:footnoteReference w:id="6"/>
      </w:r>
      <w:r>
        <w:rPr>
          <w:bdr w:val="none" w:color="auto" w:sz="0" w:space="0" w:frame="1"/>
        </w:rPr>
        <w:t>;</w:t>
      </w:r>
      <w:r w:rsidRPr="00804E99">
        <w:rPr>
          <w:bdr w:val="none" w:color="auto" w:sz="0" w:space="0" w:frame="1"/>
        </w:rPr>
        <w:t xml:space="preserve"> and (c) measures which are required as forming part of the positive obligations under Article 3 of Protocol No. 1. The standards for these three separate categories need to be clearly defined </w:t>
      </w:r>
      <w:r w:rsidRPr="00804E99">
        <w:rPr>
          <w:bdr w:val="none" w:color="auto" w:sz="0" w:space="0" w:frame="1"/>
        </w:rPr>
        <w:t>in order to</w:t>
      </w:r>
      <w:r w:rsidRPr="00804E99">
        <w:rPr>
          <w:bdr w:val="none" w:color="auto" w:sz="0" w:space="0" w:frame="1"/>
        </w:rPr>
        <w:t xml:space="preserve"> allow the Contracting Parties to respond appropriately and the Court needs to provide more guidance, especially concerning the last category.</w:t>
      </w:r>
    </w:p>
    <w:p w:rsidRPr="00804E99" w:rsidR="000B128E" w:rsidP="000B128E" w14:paraId="1B6B96D3" w14:textId="77777777">
      <w:pPr>
        <w:pStyle w:val="JuPara"/>
        <w:rPr>
          <w:bdr w:val="none" w:color="auto" w:sz="0" w:space="0" w:frame="1"/>
        </w:rPr>
      </w:pPr>
      <w:r w:rsidRPr="00804E99">
        <w:rPr>
          <w:bdr w:val="none" w:color="auto" w:sz="0" w:space="0" w:frame="1"/>
        </w:rPr>
        <w:t xml:space="preserve">In accordance with the Court’s case-law, the judgment rightly emphasises the Contracting Parties’ positive obligation to take measures to ensure the free expression of the opinion of the people in the choice of the legislature. The judgment even lists (as good examples) </w:t>
      </w:r>
      <w:r w:rsidRPr="00804E99">
        <w:rPr>
          <w:bdr w:val="none" w:color="auto" w:sz="0" w:space="0" w:frame="1"/>
        </w:rPr>
        <w:t>a number of</w:t>
      </w:r>
      <w:r w:rsidRPr="00804E99">
        <w:rPr>
          <w:bdr w:val="none" w:color="auto" w:sz="0" w:space="0" w:frame="1"/>
        </w:rPr>
        <w:t xml:space="preserve"> UK measures that were taken </w:t>
      </w:r>
      <w:r w:rsidRPr="00804E99">
        <w:rPr>
          <w:iCs/>
          <w:bdr w:val="none" w:color="auto" w:sz="0" w:space="0" w:frame="1"/>
        </w:rPr>
        <w:t>after</w:t>
      </w:r>
      <w:r w:rsidRPr="00E9157B">
        <w:rPr>
          <w:bdr w:val="none" w:color="auto" w:sz="0" w:space="0" w:frame="1"/>
        </w:rPr>
        <w:t xml:space="preserve"> </w:t>
      </w:r>
      <w:r w:rsidRPr="00804E99">
        <w:rPr>
          <w:bdr w:val="none" w:color="auto" w:sz="0" w:space="0" w:frame="1"/>
        </w:rPr>
        <w:t>the elections in question (see</w:t>
      </w:r>
      <w:r>
        <w:rPr>
          <w:bdr w:val="none" w:color="auto" w:sz="0" w:space="0" w:frame="1"/>
        </w:rPr>
        <w:t xml:space="preserve"> </w:t>
      </w:r>
      <w:r w:rsidRPr="00804E99">
        <w:rPr>
          <w:bdr w:val="none" w:color="auto" w:sz="0" w:space="0" w:frame="1"/>
        </w:rPr>
        <w:t xml:space="preserve">paragraphs 169-71). However, some of these measures might </w:t>
      </w:r>
      <w:r w:rsidRPr="00804E99">
        <w:rPr>
          <w:bdr w:val="none" w:color="auto" w:sz="0" w:space="0" w:frame="1"/>
        </w:rPr>
        <w:t>actually be</w:t>
      </w:r>
      <w:r w:rsidRPr="00804E99">
        <w:rPr>
          <w:bdr w:val="none" w:color="auto" w:sz="0" w:space="0" w:frame="1"/>
        </w:rPr>
        <w:t xml:space="preserve"> seen not simply as good practices, but even as positive obligations flowing from Article 3 of Protocol No. 1. Since the judgment describes these measures as “address[</w:t>
      </w:r>
      <w:r w:rsidRPr="00804E99">
        <w:rPr>
          <w:bdr w:val="none" w:color="auto" w:sz="0" w:space="0" w:frame="1"/>
        </w:rPr>
        <w:t>ing</w:t>
      </w:r>
      <w:r w:rsidRPr="00804E99">
        <w:rPr>
          <w:bdr w:val="none" w:color="auto" w:sz="0" w:space="0" w:frame="1"/>
        </w:rPr>
        <w:t>] the points raised by the applicants” (see paragraph 172), it should also be clarified to what extent they may be regarded as fulfilling positive obligations under Article 3 of Protocol No. 1.</w:t>
      </w:r>
    </w:p>
    <w:p w:rsidRPr="00804E99" w:rsidR="000B128E" w:rsidP="000B128E" w14:paraId="0985D680" w14:textId="77777777">
      <w:pPr>
        <w:pStyle w:val="JuPara"/>
        <w:rPr>
          <w:bdr w:val="none" w:color="auto" w:sz="0" w:space="0" w:frame="1"/>
        </w:rPr>
      </w:pPr>
      <w:r w:rsidRPr="00804E99">
        <w:rPr>
          <w:bdr w:val="none" w:color="auto" w:sz="0" w:space="0" w:frame="1"/>
        </w:rPr>
        <w:t>(II)</w:t>
      </w:r>
      <w:r>
        <w:rPr>
          <w:bdr w:val="none" w:color="auto" w:sz="0" w:space="0" w:frame="1"/>
        </w:rPr>
        <w:t>  </w:t>
      </w:r>
      <w:r w:rsidRPr="00804E99">
        <w:rPr>
          <w:bdr w:val="none" w:color="auto" w:sz="0" w:space="0" w:frame="1"/>
        </w:rPr>
        <w:t xml:space="preserve">The </w:t>
      </w:r>
      <w:r w:rsidRPr="00152860">
        <w:rPr>
          <w:bdr w:val="none" w:color="auto" w:sz="0" w:space="0" w:frame="1"/>
        </w:rPr>
        <w:t>orig</w:t>
      </w:r>
      <w:r w:rsidRPr="00804E99">
        <w:rPr>
          <w:bdr w:val="none" w:color="auto" w:sz="0" w:space="0" w:frame="1"/>
        </w:rPr>
        <w:t>in of external influence in electoral processes does matter when assessing the proportionality of defensive measures and the fulfilment of positive obligations. One should differentiate between interferences from non-democratic countries (i.e., States rejecting the founding principles of the Council of Europe, like Russia in the present case) and democratic countries (i.e., States that accept the founding principles of the Council of Europe, potentially including States from outside of Europe). The reference to a “democracy capable of defending itself” (see paragraphs 114-15) might be a good starting</w:t>
      </w:r>
      <w:r>
        <w:rPr>
          <w:bdr w:val="none" w:color="auto" w:sz="0" w:space="0" w:frame="1"/>
        </w:rPr>
        <w:t>-</w:t>
      </w:r>
      <w:r w:rsidRPr="00804E99">
        <w:rPr>
          <w:bdr w:val="none" w:color="auto" w:sz="0" w:space="0" w:frame="1"/>
        </w:rPr>
        <w:t xml:space="preserve">point for such doctrinal differentiation. Membership of the Council of Europe is a helpful indicator in this regard, albeit one that has now become somewhat imperfect, unfortunately, as some of the Contracting Parties have experienced a substantial erosion of the rule of law and democracy in recent years. The differentiation should therefore also consider the </w:t>
      </w:r>
      <w:r w:rsidRPr="00804E99">
        <w:rPr>
          <w:i/>
          <w:bdr w:val="none" w:color="auto" w:sz="0" w:space="0" w:frame="1"/>
        </w:rPr>
        <w:t>de facto</w:t>
      </w:r>
      <w:r w:rsidRPr="00804E99">
        <w:rPr>
          <w:bdr w:val="none" w:color="auto" w:sz="0" w:space="0" w:frame="1"/>
        </w:rPr>
        <w:t xml:space="preserve"> quality of liberal democracy in the country in which the external </w:t>
      </w:r>
      <w:r w:rsidRPr="00804E99">
        <w:rPr>
          <w:bdr w:val="none" w:color="auto" w:sz="0" w:space="0" w:frame="1"/>
        </w:rPr>
        <w:t>influence originates, for the purpose of which (besides membership of the Council of Europe) further factors could also be weighed in the balance, such as information about the execution of the Court’s judgments, systemic deficiencies identified in the Court’s judgments, ongoing procedures under Article 7 of the Treaty on European Union (if the country in question is an EU member State), or widely recognised rule</w:t>
      </w:r>
      <w:r>
        <w:rPr>
          <w:bdr w:val="none" w:color="auto" w:sz="0" w:space="0" w:frame="1"/>
        </w:rPr>
        <w:t>-</w:t>
      </w:r>
      <w:r w:rsidRPr="00804E99">
        <w:rPr>
          <w:bdr w:val="none" w:color="auto" w:sz="0" w:space="0" w:frame="1"/>
        </w:rPr>
        <w:t>of</w:t>
      </w:r>
      <w:r>
        <w:rPr>
          <w:bdr w:val="none" w:color="auto" w:sz="0" w:space="0" w:frame="1"/>
        </w:rPr>
        <w:t>-</w:t>
      </w:r>
      <w:r w:rsidRPr="00804E99">
        <w:rPr>
          <w:bdr w:val="none" w:color="auto" w:sz="0" w:space="0" w:frame="1"/>
        </w:rPr>
        <w:t>law and democracy indices (such as V-DEM</w:t>
      </w:r>
      <w:r>
        <w:rPr>
          <w:bdr w:val="none" w:color="auto" w:sz="0" w:space="0" w:frame="1"/>
        </w:rPr>
        <w:t>’s</w:t>
      </w:r>
      <w:r w:rsidRPr="00804E99">
        <w:rPr>
          <w:bdr w:val="none" w:color="auto" w:sz="0" w:space="0" w:frame="1"/>
        </w:rPr>
        <w:t xml:space="preserve"> Liberal Democracy Index or the World Justice Project Rule of Law Index</w:t>
      </w:r>
      <w:r>
        <w:rPr>
          <w:rStyle w:val="FootnoteReference"/>
          <w:color w:val="242424"/>
          <w:bdr w:val="none" w:color="auto" w:sz="0" w:space="0" w:frame="1"/>
        </w:rPr>
        <w:footnoteReference w:id="7"/>
      </w:r>
      <w:r w:rsidRPr="00804E99">
        <w:rPr>
          <w:bdr w:val="none" w:color="auto" w:sz="0" w:space="0" w:frame="1"/>
        </w:rPr>
        <w:t>). The latter could be especially relevant where a case concerns electoral interference originating from outside Europe.</w:t>
      </w:r>
    </w:p>
    <w:p w:rsidRPr="00804E99" w:rsidR="000B128E" w:rsidP="000B128E" w14:paraId="6E82A8AA" w14:textId="77777777">
      <w:pPr>
        <w:pStyle w:val="JuPara"/>
        <w:rPr>
          <w:bdr w:val="none" w:color="auto" w:sz="0" w:space="0" w:frame="1"/>
        </w:rPr>
      </w:pPr>
      <w:r w:rsidRPr="00804E99">
        <w:rPr>
          <w:bdr w:val="none" w:color="auto" w:sz="0" w:space="0" w:frame="1"/>
        </w:rPr>
        <w:t xml:space="preserve">To be sure, electoral interference is also problematic if it originates in another democratic country, but it is </w:t>
      </w:r>
      <w:r w:rsidRPr="00804E99">
        <w:rPr>
          <w:i/>
          <w:bdr w:val="none" w:color="auto" w:sz="0" w:space="0" w:frame="1"/>
        </w:rPr>
        <w:t>especially</w:t>
      </w:r>
      <w:r w:rsidRPr="00804E99">
        <w:rPr>
          <w:bdr w:val="none" w:color="auto" w:sz="0" w:space="0" w:frame="1"/>
        </w:rPr>
        <w:t xml:space="preserve"> so if it originates in a non</w:t>
      </w:r>
      <w:r>
        <w:rPr>
          <w:bdr w:val="none" w:color="auto" w:sz="0" w:space="0" w:frame="1"/>
        </w:rPr>
        <w:noBreakHyphen/>
      </w:r>
      <w:r w:rsidRPr="00804E99">
        <w:rPr>
          <w:bdr w:val="none" w:color="auto" w:sz="0" w:space="0" w:frame="1"/>
        </w:rPr>
        <w:t xml:space="preserve">democratic country (see the considerations above concerning the original intent of the founding fathers of the Convention). Therefore, the less democratic the origin of the interference is, the stronger the defensive measures could and should be. Whether a country is democratic is not a binary yes-or-no question, but a matter of degree: within the framework of a proportionality analysis, this graduality </w:t>
      </w:r>
      <w:r w:rsidRPr="00804E99">
        <w:rPr>
          <w:bdr w:val="none" w:color="auto" w:sz="0" w:space="0" w:frame="1"/>
        </w:rPr>
        <w:t>has to</w:t>
      </w:r>
      <w:r w:rsidRPr="00804E99">
        <w:rPr>
          <w:bdr w:val="none" w:color="auto" w:sz="0" w:space="0" w:frame="1"/>
        </w:rPr>
        <w:t xml:space="preserve"> be carefully considered.</w:t>
      </w:r>
    </w:p>
    <w:p w:rsidRPr="00804E99" w:rsidR="000B128E" w:rsidP="000B128E" w14:paraId="258D7C7E" w14:textId="77777777">
      <w:pPr>
        <w:pStyle w:val="JuPara"/>
        <w:rPr>
          <w:bdr w:val="none" w:color="auto" w:sz="0" w:space="0" w:frame="1"/>
        </w:rPr>
      </w:pPr>
      <w:r w:rsidRPr="00804E99">
        <w:rPr>
          <w:bdr w:val="none" w:color="auto" w:sz="0" w:space="0" w:frame="1"/>
        </w:rPr>
        <w:t>(III)</w:t>
      </w:r>
      <w:r>
        <w:rPr>
          <w:bdr w:val="none" w:color="auto" w:sz="0" w:space="0" w:frame="1"/>
        </w:rPr>
        <w:t>  </w:t>
      </w:r>
      <w:r w:rsidRPr="00804E99">
        <w:rPr>
          <w:bdr w:val="none" w:color="auto" w:sz="0" w:space="0" w:frame="1"/>
        </w:rPr>
        <w:t xml:space="preserve">The judgment rightly points out that there is a close relationship between Article 10 </w:t>
      </w:r>
      <w:r>
        <w:rPr>
          <w:bdr w:val="none" w:color="auto" w:sz="0" w:space="0" w:frame="1"/>
        </w:rPr>
        <w:t xml:space="preserve">of the Convention </w:t>
      </w:r>
      <w:r w:rsidRPr="00804E99">
        <w:rPr>
          <w:bdr w:val="none" w:color="auto" w:sz="0" w:space="0" w:frame="1"/>
        </w:rPr>
        <w:t xml:space="preserve">and Article 3 of Protocol No. 1 in the context of election interference </w:t>
      </w:r>
      <w:r w:rsidRPr="00E9157B">
        <w:rPr>
          <w:bdr w:val="none" w:color="auto" w:sz="0" w:space="0" w:frame="1"/>
        </w:rPr>
        <w:t>via</w:t>
      </w:r>
      <w:r w:rsidRPr="00804E99">
        <w:rPr>
          <w:bdr w:val="none" w:color="auto" w:sz="0" w:space="0" w:frame="1"/>
        </w:rPr>
        <w:t xml:space="preserve"> digital disinformation (see paragraph 161). This relationship is not just one of potential conflict, but also of complementarity and mutual strengthening (i.e., Article 10 and Article 3 of Protocol No. 1 each need to be interpreted in the light of the other and certain positive obligations flow from both</w:t>
      </w:r>
      <w:r>
        <w:rPr>
          <w:rStyle w:val="FootnoteReference"/>
          <w:color w:val="242424"/>
          <w:bdr w:val="none" w:color="auto" w:sz="0" w:space="0" w:frame="1"/>
        </w:rPr>
        <w:footnoteReference w:id="8"/>
      </w:r>
      <w:r w:rsidRPr="00804E99">
        <w:rPr>
          <w:bdr w:val="none" w:color="auto" w:sz="0" w:space="0" w:frame="1"/>
        </w:rPr>
        <w:t>). Digital disinformation can reach an extent where the level of “noise” is so high that the right to receive information under Article 10 might be infringed. Whereas formerly it was possible for the Court to regard the internet and social media as less impactful than broadcast media</w:t>
      </w:r>
      <w:r>
        <w:rPr>
          <w:rStyle w:val="FootnoteReference"/>
          <w:color w:val="242424"/>
          <w:bdr w:val="none" w:color="auto" w:sz="0" w:space="0" w:frame="1"/>
        </w:rPr>
        <w:footnoteReference w:id="9"/>
      </w:r>
      <w:r w:rsidRPr="00804E99">
        <w:rPr>
          <w:bdr w:val="none" w:color="auto" w:sz="0" w:space="0" w:frame="1"/>
        </w:rPr>
        <w:t>, this no longer holds true. While filtering the content of communications before spreading the information is the wrong approach to take, other potential solutions exist</w:t>
      </w:r>
      <w:r>
        <w:rPr>
          <w:rStyle w:val="FootnoteReference"/>
          <w:color w:val="242424"/>
          <w:bdr w:val="none" w:color="auto" w:sz="0" w:space="0" w:frame="1"/>
        </w:rPr>
        <w:footnoteReference w:id="10"/>
      </w:r>
      <w:r w:rsidRPr="00804E99">
        <w:rPr>
          <w:bdr w:val="none" w:color="auto" w:sz="0" w:space="0" w:frame="1"/>
        </w:rPr>
        <w:t xml:space="preserve">. I will only mention a few of them here: </w:t>
      </w:r>
    </w:p>
    <w:p w:rsidRPr="00804E99" w:rsidR="000B128E" w:rsidP="000B128E" w14:paraId="3FEDB5A1" w14:textId="77777777">
      <w:pPr>
        <w:pStyle w:val="JuPara"/>
        <w:rPr>
          <w:bdr w:val="none" w:color="auto" w:sz="0" w:space="0" w:frame="1"/>
        </w:rPr>
      </w:pPr>
      <w:r w:rsidRPr="00804E99">
        <w:rPr>
          <w:bdr w:val="none" w:color="auto" w:sz="0" w:space="0" w:frame="1"/>
        </w:rPr>
        <w:t>(a)</w:t>
      </w:r>
      <w:r>
        <w:rPr>
          <w:bdr w:val="none" w:color="auto" w:sz="0" w:space="0" w:frame="1"/>
        </w:rPr>
        <w:t>  </w:t>
      </w:r>
      <w:r w:rsidRPr="00804E99">
        <w:rPr>
          <w:bdr w:val="none" w:color="auto" w:sz="0" w:space="0" w:frame="1"/>
        </w:rPr>
        <w:t>Article 10 entails, in my opinion, a positive obligation to effectively ensure that social media users know whether information is being spread by real persons using their actual names (regularly controlled through identity verification, also ensuring a single personal account)</w:t>
      </w:r>
      <w:r>
        <w:rPr>
          <w:rStyle w:val="FootnoteReference"/>
          <w:color w:val="242424"/>
          <w:bdr w:val="none" w:color="auto" w:sz="0" w:space="0" w:frame="1"/>
        </w:rPr>
        <w:footnoteReference w:id="11"/>
      </w:r>
      <w:r w:rsidRPr="00804E99">
        <w:rPr>
          <w:bdr w:val="none" w:color="auto" w:sz="0" w:space="0" w:frame="1"/>
        </w:rPr>
        <w:t>, real persons using pseudonyms (thereby allowing for anonymity, which can be particularly useful in less democratic environments)</w:t>
      </w:r>
      <w:r>
        <w:rPr>
          <w:rStyle w:val="FootnoteReference"/>
          <w:color w:val="242424"/>
          <w:bdr w:val="none" w:color="auto" w:sz="0" w:space="0" w:frame="1"/>
        </w:rPr>
        <w:footnoteReference w:id="12"/>
      </w:r>
      <w:r w:rsidRPr="00804E99">
        <w:rPr>
          <w:bdr w:val="none" w:color="auto" w:sz="0" w:space="0" w:frame="1"/>
        </w:rPr>
        <w:t xml:space="preserve">, groups, fact-checked media companies, other legal persons, or bots. Social media users need to be able to effectively turn down the level of “noise” by </w:t>
      </w:r>
      <w:r w:rsidRPr="00804E99">
        <w:rPr>
          <w:i/>
          <w:bdr w:val="none" w:color="auto" w:sz="0" w:space="0" w:frame="1"/>
        </w:rPr>
        <w:t>easily</w:t>
      </w:r>
      <w:r w:rsidRPr="00804E99">
        <w:rPr>
          <w:bdr w:val="none" w:color="auto" w:sz="0" w:space="0" w:frame="1"/>
        </w:rPr>
        <w:t xml:space="preserve"> controlling which user category can appear in their newsfeed, in the comments section and among “likes”</w:t>
      </w:r>
      <w:r>
        <w:rPr>
          <w:rStyle w:val="FootnoteReference"/>
          <w:color w:val="242424"/>
          <w:bdr w:val="none" w:color="auto" w:sz="0" w:space="0" w:frame="1"/>
        </w:rPr>
        <w:footnoteReference w:id="13"/>
      </w:r>
      <w:r w:rsidRPr="00804E99">
        <w:rPr>
          <w:bdr w:val="none" w:color="auto" w:sz="0" w:space="0" w:frame="1"/>
        </w:rPr>
        <w:t xml:space="preserve">. Even if users opt to interact with several account categories at once, they should always easily and immediately be able to see which account belongs to which account category. </w:t>
      </w:r>
    </w:p>
    <w:p w:rsidRPr="00804E99" w:rsidR="000B128E" w:rsidP="000B128E" w14:paraId="1D5DC2BF" w14:textId="77777777">
      <w:pPr>
        <w:pStyle w:val="JuPara"/>
        <w:rPr>
          <w:bdr w:val="none" w:color="auto" w:sz="0" w:space="0" w:frame="1"/>
        </w:rPr>
      </w:pPr>
      <w:r w:rsidRPr="00804E99">
        <w:rPr>
          <w:bdr w:val="none" w:color="auto" w:sz="0" w:space="0" w:frame="1"/>
        </w:rPr>
        <w:t>(b)</w:t>
      </w:r>
      <w:r>
        <w:rPr>
          <w:bdr w:val="none" w:color="auto" w:sz="0" w:space="0" w:frame="1"/>
        </w:rPr>
        <w:t>  </w:t>
      </w:r>
      <w:r w:rsidRPr="00804E99">
        <w:rPr>
          <w:bdr w:val="none" w:color="auto" w:sz="0" w:space="0" w:frame="1"/>
        </w:rPr>
        <w:t>Moreover, users should by default see in their feeds only those channels which they have previously chosen to follow or to which they have subscribed (plus adverts, which should always explicitly and clearly be marked as such) – i.e., newsfeed elements from other channels should only be offered when explicitly requested by the users</w:t>
      </w:r>
      <w:r>
        <w:rPr>
          <w:rStyle w:val="FootnoteReference"/>
          <w:color w:val="242424"/>
          <w:bdr w:val="none" w:color="auto" w:sz="0" w:space="0" w:frame="1"/>
        </w:rPr>
        <w:footnoteReference w:id="14"/>
      </w:r>
      <w:r w:rsidRPr="00804E99">
        <w:rPr>
          <w:bdr w:val="none" w:color="auto" w:sz="0" w:space="0" w:frame="1"/>
        </w:rPr>
        <w:t>.</w:t>
      </w:r>
    </w:p>
    <w:p w:rsidRPr="00804E99" w:rsidR="000B128E" w:rsidP="000B128E" w14:paraId="3104EA63" w14:textId="77777777">
      <w:pPr>
        <w:pStyle w:val="JuPara"/>
        <w:rPr>
          <w:bdr w:val="none" w:color="auto" w:sz="0" w:space="0" w:frame="1"/>
        </w:rPr>
      </w:pPr>
      <w:r w:rsidRPr="00804E99">
        <w:rPr>
          <w:bdr w:val="none" w:color="auto" w:sz="0" w:space="0" w:frame="1"/>
        </w:rPr>
        <w:t>(c)</w:t>
      </w:r>
      <w:r>
        <w:rPr>
          <w:bdr w:val="none" w:color="auto" w:sz="0" w:space="0" w:frame="1"/>
        </w:rPr>
        <w:t>  </w:t>
      </w:r>
      <w:r w:rsidRPr="00804E99">
        <w:rPr>
          <w:bdr w:val="none" w:color="auto" w:sz="0" w:space="0" w:frame="1"/>
        </w:rPr>
        <w:t>Slowing down virality by imposing a waiting time (</w:t>
      </w:r>
      <w:r>
        <w:rPr>
          <w:bdr w:val="none" w:color="auto" w:sz="0" w:space="0" w:frame="1"/>
        </w:rPr>
        <w:t>for example</w:t>
      </w:r>
      <w:r w:rsidRPr="00804E99">
        <w:rPr>
          <w:bdr w:val="none" w:color="auto" w:sz="0" w:space="0" w:frame="1"/>
        </w:rPr>
        <w:t>, a few hours) until posts appear. This introduces friction as a counterweight to digital acceleration (except for privileged accounts, such as those of fact-checked media companies)</w:t>
      </w:r>
      <w:r>
        <w:rPr>
          <w:rStyle w:val="FootnoteReference"/>
          <w:color w:val="242424"/>
          <w:bdr w:val="none" w:color="auto" w:sz="0" w:space="0" w:frame="1"/>
        </w:rPr>
        <w:footnoteReference w:id="15"/>
      </w:r>
      <w:r w:rsidRPr="00804E99">
        <w:rPr>
          <w:bdr w:val="none" w:color="auto" w:sz="0" w:space="0" w:frame="1"/>
        </w:rPr>
        <w:t xml:space="preserve">. No </w:t>
      </w:r>
      <w:r w:rsidRPr="00804E99">
        <w:rPr>
          <w:bdr w:val="none" w:color="auto" w:sz="0" w:space="0" w:frame="1"/>
        </w:rPr>
        <w:t>fact-checking</w:t>
      </w:r>
      <w:r w:rsidRPr="00804E99">
        <w:rPr>
          <w:bdr w:val="none" w:color="auto" w:sz="0" w:space="0" w:frame="1"/>
        </w:rPr>
        <w:t xml:space="preserve"> (which is necessarily time</w:t>
      </w:r>
      <w:r>
        <w:rPr>
          <w:bdr w:val="none" w:color="auto" w:sz="0" w:space="0" w:frame="1"/>
        </w:rPr>
        <w:noBreakHyphen/>
      </w:r>
      <w:r w:rsidRPr="00804E99">
        <w:rPr>
          <w:bdr w:val="none" w:color="auto" w:sz="0" w:space="0" w:frame="1"/>
        </w:rPr>
        <w:t xml:space="preserve">consuming) can withstand the overwhelming and saturating flow of disinformation with which we are nowadays faced. By the time a piece of disinformation has been debunked, it can have spread virally throughout </w:t>
      </w:r>
      <w:r w:rsidRPr="00804E99">
        <w:rPr>
          <w:bdr w:val="none" w:color="auto" w:sz="0" w:space="0" w:frame="1"/>
        </w:rPr>
        <w:t xml:space="preserve">entire social media platforms, while a novel piece of disinformation can have been launched in the meantime. This then repeats itself in an endless loop, wave after wave. </w:t>
      </w:r>
    </w:p>
    <w:p w:rsidRPr="00804E99" w:rsidR="000B128E" w:rsidP="000B128E" w14:paraId="24A09901" w14:textId="77777777">
      <w:pPr>
        <w:pStyle w:val="JuPara"/>
      </w:pPr>
      <w:r w:rsidRPr="00804E99">
        <w:rPr>
          <w:bdr w:val="none" w:color="auto" w:sz="0" w:space="0" w:frame="1"/>
        </w:rPr>
        <w:t>(d)</w:t>
      </w:r>
      <w:r>
        <w:rPr>
          <w:bdr w:val="none" w:color="auto" w:sz="0" w:space="0" w:frame="1"/>
        </w:rPr>
        <w:t>  A p</w:t>
      </w:r>
      <w:r w:rsidRPr="00804E99">
        <w:rPr>
          <w:bdr w:val="none" w:color="auto" w:sz="0" w:space="0" w:frame="1"/>
        </w:rPr>
        <w:t>rohibition on micro-targeted political advertisements should also be considered, as such adverts are undermining “</w:t>
      </w:r>
      <w:r w:rsidRPr="00804E99">
        <w:t>free and open democratic debate and equal political participation by all citizens”</w:t>
      </w:r>
      <w:r>
        <w:rPr>
          <w:rStyle w:val="FootnoteReference"/>
        </w:rPr>
        <w:footnoteReference w:id="16"/>
      </w:r>
      <w:r w:rsidRPr="00804E99">
        <w:t xml:space="preserve">. They are also more susceptible to creating “noise” levels which strongly interfere with the right of citizens to receive information. </w:t>
      </w:r>
    </w:p>
    <w:p w:rsidRPr="00804E99" w:rsidR="000B128E" w:rsidP="000B128E" w14:paraId="401A8851" w14:textId="77777777">
      <w:pPr>
        <w:pStyle w:val="JuPara"/>
      </w:pPr>
      <w:r w:rsidRPr="00804E99">
        <w:t>(e)</w:t>
      </w:r>
      <w:r>
        <w:t>  </w:t>
      </w:r>
      <w:r w:rsidRPr="00804E99">
        <w:t>The lack of regulation of the influencer marketing space is a gap that malicious, non-democratic foreign countries can easily abuse, as we have seen (and are seeing) in various countries, both within and outside Europe</w:t>
      </w:r>
      <w:r>
        <w:rPr>
          <w:rStyle w:val="FootnoteReference"/>
        </w:rPr>
        <w:footnoteReference w:id="17"/>
      </w:r>
      <w:r w:rsidRPr="00804E99">
        <w:t xml:space="preserve">. </w:t>
      </w:r>
    </w:p>
    <w:p w:rsidRPr="00804E99" w:rsidR="000B128E" w:rsidP="000B128E" w14:paraId="54EC53CE" w14:textId="77777777">
      <w:pPr>
        <w:pStyle w:val="JuPara"/>
      </w:pPr>
      <w:r w:rsidRPr="00804E99">
        <w:t>(f)</w:t>
      </w:r>
      <w:r>
        <w:t>  </w:t>
      </w:r>
      <w:r w:rsidRPr="00804E99">
        <w:t>Requiring the use of blockchain technology for social media news posts could ensure that users are able to trace the posts back to reliable and fact</w:t>
      </w:r>
      <w:r>
        <w:noBreakHyphen/>
      </w:r>
      <w:r w:rsidRPr="00804E99">
        <w:t>checked media sources (if they so wish)</w:t>
      </w:r>
      <w:r>
        <w:rPr>
          <w:rStyle w:val="FootnoteReference"/>
        </w:rPr>
        <w:footnoteReference w:id="18"/>
      </w:r>
      <w:r w:rsidRPr="00804E99">
        <w:t xml:space="preserve">. </w:t>
      </w:r>
    </w:p>
    <w:p w:rsidRPr="00804E99" w:rsidR="000B128E" w:rsidP="000B128E" w14:paraId="0957F183" w14:textId="77777777">
      <w:pPr>
        <w:pStyle w:val="JuPara"/>
      </w:pPr>
      <w:r w:rsidRPr="00804E99">
        <w:t>(g)</w:t>
      </w:r>
      <w:r>
        <w:t>  </w:t>
      </w:r>
      <w:r w:rsidRPr="00804E99">
        <w:t xml:space="preserve">It is critical that researchers obtain legally guaranteed access to data held by social media platforms </w:t>
      </w:r>
      <w:r w:rsidRPr="00804E99">
        <w:t>in order to</w:t>
      </w:r>
      <w:r w:rsidRPr="00804E99">
        <w:t xml:space="preserve"> reveal social media manipulation practices and techniques. This would enable Contracting Parties to strengthen the resilience of their liberal democracies and effectively protect the rights of their citizens under Article 3 of Protocol No. 1 and Article 10</w:t>
      </w:r>
      <w:r>
        <w:rPr>
          <w:rStyle w:val="FootnoteReference"/>
        </w:rPr>
        <w:footnoteReference w:id="19"/>
      </w:r>
      <w:r w:rsidRPr="00804E99">
        <w:t xml:space="preserve">. </w:t>
      </w:r>
    </w:p>
    <w:p w:rsidRPr="00804E99" w:rsidR="000B128E" w:rsidP="000B128E" w14:paraId="0DD8E2BE" w14:textId="77777777">
      <w:pPr>
        <w:pStyle w:val="JuPara"/>
        <w:rPr>
          <w:bdr w:val="none" w:color="auto" w:sz="0" w:space="0" w:frame="1"/>
        </w:rPr>
      </w:pPr>
      <w:r w:rsidRPr="00804E99">
        <w:t>(h)</w:t>
      </w:r>
      <w:r>
        <w:t>  </w:t>
      </w:r>
      <w:r w:rsidRPr="00804E99">
        <w:t>It has been convincingly documented that AI-based chatbots are being purposefully infected by disinformation campaigns</w:t>
      </w:r>
      <w:r>
        <w:rPr>
          <w:rStyle w:val="FootnoteReference"/>
        </w:rPr>
        <w:footnoteReference w:id="20"/>
      </w:r>
      <w:r w:rsidRPr="00804E99">
        <w:t>. The providers of such services therefore need to be mandated by the Contracting Parties to take special cautionary measures to avoid this.</w:t>
      </w:r>
    </w:p>
    <w:p w:rsidRPr="00804E99" w:rsidR="000B128E" w:rsidP="000B128E" w14:paraId="547F56AF" w14:textId="77777777">
      <w:pPr>
        <w:pStyle w:val="JuPara"/>
        <w:rPr>
          <w:bdr w:val="none" w:color="auto" w:sz="0" w:space="0" w:frame="1"/>
        </w:rPr>
      </w:pPr>
      <w:r w:rsidRPr="00804E99">
        <w:rPr>
          <w:bdr w:val="none" w:color="auto" w:sz="0" w:space="0" w:frame="1"/>
        </w:rPr>
        <w:t>None of the specific, concrete regulatory solutions mentioned above follows directly from Article 3 of Protocol No. 1 and/or Article 10. There is, however, a positive obligation on Contracting Parties to carefully consider and weigh various regulatory options (such as those mentioned above) in a transparent process – conducted in the light of the rights enshrined in Article 3 of Protocol No. 1 and Article 10 – and to update their respective regulations at regular intervals</w:t>
      </w:r>
      <w:r>
        <w:rPr>
          <w:rStyle w:val="FootnoteReference"/>
          <w:color w:val="242424"/>
          <w:bdr w:val="none" w:color="auto" w:sz="0" w:space="0" w:frame="1"/>
        </w:rPr>
        <w:footnoteReference w:id="21"/>
      </w:r>
      <w:r w:rsidRPr="00804E99">
        <w:rPr>
          <w:bdr w:val="none" w:color="auto" w:sz="0" w:space="0" w:frame="1"/>
        </w:rPr>
        <w:t xml:space="preserve">. </w:t>
      </w:r>
    </w:p>
    <w:p w:rsidRPr="00804E99" w:rsidR="000B128E" w:rsidP="000B128E" w14:paraId="342D523D" w14:textId="77777777">
      <w:pPr>
        <w:pStyle w:val="JuPara"/>
      </w:pPr>
      <w:r w:rsidRPr="00804E99">
        <w:rPr>
          <w:bdr w:val="none" w:color="auto" w:sz="0" w:space="0" w:frame="1"/>
        </w:rPr>
        <w:t xml:space="preserve">One of the strengths of liberal democracies when compared </w:t>
      </w:r>
      <w:r>
        <w:rPr>
          <w:bdr w:val="none" w:color="auto" w:sz="0" w:space="0" w:frame="1"/>
        </w:rPr>
        <w:t>with</w:t>
      </w:r>
      <w:r w:rsidRPr="00804E99">
        <w:rPr>
          <w:bdr w:val="none" w:color="auto" w:sz="0" w:space="0" w:frame="1"/>
        </w:rPr>
        <w:t xml:space="preserve"> autocracies is that the former’s political decision-making and democratic accountability mechanisms (such as elections) tend to be relatively more strongly influenced by fact-based discourses weighing various arguments. If we allow the “noise” levels of digital disinformation to ramp up as high as they currently do in our public debates, then we are endangering the structural superiority of liberal democracy itself.</w:t>
      </w:r>
    </w:p>
    <w:p w:rsidRPr="00804E99" w:rsidR="000B128E" w:rsidP="000B128E" w14:paraId="49B8BFC2" w14:textId="77777777">
      <w:pPr>
        <w:pStyle w:val="JuPara"/>
        <w:rPr>
          <w:bdr w:val="none" w:color="auto" w:sz="0" w:space="0" w:frame="1"/>
        </w:rPr>
      </w:pPr>
      <w:r w:rsidRPr="00804E99">
        <w:rPr>
          <w:bdr w:val="none" w:color="auto" w:sz="0" w:space="0" w:frame="1"/>
        </w:rPr>
        <w:t>(IV)</w:t>
      </w:r>
      <w:r>
        <w:rPr>
          <w:bdr w:val="none" w:color="auto" w:sz="0" w:space="0" w:frame="1"/>
        </w:rPr>
        <w:t>  </w:t>
      </w:r>
      <w:r w:rsidRPr="00804E99">
        <w:rPr>
          <w:bdr w:val="none" w:color="auto" w:sz="0" w:space="0" w:frame="1"/>
        </w:rPr>
        <w:t>The question of victim status in many election</w:t>
      </w:r>
      <w:r>
        <w:rPr>
          <w:bdr w:val="none" w:color="auto" w:sz="0" w:space="0" w:frame="1"/>
        </w:rPr>
        <w:t>-</w:t>
      </w:r>
      <w:r w:rsidRPr="00804E99">
        <w:rPr>
          <w:bdr w:val="none" w:color="auto" w:sz="0" w:space="0" w:frame="1"/>
        </w:rPr>
        <w:t>interference cases is analogous to that posed by secret</w:t>
      </w:r>
      <w:r>
        <w:rPr>
          <w:bdr w:val="none" w:color="auto" w:sz="0" w:space="0" w:frame="1"/>
        </w:rPr>
        <w:t>-</w:t>
      </w:r>
      <w:r w:rsidRPr="00804E99">
        <w:rPr>
          <w:bdr w:val="none" w:color="auto" w:sz="0" w:space="0" w:frame="1"/>
        </w:rPr>
        <w:t>surveillance cases (such as</w:t>
      </w:r>
      <w:r w:rsidRPr="00E9157B">
        <w:rPr>
          <w:iCs/>
          <w:bdr w:val="none" w:color="auto" w:sz="0" w:space="0" w:frame="1"/>
        </w:rPr>
        <w:t xml:space="preserve"> </w:t>
      </w:r>
      <w:r w:rsidRPr="00804E99">
        <w:rPr>
          <w:i/>
          <w:bdr w:val="none" w:color="auto" w:sz="0" w:space="0" w:frame="1"/>
        </w:rPr>
        <w:t xml:space="preserve">Szabó and </w:t>
      </w:r>
      <w:r w:rsidRPr="00804E99">
        <w:rPr>
          <w:i/>
          <w:bdr w:val="none" w:color="auto" w:sz="0" w:space="0" w:frame="1"/>
        </w:rPr>
        <w:t>Vissy</w:t>
      </w:r>
      <w:r w:rsidRPr="00804E99">
        <w:rPr>
          <w:i/>
          <w:bdr w:val="none" w:color="auto" w:sz="0" w:space="0" w:frame="1"/>
        </w:rPr>
        <w:t xml:space="preserve"> v. Hungary</w:t>
      </w:r>
      <w:r w:rsidRPr="00804E99">
        <w:rPr>
          <w:bdr w:val="none" w:color="auto" w:sz="0" w:space="0" w:frame="1"/>
        </w:rPr>
        <w:t xml:space="preserve">, no. 37138/14, §§ 32-39, 12 January 2016), since one of their peculiarities is precisely that, for the most part, one cannot be sure how much influence such </w:t>
      </w:r>
      <w:r w:rsidRPr="00804E99">
        <w:rPr>
          <w:i/>
          <w:iCs/>
          <w:bdr w:val="none" w:color="auto" w:sz="0" w:space="0" w:frame="1"/>
        </w:rPr>
        <w:t>covert operations</w:t>
      </w:r>
      <w:r w:rsidRPr="00E9157B">
        <w:rPr>
          <w:bdr w:val="none" w:color="auto" w:sz="0" w:space="0" w:frame="1"/>
        </w:rPr>
        <w:t xml:space="preserve"> </w:t>
      </w:r>
      <w:r w:rsidRPr="00804E99">
        <w:rPr>
          <w:iCs/>
          <w:bdr w:val="none" w:color="auto" w:sz="0" w:space="0" w:frame="1"/>
        </w:rPr>
        <w:t xml:space="preserve">actually </w:t>
      </w:r>
      <w:r w:rsidRPr="00804E99">
        <w:rPr>
          <w:bdr w:val="none" w:color="auto" w:sz="0" w:space="0" w:frame="1"/>
        </w:rPr>
        <w:t xml:space="preserve">had on the outcome of the elections in question. Moreover, there is also a trade-off involved: the stricter we are </w:t>
      </w:r>
      <w:r w:rsidRPr="00804E99">
        <w:rPr>
          <w:bdr w:val="none" w:color="auto" w:sz="0" w:space="0" w:frame="1"/>
        </w:rPr>
        <w:t>with regard to</w:t>
      </w:r>
      <w:r w:rsidRPr="00804E99">
        <w:rPr>
          <w:bdr w:val="none" w:color="auto" w:sz="0" w:space="0" w:frame="1"/>
        </w:rPr>
        <w:t xml:space="preserve"> the substantive side of victim status (i.e., actual harm or disadvantage suffered), the stronger the arguments become for a self-standing procedural obligation to investigate. Otherwise, the right protected by Article 3 of Protocol No. 1 would be hollowed out in the context of election interference, since private individuals simply do not have the IT, logistical and investigative capabilities to acquire and present more evidence on their own.</w:t>
      </w:r>
    </w:p>
    <w:p w:rsidRPr="00FC1073" w:rsidR="00182EBA" w:rsidP="00EC72D6" w14:paraId="67BF4065" w14:textId="77C3A0D5">
      <w:pPr>
        <w:pStyle w:val="JuPara"/>
      </w:pPr>
      <w:r w:rsidRPr="00804E99">
        <w:rPr>
          <w:bdr w:val="none" w:color="auto" w:sz="0" w:space="0" w:frame="1"/>
        </w:rPr>
        <w:fldChar w:fldCharType="begin"/>
      </w:r>
      <w:r w:rsidRPr="00804E99">
        <w:rPr>
          <w:bdr w:val="none" w:color="auto" w:sz="0" w:space="0" w:frame="1"/>
        </w:rPr>
        <w:instrText xml:space="preserve"> SEQ level0 \*arabic \* MERGEFORMAT </w:instrText>
      </w:r>
      <w:r w:rsidRPr="00804E99">
        <w:rPr>
          <w:bdr w:val="none" w:color="auto" w:sz="0" w:space="0" w:frame="1"/>
        </w:rPr>
        <w:fldChar w:fldCharType="separate"/>
      </w:r>
      <w:r w:rsidRPr="00804E99">
        <w:rPr>
          <w:bdr w:val="none" w:color="auto" w:sz="0" w:space="0" w:frame="1"/>
        </w:rPr>
        <w:t>5</w:t>
      </w:r>
      <w:r w:rsidRPr="00804E99">
        <w:rPr>
          <w:bdr w:val="none" w:color="auto" w:sz="0" w:space="0" w:frame="1"/>
        </w:rPr>
        <w:fldChar w:fldCharType="end"/>
      </w:r>
      <w:r w:rsidRPr="00804E99">
        <w:rPr>
          <w:bdr w:val="none" w:color="auto" w:sz="0" w:space="0" w:frame="1"/>
        </w:rPr>
        <w:t>.  </w:t>
      </w:r>
      <w:r w:rsidRPr="00804E99">
        <w:t>Even though the issue of election interference through digital disinformation goes to the very heart of the Court’s mission of protecting the institutional system of liberal democracy, the corresponding</w:t>
      </w:r>
      <w:r w:rsidRPr="00804E99">
        <w:rPr>
          <w:bdr w:val="none" w:color="auto" w:sz="0" w:space="0" w:frame="1"/>
        </w:rPr>
        <w:t xml:space="preserve"> case-law has so far been much less detailed than in other areas which are less central to this mission</w:t>
      </w:r>
      <w:r w:rsidRPr="00804E99">
        <w:t>. I therefore consider a more detailed elaboration of the above questions by the Court to be urgently necessary.</w:t>
      </w:r>
    </w:p>
    <w:sectPr w:rsidSect="00DB70A5">
      <w:headerReference w:type="even" r:id="rId14"/>
      <w:headerReference w:type="default" r:id="rId15"/>
      <w:footerReference w:type="even"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59F" w:rsidRPr="00FC1073" w:rsidP="0020718E" w14:paraId="597D2CF3" w14:textId="718E4B82">
    <w:pPr>
      <w:jc w:val="center"/>
    </w:pPr>
    <w:r w:rsidRPr="00CA0551">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FC1073" w:rsidP="00AF12C5" w14:paraId="043D1F58" w14:textId="71A8BE0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59F" w:rsidRPr="00FC1073" w:rsidP="0020718E" w14:paraId="56685822" w14:textId="13251F3B">
    <w:pPr>
      <w:jc w:val="center"/>
    </w:pPr>
    <w:r w:rsidRPr="00CA0551">
      <w:rPr>
        <w:noProof/>
      </w:rPr>
      <w:drawing>
        <wp:inline distT="0" distB="0" distL="0" distR="0">
          <wp:extent cx="771525" cy="619125"/>
          <wp:effectExtent l="0" t="0" r="9525" b="9525"/>
          <wp:docPr id="135" name="Picture 1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FC1073" w:rsidP="009E7A6F" w14:paraId="33EBADE0" w14:textId="3B64553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59F" w:rsidP="009A115C" w14:paraId="4E1AE45E" w14:textId="79731733">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59F" w:rsidRPr="00F92F09" w:rsidP="007D3701" w14:paraId="401F8D77" w14:textId="5C7C22AF">
    <w:pPr>
      <w:pStyle w:val="JuHeader"/>
      <w:rPr>
        <w:lang w:val="fr-FR"/>
      </w:rP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90115B6" w14:textId="77F5D3BA">
    <w:pPr>
      <w:pStyle w:val="JuHeader"/>
    </w:pP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B201F" w:rsidRPr="00FC1073" w:rsidP="0098410D" w14:paraId="0795C878" w14:textId="77777777">
      <w:r w:rsidRPr="00FC1073">
        <w:separator/>
      </w:r>
    </w:p>
  </w:footnote>
  <w:footnote w:type="continuationSeparator" w:id="1">
    <w:p w:rsidR="000B201F" w:rsidRPr="00FC1073" w:rsidP="0098410D" w14:paraId="4412437B" w14:textId="77777777">
      <w:r w:rsidRPr="00FC1073">
        <w:continuationSeparator/>
      </w:r>
    </w:p>
  </w:footnote>
  <w:footnote w:id="2">
    <w:p w:rsidR="00A8059F" w:rsidRPr="00FC1073" w:rsidP="00A8059F" w14:paraId="75D3C2F6" w14:textId="63ADD3FC">
      <w:pPr>
        <w:pStyle w:val="FootnoteText"/>
        <w:rPr>
          <w:sz w:val="18"/>
          <w:szCs w:val="18"/>
        </w:rPr>
      </w:pPr>
      <w:r w:rsidRPr="00FC1073">
        <w:rPr>
          <w:rStyle w:val="FootnoteReference"/>
        </w:rPr>
        <w:footnoteRef/>
      </w:r>
      <w:r w:rsidR="00F947F1">
        <w:t xml:space="preserve"> </w:t>
      </w:r>
      <w:hyperlink r:id="rId1" w:history="1">
        <w:r w:rsidRPr="00FC1073">
          <w:rPr>
            <w:rStyle w:val="Hyperlink"/>
            <w:sz w:val="18"/>
            <w:szCs w:val="18"/>
          </w:rPr>
          <w:t>https://commission.europa.eu/topics/strategic-communication-and-tackling-disinformation_en</w:t>
        </w:r>
      </w:hyperlink>
      <w:r w:rsidRPr="00FC1073">
        <w:rPr>
          <w:rStyle w:val="Hyperlink"/>
          <w:sz w:val="18"/>
          <w:szCs w:val="18"/>
        </w:rPr>
        <w:t>.</w:t>
      </w:r>
      <w:r w:rsidRPr="00FC1073" w:rsidR="00BA7F1C">
        <w:rPr>
          <w:sz w:val="18"/>
          <w:szCs w:val="18"/>
        </w:rPr>
        <w:t xml:space="preserve"> </w:t>
      </w:r>
      <w:r w:rsidRPr="00FC1073">
        <w:rPr>
          <w:sz w:val="18"/>
          <w:szCs w:val="18"/>
        </w:rPr>
        <w:t>Last accessed on 13 November 2024.</w:t>
      </w:r>
    </w:p>
  </w:footnote>
  <w:footnote w:id="3">
    <w:p w:rsidR="000B128E" w:rsidRPr="00804E99" w:rsidP="000B128E" w14:paraId="795014E6"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w:t>
      </w:r>
      <w:r w:rsidRPr="00804E99">
        <w:rPr>
          <w:rFonts w:ascii="Times New Roman" w:hAnsi="Times New Roman" w:cs="Times New Roman"/>
          <w:color w:val="242424"/>
          <w:bdr w:val="none" w:sz="0" w:space="0" w:color="auto" w:frame="1"/>
        </w:rPr>
        <w:t>Angelika Nu</w:t>
      </w:r>
      <w:r>
        <w:rPr>
          <w:rFonts w:ascii="Times New Roman" w:hAnsi="Times New Roman" w:cs="Times New Roman"/>
          <w:color w:val="242424"/>
          <w:bdr w:val="none" w:sz="0" w:space="0" w:color="auto" w:frame="1"/>
        </w:rPr>
        <w:t>ß</w:t>
      </w:r>
      <w:r w:rsidRPr="00804E99">
        <w:rPr>
          <w:rFonts w:ascii="Times New Roman" w:hAnsi="Times New Roman" w:cs="Times New Roman"/>
          <w:color w:val="242424"/>
          <w:bdr w:val="none" w:sz="0" w:space="0" w:color="auto" w:frame="1"/>
        </w:rPr>
        <w:t xml:space="preserve">berger, </w:t>
      </w:r>
      <w:r w:rsidRPr="00804E99">
        <w:rPr>
          <w:rFonts w:ascii="Times New Roman" w:hAnsi="Times New Roman" w:cs="Times New Roman"/>
          <w:i/>
          <w:color w:val="242424"/>
          <w:bdr w:val="none" w:sz="0" w:space="0" w:color="auto" w:frame="1"/>
        </w:rPr>
        <w:t>The European Court of Human Rights</w:t>
      </w:r>
      <w:r w:rsidRPr="001D33EA">
        <w:rPr>
          <w:rFonts w:ascii="Times New Roman" w:hAnsi="Times New Roman" w:cs="Times New Roman"/>
          <w:iCs/>
          <w:color w:val="242424"/>
          <w:bdr w:val="none" w:sz="0" w:space="0" w:color="auto" w:frame="1"/>
        </w:rPr>
        <w:t xml:space="preserve"> </w:t>
      </w:r>
      <w:r>
        <w:rPr>
          <w:rFonts w:ascii="Times New Roman" w:hAnsi="Times New Roman" w:cs="Times New Roman"/>
          <w:iCs/>
          <w:color w:val="242424"/>
          <w:bdr w:val="none" w:sz="0" w:space="0" w:color="auto" w:frame="1"/>
        </w:rPr>
        <w:t>(</w:t>
      </w:r>
      <w:r w:rsidRPr="00804E99">
        <w:rPr>
          <w:rFonts w:ascii="Times New Roman" w:hAnsi="Times New Roman" w:cs="Times New Roman"/>
          <w:color w:val="242424"/>
          <w:bdr w:val="none" w:sz="0" w:space="0" w:color="auto" w:frame="1"/>
        </w:rPr>
        <w:t>Oxford University Press, 2020</w:t>
      </w:r>
      <w:r>
        <w:rPr>
          <w:rFonts w:ascii="Times New Roman" w:hAnsi="Times New Roman" w:cs="Times New Roman"/>
          <w:color w:val="242424"/>
          <w:bdr w:val="none" w:sz="0" w:space="0" w:color="auto" w:frame="1"/>
        </w:rPr>
        <w:t>)</w:t>
      </w:r>
      <w:r w:rsidRPr="00804E99">
        <w:rPr>
          <w:rFonts w:ascii="Times New Roman" w:hAnsi="Times New Roman" w:cs="Times New Roman"/>
          <w:color w:val="242424"/>
          <w:bdr w:val="none" w:sz="0" w:space="0" w:color="auto" w:frame="1"/>
        </w:rPr>
        <w:t xml:space="preserve">, p. 189: “The ECtHR had been created to prevent a backlash into </w:t>
      </w:r>
      <w:r w:rsidRPr="00F6243B">
        <w:rPr>
          <w:rFonts w:ascii="Times New Roman" w:hAnsi="Times New Roman" w:cs="Times New Roman"/>
          <w:color w:val="242424"/>
          <w:bdr w:val="none" w:sz="0" w:space="0" w:color="auto" w:frame="1"/>
        </w:rPr>
        <w:t>dictatorship.” The</w:t>
      </w:r>
      <w:r w:rsidRPr="00804E99">
        <w:rPr>
          <w:rFonts w:ascii="Times New Roman" w:hAnsi="Times New Roman" w:cs="Times New Roman"/>
          <w:color w:val="242424"/>
          <w:bdr w:val="none" w:sz="0" w:space="0" w:color="auto" w:frame="1"/>
        </w:rPr>
        <w:t xml:space="preserve"> Convention was originally meant by some of its founding fathers to act as a collective pact against totalitarianism (see </w:t>
      </w:r>
      <w:r w:rsidRPr="00804E99">
        <w:rPr>
          <w:rFonts w:ascii="Times New Roman" w:hAnsi="Times New Roman" w:cs="Times New Roman"/>
        </w:rPr>
        <w:t xml:space="preserve">Ed Bates, </w:t>
      </w:r>
      <w:r w:rsidRPr="00804E99">
        <w:rPr>
          <w:rFonts w:ascii="Times New Roman" w:hAnsi="Times New Roman" w:cs="Times New Roman"/>
          <w:i/>
        </w:rPr>
        <w:t>The Evolution of the European Convention on Human Rights</w:t>
      </w:r>
      <w:r w:rsidRPr="00804E99">
        <w:rPr>
          <w:rFonts w:ascii="Times New Roman" w:hAnsi="Times New Roman" w:cs="Times New Roman"/>
        </w:rPr>
        <w:t xml:space="preserve"> </w:t>
      </w:r>
      <w:r>
        <w:rPr>
          <w:rFonts w:ascii="Times New Roman" w:hAnsi="Times New Roman" w:cs="Times New Roman"/>
        </w:rPr>
        <w:t>(</w:t>
      </w:r>
      <w:r w:rsidRPr="00804E99">
        <w:rPr>
          <w:rFonts w:ascii="Times New Roman" w:hAnsi="Times New Roman" w:cs="Times New Roman"/>
          <w:color w:val="242424"/>
          <w:bdr w:val="none" w:sz="0" w:space="0" w:color="auto" w:frame="1"/>
        </w:rPr>
        <w:t xml:space="preserve">Oxford University Press, </w:t>
      </w:r>
      <w:r w:rsidRPr="00804E99">
        <w:rPr>
          <w:rFonts w:ascii="Times New Roman" w:hAnsi="Times New Roman" w:cs="Times New Roman"/>
        </w:rPr>
        <w:t>2010</w:t>
      </w:r>
      <w:r>
        <w:rPr>
          <w:rFonts w:ascii="Times New Roman" w:hAnsi="Times New Roman" w:cs="Times New Roman"/>
        </w:rPr>
        <w:t>)</w:t>
      </w:r>
      <w:r w:rsidRPr="00804E99">
        <w:rPr>
          <w:rFonts w:ascii="Times New Roman" w:hAnsi="Times New Roman" w:cs="Times New Roman"/>
        </w:rPr>
        <w:t>, p. 75).</w:t>
      </w:r>
    </w:p>
  </w:footnote>
  <w:footnote w:id="4">
    <w:p w:rsidR="000B128E" w:rsidRPr="00804E99" w:rsidP="000B128E" w14:paraId="103EAD4D"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On the interconnectedness of democracy and human rights, see also the Preamble to the Convention, which reaffirms a “profound belief in those</w:t>
      </w:r>
      <w:r w:rsidRPr="00804E99">
        <w:rPr>
          <w:rFonts w:ascii="Times New Roman" w:hAnsi="Times New Roman" w:cs="Times New Roman"/>
          <w:shd w:val="clear" w:color="auto" w:fill="FFFFFF"/>
        </w:rPr>
        <w:t xml:space="preserve"> fundamental freedoms which are the foundation of justice and peace in the world and are best maintained on the one hand by an effective political democracy and on the other by a common understanding and observance of the Human Rights upon which they depend”. </w:t>
      </w:r>
      <w:r w:rsidRPr="00F6243B">
        <w:rPr>
          <w:rFonts w:ascii="Times New Roman" w:hAnsi="Times New Roman" w:cs="Times New Roman"/>
          <w:shd w:val="clear" w:color="auto" w:fill="FFFFFF"/>
        </w:rPr>
        <w:t>On this interconnectedness</w:t>
      </w:r>
      <w:r w:rsidRPr="00804E99">
        <w:rPr>
          <w:rFonts w:ascii="Times New Roman" w:hAnsi="Times New Roman" w:cs="Times New Roman"/>
          <w:shd w:val="clear" w:color="auto" w:fill="FFFFFF"/>
        </w:rPr>
        <w:t xml:space="preserve"> in general, see András Jakab, “What Can Constitutional Law Do against the Erosion of Democracy and the Rule of Law? On the Interconnectedness of the Protection of Democracy and the Rule of Law” </w:t>
      </w:r>
      <w:r>
        <w:rPr>
          <w:rFonts w:ascii="Times New Roman" w:hAnsi="Times New Roman" w:cs="Times New Roman"/>
          <w:shd w:val="clear" w:color="auto" w:fill="FFFFFF"/>
        </w:rPr>
        <w:t>in</w:t>
      </w:r>
      <w:r w:rsidRPr="00804E99">
        <w:rPr>
          <w:rFonts w:ascii="Times New Roman" w:hAnsi="Times New Roman" w:cs="Times New Roman"/>
          <w:shd w:val="clear" w:color="auto" w:fill="FFFFFF"/>
        </w:rPr>
        <w:t xml:space="preserve"> </w:t>
      </w:r>
      <w:r w:rsidRPr="00804E99">
        <w:rPr>
          <w:rFonts w:ascii="Times New Roman" w:hAnsi="Times New Roman" w:cs="Times New Roman"/>
          <w:i/>
          <w:shd w:val="clear" w:color="auto" w:fill="FFFFFF"/>
        </w:rPr>
        <w:t>Constitutional Studies</w:t>
      </w:r>
      <w:r>
        <w:rPr>
          <w:rFonts w:ascii="Times New Roman" w:hAnsi="Times New Roman" w:cs="Times New Roman"/>
          <w:shd w:val="clear" w:color="auto" w:fill="FFFFFF"/>
        </w:rPr>
        <w:t xml:space="preserve"> (2020) </w:t>
      </w:r>
      <w:r w:rsidRPr="00804E99">
        <w:rPr>
          <w:rFonts w:ascii="Times New Roman" w:hAnsi="Times New Roman" w:cs="Times New Roman"/>
          <w:shd w:val="clear" w:color="auto" w:fill="FFFFFF"/>
        </w:rPr>
        <w:t>vol. 6, p</w:t>
      </w:r>
      <w:r>
        <w:rPr>
          <w:rFonts w:ascii="Times New Roman" w:hAnsi="Times New Roman" w:cs="Times New Roman"/>
          <w:shd w:val="clear" w:color="auto" w:fill="FFFFFF"/>
        </w:rPr>
        <w:t>p</w:t>
      </w:r>
      <w:r w:rsidRPr="00804E99">
        <w:rPr>
          <w:rFonts w:ascii="Times New Roman" w:hAnsi="Times New Roman" w:cs="Times New Roman"/>
          <w:shd w:val="clear" w:color="auto" w:fill="FFFFFF"/>
        </w:rPr>
        <w:t>. 5-34.</w:t>
      </w:r>
    </w:p>
  </w:footnote>
  <w:footnote w:id="5">
    <w:p w:rsidR="000B128E" w:rsidRPr="00804E99" w:rsidP="000B128E" w14:paraId="4F8B0C42" w14:textId="16CF31E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w:t>
      </w:r>
      <w:r w:rsidR="002860CD">
        <w:rPr>
          <w:rFonts w:ascii="Times New Roman" w:hAnsi="Times New Roman" w:cs="Times New Roman"/>
        </w:rPr>
        <w:t xml:space="preserve"> </w:t>
      </w:r>
      <w:r w:rsidRPr="00804E99">
        <w:rPr>
          <w:rFonts w:ascii="Times New Roman" w:hAnsi="Times New Roman" w:cs="Times New Roman"/>
        </w:rPr>
        <w:t xml:space="preserve">See </w:t>
      </w:r>
      <w:r w:rsidRPr="00804E99">
        <w:rPr>
          <w:rFonts w:ascii="Times New Roman" w:hAnsi="Times New Roman" w:cs="Times New Roman"/>
          <w:i/>
        </w:rPr>
        <w:t>Novaya Gazeta and Others v. Russia</w:t>
      </w:r>
      <w:r w:rsidRPr="00804E99">
        <w:rPr>
          <w:rFonts w:ascii="Times New Roman" w:hAnsi="Times New Roman" w:cs="Times New Roman"/>
        </w:rPr>
        <w:t>, nos. 11884/22 and 161</w:t>
      </w:r>
      <w:r>
        <w:rPr>
          <w:rFonts w:ascii="Times New Roman" w:hAnsi="Times New Roman" w:cs="Times New Roman"/>
        </w:rPr>
        <w:t xml:space="preserve"> </w:t>
      </w:r>
      <w:r w:rsidRPr="00804E99">
        <w:rPr>
          <w:rFonts w:ascii="Times New Roman" w:hAnsi="Times New Roman" w:cs="Times New Roman"/>
        </w:rPr>
        <w:t xml:space="preserve">others, 11 February 2025; </w:t>
      </w:r>
      <w:r w:rsidRPr="00804E99">
        <w:rPr>
          <w:rFonts w:ascii="Times New Roman" w:hAnsi="Times New Roman" w:cs="Times New Roman"/>
          <w:i/>
        </w:rPr>
        <w:t>Kobaliya</w:t>
      </w:r>
      <w:r w:rsidRPr="00804E99">
        <w:rPr>
          <w:rFonts w:ascii="Times New Roman" w:hAnsi="Times New Roman" w:cs="Times New Roman"/>
          <w:i/>
        </w:rPr>
        <w:t xml:space="preserve"> and Others v. Russia</w:t>
      </w:r>
      <w:r w:rsidRPr="00E9157B">
        <w:rPr>
          <w:rFonts w:ascii="Times New Roman" w:hAnsi="Times New Roman" w:cs="Times New Roman"/>
          <w:iCs/>
        </w:rPr>
        <w:t>,</w:t>
      </w:r>
      <w:r w:rsidRPr="00804E99">
        <w:rPr>
          <w:rFonts w:ascii="Times New Roman" w:hAnsi="Times New Roman" w:cs="Times New Roman"/>
        </w:rPr>
        <w:t xml:space="preserve"> nos. 39446/16 and 106</w:t>
      </w:r>
      <w:r>
        <w:rPr>
          <w:rFonts w:ascii="Times New Roman" w:hAnsi="Times New Roman" w:cs="Times New Roman"/>
        </w:rPr>
        <w:t xml:space="preserve"> </w:t>
      </w:r>
      <w:r w:rsidRPr="00804E99">
        <w:rPr>
          <w:rFonts w:ascii="Times New Roman" w:hAnsi="Times New Roman" w:cs="Times New Roman"/>
        </w:rPr>
        <w:t xml:space="preserve">others, 22 October 2024; and </w:t>
      </w:r>
      <w:r w:rsidRPr="00804E99">
        <w:rPr>
          <w:rFonts w:ascii="Times New Roman" w:hAnsi="Times New Roman" w:cs="Times New Roman"/>
          <w:i/>
        </w:rPr>
        <w:t>Ecodefence</w:t>
      </w:r>
      <w:r w:rsidRPr="00804E99">
        <w:rPr>
          <w:rFonts w:ascii="Times New Roman" w:hAnsi="Times New Roman" w:cs="Times New Roman"/>
          <w:i/>
        </w:rPr>
        <w:t xml:space="preserve"> and Others v. Russia</w:t>
      </w:r>
      <w:r w:rsidRPr="00804E99">
        <w:rPr>
          <w:rFonts w:ascii="Times New Roman" w:hAnsi="Times New Roman" w:cs="Times New Roman"/>
        </w:rPr>
        <w:t>, nos. 9988/13 and 60</w:t>
      </w:r>
      <w:r>
        <w:rPr>
          <w:rFonts w:ascii="Times New Roman" w:hAnsi="Times New Roman" w:cs="Times New Roman"/>
        </w:rPr>
        <w:t xml:space="preserve"> </w:t>
      </w:r>
      <w:r w:rsidRPr="00804E99">
        <w:rPr>
          <w:rFonts w:ascii="Times New Roman" w:hAnsi="Times New Roman" w:cs="Times New Roman"/>
        </w:rPr>
        <w:t>others, 14 June 2022.</w:t>
      </w:r>
    </w:p>
  </w:footnote>
  <w:footnote w:id="6">
    <w:p w:rsidR="000B128E" w:rsidRPr="004D2166" w:rsidP="000B128E" w14:paraId="24621D0A" w14:textId="77777777">
      <w:pPr>
        <w:pStyle w:val="FootnoteText"/>
        <w:rPr>
          <w:rFonts w:ascii="Times New Roman" w:hAnsi="Times New Roman" w:cs="Times New Roman"/>
          <w:lang w:val="fr-FR"/>
        </w:rPr>
      </w:pPr>
      <w:r w:rsidRPr="00804E99">
        <w:rPr>
          <w:rStyle w:val="FootnoteReference"/>
          <w:rFonts w:ascii="Times New Roman" w:hAnsi="Times New Roman" w:cs="Times New Roman"/>
        </w:rPr>
        <w:footnoteRef/>
      </w:r>
      <w:r w:rsidRPr="004D2166">
        <w:rPr>
          <w:rFonts w:ascii="Times New Roman" w:hAnsi="Times New Roman" w:cs="Times New Roman"/>
          <w:lang w:val="fr-FR"/>
        </w:rPr>
        <w:t xml:space="preserve"> See </w:t>
      </w:r>
      <w:r w:rsidRPr="004D2166">
        <w:rPr>
          <w:rFonts w:ascii="Times New Roman" w:hAnsi="Times New Roman" w:cs="Times New Roman"/>
          <w:i/>
          <w:lang w:val="fr-FR"/>
        </w:rPr>
        <w:t>Parti nationaliste basque – Organisation régionale d’</w:t>
      </w:r>
      <w:r w:rsidRPr="004D2166">
        <w:rPr>
          <w:rFonts w:ascii="Times New Roman" w:hAnsi="Times New Roman" w:cs="Times New Roman"/>
          <w:i/>
          <w:lang w:val="fr-FR"/>
        </w:rPr>
        <w:t>Iparralde</w:t>
      </w:r>
      <w:r w:rsidRPr="004D2166">
        <w:rPr>
          <w:rFonts w:ascii="Times New Roman" w:hAnsi="Times New Roman" w:cs="Times New Roman"/>
          <w:i/>
          <w:lang w:val="fr-FR"/>
        </w:rPr>
        <w:t xml:space="preserve"> v. France</w:t>
      </w:r>
      <w:r w:rsidRPr="004D2166">
        <w:rPr>
          <w:rFonts w:ascii="Times New Roman" w:hAnsi="Times New Roman" w:cs="Times New Roman"/>
          <w:lang w:val="fr-FR"/>
        </w:rPr>
        <w:t xml:space="preserve">, no. 71251/01, § 43, </w:t>
      </w:r>
      <w:r>
        <w:rPr>
          <w:rFonts w:ascii="Times New Roman" w:hAnsi="Times New Roman" w:cs="Times New Roman"/>
          <w:lang w:val="fr-FR"/>
        </w:rPr>
        <w:t>ECHR</w:t>
      </w:r>
      <w:r w:rsidRPr="004D2166">
        <w:rPr>
          <w:rFonts w:ascii="Times New Roman" w:hAnsi="Times New Roman" w:cs="Times New Roman"/>
          <w:lang w:val="fr-FR"/>
        </w:rPr>
        <w:t xml:space="preserve"> 2007</w:t>
      </w:r>
      <w:r>
        <w:rPr>
          <w:rFonts w:ascii="Times New Roman" w:hAnsi="Times New Roman" w:cs="Times New Roman"/>
          <w:lang w:val="fr-FR"/>
        </w:rPr>
        <w:noBreakHyphen/>
        <w:t>II</w:t>
      </w:r>
      <w:r w:rsidRPr="004D2166">
        <w:rPr>
          <w:rFonts w:ascii="Times New Roman" w:hAnsi="Times New Roman" w:cs="Times New Roman"/>
          <w:lang w:val="fr-FR"/>
        </w:rPr>
        <w:t>.</w:t>
      </w:r>
    </w:p>
  </w:footnote>
  <w:footnote w:id="7">
    <w:p w:rsidR="000B128E" w:rsidRPr="00804E99" w:rsidP="000B128E" w14:paraId="6300D309" w14:textId="77777777">
      <w:pPr>
        <w:pStyle w:val="FootnoteText"/>
        <w:rPr>
          <w:rFonts w:ascii="Times New Roman" w:hAnsi="Times New Roman" w:cs="Times New Roman"/>
        </w:rPr>
      </w:pPr>
      <w:r w:rsidRPr="00F6243B">
        <w:rPr>
          <w:rStyle w:val="FootnoteReference"/>
          <w:rFonts w:ascii="Times New Roman" w:hAnsi="Times New Roman" w:cs="Times New Roman"/>
        </w:rPr>
        <w:footnoteRef/>
      </w:r>
      <w:r w:rsidRPr="00F6243B">
        <w:rPr>
          <w:rFonts w:ascii="Times New Roman" w:hAnsi="Times New Roman" w:cs="Times New Roman"/>
        </w:rPr>
        <w:t xml:space="preserve"> On rule of law indices</w:t>
      </w:r>
      <w:r w:rsidRPr="00804E99">
        <w:rPr>
          <w:rFonts w:ascii="Times New Roman" w:hAnsi="Times New Roman" w:cs="Times New Roman"/>
        </w:rPr>
        <w:t xml:space="preserve"> and the </w:t>
      </w:r>
      <w:r w:rsidRPr="00804E99">
        <w:rPr>
          <w:rFonts w:ascii="Times New Roman" w:hAnsi="Times New Roman" w:cs="Times New Roman"/>
          <w:i/>
        </w:rPr>
        <w:t>de facto</w:t>
      </w:r>
      <w:r w:rsidRPr="00804E99">
        <w:rPr>
          <w:rFonts w:ascii="Times New Roman" w:hAnsi="Times New Roman" w:cs="Times New Roman"/>
        </w:rPr>
        <w:t xml:space="preserve"> quality of liberal democracy, see András Jakab and Lando Kirchmair, </w:t>
      </w:r>
      <w:r w:rsidRPr="00804E99">
        <w:rPr>
          <w:rFonts w:ascii="Times New Roman" w:hAnsi="Times New Roman" w:cs="Times New Roman"/>
          <w:i/>
        </w:rPr>
        <w:t>Saving the European Union from Its Illiberal Member States</w:t>
      </w:r>
      <w:r w:rsidRPr="00804E99">
        <w:rPr>
          <w:rFonts w:ascii="Times New Roman" w:hAnsi="Times New Roman" w:cs="Times New Roman"/>
        </w:rPr>
        <w:t xml:space="preserve"> </w:t>
      </w:r>
      <w:r>
        <w:rPr>
          <w:rFonts w:ascii="Times New Roman" w:hAnsi="Times New Roman" w:cs="Times New Roman"/>
        </w:rPr>
        <w:t>(</w:t>
      </w:r>
      <w:r w:rsidRPr="00804E99">
        <w:rPr>
          <w:rFonts w:ascii="Times New Roman" w:hAnsi="Times New Roman" w:cs="Times New Roman"/>
        </w:rPr>
        <w:t>Oxford University Press, 2025</w:t>
      </w:r>
      <w:r>
        <w:rPr>
          <w:rFonts w:ascii="Times New Roman" w:hAnsi="Times New Roman" w:cs="Times New Roman"/>
        </w:rPr>
        <w:t>)</w:t>
      </w:r>
      <w:r w:rsidRPr="00804E99">
        <w:rPr>
          <w:rFonts w:ascii="Times New Roman" w:hAnsi="Times New Roman" w:cs="Times New Roman"/>
        </w:rPr>
        <w:t>, p</w:t>
      </w:r>
      <w:r>
        <w:rPr>
          <w:rFonts w:ascii="Times New Roman" w:hAnsi="Times New Roman" w:cs="Times New Roman"/>
        </w:rPr>
        <w:t>p</w:t>
      </w:r>
      <w:r w:rsidRPr="00804E99">
        <w:rPr>
          <w:rFonts w:ascii="Times New Roman" w:hAnsi="Times New Roman" w:cs="Times New Roman"/>
        </w:rPr>
        <w:t>. 92-123.</w:t>
      </w:r>
    </w:p>
  </w:footnote>
  <w:footnote w:id="8">
    <w:p w:rsidR="000B128E" w:rsidRPr="00804E99" w:rsidP="000B128E" w14:paraId="31ACE845"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On positive obligations under Article 10 concerning the right to receive information in the context of personalised newsfeeds, see Sara Eskens, Natali Helberger and Judith Moeller, “Challenged by News Personalisation: Five Perspectives on the Right to Receive Information” </w:t>
      </w:r>
      <w:r>
        <w:rPr>
          <w:rFonts w:ascii="Times New Roman" w:hAnsi="Times New Roman" w:cs="Times New Roman"/>
        </w:rPr>
        <w:t>in</w:t>
      </w:r>
      <w:r w:rsidRPr="00804E99">
        <w:rPr>
          <w:rFonts w:ascii="Times New Roman" w:hAnsi="Times New Roman" w:cs="Times New Roman"/>
        </w:rPr>
        <w:t xml:space="preserve"> </w:t>
      </w:r>
      <w:r w:rsidRPr="00804E99">
        <w:rPr>
          <w:rFonts w:ascii="Times New Roman" w:hAnsi="Times New Roman" w:cs="Times New Roman"/>
          <w:i/>
        </w:rPr>
        <w:t>Journal of Media Law</w:t>
      </w:r>
      <w:r w:rsidRPr="00804E99">
        <w:rPr>
          <w:rFonts w:ascii="Times New Roman" w:hAnsi="Times New Roman" w:cs="Times New Roman"/>
        </w:rPr>
        <w:t xml:space="preserve"> </w:t>
      </w:r>
      <w:r>
        <w:rPr>
          <w:rFonts w:ascii="Times New Roman" w:hAnsi="Times New Roman" w:cs="Times New Roman"/>
        </w:rPr>
        <w:t xml:space="preserve">(2017) </w:t>
      </w:r>
      <w:r w:rsidRPr="00804E99">
        <w:rPr>
          <w:rFonts w:ascii="Times New Roman" w:hAnsi="Times New Roman" w:cs="Times New Roman"/>
        </w:rPr>
        <w:t>9(2)</w:t>
      </w:r>
      <w:r>
        <w:rPr>
          <w:rFonts w:ascii="Times New Roman" w:hAnsi="Times New Roman" w:cs="Times New Roman"/>
        </w:rPr>
        <w:t>,</w:t>
      </w:r>
      <w:r w:rsidRPr="00804E99">
        <w:rPr>
          <w:rFonts w:ascii="Times New Roman" w:hAnsi="Times New Roman" w:cs="Times New Roman"/>
        </w:rPr>
        <w:t xml:space="preserve"> p</w:t>
      </w:r>
      <w:r>
        <w:rPr>
          <w:rFonts w:ascii="Times New Roman" w:hAnsi="Times New Roman" w:cs="Times New Roman"/>
        </w:rPr>
        <w:t>p</w:t>
      </w:r>
      <w:r w:rsidRPr="00804E99">
        <w:rPr>
          <w:rFonts w:ascii="Times New Roman" w:hAnsi="Times New Roman" w:cs="Times New Roman"/>
        </w:rPr>
        <w:t>. 259-84. On positive obligations under Article 3 of Protocol No. 1, see Ethan Shattock, “Free and Informed Elections? Disinformation and Democratic Elections Under Article</w:t>
      </w:r>
      <w:r>
        <w:rPr>
          <w:rFonts w:ascii="Times New Roman" w:hAnsi="Times New Roman" w:cs="Times New Roman"/>
        </w:rPr>
        <w:t xml:space="preserve"> </w:t>
      </w:r>
      <w:r w:rsidRPr="00804E99">
        <w:rPr>
          <w:rFonts w:ascii="Times New Roman" w:hAnsi="Times New Roman" w:cs="Times New Roman"/>
        </w:rPr>
        <w:t>3 of Protocol</w:t>
      </w:r>
      <w:r>
        <w:rPr>
          <w:rFonts w:ascii="Times New Roman" w:hAnsi="Times New Roman" w:cs="Times New Roman"/>
        </w:rPr>
        <w:t xml:space="preserve"> </w:t>
      </w:r>
      <w:r w:rsidRPr="00804E99">
        <w:rPr>
          <w:rFonts w:ascii="Times New Roman" w:hAnsi="Times New Roman" w:cs="Times New Roman"/>
        </w:rPr>
        <w:t xml:space="preserve">1 of the ECHR”, </w:t>
      </w:r>
      <w:r w:rsidRPr="00804E99">
        <w:rPr>
          <w:rFonts w:ascii="Times New Roman" w:hAnsi="Times New Roman" w:cs="Times New Roman"/>
          <w:i/>
        </w:rPr>
        <w:t>Human Rights Law Review</w:t>
      </w:r>
      <w:r w:rsidRPr="00E9157B">
        <w:rPr>
          <w:rFonts w:ascii="Times New Roman" w:hAnsi="Times New Roman" w:cs="Times New Roman"/>
          <w:iCs/>
        </w:rPr>
        <w:t xml:space="preserve"> </w:t>
      </w:r>
      <w:r>
        <w:rPr>
          <w:rFonts w:ascii="Times New Roman" w:hAnsi="Times New Roman" w:cs="Times New Roman"/>
          <w:iCs/>
        </w:rPr>
        <w:t xml:space="preserve">(2022) </w:t>
      </w:r>
      <w:r w:rsidRPr="00804E99">
        <w:rPr>
          <w:rFonts w:ascii="Times New Roman" w:hAnsi="Times New Roman" w:cs="Times New Roman"/>
        </w:rPr>
        <w:t>22(4), p</w:t>
      </w:r>
      <w:r>
        <w:rPr>
          <w:rFonts w:ascii="Times New Roman" w:hAnsi="Times New Roman" w:cs="Times New Roman"/>
        </w:rPr>
        <w:t>p</w:t>
      </w:r>
      <w:r w:rsidRPr="00804E99">
        <w:rPr>
          <w:rFonts w:ascii="Times New Roman" w:hAnsi="Times New Roman" w:cs="Times New Roman"/>
        </w:rPr>
        <w:t>. 1-25, esp</w:t>
      </w:r>
      <w:r>
        <w:rPr>
          <w:rFonts w:ascii="Times New Roman" w:hAnsi="Times New Roman" w:cs="Times New Roman"/>
        </w:rPr>
        <w:t>ecially</w:t>
      </w:r>
      <w:r w:rsidRPr="00804E99">
        <w:rPr>
          <w:rFonts w:ascii="Times New Roman" w:hAnsi="Times New Roman" w:cs="Times New Roman"/>
        </w:rPr>
        <w:t> 19.</w:t>
      </w:r>
    </w:p>
  </w:footnote>
  <w:footnote w:id="9">
    <w:p w:rsidR="000B128E" w:rsidRPr="00804E99" w:rsidP="000B128E" w14:paraId="51577D67"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See </w:t>
      </w:r>
      <w:r w:rsidRPr="00804E99">
        <w:rPr>
          <w:rFonts w:ascii="Times New Roman" w:hAnsi="Times New Roman" w:cs="Times New Roman"/>
          <w:i/>
        </w:rPr>
        <w:t>Animal Defenders International v. the United Kingdom</w:t>
      </w:r>
      <w:r>
        <w:rPr>
          <w:rFonts w:ascii="Times New Roman" w:hAnsi="Times New Roman" w:cs="Times New Roman"/>
        </w:rPr>
        <w:t xml:space="preserve"> </w:t>
      </w:r>
      <w:r w:rsidRPr="00804E99">
        <w:rPr>
          <w:rFonts w:ascii="Times New Roman" w:hAnsi="Times New Roman" w:cs="Times New Roman"/>
        </w:rPr>
        <w:t xml:space="preserve">[GC], no. 48876/08, § 119, </w:t>
      </w:r>
      <w:r>
        <w:rPr>
          <w:rFonts w:ascii="Times New Roman" w:hAnsi="Times New Roman" w:cs="Times New Roman"/>
        </w:rPr>
        <w:t>ECHR</w:t>
      </w:r>
      <w:r w:rsidRPr="00804E99">
        <w:rPr>
          <w:rFonts w:ascii="Times New Roman" w:hAnsi="Times New Roman" w:cs="Times New Roman"/>
        </w:rPr>
        <w:t xml:space="preserve"> 2013.</w:t>
      </w:r>
    </w:p>
  </w:footnote>
  <w:footnote w:id="10">
    <w:p w:rsidR="000B128E" w:rsidRPr="00DA05E0" w:rsidP="000B128E" w14:paraId="2472A632"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For general overviews with further references, see, </w:t>
      </w:r>
      <w:r>
        <w:rPr>
          <w:rFonts w:ascii="Times New Roman" w:hAnsi="Times New Roman" w:cs="Times New Roman"/>
        </w:rPr>
        <w:t>for example</w:t>
      </w:r>
      <w:r w:rsidRPr="00804E99">
        <w:rPr>
          <w:rFonts w:ascii="Times New Roman" w:hAnsi="Times New Roman" w:cs="Times New Roman"/>
        </w:rPr>
        <w:t xml:space="preserve">, Esma </w:t>
      </w:r>
      <w:r w:rsidRPr="00804E99">
        <w:rPr>
          <w:rFonts w:ascii="Times New Roman" w:hAnsi="Times New Roman" w:cs="Times New Roman"/>
        </w:rPr>
        <w:t>Aïmeur</w:t>
      </w:r>
      <w:r w:rsidRPr="00804E99">
        <w:rPr>
          <w:rFonts w:ascii="Times New Roman" w:hAnsi="Times New Roman" w:cs="Times New Roman"/>
        </w:rPr>
        <w:t xml:space="preserve">, Sabrine Amri and Gilles Brassard, “Fake news, disinformation and misinformation in social media: a review” (2023), </w:t>
      </w:r>
      <w:r w:rsidRPr="00804E99">
        <w:rPr>
          <w:rFonts w:ascii="Times New Roman" w:hAnsi="Times New Roman" w:cs="Times New Roman"/>
          <w:i/>
        </w:rPr>
        <w:t>Social Network Analysis and Mining</w:t>
      </w:r>
      <w:r w:rsidRPr="00804E99">
        <w:rPr>
          <w:rFonts w:ascii="Times New Roman" w:hAnsi="Times New Roman" w:cs="Times New Roman"/>
        </w:rPr>
        <w:t xml:space="preserve"> 13(30), p</w:t>
      </w:r>
      <w:r>
        <w:rPr>
          <w:rFonts w:ascii="Times New Roman" w:hAnsi="Times New Roman" w:cs="Times New Roman"/>
        </w:rPr>
        <w:t>p</w:t>
      </w:r>
      <w:r w:rsidRPr="00804E99">
        <w:rPr>
          <w:rFonts w:ascii="Times New Roman" w:hAnsi="Times New Roman" w:cs="Times New Roman"/>
        </w:rPr>
        <w:t xml:space="preserve">. 1-30, and Anastasia Kozyreva </w:t>
      </w:r>
      <w:r w:rsidRPr="009007B2">
        <w:rPr>
          <w:rFonts w:ascii="Times New Roman" w:hAnsi="Times New Roman" w:cs="Times New Roman"/>
        </w:rPr>
        <w:t>et al.</w:t>
      </w:r>
      <w:r w:rsidRPr="00804E99">
        <w:rPr>
          <w:rFonts w:ascii="Times New Roman" w:hAnsi="Times New Roman" w:cs="Times New Roman"/>
        </w:rPr>
        <w:t xml:space="preserve">, “Toolbox of individual-level interventions against online misinformation” (2024), </w:t>
      </w:r>
      <w:r w:rsidRPr="00804E99">
        <w:rPr>
          <w:rFonts w:ascii="Times New Roman" w:hAnsi="Times New Roman" w:cs="Times New Roman"/>
          <w:i/>
        </w:rPr>
        <w:t>Nature Human Behaviour</w:t>
      </w:r>
      <w:r w:rsidRPr="00E9157B">
        <w:rPr>
          <w:rFonts w:ascii="Times New Roman" w:hAnsi="Times New Roman" w:cs="Times New Roman"/>
          <w:iCs/>
        </w:rPr>
        <w:t xml:space="preserve"> </w:t>
      </w:r>
      <w:r w:rsidRPr="00804E99">
        <w:rPr>
          <w:rFonts w:ascii="Times New Roman" w:hAnsi="Times New Roman" w:cs="Times New Roman"/>
        </w:rPr>
        <w:t>8, p</w:t>
      </w:r>
      <w:r>
        <w:rPr>
          <w:rFonts w:ascii="Times New Roman" w:hAnsi="Times New Roman" w:cs="Times New Roman"/>
        </w:rPr>
        <w:t>p</w:t>
      </w:r>
      <w:r w:rsidRPr="00804E99">
        <w:rPr>
          <w:rFonts w:ascii="Times New Roman" w:hAnsi="Times New Roman" w:cs="Times New Roman"/>
        </w:rPr>
        <w:t xml:space="preserve">. 1044-52. For an ongoing UK parliamentary inquiry into the links between algorithms used by social media and search engines to rank content, generative AI and the spread of harmful or false content </w:t>
      </w:r>
      <w:r w:rsidRPr="00F6243B">
        <w:rPr>
          <w:rFonts w:ascii="Times New Roman" w:hAnsi="Times New Roman" w:cs="Times New Roman"/>
        </w:rPr>
        <w:t>online, see</w:t>
      </w:r>
      <w:r w:rsidRPr="00804E99">
        <w:rPr>
          <w:rFonts w:ascii="Times New Roman" w:hAnsi="Times New Roman" w:cs="Times New Roman"/>
        </w:rPr>
        <w:t xml:space="preserve"> </w:t>
      </w:r>
      <w:hyperlink r:id="rId2" w:history="1">
        <w:r w:rsidRPr="00804E99">
          <w:rPr>
            <w:rStyle w:val="Hyperlink"/>
            <w:rFonts w:ascii="Times New Roman" w:hAnsi="Times New Roman" w:cs="Times New Roman"/>
          </w:rPr>
          <w:t>https://committees.parliament.uk/work/8641/social-media-misinformation-and-harmful-algorithms/</w:t>
        </w:r>
      </w:hyperlink>
      <w:r w:rsidRPr="00E9157B">
        <w:rPr>
          <w:rStyle w:val="Hyperlink"/>
          <w:rFonts w:ascii="Times New Roman" w:hAnsi="Times New Roman" w:cs="Times New Roman"/>
          <w:color w:val="auto"/>
          <w:u w:val="none"/>
        </w:rPr>
        <w:t xml:space="preserve"> (last accessed on 7 July 2025)</w:t>
      </w:r>
      <w:r w:rsidRPr="00DA05E0">
        <w:rPr>
          <w:rFonts w:ascii="Times New Roman" w:hAnsi="Times New Roman" w:cs="Times New Roman"/>
        </w:rPr>
        <w:t>.</w:t>
      </w:r>
    </w:p>
  </w:footnote>
  <w:footnote w:id="11">
    <w:p w:rsidR="000B128E" w:rsidRPr="00804E99" w:rsidP="000B128E" w14:paraId="5D5E9478"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William Marcellino </w:t>
      </w:r>
      <w:r w:rsidRPr="009007B2">
        <w:rPr>
          <w:rFonts w:ascii="Times New Roman" w:hAnsi="Times New Roman" w:cs="Times New Roman"/>
        </w:rPr>
        <w:t>et al.</w:t>
      </w:r>
      <w:r w:rsidRPr="00804E99">
        <w:rPr>
          <w:rFonts w:ascii="Times New Roman" w:hAnsi="Times New Roman" w:cs="Times New Roman"/>
        </w:rPr>
        <w:t xml:space="preserve">, </w:t>
      </w:r>
      <w:r w:rsidRPr="00804E99">
        <w:rPr>
          <w:rFonts w:ascii="Times New Roman" w:hAnsi="Times New Roman" w:cs="Times New Roman"/>
          <w:i/>
        </w:rPr>
        <w:t>The Rise of Generative AI and the Coming Era of Social Media Manipulation 3.0</w:t>
      </w:r>
      <w:r w:rsidRPr="00804E99">
        <w:rPr>
          <w:rFonts w:ascii="Times New Roman" w:hAnsi="Times New Roman" w:cs="Times New Roman"/>
          <w:iCs/>
        </w:rPr>
        <w:t>,</w:t>
      </w:r>
      <w:r w:rsidRPr="00804E99">
        <w:rPr>
          <w:rFonts w:ascii="Times New Roman" w:hAnsi="Times New Roman" w:cs="Times New Roman"/>
        </w:rPr>
        <w:t xml:space="preserve"> RAND Corporation, 2023, p. 26.</w:t>
      </w:r>
    </w:p>
  </w:footnote>
  <w:footnote w:id="12">
    <w:p w:rsidR="000B128E" w:rsidRPr="00804E99" w:rsidP="000B128E" w14:paraId="1072A44D"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Anonymity protects those who share information or ideas on the internet</w:t>
      </w:r>
      <w:r>
        <w:rPr>
          <w:rFonts w:ascii="Times New Roman" w:hAnsi="Times New Roman" w:cs="Times New Roman"/>
        </w:rPr>
        <w:t xml:space="preserve"> –</w:t>
      </w:r>
      <w:r w:rsidRPr="00804E99">
        <w:rPr>
          <w:rFonts w:ascii="Times New Roman" w:hAnsi="Times New Roman" w:cs="Times New Roman"/>
        </w:rPr>
        <w:t xml:space="preserve"> see </w:t>
      </w:r>
      <w:r w:rsidRPr="00804E99">
        <w:rPr>
          <w:rFonts w:ascii="Times New Roman" w:hAnsi="Times New Roman" w:cs="Times New Roman"/>
          <w:i/>
        </w:rPr>
        <w:t>Delfi AS v. Estonia</w:t>
      </w:r>
      <w:r>
        <w:rPr>
          <w:rFonts w:ascii="Times New Roman" w:hAnsi="Times New Roman" w:cs="Times New Roman"/>
        </w:rPr>
        <w:t xml:space="preserve"> (</w:t>
      </w:r>
      <w:r w:rsidRPr="00804E99">
        <w:rPr>
          <w:rFonts w:ascii="Times New Roman" w:hAnsi="Times New Roman" w:cs="Times New Roman"/>
        </w:rPr>
        <w:t xml:space="preserve">[GC], no. 64569/09, §§ 147-49, </w:t>
      </w:r>
      <w:r>
        <w:rPr>
          <w:rFonts w:ascii="Times New Roman" w:hAnsi="Times New Roman" w:cs="Times New Roman"/>
        </w:rPr>
        <w:t>ECHR</w:t>
      </w:r>
      <w:r w:rsidRPr="00804E99">
        <w:rPr>
          <w:rFonts w:ascii="Times New Roman" w:hAnsi="Times New Roman" w:cs="Times New Roman"/>
        </w:rPr>
        <w:t xml:space="preserve"> 2015</w:t>
      </w:r>
      <w:r>
        <w:rPr>
          <w:rFonts w:ascii="Times New Roman" w:hAnsi="Times New Roman" w:cs="Times New Roman"/>
        </w:rPr>
        <w:t>)</w:t>
      </w:r>
      <w:r w:rsidRPr="00804E99">
        <w:rPr>
          <w:rFonts w:ascii="Times New Roman" w:hAnsi="Times New Roman" w:cs="Times New Roman"/>
        </w:rPr>
        <w:t>. In the present case, however, we should also consider how to protect the audience from “noise”.</w:t>
      </w:r>
    </w:p>
  </w:footnote>
  <w:footnote w:id="13">
    <w:p w:rsidR="000B128E" w:rsidRPr="00804E99" w:rsidP="000B128E" w14:paraId="1915D63F"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On the role of “likes” for the credibility of news items, see </w:t>
      </w:r>
      <w:r w:rsidRPr="00804E99">
        <w:rPr>
          <w:rFonts w:ascii="Times New Roman" w:hAnsi="Times New Roman" w:cs="Times New Roman"/>
        </w:rPr>
        <w:t>Mufan</w:t>
      </w:r>
      <w:r w:rsidRPr="00804E99">
        <w:rPr>
          <w:rFonts w:ascii="Times New Roman" w:hAnsi="Times New Roman" w:cs="Times New Roman"/>
        </w:rPr>
        <w:t xml:space="preserve"> Luo, Jeffrey T. Hancock and David M. Markowitz, “Credibility perceptions and detection accuracy of fake news headlines on social media: effects of truth-bias and endorsement cues”</w:t>
      </w:r>
      <w:r>
        <w:rPr>
          <w:rFonts w:ascii="Times New Roman" w:hAnsi="Times New Roman" w:cs="Times New Roman"/>
        </w:rPr>
        <w:t xml:space="preserve"> in</w:t>
      </w:r>
      <w:r w:rsidRPr="00804E99">
        <w:rPr>
          <w:rFonts w:ascii="Times New Roman" w:hAnsi="Times New Roman" w:cs="Times New Roman"/>
        </w:rPr>
        <w:t xml:space="preserve"> </w:t>
      </w:r>
      <w:r w:rsidRPr="00804E99">
        <w:rPr>
          <w:rFonts w:ascii="Times New Roman" w:hAnsi="Times New Roman" w:cs="Times New Roman"/>
          <w:i/>
        </w:rPr>
        <w:t>Communication Research</w:t>
      </w:r>
      <w:r w:rsidRPr="00804E99">
        <w:rPr>
          <w:rFonts w:ascii="Times New Roman" w:hAnsi="Times New Roman" w:cs="Times New Roman"/>
        </w:rPr>
        <w:t xml:space="preserve"> </w:t>
      </w:r>
      <w:r>
        <w:rPr>
          <w:rFonts w:ascii="Times New Roman" w:hAnsi="Times New Roman" w:cs="Times New Roman"/>
        </w:rPr>
        <w:t xml:space="preserve">(2022) </w:t>
      </w:r>
      <w:r w:rsidRPr="00804E99">
        <w:rPr>
          <w:rFonts w:ascii="Times New Roman" w:hAnsi="Times New Roman" w:cs="Times New Roman"/>
        </w:rPr>
        <w:t>49(2), p</w:t>
      </w:r>
      <w:r>
        <w:rPr>
          <w:rFonts w:ascii="Times New Roman" w:hAnsi="Times New Roman" w:cs="Times New Roman"/>
        </w:rPr>
        <w:t>p</w:t>
      </w:r>
      <w:r w:rsidRPr="00804E99">
        <w:rPr>
          <w:rFonts w:ascii="Times New Roman" w:hAnsi="Times New Roman" w:cs="Times New Roman"/>
        </w:rPr>
        <w:t>. 171-95.</w:t>
      </w:r>
    </w:p>
  </w:footnote>
  <w:footnote w:id="14">
    <w:p w:rsidR="000B128E" w:rsidRPr="00804E99" w:rsidP="000B128E" w14:paraId="75C8F22B"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w:t>
      </w:r>
      <w:r w:rsidRPr="00F6243B">
        <w:rPr>
          <w:rFonts w:ascii="Times New Roman" w:hAnsi="Times New Roman" w:cs="Times New Roman"/>
        </w:rPr>
        <w:t>See the proposal by MEPs to the European</w:t>
      </w:r>
      <w:r w:rsidRPr="00804E99">
        <w:rPr>
          <w:rFonts w:ascii="Times New Roman" w:hAnsi="Times New Roman" w:cs="Times New Roman"/>
        </w:rPr>
        <w:t xml:space="preserve"> Commission to apply the Digital Services Act for this purpose, as critically analysed by Doris Bujis in “The DSA, disinformation and the European elections: solutions through recommender systems?”, </w:t>
      </w:r>
      <w:r w:rsidRPr="00804E99">
        <w:rPr>
          <w:rFonts w:ascii="Times New Roman" w:hAnsi="Times New Roman" w:cs="Times New Roman"/>
          <w:i/>
        </w:rPr>
        <w:t>DSA Observatory</w:t>
      </w:r>
      <w:r w:rsidRPr="00804E99">
        <w:rPr>
          <w:rFonts w:ascii="Times New Roman" w:hAnsi="Times New Roman" w:cs="Times New Roman"/>
          <w:iCs/>
        </w:rPr>
        <w:t>,</w:t>
      </w:r>
      <w:r w:rsidRPr="00E9157B">
        <w:rPr>
          <w:rFonts w:ascii="Times New Roman" w:hAnsi="Times New Roman" w:cs="Times New Roman"/>
          <w:iCs/>
        </w:rPr>
        <w:t xml:space="preserve"> </w:t>
      </w:r>
      <w:r w:rsidRPr="00804E99">
        <w:rPr>
          <w:rFonts w:ascii="Times New Roman" w:hAnsi="Times New Roman" w:cs="Times New Roman"/>
        </w:rPr>
        <w:t>17 June 2024: “turning off personalised recommender systems by default for the very large online platforms” and “explicitly stop[</w:t>
      </w:r>
      <w:r>
        <w:rPr>
          <w:rFonts w:ascii="Times New Roman" w:hAnsi="Times New Roman" w:cs="Times New Roman"/>
        </w:rPr>
        <w:t>p</w:t>
      </w:r>
      <w:r w:rsidRPr="00804E99">
        <w:rPr>
          <w:rFonts w:ascii="Times New Roman" w:hAnsi="Times New Roman" w:cs="Times New Roman"/>
        </w:rPr>
        <w:t>ing] recommender systems based on interaction”.</w:t>
      </w:r>
    </w:p>
  </w:footnote>
  <w:footnote w:id="15">
    <w:p w:rsidR="000B128E" w:rsidRPr="00804E99" w:rsidP="000B128E" w14:paraId="38FF602C"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On friction as a tool to slow virality in general, see Beatriz Botero Arcila and Rachel Griffin, </w:t>
      </w:r>
      <w:r w:rsidRPr="00804E99">
        <w:rPr>
          <w:rFonts w:ascii="Times New Roman" w:hAnsi="Times New Roman" w:cs="Times New Roman"/>
          <w:i/>
        </w:rPr>
        <w:t>Social media platforms and challenges for democracy, rule of law and fundamental rights</w:t>
      </w:r>
      <w:r w:rsidRPr="00804E99">
        <w:rPr>
          <w:rFonts w:ascii="Times New Roman" w:hAnsi="Times New Roman" w:cs="Times New Roman"/>
        </w:rPr>
        <w:t xml:space="preserve">, LIBE Committee of the European Parliament, 2023, p. 89. </w:t>
      </w:r>
    </w:p>
  </w:footnote>
  <w:footnote w:id="16">
    <w:p w:rsidR="000B128E" w:rsidRPr="00804E99" w:rsidP="000B128E" w14:paraId="381937E6"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Ibid., p. 126.</w:t>
      </w:r>
    </w:p>
  </w:footnote>
  <w:footnote w:id="17">
    <w:p w:rsidR="000B128E" w:rsidRPr="00804E99" w:rsidP="000B128E" w14:paraId="3A824A12"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R. Gondor Rinderknecht, “There’s less social media transparency and, likely, more disinformation”, </w:t>
      </w:r>
      <w:r w:rsidRPr="00804E99">
        <w:rPr>
          <w:rFonts w:ascii="Times New Roman" w:hAnsi="Times New Roman" w:cs="Times New Roman"/>
          <w:i/>
          <w:iCs/>
        </w:rPr>
        <w:t>The Hill</w:t>
      </w:r>
      <w:r w:rsidRPr="00E9157B">
        <w:rPr>
          <w:rFonts w:ascii="Times New Roman" w:hAnsi="Times New Roman" w:cs="Times New Roman"/>
        </w:rPr>
        <w:t xml:space="preserve">, </w:t>
      </w:r>
      <w:r w:rsidRPr="00804E99">
        <w:rPr>
          <w:rFonts w:ascii="Times New Roman" w:hAnsi="Times New Roman" w:cs="Times New Roman"/>
        </w:rPr>
        <w:t xml:space="preserve">17 September 2024. </w:t>
      </w:r>
    </w:p>
  </w:footnote>
  <w:footnote w:id="18">
    <w:p w:rsidR="000B128E" w:rsidRPr="00804E99" w:rsidP="000B128E" w14:paraId="33607460"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See </w:t>
      </w:r>
      <w:r w:rsidRPr="00F6243B">
        <w:rPr>
          <w:rFonts w:ascii="Times New Roman" w:hAnsi="Times New Roman" w:cs="Times New Roman"/>
        </w:rPr>
        <w:t xml:space="preserve">Marcellino, </w:t>
      </w:r>
      <w:r w:rsidRPr="00F6243B">
        <w:rPr>
          <w:rFonts w:ascii="Times New Roman" w:hAnsi="Times New Roman" w:cs="Times New Roman"/>
          <w:iCs/>
        </w:rPr>
        <w:t>op. cit.</w:t>
      </w:r>
      <w:r w:rsidRPr="00F6243B">
        <w:rPr>
          <w:rFonts w:ascii="Times New Roman" w:hAnsi="Times New Roman" w:cs="Times New Roman"/>
        </w:rPr>
        <w:t>, p. 26</w:t>
      </w:r>
      <w:r w:rsidRPr="00804E99">
        <w:rPr>
          <w:rFonts w:ascii="Times New Roman" w:hAnsi="Times New Roman" w:cs="Times New Roman"/>
        </w:rPr>
        <w:t>.</w:t>
      </w:r>
    </w:p>
  </w:footnote>
  <w:footnote w:id="19">
    <w:p w:rsidR="000B128E" w:rsidRPr="00804E99" w:rsidP="000B128E" w14:paraId="165D4691"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See Sinan Aral and Dean Eckles, “Protecting Elections from Social Media Manipulation”, </w:t>
      </w:r>
      <w:r w:rsidRPr="00804E99">
        <w:rPr>
          <w:rFonts w:ascii="Times New Roman" w:hAnsi="Times New Roman" w:cs="Times New Roman"/>
          <w:i/>
        </w:rPr>
        <w:t>Science</w:t>
      </w:r>
      <w:r w:rsidRPr="00B4682F">
        <w:rPr>
          <w:rFonts w:ascii="Times New Roman" w:hAnsi="Times New Roman" w:cs="Times New Roman"/>
          <w:i/>
        </w:rPr>
        <w:t xml:space="preserve"> </w:t>
      </w:r>
      <w:r w:rsidRPr="00804E99">
        <w:rPr>
          <w:rFonts w:ascii="Times New Roman" w:hAnsi="Times New Roman" w:cs="Times New Roman"/>
        </w:rPr>
        <w:t>365(6456), 30 August 2019.</w:t>
      </w:r>
    </w:p>
  </w:footnote>
  <w:footnote w:id="20">
    <w:p w:rsidR="000B128E" w:rsidRPr="00E9157B" w:rsidP="000B128E" w14:paraId="1368EB4A" w14:textId="77777777">
      <w:pPr>
        <w:pStyle w:val="FootnoteText"/>
        <w:rPr>
          <w:rFonts w:ascii="Times New Roman" w:hAnsi="Times New Roman" w:cs="Times New Roman"/>
          <w:iCs/>
        </w:rPr>
      </w:pPr>
      <w:r w:rsidRPr="00804E99">
        <w:rPr>
          <w:rStyle w:val="FootnoteReference"/>
          <w:rFonts w:ascii="Times New Roman" w:hAnsi="Times New Roman" w:cs="Times New Roman"/>
        </w:rPr>
        <w:footnoteRef/>
      </w:r>
      <w:r w:rsidRPr="00804E99">
        <w:rPr>
          <w:rFonts w:ascii="Times New Roman" w:hAnsi="Times New Roman" w:cs="Times New Roman"/>
        </w:rPr>
        <w:t xml:space="preserve"> For data and more details, see, </w:t>
      </w:r>
      <w:r>
        <w:rPr>
          <w:rFonts w:ascii="Times New Roman" w:hAnsi="Times New Roman" w:cs="Times New Roman"/>
        </w:rPr>
        <w:t>for example</w:t>
      </w:r>
      <w:r w:rsidRPr="00804E99">
        <w:rPr>
          <w:rFonts w:ascii="Times New Roman" w:hAnsi="Times New Roman" w:cs="Times New Roman"/>
        </w:rPr>
        <w:t>, the reports by the Digital Forensic Research Lab (</w:t>
      </w:r>
      <w:r w:rsidRPr="00804E99">
        <w:rPr>
          <w:rFonts w:ascii="Times New Roman" w:hAnsi="Times New Roman" w:cs="Times New Roman"/>
        </w:rPr>
        <w:t>DFRLab</w:t>
      </w:r>
      <w:r w:rsidRPr="00804E99">
        <w:rPr>
          <w:rFonts w:ascii="Times New Roman" w:hAnsi="Times New Roman" w:cs="Times New Roman"/>
        </w:rPr>
        <w:t xml:space="preserve">) at the Atlantic Council, available at </w:t>
      </w:r>
      <w:hyperlink r:id="rId3" w:history="1">
        <w:r w:rsidRPr="00804E99">
          <w:rPr>
            <w:rStyle w:val="Hyperlink"/>
            <w:rFonts w:ascii="Times New Roman" w:hAnsi="Times New Roman" w:cs="Times New Roman"/>
          </w:rPr>
          <w:t>https://dfrlab.org/the-pravda-network/</w:t>
        </w:r>
      </w:hyperlink>
      <w:r w:rsidRPr="00804E99">
        <w:rPr>
          <w:rStyle w:val="Hyperlink"/>
          <w:rFonts w:ascii="Times New Roman" w:hAnsi="Times New Roman" w:cs="Times New Roman"/>
          <w:color w:val="auto"/>
          <w:u w:val="none"/>
        </w:rPr>
        <w:t xml:space="preserve"> (last accessed on 7 July 2025)</w:t>
      </w:r>
      <w:r w:rsidRPr="00804E99">
        <w:rPr>
          <w:rFonts w:ascii="Times New Roman" w:hAnsi="Times New Roman" w:cs="Times New Roman"/>
        </w:rPr>
        <w:t xml:space="preserve">. For reports in daily news, see, </w:t>
      </w:r>
      <w:r>
        <w:rPr>
          <w:rFonts w:ascii="Times New Roman" w:hAnsi="Times New Roman" w:cs="Times New Roman"/>
        </w:rPr>
        <w:t>for example</w:t>
      </w:r>
      <w:r w:rsidRPr="00804E99">
        <w:rPr>
          <w:rFonts w:ascii="Times New Roman" w:hAnsi="Times New Roman" w:cs="Times New Roman"/>
        </w:rPr>
        <w:t xml:space="preserve">, Jacob Judah and Fiona Hamilton, “Russia using AI to target Britons with flood of fake news”, </w:t>
      </w:r>
      <w:r w:rsidRPr="00804E99">
        <w:rPr>
          <w:rFonts w:ascii="Times New Roman" w:hAnsi="Times New Roman" w:cs="Times New Roman"/>
          <w:i/>
        </w:rPr>
        <w:t>The Times</w:t>
      </w:r>
      <w:r w:rsidRPr="00804E99">
        <w:rPr>
          <w:rFonts w:ascii="Times New Roman" w:hAnsi="Times New Roman" w:cs="Times New Roman"/>
          <w:iCs/>
        </w:rPr>
        <w:t>,</w:t>
      </w:r>
      <w:r w:rsidRPr="00E9157B">
        <w:rPr>
          <w:rFonts w:ascii="Times New Roman" w:hAnsi="Times New Roman" w:cs="Times New Roman"/>
          <w:iCs/>
        </w:rPr>
        <w:t xml:space="preserve"> </w:t>
      </w:r>
      <w:r w:rsidRPr="00804E99">
        <w:rPr>
          <w:rFonts w:ascii="Times New Roman" w:hAnsi="Times New Roman" w:cs="Times New Roman"/>
        </w:rPr>
        <w:t xml:space="preserve">29 April 2025; Miruna Coca-Cozma, “La </w:t>
      </w:r>
      <w:r w:rsidRPr="00804E99">
        <w:rPr>
          <w:rFonts w:ascii="Times New Roman" w:hAnsi="Times New Roman" w:cs="Times New Roman"/>
        </w:rPr>
        <w:t>désinformation</w:t>
      </w:r>
      <w:r w:rsidRPr="00804E99">
        <w:rPr>
          <w:rFonts w:ascii="Times New Roman" w:hAnsi="Times New Roman" w:cs="Times New Roman"/>
        </w:rPr>
        <w:t xml:space="preserve"> russe </w:t>
      </w:r>
      <w:r w:rsidRPr="00804E99">
        <w:rPr>
          <w:rFonts w:ascii="Times New Roman" w:hAnsi="Times New Roman" w:cs="Times New Roman"/>
        </w:rPr>
        <w:t>s’infiltre</w:t>
      </w:r>
      <w:r w:rsidRPr="00804E99">
        <w:rPr>
          <w:rFonts w:ascii="Times New Roman" w:hAnsi="Times New Roman" w:cs="Times New Roman"/>
        </w:rPr>
        <w:t xml:space="preserve"> dans les </w:t>
      </w:r>
      <w:r w:rsidRPr="00804E99">
        <w:rPr>
          <w:rFonts w:ascii="Times New Roman" w:hAnsi="Times New Roman" w:cs="Times New Roman"/>
        </w:rPr>
        <w:t>réponses</w:t>
      </w:r>
      <w:r w:rsidRPr="00804E99">
        <w:rPr>
          <w:rFonts w:ascii="Times New Roman" w:hAnsi="Times New Roman" w:cs="Times New Roman"/>
        </w:rPr>
        <w:t xml:space="preserve"> des assistants </w:t>
      </w:r>
      <w:r w:rsidRPr="00804E99">
        <w:rPr>
          <w:rFonts w:ascii="Times New Roman" w:hAnsi="Times New Roman" w:cs="Times New Roman"/>
        </w:rPr>
        <w:t>virtuels</w:t>
      </w:r>
      <w:r w:rsidRPr="00804E99">
        <w:rPr>
          <w:rFonts w:ascii="Times New Roman" w:hAnsi="Times New Roman" w:cs="Times New Roman"/>
        </w:rPr>
        <w:t xml:space="preserve"> </w:t>
      </w:r>
      <w:r w:rsidRPr="00804E99">
        <w:rPr>
          <w:rFonts w:ascii="Times New Roman" w:hAnsi="Times New Roman" w:cs="Times New Roman"/>
        </w:rPr>
        <w:t>dopés</w:t>
      </w:r>
      <w:r w:rsidRPr="00804E99">
        <w:rPr>
          <w:rFonts w:ascii="Times New Roman" w:hAnsi="Times New Roman" w:cs="Times New Roman"/>
        </w:rPr>
        <w:t xml:space="preserve"> à </w:t>
      </w:r>
      <w:r w:rsidRPr="00804E99">
        <w:rPr>
          <w:rFonts w:ascii="Times New Roman" w:hAnsi="Times New Roman" w:cs="Times New Roman"/>
        </w:rPr>
        <w:t>l’IA</w:t>
      </w:r>
      <w:r w:rsidRPr="00804E99">
        <w:rPr>
          <w:rFonts w:ascii="Times New Roman" w:hAnsi="Times New Roman" w:cs="Times New Roman"/>
        </w:rPr>
        <w:t xml:space="preserve">”, </w:t>
      </w:r>
      <w:r w:rsidRPr="00E9157B">
        <w:rPr>
          <w:rFonts w:ascii="Times New Roman" w:hAnsi="Times New Roman" w:cs="Times New Roman"/>
          <w:iCs/>
        </w:rPr>
        <w:t xml:space="preserve">Radio </w:t>
      </w:r>
      <w:r w:rsidRPr="00E9157B">
        <w:rPr>
          <w:rFonts w:ascii="Times New Roman" w:hAnsi="Times New Roman" w:cs="Times New Roman"/>
          <w:iCs/>
        </w:rPr>
        <w:t>Télévision</w:t>
      </w:r>
      <w:r w:rsidRPr="00E9157B">
        <w:rPr>
          <w:rFonts w:ascii="Times New Roman" w:hAnsi="Times New Roman" w:cs="Times New Roman"/>
          <w:iCs/>
        </w:rPr>
        <w:t xml:space="preserve"> Suisse</w:t>
      </w:r>
      <w:r w:rsidRPr="00521CA5">
        <w:rPr>
          <w:rFonts w:ascii="Times New Roman" w:hAnsi="Times New Roman" w:cs="Times New Roman"/>
          <w:iCs/>
        </w:rPr>
        <w:t xml:space="preserve"> </w:t>
      </w:r>
      <w:r w:rsidRPr="00E9157B">
        <w:rPr>
          <w:rFonts w:ascii="Times New Roman" w:hAnsi="Times New Roman" w:cs="Times New Roman"/>
          <w:iCs/>
        </w:rPr>
        <w:t>(rts.ch)</w:t>
      </w:r>
      <w:r w:rsidRPr="00804E99">
        <w:rPr>
          <w:rFonts w:ascii="Times New Roman" w:hAnsi="Times New Roman" w:cs="Times New Roman"/>
          <w:iCs/>
        </w:rPr>
        <w:t>,</w:t>
      </w:r>
      <w:r w:rsidRPr="00E9157B">
        <w:rPr>
          <w:rFonts w:ascii="Times New Roman" w:hAnsi="Times New Roman" w:cs="Times New Roman"/>
          <w:iCs/>
        </w:rPr>
        <w:t xml:space="preserve"> </w:t>
      </w:r>
      <w:r w:rsidRPr="00804E99">
        <w:rPr>
          <w:rFonts w:ascii="Times New Roman" w:hAnsi="Times New Roman" w:cs="Times New Roman"/>
        </w:rPr>
        <w:t xml:space="preserve">22 June 2024; Joseph Menn, “Russia seeds chatbots with lies. Any bad actor could game AI the same way”, </w:t>
      </w:r>
      <w:r w:rsidRPr="00804E99">
        <w:rPr>
          <w:rFonts w:ascii="Times New Roman" w:hAnsi="Times New Roman" w:cs="Times New Roman"/>
          <w:i/>
          <w:iCs/>
        </w:rPr>
        <w:t>The</w:t>
      </w:r>
      <w:r w:rsidRPr="00E9157B">
        <w:rPr>
          <w:rFonts w:ascii="Times New Roman" w:hAnsi="Times New Roman" w:cs="Times New Roman"/>
          <w:i/>
          <w:iCs/>
        </w:rPr>
        <w:t xml:space="preserve"> </w:t>
      </w:r>
      <w:r w:rsidRPr="00804E99">
        <w:rPr>
          <w:rFonts w:ascii="Times New Roman" w:hAnsi="Times New Roman" w:cs="Times New Roman"/>
          <w:i/>
        </w:rPr>
        <w:t>Washington Post</w:t>
      </w:r>
      <w:r w:rsidRPr="00804E99">
        <w:rPr>
          <w:rFonts w:ascii="Times New Roman" w:hAnsi="Times New Roman" w:cs="Times New Roman"/>
          <w:iCs/>
        </w:rPr>
        <w:t>,</w:t>
      </w:r>
      <w:r w:rsidRPr="00804E99">
        <w:rPr>
          <w:rFonts w:ascii="Times New Roman" w:hAnsi="Times New Roman" w:cs="Times New Roman"/>
        </w:rPr>
        <w:t xml:space="preserve"> 17 April 2025.</w:t>
      </w:r>
    </w:p>
  </w:footnote>
  <w:footnote w:id="21">
    <w:p w:rsidR="000B128E" w:rsidRPr="00804E99" w:rsidP="000B128E" w14:paraId="3B173BB7" w14:textId="77777777">
      <w:pPr>
        <w:pStyle w:val="FootnoteText"/>
        <w:rPr>
          <w:rFonts w:ascii="Times New Roman" w:hAnsi="Times New Roman" w:cs="Times New Roman"/>
        </w:rPr>
      </w:pPr>
      <w:r w:rsidRPr="00804E99">
        <w:rPr>
          <w:rStyle w:val="FootnoteReference"/>
          <w:rFonts w:ascii="Times New Roman" w:hAnsi="Times New Roman" w:cs="Times New Roman"/>
        </w:rPr>
        <w:footnoteRef/>
      </w:r>
      <w:r w:rsidRPr="00804E99">
        <w:rPr>
          <w:rFonts w:ascii="Times New Roman" w:hAnsi="Times New Roman" w:cs="Times New Roman"/>
        </w:rPr>
        <w:t xml:space="preserve"> Regulation does not necessarily mean direct, unilateral State </w:t>
      </w:r>
      <w:r w:rsidRPr="00F6243B">
        <w:rPr>
          <w:rFonts w:ascii="Times New Roman" w:hAnsi="Times New Roman" w:cs="Times New Roman"/>
        </w:rPr>
        <w:t>legislation; mandated, supervised, obligatory (i.e., without the possibility of opting out) and sanctioned</w:t>
      </w:r>
      <w:r w:rsidRPr="00804E99">
        <w:rPr>
          <w:rFonts w:ascii="Times New Roman" w:hAnsi="Times New Roman" w:cs="Times New Roman"/>
        </w:rPr>
        <w:t xml:space="preserve"> self</w:t>
      </w:r>
      <w:r>
        <w:rPr>
          <w:rFonts w:ascii="Times New Roman" w:hAnsi="Times New Roman" w:cs="Times New Roman"/>
        </w:rPr>
        <w:t>-</w:t>
      </w:r>
      <w:r w:rsidRPr="00804E99">
        <w:rPr>
          <w:rFonts w:ascii="Times New Roman" w:hAnsi="Times New Roman" w:cs="Times New Roman"/>
        </w:rPr>
        <w:t xml:space="preserve">regulation and co-regulation are also options (see, </w:t>
      </w:r>
      <w:r>
        <w:rPr>
          <w:rFonts w:ascii="Times New Roman" w:hAnsi="Times New Roman" w:cs="Times New Roman"/>
        </w:rPr>
        <w:t>for example</w:t>
      </w:r>
      <w:r w:rsidRPr="00804E99">
        <w:rPr>
          <w:rFonts w:ascii="Times New Roman" w:hAnsi="Times New Roman" w:cs="Times New Roman"/>
        </w:rPr>
        <w:t xml:space="preserve">, Judit Bayer, </w:t>
      </w:r>
      <w:r w:rsidRPr="00804E99">
        <w:rPr>
          <w:rFonts w:ascii="Times New Roman" w:hAnsi="Times New Roman" w:cs="Times New Roman"/>
          <w:i/>
        </w:rPr>
        <w:t>Digital Media Regulation within the European Union: A Framework for a New Media Order</w:t>
      </w:r>
      <w:r w:rsidRPr="00804E99">
        <w:rPr>
          <w:rFonts w:ascii="Times New Roman" w:hAnsi="Times New Roman" w:cs="Times New Roman"/>
          <w:iCs/>
        </w:rPr>
        <w:t>,</w:t>
      </w:r>
      <w:r w:rsidRPr="00804E99">
        <w:rPr>
          <w:rFonts w:ascii="Times New Roman" w:hAnsi="Times New Roman" w:cs="Times New Roman"/>
        </w:rPr>
        <w:t xml:space="preserve"> Nomos, 2024, p. 214), provided their adoption conforms to the above-mentioned procedural standards.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59F" w:rsidRPr="00FC1073" w:rsidP="00A45145" w14:paraId="5D2EBD96" w14:textId="0A989A22">
    <w:pPr>
      <w:jc w:val="center"/>
    </w:pPr>
    <w:r w:rsidRPr="00CA0551">
      <w:rPr>
        <w:noProof/>
      </w:rPr>
      <w:drawing>
        <wp:inline distT="0" distB="0" distL="0" distR="0">
          <wp:extent cx="2962275" cy="1219200"/>
          <wp:effectExtent l="0" t="0" r="9525" b="0"/>
          <wp:docPr id="137" name="Picture 1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C1073" w:rsidP="00B14793" w14:paraId="7BB3FE09" w14:textId="1BBF07BD">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59F" w:rsidRPr="00FC1073" w:rsidP="00A45145" w14:paraId="63901077" w14:textId="5DD133B9">
    <w:pPr>
      <w:jc w:val="center"/>
    </w:pPr>
    <w:r w:rsidRPr="00CA0551">
      <w:rPr>
        <w:noProof/>
      </w:rPr>
      <w:drawing>
        <wp:inline distT="0" distB="0" distL="0" distR="0">
          <wp:extent cx="2962275" cy="1219200"/>
          <wp:effectExtent l="0" t="0" r="9525" b="0"/>
          <wp:docPr id="104" name="Picture 10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C1073" w14:paraId="51D4974F" w14:textId="1ACA4B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59F" w:rsidRPr="004D0EC7" w:rsidP="004D0EC7" w14:paraId="135FAEB2" w14:textId="4748439A">
    <w:pPr>
      <w:pStyle w:val="JuHeader"/>
    </w:pPr>
    <w:r>
      <w:t>BRADSHAW AND OTHERS v. THE UNITED KINGDOM</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059F" w:rsidRPr="00882CD5" w:rsidP="007D3701" w14:paraId="7F6BCFC2" w14:textId="0BE12887">
    <w:pPr>
      <w:pStyle w:val="JuHeader"/>
    </w:pPr>
    <w:r>
      <w:t>BRADSHAW AND OTHERS v. THE UNITED KINGDOM</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21902B1" w14:textId="3C982F96">
    <w:pPr>
      <w:pStyle w:val="JuHeader"/>
    </w:pPr>
    <w:r>
      <w:t>BRADSHAW AND OTHERS v. THE UNITED KINGDOM</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2D6" w:rsidRPr="00882CD5" w:rsidP="00EC72D6" w14:paraId="654FFD40" w14:textId="77777777">
    <w:pPr>
      <w:pStyle w:val="JuHeader"/>
    </w:pPr>
    <w:r>
      <w:t>BRADSHAW AND OTHERS v. THE UNITED KINGDOM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1F60656"/>
    <w:multiLevelType w:val="hybridMultilevel"/>
    <w:tmpl w:val="52C25874"/>
    <w:lvl w:ilvl="0">
      <w:start w:val="1"/>
      <w:numFmt w:val="bullet"/>
      <w:lvlText w:val=""/>
      <w:lvlJc w:val="left"/>
      <w:pPr>
        <w:ind w:left="1004" w:hanging="360"/>
      </w:pPr>
      <w:rPr>
        <w:rFonts w:ascii="Symbol" w:hAnsi="Symbol" w:hint="default"/>
      </w:rPr>
    </w:lvl>
    <w:lvl w:ilvl="1">
      <w:start w:val="0"/>
      <w:numFmt w:val="bullet"/>
      <w:lvlText w:val="•"/>
      <w:lvlJc w:val="left"/>
      <w:pPr>
        <w:ind w:left="1724" w:hanging="360"/>
      </w:pPr>
      <w:rPr>
        <w:rFonts w:ascii="Times New Roman" w:hAnsi="Times New Roman" w:eastAsiaTheme="minorHAnsi" w:cs="Times New Roman"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4" w15:restartNumberingAfterBreak="0">
    <w:nsid w:val="22234D54"/>
    <w:multiLevelType w:val="hybridMultilevel"/>
    <w:tmpl w:val="A50678DA"/>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AF81C4D"/>
    <w:multiLevelType w:val="hybridMultilevel"/>
    <w:tmpl w:val="DE2E2BCA"/>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3BD3606D"/>
    <w:multiLevelType w:val="hybridMultilevel"/>
    <w:tmpl w:val="E0FEFB46"/>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15:restartNumberingAfterBreak="0">
    <w:nsid w:val="5D8F0D3A"/>
    <w:multiLevelType w:val="hybridMultilevel"/>
    <w:tmpl w:val="2182D866"/>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3"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6AA91387"/>
    <w:multiLevelType w:val="hybridMultilevel"/>
    <w:tmpl w:val="A088279C"/>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5" w15:restartNumberingAfterBreak="0">
    <w:nsid w:val="6C496F57"/>
    <w:multiLevelType w:val="hybridMultilevel"/>
    <w:tmpl w:val="7D9E8556"/>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6"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8"/>
  </w:num>
  <w:num w:numId="2" w16cid:durableId="754978352">
    <w:abstractNumId w:val="12"/>
  </w:num>
  <w:num w:numId="3" w16cid:durableId="1794904661">
    <w:abstractNumId w:val="11"/>
  </w:num>
  <w:num w:numId="4" w16cid:durableId="196163834">
    <w:abstractNumId w:val="19"/>
  </w:num>
  <w:num w:numId="5" w16cid:durableId="1751272099">
    <w:abstractNumId w:val="15"/>
  </w:num>
  <w:num w:numId="6" w16cid:durableId="1642692146">
    <w:abstractNumId w:val="20"/>
  </w:num>
  <w:num w:numId="7" w16cid:durableId="434135136">
    <w:abstractNumId w:val="19"/>
  </w:num>
  <w:num w:numId="8" w16cid:durableId="578097284">
    <w:abstractNumId w:val="20"/>
  </w:num>
  <w:num w:numId="9" w16cid:durableId="1183782018">
    <w:abstractNumId w:val="10"/>
  </w:num>
  <w:num w:numId="10" w16cid:durableId="1201867154">
    <w:abstractNumId w:val="9"/>
    <w:lvlOverride w:ilvl="0">
      <w:lvl w:ilvl="0">
        <w:start w:val="1"/>
        <w:numFmt w:val="decimal"/>
        <w:pStyle w:val="JuList"/>
        <w:lvlText w:val="%1."/>
        <w:lvlJc w:val="left"/>
        <w:pPr>
          <w:tabs>
            <w:tab w:val="num" w:pos="340"/>
          </w:tabs>
          <w:ind w:left="340" w:hanging="340"/>
        </w:pPr>
        <w:rPr>
          <w:rFonts w:hint="default"/>
          <w:i w:val="0"/>
          <w:iCs w:val="0"/>
        </w:rPr>
      </w:lvl>
    </w:lvlOverride>
  </w:num>
  <w:num w:numId="11" w16cid:durableId="468593734">
    <w:abstractNumId w:val="23"/>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989016258">
    <w:abstractNumId w:val="26"/>
  </w:num>
  <w:num w:numId="22" w16cid:durableId="1024752502">
    <w:abstractNumId w:val="21"/>
  </w:num>
  <w:num w:numId="23" w16cid:durableId="748426920">
    <w:abstractNumId w:val="17"/>
  </w:num>
  <w:num w:numId="24" w16cid:durableId="1819304474">
    <w:abstractNumId w:val="14"/>
  </w:num>
  <w:num w:numId="25" w16cid:durableId="1541092528">
    <w:abstractNumId w:val="24"/>
  </w:num>
  <w:num w:numId="26" w16cid:durableId="51854384">
    <w:abstractNumId w:val="22"/>
  </w:num>
  <w:num w:numId="27" w16cid:durableId="986278939">
    <w:abstractNumId w:val="25"/>
  </w:num>
  <w:num w:numId="28" w16cid:durableId="651757426">
    <w:abstractNumId w:val="16"/>
  </w:num>
  <w:num w:numId="29" w16cid:durableId="4004485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85181611">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59F"/>
    <w:rsid w:val="000041F8"/>
    <w:rsid w:val="000042A8"/>
    <w:rsid w:val="00004308"/>
    <w:rsid w:val="00005A97"/>
    <w:rsid w:val="00005BF0"/>
    <w:rsid w:val="0000617D"/>
    <w:rsid w:val="000061D8"/>
    <w:rsid w:val="00007154"/>
    <w:rsid w:val="000103AE"/>
    <w:rsid w:val="00011D69"/>
    <w:rsid w:val="00012AD3"/>
    <w:rsid w:val="00015C2D"/>
    <w:rsid w:val="00015F00"/>
    <w:rsid w:val="00016B17"/>
    <w:rsid w:val="0001768D"/>
    <w:rsid w:val="00022C1D"/>
    <w:rsid w:val="0002592F"/>
    <w:rsid w:val="000272C7"/>
    <w:rsid w:val="00031428"/>
    <w:rsid w:val="0003402D"/>
    <w:rsid w:val="000340E4"/>
    <w:rsid w:val="00034987"/>
    <w:rsid w:val="00041560"/>
    <w:rsid w:val="000475A7"/>
    <w:rsid w:val="00047D03"/>
    <w:rsid w:val="00055F58"/>
    <w:rsid w:val="00057905"/>
    <w:rsid w:val="000602DF"/>
    <w:rsid w:val="00061B05"/>
    <w:rsid w:val="000632D5"/>
    <w:rsid w:val="000644EE"/>
    <w:rsid w:val="0007063C"/>
    <w:rsid w:val="000712E3"/>
    <w:rsid w:val="00072595"/>
    <w:rsid w:val="0007780A"/>
    <w:rsid w:val="00080DE5"/>
    <w:rsid w:val="00081C35"/>
    <w:rsid w:val="0008408A"/>
    <w:rsid w:val="00085457"/>
    <w:rsid w:val="00087A24"/>
    <w:rsid w:val="000900BA"/>
    <w:rsid w:val="00091AE1"/>
    <w:rsid w:val="000922D5"/>
    <w:rsid w:val="000925AD"/>
    <w:rsid w:val="00095D0C"/>
    <w:rsid w:val="00096151"/>
    <w:rsid w:val="00096FE1"/>
    <w:rsid w:val="00097A62"/>
    <w:rsid w:val="000A24EB"/>
    <w:rsid w:val="000B128E"/>
    <w:rsid w:val="000B201F"/>
    <w:rsid w:val="000B686A"/>
    <w:rsid w:val="000B6923"/>
    <w:rsid w:val="000B7195"/>
    <w:rsid w:val="000C1172"/>
    <w:rsid w:val="000C5D45"/>
    <w:rsid w:val="000C5F3C"/>
    <w:rsid w:val="000C6DCC"/>
    <w:rsid w:val="000D1148"/>
    <w:rsid w:val="000D4578"/>
    <w:rsid w:val="000D47AA"/>
    <w:rsid w:val="000D721F"/>
    <w:rsid w:val="000E069B"/>
    <w:rsid w:val="000E0E82"/>
    <w:rsid w:val="000E1DC5"/>
    <w:rsid w:val="000E2089"/>
    <w:rsid w:val="000E223F"/>
    <w:rsid w:val="000E46B8"/>
    <w:rsid w:val="000E6B42"/>
    <w:rsid w:val="000E7D45"/>
    <w:rsid w:val="000F2A3A"/>
    <w:rsid w:val="000F46C3"/>
    <w:rsid w:val="000F52F4"/>
    <w:rsid w:val="000F7851"/>
    <w:rsid w:val="00101505"/>
    <w:rsid w:val="001023CD"/>
    <w:rsid w:val="001032A6"/>
    <w:rsid w:val="0010479A"/>
    <w:rsid w:val="00104E23"/>
    <w:rsid w:val="001051E4"/>
    <w:rsid w:val="0010626D"/>
    <w:rsid w:val="00106792"/>
    <w:rsid w:val="00110902"/>
    <w:rsid w:val="00110DA8"/>
    <w:rsid w:val="00111B0C"/>
    <w:rsid w:val="00120D6C"/>
    <w:rsid w:val="00122404"/>
    <w:rsid w:val="00124AB7"/>
    <w:rsid w:val="001257EC"/>
    <w:rsid w:val="00127930"/>
    <w:rsid w:val="00133D33"/>
    <w:rsid w:val="00134B6A"/>
    <w:rsid w:val="00134D64"/>
    <w:rsid w:val="00135A30"/>
    <w:rsid w:val="0013612C"/>
    <w:rsid w:val="00137FF6"/>
    <w:rsid w:val="00141650"/>
    <w:rsid w:val="00150B78"/>
    <w:rsid w:val="00152860"/>
    <w:rsid w:val="001561B6"/>
    <w:rsid w:val="00162A12"/>
    <w:rsid w:val="00166530"/>
    <w:rsid w:val="00170027"/>
    <w:rsid w:val="00172B15"/>
    <w:rsid w:val="00174B99"/>
    <w:rsid w:val="00175E59"/>
    <w:rsid w:val="001779BC"/>
    <w:rsid w:val="00182EBA"/>
    <w:rsid w:val="001832BD"/>
    <w:rsid w:val="001908A3"/>
    <w:rsid w:val="00191AD1"/>
    <w:rsid w:val="001943B5"/>
    <w:rsid w:val="00195134"/>
    <w:rsid w:val="001A0097"/>
    <w:rsid w:val="001A020C"/>
    <w:rsid w:val="001A057B"/>
    <w:rsid w:val="001A145B"/>
    <w:rsid w:val="001A3E09"/>
    <w:rsid w:val="001A49FC"/>
    <w:rsid w:val="001A674C"/>
    <w:rsid w:val="001A77FE"/>
    <w:rsid w:val="001B1A9D"/>
    <w:rsid w:val="001B28CB"/>
    <w:rsid w:val="001B3B24"/>
    <w:rsid w:val="001C055B"/>
    <w:rsid w:val="001C0F98"/>
    <w:rsid w:val="001C1B93"/>
    <w:rsid w:val="001C2A42"/>
    <w:rsid w:val="001C2AA3"/>
    <w:rsid w:val="001C307F"/>
    <w:rsid w:val="001D2EB5"/>
    <w:rsid w:val="001D33EA"/>
    <w:rsid w:val="001D3836"/>
    <w:rsid w:val="001D63ED"/>
    <w:rsid w:val="001D7211"/>
    <w:rsid w:val="001D72B2"/>
    <w:rsid w:val="001D7348"/>
    <w:rsid w:val="001E035B"/>
    <w:rsid w:val="001E05B9"/>
    <w:rsid w:val="001E0961"/>
    <w:rsid w:val="001E3808"/>
    <w:rsid w:val="001E3EAE"/>
    <w:rsid w:val="001E6857"/>
    <w:rsid w:val="001E6F32"/>
    <w:rsid w:val="001F2145"/>
    <w:rsid w:val="001F5FE5"/>
    <w:rsid w:val="001F6262"/>
    <w:rsid w:val="001F67B0"/>
    <w:rsid w:val="001F6D0C"/>
    <w:rsid w:val="001F72E9"/>
    <w:rsid w:val="001F7B3D"/>
    <w:rsid w:val="00202752"/>
    <w:rsid w:val="00202FEB"/>
    <w:rsid w:val="0020335A"/>
    <w:rsid w:val="00203723"/>
    <w:rsid w:val="002052BC"/>
    <w:rsid w:val="00205F9F"/>
    <w:rsid w:val="0020718E"/>
    <w:rsid w:val="00210338"/>
    <w:rsid w:val="002115FC"/>
    <w:rsid w:val="0021312D"/>
    <w:rsid w:val="0021423C"/>
    <w:rsid w:val="00214A02"/>
    <w:rsid w:val="0022062A"/>
    <w:rsid w:val="0022146D"/>
    <w:rsid w:val="00226C89"/>
    <w:rsid w:val="00227447"/>
    <w:rsid w:val="00230D00"/>
    <w:rsid w:val="00231DF7"/>
    <w:rsid w:val="00231FD1"/>
    <w:rsid w:val="002339E0"/>
    <w:rsid w:val="00233CF8"/>
    <w:rsid w:val="0023575D"/>
    <w:rsid w:val="00236DC5"/>
    <w:rsid w:val="00237148"/>
    <w:rsid w:val="0024222D"/>
    <w:rsid w:val="002422B6"/>
    <w:rsid w:val="00244B0E"/>
    <w:rsid w:val="00244F6C"/>
    <w:rsid w:val="00246B89"/>
    <w:rsid w:val="002521C5"/>
    <w:rsid w:val="00252C4E"/>
    <w:rsid w:val="002532C5"/>
    <w:rsid w:val="00254DF2"/>
    <w:rsid w:val="002577D4"/>
    <w:rsid w:val="002579C4"/>
    <w:rsid w:val="00260C03"/>
    <w:rsid w:val="0026439A"/>
    <w:rsid w:val="0026540E"/>
    <w:rsid w:val="00273DA0"/>
    <w:rsid w:val="00275123"/>
    <w:rsid w:val="00281B7C"/>
    <w:rsid w:val="00282240"/>
    <w:rsid w:val="00282BD8"/>
    <w:rsid w:val="00282C96"/>
    <w:rsid w:val="00282EFF"/>
    <w:rsid w:val="002860CD"/>
    <w:rsid w:val="00287A67"/>
    <w:rsid w:val="00287AD5"/>
    <w:rsid w:val="002934D0"/>
    <w:rsid w:val="00293676"/>
    <w:rsid w:val="00293BD9"/>
    <w:rsid w:val="00294281"/>
    <w:rsid w:val="002948AD"/>
    <w:rsid w:val="00297E60"/>
    <w:rsid w:val="002A01CC"/>
    <w:rsid w:val="002A2835"/>
    <w:rsid w:val="002A32A8"/>
    <w:rsid w:val="002A613A"/>
    <w:rsid w:val="002A61B1"/>
    <w:rsid w:val="002A637B"/>
    <w:rsid w:val="002A663C"/>
    <w:rsid w:val="002A6F1B"/>
    <w:rsid w:val="002B28FF"/>
    <w:rsid w:val="002B30EB"/>
    <w:rsid w:val="002B444B"/>
    <w:rsid w:val="002B5887"/>
    <w:rsid w:val="002B5B43"/>
    <w:rsid w:val="002C0E27"/>
    <w:rsid w:val="002C1A7F"/>
    <w:rsid w:val="002C1D24"/>
    <w:rsid w:val="002C3040"/>
    <w:rsid w:val="002C4433"/>
    <w:rsid w:val="002C5ADD"/>
    <w:rsid w:val="002C5BDE"/>
    <w:rsid w:val="002C7826"/>
    <w:rsid w:val="002D022D"/>
    <w:rsid w:val="002D24BB"/>
    <w:rsid w:val="002D2FA7"/>
    <w:rsid w:val="002D47BA"/>
    <w:rsid w:val="002D4826"/>
    <w:rsid w:val="002D73A5"/>
    <w:rsid w:val="002D77B9"/>
    <w:rsid w:val="002E3898"/>
    <w:rsid w:val="002E46DA"/>
    <w:rsid w:val="002E4AA2"/>
    <w:rsid w:val="002E7764"/>
    <w:rsid w:val="002F0825"/>
    <w:rsid w:val="002F2AF7"/>
    <w:rsid w:val="002F69C4"/>
    <w:rsid w:val="002F7D9E"/>
    <w:rsid w:val="002F7E1C"/>
    <w:rsid w:val="00301A75"/>
    <w:rsid w:val="00302F70"/>
    <w:rsid w:val="0030336F"/>
    <w:rsid w:val="0030375E"/>
    <w:rsid w:val="0031091F"/>
    <w:rsid w:val="00310E00"/>
    <w:rsid w:val="0031269A"/>
    <w:rsid w:val="00312A30"/>
    <w:rsid w:val="00314436"/>
    <w:rsid w:val="003201D8"/>
    <w:rsid w:val="00320330"/>
    <w:rsid w:val="00320F72"/>
    <w:rsid w:val="0032463E"/>
    <w:rsid w:val="00326224"/>
    <w:rsid w:val="00326D1D"/>
    <w:rsid w:val="00331B02"/>
    <w:rsid w:val="003368D7"/>
    <w:rsid w:val="00336F51"/>
    <w:rsid w:val="00337EE4"/>
    <w:rsid w:val="00340DA8"/>
    <w:rsid w:val="00340EB2"/>
    <w:rsid w:val="00340FFD"/>
    <w:rsid w:val="00345C41"/>
    <w:rsid w:val="0034639A"/>
    <w:rsid w:val="00350490"/>
    <w:rsid w:val="003506B1"/>
    <w:rsid w:val="00350D07"/>
    <w:rsid w:val="00353959"/>
    <w:rsid w:val="00355877"/>
    <w:rsid w:val="00356AC7"/>
    <w:rsid w:val="003609FA"/>
    <w:rsid w:val="003610EC"/>
    <w:rsid w:val="00363CE1"/>
    <w:rsid w:val="00366375"/>
    <w:rsid w:val="0037062C"/>
    <w:rsid w:val="003710C8"/>
    <w:rsid w:val="003750BE"/>
    <w:rsid w:val="00385A36"/>
    <w:rsid w:val="00385F3D"/>
    <w:rsid w:val="0038740C"/>
    <w:rsid w:val="00387B9D"/>
    <w:rsid w:val="00387C70"/>
    <w:rsid w:val="00390294"/>
    <w:rsid w:val="0039364F"/>
    <w:rsid w:val="00396686"/>
    <w:rsid w:val="0039778E"/>
    <w:rsid w:val="003B2425"/>
    <w:rsid w:val="003B291C"/>
    <w:rsid w:val="003B2C71"/>
    <w:rsid w:val="003B4941"/>
    <w:rsid w:val="003B72AE"/>
    <w:rsid w:val="003C5714"/>
    <w:rsid w:val="003C6B9F"/>
    <w:rsid w:val="003C6E2A"/>
    <w:rsid w:val="003D0299"/>
    <w:rsid w:val="003D504B"/>
    <w:rsid w:val="003D50DE"/>
    <w:rsid w:val="003D72FE"/>
    <w:rsid w:val="003D7CA5"/>
    <w:rsid w:val="003E0115"/>
    <w:rsid w:val="003E365D"/>
    <w:rsid w:val="003E43CC"/>
    <w:rsid w:val="003E6D80"/>
    <w:rsid w:val="003E7BCC"/>
    <w:rsid w:val="003F05FA"/>
    <w:rsid w:val="003F244A"/>
    <w:rsid w:val="003F2517"/>
    <w:rsid w:val="003F30B8"/>
    <w:rsid w:val="003F4C45"/>
    <w:rsid w:val="003F5F7B"/>
    <w:rsid w:val="003F7D64"/>
    <w:rsid w:val="00401663"/>
    <w:rsid w:val="00401E72"/>
    <w:rsid w:val="0040433A"/>
    <w:rsid w:val="00407BBB"/>
    <w:rsid w:val="00412989"/>
    <w:rsid w:val="00414300"/>
    <w:rsid w:val="00414F04"/>
    <w:rsid w:val="00414F27"/>
    <w:rsid w:val="00415B69"/>
    <w:rsid w:val="00417856"/>
    <w:rsid w:val="00420703"/>
    <w:rsid w:val="00425C67"/>
    <w:rsid w:val="0042633C"/>
    <w:rsid w:val="00427043"/>
    <w:rsid w:val="00427E7A"/>
    <w:rsid w:val="00434E5E"/>
    <w:rsid w:val="00435130"/>
    <w:rsid w:val="004355AC"/>
    <w:rsid w:val="00436C49"/>
    <w:rsid w:val="00440304"/>
    <w:rsid w:val="00443D98"/>
    <w:rsid w:val="00445366"/>
    <w:rsid w:val="00445AD4"/>
    <w:rsid w:val="004469F1"/>
    <w:rsid w:val="00447F5B"/>
    <w:rsid w:val="00450CA4"/>
    <w:rsid w:val="004514E0"/>
    <w:rsid w:val="004612D7"/>
    <w:rsid w:val="004615C6"/>
    <w:rsid w:val="00461DB0"/>
    <w:rsid w:val="00463926"/>
    <w:rsid w:val="00464AB7"/>
    <w:rsid w:val="00464C9A"/>
    <w:rsid w:val="00466CED"/>
    <w:rsid w:val="00474F3D"/>
    <w:rsid w:val="00477CDB"/>
    <w:rsid w:val="00477E3A"/>
    <w:rsid w:val="00483E5F"/>
    <w:rsid w:val="00485FF9"/>
    <w:rsid w:val="0049008C"/>
    <w:rsid w:val="0049049B"/>
    <w:rsid w:val="004907F0"/>
    <w:rsid w:val="0049140B"/>
    <w:rsid w:val="0049180C"/>
    <w:rsid w:val="004921B6"/>
    <w:rsid w:val="004923A5"/>
    <w:rsid w:val="0049310E"/>
    <w:rsid w:val="0049441B"/>
    <w:rsid w:val="004950E2"/>
    <w:rsid w:val="004956D2"/>
    <w:rsid w:val="00496BFB"/>
    <w:rsid w:val="00497281"/>
    <w:rsid w:val="00497565"/>
    <w:rsid w:val="004A1022"/>
    <w:rsid w:val="004A15C7"/>
    <w:rsid w:val="004A3201"/>
    <w:rsid w:val="004A51F4"/>
    <w:rsid w:val="004A63C0"/>
    <w:rsid w:val="004A7044"/>
    <w:rsid w:val="004B013B"/>
    <w:rsid w:val="004B112B"/>
    <w:rsid w:val="004B444E"/>
    <w:rsid w:val="004B5954"/>
    <w:rsid w:val="004C01E4"/>
    <w:rsid w:val="004C07DB"/>
    <w:rsid w:val="004C086C"/>
    <w:rsid w:val="004C1F56"/>
    <w:rsid w:val="004C27BC"/>
    <w:rsid w:val="004C6621"/>
    <w:rsid w:val="004D0EC7"/>
    <w:rsid w:val="004D15F3"/>
    <w:rsid w:val="004D179A"/>
    <w:rsid w:val="004D1993"/>
    <w:rsid w:val="004D2166"/>
    <w:rsid w:val="004D3B3D"/>
    <w:rsid w:val="004D4CFB"/>
    <w:rsid w:val="004D4E3F"/>
    <w:rsid w:val="004D4EF1"/>
    <w:rsid w:val="004D5311"/>
    <w:rsid w:val="004D5DCC"/>
    <w:rsid w:val="004D7E45"/>
    <w:rsid w:val="004E2392"/>
    <w:rsid w:val="004E6C0D"/>
    <w:rsid w:val="004F0F46"/>
    <w:rsid w:val="004F10AF"/>
    <w:rsid w:val="004F11A4"/>
    <w:rsid w:val="004F2389"/>
    <w:rsid w:val="004F304D"/>
    <w:rsid w:val="004F3F84"/>
    <w:rsid w:val="004F4290"/>
    <w:rsid w:val="004F48F9"/>
    <w:rsid w:val="004F61BE"/>
    <w:rsid w:val="004F6425"/>
    <w:rsid w:val="004F66B1"/>
    <w:rsid w:val="00505C30"/>
    <w:rsid w:val="00505F69"/>
    <w:rsid w:val="00511C07"/>
    <w:rsid w:val="005125CB"/>
    <w:rsid w:val="00512EC4"/>
    <w:rsid w:val="00515F65"/>
    <w:rsid w:val="0051725A"/>
    <w:rsid w:val="005173A6"/>
    <w:rsid w:val="00517A03"/>
    <w:rsid w:val="00517BB8"/>
    <w:rsid w:val="00520354"/>
    <w:rsid w:val="00520BAA"/>
    <w:rsid w:val="005217D8"/>
    <w:rsid w:val="00521CA5"/>
    <w:rsid w:val="005243CB"/>
    <w:rsid w:val="00525208"/>
    <w:rsid w:val="005257A5"/>
    <w:rsid w:val="005264C0"/>
    <w:rsid w:val="00526A8A"/>
    <w:rsid w:val="00527FB1"/>
    <w:rsid w:val="00530FE6"/>
    <w:rsid w:val="00531DF2"/>
    <w:rsid w:val="0053315C"/>
    <w:rsid w:val="00537476"/>
    <w:rsid w:val="00542408"/>
    <w:rsid w:val="005442EE"/>
    <w:rsid w:val="00544874"/>
    <w:rsid w:val="00545DA6"/>
    <w:rsid w:val="0054716E"/>
    <w:rsid w:val="00547353"/>
    <w:rsid w:val="005474E7"/>
    <w:rsid w:val="005512A3"/>
    <w:rsid w:val="00552E80"/>
    <w:rsid w:val="005578CE"/>
    <w:rsid w:val="00561F45"/>
    <w:rsid w:val="00562781"/>
    <w:rsid w:val="005629D3"/>
    <w:rsid w:val="00562B6C"/>
    <w:rsid w:val="00564962"/>
    <w:rsid w:val="0057271C"/>
    <w:rsid w:val="00572845"/>
    <w:rsid w:val="00575791"/>
    <w:rsid w:val="005810AD"/>
    <w:rsid w:val="0058279F"/>
    <w:rsid w:val="0058541F"/>
    <w:rsid w:val="00587686"/>
    <w:rsid w:val="005879A2"/>
    <w:rsid w:val="00592772"/>
    <w:rsid w:val="0059574A"/>
    <w:rsid w:val="005A1B9B"/>
    <w:rsid w:val="005A2221"/>
    <w:rsid w:val="005A2E79"/>
    <w:rsid w:val="005A5F17"/>
    <w:rsid w:val="005A6098"/>
    <w:rsid w:val="005A6751"/>
    <w:rsid w:val="005A7676"/>
    <w:rsid w:val="005B092E"/>
    <w:rsid w:val="005B152C"/>
    <w:rsid w:val="005B1EE0"/>
    <w:rsid w:val="005B2B24"/>
    <w:rsid w:val="005B3E30"/>
    <w:rsid w:val="005B3F16"/>
    <w:rsid w:val="005B4425"/>
    <w:rsid w:val="005B4B94"/>
    <w:rsid w:val="005C2C62"/>
    <w:rsid w:val="005C3EE8"/>
    <w:rsid w:val="005D2F2A"/>
    <w:rsid w:val="005D34F9"/>
    <w:rsid w:val="005D4190"/>
    <w:rsid w:val="005D491B"/>
    <w:rsid w:val="005D67A3"/>
    <w:rsid w:val="005D6A6C"/>
    <w:rsid w:val="005E2988"/>
    <w:rsid w:val="005E3085"/>
    <w:rsid w:val="005F0EB3"/>
    <w:rsid w:val="005F51E1"/>
    <w:rsid w:val="005F5897"/>
    <w:rsid w:val="0060197A"/>
    <w:rsid w:val="00601C15"/>
    <w:rsid w:val="00603EAA"/>
    <w:rsid w:val="00605794"/>
    <w:rsid w:val="00611C80"/>
    <w:rsid w:val="00620692"/>
    <w:rsid w:val="00623885"/>
    <w:rsid w:val="00623A21"/>
    <w:rsid w:val="006242CA"/>
    <w:rsid w:val="0062504A"/>
    <w:rsid w:val="00627507"/>
    <w:rsid w:val="006318CB"/>
    <w:rsid w:val="00633717"/>
    <w:rsid w:val="006344E1"/>
    <w:rsid w:val="0063691F"/>
    <w:rsid w:val="006413FF"/>
    <w:rsid w:val="0064285C"/>
    <w:rsid w:val="00643524"/>
    <w:rsid w:val="0064393B"/>
    <w:rsid w:val="00645CF2"/>
    <w:rsid w:val="006476B0"/>
    <w:rsid w:val="00650714"/>
    <w:rsid w:val="00653BED"/>
    <w:rsid w:val="006545C4"/>
    <w:rsid w:val="00661971"/>
    <w:rsid w:val="00661CE8"/>
    <w:rsid w:val="006623D9"/>
    <w:rsid w:val="006642A5"/>
    <w:rsid w:val="0066550C"/>
    <w:rsid w:val="00665BD2"/>
    <w:rsid w:val="00667C2C"/>
    <w:rsid w:val="006716F2"/>
    <w:rsid w:val="00673963"/>
    <w:rsid w:val="00675AF2"/>
    <w:rsid w:val="00682BF2"/>
    <w:rsid w:val="0068573E"/>
    <w:rsid w:val="006859CE"/>
    <w:rsid w:val="00691270"/>
    <w:rsid w:val="00693E81"/>
    <w:rsid w:val="00694BA8"/>
    <w:rsid w:val="00696084"/>
    <w:rsid w:val="006A037C"/>
    <w:rsid w:val="006A0C84"/>
    <w:rsid w:val="006A1C26"/>
    <w:rsid w:val="006A2E8B"/>
    <w:rsid w:val="006A36F4"/>
    <w:rsid w:val="006A406F"/>
    <w:rsid w:val="006A4E97"/>
    <w:rsid w:val="006A5D3A"/>
    <w:rsid w:val="006B0089"/>
    <w:rsid w:val="006B1942"/>
    <w:rsid w:val="006B5C71"/>
    <w:rsid w:val="006B613A"/>
    <w:rsid w:val="006B7CBF"/>
    <w:rsid w:val="006C23D4"/>
    <w:rsid w:val="006C7BB0"/>
    <w:rsid w:val="006D3237"/>
    <w:rsid w:val="006E2E37"/>
    <w:rsid w:val="006E3CF1"/>
    <w:rsid w:val="006E68A3"/>
    <w:rsid w:val="006E7E80"/>
    <w:rsid w:val="006F1C2D"/>
    <w:rsid w:val="006F48B6"/>
    <w:rsid w:val="006F48CA"/>
    <w:rsid w:val="006F64DD"/>
    <w:rsid w:val="006F712D"/>
    <w:rsid w:val="006F76EA"/>
    <w:rsid w:val="00706CD2"/>
    <w:rsid w:val="0071245C"/>
    <w:rsid w:val="00715127"/>
    <w:rsid w:val="00715E8E"/>
    <w:rsid w:val="00721A4C"/>
    <w:rsid w:val="00721FA3"/>
    <w:rsid w:val="00723580"/>
    <w:rsid w:val="00723755"/>
    <w:rsid w:val="007253C3"/>
    <w:rsid w:val="00726D00"/>
    <w:rsid w:val="0073136C"/>
    <w:rsid w:val="00731E03"/>
    <w:rsid w:val="00731F0F"/>
    <w:rsid w:val="00733250"/>
    <w:rsid w:val="007367F2"/>
    <w:rsid w:val="00736813"/>
    <w:rsid w:val="00740788"/>
    <w:rsid w:val="00741404"/>
    <w:rsid w:val="00743480"/>
    <w:rsid w:val="0074376C"/>
    <w:rsid w:val="007448BC"/>
    <w:rsid w:val="007449E5"/>
    <w:rsid w:val="00745340"/>
    <w:rsid w:val="0074718C"/>
    <w:rsid w:val="0074750E"/>
    <w:rsid w:val="007476B5"/>
    <w:rsid w:val="00747FF0"/>
    <w:rsid w:val="00751066"/>
    <w:rsid w:val="00755010"/>
    <w:rsid w:val="0075566E"/>
    <w:rsid w:val="007568E3"/>
    <w:rsid w:val="00757E56"/>
    <w:rsid w:val="00763602"/>
    <w:rsid w:val="00764D4E"/>
    <w:rsid w:val="00765A1F"/>
    <w:rsid w:val="007700F0"/>
    <w:rsid w:val="00770B8A"/>
    <w:rsid w:val="00775B6D"/>
    <w:rsid w:val="00776166"/>
    <w:rsid w:val="00776D68"/>
    <w:rsid w:val="00781140"/>
    <w:rsid w:val="00782B40"/>
    <w:rsid w:val="0078323E"/>
    <w:rsid w:val="007849C2"/>
    <w:rsid w:val="007850EE"/>
    <w:rsid w:val="00785B95"/>
    <w:rsid w:val="00790E96"/>
    <w:rsid w:val="00791A9B"/>
    <w:rsid w:val="007926FD"/>
    <w:rsid w:val="00793366"/>
    <w:rsid w:val="0079666C"/>
    <w:rsid w:val="00796780"/>
    <w:rsid w:val="007A50D6"/>
    <w:rsid w:val="007A675A"/>
    <w:rsid w:val="007A716F"/>
    <w:rsid w:val="007B270A"/>
    <w:rsid w:val="007B383A"/>
    <w:rsid w:val="007B4182"/>
    <w:rsid w:val="007B44F6"/>
    <w:rsid w:val="007C0695"/>
    <w:rsid w:val="007C0A80"/>
    <w:rsid w:val="007C419A"/>
    <w:rsid w:val="007C4CC8"/>
    <w:rsid w:val="007C5426"/>
    <w:rsid w:val="007C5798"/>
    <w:rsid w:val="007C5F23"/>
    <w:rsid w:val="007C73B8"/>
    <w:rsid w:val="007D1ECD"/>
    <w:rsid w:val="007D215B"/>
    <w:rsid w:val="007D3701"/>
    <w:rsid w:val="007D370F"/>
    <w:rsid w:val="007D4832"/>
    <w:rsid w:val="007E0ADB"/>
    <w:rsid w:val="007E21B2"/>
    <w:rsid w:val="007E2C4E"/>
    <w:rsid w:val="007E2C8C"/>
    <w:rsid w:val="007E4397"/>
    <w:rsid w:val="007E4A23"/>
    <w:rsid w:val="007E51BA"/>
    <w:rsid w:val="007E5A12"/>
    <w:rsid w:val="007E73D7"/>
    <w:rsid w:val="007E79A4"/>
    <w:rsid w:val="007F1905"/>
    <w:rsid w:val="007F27E4"/>
    <w:rsid w:val="007F3437"/>
    <w:rsid w:val="007F587B"/>
    <w:rsid w:val="007F6350"/>
    <w:rsid w:val="007F6AF1"/>
    <w:rsid w:val="00802C64"/>
    <w:rsid w:val="00804E99"/>
    <w:rsid w:val="00805E52"/>
    <w:rsid w:val="008061D0"/>
    <w:rsid w:val="00810B38"/>
    <w:rsid w:val="00811129"/>
    <w:rsid w:val="008117AF"/>
    <w:rsid w:val="00813CE1"/>
    <w:rsid w:val="00815F6D"/>
    <w:rsid w:val="008204C7"/>
    <w:rsid w:val="00820992"/>
    <w:rsid w:val="00821143"/>
    <w:rsid w:val="00823602"/>
    <w:rsid w:val="008255F5"/>
    <w:rsid w:val="00826890"/>
    <w:rsid w:val="0083014E"/>
    <w:rsid w:val="0083214A"/>
    <w:rsid w:val="008338D2"/>
    <w:rsid w:val="00834220"/>
    <w:rsid w:val="00841108"/>
    <w:rsid w:val="00845069"/>
    <w:rsid w:val="00845723"/>
    <w:rsid w:val="00850907"/>
    <w:rsid w:val="008519E7"/>
    <w:rsid w:val="00851EF9"/>
    <w:rsid w:val="00855C26"/>
    <w:rsid w:val="00855DA5"/>
    <w:rsid w:val="008577FD"/>
    <w:rsid w:val="00860B03"/>
    <w:rsid w:val="0086497A"/>
    <w:rsid w:val="0086538E"/>
    <w:rsid w:val="00865A4B"/>
    <w:rsid w:val="00867066"/>
    <w:rsid w:val="00870AFB"/>
    <w:rsid w:val="00870FB1"/>
    <w:rsid w:val="008713A1"/>
    <w:rsid w:val="00872584"/>
    <w:rsid w:val="008754AB"/>
    <w:rsid w:val="0088060C"/>
    <w:rsid w:val="00882CD5"/>
    <w:rsid w:val="00883151"/>
    <w:rsid w:val="00893576"/>
    <w:rsid w:val="00893E73"/>
    <w:rsid w:val="008B02DC"/>
    <w:rsid w:val="008B092C"/>
    <w:rsid w:val="008B2C47"/>
    <w:rsid w:val="008B57CE"/>
    <w:rsid w:val="008B66FC"/>
    <w:rsid w:val="008C1785"/>
    <w:rsid w:val="008C26DE"/>
    <w:rsid w:val="008C2CF3"/>
    <w:rsid w:val="008C30E2"/>
    <w:rsid w:val="008C5B81"/>
    <w:rsid w:val="008C738D"/>
    <w:rsid w:val="008D1668"/>
    <w:rsid w:val="008D2002"/>
    <w:rsid w:val="008D2225"/>
    <w:rsid w:val="008D2CBE"/>
    <w:rsid w:val="008D4752"/>
    <w:rsid w:val="008D5A13"/>
    <w:rsid w:val="008D6211"/>
    <w:rsid w:val="008E01C3"/>
    <w:rsid w:val="008E271C"/>
    <w:rsid w:val="008E3A08"/>
    <w:rsid w:val="008E418E"/>
    <w:rsid w:val="008E5BC6"/>
    <w:rsid w:val="008E6217"/>
    <w:rsid w:val="008E6A25"/>
    <w:rsid w:val="008E79FC"/>
    <w:rsid w:val="008F0B0B"/>
    <w:rsid w:val="008F153D"/>
    <w:rsid w:val="008F2465"/>
    <w:rsid w:val="008F2554"/>
    <w:rsid w:val="008F3AEC"/>
    <w:rsid w:val="008F4D80"/>
    <w:rsid w:val="008F5193"/>
    <w:rsid w:val="008F690D"/>
    <w:rsid w:val="008F6B36"/>
    <w:rsid w:val="008F6EE4"/>
    <w:rsid w:val="009007B2"/>
    <w:rsid w:val="009013A7"/>
    <w:rsid w:val="009017FB"/>
    <w:rsid w:val="009017FC"/>
    <w:rsid w:val="0090506B"/>
    <w:rsid w:val="009050C9"/>
    <w:rsid w:val="009050D9"/>
    <w:rsid w:val="009055EC"/>
    <w:rsid w:val="009066FC"/>
    <w:rsid w:val="00906719"/>
    <w:rsid w:val="009140A3"/>
    <w:rsid w:val="009144A2"/>
    <w:rsid w:val="0091510C"/>
    <w:rsid w:val="00922F00"/>
    <w:rsid w:val="009259AC"/>
    <w:rsid w:val="00926F38"/>
    <w:rsid w:val="00927A09"/>
    <w:rsid w:val="00927BEB"/>
    <w:rsid w:val="009317D9"/>
    <w:rsid w:val="009333DC"/>
    <w:rsid w:val="00934301"/>
    <w:rsid w:val="00936CD1"/>
    <w:rsid w:val="0094131C"/>
    <w:rsid w:val="00941747"/>
    <w:rsid w:val="00941EFB"/>
    <w:rsid w:val="00944B2A"/>
    <w:rsid w:val="00945A2C"/>
    <w:rsid w:val="0094639A"/>
    <w:rsid w:val="00947AFB"/>
    <w:rsid w:val="009507A6"/>
    <w:rsid w:val="0095081E"/>
    <w:rsid w:val="00951AA3"/>
    <w:rsid w:val="00951D7D"/>
    <w:rsid w:val="009528D4"/>
    <w:rsid w:val="00952AC3"/>
    <w:rsid w:val="00952FD4"/>
    <w:rsid w:val="00953670"/>
    <w:rsid w:val="00956D0C"/>
    <w:rsid w:val="00956F79"/>
    <w:rsid w:val="0096119C"/>
    <w:rsid w:val="00961252"/>
    <w:rsid w:val="009630C7"/>
    <w:rsid w:val="00963DD8"/>
    <w:rsid w:val="009646CE"/>
    <w:rsid w:val="009647CB"/>
    <w:rsid w:val="00971EA8"/>
    <w:rsid w:val="00972B55"/>
    <w:rsid w:val="009743B7"/>
    <w:rsid w:val="009762E9"/>
    <w:rsid w:val="0098228B"/>
    <w:rsid w:val="009828DA"/>
    <w:rsid w:val="0098410D"/>
    <w:rsid w:val="00984650"/>
    <w:rsid w:val="00985BAB"/>
    <w:rsid w:val="0098696D"/>
    <w:rsid w:val="00986B3C"/>
    <w:rsid w:val="00987F74"/>
    <w:rsid w:val="00990A79"/>
    <w:rsid w:val="00991612"/>
    <w:rsid w:val="00992869"/>
    <w:rsid w:val="009A115C"/>
    <w:rsid w:val="009A7FC1"/>
    <w:rsid w:val="009B05FA"/>
    <w:rsid w:val="009B1606"/>
    <w:rsid w:val="009B1B5F"/>
    <w:rsid w:val="009B29AD"/>
    <w:rsid w:val="009B5E60"/>
    <w:rsid w:val="009B6673"/>
    <w:rsid w:val="009C049C"/>
    <w:rsid w:val="009C191B"/>
    <w:rsid w:val="009C19ED"/>
    <w:rsid w:val="009C1B45"/>
    <w:rsid w:val="009C2BD6"/>
    <w:rsid w:val="009C364B"/>
    <w:rsid w:val="009D3674"/>
    <w:rsid w:val="009D57AA"/>
    <w:rsid w:val="009E039E"/>
    <w:rsid w:val="009E1F32"/>
    <w:rsid w:val="009E2CC2"/>
    <w:rsid w:val="009E47A2"/>
    <w:rsid w:val="009E5895"/>
    <w:rsid w:val="009E712F"/>
    <w:rsid w:val="009E776C"/>
    <w:rsid w:val="009E7A6F"/>
    <w:rsid w:val="009F0F3E"/>
    <w:rsid w:val="009F1A5E"/>
    <w:rsid w:val="009F4C8F"/>
    <w:rsid w:val="00A00646"/>
    <w:rsid w:val="00A02972"/>
    <w:rsid w:val="00A05588"/>
    <w:rsid w:val="00A15601"/>
    <w:rsid w:val="00A1726E"/>
    <w:rsid w:val="00A204CF"/>
    <w:rsid w:val="00A2054D"/>
    <w:rsid w:val="00A21D2B"/>
    <w:rsid w:val="00A22745"/>
    <w:rsid w:val="00A23D49"/>
    <w:rsid w:val="00A254AC"/>
    <w:rsid w:val="00A27004"/>
    <w:rsid w:val="00A308CE"/>
    <w:rsid w:val="00A30C29"/>
    <w:rsid w:val="00A336DF"/>
    <w:rsid w:val="00A343AA"/>
    <w:rsid w:val="00A34DD6"/>
    <w:rsid w:val="00A35683"/>
    <w:rsid w:val="00A36819"/>
    <w:rsid w:val="00A36989"/>
    <w:rsid w:val="00A41D86"/>
    <w:rsid w:val="00A42C50"/>
    <w:rsid w:val="00A43628"/>
    <w:rsid w:val="00A45145"/>
    <w:rsid w:val="00A512EE"/>
    <w:rsid w:val="00A51D0F"/>
    <w:rsid w:val="00A54192"/>
    <w:rsid w:val="00A549DA"/>
    <w:rsid w:val="00A57147"/>
    <w:rsid w:val="00A6035E"/>
    <w:rsid w:val="00A6144C"/>
    <w:rsid w:val="00A6514D"/>
    <w:rsid w:val="00A66617"/>
    <w:rsid w:val="00A671F8"/>
    <w:rsid w:val="00A673A4"/>
    <w:rsid w:val="00A724AE"/>
    <w:rsid w:val="00A73329"/>
    <w:rsid w:val="00A8059F"/>
    <w:rsid w:val="00A82359"/>
    <w:rsid w:val="00A82998"/>
    <w:rsid w:val="00A8403D"/>
    <w:rsid w:val="00A865D2"/>
    <w:rsid w:val="00A87C10"/>
    <w:rsid w:val="00A90BCD"/>
    <w:rsid w:val="00A92625"/>
    <w:rsid w:val="00A94C20"/>
    <w:rsid w:val="00A95D81"/>
    <w:rsid w:val="00A97DCA"/>
    <w:rsid w:val="00AA1B09"/>
    <w:rsid w:val="00AA227F"/>
    <w:rsid w:val="00AA3BC7"/>
    <w:rsid w:val="00AA47DF"/>
    <w:rsid w:val="00AA754A"/>
    <w:rsid w:val="00AB0499"/>
    <w:rsid w:val="00AB099E"/>
    <w:rsid w:val="00AB170E"/>
    <w:rsid w:val="00AB4328"/>
    <w:rsid w:val="00AC38DE"/>
    <w:rsid w:val="00AC4CD4"/>
    <w:rsid w:val="00AC5756"/>
    <w:rsid w:val="00AD0AD6"/>
    <w:rsid w:val="00AE0A2E"/>
    <w:rsid w:val="00AE21E9"/>
    <w:rsid w:val="00AE354C"/>
    <w:rsid w:val="00AE56E4"/>
    <w:rsid w:val="00AE5F56"/>
    <w:rsid w:val="00AF12C5"/>
    <w:rsid w:val="00AF20E9"/>
    <w:rsid w:val="00AF40CE"/>
    <w:rsid w:val="00AF4B07"/>
    <w:rsid w:val="00AF5FD3"/>
    <w:rsid w:val="00AF6186"/>
    <w:rsid w:val="00AF72BC"/>
    <w:rsid w:val="00AF7A3A"/>
    <w:rsid w:val="00B02587"/>
    <w:rsid w:val="00B049D1"/>
    <w:rsid w:val="00B130B3"/>
    <w:rsid w:val="00B14793"/>
    <w:rsid w:val="00B153A0"/>
    <w:rsid w:val="00B160DB"/>
    <w:rsid w:val="00B20836"/>
    <w:rsid w:val="00B235BB"/>
    <w:rsid w:val="00B270DF"/>
    <w:rsid w:val="00B27A44"/>
    <w:rsid w:val="00B30BBF"/>
    <w:rsid w:val="00B31F79"/>
    <w:rsid w:val="00B32394"/>
    <w:rsid w:val="00B326AB"/>
    <w:rsid w:val="00B33C03"/>
    <w:rsid w:val="00B37C11"/>
    <w:rsid w:val="00B4421F"/>
    <w:rsid w:val="00B44E56"/>
    <w:rsid w:val="00B45595"/>
    <w:rsid w:val="00B45917"/>
    <w:rsid w:val="00B46543"/>
    <w:rsid w:val="00B4682F"/>
    <w:rsid w:val="00B47D33"/>
    <w:rsid w:val="00B521FC"/>
    <w:rsid w:val="00B5257A"/>
    <w:rsid w:val="00B52BE0"/>
    <w:rsid w:val="00B5340A"/>
    <w:rsid w:val="00B53584"/>
    <w:rsid w:val="00B54133"/>
    <w:rsid w:val="00B55A8D"/>
    <w:rsid w:val="00B570C2"/>
    <w:rsid w:val="00B60D90"/>
    <w:rsid w:val="00B63B65"/>
    <w:rsid w:val="00B676D8"/>
    <w:rsid w:val="00B701ED"/>
    <w:rsid w:val="00B748F7"/>
    <w:rsid w:val="00B77679"/>
    <w:rsid w:val="00B8086C"/>
    <w:rsid w:val="00B81627"/>
    <w:rsid w:val="00B81C58"/>
    <w:rsid w:val="00B861B4"/>
    <w:rsid w:val="00B86DFE"/>
    <w:rsid w:val="00B90990"/>
    <w:rsid w:val="00B922FF"/>
    <w:rsid w:val="00B9281E"/>
    <w:rsid w:val="00B93925"/>
    <w:rsid w:val="00B95187"/>
    <w:rsid w:val="00B968AC"/>
    <w:rsid w:val="00BA16A3"/>
    <w:rsid w:val="00BA2D55"/>
    <w:rsid w:val="00BA5380"/>
    <w:rsid w:val="00BA5C50"/>
    <w:rsid w:val="00BA71B1"/>
    <w:rsid w:val="00BA7F1C"/>
    <w:rsid w:val="00BB0637"/>
    <w:rsid w:val="00BB25AD"/>
    <w:rsid w:val="00BB345F"/>
    <w:rsid w:val="00BB37F4"/>
    <w:rsid w:val="00BB68EA"/>
    <w:rsid w:val="00BB7E2C"/>
    <w:rsid w:val="00BC0570"/>
    <w:rsid w:val="00BC0B99"/>
    <w:rsid w:val="00BC1C27"/>
    <w:rsid w:val="00BC24E2"/>
    <w:rsid w:val="00BC271E"/>
    <w:rsid w:val="00BC56A7"/>
    <w:rsid w:val="00BC6BBF"/>
    <w:rsid w:val="00BD1572"/>
    <w:rsid w:val="00BD2416"/>
    <w:rsid w:val="00BD4118"/>
    <w:rsid w:val="00BE14E3"/>
    <w:rsid w:val="00BE3774"/>
    <w:rsid w:val="00BE41E5"/>
    <w:rsid w:val="00BE4CE2"/>
    <w:rsid w:val="00BE6761"/>
    <w:rsid w:val="00BF094D"/>
    <w:rsid w:val="00BF118F"/>
    <w:rsid w:val="00BF26CB"/>
    <w:rsid w:val="00BF4109"/>
    <w:rsid w:val="00BF4CC3"/>
    <w:rsid w:val="00C03E8D"/>
    <w:rsid w:val="00C054C7"/>
    <w:rsid w:val="00C057B5"/>
    <w:rsid w:val="00C07D0E"/>
    <w:rsid w:val="00C115C3"/>
    <w:rsid w:val="00C15547"/>
    <w:rsid w:val="00C1672D"/>
    <w:rsid w:val="00C20098"/>
    <w:rsid w:val="00C22687"/>
    <w:rsid w:val="00C26A92"/>
    <w:rsid w:val="00C26B1C"/>
    <w:rsid w:val="00C31C3A"/>
    <w:rsid w:val="00C32E4D"/>
    <w:rsid w:val="00C33117"/>
    <w:rsid w:val="00C332D9"/>
    <w:rsid w:val="00C333A0"/>
    <w:rsid w:val="00C36A81"/>
    <w:rsid w:val="00C36C5F"/>
    <w:rsid w:val="00C40790"/>
    <w:rsid w:val="00C41974"/>
    <w:rsid w:val="00C44A2C"/>
    <w:rsid w:val="00C44F09"/>
    <w:rsid w:val="00C470BA"/>
    <w:rsid w:val="00C471AD"/>
    <w:rsid w:val="00C477F7"/>
    <w:rsid w:val="00C5052D"/>
    <w:rsid w:val="00C509A6"/>
    <w:rsid w:val="00C512DF"/>
    <w:rsid w:val="00C5154E"/>
    <w:rsid w:val="00C53330"/>
    <w:rsid w:val="00C53862"/>
    <w:rsid w:val="00C53F4A"/>
    <w:rsid w:val="00C54125"/>
    <w:rsid w:val="00C54402"/>
    <w:rsid w:val="00C55B54"/>
    <w:rsid w:val="00C6098E"/>
    <w:rsid w:val="00C6152C"/>
    <w:rsid w:val="00C66541"/>
    <w:rsid w:val="00C66DA2"/>
    <w:rsid w:val="00C71424"/>
    <w:rsid w:val="00C74810"/>
    <w:rsid w:val="00C748ED"/>
    <w:rsid w:val="00C76A8D"/>
    <w:rsid w:val="00C76CE6"/>
    <w:rsid w:val="00C8435A"/>
    <w:rsid w:val="00C904BE"/>
    <w:rsid w:val="00C90D68"/>
    <w:rsid w:val="00C939FE"/>
    <w:rsid w:val="00C93F10"/>
    <w:rsid w:val="00C9587E"/>
    <w:rsid w:val="00C963AB"/>
    <w:rsid w:val="00CA0551"/>
    <w:rsid w:val="00CA1F1E"/>
    <w:rsid w:val="00CA231B"/>
    <w:rsid w:val="00CA28E7"/>
    <w:rsid w:val="00CA479A"/>
    <w:rsid w:val="00CA4BDA"/>
    <w:rsid w:val="00CA7038"/>
    <w:rsid w:val="00CA7E23"/>
    <w:rsid w:val="00CB0B9F"/>
    <w:rsid w:val="00CB13E3"/>
    <w:rsid w:val="00CB1F66"/>
    <w:rsid w:val="00CB232C"/>
    <w:rsid w:val="00CB2951"/>
    <w:rsid w:val="00CB4277"/>
    <w:rsid w:val="00CC0482"/>
    <w:rsid w:val="00CC343F"/>
    <w:rsid w:val="00CC5067"/>
    <w:rsid w:val="00CD11D3"/>
    <w:rsid w:val="00CD1AE9"/>
    <w:rsid w:val="00CD282B"/>
    <w:rsid w:val="00CD447B"/>
    <w:rsid w:val="00CD4C35"/>
    <w:rsid w:val="00CD4D70"/>
    <w:rsid w:val="00CD5057"/>
    <w:rsid w:val="00CD6656"/>
    <w:rsid w:val="00CD7369"/>
    <w:rsid w:val="00CE0B0E"/>
    <w:rsid w:val="00CE3831"/>
    <w:rsid w:val="00CF2397"/>
    <w:rsid w:val="00CF5502"/>
    <w:rsid w:val="00D00ABB"/>
    <w:rsid w:val="00D02EEC"/>
    <w:rsid w:val="00D03551"/>
    <w:rsid w:val="00D04315"/>
    <w:rsid w:val="00D06A63"/>
    <w:rsid w:val="00D07E0E"/>
    <w:rsid w:val="00D10CD6"/>
    <w:rsid w:val="00D11478"/>
    <w:rsid w:val="00D13700"/>
    <w:rsid w:val="00D15ED0"/>
    <w:rsid w:val="00D164BF"/>
    <w:rsid w:val="00D169D6"/>
    <w:rsid w:val="00D21B3E"/>
    <w:rsid w:val="00D21FED"/>
    <w:rsid w:val="00D23048"/>
    <w:rsid w:val="00D24251"/>
    <w:rsid w:val="00D26E72"/>
    <w:rsid w:val="00D30691"/>
    <w:rsid w:val="00D31DAD"/>
    <w:rsid w:val="00D33E17"/>
    <w:rsid w:val="00D343E2"/>
    <w:rsid w:val="00D345F7"/>
    <w:rsid w:val="00D361A2"/>
    <w:rsid w:val="00D37272"/>
    <w:rsid w:val="00D44C2E"/>
    <w:rsid w:val="00D45414"/>
    <w:rsid w:val="00D50A0A"/>
    <w:rsid w:val="00D53548"/>
    <w:rsid w:val="00D540EE"/>
    <w:rsid w:val="00D5575D"/>
    <w:rsid w:val="00D5576B"/>
    <w:rsid w:val="00D566BD"/>
    <w:rsid w:val="00D57A4D"/>
    <w:rsid w:val="00D60AA7"/>
    <w:rsid w:val="00D61B58"/>
    <w:rsid w:val="00D6435F"/>
    <w:rsid w:val="00D65A95"/>
    <w:rsid w:val="00D66471"/>
    <w:rsid w:val="00D669D4"/>
    <w:rsid w:val="00D7061C"/>
    <w:rsid w:val="00D70641"/>
    <w:rsid w:val="00D7206B"/>
    <w:rsid w:val="00D74888"/>
    <w:rsid w:val="00D7488B"/>
    <w:rsid w:val="00D75E28"/>
    <w:rsid w:val="00D772C2"/>
    <w:rsid w:val="00D8008E"/>
    <w:rsid w:val="00D81F89"/>
    <w:rsid w:val="00D8290F"/>
    <w:rsid w:val="00D8295F"/>
    <w:rsid w:val="00D82C45"/>
    <w:rsid w:val="00D87C37"/>
    <w:rsid w:val="00D908A8"/>
    <w:rsid w:val="00D97721"/>
    <w:rsid w:val="00D977B6"/>
    <w:rsid w:val="00DA05E0"/>
    <w:rsid w:val="00DA1223"/>
    <w:rsid w:val="00DA4A31"/>
    <w:rsid w:val="00DA63C4"/>
    <w:rsid w:val="00DA7B04"/>
    <w:rsid w:val="00DB36C2"/>
    <w:rsid w:val="00DB6A3C"/>
    <w:rsid w:val="00DB70A5"/>
    <w:rsid w:val="00DB7A01"/>
    <w:rsid w:val="00DB7BCA"/>
    <w:rsid w:val="00DC00A8"/>
    <w:rsid w:val="00DC169B"/>
    <w:rsid w:val="00DC2AB9"/>
    <w:rsid w:val="00DC35F5"/>
    <w:rsid w:val="00DC63F0"/>
    <w:rsid w:val="00DD1593"/>
    <w:rsid w:val="00DD37EA"/>
    <w:rsid w:val="00DD3ADC"/>
    <w:rsid w:val="00DD5DC5"/>
    <w:rsid w:val="00DD6EE5"/>
    <w:rsid w:val="00DD7794"/>
    <w:rsid w:val="00DE01F6"/>
    <w:rsid w:val="00DE386C"/>
    <w:rsid w:val="00DE4D35"/>
    <w:rsid w:val="00DF098B"/>
    <w:rsid w:val="00DF11C4"/>
    <w:rsid w:val="00DF210C"/>
    <w:rsid w:val="00DF493C"/>
    <w:rsid w:val="00DF4B6A"/>
    <w:rsid w:val="00DF5259"/>
    <w:rsid w:val="00DF6729"/>
    <w:rsid w:val="00E004C0"/>
    <w:rsid w:val="00E01058"/>
    <w:rsid w:val="00E02C09"/>
    <w:rsid w:val="00E04D59"/>
    <w:rsid w:val="00E06DFC"/>
    <w:rsid w:val="00E07DA1"/>
    <w:rsid w:val="00E123CB"/>
    <w:rsid w:val="00E13B09"/>
    <w:rsid w:val="00E20E13"/>
    <w:rsid w:val="00E21DBC"/>
    <w:rsid w:val="00E23E8F"/>
    <w:rsid w:val="00E2671F"/>
    <w:rsid w:val="00E275D7"/>
    <w:rsid w:val="00E27DBE"/>
    <w:rsid w:val="00E311C8"/>
    <w:rsid w:val="00E32AB1"/>
    <w:rsid w:val="00E36C71"/>
    <w:rsid w:val="00E40404"/>
    <w:rsid w:val="00E4126A"/>
    <w:rsid w:val="00E42A06"/>
    <w:rsid w:val="00E42F08"/>
    <w:rsid w:val="00E454E4"/>
    <w:rsid w:val="00E459C6"/>
    <w:rsid w:val="00E45E85"/>
    <w:rsid w:val="00E47589"/>
    <w:rsid w:val="00E54077"/>
    <w:rsid w:val="00E54C70"/>
    <w:rsid w:val="00E557AA"/>
    <w:rsid w:val="00E576AD"/>
    <w:rsid w:val="00E63EC7"/>
    <w:rsid w:val="00E64915"/>
    <w:rsid w:val="00E64D3A"/>
    <w:rsid w:val="00E65862"/>
    <w:rsid w:val="00E661D4"/>
    <w:rsid w:val="00E67565"/>
    <w:rsid w:val="00E70091"/>
    <w:rsid w:val="00E70D2E"/>
    <w:rsid w:val="00E72062"/>
    <w:rsid w:val="00E720F5"/>
    <w:rsid w:val="00E744E0"/>
    <w:rsid w:val="00E76D47"/>
    <w:rsid w:val="00E8221E"/>
    <w:rsid w:val="00E827BC"/>
    <w:rsid w:val="00E838A6"/>
    <w:rsid w:val="00E849F7"/>
    <w:rsid w:val="00E86D35"/>
    <w:rsid w:val="00E87650"/>
    <w:rsid w:val="00E90302"/>
    <w:rsid w:val="00E9157B"/>
    <w:rsid w:val="00E91D05"/>
    <w:rsid w:val="00E9262D"/>
    <w:rsid w:val="00E93B58"/>
    <w:rsid w:val="00E94245"/>
    <w:rsid w:val="00E94985"/>
    <w:rsid w:val="00E957A9"/>
    <w:rsid w:val="00E95C1E"/>
    <w:rsid w:val="00E9644A"/>
    <w:rsid w:val="00E97396"/>
    <w:rsid w:val="00EA185E"/>
    <w:rsid w:val="00EA556C"/>
    <w:rsid w:val="00EA592A"/>
    <w:rsid w:val="00EB14E4"/>
    <w:rsid w:val="00EB32A5"/>
    <w:rsid w:val="00EB34ED"/>
    <w:rsid w:val="00EB3C1C"/>
    <w:rsid w:val="00EB447C"/>
    <w:rsid w:val="00EB5BB6"/>
    <w:rsid w:val="00EB661A"/>
    <w:rsid w:val="00EB7BE0"/>
    <w:rsid w:val="00EC315E"/>
    <w:rsid w:val="00EC4D5E"/>
    <w:rsid w:val="00EC72D6"/>
    <w:rsid w:val="00ED077C"/>
    <w:rsid w:val="00ED101F"/>
    <w:rsid w:val="00ED10A9"/>
    <w:rsid w:val="00ED1190"/>
    <w:rsid w:val="00ED34AC"/>
    <w:rsid w:val="00ED6544"/>
    <w:rsid w:val="00ED6602"/>
    <w:rsid w:val="00ED7CB1"/>
    <w:rsid w:val="00EE0277"/>
    <w:rsid w:val="00EE2899"/>
    <w:rsid w:val="00EE3A51"/>
    <w:rsid w:val="00EE3E00"/>
    <w:rsid w:val="00EE54AD"/>
    <w:rsid w:val="00EE5DD2"/>
    <w:rsid w:val="00EF36C5"/>
    <w:rsid w:val="00EF3DB4"/>
    <w:rsid w:val="00EF7F50"/>
    <w:rsid w:val="00F00136"/>
    <w:rsid w:val="00F00A79"/>
    <w:rsid w:val="00F00D13"/>
    <w:rsid w:val="00F00E86"/>
    <w:rsid w:val="00F056E2"/>
    <w:rsid w:val="00F07C1E"/>
    <w:rsid w:val="00F105DB"/>
    <w:rsid w:val="00F132B6"/>
    <w:rsid w:val="00F132BC"/>
    <w:rsid w:val="00F13D80"/>
    <w:rsid w:val="00F15B4D"/>
    <w:rsid w:val="00F16A7C"/>
    <w:rsid w:val="00F16AAA"/>
    <w:rsid w:val="00F16C0F"/>
    <w:rsid w:val="00F1709C"/>
    <w:rsid w:val="00F21161"/>
    <w:rsid w:val="00F218EF"/>
    <w:rsid w:val="00F21BC7"/>
    <w:rsid w:val="00F266A2"/>
    <w:rsid w:val="00F32269"/>
    <w:rsid w:val="00F3385A"/>
    <w:rsid w:val="00F35B23"/>
    <w:rsid w:val="00F35B7A"/>
    <w:rsid w:val="00F364A4"/>
    <w:rsid w:val="00F43187"/>
    <w:rsid w:val="00F4395F"/>
    <w:rsid w:val="00F43B5D"/>
    <w:rsid w:val="00F43F9F"/>
    <w:rsid w:val="00F5331C"/>
    <w:rsid w:val="00F56A6F"/>
    <w:rsid w:val="00F56E24"/>
    <w:rsid w:val="00F5709C"/>
    <w:rsid w:val="00F60B85"/>
    <w:rsid w:val="00F6243B"/>
    <w:rsid w:val="00F63407"/>
    <w:rsid w:val="00F63CE1"/>
    <w:rsid w:val="00F64EF1"/>
    <w:rsid w:val="00F70A52"/>
    <w:rsid w:val="00F716EE"/>
    <w:rsid w:val="00F72498"/>
    <w:rsid w:val="00F72B14"/>
    <w:rsid w:val="00F7349B"/>
    <w:rsid w:val="00F775C8"/>
    <w:rsid w:val="00F8765F"/>
    <w:rsid w:val="00F90767"/>
    <w:rsid w:val="00F920CC"/>
    <w:rsid w:val="00F9263C"/>
    <w:rsid w:val="00F92F09"/>
    <w:rsid w:val="00F943EA"/>
    <w:rsid w:val="00F947F1"/>
    <w:rsid w:val="00F95F5C"/>
    <w:rsid w:val="00F96D8E"/>
    <w:rsid w:val="00FA1637"/>
    <w:rsid w:val="00FA2D62"/>
    <w:rsid w:val="00FA31CD"/>
    <w:rsid w:val="00FA41D6"/>
    <w:rsid w:val="00FA46CA"/>
    <w:rsid w:val="00FA60E7"/>
    <w:rsid w:val="00FA685B"/>
    <w:rsid w:val="00FB0C01"/>
    <w:rsid w:val="00FB1208"/>
    <w:rsid w:val="00FB47C9"/>
    <w:rsid w:val="00FB5934"/>
    <w:rsid w:val="00FC1073"/>
    <w:rsid w:val="00FC150D"/>
    <w:rsid w:val="00FC18F2"/>
    <w:rsid w:val="00FC2A17"/>
    <w:rsid w:val="00FC32B8"/>
    <w:rsid w:val="00FC38CF"/>
    <w:rsid w:val="00FC39E5"/>
    <w:rsid w:val="00FC3A78"/>
    <w:rsid w:val="00FC3DEC"/>
    <w:rsid w:val="00FC6EC1"/>
    <w:rsid w:val="00FD1005"/>
    <w:rsid w:val="00FD1F7F"/>
    <w:rsid w:val="00FD6918"/>
    <w:rsid w:val="00FD6C75"/>
    <w:rsid w:val="00FD7972"/>
    <w:rsid w:val="00FE0401"/>
    <w:rsid w:val="00FE5564"/>
    <w:rsid w:val="00FE681D"/>
    <w:rsid w:val="00FE71B3"/>
    <w:rsid w:val="00FF42C5"/>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EB05070"/>
  <w15:docId w15:val="{67B55F49-16F3-473C-9E94-CD609428B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26D00"/>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ECHR_List_1"/>
    <w:basedOn w:val="NormalJustified"/>
    <w:uiPriority w:val="23"/>
    <w:qFormat/>
    <w:rsid w:val="002B5B43"/>
    <w:pPr>
      <w:numPr>
        <w:numId w:val="10"/>
      </w:numPr>
      <w:spacing w:before="280" w:after="60"/>
    </w:pPr>
  </w:style>
  <w:style w:type="paragraph" w:customStyle="1" w:styleId="JuLista">
    <w:name w:val="Ju_List_a"/>
    <w:aliases w:val="_List_2,ECHR_List_2"/>
    <w:basedOn w:val="NormalJustified"/>
    <w:uiPriority w:val="23"/>
    <w:rsid w:val="002B5B43"/>
    <w:pPr>
      <w:numPr>
        <w:ilvl w:val="1"/>
        <w:numId w:val="10"/>
      </w:numPr>
    </w:pPr>
  </w:style>
  <w:style w:type="paragraph" w:customStyle="1" w:styleId="JuListi">
    <w:name w:val="Ju_List_i"/>
    <w:aliases w:val="_List_3,ECHR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9"/>
    <w:rsid w:val="002B5B43"/>
    <w:pPr>
      <w:tabs>
        <w:tab w:val="center" w:pos="3686"/>
        <w:tab w:val="right" w:pos="7371"/>
      </w:tabs>
    </w:pPr>
  </w:style>
  <w:style w:type="character" w:customStyle="1" w:styleId="FooterChar">
    <w:name w:val="Footer Char"/>
    <w:basedOn w:val="DefaultParagraphFont"/>
    <w:link w:val="Footer1"/>
    <w:uiPriority w:val="99"/>
    <w:rsid w:val="002B5B43"/>
    <w:rPr>
      <w:sz w:val="24"/>
      <w:szCs w:val="24"/>
      <w:lang w:val="en-GB"/>
    </w:rPr>
  </w:style>
  <w:style w:type="character" w:styleId="FootnoteReference">
    <w:name w:val="footnote reference"/>
    <w:basedOn w:val="DefaultParagraphFont"/>
    <w:uiPriority w:val="99"/>
    <w:semiHidden/>
    <w:rsid w:val="002B5B43"/>
    <w:rPr>
      <w:vertAlign w:val="superscript"/>
    </w:rPr>
  </w:style>
  <w:style w:type="paragraph" w:styleId="FootnoteText">
    <w:name w:val="footnote text"/>
    <w:basedOn w:val="NormalJustified"/>
    <w:link w:val="FootnoteTextChar"/>
    <w:uiPriority w:val="99"/>
    <w:semiHidden/>
    <w:rsid w:val="002B5B43"/>
    <w:rPr>
      <w:sz w:val="20"/>
      <w:szCs w:val="20"/>
    </w:rPr>
  </w:style>
  <w:style w:type="character" w:customStyle="1" w:styleId="FootnoteTextChar">
    <w:name w:val="Footnote Text Char"/>
    <w:basedOn w:val="DefaultParagraphFont"/>
    <w:link w:val="FootnoteText"/>
    <w:uiPriority w:val="99"/>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ECHR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rsid w:val="0064393B"/>
    <w:rPr>
      <w:sz w:val="8"/>
    </w:rPr>
  </w:style>
  <w:style w:type="paragraph" w:customStyle="1" w:styleId="ECHRFooterLine">
    <w:name w:val="ECHR_Footer_Line"/>
    <w:aliases w:val="_Footer_Line"/>
    <w:basedOn w:val="Normal"/>
    <w:next w:val="Normal"/>
    <w:uiPriority w:val="30"/>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qFormat/>
    <w:rsid w:val="002B5B43"/>
    <w:pPr>
      <w:numPr>
        <w:numId w:val="7"/>
      </w:numPr>
      <w:spacing w:before="60" w:after="60"/>
    </w:pPr>
  </w:style>
  <w:style w:type="paragraph" w:customStyle="1" w:styleId="ECHRBullet2">
    <w:name w:val="ECHR_Bullet_2"/>
    <w:aliases w:val="_Bul_2"/>
    <w:basedOn w:val="ECHRBullet1"/>
    <w:uiPriority w:val="23"/>
    <w:rsid w:val="002B5B43"/>
    <w:pPr>
      <w:numPr>
        <w:ilvl w:val="1"/>
      </w:numPr>
    </w:pPr>
  </w:style>
  <w:style w:type="paragraph" w:customStyle="1" w:styleId="ECHRBullet3">
    <w:name w:val="ECHR_Bullet_3"/>
    <w:aliases w:val="_Bul_3"/>
    <w:basedOn w:val="ECHRBullet2"/>
    <w:uiPriority w:val="23"/>
    <w:rsid w:val="002B5B43"/>
    <w:pPr>
      <w:numPr>
        <w:ilvl w:val="2"/>
      </w:numPr>
    </w:pPr>
  </w:style>
  <w:style w:type="paragraph" w:customStyle="1" w:styleId="ECHRBullet4">
    <w:name w:val="ECHR_Bullet_4"/>
    <w:aliases w:val="_Bul_4"/>
    <w:basedOn w:val="ECHRBullet3"/>
    <w:uiPriority w:val="23"/>
    <w:rsid w:val="002B5B43"/>
    <w:pPr>
      <w:numPr>
        <w:ilvl w:val="3"/>
      </w:numPr>
    </w:pPr>
  </w:style>
  <w:style w:type="paragraph" w:customStyle="1" w:styleId="ECHRConfidential">
    <w:name w:val="ECHR_Confidential"/>
    <w:aliases w:val="_Confidential"/>
    <w:basedOn w:val="Normal"/>
    <w:next w:val="Normal"/>
    <w:uiPriority w:val="42"/>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qFormat/>
    <w:rsid w:val="002B5B43"/>
    <w:pPr>
      <w:numPr>
        <w:numId w:val="8"/>
      </w:numPr>
      <w:spacing w:before="60" w:after="60"/>
    </w:pPr>
  </w:style>
  <w:style w:type="paragraph" w:customStyle="1" w:styleId="ECHRNumberedList2">
    <w:name w:val="ECHR_Numbered_List_2"/>
    <w:aliases w:val="_Num_2"/>
    <w:basedOn w:val="ECHRNumberedList1"/>
    <w:uiPriority w:val="23"/>
    <w:rsid w:val="002B5B43"/>
    <w:pPr>
      <w:numPr>
        <w:ilvl w:val="1"/>
      </w:numPr>
    </w:pPr>
  </w:style>
  <w:style w:type="paragraph" w:customStyle="1" w:styleId="ECHRNumberedList3">
    <w:name w:val="ECHR_Numbered_List_3"/>
    <w:aliases w:val="_Num_3"/>
    <w:basedOn w:val="ECHRNumberedList2"/>
    <w:uiPriority w:val="23"/>
    <w:rsid w:val="002B5B43"/>
    <w:pPr>
      <w:numPr>
        <w:ilvl w:val="2"/>
      </w:numPr>
    </w:pPr>
  </w:style>
  <w:style w:type="paragraph" w:customStyle="1" w:styleId="ECHRParaHanging">
    <w:name w:val="ECHR_Para_Hanging"/>
    <w:aliases w:val="_Hanging"/>
    <w:basedOn w:val="NormalJustified"/>
    <w:uiPriority w:val="8"/>
    <w:qFormat/>
    <w:rsid w:val="002B5B43"/>
    <w:pPr>
      <w:ind w:left="567" w:hanging="567"/>
    </w:pPr>
  </w:style>
  <w:style w:type="paragraph" w:customStyle="1" w:styleId="ECHRParaIndent">
    <w:name w:val="ECHR_Para_Indent"/>
    <w:aliases w:val="_Indent"/>
    <w:basedOn w:val="NormalJustified"/>
    <w:uiPriority w:val="7"/>
    <w:qFormat/>
    <w:rsid w:val="002B5B43"/>
    <w:pPr>
      <w:spacing w:before="120" w:after="120"/>
      <w:ind w:left="284"/>
    </w:pPr>
  </w:style>
  <w:style w:type="character" w:customStyle="1" w:styleId="ECHRRed">
    <w:name w:val="ECHR_Red"/>
    <w:aliases w:val="_Red"/>
    <w:basedOn w:val="DefaultParagraphFont"/>
    <w:uiPriority w:val="15"/>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2B5B43"/>
    <w:pPr>
      <w:outlineLvl w:val="0"/>
    </w:pPr>
  </w:style>
  <w:style w:type="paragraph" w:customStyle="1" w:styleId="ECHRTitleTOC1">
    <w:name w:val="ECHR_Title_TOC_1"/>
    <w:aliases w:val="_Title_L_TOC"/>
    <w:basedOn w:val="ECHRTitle1"/>
    <w:next w:val="Normal"/>
    <w:uiPriority w:val="27"/>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ECHR_Para Char"/>
    <w:link w:val="JuPara"/>
    <w:uiPriority w:val="4"/>
    <w:qFormat/>
    <w:rsid w:val="00A8059F"/>
    <w:rPr>
      <w:sz w:val="24"/>
      <w:szCs w:val="24"/>
      <w:lang w:val="en-GB"/>
    </w:rPr>
  </w:style>
  <w:style w:type="table" w:styleId="GridTable1Light">
    <w:name w:val="Grid Table 1 Light"/>
    <w:basedOn w:val="TableNormal"/>
    <w:uiPriority w:val="46"/>
    <w:rsid w:val="00A805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A8059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A8059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059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059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059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059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059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05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059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A8059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A8059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A8059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A8059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A8059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A805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059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A8059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A8059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A8059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A8059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A8059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A805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059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A8059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A8059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A8059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A8059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A8059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A8059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059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A8059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A8059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A8059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A8059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A8059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A8059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8059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A8059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A8059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A8059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A8059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A8059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A8059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8059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A8059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A8059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A8059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A8059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A8059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8059F"/>
    <w:rPr>
      <w:color w:val="2B579A"/>
      <w:shd w:val="clear" w:color="auto" w:fill="E1DFDD"/>
    </w:rPr>
  </w:style>
  <w:style w:type="table" w:styleId="ListTable1Light">
    <w:name w:val="List Table 1 Light"/>
    <w:basedOn w:val="TableNormal"/>
    <w:uiPriority w:val="46"/>
    <w:rsid w:val="00A805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059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A8059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A8059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A8059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A8059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A8059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A805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059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A8059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A8059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A8059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A8059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A8059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A805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059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A8059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A8059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A8059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A8059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A8059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A805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059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A8059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A8059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A8059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A8059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A8059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A8059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059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059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059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059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059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059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8059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8059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A8059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A8059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A8059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A8059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A8059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A8059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8059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8059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8059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8059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8059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8059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8059F"/>
    <w:rPr>
      <w:color w:val="2B579A"/>
      <w:shd w:val="clear" w:color="auto" w:fill="E1DFDD"/>
    </w:rPr>
  </w:style>
  <w:style w:type="table" w:styleId="PlainTable1">
    <w:name w:val="Plain Table 1"/>
    <w:basedOn w:val="TableNormal"/>
    <w:uiPriority w:val="41"/>
    <w:rsid w:val="00A8059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A8059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05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05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A805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8059F"/>
    <w:rPr>
      <w:u w:val="dotted"/>
    </w:rPr>
  </w:style>
  <w:style w:type="character" w:styleId="SmartLink">
    <w:name w:val="Smart Link"/>
    <w:basedOn w:val="DefaultParagraphFont"/>
    <w:uiPriority w:val="99"/>
    <w:semiHidden/>
    <w:unhideWhenUsed/>
    <w:rsid w:val="00A8059F"/>
    <w:rPr>
      <w:color w:val="0000FF"/>
      <w:u w:val="single"/>
      <w:shd w:val="clear" w:color="auto" w:fill="F3F2F1"/>
    </w:rPr>
  </w:style>
  <w:style w:type="table" w:styleId="GridTableLight">
    <w:name w:val="Grid Table Light"/>
    <w:basedOn w:val="TableNormal"/>
    <w:uiPriority w:val="40"/>
    <w:rsid w:val="00A8059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A8059F"/>
    <w:rPr>
      <w:sz w:val="24"/>
      <w:szCs w:val="24"/>
      <w:lang w:val="en-GB"/>
    </w:rPr>
  </w:style>
  <w:style w:type="numbering" w:customStyle="1" w:styleId="ECHRA1StyleBulletedSquare1">
    <w:name w:val="ECHR_A1_Style_Bulleted_Square1"/>
    <w:basedOn w:val="NoList"/>
    <w:rsid w:val="00A8059F"/>
  </w:style>
  <w:style w:type="numbering" w:customStyle="1" w:styleId="ECHRA1StyleList1">
    <w:name w:val="ECHR_A1_Style_List1"/>
    <w:basedOn w:val="NoList"/>
    <w:uiPriority w:val="99"/>
    <w:rsid w:val="00A8059F"/>
  </w:style>
  <w:style w:type="numbering" w:customStyle="1" w:styleId="ECHRA1StyleNumberedList1">
    <w:name w:val="ECHR_A1_Style_Numbered_List1"/>
    <w:basedOn w:val="NoList"/>
    <w:rsid w:val="00A8059F"/>
  </w:style>
  <w:style w:type="table" w:customStyle="1" w:styleId="GridTable1Light1">
    <w:name w:val="Grid Table 1 Light1"/>
    <w:basedOn w:val="TableNormal"/>
    <w:next w:val="GridTable1Light"/>
    <w:uiPriority w:val="46"/>
    <w:semiHidden/>
    <w:rsid w:val="00A8059F"/>
    <w:pPr>
      <w:jc w:val="both"/>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semiHidden/>
    <w:rsid w:val="00A8059F"/>
    <w:pPr>
      <w:jc w:val="both"/>
    </w:pPr>
    <w:rPr>
      <w:sz w:val="24"/>
      <w:szCs w:val="24"/>
    </w:rPr>
    <w:tblPr>
      <w:tblStyleRowBandSize w:val="1"/>
      <w:tblStyleColBandSize w:val="1"/>
      <w:tblBorders>
        <w:top w:val="single" w:sz="4" w:space="0" w:color="7ECBFF"/>
        <w:left w:val="single" w:sz="4" w:space="0" w:color="7ECBFF"/>
        <w:bottom w:val="single" w:sz="4" w:space="0" w:color="7ECBFF"/>
        <w:right w:val="single" w:sz="4" w:space="0" w:color="7ECBFF"/>
        <w:insideH w:val="single" w:sz="4" w:space="0" w:color="7ECBFF"/>
        <w:insideV w:val="single" w:sz="4" w:space="0" w:color="7ECBFF"/>
      </w:tblBorders>
    </w:tblPr>
    <w:tblStylePr w:type="firstRow">
      <w:rPr>
        <w:b/>
        <w:bCs/>
      </w:rPr>
      <w:tblPr/>
      <w:tcPr>
        <w:tcBorders>
          <w:bottom w:val="single" w:sz="12" w:space="0" w:color="3DB2FF"/>
        </w:tcBorders>
      </w:tcPr>
    </w:tblStylePr>
    <w:tblStylePr w:type="lastRow">
      <w:rPr>
        <w:b/>
        <w:bCs/>
      </w:rPr>
      <w:tblPr/>
      <w:tcPr>
        <w:tcBorders>
          <w:top w:val="double" w:sz="2" w:space="0" w:color="3DB2FF"/>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semiHidden/>
    <w:rsid w:val="00A8059F"/>
    <w:pPr>
      <w:jc w:val="both"/>
    </w:pPr>
    <w:rPr>
      <w:sz w:val="24"/>
      <w:szCs w:val="24"/>
    </w:rPr>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4040"/>
        </w:tcBorders>
      </w:tcPr>
    </w:tblStylePr>
    <w:tblStylePr w:type="lastRow">
      <w:rPr>
        <w:b/>
        <w:bCs/>
      </w:rPr>
      <w:tblPr/>
      <w:tcPr>
        <w:tcBorders>
          <w:top w:val="double" w:sz="2" w:space="0" w:color="FF4040"/>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semiHidden/>
    <w:rsid w:val="00A8059F"/>
    <w:pPr>
      <w:jc w:val="both"/>
    </w:pPr>
    <w:rPr>
      <w:sz w:val="24"/>
      <w:szCs w:val="24"/>
    </w:rPr>
    <w:tblPr>
      <w:tblStyleRowBandSize w:val="1"/>
      <w:tblStyleColBandSize w:val="1"/>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Pr>
    <w:tblStylePr w:type="firstRow">
      <w:rPr>
        <w:b/>
        <w:bCs/>
      </w:rPr>
      <w:tblPr/>
      <w:tcPr>
        <w:tcBorders>
          <w:bottom w:val="single" w:sz="12" w:space="0" w:color="9B9B9B"/>
        </w:tcBorders>
      </w:tcPr>
    </w:tblStylePr>
    <w:tblStylePr w:type="lastRow">
      <w:rPr>
        <w:b/>
        <w:bCs/>
      </w:rPr>
      <w:tblPr/>
      <w:tcPr>
        <w:tcBorders>
          <w:top w:val="double" w:sz="2" w:space="0" w:color="9B9B9B"/>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semiHidden/>
    <w:rsid w:val="00A8059F"/>
    <w:pPr>
      <w:jc w:val="both"/>
    </w:pPr>
    <w:rPr>
      <w:sz w:val="24"/>
      <w:szCs w:val="24"/>
    </w:rPr>
    <w:tblPr>
      <w:tblStyleRowBandSize w:val="1"/>
      <w:tblStyleColBandSize w:val="1"/>
      <w:tblBorders>
        <w:top w:val="single" w:sz="4" w:space="0" w:color="D5D5D5"/>
        <w:left w:val="single" w:sz="4" w:space="0" w:color="D5D5D5"/>
        <w:bottom w:val="single" w:sz="4" w:space="0" w:color="D5D5D5"/>
        <w:right w:val="single" w:sz="4" w:space="0" w:color="D5D5D5"/>
        <w:insideH w:val="single" w:sz="4" w:space="0" w:color="D5D5D5"/>
        <w:insideV w:val="single" w:sz="4" w:space="0" w:color="D5D5D5"/>
      </w:tblBorders>
    </w:tblPr>
    <w:tblStylePr w:type="firstRow">
      <w:rPr>
        <w:b/>
        <w:bCs/>
      </w:rPr>
      <w:tblPr/>
      <w:tcPr>
        <w:tcBorders>
          <w:bottom w:val="single" w:sz="12" w:space="0" w:color="C0C0C0"/>
        </w:tcBorders>
      </w:tcPr>
    </w:tblStylePr>
    <w:tblStylePr w:type="lastRow">
      <w:rPr>
        <w:b/>
        <w:bCs/>
      </w:rPr>
      <w:tblPr/>
      <w:tcPr>
        <w:tcBorders>
          <w:top w:val="double" w:sz="2" w:space="0" w:color="C0C0C0"/>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semiHidden/>
    <w:rsid w:val="00A8059F"/>
    <w:pPr>
      <w:jc w:val="both"/>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Pr/>
      <w:tcPr>
        <w:tcBorders>
          <w:bottom w:val="single" w:sz="12" w:space="0" w:color="9F9F9F"/>
        </w:tcBorders>
      </w:tcPr>
    </w:tblStylePr>
    <w:tblStylePr w:type="lastRow">
      <w:rPr>
        <w:b/>
        <w:bCs/>
      </w:rPr>
      <w:tblPr/>
      <w:tcPr>
        <w:tcBorders>
          <w:top w:val="double" w:sz="2" w:space="0" w:color="9F9F9F"/>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semiHidden/>
    <w:rsid w:val="00A8059F"/>
    <w:pPr>
      <w:jc w:val="both"/>
    </w:pPr>
    <w:rPr>
      <w:sz w:val="24"/>
      <w:szCs w:val="24"/>
    </w:r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semiHidden/>
    <w:rsid w:val="00A8059F"/>
    <w:pPr>
      <w:jc w:val="both"/>
    </w:pPr>
    <w:rPr>
      <w:sz w:val="24"/>
      <w:szCs w:val="24"/>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semiHidden/>
    <w:rsid w:val="00A8059F"/>
    <w:pPr>
      <w:jc w:val="both"/>
    </w:pPr>
    <w:rPr>
      <w:sz w:val="24"/>
      <w:szCs w:val="24"/>
    </w:rPr>
    <w:tblPr>
      <w:tblStyleRowBandSize w:val="1"/>
      <w:tblStyleColBandSize w:val="1"/>
      <w:tblBorders>
        <w:top w:val="single" w:sz="2" w:space="0" w:color="3DB2FF"/>
        <w:bottom w:val="single" w:sz="2" w:space="0" w:color="3DB2FF"/>
        <w:insideH w:val="single" w:sz="2" w:space="0" w:color="3DB2FF"/>
        <w:insideV w:val="single" w:sz="2" w:space="0" w:color="3DB2FF"/>
      </w:tblBorders>
    </w:tblPr>
    <w:tblStylePr w:type="firstRow">
      <w:rPr>
        <w:b/>
        <w:bCs/>
      </w:rPr>
      <w:tblPr/>
      <w:tcPr>
        <w:tcBorders>
          <w:top w:val="nil"/>
          <w:bottom w:val="single" w:sz="12" w:space="0" w:color="3DB2FF"/>
          <w:insideH w:val="nil"/>
          <w:insideV w:val="nil"/>
        </w:tcBorders>
        <w:shd w:val="clear" w:color="auto" w:fill="FFFFFF"/>
      </w:tcPr>
    </w:tblStylePr>
    <w:tblStylePr w:type="lastRow">
      <w:rPr>
        <w:b/>
        <w:bCs/>
      </w:rPr>
      <w:tblPr/>
      <w:tcPr>
        <w:tcBorders>
          <w:top w:val="double" w:sz="2" w:space="0" w:color="3DB2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2-Accent21">
    <w:name w:val="Grid Table 2 - Accent 21"/>
    <w:basedOn w:val="TableNormal"/>
    <w:next w:val="GridTable2Accent2"/>
    <w:uiPriority w:val="47"/>
    <w:semiHidden/>
    <w:rsid w:val="00A8059F"/>
    <w:pPr>
      <w:jc w:val="both"/>
    </w:pPr>
    <w:rPr>
      <w:sz w:val="24"/>
      <w:szCs w:val="24"/>
    </w:rPr>
    <w:tblPr>
      <w:tblStyleRowBandSize w:val="1"/>
      <w:tblStyleColBandSize w:val="1"/>
      <w:tblBorders>
        <w:top w:val="single" w:sz="2" w:space="0" w:color="FF4040"/>
        <w:bottom w:val="single" w:sz="2" w:space="0" w:color="FF4040"/>
        <w:insideH w:val="single" w:sz="2" w:space="0" w:color="FF4040"/>
        <w:insideV w:val="single" w:sz="2" w:space="0" w:color="FF4040"/>
      </w:tblBorders>
    </w:tblPr>
    <w:tblStylePr w:type="firstRow">
      <w:rPr>
        <w:b/>
        <w:bCs/>
      </w:rPr>
      <w:tblPr/>
      <w:tcPr>
        <w:tcBorders>
          <w:top w:val="nil"/>
          <w:bottom w:val="single" w:sz="12" w:space="0" w:color="FF4040"/>
          <w:insideH w:val="nil"/>
          <w:insideV w:val="nil"/>
        </w:tcBorders>
        <w:shd w:val="clear" w:color="auto" w:fill="FFFFFF"/>
      </w:tcPr>
    </w:tblStylePr>
    <w:tblStylePr w:type="lastRow">
      <w:rPr>
        <w:b/>
        <w:bCs/>
      </w:rPr>
      <w:tblPr/>
      <w:tcPr>
        <w:tcBorders>
          <w:top w:val="double" w:sz="2" w:space="0" w:color="FF404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2-Accent31">
    <w:name w:val="Grid Table 2 - Accent 31"/>
    <w:basedOn w:val="TableNormal"/>
    <w:next w:val="GridTable2Accent3"/>
    <w:uiPriority w:val="47"/>
    <w:semiHidden/>
    <w:rsid w:val="00A8059F"/>
    <w:pPr>
      <w:jc w:val="both"/>
    </w:pPr>
    <w:rPr>
      <w:sz w:val="24"/>
      <w:szCs w:val="24"/>
    </w:rPr>
    <w:tblPr>
      <w:tblStyleRowBandSize w:val="1"/>
      <w:tblStyleColBandSize w:val="1"/>
      <w:tblBorders>
        <w:top w:val="single" w:sz="2" w:space="0" w:color="9B9B9B"/>
        <w:bottom w:val="single" w:sz="2" w:space="0" w:color="9B9B9B"/>
        <w:insideH w:val="single" w:sz="2" w:space="0" w:color="9B9B9B"/>
        <w:insideV w:val="single" w:sz="2" w:space="0" w:color="9B9B9B"/>
      </w:tblBorders>
    </w:tblPr>
    <w:tblStylePr w:type="firstRow">
      <w:rPr>
        <w:b/>
        <w:bCs/>
      </w:rPr>
      <w:tblPr/>
      <w:tcPr>
        <w:tcBorders>
          <w:top w:val="nil"/>
          <w:bottom w:val="single" w:sz="12" w:space="0" w:color="9B9B9B"/>
          <w:insideH w:val="nil"/>
          <w:insideV w:val="nil"/>
        </w:tcBorders>
        <w:shd w:val="clear" w:color="auto" w:fill="FFFFFF"/>
      </w:tcPr>
    </w:tblStylePr>
    <w:tblStylePr w:type="lastRow">
      <w:rPr>
        <w:b/>
        <w:bCs/>
      </w:rPr>
      <w:tblPr/>
      <w:tcPr>
        <w:tcBorders>
          <w:top w:val="double" w:sz="2" w:space="0" w:color="9B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2-Accent41">
    <w:name w:val="Grid Table 2 - Accent 41"/>
    <w:basedOn w:val="TableNormal"/>
    <w:next w:val="GridTable2Accent4"/>
    <w:uiPriority w:val="47"/>
    <w:semiHidden/>
    <w:rsid w:val="00A8059F"/>
    <w:pPr>
      <w:jc w:val="both"/>
    </w:pPr>
    <w:rPr>
      <w:sz w:val="24"/>
      <w:szCs w:val="24"/>
    </w:rPr>
    <w:tblPr>
      <w:tblStyleRowBandSize w:val="1"/>
      <w:tblStyleColBandSize w:val="1"/>
      <w:tblBorders>
        <w:top w:val="single" w:sz="2" w:space="0" w:color="C0C0C0"/>
        <w:bottom w:val="single" w:sz="2" w:space="0" w:color="C0C0C0"/>
        <w:insideH w:val="single" w:sz="2" w:space="0" w:color="C0C0C0"/>
        <w:insideV w:val="single" w:sz="2" w:space="0" w:color="C0C0C0"/>
      </w:tblBorders>
    </w:tblPr>
    <w:tblStylePr w:type="firstRow">
      <w:rPr>
        <w:b/>
        <w:bCs/>
      </w:rPr>
      <w:tblPr/>
      <w:tcPr>
        <w:tcBorders>
          <w:top w:val="nil"/>
          <w:bottom w:val="single" w:sz="12" w:space="0" w:color="C0C0C0"/>
          <w:insideH w:val="nil"/>
          <w:insideV w:val="nil"/>
        </w:tcBorders>
        <w:shd w:val="clear" w:color="auto" w:fill="FFFFFF"/>
      </w:tcPr>
    </w:tblStylePr>
    <w:tblStylePr w:type="lastRow">
      <w:rPr>
        <w:b/>
        <w:bCs/>
      </w:rPr>
      <w:tblPr/>
      <w:tcPr>
        <w:tcBorders>
          <w:top w:val="double" w:sz="2" w:space="0" w:color="C0C0C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2-Accent51">
    <w:name w:val="Grid Table 2 - Accent 51"/>
    <w:basedOn w:val="TableNormal"/>
    <w:next w:val="GridTable2Accent5"/>
    <w:uiPriority w:val="47"/>
    <w:semiHidden/>
    <w:rsid w:val="00A8059F"/>
    <w:pPr>
      <w:jc w:val="both"/>
    </w:pPr>
    <w:rPr>
      <w:sz w:val="24"/>
      <w:szCs w:val="24"/>
    </w:rPr>
    <w:tblPr>
      <w:tblStyleRowBandSize w:val="1"/>
      <w:tblStyleColBandSize w:val="1"/>
      <w:tblBorders>
        <w:top w:val="single" w:sz="2" w:space="0" w:color="9F9F9F"/>
        <w:bottom w:val="single" w:sz="2" w:space="0" w:color="9F9F9F"/>
        <w:insideH w:val="single" w:sz="2" w:space="0" w:color="9F9F9F"/>
        <w:insideV w:val="single" w:sz="2" w:space="0" w:color="9F9F9F"/>
      </w:tblBorders>
    </w:tblPr>
    <w:tblStylePr w:type="firstRow">
      <w:rPr>
        <w:b/>
        <w:bCs/>
      </w:rPr>
      <w:tblPr/>
      <w:tcPr>
        <w:tcBorders>
          <w:top w:val="nil"/>
          <w:bottom w:val="single" w:sz="12" w:space="0" w:color="9F9F9F"/>
          <w:insideH w:val="nil"/>
          <w:insideV w:val="nil"/>
        </w:tcBorders>
        <w:shd w:val="clear" w:color="auto" w:fill="FFFFFF"/>
      </w:tcPr>
    </w:tblStylePr>
    <w:tblStylePr w:type="lastRow">
      <w:rPr>
        <w:b/>
        <w:bCs/>
      </w:rPr>
      <w:tblPr/>
      <w:tcPr>
        <w:tcBorders>
          <w:top w:val="double" w:sz="2" w:space="0" w:color="9F9F9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2-Accent61">
    <w:name w:val="Grid Table 2 - Accent 61"/>
    <w:basedOn w:val="TableNormal"/>
    <w:next w:val="GridTable2Accent6"/>
    <w:uiPriority w:val="47"/>
    <w:semiHidden/>
    <w:rsid w:val="00A8059F"/>
    <w:pPr>
      <w:jc w:val="both"/>
    </w:pPr>
    <w:rPr>
      <w:sz w:val="24"/>
      <w:szCs w:val="24"/>
    </w:rPr>
    <w:tblPr>
      <w:tblStyleRowBandSize w:val="1"/>
      <w:tblStyleColBandSize w:val="1"/>
      <w:tblBorders>
        <w:top w:val="single" w:sz="2" w:space="0" w:color="949494"/>
        <w:bottom w:val="single" w:sz="2" w:space="0" w:color="949494"/>
        <w:insideH w:val="single" w:sz="2" w:space="0" w:color="949494"/>
        <w:insideV w:val="single" w:sz="2" w:space="0" w:color="949494"/>
      </w:tblBorders>
    </w:tblPr>
    <w:tblStylePr w:type="firstRow">
      <w:rPr>
        <w:b/>
        <w:bCs/>
      </w:rPr>
      <w:tblPr/>
      <w:tcPr>
        <w:tcBorders>
          <w:top w:val="nil"/>
          <w:bottom w:val="single" w:sz="12" w:space="0" w:color="949494"/>
          <w:insideH w:val="nil"/>
          <w:insideV w:val="nil"/>
        </w:tcBorders>
        <w:shd w:val="clear" w:color="auto" w:fill="FFFFFF"/>
      </w:tcPr>
    </w:tblStylePr>
    <w:tblStylePr w:type="lastRow">
      <w:rPr>
        <w:b/>
        <w:bCs/>
      </w:rPr>
      <w:tblPr/>
      <w:tcPr>
        <w:tcBorders>
          <w:top w:val="double" w:sz="2" w:space="0" w:color="9494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31">
    <w:name w:val="Grid Table 31"/>
    <w:basedOn w:val="TableNormal"/>
    <w:next w:val="GridTable3"/>
    <w:uiPriority w:val="48"/>
    <w:semiHidden/>
    <w:rsid w:val="00A8059F"/>
    <w:pPr>
      <w:jc w:val="both"/>
    </w:pPr>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semiHidden/>
    <w:rsid w:val="00A8059F"/>
    <w:pPr>
      <w:jc w:val="both"/>
    </w:pPr>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3-Accent21">
    <w:name w:val="Grid Table 3 - Accent 21"/>
    <w:basedOn w:val="TableNormal"/>
    <w:next w:val="GridTable3Accent2"/>
    <w:uiPriority w:val="48"/>
    <w:semiHidden/>
    <w:rsid w:val="00A8059F"/>
    <w:pPr>
      <w:jc w:val="both"/>
    </w:pPr>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3-Accent31">
    <w:name w:val="Grid Table 3 - Accent 31"/>
    <w:basedOn w:val="TableNormal"/>
    <w:next w:val="GridTable3Accent3"/>
    <w:uiPriority w:val="48"/>
    <w:semiHidden/>
    <w:rsid w:val="00A8059F"/>
    <w:pPr>
      <w:jc w:val="both"/>
    </w:pPr>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3-Accent41">
    <w:name w:val="Grid Table 3 - Accent 41"/>
    <w:basedOn w:val="TableNormal"/>
    <w:next w:val="GridTable3Accent4"/>
    <w:uiPriority w:val="48"/>
    <w:semiHidden/>
    <w:rsid w:val="00A8059F"/>
    <w:pPr>
      <w:jc w:val="both"/>
    </w:pPr>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3-Accent51">
    <w:name w:val="Grid Table 3 - Accent 51"/>
    <w:basedOn w:val="TableNormal"/>
    <w:next w:val="GridTable3Accent5"/>
    <w:uiPriority w:val="48"/>
    <w:semiHidden/>
    <w:rsid w:val="00A8059F"/>
    <w:pPr>
      <w:jc w:val="both"/>
    </w:pPr>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3-Accent61">
    <w:name w:val="Grid Table 3 - Accent 61"/>
    <w:basedOn w:val="TableNormal"/>
    <w:next w:val="GridTable3Accent6"/>
    <w:uiPriority w:val="48"/>
    <w:semiHidden/>
    <w:rsid w:val="00A8059F"/>
    <w:pPr>
      <w:jc w:val="both"/>
    </w:pPr>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GridTable41">
    <w:name w:val="Grid Table 41"/>
    <w:basedOn w:val="TableNormal"/>
    <w:next w:val="GridTable4"/>
    <w:uiPriority w:val="49"/>
    <w:semiHidden/>
    <w:rsid w:val="00A8059F"/>
    <w:pPr>
      <w:jc w:val="both"/>
    </w:pPr>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semiHidden/>
    <w:rsid w:val="00A8059F"/>
    <w:pPr>
      <w:jc w:val="both"/>
    </w:pPr>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insideV w:val="nil"/>
        </w:tcBorders>
        <w:shd w:val="clear" w:color="auto" w:fill="0072BC"/>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4-Accent21">
    <w:name w:val="Grid Table 4 - Accent 21"/>
    <w:basedOn w:val="TableNormal"/>
    <w:next w:val="GridTable4Accent2"/>
    <w:uiPriority w:val="49"/>
    <w:semiHidden/>
    <w:rsid w:val="00A8059F"/>
    <w:pPr>
      <w:jc w:val="both"/>
    </w:pPr>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insideV w:val="nil"/>
        </w:tcBorders>
        <w:shd w:val="clear" w:color="auto" w:fill="C00000"/>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4-Accent31">
    <w:name w:val="Grid Table 4 - Accent 31"/>
    <w:basedOn w:val="TableNormal"/>
    <w:next w:val="GridTable4Accent3"/>
    <w:uiPriority w:val="49"/>
    <w:semiHidden/>
    <w:rsid w:val="00A8059F"/>
    <w:pPr>
      <w:jc w:val="both"/>
    </w:pPr>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4-Accent41">
    <w:name w:val="Grid Table 4 - Accent 41"/>
    <w:basedOn w:val="TableNormal"/>
    <w:next w:val="GridTable4Accent4"/>
    <w:uiPriority w:val="49"/>
    <w:semiHidden/>
    <w:rsid w:val="00A8059F"/>
    <w:pPr>
      <w:jc w:val="both"/>
    </w:pPr>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insideV w:val="nil"/>
        </w:tcBorders>
        <w:shd w:val="clear" w:color="auto" w:fill="969696"/>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4-Accent51">
    <w:name w:val="Grid Table 4 - Accent 51"/>
    <w:basedOn w:val="TableNormal"/>
    <w:next w:val="GridTable4Accent5"/>
    <w:uiPriority w:val="49"/>
    <w:semiHidden/>
    <w:rsid w:val="00A8059F"/>
    <w:pPr>
      <w:jc w:val="both"/>
    </w:pPr>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insideV w:val="nil"/>
        </w:tcBorders>
        <w:shd w:val="clear" w:color="auto" w:fill="5F5F5F"/>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4-Accent61">
    <w:name w:val="Grid Table 4 - Accent 61"/>
    <w:basedOn w:val="TableNormal"/>
    <w:next w:val="GridTable4Accent6"/>
    <w:uiPriority w:val="49"/>
    <w:semiHidden/>
    <w:rsid w:val="00A8059F"/>
    <w:pPr>
      <w:jc w:val="both"/>
    </w:pPr>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insideV w:val="nil"/>
        </w:tcBorders>
        <w:shd w:val="clear" w:color="auto" w:fill="4D4D4D"/>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5Dark1">
    <w:name w:val="Grid Table 5 Dark1"/>
    <w:basedOn w:val="TableNormal"/>
    <w:next w:val="GridTable5Dark"/>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EE5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72B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72B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72B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72BC"/>
      </w:tcPr>
    </w:tblStylePr>
    <w:tblStylePr w:type="band1Vert">
      <w:tblPr/>
      <w:tcPr>
        <w:shd w:val="clear" w:color="auto" w:fill="7ECBFF"/>
      </w:tcPr>
    </w:tblStylePr>
    <w:tblStylePr w:type="band1Horz">
      <w:tblPr/>
      <w:tcPr>
        <w:shd w:val="clear" w:color="auto" w:fill="7ECBFF"/>
      </w:tcPr>
    </w:tblStylePr>
  </w:style>
  <w:style w:type="table" w:customStyle="1" w:styleId="GridTable5Dark-Accent21">
    <w:name w:val="Grid Table 5 Dark - Accent 21"/>
    <w:basedOn w:val="TableNormal"/>
    <w:next w:val="GridTable5DarkAccent2"/>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BFB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0000"/>
      </w:tcPr>
    </w:tblStylePr>
    <w:tblStylePr w:type="band1Vert">
      <w:tblPr/>
      <w:tcPr>
        <w:shd w:val="clear" w:color="auto" w:fill="FF7F7F"/>
      </w:tcPr>
    </w:tblStylePr>
    <w:tblStylePr w:type="band1Horz">
      <w:tblPr/>
      <w:tcPr>
        <w:shd w:val="clear" w:color="auto" w:fill="FF7F7F"/>
      </w:tcPr>
    </w:tblStylePr>
  </w:style>
  <w:style w:type="table" w:customStyle="1" w:styleId="GridTable5Dark-Accent31">
    <w:name w:val="Grid Table 5 Dark - Accent 31"/>
    <w:basedOn w:val="TableNormal"/>
    <w:next w:val="GridTable5DarkAccent3"/>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DD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959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959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959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95959"/>
      </w:tcPr>
    </w:tblStylePr>
    <w:tblStylePr w:type="band1Vert">
      <w:tblPr/>
      <w:tcPr>
        <w:shd w:val="clear" w:color="auto" w:fill="BCBCBC"/>
      </w:tcPr>
    </w:tblStylePr>
    <w:tblStylePr w:type="band1Horz">
      <w:tblPr/>
      <w:tcPr>
        <w:shd w:val="clear" w:color="auto" w:fill="BCBCBC"/>
      </w:tcPr>
    </w:tblStylePr>
  </w:style>
  <w:style w:type="table" w:customStyle="1" w:styleId="GridTable5Dark-Accent41">
    <w:name w:val="Grid Table 5 Dark - Accent 41"/>
    <w:basedOn w:val="TableNormal"/>
    <w:next w:val="GridTable5DarkAccent4"/>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EAE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6969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6969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6969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69696"/>
      </w:tcPr>
    </w:tblStylePr>
    <w:tblStylePr w:type="band1Vert">
      <w:tblPr/>
      <w:tcPr>
        <w:shd w:val="clear" w:color="auto" w:fill="D5D5D5"/>
      </w:tcPr>
    </w:tblStylePr>
    <w:tblStylePr w:type="band1Horz">
      <w:tblPr/>
      <w:tcPr>
        <w:shd w:val="clear" w:color="auto" w:fill="D5D5D5"/>
      </w:tcPr>
    </w:tblStylePr>
  </w:style>
  <w:style w:type="table" w:customStyle="1" w:styleId="GridTable5Dark-Accent51">
    <w:name w:val="Grid Table 5 Dark - Accent 51"/>
    <w:basedOn w:val="TableNormal"/>
    <w:next w:val="GridTable5DarkAccent5"/>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FDFD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F5F5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F5F5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F5F5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idTable5Dark-Accent61">
    <w:name w:val="Grid Table 5 Dark - Accent 61"/>
    <w:basedOn w:val="TableNormal"/>
    <w:next w:val="GridTable5DarkAccent6"/>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D4D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D4D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D4D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D4D4D"/>
      </w:tcPr>
    </w:tblStylePr>
    <w:tblStylePr w:type="band1Vert">
      <w:tblPr/>
      <w:tcPr>
        <w:shd w:val="clear" w:color="auto" w:fill="B7B7B7"/>
      </w:tcPr>
    </w:tblStylePr>
    <w:tblStylePr w:type="band1Horz">
      <w:tblPr/>
      <w:tcPr>
        <w:shd w:val="clear" w:color="auto" w:fill="B7B7B7"/>
      </w:tcPr>
    </w:tblStylePr>
  </w:style>
  <w:style w:type="table" w:customStyle="1" w:styleId="GridTable6Colorful1">
    <w:name w:val="Grid Table 6 Colorful1"/>
    <w:basedOn w:val="TableNormal"/>
    <w:next w:val="GridTable6Colorful"/>
    <w:uiPriority w:val="51"/>
    <w:semiHidden/>
    <w:rsid w:val="00A8059F"/>
    <w:pPr>
      <w:jc w:val="both"/>
    </w:pPr>
    <w:rPr>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semiHidden/>
    <w:rsid w:val="00A8059F"/>
    <w:pPr>
      <w:jc w:val="both"/>
    </w:pPr>
    <w:rPr>
      <w:color w:val="00548C"/>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bottom w:val="single" w:sz="12" w:space="0" w:color="3DB2FF"/>
        </w:tcBorders>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6Colorful-Accent21">
    <w:name w:val="Grid Table 6 Colorful - Accent 21"/>
    <w:basedOn w:val="TableNormal"/>
    <w:next w:val="GridTable6ColorfulAccent2"/>
    <w:uiPriority w:val="51"/>
    <w:semiHidden/>
    <w:rsid w:val="00A8059F"/>
    <w:pPr>
      <w:jc w:val="both"/>
    </w:pPr>
    <w:rPr>
      <w:color w:val="8F0000"/>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bottom w:val="single" w:sz="12" w:space="0" w:color="FF4040"/>
        </w:tcBorders>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6Colorful-Accent31">
    <w:name w:val="Grid Table 6 Colorful - Accent 31"/>
    <w:basedOn w:val="TableNormal"/>
    <w:next w:val="GridTable6ColorfulAccent3"/>
    <w:uiPriority w:val="51"/>
    <w:semiHidden/>
    <w:rsid w:val="00A8059F"/>
    <w:pPr>
      <w:jc w:val="both"/>
    </w:pPr>
    <w:rPr>
      <w:color w:val="424242"/>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bottom w:val="single" w:sz="12" w:space="0" w:color="9B9B9B"/>
        </w:tcBorders>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6Colorful-Accent41">
    <w:name w:val="Grid Table 6 Colorful - Accent 41"/>
    <w:basedOn w:val="TableNormal"/>
    <w:next w:val="GridTable6ColorfulAccent4"/>
    <w:uiPriority w:val="51"/>
    <w:semiHidden/>
    <w:rsid w:val="00A8059F"/>
    <w:pPr>
      <w:jc w:val="both"/>
    </w:pPr>
    <w:rPr>
      <w:color w:val="707070"/>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bottom w:val="single" w:sz="12" w:space="0" w:color="C0C0C0"/>
        </w:tcBorders>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6Colorful-Accent51">
    <w:name w:val="Grid Table 6 Colorful - Accent 51"/>
    <w:basedOn w:val="TableNormal"/>
    <w:next w:val="GridTable6ColorfulAccent5"/>
    <w:uiPriority w:val="51"/>
    <w:semiHidden/>
    <w:rsid w:val="00A8059F"/>
    <w:pPr>
      <w:jc w:val="both"/>
    </w:pPr>
    <w:rPr>
      <w:color w:val="474747"/>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bottom w:val="single" w:sz="12" w:space="0" w:color="9F9F9F"/>
        </w:tcBorders>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6Colorful-Accent61">
    <w:name w:val="Grid Table 6 Colorful - Accent 61"/>
    <w:basedOn w:val="TableNormal"/>
    <w:next w:val="GridTable6ColorfulAccent6"/>
    <w:uiPriority w:val="51"/>
    <w:semiHidden/>
    <w:rsid w:val="00A8059F"/>
    <w:pPr>
      <w:jc w:val="both"/>
    </w:pPr>
    <w:rPr>
      <w:color w:val="393939"/>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bottom w:val="single" w:sz="12" w:space="0" w:color="949494"/>
        </w:tcBorders>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7Colorful1">
    <w:name w:val="Grid Table 7 Colorful1"/>
    <w:basedOn w:val="TableNormal"/>
    <w:next w:val="GridTable7Colorful"/>
    <w:uiPriority w:val="52"/>
    <w:semiHidden/>
    <w:rsid w:val="00A8059F"/>
    <w:pPr>
      <w:jc w:val="both"/>
    </w:pPr>
    <w:rPr>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semiHidden/>
    <w:rsid w:val="00A8059F"/>
    <w:pPr>
      <w:jc w:val="both"/>
    </w:pPr>
    <w:rPr>
      <w:color w:val="00548C"/>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7Colorful-Accent21">
    <w:name w:val="Grid Table 7 Colorful - Accent 21"/>
    <w:basedOn w:val="TableNormal"/>
    <w:next w:val="GridTable7ColorfulAccent2"/>
    <w:uiPriority w:val="52"/>
    <w:semiHidden/>
    <w:rsid w:val="00A8059F"/>
    <w:pPr>
      <w:jc w:val="both"/>
    </w:pPr>
    <w:rPr>
      <w:color w:val="8F0000"/>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7Colorful-Accent31">
    <w:name w:val="Grid Table 7 Colorful - Accent 31"/>
    <w:basedOn w:val="TableNormal"/>
    <w:next w:val="GridTable7ColorfulAccent3"/>
    <w:uiPriority w:val="52"/>
    <w:semiHidden/>
    <w:rsid w:val="00A8059F"/>
    <w:pPr>
      <w:jc w:val="both"/>
    </w:pPr>
    <w:rPr>
      <w:color w:val="424242"/>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7Colorful-Accent41">
    <w:name w:val="Grid Table 7 Colorful - Accent 41"/>
    <w:basedOn w:val="TableNormal"/>
    <w:next w:val="GridTable7ColorfulAccent4"/>
    <w:uiPriority w:val="52"/>
    <w:semiHidden/>
    <w:rsid w:val="00A8059F"/>
    <w:pPr>
      <w:jc w:val="both"/>
    </w:pPr>
    <w:rPr>
      <w:color w:val="707070"/>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7Colorful-Accent51">
    <w:name w:val="Grid Table 7 Colorful - Accent 51"/>
    <w:basedOn w:val="TableNormal"/>
    <w:next w:val="GridTable7ColorfulAccent5"/>
    <w:uiPriority w:val="52"/>
    <w:semiHidden/>
    <w:rsid w:val="00A8059F"/>
    <w:pPr>
      <w:jc w:val="both"/>
    </w:pPr>
    <w:rPr>
      <w:color w:val="474747"/>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7Colorful-Accent61">
    <w:name w:val="Grid Table 7 Colorful - Accent 61"/>
    <w:basedOn w:val="TableNormal"/>
    <w:next w:val="GridTable7ColorfulAccent6"/>
    <w:uiPriority w:val="52"/>
    <w:semiHidden/>
    <w:rsid w:val="00A8059F"/>
    <w:pPr>
      <w:jc w:val="both"/>
    </w:pPr>
    <w:rPr>
      <w:color w:val="393939"/>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ListTable1Light1">
    <w:name w:val="List Table 1 Light1"/>
    <w:basedOn w:val="TableNormal"/>
    <w:next w:val="ListTable1Light"/>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3DB2FF"/>
        </w:tcBorders>
      </w:tcPr>
    </w:tblStylePr>
    <w:tblStylePr w:type="lastRow">
      <w:rPr>
        <w:b/>
        <w:bCs/>
      </w:rPr>
      <w:tblPr/>
      <w:tcPr>
        <w:tcBorders>
          <w:top w:val="sing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1Light-Accent21">
    <w:name w:val="List Table 1 Light - Accent 21"/>
    <w:basedOn w:val="TableNormal"/>
    <w:next w:val="ListTable1LightAccent2"/>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FF4040"/>
        </w:tcBorders>
      </w:tcPr>
    </w:tblStylePr>
    <w:tblStylePr w:type="lastRow">
      <w:rPr>
        <w:b/>
        <w:bCs/>
      </w:rPr>
      <w:tblPr/>
      <w:tcPr>
        <w:tcBorders>
          <w:top w:val="sing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1Light-Accent31">
    <w:name w:val="List Table 1 Light - Accent 31"/>
    <w:basedOn w:val="TableNormal"/>
    <w:next w:val="ListTable1LightAccent3"/>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9B9B9B"/>
        </w:tcBorders>
      </w:tcPr>
    </w:tblStylePr>
    <w:tblStylePr w:type="lastRow">
      <w:rPr>
        <w:b/>
        <w:bCs/>
      </w:rPr>
      <w:tblPr/>
      <w:tcPr>
        <w:tcBorders>
          <w:top w:val="sing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1Light-Accent41">
    <w:name w:val="List Table 1 Light - Accent 41"/>
    <w:basedOn w:val="TableNormal"/>
    <w:next w:val="ListTable1LightAccent4"/>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C0C0C0"/>
        </w:tcBorders>
      </w:tcPr>
    </w:tblStylePr>
    <w:tblStylePr w:type="lastRow">
      <w:rPr>
        <w:b/>
        <w:bCs/>
      </w:rPr>
      <w:tblPr/>
      <w:tcPr>
        <w:tcBorders>
          <w:top w:val="sing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1Light-Accent51">
    <w:name w:val="List Table 1 Light - Accent 51"/>
    <w:basedOn w:val="TableNormal"/>
    <w:next w:val="ListTable1LightAccent5"/>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9F9F9F"/>
        </w:tcBorders>
      </w:tcPr>
    </w:tblStylePr>
    <w:tblStylePr w:type="lastRow">
      <w:rPr>
        <w:b/>
        <w:bCs/>
      </w:rPr>
      <w:tblPr/>
      <w:tcPr>
        <w:tcBorders>
          <w:top w:val="sing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1Light-Accent61">
    <w:name w:val="List Table 1 Light - Accent 61"/>
    <w:basedOn w:val="TableNormal"/>
    <w:next w:val="ListTable1LightAccent6"/>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949494"/>
        </w:tcBorders>
      </w:tcPr>
    </w:tblStylePr>
    <w:tblStylePr w:type="lastRow">
      <w:rPr>
        <w:b/>
        <w:bCs/>
      </w:rPr>
      <w:tblPr/>
      <w:tcPr>
        <w:tcBorders>
          <w:top w:val="sing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21">
    <w:name w:val="List Table 21"/>
    <w:basedOn w:val="TableNormal"/>
    <w:next w:val="ListTable2"/>
    <w:uiPriority w:val="47"/>
    <w:semiHidden/>
    <w:rsid w:val="00A8059F"/>
    <w:pPr>
      <w:jc w:val="both"/>
    </w:pPr>
    <w:rPr>
      <w:sz w:val="24"/>
      <w:szCs w:val="24"/>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semiHidden/>
    <w:rsid w:val="00A8059F"/>
    <w:pPr>
      <w:jc w:val="both"/>
    </w:pPr>
    <w:rPr>
      <w:sz w:val="24"/>
      <w:szCs w:val="24"/>
    </w:rPr>
    <w:tblPr>
      <w:tblStyleRowBandSize w:val="1"/>
      <w:tblStyleColBandSize w:val="1"/>
      <w:tblBorders>
        <w:top w:val="single" w:sz="4" w:space="0" w:color="3DB2FF"/>
        <w:bottom w:val="single" w:sz="4" w:space="0" w:color="3DB2FF"/>
        <w:insideH w:val="single" w:sz="4" w:space="0" w:color="3DB2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2-Accent21">
    <w:name w:val="List Table 2 - Accent 21"/>
    <w:basedOn w:val="TableNormal"/>
    <w:next w:val="ListTable2Accent2"/>
    <w:uiPriority w:val="47"/>
    <w:semiHidden/>
    <w:rsid w:val="00A8059F"/>
    <w:pPr>
      <w:jc w:val="both"/>
    </w:pPr>
    <w:rPr>
      <w:sz w:val="24"/>
      <w:szCs w:val="24"/>
    </w:rPr>
    <w:tblPr>
      <w:tblStyleRowBandSize w:val="1"/>
      <w:tblStyleColBandSize w:val="1"/>
      <w:tblBorders>
        <w:top w:val="single" w:sz="4" w:space="0" w:color="FF4040"/>
        <w:bottom w:val="single" w:sz="4" w:space="0" w:color="FF4040"/>
        <w:insideH w:val="single" w:sz="4" w:space="0" w:color="FF404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2-Accent31">
    <w:name w:val="List Table 2 - Accent 31"/>
    <w:basedOn w:val="TableNormal"/>
    <w:next w:val="ListTable2Accent3"/>
    <w:uiPriority w:val="47"/>
    <w:semiHidden/>
    <w:rsid w:val="00A8059F"/>
    <w:pPr>
      <w:jc w:val="both"/>
    </w:pPr>
    <w:rPr>
      <w:sz w:val="24"/>
      <w:szCs w:val="24"/>
    </w:rPr>
    <w:tblPr>
      <w:tblStyleRowBandSize w:val="1"/>
      <w:tblStyleColBandSize w:val="1"/>
      <w:tblBorders>
        <w:top w:val="single" w:sz="4" w:space="0" w:color="9B9B9B"/>
        <w:bottom w:val="single" w:sz="4" w:space="0" w:color="9B9B9B"/>
        <w:insideH w:val="single" w:sz="4" w:space="0" w:color="9B9B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2-Accent41">
    <w:name w:val="List Table 2 - Accent 41"/>
    <w:basedOn w:val="TableNormal"/>
    <w:next w:val="ListTable2Accent4"/>
    <w:uiPriority w:val="47"/>
    <w:semiHidden/>
    <w:rsid w:val="00A8059F"/>
    <w:pPr>
      <w:jc w:val="both"/>
    </w:pPr>
    <w:rPr>
      <w:sz w:val="24"/>
      <w:szCs w:val="24"/>
    </w:rPr>
    <w:tblPr>
      <w:tblStyleRowBandSize w:val="1"/>
      <w:tblStyleColBandSize w:val="1"/>
      <w:tblBorders>
        <w:top w:val="single" w:sz="4" w:space="0" w:color="C0C0C0"/>
        <w:bottom w:val="single" w:sz="4" w:space="0" w:color="C0C0C0"/>
        <w:insideH w:val="single" w:sz="4" w:space="0" w:color="C0C0C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2-Accent51">
    <w:name w:val="List Table 2 - Accent 51"/>
    <w:basedOn w:val="TableNormal"/>
    <w:next w:val="ListTable2Accent5"/>
    <w:uiPriority w:val="47"/>
    <w:semiHidden/>
    <w:rsid w:val="00A8059F"/>
    <w:pPr>
      <w:jc w:val="both"/>
    </w:pPr>
    <w:rPr>
      <w:sz w:val="24"/>
      <w:szCs w:val="24"/>
    </w:rPr>
    <w:tblPr>
      <w:tblStyleRowBandSize w:val="1"/>
      <w:tblStyleColBandSize w:val="1"/>
      <w:tblBorders>
        <w:top w:val="single" w:sz="4" w:space="0" w:color="9F9F9F"/>
        <w:bottom w:val="single" w:sz="4" w:space="0" w:color="9F9F9F"/>
        <w:insideH w:val="single" w:sz="4" w:space="0" w:color="9F9F9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2-Accent61">
    <w:name w:val="List Table 2 - Accent 61"/>
    <w:basedOn w:val="TableNormal"/>
    <w:next w:val="ListTable2Accent6"/>
    <w:uiPriority w:val="47"/>
    <w:semiHidden/>
    <w:rsid w:val="00A8059F"/>
    <w:pPr>
      <w:jc w:val="both"/>
    </w:pPr>
    <w:rPr>
      <w:sz w:val="24"/>
      <w:szCs w:val="24"/>
    </w:rPr>
    <w:tblPr>
      <w:tblStyleRowBandSize w:val="1"/>
      <w:tblStyleColBandSize w:val="1"/>
      <w:tblBorders>
        <w:top w:val="single" w:sz="4" w:space="0" w:color="949494"/>
        <w:bottom w:val="single" w:sz="4" w:space="0" w:color="949494"/>
        <w:insideH w:val="single" w:sz="4" w:space="0" w:color="9494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31">
    <w:name w:val="List Table 31"/>
    <w:basedOn w:val="TableNormal"/>
    <w:next w:val="ListTable3"/>
    <w:uiPriority w:val="48"/>
    <w:semiHidden/>
    <w:rsid w:val="00A8059F"/>
    <w:pPr>
      <w:jc w:val="both"/>
    </w:pPr>
    <w:rPr>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semiHidden/>
    <w:rsid w:val="00A8059F"/>
    <w:pPr>
      <w:jc w:val="both"/>
    </w:pPr>
    <w:rPr>
      <w:sz w:val="24"/>
      <w:szCs w:val="24"/>
    </w:rPr>
    <w:tblPr>
      <w:tblStyleRowBandSize w:val="1"/>
      <w:tblStyleColBandSize w:val="1"/>
      <w:tblBorders>
        <w:top w:val="single" w:sz="4" w:space="0" w:color="0072BC"/>
        <w:left w:val="single" w:sz="4" w:space="0" w:color="0072BC"/>
        <w:bottom w:val="single" w:sz="4" w:space="0" w:color="0072BC"/>
        <w:right w:val="single" w:sz="4" w:space="0" w:color="0072BC"/>
      </w:tblBorders>
    </w:tblPr>
    <w:tblStylePr w:type="firstRow">
      <w:rPr>
        <w:b/>
        <w:bCs/>
        <w:color w:val="FFFFFF"/>
      </w:rPr>
      <w:tblPr/>
      <w:tcPr>
        <w:shd w:val="clear" w:color="auto" w:fill="0072BC"/>
      </w:tcPr>
    </w:tblStylePr>
    <w:tblStylePr w:type="lastRow">
      <w:rPr>
        <w:b/>
        <w:bCs/>
      </w:rPr>
      <w:tblPr/>
      <w:tcPr>
        <w:tcBorders>
          <w:top w:val="double" w:sz="4" w:space="0" w:color="0072B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left w:val="nil"/>
        </w:tcBorders>
      </w:tcPr>
    </w:tblStylePr>
    <w:tblStylePr w:type="swCell">
      <w:tblPr/>
      <w:tcPr>
        <w:tcBorders>
          <w:top w:val="double" w:sz="4" w:space="0" w:color="0072BC"/>
          <w:right w:val="nil"/>
        </w:tcBorders>
      </w:tcPr>
    </w:tblStylePr>
  </w:style>
  <w:style w:type="table" w:customStyle="1" w:styleId="ListTable3-Accent21">
    <w:name w:val="List Table 3 - Accent 21"/>
    <w:basedOn w:val="TableNormal"/>
    <w:next w:val="ListTable3Accent2"/>
    <w:uiPriority w:val="48"/>
    <w:semiHidden/>
    <w:rsid w:val="00A8059F"/>
    <w:pPr>
      <w:jc w:val="both"/>
    </w:pPr>
    <w:rPr>
      <w:sz w:val="24"/>
      <w:szCs w:val="24"/>
    </w:rPr>
    <w:tblPr>
      <w:tblStyleRowBandSize w:val="1"/>
      <w:tblStyleColBandSize w:val="1"/>
      <w:tblBorders>
        <w:top w:val="single" w:sz="4" w:space="0" w:color="C00000"/>
        <w:left w:val="single" w:sz="4" w:space="0" w:color="C00000"/>
        <w:bottom w:val="single" w:sz="4" w:space="0" w:color="C00000"/>
        <w:right w:val="single" w:sz="4" w:space="0" w:color="C00000"/>
      </w:tblBorders>
    </w:tblPr>
    <w:tblStylePr w:type="firstRow">
      <w:rPr>
        <w:b/>
        <w:bCs/>
        <w:color w:val="FFFFFF"/>
      </w:rPr>
      <w:tblPr/>
      <w:tcPr>
        <w:shd w:val="clear" w:color="auto" w:fill="C00000"/>
      </w:tcPr>
    </w:tblStylePr>
    <w:tblStylePr w:type="lastRow">
      <w:rPr>
        <w:b/>
        <w:bCs/>
      </w:rPr>
      <w:tblPr/>
      <w:tcPr>
        <w:tcBorders>
          <w:top w:val="double" w:sz="4" w:space="0" w:color="C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0000"/>
          <w:right w:val="single" w:sz="4" w:space="0" w:color="C00000"/>
        </w:tcBorders>
      </w:tcPr>
    </w:tblStylePr>
    <w:tblStylePr w:type="band1Horz">
      <w:tblPr/>
      <w:tcPr>
        <w:tcBorders>
          <w:top w:val="single" w:sz="4" w:space="0" w:color="C00000"/>
          <w:bottom w:val="single" w:sz="4" w:space="0" w:color="C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left w:val="nil"/>
        </w:tcBorders>
      </w:tcPr>
    </w:tblStylePr>
    <w:tblStylePr w:type="swCell">
      <w:tblPr/>
      <w:tcPr>
        <w:tcBorders>
          <w:top w:val="double" w:sz="4" w:space="0" w:color="C00000"/>
          <w:right w:val="nil"/>
        </w:tcBorders>
      </w:tcPr>
    </w:tblStylePr>
  </w:style>
  <w:style w:type="table" w:customStyle="1" w:styleId="ListTable3-Accent31">
    <w:name w:val="List Table 3 - Accent 31"/>
    <w:basedOn w:val="TableNormal"/>
    <w:next w:val="ListTable3Accent3"/>
    <w:uiPriority w:val="48"/>
    <w:semiHidden/>
    <w:rsid w:val="00A8059F"/>
    <w:pPr>
      <w:jc w:val="both"/>
    </w:pPr>
    <w:rPr>
      <w:sz w:val="24"/>
      <w:szCs w:val="24"/>
    </w:rPr>
    <w:tblPr>
      <w:tblStyleRowBandSize w:val="1"/>
      <w:tblStyleColBandSize w:val="1"/>
      <w:tblBorders>
        <w:top w:val="single" w:sz="4" w:space="0" w:color="595959"/>
        <w:left w:val="single" w:sz="4" w:space="0" w:color="595959"/>
        <w:bottom w:val="single" w:sz="4" w:space="0" w:color="595959"/>
        <w:right w:val="single" w:sz="4" w:space="0" w:color="595959"/>
      </w:tblBorders>
    </w:tblPr>
    <w:tblStylePr w:type="firstRow">
      <w:rPr>
        <w:b/>
        <w:bCs/>
        <w:color w:val="FFFFFF"/>
      </w:rPr>
      <w:tblPr/>
      <w:tcPr>
        <w:shd w:val="clear" w:color="auto" w:fill="595959"/>
      </w:tcPr>
    </w:tblStylePr>
    <w:tblStylePr w:type="lastRow">
      <w:rPr>
        <w:b/>
        <w:bCs/>
      </w:rPr>
      <w:tblPr/>
      <w:tcPr>
        <w:tcBorders>
          <w:top w:val="double" w:sz="4" w:space="0" w:color="5959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95959"/>
          <w:right w:val="single" w:sz="4" w:space="0" w:color="595959"/>
        </w:tcBorders>
      </w:tcPr>
    </w:tblStylePr>
    <w:tblStylePr w:type="band1Horz">
      <w:tblPr/>
      <w:tcPr>
        <w:tcBorders>
          <w:top w:val="single" w:sz="4" w:space="0" w:color="595959"/>
          <w:bottom w:val="single" w:sz="4" w:space="0" w:color="5959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left w:val="nil"/>
        </w:tcBorders>
      </w:tcPr>
    </w:tblStylePr>
    <w:tblStylePr w:type="swCell">
      <w:tblPr/>
      <w:tcPr>
        <w:tcBorders>
          <w:top w:val="double" w:sz="4" w:space="0" w:color="595959"/>
          <w:right w:val="nil"/>
        </w:tcBorders>
      </w:tcPr>
    </w:tblStylePr>
  </w:style>
  <w:style w:type="table" w:customStyle="1" w:styleId="ListTable3-Accent41">
    <w:name w:val="List Table 3 - Accent 41"/>
    <w:basedOn w:val="TableNormal"/>
    <w:next w:val="ListTable3Accent4"/>
    <w:uiPriority w:val="48"/>
    <w:semiHidden/>
    <w:rsid w:val="00A8059F"/>
    <w:pPr>
      <w:jc w:val="both"/>
    </w:pPr>
    <w:rPr>
      <w:sz w:val="24"/>
      <w:szCs w:val="24"/>
    </w:rPr>
    <w:tblPr>
      <w:tblStyleRowBandSize w:val="1"/>
      <w:tblStyleColBandSize w:val="1"/>
      <w:tblBorders>
        <w:top w:val="single" w:sz="4" w:space="0" w:color="969696"/>
        <w:left w:val="single" w:sz="4" w:space="0" w:color="969696"/>
        <w:bottom w:val="single" w:sz="4" w:space="0" w:color="969696"/>
        <w:right w:val="single" w:sz="4" w:space="0" w:color="969696"/>
      </w:tblBorders>
    </w:tblPr>
    <w:tblStylePr w:type="firstRow">
      <w:rPr>
        <w:b/>
        <w:bCs/>
        <w:color w:val="FFFFFF"/>
      </w:rPr>
      <w:tblPr/>
      <w:tcPr>
        <w:shd w:val="clear" w:color="auto" w:fill="969696"/>
      </w:tcPr>
    </w:tblStylePr>
    <w:tblStylePr w:type="lastRow">
      <w:rPr>
        <w:b/>
        <w:bCs/>
      </w:rPr>
      <w:tblPr/>
      <w:tcPr>
        <w:tcBorders>
          <w:top w:val="double" w:sz="4" w:space="0" w:color="96969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69696"/>
          <w:right w:val="single" w:sz="4" w:space="0" w:color="969696"/>
        </w:tcBorders>
      </w:tcPr>
    </w:tblStylePr>
    <w:tblStylePr w:type="band1Horz">
      <w:tblPr/>
      <w:tcPr>
        <w:tcBorders>
          <w:top w:val="single" w:sz="4" w:space="0" w:color="969696"/>
          <w:bottom w:val="single" w:sz="4" w:space="0" w:color="96969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left w:val="nil"/>
        </w:tcBorders>
      </w:tcPr>
    </w:tblStylePr>
    <w:tblStylePr w:type="swCell">
      <w:tblPr/>
      <w:tcPr>
        <w:tcBorders>
          <w:top w:val="double" w:sz="4" w:space="0" w:color="969696"/>
          <w:right w:val="nil"/>
        </w:tcBorders>
      </w:tcPr>
    </w:tblStylePr>
  </w:style>
  <w:style w:type="table" w:customStyle="1" w:styleId="ListTable3-Accent51">
    <w:name w:val="List Table 3 - Accent 51"/>
    <w:basedOn w:val="TableNormal"/>
    <w:next w:val="ListTable3Accent5"/>
    <w:uiPriority w:val="48"/>
    <w:semiHidden/>
    <w:rsid w:val="00A8059F"/>
    <w:pPr>
      <w:jc w:val="both"/>
    </w:pPr>
    <w:rPr>
      <w:sz w:val="24"/>
      <w:szCs w:val="24"/>
    </w:rPr>
    <w:tblPr>
      <w:tblStyleRowBandSize w:val="1"/>
      <w:tblStyleColBandSize w:val="1"/>
      <w:tblBorders>
        <w:top w:val="single" w:sz="4" w:space="0" w:color="5F5F5F"/>
        <w:left w:val="single" w:sz="4" w:space="0" w:color="5F5F5F"/>
        <w:bottom w:val="single" w:sz="4" w:space="0" w:color="5F5F5F"/>
        <w:right w:val="single" w:sz="4" w:space="0" w:color="5F5F5F"/>
      </w:tblBorders>
    </w:tblPr>
    <w:tblStylePr w:type="firstRow">
      <w:rPr>
        <w:b/>
        <w:bCs/>
        <w:color w:val="FFFFFF"/>
      </w:rPr>
      <w:tblPr/>
      <w:tcPr>
        <w:shd w:val="clear" w:color="auto" w:fill="5F5F5F"/>
      </w:tcPr>
    </w:tblStylePr>
    <w:tblStylePr w:type="lastRow">
      <w:rPr>
        <w:b/>
        <w:bCs/>
      </w:rPr>
      <w:tblPr/>
      <w:tcPr>
        <w:tcBorders>
          <w:top w:val="double" w:sz="4" w:space="0" w:color="5F5F5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F5F5F"/>
          <w:right w:val="single" w:sz="4" w:space="0" w:color="5F5F5F"/>
        </w:tcBorders>
      </w:tcPr>
    </w:tblStylePr>
    <w:tblStylePr w:type="band1Horz">
      <w:tblPr/>
      <w:tcPr>
        <w:tcBorders>
          <w:top w:val="single" w:sz="4" w:space="0" w:color="5F5F5F"/>
          <w:bottom w:val="single" w:sz="4" w:space="0" w:color="5F5F5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left w:val="nil"/>
        </w:tcBorders>
      </w:tcPr>
    </w:tblStylePr>
    <w:tblStylePr w:type="swCell">
      <w:tblPr/>
      <w:tcPr>
        <w:tcBorders>
          <w:top w:val="double" w:sz="4" w:space="0" w:color="5F5F5F"/>
          <w:right w:val="nil"/>
        </w:tcBorders>
      </w:tcPr>
    </w:tblStylePr>
  </w:style>
  <w:style w:type="table" w:customStyle="1" w:styleId="ListTable3-Accent61">
    <w:name w:val="List Table 3 - Accent 61"/>
    <w:basedOn w:val="TableNormal"/>
    <w:next w:val="ListTable3Accent6"/>
    <w:uiPriority w:val="48"/>
    <w:semiHidden/>
    <w:rsid w:val="00A8059F"/>
    <w:pPr>
      <w:jc w:val="both"/>
    </w:pPr>
    <w:rPr>
      <w:sz w:val="24"/>
      <w:szCs w:val="24"/>
    </w:rPr>
    <w:tblPr>
      <w:tblStyleRowBandSize w:val="1"/>
      <w:tblStyleColBandSize w:val="1"/>
      <w:tblBorders>
        <w:top w:val="single" w:sz="4" w:space="0" w:color="4D4D4D"/>
        <w:left w:val="single" w:sz="4" w:space="0" w:color="4D4D4D"/>
        <w:bottom w:val="single" w:sz="4" w:space="0" w:color="4D4D4D"/>
        <w:right w:val="single" w:sz="4" w:space="0" w:color="4D4D4D"/>
      </w:tblBorders>
    </w:tblPr>
    <w:tblStylePr w:type="firstRow">
      <w:rPr>
        <w:b/>
        <w:bCs/>
        <w:color w:val="FFFFFF"/>
      </w:rPr>
      <w:tblPr/>
      <w:tcPr>
        <w:shd w:val="clear" w:color="auto" w:fill="4D4D4D"/>
      </w:tcPr>
    </w:tblStylePr>
    <w:tblStylePr w:type="lastRow">
      <w:rPr>
        <w:b/>
        <w:bCs/>
      </w:rPr>
      <w:tblPr/>
      <w:tcPr>
        <w:tcBorders>
          <w:top w:val="double" w:sz="4" w:space="0" w:color="4D4D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D4D4D"/>
          <w:right w:val="single" w:sz="4" w:space="0" w:color="4D4D4D"/>
        </w:tcBorders>
      </w:tcPr>
    </w:tblStylePr>
    <w:tblStylePr w:type="band1Horz">
      <w:tblPr/>
      <w:tcPr>
        <w:tcBorders>
          <w:top w:val="single" w:sz="4" w:space="0" w:color="4D4D4D"/>
          <w:bottom w:val="single" w:sz="4" w:space="0" w:color="4D4D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left w:val="nil"/>
        </w:tcBorders>
      </w:tcPr>
    </w:tblStylePr>
    <w:tblStylePr w:type="swCell">
      <w:tblPr/>
      <w:tcPr>
        <w:tcBorders>
          <w:top w:val="double" w:sz="4" w:space="0" w:color="4D4D4D"/>
          <w:right w:val="nil"/>
        </w:tcBorders>
      </w:tcPr>
    </w:tblStylePr>
  </w:style>
  <w:style w:type="table" w:customStyle="1" w:styleId="ListTable41">
    <w:name w:val="List Table 41"/>
    <w:basedOn w:val="TableNormal"/>
    <w:next w:val="ListTable4"/>
    <w:uiPriority w:val="49"/>
    <w:semiHidden/>
    <w:rsid w:val="00A8059F"/>
    <w:pPr>
      <w:jc w:val="both"/>
    </w:pPr>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semiHidden/>
    <w:rsid w:val="00A8059F"/>
    <w:pPr>
      <w:jc w:val="both"/>
    </w:pPr>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tcBorders>
        <w:shd w:val="clear" w:color="auto" w:fill="0072BC"/>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4-Accent21">
    <w:name w:val="List Table 4 - Accent 21"/>
    <w:basedOn w:val="TableNormal"/>
    <w:next w:val="ListTable4Accent2"/>
    <w:uiPriority w:val="49"/>
    <w:semiHidden/>
    <w:rsid w:val="00A8059F"/>
    <w:pPr>
      <w:jc w:val="both"/>
    </w:pPr>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tcBorders>
        <w:shd w:val="clear" w:color="auto" w:fill="C00000"/>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4-Accent31">
    <w:name w:val="List Table 4 - Accent 31"/>
    <w:basedOn w:val="TableNormal"/>
    <w:next w:val="ListTable4Accent3"/>
    <w:uiPriority w:val="49"/>
    <w:semiHidden/>
    <w:rsid w:val="00A8059F"/>
    <w:pPr>
      <w:jc w:val="both"/>
    </w:pPr>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tcBorders>
        <w:shd w:val="clear" w:color="auto" w:fill="595959"/>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4-Accent41">
    <w:name w:val="List Table 4 - Accent 41"/>
    <w:basedOn w:val="TableNormal"/>
    <w:next w:val="ListTable4Accent4"/>
    <w:uiPriority w:val="49"/>
    <w:semiHidden/>
    <w:rsid w:val="00A8059F"/>
    <w:pPr>
      <w:jc w:val="both"/>
    </w:pPr>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tcBorders>
        <w:shd w:val="clear" w:color="auto" w:fill="969696"/>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4-Accent51">
    <w:name w:val="List Table 4 - Accent 51"/>
    <w:basedOn w:val="TableNormal"/>
    <w:next w:val="ListTable4Accent5"/>
    <w:uiPriority w:val="49"/>
    <w:semiHidden/>
    <w:rsid w:val="00A8059F"/>
    <w:pPr>
      <w:jc w:val="both"/>
    </w:pPr>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tcBorders>
        <w:shd w:val="clear" w:color="auto" w:fill="5F5F5F"/>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4-Accent61">
    <w:name w:val="List Table 4 - Accent 61"/>
    <w:basedOn w:val="TableNormal"/>
    <w:next w:val="ListTable4Accent6"/>
    <w:uiPriority w:val="49"/>
    <w:semiHidden/>
    <w:rsid w:val="00A8059F"/>
    <w:pPr>
      <w:jc w:val="both"/>
    </w:pPr>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tcBorders>
        <w:shd w:val="clear" w:color="auto" w:fill="4D4D4D"/>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5Dark1">
    <w:name w:val="List Table 5 Dark1"/>
    <w:basedOn w:val="TableNormal"/>
    <w:next w:val="ListTable5Dark"/>
    <w:uiPriority w:val="50"/>
    <w:semiHidden/>
    <w:rsid w:val="00A8059F"/>
    <w:pPr>
      <w:jc w:val="both"/>
    </w:pPr>
    <w:rPr>
      <w:color w:val="FFFFFF"/>
      <w:sz w:val="24"/>
      <w:szCs w:val="24"/>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semiHidden/>
    <w:rsid w:val="00A8059F"/>
    <w:pPr>
      <w:jc w:val="both"/>
    </w:pPr>
    <w:rPr>
      <w:color w:val="FFFFFF"/>
      <w:sz w:val="24"/>
      <w:szCs w:val="24"/>
    </w:rPr>
    <w:tblPr>
      <w:tblStyleRowBandSize w:val="1"/>
      <w:tblStyleColBandSize w:val="1"/>
      <w:tblBorders>
        <w:top w:val="single" w:sz="24" w:space="0" w:color="0072BC"/>
        <w:left w:val="single" w:sz="24" w:space="0" w:color="0072BC"/>
        <w:bottom w:val="single" w:sz="24" w:space="0" w:color="0072BC"/>
        <w:right w:val="single" w:sz="24" w:space="0" w:color="0072BC"/>
      </w:tblBorders>
    </w:tblPr>
    <w:tcPr>
      <w:shd w:val="clear" w:color="auto" w:fill="0072B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semiHidden/>
    <w:rsid w:val="00A8059F"/>
    <w:pPr>
      <w:jc w:val="both"/>
    </w:pPr>
    <w:rPr>
      <w:color w:val="FFFFFF"/>
      <w:sz w:val="24"/>
      <w:szCs w:val="24"/>
    </w:rPr>
    <w:tblPr>
      <w:tblStyleRowBandSize w:val="1"/>
      <w:tblStyleColBandSize w:val="1"/>
      <w:tblBorders>
        <w:top w:val="single" w:sz="24" w:space="0" w:color="C00000"/>
        <w:left w:val="single" w:sz="24" w:space="0" w:color="C00000"/>
        <w:bottom w:val="single" w:sz="24" w:space="0" w:color="C00000"/>
        <w:right w:val="single" w:sz="24" w:space="0" w:color="C00000"/>
      </w:tblBorders>
    </w:tblPr>
    <w:tcPr>
      <w:shd w:val="clear" w:color="auto" w:fill="C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semiHidden/>
    <w:rsid w:val="00A8059F"/>
    <w:pPr>
      <w:jc w:val="both"/>
    </w:pPr>
    <w:rPr>
      <w:color w:val="FFFFFF"/>
      <w:sz w:val="24"/>
      <w:szCs w:val="24"/>
    </w:rPr>
    <w:tblPr>
      <w:tblStyleRowBandSize w:val="1"/>
      <w:tblStyleColBandSize w:val="1"/>
      <w:tblBorders>
        <w:top w:val="single" w:sz="24" w:space="0" w:color="595959"/>
        <w:left w:val="single" w:sz="24" w:space="0" w:color="595959"/>
        <w:bottom w:val="single" w:sz="24" w:space="0" w:color="595959"/>
        <w:right w:val="single" w:sz="24" w:space="0" w:color="595959"/>
      </w:tblBorders>
    </w:tblPr>
    <w:tcPr>
      <w:shd w:val="clear" w:color="auto" w:fill="5959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semiHidden/>
    <w:rsid w:val="00A8059F"/>
    <w:pPr>
      <w:jc w:val="both"/>
    </w:pPr>
    <w:rPr>
      <w:color w:val="FFFFFF"/>
      <w:sz w:val="24"/>
      <w:szCs w:val="24"/>
    </w:rPr>
    <w:tblPr>
      <w:tblStyleRowBandSize w:val="1"/>
      <w:tblStyleColBandSize w:val="1"/>
      <w:tblBorders>
        <w:top w:val="single" w:sz="24" w:space="0" w:color="969696"/>
        <w:left w:val="single" w:sz="24" w:space="0" w:color="969696"/>
        <w:bottom w:val="single" w:sz="24" w:space="0" w:color="969696"/>
        <w:right w:val="single" w:sz="24" w:space="0" w:color="969696"/>
      </w:tblBorders>
    </w:tblPr>
    <w:tcPr>
      <w:shd w:val="clear" w:color="auto" w:fill="96969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semiHidden/>
    <w:rsid w:val="00A8059F"/>
    <w:pPr>
      <w:jc w:val="both"/>
    </w:pPr>
    <w:rPr>
      <w:color w:val="FFFFFF"/>
      <w:sz w:val="24"/>
      <w:szCs w:val="24"/>
    </w:rPr>
    <w:tblPr>
      <w:tblStyleRowBandSize w:val="1"/>
      <w:tblStyleColBandSize w:val="1"/>
      <w:tblBorders>
        <w:top w:val="single" w:sz="24" w:space="0" w:color="5F5F5F"/>
        <w:left w:val="single" w:sz="24" w:space="0" w:color="5F5F5F"/>
        <w:bottom w:val="single" w:sz="24" w:space="0" w:color="5F5F5F"/>
        <w:right w:val="single" w:sz="24" w:space="0" w:color="5F5F5F"/>
      </w:tblBorders>
    </w:tblPr>
    <w:tcPr>
      <w:shd w:val="clear" w:color="auto" w:fill="5F5F5F"/>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semiHidden/>
    <w:rsid w:val="00A8059F"/>
    <w:pPr>
      <w:jc w:val="both"/>
    </w:pPr>
    <w:rPr>
      <w:color w:val="FFFFFF"/>
      <w:sz w:val="24"/>
      <w:szCs w:val="24"/>
    </w:rPr>
    <w:tblPr>
      <w:tblStyleRowBandSize w:val="1"/>
      <w:tblStyleColBandSize w:val="1"/>
      <w:tblBorders>
        <w:top w:val="single" w:sz="24" w:space="0" w:color="4D4D4D"/>
        <w:left w:val="single" w:sz="24" w:space="0" w:color="4D4D4D"/>
        <w:bottom w:val="single" w:sz="24" w:space="0" w:color="4D4D4D"/>
        <w:right w:val="single" w:sz="24" w:space="0" w:color="4D4D4D"/>
      </w:tblBorders>
    </w:tblPr>
    <w:tcPr>
      <w:shd w:val="clear" w:color="auto" w:fill="4D4D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semiHidden/>
    <w:rsid w:val="00A8059F"/>
    <w:pPr>
      <w:jc w:val="both"/>
    </w:pPr>
    <w:rPr>
      <w:color w:val="000000"/>
      <w:sz w:val="24"/>
      <w:szCs w:val="24"/>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semiHidden/>
    <w:rsid w:val="00A8059F"/>
    <w:pPr>
      <w:jc w:val="both"/>
    </w:pPr>
    <w:rPr>
      <w:color w:val="00548C"/>
      <w:sz w:val="24"/>
      <w:szCs w:val="24"/>
    </w:rPr>
    <w:tblPr>
      <w:tblStyleRowBandSize w:val="1"/>
      <w:tblStyleColBandSize w:val="1"/>
      <w:tblBorders>
        <w:top w:val="single" w:sz="4" w:space="0" w:color="0072BC"/>
        <w:bottom w:val="single" w:sz="4" w:space="0" w:color="0072BC"/>
      </w:tblBorders>
    </w:tblPr>
    <w:tblStylePr w:type="firstRow">
      <w:rPr>
        <w:b/>
        <w:bCs/>
      </w:rPr>
      <w:tblPr/>
      <w:tcPr>
        <w:tcBorders>
          <w:bottom w:val="single" w:sz="4" w:space="0" w:color="0072BC"/>
        </w:tcBorders>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6Colorful-Accent21">
    <w:name w:val="List Table 6 Colorful - Accent 21"/>
    <w:basedOn w:val="TableNormal"/>
    <w:next w:val="ListTable6ColorfulAccent2"/>
    <w:uiPriority w:val="51"/>
    <w:semiHidden/>
    <w:rsid w:val="00A8059F"/>
    <w:pPr>
      <w:jc w:val="both"/>
    </w:pPr>
    <w:rPr>
      <w:color w:val="8F0000"/>
      <w:sz w:val="24"/>
      <w:szCs w:val="24"/>
    </w:rPr>
    <w:tblPr>
      <w:tblStyleRowBandSize w:val="1"/>
      <w:tblStyleColBandSize w:val="1"/>
      <w:tblBorders>
        <w:top w:val="single" w:sz="4" w:space="0" w:color="C00000"/>
        <w:bottom w:val="single" w:sz="4" w:space="0" w:color="C00000"/>
      </w:tblBorders>
    </w:tblPr>
    <w:tblStylePr w:type="firstRow">
      <w:rPr>
        <w:b/>
        <w:bCs/>
      </w:rPr>
      <w:tblPr/>
      <w:tcPr>
        <w:tcBorders>
          <w:bottom w:val="single" w:sz="4" w:space="0" w:color="C00000"/>
        </w:tcBorders>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6Colorful-Accent31">
    <w:name w:val="List Table 6 Colorful - Accent 31"/>
    <w:basedOn w:val="TableNormal"/>
    <w:next w:val="ListTable6ColorfulAccent3"/>
    <w:uiPriority w:val="51"/>
    <w:semiHidden/>
    <w:rsid w:val="00A8059F"/>
    <w:pPr>
      <w:jc w:val="both"/>
    </w:pPr>
    <w:rPr>
      <w:color w:val="424242"/>
      <w:sz w:val="24"/>
      <w:szCs w:val="24"/>
    </w:rPr>
    <w:tblPr>
      <w:tblStyleRowBandSize w:val="1"/>
      <w:tblStyleColBandSize w:val="1"/>
      <w:tblBorders>
        <w:top w:val="single" w:sz="4" w:space="0" w:color="595959"/>
        <w:bottom w:val="single" w:sz="4" w:space="0" w:color="595959"/>
      </w:tblBorders>
    </w:tblPr>
    <w:tblStylePr w:type="firstRow">
      <w:rPr>
        <w:b/>
        <w:bCs/>
      </w:rPr>
      <w:tblPr/>
      <w:tcPr>
        <w:tcBorders>
          <w:bottom w:val="single" w:sz="4" w:space="0" w:color="595959"/>
        </w:tcBorders>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6Colorful-Accent41">
    <w:name w:val="List Table 6 Colorful - Accent 41"/>
    <w:basedOn w:val="TableNormal"/>
    <w:next w:val="ListTable6ColorfulAccent4"/>
    <w:uiPriority w:val="51"/>
    <w:semiHidden/>
    <w:rsid w:val="00A8059F"/>
    <w:pPr>
      <w:jc w:val="both"/>
    </w:pPr>
    <w:rPr>
      <w:color w:val="707070"/>
      <w:sz w:val="24"/>
      <w:szCs w:val="24"/>
    </w:rPr>
    <w:tblPr>
      <w:tblStyleRowBandSize w:val="1"/>
      <w:tblStyleColBandSize w:val="1"/>
      <w:tblBorders>
        <w:top w:val="single" w:sz="4" w:space="0" w:color="969696"/>
        <w:bottom w:val="single" w:sz="4" w:space="0" w:color="969696"/>
      </w:tblBorders>
    </w:tblPr>
    <w:tblStylePr w:type="firstRow">
      <w:rPr>
        <w:b/>
        <w:bCs/>
      </w:rPr>
      <w:tblPr/>
      <w:tcPr>
        <w:tcBorders>
          <w:bottom w:val="single" w:sz="4" w:space="0" w:color="969696"/>
        </w:tcBorders>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6Colorful-Accent51">
    <w:name w:val="List Table 6 Colorful - Accent 51"/>
    <w:basedOn w:val="TableNormal"/>
    <w:next w:val="ListTable6ColorfulAccent5"/>
    <w:uiPriority w:val="51"/>
    <w:semiHidden/>
    <w:rsid w:val="00A8059F"/>
    <w:pPr>
      <w:jc w:val="both"/>
    </w:pPr>
    <w:rPr>
      <w:color w:val="474747"/>
      <w:sz w:val="24"/>
      <w:szCs w:val="24"/>
    </w:rPr>
    <w:tblPr>
      <w:tblStyleRowBandSize w:val="1"/>
      <w:tblStyleColBandSize w:val="1"/>
      <w:tblBorders>
        <w:top w:val="single" w:sz="4" w:space="0" w:color="5F5F5F"/>
        <w:bottom w:val="single" w:sz="4" w:space="0" w:color="5F5F5F"/>
      </w:tblBorders>
    </w:tblPr>
    <w:tblStylePr w:type="firstRow">
      <w:rPr>
        <w:b/>
        <w:bCs/>
      </w:rPr>
      <w:tblPr/>
      <w:tcPr>
        <w:tcBorders>
          <w:bottom w:val="single" w:sz="4" w:space="0" w:color="5F5F5F"/>
        </w:tcBorders>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6Colorful-Accent61">
    <w:name w:val="List Table 6 Colorful - Accent 61"/>
    <w:basedOn w:val="TableNormal"/>
    <w:next w:val="ListTable6ColorfulAccent6"/>
    <w:uiPriority w:val="51"/>
    <w:semiHidden/>
    <w:rsid w:val="00A8059F"/>
    <w:pPr>
      <w:jc w:val="both"/>
    </w:pPr>
    <w:rPr>
      <w:color w:val="393939"/>
      <w:sz w:val="24"/>
      <w:szCs w:val="24"/>
    </w:rPr>
    <w:tblPr>
      <w:tblStyleRowBandSize w:val="1"/>
      <w:tblStyleColBandSize w:val="1"/>
      <w:tblBorders>
        <w:top w:val="single" w:sz="4" w:space="0" w:color="4D4D4D"/>
        <w:bottom w:val="single" w:sz="4" w:space="0" w:color="4D4D4D"/>
      </w:tblBorders>
    </w:tblPr>
    <w:tblStylePr w:type="firstRow">
      <w:rPr>
        <w:b/>
        <w:bCs/>
      </w:rPr>
      <w:tblPr/>
      <w:tcPr>
        <w:tcBorders>
          <w:bottom w:val="single" w:sz="4" w:space="0" w:color="4D4D4D"/>
        </w:tcBorders>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7Colorful1">
    <w:name w:val="List Table 7 Colorful1"/>
    <w:basedOn w:val="TableNormal"/>
    <w:next w:val="ListTable7Colorful"/>
    <w:uiPriority w:val="52"/>
    <w:semiHidden/>
    <w:rsid w:val="00A8059F"/>
    <w:pPr>
      <w:jc w:val="both"/>
    </w:pPr>
    <w:rPr>
      <w:color w:val="000000"/>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000000"/>
        </w:tcBorders>
        <w:shd w:val="clear" w:color="auto" w:fill="FFFFFF"/>
      </w:tcPr>
    </w:tblStylePr>
    <w:tblStylePr w:type="lastRow">
      <w:rPr>
        <w:rFonts w:ascii="Times New Roman" w:eastAsia="MingLiU" w:hAnsi="Times New Roman" w:cs="Times New Roman"/>
        <w:i/>
        <w:iCs/>
        <w:sz w:val="26"/>
      </w:rPr>
      <w:tblPr/>
      <w:tcPr>
        <w:tcBorders>
          <w:top w:val="single" w:sz="4" w:space="0" w:color="000000"/>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000000"/>
        </w:tcBorders>
        <w:shd w:val="clear" w:color="auto" w:fill="FFFFFF"/>
      </w:tcPr>
    </w:tblStylePr>
    <w:tblStylePr w:type="lastCol">
      <w:rPr>
        <w:rFonts w:ascii="Times New Roman" w:eastAsia="MingLiU" w:hAnsi="Times New Rom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semiHidden/>
    <w:rsid w:val="00A8059F"/>
    <w:pPr>
      <w:jc w:val="both"/>
    </w:pPr>
    <w:rPr>
      <w:color w:val="00548C"/>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0072BC"/>
        </w:tcBorders>
        <w:shd w:val="clear" w:color="auto" w:fill="FFFFFF"/>
      </w:tcPr>
    </w:tblStylePr>
    <w:tblStylePr w:type="lastRow">
      <w:rPr>
        <w:rFonts w:ascii="Times New Roman" w:eastAsia="MingLiU" w:hAnsi="Times New Roman" w:cs="Times New Roman"/>
        <w:i/>
        <w:iCs/>
        <w:sz w:val="26"/>
      </w:rPr>
      <w:tblPr/>
      <w:tcPr>
        <w:tcBorders>
          <w:top w:val="single" w:sz="4" w:space="0" w:color="0072BC"/>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0072BC"/>
        </w:tcBorders>
        <w:shd w:val="clear" w:color="auto" w:fill="FFFFFF"/>
      </w:tcPr>
    </w:tblStylePr>
    <w:tblStylePr w:type="lastCol">
      <w:rPr>
        <w:rFonts w:ascii="Times New Roman" w:eastAsia="MingLiU" w:hAnsi="Times New Roman" w:cs="Times New Roman"/>
        <w:i/>
        <w:iCs/>
        <w:sz w:val="26"/>
      </w:rPr>
      <w:tblPr/>
      <w:tcPr>
        <w:tcBorders>
          <w:left w:val="single" w:sz="4" w:space="0" w:color="0072BC"/>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semiHidden/>
    <w:rsid w:val="00A8059F"/>
    <w:pPr>
      <w:jc w:val="both"/>
    </w:pPr>
    <w:rPr>
      <w:color w:val="8F0000"/>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C00000"/>
        </w:tcBorders>
        <w:shd w:val="clear" w:color="auto" w:fill="FFFFFF"/>
      </w:tcPr>
    </w:tblStylePr>
    <w:tblStylePr w:type="lastRow">
      <w:rPr>
        <w:rFonts w:ascii="Times New Roman" w:eastAsia="MingLiU" w:hAnsi="Times New Roman" w:cs="Times New Roman"/>
        <w:i/>
        <w:iCs/>
        <w:sz w:val="26"/>
      </w:rPr>
      <w:tblPr/>
      <w:tcPr>
        <w:tcBorders>
          <w:top w:val="single" w:sz="4" w:space="0" w:color="C00000"/>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C00000"/>
        </w:tcBorders>
        <w:shd w:val="clear" w:color="auto" w:fill="FFFFFF"/>
      </w:tcPr>
    </w:tblStylePr>
    <w:tblStylePr w:type="lastCol">
      <w:rPr>
        <w:rFonts w:ascii="Times New Roman" w:eastAsia="MingLiU" w:hAnsi="Times New Roman" w:cs="Times New Roman"/>
        <w:i/>
        <w:iCs/>
        <w:sz w:val="26"/>
      </w:rPr>
      <w:tblPr/>
      <w:tcPr>
        <w:tcBorders>
          <w:left w:val="single" w:sz="4" w:space="0" w:color="C00000"/>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semiHidden/>
    <w:rsid w:val="00A8059F"/>
    <w:pPr>
      <w:jc w:val="both"/>
    </w:pPr>
    <w:rPr>
      <w:color w:val="424242"/>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595959"/>
        </w:tcBorders>
        <w:shd w:val="clear" w:color="auto" w:fill="FFFFFF"/>
      </w:tcPr>
    </w:tblStylePr>
    <w:tblStylePr w:type="lastRow">
      <w:rPr>
        <w:rFonts w:ascii="Times New Roman" w:eastAsia="MingLiU" w:hAnsi="Times New Roman" w:cs="Times New Roman"/>
        <w:i/>
        <w:iCs/>
        <w:sz w:val="26"/>
      </w:rPr>
      <w:tblPr/>
      <w:tcPr>
        <w:tcBorders>
          <w:top w:val="single" w:sz="4" w:space="0" w:color="595959"/>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595959"/>
        </w:tcBorders>
        <w:shd w:val="clear" w:color="auto" w:fill="FFFFFF"/>
      </w:tcPr>
    </w:tblStylePr>
    <w:tblStylePr w:type="lastCol">
      <w:rPr>
        <w:rFonts w:ascii="Times New Roman" w:eastAsia="MingLiU" w:hAnsi="Times New Roman" w:cs="Times New Roman"/>
        <w:i/>
        <w:iCs/>
        <w:sz w:val="26"/>
      </w:rPr>
      <w:tblPr/>
      <w:tcPr>
        <w:tcBorders>
          <w:left w:val="single" w:sz="4" w:space="0" w:color="595959"/>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semiHidden/>
    <w:rsid w:val="00A8059F"/>
    <w:pPr>
      <w:jc w:val="both"/>
    </w:pPr>
    <w:rPr>
      <w:color w:val="707070"/>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969696"/>
        </w:tcBorders>
        <w:shd w:val="clear" w:color="auto" w:fill="FFFFFF"/>
      </w:tcPr>
    </w:tblStylePr>
    <w:tblStylePr w:type="lastRow">
      <w:rPr>
        <w:rFonts w:ascii="Times New Roman" w:eastAsia="MingLiU" w:hAnsi="Times New Roman" w:cs="Times New Roman"/>
        <w:i/>
        <w:iCs/>
        <w:sz w:val="26"/>
      </w:rPr>
      <w:tblPr/>
      <w:tcPr>
        <w:tcBorders>
          <w:top w:val="single" w:sz="4" w:space="0" w:color="969696"/>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969696"/>
        </w:tcBorders>
        <w:shd w:val="clear" w:color="auto" w:fill="FFFFFF"/>
      </w:tcPr>
    </w:tblStylePr>
    <w:tblStylePr w:type="lastCol">
      <w:rPr>
        <w:rFonts w:ascii="Times New Roman" w:eastAsia="MingLiU" w:hAnsi="Times New Roman" w:cs="Times New Roman"/>
        <w:i/>
        <w:iCs/>
        <w:sz w:val="26"/>
      </w:rPr>
      <w:tblPr/>
      <w:tcPr>
        <w:tcBorders>
          <w:left w:val="single" w:sz="4" w:space="0" w:color="969696"/>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semiHidden/>
    <w:rsid w:val="00A8059F"/>
    <w:pPr>
      <w:jc w:val="both"/>
    </w:pPr>
    <w:rPr>
      <w:color w:val="474747"/>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5F5F5F"/>
        </w:tcBorders>
        <w:shd w:val="clear" w:color="auto" w:fill="FFFFFF"/>
      </w:tcPr>
    </w:tblStylePr>
    <w:tblStylePr w:type="lastRow">
      <w:rPr>
        <w:rFonts w:ascii="Times New Roman" w:eastAsia="MingLiU" w:hAnsi="Times New Roman" w:cs="Times New Roman"/>
        <w:i/>
        <w:iCs/>
        <w:sz w:val="26"/>
      </w:rPr>
      <w:tblPr/>
      <w:tcPr>
        <w:tcBorders>
          <w:top w:val="single" w:sz="4" w:space="0" w:color="5F5F5F"/>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5F5F5F"/>
        </w:tcBorders>
        <w:shd w:val="clear" w:color="auto" w:fill="FFFFFF"/>
      </w:tcPr>
    </w:tblStylePr>
    <w:tblStylePr w:type="lastCol">
      <w:rPr>
        <w:rFonts w:ascii="Times New Roman" w:eastAsia="MingLiU" w:hAnsi="Times New Roman" w:cs="Times New Roman"/>
        <w:i/>
        <w:iCs/>
        <w:sz w:val="26"/>
      </w:rPr>
      <w:tblPr/>
      <w:tcPr>
        <w:tcBorders>
          <w:left w:val="single" w:sz="4" w:space="0" w:color="5F5F5F"/>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semiHidden/>
    <w:rsid w:val="00A8059F"/>
    <w:pPr>
      <w:jc w:val="both"/>
    </w:pPr>
    <w:rPr>
      <w:color w:val="393939"/>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4D4D4D"/>
        </w:tcBorders>
        <w:shd w:val="clear" w:color="auto" w:fill="FFFFFF"/>
      </w:tcPr>
    </w:tblStylePr>
    <w:tblStylePr w:type="lastRow">
      <w:rPr>
        <w:rFonts w:ascii="Times New Roman" w:eastAsia="MingLiU" w:hAnsi="Times New Roman" w:cs="Times New Roman"/>
        <w:i/>
        <w:iCs/>
        <w:sz w:val="26"/>
      </w:rPr>
      <w:tblPr/>
      <w:tcPr>
        <w:tcBorders>
          <w:top w:val="single" w:sz="4" w:space="0" w:color="4D4D4D"/>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4D4D4D"/>
        </w:tcBorders>
        <w:shd w:val="clear" w:color="auto" w:fill="FFFFFF"/>
      </w:tcPr>
    </w:tblStylePr>
    <w:tblStylePr w:type="lastCol">
      <w:rPr>
        <w:rFonts w:ascii="Times New Roman" w:eastAsia="MingLiU" w:hAnsi="Times New Roman" w:cs="Times New Roman"/>
        <w:i/>
        <w:iCs/>
        <w:sz w:val="26"/>
      </w:rPr>
      <w:tblPr/>
      <w:tcPr>
        <w:tcBorders>
          <w:left w:val="single" w:sz="4" w:space="0" w:color="4D4D4D"/>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next w:val="PlainTable1"/>
    <w:uiPriority w:val="41"/>
    <w:semiHidden/>
    <w:rsid w:val="00A8059F"/>
    <w:pPr>
      <w:jc w:val="both"/>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semiHidden/>
    <w:rsid w:val="00A8059F"/>
    <w:pPr>
      <w:jc w:val="both"/>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semiHidden/>
    <w:rsid w:val="00A8059F"/>
    <w:pPr>
      <w:jc w:val="both"/>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semiHidden/>
    <w:rsid w:val="00A8059F"/>
    <w:pPr>
      <w:jc w:val="both"/>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semiHidden/>
    <w:rsid w:val="00A8059F"/>
    <w:pPr>
      <w:jc w:val="both"/>
    </w:pPr>
    <w:rPr>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7F7F7F"/>
        </w:tcBorders>
        <w:shd w:val="clear" w:color="auto" w:fill="FFFFFF"/>
      </w:tcPr>
    </w:tblStylePr>
    <w:tblStylePr w:type="lastRow">
      <w:rPr>
        <w:rFonts w:ascii="Times New Roman" w:eastAsia="MingLiU" w:hAnsi="Times New Roman" w:cs="Times New Roman"/>
        <w:i/>
        <w:iCs/>
        <w:sz w:val="26"/>
      </w:rPr>
      <w:tblPr/>
      <w:tcPr>
        <w:tcBorders>
          <w:top w:val="single" w:sz="4" w:space="0" w:color="7F7F7F"/>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7F7F7F"/>
        </w:tcBorders>
        <w:shd w:val="clear" w:color="auto" w:fill="FFFFFF"/>
      </w:tcPr>
    </w:tblStylePr>
    <w:tblStylePr w:type="lastCol">
      <w:rPr>
        <w:rFonts w:ascii="Times New Roman" w:eastAsia="MingLiU" w:hAnsi="Times New Rom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next w:val="GridTableLight"/>
    <w:uiPriority w:val="40"/>
    <w:semiHidden/>
    <w:rsid w:val="00A8059F"/>
    <w:pPr>
      <w:jc w:val="both"/>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CHRUGTableWhiteBox1">
    <w:name w:val="ECHR_UG_Table_White_Box1"/>
    <w:basedOn w:val="TableNormal"/>
    <w:uiPriority w:val="99"/>
    <w:rsid w:val="00A8059F"/>
    <w:rPr>
      <w:rFonts w:eastAsia="PMingLiU"/>
      <w:sz w:val="24"/>
      <w:szCs w:val="24"/>
      <w:lang w:val="en-GB"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BulletedSquare2">
    <w:name w:val="ECHR_A1_Style_Bulleted_Square2"/>
    <w:basedOn w:val="NoList"/>
    <w:rsid w:val="00A8059F"/>
  </w:style>
  <w:style w:type="numbering" w:customStyle="1" w:styleId="ECHRA1StyleNumberedList2">
    <w:name w:val="ECHR_A1_Style_Numbered_List2"/>
    <w:basedOn w:val="NoList"/>
    <w:rsid w:val="00A8059F"/>
  </w:style>
  <w:style w:type="table" w:customStyle="1" w:styleId="ECHRDNTable1">
    <w:name w:val="ECHR_DN_Table1"/>
    <w:basedOn w:val="TableNormal"/>
    <w:uiPriority w:val="99"/>
    <w:rsid w:val="00A8059F"/>
    <w:tblPr>
      <w:jc w:val="center"/>
      <w:tblBorders>
        <w:left w:val="single" w:sz="4" w:space="0" w:color="838383"/>
        <w:bottom w:val="single" w:sz="4" w:space="0" w:color="838383"/>
        <w:right w:val="single" w:sz="4" w:space="0" w:color="838383"/>
        <w:insideH w:val="single" w:sz="4" w:space="0" w:color="838383"/>
        <w:insideV w:val="single" w:sz="4" w:space="0" w:color="838383"/>
      </w:tblBorders>
      <w:tblCellMar>
        <w:top w:w="57" w:type="dxa"/>
        <w:bottom w:w="57" w:type="dxa"/>
      </w:tblCellMar>
    </w:tblPr>
    <w:trPr>
      <w:jc w:val="center"/>
    </w:trPr>
    <w:tcPr>
      <w:vAlign w:val="center"/>
    </w:tcPr>
    <w:tblStylePr w:type="firstRow">
      <w:pPr>
        <w:wordWrap/>
        <w:spacing w:beforeLines="0"/>
        <w:ind w:left="0" w:leftChars="0"/>
      </w:pPr>
      <w:rPr>
        <w:rFonts w:ascii="Calibri" w:hAnsi="Calibri"/>
        <w:b/>
        <w:i w:val="0"/>
        <w:color w:val="424242"/>
        <w:sz w:val="24"/>
      </w:rPr>
      <w:tblPr/>
      <w:tcPr>
        <w:tcBorders>
          <w:top w:val="single" w:sz="4" w:space="0" w:color="838383"/>
          <w:left w:val="single" w:sz="4" w:space="0" w:color="838383"/>
          <w:bottom w:val="nil"/>
          <w:right w:val="single" w:sz="4" w:space="0" w:color="838383"/>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A8059F"/>
    <w:tblPr>
      <w:tblInd w:w="-680" w:type="dxa"/>
      <w:tblBorders>
        <w:bottom w:val="single" w:sz="6" w:space="0" w:color="838383"/>
      </w:tblBorders>
      <w:tblCellMar>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A8059F"/>
    <w:tblPr>
      <w:tblInd w:w="-680" w:type="dxa"/>
      <w:tblCellMar>
        <w:left w:w="0" w:type="dxa"/>
        <w:right w:w="0" w:type="dxa"/>
      </w:tblCellMar>
    </w:tblPr>
    <w:tcPr>
      <w:vAlign w:val="bottom"/>
    </w:tcPr>
    <w:tblStylePr w:type="firstRow">
      <w:rPr>
        <w:sz w:val="18"/>
      </w:rPr>
      <w:tblPr/>
      <w:tcPr>
        <w:tcBorders>
          <w:top w:val="nil"/>
          <w:left w:val="nil"/>
          <w:bottom w:val="single" w:sz="6" w:space="0" w:color="838383"/>
          <w:right w:val="nil"/>
          <w:insideH w:val="nil"/>
          <w:insideV w:val="nil"/>
          <w:tl2br w:val="nil"/>
          <w:tr2bl w:val="nil"/>
        </w:tcBorders>
      </w:tcPr>
    </w:tblStylePr>
    <w:tblStylePr w:type="lastRow">
      <w:pPr>
        <w:jc w:val="right"/>
      </w:pPr>
      <w:tblPr/>
      <w:tcPr>
        <w:tcBorders>
          <w:top w:val="single" w:sz="6" w:space="0" w:color="838383"/>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A8059F"/>
    <w:tblPr>
      <w:tblBorders>
        <w:top w:val="single" w:sz="4" w:space="0" w:color="838383"/>
        <w:left w:val="single" w:sz="4" w:space="0" w:color="838383"/>
        <w:bottom w:val="single" w:sz="4" w:space="0" w:color="838383"/>
        <w:right w:val="single" w:sz="4" w:space="0" w:color="838383"/>
        <w:insideH w:val="single" w:sz="4" w:space="0" w:color="838383"/>
        <w:insideV w:val="single" w:sz="4" w:space="0" w:color="838383"/>
      </w:tblBorders>
      <w:tblCellMar>
        <w:top w:w="28" w:type="dxa"/>
        <w:bottom w:w="28" w:type="dxa"/>
      </w:tblCellMar>
    </w:tblPr>
    <w:tblStylePr w:type="firstRow">
      <w:rPr>
        <w:b/>
        <w:color w:val="424242"/>
      </w:rPr>
      <w:tblPr/>
      <w:trPr>
        <w:tblHeader/>
      </w:trPr>
      <w:tcPr>
        <w:tcBorders>
          <w:top w:val="single" w:sz="4" w:space="0" w:color="838383"/>
          <w:left w:val="single" w:sz="4" w:space="0" w:color="838383"/>
          <w:bottom w:val="single" w:sz="4" w:space="0" w:color="838383"/>
          <w:right w:val="single" w:sz="4" w:space="0" w:color="838383"/>
          <w:insideH w:val="single" w:sz="4" w:space="0" w:color="838383"/>
          <w:insideV w:val="single" w:sz="4" w:space="0" w:color="838383"/>
        </w:tcBorders>
        <w:shd w:val="clear" w:color="auto" w:fill="DFDFDF"/>
      </w:tcPr>
    </w:tblStylePr>
  </w:style>
  <w:style w:type="table" w:customStyle="1" w:styleId="ECHRTableFax1">
    <w:name w:val="ECHR_Table_Fax1"/>
    <w:basedOn w:val="TableNormal"/>
    <w:uiPriority w:val="99"/>
    <w:rsid w:val="00A8059F"/>
    <w:rPr>
      <w:color w:val="000000"/>
    </w:rPr>
    <w:tblPr>
      <w:tblInd w:w="-680" w:type="dxa"/>
      <w:tblBorders>
        <w:insideH w:val="single" w:sz="4" w:space="0" w:color="B0B0B0"/>
        <w:insideV w:val="single" w:sz="4" w:space="0" w:color="B0B0B0"/>
      </w:tblBorders>
      <w:tblCellMar>
        <w:top w:w="142" w:type="dxa"/>
        <w:bottom w:w="142" w:type="dxa"/>
      </w:tblCellMar>
    </w:tblPr>
    <w:trPr>
      <w:cantSplit/>
    </w:trPr>
  </w:style>
  <w:style w:type="table" w:customStyle="1" w:styleId="ECHRTableForInternalUse1">
    <w:name w:val="ECHR_Table_For_Internal_Use1"/>
    <w:basedOn w:val="TableNormal"/>
    <w:uiPriority w:val="99"/>
    <w:rsid w:val="00A8059F"/>
    <w:rPr>
      <w:color w:val="585858"/>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left w:val="single" w:sz="4" w:space="0" w:color="838383"/>
          <w:bottom w:val="single" w:sz="4" w:space="0" w:color="838383"/>
          <w:right w:val="single" w:sz="4" w:space="0" w:color="838383"/>
          <w:insideH w:val="single" w:sz="4" w:space="0" w:color="838383"/>
          <w:insideV w:val="single" w:sz="4" w:space="0" w:color="838383"/>
          <w:tl2br w:val="nil"/>
          <w:tr2bl w:val="nil"/>
        </w:tcBorders>
      </w:tcPr>
    </w:tblStylePr>
    <w:tblStylePr w:type="band1Vert">
      <w:tblPr/>
      <w:tcPr>
        <w:tcBorders>
          <w:top w:val="single" w:sz="4" w:space="0" w:color="838383"/>
          <w:left w:val="single" w:sz="4" w:space="0" w:color="838383"/>
          <w:bottom w:val="single" w:sz="4" w:space="0" w:color="838383"/>
          <w:right w:val="single" w:sz="4" w:space="0" w:color="838383"/>
          <w:insideH w:val="single" w:sz="4" w:space="0" w:color="838383"/>
          <w:insideV w:val="single" w:sz="4" w:space="0" w:color="838383"/>
          <w:tl2br w:val="nil"/>
          <w:tr2bl w:val="nil"/>
        </w:tcBorders>
      </w:tcPr>
    </w:tblStylePr>
  </w:style>
  <w:style w:type="table" w:customStyle="1" w:styleId="ECHRTableMemo1">
    <w:name w:val="ECHR_Table_Memo1"/>
    <w:basedOn w:val="TableNormal"/>
    <w:uiPriority w:val="99"/>
    <w:rsid w:val="00A8059F"/>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right w:val="nil"/>
          <w:insideH w:val="nil"/>
          <w:insideV w:val="nil"/>
          <w:tl2br w:val="nil"/>
          <w:tr2bl w:val="nil"/>
        </w:tcBorders>
      </w:tcPr>
    </w:tblStylePr>
  </w:style>
  <w:style w:type="table" w:customStyle="1" w:styleId="ECHRTableNoLines1">
    <w:name w:val="ECHR_Table_No_Lines1"/>
    <w:basedOn w:val="TableNormal"/>
    <w:uiPriority w:val="99"/>
    <w:rsid w:val="00A8059F"/>
    <w:tblPr>
      <w:tblCellMar>
        <w:top w:w="85" w:type="dxa"/>
        <w:left w:w="142" w:type="dxa"/>
        <w:bottom w:w="28" w:type="dxa"/>
        <w:right w:w="142" w:type="dxa"/>
      </w:tblCellMar>
    </w:tblPr>
    <w:tblStylePr w:type="firstRow">
      <w:rPr>
        <w:rFonts w:ascii="Calibri" w:hAnsi="Calibri"/>
        <w:b/>
        <w:i w:val="0"/>
        <w:color w:val="424242"/>
        <w:sz w:val="24"/>
      </w:rPr>
      <w:tblPr/>
      <w:tcPr>
        <w:tcBorders>
          <w:top w:val="single" w:sz="4" w:space="0" w:color="838383"/>
          <w:left w:val="single" w:sz="4" w:space="0" w:color="838383"/>
          <w:bottom w:val="single" w:sz="4" w:space="0" w:color="838383"/>
          <w:right w:val="single" w:sz="4" w:space="0" w:color="838383"/>
          <w:insideH w:val="nil"/>
          <w:insideV w:val="nil"/>
          <w:tl2br w:val="nil"/>
          <w:tr2bl w:val="nil"/>
        </w:tcBorders>
        <w:shd w:val="clear" w:color="auto" w:fill="DFDFDF"/>
      </w:tcPr>
    </w:tblStylePr>
    <w:tblStylePr w:type="firstCol">
      <w:tblPr/>
      <w:tcPr>
        <w:tcBorders>
          <w:top w:val="single" w:sz="4" w:space="0" w:color="838383"/>
          <w:left w:val="single" w:sz="4" w:space="0" w:color="838383"/>
          <w:bottom w:val="single" w:sz="4" w:space="0" w:color="838383"/>
          <w:right w:val="single" w:sz="4" w:space="0" w:color="838383"/>
          <w:insideH w:val="single" w:sz="4" w:space="0" w:color="838383"/>
          <w:insideV w:val="single" w:sz="4" w:space="0" w:color="838383"/>
        </w:tcBorders>
      </w:tcPr>
    </w:tblStylePr>
  </w:style>
  <w:style w:type="table" w:customStyle="1" w:styleId="ECHRTableSimpleBox1">
    <w:name w:val="ECHR_Table_Simple_Box1"/>
    <w:basedOn w:val="TableNormal"/>
    <w:uiPriority w:val="99"/>
    <w:rsid w:val="00A8059F"/>
    <w:tblPr>
      <w:tblBorders>
        <w:top w:val="single" w:sz="4" w:space="0" w:color="9B9B9B"/>
        <w:left w:val="single" w:sz="4" w:space="0" w:color="9B9B9B"/>
        <w:bottom w:val="single" w:sz="4" w:space="0" w:color="9B9B9B"/>
        <w:right w:val="single" w:sz="4" w:space="0" w:color="9B9B9B"/>
      </w:tblBorders>
      <w:tblCellMar>
        <w:top w:w="113" w:type="dxa"/>
        <w:bottom w:w="113" w:type="dxa"/>
      </w:tblCellMar>
    </w:tblPr>
  </w:style>
  <w:style w:type="table" w:customStyle="1" w:styleId="ECHRLtrTableAddress1">
    <w:name w:val="ECHR_Ltr_Table_Address1"/>
    <w:basedOn w:val="TableNormal"/>
    <w:uiPriority w:val="99"/>
    <w:rsid w:val="00A8059F"/>
    <w:tblPr>
      <w:tblInd w:w="5103" w:type="dxa"/>
    </w:tblPr>
  </w:style>
  <w:style w:type="table" w:customStyle="1" w:styleId="ECHRPCFTableStyle1">
    <w:name w:val="ECHR_PCF_Table_Style1"/>
    <w:basedOn w:val="TableNormal"/>
    <w:uiPriority w:val="99"/>
    <w:rsid w:val="00A8059F"/>
    <w:rPr>
      <w:color w:val="000000"/>
      <w:sz w:val="18"/>
    </w:rPr>
    <w:tblPr>
      <w:tblBorders>
        <w:top w:val="single" w:sz="8" w:space="0" w:color="9B9B9B"/>
        <w:left w:val="single" w:sz="8" w:space="0" w:color="9B9B9B"/>
        <w:bottom w:val="single" w:sz="8" w:space="0" w:color="9B9B9B"/>
        <w:right w:val="single" w:sz="8" w:space="0" w:color="9B9B9B"/>
        <w:insideH w:val="single" w:sz="8" w:space="0" w:color="9B9B9B"/>
        <w:insideV w:val="single" w:sz="8" w:space="0" w:color="9B9B9B"/>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A8059F"/>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
    <w:name w:val="ECHR_UG_Table1"/>
    <w:basedOn w:val="TableNormal"/>
    <w:uiPriority w:val="99"/>
    <w:rsid w:val="00A8059F"/>
    <w:rPr>
      <w:rFonts w:eastAsia="Times New Roman"/>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A8059F"/>
    <w:rPr>
      <w:rFonts w:eastAsia="Times New Roman"/>
      <w:lang w:val="en-GB"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2">
    <w:name w:val="ECHR_A1_Style_List2"/>
    <w:basedOn w:val="NoList"/>
    <w:rsid w:val="00A8059F"/>
  </w:style>
  <w:style w:type="table" w:customStyle="1" w:styleId="ECHRTable20161">
    <w:name w:val="ECHR_Table_20161"/>
    <w:basedOn w:val="TableNormal"/>
    <w:uiPriority w:val="99"/>
    <w:rsid w:val="00A8059F"/>
    <w:tblPr>
      <w:tblStyleRowBandSize w:val="1"/>
      <w:tblStyleColBandSize w:val="1"/>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rPr>
      <w:jc w:val="center"/>
    </w:trPr>
    <w:tblStylePr w:type="firstRow">
      <w:rPr>
        <w:rFonts w:ascii="Calibri" w:hAnsi="Calibri"/>
        <w:b/>
        <w:i w:val="0"/>
        <w:color w:val="F8F8F8"/>
        <w:sz w:val="22"/>
      </w:rPr>
      <w:tblPr/>
      <w:trPr>
        <w:tblHeader/>
      </w:trPr>
      <w:tcPr>
        <w:tcBorders>
          <w:top w:val="single" w:sz="4" w:space="0" w:color="595959"/>
          <w:left w:val="single" w:sz="4" w:space="0" w:color="595959"/>
          <w:bottom w:val="single" w:sz="4" w:space="0" w:color="595959"/>
          <w:right w:val="single" w:sz="4" w:space="0" w:color="595959"/>
          <w:insideH w:val="single" w:sz="4" w:space="0" w:color="595959"/>
          <w:insideV w:val="single" w:sz="4" w:space="0" w:color="F8F8F8"/>
          <w:tl2br w:val="nil"/>
          <w:tr2bl w:val="nil"/>
        </w:tcBorders>
        <w:shd w:val="clear" w:color="auto" w:fill="595959"/>
      </w:tcPr>
    </w:tblStylePr>
    <w:tblStylePr w:type="lastRow">
      <w:rPr>
        <w:b/>
        <w:i w:val="0"/>
      </w:rPr>
      <w:tblPr/>
      <w:tcPr>
        <w:tcBorders>
          <w:top w:val="single" w:sz="8" w:space="0" w:color="595959"/>
          <w:left w:val="single" w:sz="4" w:space="0" w:color="595959"/>
          <w:bottom w:val="single" w:sz="8" w:space="0" w:color="595959"/>
          <w:right w:val="single" w:sz="4" w:space="0" w:color="595959"/>
          <w:insideH w:val="nil"/>
          <w:insideV w:val="single" w:sz="4" w:space="0" w:color="595959"/>
          <w:tl2br w:val="nil"/>
          <w:tr2bl w:val="nil"/>
        </w:tcBorders>
      </w:tcPr>
    </w:tblStylePr>
    <w:tblStylePr w:type="firstCol">
      <w:rPr>
        <w:rFonts w:ascii="Calibri" w:hAnsi="Calibri"/>
        <w:b/>
        <w:i w:val="0"/>
        <w:color w:val="3E3E3E"/>
        <w:sz w:val="22"/>
      </w:rPr>
      <w:tblPr/>
      <w:tcPr>
        <w:tcBorders>
          <w:top w:val="single" w:sz="4" w:space="0" w:color="595959"/>
          <w:left w:val="single" w:sz="4" w:space="0" w:color="595959"/>
          <w:bottom w:val="single" w:sz="4" w:space="0" w:color="595959"/>
          <w:right w:val="single" w:sz="4" w:space="0" w:color="595959"/>
          <w:insideH w:val="nil"/>
          <w:insideV w:val="nil"/>
          <w:tl2br w:val="nil"/>
          <w:tr2bl w:val="nil"/>
        </w:tcBorders>
        <w:shd w:val="clear" w:color="auto" w:fill="DFDFDF"/>
      </w:tcPr>
    </w:tblStylePr>
    <w:tblStylePr w:type="lastCol">
      <w:rPr>
        <w:b/>
        <w:i w:val="0"/>
      </w:rPr>
    </w:tblStylePr>
    <w:tblStylePr w:type="band2Vert">
      <w:tblPr/>
      <w:tcPr>
        <w:tcBorders>
          <w:top w:val="single" w:sz="4" w:space="0" w:color="595959"/>
          <w:left w:val="single" w:sz="4" w:space="0" w:color="595959"/>
          <w:bottom w:val="single" w:sz="4" w:space="0" w:color="595959"/>
          <w:right w:val="single" w:sz="4" w:space="0" w:color="595959"/>
          <w:insideH w:val="nil"/>
          <w:insideV w:val="nil"/>
          <w:tl2br w:val="nil"/>
          <w:tr2bl w:val="nil"/>
        </w:tcBorders>
        <w:shd w:val="clear" w:color="auto" w:fill="DFDFDF"/>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DFDFDF"/>
      </w:tcPr>
    </w:tblStylePr>
  </w:style>
  <w:style w:type="table" w:customStyle="1" w:styleId="ECHRTable21">
    <w:name w:val="ECHR_Table_21"/>
    <w:basedOn w:val="TableNormal"/>
    <w:uiPriority w:val="99"/>
    <w:rsid w:val="00A8059F"/>
    <w:pPr>
      <w:tabs>
        <w:tab w:val="left" w:pos="567"/>
        <w:tab w:val="left" w:pos="851"/>
        <w:tab w:val="right" w:pos="5273"/>
      </w:tabs>
    </w:pPr>
    <w:rPr>
      <w:color w:val="262626"/>
    </w:rPr>
    <w:tblPr>
      <w:tblStyleRowBandSize w:val="1"/>
      <w:tblStyleColBandSize w:val="1"/>
      <w:jc w:val="center"/>
      <w:tblCellSpacing w:w="28" w:type="dxa"/>
      <w:tblCellMar>
        <w:top w:w="85" w:type="dxa"/>
        <w:left w:w="113" w:type="dxa"/>
        <w:bottom w:w="85" w:type="dxa"/>
        <w:right w:w="113" w:type="dxa"/>
      </w:tblCellMar>
    </w:tblPr>
    <w:trPr>
      <w:tblCellSpacing w:w="28" w:type="dxa"/>
      <w:jc w:val="center"/>
    </w:trPr>
    <w:tblStylePr w:type="firstRow">
      <w:pPr>
        <w:jc w:val="center"/>
      </w:pPr>
      <w:rPr>
        <w:b/>
        <w:sz w:val="24"/>
      </w:rPr>
      <w:tblPr/>
      <w:tcPr>
        <w:shd w:val="clear" w:color="auto" w:fill="F0F0F0"/>
      </w:tcPr>
    </w:tblStylePr>
    <w:tblStylePr w:type="lastRow">
      <w:rPr>
        <w:b/>
      </w:rPr>
      <w:tblPr/>
      <w:tcPr>
        <w:shd w:val="clear" w:color="auto" w:fill="F8F8F8"/>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val="0"/>
        <w:sz w:val="22"/>
      </w:rPr>
      <w:tblPr/>
      <w:tcPr>
        <w:shd w:val="clear" w:color="auto" w:fill="CDEBFF"/>
      </w:tcPr>
    </w:tblStylePr>
    <w:tblStylePr w:type="band2Vert">
      <w:pPr>
        <w:jc w:val="center"/>
      </w:pPr>
      <w:rPr>
        <w:b w:val="0"/>
        <w:sz w:val="22"/>
      </w:rPr>
      <w:tblPr/>
      <w:tcPr>
        <w:shd w:val="clear" w:color="auto" w:fill="DCF6BC"/>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A8059F"/>
    <w:tblPr>
      <w:tblStyleRowBandSize w:val="1"/>
      <w:tblStyleColBandSize w:val="1"/>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rPr>
      <w:jc w:val="center"/>
    </w:trPr>
    <w:tblStylePr w:type="firstRow">
      <w:rPr>
        <w:rFonts w:ascii="Calibri" w:hAnsi="Calibri"/>
        <w:b/>
        <w:i w:val="0"/>
        <w:color w:val="auto"/>
        <w:sz w:val="22"/>
      </w:rPr>
      <w:tblPr/>
      <w:tcPr>
        <w:shd w:val="clear" w:color="auto" w:fill="DDDDDD"/>
      </w:tcPr>
    </w:tblStylePr>
    <w:tblStylePr w:type="lastRow">
      <w:rPr>
        <w:b/>
        <w:i w:val="0"/>
      </w:rPr>
      <w:tblPr/>
      <w:tcPr>
        <w:tcBorders>
          <w:top w:val="single" w:sz="8" w:space="0" w:color="595959"/>
          <w:left w:val="single" w:sz="4" w:space="0" w:color="595959"/>
          <w:bottom w:val="single" w:sz="8" w:space="0" w:color="595959"/>
          <w:right w:val="single" w:sz="4" w:space="0" w:color="595959"/>
          <w:insideH w:val="nil"/>
          <w:insideV w:val="single" w:sz="4" w:space="0" w:color="595959"/>
          <w:tl2br w:val="nil"/>
          <w:tr2bl w:val="nil"/>
        </w:tcBorders>
      </w:tcPr>
    </w:tblStylePr>
    <w:tblStylePr w:type="firstCol">
      <w:rPr>
        <w:rFonts w:ascii="Calibri" w:hAnsi="Calibri"/>
        <w:b/>
        <w:i w:val="0"/>
        <w:color w:val="3E3E3E"/>
        <w:sz w:val="22"/>
      </w:rPr>
      <w:tblPr/>
      <w:tcPr>
        <w:tcBorders>
          <w:top w:val="single" w:sz="4" w:space="0" w:color="595959"/>
          <w:left w:val="single" w:sz="4" w:space="0" w:color="595959"/>
          <w:bottom w:val="single" w:sz="4" w:space="0" w:color="595959"/>
          <w:right w:val="single" w:sz="4" w:space="0" w:color="595959"/>
          <w:insideH w:val="nil"/>
          <w:insideV w:val="nil"/>
          <w:tl2br w:val="nil"/>
          <w:tr2bl w:val="nil"/>
        </w:tcBorders>
        <w:shd w:val="clear" w:color="auto" w:fill="EFEFEF"/>
      </w:tcPr>
    </w:tblStylePr>
    <w:tblStylePr w:type="lastCol">
      <w:rPr>
        <w:b/>
        <w:i w:val="0"/>
      </w:rPr>
    </w:tblStylePr>
    <w:tblStylePr w:type="band2Vert">
      <w:tblPr/>
      <w:tcPr>
        <w:tcBorders>
          <w:top w:val="single" w:sz="4" w:space="0" w:color="595959"/>
          <w:left w:val="single" w:sz="4" w:space="0" w:color="595959"/>
          <w:bottom w:val="single" w:sz="4" w:space="0" w:color="595959"/>
          <w:right w:val="single" w:sz="4" w:space="0" w:color="595959"/>
          <w:insideH w:val="nil"/>
          <w:insideV w:val="nil"/>
          <w:tl2br w:val="nil"/>
          <w:tr2bl w:val="nil"/>
        </w:tcBorders>
        <w:shd w:val="clear" w:color="auto" w:fill="EFEFEF"/>
      </w:tcPr>
    </w:tblStylePr>
    <w:tblStylePr w:type="band2Horz">
      <w:tblPr/>
      <w:tcPr>
        <w:tcBorders>
          <w:top w:val="single" w:sz="4" w:space="0" w:color="595959"/>
          <w:left w:val="single" w:sz="4" w:space="0" w:color="595959"/>
          <w:bottom w:val="single" w:sz="4" w:space="0" w:color="595959"/>
          <w:right w:val="single" w:sz="4" w:space="0" w:color="595959"/>
          <w:insideH w:val="single" w:sz="4" w:space="0" w:color="595959"/>
          <w:insideV w:val="single" w:sz="4" w:space="0" w:color="595959"/>
          <w:tl2br w:val="nil"/>
          <w:tr2bl w:val="nil"/>
        </w:tcBorders>
        <w:shd w:val="clear" w:color="auto" w:fill="EFEFEF"/>
      </w:tcPr>
    </w:tblStylePr>
  </w:style>
  <w:style w:type="table" w:customStyle="1" w:styleId="MediumShading21">
    <w:name w:val="Medium Shading 21"/>
    <w:basedOn w:val="TableNormal"/>
    <w:next w:val="MediumShading2"/>
    <w:uiPriority w:val="99"/>
    <w:rsid w:val="00A8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A8059F"/>
  </w:style>
  <w:style w:type="numbering" w:customStyle="1" w:styleId="ECHRA1StyleList11">
    <w:name w:val="ECHR_A1_Style_List11"/>
    <w:basedOn w:val="NoList"/>
    <w:uiPriority w:val="99"/>
    <w:rsid w:val="00A8059F"/>
  </w:style>
  <w:style w:type="numbering" w:customStyle="1" w:styleId="ECHRA1StyleNumberedList11">
    <w:name w:val="ECHR_A1_Style_Numbered_List11"/>
    <w:basedOn w:val="NoList"/>
    <w:rsid w:val="00A8059F"/>
  </w:style>
  <w:style w:type="table" w:customStyle="1" w:styleId="ECHRTable201911">
    <w:name w:val="ECHR_Table_201911"/>
    <w:basedOn w:val="TableNormal"/>
    <w:uiPriority w:val="99"/>
    <w:rsid w:val="00A8059F"/>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LtrTableAddress11">
    <w:name w:val="ECHR_Ltr_Table_Address11"/>
    <w:basedOn w:val="TableNormal"/>
    <w:uiPriority w:val="99"/>
    <w:rsid w:val="00A8059F"/>
    <w:rPr>
      <w:sz w:val="24"/>
      <w:szCs w:val="24"/>
    </w:rPr>
    <w:tblPr>
      <w:tblInd w:w="5103" w:type="dxa"/>
    </w:tblPr>
  </w:style>
  <w:style w:type="table" w:customStyle="1" w:styleId="TableGrid11">
    <w:name w:val="Table Grid11"/>
    <w:basedOn w:val="TableNormal"/>
    <w:next w:val="TableGrid"/>
    <w:uiPriority w:val="59"/>
    <w:rsid w:val="00A8059F"/>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1">
    <w:name w:val="ECHR_UG_Table11"/>
    <w:basedOn w:val="TableNormal"/>
    <w:uiPriority w:val="99"/>
    <w:rsid w:val="00A8059F"/>
    <w:rPr>
      <w:rFonts w:eastAsia="Times New Roman"/>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A8059F"/>
    <w:rPr>
      <w:rFonts w:eastAsia="Times New Roman"/>
      <w:sz w:val="24"/>
      <w:szCs w:val="24"/>
      <w:lang w:val="en-GB"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A8059F"/>
    <w:rPr>
      <w:color w:val="000000"/>
      <w:sz w:val="18"/>
      <w:szCs w:val="24"/>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A8059F"/>
    <w:rPr>
      <w:color w:val="000000"/>
      <w:sz w:val="24"/>
      <w:szCs w:val="24"/>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11">
    <w:name w:val="ECHR_Table_Memo11"/>
    <w:basedOn w:val="TableNormal"/>
    <w:uiPriority w:val="99"/>
    <w:rsid w:val="00A8059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A8059F"/>
    <w:rPr>
      <w:sz w:val="24"/>
      <w:szCs w:val="24"/>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0" w:leftChars="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A8059F"/>
    <w:rPr>
      <w:sz w:val="24"/>
      <w:szCs w:val="24"/>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11">
    <w:name w:val="ECHR_Table_No_Lines11"/>
    <w:basedOn w:val="TableNormal"/>
    <w:uiPriority w:val="99"/>
    <w:rsid w:val="00A8059F"/>
    <w:rPr>
      <w:sz w:val="24"/>
      <w:szCs w:val="24"/>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A8059F"/>
    <w:rPr>
      <w:color w:val="636363"/>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A8059F"/>
    <w:rPr>
      <w:sz w:val="24"/>
      <w:szCs w:val="24"/>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A8059F"/>
    <w:rPr>
      <w:sz w:val="24"/>
      <w:szCs w:val="24"/>
    </w:rPr>
    <w:tblPr>
      <w:tblInd w:w="-1474"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table" w:customStyle="1" w:styleId="ECHRHeaderTableReduced11">
    <w:name w:val="ECHR_Header_Table_Reduced11"/>
    <w:basedOn w:val="TableNormal"/>
    <w:uiPriority w:val="99"/>
    <w:rsid w:val="00A8059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A8059F"/>
    <w:rPr>
      <w:color w:val="000000"/>
      <w:sz w:val="24"/>
      <w:szCs w:val="24"/>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A8059F"/>
    <w:rPr>
      <w:color w:val="000000"/>
      <w:sz w:val="24"/>
      <w:szCs w:val="24"/>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A8059F"/>
    <w:rPr>
      <w:color w:val="000000"/>
      <w:sz w:val="24"/>
      <w:szCs w:val="24"/>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A8059F"/>
    <w:rPr>
      <w:color w:val="000000"/>
      <w:sz w:val="24"/>
      <w:szCs w:val="24"/>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A8059F"/>
    <w:rPr>
      <w:color w:val="000000"/>
      <w:sz w:val="24"/>
      <w:szCs w:val="24"/>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A8059F"/>
    <w:rPr>
      <w:color w:val="000000"/>
      <w:sz w:val="24"/>
      <w:szCs w:val="24"/>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A8059F"/>
    <w:rPr>
      <w:color w:val="000000"/>
      <w:sz w:val="24"/>
      <w:szCs w:val="24"/>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A8059F"/>
    <w:rPr>
      <w:color w:val="000000"/>
      <w:sz w:val="24"/>
      <w:szCs w:val="24"/>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A8059F"/>
    <w:rPr>
      <w:color w:val="000000"/>
      <w:sz w:val="24"/>
      <w:szCs w:val="24"/>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A8059F"/>
    <w:rPr>
      <w:color w:val="000000"/>
      <w:sz w:val="24"/>
      <w:szCs w:val="24"/>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A8059F"/>
    <w:rPr>
      <w:color w:val="000000"/>
      <w:sz w:val="24"/>
      <w:szCs w:val="24"/>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A8059F"/>
    <w:rPr>
      <w:color w:val="000000"/>
      <w:sz w:val="24"/>
      <w:szCs w:val="24"/>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A8059F"/>
    <w:rPr>
      <w:color w:val="000000"/>
      <w:sz w:val="24"/>
      <w:szCs w:val="24"/>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A8059F"/>
    <w:rPr>
      <w:color w:val="000000"/>
      <w:sz w:val="24"/>
      <w:szCs w:val="24"/>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A8059F"/>
    <w:rPr>
      <w:color w:val="000000"/>
      <w:sz w:val="24"/>
      <w:szCs w:val="24"/>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A8059F"/>
    <w:rPr>
      <w:color w:val="000000"/>
      <w:sz w:val="24"/>
      <w:szCs w:val="24"/>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A8059F"/>
    <w:rPr>
      <w:color w:val="000000"/>
      <w:sz w:val="24"/>
      <w:szCs w:val="24"/>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A8059F"/>
    <w:rPr>
      <w:color w:val="000000"/>
      <w:sz w:val="24"/>
      <w:szCs w:val="24"/>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A8059F"/>
    <w:rPr>
      <w:color w:val="000000"/>
      <w:sz w:val="24"/>
      <w:szCs w:val="24"/>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A8059F"/>
    <w:rPr>
      <w:color w:val="000000"/>
      <w:sz w:val="24"/>
      <w:szCs w:val="24"/>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A8059F"/>
    <w:rPr>
      <w:color w:val="000000"/>
      <w:sz w:val="24"/>
      <w:szCs w:val="24"/>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A8059F"/>
    <w:rPr>
      <w:color w:val="0072BC"/>
      <w:sz w:val="24"/>
      <w:szCs w:val="24"/>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A8059F"/>
    <w:rPr>
      <w:color w:val="0072BC"/>
      <w:sz w:val="24"/>
      <w:szCs w:val="24"/>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A8059F"/>
    <w:rPr>
      <w:color w:val="0072BC"/>
      <w:sz w:val="24"/>
      <w:szCs w:val="24"/>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A8059F"/>
    <w:rPr>
      <w:color w:val="0072BC"/>
      <w:sz w:val="24"/>
      <w:szCs w:val="24"/>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A8059F"/>
    <w:rPr>
      <w:color w:val="0072BC"/>
      <w:sz w:val="24"/>
      <w:szCs w:val="24"/>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A8059F"/>
    <w:rPr>
      <w:color w:val="0072BC"/>
      <w:sz w:val="24"/>
      <w:szCs w:val="24"/>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A8059F"/>
    <w:rPr>
      <w:color w:val="0072BC"/>
      <w:sz w:val="24"/>
      <w:szCs w:val="24"/>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A8059F"/>
    <w:rPr>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A8059F"/>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A8059F"/>
    <w:rPr>
      <w:sz w:val="24"/>
      <w:szCs w:val="24"/>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A8059F"/>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A8059F"/>
    <w:rPr>
      <w:sz w:val="24"/>
      <w:szCs w:val="24"/>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A8059F"/>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A8059F"/>
    <w:rPr>
      <w:sz w:val="24"/>
      <w:szCs w:val="24"/>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A8059F"/>
    <w:rPr>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A8059F"/>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A8059F"/>
    <w:rPr>
      <w:sz w:val="24"/>
      <w:szCs w:val="24"/>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A8059F"/>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A8059F"/>
    <w:rPr>
      <w:sz w:val="24"/>
      <w:szCs w:val="24"/>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A8059F"/>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A8059F"/>
    <w:rPr>
      <w:sz w:val="24"/>
      <w:szCs w:val="24"/>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A8059F"/>
    <w:rPr>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A8059F"/>
    <w:rPr>
      <w:color w:val="00548C"/>
      <w:sz w:val="24"/>
      <w:szCs w:val="24"/>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A8059F"/>
    <w:rPr>
      <w:color w:val="8F0000"/>
      <w:sz w:val="24"/>
      <w:szCs w:val="24"/>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A8059F"/>
    <w:rPr>
      <w:color w:val="474747"/>
      <w:sz w:val="24"/>
      <w:szCs w:val="24"/>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A8059F"/>
    <w:rPr>
      <w:color w:val="707070"/>
      <w:sz w:val="24"/>
      <w:szCs w:val="24"/>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A8059F"/>
    <w:rPr>
      <w:color w:val="474747"/>
      <w:sz w:val="24"/>
      <w:szCs w:val="24"/>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A8059F"/>
    <w:rPr>
      <w:color w:val="393939"/>
      <w:sz w:val="24"/>
      <w:szCs w:val="24"/>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A8059F"/>
    <w:rPr>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A8059F"/>
    <w:rPr>
      <w:sz w:val="24"/>
      <w:szCs w:val="24"/>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A8059F"/>
    <w:rPr>
      <w:sz w:val="24"/>
      <w:szCs w:val="24"/>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A8059F"/>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A8059F"/>
    <w:rPr>
      <w:sz w:val="24"/>
      <w:szCs w:val="24"/>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A8059F"/>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A8059F"/>
    <w:rPr>
      <w:sz w:val="24"/>
      <w:szCs w:val="24"/>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A8059F"/>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A8059F"/>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A8059F"/>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A8059F"/>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A8059F"/>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A8059F"/>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A8059F"/>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A8059F"/>
    <w:rPr>
      <w:color w:val="000000"/>
      <w:sz w:val="24"/>
      <w:szCs w:val="24"/>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A8059F"/>
    <w:rPr>
      <w:color w:val="000000"/>
      <w:sz w:val="24"/>
      <w:szCs w:val="24"/>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A8059F"/>
    <w:rPr>
      <w:color w:val="000000"/>
      <w:sz w:val="24"/>
      <w:szCs w:val="24"/>
    </w:rPr>
    <w:tblPr>
      <w:tblStyleRowBandSize w:val="1"/>
      <w:tblStyleColBandSize w:val="1"/>
      <w:tblBorders>
        <w:top w:val="single" w:sz="8" w:space="0" w:color="C00000"/>
        <w:bottom w:val="single" w:sz="8" w:space="0" w:color="C00000"/>
      </w:tblBorders>
    </w:tblPr>
    <w:tblStylePr w:type="firstRow">
      <w:rPr>
        <w:rFonts w:ascii="Times New Roman" w:eastAsia="Times New Roman"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A8059F"/>
    <w:rPr>
      <w:color w:val="000000"/>
      <w:sz w:val="24"/>
      <w:szCs w:val="24"/>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A8059F"/>
    <w:rPr>
      <w:color w:val="000000"/>
      <w:sz w:val="24"/>
      <w:szCs w:val="24"/>
    </w:rPr>
    <w:tblPr>
      <w:tblStyleRowBandSize w:val="1"/>
      <w:tblStyleColBandSize w:val="1"/>
      <w:tblBorders>
        <w:top w:val="single" w:sz="8" w:space="0" w:color="969696"/>
        <w:bottom w:val="single" w:sz="8" w:space="0" w:color="969696"/>
      </w:tblBorders>
    </w:tblPr>
    <w:tblStylePr w:type="firstRow">
      <w:rPr>
        <w:rFonts w:ascii="Times New Roman" w:eastAsia="Times New Roman"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A8059F"/>
    <w:rPr>
      <w:color w:val="000000"/>
      <w:sz w:val="24"/>
      <w:szCs w:val="24"/>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A8059F"/>
    <w:rPr>
      <w:color w:val="000000"/>
      <w:sz w:val="24"/>
      <w:szCs w:val="24"/>
    </w:rPr>
    <w:tblPr>
      <w:tblStyleRowBandSize w:val="1"/>
      <w:tblStyleColBandSize w:val="1"/>
      <w:tblBorders>
        <w:top w:val="single" w:sz="8" w:space="0" w:color="4D4D4D"/>
        <w:bottom w:val="single" w:sz="8" w:space="0" w:color="4D4D4D"/>
      </w:tblBorders>
    </w:tblPr>
    <w:tblStylePr w:type="firstRow">
      <w:rPr>
        <w:rFonts w:ascii="Times New Roman" w:eastAsia="Times New Roman"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A8059F"/>
    <w:rPr>
      <w:rFonts w:ascii="Times New Roman" w:eastAsia="Times New Roman" w:hAnsi="Times New Roman" w:cs="Times New Roman"/>
      <w:color w:val="000000"/>
      <w:sz w:val="24"/>
      <w:szCs w:val="24"/>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A8059F"/>
    <w:rPr>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A8059F"/>
    <w:rPr>
      <w:sz w:val="24"/>
      <w:szCs w:val="24"/>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A8059F"/>
    <w:rPr>
      <w:sz w:val="24"/>
      <w:szCs w:val="24"/>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A8059F"/>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A8059F"/>
    <w:rPr>
      <w:sz w:val="24"/>
      <w:szCs w:val="24"/>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A8059F"/>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A8059F"/>
    <w:rPr>
      <w:sz w:val="24"/>
      <w:szCs w:val="24"/>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A805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A805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A805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A805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A805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A805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A805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A8059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A8059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A8059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A8059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A8059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A8059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A8059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A8059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A8059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A8059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A8059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A8059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A8059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A8059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A8059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A8059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A8059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A805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A8059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A8059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A8059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A8059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A8059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A8059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A8059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A8059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A8059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A8059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A8059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A805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A805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A8059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A805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A805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A8059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A8059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A8059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A8059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A8059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A8059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A8059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A8059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A8059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GridTable1Light11">
    <w:name w:val="Grid Table 1 Light11"/>
    <w:basedOn w:val="TableNormal"/>
    <w:next w:val="GridTable1Light"/>
    <w:uiPriority w:val="46"/>
    <w:rsid w:val="00A8059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ECHRTable211">
    <w:name w:val="ECHR_Table_211"/>
    <w:basedOn w:val="TableNormal"/>
    <w:uiPriority w:val="99"/>
    <w:rsid w:val="00A8059F"/>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A8059F"/>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GridTable1Light-Accent111">
    <w:name w:val="Grid Table 1 Light - Accent 111"/>
    <w:basedOn w:val="TableNormal"/>
    <w:next w:val="GridTable1LightAccent1"/>
    <w:uiPriority w:val="46"/>
    <w:rsid w:val="00A8059F"/>
    <w:tblPr>
      <w:tblStyleRowBandSize w:val="1"/>
      <w:tblStyleColBandSize w:val="1"/>
      <w:tblBorders>
        <w:top w:val="single" w:sz="4" w:space="0" w:color="7ECBFF"/>
        <w:left w:val="single" w:sz="4" w:space="0" w:color="7ECBFF"/>
        <w:bottom w:val="single" w:sz="4" w:space="0" w:color="7ECBFF"/>
        <w:right w:val="single" w:sz="4" w:space="0" w:color="7ECBFF"/>
        <w:insideH w:val="single" w:sz="4" w:space="0" w:color="7ECBFF"/>
        <w:insideV w:val="single" w:sz="4" w:space="0" w:color="7ECBFF"/>
      </w:tblBorders>
    </w:tblPr>
    <w:tblStylePr w:type="firstRow">
      <w:rPr>
        <w:b/>
        <w:bCs/>
      </w:rPr>
      <w:tblPr/>
      <w:tcPr>
        <w:tcBorders>
          <w:bottom w:val="single" w:sz="12" w:space="0" w:color="3DB2FF"/>
        </w:tcBorders>
      </w:tcPr>
    </w:tblStylePr>
    <w:tblStylePr w:type="lastRow">
      <w:rPr>
        <w:b/>
        <w:bCs/>
      </w:rPr>
      <w:tblPr/>
      <w:tcPr>
        <w:tcBorders>
          <w:top w:val="double" w:sz="2" w:space="0" w:color="3DB2FF"/>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next w:val="GridTable1LightAccent2"/>
    <w:uiPriority w:val="46"/>
    <w:rsid w:val="00A8059F"/>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4040"/>
        </w:tcBorders>
      </w:tcPr>
    </w:tblStylePr>
    <w:tblStylePr w:type="lastRow">
      <w:rPr>
        <w:b/>
        <w:bCs/>
      </w:rPr>
      <w:tblPr/>
      <w:tcPr>
        <w:tcBorders>
          <w:top w:val="double" w:sz="2" w:space="0" w:color="FF4040"/>
        </w:tcBorders>
      </w:tcPr>
    </w:tblStylePr>
    <w:tblStylePr w:type="firstCol">
      <w:rPr>
        <w:b/>
        <w:bCs/>
      </w:rPr>
    </w:tblStylePr>
    <w:tblStylePr w:type="lastCol">
      <w:rPr>
        <w:b/>
        <w:bCs/>
      </w:rPr>
    </w:tblStylePr>
  </w:style>
  <w:style w:type="table" w:customStyle="1" w:styleId="GridTable1Light-Accent311">
    <w:name w:val="Grid Table 1 Light - Accent 311"/>
    <w:basedOn w:val="TableNormal"/>
    <w:next w:val="GridTable1LightAccent3"/>
    <w:uiPriority w:val="46"/>
    <w:rsid w:val="00A8059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Pr/>
      <w:tcPr>
        <w:tcBorders>
          <w:bottom w:val="single" w:sz="12" w:space="0" w:color="9F9F9F"/>
        </w:tcBorders>
      </w:tcPr>
    </w:tblStylePr>
    <w:tblStylePr w:type="lastRow">
      <w:rPr>
        <w:b/>
        <w:bCs/>
      </w:rPr>
      <w:tblPr/>
      <w:tcPr>
        <w:tcBorders>
          <w:top w:val="double" w:sz="2" w:space="0" w:color="9F9F9F"/>
        </w:tcBorders>
      </w:tcPr>
    </w:tblStylePr>
    <w:tblStylePr w:type="firstCol">
      <w:rPr>
        <w:b/>
        <w:bCs/>
      </w:rPr>
    </w:tblStylePr>
    <w:tblStylePr w:type="lastCol">
      <w:rPr>
        <w:b/>
        <w:bCs/>
      </w:rPr>
    </w:tblStylePr>
  </w:style>
  <w:style w:type="table" w:customStyle="1" w:styleId="GridTable1Light-Accent411">
    <w:name w:val="Grid Table 1 Light - Accent 411"/>
    <w:basedOn w:val="TableNormal"/>
    <w:next w:val="GridTable1LightAccent4"/>
    <w:uiPriority w:val="46"/>
    <w:rsid w:val="00A8059F"/>
    <w:tblPr>
      <w:tblStyleRowBandSize w:val="1"/>
      <w:tblStyleColBandSize w:val="1"/>
      <w:tblBorders>
        <w:top w:val="single" w:sz="4" w:space="0" w:color="D5D5D5"/>
        <w:left w:val="single" w:sz="4" w:space="0" w:color="D5D5D5"/>
        <w:bottom w:val="single" w:sz="4" w:space="0" w:color="D5D5D5"/>
        <w:right w:val="single" w:sz="4" w:space="0" w:color="D5D5D5"/>
        <w:insideH w:val="single" w:sz="4" w:space="0" w:color="D5D5D5"/>
        <w:insideV w:val="single" w:sz="4" w:space="0" w:color="D5D5D5"/>
      </w:tblBorders>
    </w:tblPr>
    <w:tblStylePr w:type="firstRow">
      <w:rPr>
        <w:b/>
        <w:bCs/>
      </w:rPr>
      <w:tblPr/>
      <w:tcPr>
        <w:tcBorders>
          <w:bottom w:val="single" w:sz="12" w:space="0" w:color="C0C0C0"/>
        </w:tcBorders>
      </w:tcPr>
    </w:tblStylePr>
    <w:tblStylePr w:type="lastRow">
      <w:rPr>
        <w:b/>
        <w:bCs/>
      </w:rPr>
      <w:tblPr/>
      <w:tcPr>
        <w:tcBorders>
          <w:top w:val="double" w:sz="2" w:space="0" w:color="C0C0C0"/>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next w:val="GridTable1LightAccent5"/>
    <w:uiPriority w:val="46"/>
    <w:rsid w:val="00A8059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Pr/>
      <w:tcPr>
        <w:tcBorders>
          <w:bottom w:val="single" w:sz="12" w:space="0" w:color="9F9F9F"/>
        </w:tcBorders>
      </w:tcPr>
    </w:tblStylePr>
    <w:tblStylePr w:type="lastRow">
      <w:rPr>
        <w:b/>
        <w:bCs/>
      </w:rPr>
      <w:tblPr/>
      <w:tcPr>
        <w:tcBorders>
          <w:top w:val="double" w:sz="2" w:space="0" w:color="9F9F9F"/>
        </w:tcBorders>
      </w:tcPr>
    </w:tblStylePr>
    <w:tblStylePr w:type="firstCol">
      <w:rPr>
        <w:b/>
        <w:bCs/>
      </w:rPr>
    </w:tblStylePr>
    <w:tblStylePr w:type="lastCol">
      <w:rPr>
        <w:b/>
        <w:bCs/>
      </w:rPr>
    </w:tblStylePr>
  </w:style>
  <w:style w:type="table" w:customStyle="1" w:styleId="GridTable1Light-Accent611">
    <w:name w:val="Grid Table 1 Light - Accent 611"/>
    <w:basedOn w:val="TableNormal"/>
    <w:next w:val="GridTable1LightAccent6"/>
    <w:uiPriority w:val="46"/>
    <w:rsid w:val="00A8059F"/>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customStyle="1" w:styleId="GridTable211">
    <w:name w:val="Grid Table 211"/>
    <w:basedOn w:val="TableNormal"/>
    <w:next w:val="GridTable2"/>
    <w:uiPriority w:val="47"/>
    <w:rsid w:val="00A8059F"/>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0072BC"/>
      </w:tcPr>
    </w:tblStylePr>
    <w:tblStylePr w:type="lastRow">
      <w:rPr>
        <w:b/>
        <w:bCs/>
      </w:rPr>
      <w:tblPr/>
      <w:tcPr>
        <w:tcBorders>
          <w:top w:val="double" w:sz="2" w:space="0" w:color="666666"/>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1">
    <w:name w:val="Grid Table 2 - Accent 111"/>
    <w:basedOn w:val="TableNormal"/>
    <w:next w:val="GridTable2Accent1"/>
    <w:uiPriority w:val="47"/>
    <w:rsid w:val="00A8059F"/>
    <w:tblPr>
      <w:tblStyleRowBandSize w:val="1"/>
      <w:tblStyleColBandSize w:val="1"/>
      <w:tblBorders>
        <w:top w:val="single" w:sz="2" w:space="0" w:color="3DB2FF"/>
        <w:bottom w:val="single" w:sz="2" w:space="0" w:color="3DB2FF"/>
        <w:insideH w:val="single" w:sz="2" w:space="0" w:color="3DB2FF"/>
        <w:insideV w:val="single" w:sz="2" w:space="0" w:color="3DB2FF"/>
      </w:tblBorders>
    </w:tblPr>
    <w:tblStylePr w:type="firstRow">
      <w:rPr>
        <w:b/>
        <w:bCs/>
      </w:rPr>
      <w:tblPr/>
      <w:tcPr>
        <w:tcBorders>
          <w:top w:val="nil"/>
          <w:bottom w:val="single" w:sz="12" w:space="0" w:color="3DB2FF"/>
          <w:insideH w:val="nil"/>
          <w:insideV w:val="nil"/>
        </w:tcBorders>
        <w:shd w:val="clear" w:color="auto" w:fill="0072BC"/>
      </w:tcPr>
    </w:tblStylePr>
    <w:tblStylePr w:type="lastRow">
      <w:rPr>
        <w:b/>
        <w:bCs/>
      </w:rPr>
      <w:tblPr/>
      <w:tcPr>
        <w:tcBorders>
          <w:top w:val="double" w:sz="2" w:space="0" w:color="3DB2FF"/>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2-Accent211">
    <w:name w:val="Grid Table 2 - Accent 211"/>
    <w:basedOn w:val="TableNormal"/>
    <w:next w:val="GridTable2Accent2"/>
    <w:uiPriority w:val="47"/>
    <w:rsid w:val="00A8059F"/>
    <w:tblPr>
      <w:tblStyleRowBandSize w:val="1"/>
      <w:tblStyleColBandSize w:val="1"/>
      <w:tblBorders>
        <w:top w:val="single" w:sz="2" w:space="0" w:color="FF4040"/>
        <w:bottom w:val="single" w:sz="2" w:space="0" w:color="FF4040"/>
        <w:insideH w:val="single" w:sz="2" w:space="0" w:color="FF4040"/>
        <w:insideV w:val="single" w:sz="2" w:space="0" w:color="FF4040"/>
      </w:tblBorders>
    </w:tblPr>
    <w:tblStylePr w:type="firstRow">
      <w:rPr>
        <w:b/>
        <w:bCs/>
      </w:rPr>
      <w:tblPr/>
      <w:tcPr>
        <w:tcBorders>
          <w:top w:val="nil"/>
          <w:bottom w:val="single" w:sz="12" w:space="0" w:color="FF4040"/>
          <w:insideH w:val="nil"/>
          <w:insideV w:val="nil"/>
        </w:tcBorders>
        <w:shd w:val="clear" w:color="auto" w:fill="0072BC"/>
      </w:tcPr>
    </w:tblStylePr>
    <w:tblStylePr w:type="lastRow">
      <w:rPr>
        <w:b/>
        <w:bCs/>
      </w:rPr>
      <w:tblPr/>
      <w:tcPr>
        <w:tcBorders>
          <w:top w:val="double" w:sz="2" w:space="0" w:color="FF4040"/>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2-Accent311">
    <w:name w:val="Grid Table 2 - Accent 311"/>
    <w:basedOn w:val="TableNormal"/>
    <w:next w:val="GridTable2Accent3"/>
    <w:uiPriority w:val="47"/>
    <w:rsid w:val="00A8059F"/>
    <w:tblPr>
      <w:tblStyleRowBandSize w:val="1"/>
      <w:tblStyleColBandSize w:val="1"/>
      <w:tblBorders>
        <w:top w:val="single" w:sz="2" w:space="0" w:color="9F9F9F"/>
        <w:bottom w:val="single" w:sz="2" w:space="0" w:color="9F9F9F"/>
        <w:insideH w:val="single" w:sz="2" w:space="0" w:color="9F9F9F"/>
        <w:insideV w:val="single" w:sz="2" w:space="0" w:color="9F9F9F"/>
      </w:tblBorders>
    </w:tblPr>
    <w:tblStylePr w:type="firstRow">
      <w:rPr>
        <w:b/>
        <w:bCs/>
      </w:rPr>
      <w:tblPr/>
      <w:tcPr>
        <w:tcBorders>
          <w:top w:val="nil"/>
          <w:bottom w:val="single" w:sz="12" w:space="0" w:color="9F9F9F"/>
          <w:insideH w:val="nil"/>
          <w:insideV w:val="nil"/>
        </w:tcBorders>
        <w:shd w:val="clear" w:color="auto" w:fill="0072BC"/>
      </w:tcPr>
    </w:tblStylePr>
    <w:tblStylePr w:type="lastRow">
      <w:rPr>
        <w:b/>
        <w:bCs/>
      </w:rPr>
      <w:tblPr/>
      <w:tcPr>
        <w:tcBorders>
          <w:top w:val="double" w:sz="2" w:space="0" w:color="9F9F9F"/>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2-Accent411">
    <w:name w:val="Grid Table 2 - Accent 411"/>
    <w:basedOn w:val="TableNormal"/>
    <w:next w:val="GridTable2Accent4"/>
    <w:uiPriority w:val="47"/>
    <w:rsid w:val="00A8059F"/>
    <w:tblPr>
      <w:tblStyleRowBandSize w:val="1"/>
      <w:tblStyleColBandSize w:val="1"/>
      <w:tblBorders>
        <w:top w:val="single" w:sz="2" w:space="0" w:color="C0C0C0"/>
        <w:bottom w:val="single" w:sz="2" w:space="0" w:color="C0C0C0"/>
        <w:insideH w:val="single" w:sz="2" w:space="0" w:color="C0C0C0"/>
        <w:insideV w:val="single" w:sz="2" w:space="0" w:color="C0C0C0"/>
      </w:tblBorders>
    </w:tblPr>
    <w:tblStylePr w:type="firstRow">
      <w:rPr>
        <w:b/>
        <w:bCs/>
      </w:rPr>
      <w:tblPr/>
      <w:tcPr>
        <w:tcBorders>
          <w:top w:val="nil"/>
          <w:bottom w:val="single" w:sz="12" w:space="0" w:color="C0C0C0"/>
          <w:insideH w:val="nil"/>
          <w:insideV w:val="nil"/>
        </w:tcBorders>
        <w:shd w:val="clear" w:color="auto" w:fill="0072BC"/>
      </w:tcPr>
    </w:tblStylePr>
    <w:tblStylePr w:type="lastRow">
      <w:rPr>
        <w:b/>
        <w:bCs/>
      </w:rPr>
      <w:tblPr/>
      <w:tcPr>
        <w:tcBorders>
          <w:top w:val="double" w:sz="2" w:space="0" w:color="C0C0C0"/>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2-Accent511">
    <w:name w:val="Grid Table 2 - Accent 511"/>
    <w:basedOn w:val="TableNormal"/>
    <w:next w:val="GridTable2Accent5"/>
    <w:uiPriority w:val="47"/>
    <w:rsid w:val="00A8059F"/>
    <w:tblPr>
      <w:tblStyleRowBandSize w:val="1"/>
      <w:tblStyleColBandSize w:val="1"/>
      <w:tblBorders>
        <w:top w:val="single" w:sz="2" w:space="0" w:color="9F9F9F"/>
        <w:bottom w:val="single" w:sz="2" w:space="0" w:color="9F9F9F"/>
        <w:insideH w:val="single" w:sz="2" w:space="0" w:color="9F9F9F"/>
        <w:insideV w:val="single" w:sz="2" w:space="0" w:color="9F9F9F"/>
      </w:tblBorders>
    </w:tblPr>
    <w:tblStylePr w:type="firstRow">
      <w:rPr>
        <w:b/>
        <w:bCs/>
      </w:rPr>
      <w:tblPr/>
      <w:tcPr>
        <w:tcBorders>
          <w:top w:val="nil"/>
          <w:bottom w:val="single" w:sz="12" w:space="0" w:color="9F9F9F"/>
          <w:insideH w:val="nil"/>
          <w:insideV w:val="nil"/>
        </w:tcBorders>
        <w:shd w:val="clear" w:color="auto" w:fill="0072BC"/>
      </w:tcPr>
    </w:tblStylePr>
    <w:tblStylePr w:type="lastRow">
      <w:rPr>
        <w:b/>
        <w:bCs/>
      </w:rPr>
      <w:tblPr/>
      <w:tcPr>
        <w:tcBorders>
          <w:top w:val="double" w:sz="2" w:space="0" w:color="9F9F9F"/>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2-Accent611">
    <w:name w:val="Grid Table 2 - Accent 611"/>
    <w:basedOn w:val="TableNormal"/>
    <w:next w:val="GridTable2Accent6"/>
    <w:uiPriority w:val="47"/>
    <w:rsid w:val="00A8059F"/>
    <w:tblPr>
      <w:tblStyleRowBandSize w:val="1"/>
      <w:tblStyleColBandSize w:val="1"/>
      <w:tblBorders>
        <w:top w:val="single" w:sz="2" w:space="0" w:color="949494"/>
        <w:bottom w:val="single" w:sz="2" w:space="0" w:color="949494"/>
        <w:insideH w:val="single" w:sz="2" w:space="0" w:color="949494"/>
        <w:insideV w:val="single" w:sz="2" w:space="0" w:color="949494"/>
      </w:tblBorders>
    </w:tblPr>
    <w:tblStylePr w:type="firstRow">
      <w:rPr>
        <w:b/>
        <w:bCs/>
      </w:rPr>
      <w:tblPr/>
      <w:tcPr>
        <w:tcBorders>
          <w:top w:val="nil"/>
          <w:bottom w:val="single" w:sz="12" w:space="0" w:color="949494"/>
          <w:insideH w:val="nil"/>
          <w:insideV w:val="nil"/>
        </w:tcBorders>
        <w:shd w:val="clear" w:color="auto" w:fill="0072BC"/>
      </w:tcPr>
    </w:tblStylePr>
    <w:tblStylePr w:type="lastRow">
      <w:rPr>
        <w:b/>
        <w:bCs/>
      </w:rPr>
      <w:tblPr/>
      <w:tcPr>
        <w:tcBorders>
          <w:top w:val="double" w:sz="2" w:space="0" w:color="949494"/>
          <w:bottom w:val="nil"/>
          <w:insideH w:val="nil"/>
          <w:insideV w:val="nil"/>
        </w:tcBorders>
        <w:shd w:val="clear" w:color="auto" w:fill="0072BC"/>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311">
    <w:name w:val="Grid Table 311"/>
    <w:basedOn w:val="TableNormal"/>
    <w:next w:val="GridTable3"/>
    <w:uiPriority w:val="48"/>
    <w:rsid w:val="00A8059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1">
    <w:name w:val="Grid Table 3 - Accent 111"/>
    <w:basedOn w:val="TableNormal"/>
    <w:next w:val="GridTable3Accent1"/>
    <w:uiPriority w:val="48"/>
    <w:rsid w:val="00A8059F"/>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3-Accent211">
    <w:name w:val="Grid Table 3 - Accent 211"/>
    <w:basedOn w:val="TableNormal"/>
    <w:next w:val="GridTable3Accent2"/>
    <w:uiPriority w:val="48"/>
    <w:rsid w:val="00A8059F"/>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3-Accent311">
    <w:name w:val="Grid Table 3 - Accent 311"/>
    <w:basedOn w:val="TableNormal"/>
    <w:next w:val="GridTable3Accent3"/>
    <w:uiPriority w:val="48"/>
    <w:rsid w:val="00A8059F"/>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3-Accent411">
    <w:name w:val="Grid Table 3 - Accent 411"/>
    <w:basedOn w:val="TableNormal"/>
    <w:next w:val="GridTable3Accent4"/>
    <w:uiPriority w:val="48"/>
    <w:rsid w:val="00A8059F"/>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3-Accent511">
    <w:name w:val="Grid Table 3 - Accent 511"/>
    <w:basedOn w:val="TableNormal"/>
    <w:next w:val="GridTable3Accent5"/>
    <w:uiPriority w:val="48"/>
    <w:rsid w:val="00A8059F"/>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3-Accent611">
    <w:name w:val="Grid Table 3 - Accent 611"/>
    <w:basedOn w:val="TableNormal"/>
    <w:next w:val="GridTable3Accent6"/>
    <w:uiPriority w:val="48"/>
    <w:rsid w:val="00A8059F"/>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GridTable411">
    <w:name w:val="Grid Table 411"/>
    <w:basedOn w:val="TableNormal"/>
    <w:next w:val="GridTable4"/>
    <w:uiPriority w:val="49"/>
    <w:rsid w:val="00A8059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0072BC"/>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
    <w:name w:val="Grid Table 4 - Accent 111"/>
    <w:basedOn w:val="TableNormal"/>
    <w:next w:val="GridTable4Accent1"/>
    <w:uiPriority w:val="49"/>
    <w:rsid w:val="00A8059F"/>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color w:val="0072BC"/>
      </w:rPr>
      <w:tblPr/>
      <w:tcPr>
        <w:tcBorders>
          <w:top w:val="single" w:sz="4" w:space="0" w:color="0072BC"/>
          <w:left w:val="single" w:sz="4" w:space="0" w:color="0072BC"/>
          <w:bottom w:val="single" w:sz="4" w:space="0" w:color="0072BC"/>
          <w:right w:val="single" w:sz="4" w:space="0" w:color="0072BC"/>
          <w:insideH w:val="nil"/>
          <w:insideV w:val="nil"/>
        </w:tcBorders>
        <w:shd w:val="clear" w:color="auto" w:fill="0072BC"/>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4-Accent211">
    <w:name w:val="Grid Table 4 - Accent 211"/>
    <w:basedOn w:val="TableNormal"/>
    <w:next w:val="GridTable4Accent2"/>
    <w:uiPriority w:val="49"/>
    <w:rsid w:val="00A8059F"/>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color w:val="0072BC"/>
      </w:rPr>
      <w:tblPr/>
      <w:tcPr>
        <w:tcBorders>
          <w:top w:val="single" w:sz="4" w:space="0" w:color="C00000"/>
          <w:left w:val="single" w:sz="4" w:space="0" w:color="C00000"/>
          <w:bottom w:val="single" w:sz="4" w:space="0" w:color="C00000"/>
          <w:right w:val="single" w:sz="4" w:space="0" w:color="C00000"/>
          <w:insideH w:val="nil"/>
          <w:insideV w:val="nil"/>
        </w:tcBorders>
        <w:shd w:val="clear" w:color="auto" w:fill="C00000"/>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4-Accent311">
    <w:name w:val="Grid Table 4 - Accent 311"/>
    <w:basedOn w:val="TableNormal"/>
    <w:next w:val="GridTable4Accent3"/>
    <w:uiPriority w:val="49"/>
    <w:rsid w:val="00A8059F"/>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color w:val="0072BC"/>
      </w:rPr>
      <w:tblPr/>
      <w:tcPr>
        <w:tcBorders>
          <w:top w:val="single" w:sz="4" w:space="0" w:color="5F5F5F"/>
          <w:left w:val="single" w:sz="4" w:space="0" w:color="5F5F5F"/>
          <w:bottom w:val="single" w:sz="4" w:space="0" w:color="5F5F5F"/>
          <w:right w:val="single" w:sz="4" w:space="0" w:color="5F5F5F"/>
          <w:insideH w:val="nil"/>
          <w:insideV w:val="nil"/>
        </w:tcBorders>
        <w:shd w:val="clear" w:color="auto" w:fill="5F5F5F"/>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4-Accent411">
    <w:name w:val="Grid Table 4 - Accent 411"/>
    <w:basedOn w:val="TableNormal"/>
    <w:next w:val="GridTable4Accent4"/>
    <w:uiPriority w:val="49"/>
    <w:rsid w:val="00A8059F"/>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color w:val="0072BC"/>
      </w:rPr>
      <w:tblPr/>
      <w:tcPr>
        <w:tcBorders>
          <w:top w:val="single" w:sz="4" w:space="0" w:color="969696"/>
          <w:left w:val="single" w:sz="4" w:space="0" w:color="969696"/>
          <w:bottom w:val="single" w:sz="4" w:space="0" w:color="969696"/>
          <w:right w:val="single" w:sz="4" w:space="0" w:color="969696"/>
          <w:insideH w:val="nil"/>
          <w:insideV w:val="nil"/>
        </w:tcBorders>
        <w:shd w:val="clear" w:color="auto" w:fill="969696"/>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4-Accent511">
    <w:name w:val="Grid Table 4 - Accent 511"/>
    <w:basedOn w:val="TableNormal"/>
    <w:next w:val="GridTable4Accent5"/>
    <w:uiPriority w:val="49"/>
    <w:rsid w:val="00A8059F"/>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color w:val="0072BC"/>
      </w:rPr>
      <w:tblPr/>
      <w:tcPr>
        <w:tcBorders>
          <w:top w:val="single" w:sz="4" w:space="0" w:color="5F5F5F"/>
          <w:left w:val="single" w:sz="4" w:space="0" w:color="5F5F5F"/>
          <w:bottom w:val="single" w:sz="4" w:space="0" w:color="5F5F5F"/>
          <w:right w:val="single" w:sz="4" w:space="0" w:color="5F5F5F"/>
          <w:insideH w:val="nil"/>
          <w:insideV w:val="nil"/>
        </w:tcBorders>
        <w:shd w:val="clear" w:color="auto" w:fill="5F5F5F"/>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4-Accent611">
    <w:name w:val="Grid Table 4 - Accent 611"/>
    <w:basedOn w:val="TableNormal"/>
    <w:next w:val="GridTable4Accent6"/>
    <w:uiPriority w:val="49"/>
    <w:rsid w:val="00A8059F"/>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color w:val="0072BC"/>
      </w:rPr>
      <w:tblPr/>
      <w:tcPr>
        <w:tcBorders>
          <w:top w:val="single" w:sz="4" w:space="0" w:color="4D4D4D"/>
          <w:left w:val="single" w:sz="4" w:space="0" w:color="4D4D4D"/>
          <w:bottom w:val="single" w:sz="4" w:space="0" w:color="4D4D4D"/>
          <w:right w:val="single" w:sz="4" w:space="0" w:color="4D4D4D"/>
          <w:insideH w:val="nil"/>
          <w:insideV w:val="nil"/>
        </w:tcBorders>
        <w:shd w:val="clear" w:color="auto" w:fill="4D4D4D"/>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5Dark11">
    <w:name w:val="Grid Table 5 Dark11"/>
    <w:basedOn w:val="TableNormal"/>
    <w:next w:val="GridTable5Dark"/>
    <w:uiPriority w:val="50"/>
    <w:rsid w:val="00A8059F"/>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CCCCCC"/>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000000"/>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000000"/>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000000"/>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
    <w:name w:val="Grid Table 5 Dark - Accent 111"/>
    <w:basedOn w:val="TableNormal"/>
    <w:next w:val="GridTable5DarkAccent1"/>
    <w:uiPriority w:val="50"/>
    <w:rsid w:val="00A8059F"/>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BEE5FF"/>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0072BC"/>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0072BC"/>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0072BC"/>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0072BC"/>
      </w:tcPr>
    </w:tblStylePr>
    <w:tblStylePr w:type="band1Vert">
      <w:tblPr/>
      <w:tcPr>
        <w:shd w:val="clear" w:color="auto" w:fill="7ECBFF"/>
      </w:tcPr>
    </w:tblStylePr>
    <w:tblStylePr w:type="band1Horz">
      <w:tblPr/>
      <w:tcPr>
        <w:shd w:val="clear" w:color="auto" w:fill="7ECBFF"/>
      </w:tcPr>
    </w:tblStylePr>
  </w:style>
  <w:style w:type="table" w:customStyle="1" w:styleId="GridTable5Dark-Accent211">
    <w:name w:val="Grid Table 5 Dark - Accent 211"/>
    <w:basedOn w:val="TableNormal"/>
    <w:next w:val="GridTable5DarkAccent2"/>
    <w:uiPriority w:val="50"/>
    <w:rsid w:val="00A8059F"/>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FFBFBF"/>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C00000"/>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C00000"/>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C00000"/>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C00000"/>
      </w:tcPr>
    </w:tblStylePr>
    <w:tblStylePr w:type="band1Vert">
      <w:tblPr/>
      <w:tcPr>
        <w:shd w:val="clear" w:color="auto" w:fill="FF7F7F"/>
      </w:tcPr>
    </w:tblStylePr>
    <w:tblStylePr w:type="band1Horz">
      <w:tblPr/>
      <w:tcPr>
        <w:shd w:val="clear" w:color="auto" w:fill="FF7F7F"/>
      </w:tcPr>
    </w:tblStylePr>
  </w:style>
  <w:style w:type="table" w:customStyle="1" w:styleId="GridTable5Dark-Accent311">
    <w:name w:val="Grid Table 5 Dark - Accent 311"/>
    <w:basedOn w:val="TableNormal"/>
    <w:next w:val="GridTable5DarkAccent3"/>
    <w:uiPriority w:val="50"/>
    <w:rsid w:val="00A8059F"/>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DFDF"/>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5F5F5F"/>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5F5F5F"/>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5F5F5F"/>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idTable5Dark-Accent411">
    <w:name w:val="Grid Table 5 Dark - Accent 411"/>
    <w:basedOn w:val="TableNormal"/>
    <w:next w:val="GridTable5DarkAccent4"/>
    <w:uiPriority w:val="50"/>
    <w:rsid w:val="00A8059F"/>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EAEAEA"/>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969696"/>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969696"/>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969696"/>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969696"/>
      </w:tcPr>
    </w:tblStylePr>
    <w:tblStylePr w:type="band1Vert">
      <w:tblPr/>
      <w:tcPr>
        <w:shd w:val="clear" w:color="auto" w:fill="D5D5D5"/>
      </w:tcPr>
    </w:tblStylePr>
    <w:tblStylePr w:type="band1Horz">
      <w:tblPr/>
      <w:tcPr>
        <w:shd w:val="clear" w:color="auto" w:fill="D5D5D5"/>
      </w:tcPr>
    </w:tblStylePr>
  </w:style>
  <w:style w:type="table" w:customStyle="1" w:styleId="GridTable5Dark-Accent511">
    <w:name w:val="Grid Table 5 Dark - Accent 511"/>
    <w:basedOn w:val="TableNormal"/>
    <w:next w:val="GridTable5DarkAccent5"/>
    <w:uiPriority w:val="50"/>
    <w:rsid w:val="00A8059F"/>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DFDF"/>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5F5F5F"/>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5F5F5F"/>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5F5F5F"/>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idTable5Dark-Accent611">
    <w:name w:val="Grid Table 5 Dark - Accent 611"/>
    <w:basedOn w:val="TableNormal"/>
    <w:next w:val="GridTable5DarkAccent6"/>
    <w:uiPriority w:val="50"/>
    <w:rsid w:val="00A8059F"/>
    <w:tblPr>
      <w:tblStyleRowBandSize w:val="1"/>
      <w:tblStyleColBandSize w:val="1"/>
      <w:tblBorders>
        <w:top w:val="single" w:sz="4" w:space="0" w:color="0072BC"/>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BDBDB"/>
    </w:tcPr>
    <w:tblStylePr w:type="firstRow">
      <w:rPr>
        <w:b/>
        <w:bCs/>
        <w:color w:val="0072BC"/>
      </w:rPr>
      <w:tblPr/>
      <w:tcPr>
        <w:tcBorders>
          <w:top w:val="single" w:sz="4" w:space="0" w:color="0072BC"/>
          <w:left w:val="single" w:sz="4" w:space="0" w:color="0072BC"/>
          <w:right w:val="single" w:sz="4" w:space="0" w:color="0072BC"/>
          <w:insideH w:val="nil"/>
          <w:insideV w:val="nil"/>
        </w:tcBorders>
        <w:shd w:val="clear" w:color="auto" w:fill="4D4D4D"/>
      </w:tcPr>
    </w:tblStylePr>
    <w:tblStylePr w:type="lastRow">
      <w:rPr>
        <w:b/>
        <w:bCs/>
        <w:color w:val="0072BC"/>
      </w:rPr>
      <w:tblPr/>
      <w:tcPr>
        <w:tcBorders>
          <w:left w:val="single" w:sz="4" w:space="0" w:color="0072BC"/>
          <w:bottom w:val="single" w:sz="4" w:space="0" w:color="0072BC"/>
          <w:right w:val="single" w:sz="4" w:space="0" w:color="0072BC"/>
          <w:insideH w:val="nil"/>
          <w:insideV w:val="nil"/>
        </w:tcBorders>
        <w:shd w:val="clear" w:color="auto" w:fill="4D4D4D"/>
      </w:tcPr>
    </w:tblStylePr>
    <w:tblStylePr w:type="firstCol">
      <w:rPr>
        <w:b/>
        <w:bCs/>
        <w:color w:val="0072BC"/>
      </w:rPr>
      <w:tblPr/>
      <w:tcPr>
        <w:tcBorders>
          <w:top w:val="single" w:sz="4" w:space="0" w:color="0072BC"/>
          <w:left w:val="single" w:sz="4" w:space="0" w:color="0072BC"/>
          <w:bottom w:val="single" w:sz="4" w:space="0" w:color="0072BC"/>
          <w:insideV w:val="nil"/>
        </w:tcBorders>
        <w:shd w:val="clear" w:color="auto" w:fill="4D4D4D"/>
      </w:tcPr>
    </w:tblStylePr>
    <w:tblStylePr w:type="lastCol">
      <w:rPr>
        <w:b/>
        <w:bCs/>
        <w:color w:val="0072BC"/>
      </w:rPr>
      <w:tblPr/>
      <w:tcPr>
        <w:tcBorders>
          <w:top w:val="single" w:sz="4" w:space="0" w:color="0072BC"/>
          <w:bottom w:val="single" w:sz="4" w:space="0" w:color="0072BC"/>
          <w:right w:val="single" w:sz="4" w:space="0" w:color="0072BC"/>
          <w:insideV w:val="nil"/>
        </w:tcBorders>
        <w:shd w:val="clear" w:color="auto" w:fill="4D4D4D"/>
      </w:tcPr>
    </w:tblStylePr>
    <w:tblStylePr w:type="band1Vert">
      <w:tblPr/>
      <w:tcPr>
        <w:shd w:val="clear" w:color="auto" w:fill="B7B7B7"/>
      </w:tcPr>
    </w:tblStylePr>
    <w:tblStylePr w:type="band1Horz">
      <w:tblPr/>
      <w:tcPr>
        <w:shd w:val="clear" w:color="auto" w:fill="B7B7B7"/>
      </w:tcPr>
    </w:tblStylePr>
  </w:style>
  <w:style w:type="table" w:customStyle="1" w:styleId="GridTable6Colorful11">
    <w:name w:val="Grid Table 6 Colorful11"/>
    <w:basedOn w:val="TableNormal"/>
    <w:next w:val="GridTable6Colorful"/>
    <w:uiPriority w:val="51"/>
    <w:rsid w:val="00A8059F"/>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1">
    <w:name w:val="Grid Table 6 Colorful - Accent 111"/>
    <w:basedOn w:val="TableNormal"/>
    <w:next w:val="GridTable6ColorfulAccent1"/>
    <w:uiPriority w:val="51"/>
    <w:rsid w:val="00A8059F"/>
    <w:rPr>
      <w:color w:val="00548C"/>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bottom w:val="single" w:sz="12" w:space="0" w:color="3DB2FF"/>
        </w:tcBorders>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6Colorful-Accent211">
    <w:name w:val="Grid Table 6 Colorful - Accent 211"/>
    <w:basedOn w:val="TableNormal"/>
    <w:next w:val="GridTable6ColorfulAccent2"/>
    <w:uiPriority w:val="51"/>
    <w:rsid w:val="00A8059F"/>
    <w:rPr>
      <w:color w:val="8F0000"/>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bottom w:val="single" w:sz="12" w:space="0" w:color="FF4040"/>
        </w:tcBorders>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6Colorful-Accent311">
    <w:name w:val="Grid Table 6 Colorful - Accent 311"/>
    <w:basedOn w:val="TableNormal"/>
    <w:next w:val="GridTable6ColorfulAccent3"/>
    <w:uiPriority w:val="51"/>
    <w:rsid w:val="00A8059F"/>
    <w:rPr>
      <w:color w:val="474747"/>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bottom w:val="single" w:sz="12" w:space="0" w:color="9F9F9F"/>
        </w:tcBorders>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6Colorful-Accent411">
    <w:name w:val="Grid Table 6 Colorful - Accent 411"/>
    <w:basedOn w:val="TableNormal"/>
    <w:next w:val="GridTable6ColorfulAccent4"/>
    <w:uiPriority w:val="51"/>
    <w:rsid w:val="00A8059F"/>
    <w:rPr>
      <w:color w:val="707070"/>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bottom w:val="single" w:sz="12" w:space="0" w:color="C0C0C0"/>
        </w:tcBorders>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6Colorful-Accent511">
    <w:name w:val="Grid Table 6 Colorful - Accent 511"/>
    <w:basedOn w:val="TableNormal"/>
    <w:next w:val="GridTable6ColorfulAccent5"/>
    <w:uiPriority w:val="51"/>
    <w:rsid w:val="00A8059F"/>
    <w:rPr>
      <w:color w:val="474747"/>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bottom w:val="single" w:sz="12" w:space="0" w:color="9F9F9F"/>
        </w:tcBorders>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6Colorful-Accent611">
    <w:name w:val="Grid Table 6 Colorful - Accent 611"/>
    <w:basedOn w:val="TableNormal"/>
    <w:next w:val="GridTable6ColorfulAccent6"/>
    <w:uiPriority w:val="51"/>
    <w:rsid w:val="00A8059F"/>
    <w:rPr>
      <w:color w:val="393939"/>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bottom w:val="single" w:sz="12" w:space="0" w:color="949494"/>
        </w:tcBorders>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7Colorful11">
    <w:name w:val="Grid Table 7 Colorful11"/>
    <w:basedOn w:val="TableNormal"/>
    <w:next w:val="GridTable7Colorful"/>
    <w:uiPriority w:val="52"/>
    <w:rsid w:val="00A8059F"/>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1">
    <w:name w:val="Grid Table 7 Colorful - Accent 111"/>
    <w:basedOn w:val="TableNormal"/>
    <w:next w:val="GridTable7ColorfulAccent1"/>
    <w:uiPriority w:val="52"/>
    <w:rsid w:val="00A8059F"/>
    <w:rPr>
      <w:color w:val="00548C"/>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7Colorful-Accent211">
    <w:name w:val="Grid Table 7 Colorful - Accent 211"/>
    <w:basedOn w:val="TableNormal"/>
    <w:next w:val="GridTable7ColorfulAccent2"/>
    <w:uiPriority w:val="52"/>
    <w:rsid w:val="00A8059F"/>
    <w:rPr>
      <w:color w:val="8F0000"/>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7Colorful-Accent311">
    <w:name w:val="Grid Table 7 Colorful - Accent 311"/>
    <w:basedOn w:val="TableNormal"/>
    <w:next w:val="GridTable7ColorfulAccent3"/>
    <w:uiPriority w:val="52"/>
    <w:rsid w:val="00A8059F"/>
    <w:rPr>
      <w:color w:val="474747"/>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7Colorful-Accent411">
    <w:name w:val="Grid Table 7 Colorful - Accent 411"/>
    <w:basedOn w:val="TableNormal"/>
    <w:next w:val="GridTable7ColorfulAccent4"/>
    <w:uiPriority w:val="52"/>
    <w:rsid w:val="00A8059F"/>
    <w:rPr>
      <w:color w:val="707070"/>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7Colorful-Accent511">
    <w:name w:val="Grid Table 7 Colorful - Accent 511"/>
    <w:basedOn w:val="TableNormal"/>
    <w:next w:val="GridTable7ColorfulAccent5"/>
    <w:uiPriority w:val="52"/>
    <w:rsid w:val="00A8059F"/>
    <w:rPr>
      <w:color w:val="474747"/>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7Colorful-Accent611">
    <w:name w:val="Grid Table 7 Colorful - Accent 611"/>
    <w:basedOn w:val="TableNormal"/>
    <w:next w:val="GridTable7ColorfulAccent6"/>
    <w:uiPriority w:val="52"/>
    <w:rsid w:val="00A8059F"/>
    <w:rPr>
      <w:color w:val="393939"/>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0072BC"/>
      </w:tcPr>
    </w:tblStylePr>
    <w:tblStylePr w:type="lastRow">
      <w:rPr>
        <w:b/>
        <w:bCs/>
      </w:rPr>
      <w:tblPr/>
      <w:tcPr>
        <w:tcBorders>
          <w:left w:val="nil"/>
          <w:bottom w:val="nil"/>
          <w:right w:val="nil"/>
          <w:insideH w:val="nil"/>
          <w:insideV w:val="nil"/>
        </w:tcBorders>
        <w:shd w:val="clear" w:color="auto" w:fill="0072BC"/>
      </w:tcPr>
    </w:tblStylePr>
    <w:tblStylePr w:type="firstCol">
      <w:pPr>
        <w:jc w:val="right"/>
      </w:pPr>
      <w:rPr>
        <w:i/>
        <w:iCs/>
      </w:rPr>
      <w:tblPr/>
      <w:tcPr>
        <w:tcBorders>
          <w:top w:val="nil"/>
          <w:left w:val="nil"/>
          <w:bottom w:val="nil"/>
          <w:insideH w:val="nil"/>
          <w:insideV w:val="nil"/>
        </w:tcBorders>
        <w:shd w:val="clear" w:color="auto" w:fill="0072BC"/>
      </w:tcPr>
    </w:tblStylePr>
    <w:tblStylePr w:type="lastCol">
      <w:rPr>
        <w:i/>
        <w:iCs/>
      </w:rPr>
      <w:tblPr/>
      <w:tcPr>
        <w:tcBorders>
          <w:top w:val="nil"/>
          <w:bottom w:val="nil"/>
          <w:right w:val="nil"/>
          <w:insideH w:val="nil"/>
          <w:insideV w:val="nil"/>
        </w:tcBorders>
        <w:shd w:val="clear" w:color="auto" w:fill="0072BC"/>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ListTable1Light11">
    <w:name w:val="List Table 1 Light11"/>
    <w:basedOn w:val="TableNormal"/>
    <w:next w:val="ListTable1Light"/>
    <w:uiPriority w:val="46"/>
    <w:rsid w:val="00A8059F"/>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1">
    <w:name w:val="List Table 1 Light - Accent 111"/>
    <w:basedOn w:val="TableNormal"/>
    <w:next w:val="ListTable1LightAccent1"/>
    <w:uiPriority w:val="46"/>
    <w:rsid w:val="00A8059F"/>
    <w:tblPr>
      <w:tblStyleRowBandSize w:val="1"/>
      <w:tblStyleColBandSize w:val="1"/>
    </w:tblPr>
    <w:tblStylePr w:type="firstRow">
      <w:rPr>
        <w:b/>
        <w:bCs/>
      </w:rPr>
      <w:tblPr/>
      <w:tcPr>
        <w:tcBorders>
          <w:bottom w:val="single" w:sz="4" w:space="0" w:color="3DB2FF"/>
        </w:tcBorders>
      </w:tcPr>
    </w:tblStylePr>
    <w:tblStylePr w:type="lastRow">
      <w:rPr>
        <w:b/>
        <w:bCs/>
      </w:rPr>
      <w:tblPr/>
      <w:tcPr>
        <w:tcBorders>
          <w:top w:val="sing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1Light-Accent211">
    <w:name w:val="List Table 1 Light - Accent 211"/>
    <w:basedOn w:val="TableNormal"/>
    <w:next w:val="ListTable1LightAccent2"/>
    <w:uiPriority w:val="46"/>
    <w:rsid w:val="00A8059F"/>
    <w:tblPr>
      <w:tblStyleRowBandSize w:val="1"/>
      <w:tblStyleColBandSize w:val="1"/>
    </w:tblPr>
    <w:tblStylePr w:type="firstRow">
      <w:rPr>
        <w:b/>
        <w:bCs/>
      </w:rPr>
      <w:tblPr/>
      <w:tcPr>
        <w:tcBorders>
          <w:bottom w:val="single" w:sz="4" w:space="0" w:color="FF4040"/>
        </w:tcBorders>
      </w:tcPr>
    </w:tblStylePr>
    <w:tblStylePr w:type="lastRow">
      <w:rPr>
        <w:b/>
        <w:bCs/>
      </w:rPr>
      <w:tblPr/>
      <w:tcPr>
        <w:tcBorders>
          <w:top w:val="sing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1Light-Accent311">
    <w:name w:val="List Table 1 Light - Accent 311"/>
    <w:basedOn w:val="TableNormal"/>
    <w:next w:val="ListTable1LightAccent3"/>
    <w:uiPriority w:val="46"/>
    <w:rsid w:val="00A8059F"/>
    <w:tblPr>
      <w:tblStyleRowBandSize w:val="1"/>
      <w:tblStyleColBandSize w:val="1"/>
    </w:tblPr>
    <w:tblStylePr w:type="firstRow">
      <w:rPr>
        <w:b/>
        <w:bCs/>
      </w:rPr>
      <w:tblPr/>
      <w:tcPr>
        <w:tcBorders>
          <w:bottom w:val="single" w:sz="4" w:space="0" w:color="9F9F9F"/>
        </w:tcBorders>
      </w:tcPr>
    </w:tblStylePr>
    <w:tblStylePr w:type="lastRow">
      <w:rPr>
        <w:b/>
        <w:bCs/>
      </w:rPr>
      <w:tblPr/>
      <w:tcPr>
        <w:tcBorders>
          <w:top w:val="sing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1Light-Accent411">
    <w:name w:val="List Table 1 Light - Accent 411"/>
    <w:basedOn w:val="TableNormal"/>
    <w:next w:val="ListTable1LightAccent4"/>
    <w:uiPriority w:val="46"/>
    <w:rsid w:val="00A8059F"/>
    <w:tblPr>
      <w:tblStyleRowBandSize w:val="1"/>
      <w:tblStyleColBandSize w:val="1"/>
    </w:tblPr>
    <w:tblStylePr w:type="firstRow">
      <w:rPr>
        <w:b/>
        <w:bCs/>
      </w:rPr>
      <w:tblPr/>
      <w:tcPr>
        <w:tcBorders>
          <w:bottom w:val="single" w:sz="4" w:space="0" w:color="C0C0C0"/>
        </w:tcBorders>
      </w:tcPr>
    </w:tblStylePr>
    <w:tblStylePr w:type="lastRow">
      <w:rPr>
        <w:b/>
        <w:bCs/>
      </w:rPr>
      <w:tblPr/>
      <w:tcPr>
        <w:tcBorders>
          <w:top w:val="sing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1Light-Accent511">
    <w:name w:val="List Table 1 Light - Accent 511"/>
    <w:basedOn w:val="TableNormal"/>
    <w:next w:val="ListTable1LightAccent5"/>
    <w:uiPriority w:val="46"/>
    <w:rsid w:val="00A8059F"/>
    <w:tblPr>
      <w:tblStyleRowBandSize w:val="1"/>
      <w:tblStyleColBandSize w:val="1"/>
    </w:tblPr>
    <w:tblStylePr w:type="firstRow">
      <w:rPr>
        <w:b/>
        <w:bCs/>
      </w:rPr>
      <w:tblPr/>
      <w:tcPr>
        <w:tcBorders>
          <w:bottom w:val="single" w:sz="4" w:space="0" w:color="9F9F9F"/>
        </w:tcBorders>
      </w:tcPr>
    </w:tblStylePr>
    <w:tblStylePr w:type="lastRow">
      <w:rPr>
        <w:b/>
        <w:bCs/>
      </w:rPr>
      <w:tblPr/>
      <w:tcPr>
        <w:tcBorders>
          <w:top w:val="sing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1Light-Accent611">
    <w:name w:val="List Table 1 Light - Accent 611"/>
    <w:basedOn w:val="TableNormal"/>
    <w:next w:val="ListTable1LightAccent6"/>
    <w:uiPriority w:val="46"/>
    <w:rsid w:val="00A8059F"/>
    <w:tblPr>
      <w:tblStyleRowBandSize w:val="1"/>
      <w:tblStyleColBandSize w:val="1"/>
    </w:tblPr>
    <w:tblStylePr w:type="firstRow">
      <w:rPr>
        <w:b/>
        <w:bCs/>
      </w:rPr>
      <w:tblPr/>
      <w:tcPr>
        <w:tcBorders>
          <w:bottom w:val="single" w:sz="4" w:space="0" w:color="949494"/>
        </w:tcBorders>
      </w:tcPr>
    </w:tblStylePr>
    <w:tblStylePr w:type="lastRow">
      <w:rPr>
        <w:b/>
        <w:bCs/>
      </w:rPr>
      <w:tblPr/>
      <w:tcPr>
        <w:tcBorders>
          <w:top w:val="sing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211">
    <w:name w:val="List Table 211"/>
    <w:basedOn w:val="TableNormal"/>
    <w:next w:val="ListTable2"/>
    <w:uiPriority w:val="47"/>
    <w:rsid w:val="00A8059F"/>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1">
    <w:name w:val="List Table 2 - Accent 111"/>
    <w:basedOn w:val="TableNormal"/>
    <w:next w:val="ListTable2Accent1"/>
    <w:uiPriority w:val="47"/>
    <w:rsid w:val="00A8059F"/>
    <w:tblPr>
      <w:tblStyleRowBandSize w:val="1"/>
      <w:tblStyleColBandSize w:val="1"/>
      <w:tblBorders>
        <w:top w:val="single" w:sz="4" w:space="0" w:color="3DB2FF"/>
        <w:bottom w:val="single" w:sz="4" w:space="0" w:color="3DB2FF"/>
        <w:insideH w:val="single" w:sz="4" w:space="0" w:color="3DB2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2-Accent211">
    <w:name w:val="List Table 2 - Accent 211"/>
    <w:basedOn w:val="TableNormal"/>
    <w:next w:val="ListTable2Accent2"/>
    <w:uiPriority w:val="47"/>
    <w:rsid w:val="00A8059F"/>
    <w:tblPr>
      <w:tblStyleRowBandSize w:val="1"/>
      <w:tblStyleColBandSize w:val="1"/>
      <w:tblBorders>
        <w:top w:val="single" w:sz="4" w:space="0" w:color="FF4040"/>
        <w:bottom w:val="single" w:sz="4" w:space="0" w:color="FF4040"/>
        <w:insideH w:val="single" w:sz="4" w:space="0" w:color="FF404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2-Accent311">
    <w:name w:val="List Table 2 - Accent 311"/>
    <w:basedOn w:val="TableNormal"/>
    <w:next w:val="ListTable2Accent3"/>
    <w:uiPriority w:val="47"/>
    <w:rsid w:val="00A8059F"/>
    <w:tblPr>
      <w:tblStyleRowBandSize w:val="1"/>
      <w:tblStyleColBandSize w:val="1"/>
      <w:tblBorders>
        <w:top w:val="single" w:sz="4" w:space="0" w:color="9F9F9F"/>
        <w:bottom w:val="single" w:sz="4" w:space="0" w:color="9F9F9F"/>
        <w:insideH w:val="single" w:sz="4" w:space="0" w:color="9F9F9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2-Accent411">
    <w:name w:val="List Table 2 - Accent 411"/>
    <w:basedOn w:val="TableNormal"/>
    <w:next w:val="ListTable2Accent4"/>
    <w:uiPriority w:val="47"/>
    <w:rsid w:val="00A8059F"/>
    <w:tblPr>
      <w:tblStyleRowBandSize w:val="1"/>
      <w:tblStyleColBandSize w:val="1"/>
      <w:tblBorders>
        <w:top w:val="single" w:sz="4" w:space="0" w:color="C0C0C0"/>
        <w:bottom w:val="single" w:sz="4" w:space="0" w:color="C0C0C0"/>
        <w:insideH w:val="single" w:sz="4" w:space="0" w:color="C0C0C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2-Accent511">
    <w:name w:val="List Table 2 - Accent 511"/>
    <w:basedOn w:val="TableNormal"/>
    <w:next w:val="ListTable2Accent5"/>
    <w:uiPriority w:val="47"/>
    <w:rsid w:val="00A8059F"/>
    <w:tblPr>
      <w:tblStyleRowBandSize w:val="1"/>
      <w:tblStyleColBandSize w:val="1"/>
      <w:tblBorders>
        <w:top w:val="single" w:sz="4" w:space="0" w:color="9F9F9F"/>
        <w:bottom w:val="single" w:sz="4" w:space="0" w:color="9F9F9F"/>
        <w:insideH w:val="single" w:sz="4" w:space="0" w:color="9F9F9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2-Accent611">
    <w:name w:val="List Table 2 - Accent 611"/>
    <w:basedOn w:val="TableNormal"/>
    <w:next w:val="ListTable2Accent6"/>
    <w:uiPriority w:val="47"/>
    <w:rsid w:val="00A8059F"/>
    <w:tblPr>
      <w:tblStyleRowBandSize w:val="1"/>
      <w:tblStyleColBandSize w:val="1"/>
      <w:tblBorders>
        <w:top w:val="single" w:sz="4" w:space="0" w:color="949494"/>
        <w:bottom w:val="single" w:sz="4" w:space="0" w:color="949494"/>
        <w:insideH w:val="single" w:sz="4" w:space="0" w:color="9494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311">
    <w:name w:val="List Table 311"/>
    <w:basedOn w:val="TableNormal"/>
    <w:next w:val="ListTable3"/>
    <w:uiPriority w:val="48"/>
    <w:rsid w:val="00A8059F"/>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0072BC"/>
      </w:rPr>
      <w:tblPr/>
      <w:tcPr>
        <w:shd w:val="clear" w:color="auto" w:fill="000000"/>
      </w:tcPr>
    </w:tblStylePr>
    <w:tblStylePr w:type="lastRow">
      <w:rPr>
        <w:b/>
        <w:bCs/>
      </w:rPr>
      <w:tblPr/>
      <w:tcPr>
        <w:tcBorders>
          <w:top w:val="double" w:sz="4" w:space="0" w:color="000000"/>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1">
    <w:name w:val="List Table 3 - Accent 111"/>
    <w:basedOn w:val="TableNormal"/>
    <w:next w:val="ListTable3Accent1"/>
    <w:uiPriority w:val="48"/>
    <w:rsid w:val="00A8059F"/>
    <w:tblPr>
      <w:tblStyleRowBandSize w:val="1"/>
      <w:tblStyleColBandSize w:val="1"/>
      <w:tblBorders>
        <w:top w:val="single" w:sz="4" w:space="0" w:color="0072BC"/>
        <w:left w:val="single" w:sz="4" w:space="0" w:color="0072BC"/>
        <w:bottom w:val="single" w:sz="4" w:space="0" w:color="0072BC"/>
        <w:right w:val="single" w:sz="4" w:space="0" w:color="0072BC"/>
      </w:tblBorders>
    </w:tblPr>
    <w:tblStylePr w:type="firstRow">
      <w:rPr>
        <w:b/>
        <w:bCs/>
        <w:color w:val="0072BC"/>
      </w:rPr>
      <w:tblPr/>
      <w:tcPr>
        <w:shd w:val="clear" w:color="auto" w:fill="0072BC"/>
      </w:tcPr>
    </w:tblStylePr>
    <w:tblStylePr w:type="lastRow">
      <w:rPr>
        <w:b/>
        <w:bCs/>
      </w:rPr>
      <w:tblPr/>
      <w:tcPr>
        <w:tcBorders>
          <w:top w:val="double" w:sz="4" w:space="0" w:color="0072BC"/>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left w:val="nil"/>
        </w:tcBorders>
      </w:tcPr>
    </w:tblStylePr>
    <w:tblStylePr w:type="swCell">
      <w:tblPr/>
      <w:tcPr>
        <w:tcBorders>
          <w:top w:val="double" w:sz="4" w:space="0" w:color="0072BC"/>
          <w:right w:val="nil"/>
        </w:tcBorders>
      </w:tcPr>
    </w:tblStylePr>
  </w:style>
  <w:style w:type="table" w:customStyle="1" w:styleId="ListTable3-Accent211">
    <w:name w:val="List Table 3 - Accent 211"/>
    <w:basedOn w:val="TableNormal"/>
    <w:next w:val="ListTable3Accent2"/>
    <w:uiPriority w:val="48"/>
    <w:rsid w:val="00A8059F"/>
    <w:tblPr>
      <w:tblStyleRowBandSize w:val="1"/>
      <w:tblStyleColBandSize w:val="1"/>
      <w:tblBorders>
        <w:top w:val="single" w:sz="4" w:space="0" w:color="C00000"/>
        <w:left w:val="single" w:sz="4" w:space="0" w:color="C00000"/>
        <w:bottom w:val="single" w:sz="4" w:space="0" w:color="C00000"/>
        <w:right w:val="single" w:sz="4" w:space="0" w:color="C00000"/>
      </w:tblBorders>
    </w:tblPr>
    <w:tblStylePr w:type="firstRow">
      <w:rPr>
        <w:b/>
        <w:bCs/>
        <w:color w:val="0072BC"/>
      </w:rPr>
      <w:tblPr/>
      <w:tcPr>
        <w:shd w:val="clear" w:color="auto" w:fill="C00000"/>
      </w:tcPr>
    </w:tblStylePr>
    <w:tblStylePr w:type="lastRow">
      <w:rPr>
        <w:b/>
        <w:bCs/>
      </w:rPr>
      <w:tblPr/>
      <w:tcPr>
        <w:tcBorders>
          <w:top w:val="double" w:sz="4" w:space="0" w:color="C00000"/>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C00000"/>
          <w:right w:val="single" w:sz="4" w:space="0" w:color="C00000"/>
        </w:tcBorders>
      </w:tcPr>
    </w:tblStylePr>
    <w:tblStylePr w:type="band1Horz">
      <w:tblPr/>
      <w:tcPr>
        <w:tcBorders>
          <w:top w:val="single" w:sz="4" w:space="0" w:color="C00000"/>
          <w:bottom w:val="single" w:sz="4" w:space="0" w:color="C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left w:val="nil"/>
        </w:tcBorders>
      </w:tcPr>
    </w:tblStylePr>
    <w:tblStylePr w:type="swCell">
      <w:tblPr/>
      <w:tcPr>
        <w:tcBorders>
          <w:top w:val="double" w:sz="4" w:space="0" w:color="C00000"/>
          <w:right w:val="nil"/>
        </w:tcBorders>
      </w:tcPr>
    </w:tblStylePr>
  </w:style>
  <w:style w:type="table" w:customStyle="1" w:styleId="ListTable3-Accent311">
    <w:name w:val="List Table 3 - Accent 311"/>
    <w:basedOn w:val="TableNormal"/>
    <w:next w:val="ListTable3Accent3"/>
    <w:uiPriority w:val="48"/>
    <w:rsid w:val="00A8059F"/>
    <w:tblPr>
      <w:tblStyleRowBandSize w:val="1"/>
      <w:tblStyleColBandSize w:val="1"/>
      <w:tblBorders>
        <w:top w:val="single" w:sz="4" w:space="0" w:color="5F5F5F"/>
        <w:left w:val="single" w:sz="4" w:space="0" w:color="5F5F5F"/>
        <w:bottom w:val="single" w:sz="4" w:space="0" w:color="5F5F5F"/>
        <w:right w:val="single" w:sz="4" w:space="0" w:color="5F5F5F"/>
      </w:tblBorders>
    </w:tblPr>
    <w:tblStylePr w:type="firstRow">
      <w:rPr>
        <w:b/>
        <w:bCs/>
        <w:color w:val="0072BC"/>
      </w:rPr>
      <w:tblPr/>
      <w:tcPr>
        <w:shd w:val="clear" w:color="auto" w:fill="5F5F5F"/>
      </w:tcPr>
    </w:tblStylePr>
    <w:tblStylePr w:type="lastRow">
      <w:rPr>
        <w:b/>
        <w:bCs/>
      </w:rPr>
      <w:tblPr/>
      <w:tcPr>
        <w:tcBorders>
          <w:top w:val="double" w:sz="4" w:space="0" w:color="5F5F5F"/>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5F5F5F"/>
          <w:right w:val="single" w:sz="4" w:space="0" w:color="5F5F5F"/>
        </w:tcBorders>
      </w:tcPr>
    </w:tblStylePr>
    <w:tblStylePr w:type="band1Horz">
      <w:tblPr/>
      <w:tcPr>
        <w:tcBorders>
          <w:top w:val="single" w:sz="4" w:space="0" w:color="5F5F5F"/>
          <w:bottom w:val="single" w:sz="4" w:space="0" w:color="5F5F5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left w:val="nil"/>
        </w:tcBorders>
      </w:tcPr>
    </w:tblStylePr>
    <w:tblStylePr w:type="swCell">
      <w:tblPr/>
      <w:tcPr>
        <w:tcBorders>
          <w:top w:val="double" w:sz="4" w:space="0" w:color="5F5F5F"/>
          <w:right w:val="nil"/>
        </w:tcBorders>
      </w:tcPr>
    </w:tblStylePr>
  </w:style>
  <w:style w:type="table" w:customStyle="1" w:styleId="ListTable3-Accent411">
    <w:name w:val="List Table 3 - Accent 411"/>
    <w:basedOn w:val="TableNormal"/>
    <w:next w:val="ListTable3Accent4"/>
    <w:uiPriority w:val="48"/>
    <w:rsid w:val="00A8059F"/>
    <w:tblPr>
      <w:tblStyleRowBandSize w:val="1"/>
      <w:tblStyleColBandSize w:val="1"/>
      <w:tblBorders>
        <w:top w:val="single" w:sz="4" w:space="0" w:color="969696"/>
        <w:left w:val="single" w:sz="4" w:space="0" w:color="969696"/>
        <w:bottom w:val="single" w:sz="4" w:space="0" w:color="969696"/>
        <w:right w:val="single" w:sz="4" w:space="0" w:color="969696"/>
      </w:tblBorders>
    </w:tblPr>
    <w:tblStylePr w:type="firstRow">
      <w:rPr>
        <w:b/>
        <w:bCs/>
        <w:color w:val="0072BC"/>
      </w:rPr>
      <w:tblPr/>
      <w:tcPr>
        <w:shd w:val="clear" w:color="auto" w:fill="969696"/>
      </w:tcPr>
    </w:tblStylePr>
    <w:tblStylePr w:type="lastRow">
      <w:rPr>
        <w:b/>
        <w:bCs/>
      </w:rPr>
      <w:tblPr/>
      <w:tcPr>
        <w:tcBorders>
          <w:top w:val="double" w:sz="4" w:space="0" w:color="969696"/>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969696"/>
          <w:right w:val="single" w:sz="4" w:space="0" w:color="969696"/>
        </w:tcBorders>
      </w:tcPr>
    </w:tblStylePr>
    <w:tblStylePr w:type="band1Horz">
      <w:tblPr/>
      <w:tcPr>
        <w:tcBorders>
          <w:top w:val="single" w:sz="4" w:space="0" w:color="969696"/>
          <w:bottom w:val="single" w:sz="4" w:space="0" w:color="96969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left w:val="nil"/>
        </w:tcBorders>
      </w:tcPr>
    </w:tblStylePr>
    <w:tblStylePr w:type="swCell">
      <w:tblPr/>
      <w:tcPr>
        <w:tcBorders>
          <w:top w:val="double" w:sz="4" w:space="0" w:color="969696"/>
          <w:right w:val="nil"/>
        </w:tcBorders>
      </w:tcPr>
    </w:tblStylePr>
  </w:style>
  <w:style w:type="table" w:customStyle="1" w:styleId="ListTable3-Accent511">
    <w:name w:val="List Table 3 - Accent 511"/>
    <w:basedOn w:val="TableNormal"/>
    <w:next w:val="ListTable3Accent5"/>
    <w:uiPriority w:val="48"/>
    <w:rsid w:val="00A8059F"/>
    <w:tblPr>
      <w:tblStyleRowBandSize w:val="1"/>
      <w:tblStyleColBandSize w:val="1"/>
      <w:tblBorders>
        <w:top w:val="single" w:sz="4" w:space="0" w:color="5F5F5F"/>
        <w:left w:val="single" w:sz="4" w:space="0" w:color="5F5F5F"/>
        <w:bottom w:val="single" w:sz="4" w:space="0" w:color="5F5F5F"/>
        <w:right w:val="single" w:sz="4" w:space="0" w:color="5F5F5F"/>
      </w:tblBorders>
    </w:tblPr>
    <w:tblStylePr w:type="firstRow">
      <w:rPr>
        <w:b/>
        <w:bCs/>
        <w:color w:val="0072BC"/>
      </w:rPr>
      <w:tblPr/>
      <w:tcPr>
        <w:shd w:val="clear" w:color="auto" w:fill="5F5F5F"/>
      </w:tcPr>
    </w:tblStylePr>
    <w:tblStylePr w:type="lastRow">
      <w:rPr>
        <w:b/>
        <w:bCs/>
      </w:rPr>
      <w:tblPr/>
      <w:tcPr>
        <w:tcBorders>
          <w:top w:val="double" w:sz="4" w:space="0" w:color="5F5F5F"/>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5F5F5F"/>
          <w:right w:val="single" w:sz="4" w:space="0" w:color="5F5F5F"/>
        </w:tcBorders>
      </w:tcPr>
    </w:tblStylePr>
    <w:tblStylePr w:type="band1Horz">
      <w:tblPr/>
      <w:tcPr>
        <w:tcBorders>
          <w:top w:val="single" w:sz="4" w:space="0" w:color="5F5F5F"/>
          <w:bottom w:val="single" w:sz="4" w:space="0" w:color="5F5F5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left w:val="nil"/>
        </w:tcBorders>
      </w:tcPr>
    </w:tblStylePr>
    <w:tblStylePr w:type="swCell">
      <w:tblPr/>
      <w:tcPr>
        <w:tcBorders>
          <w:top w:val="double" w:sz="4" w:space="0" w:color="5F5F5F"/>
          <w:right w:val="nil"/>
        </w:tcBorders>
      </w:tcPr>
    </w:tblStylePr>
  </w:style>
  <w:style w:type="table" w:customStyle="1" w:styleId="ListTable3-Accent611">
    <w:name w:val="List Table 3 - Accent 611"/>
    <w:basedOn w:val="TableNormal"/>
    <w:next w:val="ListTable3Accent6"/>
    <w:uiPriority w:val="48"/>
    <w:rsid w:val="00A8059F"/>
    <w:tblPr>
      <w:tblStyleRowBandSize w:val="1"/>
      <w:tblStyleColBandSize w:val="1"/>
      <w:tblBorders>
        <w:top w:val="single" w:sz="4" w:space="0" w:color="4D4D4D"/>
        <w:left w:val="single" w:sz="4" w:space="0" w:color="4D4D4D"/>
        <w:bottom w:val="single" w:sz="4" w:space="0" w:color="4D4D4D"/>
        <w:right w:val="single" w:sz="4" w:space="0" w:color="4D4D4D"/>
      </w:tblBorders>
    </w:tblPr>
    <w:tblStylePr w:type="firstRow">
      <w:rPr>
        <w:b/>
        <w:bCs/>
        <w:color w:val="0072BC"/>
      </w:rPr>
      <w:tblPr/>
      <w:tcPr>
        <w:shd w:val="clear" w:color="auto" w:fill="4D4D4D"/>
      </w:tcPr>
    </w:tblStylePr>
    <w:tblStylePr w:type="lastRow">
      <w:rPr>
        <w:b/>
        <w:bCs/>
      </w:rPr>
      <w:tblPr/>
      <w:tcPr>
        <w:tcBorders>
          <w:top w:val="double" w:sz="4" w:space="0" w:color="4D4D4D"/>
        </w:tcBorders>
        <w:shd w:val="clear" w:color="auto" w:fill="0072BC"/>
      </w:tcPr>
    </w:tblStylePr>
    <w:tblStylePr w:type="firstCol">
      <w:rPr>
        <w:b/>
        <w:bCs/>
      </w:rPr>
      <w:tblPr/>
      <w:tcPr>
        <w:tcBorders>
          <w:right w:val="nil"/>
        </w:tcBorders>
        <w:shd w:val="clear" w:color="auto" w:fill="0072BC"/>
      </w:tcPr>
    </w:tblStylePr>
    <w:tblStylePr w:type="lastCol">
      <w:rPr>
        <w:b/>
        <w:bCs/>
      </w:rPr>
      <w:tblPr/>
      <w:tcPr>
        <w:tcBorders>
          <w:left w:val="nil"/>
        </w:tcBorders>
        <w:shd w:val="clear" w:color="auto" w:fill="0072BC"/>
      </w:tcPr>
    </w:tblStylePr>
    <w:tblStylePr w:type="band1Vert">
      <w:tblPr/>
      <w:tcPr>
        <w:tcBorders>
          <w:left w:val="single" w:sz="4" w:space="0" w:color="4D4D4D"/>
          <w:right w:val="single" w:sz="4" w:space="0" w:color="4D4D4D"/>
        </w:tcBorders>
      </w:tcPr>
    </w:tblStylePr>
    <w:tblStylePr w:type="band1Horz">
      <w:tblPr/>
      <w:tcPr>
        <w:tcBorders>
          <w:top w:val="single" w:sz="4" w:space="0" w:color="4D4D4D"/>
          <w:bottom w:val="single" w:sz="4" w:space="0" w:color="4D4D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left w:val="nil"/>
        </w:tcBorders>
      </w:tcPr>
    </w:tblStylePr>
    <w:tblStylePr w:type="swCell">
      <w:tblPr/>
      <w:tcPr>
        <w:tcBorders>
          <w:top w:val="double" w:sz="4" w:space="0" w:color="4D4D4D"/>
          <w:right w:val="nil"/>
        </w:tcBorders>
      </w:tcPr>
    </w:tblStylePr>
  </w:style>
  <w:style w:type="table" w:customStyle="1" w:styleId="ListTable411">
    <w:name w:val="List Table 411"/>
    <w:basedOn w:val="TableNormal"/>
    <w:next w:val="ListTable4"/>
    <w:uiPriority w:val="49"/>
    <w:rsid w:val="00A8059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0072BC"/>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1">
    <w:name w:val="List Table 4 - Accent 111"/>
    <w:basedOn w:val="TableNormal"/>
    <w:next w:val="ListTable4Accent1"/>
    <w:uiPriority w:val="49"/>
    <w:rsid w:val="00A8059F"/>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tblBorders>
    </w:tblPr>
    <w:tblStylePr w:type="firstRow">
      <w:rPr>
        <w:b/>
        <w:bCs/>
        <w:color w:val="0072BC"/>
      </w:rPr>
      <w:tblPr/>
      <w:tcPr>
        <w:tcBorders>
          <w:top w:val="single" w:sz="4" w:space="0" w:color="0072BC"/>
          <w:left w:val="single" w:sz="4" w:space="0" w:color="0072BC"/>
          <w:bottom w:val="single" w:sz="4" w:space="0" w:color="0072BC"/>
          <w:right w:val="single" w:sz="4" w:space="0" w:color="0072BC"/>
          <w:insideH w:val="nil"/>
        </w:tcBorders>
        <w:shd w:val="clear" w:color="auto" w:fill="0072BC"/>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4-Accent211">
    <w:name w:val="List Table 4 - Accent 211"/>
    <w:basedOn w:val="TableNormal"/>
    <w:next w:val="ListTable4Accent2"/>
    <w:uiPriority w:val="49"/>
    <w:rsid w:val="00A8059F"/>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tblBorders>
    </w:tblPr>
    <w:tblStylePr w:type="firstRow">
      <w:rPr>
        <w:b/>
        <w:bCs/>
        <w:color w:val="0072BC"/>
      </w:rPr>
      <w:tblPr/>
      <w:tcPr>
        <w:tcBorders>
          <w:top w:val="single" w:sz="4" w:space="0" w:color="C00000"/>
          <w:left w:val="single" w:sz="4" w:space="0" w:color="C00000"/>
          <w:bottom w:val="single" w:sz="4" w:space="0" w:color="C00000"/>
          <w:right w:val="single" w:sz="4" w:space="0" w:color="C00000"/>
          <w:insideH w:val="nil"/>
        </w:tcBorders>
        <w:shd w:val="clear" w:color="auto" w:fill="C00000"/>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4-Accent311">
    <w:name w:val="List Table 4 - Accent 311"/>
    <w:basedOn w:val="TableNormal"/>
    <w:next w:val="ListTable4Accent3"/>
    <w:uiPriority w:val="49"/>
    <w:rsid w:val="00A8059F"/>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tblBorders>
    </w:tblPr>
    <w:tblStylePr w:type="firstRow">
      <w:rPr>
        <w:b/>
        <w:bCs/>
        <w:color w:val="0072BC"/>
      </w:rPr>
      <w:tblPr/>
      <w:tcPr>
        <w:tcBorders>
          <w:top w:val="single" w:sz="4" w:space="0" w:color="5F5F5F"/>
          <w:left w:val="single" w:sz="4" w:space="0" w:color="5F5F5F"/>
          <w:bottom w:val="single" w:sz="4" w:space="0" w:color="5F5F5F"/>
          <w:right w:val="single" w:sz="4" w:space="0" w:color="5F5F5F"/>
          <w:insideH w:val="nil"/>
        </w:tcBorders>
        <w:shd w:val="clear" w:color="auto" w:fill="5F5F5F"/>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4-Accent411">
    <w:name w:val="List Table 4 - Accent 411"/>
    <w:basedOn w:val="TableNormal"/>
    <w:next w:val="ListTable4Accent4"/>
    <w:uiPriority w:val="49"/>
    <w:rsid w:val="00A8059F"/>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tblBorders>
    </w:tblPr>
    <w:tblStylePr w:type="firstRow">
      <w:rPr>
        <w:b/>
        <w:bCs/>
        <w:color w:val="0072BC"/>
      </w:rPr>
      <w:tblPr/>
      <w:tcPr>
        <w:tcBorders>
          <w:top w:val="single" w:sz="4" w:space="0" w:color="969696"/>
          <w:left w:val="single" w:sz="4" w:space="0" w:color="969696"/>
          <w:bottom w:val="single" w:sz="4" w:space="0" w:color="969696"/>
          <w:right w:val="single" w:sz="4" w:space="0" w:color="969696"/>
          <w:insideH w:val="nil"/>
        </w:tcBorders>
        <w:shd w:val="clear" w:color="auto" w:fill="969696"/>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4-Accent511">
    <w:name w:val="List Table 4 - Accent 511"/>
    <w:basedOn w:val="TableNormal"/>
    <w:next w:val="ListTable4Accent5"/>
    <w:uiPriority w:val="49"/>
    <w:rsid w:val="00A8059F"/>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tblBorders>
    </w:tblPr>
    <w:tblStylePr w:type="firstRow">
      <w:rPr>
        <w:b/>
        <w:bCs/>
        <w:color w:val="0072BC"/>
      </w:rPr>
      <w:tblPr/>
      <w:tcPr>
        <w:tcBorders>
          <w:top w:val="single" w:sz="4" w:space="0" w:color="5F5F5F"/>
          <w:left w:val="single" w:sz="4" w:space="0" w:color="5F5F5F"/>
          <w:bottom w:val="single" w:sz="4" w:space="0" w:color="5F5F5F"/>
          <w:right w:val="single" w:sz="4" w:space="0" w:color="5F5F5F"/>
          <w:insideH w:val="nil"/>
        </w:tcBorders>
        <w:shd w:val="clear" w:color="auto" w:fill="5F5F5F"/>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4-Accent611">
    <w:name w:val="List Table 4 - Accent 611"/>
    <w:basedOn w:val="TableNormal"/>
    <w:next w:val="ListTable4Accent6"/>
    <w:uiPriority w:val="49"/>
    <w:rsid w:val="00A8059F"/>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tblBorders>
    </w:tblPr>
    <w:tblStylePr w:type="firstRow">
      <w:rPr>
        <w:b/>
        <w:bCs/>
        <w:color w:val="0072BC"/>
      </w:rPr>
      <w:tblPr/>
      <w:tcPr>
        <w:tcBorders>
          <w:top w:val="single" w:sz="4" w:space="0" w:color="4D4D4D"/>
          <w:left w:val="single" w:sz="4" w:space="0" w:color="4D4D4D"/>
          <w:bottom w:val="single" w:sz="4" w:space="0" w:color="4D4D4D"/>
          <w:right w:val="single" w:sz="4" w:space="0" w:color="4D4D4D"/>
          <w:insideH w:val="nil"/>
        </w:tcBorders>
        <w:shd w:val="clear" w:color="auto" w:fill="4D4D4D"/>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5Dark11">
    <w:name w:val="List Table 5 Dark11"/>
    <w:basedOn w:val="TableNormal"/>
    <w:next w:val="ListTable5Dark"/>
    <w:uiPriority w:val="50"/>
    <w:rsid w:val="00A8059F"/>
    <w:rPr>
      <w:color w:val="0072BC"/>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1">
    <w:name w:val="List Table 5 Dark - Accent 111"/>
    <w:basedOn w:val="TableNormal"/>
    <w:next w:val="ListTable5DarkAccent1"/>
    <w:uiPriority w:val="50"/>
    <w:rsid w:val="00A8059F"/>
    <w:rPr>
      <w:color w:val="0072BC"/>
    </w:rPr>
    <w:tblPr>
      <w:tblStyleRowBandSize w:val="1"/>
      <w:tblStyleColBandSize w:val="1"/>
      <w:tblBorders>
        <w:top w:val="single" w:sz="24" w:space="0" w:color="0072BC"/>
        <w:left w:val="single" w:sz="24" w:space="0" w:color="0072BC"/>
        <w:bottom w:val="single" w:sz="24" w:space="0" w:color="0072BC"/>
        <w:right w:val="single" w:sz="24" w:space="0" w:color="0072BC"/>
      </w:tblBorders>
    </w:tblPr>
    <w:tcPr>
      <w:shd w:val="clear" w:color="auto" w:fill="0072BC"/>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1">
    <w:name w:val="List Table 5 Dark - Accent 211"/>
    <w:basedOn w:val="TableNormal"/>
    <w:next w:val="ListTable5DarkAccent2"/>
    <w:uiPriority w:val="50"/>
    <w:rsid w:val="00A8059F"/>
    <w:rPr>
      <w:color w:val="0072BC"/>
    </w:rPr>
    <w:tblPr>
      <w:tblStyleRowBandSize w:val="1"/>
      <w:tblStyleColBandSize w:val="1"/>
      <w:tblBorders>
        <w:top w:val="single" w:sz="24" w:space="0" w:color="C00000"/>
        <w:left w:val="single" w:sz="24" w:space="0" w:color="C00000"/>
        <w:bottom w:val="single" w:sz="24" w:space="0" w:color="C00000"/>
        <w:right w:val="single" w:sz="24" w:space="0" w:color="C00000"/>
      </w:tblBorders>
    </w:tblPr>
    <w:tcPr>
      <w:shd w:val="clear" w:color="auto" w:fill="C00000"/>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
    <w:name w:val="List Table 5 Dark - Accent 311"/>
    <w:basedOn w:val="TableNormal"/>
    <w:next w:val="ListTable5DarkAccent3"/>
    <w:uiPriority w:val="50"/>
    <w:rsid w:val="00A8059F"/>
    <w:rPr>
      <w:color w:val="0072BC"/>
    </w:rPr>
    <w:tblPr>
      <w:tblStyleRowBandSize w:val="1"/>
      <w:tblStyleColBandSize w:val="1"/>
      <w:tblBorders>
        <w:top w:val="single" w:sz="24" w:space="0" w:color="5F5F5F"/>
        <w:left w:val="single" w:sz="24" w:space="0" w:color="5F5F5F"/>
        <w:bottom w:val="single" w:sz="24" w:space="0" w:color="5F5F5F"/>
        <w:right w:val="single" w:sz="24" w:space="0" w:color="5F5F5F"/>
      </w:tblBorders>
    </w:tblPr>
    <w:tcPr>
      <w:shd w:val="clear" w:color="auto" w:fill="5F5F5F"/>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1">
    <w:name w:val="List Table 5 Dark - Accent 411"/>
    <w:basedOn w:val="TableNormal"/>
    <w:next w:val="ListTable5DarkAccent4"/>
    <w:uiPriority w:val="50"/>
    <w:rsid w:val="00A8059F"/>
    <w:rPr>
      <w:color w:val="0072BC"/>
    </w:rPr>
    <w:tblPr>
      <w:tblStyleRowBandSize w:val="1"/>
      <w:tblStyleColBandSize w:val="1"/>
      <w:tblBorders>
        <w:top w:val="single" w:sz="24" w:space="0" w:color="969696"/>
        <w:left w:val="single" w:sz="24" w:space="0" w:color="969696"/>
        <w:bottom w:val="single" w:sz="24" w:space="0" w:color="969696"/>
        <w:right w:val="single" w:sz="24" w:space="0" w:color="969696"/>
      </w:tblBorders>
    </w:tblPr>
    <w:tcPr>
      <w:shd w:val="clear" w:color="auto" w:fill="969696"/>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1">
    <w:name w:val="List Table 5 Dark - Accent 511"/>
    <w:basedOn w:val="TableNormal"/>
    <w:next w:val="ListTable5DarkAccent5"/>
    <w:uiPriority w:val="50"/>
    <w:rsid w:val="00A8059F"/>
    <w:rPr>
      <w:color w:val="0072BC"/>
    </w:rPr>
    <w:tblPr>
      <w:tblStyleRowBandSize w:val="1"/>
      <w:tblStyleColBandSize w:val="1"/>
      <w:tblBorders>
        <w:top w:val="single" w:sz="24" w:space="0" w:color="5F5F5F"/>
        <w:left w:val="single" w:sz="24" w:space="0" w:color="5F5F5F"/>
        <w:bottom w:val="single" w:sz="24" w:space="0" w:color="5F5F5F"/>
        <w:right w:val="single" w:sz="24" w:space="0" w:color="5F5F5F"/>
      </w:tblBorders>
    </w:tblPr>
    <w:tcPr>
      <w:shd w:val="clear" w:color="auto" w:fill="5F5F5F"/>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1">
    <w:name w:val="List Table 5 Dark - Accent 611"/>
    <w:basedOn w:val="TableNormal"/>
    <w:next w:val="ListTable5DarkAccent6"/>
    <w:uiPriority w:val="50"/>
    <w:rsid w:val="00A8059F"/>
    <w:rPr>
      <w:color w:val="0072BC"/>
    </w:rPr>
    <w:tblPr>
      <w:tblStyleRowBandSize w:val="1"/>
      <w:tblStyleColBandSize w:val="1"/>
      <w:tblBorders>
        <w:top w:val="single" w:sz="24" w:space="0" w:color="4D4D4D"/>
        <w:left w:val="single" w:sz="24" w:space="0" w:color="4D4D4D"/>
        <w:bottom w:val="single" w:sz="24" w:space="0" w:color="4D4D4D"/>
        <w:right w:val="single" w:sz="24" w:space="0" w:color="4D4D4D"/>
      </w:tblBorders>
    </w:tblPr>
    <w:tcPr>
      <w:shd w:val="clear" w:color="auto" w:fill="4D4D4D"/>
    </w:tcPr>
    <w:tblStylePr w:type="firstRow">
      <w:rPr>
        <w:b/>
        <w:bCs/>
      </w:rPr>
      <w:tblPr/>
      <w:tcPr>
        <w:tcBorders>
          <w:bottom w:val="single" w:sz="18" w:space="0" w:color="0072BC"/>
        </w:tcBorders>
      </w:tcPr>
    </w:tblStylePr>
    <w:tblStylePr w:type="lastRow">
      <w:rPr>
        <w:b/>
        <w:bCs/>
      </w:rPr>
      <w:tblPr/>
      <w:tcPr>
        <w:tcBorders>
          <w:top w:val="single" w:sz="4" w:space="0" w:color="0072BC"/>
        </w:tcBorders>
      </w:tcPr>
    </w:tblStylePr>
    <w:tblStylePr w:type="firstCol">
      <w:rPr>
        <w:b/>
        <w:bCs/>
      </w:rPr>
      <w:tblPr/>
      <w:tcPr>
        <w:tcBorders>
          <w:right w:val="single" w:sz="4" w:space="0" w:color="0072BC"/>
        </w:tcBorders>
      </w:tcPr>
    </w:tblStylePr>
    <w:tblStylePr w:type="lastCol">
      <w:rPr>
        <w:b/>
        <w:bCs/>
      </w:rPr>
      <w:tblPr/>
      <w:tcPr>
        <w:tcBorders>
          <w:left w:val="single" w:sz="4" w:space="0" w:color="0072BC"/>
        </w:tcBorders>
      </w:tcPr>
    </w:tblStylePr>
    <w:tblStylePr w:type="band1Vert">
      <w:tblPr/>
      <w:tcPr>
        <w:tcBorders>
          <w:left w:val="single" w:sz="4" w:space="0" w:color="0072BC"/>
          <w:right w:val="single" w:sz="4" w:space="0" w:color="0072BC"/>
        </w:tcBorders>
      </w:tcPr>
    </w:tblStylePr>
    <w:tblStylePr w:type="band2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1">
    <w:name w:val="List Table 6 Colorful11"/>
    <w:basedOn w:val="TableNormal"/>
    <w:next w:val="ListTable6Colorful"/>
    <w:uiPriority w:val="51"/>
    <w:rsid w:val="00A8059F"/>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1">
    <w:name w:val="List Table 6 Colorful - Accent 111"/>
    <w:basedOn w:val="TableNormal"/>
    <w:next w:val="ListTable6ColorfulAccent1"/>
    <w:uiPriority w:val="51"/>
    <w:rsid w:val="00A8059F"/>
    <w:rPr>
      <w:color w:val="00548C"/>
    </w:rPr>
    <w:tblPr>
      <w:tblStyleRowBandSize w:val="1"/>
      <w:tblStyleColBandSize w:val="1"/>
      <w:tblBorders>
        <w:top w:val="single" w:sz="4" w:space="0" w:color="0072BC"/>
        <w:bottom w:val="single" w:sz="4" w:space="0" w:color="0072BC"/>
      </w:tblBorders>
    </w:tblPr>
    <w:tblStylePr w:type="firstRow">
      <w:rPr>
        <w:b/>
        <w:bCs/>
      </w:rPr>
      <w:tblPr/>
      <w:tcPr>
        <w:tcBorders>
          <w:bottom w:val="single" w:sz="4" w:space="0" w:color="0072BC"/>
        </w:tcBorders>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6Colorful-Accent211">
    <w:name w:val="List Table 6 Colorful - Accent 211"/>
    <w:basedOn w:val="TableNormal"/>
    <w:next w:val="ListTable6ColorfulAccent2"/>
    <w:uiPriority w:val="51"/>
    <w:rsid w:val="00A8059F"/>
    <w:rPr>
      <w:color w:val="8F0000"/>
    </w:rPr>
    <w:tblPr>
      <w:tblStyleRowBandSize w:val="1"/>
      <w:tblStyleColBandSize w:val="1"/>
      <w:tblBorders>
        <w:top w:val="single" w:sz="4" w:space="0" w:color="C00000"/>
        <w:bottom w:val="single" w:sz="4" w:space="0" w:color="C00000"/>
      </w:tblBorders>
    </w:tblPr>
    <w:tblStylePr w:type="firstRow">
      <w:rPr>
        <w:b/>
        <w:bCs/>
      </w:rPr>
      <w:tblPr/>
      <w:tcPr>
        <w:tcBorders>
          <w:bottom w:val="single" w:sz="4" w:space="0" w:color="C00000"/>
        </w:tcBorders>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6Colorful-Accent311">
    <w:name w:val="List Table 6 Colorful - Accent 311"/>
    <w:basedOn w:val="TableNormal"/>
    <w:next w:val="ListTable6ColorfulAccent3"/>
    <w:uiPriority w:val="51"/>
    <w:rsid w:val="00A8059F"/>
    <w:rPr>
      <w:color w:val="474747"/>
    </w:rPr>
    <w:tblPr>
      <w:tblStyleRowBandSize w:val="1"/>
      <w:tblStyleColBandSize w:val="1"/>
      <w:tblBorders>
        <w:top w:val="single" w:sz="4" w:space="0" w:color="5F5F5F"/>
        <w:bottom w:val="single" w:sz="4" w:space="0" w:color="5F5F5F"/>
      </w:tblBorders>
    </w:tblPr>
    <w:tblStylePr w:type="firstRow">
      <w:rPr>
        <w:b/>
        <w:bCs/>
      </w:rPr>
      <w:tblPr/>
      <w:tcPr>
        <w:tcBorders>
          <w:bottom w:val="single" w:sz="4" w:space="0" w:color="5F5F5F"/>
        </w:tcBorders>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6Colorful-Accent411">
    <w:name w:val="List Table 6 Colorful - Accent 411"/>
    <w:basedOn w:val="TableNormal"/>
    <w:next w:val="ListTable6ColorfulAccent4"/>
    <w:uiPriority w:val="51"/>
    <w:rsid w:val="00A8059F"/>
    <w:rPr>
      <w:color w:val="707070"/>
    </w:rPr>
    <w:tblPr>
      <w:tblStyleRowBandSize w:val="1"/>
      <w:tblStyleColBandSize w:val="1"/>
      <w:tblBorders>
        <w:top w:val="single" w:sz="4" w:space="0" w:color="969696"/>
        <w:bottom w:val="single" w:sz="4" w:space="0" w:color="969696"/>
      </w:tblBorders>
    </w:tblPr>
    <w:tblStylePr w:type="firstRow">
      <w:rPr>
        <w:b/>
        <w:bCs/>
      </w:rPr>
      <w:tblPr/>
      <w:tcPr>
        <w:tcBorders>
          <w:bottom w:val="single" w:sz="4" w:space="0" w:color="969696"/>
        </w:tcBorders>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6Colorful-Accent511">
    <w:name w:val="List Table 6 Colorful - Accent 511"/>
    <w:basedOn w:val="TableNormal"/>
    <w:next w:val="ListTable6ColorfulAccent5"/>
    <w:uiPriority w:val="51"/>
    <w:rsid w:val="00A8059F"/>
    <w:rPr>
      <w:color w:val="474747"/>
    </w:rPr>
    <w:tblPr>
      <w:tblStyleRowBandSize w:val="1"/>
      <w:tblStyleColBandSize w:val="1"/>
      <w:tblBorders>
        <w:top w:val="single" w:sz="4" w:space="0" w:color="5F5F5F"/>
        <w:bottom w:val="single" w:sz="4" w:space="0" w:color="5F5F5F"/>
      </w:tblBorders>
    </w:tblPr>
    <w:tblStylePr w:type="firstRow">
      <w:rPr>
        <w:b/>
        <w:bCs/>
      </w:rPr>
      <w:tblPr/>
      <w:tcPr>
        <w:tcBorders>
          <w:bottom w:val="single" w:sz="4" w:space="0" w:color="5F5F5F"/>
        </w:tcBorders>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6Colorful-Accent611">
    <w:name w:val="List Table 6 Colorful - Accent 611"/>
    <w:basedOn w:val="TableNormal"/>
    <w:next w:val="ListTable6ColorfulAccent6"/>
    <w:uiPriority w:val="51"/>
    <w:rsid w:val="00A8059F"/>
    <w:rPr>
      <w:color w:val="393939"/>
    </w:rPr>
    <w:tblPr>
      <w:tblStyleRowBandSize w:val="1"/>
      <w:tblStyleColBandSize w:val="1"/>
      <w:tblBorders>
        <w:top w:val="single" w:sz="4" w:space="0" w:color="4D4D4D"/>
        <w:bottom w:val="single" w:sz="4" w:space="0" w:color="4D4D4D"/>
      </w:tblBorders>
    </w:tblPr>
    <w:tblStylePr w:type="firstRow">
      <w:rPr>
        <w:b/>
        <w:bCs/>
      </w:rPr>
      <w:tblPr/>
      <w:tcPr>
        <w:tcBorders>
          <w:bottom w:val="single" w:sz="4" w:space="0" w:color="4D4D4D"/>
        </w:tcBorders>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7Colorful11">
    <w:name w:val="List Table 7 Colorful11"/>
    <w:basedOn w:val="TableNormal"/>
    <w:next w:val="ListTable7Colorful"/>
    <w:uiPriority w:val="52"/>
    <w:rsid w:val="00A8059F"/>
    <w:rPr>
      <w:color w:val="00000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0000"/>
        </w:tcBorders>
        <w:shd w:val="clear" w:color="auto" w:fill="0072BC"/>
      </w:tcPr>
    </w:tblStylePr>
    <w:tblStylePr w:type="lastRow">
      <w:rPr>
        <w:rFonts w:ascii="Times New Roman" w:eastAsia="Times New Roman" w:hAnsi="Times New Roman" w:cs="Times New Roman"/>
        <w:i/>
        <w:iCs/>
        <w:sz w:val="26"/>
      </w:rPr>
      <w:tblPr/>
      <w:tcPr>
        <w:tcBorders>
          <w:top w:val="single" w:sz="4" w:space="0" w:color="000000"/>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000000"/>
        </w:tcBorders>
        <w:shd w:val="clear" w:color="auto" w:fill="0072BC"/>
      </w:tcPr>
    </w:tblStylePr>
    <w:tblStylePr w:type="lastCol">
      <w:rPr>
        <w:rFonts w:ascii="Times New Roman" w:eastAsia="Times New Roman" w:hAnsi="Times New Roman" w:cs="Times New Roman"/>
        <w:i/>
        <w:iCs/>
        <w:sz w:val="26"/>
      </w:rPr>
      <w:tblPr/>
      <w:tcPr>
        <w:tcBorders>
          <w:left w:val="single" w:sz="4" w:space="0" w:color="000000"/>
        </w:tcBorders>
        <w:shd w:val="clear" w:color="auto" w:fill="0072BC"/>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1">
    <w:name w:val="List Table 7 Colorful - Accent 111"/>
    <w:basedOn w:val="TableNormal"/>
    <w:next w:val="ListTable7ColorfulAccent1"/>
    <w:uiPriority w:val="52"/>
    <w:rsid w:val="00A8059F"/>
    <w:rPr>
      <w:color w:val="00548C"/>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0072BC"/>
        </w:tcBorders>
        <w:shd w:val="clear" w:color="auto" w:fill="0072BC"/>
      </w:tcPr>
    </w:tblStylePr>
    <w:tblStylePr w:type="lastRow">
      <w:rPr>
        <w:rFonts w:ascii="Times New Roman" w:eastAsia="Times New Roman" w:hAnsi="Times New Roman" w:cs="Times New Roman"/>
        <w:i/>
        <w:iCs/>
        <w:sz w:val="26"/>
      </w:rPr>
      <w:tblPr/>
      <w:tcPr>
        <w:tcBorders>
          <w:top w:val="single" w:sz="4" w:space="0" w:color="0072BC"/>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0072BC"/>
        </w:tcBorders>
        <w:shd w:val="clear" w:color="auto" w:fill="0072BC"/>
      </w:tcPr>
    </w:tblStylePr>
    <w:tblStylePr w:type="lastCol">
      <w:rPr>
        <w:rFonts w:ascii="Times New Roman" w:eastAsia="Times New Roman" w:hAnsi="Times New Roman" w:cs="Times New Roman"/>
        <w:i/>
        <w:iCs/>
        <w:sz w:val="26"/>
      </w:rPr>
      <w:tblPr/>
      <w:tcPr>
        <w:tcBorders>
          <w:left w:val="single" w:sz="4" w:space="0" w:color="0072BC"/>
        </w:tcBorders>
        <w:shd w:val="clear" w:color="auto" w:fill="0072BC"/>
      </w:tcPr>
    </w:tblStylePr>
    <w:tblStylePr w:type="band1Vert">
      <w:tblPr/>
      <w:tcPr>
        <w:shd w:val="clear" w:color="auto" w:fill="BEE5FF"/>
      </w:tcPr>
    </w:tblStylePr>
    <w:tblStylePr w:type="band1Horz">
      <w:tblPr/>
      <w:tcPr>
        <w:shd w:val="clear" w:color="auto" w:fill="BEE5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1">
    <w:name w:val="List Table 7 Colorful - Accent 211"/>
    <w:basedOn w:val="TableNormal"/>
    <w:next w:val="ListTable7ColorfulAccent2"/>
    <w:uiPriority w:val="52"/>
    <w:rsid w:val="00A8059F"/>
    <w:rPr>
      <w:color w:val="8F000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C00000"/>
        </w:tcBorders>
        <w:shd w:val="clear" w:color="auto" w:fill="0072BC"/>
      </w:tcPr>
    </w:tblStylePr>
    <w:tblStylePr w:type="lastRow">
      <w:rPr>
        <w:rFonts w:ascii="Times New Roman" w:eastAsia="Times New Roman" w:hAnsi="Times New Roman" w:cs="Times New Roman"/>
        <w:i/>
        <w:iCs/>
        <w:sz w:val="26"/>
      </w:rPr>
      <w:tblPr/>
      <w:tcPr>
        <w:tcBorders>
          <w:top w:val="single" w:sz="4" w:space="0" w:color="C00000"/>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C00000"/>
        </w:tcBorders>
        <w:shd w:val="clear" w:color="auto" w:fill="0072BC"/>
      </w:tcPr>
    </w:tblStylePr>
    <w:tblStylePr w:type="lastCol">
      <w:rPr>
        <w:rFonts w:ascii="Times New Roman" w:eastAsia="Times New Roman" w:hAnsi="Times New Roman" w:cs="Times New Roman"/>
        <w:i/>
        <w:iCs/>
        <w:sz w:val="26"/>
      </w:rPr>
      <w:tblPr/>
      <w:tcPr>
        <w:tcBorders>
          <w:left w:val="single" w:sz="4" w:space="0" w:color="C00000"/>
        </w:tcBorders>
        <w:shd w:val="clear" w:color="auto" w:fill="0072BC"/>
      </w:tcPr>
    </w:tblStylePr>
    <w:tblStylePr w:type="band1Vert">
      <w:tblPr/>
      <w:tcPr>
        <w:shd w:val="clear" w:color="auto" w:fill="FFBFBF"/>
      </w:tcPr>
    </w:tblStylePr>
    <w:tblStylePr w:type="band1Horz">
      <w:tblPr/>
      <w:tcPr>
        <w:shd w:val="clear" w:color="auto" w:fill="FFBFB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1">
    <w:name w:val="List Table 7 Colorful - Accent 311"/>
    <w:basedOn w:val="TableNormal"/>
    <w:next w:val="ListTable7ColorfulAccent3"/>
    <w:uiPriority w:val="52"/>
    <w:rsid w:val="00A8059F"/>
    <w:rPr>
      <w:color w:val="474747"/>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5F5F5F"/>
        </w:tcBorders>
        <w:shd w:val="clear" w:color="auto" w:fill="0072BC"/>
      </w:tcPr>
    </w:tblStylePr>
    <w:tblStylePr w:type="lastRow">
      <w:rPr>
        <w:rFonts w:ascii="Times New Roman" w:eastAsia="Times New Roman" w:hAnsi="Times New Roman" w:cs="Times New Roman"/>
        <w:i/>
        <w:iCs/>
        <w:sz w:val="26"/>
      </w:rPr>
      <w:tblPr/>
      <w:tcPr>
        <w:tcBorders>
          <w:top w:val="single" w:sz="4" w:space="0" w:color="5F5F5F"/>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5F5F5F"/>
        </w:tcBorders>
        <w:shd w:val="clear" w:color="auto" w:fill="0072BC"/>
      </w:tcPr>
    </w:tblStylePr>
    <w:tblStylePr w:type="lastCol">
      <w:rPr>
        <w:rFonts w:ascii="Times New Roman" w:eastAsia="Times New Roman" w:hAnsi="Times New Roman" w:cs="Times New Roman"/>
        <w:i/>
        <w:iCs/>
        <w:sz w:val="26"/>
      </w:rPr>
      <w:tblPr/>
      <w:tcPr>
        <w:tcBorders>
          <w:left w:val="single" w:sz="4" w:space="0" w:color="5F5F5F"/>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1">
    <w:name w:val="List Table 7 Colorful - Accent 411"/>
    <w:basedOn w:val="TableNormal"/>
    <w:next w:val="ListTable7ColorfulAccent4"/>
    <w:uiPriority w:val="52"/>
    <w:rsid w:val="00A8059F"/>
    <w:rPr>
      <w:color w:val="70707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69696"/>
        </w:tcBorders>
        <w:shd w:val="clear" w:color="auto" w:fill="0072BC"/>
      </w:tcPr>
    </w:tblStylePr>
    <w:tblStylePr w:type="lastRow">
      <w:rPr>
        <w:rFonts w:ascii="Times New Roman" w:eastAsia="Times New Roman" w:hAnsi="Times New Roman" w:cs="Times New Roman"/>
        <w:i/>
        <w:iCs/>
        <w:sz w:val="26"/>
      </w:rPr>
      <w:tblPr/>
      <w:tcPr>
        <w:tcBorders>
          <w:top w:val="single" w:sz="4" w:space="0" w:color="969696"/>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969696"/>
        </w:tcBorders>
        <w:shd w:val="clear" w:color="auto" w:fill="0072BC"/>
      </w:tcPr>
    </w:tblStylePr>
    <w:tblStylePr w:type="lastCol">
      <w:rPr>
        <w:rFonts w:ascii="Times New Roman" w:eastAsia="Times New Roman" w:hAnsi="Times New Roman" w:cs="Times New Roman"/>
        <w:i/>
        <w:iCs/>
        <w:sz w:val="26"/>
      </w:rPr>
      <w:tblPr/>
      <w:tcPr>
        <w:tcBorders>
          <w:left w:val="single" w:sz="4" w:space="0" w:color="969696"/>
        </w:tcBorders>
        <w:shd w:val="clear" w:color="auto" w:fill="0072BC"/>
      </w:tcPr>
    </w:tblStylePr>
    <w:tblStylePr w:type="band1Vert">
      <w:tblPr/>
      <w:tcPr>
        <w:shd w:val="clear" w:color="auto" w:fill="EAEAEA"/>
      </w:tcPr>
    </w:tblStylePr>
    <w:tblStylePr w:type="band1Horz">
      <w:tblPr/>
      <w:tcPr>
        <w:shd w:val="clear" w:color="auto" w:fill="EAEAE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1">
    <w:name w:val="List Table 7 Colorful - Accent 511"/>
    <w:basedOn w:val="TableNormal"/>
    <w:next w:val="ListTable7ColorfulAccent5"/>
    <w:uiPriority w:val="52"/>
    <w:rsid w:val="00A8059F"/>
    <w:rPr>
      <w:color w:val="474747"/>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5F5F5F"/>
        </w:tcBorders>
        <w:shd w:val="clear" w:color="auto" w:fill="0072BC"/>
      </w:tcPr>
    </w:tblStylePr>
    <w:tblStylePr w:type="lastRow">
      <w:rPr>
        <w:rFonts w:ascii="Times New Roman" w:eastAsia="Times New Roman" w:hAnsi="Times New Roman" w:cs="Times New Roman"/>
        <w:i/>
        <w:iCs/>
        <w:sz w:val="26"/>
      </w:rPr>
      <w:tblPr/>
      <w:tcPr>
        <w:tcBorders>
          <w:top w:val="single" w:sz="4" w:space="0" w:color="5F5F5F"/>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5F5F5F"/>
        </w:tcBorders>
        <w:shd w:val="clear" w:color="auto" w:fill="0072BC"/>
      </w:tcPr>
    </w:tblStylePr>
    <w:tblStylePr w:type="lastCol">
      <w:rPr>
        <w:rFonts w:ascii="Times New Roman" w:eastAsia="Times New Roman" w:hAnsi="Times New Roman" w:cs="Times New Roman"/>
        <w:i/>
        <w:iCs/>
        <w:sz w:val="26"/>
      </w:rPr>
      <w:tblPr/>
      <w:tcPr>
        <w:tcBorders>
          <w:left w:val="single" w:sz="4" w:space="0" w:color="5F5F5F"/>
        </w:tcBorders>
        <w:shd w:val="clear" w:color="auto" w:fill="0072BC"/>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1">
    <w:name w:val="List Table 7 Colorful - Accent 611"/>
    <w:basedOn w:val="TableNormal"/>
    <w:next w:val="ListTable7ColorfulAccent6"/>
    <w:uiPriority w:val="52"/>
    <w:rsid w:val="00A8059F"/>
    <w:rPr>
      <w:color w:val="393939"/>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4D4D4D"/>
        </w:tcBorders>
        <w:shd w:val="clear" w:color="auto" w:fill="0072BC"/>
      </w:tcPr>
    </w:tblStylePr>
    <w:tblStylePr w:type="lastRow">
      <w:rPr>
        <w:rFonts w:ascii="Times New Roman" w:eastAsia="Times New Roman" w:hAnsi="Times New Roman" w:cs="Times New Roman"/>
        <w:i/>
        <w:iCs/>
        <w:sz w:val="26"/>
      </w:rPr>
      <w:tblPr/>
      <w:tcPr>
        <w:tcBorders>
          <w:top w:val="single" w:sz="4" w:space="0" w:color="4D4D4D"/>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4D4D4D"/>
        </w:tcBorders>
        <w:shd w:val="clear" w:color="auto" w:fill="0072BC"/>
      </w:tcPr>
    </w:tblStylePr>
    <w:tblStylePr w:type="lastCol">
      <w:rPr>
        <w:rFonts w:ascii="Times New Roman" w:eastAsia="Times New Roman" w:hAnsi="Times New Roman" w:cs="Times New Roman"/>
        <w:i/>
        <w:iCs/>
        <w:sz w:val="26"/>
      </w:rPr>
      <w:tblPr/>
      <w:tcPr>
        <w:tcBorders>
          <w:left w:val="single" w:sz="4" w:space="0" w:color="4D4D4D"/>
        </w:tcBorders>
        <w:shd w:val="clear" w:color="auto" w:fill="0072BC"/>
      </w:tcPr>
    </w:tblStylePr>
    <w:tblStylePr w:type="band1Vert">
      <w:tblPr/>
      <w:tcPr>
        <w:shd w:val="clear" w:color="auto" w:fill="DBDBDB"/>
      </w:tcPr>
    </w:tblStylePr>
    <w:tblStylePr w:type="band1Horz">
      <w:tblPr/>
      <w:tcPr>
        <w:shd w:val="clear" w:color="auto" w:fill="DB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1">
    <w:name w:val="Plain Table 111"/>
    <w:basedOn w:val="TableNormal"/>
    <w:next w:val="PlainTable1"/>
    <w:uiPriority w:val="41"/>
    <w:rsid w:val="00A8059F"/>
    <w:tblPr>
      <w:tblStyleRowBandSize w:val="1"/>
      <w:tblStyleColBandSize w:val="1"/>
      <w:tblBorders>
        <w:top w:val="single" w:sz="4" w:space="0" w:color="00548C"/>
        <w:left w:val="single" w:sz="4" w:space="0" w:color="00548C"/>
        <w:bottom w:val="single" w:sz="4" w:space="0" w:color="00548C"/>
        <w:right w:val="single" w:sz="4" w:space="0" w:color="00548C"/>
        <w:insideH w:val="single" w:sz="4" w:space="0" w:color="00548C"/>
        <w:insideV w:val="single" w:sz="4" w:space="0" w:color="00548C"/>
      </w:tblBorders>
    </w:tblPr>
    <w:tblStylePr w:type="firstRow">
      <w:rPr>
        <w:b/>
        <w:bCs/>
      </w:rPr>
    </w:tblStylePr>
    <w:tblStylePr w:type="lastRow">
      <w:rPr>
        <w:b/>
        <w:bCs/>
      </w:rPr>
      <w:tblPr/>
      <w:tcPr>
        <w:tcBorders>
          <w:top w:val="double" w:sz="4" w:space="0" w:color="00548C"/>
        </w:tcBorders>
      </w:tcPr>
    </w:tblStylePr>
    <w:tblStylePr w:type="firstCol">
      <w:rPr>
        <w:b/>
        <w:bCs/>
      </w:rPr>
    </w:tblStylePr>
    <w:tblStylePr w:type="lastCol">
      <w:rPr>
        <w:b/>
        <w:bCs/>
      </w:rPr>
    </w:tblStylePr>
    <w:tblStylePr w:type="band1Vert">
      <w:tblPr/>
      <w:tcPr>
        <w:shd w:val="clear" w:color="auto" w:fill="006BB2"/>
      </w:tcPr>
    </w:tblStylePr>
    <w:tblStylePr w:type="band1Horz">
      <w:tblPr/>
      <w:tcPr>
        <w:shd w:val="clear" w:color="auto" w:fill="006BB2"/>
      </w:tcPr>
    </w:tblStylePr>
  </w:style>
  <w:style w:type="table" w:customStyle="1" w:styleId="PlainTable211">
    <w:name w:val="Plain Table 211"/>
    <w:basedOn w:val="TableNormal"/>
    <w:next w:val="PlainTable2"/>
    <w:uiPriority w:val="42"/>
    <w:rsid w:val="00A8059F"/>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1">
    <w:name w:val="Plain Table 311"/>
    <w:basedOn w:val="TableNormal"/>
    <w:next w:val="PlainTable3"/>
    <w:uiPriority w:val="43"/>
    <w:rsid w:val="00A8059F"/>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006BB2"/>
      </w:tcPr>
    </w:tblStylePr>
    <w:tblStylePr w:type="band1Horz">
      <w:tblPr/>
      <w:tcPr>
        <w:shd w:val="clear" w:color="auto" w:fill="006BB2"/>
      </w:tcPr>
    </w:tblStylePr>
    <w:tblStylePr w:type="neCell">
      <w:tblPr/>
      <w:tcPr>
        <w:tcBorders>
          <w:left w:val="nil"/>
        </w:tcBorders>
      </w:tcPr>
    </w:tblStylePr>
    <w:tblStylePr w:type="nwCell">
      <w:tblPr/>
      <w:tcPr>
        <w:tcBorders>
          <w:right w:val="nil"/>
        </w:tcBorders>
      </w:tcPr>
    </w:tblStylePr>
  </w:style>
  <w:style w:type="table" w:customStyle="1" w:styleId="PlainTable411">
    <w:name w:val="Plain Table 411"/>
    <w:basedOn w:val="TableNormal"/>
    <w:next w:val="PlainTable4"/>
    <w:uiPriority w:val="44"/>
    <w:rsid w:val="00A805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cPr>
    </w:tblStylePr>
    <w:tblStylePr w:type="band1Horz">
      <w:tblPr/>
      <w:tcPr>
        <w:shd w:val="clear" w:color="auto" w:fill="006BB2"/>
      </w:tcPr>
    </w:tblStylePr>
  </w:style>
  <w:style w:type="table" w:customStyle="1" w:styleId="PlainTable511">
    <w:name w:val="Plain Table 511"/>
    <w:basedOn w:val="TableNormal"/>
    <w:next w:val="PlainTable5"/>
    <w:uiPriority w:val="45"/>
    <w:rsid w:val="00A8059F"/>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7F7F7F"/>
        </w:tcBorders>
        <w:shd w:val="clear" w:color="auto" w:fill="0072BC"/>
      </w:tcPr>
    </w:tblStylePr>
    <w:tblStylePr w:type="lastRow">
      <w:rPr>
        <w:rFonts w:ascii="Times New Roman" w:eastAsia="Times New Roman" w:hAnsi="Times New Roman" w:cs="Times New Roman"/>
        <w:i/>
        <w:iCs/>
        <w:sz w:val="26"/>
      </w:rPr>
      <w:tblPr/>
      <w:tcPr>
        <w:tcBorders>
          <w:top w:val="single" w:sz="4" w:space="0" w:color="7F7F7F"/>
        </w:tcBorders>
        <w:shd w:val="clear" w:color="auto" w:fill="0072BC"/>
      </w:tcPr>
    </w:tblStylePr>
    <w:tblStylePr w:type="firstCol">
      <w:pPr>
        <w:jc w:val="right"/>
      </w:pPr>
      <w:rPr>
        <w:rFonts w:ascii="Times New Roman" w:eastAsia="Times New Roman" w:hAnsi="Times New Roman" w:cs="Times New Roman"/>
        <w:i/>
        <w:iCs/>
        <w:sz w:val="26"/>
      </w:rPr>
      <w:tblPr/>
      <w:tcPr>
        <w:tcBorders>
          <w:right w:val="single" w:sz="4" w:space="0" w:color="7F7F7F"/>
        </w:tcBorders>
        <w:shd w:val="clear" w:color="auto" w:fill="0072BC"/>
      </w:tcPr>
    </w:tblStylePr>
    <w:tblStylePr w:type="lastCol">
      <w:rPr>
        <w:rFonts w:ascii="Times New Roman" w:eastAsia="Times New Roman" w:hAnsi="Times New Roman" w:cs="Times New Roman"/>
        <w:i/>
        <w:iCs/>
        <w:sz w:val="26"/>
      </w:rPr>
      <w:tblPr/>
      <w:tcPr>
        <w:tcBorders>
          <w:left w:val="single" w:sz="4" w:space="0" w:color="7F7F7F"/>
        </w:tcBorders>
        <w:shd w:val="clear" w:color="auto" w:fill="0072BC"/>
      </w:tcPr>
    </w:tblStylePr>
    <w:tblStylePr w:type="band1Vert">
      <w:tblPr/>
      <w:tcPr>
        <w:shd w:val="clear" w:color="auto" w:fill="006BB2"/>
      </w:tcPr>
    </w:tblStylePr>
    <w:tblStylePr w:type="band1Horz">
      <w:tblPr/>
      <w:tcPr>
        <w:shd w:val="clear" w:color="auto" w:fill="006BB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1">
    <w:name w:val="Table Grid Light11"/>
    <w:basedOn w:val="TableNormal"/>
    <w:next w:val="GridTableLight"/>
    <w:uiPriority w:val="40"/>
    <w:rsid w:val="00A8059F"/>
    <w:tblPr>
      <w:tblBorders>
        <w:top w:val="single" w:sz="4" w:space="0" w:color="00548C"/>
        <w:left w:val="single" w:sz="4" w:space="0" w:color="00548C"/>
        <w:bottom w:val="single" w:sz="4" w:space="0" w:color="00548C"/>
        <w:right w:val="single" w:sz="4" w:space="0" w:color="00548C"/>
        <w:insideH w:val="single" w:sz="4" w:space="0" w:color="00548C"/>
        <w:insideV w:val="single" w:sz="4" w:space="0" w:color="00548C"/>
      </w:tblBorders>
    </w:tblPr>
  </w:style>
  <w:style w:type="paragraph" w:customStyle="1" w:styleId="Revision1">
    <w:name w:val="Revision1"/>
    <w:next w:val="Revision"/>
    <w:hidden/>
    <w:uiPriority w:val="99"/>
    <w:semiHidden/>
    <w:rsid w:val="00A8059F"/>
    <w:rPr>
      <w:sz w:val="24"/>
      <w:szCs w:val="24"/>
      <w:lang w:val="en-GB"/>
    </w:rPr>
  </w:style>
  <w:style w:type="numbering" w:customStyle="1" w:styleId="ECHRA1StyleBulletedSquare111">
    <w:name w:val="ECHR_A1_Style_Bulleted_Square111"/>
    <w:basedOn w:val="NoList"/>
    <w:rsid w:val="00A8059F"/>
  </w:style>
  <w:style w:type="numbering" w:customStyle="1" w:styleId="ECHRA1StyleList111">
    <w:name w:val="ECHR_A1_Style_List111"/>
    <w:basedOn w:val="NoList"/>
    <w:uiPriority w:val="99"/>
    <w:rsid w:val="00A8059F"/>
  </w:style>
  <w:style w:type="numbering" w:customStyle="1" w:styleId="ECHRA1StyleNumberedList111">
    <w:name w:val="ECHR_A1_Style_Numbered_List111"/>
    <w:basedOn w:val="NoList"/>
    <w:rsid w:val="00A8059F"/>
  </w:style>
  <w:style w:type="table" w:customStyle="1" w:styleId="GridTable1Light111">
    <w:name w:val="Grid Table 1 Light111"/>
    <w:basedOn w:val="TableNormal"/>
    <w:next w:val="GridTable1Light"/>
    <w:uiPriority w:val="46"/>
    <w:semiHidden/>
    <w:rsid w:val="00A8059F"/>
    <w:pPr>
      <w:jc w:val="both"/>
    </w:pPr>
    <w:rPr>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11">
    <w:name w:val="Grid Table 1 Light - Accent 1111"/>
    <w:basedOn w:val="TableNormal"/>
    <w:next w:val="GridTable1LightAccent1"/>
    <w:uiPriority w:val="46"/>
    <w:semiHidden/>
    <w:rsid w:val="00A8059F"/>
    <w:pPr>
      <w:jc w:val="both"/>
    </w:pPr>
    <w:rPr>
      <w:sz w:val="24"/>
      <w:szCs w:val="24"/>
    </w:rPr>
    <w:tblPr>
      <w:tblStyleRowBandSize w:val="1"/>
      <w:tblStyleColBandSize w:val="1"/>
      <w:tblBorders>
        <w:top w:val="single" w:sz="4" w:space="0" w:color="7ECBFF"/>
        <w:left w:val="single" w:sz="4" w:space="0" w:color="7ECBFF"/>
        <w:bottom w:val="single" w:sz="4" w:space="0" w:color="7ECBFF"/>
        <w:right w:val="single" w:sz="4" w:space="0" w:color="7ECBFF"/>
        <w:insideH w:val="single" w:sz="4" w:space="0" w:color="7ECBFF"/>
        <w:insideV w:val="single" w:sz="4" w:space="0" w:color="7ECBFF"/>
      </w:tblBorders>
    </w:tblPr>
    <w:tblStylePr w:type="firstRow">
      <w:rPr>
        <w:b/>
        <w:bCs/>
      </w:rPr>
      <w:tblPr/>
      <w:tcPr>
        <w:tcBorders>
          <w:bottom w:val="single" w:sz="12" w:space="0" w:color="3DB2FF"/>
        </w:tcBorders>
      </w:tcPr>
    </w:tblStylePr>
    <w:tblStylePr w:type="lastRow">
      <w:rPr>
        <w:b/>
        <w:bCs/>
      </w:rPr>
      <w:tblPr/>
      <w:tcPr>
        <w:tcBorders>
          <w:top w:val="double" w:sz="2" w:space="0" w:color="3DB2FF"/>
        </w:tcBorders>
      </w:tcPr>
    </w:tblStylePr>
    <w:tblStylePr w:type="firstCol">
      <w:rPr>
        <w:b/>
        <w:bCs/>
      </w:rPr>
    </w:tblStylePr>
    <w:tblStylePr w:type="lastCol">
      <w:rPr>
        <w:b/>
        <w:bCs/>
      </w:rPr>
    </w:tblStylePr>
  </w:style>
  <w:style w:type="table" w:customStyle="1" w:styleId="GridTable1Light-Accent2111">
    <w:name w:val="Grid Table 1 Light - Accent 2111"/>
    <w:basedOn w:val="TableNormal"/>
    <w:next w:val="GridTable1LightAccent2"/>
    <w:uiPriority w:val="46"/>
    <w:semiHidden/>
    <w:rsid w:val="00A8059F"/>
    <w:pPr>
      <w:jc w:val="both"/>
    </w:pPr>
    <w:rPr>
      <w:sz w:val="24"/>
      <w:szCs w:val="24"/>
    </w:rPr>
    <w:tblPr>
      <w:tblStyleRowBandSize w:val="1"/>
      <w:tblStyleColBandSize w:val="1"/>
      <w:tblBorders>
        <w:top w:val="single" w:sz="4" w:space="0" w:color="FF7F7F"/>
        <w:left w:val="single" w:sz="4" w:space="0" w:color="FF7F7F"/>
        <w:bottom w:val="single" w:sz="4" w:space="0" w:color="FF7F7F"/>
        <w:right w:val="single" w:sz="4" w:space="0" w:color="FF7F7F"/>
        <w:insideH w:val="single" w:sz="4" w:space="0" w:color="FF7F7F"/>
        <w:insideV w:val="single" w:sz="4" w:space="0" w:color="FF7F7F"/>
      </w:tblBorders>
    </w:tblPr>
    <w:tblStylePr w:type="firstRow">
      <w:rPr>
        <w:b/>
        <w:bCs/>
      </w:rPr>
      <w:tblPr/>
      <w:tcPr>
        <w:tcBorders>
          <w:bottom w:val="single" w:sz="12" w:space="0" w:color="FF4040"/>
        </w:tcBorders>
      </w:tcPr>
    </w:tblStylePr>
    <w:tblStylePr w:type="lastRow">
      <w:rPr>
        <w:b/>
        <w:bCs/>
      </w:rPr>
      <w:tblPr/>
      <w:tcPr>
        <w:tcBorders>
          <w:top w:val="double" w:sz="2" w:space="0" w:color="FF4040"/>
        </w:tcBorders>
      </w:tcPr>
    </w:tblStylePr>
    <w:tblStylePr w:type="firstCol">
      <w:rPr>
        <w:b/>
        <w:bCs/>
      </w:rPr>
    </w:tblStylePr>
    <w:tblStylePr w:type="lastCol">
      <w:rPr>
        <w:b/>
        <w:bCs/>
      </w:rPr>
    </w:tblStylePr>
  </w:style>
  <w:style w:type="table" w:customStyle="1" w:styleId="GridTable1Light-Accent3111">
    <w:name w:val="Grid Table 1 Light - Accent 3111"/>
    <w:basedOn w:val="TableNormal"/>
    <w:next w:val="GridTable1LightAccent3"/>
    <w:uiPriority w:val="46"/>
    <w:semiHidden/>
    <w:rsid w:val="00A8059F"/>
    <w:pPr>
      <w:jc w:val="both"/>
    </w:pPr>
    <w:rPr>
      <w:sz w:val="24"/>
      <w:szCs w:val="24"/>
    </w:rPr>
    <w:tblPr>
      <w:tblStyleRowBandSize w:val="1"/>
      <w:tblStyleColBandSize w:val="1"/>
      <w:tblBorders>
        <w:top w:val="single" w:sz="4" w:space="0" w:color="BCBCBC"/>
        <w:left w:val="single" w:sz="4" w:space="0" w:color="BCBCBC"/>
        <w:bottom w:val="single" w:sz="4" w:space="0" w:color="BCBCBC"/>
        <w:right w:val="single" w:sz="4" w:space="0" w:color="BCBCBC"/>
        <w:insideH w:val="single" w:sz="4" w:space="0" w:color="BCBCBC"/>
        <w:insideV w:val="single" w:sz="4" w:space="0" w:color="BCBCBC"/>
      </w:tblBorders>
    </w:tblPr>
    <w:tblStylePr w:type="firstRow">
      <w:rPr>
        <w:b/>
        <w:bCs/>
      </w:rPr>
      <w:tblPr/>
      <w:tcPr>
        <w:tcBorders>
          <w:bottom w:val="single" w:sz="12" w:space="0" w:color="9B9B9B"/>
        </w:tcBorders>
      </w:tcPr>
    </w:tblStylePr>
    <w:tblStylePr w:type="lastRow">
      <w:rPr>
        <w:b/>
        <w:bCs/>
      </w:rPr>
      <w:tblPr/>
      <w:tcPr>
        <w:tcBorders>
          <w:top w:val="double" w:sz="2" w:space="0" w:color="9B9B9B"/>
        </w:tcBorders>
      </w:tcPr>
    </w:tblStylePr>
    <w:tblStylePr w:type="firstCol">
      <w:rPr>
        <w:b/>
        <w:bCs/>
      </w:rPr>
    </w:tblStylePr>
    <w:tblStylePr w:type="lastCol">
      <w:rPr>
        <w:b/>
        <w:bCs/>
      </w:rPr>
    </w:tblStylePr>
  </w:style>
  <w:style w:type="table" w:customStyle="1" w:styleId="GridTable1Light-Accent4111">
    <w:name w:val="Grid Table 1 Light - Accent 4111"/>
    <w:basedOn w:val="TableNormal"/>
    <w:next w:val="GridTable1LightAccent4"/>
    <w:uiPriority w:val="46"/>
    <w:semiHidden/>
    <w:rsid w:val="00A8059F"/>
    <w:pPr>
      <w:jc w:val="both"/>
    </w:pPr>
    <w:rPr>
      <w:sz w:val="24"/>
      <w:szCs w:val="24"/>
    </w:rPr>
    <w:tblPr>
      <w:tblStyleRowBandSize w:val="1"/>
      <w:tblStyleColBandSize w:val="1"/>
      <w:tblBorders>
        <w:top w:val="single" w:sz="4" w:space="0" w:color="D5D5D5"/>
        <w:left w:val="single" w:sz="4" w:space="0" w:color="D5D5D5"/>
        <w:bottom w:val="single" w:sz="4" w:space="0" w:color="D5D5D5"/>
        <w:right w:val="single" w:sz="4" w:space="0" w:color="D5D5D5"/>
        <w:insideH w:val="single" w:sz="4" w:space="0" w:color="D5D5D5"/>
        <w:insideV w:val="single" w:sz="4" w:space="0" w:color="D5D5D5"/>
      </w:tblBorders>
    </w:tblPr>
    <w:tblStylePr w:type="firstRow">
      <w:rPr>
        <w:b/>
        <w:bCs/>
      </w:rPr>
      <w:tblPr/>
      <w:tcPr>
        <w:tcBorders>
          <w:bottom w:val="single" w:sz="12" w:space="0" w:color="C0C0C0"/>
        </w:tcBorders>
      </w:tcPr>
    </w:tblStylePr>
    <w:tblStylePr w:type="lastRow">
      <w:rPr>
        <w:b/>
        <w:bCs/>
      </w:rPr>
      <w:tblPr/>
      <w:tcPr>
        <w:tcBorders>
          <w:top w:val="double" w:sz="2" w:space="0" w:color="C0C0C0"/>
        </w:tcBorders>
      </w:tcPr>
    </w:tblStylePr>
    <w:tblStylePr w:type="firstCol">
      <w:rPr>
        <w:b/>
        <w:bCs/>
      </w:rPr>
    </w:tblStylePr>
    <w:tblStylePr w:type="lastCol">
      <w:rPr>
        <w:b/>
        <w:bCs/>
      </w:rPr>
    </w:tblStylePr>
  </w:style>
  <w:style w:type="table" w:customStyle="1" w:styleId="GridTable1Light-Accent5111">
    <w:name w:val="Grid Table 1 Light - Accent 5111"/>
    <w:basedOn w:val="TableNormal"/>
    <w:next w:val="GridTable1LightAccent5"/>
    <w:uiPriority w:val="46"/>
    <w:semiHidden/>
    <w:rsid w:val="00A8059F"/>
    <w:pPr>
      <w:jc w:val="both"/>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Pr/>
      <w:tcPr>
        <w:tcBorders>
          <w:bottom w:val="single" w:sz="12" w:space="0" w:color="9F9F9F"/>
        </w:tcBorders>
      </w:tcPr>
    </w:tblStylePr>
    <w:tblStylePr w:type="lastRow">
      <w:rPr>
        <w:b/>
        <w:bCs/>
      </w:rPr>
      <w:tblPr/>
      <w:tcPr>
        <w:tcBorders>
          <w:top w:val="double" w:sz="2" w:space="0" w:color="9F9F9F"/>
        </w:tcBorders>
      </w:tcPr>
    </w:tblStylePr>
    <w:tblStylePr w:type="firstCol">
      <w:rPr>
        <w:b/>
        <w:bCs/>
      </w:rPr>
    </w:tblStylePr>
    <w:tblStylePr w:type="lastCol">
      <w:rPr>
        <w:b/>
        <w:bCs/>
      </w:rPr>
    </w:tblStylePr>
  </w:style>
  <w:style w:type="table" w:customStyle="1" w:styleId="GridTable1Light-Accent6111">
    <w:name w:val="Grid Table 1 Light - Accent 6111"/>
    <w:basedOn w:val="TableNormal"/>
    <w:next w:val="GridTable1LightAccent6"/>
    <w:uiPriority w:val="46"/>
    <w:semiHidden/>
    <w:rsid w:val="00A8059F"/>
    <w:pPr>
      <w:jc w:val="both"/>
    </w:pPr>
    <w:rPr>
      <w:sz w:val="24"/>
      <w:szCs w:val="24"/>
    </w:r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customStyle="1" w:styleId="GridTable2111">
    <w:name w:val="Grid Table 2111"/>
    <w:basedOn w:val="TableNormal"/>
    <w:next w:val="GridTable2"/>
    <w:uiPriority w:val="47"/>
    <w:semiHidden/>
    <w:rsid w:val="00A8059F"/>
    <w:pPr>
      <w:jc w:val="both"/>
    </w:pPr>
    <w:rPr>
      <w:sz w:val="24"/>
      <w:szCs w:val="24"/>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11">
    <w:name w:val="Grid Table 2 - Accent 1111"/>
    <w:basedOn w:val="TableNormal"/>
    <w:next w:val="GridTable2Accent1"/>
    <w:uiPriority w:val="47"/>
    <w:semiHidden/>
    <w:rsid w:val="00A8059F"/>
    <w:pPr>
      <w:jc w:val="both"/>
    </w:pPr>
    <w:rPr>
      <w:sz w:val="24"/>
      <w:szCs w:val="24"/>
    </w:rPr>
    <w:tblPr>
      <w:tblStyleRowBandSize w:val="1"/>
      <w:tblStyleColBandSize w:val="1"/>
      <w:tblBorders>
        <w:top w:val="single" w:sz="2" w:space="0" w:color="3DB2FF"/>
        <w:bottom w:val="single" w:sz="2" w:space="0" w:color="3DB2FF"/>
        <w:insideH w:val="single" w:sz="2" w:space="0" w:color="3DB2FF"/>
        <w:insideV w:val="single" w:sz="2" w:space="0" w:color="3DB2FF"/>
      </w:tblBorders>
    </w:tblPr>
    <w:tblStylePr w:type="firstRow">
      <w:rPr>
        <w:b/>
        <w:bCs/>
      </w:rPr>
      <w:tblPr/>
      <w:tcPr>
        <w:tcBorders>
          <w:top w:val="nil"/>
          <w:bottom w:val="single" w:sz="12" w:space="0" w:color="3DB2FF"/>
          <w:insideH w:val="nil"/>
          <w:insideV w:val="nil"/>
        </w:tcBorders>
        <w:shd w:val="clear" w:color="auto" w:fill="FFFFFF"/>
      </w:tcPr>
    </w:tblStylePr>
    <w:tblStylePr w:type="lastRow">
      <w:rPr>
        <w:b/>
        <w:bCs/>
      </w:rPr>
      <w:tblPr/>
      <w:tcPr>
        <w:tcBorders>
          <w:top w:val="double" w:sz="2" w:space="0" w:color="3DB2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2-Accent2111">
    <w:name w:val="Grid Table 2 - Accent 2111"/>
    <w:basedOn w:val="TableNormal"/>
    <w:next w:val="GridTable2Accent2"/>
    <w:uiPriority w:val="47"/>
    <w:semiHidden/>
    <w:rsid w:val="00A8059F"/>
    <w:pPr>
      <w:jc w:val="both"/>
    </w:pPr>
    <w:rPr>
      <w:sz w:val="24"/>
      <w:szCs w:val="24"/>
    </w:rPr>
    <w:tblPr>
      <w:tblStyleRowBandSize w:val="1"/>
      <w:tblStyleColBandSize w:val="1"/>
      <w:tblBorders>
        <w:top w:val="single" w:sz="2" w:space="0" w:color="FF4040"/>
        <w:bottom w:val="single" w:sz="2" w:space="0" w:color="FF4040"/>
        <w:insideH w:val="single" w:sz="2" w:space="0" w:color="FF4040"/>
        <w:insideV w:val="single" w:sz="2" w:space="0" w:color="FF4040"/>
      </w:tblBorders>
    </w:tblPr>
    <w:tblStylePr w:type="firstRow">
      <w:rPr>
        <w:b/>
        <w:bCs/>
      </w:rPr>
      <w:tblPr/>
      <w:tcPr>
        <w:tcBorders>
          <w:top w:val="nil"/>
          <w:bottom w:val="single" w:sz="12" w:space="0" w:color="FF4040"/>
          <w:insideH w:val="nil"/>
          <w:insideV w:val="nil"/>
        </w:tcBorders>
        <w:shd w:val="clear" w:color="auto" w:fill="FFFFFF"/>
      </w:tcPr>
    </w:tblStylePr>
    <w:tblStylePr w:type="lastRow">
      <w:rPr>
        <w:b/>
        <w:bCs/>
      </w:rPr>
      <w:tblPr/>
      <w:tcPr>
        <w:tcBorders>
          <w:top w:val="double" w:sz="2" w:space="0" w:color="FF404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2-Accent3111">
    <w:name w:val="Grid Table 2 - Accent 3111"/>
    <w:basedOn w:val="TableNormal"/>
    <w:next w:val="GridTable2Accent3"/>
    <w:uiPriority w:val="47"/>
    <w:semiHidden/>
    <w:rsid w:val="00A8059F"/>
    <w:pPr>
      <w:jc w:val="both"/>
    </w:pPr>
    <w:rPr>
      <w:sz w:val="24"/>
      <w:szCs w:val="24"/>
    </w:rPr>
    <w:tblPr>
      <w:tblStyleRowBandSize w:val="1"/>
      <w:tblStyleColBandSize w:val="1"/>
      <w:tblBorders>
        <w:top w:val="single" w:sz="2" w:space="0" w:color="9B9B9B"/>
        <w:bottom w:val="single" w:sz="2" w:space="0" w:color="9B9B9B"/>
        <w:insideH w:val="single" w:sz="2" w:space="0" w:color="9B9B9B"/>
        <w:insideV w:val="single" w:sz="2" w:space="0" w:color="9B9B9B"/>
      </w:tblBorders>
    </w:tblPr>
    <w:tblStylePr w:type="firstRow">
      <w:rPr>
        <w:b/>
        <w:bCs/>
      </w:rPr>
      <w:tblPr/>
      <w:tcPr>
        <w:tcBorders>
          <w:top w:val="nil"/>
          <w:bottom w:val="single" w:sz="12" w:space="0" w:color="9B9B9B"/>
          <w:insideH w:val="nil"/>
          <w:insideV w:val="nil"/>
        </w:tcBorders>
        <w:shd w:val="clear" w:color="auto" w:fill="FFFFFF"/>
      </w:tcPr>
    </w:tblStylePr>
    <w:tblStylePr w:type="lastRow">
      <w:rPr>
        <w:b/>
        <w:bCs/>
      </w:rPr>
      <w:tblPr/>
      <w:tcPr>
        <w:tcBorders>
          <w:top w:val="double" w:sz="2" w:space="0" w:color="9B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2-Accent4111">
    <w:name w:val="Grid Table 2 - Accent 4111"/>
    <w:basedOn w:val="TableNormal"/>
    <w:next w:val="GridTable2Accent4"/>
    <w:uiPriority w:val="47"/>
    <w:semiHidden/>
    <w:rsid w:val="00A8059F"/>
    <w:pPr>
      <w:jc w:val="both"/>
    </w:pPr>
    <w:rPr>
      <w:sz w:val="24"/>
      <w:szCs w:val="24"/>
    </w:rPr>
    <w:tblPr>
      <w:tblStyleRowBandSize w:val="1"/>
      <w:tblStyleColBandSize w:val="1"/>
      <w:tblBorders>
        <w:top w:val="single" w:sz="2" w:space="0" w:color="C0C0C0"/>
        <w:bottom w:val="single" w:sz="2" w:space="0" w:color="C0C0C0"/>
        <w:insideH w:val="single" w:sz="2" w:space="0" w:color="C0C0C0"/>
        <w:insideV w:val="single" w:sz="2" w:space="0" w:color="C0C0C0"/>
      </w:tblBorders>
    </w:tblPr>
    <w:tblStylePr w:type="firstRow">
      <w:rPr>
        <w:b/>
        <w:bCs/>
      </w:rPr>
      <w:tblPr/>
      <w:tcPr>
        <w:tcBorders>
          <w:top w:val="nil"/>
          <w:bottom w:val="single" w:sz="12" w:space="0" w:color="C0C0C0"/>
          <w:insideH w:val="nil"/>
          <w:insideV w:val="nil"/>
        </w:tcBorders>
        <w:shd w:val="clear" w:color="auto" w:fill="FFFFFF"/>
      </w:tcPr>
    </w:tblStylePr>
    <w:tblStylePr w:type="lastRow">
      <w:rPr>
        <w:b/>
        <w:bCs/>
      </w:rPr>
      <w:tblPr/>
      <w:tcPr>
        <w:tcBorders>
          <w:top w:val="double" w:sz="2" w:space="0" w:color="C0C0C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2-Accent5111">
    <w:name w:val="Grid Table 2 - Accent 5111"/>
    <w:basedOn w:val="TableNormal"/>
    <w:next w:val="GridTable2Accent5"/>
    <w:uiPriority w:val="47"/>
    <w:semiHidden/>
    <w:rsid w:val="00A8059F"/>
    <w:pPr>
      <w:jc w:val="both"/>
    </w:pPr>
    <w:rPr>
      <w:sz w:val="24"/>
      <w:szCs w:val="24"/>
    </w:rPr>
    <w:tblPr>
      <w:tblStyleRowBandSize w:val="1"/>
      <w:tblStyleColBandSize w:val="1"/>
      <w:tblBorders>
        <w:top w:val="single" w:sz="2" w:space="0" w:color="9F9F9F"/>
        <w:bottom w:val="single" w:sz="2" w:space="0" w:color="9F9F9F"/>
        <w:insideH w:val="single" w:sz="2" w:space="0" w:color="9F9F9F"/>
        <w:insideV w:val="single" w:sz="2" w:space="0" w:color="9F9F9F"/>
      </w:tblBorders>
    </w:tblPr>
    <w:tblStylePr w:type="firstRow">
      <w:rPr>
        <w:b/>
        <w:bCs/>
      </w:rPr>
      <w:tblPr/>
      <w:tcPr>
        <w:tcBorders>
          <w:top w:val="nil"/>
          <w:bottom w:val="single" w:sz="12" w:space="0" w:color="9F9F9F"/>
          <w:insideH w:val="nil"/>
          <w:insideV w:val="nil"/>
        </w:tcBorders>
        <w:shd w:val="clear" w:color="auto" w:fill="FFFFFF"/>
      </w:tcPr>
    </w:tblStylePr>
    <w:tblStylePr w:type="lastRow">
      <w:rPr>
        <w:b/>
        <w:bCs/>
      </w:rPr>
      <w:tblPr/>
      <w:tcPr>
        <w:tcBorders>
          <w:top w:val="double" w:sz="2" w:space="0" w:color="9F9F9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2-Accent6111">
    <w:name w:val="Grid Table 2 - Accent 6111"/>
    <w:basedOn w:val="TableNormal"/>
    <w:next w:val="GridTable2Accent6"/>
    <w:uiPriority w:val="47"/>
    <w:semiHidden/>
    <w:rsid w:val="00A8059F"/>
    <w:pPr>
      <w:jc w:val="both"/>
    </w:pPr>
    <w:rPr>
      <w:sz w:val="24"/>
      <w:szCs w:val="24"/>
    </w:rPr>
    <w:tblPr>
      <w:tblStyleRowBandSize w:val="1"/>
      <w:tblStyleColBandSize w:val="1"/>
      <w:tblBorders>
        <w:top w:val="single" w:sz="2" w:space="0" w:color="949494"/>
        <w:bottom w:val="single" w:sz="2" w:space="0" w:color="949494"/>
        <w:insideH w:val="single" w:sz="2" w:space="0" w:color="949494"/>
        <w:insideV w:val="single" w:sz="2" w:space="0" w:color="949494"/>
      </w:tblBorders>
    </w:tblPr>
    <w:tblStylePr w:type="firstRow">
      <w:rPr>
        <w:b/>
        <w:bCs/>
      </w:rPr>
      <w:tblPr/>
      <w:tcPr>
        <w:tcBorders>
          <w:top w:val="nil"/>
          <w:bottom w:val="single" w:sz="12" w:space="0" w:color="949494"/>
          <w:insideH w:val="nil"/>
          <w:insideV w:val="nil"/>
        </w:tcBorders>
        <w:shd w:val="clear" w:color="auto" w:fill="FFFFFF"/>
      </w:tcPr>
    </w:tblStylePr>
    <w:tblStylePr w:type="lastRow">
      <w:rPr>
        <w:b/>
        <w:bCs/>
      </w:rPr>
      <w:tblPr/>
      <w:tcPr>
        <w:tcBorders>
          <w:top w:val="double" w:sz="2" w:space="0" w:color="9494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3111">
    <w:name w:val="Grid Table 3111"/>
    <w:basedOn w:val="TableNormal"/>
    <w:next w:val="GridTable3"/>
    <w:uiPriority w:val="48"/>
    <w:semiHidden/>
    <w:rsid w:val="00A8059F"/>
    <w:pPr>
      <w:jc w:val="both"/>
    </w:pPr>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11">
    <w:name w:val="Grid Table 3 - Accent 1111"/>
    <w:basedOn w:val="TableNormal"/>
    <w:next w:val="GridTable3Accent1"/>
    <w:uiPriority w:val="48"/>
    <w:semiHidden/>
    <w:rsid w:val="00A8059F"/>
    <w:pPr>
      <w:jc w:val="both"/>
    </w:pPr>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3-Accent2111">
    <w:name w:val="Grid Table 3 - Accent 2111"/>
    <w:basedOn w:val="TableNormal"/>
    <w:next w:val="GridTable3Accent2"/>
    <w:uiPriority w:val="48"/>
    <w:semiHidden/>
    <w:rsid w:val="00A8059F"/>
    <w:pPr>
      <w:jc w:val="both"/>
    </w:pPr>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3-Accent3111">
    <w:name w:val="Grid Table 3 - Accent 3111"/>
    <w:basedOn w:val="TableNormal"/>
    <w:next w:val="GridTable3Accent3"/>
    <w:uiPriority w:val="48"/>
    <w:semiHidden/>
    <w:rsid w:val="00A8059F"/>
    <w:pPr>
      <w:jc w:val="both"/>
    </w:pPr>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3-Accent4111">
    <w:name w:val="Grid Table 3 - Accent 4111"/>
    <w:basedOn w:val="TableNormal"/>
    <w:next w:val="GridTable3Accent4"/>
    <w:uiPriority w:val="48"/>
    <w:semiHidden/>
    <w:rsid w:val="00A8059F"/>
    <w:pPr>
      <w:jc w:val="both"/>
    </w:pPr>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3-Accent5111">
    <w:name w:val="Grid Table 3 - Accent 5111"/>
    <w:basedOn w:val="TableNormal"/>
    <w:next w:val="GridTable3Accent5"/>
    <w:uiPriority w:val="48"/>
    <w:semiHidden/>
    <w:rsid w:val="00A8059F"/>
    <w:pPr>
      <w:jc w:val="both"/>
    </w:pPr>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3-Accent6111">
    <w:name w:val="Grid Table 3 - Accent 6111"/>
    <w:basedOn w:val="TableNormal"/>
    <w:next w:val="GridTable3Accent6"/>
    <w:uiPriority w:val="48"/>
    <w:semiHidden/>
    <w:rsid w:val="00A8059F"/>
    <w:pPr>
      <w:jc w:val="both"/>
    </w:pPr>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GridTable4111">
    <w:name w:val="Grid Table 4111"/>
    <w:basedOn w:val="TableNormal"/>
    <w:next w:val="GridTable4"/>
    <w:uiPriority w:val="49"/>
    <w:semiHidden/>
    <w:rsid w:val="00A8059F"/>
    <w:pPr>
      <w:jc w:val="both"/>
    </w:pPr>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1">
    <w:name w:val="Grid Table 4 - Accent 1111"/>
    <w:basedOn w:val="TableNormal"/>
    <w:next w:val="GridTable4Accent1"/>
    <w:uiPriority w:val="49"/>
    <w:semiHidden/>
    <w:rsid w:val="00A8059F"/>
    <w:pPr>
      <w:jc w:val="both"/>
    </w:pPr>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insideV w:val="nil"/>
        </w:tcBorders>
        <w:shd w:val="clear" w:color="auto" w:fill="0072BC"/>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4-Accent2111">
    <w:name w:val="Grid Table 4 - Accent 2111"/>
    <w:basedOn w:val="TableNormal"/>
    <w:next w:val="GridTable4Accent2"/>
    <w:uiPriority w:val="49"/>
    <w:semiHidden/>
    <w:rsid w:val="00A8059F"/>
    <w:pPr>
      <w:jc w:val="both"/>
    </w:pPr>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insideV w:val="nil"/>
        </w:tcBorders>
        <w:shd w:val="clear" w:color="auto" w:fill="C00000"/>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4-Accent3111">
    <w:name w:val="Grid Table 4 - Accent 3111"/>
    <w:basedOn w:val="TableNormal"/>
    <w:next w:val="GridTable4Accent3"/>
    <w:uiPriority w:val="49"/>
    <w:semiHidden/>
    <w:rsid w:val="00A8059F"/>
    <w:pPr>
      <w:jc w:val="both"/>
    </w:pPr>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4-Accent4111">
    <w:name w:val="Grid Table 4 - Accent 4111"/>
    <w:basedOn w:val="TableNormal"/>
    <w:next w:val="GridTable4Accent4"/>
    <w:uiPriority w:val="49"/>
    <w:semiHidden/>
    <w:rsid w:val="00A8059F"/>
    <w:pPr>
      <w:jc w:val="both"/>
    </w:pPr>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insideV w:val="nil"/>
        </w:tcBorders>
        <w:shd w:val="clear" w:color="auto" w:fill="969696"/>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4-Accent5111">
    <w:name w:val="Grid Table 4 - Accent 5111"/>
    <w:basedOn w:val="TableNormal"/>
    <w:next w:val="GridTable4Accent5"/>
    <w:uiPriority w:val="49"/>
    <w:semiHidden/>
    <w:rsid w:val="00A8059F"/>
    <w:pPr>
      <w:jc w:val="both"/>
    </w:pPr>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insideV w:val="nil"/>
        </w:tcBorders>
        <w:shd w:val="clear" w:color="auto" w:fill="5F5F5F"/>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4-Accent6111">
    <w:name w:val="Grid Table 4 - Accent 6111"/>
    <w:basedOn w:val="TableNormal"/>
    <w:next w:val="GridTable4Accent6"/>
    <w:uiPriority w:val="49"/>
    <w:semiHidden/>
    <w:rsid w:val="00A8059F"/>
    <w:pPr>
      <w:jc w:val="both"/>
    </w:pPr>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insideV w:val="nil"/>
        </w:tcBorders>
        <w:shd w:val="clear" w:color="auto" w:fill="4D4D4D"/>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5Dark111">
    <w:name w:val="Grid Table 5 Dark111"/>
    <w:basedOn w:val="TableNormal"/>
    <w:next w:val="GridTable5Dark"/>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1">
    <w:name w:val="Grid Table 5 Dark - Accent 1111"/>
    <w:basedOn w:val="TableNormal"/>
    <w:next w:val="GridTable5DarkAccent1"/>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EE5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72B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72B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72B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72BC"/>
      </w:tcPr>
    </w:tblStylePr>
    <w:tblStylePr w:type="band1Vert">
      <w:tblPr/>
      <w:tcPr>
        <w:shd w:val="clear" w:color="auto" w:fill="7ECBFF"/>
      </w:tcPr>
    </w:tblStylePr>
    <w:tblStylePr w:type="band1Horz">
      <w:tblPr/>
      <w:tcPr>
        <w:shd w:val="clear" w:color="auto" w:fill="7ECBFF"/>
      </w:tcPr>
    </w:tblStylePr>
  </w:style>
  <w:style w:type="table" w:customStyle="1" w:styleId="GridTable5Dark-Accent2111">
    <w:name w:val="Grid Table 5 Dark - Accent 2111"/>
    <w:basedOn w:val="TableNormal"/>
    <w:next w:val="GridTable5DarkAccent2"/>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BFB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0000"/>
      </w:tcPr>
    </w:tblStylePr>
    <w:tblStylePr w:type="band1Vert">
      <w:tblPr/>
      <w:tcPr>
        <w:shd w:val="clear" w:color="auto" w:fill="FF7F7F"/>
      </w:tcPr>
    </w:tblStylePr>
    <w:tblStylePr w:type="band1Horz">
      <w:tblPr/>
      <w:tcPr>
        <w:shd w:val="clear" w:color="auto" w:fill="FF7F7F"/>
      </w:tcPr>
    </w:tblStylePr>
  </w:style>
  <w:style w:type="table" w:customStyle="1" w:styleId="GridTable5Dark-Accent3111">
    <w:name w:val="Grid Table 5 Dark - Accent 3111"/>
    <w:basedOn w:val="TableNormal"/>
    <w:next w:val="GridTable5DarkAccent3"/>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DD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959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959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959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95959"/>
      </w:tcPr>
    </w:tblStylePr>
    <w:tblStylePr w:type="band1Vert">
      <w:tblPr/>
      <w:tcPr>
        <w:shd w:val="clear" w:color="auto" w:fill="BCBCBC"/>
      </w:tcPr>
    </w:tblStylePr>
    <w:tblStylePr w:type="band1Horz">
      <w:tblPr/>
      <w:tcPr>
        <w:shd w:val="clear" w:color="auto" w:fill="BCBCBC"/>
      </w:tcPr>
    </w:tblStylePr>
  </w:style>
  <w:style w:type="table" w:customStyle="1" w:styleId="GridTable5Dark-Accent4111">
    <w:name w:val="Grid Table 5 Dark - Accent 4111"/>
    <w:basedOn w:val="TableNormal"/>
    <w:next w:val="GridTable5DarkAccent4"/>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EAE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6969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6969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6969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69696"/>
      </w:tcPr>
    </w:tblStylePr>
    <w:tblStylePr w:type="band1Vert">
      <w:tblPr/>
      <w:tcPr>
        <w:shd w:val="clear" w:color="auto" w:fill="D5D5D5"/>
      </w:tcPr>
    </w:tblStylePr>
    <w:tblStylePr w:type="band1Horz">
      <w:tblPr/>
      <w:tcPr>
        <w:shd w:val="clear" w:color="auto" w:fill="D5D5D5"/>
      </w:tcPr>
    </w:tblStylePr>
  </w:style>
  <w:style w:type="table" w:customStyle="1" w:styleId="GridTable5Dark-Accent5111">
    <w:name w:val="Grid Table 5 Dark - Accent 5111"/>
    <w:basedOn w:val="TableNormal"/>
    <w:next w:val="GridTable5DarkAccent5"/>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FDFD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F5F5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F5F5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F5F5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idTable5Dark-Accent6111">
    <w:name w:val="Grid Table 5 Dark - Accent 6111"/>
    <w:basedOn w:val="TableNormal"/>
    <w:next w:val="GridTable5DarkAccent6"/>
    <w:uiPriority w:val="50"/>
    <w:semiHidden/>
    <w:rsid w:val="00A8059F"/>
    <w:pPr>
      <w:jc w:val="both"/>
    </w:pPr>
    <w:rPr>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D4D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D4D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D4D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D4D4D"/>
      </w:tcPr>
    </w:tblStylePr>
    <w:tblStylePr w:type="band1Vert">
      <w:tblPr/>
      <w:tcPr>
        <w:shd w:val="clear" w:color="auto" w:fill="B7B7B7"/>
      </w:tcPr>
    </w:tblStylePr>
    <w:tblStylePr w:type="band1Horz">
      <w:tblPr/>
      <w:tcPr>
        <w:shd w:val="clear" w:color="auto" w:fill="B7B7B7"/>
      </w:tcPr>
    </w:tblStylePr>
  </w:style>
  <w:style w:type="table" w:customStyle="1" w:styleId="GridTable6Colorful111">
    <w:name w:val="Grid Table 6 Colorful111"/>
    <w:basedOn w:val="TableNormal"/>
    <w:next w:val="GridTable6Colorful"/>
    <w:uiPriority w:val="51"/>
    <w:semiHidden/>
    <w:rsid w:val="00A8059F"/>
    <w:pPr>
      <w:jc w:val="both"/>
    </w:pPr>
    <w:rPr>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11">
    <w:name w:val="Grid Table 6 Colorful - Accent 1111"/>
    <w:basedOn w:val="TableNormal"/>
    <w:next w:val="GridTable6ColorfulAccent1"/>
    <w:uiPriority w:val="51"/>
    <w:semiHidden/>
    <w:rsid w:val="00A8059F"/>
    <w:pPr>
      <w:jc w:val="both"/>
    </w:pPr>
    <w:rPr>
      <w:color w:val="00548C"/>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bottom w:val="single" w:sz="12" w:space="0" w:color="3DB2FF"/>
        </w:tcBorders>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6Colorful-Accent2111">
    <w:name w:val="Grid Table 6 Colorful - Accent 2111"/>
    <w:basedOn w:val="TableNormal"/>
    <w:next w:val="GridTable6ColorfulAccent2"/>
    <w:uiPriority w:val="51"/>
    <w:semiHidden/>
    <w:rsid w:val="00A8059F"/>
    <w:pPr>
      <w:jc w:val="both"/>
    </w:pPr>
    <w:rPr>
      <w:color w:val="8F0000"/>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bottom w:val="single" w:sz="12" w:space="0" w:color="FF4040"/>
        </w:tcBorders>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6Colorful-Accent3111">
    <w:name w:val="Grid Table 6 Colorful - Accent 3111"/>
    <w:basedOn w:val="TableNormal"/>
    <w:next w:val="GridTable6ColorfulAccent3"/>
    <w:uiPriority w:val="51"/>
    <w:semiHidden/>
    <w:rsid w:val="00A8059F"/>
    <w:pPr>
      <w:jc w:val="both"/>
    </w:pPr>
    <w:rPr>
      <w:color w:val="424242"/>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bottom w:val="single" w:sz="12" w:space="0" w:color="9B9B9B"/>
        </w:tcBorders>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6Colorful-Accent4111">
    <w:name w:val="Grid Table 6 Colorful - Accent 4111"/>
    <w:basedOn w:val="TableNormal"/>
    <w:next w:val="GridTable6ColorfulAccent4"/>
    <w:uiPriority w:val="51"/>
    <w:semiHidden/>
    <w:rsid w:val="00A8059F"/>
    <w:pPr>
      <w:jc w:val="both"/>
    </w:pPr>
    <w:rPr>
      <w:color w:val="707070"/>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bottom w:val="single" w:sz="12" w:space="0" w:color="C0C0C0"/>
        </w:tcBorders>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6Colorful-Accent5111">
    <w:name w:val="Grid Table 6 Colorful - Accent 5111"/>
    <w:basedOn w:val="TableNormal"/>
    <w:next w:val="GridTable6ColorfulAccent5"/>
    <w:uiPriority w:val="51"/>
    <w:semiHidden/>
    <w:rsid w:val="00A8059F"/>
    <w:pPr>
      <w:jc w:val="both"/>
    </w:pPr>
    <w:rPr>
      <w:color w:val="474747"/>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bottom w:val="single" w:sz="12" w:space="0" w:color="9F9F9F"/>
        </w:tcBorders>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6Colorful-Accent6111">
    <w:name w:val="Grid Table 6 Colorful - Accent 6111"/>
    <w:basedOn w:val="TableNormal"/>
    <w:next w:val="GridTable6ColorfulAccent6"/>
    <w:uiPriority w:val="51"/>
    <w:semiHidden/>
    <w:rsid w:val="00A8059F"/>
    <w:pPr>
      <w:jc w:val="both"/>
    </w:pPr>
    <w:rPr>
      <w:color w:val="393939"/>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bottom w:val="single" w:sz="12" w:space="0" w:color="949494"/>
        </w:tcBorders>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7Colorful111">
    <w:name w:val="Grid Table 7 Colorful111"/>
    <w:basedOn w:val="TableNormal"/>
    <w:next w:val="GridTable7Colorful"/>
    <w:uiPriority w:val="52"/>
    <w:semiHidden/>
    <w:rsid w:val="00A8059F"/>
    <w:pPr>
      <w:jc w:val="both"/>
    </w:pPr>
    <w:rPr>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11">
    <w:name w:val="Grid Table 7 Colorful - Accent 1111"/>
    <w:basedOn w:val="TableNormal"/>
    <w:next w:val="GridTable7ColorfulAccent1"/>
    <w:uiPriority w:val="52"/>
    <w:semiHidden/>
    <w:rsid w:val="00A8059F"/>
    <w:pPr>
      <w:jc w:val="both"/>
    </w:pPr>
    <w:rPr>
      <w:color w:val="00548C"/>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7Colorful-Accent2111">
    <w:name w:val="Grid Table 7 Colorful - Accent 2111"/>
    <w:basedOn w:val="TableNormal"/>
    <w:next w:val="GridTable7ColorfulAccent2"/>
    <w:uiPriority w:val="52"/>
    <w:semiHidden/>
    <w:rsid w:val="00A8059F"/>
    <w:pPr>
      <w:jc w:val="both"/>
    </w:pPr>
    <w:rPr>
      <w:color w:val="8F0000"/>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7Colorful-Accent3111">
    <w:name w:val="Grid Table 7 Colorful - Accent 3111"/>
    <w:basedOn w:val="TableNormal"/>
    <w:next w:val="GridTable7ColorfulAccent3"/>
    <w:uiPriority w:val="52"/>
    <w:semiHidden/>
    <w:rsid w:val="00A8059F"/>
    <w:pPr>
      <w:jc w:val="both"/>
    </w:pPr>
    <w:rPr>
      <w:color w:val="424242"/>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7Colorful-Accent4111">
    <w:name w:val="Grid Table 7 Colorful - Accent 4111"/>
    <w:basedOn w:val="TableNormal"/>
    <w:next w:val="GridTable7ColorfulAccent4"/>
    <w:uiPriority w:val="52"/>
    <w:semiHidden/>
    <w:rsid w:val="00A8059F"/>
    <w:pPr>
      <w:jc w:val="both"/>
    </w:pPr>
    <w:rPr>
      <w:color w:val="707070"/>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7Colorful-Accent5111">
    <w:name w:val="Grid Table 7 Colorful - Accent 5111"/>
    <w:basedOn w:val="TableNormal"/>
    <w:next w:val="GridTable7ColorfulAccent5"/>
    <w:uiPriority w:val="52"/>
    <w:semiHidden/>
    <w:rsid w:val="00A8059F"/>
    <w:pPr>
      <w:jc w:val="both"/>
    </w:pPr>
    <w:rPr>
      <w:color w:val="474747"/>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7Colorful-Accent6111">
    <w:name w:val="Grid Table 7 Colorful - Accent 6111"/>
    <w:basedOn w:val="TableNormal"/>
    <w:next w:val="GridTable7ColorfulAccent6"/>
    <w:uiPriority w:val="52"/>
    <w:semiHidden/>
    <w:rsid w:val="00A8059F"/>
    <w:pPr>
      <w:jc w:val="both"/>
    </w:pPr>
    <w:rPr>
      <w:color w:val="393939"/>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ListTable1Light111">
    <w:name w:val="List Table 1 Light111"/>
    <w:basedOn w:val="TableNormal"/>
    <w:next w:val="ListTable1Light"/>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11">
    <w:name w:val="List Table 1 Light - Accent 1111"/>
    <w:basedOn w:val="TableNormal"/>
    <w:next w:val="ListTable1LightAccent1"/>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3DB2FF"/>
        </w:tcBorders>
      </w:tcPr>
    </w:tblStylePr>
    <w:tblStylePr w:type="lastRow">
      <w:rPr>
        <w:b/>
        <w:bCs/>
      </w:rPr>
      <w:tblPr/>
      <w:tcPr>
        <w:tcBorders>
          <w:top w:val="sing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1Light-Accent2111">
    <w:name w:val="List Table 1 Light - Accent 2111"/>
    <w:basedOn w:val="TableNormal"/>
    <w:next w:val="ListTable1LightAccent2"/>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FF4040"/>
        </w:tcBorders>
      </w:tcPr>
    </w:tblStylePr>
    <w:tblStylePr w:type="lastRow">
      <w:rPr>
        <w:b/>
        <w:bCs/>
      </w:rPr>
      <w:tblPr/>
      <w:tcPr>
        <w:tcBorders>
          <w:top w:val="sing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1Light-Accent3111">
    <w:name w:val="List Table 1 Light - Accent 3111"/>
    <w:basedOn w:val="TableNormal"/>
    <w:next w:val="ListTable1LightAccent3"/>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9B9B9B"/>
        </w:tcBorders>
      </w:tcPr>
    </w:tblStylePr>
    <w:tblStylePr w:type="lastRow">
      <w:rPr>
        <w:b/>
        <w:bCs/>
      </w:rPr>
      <w:tblPr/>
      <w:tcPr>
        <w:tcBorders>
          <w:top w:val="sing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1Light-Accent4111">
    <w:name w:val="List Table 1 Light - Accent 4111"/>
    <w:basedOn w:val="TableNormal"/>
    <w:next w:val="ListTable1LightAccent4"/>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C0C0C0"/>
        </w:tcBorders>
      </w:tcPr>
    </w:tblStylePr>
    <w:tblStylePr w:type="lastRow">
      <w:rPr>
        <w:b/>
        <w:bCs/>
      </w:rPr>
      <w:tblPr/>
      <w:tcPr>
        <w:tcBorders>
          <w:top w:val="sing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1Light-Accent5111">
    <w:name w:val="List Table 1 Light - Accent 5111"/>
    <w:basedOn w:val="TableNormal"/>
    <w:next w:val="ListTable1LightAccent5"/>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9F9F9F"/>
        </w:tcBorders>
      </w:tcPr>
    </w:tblStylePr>
    <w:tblStylePr w:type="lastRow">
      <w:rPr>
        <w:b/>
        <w:bCs/>
      </w:rPr>
      <w:tblPr/>
      <w:tcPr>
        <w:tcBorders>
          <w:top w:val="sing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1Light-Accent6111">
    <w:name w:val="List Table 1 Light - Accent 6111"/>
    <w:basedOn w:val="TableNormal"/>
    <w:next w:val="ListTable1LightAccent6"/>
    <w:uiPriority w:val="46"/>
    <w:semiHidden/>
    <w:rsid w:val="00A8059F"/>
    <w:pPr>
      <w:jc w:val="both"/>
    </w:pPr>
    <w:rPr>
      <w:sz w:val="24"/>
      <w:szCs w:val="24"/>
    </w:rPr>
    <w:tblPr>
      <w:tblStyleRowBandSize w:val="1"/>
      <w:tblStyleColBandSize w:val="1"/>
    </w:tblPr>
    <w:tblStylePr w:type="firstRow">
      <w:rPr>
        <w:b/>
        <w:bCs/>
      </w:rPr>
      <w:tblPr/>
      <w:tcPr>
        <w:tcBorders>
          <w:bottom w:val="single" w:sz="4" w:space="0" w:color="949494"/>
        </w:tcBorders>
      </w:tcPr>
    </w:tblStylePr>
    <w:tblStylePr w:type="lastRow">
      <w:rPr>
        <w:b/>
        <w:bCs/>
      </w:rPr>
      <w:tblPr/>
      <w:tcPr>
        <w:tcBorders>
          <w:top w:val="sing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2111">
    <w:name w:val="List Table 2111"/>
    <w:basedOn w:val="TableNormal"/>
    <w:next w:val="ListTable2"/>
    <w:uiPriority w:val="47"/>
    <w:semiHidden/>
    <w:rsid w:val="00A8059F"/>
    <w:pPr>
      <w:jc w:val="both"/>
    </w:pPr>
    <w:rPr>
      <w:sz w:val="24"/>
      <w:szCs w:val="24"/>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11">
    <w:name w:val="List Table 2 - Accent 1111"/>
    <w:basedOn w:val="TableNormal"/>
    <w:next w:val="ListTable2Accent1"/>
    <w:uiPriority w:val="47"/>
    <w:semiHidden/>
    <w:rsid w:val="00A8059F"/>
    <w:pPr>
      <w:jc w:val="both"/>
    </w:pPr>
    <w:rPr>
      <w:sz w:val="24"/>
      <w:szCs w:val="24"/>
    </w:rPr>
    <w:tblPr>
      <w:tblStyleRowBandSize w:val="1"/>
      <w:tblStyleColBandSize w:val="1"/>
      <w:tblBorders>
        <w:top w:val="single" w:sz="4" w:space="0" w:color="3DB2FF"/>
        <w:bottom w:val="single" w:sz="4" w:space="0" w:color="3DB2FF"/>
        <w:insideH w:val="single" w:sz="4" w:space="0" w:color="3DB2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2-Accent2111">
    <w:name w:val="List Table 2 - Accent 2111"/>
    <w:basedOn w:val="TableNormal"/>
    <w:next w:val="ListTable2Accent2"/>
    <w:uiPriority w:val="47"/>
    <w:semiHidden/>
    <w:rsid w:val="00A8059F"/>
    <w:pPr>
      <w:jc w:val="both"/>
    </w:pPr>
    <w:rPr>
      <w:sz w:val="24"/>
      <w:szCs w:val="24"/>
    </w:rPr>
    <w:tblPr>
      <w:tblStyleRowBandSize w:val="1"/>
      <w:tblStyleColBandSize w:val="1"/>
      <w:tblBorders>
        <w:top w:val="single" w:sz="4" w:space="0" w:color="FF4040"/>
        <w:bottom w:val="single" w:sz="4" w:space="0" w:color="FF4040"/>
        <w:insideH w:val="single" w:sz="4" w:space="0" w:color="FF404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2-Accent3111">
    <w:name w:val="List Table 2 - Accent 3111"/>
    <w:basedOn w:val="TableNormal"/>
    <w:next w:val="ListTable2Accent3"/>
    <w:uiPriority w:val="47"/>
    <w:semiHidden/>
    <w:rsid w:val="00A8059F"/>
    <w:pPr>
      <w:jc w:val="both"/>
    </w:pPr>
    <w:rPr>
      <w:sz w:val="24"/>
      <w:szCs w:val="24"/>
    </w:rPr>
    <w:tblPr>
      <w:tblStyleRowBandSize w:val="1"/>
      <w:tblStyleColBandSize w:val="1"/>
      <w:tblBorders>
        <w:top w:val="single" w:sz="4" w:space="0" w:color="9B9B9B"/>
        <w:bottom w:val="single" w:sz="4" w:space="0" w:color="9B9B9B"/>
        <w:insideH w:val="single" w:sz="4" w:space="0" w:color="9B9B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2-Accent4111">
    <w:name w:val="List Table 2 - Accent 4111"/>
    <w:basedOn w:val="TableNormal"/>
    <w:next w:val="ListTable2Accent4"/>
    <w:uiPriority w:val="47"/>
    <w:semiHidden/>
    <w:rsid w:val="00A8059F"/>
    <w:pPr>
      <w:jc w:val="both"/>
    </w:pPr>
    <w:rPr>
      <w:sz w:val="24"/>
      <w:szCs w:val="24"/>
    </w:rPr>
    <w:tblPr>
      <w:tblStyleRowBandSize w:val="1"/>
      <w:tblStyleColBandSize w:val="1"/>
      <w:tblBorders>
        <w:top w:val="single" w:sz="4" w:space="0" w:color="C0C0C0"/>
        <w:bottom w:val="single" w:sz="4" w:space="0" w:color="C0C0C0"/>
        <w:insideH w:val="single" w:sz="4" w:space="0" w:color="C0C0C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2-Accent5111">
    <w:name w:val="List Table 2 - Accent 5111"/>
    <w:basedOn w:val="TableNormal"/>
    <w:next w:val="ListTable2Accent5"/>
    <w:uiPriority w:val="47"/>
    <w:semiHidden/>
    <w:rsid w:val="00A8059F"/>
    <w:pPr>
      <w:jc w:val="both"/>
    </w:pPr>
    <w:rPr>
      <w:sz w:val="24"/>
      <w:szCs w:val="24"/>
    </w:rPr>
    <w:tblPr>
      <w:tblStyleRowBandSize w:val="1"/>
      <w:tblStyleColBandSize w:val="1"/>
      <w:tblBorders>
        <w:top w:val="single" w:sz="4" w:space="0" w:color="9F9F9F"/>
        <w:bottom w:val="single" w:sz="4" w:space="0" w:color="9F9F9F"/>
        <w:insideH w:val="single" w:sz="4" w:space="0" w:color="9F9F9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2-Accent6111">
    <w:name w:val="List Table 2 - Accent 6111"/>
    <w:basedOn w:val="TableNormal"/>
    <w:next w:val="ListTable2Accent6"/>
    <w:uiPriority w:val="47"/>
    <w:semiHidden/>
    <w:rsid w:val="00A8059F"/>
    <w:pPr>
      <w:jc w:val="both"/>
    </w:pPr>
    <w:rPr>
      <w:sz w:val="24"/>
      <w:szCs w:val="24"/>
    </w:rPr>
    <w:tblPr>
      <w:tblStyleRowBandSize w:val="1"/>
      <w:tblStyleColBandSize w:val="1"/>
      <w:tblBorders>
        <w:top w:val="single" w:sz="4" w:space="0" w:color="949494"/>
        <w:bottom w:val="single" w:sz="4" w:space="0" w:color="949494"/>
        <w:insideH w:val="single" w:sz="4" w:space="0" w:color="9494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3111">
    <w:name w:val="List Table 3111"/>
    <w:basedOn w:val="TableNormal"/>
    <w:next w:val="ListTable3"/>
    <w:uiPriority w:val="48"/>
    <w:semiHidden/>
    <w:rsid w:val="00A8059F"/>
    <w:pPr>
      <w:jc w:val="both"/>
    </w:pPr>
    <w:rPr>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11">
    <w:name w:val="List Table 3 - Accent 1111"/>
    <w:basedOn w:val="TableNormal"/>
    <w:next w:val="ListTable3Accent1"/>
    <w:uiPriority w:val="48"/>
    <w:semiHidden/>
    <w:rsid w:val="00A8059F"/>
    <w:pPr>
      <w:jc w:val="both"/>
    </w:pPr>
    <w:rPr>
      <w:sz w:val="24"/>
      <w:szCs w:val="24"/>
    </w:rPr>
    <w:tblPr>
      <w:tblStyleRowBandSize w:val="1"/>
      <w:tblStyleColBandSize w:val="1"/>
      <w:tblBorders>
        <w:top w:val="single" w:sz="4" w:space="0" w:color="0072BC"/>
        <w:left w:val="single" w:sz="4" w:space="0" w:color="0072BC"/>
        <w:bottom w:val="single" w:sz="4" w:space="0" w:color="0072BC"/>
        <w:right w:val="single" w:sz="4" w:space="0" w:color="0072BC"/>
      </w:tblBorders>
    </w:tblPr>
    <w:tblStylePr w:type="firstRow">
      <w:rPr>
        <w:b/>
        <w:bCs/>
        <w:color w:val="FFFFFF"/>
      </w:rPr>
      <w:tblPr/>
      <w:tcPr>
        <w:shd w:val="clear" w:color="auto" w:fill="0072BC"/>
      </w:tcPr>
    </w:tblStylePr>
    <w:tblStylePr w:type="lastRow">
      <w:rPr>
        <w:b/>
        <w:bCs/>
      </w:rPr>
      <w:tblPr/>
      <w:tcPr>
        <w:tcBorders>
          <w:top w:val="double" w:sz="4" w:space="0" w:color="0072B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left w:val="nil"/>
        </w:tcBorders>
      </w:tcPr>
    </w:tblStylePr>
    <w:tblStylePr w:type="swCell">
      <w:tblPr/>
      <w:tcPr>
        <w:tcBorders>
          <w:top w:val="double" w:sz="4" w:space="0" w:color="0072BC"/>
          <w:right w:val="nil"/>
        </w:tcBorders>
      </w:tcPr>
    </w:tblStylePr>
  </w:style>
  <w:style w:type="table" w:customStyle="1" w:styleId="ListTable3-Accent2111">
    <w:name w:val="List Table 3 - Accent 2111"/>
    <w:basedOn w:val="TableNormal"/>
    <w:next w:val="ListTable3Accent2"/>
    <w:uiPriority w:val="48"/>
    <w:semiHidden/>
    <w:rsid w:val="00A8059F"/>
    <w:pPr>
      <w:jc w:val="both"/>
    </w:pPr>
    <w:rPr>
      <w:sz w:val="24"/>
      <w:szCs w:val="24"/>
    </w:rPr>
    <w:tblPr>
      <w:tblStyleRowBandSize w:val="1"/>
      <w:tblStyleColBandSize w:val="1"/>
      <w:tblBorders>
        <w:top w:val="single" w:sz="4" w:space="0" w:color="C00000"/>
        <w:left w:val="single" w:sz="4" w:space="0" w:color="C00000"/>
        <w:bottom w:val="single" w:sz="4" w:space="0" w:color="C00000"/>
        <w:right w:val="single" w:sz="4" w:space="0" w:color="C00000"/>
      </w:tblBorders>
    </w:tblPr>
    <w:tblStylePr w:type="firstRow">
      <w:rPr>
        <w:b/>
        <w:bCs/>
        <w:color w:val="FFFFFF"/>
      </w:rPr>
      <w:tblPr/>
      <w:tcPr>
        <w:shd w:val="clear" w:color="auto" w:fill="C00000"/>
      </w:tcPr>
    </w:tblStylePr>
    <w:tblStylePr w:type="lastRow">
      <w:rPr>
        <w:b/>
        <w:bCs/>
      </w:rPr>
      <w:tblPr/>
      <w:tcPr>
        <w:tcBorders>
          <w:top w:val="double" w:sz="4" w:space="0" w:color="C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0000"/>
          <w:right w:val="single" w:sz="4" w:space="0" w:color="C00000"/>
        </w:tcBorders>
      </w:tcPr>
    </w:tblStylePr>
    <w:tblStylePr w:type="band1Horz">
      <w:tblPr/>
      <w:tcPr>
        <w:tcBorders>
          <w:top w:val="single" w:sz="4" w:space="0" w:color="C00000"/>
          <w:bottom w:val="single" w:sz="4" w:space="0" w:color="C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left w:val="nil"/>
        </w:tcBorders>
      </w:tcPr>
    </w:tblStylePr>
    <w:tblStylePr w:type="swCell">
      <w:tblPr/>
      <w:tcPr>
        <w:tcBorders>
          <w:top w:val="double" w:sz="4" w:space="0" w:color="C00000"/>
          <w:right w:val="nil"/>
        </w:tcBorders>
      </w:tcPr>
    </w:tblStylePr>
  </w:style>
  <w:style w:type="table" w:customStyle="1" w:styleId="ListTable3-Accent3111">
    <w:name w:val="List Table 3 - Accent 3111"/>
    <w:basedOn w:val="TableNormal"/>
    <w:next w:val="ListTable3Accent3"/>
    <w:uiPriority w:val="48"/>
    <w:semiHidden/>
    <w:rsid w:val="00A8059F"/>
    <w:pPr>
      <w:jc w:val="both"/>
    </w:pPr>
    <w:rPr>
      <w:sz w:val="24"/>
      <w:szCs w:val="24"/>
    </w:rPr>
    <w:tblPr>
      <w:tblStyleRowBandSize w:val="1"/>
      <w:tblStyleColBandSize w:val="1"/>
      <w:tblBorders>
        <w:top w:val="single" w:sz="4" w:space="0" w:color="595959"/>
        <w:left w:val="single" w:sz="4" w:space="0" w:color="595959"/>
        <w:bottom w:val="single" w:sz="4" w:space="0" w:color="595959"/>
        <w:right w:val="single" w:sz="4" w:space="0" w:color="595959"/>
      </w:tblBorders>
    </w:tblPr>
    <w:tblStylePr w:type="firstRow">
      <w:rPr>
        <w:b/>
        <w:bCs/>
        <w:color w:val="FFFFFF"/>
      </w:rPr>
      <w:tblPr/>
      <w:tcPr>
        <w:shd w:val="clear" w:color="auto" w:fill="595959"/>
      </w:tcPr>
    </w:tblStylePr>
    <w:tblStylePr w:type="lastRow">
      <w:rPr>
        <w:b/>
        <w:bCs/>
      </w:rPr>
      <w:tblPr/>
      <w:tcPr>
        <w:tcBorders>
          <w:top w:val="double" w:sz="4" w:space="0" w:color="5959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95959"/>
          <w:right w:val="single" w:sz="4" w:space="0" w:color="595959"/>
        </w:tcBorders>
      </w:tcPr>
    </w:tblStylePr>
    <w:tblStylePr w:type="band1Horz">
      <w:tblPr/>
      <w:tcPr>
        <w:tcBorders>
          <w:top w:val="single" w:sz="4" w:space="0" w:color="595959"/>
          <w:bottom w:val="single" w:sz="4" w:space="0" w:color="5959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left w:val="nil"/>
        </w:tcBorders>
      </w:tcPr>
    </w:tblStylePr>
    <w:tblStylePr w:type="swCell">
      <w:tblPr/>
      <w:tcPr>
        <w:tcBorders>
          <w:top w:val="double" w:sz="4" w:space="0" w:color="595959"/>
          <w:right w:val="nil"/>
        </w:tcBorders>
      </w:tcPr>
    </w:tblStylePr>
  </w:style>
  <w:style w:type="table" w:customStyle="1" w:styleId="ListTable3-Accent4111">
    <w:name w:val="List Table 3 - Accent 4111"/>
    <w:basedOn w:val="TableNormal"/>
    <w:next w:val="ListTable3Accent4"/>
    <w:uiPriority w:val="48"/>
    <w:semiHidden/>
    <w:rsid w:val="00A8059F"/>
    <w:pPr>
      <w:jc w:val="both"/>
    </w:pPr>
    <w:rPr>
      <w:sz w:val="24"/>
      <w:szCs w:val="24"/>
    </w:rPr>
    <w:tblPr>
      <w:tblStyleRowBandSize w:val="1"/>
      <w:tblStyleColBandSize w:val="1"/>
      <w:tblBorders>
        <w:top w:val="single" w:sz="4" w:space="0" w:color="969696"/>
        <w:left w:val="single" w:sz="4" w:space="0" w:color="969696"/>
        <w:bottom w:val="single" w:sz="4" w:space="0" w:color="969696"/>
        <w:right w:val="single" w:sz="4" w:space="0" w:color="969696"/>
      </w:tblBorders>
    </w:tblPr>
    <w:tblStylePr w:type="firstRow">
      <w:rPr>
        <w:b/>
        <w:bCs/>
        <w:color w:val="FFFFFF"/>
      </w:rPr>
      <w:tblPr/>
      <w:tcPr>
        <w:shd w:val="clear" w:color="auto" w:fill="969696"/>
      </w:tcPr>
    </w:tblStylePr>
    <w:tblStylePr w:type="lastRow">
      <w:rPr>
        <w:b/>
        <w:bCs/>
      </w:rPr>
      <w:tblPr/>
      <w:tcPr>
        <w:tcBorders>
          <w:top w:val="double" w:sz="4" w:space="0" w:color="96969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69696"/>
          <w:right w:val="single" w:sz="4" w:space="0" w:color="969696"/>
        </w:tcBorders>
      </w:tcPr>
    </w:tblStylePr>
    <w:tblStylePr w:type="band1Horz">
      <w:tblPr/>
      <w:tcPr>
        <w:tcBorders>
          <w:top w:val="single" w:sz="4" w:space="0" w:color="969696"/>
          <w:bottom w:val="single" w:sz="4" w:space="0" w:color="96969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left w:val="nil"/>
        </w:tcBorders>
      </w:tcPr>
    </w:tblStylePr>
    <w:tblStylePr w:type="swCell">
      <w:tblPr/>
      <w:tcPr>
        <w:tcBorders>
          <w:top w:val="double" w:sz="4" w:space="0" w:color="969696"/>
          <w:right w:val="nil"/>
        </w:tcBorders>
      </w:tcPr>
    </w:tblStylePr>
  </w:style>
  <w:style w:type="table" w:customStyle="1" w:styleId="ListTable3-Accent5111">
    <w:name w:val="List Table 3 - Accent 5111"/>
    <w:basedOn w:val="TableNormal"/>
    <w:next w:val="ListTable3Accent5"/>
    <w:uiPriority w:val="48"/>
    <w:semiHidden/>
    <w:rsid w:val="00A8059F"/>
    <w:pPr>
      <w:jc w:val="both"/>
    </w:pPr>
    <w:rPr>
      <w:sz w:val="24"/>
      <w:szCs w:val="24"/>
    </w:rPr>
    <w:tblPr>
      <w:tblStyleRowBandSize w:val="1"/>
      <w:tblStyleColBandSize w:val="1"/>
      <w:tblBorders>
        <w:top w:val="single" w:sz="4" w:space="0" w:color="5F5F5F"/>
        <w:left w:val="single" w:sz="4" w:space="0" w:color="5F5F5F"/>
        <w:bottom w:val="single" w:sz="4" w:space="0" w:color="5F5F5F"/>
        <w:right w:val="single" w:sz="4" w:space="0" w:color="5F5F5F"/>
      </w:tblBorders>
    </w:tblPr>
    <w:tblStylePr w:type="firstRow">
      <w:rPr>
        <w:b/>
        <w:bCs/>
        <w:color w:val="FFFFFF"/>
      </w:rPr>
      <w:tblPr/>
      <w:tcPr>
        <w:shd w:val="clear" w:color="auto" w:fill="5F5F5F"/>
      </w:tcPr>
    </w:tblStylePr>
    <w:tblStylePr w:type="lastRow">
      <w:rPr>
        <w:b/>
        <w:bCs/>
      </w:rPr>
      <w:tblPr/>
      <w:tcPr>
        <w:tcBorders>
          <w:top w:val="double" w:sz="4" w:space="0" w:color="5F5F5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F5F5F"/>
          <w:right w:val="single" w:sz="4" w:space="0" w:color="5F5F5F"/>
        </w:tcBorders>
      </w:tcPr>
    </w:tblStylePr>
    <w:tblStylePr w:type="band1Horz">
      <w:tblPr/>
      <w:tcPr>
        <w:tcBorders>
          <w:top w:val="single" w:sz="4" w:space="0" w:color="5F5F5F"/>
          <w:bottom w:val="single" w:sz="4" w:space="0" w:color="5F5F5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left w:val="nil"/>
        </w:tcBorders>
      </w:tcPr>
    </w:tblStylePr>
    <w:tblStylePr w:type="swCell">
      <w:tblPr/>
      <w:tcPr>
        <w:tcBorders>
          <w:top w:val="double" w:sz="4" w:space="0" w:color="5F5F5F"/>
          <w:right w:val="nil"/>
        </w:tcBorders>
      </w:tcPr>
    </w:tblStylePr>
  </w:style>
  <w:style w:type="table" w:customStyle="1" w:styleId="ListTable3-Accent6111">
    <w:name w:val="List Table 3 - Accent 6111"/>
    <w:basedOn w:val="TableNormal"/>
    <w:next w:val="ListTable3Accent6"/>
    <w:uiPriority w:val="48"/>
    <w:semiHidden/>
    <w:rsid w:val="00A8059F"/>
    <w:pPr>
      <w:jc w:val="both"/>
    </w:pPr>
    <w:rPr>
      <w:sz w:val="24"/>
      <w:szCs w:val="24"/>
    </w:rPr>
    <w:tblPr>
      <w:tblStyleRowBandSize w:val="1"/>
      <w:tblStyleColBandSize w:val="1"/>
      <w:tblBorders>
        <w:top w:val="single" w:sz="4" w:space="0" w:color="4D4D4D"/>
        <w:left w:val="single" w:sz="4" w:space="0" w:color="4D4D4D"/>
        <w:bottom w:val="single" w:sz="4" w:space="0" w:color="4D4D4D"/>
        <w:right w:val="single" w:sz="4" w:space="0" w:color="4D4D4D"/>
      </w:tblBorders>
    </w:tblPr>
    <w:tblStylePr w:type="firstRow">
      <w:rPr>
        <w:b/>
        <w:bCs/>
        <w:color w:val="FFFFFF"/>
      </w:rPr>
      <w:tblPr/>
      <w:tcPr>
        <w:shd w:val="clear" w:color="auto" w:fill="4D4D4D"/>
      </w:tcPr>
    </w:tblStylePr>
    <w:tblStylePr w:type="lastRow">
      <w:rPr>
        <w:b/>
        <w:bCs/>
      </w:rPr>
      <w:tblPr/>
      <w:tcPr>
        <w:tcBorders>
          <w:top w:val="double" w:sz="4" w:space="0" w:color="4D4D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D4D4D"/>
          <w:right w:val="single" w:sz="4" w:space="0" w:color="4D4D4D"/>
        </w:tcBorders>
      </w:tcPr>
    </w:tblStylePr>
    <w:tblStylePr w:type="band1Horz">
      <w:tblPr/>
      <w:tcPr>
        <w:tcBorders>
          <w:top w:val="single" w:sz="4" w:space="0" w:color="4D4D4D"/>
          <w:bottom w:val="single" w:sz="4" w:space="0" w:color="4D4D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left w:val="nil"/>
        </w:tcBorders>
      </w:tcPr>
    </w:tblStylePr>
    <w:tblStylePr w:type="swCell">
      <w:tblPr/>
      <w:tcPr>
        <w:tcBorders>
          <w:top w:val="double" w:sz="4" w:space="0" w:color="4D4D4D"/>
          <w:right w:val="nil"/>
        </w:tcBorders>
      </w:tcPr>
    </w:tblStylePr>
  </w:style>
  <w:style w:type="table" w:customStyle="1" w:styleId="ListTable4111">
    <w:name w:val="List Table 4111"/>
    <w:basedOn w:val="TableNormal"/>
    <w:next w:val="ListTable4"/>
    <w:uiPriority w:val="49"/>
    <w:semiHidden/>
    <w:rsid w:val="00A8059F"/>
    <w:pPr>
      <w:jc w:val="both"/>
    </w:pPr>
    <w:rPr>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11">
    <w:name w:val="List Table 4 - Accent 1111"/>
    <w:basedOn w:val="TableNormal"/>
    <w:next w:val="ListTable4Accent1"/>
    <w:uiPriority w:val="49"/>
    <w:semiHidden/>
    <w:rsid w:val="00A8059F"/>
    <w:pPr>
      <w:jc w:val="both"/>
    </w:pPr>
    <w:rPr>
      <w:sz w:val="24"/>
      <w:szCs w:val="24"/>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tcBorders>
        <w:shd w:val="clear" w:color="auto" w:fill="0072BC"/>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4-Accent2111">
    <w:name w:val="List Table 4 - Accent 2111"/>
    <w:basedOn w:val="TableNormal"/>
    <w:next w:val="ListTable4Accent2"/>
    <w:uiPriority w:val="49"/>
    <w:semiHidden/>
    <w:rsid w:val="00A8059F"/>
    <w:pPr>
      <w:jc w:val="both"/>
    </w:pPr>
    <w:rPr>
      <w:sz w:val="24"/>
      <w:szCs w:val="24"/>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tcBorders>
        <w:shd w:val="clear" w:color="auto" w:fill="C00000"/>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4-Accent3111">
    <w:name w:val="List Table 4 - Accent 3111"/>
    <w:basedOn w:val="TableNormal"/>
    <w:next w:val="ListTable4Accent3"/>
    <w:uiPriority w:val="49"/>
    <w:semiHidden/>
    <w:rsid w:val="00A8059F"/>
    <w:pPr>
      <w:jc w:val="both"/>
    </w:pPr>
    <w:rPr>
      <w:sz w:val="24"/>
      <w:szCs w:val="24"/>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tcBorders>
        <w:shd w:val="clear" w:color="auto" w:fill="595959"/>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4-Accent4111">
    <w:name w:val="List Table 4 - Accent 4111"/>
    <w:basedOn w:val="TableNormal"/>
    <w:next w:val="ListTable4Accent4"/>
    <w:uiPriority w:val="49"/>
    <w:semiHidden/>
    <w:rsid w:val="00A8059F"/>
    <w:pPr>
      <w:jc w:val="both"/>
    </w:pPr>
    <w:rPr>
      <w:sz w:val="24"/>
      <w:szCs w:val="24"/>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tcBorders>
        <w:shd w:val="clear" w:color="auto" w:fill="969696"/>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4-Accent5111">
    <w:name w:val="List Table 4 - Accent 5111"/>
    <w:basedOn w:val="TableNormal"/>
    <w:next w:val="ListTable4Accent5"/>
    <w:uiPriority w:val="49"/>
    <w:semiHidden/>
    <w:rsid w:val="00A8059F"/>
    <w:pPr>
      <w:jc w:val="both"/>
    </w:pPr>
    <w:rPr>
      <w:sz w:val="24"/>
      <w:szCs w:val="24"/>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tcBorders>
        <w:shd w:val="clear" w:color="auto" w:fill="5F5F5F"/>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4-Accent6111">
    <w:name w:val="List Table 4 - Accent 6111"/>
    <w:basedOn w:val="TableNormal"/>
    <w:next w:val="ListTable4Accent6"/>
    <w:uiPriority w:val="49"/>
    <w:semiHidden/>
    <w:rsid w:val="00A8059F"/>
    <w:pPr>
      <w:jc w:val="both"/>
    </w:pPr>
    <w:rPr>
      <w:sz w:val="24"/>
      <w:szCs w:val="24"/>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tcBorders>
        <w:shd w:val="clear" w:color="auto" w:fill="4D4D4D"/>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5Dark111">
    <w:name w:val="List Table 5 Dark111"/>
    <w:basedOn w:val="TableNormal"/>
    <w:next w:val="ListTable5Dark"/>
    <w:uiPriority w:val="50"/>
    <w:semiHidden/>
    <w:rsid w:val="00A8059F"/>
    <w:pPr>
      <w:jc w:val="both"/>
    </w:pPr>
    <w:rPr>
      <w:color w:val="FFFFFF"/>
      <w:sz w:val="24"/>
      <w:szCs w:val="24"/>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11">
    <w:name w:val="List Table 5 Dark - Accent 1111"/>
    <w:basedOn w:val="TableNormal"/>
    <w:next w:val="ListTable5DarkAccent1"/>
    <w:uiPriority w:val="50"/>
    <w:semiHidden/>
    <w:rsid w:val="00A8059F"/>
    <w:pPr>
      <w:jc w:val="both"/>
    </w:pPr>
    <w:rPr>
      <w:color w:val="FFFFFF"/>
      <w:sz w:val="24"/>
      <w:szCs w:val="24"/>
    </w:rPr>
    <w:tblPr>
      <w:tblStyleRowBandSize w:val="1"/>
      <w:tblStyleColBandSize w:val="1"/>
      <w:tblBorders>
        <w:top w:val="single" w:sz="24" w:space="0" w:color="0072BC"/>
        <w:left w:val="single" w:sz="24" w:space="0" w:color="0072BC"/>
        <w:bottom w:val="single" w:sz="24" w:space="0" w:color="0072BC"/>
        <w:right w:val="single" w:sz="24" w:space="0" w:color="0072BC"/>
      </w:tblBorders>
    </w:tblPr>
    <w:tcPr>
      <w:shd w:val="clear" w:color="auto" w:fill="0072B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11">
    <w:name w:val="List Table 5 Dark - Accent 2111"/>
    <w:basedOn w:val="TableNormal"/>
    <w:next w:val="ListTable5DarkAccent2"/>
    <w:uiPriority w:val="50"/>
    <w:semiHidden/>
    <w:rsid w:val="00A8059F"/>
    <w:pPr>
      <w:jc w:val="both"/>
    </w:pPr>
    <w:rPr>
      <w:color w:val="FFFFFF"/>
      <w:sz w:val="24"/>
      <w:szCs w:val="24"/>
    </w:rPr>
    <w:tblPr>
      <w:tblStyleRowBandSize w:val="1"/>
      <w:tblStyleColBandSize w:val="1"/>
      <w:tblBorders>
        <w:top w:val="single" w:sz="24" w:space="0" w:color="C00000"/>
        <w:left w:val="single" w:sz="24" w:space="0" w:color="C00000"/>
        <w:bottom w:val="single" w:sz="24" w:space="0" w:color="C00000"/>
        <w:right w:val="single" w:sz="24" w:space="0" w:color="C00000"/>
      </w:tblBorders>
    </w:tblPr>
    <w:tcPr>
      <w:shd w:val="clear" w:color="auto" w:fill="C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1">
    <w:name w:val="List Table 5 Dark - Accent 3111"/>
    <w:basedOn w:val="TableNormal"/>
    <w:next w:val="ListTable5DarkAccent3"/>
    <w:uiPriority w:val="50"/>
    <w:semiHidden/>
    <w:rsid w:val="00A8059F"/>
    <w:pPr>
      <w:jc w:val="both"/>
    </w:pPr>
    <w:rPr>
      <w:color w:val="FFFFFF"/>
      <w:sz w:val="24"/>
      <w:szCs w:val="24"/>
    </w:rPr>
    <w:tblPr>
      <w:tblStyleRowBandSize w:val="1"/>
      <w:tblStyleColBandSize w:val="1"/>
      <w:tblBorders>
        <w:top w:val="single" w:sz="24" w:space="0" w:color="595959"/>
        <w:left w:val="single" w:sz="24" w:space="0" w:color="595959"/>
        <w:bottom w:val="single" w:sz="24" w:space="0" w:color="595959"/>
        <w:right w:val="single" w:sz="24" w:space="0" w:color="595959"/>
      </w:tblBorders>
    </w:tblPr>
    <w:tcPr>
      <w:shd w:val="clear" w:color="auto" w:fill="5959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11">
    <w:name w:val="List Table 5 Dark - Accent 4111"/>
    <w:basedOn w:val="TableNormal"/>
    <w:next w:val="ListTable5DarkAccent4"/>
    <w:uiPriority w:val="50"/>
    <w:semiHidden/>
    <w:rsid w:val="00A8059F"/>
    <w:pPr>
      <w:jc w:val="both"/>
    </w:pPr>
    <w:rPr>
      <w:color w:val="FFFFFF"/>
      <w:sz w:val="24"/>
      <w:szCs w:val="24"/>
    </w:rPr>
    <w:tblPr>
      <w:tblStyleRowBandSize w:val="1"/>
      <w:tblStyleColBandSize w:val="1"/>
      <w:tblBorders>
        <w:top w:val="single" w:sz="24" w:space="0" w:color="969696"/>
        <w:left w:val="single" w:sz="24" w:space="0" w:color="969696"/>
        <w:bottom w:val="single" w:sz="24" w:space="0" w:color="969696"/>
        <w:right w:val="single" w:sz="24" w:space="0" w:color="969696"/>
      </w:tblBorders>
    </w:tblPr>
    <w:tcPr>
      <w:shd w:val="clear" w:color="auto" w:fill="96969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11">
    <w:name w:val="List Table 5 Dark - Accent 5111"/>
    <w:basedOn w:val="TableNormal"/>
    <w:next w:val="ListTable5DarkAccent5"/>
    <w:uiPriority w:val="50"/>
    <w:semiHidden/>
    <w:rsid w:val="00A8059F"/>
    <w:pPr>
      <w:jc w:val="both"/>
    </w:pPr>
    <w:rPr>
      <w:color w:val="FFFFFF"/>
      <w:sz w:val="24"/>
      <w:szCs w:val="24"/>
    </w:rPr>
    <w:tblPr>
      <w:tblStyleRowBandSize w:val="1"/>
      <w:tblStyleColBandSize w:val="1"/>
      <w:tblBorders>
        <w:top w:val="single" w:sz="24" w:space="0" w:color="5F5F5F"/>
        <w:left w:val="single" w:sz="24" w:space="0" w:color="5F5F5F"/>
        <w:bottom w:val="single" w:sz="24" w:space="0" w:color="5F5F5F"/>
        <w:right w:val="single" w:sz="24" w:space="0" w:color="5F5F5F"/>
      </w:tblBorders>
    </w:tblPr>
    <w:tcPr>
      <w:shd w:val="clear" w:color="auto" w:fill="5F5F5F"/>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11">
    <w:name w:val="List Table 5 Dark - Accent 6111"/>
    <w:basedOn w:val="TableNormal"/>
    <w:next w:val="ListTable5DarkAccent6"/>
    <w:uiPriority w:val="50"/>
    <w:semiHidden/>
    <w:rsid w:val="00A8059F"/>
    <w:pPr>
      <w:jc w:val="both"/>
    </w:pPr>
    <w:rPr>
      <w:color w:val="FFFFFF"/>
      <w:sz w:val="24"/>
      <w:szCs w:val="24"/>
    </w:rPr>
    <w:tblPr>
      <w:tblStyleRowBandSize w:val="1"/>
      <w:tblStyleColBandSize w:val="1"/>
      <w:tblBorders>
        <w:top w:val="single" w:sz="24" w:space="0" w:color="4D4D4D"/>
        <w:left w:val="single" w:sz="24" w:space="0" w:color="4D4D4D"/>
        <w:bottom w:val="single" w:sz="24" w:space="0" w:color="4D4D4D"/>
        <w:right w:val="single" w:sz="24" w:space="0" w:color="4D4D4D"/>
      </w:tblBorders>
    </w:tblPr>
    <w:tcPr>
      <w:shd w:val="clear" w:color="auto" w:fill="4D4D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11">
    <w:name w:val="List Table 6 Colorful111"/>
    <w:basedOn w:val="TableNormal"/>
    <w:next w:val="ListTable6Colorful"/>
    <w:uiPriority w:val="51"/>
    <w:semiHidden/>
    <w:rsid w:val="00A8059F"/>
    <w:pPr>
      <w:jc w:val="both"/>
    </w:pPr>
    <w:rPr>
      <w:color w:val="000000"/>
      <w:sz w:val="24"/>
      <w:szCs w:val="24"/>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11">
    <w:name w:val="List Table 6 Colorful - Accent 1111"/>
    <w:basedOn w:val="TableNormal"/>
    <w:next w:val="ListTable6ColorfulAccent1"/>
    <w:uiPriority w:val="51"/>
    <w:semiHidden/>
    <w:rsid w:val="00A8059F"/>
    <w:pPr>
      <w:jc w:val="both"/>
    </w:pPr>
    <w:rPr>
      <w:color w:val="00548C"/>
      <w:sz w:val="24"/>
      <w:szCs w:val="24"/>
    </w:rPr>
    <w:tblPr>
      <w:tblStyleRowBandSize w:val="1"/>
      <w:tblStyleColBandSize w:val="1"/>
      <w:tblBorders>
        <w:top w:val="single" w:sz="4" w:space="0" w:color="0072BC"/>
        <w:bottom w:val="single" w:sz="4" w:space="0" w:color="0072BC"/>
      </w:tblBorders>
    </w:tblPr>
    <w:tblStylePr w:type="firstRow">
      <w:rPr>
        <w:b/>
        <w:bCs/>
      </w:rPr>
      <w:tblPr/>
      <w:tcPr>
        <w:tcBorders>
          <w:bottom w:val="single" w:sz="4" w:space="0" w:color="0072BC"/>
        </w:tcBorders>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6Colorful-Accent2111">
    <w:name w:val="List Table 6 Colorful - Accent 2111"/>
    <w:basedOn w:val="TableNormal"/>
    <w:next w:val="ListTable6ColorfulAccent2"/>
    <w:uiPriority w:val="51"/>
    <w:semiHidden/>
    <w:rsid w:val="00A8059F"/>
    <w:pPr>
      <w:jc w:val="both"/>
    </w:pPr>
    <w:rPr>
      <w:color w:val="8F0000"/>
      <w:sz w:val="24"/>
      <w:szCs w:val="24"/>
    </w:rPr>
    <w:tblPr>
      <w:tblStyleRowBandSize w:val="1"/>
      <w:tblStyleColBandSize w:val="1"/>
      <w:tblBorders>
        <w:top w:val="single" w:sz="4" w:space="0" w:color="C00000"/>
        <w:bottom w:val="single" w:sz="4" w:space="0" w:color="C00000"/>
      </w:tblBorders>
    </w:tblPr>
    <w:tblStylePr w:type="firstRow">
      <w:rPr>
        <w:b/>
        <w:bCs/>
      </w:rPr>
      <w:tblPr/>
      <w:tcPr>
        <w:tcBorders>
          <w:bottom w:val="single" w:sz="4" w:space="0" w:color="C00000"/>
        </w:tcBorders>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6Colorful-Accent3111">
    <w:name w:val="List Table 6 Colorful - Accent 3111"/>
    <w:basedOn w:val="TableNormal"/>
    <w:next w:val="ListTable6ColorfulAccent3"/>
    <w:uiPriority w:val="51"/>
    <w:semiHidden/>
    <w:rsid w:val="00A8059F"/>
    <w:pPr>
      <w:jc w:val="both"/>
    </w:pPr>
    <w:rPr>
      <w:color w:val="424242"/>
      <w:sz w:val="24"/>
      <w:szCs w:val="24"/>
    </w:rPr>
    <w:tblPr>
      <w:tblStyleRowBandSize w:val="1"/>
      <w:tblStyleColBandSize w:val="1"/>
      <w:tblBorders>
        <w:top w:val="single" w:sz="4" w:space="0" w:color="595959"/>
        <w:bottom w:val="single" w:sz="4" w:space="0" w:color="595959"/>
      </w:tblBorders>
    </w:tblPr>
    <w:tblStylePr w:type="firstRow">
      <w:rPr>
        <w:b/>
        <w:bCs/>
      </w:rPr>
      <w:tblPr/>
      <w:tcPr>
        <w:tcBorders>
          <w:bottom w:val="single" w:sz="4" w:space="0" w:color="595959"/>
        </w:tcBorders>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6Colorful-Accent4111">
    <w:name w:val="List Table 6 Colorful - Accent 4111"/>
    <w:basedOn w:val="TableNormal"/>
    <w:next w:val="ListTable6ColorfulAccent4"/>
    <w:uiPriority w:val="51"/>
    <w:semiHidden/>
    <w:rsid w:val="00A8059F"/>
    <w:pPr>
      <w:jc w:val="both"/>
    </w:pPr>
    <w:rPr>
      <w:color w:val="707070"/>
      <w:sz w:val="24"/>
      <w:szCs w:val="24"/>
    </w:rPr>
    <w:tblPr>
      <w:tblStyleRowBandSize w:val="1"/>
      <w:tblStyleColBandSize w:val="1"/>
      <w:tblBorders>
        <w:top w:val="single" w:sz="4" w:space="0" w:color="969696"/>
        <w:bottom w:val="single" w:sz="4" w:space="0" w:color="969696"/>
      </w:tblBorders>
    </w:tblPr>
    <w:tblStylePr w:type="firstRow">
      <w:rPr>
        <w:b/>
        <w:bCs/>
      </w:rPr>
      <w:tblPr/>
      <w:tcPr>
        <w:tcBorders>
          <w:bottom w:val="single" w:sz="4" w:space="0" w:color="969696"/>
        </w:tcBorders>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6Colorful-Accent5111">
    <w:name w:val="List Table 6 Colorful - Accent 5111"/>
    <w:basedOn w:val="TableNormal"/>
    <w:next w:val="ListTable6ColorfulAccent5"/>
    <w:uiPriority w:val="51"/>
    <w:semiHidden/>
    <w:rsid w:val="00A8059F"/>
    <w:pPr>
      <w:jc w:val="both"/>
    </w:pPr>
    <w:rPr>
      <w:color w:val="474747"/>
      <w:sz w:val="24"/>
      <w:szCs w:val="24"/>
    </w:rPr>
    <w:tblPr>
      <w:tblStyleRowBandSize w:val="1"/>
      <w:tblStyleColBandSize w:val="1"/>
      <w:tblBorders>
        <w:top w:val="single" w:sz="4" w:space="0" w:color="5F5F5F"/>
        <w:bottom w:val="single" w:sz="4" w:space="0" w:color="5F5F5F"/>
      </w:tblBorders>
    </w:tblPr>
    <w:tblStylePr w:type="firstRow">
      <w:rPr>
        <w:b/>
        <w:bCs/>
      </w:rPr>
      <w:tblPr/>
      <w:tcPr>
        <w:tcBorders>
          <w:bottom w:val="single" w:sz="4" w:space="0" w:color="5F5F5F"/>
        </w:tcBorders>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6Colorful-Accent6111">
    <w:name w:val="List Table 6 Colorful - Accent 6111"/>
    <w:basedOn w:val="TableNormal"/>
    <w:next w:val="ListTable6ColorfulAccent6"/>
    <w:uiPriority w:val="51"/>
    <w:semiHidden/>
    <w:rsid w:val="00A8059F"/>
    <w:pPr>
      <w:jc w:val="both"/>
    </w:pPr>
    <w:rPr>
      <w:color w:val="393939"/>
      <w:sz w:val="24"/>
      <w:szCs w:val="24"/>
    </w:rPr>
    <w:tblPr>
      <w:tblStyleRowBandSize w:val="1"/>
      <w:tblStyleColBandSize w:val="1"/>
      <w:tblBorders>
        <w:top w:val="single" w:sz="4" w:space="0" w:color="4D4D4D"/>
        <w:bottom w:val="single" w:sz="4" w:space="0" w:color="4D4D4D"/>
      </w:tblBorders>
    </w:tblPr>
    <w:tblStylePr w:type="firstRow">
      <w:rPr>
        <w:b/>
        <w:bCs/>
      </w:rPr>
      <w:tblPr/>
      <w:tcPr>
        <w:tcBorders>
          <w:bottom w:val="single" w:sz="4" w:space="0" w:color="4D4D4D"/>
        </w:tcBorders>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7Colorful111">
    <w:name w:val="List Table 7 Colorful111"/>
    <w:basedOn w:val="TableNormal"/>
    <w:next w:val="ListTable7Colorful"/>
    <w:uiPriority w:val="52"/>
    <w:semiHidden/>
    <w:rsid w:val="00A8059F"/>
    <w:pPr>
      <w:jc w:val="both"/>
    </w:pPr>
    <w:rPr>
      <w:color w:val="000000"/>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000000"/>
        </w:tcBorders>
        <w:shd w:val="clear" w:color="auto" w:fill="FFFFFF"/>
      </w:tcPr>
    </w:tblStylePr>
    <w:tblStylePr w:type="lastRow">
      <w:rPr>
        <w:rFonts w:ascii="Times New Roman" w:eastAsia="MingLiU" w:hAnsi="Times New Roman" w:cs="Times New Roman"/>
        <w:i/>
        <w:iCs/>
        <w:sz w:val="26"/>
      </w:rPr>
      <w:tblPr/>
      <w:tcPr>
        <w:tcBorders>
          <w:top w:val="single" w:sz="4" w:space="0" w:color="000000"/>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000000"/>
        </w:tcBorders>
        <w:shd w:val="clear" w:color="auto" w:fill="FFFFFF"/>
      </w:tcPr>
    </w:tblStylePr>
    <w:tblStylePr w:type="lastCol">
      <w:rPr>
        <w:rFonts w:ascii="Times New Roman" w:eastAsia="MingLiU" w:hAnsi="Times New Rom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11">
    <w:name w:val="List Table 7 Colorful - Accent 1111"/>
    <w:basedOn w:val="TableNormal"/>
    <w:next w:val="ListTable7ColorfulAccent1"/>
    <w:uiPriority w:val="52"/>
    <w:semiHidden/>
    <w:rsid w:val="00A8059F"/>
    <w:pPr>
      <w:jc w:val="both"/>
    </w:pPr>
    <w:rPr>
      <w:color w:val="00548C"/>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0072BC"/>
        </w:tcBorders>
        <w:shd w:val="clear" w:color="auto" w:fill="FFFFFF"/>
      </w:tcPr>
    </w:tblStylePr>
    <w:tblStylePr w:type="lastRow">
      <w:rPr>
        <w:rFonts w:ascii="Times New Roman" w:eastAsia="MingLiU" w:hAnsi="Times New Roman" w:cs="Times New Roman"/>
        <w:i/>
        <w:iCs/>
        <w:sz w:val="26"/>
      </w:rPr>
      <w:tblPr/>
      <w:tcPr>
        <w:tcBorders>
          <w:top w:val="single" w:sz="4" w:space="0" w:color="0072BC"/>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0072BC"/>
        </w:tcBorders>
        <w:shd w:val="clear" w:color="auto" w:fill="FFFFFF"/>
      </w:tcPr>
    </w:tblStylePr>
    <w:tblStylePr w:type="lastCol">
      <w:rPr>
        <w:rFonts w:ascii="Times New Roman" w:eastAsia="MingLiU" w:hAnsi="Times New Roman" w:cs="Times New Roman"/>
        <w:i/>
        <w:iCs/>
        <w:sz w:val="26"/>
      </w:rPr>
      <w:tblPr/>
      <w:tcPr>
        <w:tcBorders>
          <w:left w:val="single" w:sz="4" w:space="0" w:color="0072BC"/>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11">
    <w:name w:val="List Table 7 Colorful - Accent 2111"/>
    <w:basedOn w:val="TableNormal"/>
    <w:next w:val="ListTable7ColorfulAccent2"/>
    <w:uiPriority w:val="52"/>
    <w:semiHidden/>
    <w:rsid w:val="00A8059F"/>
    <w:pPr>
      <w:jc w:val="both"/>
    </w:pPr>
    <w:rPr>
      <w:color w:val="8F0000"/>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C00000"/>
        </w:tcBorders>
        <w:shd w:val="clear" w:color="auto" w:fill="FFFFFF"/>
      </w:tcPr>
    </w:tblStylePr>
    <w:tblStylePr w:type="lastRow">
      <w:rPr>
        <w:rFonts w:ascii="Times New Roman" w:eastAsia="MingLiU" w:hAnsi="Times New Roman" w:cs="Times New Roman"/>
        <w:i/>
        <w:iCs/>
        <w:sz w:val="26"/>
      </w:rPr>
      <w:tblPr/>
      <w:tcPr>
        <w:tcBorders>
          <w:top w:val="single" w:sz="4" w:space="0" w:color="C00000"/>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C00000"/>
        </w:tcBorders>
        <w:shd w:val="clear" w:color="auto" w:fill="FFFFFF"/>
      </w:tcPr>
    </w:tblStylePr>
    <w:tblStylePr w:type="lastCol">
      <w:rPr>
        <w:rFonts w:ascii="Times New Roman" w:eastAsia="MingLiU" w:hAnsi="Times New Roman" w:cs="Times New Roman"/>
        <w:i/>
        <w:iCs/>
        <w:sz w:val="26"/>
      </w:rPr>
      <w:tblPr/>
      <w:tcPr>
        <w:tcBorders>
          <w:left w:val="single" w:sz="4" w:space="0" w:color="C00000"/>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11">
    <w:name w:val="List Table 7 Colorful - Accent 3111"/>
    <w:basedOn w:val="TableNormal"/>
    <w:next w:val="ListTable7ColorfulAccent3"/>
    <w:uiPriority w:val="52"/>
    <w:semiHidden/>
    <w:rsid w:val="00A8059F"/>
    <w:pPr>
      <w:jc w:val="both"/>
    </w:pPr>
    <w:rPr>
      <w:color w:val="424242"/>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595959"/>
        </w:tcBorders>
        <w:shd w:val="clear" w:color="auto" w:fill="FFFFFF"/>
      </w:tcPr>
    </w:tblStylePr>
    <w:tblStylePr w:type="lastRow">
      <w:rPr>
        <w:rFonts w:ascii="Times New Roman" w:eastAsia="MingLiU" w:hAnsi="Times New Roman" w:cs="Times New Roman"/>
        <w:i/>
        <w:iCs/>
        <w:sz w:val="26"/>
      </w:rPr>
      <w:tblPr/>
      <w:tcPr>
        <w:tcBorders>
          <w:top w:val="single" w:sz="4" w:space="0" w:color="595959"/>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595959"/>
        </w:tcBorders>
        <w:shd w:val="clear" w:color="auto" w:fill="FFFFFF"/>
      </w:tcPr>
    </w:tblStylePr>
    <w:tblStylePr w:type="lastCol">
      <w:rPr>
        <w:rFonts w:ascii="Times New Roman" w:eastAsia="MingLiU" w:hAnsi="Times New Roman" w:cs="Times New Roman"/>
        <w:i/>
        <w:iCs/>
        <w:sz w:val="26"/>
      </w:rPr>
      <w:tblPr/>
      <w:tcPr>
        <w:tcBorders>
          <w:left w:val="single" w:sz="4" w:space="0" w:color="595959"/>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11">
    <w:name w:val="List Table 7 Colorful - Accent 4111"/>
    <w:basedOn w:val="TableNormal"/>
    <w:next w:val="ListTable7ColorfulAccent4"/>
    <w:uiPriority w:val="52"/>
    <w:semiHidden/>
    <w:rsid w:val="00A8059F"/>
    <w:pPr>
      <w:jc w:val="both"/>
    </w:pPr>
    <w:rPr>
      <w:color w:val="707070"/>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969696"/>
        </w:tcBorders>
        <w:shd w:val="clear" w:color="auto" w:fill="FFFFFF"/>
      </w:tcPr>
    </w:tblStylePr>
    <w:tblStylePr w:type="lastRow">
      <w:rPr>
        <w:rFonts w:ascii="Times New Roman" w:eastAsia="MingLiU" w:hAnsi="Times New Roman" w:cs="Times New Roman"/>
        <w:i/>
        <w:iCs/>
        <w:sz w:val="26"/>
      </w:rPr>
      <w:tblPr/>
      <w:tcPr>
        <w:tcBorders>
          <w:top w:val="single" w:sz="4" w:space="0" w:color="969696"/>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969696"/>
        </w:tcBorders>
        <w:shd w:val="clear" w:color="auto" w:fill="FFFFFF"/>
      </w:tcPr>
    </w:tblStylePr>
    <w:tblStylePr w:type="lastCol">
      <w:rPr>
        <w:rFonts w:ascii="Times New Roman" w:eastAsia="MingLiU" w:hAnsi="Times New Roman" w:cs="Times New Roman"/>
        <w:i/>
        <w:iCs/>
        <w:sz w:val="26"/>
      </w:rPr>
      <w:tblPr/>
      <w:tcPr>
        <w:tcBorders>
          <w:left w:val="single" w:sz="4" w:space="0" w:color="969696"/>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11">
    <w:name w:val="List Table 7 Colorful - Accent 5111"/>
    <w:basedOn w:val="TableNormal"/>
    <w:next w:val="ListTable7ColorfulAccent5"/>
    <w:uiPriority w:val="52"/>
    <w:semiHidden/>
    <w:rsid w:val="00A8059F"/>
    <w:pPr>
      <w:jc w:val="both"/>
    </w:pPr>
    <w:rPr>
      <w:color w:val="474747"/>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5F5F5F"/>
        </w:tcBorders>
        <w:shd w:val="clear" w:color="auto" w:fill="FFFFFF"/>
      </w:tcPr>
    </w:tblStylePr>
    <w:tblStylePr w:type="lastRow">
      <w:rPr>
        <w:rFonts w:ascii="Times New Roman" w:eastAsia="MingLiU" w:hAnsi="Times New Roman" w:cs="Times New Roman"/>
        <w:i/>
        <w:iCs/>
        <w:sz w:val="26"/>
      </w:rPr>
      <w:tblPr/>
      <w:tcPr>
        <w:tcBorders>
          <w:top w:val="single" w:sz="4" w:space="0" w:color="5F5F5F"/>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5F5F5F"/>
        </w:tcBorders>
        <w:shd w:val="clear" w:color="auto" w:fill="FFFFFF"/>
      </w:tcPr>
    </w:tblStylePr>
    <w:tblStylePr w:type="lastCol">
      <w:rPr>
        <w:rFonts w:ascii="Times New Roman" w:eastAsia="MingLiU" w:hAnsi="Times New Roman" w:cs="Times New Roman"/>
        <w:i/>
        <w:iCs/>
        <w:sz w:val="26"/>
      </w:rPr>
      <w:tblPr/>
      <w:tcPr>
        <w:tcBorders>
          <w:left w:val="single" w:sz="4" w:space="0" w:color="5F5F5F"/>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11">
    <w:name w:val="List Table 7 Colorful - Accent 6111"/>
    <w:basedOn w:val="TableNormal"/>
    <w:next w:val="ListTable7ColorfulAccent6"/>
    <w:uiPriority w:val="52"/>
    <w:semiHidden/>
    <w:rsid w:val="00A8059F"/>
    <w:pPr>
      <w:jc w:val="both"/>
    </w:pPr>
    <w:rPr>
      <w:color w:val="393939"/>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4D4D4D"/>
        </w:tcBorders>
        <w:shd w:val="clear" w:color="auto" w:fill="FFFFFF"/>
      </w:tcPr>
    </w:tblStylePr>
    <w:tblStylePr w:type="lastRow">
      <w:rPr>
        <w:rFonts w:ascii="Times New Roman" w:eastAsia="MingLiU" w:hAnsi="Times New Roman" w:cs="Times New Roman"/>
        <w:i/>
        <w:iCs/>
        <w:sz w:val="26"/>
      </w:rPr>
      <w:tblPr/>
      <w:tcPr>
        <w:tcBorders>
          <w:top w:val="single" w:sz="4" w:space="0" w:color="4D4D4D"/>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4D4D4D"/>
        </w:tcBorders>
        <w:shd w:val="clear" w:color="auto" w:fill="FFFFFF"/>
      </w:tcPr>
    </w:tblStylePr>
    <w:tblStylePr w:type="lastCol">
      <w:rPr>
        <w:rFonts w:ascii="Times New Roman" w:eastAsia="MingLiU" w:hAnsi="Times New Roman" w:cs="Times New Roman"/>
        <w:i/>
        <w:iCs/>
        <w:sz w:val="26"/>
      </w:rPr>
      <w:tblPr/>
      <w:tcPr>
        <w:tcBorders>
          <w:left w:val="single" w:sz="4" w:space="0" w:color="4D4D4D"/>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11">
    <w:name w:val="Plain Table 1111"/>
    <w:basedOn w:val="TableNormal"/>
    <w:next w:val="PlainTable1"/>
    <w:uiPriority w:val="41"/>
    <w:semiHidden/>
    <w:rsid w:val="00A8059F"/>
    <w:pPr>
      <w:jc w:val="both"/>
    </w:pPr>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11">
    <w:name w:val="Plain Table 2111"/>
    <w:basedOn w:val="TableNormal"/>
    <w:next w:val="PlainTable2"/>
    <w:uiPriority w:val="42"/>
    <w:semiHidden/>
    <w:rsid w:val="00A8059F"/>
    <w:pPr>
      <w:jc w:val="both"/>
    </w:pPr>
    <w:rPr>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11">
    <w:name w:val="Plain Table 3111"/>
    <w:basedOn w:val="TableNormal"/>
    <w:next w:val="PlainTable3"/>
    <w:uiPriority w:val="43"/>
    <w:semiHidden/>
    <w:rsid w:val="00A8059F"/>
    <w:pPr>
      <w:jc w:val="both"/>
    </w:pPr>
    <w:rPr>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11">
    <w:name w:val="Plain Table 4111"/>
    <w:basedOn w:val="TableNormal"/>
    <w:next w:val="PlainTable4"/>
    <w:uiPriority w:val="44"/>
    <w:semiHidden/>
    <w:rsid w:val="00A8059F"/>
    <w:pPr>
      <w:jc w:val="both"/>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11">
    <w:name w:val="Plain Table 5111"/>
    <w:basedOn w:val="TableNormal"/>
    <w:next w:val="PlainTable5"/>
    <w:uiPriority w:val="45"/>
    <w:semiHidden/>
    <w:rsid w:val="00A8059F"/>
    <w:pPr>
      <w:jc w:val="both"/>
    </w:pPr>
    <w:rPr>
      <w:sz w:val="24"/>
      <w:szCs w:val="24"/>
    </w:rPr>
    <w:tblPr>
      <w:tblStyleRowBandSize w:val="1"/>
      <w:tblStyleColBandSize w:val="1"/>
    </w:tblPr>
    <w:tblStylePr w:type="firstRow">
      <w:rPr>
        <w:rFonts w:ascii="Times New Roman" w:eastAsia="MingLiU" w:hAnsi="Times New Roman" w:cs="Times New Roman"/>
        <w:i/>
        <w:iCs/>
        <w:sz w:val="26"/>
      </w:rPr>
      <w:tblPr/>
      <w:tcPr>
        <w:tcBorders>
          <w:bottom w:val="single" w:sz="4" w:space="0" w:color="7F7F7F"/>
        </w:tcBorders>
        <w:shd w:val="clear" w:color="auto" w:fill="FFFFFF"/>
      </w:tcPr>
    </w:tblStylePr>
    <w:tblStylePr w:type="lastRow">
      <w:rPr>
        <w:rFonts w:ascii="Times New Roman" w:eastAsia="MingLiU" w:hAnsi="Times New Roman" w:cs="Times New Roman"/>
        <w:i/>
        <w:iCs/>
        <w:sz w:val="26"/>
      </w:rPr>
      <w:tblPr/>
      <w:tcPr>
        <w:tcBorders>
          <w:top w:val="single" w:sz="4" w:space="0" w:color="7F7F7F"/>
        </w:tcBorders>
        <w:shd w:val="clear" w:color="auto" w:fill="FFFFFF"/>
      </w:tcPr>
    </w:tblStylePr>
    <w:tblStylePr w:type="firstCol">
      <w:pPr>
        <w:jc w:val="right"/>
      </w:pPr>
      <w:rPr>
        <w:rFonts w:ascii="Times New Roman" w:eastAsia="MingLiU" w:hAnsi="Times New Roman" w:cs="Times New Roman"/>
        <w:i/>
        <w:iCs/>
        <w:sz w:val="26"/>
      </w:rPr>
      <w:tblPr/>
      <w:tcPr>
        <w:tcBorders>
          <w:right w:val="single" w:sz="4" w:space="0" w:color="7F7F7F"/>
        </w:tcBorders>
        <w:shd w:val="clear" w:color="auto" w:fill="FFFFFF"/>
      </w:tcPr>
    </w:tblStylePr>
    <w:tblStylePr w:type="lastCol">
      <w:rPr>
        <w:rFonts w:ascii="Times New Roman" w:eastAsia="MingLiU" w:hAnsi="Times New Rom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11">
    <w:name w:val="Table Grid Light111"/>
    <w:basedOn w:val="TableNormal"/>
    <w:next w:val="GridTableLight"/>
    <w:uiPriority w:val="40"/>
    <w:semiHidden/>
    <w:rsid w:val="00A8059F"/>
    <w:pPr>
      <w:jc w:val="both"/>
    </w:pPr>
    <w:rPr>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ECHRUGTableWhiteBox111">
    <w:name w:val="ECHR_UG_Table_White_Box111"/>
    <w:basedOn w:val="TableNormal"/>
    <w:uiPriority w:val="99"/>
    <w:rsid w:val="00A8059F"/>
    <w:rPr>
      <w:rFonts w:eastAsia="PMingLiU"/>
      <w:sz w:val="24"/>
      <w:szCs w:val="24"/>
      <w:lang w:val="en-GB"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ColorfulGrid2">
    <w:name w:val="Colorful Grid2"/>
    <w:basedOn w:val="TableNormal"/>
    <w:next w:val="ColorfulGrid"/>
    <w:uiPriority w:val="99"/>
    <w:semiHidden/>
    <w:unhideWhenUsed/>
    <w:rsid w:val="00A8059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semiHidden/>
    <w:unhideWhenUsed/>
    <w:rsid w:val="00A8059F"/>
    <w:rPr>
      <w:color w:val="000000"/>
    </w:rPr>
    <w:tblPr>
      <w:tblStyleRowBandSize w:val="1"/>
      <w:tblStyleColBandSize w:val="1"/>
      <w:tblBorders>
        <w:insideH w:val="single" w:sz="4" w:space="0" w:color="FFFFFF"/>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FFFFFF"/>
      </w:rPr>
      <w:tblPr/>
      <w:tcPr>
        <w:shd w:val="clear" w:color="auto" w:fill="00548C"/>
      </w:tcPr>
    </w:tblStylePr>
    <w:tblStylePr w:type="lastCol">
      <w:rPr>
        <w:color w:val="FFFFFF"/>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semiHidden/>
    <w:unhideWhenUsed/>
    <w:rsid w:val="00A8059F"/>
    <w:rPr>
      <w:color w:val="000000"/>
    </w:rPr>
    <w:tblPr>
      <w:tblStyleRowBandSize w:val="1"/>
      <w:tblStyleColBandSize w:val="1"/>
      <w:tblBorders>
        <w:insideH w:val="single" w:sz="4" w:space="0" w:color="FFFFFF"/>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FFFFFF"/>
      </w:rPr>
      <w:tblPr/>
      <w:tcPr>
        <w:shd w:val="clear" w:color="auto" w:fill="8F0000"/>
      </w:tcPr>
    </w:tblStylePr>
    <w:tblStylePr w:type="lastCol">
      <w:rPr>
        <w:color w:val="FFFFFF"/>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semiHidden/>
    <w:unhideWhenUsed/>
    <w:rsid w:val="00A8059F"/>
    <w:rPr>
      <w:color w:val="000000"/>
    </w:rPr>
    <w:tblPr>
      <w:tblStyleRowBandSize w:val="1"/>
      <w:tblStyleColBandSize w:val="1"/>
      <w:tblBorders>
        <w:insideH w:val="single" w:sz="4" w:space="0" w:color="FFFFFF"/>
      </w:tblBorders>
    </w:tblPr>
    <w:tcPr>
      <w:shd w:val="clear" w:color="auto" w:fill="DDDDDD"/>
    </w:tcPr>
    <w:tblStylePr w:type="firstRow">
      <w:rPr>
        <w:b/>
        <w:bCs/>
      </w:rPr>
      <w:tblPr/>
      <w:tcPr>
        <w:shd w:val="clear" w:color="auto" w:fill="BCBCBC"/>
      </w:tcPr>
    </w:tblStylePr>
    <w:tblStylePr w:type="lastRow">
      <w:rPr>
        <w:b/>
        <w:bCs/>
        <w:color w:val="000000"/>
      </w:rPr>
      <w:tblPr/>
      <w:tcPr>
        <w:shd w:val="clear" w:color="auto" w:fill="BCBCBC"/>
      </w:tcPr>
    </w:tblStylePr>
    <w:tblStylePr w:type="firstCol">
      <w:rPr>
        <w:color w:val="FFFFFF"/>
      </w:rPr>
      <w:tblPr/>
      <w:tcPr>
        <w:shd w:val="clear" w:color="auto" w:fill="424242"/>
      </w:tcPr>
    </w:tblStylePr>
    <w:tblStylePr w:type="lastCol">
      <w:rPr>
        <w:color w:val="FFFFFF"/>
      </w:rPr>
      <w:tblPr/>
      <w:tcPr>
        <w:shd w:val="clear" w:color="auto" w:fill="424242"/>
      </w:tcPr>
    </w:tblStylePr>
    <w:tblStylePr w:type="band1Vert">
      <w:tblPr/>
      <w:tcPr>
        <w:shd w:val="clear" w:color="auto" w:fill="ACACAC"/>
      </w:tcPr>
    </w:tblStylePr>
    <w:tblStylePr w:type="band1Horz">
      <w:tblPr/>
      <w:tcPr>
        <w:shd w:val="clear" w:color="auto" w:fill="ACACAC"/>
      </w:tcPr>
    </w:tblStylePr>
  </w:style>
  <w:style w:type="table" w:customStyle="1" w:styleId="ColorfulGrid-Accent42">
    <w:name w:val="Colorful Grid - Accent 42"/>
    <w:basedOn w:val="TableNormal"/>
    <w:next w:val="ColorfulGridAccent4"/>
    <w:uiPriority w:val="99"/>
    <w:semiHidden/>
    <w:unhideWhenUsed/>
    <w:rsid w:val="00A8059F"/>
    <w:rPr>
      <w:color w:val="000000"/>
    </w:rPr>
    <w:tblPr>
      <w:tblStyleRowBandSize w:val="1"/>
      <w:tblStyleColBandSize w:val="1"/>
      <w:tblBorders>
        <w:insideH w:val="single" w:sz="4" w:space="0" w:color="FFFFFF"/>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FFFFFF"/>
      </w:rPr>
      <w:tblPr/>
      <w:tcPr>
        <w:shd w:val="clear" w:color="auto" w:fill="707070"/>
      </w:tcPr>
    </w:tblStylePr>
    <w:tblStylePr w:type="lastCol">
      <w:rPr>
        <w:color w:val="FFFFFF"/>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semiHidden/>
    <w:unhideWhenUsed/>
    <w:rsid w:val="00A8059F"/>
    <w:rPr>
      <w:color w:val="000000"/>
    </w:rPr>
    <w:tblPr>
      <w:tblStyleRowBandSize w:val="1"/>
      <w:tblStyleColBandSize w:val="1"/>
      <w:tblBorders>
        <w:insideH w:val="single" w:sz="4" w:space="0" w:color="FFFFFF"/>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FFFFFF"/>
      </w:rPr>
      <w:tblPr/>
      <w:tcPr>
        <w:shd w:val="clear" w:color="auto" w:fill="474747"/>
      </w:tcPr>
    </w:tblStylePr>
    <w:tblStylePr w:type="lastCol">
      <w:rPr>
        <w:color w:val="FFFFFF"/>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semiHidden/>
    <w:unhideWhenUsed/>
    <w:rsid w:val="00A8059F"/>
    <w:rPr>
      <w:color w:val="000000"/>
    </w:rPr>
    <w:tblPr>
      <w:tblStyleRowBandSize w:val="1"/>
      <w:tblStyleColBandSize w:val="1"/>
      <w:tblBorders>
        <w:insideH w:val="single" w:sz="4" w:space="0" w:color="FFFFFF"/>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FFFFFF"/>
      </w:rPr>
      <w:tblPr/>
      <w:tcPr>
        <w:shd w:val="clear" w:color="auto" w:fill="393939"/>
      </w:tcPr>
    </w:tblStylePr>
    <w:tblStylePr w:type="lastCol">
      <w:rPr>
        <w:color w:val="FFFFFF"/>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semiHidden/>
    <w:unhideWhenUsed/>
    <w:rsid w:val="00A8059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90000"/>
      </w:tcPr>
    </w:tblStylePr>
    <w:tblStylePr w:type="lastRow">
      <w:rPr>
        <w:b/>
        <w:bCs/>
        <w:color w:val="99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semiHidden/>
    <w:unhideWhenUsed/>
    <w:rsid w:val="00A8059F"/>
    <w:rPr>
      <w:color w:val="000000"/>
    </w:rPr>
    <w:tblPr>
      <w:tblStyleRowBandSize w:val="1"/>
      <w:tblStyleColBandSize w:val="1"/>
    </w:tblPr>
    <w:tcPr>
      <w:shd w:val="clear" w:color="auto" w:fill="DFF2FF"/>
    </w:tcPr>
    <w:tblStylePr w:type="firstRow">
      <w:rPr>
        <w:b/>
        <w:bCs/>
        <w:color w:val="FFFFFF"/>
      </w:rPr>
      <w:tblPr/>
      <w:tcPr>
        <w:tcBorders>
          <w:bottom w:val="single" w:sz="12" w:space="0" w:color="FFFFFF"/>
        </w:tcBorders>
        <w:shd w:val="clear" w:color="auto" w:fill="990000"/>
      </w:tcPr>
    </w:tblStylePr>
    <w:tblStylePr w:type="lastRow">
      <w:rPr>
        <w:b/>
        <w:bCs/>
        <w:color w:val="99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semiHidden/>
    <w:unhideWhenUsed/>
    <w:rsid w:val="00A8059F"/>
    <w:rPr>
      <w:color w:val="000000"/>
    </w:rPr>
    <w:tblPr>
      <w:tblStyleRowBandSize w:val="1"/>
      <w:tblStyleColBandSize w:val="1"/>
    </w:tblPr>
    <w:tcPr>
      <w:shd w:val="clear" w:color="auto" w:fill="FFDFDF"/>
    </w:tcPr>
    <w:tblStylePr w:type="firstRow">
      <w:rPr>
        <w:b/>
        <w:bCs/>
        <w:color w:val="FFFFFF"/>
      </w:rPr>
      <w:tblPr/>
      <w:tcPr>
        <w:tcBorders>
          <w:bottom w:val="single" w:sz="12" w:space="0" w:color="FFFFFF"/>
        </w:tcBorders>
        <w:shd w:val="clear" w:color="auto" w:fill="990000"/>
      </w:tcPr>
    </w:tblStylePr>
    <w:tblStylePr w:type="lastRow">
      <w:rPr>
        <w:b/>
        <w:bCs/>
        <w:color w:val="99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semiHidden/>
    <w:unhideWhenUsed/>
    <w:rsid w:val="00A8059F"/>
    <w:rPr>
      <w:color w:val="000000"/>
    </w:rPr>
    <w:tblPr>
      <w:tblStyleRowBandSize w:val="1"/>
      <w:tblStyleColBandSize w:val="1"/>
    </w:tblPr>
    <w:tcPr>
      <w:shd w:val="clear" w:color="auto" w:fill="EEEEEE"/>
    </w:tcPr>
    <w:tblStylePr w:type="firstRow">
      <w:rPr>
        <w:b/>
        <w:bCs/>
        <w:color w:val="FFFFFF"/>
      </w:rPr>
      <w:tblPr/>
      <w:tcPr>
        <w:tcBorders>
          <w:bottom w:val="single" w:sz="12" w:space="0" w:color="FFFFFF"/>
        </w:tcBorders>
        <w:shd w:val="clear" w:color="auto" w:fill="787878"/>
      </w:tcPr>
    </w:tblStylePr>
    <w:tblStylePr w:type="lastRow">
      <w:rPr>
        <w:b/>
        <w:bCs/>
        <w:color w:val="78787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cPr>
    </w:tblStylePr>
    <w:tblStylePr w:type="band1Horz">
      <w:tblPr/>
      <w:tcPr>
        <w:shd w:val="clear" w:color="auto" w:fill="DDDDDD"/>
      </w:tcPr>
    </w:tblStylePr>
  </w:style>
  <w:style w:type="table" w:customStyle="1" w:styleId="ColorfulList-Accent42">
    <w:name w:val="Colorful List - Accent 42"/>
    <w:basedOn w:val="TableNormal"/>
    <w:next w:val="ColorfulListAccent4"/>
    <w:uiPriority w:val="99"/>
    <w:semiHidden/>
    <w:unhideWhenUsed/>
    <w:rsid w:val="00A8059F"/>
    <w:rPr>
      <w:color w:val="000000"/>
    </w:rPr>
    <w:tblPr>
      <w:tblStyleRowBandSize w:val="1"/>
      <w:tblStyleColBandSize w:val="1"/>
    </w:tblPr>
    <w:tcPr>
      <w:shd w:val="clear" w:color="auto" w:fill="F4F4F4"/>
    </w:tcPr>
    <w:tblStylePr w:type="firstRow">
      <w:rPr>
        <w:b/>
        <w:bCs/>
        <w:color w:val="FFFFFF"/>
      </w:rPr>
      <w:tblPr/>
      <w:tcPr>
        <w:tcBorders>
          <w:bottom w:val="single" w:sz="12" w:space="0" w:color="FFFFFF"/>
        </w:tcBorders>
        <w:shd w:val="clear" w:color="auto" w:fill="474747"/>
      </w:tcPr>
    </w:tblStylePr>
    <w:tblStylePr w:type="lastRow">
      <w:rPr>
        <w:b/>
        <w:bCs/>
        <w:color w:val="474747"/>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semiHidden/>
    <w:unhideWhenUsed/>
    <w:rsid w:val="00A8059F"/>
    <w:rPr>
      <w:color w:val="000000"/>
    </w:rPr>
    <w:tblPr>
      <w:tblStyleRowBandSize w:val="1"/>
      <w:tblStyleColBandSize w:val="1"/>
    </w:tblPr>
    <w:tcPr>
      <w:shd w:val="clear" w:color="auto" w:fill="EFEFEF"/>
    </w:tcPr>
    <w:tblStylePr w:type="firstRow">
      <w:rPr>
        <w:b/>
        <w:bCs/>
        <w:color w:val="FFFFFF"/>
      </w:rPr>
      <w:tblPr/>
      <w:tcPr>
        <w:tcBorders>
          <w:bottom w:val="single" w:sz="12" w:space="0" w:color="FFFFFF"/>
        </w:tcBorders>
        <w:shd w:val="clear" w:color="auto" w:fill="3D3D3D"/>
      </w:tcPr>
    </w:tblStylePr>
    <w:tblStylePr w:type="lastRow">
      <w:rPr>
        <w:b/>
        <w:bCs/>
        <w:color w:val="3D3D3D"/>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semiHidden/>
    <w:unhideWhenUsed/>
    <w:rsid w:val="00A8059F"/>
    <w:rPr>
      <w:color w:val="000000"/>
    </w:rPr>
    <w:tblPr>
      <w:tblStyleRowBandSize w:val="1"/>
      <w:tblStyleColBandSize w:val="1"/>
    </w:tblPr>
    <w:tcPr>
      <w:shd w:val="clear" w:color="auto" w:fill="EDEDED"/>
    </w:tcPr>
    <w:tblStylePr w:type="firstRow">
      <w:rPr>
        <w:b/>
        <w:bCs/>
        <w:color w:val="FFFFFF"/>
      </w:rPr>
      <w:tblPr/>
      <w:tcPr>
        <w:tcBorders>
          <w:bottom w:val="single" w:sz="12" w:space="0" w:color="FFFFFF"/>
        </w:tcBorders>
        <w:shd w:val="clear" w:color="auto" w:fill="4C4C4C"/>
      </w:tcPr>
    </w:tblStylePr>
    <w:tblStylePr w:type="lastRow">
      <w:rPr>
        <w:b/>
        <w:bCs/>
        <w:color w:val="4C4C4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semiHidden/>
    <w:unhideWhenUsed/>
    <w:rsid w:val="00A8059F"/>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semiHidden/>
    <w:unhideWhenUsed/>
    <w:rsid w:val="00A8059F"/>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FFFFFF"/>
        <w:insideV w:val="single" w:sz="4" w:space="0" w:color="FFFFFF"/>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4470"/>
      </w:tcPr>
    </w:tblStylePr>
    <w:tblStylePr w:type="firstCol">
      <w:rPr>
        <w:color w:val="FFFFFF"/>
      </w:rPr>
      <w:tblPr/>
      <w:tcPr>
        <w:tcBorders>
          <w:top w:val="nil"/>
          <w:left w:val="nil"/>
          <w:bottom w:val="nil"/>
          <w:right w:val="nil"/>
          <w:insideH w:val="single" w:sz="4" w:space="0" w:color="004470"/>
          <w:insideV w:val="nil"/>
        </w:tcBorders>
        <w:shd w:val="clear" w:color="auto" w:fill="004470"/>
      </w:tcPr>
    </w:tblStylePr>
    <w:tblStylePr w:type="lastCol">
      <w:rPr>
        <w:color w:val="FFFFFF"/>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semiHidden/>
    <w:unhideWhenUsed/>
    <w:rsid w:val="00A8059F"/>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FFFFFF"/>
        <w:insideV w:val="single" w:sz="4" w:space="0" w:color="FFFFFF"/>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30000"/>
      </w:tcPr>
    </w:tblStylePr>
    <w:tblStylePr w:type="firstCol">
      <w:rPr>
        <w:color w:val="FFFFFF"/>
      </w:rPr>
      <w:tblPr/>
      <w:tcPr>
        <w:tcBorders>
          <w:top w:val="nil"/>
          <w:left w:val="nil"/>
          <w:bottom w:val="nil"/>
          <w:right w:val="nil"/>
          <w:insideH w:val="single" w:sz="4" w:space="0" w:color="730000"/>
          <w:insideV w:val="nil"/>
        </w:tcBorders>
        <w:shd w:val="clear" w:color="auto" w:fill="730000"/>
      </w:tcPr>
    </w:tblStylePr>
    <w:tblStylePr w:type="lastCol">
      <w:rPr>
        <w:color w:val="FFFFFF"/>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semiHidden/>
    <w:unhideWhenUsed/>
    <w:rsid w:val="00A8059F"/>
    <w:rPr>
      <w:color w:val="000000"/>
    </w:rPr>
    <w:tblPr>
      <w:tblStyleRowBandSize w:val="1"/>
      <w:tblStyleColBandSize w:val="1"/>
      <w:tblBorders>
        <w:top w:val="single" w:sz="24" w:space="0" w:color="969696"/>
        <w:left w:val="single" w:sz="4" w:space="0" w:color="595959"/>
        <w:bottom w:val="single" w:sz="4" w:space="0" w:color="595959"/>
        <w:right w:val="single" w:sz="4" w:space="0" w:color="595959"/>
        <w:insideH w:val="single" w:sz="4" w:space="0" w:color="FFFFFF"/>
        <w:insideV w:val="single" w:sz="4" w:space="0" w:color="FFFFFF"/>
      </w:tblBorders>
    </w:tblPr>
    <w:tcPr>
      <w:shd w:val="clear" w:color="auto" w:fill="EEEEEE"/>
    </w:tcPr>
    <w:tblStylePr w:type="firstRow">
      <w:rPr>
        <w:b/>
        <w:bCs/>
      </w:rPr>
      <w:tblPr/>
      <w:tcPr>
        <w:tcBorders>
          <w:top w:val="nil"/>
          <w:left w:val="nil"/>
          <w:bottom w:val="single" w:sz="24" w:space="0" w:color="96969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53535"/>
      </w:tcPr>
    </w:tblStylePr>
    <w:tblStylePr w:type="firstCol">
      <w:rPr>
        <w:color w:val="FFFFFF"/>
      </w:rPr>
      <w:tblPr/>
      <w:tcPr>
        <w:tcBorders>
          <w:top w:val="nil"/>
          <w:left w:val="nil"/>
          <w:bottom w:val="nil"/>
          <w:right w:val="nil"/>
          <w:insideH w:val="single" w:sz="4" w:space="0" w:color="353535"/>
          <w:insideV w:val="nil"/>
        </w:tcBorders>
        <w:shd w:val="clear" w:color="auto" w:fill="353535"/>
      </w:tcPr>
    </w:tblStylePr>
    <w:tblStylePr w:type="lastCol">
      <w:rPr>
        <w:color w:val="FFFFFF"/>
      </w:rPr>
      <w:tblPr/>
      <w:tcPr>
        <w:tcBorders>
          <w:top w:val="nil"/>
          <w:left w:val="nil"/>
          <w:bottom w:val="nil"/>
          <w:right w:val="nil"/>
          <w:insideH w:val="nil"/>
          <w:insideV w:val="nil"/>
        </w:tcBorders>
        <w:shd w:val="clear" w:color="auto" w:fill="353535"/>
      </w:tcPr>
    </w:tblStylePr>
    <w:tblStylePr w:type="band1Vert">
      <w:tblPr/>
      <w:tcPr>
        <w:shd w:val="clear" w:color="auto" w:fill="BCBCBC"/>
      </w:tcPr>
    </w:tblStylePr>
    <w:tblStylePr w:type="band1Horz">
      <w:tblPr/>
      <w:tcPr>
        <w:shd w:val="clear" w:color="auto" w:fill="ACACAC"/>
      </w:tcPr>
    </w:tblStylePr>
  </w:style>
  <w:style w:type="table" w:customStyle="1" w:styleId="ColorfulShading-Accent42">
    <w:name w:val="Colorful Shading - Accent 42"/>
    <w:basedOn w:val="TableNormal"/>
    <w:next w:val="ColorfulShadingAccent4"/>
    <w:uiPriority w:val="99"/>
    <w:semiHidden/>
    <w:unhideWhenUsed/>
    <w:rsid w:val="00A8059F"/>
    <w:rPr>
      <w:color w:val="000000"/>
    </w:rPr>
    <w:tblPr>
      <w:tblStyleRowBandSize w:val="1"/>
      <w:tblStyleColBandSize w:val="1"/>
      <w:tblBorders>
        <w:top w:val="single" w:sz="24" w:space="0" w:color="595959"/>
        <w:left w:val="single" w:sz="4" w:space="0" w:color="969696"/>
        <w:bottom w:val="single" w:sz="4" w:space="0" w:color="969696"/>
        <w:right w:val="single" w:sz="4" w:space="0" w:color="969696"/>
        <w:insideH w:val="single" w:sz="4" w:space="0" w:color="FFFFFF"/>
        <w:insideV w:val="single" w:sz="4" w:space="0" w:color="FFFFFF"/>
      </w:tblBorders>
    </w:tblPr>
    <w:tcPr>
      <w:shd w:val="clear" w:color="auto" w:fill="F4F4F4"/>
    </w:tcPr>
    <w:tblStylePr w:type="firstRow">
      <w:rPr>
        <w:b/>
        <w:bCs/>
      </w:rPr>
      <w:tblPr/>
      <w:tcPr>
        <w:tcBorders>
          <w:top w:val="nil"/>
          <w:left w:val="nil"/>
          <w:bottom w:val="single" w:sz="24" w:space="0" w:color="5959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A5A5A"/>
      </w:tcPr>
    </w:tblStylePr>
    <w:tblStylePr w:type="firstCol">
      <w:rPr>
        <w:color w:val="FFFFFF"/>
      </w:rPr>
      <w:tblPr/>
      <w:tcPr>
        <w:tcBorders>
          <w:top w:val="nil"/>
          <w:left w:val="nil"/>
          <w:bottom w:val="nil"/>
          <w:right w:val="nil"/>
          <w:insideH w:val="single" w:sz="4" w:space="0" w:color="5A5A5A"/>
          <w:insideV w:val="nil"/>
        </w:tcBorders>
        <w:shd w:val="clear" w:color="auto" w:fill="5A5A5A"/>
      </w:tcPr>
    </w:tblStylePr>
    <w:tblStylePr w:type="lastCol">
      <w:rPr>
        <w:color w:val="FFFFFF"/>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semiHidden/>
    <w:unhideWhenUsed/>
    <w:rsid w:val="00A8059F"/>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FFFFFF"/>
        <w:insideV w:val="single" w:sz="4" w:space="0" w:color="FFFFFF"/>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93939"/>
      </w:tcPr>
    </w:tblStylePr>
    <w:tblStylePr w:type="firstCol">
      <w:rPr>
        <w:color w:val="FFFFFF"/>
      </w:rPr>
      <w:tblPr/>
      <w:tcPr>
        <w:tcBorders>
          <w:top w:val="nil"/>
          <w:left w:val="nil"/>
          <w:bottom w:val="nil"/>
          <w:right w:val="nil"/>
          <w:insideH w:val="single" w:sz="4" w:space="0" w:color="393939"/>
          <w:insideV w:val="nil"/>
        </w:tcBorders>
        <w:shd w:val="clear" w:color="auto" w:fill="393939"/>
      </w:tcPr>
    </w:tblStylePr>
    <w:tblStylePr w:type="lastCol">
      <w:rPr>
        <w:color w:val="FFFFFF"/>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semiHidden/>
    <w:unhideWhenUsed/>
    <w:rsid w:val="00A8059F"/>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FFFFFF"/>
        <w:insideV w:val="single" w:sz="4" w:space="0" w:color="FFFFFF"/>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2E2E"/>
      </w:tcPr>
    </w:tblStylePr>
    <w:tblStylePr w:type="firstCol">
      <w:rPr>
        <w:color w:val="FFFFFF"/>
      </w:rPr>
      <w:tblPr/>
      <w:tcPr>
        <w:tcBorders>
          <w:top w:val="nil"/>
          <w:left w:val="nil"/>
          <w:bottom w:val="nil"/>
          <w:right w:val="nil"/>
          <w:insideH w:val="single" w:sz="4" w:space="0" w:color="2E2E2E"/>
          <w:insideV w:val="nil"/>
        </w:tcBorders>
        <w:shd w:val="clear" w:color="auto" w:fill="2E2E2E"/>
      </w:tcPr>
    </w:tblStylePr>
    <w:tblStylePr w:type="lastCol">
      <w:rPr>
        <w:color w:val="FFFFFF"/>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semiHidden/>
    <w:unhideWhenUsed/>
    <w:rsid w:val="00A8059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semiHidden/>
    <w:unhideWhenUsed/>
    <w:rsid w:val="00A8059F"/>
    <w:rPr>
      <w:color w:val="FFFFFF"/>
    </w:rPr>
    <w:tblPr>
      <w:tblStyleRowBandSize w:val="1"/>
      <w:tblStyleColBandSize w:val="1"/>
    </w:tblPr>
    <w:tcPr>
      <w:shd w:val="clear" w:color="auto" w:fill="0072B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385D"/>
      </w:tcPr>
    </w:tblStylePr>
    <w:tblStylePr w:type="firstCol">
      <w:tblPr/>
      <w:tcPr>
        <w:tcBorders>
          <w:top w:val="nil"/>
          <w:left w:val="nil"/>
          <w:bottom w:val="nil"/>
          <w:right w:val="single" w:sz="18" w:space="0" w:color="FFFFFF"/>
          <w:insideH w:val="nil"/>
          <w:insideV w:val="nil"/>
        </w:tcBorders>
        <w:shd w:val="clear" w:color="auto" w:fill="00548C"/>
      </w:tcPr>
    </w:tblStylePr>
    <w:tblStylePr w:type="lastCol">
      <w:tblPr/>
      <w:tcPr>
        <w:tcBorders>
          <w:top w:val="nil"/>
          <w:left w:val="single" w:sz="18" w:space="0" w:color="FFFFFF"/>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semiHidden/>
    <w:unhideWhenUsed/>
    <w:rsid w:val="00A8059F"/>
    <w:rPr>
      <w:color w:val="FFFFFF"/>
    </w:rPr>
    <w:tblPr>
      <w:tblStyleRowBandSize w:val="1"/>
      <w:tblStyleColBandSize w:val="1"/>
    </w:tblPr>
    <w:tcPr>
      <w:shd w:val="clear" w:color="auto" w:fill="C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F0000"/>
      </w:tcPr>
    </w:tblStylePr>
    <w:tblStylePr w:type="firstCol">
      <w:tblPr/>
      <w:tcPr>
        <w:tcBorders>
          <w:top w:val="nil"/>
          <w:left w:val="nil"/>
          <w:bottom w:val="nil"/>
          <w:right w:val="single" w:sz="18" w:space="0" w:color="FFFFFF"/>
          <w:insideH w:val="nil"/>
          <w:insideV w:val="nil"/>
        </w:tcBorders>
        <w:shd w:val="clear" w:color="auto" w:fill="8F0000"/>
      </w:tcPr>
    </w:tblStylePr>
    <w:tblStylePr w:type="lastCol">
      <w:tblPr/>
      <w:tcPr>
        <w:tcBorders>
          <w:top w:val="nil"/>
          <w:left w:val="single" w:sz="18" w:space="0" w:color="FFFFFF"/>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semiHidden/>
    <w:unhideWhenUsed/>
    <w:rsid w:val="00A8059F"/>
    <w:rPr>
      <w:color w:val="FFFFFF"/>
    </w:rPr>
    <w:tblPr>
      <w:tblStyleRowBandSize w:val="1"/>
      <w:tblStyleColBandSize w:val="1"/>
    </w:tblPr>
    <w:tcPr>
      <w:shd w:val="clear" w:color="auto" w:fill="5959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C2C2C"/>
      </w:tcPr>
    </w:tblStylePr>
    <w:tblStylePr w:type="firstCol">
      <w:tblPr/>
      <w:tcPr>
        <w:tcBorders>
          <w:top w:val="nil"/>
          <w:left w:val="nil"/>
          <w:bottom w:val="nil"/>
          <w:right w:val="single" w:sz="18" w:space="0" w:color="FFFFFF"/>
          <w:insideH w:val="nil"/>
          <w:insideV w:val="nil"/>
        </w:tcBorders>
        <w:shd w:val="clear" w:color="auto" w:fill="424242"/>
      </w:tcPr>
    </w:tblStylePr>
    <w:tblStylePr w:type="lastCol">
      <w:tblPr/>
      <w:tcPr>
        <w:tcBorders>
          <w:top w:val="nil"/>
          <w:left w:val="single" w:sz="18" w:space="0" w:color="FFFFFF"/>
          <w:bottom w:val="nil"/>
          <w:right w:val="nil"/>
          <w:insideH w:val="nil"/>
          <w:insideV w:val="nil"/>
        </w:tcBorders>
        <w:shd w:val="clear" w:color="auto" w:fill="424242"/>
      </w:tcPr>
    </w:tblStylePr>
    <w:tblStylePr w:type="band1Vert">
      <w:tblPr/>
      <w:tcPr>
        <w:tcBorders>
          <w:top w:val="nil"/>
          <w:left w:val="nil"/>
          <w:bottom w:val="nil"/>
          <w:right w:val="nil"/>
          <w:insideH w:val="nil"/>
          <w:insideV w:val="nil"/>
        </w:tcBorders>
        <w:shd w:val="clear" w:color="auto" w:fill="424242"/>
      </w:tcPr>
    </w:tblStylePr>
    <w:tblStylePr w:type="band1Horz">
      <w:tblPr/>
      <w:tcPr>
        <w:tcBorders>
          <w:top w:val="nil"/>
          <w:left w:val="nil"/>
          <w:bottom w:val="nil"/>
          <w:right w:val="nil"/>
          <w:insideH w:val="nil"/>
          <w:insideV w:val="nil"/>
        </w:tcBorders>
        <w:shd w:val="clear" w:color="auto" w:fill="424242"/>
      </w:tcPr>
    </w:tblStylePr>
  </w:style>
  <w:style w:type="table" w:customStyle="1" w:styleId="DarkList-Accent42">
    <w:name w:val="Dark List - Accent 42"/>
    <w:basedOn w:val="TableNormal"/>
    <w:next w:val="DarkListAccent4"/>
    <w:uiPriority w:val="99"/>
    <w:semiHidden/>
    <w:unhideWhenUsed/>
    <w:rsid w:val="00A8059F"/>
    <w:rPr>
      <w:color w:val="FFFFFF"/>
    </w:rPr>
    <w:tblPr>
      <w:tblStyleRowBandSize w:val="1"/>
      <w:tblStyleColBandSize w:val="1"/>
    </w:tblPr>
    <w:tcPr>
      <w:shd w:val="clear" w:color="auto" w:fill="96969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A4A4A"/>
      </w:tcPr>
    </w:tblStylePr>
    <w:tblStylePr w:type="firstCol">
      <w:tblPr/>
      <w:tcPr>
        <w:tcBorders>
          <w:top w:val="nil"/>
          <w:left w:val="nil"/>
          <w:bottom w:val="nil"/>
          <w:right w:val="single" w:sz="18" w:space="0" w:color="FFFFFF"/>
          <w:insideH w:val="nil"/>
          <w:insideV w:val="nil"/>
        </w:tcBorders>
        <w:shd w:val="clear" w:color="auto" w:fill="707070"/>
      </w:tcPr>
    </w:tblStylePr>
    <w:tblStylePr w:type="lastCol">
      <w:tblPr/>
      <w:tcPr>
        <w:tcBorders>
          <w:top w:val="nil"/>
          <w:left w:val="single" w:sz="18" w:space="0" w:color="FFFFFF"/>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semiHidden/>
    <w:unhideWhenUsed/>
    <w:rsid w:val="00A8059F"/>
    <w:rPr>
      <w:color w:val="FFFFFF"/>
    </w:rPr>
    <w:tblPr>
      <w:tblStyleRowBandSize w:val="1"/>
      <w:tblStyleColBandSize w:val="1"/>
    </w:tblPr>
    <w:tcPr>
      <w:shd w:val="clear" w:color="auto" w:fill="5F5F5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F2F2F"/>
      </w:tcPr>
    </w:tblStylePr>
    <w:tblStylePr w:type="firstCol">
      <w:tblPr/>
      <w:tcPr>
        <w:tcBorders>
          <w:top w:val="nil"/>
          <w:left w:val="nil"/>
          <w:bottom w:val="nil"/>
          <w:right w:val="single" w:sz="18" w:space="0" w:color="FFFFFF"/>
          <w:insideH w:val="nil"/>
          <w:insideV w:val="nil"/>
        </w:tcBorders>
        <w:shd w:val="clear" w:color="auto" w:fill="474747"/>
      </w:tcPr>
    </w:tblStylePr>
    <w:tblStylePr w:type="lastCol">
      <w:tblPr/>
      <w:tcPr>
        <w:tcBorders>
          <w:top w:val="nil"/>
          <w:left w:val="single" w:sz="18" w:space="0" w:color="FFFFFF"/>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semiHidden/>
    <w:unhideWhenUsed/>
    <w:rsid w:val="00A8059F"/>
    <w:rPr>
      <w:color w:val="FFFFFF"/>
    </w:rPr>
    <w:tblPr>
      <w:tblStyleRowBandSize w:val="1"/>
      <w:tblStyleColBandSize w:val="1"/>
    </w:tblPr>
    <w:tcPr>
      <w:shd w:val="clear" w:color="auto" w:fill="4D4D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2626"/>
      </w:tcPr>
    </w:tblStylePr>
    <w:tblStylePr w:type="firstCol">
      <w:tblPr/>
      <w:tcPr>
        <w:tcBorders>
          <w:top w:val="nil"/>
          <w:left w:val="nil"/>
          <w:bottom w:val="nil"/>
          <w:right w:val="single" w:sz="18" w:space="0" w:color="FFFFFF"/>
          <w:insideH w:val="nil"/>
          <w:insideV w:val="nil"/>
        </w:tcBorders>
        <w:shd w:val="clear" w:color="auto" w:fill="393939"/>
      </w:tcPr>
    </w:tblStylePr>
    <w:tblStylePr w:type="lastCol">
      <w:tblPr/>
      <w:tcPr>
        <w:tcBorders>
          <w:top w:val="nil"/>
          <w:left w:val="single" w:sz="18" w:space="0" w:color="FFFFFF"/>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semiHidden/>
    <w:unhideWhenUsed/>
    <w:rsid w:val="00A8059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semiHidden/>
    <w:unhideWhenUsed/>
    <w:rsid w:val="00A8059F"/>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semiHidden/>
    <w:unhideWhenUsed/>
    <w:rsid w:val="00A8059F"/>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semiHidden/>
    <w:unhideWhenUsed/>
    <w:rsid w:val="00A8059F"/>
    <w:tblPr>
      <w:tblStyleRowBandSize w:val="1"/>
      <w:tblStyleColBandSize w:val="1"/>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Pr>
    <w:tblStylePr w:type="firstRow">
      <w:pPr>
        <w:spacing w:before="0" w:after="0" w:line="240" w:lineRule="auto"/>
      </w:pPr>
      <w:rPr>
        <w:rFonts w:ascii="Calibri" w:eastAsia="Times New Roman" w:hAnsi="Calibri" w:cs="Times New Roman"/>
        <w:b/>
        <w:bCs/>
      </w:rPr>
      <w:tblPr/>
      <w:tcPr>
        <w:tcBorders>
          <w:top w:val="single" w:sz="8" w:space="0" w:color="595959"/>
          <w:left w:val="single" w:sz="8" w:space="0" w:color="595959"/>
          <w:bottom w:val="single" w:sz="18" w:space="0" w:color="595959"/>
          <w:right w:val="single" w:sz="8" w:space="0" w:color="595959"/>
          <w:insideH w:val="nil"/>
          <w:insideV w:val="single" w:sz="8" w:space="0" w:color="595959"/>
        </w:tcBorders>
      </w:tcPr>
    </w:tblStylePr>
    <w:tblStylePr w:type="lastRow">
      <w:pPr>
        <w:spacing w:before="0" w:after="0" w:line="240" w:lineRule="auto"/>
      </w:pPr>
      <w:rPr>
        <w:rFonts w:ascii="Calibri" w:eastAsia="Times New Roman" w:hAnsi="Calibri" w:cs="Times New Roman"/>
        <w:b/>
        <w:bCs/>
      </w:rPr>
      <w:tblPr/>
      <w:tcPr>
        <w:tcBorders>
          <w:top w:val="double" w:sz="6" w:space="0" w:color="595959"/>
          <w:left w:val="single" w:sz="8" w:space="0" w:color="595959"/>
          <w:bottom w:val="single" w:sz="8" w:space="0" w:color="595959"/>
          <w:right w:val="single" w:sz="8" w:space="0" w:color="595959"/>
          <w:insideH w:val="nil"/>
          <w:insideV w:val="single" w:sz="8" w:space="0" w:color="595959"/>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95959"/>
          <w:left w:val="single" w:sz="8" w:space="0" w:color="595959"/>
          <w:bottom w:val="single" w:sz="8" w:space="0" w:color="595959"/>
          <w:right w:val="single" w:sz="8" w:space="0" w:color="595959"/>
        </w:tcBorders>
      </w:tcPr>
    </w:tblStylePr>
    <w:tblStylePr w:type="band1Vert">
      <w:tblPr/>
      <w:tcPr>
        <w:tcBorders>
          <w:top w:val="single" w:sz="8" w:space="0" w:color="595959"/>
          <w:left w:val="single" w:sz="8" w:space="0" w:color="595959"/>
          <w:bottom w:val="single" w:sz="8" w:space="0" w:color="595959"/>
          <w:right w:val="single" w:sz="8" w:space="0" w:color="595959"/>
        </w:tcBorders>
        <w:shd w:val="clear" w:color="auto" w:fill="D5D5D5"/>
      </w:tcPr>
    </w:tblStylePr>
    <w:tblStylePr w:type="band1Horz">
      <w:tblPr/>
      <w:tcPr>
        <w:tcBorders>
          <w:top w:val="single" w:sz="8" w:space="0" w:color="595959"/>
          <w:left w:val="single" w:sz="8" w:space="0" w:color="595959"/>
          <w:bottom w:val="single" w:sz="8" w:space="0" w:color="595959"/>
          <w:right w:val="single" w:sz="8" w:space="0" w:color="595959"/>
          <w:insideV w:val="single" w:sz="8" w:space="0" w:color="595959"/>
        </w:tcBorders>
        <w:shd w:val="clear" w:color="auto" w:fill="D5D5D5"/>
      </w:tcPr>
    </w:tblStylePr>
    <w:tblStylePr w:type="band2Horz">
      <w:tblPr/>
      <w:tcPr>
        <w:tcBorders>
          <w:top w:val="single" w:sz="8" w:space="0" w:color="595959"/>
          <w:left w:val="single" w:sz="8" w:space="0" w:color="595959"/>
          <w:bottom w:val="single" w:sz="8" w:space="0" w:color="595959"/>
          <w:right w:val="single" w:sz="8" w:space="0" w:color="595959"/>
          <w:insideV w:val="single" w:sz="8" w:space="0" w:color="595959"/>
        </w:tcBorders>
      </w:tcPr>
    </w:tblStylePr>
  </w:style>
  <w:style w:type="table" w:customStyle="1" w:styleId="LightGrid-Accent42">
    <w:name w:val="Light Grid - Accent 42"/>
    <w:basedOn w:val="TableNormal"/>
    <w:next w:val="LightGridAccent4"/>
    <w:uiPriority w:val="99"/>
    <w:semiHidden/>
    <w:unhideWhenUsed/>
    <w:rsid w:val="00A8059F"/>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semiHidden/>
    <w:unhideWhenUsed/>
    <w:rsid w:val="00A8059F"/>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semiHidden/>
    <w:unhideWhenUsed/>
    <w:rsid w:val="00A8059F"/>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semiHidden/>
    <w:unhideWhenUsed/>
    <w:rsid w:val="00A8059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semiHidden/>
    <w:unhideWhenUsed/>
    <w:rsid w:val="00A8059F"/>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FFFFFF"/>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semiHidden/>
    <w:unhideWhenUsed/>
    <w:rsid w:val="00A8059F"/>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FFFFFF"/>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semiHidden/>
    <w:unhideWhenUsed/>
    <w:rsid w:val="00A8059F"/>
    <w:tblPr>
      <w:tblStyleRowBandSize w:val="1"/>
      <w:tblStyleColBandSize w:val="1"/>
      <w:tblBorders>
        <w:top w:val="single" w:sz="8" w:space="0" w:color="595959"/>
        <w:left w:val="single" w:sz="8" w:space="0" w:color="595959"/>
        <w:bottom w:val="single" w:sz="8" w:space="0" w:color="595959"/>
        <w:right w:val="single" w:sz="8" w:space="0" w:color="595959"/>
      </w:tblBorders>
    </w:tblPr>
    <w:tblStylePr w:type="firstRow">
      <w:pPr>
        <w:spacing w:before="0" w:after="0" w:line="240" w:lineRule="auto"/>
      </w:pPr>
      <w:rPr>
        <w:b/>
        <w:bCs/>
        <w:color w:val="FFFFFF"/>
      </w:rPr>
      <w:tblPr/>
      <w:tcPr>
        <w:shd w:val="clear" w:color="auto" w:fill="595959"/>
      </w:tcPr>
    </w:tblStylePr>
    <w:tblStylePr w:type="lastRow">
      <w:pPr>
        <w:spacing w:before="0" w:after="0" w:line="240" w:lineRule="auto"/>
      </w:pPr>
      <w:rPr>
        <w:b/>
        <w:bCs/>
      </w:rPr>
      <w:tblPr/>
      <w:tcPr>
        <w:tcBorders>
          <w:top w:val="double" w:sz="6" w:space="0" w:color="595959"/>
          <w:left w:val="single" w:sz="8" w:space="0" w:color="595959"/>
          <w:bottom w:val="single" w:sz="8" w:space="0" w:color="595959"/>
          <w:right w:val="single" w:sz="8" w:space="0" w:color="595959"/>
        </w:tcBorders>
      </w:tcPr>
    </w:tblStylePr>
    <w:tblStylePr w:type="firstCol">
      <w:rPr>
        <w:b/>
        <w:bCs/>
      </w:rPr>
    </w:tblStylePr>
    <w:tblStylePr w:type="lastCol">
      <w:rPr>
        <w:b/>
        <w:bCs/>
      </w:rPr>
    </w:tblStylePr>
    <w:tblStylePr w:type="band1Vert">
      <w:tblPr/>
      <w:tcPr>
        <w:tcBorders>
          <w:top w:val="single" w:sz="8" w:space="0" w:color="595959"/>
          <w:left w:val="single" w:sz="8" w:space="0" w:color="595959"/>
          <w:bottom w:val="single" w:sz="8" w:space="0" w:color="595959"/>
          <w:right w:val="single" w:sz="8" w:space="0" w:color="595959"/>
        </w:tcBorders>
      </w:tcPr>
    </w:tblStylePr>
    <w:tblStylePr w:type="band1Horz">
      <w:tblPr/>
      <w:tcPr>
        <w:tcBorders>
          <w:top w:val="single" w:sz="8" w:space="0" w:color="595959"/>
          <w:left w:val="single" w:sz="8" w:space="0" w:color="595959"/>
          <w:bottom w:val="single" w:sz="8" w:space="0" w:color="595959"/>
          <w:right w:val="single" w:sz="8" w:space="0" w:color="595959"/>
        </w:tcBorders>
      </w:tcPr>
    </w:tblStylePr>
  </w:style>
  <w:style w:type="table" w:customStyle="1" w:styleId="LightList-Accent42">
    <w:name w:val="Light List - Accent 42"/>
    <w:basedOn w:val="TableNormal"/>
    <w:next w:val="LightListAccent4"/>
    <w:uiPriority w:val="99"/>
    <w:semiHidden/>
    <w:unhideWhenUsed/>
    <w:rsid w:val="00A8059F"/>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FFFFFF"/>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semiHidden/>
    <w:unhideWhenUsed/>
    <w:rsid w:val="00A8059F"/>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FFFFFF"/>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semiHidden/>
    <w:unhideWhenUsed/>
    <w:rsid w:val="00A8059F"/>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FFFFFF"/>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semiHidden/>
    <w:unhideWhenUsed/>
    <w:rsid w:val="00A8059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semiHidden/>
    <w:unhideWhenUsed/>
    <w:rsid w:val="00A8059F"/>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semiHidden/>
    <w:unhideWhenUsed/>
    <w:rsid w:val="00A8059F"/>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semiHidden/>
    <w:unhideWhenUsed/>
    <w:rsid w:val="00A8059F"/>
    <w:rPr>
      <w:color w:val="424242"/>
    </w:rPr>
    <w:tblPr>
      <w:tblStyleRowBandSize w:val="1"/>
      <w:tblStyleColBandSize w:val="1"/>
      <w:tblBorders>
        <w:top w:val="single" w:sz="8" w:space="0" w:color="595959"/>
        <w:bottom w:val="single" w:sz="8" w:space="0" w:color="595959"/>
      </w:tblBorders>
    </w:tblPr>
    <w:tblStylePr w:type="firstRow">
      <w:pPr>
        <w:spacing w:before="0" w:after="0" w:line="240" w:lineRule="auto"/>
      </w:pPr>
      <w:rPr>
        <w:b/>
        <w:bCs/>
      </w:rPr>
      <w:tblPr/>
      <w:tcPr>
        <w:tcBorders>
          <w:top w:val="single" w:sz="8" w:space="0" w:color="595959"/>
          <w:left w:val="nil"/>
          <w:bottom w:val="single" w:sz="8" w:space="0" w:color="595959"/>
          <w:right w:val="nil"/>
          <w:insideH w:val="nil"/>
          <w:insideV w:val="nil"/>
        </w:tcBorders>
      </w:tcPr>
    </w:tblStylePr>
    <w:tblStylePr w:type="lastRow">
      <w:pPr>
        <w:spacing w:before="0" w:after="0" w:line="240" w:lineRule="auto"/>
      </w:pPr>
      <w:rPr>
        <w:b/>
        <w:bCs/>
      </w:rPr>
      <w:tblPr/>
      <w:tcPr>
        <w:tcBorders>
          <w:top w:val="single" w:sz="8" w:space="0" w:color="595959"/>
          <w:left w:val="nil"/>
          <w:bottom w:val="single" w:sz="8" w:space="0" w:color="5959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cPr>
    </w:tblStylePr>
    <w:tblStylePr w:type="band1Horz">
      <w:tblPr/>
      <w:tcPr>
        <w:tcBorders>
          <w:left w:val="nil"/>
          <w:right w:val="nil"/>
          <w:insideH w:val="nil"/>
          <w:insideV w:val="nil"/>
        </w:tcBorders>
        <w:shd w:val="clear" w:color="auto" w:fill="D5D5D5"/>
      </w:tcPr>
    </w:tblStylePr>
  </w:style>
  <w:style w:type="table" w:customStyle="1" w:styleId="LightShading-Accent42">
    <w:name w:val="Light Shading - Accent 42"/>
    <w:basedOn w:val="TableNormal"/>
    <w:next w:val="LightShadingAccent4"/>
    <w:uiPriority w:val="99"/>
    <w:semiHidden/>
    <w:unhideWhenUsed/>
    <w:rsid w:val="00A8059F"/>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semiHidden/>
    <w:unhideWhenUsed/>
    <w:rsid w:val="00A8059F"/>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semiHidden/>
    <w:unhideWhenUsed/>
    <w:rsid w:val="00A8059F"/>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semiHidden/>
    <w:unhideWhenUsed/>
    <w:rsid w:val="00A8059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semiHidden/>
    <w:unhideWhenUsed/>
    <w:rsid w:val="00A8059F"/>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semiHidden/>
    <w:unhideWhenUsed/>
    <w:rsid w:val="00A8059F"/>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semiHidden/>
    <w:unhideWhenUsed/>
    <w:rsid w:val="00A8059F"/>
    <w:tblPr>
      <w:tblStyleRowBandSize w:val="1"/>
      <w:tblStyleColBandSize w:val="1"/>
      <w:tblBorders>
        <w:top w:val="single" w:sz="8" w:space="0" w:color="828282"/>
        <w:left w:val="single" w:sz="8" w:space="0" w:color="828282"/>
        <w:bottom w:val="single" w:sz="8" w:space="0" w:color="828282"/>
        <w:right w:val="single" w:sz="8" w:space="0" w:color="828282"/>
        <w:insideH w:val="single" w:sz="8" w:space="0" w:color="828282"/>
        <w:insideV w:val="single" w:sz="8" w:space="0" w:color="828282"/>
      </w:tblBorders>
    </w:tblPr>
    <w:tcPr>
      <w:shd w:val="clear" w:color="auto" w:fill="D5D5D5"/>
    </w:tcPr>
    <w:tblStylePr w:type="firstRow">
      <w:rPr>
        <w:b/>
        <w:bCs/>
      </w:rPr>
    </w:tblStylePr>
    <w:tblStylePr w:type="lastRow">
      <w:rPr>
        <w:b/>
        <w:bCs/>
      </w:rPr>
      <w:tblPr/>
      <w:tcPr>
        <w:tcBorders>
          <w:top w:val="single" w:sz="18" w:space="0" w:color="828282"/>
        </w:tcBorders>
      </w:tcPr>
    </w:tblStylePr>
    <w:tblStylePr w:type="firstCol">
      <w:rPr>
        <w:b/>
        <w:bCs/>
      </w:rPr>
    </w:tblStylePr>
    <w:tblStylePr w:type="lastCol">
      <w:rPr>
        <w:b/>
        <w:bCs/>
      </w:rPr>
    </w:tblStylePr>
    <w:tblStylePr w:type="band1Vert">
      <w:tblPr/>
      <w:tcPr>
        <w:shd w:val="clear" w:color="auto" w:fill="ACACAC"/>
      </w:tcPr>
    </w:tblStylePr>
    <w:tblStylePr w:type="band1Horz">
      <w:tblPr/>
      <w:tcPr>
        <w:shd w:val="clear" w:color="auto" w:fill="ACACAC"/>
      </w:tcPr>
    </w:tblStylePr>
  </w:style>
  <w:style w:type="table" w:customStyle="1" w:styleId="MediumGrid1-Accent42">
    <w:name w:val="Medium Grid 1 - Accent 42"/>
    <w:basedOn w:val="TableNormal"/>
    <w:next w:val="MediumGrid1Accent4"/>
    <w:uiPriority w:val="99"/>
    <w:semiHidden/>
    <w:unhideWhenUsed/>
    <w:rsid w:val="00A8059F"/>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semiHidden/>
    <w:unhideWhenUsed/>
    <w:rsid w:val="00A8059F"/>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semiHidden/>
    <w:unhideWhenUsed/>
    <w:rsid w:val="00A8059F"/>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2">
    <w:name w:val="Medium Grid 2 - Accent 12"/>
    <w:basedOn w:val="TableNormal"/>
    <w:next w:val="MediumGrid2Accent1"/>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FFFFFF"/>
      </w:tcPr>
    </w:tblStylePr>
  </w:style>
  <w:style w:type="table" w:customStyle="1" w:styleId="MediumGrid2-Accent22">
    <w:name w:val="Medium Grid 2 - Accent 22"/>
    <w:basedOn w:val="TableNormal"/>
    <w:next w:val="MediumGrid2Accent2"/>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FFFFFF"/>
      </w:tcPr>
    </w:tblStylePr>
  </w:style>
  <w:style w:type="table" w:customStyle="1" w:styleId="MediumGrid2-Accent32">
    <w:name w:val="Medium Grid 2 - Accent 32"/>
    <w:basedOn w:val="TableNormal"/>
    <w:next w:val="MediumGrid2Accent3"/>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595959"/>
        <w:left w:val="single" w:sz="8" w:space="0" w:color="595959"/>
        <w:bottom w:val="single" w:sz="8" w:space="0" w:color="595959"/>
        <w:right w:val="single" w:sz="8" w:space="0" w:color="595959"/>
        <w:insideH w:val="single" w:sz="8" w:space="0" w:color="595959"/>
        <w:insideV w:val="single" w:sz="8" w:space="0" w:color="595959"/>
      </w:tblBorders>
    </w:tblPr>
    <w:tcPr>
      <w:shd w:val="clear" w:color="auto" w:fill="D5D5D5"/>
    </w:tcPr>
    <w:tblStylePr w:type="firstRow">
      <w:rPr>
        <w:b/>
        <w:bCs/>
        <w:color w:val="000000"/>
      </w:rPr>
      <w:tblPr/>
      <w:tcPr>
        <w:shd w:val="clear" w:color="auto" w:fill="EEEE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DDDDD"/>
      </w:tcPr>
    </w:tblStylePr>
    <w:tblStylePr w:type="band1Vert">
      <w:tblPr/>
      <w:tcPr>
        <w:shd w:val="clear" w:color="auto" w:fill="ACACAC"/>
      </w:tcPr>
    </w:tblStylePr>
    <w:tblStylePr w:type="band1Horz">
      <w:tblPr/>
      <w:tcPr>
        <w:tcBorders>
          <w:insideH w:val="single" w:sz="6" w:space="0" w:color="595959"/>
          <w:insideV w:val="single" w:sz="6" w:space="0" w:color="595959"/>
        </w:tcBorders>
        <w:shd w:val="clear" w:color="auto" w:fill="ACACAC"/>
      </w:tcPr>
    </w:tblStylePr>
    <w:tblStylePr w:type="nwCell">
      <w:tblPr/>
      <w:tcPr>
        <w:shd w:val="clear" w:color="auto" w:fill="FFFFFF"/>
      </w:tcPr>
    </w:tblStylePr>
  </w:style>
  <w:style w:type="table" w:customStyle="1" w:styleId="MediumGrid2-Accent42">
    <w:name w:val="Medium Grid 2 - Accent 42"/>
    <w:basedOn w:val="TableNormal"/>
    <w:next w:val="MediumGrid2Accent4"/>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FFFFFF"/>
      </w:tcPr>
    </w:tblStylePr>
  </w:style>
  <w:style w:type="table" w:customStyle="1" w:styleId="MediumGrid2-Accent52">
    <w:name w:val="Medium Grid 2 - Accent 52"/>
    <w:basedOn w:val="TableNormal"/>
    <w:next w:val="MediumGrid2Accent5"/>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FFFFFF"/>
      </w:tcPr>
    </w:tblStylePr>
  </w:style>
  <w:style w:type="table" w:customStyle="1" w:styleId="MediumGrid2-Accent62">
    <w:name w:val="Medium Grid 2 - Accent 62"/>
    <w:basedOn w:val="TableNormal"/>
    <w:next w:val="MediumGrid2Accent6"/>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FFFFFF"/>
      </w:tcPr>
    </w:tblStylePr>
  </w:style>
  <w:style w:type="table" w:customStyle="1" w:styleId="MediumGrid32">
    <w:name w:val="Medium Grid 32"/>
    <w:basedOn w:val="TableNormal"/>
    <w:next w:val="MediumGrid3"/>
    <w:uiPriority w:val="99"/>
    <w:semiHidden/>
    <w:unhideWhenUsed/>
    <w:rsid w:val="00A805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uiPriority w:val="99"/>
    <w:semiHidden/>
    <w:unhideWhenUsed/>
    <w:rsid w:val="00A805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FDF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72BC"/>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72BC"/>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72BC"/>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72BC"/>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5EB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5EBFFF"/>
      </w:tcPr>
    </w:tblStylePr>
  </w:style>
  <w:style w:type="table" w:customStyle="1" w:styleId="MediumGrid3-Accent22">
    <w:name w:val="Medium Grid 3 - Accent 22"/>
    <w:basedOn w:val="TableNormal"/>
    <w:next w:val="MediumGrid3Accent2"/>
    <w:uiPriority w:val="99"/>
    <w:semiHidden/>
    <w:unhideWhenUsed/>
    <w:rsid w:val="00A805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B0B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606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6060"/>
      </w:tcPr>
    </w:tblStylePr>
  </w:style>
  <w:style w:type="table" w:customStyle="1" w:styleId="MediumGrid3-Accent32">
    <w:name w:val="Medium Grid 3 - Accent 32"/>
    <w:basedOn w:val="TableNormal"/>
    <w:next w:val="MediumGrid3Accent3"/>
    <w:uiPriority w:val="99"/>
    <w:semiHidden/>
    <w:unhideWhenUsed/>
    <w:rsid w:val="00A805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5D5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959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959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959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959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CAC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CACAC"/>
      </w:tcPr>
    </w:tblStylePr>
  </w:style>
  <w:style w:type="table" w:customStyle="1" w:styleId="MediumGrid3-Accent42">
    <w:name w:val="Medium Grid 3 - Accent 42"/>
    <w:basedOn w:val="TableNormal"/>
    <w:next w:val="MediumGrid3Accent4"/>
    <w:uiPriority w:val="99"/>
    <w:semiHidden/>
    <w:unhideWhenUsed/>
    <w:rsid w:val="00A805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5E5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696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696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696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696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ACAC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ACACA"/>
      </w:tcPr>
    </w:tblStylePr>
  </w:style>
  <w:style w:type="table" w:customStyle="1" w:styleId="MediumGrid3-Accent52">
    <w:name w:val="Medium Grid 3 - Accent 52"/>
    <w:basedOn w:val="TableNormal"/>
    <w:next w:val="MediumGrid3Accent5"/>
    <w:uiPriority w:val="99"/>
    <w:semiHidden/>
    <w:unhideWhenUsed/>
    <w:rsid w:val="00A805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7D7D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F5F5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F5F5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F5F5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F5F5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FAFA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FAFAF"/>
      </w:tcPr>
    </w:tblStylePr>
  </w:style>
  <w:style w:type="table" w:customStyle="1" w:styleId="MediumGrid3-Accent62">
    <w:name w:val="Medium Grid 3 - Accent 62"/>
    <w:basedOn w:val="TableNormal"/>
    <w:next w:val="MediumGrid3Accent6"/>
    <w:uiPriority w:val="99"/>
    <w:semiHidden/>
    <w:unhideWhenUsed/>
    <w:rsid w:val="00A8059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3D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D4D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D4D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D4D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D4D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6A6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6A6A6"/>
      </w:tcPr>
    </w:tblStylePr>
  </w:style>
  <w:style w:type="table" w:customStyle="1" w:styleId="MediumList12">
    <w:name w:val="Medium List 12"/>
    <w:basedOn w:val="TableNormal"/>
    <w:next w:val="MediumList1"/>
    <w:uiPriority w:val="99"/>
    <w:semiHidden/>
    <w:unhideWhenUsed/>
    <w:rsid w:val="00A8059F"/>
    <w:rPr>
      <w:color w:val="000000"/>
    </w:rPr>
    <w:tblPr>
      <w:tblStyleRowBandSize w:val="1"/>
      <w:tblStyleColBandSize w:val="1"/>
      <w:tblBorders>
        <w:top w:val="single" w:sz="8" w:space="0" w:color="000000"/>
        <w:bottom w:val="single" w:sz="8" w:space="0" w:color="000000"/>
      </w:tblBorders>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B0B0B0"/>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semiHidden/>
    <w:unhideWhenUsed/>
    <w:rsid w:val="00A8059F"/>
    <w:rPr>
      <w:color w:val="000000"/>
    </w:rPr>
    <w:tblPr>
      <w:tblStyleRowBandSize w:val="1"/>
      <w:tblStyleColBandSize w:val="1"/>
      <w:tblBorders>
        <w:top w:val="single" w:sz="8" w:space="0" w:color="0072BC"/>
        <w:bottom w:val="single" w:sz="8" w:space="0" w:color="0072BC"/>
      </w:tblBorders>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B0B0B0"/>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semiHidden/>
    <w:unhideWhenUsed/>
    <w:rsid w:val="00A8059F"/>
    <w:rPr>
      <w:color w:val="000000"/>
    </w:rPr>
    <w:tblPr>
      <w:tblStyleRowBandSize w:val="1"/>
      <w:tblStyleColBandSize w:val="1"/>
      <w:tblBorders>
        <w:top w:val="single" w:sz="8" w:space="0" w:color="C00000"/>
        <w:bottom w:val="single" w:sz="8" w:space="0" w:color="C00000"/>
      </w:tblBorders>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B0B0B0"/>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semiHidden/>
    <w:unhideWhenUsed/>
    <w:rsid w:val="00A8059F"/>
    <w:rPr>
      <w:color w:val="000000"/>
    </w:rPr>
    <w:tblPr>
      <w:tblStyleRowBandSize w:val="1"/>
      <w:tblStyleColBandSize w:val="1"/>
      <w:tblBorders>
        <w:top w:val="single" w:sz="8" w:space="0" w:color="595959"/>
        <w:bottom w:val="single" w:sz="8" w:space="0" w:color="595959"/>
      </w:tblBorders>
    </w:tblPr>
    <w:tblStylePr w:type="firstRow">
      <w:rPr>
        <w:rFonts w:ascii="Calibri" w:eastAsia="Times New Roman" w:hAnsi="Calibri" w:cs="Times New Roman"/>
      </w:rPr>
      <w:tblPr/>
      <w:tcPr>
        <w:tcBorders>
          <w:top w:val="nil"/>
          <w:bottom w:val="single" w:sz="8" w:space="0" w:color="595959"/>
        </w:tcBorders>
      </w:tcPr>
    </w:tblStylePr>
    <w:tblStylePr w:type="lastRow">
      <w:rPr>
        <w:b/>
        <w:bCs/>
        <w:color w:val="B0B0B0"/>
      </w:rPr>
      <w:tblPr/>
      <w:tcPr>
        <w:tcBorders>
          <w:top w:val="single" w:sz="8" w:space="0" w:color="595959"/>
          <w:bottom w:val="single" w:sz="8" w:space="0" w:color="595959"/>
        </w:tcBorders>
      </w:tcPr>
    </w:tblStylePr>
    <w:tblStylePr w:type="firstCol">
      <w:rPr>
        <w:b/>
        <w:bCs/>
      </w:rPr>
    </w:tblStylePr>
    <w:tblStylePr w:type="lastCol">
      <w:rPr>
        <w:b/>
        <w:bCs/>
      </w:rPr>
      <w:tblPr/>
      <w:tcPr>
        <w:tcBorders>
          <w:top w:val="single" w:sz="8" w:space="0" w:color="595959"/>
          <w:bottom w:val="single" w:sz="8" w:space="0" w:color="595959"/>
        </w:tcBorders>
      </w:tcPr>
    </w:tblStylePr>
    <w:tblStylePr w:type="band1Vert">
      <w:tblPr/>
      <w:tcPr>
        <w:shd w:val="clear" w:color="auto" w:fill="D5D5D5"/>
      </w:tcPr>
    </w:tblStylePr>
    <w:tblStylePr w:type="band1Horz">
      <w:tblPr/>
      <w:tcPr>
        <w:shd w:val="clear" w:color="auto" w:fill="D5D5D5"/>
      </w:tcPr>
    </w:tblStylePr>
  </w:style>
  <w:style w:type="table" w:customStyle="1" w:styleId="MediumList1-Accent42">
    <w:name w:val="Medium List 1 - Accent 42"/>
    <w:basedOn w:val="TableNormal"/>
    <w:next w:val="MediumList1Accent4"/>
    <w:uiPriority w:val="99"/>
    <w:semiHidden/>
    <w:unhideWhenUsed/>
    <w:rsid w:val="00A8059F"/>
    <w:rPr>
      <w:color w:val="000000"/>
    </w:rPr>
    <w:tblPr>
      <w:tblStyleRowBandSize w:val="1"/>
      <w:tblStyleColBandSize w:val="1"/>
      <w:tblBorders>
        <w:top w:val="single" w:sz="8" w:space="0" w:color="969696"/>
        <w:bottom w:val="single" w:sz="8" w:space="0" w:color="969696"/>
      </w:tblBorders>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B0B0B0"/>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semiHidden/>
    <w:unhideWhenUsed/>
    <w:rsid w:val="00A8059F"/>
    <w:rPr>
      <w:color w:val="000000"/>
    </w:rPr>
    <w:tblPr>
      <w:tblStyleRowBandSize w:val="1"/>
      <w:tblStyleColBandSize w:val="1"/>
      <w:tblBorders>
        <w:top w:val="single" w:sz="8" w:space="0" w:color="5F5F5F"/>
        <w:bottom w:val="single" w:sz="8" w:space="0" w:color="5F5F5F"/>
      </w:tblBorders>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B0B0B0"/>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semiHidden/>
    <w:unhideWhenUsed/>
    <w:rsid w:val="00A8059F"/>
    <w:rPr>
      <w:color w:val="000000"/>
    </w:rPr>
    <w:tblPr>
      <w:tblStyleRowBandSize w:val="1"/>
      <w:tblStyleColBandSize w:val="1"/>
      <w:tblBorders>
        <w:top w:val="single" w:sz="8" w:space="0" w:color="4D4D4D"/>
        <w:bottom w:val="single" w:sz="8" w:space="0" w:color="4D4D4D"/>
      </w:tblBorders>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B0B0B0"/>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FFFFFF"/>
      </w:tcPr>
    </w:tblStylePr>
    <w:tblStylePr w:type="lastRow">
      <w:tblPr/>
      <w:tcPr>
        <w:tcBorders>
          <w:top w:val="single" w:sz="8" w:space="0" w:color="0072BC"/>
          <w:left w:val="nil"/>
          <w:bottom w:val="nil"/>
          <w:right w:val="nil"/>
          <w:insideH w:val="nil"/>
          <w:insideV w:val="nil"/>
        </w:tcBorders>
        <w:shd w:val="clear" w:color="auto" w:fill="FFFFFF"/>
      </w:tcPr>
    </w:tblStylePr>
    <w:tblStylePr w:type="firstCol">
      <w:tblPr/>
      <w:tcPr>
        <w:tcBorders>
          <w:top w:val="nil"/>
          <w:left w:val="nil"/>
          <w:bottom w:val="nil"/>
          <w:right w:val="single" w:sz="8" w:space="0" w:color="0072BC"/>
          <w:insideH w:val="nil"/>
          <w:insideV w:val="nil"/>
        </w:tcBorders>
        <w:shd w:val="clear" w:color="auto" w:fill="FFFFFF"/>
      </w:tcPr>
    </w:tblStylePr>
    <w:tblStylePr w:type="lastCol">
      <w:tblPr/>
      <w:tcPr>
        <w:tcBorders>
          <w:top w:val="nil"/>
          <w:left w:val="single" w:sz="8" w:space="0" w:color="0072BC"/>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FFFFFF"/>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FFFFFF"/>
      </w:tcPr>
    </w:tblStylePr>
    <w:tblStylePr w:type="lastRow">
      <w:tblPr/>
      <w:tcPr>
        <w:tcBorders>
          <w:top w:val="single" w:sz="8" w:space="0" w:color="C00000"/>
          <w:left w:val="nil"/>
          <w:right w:val="nil"/>
          <w:insideH w:val="nil"/>
          <w:insideV w:val="nil"/>
        </w:tcBorders>
        <w:shd w:val="clear" w:color="auto" w:fill="FFFFFF"/>
      </w:tcPr>
    </w:tblStylePr>
    <w:tblStylePr w:type="firstCol">
      <w:tblPr/>
      <w:tcPr>
        <w:tcBorders>
          <w:top w:val="nil"/>
          <w:left w:val="nil"/>
          <w:bottom w:val="nil"/>
          <w:right w:val="single" w:sz="8" w:space="0" w:color="C00000"/>
          <w:insideH w:val="nil"/>
          <w:insideV w:val="nil"/>
        </w:tcBorders>
        <w:shd w:val="clear" w:color="auto" w:fill="FFFFFF"/>
      </w:tcPr>
    </w:tblStylePr>
    <w:tblStylePr w:type="lastCol">
      <w:tblPr/>
      <w:tcPr>
        <w:tcBorders>
          <w:top w:val="nil"/>
          <w:left w:val="single" w:sz="8" w:space="0" w:color="C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595959"/>
        <w:left w:val="single" w:sz="8" w:space="0" w:color="595959"/>
        <w:bottom w:val="single" w:sz="8" w:space="0" w:color="595959"/>
        <w:right w:val="single" w:sz="8" w:space="0" w:color="595959"/>
      </w:tblBorders>
    </w:tblPr>
    <w:tblStylePr w:type="firstRow">
      <w:rPr>
        <w:sz w:val="24"/>
        <w:szCs w:val="24"/>
      </w:rPr>
      <w:tblPr/>
      <w:tcPr>
        <w:tcBorders>
          <w:top w:val="nil"/>
          <w:left w:val="nil"/>
          <w:bottom w:val="single" w:sz="24" w:space="0" w:color="595959"/>
          <w:right w:val="nil"/>
          <w:insideH w:val="nil"/>
          <w:insideV w:val="nil"/>
        </w:tcBorders>
        <w:shd w:val="clear" w:color="auto" w:fill="FFFFFF"/>
      </w:tcPr>
    </w:tblStylePr>
    <w:tblStylePr w:type="lastRow">
      <w:tblPr/>
      <w:tcPr>
        <w:tcBorders>
          <w:top w:val="single" w:sz="8" w:space="0" w:color="595959"/>
          <w:left w:val="nil"/>
          <w:bottom w:val="nil"/>
          <w:right w:val="nil"/>
          <w:insideH w:val="nil"/>
          <w:insideV w:val="nil"/>
        </w:tcBorders>
        <w:shd w:val="clear" w:color="auto" w:fill="FFFFFF"/>
      </w:tcPr>
    </w:tblStylePr>
    <w:tblStylePr w:type="firstCol">
      <w:tblPr/>
      <w:tcPr>
        <w:tcBorders>
          <w:top w:val="nil"/>
          <w:left w:val="nil"/>
          <w:bottom w:val="nil"/>
          <w:right w:val="single" w:sz="8" w:space="0" w:color="595959"/>
          <w:insideH w:val="nil"/>
          <w:insideV w:val="nil"/>
        </w:tcBorders>
        <w:shd w:val="clear" w:color="auto" w:fill="FFFFFF"/>
      </w:tcPr>
    </w:tblStylePr>
    <w:tblStylePr w:type="lastCol">
      <w:tblPr/>
      <w:tcPr>
        <w:tcBorders>
          <w:top w:val="nil"/>
          <w:left w:val="single" w:sz="8" w:space="0" w:color="5959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5D5D5"/>
      </w:tcPr>
    </w:tblStylePr>
    <w:tblStylePr w:type="band1Horz">
      <w:tblPr/>
      <w:tcPr>
        <w:tcBorders>
          <w:top w:val="nil"/>
          <w:bottom w:val="nil"/>
          <w:insideH w:val="nil"/>
          <w:insideV w:val="nil"/>
        </w:tcBorders>
        <w:shd w:val="clear" w:color="auto" w:fill="D5D5D5"/>
      </w:tcPr>
    </w:tblStylePr>
    <w:tblStylePr w:type="nwCell">
      <w:tblPr/>
      <w:tcPr>
        <w:shd w:val="clear" w:color="auto" w:fill="FFFFFF"/>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FFFFFF"/>
      </w:tcPr>
    </w:tblStylePr>
    <w:tblStylePr w:type="lastRow">
      <w:tblPr/>
      <w:tcPr>
        <w:tcBorders>
          <w:top w:val="single" w:sz="8" w:space="0" w:color="969696"/>
          <w:left w:val="nil"/>
          <w:bottom w:val="nil"/>
          <w:right w:val="nil"/>
          <w:insideH w:val="nil"/>
          <w:insideV w:val="nil"/>
        </w:tcBorders>
        <w:shd w:val="clear" w:color="auto" w:fill="FFFFFF"/>
      </w:tcPr>
    </w:tblStylePr>
    <w:tblStylePr w:type="firstCol">
      <w:tblPr/>
      <w:tcPr>
        <w:tcBorders>
          <w:top w:val="nil"/>
          <w:left w:val="nil"/>
          <w:bottom w:val="nil"/>
          <w:right w:val="single" w:sz="8" w:space="0" w:color="969696"/>
          <w:insideH w:val="nil"/>
          <w:insideV w:val="nil"/>
        </w:tcBorders>
        <w:shd w:val="clear" w:color="auto" w:fill="FFFFFF"/>
      </w:tcPr>
    </w:tblStylePr>
    <w:tblStylePr w:type="lastCol">
      <w:tblPr/>
      <w:tcPr>
        <w:tcBorders>
          <w:top w:val="nil"/>
          <w:left w:val="single" w:sz="8" w:space="0" w:color="96969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FFFFFF"/>
      </w:tcPr>
    </w:tblStylePr>
    <w:tblStylePr w:type="lastRow">
      <w:tblPr/>
      <w:tcPr>
        <w:tcBorders>
          <w:top w:val="single" w:sz="8" w:space="0" w:color="5F5F5F"/>
          <w:left w:val="nil"/>
          <w:bottom w:val="nil"/>
          <w:right w:val="nil"/>
          <w:insideH w:val="nil"/>
          <w:insideV w:val="nil"/>
        </w:tcBorders>
        <w:shd w:val="clear" w:color="auto" w:fill="FFFFFF"/>
      </w:tcPr>
    </w:tblStylePr>
    <w:tblStylePr w:type="firstCol">
      <w:tblPr/>
      <w:tcPr>
        <w:tcBorders>
          <w:top w:val="nil"/>
          <w:left w:val="nil"/>
          <w:bottom w:val="nil"/>
          <w:right w:val="single" w:sz="8" w:space="0" w:color="5F5F5F"/>
          <w:insideH w:val="nil"/>
          <w:insideV w:val="nil"/>
        </w:tcBorders>
        <w:shd w:val="clear" w:color="auto" w:fill="FFFFFF"/>
      </w:tcPr>
    </w:tblStylePr>
    <w:tblStylePr w:type="lastCol">
      <w:tblPr/>
      <w:tcPr>
        <w:tcBorders>
          <w:top w:val="nil"/>
          <w:left w:val="single" w:sz="8" w:space="0" w:color="5F5F5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semiHidden/>
    <w:unhideWhenUsed/>
    <w:rsid w:val="00A8059F"/>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FFFFFF"/>
      </w:tcPr>
    </w:tblStylePr>
    <w:tblStylePr w:type="lastRow">
      <w:tblPr/>
      <w:tcPr>
        <w:tcBorders>
          <w:top w:val="single" w:sz="8" w:space="0" w:color="4D4D4D"/>
          <w:left w:val="nil"/>
          <w:bottom w:val="nil"/>
          <w:right w:val="nil"/>
          <w:insideH w:val="nil"/>
          <w:insideV w:val="nil"/>
        </w:tcBorders>
        <w:shd w:val="clear" w:color="auto" w:fill="FFFFFF"/>
      </w:tcPr>
    </w:tblStylePr>
    <w:tblStylePr w:type="firstCol">
      <w:tblPr/>
      <w:tcPr>
        <w:tcBorders>
          <w:top w:val="nil"/>
          <w:left w:val="nil"/>
          <w:bottom w:val="nil"/>
          <w:right w:val="single" w:sz="8" w:space="0" w:color="4D4D4D"/>
          <w:insideH w:val="nil"/>
          <w:insideV w:val="nil"/>
        </w:tcBorders>
        <w:shd w:val="clear" w:color="auto" w:fill="FFFFFF"/>
      </w:tcPr>
    </w:tblStylePr>
    <w:tblStylePr w:type="lastCol">
      <w:tblPr/>
      <w:tcPr>
        <w:tcBorders>
          <w:top w:val="nil"/>
          <w:left w:val="single" w:sz="8" w:space="0" w:color="4D4D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FFFFFF"/>
      </w:tcPr>
    </w:tblStylePr>
    <w:tblStylePr w:type="swCell">
      <w:tblPr/>
      <w:tcPr>
        <w:tcBorders>
          <w:top w:val="nil"/>
        </w:tcBorders>
      </w:tcPr>
    </w:tblStylePr>
  </w:style>
  <w:style w:type="table" w:customStyle="1" w:styleId="MediumShading12">
    <w:name w:val="Medium Shading 12"/>
    <w:basedOn w:val="TableNormal"/>
    <w:next w:val="MediumShading1"/>
    <w:uiPriority w:val="99"/>
    <w:semiHidden/>
    <w:unhideWhenUsed/>
    <w:rsid w:val="00A8059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semiHidden/>
    <w:unhideWhenUsed/>
    <w:rsid w:val="00A8059F"/>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FFFFFF"/>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semiHidden/>
    <w:unhideWhenUsed/>
    <w:rsid w:val="00A8059F"/>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FFFFFF"/>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semiHidden/>
    <w:unhideWhenUsed/>
    <w:rsid w:val="00A8059F"/>
    <w:tblPr>
      <w:tblStyleRowBandSize w:val="1"/>
      <w:tblStyleColBandSize w:val="1"/>
      <w:tblBorders>
        <w:top w:val="single" w:sz="8" w:space="0" w:color="828282"/>
        <w:left w:val="single" w:sz="8" w:space="0" w:color="828282"/>
        <w:bottom w:val="single" w:sz="8" w:space="0" w:color="828282"/>
        <w:right w:val="single" w:sz="8" w:space="0" w:color="828282"/>
        <w:insideH w:val="single" w:sz="8" w:space="0" w:color="828282"/>
      </w:tblBorders>
    </w:tblPr>
    <w:tblStylePr w:type="firstRow">
      <w:pPr>
        <w:spacing w:before="0" w:after="0" w:line="240" w:lineRule="auto"/>
      </w:pPr>
      <w:rPr>
        <w:b/>
        <w:bCs/>
        <w:color w:val="FFFFFF"/>
      </w:rPr>
      <w:tblPr/>
      <w:tcPr>
        <w:tcBorders>
          <w:top w:val="single" w:sz="8" w:space="0" w:color="828282"/>
          <w:left w:val="single" w:sz="8" w:space="0" w:color="828282"/>
          <w:bottom w:val="single" w:sz="8" w:space="0" w:color="828282"/>
          <w:right w:val="single" w:sz="8" w:space="0" w:color="828282"/>
          <w:insideH w:val="nil"/>
          <w:insideV w:val="nil"/>
        </w:tcBorders>
        <w:shd w:val="clear" w:color="auto" w:fill="595959"/>
      </w:tcPr>
    </w:tblStylePr>
    <w:tblStylePr w:type="lastRow">
      <w:pPr>
        <w:spacing w:before="0" w:after="0" w:line="240" w:lineRule="auto"/>
      </w:pPr>
      <w:rPr>
        <w:b/>
        <w:bCs/>
      </w:rPr>
      <w:tblPr/>
      <w:tcPr>
        <w:tcBorders>
          <w:top w:val="double" w:sz="6" w:space="0" w:color="828282"/>
          <w:left w:val="single" w:sz="8" w:space="0" w:color="828282"/>
          <w:bottom w:val="single" w:sz="8" w:space="0" w:color="828282"/>
          <w:right w:val="single" w:sz="8" w:space="0" w:color="828282"/>
          <w:insideH w:val="nil"/>
          <w:insideV w:val="nil"/>
        </w:tcBorders>
      </w:tcPr>
    </w:tblStylePr>
    <w:tblStylePr w:type="firstCol">
      <w:rPr>
        <w:b/>
        <w:bCs/>
      </w:rPr>
    </w:tblStylePr>
    <w:tblStylePr w:type="lastCol">
      <w:rPr>
        <w:b/>
        <w:bCs/>
      </w:rPr>
    </w:tblStylePr>
    <w:tblStylePr w:type="band1Vert">
      <w:tblPr/>
      <w:tcPr>
        <w:shd w:val="clear" w:color="auto" w:fill="D5D5D5"/>
      </w:tcPr>
    </w:tblStylePr>
    <w:tblStylePr w:type="band1Horz">
      <w:tblPr/>
      <w:tcPr>
        <w:tcBorders>
          <w:insideH w:val="nil"/>
          <w:insideV w:val="nil"/>
        </w:tcBorders>
        <w:shd w:val="clear" w:color="auto" w:fill="D5D5D5"/>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semiHidden/>
    <w:unhideWhenUsed/>
    <w:rsid w:val="00A8059F"/>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FFFFFF"/>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semiHidden/>
    <w:unhideWhenUsed/>
    <w:rsid w:val="00A8059F"/>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FFFFFF"/>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semiHidden/>
    <w:unhideWhenUsed/>
    <w:rsid w:val="00A8059F"/>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FFFFFF"/>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semiHidden/>
    <w:unhideWhenUsed/>
    <w:rsid w:val="00A8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72BC"/>
      </w:tcPr>
    </w:tblStylePr>
    <w:tblStylePr w:type="lastCol">
      <w:rPr>
        <w:b/>
        <w:bCs/>
        <w:color w:val="FFFFFF"/>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semiHidden/>
    <w:unhideWhenUsed/>
    <w:rsid w:val="00A8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0000"/>
      </w:tcPr>
    </w:tblStylePr>
    <w:tblStylePr w:type="lastCol">
      <w:rPr>
        <w:b/>
        <w:bCs/>
        <w:color w:val="FFFFFF"/>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semiHidden/>
    <w:unhideWhenUsed/>
    <w:rsid w:val="00A8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959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95959"/>
      </w:tcPr>
    </w:tblStylePr>
    <w:tblStylePr w:type="lastCol">
      <w:rPr>
        <w:b/>
        <w:bCs/>
        <w:color w:val="FFFFFF"/>
      </w:rPr>
      <w:tblPr/>
      <w:tcPr>
        <w:tcBorders>
          <w:left w:val="nil"/>
          <w:right w:val="nil"/>
          <w:insideH w:val="nil"/>
          <w:insideV w:val="nil"/>
        </w:tcBorders>
        <w:shd w:val="clear" w:color="auto" w:fill="5959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semiHidden/>
    <w:unhideWhenUsed/>
    <w:rsid w:val="00A8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69696"/>
      </w:tcPr>
    </w:tblStylePr>
    <w:tblStylePr w:type="lastCol">
      <w:rPr>
        <w:b/>
        <w:bCs/>
        <w:color w:val="FFFFFF"/>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semiHidden/>
    <w:unhideWhenUsed/>
    <w:rsid w:val="00A8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F5F5F"/>
      </w:tcPr>
    </w:tblStylePr>
    <w:tblStylePr w:type="lastCol">
      <w:rPr>
        <w:b/>
        <w:bCs/>
        <w:color w:val="FFFFFF"/>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semiHidden/>
    <w:unhideWhenUsed/>
    <w:rsid w:val="00A805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D4D4D"/>
      </w:tcPr>
    </w:tblStylePr>
    <w:tblStylePr w:type="lastCol">
      <w:rPr>
        <w:b/>
        <w:bCs/>
        <w:color w:val="FFFFFF"/>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3Deffects12">
    <w:name w:val="Table 3D effects 12"/>
    <w:basedOn w:val="TableNormal"/>
    <w:next w:val="Table3Deffects1"/>
    <w:uiPriority w:val="99"/>
    <w:semiHidden/>
    <w:unhideWhenUsed/>
    <w:rsid w:val="00A805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semiHidden/>
    <w:unhideWhenUsed/>
    <w:rsid w:val="00A805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semiHidden/>
    <w:unhideWhenUsed/>
    <w:rsid w:val="00A805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semiHidden/>
    <w:unhideWhenUsed/>
    <w:rsid w:val="00A805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semiHidden/>
    <w:unhideWhenUsed/>
    <w:rsid w:val="00A805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unhideWhenUsed/>
    <w:rsid w:val="00A805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uiPriority w:val="99"/>
    <w:semiHidden/>
    <w:unhideWhenUsed/>
    <w:rsid w:val="00A805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uiPriority w:val="99"/>
    <w:semiHidden/>
    <w:unhideWhenUsed/>
    <w:rsid w:val="00A805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uiPriority w:val="99"/>
    <w:semiHidden/>
    <w:unhideWhenUsed/>
    <w:rsid w:val="00A805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unhideWhenUsed/>
    <w:rsid w:val="00A805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uiPriority w:val="99"/>
    <w:semiHidden/>
    <w:unhideWhenUsed/>
    <w:rsid w:val="00A805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uiPriority w:val="99"/>
    <w:semiHidden/>
    <w:unhideWhenUsed/>
    <w:rsid w:val="00A805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uiPriority w:val="99"/>
    <w:semiHidden/>
    <w:unhideWhenUsed/>
    <w:rsid w:val="00A805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uiPriority w:val="99"/>
    <w:semiHidden/>
    <w:unhideWhenUsed/>
    <w:rsid w:val="00A805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uiPriority w:val="99"/>
    <w:semiHidden/>
    <w:unhideWhenUsed/>
    <w:rsid w:val="00A805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uiPriority w:val="99"/>
    <w:semiHidden/>
    <w:unhideWhenUsed/>
    <w:rsid w:val="00A805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uiPriority w:val="99"/>
    <w:semiHidden/>
    <w:unhideWhenUsed/>
    <w:rsid w:val="00A805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2">
    <w:name w:val="Table Grid 12"/>
    <w:basedOn w:val="TableNormal"/>
    <w:next w:val="TableGrid1"/>
    <w:uiPriority w:val="99"/>
    <w:semiHidden/>
    <w:unhideWhenUsed/>
    <w:rsid w:val="00A805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leNormal"/>
    <w:next w:val="TableGrid2"/>
    <w:uiPriority w:val="99"/>
    <w:semiHidden/>
    <w:unhideWhenUsed/>
    <w:rsid w:val="00A805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uiPriority w:val="99"/>
    <w:semiHidden/>
    <w:unhideWhenUsed/>
    <w:rsid w:val="00A805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uiPriority w:val="99"/>
    <w:semiHidden/>
    <w:unhideWhenUsed/>
    <w:rsid w:val="00A805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uiPriority w:val="99"/>
    <w:semiHidden/>
    <w:unhideWhenUsed/>
    <w:rsid w:val="00A805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uiPriority w:val="99"/>
    <w:semiHidden/>
    <w:unhideWhenUsed/>
    <w:rsid w:val="00A805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uiPriority w:val="99"/>
    <w:semiHidden/>
    <w:unhideWhenUsed/>
    <w:rsid w:val="00A805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uiPriority w:val="99"/>
    <w:semiHidden/>
    <w:unhideWhenUsed/>
    <w:rsid w:val="00A805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uiPriority w:val="99"/>
    <w:semiHidden/>
    <w:unhideWhenUsed/>
    <w:rsid w:val="00A805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uiPriority w:val="99"/>
    <w:semiHidden/>
    <w:unhideWhenUsed/>
    <w:rsid w:val="00A805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semiHidden/>
    <w:unhideWhenUsed/>
    <w:rsid w:val="00A805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uiPriority w:val="99"/>
    <w:semiHidden/>
    <w:unhideWhenUsed/>
    <w:rsid w:val="00A805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uiPriority w:val="99"/>
    <w:semiHidden/>
    <w:unhideWhenUsed/>
    <w:rsid w:val="00A805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uiPriority w:val="99"/>
    <w:semiHidden/>
    <w:unhideWhenUsed/>
    <w:rsid w:val="00A805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uiPriority w:val="99"/>
    <w:semiHidden/>
    <w:unhideWhenUsed/>
    <w:rsid w:val="00A805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uiPriority w:val="99"/>
    <w:semiHidden/>
    <w:unhideWhenUsed/>
    <w:rsid w:val="00A805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uiPriority w:val="99"/>
    <w:semiHidden/>
    <w:unhideWhenUsed/>
    <w:rsid w:val="00A805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uiPriority w:val="99"/>
    <w:semiHidden/>
    <w:unhideWhenUsed/>
    <w:rsid w:val="00A805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uiPriority w:val="99"/>
    <w:semiHidden/>
    <w:unhideWhenUsed/>
    <w:rsid w:val="00A805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uiPriority w:val="99"/>
    <w:semiHidden/>
    <w:unhideWhenUsed/>
    <w:rsid w:val="00A805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uiPriority w:val="99"/>
    <w:semiHidden/>
    <w:unhideWhenUsed/>
    <w:rsid w:val="00A805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uiPriority w:val="99"/>
    <w:semiHidden/>
    <w:unhideWhenUsed/>
    <w:rsid w:val="00A805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uiPriority w:val="99"/>
    <w:semiHidden/>
    <w:unhideWhenUsed/>
    <w:rsid w:val="00A80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uiPriority w:val="99"/>
    <w:semiHidden/>
    <w:unhideWhenUsed/>
    <w:rsid w:val="00A805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unhideWhenUsed/>
    <w:rsid w:val="00A805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unhideWhenUsed/>
    <w:rsid w:val="00A805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GridTable22">
    <w:name w:val="Grid Table 22"/>
    <w:basedOn w:val="TableNormal"/>
    <w:next w:val="GridTable2"/>
    <w:uiPriority w:val="47"/>
    <w:rsid w:val="00A8059F"/>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2">
    <w:name w:val="Grid Table 2 - Accent 12"/>
    <w:basedOn w:val="TableNormal"/>
    <w:next w:val="GridTable2Accent1"/>
    <w:uiPriority w:val="47"/>
    <w:rsid w:val="00A8059F"/>
    <w:tblPr>
      <w:tblStyleRowBandSize w:val="1"/>
      <w:tblStyleColBandSize w:val="1"/>
      <w:tblBorders>
        <w:top w:val="single" w:sz="2" w:space="0" w:color="3DB2FF"/>
        <w:bottom w:val="single" w:sz="2" w:space="0" w:color="3DB2FF"/>
        <w:insideH w:val="single" w:sz="2" w:space="0" w:color="3DB2FF"/>
        <w:insideV w:val="single" w:sz="2" w:space="0" w:color="3DB2FF"/>
      </w:tblBorders>
    </w:tblPr>
    <w:tblStylePr w:type="firstRow">
      <w:rPr>
        <w:b/>
        <w:bCs/>
      </w:rPr>
      <w:tblPr/>
      <w:tcPr>
        <w:tcBorders>
          <w:top w:val="nil"/>
          <w:bottom w:val="single" w:sz="12" w:space="0" w:color="3DB2FF"/>
          <w:insideH w:val="nil"/>
          <w:insideV w:val="nil"/>
        </w:tcBorders>
        <w:shd w:val="clear" w:color="auto" w:fill="FFFFFF"/>
      </w:tcPr>
    </w:tblStylePr>
    <w:tblStylePr w:type="lastRow">
      <w:rPr>
        <w:b/>
        <w:bCs/>
      </w:rPr>
      <w:tblPr/>
      <w:tcPr>
        <w:tcBorders>
          <w:top w:val="double" w:sz="2" w:space="0" w:color="3DB2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2-Accent22">
    <w:name w:val="Grid Table 2 - Accent 22"/>
    <w:basedOn w:val="TableNormal"/>
    <w:next w:val="GridTable2Accent2"/>
    <w:uiPriority w:val="47"/>
    <w:rsid w:val="00A8059F"/>
    <w:tblPr>
      <w:tblStyleRowBandSize w:val="1"/>
      <w:tblStyleColBandSize w:val="1"/>
      <w:tblBorders>
        <w:top w:val="single" w:sz="2" w:space="0" w:color="FF4040"/>
        <w:bottom w:val="single" w:sz="2" w:space="0" w:color="FF4040"/>
        <w:insideH w:val="single" w:sz="2" w:space="0" w:color="FF4040"/>
        <w:insideV w:val="single" w:sz="2" w:space="0" w:color="FF4040"/>
      </w:tblBorders>
    </w:tblPr>
    <w:tblStylePr w:type="firstRow">
      <w:rPr>
        <w:b/>
        <w:bCs/>
      </w:rPr>
      <w:tblPr/>
      <w:tcPr>
        <w:tcBorders>
          <w:top w:val="nil"/>
          <w:bottom w:val="single" w:sz="12" w:space="0" w:color="FF4040"/>
          <w:insideH w:val="nil"/>
          <w:insideV w:val="nil"/>
        </w:tcBorders>
        <w:shd w:val="clear" w:color="auto" w:fill="FFFFFF"/>
      </w:tcPr>
    </w:tblStylePr>
    <w:tblStylePr w:type="lastRow">
      <w:rPr>
        <w:b/>
        <w:bCs/>
      </w:rPr>
      <w:tblPr/>
      <w:tcPr>
        <w:tcBorders>
          <w:top w:val="double" w:sz="2" w:space="0" w:color="FF404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2-Accent32">
    <w:name w:val="Grid Table 2 - Accent 32"/>
    <w:basedOn w:val="TableNormal"/>
    <w:next w:val="GridTable2Accent3"/>
    <w:uiPriority w:val="47"/>
    <w:rsid w:val="00A8059F"/>
    <w:tblPr>
      <w:tblStyleRowBandSize w:val="1"/>
      <w:tblStyleColBandSize w:val="1"/>
      <w:tblBorders>
        <w:top w:val="single" w:sz="2" w:space="0" w:color="9B9B9B"/>
        <w:bottom w:val="single" w:sz="2" w:space="0" w:color="9B9B9B"/>
        <w:insideH w:val="single" w:sz="2" w:space="0" w:color="9B9B9B"/>
        <w:insideV w:val="single" w:sz="2" w:space="0" w:color="9B9B9B"/>
      </w:tblBorders>
    </w:tblPr>
    <w:tblStylePr w:type="firstRow">
      <w:rPr>
        <w:b/>
        <w:bCs/>
      </w:rPr>
      <w:tblPr/>
      <w:tcPr>
        <w:tcBorders>
          <w:top w:val="nil"/>
          <w:bottom w:val="single" w:sz="12" w:space="0" w:color="9B9B9B"/>
          <w:insideH w:val="nil"/>
          <w:insideV w:val="nil"/>
        </w:tcBorders>
        <w:shd w:val="clear" w:color="auto" w:fill="FFFFFF"/>
      </w:tcPr>
    </w:tblStylePr>
    <w:tblStylePr w:type="lastRow">
      <w:rPr>
        <w:b/>
        <w:bCs/>
      </w:rPr>
      <w:tblPr/>
      <w:tcPr>
        <w:tcBorders>
          <w:top w:val="double" w:sz="2" w:space="0" w:color="9B9B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2-Accent42">
    <w:name w:val="Grid Table 2 - Accent 42"/>
    <w:basedOn w:val="TableNormal"/>
    <w:next w:val="GridTable2Accent4"/>
    <w:uiPriority w:val="47"/>
    <w:rsid w:val="00A8059F"/>
    <w:tblPr>
      <w:tblStyleRowBandSize w:val="1"/>
      <w:tblStyleColBandSize w:val="1"/>
      <w:tblBorders>
        <w:top w:val="single" w:sz="2" w:space="0" w:color="C0C0C0"/>
        <w:bottom w:val="single" w:sz="2" w:space="0" w:color="C0C0C0"/>
        <w:insideH w:val="single" w:sz="2" w:space="0" w:color="C0C0C0"/>
        <w:insideV w:val="single" w:sz="2" w:space="0" w:color="C0C0C0"/>
      </w:tblBorders>
    </w:tblPr>
    <w:tblStylePr w:type="firstRow">
      <w:rPr>
        <w:b/>
        <w:bCs/>
      </w:rPr>
      <w:tblPr/>
      <w:tcPr>
        <w:tcBorders>
          <w:top w:val="nil"/>
          <w:bottom w:val="single" w:sz="12" w:space="0" w:color="C0C0C0"/>
          <w:insideH w:val="nil"/>
          <w:insideV w:val="nil"/>
        </w:tcBorders>
        <w:shd w:val="clear" w:color="auto" w:fill="FFFFFF"/>
      </w:tcPr>
    </w:tblStylePr>
    <w:tblStylePr w:type="lastRow">
      <w:rPr>
        <w:b/>
        <w:bCs/>
      </w:rPr>
      <w:tblPr/>
      <w:tcPr>
        <w:tcBorders>
          <w:top w:val="double" w:sz="2" w:space="0" w:color="C0C0C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2-Accent52">
    <w:name w:val="Grid Table 2 - Accent 52"/>
    <w:basedOn w:val="TableNormal"/>
    <w:next w:val="GridTable2Accent5"/>
    <w:uiPriority w:val="47"/>
    <w:rsid w:val="00A8059F"/>
    <w:tblPr>
      <w:tblStyleRowBandSize w:val="1"/>
      <w:tblStyleColBandSize w:val="1"/>
      <w:tblBorders>
        <w:top w:val="single" w:sz="2" w:space="0" w:color="9F9F9F"/>
        <w:bottom w:val="single" w:sz="2" w:space="0" w:color="9F9F9F"/>
        <w:insideH w:val="single" w:sz="2" w:space="0" w:color="9F9F9F"/>
        <w:insideV w:val="single" w:sz="2" w:space="0" w:color="9F9F9F"/>
      </w:tblBorders>
    </w:tblPr>
    <w:tblStylePr w:type="firstRow">
      <w:rPr>
        <w:b/>
        <w:bCs/>
      </w:rPr>
      <w:tblPr/>
      <w:tcPr>
        <w:tcBorders>
          <w:top w:val="nil"/>
          <w:bottom w:val="single" w:sz="12" w:space="0" w:color="9F9F9F"/>
          <w:insideH w:val="nil"/>
          <w:insideV w:val="nil"/>
        </w:tcBorders>
        <w:shd w:val="clear" w:color="auto" w:fill="FFFFFF"/>
      </w:tcPr>
    </w:tblStylePr>
    <w:tblStylePr w:type="lastRow">
      <w:rPr>
        <w:b/>
        <w:bCs/>
      </w:rPr>
      <w:tblPr/>
      <w:tcPr>
        <w:tcBorders>
          <w:top w:val="double" w:sz="2" w:space="0" w:color="9F9F9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2-Accent62">
    <w:name w:val="Grid Table 2 - Accent 62"/>
    <w:basedOn w:val="TableNormal"/>
    <w:next w:val="GridTable2Accent6"/>
    <w:uiPriority w:val="47"/>
    <w:rsid w:val="00A8059F"/>
    <w:tblPr>
      <w:tblStyleRowBandSize w:val="1"/>
      <w:tblStyleColBandSize w:val="1"/>
      <w:tblBorders>
        <w:top w:val="single" w:sz="2" w:space="0" w:color="949494"/>
        <w:bottom w:val="single" w:sz="2" w:space="0" w:color="949494"/>
        <w:insideH w:val="single" w:sz="2" w:space="0" w:color="949494"/>
        <w:insideV w:val="single" w:sz="2" w:space="0" w:color="949494"/>
      </w:tblBorders>
    </w:tblPr>
    <w:tblStylePr w:type="firstRow">
      <w:rPr>
        <w:b/>
        <w:bCs/>
      </w:rPr>
      <w:tblPr/>
      <w:tcPr>
        <w:tcBorders>
          <w:top w:val="nil"/>
          <w:bottom w:val="single" w:sz="12" w:space="0" w:color="949494"/>
          <w:insideH w:val="nil"/>
          <w:insideV w:val="nil"/>
        </w:tcBorders>
        <w:shd w:val="clear" w:color="auto" w:fill="FFFFFF"/>
      </w:tcPr>
    </w:tblStylePr>
    <w:tblStylePr w:type="lastRow">
      <w:rPr>
        <w:b/>
        <w:bCs/>
      </w:rPr>
      <w:tblPr/>
      <w:tcPr>
        <w:tcBorders>
          <w:top w:val="double" w:sz="2" w:space="0" w:color="9494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32">
    <w:name w:val="Grid Table 32"/>
    <w:basedOn w:val="TableNormal"/>
    <w:next w:val="GridTable3"/>
    <w:uiPriority w:val="48"/>
    <w:rsid w:val="00A8059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2">
    <w:name w:val="Grid Table 3 - Accent 12"/>
    <w:basedOn w:val="TableNormal"/>
    <w:next w:val="GridTable3Accent1"/>
    <w:uiPriority w:val="48"/>
    <w:rsid w:val="00A8059F"/>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3-Accent22">
    <w:name w:val="Grid Table 3 - Accent 22"/>
    <w:basedOn w:val="TableNormal"/>
    <w:next w:val="GridTable3Accent2"/>
    <w:uiPriority w:val="48"/>
    <w:rsid w:val="00A8059F"/>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3-Accent32">
    <w:name w:val="Grid Table 3 - Accent 32"/>
    <w:basedOn w:val="TableNormal"/>
    <w:next w:val="GridTable3Accent3"/>
    <w:uiPriority w:val="48"/>
    <w:rsid w:val="00A8059F"/>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3-Accent42">
    <w:name w:val="Grid Table 3 - Accent 42"/>
    <w:basedOn w:val="TableNormal"/>
    <w:next w:val="GridTable3Accent4"/>
    <w:uiPriority w:val="48"/>
    <w:rsid w:val="00A8059F"/>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3-Accent52">
    <w:name w:val="Grid Table 3 - Accent 52"/>
    <w:basedOn w:val="TableNormal"/>
    <w:next w:val="GridTable3Accent5"/>
    <w:uiPriority w:val="48"/>
    <w:rsid w:val="00A8059F"/>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3-Accent62">
    <w:name w:val="Grid Table 3 - Accent 62"/>
    <w:basedOn w:val="TableNormal"/>
    <w:next w:val="GridTable3Accent6"/>
    <w:uiPriority w:val="48"/>
    <w:rsid w:val="00A8059F"/>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GridTable42">
    <w:name w:val="Grid Table 42"/>
    <w:basedOn w:val="TableNormal"/>
    <w:next w:val="GridTable4"/>
    <w:uiPriority w:val="49"/>
    <w:rsid w:val="00A8059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2">
    <w:name w:val="Grid Table 4 - Accent 12"/>
    <w:basedOn w:val="TableNormal"/>
    <w:next w:val="GridTable4Accent1"/>
    <w:uiPriority w:val="49"/>
    <w:rsid w:val="00A8059F"/>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insideV w:val="nil"/>
        </w:tcBorders>
        <w:shd w:val="clear" w:color="auto" w:fill="0072BC"/>
      </w:tcPr>
    </w:tblStylePr>
    <w:tblStylePr w:type="lastRow">
      <w:rPr>
        <w:b/>
        <w:bCs/>
      </w:rPr>
      <w:tblPr/>
      <w:tcPr>
        <w:tcBorders>
          <w:top w:val="double" w:sz="4" w:space="0" w:color="0072BC"/>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GridTable4-Accent22">
    <w:name w:val="Grid Table 4 - Accent 22"/>
    <w:basedOn w:val="TableNormal"/>
    <w:next w:val="GridTable4Accent2"/>
    <w:uiPriority w:val="49"/>
    <w:rsid w:val="00A8059F"/>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insideV w:val="nil"/>
        </w:tcBorders>
        <w:shd w:val="clear" w:color="auto" w:fill="C00000"/>
      </w:tcPr>
    </w:tblStylePr>
    <w:tblStylePr w:type="lastRow">
      <w:rPr>
        <w:b/>
        <w:bCs/>
      </w:rPr>
      <w:tblPr/>
      <w:tcPr>
        <w:tcBorders>
          <w:top w:val="double" w:sz="4" w:space="0" w:color="C0000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GridTable4-Accent32">
    <w:name w:val="Grid Table 4 - Accent 32"/>
    <w:basedOn w:val="TableNormal"/>
    <w:next w:val="GridTable4Accent3"/>
    <w:uiPriority w:val="49"/>
    <w:rsid w:val="00A8059F"/>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insideV w:val="nil"/>
        </w:tcBorders>
        <w:shd w:val="clear" w:color="auto" w:fill="595959"/>
      </w:tcPr>
    </w:tblStylePr>
    <w:tblStylePr w:type="lastRow">
      <w:rPr>
        <w:b/>
        <w:bCs/>
      </w:rPr>
      <w:tblPr/>
      <w:tcPr>
        <w:tcBorders>
          <w:top w:val="double" w:sz="4" w:space="0" w:color="595959"/>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GridTable4-Accent42">
    <w:name w:val="Grid Table 4 - Accent 42"/>
    <w:basedOn w:val="TableNormal"/>
    <w:next w:val="GridTable4Accent4"/>
    <w:uiPriority w:val="49"/>
    <w:rsid w:val="00A8059F"/>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insideV w:val="nil"/>
        </w:tcBorders>
        <w:shd w:val="clear" w:color="auto" w:fill="969696"/>
      </w:tcPr>
    </w:tblStylePr>
    <w:tblStylePr w:type="lastRow">
      <w:rPr>
        <w:b/>
        <w:bCs/>
      </w:rPr>
      <w:tblPr/>
      <w:tcPr>
        <w:tcBorders>
          <w:top w:val="double" w:sz="4" w:space="0" w:color="969696"/>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GridTable4-Accent52">
    <w:name w:val="Grid Table 4 - Accent 52"/>
    <w:basedOn w:val="TableNormal"/>
    <w:next w:val="GridTable4Accent5"/>
    <w:uiPriority w:val="49"/>
    <w:rsid w:val="00A8059F"/>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insideV w:val="nil"/>
        </w:tcBorders>
        <w:shd w:val="clear" w:color="auto" w:fill="5F5F5F"/>
      </w:tcPr>
    </w:tblStylePr>
    <w:tblStylePr w:type="lastRow">
      <w:rPr>
        <w:b/>
        <w:bCs/>
      </w:rPr>
      <w:tblPr/>
      <w:tcPr>
        <w:tcBorders>
          <w:top w:val="double" w:sz="4" w:space="0" w:color="5F5F5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GridTable4-Accent62">
    <w:name w:val="Grid Table 4 - Accent 62"/>
    <w:basedOn w:val="TableNormal"/>
    <w:next w:val="GridTable4Accent6"/>
    <w:uiPriority w:val="49"/>
    <w:rsid w:val="00A8059F"/>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insideV w:val="nil"/>
        </w:tcBorders>
        <w:shd w:val="clear" w:color="auto" w:fill="4D4D4D"/>
      </w:tcPr>
    </w:tblStylePr>
    <w:tblStylePr w:type="lastRow">
      <w:rPr>
        <w:b/>
        <w:bCs/>
      </w:rPr>
      <w:tblPr/>
      <w:tcPr>
        <w:tcBorders>
          <w:top w:val="double" w:sz="4" w:space="0" w:color="4D4D4D"/>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GridTable5Dark2">
    <w:name w:val="Grid Table 5 Dark2"/>
    <w:basedOn w:val="TableNormal"/>
    <w:next w:val="GridTable5Dark"/>
    <w:uiPriority w:val="50"/>
    <w:rsid w:val="00A8059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2">
    <w:name w:val="Grid Table 5 Dark - Accent 12"/>
    <w:basedOn w:val="TableNormal"/>
    <w:next w:val="GridTable5DarkAccent1"/>
    <w:uiPriority w:val="50"/>
    <w:rsid w:val="00A8059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EE5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72B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72B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72B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72BC"/>
      </w:tcPr>
    </w:tblStylePr>
    <w:tblStylePr w:type="band1Vert">
      <w:tblPr/>
      <w:tcPr>
        <w:shd w:val="clear" w:color="auto" w:fill="7ECBFF"/>
      </w:tcPr>
    </w:tblStylePr>
    <w:tblStylePr w:type="band1Horz">
      <w:tblPr/>
      <w:tcPr>
        <w:shd w:val="clear" w:color="auto" w:fill="7ECBFF"/>
      </w:tcPr>
    </w:tblStylePr>
  </w:style>
  <w:style w:type="table" w:customStyle="1" w:styleId="GridTable5Dark-Accent22">
    <w:name w:val="Grid Table 5 Dark - Accent 22"/>
    <w:basedOn w:val="TableNormal"/>
    <w:next w:val="GridTable5DarkAccent2"/>
    <w:uiPriority w:val="50"/>
    <w:rsid w:val="00A8059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BFB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0000"/>
      </w:tcPr>
    </w:tblStylePr>
    <w:tblStylePr w:type="band1Vert">
      <w:tblPr/>
      <w:tcPr>
        <w:shd w:val="clear" w:color="auto" w:fill="FF7F7F"/>
      </w:tcPr>
    </w:tblStylePr>
    <w:tblStylePr w:type="band1Horz">
      <w:tblPr/>
      <w:tcPr>
        <w:shd w:val="clear" w:color="auto" w:fill="FF7F7F"/>
      </w:tcPr>
    </w:tblStylePr>
  </w:style>
  <w:style w:type="table" w:customStyle="1" w:styleId="GridTable5Dark-Accent32">
    <w:name w:val="Grid Table 5 Dark - Accent 32"/>
    <w:basedOn w:val="TableNormal"/>
    <w:next w:val="GridTable5DarkAccent3"/>
    <w:uiPriority w:val="50"/>
    <w:rsid w:val="00A8059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DD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959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959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959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95959"/>
      </w:tcPr>
    </w:tblStylePr>
    <w:tblStylePr w:type="band1Vert">
      <w:tblPr/>
      <w:tcPr>
        <w:shd w:val="clear" w:color="auto" w:fill="BCBCBC"/>
      </w:tcPr>
    </w:tblStylePr>
    <w:tblStylePr w:type="band1Horz">
      <w:tblPr/>
      <w:tcPr>
        <w:shd w:val="clear" w:color="auto" w:fill="BCBCBC"/>
      </w:tcPr>
    </w:tblStylePr>
  </w:style>
  <w:style w:type="table" w:customStyle="1" w:styleId="GridTable5Dark-Accent42">
    <w:name w:val="Grid Table 5 Dark - Accent 42"/>
    <w:basedOn w:val="TableNormal"/>
    <w:next w:val="GridTable5DarkAccent4"/>
    <w:uiPriority w:val="50"/>
    <w:rsid w:val="00A8059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EAE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6969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6969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6969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69696"/>
      </w:tcPr>
    </w:tblStylePr>
    <w:tblStylePr w:type="band1Vert">
      <w:tblPr/>
      <w:tcPr>
        <w:shd w:val="clear" w:color="auto" w:fill="D5D5D5"/>
      </w:tcPr>
    </w:tblStylePr>
    <w:tblStylePr w:type="band1Horz">
      <w:tblPr/>
      <w:tcPr>
        <w:shd w:val="clear" w:color="auto" w:fill="D5D5D5"/>
      </w:tcPr>
    </w:tblStylePr>
  </w:style>
  <w:style w:type="table" w:customStyle="1" w:styleId="GridTable5Dark-Accent52">
    <w:name w:val="Grid Table 5 Dark - Accent 52"/>
    <w:basedOn w:val="TableNormal"/>
    <w:next w:val="GridTable5DarkAccent5"/>
    <w:uiPriority w:val="50"/>
    <w:rsid w:val="00A8059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FDFD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F5F5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F5F5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F5F5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F5F5F"/>
      </w:tcPr>
    </w:tblStylePr>
    <w:tblStylePr w:type="band1Vert">
      <w:tblPr/>
      <w:tcPr>
        <w:shd w:val="clear" w:color="auto" w:fill="BFBFBF"/>
      </w:tcPr>
    </w:tblStylePr>
    <w:tblStylePr w:type="band1Horz">
      <w:tblPr/>
      <w:tcPr>
        <w:shd w:val="clear" w:color="auto" w:fill="BFBFBF"/>
      </w:tcPr>
    </w:tblStylePr>
  </w:style>
  <w:style w:type="table" w:customStyle="1" w:styleId="GridTable5Dark-Accent62">
    <w:name w:val="Grid Table 5 Dark - Accent 62"/>
    <w:basedOn w:val="TableNormal"/>
    <w:next w:val="GridTable5DarkAccent6"/>
    <w:uiPriority w:val="50"/>
    <w:rsid w:val="00A8059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D4D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D4D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D4D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D4D4D"/>
      </w:tcPr>
    </w:tblStylePr>
    <w:tblStylePr w:type="band1Vert">
      <w:tblPr/>
      <w:tcPr>
        <w:shd w:val="clear" w:color="auto" w:fill="B7B7B7"/>
      </w:tcPr>
    </w:tblStylePr>
    <w:tblStylePr w:type="band1Horz">
      <w:tblPr/>
      <w:tcPr>
        <w:shd w:val="clear" w:color="auto" w:fill="B7B7B7"/>
      </w:tcPr>
    </w:tblStylePr>
  </w:style>
  <w:style w:type="table" w:customStyle="1" w:styleId="GridTable7Colorful2">
    <w:name w:val="Grid Table 7 Colorful2"/>
    <w:basedOn w:val="TableNormal"/>
    <w:next w:val="GridTable7Colorful"/>
    <w:uiPriority w:val="52"/>
    <w:rsid w:val="00A8059F"/>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2">
    <w:name w:val="Grid Table 7 Colorful - Accent 12"/>
    <w:basedOn w:val="TableNormal"/>
    <w:next w:val="GridTable7ColorfulAccent1"/>
    <w:uiPriority w:val="52"/>
    <w:rsid w:val="00A8059F"/>
    <w:rPr>
      <w:color w:val="00548C"/>
    </w:rPr>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insideV w:val="single" w:sz="4" w:space="0" w:color="3DB2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bottom w:val="single" w:sz="4" w:space="0" w:color="3DB2FF"/>
        </w:tcBorders>
      </w:tcPr>
    </w:tblStylePr>
    <w:tblStylePr w:type="nwCell">
      <w:tblPr/>
      <w:tcPr>
        <w:tcBorders>
          <w:bottom w:val="single" w:sz="4" w:space="0" w:color="3DB2FF"/>
        </w:tcBorders>
      </w:tcPr>
    </w:tblStylePr>
    <w:tblStylePr w:type="seCell">
      <w:tblPr/>
      <w:tcPr>
        <w:tcBorders>
          <w:top w:val="single" w:sz="4" w:space="0" w:color="3DB2FF"/>
        </w:tcBorders>
      </w:tcPr>
    </w:tblStylePr>
    <w:tblStylePr w:type="swCell">
      <w:tblPr/>
      <w:tcPr>
        <w:tcBorders>
          <w:top w:val="single" w:sz="4" w:space="0" w:color="3DB2FF"/>
        </w:tcBorders>
      </w:tcPr>
    </w:tblStylePr>
  </w:style>
  <w:style w:type="table" w:customStyle="1" w:styleId="GridTable7Colorful-Accent22">
    <w:name w:val="Grid Table 7 Colorful - Accent 22"/>
    <w:basedOn w:val="TableNormal"/>
    <w:next w:val="GridTable7ColorfulAccent2"/>
    <w:uiPriority w:val="52"/>
    <w:rsid w:val="00A8059F"/>
    <w:rPr>
      <w:color w:val="8F0000"/>
    </w:rPr>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insideV w:val="single" w:sz="4" w:space="0" w:color="FF404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bottom w:val="single" w:sz="4" w:space="0" w:color="FF4040"/>
        </w:tcBorders>
      </w:tcPr>
    </w:tblStylePr>
    <w:tblStylePr w:type="nwCell">
      <w:tblPr/>
      <w:tcPr>
        <w:tcBorders>
          <w:bottom w:val="single" w:sz="4" w:space="0" w:color="FF4040"/>
        </w:tcBorders>
      </w:tcPr>
    </w:tblStylePr>
    <w:tblStylePr w:type="seCell">
      <w:tblPr/>
      <w:tcPr>
        <w:tcBorders>
          <w:top w:val="single" w:sz="4" w:space="0" w:color="FF4040"/>
        </w:tcBorders>
      </w:tcPr>
    </w:tblStylePr>
    <w:tblStylePr w:type="swCell">
      <w:tblPr/>
      <w:tcPr>
        <w:tcBorders>
          <w:top w:val="single" w:sz="4" w:space="0" w:color="FF4040"/>
        </w:tcBorders>
      </w:tcPr>
    </w:tblStylePr>
  </w:style>
  <w:style w:type="table" w:customStyle="1" w:styleId="GridTable7Colorful-Accent32">
    <w:name w:val="Grid Table 7 Colorful - Accent 32"/>
    <w:basedOn w:val="TableNormal"/>
    <w:next w:val="GridTable7ColorfulAccent3"/>
    <w:uiPriority w:val="52"/>
    <w:rsid w:val="00A8059F"/>
    <w:rPr>
      <w:color w:val="424242"/>
    </w:rPr>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insideV w:val="single" w:sz="4" w:space="0" w:color="9B9B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bottom w:val="single" w:sz="4" w:space="0" w:color="9B9B9B"/>
        </w:tcBorders>
      </w:tcPr>
    </w:tblStylePr>
    <w:tblStylePr w:type="nwCell">
      <w:tblPr/>
      <w:tcPr>
        <w:tcBorders>
          <w:bottom w:val="single" w:sz="4" w:space="0" w:color="9B9B9B"/>
        </w:tcBorders>
      </w:tcPr>
    </w:tblStylePr>
    <w:tblStylePr w:type="seCell">
      <w:tblPr/>
      <w:tcPr>
        <w:tcBorders>
          <w:top w:val="single" w:sz="4" w:space="0" w:color="9B9B9B"/>
        </w:tcBorders>
      </w:tcPr>
    </w:tblStylePr>
    <w:tblStylePr w:type="swCell">
      <w:tblPr/>
      <w:tcPr>
        <w:tcBorders>
          <w:top w:val="single" w:sz="4" w:space="0" w:color="9B9B9B"/>
        </w:tcBorders>
      </w:tcPr>
    </w:tblStylePr>
  </w:style>
  <w:style w:type="table" w:customStyle="1" w:styleId="GridTable7Colorful-Accent42">
    <w:name w:val="Grid Table 7 Colorful - Accent 42"/>
    <w:basedOn w:val="TableNormal"/>
    <w:next w:val="GridTable7ColorfulAccent4"/>
    <w:uiPriority w:val="52"/>
    <w:rsid w:val="00A8059F"/>
    <w:rPr>
      <w:color w:val="707070"/>
    </w:rPr>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0C0C0"/>
        </w:tcBorders>
      </w:tcPr>
    </w:tblStylePr>
    <w:tblStylePr w:type="nwCell">
      <w:tblPr/>
      <w:tcPr>
        <w:tcBorders>
          <w:bottom w:val="single" w:sz="4" w:space="0" w:color="C0C0C0"/>
        </w:tcBorders>
      </w:tcPr>
    </w:tblStylePr>
    <w:tblStylePr w:type="seCell">
      <w:tblPr/>
      <w:tcPr>
        <w:tcBorders>
          <w:top w:val="single" w:sz="4" w:space="0" w:color="C0C0C0"/>
        </w:tcBorders>
      </w:tcPr>
    </w:tblStylePr>
    <w:tblStylePr w:type="swCell">
      <w:tblPr/>
      <w:tcPr>
        <w:tcBorders>
          <w:top w:val="single" w:sz="4" w:space="0" w:color="C0C0C0"/>
        </w:tcBorders>
      </w:tcPr>
    </w:tblStylePr>
  </w:style>
  <w:style w:type="table" w:customStyle="1" w:styleId="GridTable7Colorful-Accent52">
    <w:name w:val="Grid Table 7 Colorful - Accent 52"/>
    <w:basedOn w:val="TableNormal"/>
    <w:next w:val="GridTable7ColorfulAccent5"/>
    <w:uiPriority w:val="52"/>
    <w:rsid w:val="00A8059F"/>
    <w:rPr>
      <w:color w:val="474747"/>
    </w:rPr>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bottom w:val="single" w:sz="4" w:space="0" w:color="9F9F9F"/>
        </w:tcBorders>
      </w:tcPr>
    </w:tblStylePr>
    <w:tblStylePr w:type="nwCell">
      <w:tblPr/>
      <w:tcPr>
        <w:tcBorders>
          <w:bottom w:val="single" w:sz="4" w:space="0" w:color="9F9F9F"/>
        </w:tcBorders>
      </w:tcPr>
    </w:tblStylePr>
    <w:tblStylePr w:type="seCell">
      <w:tblPr/>
      <w:tcPr>
        <w:tcBorders>
          <w:top w:val="single" w:sz="4" w:space="0" w:color="9F9F9F"/>
        </w:tcBorders>
      </w:tcPr>
    </w:tblStylePr>
    <w:tblStylePr w:type="swCell">
      <w:tblPr/>
      <w:tcPr>
        <w:tcBorders>
          <w:top w:val="single" w:sz="4" w:space="0" w:color="9F9F9F"/>
        </w:tcBorders>
      </w:tcPr>
    </w:tblStylePr>
  </w:style>
  <w:style w:type="table" w:customStyle="1" w:styleId="GridTable7Colorful-Accent62">
    <w:name w:val="Grid Table 7 Colorful - Accent 62"/>
    <w:basedOn w:val="TableNormal"/>
    <w:next w:val="GridTable7ColorfulAccent6"/>
    <w:uiPriority w:val="52"/>
    <w:rsid w:val="00A8059F"/>
    <w:rPr>
      <w:color w:val="393939"/>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bottom w:val="single" w:sz="4" w:space="0" w:color="949494"/>
        </w:tcBorders>
      </w:tcPr>
    </w:tblStylePr>
    <w:tblStylePr w:type="nwCell">
      <w:tblPr/>
      <w:tcPr>
        <w:tcBorders>
          <w:bottom w:val="single" w:sz="4" w:space="0" w:color="949494"/>
        </w:tcBorders>
      </w:tcPr>
    </w:tblStylePr>
    <w:tblStylePr w:type="seCell">
      <w:tblPr/>
      <w:tcPr>
        <w:tcBorders>
          <w:top w:val="single" w:sz="4" w:space="0" w:color="949494"/>
        </w:tcBorders>
      </w:tcPr>
    </w:tblStylePr>
    <w:tblStylePr w:type="swCell">
      <w:tblPr/>
      <w:tcPr>
        <w:tcBorders>
          <w:top w:val="single" w:sz="4" w:space="0" w:color="949494"/>
        </w:tcBorders>
      </w:tcPr>
    </w:tblStylePr>
  </w:style>
  <w:style w:type="table" w:customStyle="1" w:styleId="ListTable32">
    <w:name w:val="List Table 32"/>
    <w:basedOn w:val="TableNormal"/>
    <w:next w:val="ListTable3"/>
    <w:uiPriority w:val="48"/>
    <w:rsid w:val="00A8059F"/>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2">
    <w:name w:val="List Table 3 - Accent 12"/>
    <w:basedOn w:val="TableNormal"/>
    <w:next w:val="ListTable3Accent1"/>
    <w:uiPriority w:val="48"/>
    <w:rsid w:val="00A8059F"/>
    <w:tblPr>
      <w:tblStyleRowBandSize w:val="1"/>
      <w:tblStyleColBandSize w:val="1"/>
      <w:tblBorders>
        <w:top w:val="single" w:sz="4" w:space="0" w:color="0072BC"/>
        <w:left w:val="single" w:sz="4" w:space="0" w:color="0072BC"/>
        <w:bottom w:val="single" w:sz="4" w:space="0" w:color="0072BC"/>
        <w:right w:val="single" w:sz="4" w:space="0" w:color="0072BC"/>
      </w:tblBorders>
    </w:tblPr>
    <w:tblStylePr w:type="firstRow">
      <w:rPr>
        <w:b/>
        <w:bCs/>
        <w:color w:val="FFFFFF"/>
      </w:rPr>
      <w:tblPr/>
      <w:tcPr>
        <w:shd w:val="clear" w:color="auto" w:fill="0072BC"/>
      </w:tcPr>
    </w:tblStylePr>
    <w:tblStylePr w:type="lastRow">
      <w:rPr>
        <w:b/>
        <w:bCs/>
      </w:rPr>
      <w:tblPr/>
      <w:tcPr>
        <w:tcBorders>
          <w:top w:val="double" w:sz="4" w:space="0" w:color="0072B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72BC"/>
          <w:right w:val="single" w:sz="4" w:space="0" w:color="0072BC"/>
        </w:tcBorders>
      </w:tcPr>
    </w:tblStylePr>
    <w:tblStylePr w:type="band1Horz">
      <w:tblPr/>
      <w:tcPr>
        <w:tcBorders>
          <w:top w:val="single" w:sz="4" w:space="0" w:color="0072BC"/>
          <w:bottom w:val="single" w:sz="4" w:space="0" w:color="0072B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left w:val="nil"/>
        </w:tcBorders>
      </w:tcPr>
    </w:tblStylePr>
    <w:tblStylePr w:type="swCell">
      <w:tblPr/>
      <w:tcPr>
        <w:tcBorders>
          <w:top w:val="double" w:sz="4" w:space="0" w:color="0072BC"/>
          <w:right w:val="nil"/>
        </w:tcBorders>
      </w:tcPr>
    </w:tblStylePr>
  </w:style>
  <w:style w:type="table" w:customStyle="1" w:styleId="ListTable3-Accent22">
    <w:name w:val="List Table 3 - Accent 22"/>
    <w:basedOn w:val="TableNormal"/>
    <w:next w:val="ListTable3Accent2"/>
    <w:uiPriority w:val="48"/>
    <w:rsid w:val="00A8059F"/>
    <w:tblPr>
      <w:tblStyleRowBandSize w:val="1"/>
      <w:tblStyleColBandSize w:val="1"/>
      <w:tblBorders>
        <w:top w:val="single" w:sz="4" w:space="0" w:color="C00000"/>
        <w:left w:val="single" w:sz="4" w:space="0" w:color="C00000"/>
        <w:bottom w:val="single" w:sz="4" w:space="0" w:color="C00000"/>
        <w:right w:val="single" w:sz="4" w:space="0" w:color="C00000"/>
      </w:tblBorders>
    </w:tblPr>
    <w:tblStylePr w:type="firstRow">
      <w:rPr>
        <w:b/>
        <w:bCs/>
        <w:color w:val="FFFFFF"/>
      </w:rPr>
      <w:tblPr/>
      <w:tcPr>
        <w:shd w:val="clear" w:color="auto" w:fill="C00000"/>
      </w:tcPr>
    </w:tblStylePr>
    <w:tblStylePr w:type="lastRow">
      <w:rPr>
        <w:b/>
        <w:bCs/>
      </w:rPr>
      <w:tblPr/>
      <w:tcPr>
        <w:tcBorders>
          <w:top w:val="double" w:sz="4" w:space="0" w:color="C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0000"/>
          <w:right w:val="single" w:sz="4" w:space="0" w:color="C00000"/>
        </w:tcBorders>
      </w:tcPr>
    </w:tblStylePr>
    <w:tblStylePr w:type="band1Horz">
      <w:tblPr/>
      <w:tcPr>
        <w:tcBorders>
          <w:top w:val="single" w:sz="4" w:space="0" w:color="C00000"/>
          <w:bottom w:val="single" w:sz="4" w:space="0" w:color="C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left w:val="nil"/>
        </w:tcBorders>
      </w:tcPr>
    </w:tblStylePr>
    <w:tblStylePr w:type="swCell">
      <w:tblPr/>
      <w:tcPr>
        <w:tcBorders>
          <w:top w:val="double" w:sz="4" w:space="0" w:color="C00000"/>
          <w:right w:val="nil"/>
        </w:tcBorders>
      </w:tcPr>
    </w:tblStylePr>
  </w:style>
  <w:style w:type="table" w:customStyle="1" w:styleId="ListTable3-Accent32">
    <w:name w:val="List Table 3 - Accent 32"/>
    <w:basedOn w:val="TableNormal"/>
    <w:next w:val="ListTable3Accent3"/>
    <w:uiPriority w:val="48"/>
    <w:rsid w:val="00A8059F"/>
    <w:tblPr>
      <w:tblStyleRowBandSize w:val="1"/>
      <w:tblStyleColBandSize w:val="1"/>
      <w:tblBorders>
        <w:top w:val="single" w:sz="4" w:space="0" w:color="595959"/>
        <w:left w:val="single" w:sz="4" w:space="0" w:color="595959"/>
        <w:bottom w:val="single" w:sz="4" w:space="0" w:color="595959"/>
        <w:right w:val="single" w:sz="4" w:space="0" w:color="595959"/>
      </w:tblBorders>
    </w:tblPr>
    <w:tblStylePr w:type="firstRow">
      <w:rPr>
        <w:b/>
        <w:bCs/>
        <w:color w:val="FFFFFF"/>
      </w:rPr>
      <w:tblPr/>
      <w:tcPr>
        <w:shd w:val="clear" w:color="auto" w:fill="595959"/>
      </w:tcPr>
    </w:tblStylePr>
    <w:tblStylePr w:type="lastRow">
      <w:rPr>
        <w:b/>
        <w:bCs/>
      </w:rPr>
      <w:tblPr/>
      <w:tcPr>
        <w:tcBorders>
          <w:top w:val="double" w:sz="4" w:space="0" w:color="5959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95959"/>
          <w:right w:val="single" w:sz="4" w:space="0" w:color="595959"/>
        </w:tcBorders>
      </w:tcPr>
    </w:tblStylePr>
    <w:tblStylePr w:type="band1Horz">
      <w:tblPr/>
      <w:tcPr>
        <w:tcBorders>
          <w:top w:val="single" w:sz="4" w:space="0" w:color="595959"/>
          <w:bottom w:val="single" w:sz="4" w:space="0" w:color="5959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left w:val="nil"/>
        </w:tcBorders>
      </w:tcPr>
    </w:tblStylePr>
    <w:tblStylePr w:type="swCell">
      <w:tblPr/>
      <w:tcPr>
        <w:tcBorders>
          <w:top w:val="double" w:sz="4" w:space="0" w:color="595959"/>
          <w:right w:val="nil"/>
        </w:tcBorders>
      </w:tcPr>
    </w:tblStylePr>
  </w:style>
  <w:style w:type="table" w:customStyle="1" w:styleId="ListTable3-Accent42">
    <w:name w:val="List Table 3 - Accent 42"/>
    <w:basedOn w:val="TableNormal"/>
    <w:next w:val="ListTable3Accent4"/>
    <w:uiPriority w:val="48"/>
    <w:rsid w:val="00A8059F"/>
    <w:tblPr>
      <w:tblStyleRowBandSize w:val="1"/>
      <w:tblStyleColBandSize w:val="1"/>
      <w:tblBorders>
        <w:top w:val="single" w:sz="4" w:space="0" w:color="969696"/>
        <w:left w:val="single" w:sz="4" w:space="0" w:color="969696"/>
        <w:bottom w:val="single" w:sz="4" w:space="0" w:color="969696"/>
        <w:right w:val="single" w:sz="4" w:space="0" w:color="969696"/>
      </w:tblBorders>
    </w:tblPr>
    <w:tblStylePr w:type="firstRow">
      <w:rPr>
        <w:b/>
        <w:bCs/>
        <w:color w:val="FFFFFF"/>
      </w:rPr>
      <w:tblPr/>
      <w:tcPr>
        <w:shd w:val="clear" w:color="auto" w:fill="969696"/>
      </w:tcPr>
    </w:tblStylePr>
    <w:tblStylePr w:type="lastRow">
      <w:rPr>
        <w:b/>
        <w:bCs/>
      </w:rPr>
      <w:tblPr/>
      <w:tcPr>
        <w:tcBorders>
          <w:top w:val="double" w:sz="4" w:space="0" w:color="96969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69696"/>
          <w:right w:val="single" w:sz="4" w:space="0" w:color="969696"/>
        </w:tcBorders>
      </w:tcPr>
    </w:tblStylePr>
    <w:tblStylePr w:type="band1Horz">
      <w:tblPr/>
      <w:tcPr>
        <w:tcBorders>
          <w:top w:val="single" w:sz="4" w:space="0" w:color="969696"/>
          <w:bottom w:val="single" w:sz="4" w:space="0" w:color="96969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left w:val="nil"/>
        </w:tcBorders>
      </w:tcPr>
    </w:tblStylePr>
    <w:tblStylePr w:type="swCell">
      <w:tblPr/>
      <w:tcPr>
        <w:tcBorders>
          <w:top w:val="double" w:sz="4" w:space="0" w:color="969696"/>
          <w:right w:val="nil"/>
        </w:tcBorders>
      </w:tcPr>
    </w:tblStylePr>
  </w:style>
  <w:style w:type="table" w:customStyle="1" w:styleId="ListTable3-Accent52">
    <w:name w:val="List Table 3 - Accent 52"/>
    <w:basedOn w:val="TableNormal"/>
    <w:next w:val="ListTable3Accent5"/>
    <w:uiPriority w:val="48"/>
    <w:rsid w:val="00A8059F"/>
    <w:tblPr>
      <w:tblStyleRowBandSize w:val="1"/>
      <w:tblStyleColBandSize w:val="1"/>
      <w:tblBorders>
        <w:top w:val="single" w:sz="4" w:space="0" w:color="5F5F5F"/>
        <w:left w:val="single" w:sz="4" w:space="0" w:color="5F5F5F"/>
        <w:bottom w:val="single" w:sz="4" w:space="0" w:color="5F5F5F"/>
        <w:right w:val="single" w:sz="4" w:space="0" w:color="5F5F5F"/>
      </w:tblBorders>
    </w:tblPr>
    <w:tblStylePr w:type="firstRow">
      <w:rPr>
        <w:b/>
        <w:bCs/>
        <w:color w:val="FFFFFF"/>
      </w:rPr>
      <w:tblPr/>
      <w:tcPr>
        <w:shd w:val="clear" w:color="auto" w:fill="5F5F5F"/>
      </w:tcPr>
    </w:tblStylePr>
    <w:tblStylePr w:type="lastRow">
      <w:rPr>
        <w:b/>
        <w:bCs/>
      </w:rPr>
      <w:tblPr/>
      <w:tcPr>
        <w:tcBorders>
          <w:top w:val="double" w:sz="4" w:space="0" w:color="5F5F5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F5F5F"/>
          <w:right w:val="single" w:sz="4" w:space="0" w:color="5F5F5F"/>
        </w:tcBorders>
      </w:tcPr>
    </w:tblStylePr>
    <w:tblStylePr w:type="band1Horz">
      <w:tblPr/>
      <w:tcPr>
        <w:tcBorders>
          <w:top w:val="single" w:sz="4" w:space="0" w:color="5F5F5F"/>
          <w:bottom w:val="single" w:sz="4" w:space="0" w:color="5F5F5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left w:val="nil"/>
        </w:tcBorders>
      </w:tcPr>
    </w:tblStylePr>
    <w:tblStylePr w:type="swCell">
      <w:tblPr/>
      <w:tcPr>
        <w:tcBorders>
          <w:top w:val="double" w:sz="4" w:space="0" w:color="5F5F5F"/>
          <w:right w:val="nil"/>
        </w:tcBorders>
      </w:tcPr>
    </w:tblStylePr>
  </w:style>
  <w:style w:type="table" w:customStyle="1" w:styleId="ListTable3-Accent62">
    <w:name w:val="List Table 3 - Accent 62"/>
    <w:basedOn w:val="TableNormal"/>
    <w:next w:val="ListTable3Accent6"/>
    <w:uiPriority w:val="48"/>
    <w:rsid w:val="00A8059F"/>
    <w:tblPr>
      <w:tblStyleRowBandSize w:val="1"/>
      <w:tblStyleColBandSize w:val="1"/>
      <w:tblBorders>
        <w:top w:val="single" w:sz="4" w:space="0" w:color="4D4D4D"/>
        <w:left w:val="single" w:sz="4" w:space="0" w:color="4D4D4D"/>
        <w:bottom w:val="single" w:sz="4" w:space="0" w:color="4D4D4D"/>
        <w:right w:val="single" w:sz="4" w:space="0" w:color="4D4D4D"/>
      </w:tblBorders>
    </w:tblPr>
    <w:tblStylePr w:type="firstRow">
      <w:rPr>
        <w:b/>
        <w:bCs/>
        <w:color w:val="FFFFFF"/>
      </w:rPr>
      <w:tblPr/>
      <w:tcPr>
        <w:shd w:val="clear" w:color="auto" w:fill="4D4D4D"/>
      </w:tcPr>
    </w:tblStylePr>
    <w:tblStylePr w:type="lastRow">
      <w:rPr>
        <w:b/>
        <w:bCs/>
      </w:rPr>
      <w:tblPr/>
      <w:tcPr>
        <w:tcBorders>
          <w:top w:val="double" w:sz="4" w:space="0" w:color="4D4D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D4D4D"/>
          <w:right w:val="single" w:sz="4" w:space="0" w:color="4D4D4D"/>
        </w:tcBorders>
      </w:tcPr>
    </w:tblStylePr>
    <w:tblStylePr w:type="band1Horz">
      <w:tblPr/>
      <w:tcPr>
        <w:tcBorders>
          <w:top w:val="single" w:sz="4" w:space="0" w:color="4D4D4D"/>
          <w:bottom w:val="single" w:sz="4" w:space="0" w:color="4D4D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left w:val="nil"/>
        </w:tcBorders>
      </w:tcPr>
    </w:tblStylePr>
    <w:tblStylePr w:type="swCell">
      <w:tblPr/>
      <w:tcPr>
        <w:tcBorders>
          <w:top w:val="double" w:sz="4" w:space="0" w:color="4D4D4D"/>
          <w:right w:val="nil"/>
        </w:tcBorders>
      </w:tcPr>
    </w:tblStylePr>
  </w:style>
  <w:style w:type="table" w:customStyle="1" w:styleId="ListTable42">
    <w:name w:val="List Table 42"/>
    <w:basedOn w:val="TableNormal"/>
    <w:next w:val="ListTable4"/>
    <w:uiPriority w:val="49"/>
    <w:rsid w:val="00A8059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2">
    <w:name w:val="List Table 4 - Accent 12"/>
    <w:basedOn w:val="TableNormal"/>
    <w:next w:val="ListTable4Accent1"/>
    <w:uiPriority w:val="49"/>
    <w:rsid w:val="00A8059F"/>
    <w:tblPr>
      <w:tblStyleRowBandSize w:val="1"/>
      <w:tblStyleColBandSize w:val="1"/>
      <w:tblBorders>
        <w:top w:val="single" w:sz="4" w:space="0" w:color="3DB2FF"/>
        <w:left w:val="single" w:sz="4" w:space="0" w:color="3DB2FF"/>
        <w:bottom w:val="single" w:sz="4" w:space="0" w:color="3DB2FF"/>
        <w:right w:val="single" w:sz="4" w:space="0" w:color="3DB2FF"/>
        <w:insideH w:val="single" w:sz="4" w:space="0" w:color="3DB2FF"/>
      </w:tblBorders>
    </w:tblPr>
    <w:tblStylePr w:type="firstRow">
      <w:rPr>
        <w:b/>
        <w:bCs/>
        <w:color w:val="FFFFFF"/>
      </w:rPr>
      <w:tblPr/>
      <w:tcPr>
        <w:tcBorders>
          <w:top w:val="single" w:sz="4" w:space="0" w:color="0072BC"/>
          <w:left w:val="single" w:sz="4" w:space="0" w:color="0072BC"/>
          <w:bottom w:val="single" w:sz="4" w:space="0" w:color="0072BC"/>
          <w:right w:val="single" w:sz="4" w:space="0" w:color="0072BC"/>
          <w:insideH w:val="nil"/>
        </w:tcBorders>
        <w:shd w:val="clear" w:color="auto" w:fill="0072BC"/>
      </w:tcPr>
    </w:tblStylePr>
    <w:tblStylePr w:type="lastRow">
      <w:rPr>
        <w:b/>
        <w:bCs/>
      </w:rPr>
      <w:tblPr/>
      <w:tcPr>
        <w:tcBorders>
          <w:top w:val="double" w:sz="4" w:space="0" w:color="3DB2FF"/>
        </w:tcBorders>
      </w:tcPr>
    </w:tblStylePr>
    <w:tblStylePr w:type="firstCol">
      <w:rPr>
        <w:b/>
        <w:bCs/>
      </w:rPr>
    </w:tblStylePr>
    <w:tblStylePr w:type="lastCol">
      <w:rPr>
        <w:b/>
        <w:bCs/>
      </w:rPr>
    </w:tblStylePr>
    <w:tblStylePr w:type="band1Vert">
      <w:tblPr/>
      <w:tcPr>
        <w:shd w:val="clear" w:color="auto" w:fill="BEE5FF"/>
      </w:tcPr>
    </w:tblStylePr>
    <w:tblStylePr w:type="band1Horz">
      <w:tblPr/>
      <w:tcPr>
        <w:shd w:val="clear" w:color="auto" w:fill="BEE5FF"/>
      </w:tcPr>
    </w:tblStylePr>
  </w:style>
  <w:style w:type="table" w:customStyle="1" w:styleId="ListTable4-Accent22">
    <w:name w:val="List Table 4 - Accent 22"/>
    <w:basedOn w:val="TableNormal"/>
    <w:next w:val="ListTable4Accent2"/>
    <w:uiPriority w:val="49"/>
    <w:rsid w:val="00A8059F"/>
    <w:tblPr>
      <w:tblStyleRowBandSize w:val="1"/>
      <w:tblStyleColBandSize w:val="1"/>
      <w:tblBorders>
        <w:top w:val="single" w:sz="4" w:space="0" w:color="FF4040"/>
        <w:left w:val="single" w:sz="4" w:space="0" w:color="FF4040"/>
        <w:bottom w:val="single" w:sz="4" w:space="0" w:color="FF4040"/>
        <w:right w:val="single" w:sz="4" w:space="0" w:color="FF4040"/>
        <w:insideH w:val="single" w:sz="4" w:space="0" w:color="FF4040"/>
      </w:tblBorders>
    </w:tblPr>
    <w:tblStylePr w:type="firstRow">
      <w:rPr>
        <w:b/>
        <w:bCs/>
        <w:color w:val="FFFFFF"/>
      </w:rPr>
      <w:tblPr/>
      <w:tcPr>
        <w:tcBorders>
          <w:top w:val="single" w:sz="4" w:space="0" w:color="C00000"/>
          <w:left w:val="single" w:sz="4" w:space="0" w:color="C00000"/>
          <w:bottom w:val="single" w:sz="4" w:space="0" w:color="C00000"/>
          <w:right w:val="single" w:sz="4" w:space="0" w:color="C00000"/>
          <w:insideH w:val="nil"/>
        </w:tcBorders>
        <w:shd w:val="clear" w:color="auto" w:fill="C00000"/>
      </w:tcPr>
    </w:tblStylePr>
    <w:tblStylePr w:type="lastRow">
      <w:rPr>
        <w:b/>
        <w:bCs/>
      </w:rPr>
      <w:tblPr/>
      <w:tcPr>
        <w:tcBorders>
          <w:top w:val="double" w:sz="4" w:space="0" w:color="FF4040"/>
        </w:tcBorders>
      </w:tcPr>
    </w:tblStylePr>
    <w:tblStylePr w:type="firstCol">
      <w:rPr>
        <w:b/>
        <w:bCs/>
      </w:rPr>
    </w:tblStylePr>
    <w:tblStylePr w:type="lastCol">
      <w:rPr>
        <w:b/>
        <w:bCs/>
      </w:rPr>
    </w:tblStylePr>
    <w:tblStylePr w:type="band1Vert">
      <w:tblPr/>
      <w:tcPr>
        <w:shd w:val="clear" w:color="auto" w:fill="FFBFBF"/>
      </w:tcPr>
    </w:tblStylePr>
    <w:tblStylePr w:type="band1Horz">
      <w:tblPr/>
      <w:tcPr>
        <w:shd w:val="clear" w:color="auto" w:fill="FFBFBF"/>
      </w:tcPr>
    </w:tblStylePr>
  </w:style>
  <w:style w:type="table" w:customStyle="1" w:styleId="ListTable4-Accent32">
    <w:name w:val="List Table 4 - Accent 32"/>
    <w:basedOn w:val="TableNormal"/>
    <w:next w:val="ListTable4Accent3"/>
    <w:uiPriority w:val="49"/>
    <w:rsid w:val="00A8059F"/>
    <w:tblPr>
      <w:tblStyleRowBandSize w:val="1"/>
      <w:tblStyleColBandSize w:val="1"/>
      <w:tblBorders>
        <w:top w:val="single" w:sz="4" w:space="0" w:color="9B9B9B"/>
        <w:left w:val="single" w:sz="4" w:space="0" w:color="9B9B9B"/>
        <w:bottom w:val="single" w:sz="4" w:space="0" w:color="9B9B9B"/>
        <w:right w:val="single" w:sz="4" w:space="0" w:color="9B9B9B"/>
        <w:insideH w:val="single" w:sz="4" w:space="0" w:color="9B9B9B"/>
      </w:tblBorders>
    </w:tblPr>
    <w:tblStylePr w:type="firstRow">
      <w:rPr>
        <w:b/>
        <w:bCs/>
        <w:color w:val="FFFFFF"/>
      </w:rPr>
      <w:tblPr/>
      <w:tcPr>
        <w:tcBorders>
          <w:top w:val="single" w:sz="4" w:space="0" w:color="595959"/>
          <w:left w:val="single" w:sz="4" w:space="0" w:color="595959"/>
          <w:bottom w:val="single" w:sz="4" w:space="0" w:color="595959"/>
          <w:right w:val="single" w:sz="4" w:space="0" w:color="595959"/>
          <w:insideH w:val="nil"/>
        </w:tcBorders>
        <w:shd w:val="clear" w:color="auto" w:fill="595959"/>
      </w:tcPr>
    </w:tblStylePr>
    <w:tblStylePr w:type="lastRow">
      <w:rPr>
        <w:b/>
        <w:bCs/>
      </w:rPr>
      <w:tblPr/>
      <w:tcPr>
        <w:tcBorders>
          <w:top w:val="double" w:sz="4" w:space="0" w:color="9B9B9B"/>
        </w:tcBorders>
      </w:tcPr>
    </w:tblStylePr>
    <w:tblStylePr w:type="firstCol">
      <w:rPr>
        <w:b/>
        <w:bCs/>
      </w:rPr>
    </w:tblStylePr>
    <w:tblStylePr w:type="lastCol">
      <w:rPr>
        <w:b/>
        <w:bCs/>
      </w:rPr>
    </w:tblStylePr>
    <w:tblStylePr w:type="band1Vert">
      <w:tblPr/>
      <w:tcPr>
        <w:shd w:val="clear" w:color="auto" w:fill="DDDDDD"/>
      </w:tcPr>
    </w:tblStylePr>
    <w:tblStylePr w:type="band1Horz">
      <w:tblPr/>
      <w:tcPr>
        <w:shd w:val="clear" w:color="auto" w:fill="DDDDDD"/>
      </w:tcPr>
    </w:tblStylePr>
  </w:style>
  <w:style w:type="table" w:customStyle="1" w:styleId="ListTable4-Accent42">
    <w:name w:val="List Table 4 - Accent 42"/>
    <w:basedOn w:val="TableNormal"/>
    <w:next w:val="ListTable4Accent4"/>
    <w:uiPriority w:val="49"/>
    <w:rsid w:val="00A8059F"/>
    <w:tblPr>
      <w:tblStyleRowBandSize w:val="1"/>
      <w:tblStyleColBandSize w:val="1"/>
      <w:tblBorders>
        <w:top w:val="single" w:sz="4" w:space="0" w:color="C0C0C0"/>
        <w:left w:val="single" w:sz="4" w:space="0" w:color="C0C0C0"/>
        <w:bottom w:val="single" w:sz="4" w:space="0" w:color="C0C0C0"/>
        <w:right w:val="single" w:sz="4" w:space="0" w:color="C0C0C0"/>
        <w:insideH w:val="single" w:sz="4" w:space="0" w:color="C0C0C0"/>
      </w:tblBorders>
    </w:tblPr>
    <w:tblStylePr w:type="firstRow">
      <w:rPr>
        <w:b/>
        <w:bCs/>
        <w:color w:val="FFFFFF"/>
      </w:rPr>
      <w:tblPr/>
      <w:tcPr>
        <w:tcBorders>
          <w:top w:val="single" w:sz="4" w:space="0" w:color="969696"/>
          <w:left w:val="single" w:sz="4" w:space="0" w:color="969696"/>
          <w:bottom w:val="single" w:sz="4" w:space="0" w:color="969696"/>
          <w:right w:val="single" w:sz="4" w:space="0" w:color="969696"/>
          <w:insideH w:val="nil"/>
        </w:tcBorders>
        <w:shd w:val="clear" w:color="auto" w:fill="969696"/>
      </w:tcPr>
    </w:tblStylePr>
    <w:tblStylePr w:type="lastRow">
      <w:rPr>
        <w:b/>
        <w:bCs/>
      </w:rPr>
      <w:tblPr/>
      <w:tcPr>
        <w:tcBorders>
          <w:top w:val="double" w:sz="4" w:space="0" w:color="C0C0C0"/>
        </w:tcBorders>
      </w:tcPr>
    </w:tblStylePr>
    <w:tblStylePr w:type="firstCol">
      <w:rPr>
        <w:b/>
        <w:bCs/>
      </w:rPr>
    </w:tblStylePr>
    <w:tblStylePr w:type="lastCol">
      <w:rPr>
        <w:b/>
        <w:bCs/>
      </w:rPr>
    </w:tblStylePr>
    <w:tblStylePr w:type="band1Vert">
      <w:tblPr/>
      <w:tcPr>
        <w:shd w:val="clear" w:color="auto" w:fill="EAEAEA"/>
      </w:tcPr>
    </w:tblStylePr>
    <w:tblStylePr w:type="band1Horz">
      <w:tblPr/>
      <w:tcPr>
        <w:shd w:val="clear" w:color="auto" w:fill="EAEAEA"/>
      </w:tcPr>
    </w:tblStylePr>
  </w:style>
  <w:style w:type="table" w:customStyle="1" w:styleId="ListTable4-Accent52">
    <w:name w:val="List Table 4 - Accent 52"/>
    <w:basedOn w:val="TableNormal"/>
    <w:next w:val="ListTable4Accent5"/>
    <w:uiPriority w:val="49"/>
    <w:rsid w:val="00A8059F"/>
    <w:tblPr>
      <w:tblStyleRowBandSize w:val="1"/>
      <w:tblStyleColBandSize w:val="1"/>
      <w:tblBorders>
        <w:top w:val="single" w:sz="4" w:space="0" w:color="9F9F9F"/>
        <w:left w:val="single" w:sz="4" w:space="0" w:color="9F9F9F"/>
        <w:bottom w:val="single" w:sz="4" w:space="0" w:color="9F9F9F"/>
        <w:right w:val="single" w:sz="4" w:space="0" w:color="9F9F9F"/>
        <w:insideH w:val="single" w:sz="4" w:space="0" w:color="9F9F9F"/>
      </w:tblBorders>
    </w:tblPr>
    <w:tblStylePr w:type="firstRow">
      <w:rPr>
        <w:b/>
        <w:bCs/>
        <w:color w:val="FFFFFF"/>
      </w:rPr>
      <w:tblPr/>
      <w:tcPr>
        <w:tcBorders>
          <w:top w:val="single" w:sz="4" w:space="0" w:color="5F5F5F"/>
          <w:left w:val="single" w:sz="4" w:space="0" w:color="5F5F5F"/>
          <w:bottom w:val="single" w:sz="4" w:space="0" w:color="5F5F5F"/>
          <w:right w:val="single" w:sz="4" w:space="0" w:color="5F5F5F"/>
          <w:insideH w:val="nil"/>
        </w:tcBorders>
        <w:shd w:val="clear" w:color="auto" w:fill="5F5F5F"/>
      </w:tcPr>
    </w:tblStylePr>
    <w:tblStylePr w:type="lastRow">
      <w:rPr>
        <w:b/>
        <w:bCs/>
      </w:rPr>
      <w:tblPr/>
      <w:tcPr>
        <w:tcBorders>
          <w:top w:val="double" w:sz="4" w:space="0" w:color="9F9F9F"/>
        </w:tcBorders>
      </w:tcPr>
    </w:tblStylePr>
    <w:tblStylePr w:type="firstCol">
      <w:rPr>
        <w:b/>
        <w:bCs/>
      </w:rPr>
    </w:tblStylePr>
    <w:tblStylePr w:type="lastCol">
      <w:rPr>
        <w:b/>
        <w:bCs/>
      </w:rPr>
    </w:tblStylePr>
    <w:tblStylePr w:type="band1Vert">
      <w:tblPr/>
      <w:tcPr>
        <w:shd w:val="clear" w:color="auto" w:fill="DFDFDF"/>
      </w:tcPr>
    </w:tblStylePr>
    <w:tblStylePr w:type="band1Horz">
      <w:tblPr/>
      <w:tcPr>
        <w:shd w:val="clear" w:color="auto" w:fill="DFDFDF"/>
      </w:tcPr>
    </w:tblStylePr>
  </w:style>
  <w:style w:type="table" w:customStyle="1" w:styleId="ListTable4-Accent62">
    <w:name w:val="List Table 4 - Accent 62"/>
    <w:basedOn w:val="TableNormal"/>
    <w:next w:val="ListTable4Accent6"/>
    <w:uiPriority w:val="49"/>
    <w:rsid w:val="00A8059F"/>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tblBorders>
    </w:tblPr>
    <w:tblStylePr w:type="firstRow">
      <w:rPr>
        <w:b/>
        <w:bCs/>
        <w:color w:val="FFFFFF"/>
      </w:rPr>
      <w:tblPr/>
      <w:tcPr>
        <w:tcBorders>
          <w:top w:val="single" w:sz="4" w:space="0" w:color="4D4D4D"/>
          <w:left w:val="single" w:sz="4" w:space="0" w:color="4D4D4D"/>
          <w:bottom w:val="single" w:sz="4" w:space="0" w:color="4D4D4D"/>
          <w:right w:val="single" w:sz="4" w:space="0" w:color="4D4D4D"/>
          <w:insideH w:val="nil"/>
        </w:tcBorders>
        <w:shd w:val="clear" w:color="auto" w:fill="4D4D4D"/>
      </w:tcPr>
    </w:tblStylePr>
    <w:tblStylePr w:type="lastRow">
      <w:rPr>
        <w:b/>
        <w:bCs/>
      </w:rPr>
      <w:tblPr/>
      <w:tcPr>
        <w:tcBorders>
          <w:top w:val="double" w:sz="4" w:space="0" w:color="949494"/>
        </w:tcBorders>
      </w:tcPr>
    </w:tblStylePr>
    <w:tblStylePr w:type="firstCol">
      <w:rPr>
        <w:b/>
        <w:bCs/>
      </w:rPr>
    </w:tblStylePr>
    <w:tblStylePr w:type="lastCol">
      <w:rPr>
        <w:b/>
        <w:bCs/>
      </w:rPr>
    </w:tblStylePr>
    <w:tblStylePr w:type="band1Vert">
      <w:tblPr/>
      <w:tcPr>
        <w:shd w:val="clear" w:color="auto" w:fill="DBDBDB"/>
      </w:tcPr>
    </w:tblStylePr>
    <w:tblStylePr w:type="band1Horz">
      <w:tblPr/>
      <w:tcPr>
        <w:shd w:val="clear" w:color="auto" w:fill="DBDBDB"/>
      </w:tcPr>
    </w:tblStylePr>
  </w:style>
  <w:style w:type="table" w:customStyle="1" w:styleId="ListTable5Dark2">
    <w:name w:val="List Table 5 Dark2"/>
    <w:basedOn w:val="TableNormal"/>
    <w:next w:val="ListTable5Dark"/>
    <w:uiPriority w:val="50"/>
    <w:rsid w:val="00A8059F"/>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next w:val="ListTable5DarkAccent1"/>
    <w:uiPriority w:val="50"/>
    <w:rsid w:val="00A8059F"/>
    <w:rPr>
      <w:color w:val="FFFFFF"/>
    </w:rPr>
    <w:tblPr>
      <w:tblStyleRowBandSize w:val="1"/>
      <w:tblStyleColBandSize w:val="1"/>
      <w:tblBorders>
        <w:top w:val="single" w:sz="24" w:space="0" w:color="0072BC"/>
        <w:left w:val="single" w:sz="24" w:space="0" w:color="0072BC"/>
        <w:bottom w:val="single" w:sz="24" w:space="0" w:color="0072BC"/>
        <w:right w:val="single" w:sz="24" w:space="0" w:color="0072BC"/>
      </w:tblBorders>
    </w:tblPr>
    <w:tcPr>
      <w:shd w:val="clear" w:color="auto" w:fill="0072B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next w:val="ListTable5DarkAccent2"/>
    <w:uiPriority w:val="50"/>
    <w:rsid w:val="00A8059F"/>
    <w:rPr>
      <w:color w:val="FFFFFF"/>
    </w:rPr>
    <w:tblPr>
      <w:tblStyleRowBandSize w:val="1"/>
      <w:tblStyleColBandSize w:val="1"/>
      <w:tblBorders>
        <w:top w:val="single" w:sz="24" w:space="0" w:color="C00000"/>
        <w:left w:val="single" w:sz="24" w:space="0" w:color="C00000"/>
        <w:bottom w:val="single" w:sz="24" w:space="0" w:color="C00000"/>
        <w:right w:val="single" w:sz="24" w:space="0" w:color="C00000"/>
      </w:tblBorders>
    </w:tblPr>
    <w:tcPr>
      <w:shd w:val="clear" w:color="auto" w:fill="C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next w:val="ListTable5DarkAccent3"/>
    <w:uiPriority w:val="50"/>
    <w:rsid w:val="00A8059F"/>
    <w:rPr>
      <w:color w:val="FFFFFF"/>
    </w:rPr>
    <w:tblPr>
      <w:tblStyleRowBandSize w:val="1"/>
      <w:tblStyleColBandSize w:val="1"/>
      <w:tblBorders>
        <w:top w:val="single" w:sz="24" w:space="0" w:color="595959"/>
        <w:left w:val="single" w:sz="24" w:space="0" w:color="595959"/>
        <w:bottom w:val="single" w:sz="24" w:space="0" w:color="595959"/>
        <w:right w:val="single" w:sz="24" w:space="0" w:color="595959"/>
      </w:tblBorders>
    </w:tblPr>
    <w:tcPr>
      <w:shd w:val="clear" w:color="auto" w:fill="5959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next w:val="ListTable5DarkAccent4"/>
    <w:uiPriority w:val="50"/>
    <w:rsid w:val="00A8059F"/>
    <w:rPr>
      <w:color w:val="FFFFFF"/>
    </w:rPr>
    <w:tblPr>
      <w:tblStyleRowBandSize w:val="1"/>
      <w:tblStyleColBandSize w:val="1"/>
      <w:tblBorders>
        <w:top w:val="single" w:sz="24" w:space="0" w:color="969696"/>
        <w:left w:val="single" w:sz="24" w:space="0" w:color="969696"/>
        <w:bottom w:val="single" w:sz="24" w:space="0" w:color="969696"/>
        <w:right w:val="single" w:sz="24" w:space="0" w:color="969696"/>
      </w:tblBorders>
    </w:tblPr>
    <w:tcPr>
      <w:shd w:val="clear" w:color="auto" w:fill="96969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next w:val="ListTable5DarkAccent5"/>
    <w:uiPriority w:val="50"/>
    <w:rsid w:val="00A8059F"/>
    <w:rPr>
      <w:color w:val="FFFFFF"/>
    </w:rPr>
    <w:tblPr>
      <w:tblStyleRowBandSize w:val="1"/>
      <w:tblStyleColBandSize w:val="1"/>
      <w:tblBorders>
        <w:top w:val="single" w:sz="24" w:space="0" w:color="5F5F5F"/>
        <w:left w:val="single" w:sz="24" w:space="0" w:color="5F5F5F"/>
        <w:bottom w:val="single" w:sz="24" w:space="0" w:color="5F5F5F"/>
        <w:right w:val="single" w:sz="24" w:space="0" w:color="5F5F5F"/>
      </w:tblBorders>
    </w:tblPr>
    <w:tcPr>
      <w:shd w:val="clear" w:color="auto" w:fill="5F5F5F"/>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next w:val="ListTable5DarkAccent6"/>
    <w:uiPriority w:val="50"/>
    <w:rsid w:val="00A8059F"/>
    <w:rPr>
      <w:color w:val="FFFFFF"/>
    </w:rPr>
    <w:tblPr>
      <w:tblStyleRowBandSize w:val="1"/>
      <w:tblStyleColBandSize w:val="1"/>
      <w:tblBorders>
        <w:top w:val="single" w:sz="24" w:space="0" w:color="4D4D4D"/>
        <w:left w:val="single" w:sz="24" w:space="0" w:color="4D4D4D"/>
        <w:bottom w:val="single" w:sz="24" w:space="0" w:color="4D4D4D"/>
        <w:right w:val="single" w:sz="24" w:space="0" w:color="4D4D4D"/>
      </w:tblBorders>
    </w:tblPr>
    <w:tcPr>
      <w:shd w:val="clear" w:color="auto" w:fill="4D4D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7Colorful2">
    <w:name w:val="List Table 7 Colorful2"/>
    <w:basedOn w:val="TableNormal"/>
    <w:next w:val="ListTable7Colorful"/>
    <w:uiPriority w:val="52"/>
    <w:rsid w:val="00A8059F"/>
    <w:rPr>
      <w:color w:val="000000"/>
    </w:rPr>
    <w:tblPr>
      <w:tblStyleRowBandSize w:val="1"/>
      <w:tblStyleColBandSize w:val="1"/>
    </w:tblPr>
    <w:tblStylePr w:type="firstRow">
      <w:rPr>
        <w:rFonts w:ascii="Calibri" w:eastAsia="Times New Roman" w:hAnsi="Calibri" w:cs="Times New Roman"/>
        <w:i/>
        <w:iCs/>
        <w:sz w:val="26"/>
      </w:rPr>
      <w:tblPr/>
      <w:tcPr>
        <w:tcBorders>
          <w:bottom w:val="single" w:sz="4" w:space="0" w:color="000000"/>
        </w:tcBorders>
        <w:shd w:val="clear" w:color="auto" w:fill="FFFFFF"/>
      </w:tcPr>
    </w:tblStylePr>
    <w:tblStylePr w:type="lastRow">
      <w:rPr>
        <w:rFonts w:ascii="Calibri" w:eastAsia="Times New Roman" w:hAnsi="Calibri" w:cs="Times New Roman"/>
        <w:i/>
        <w:iCs/>
        <w:sz w:val="26"/>
      </w:rPr>
      <w:tblPr/>
      <w:tcPr>
        <w:tcBorders>
          <w:top w:val="single" w:sz="4" w:space="0" w:color="000000"/>
        </w:tcBorders>
        <w:shd w:val="clear" w:color="auto" w:fill="FFFFFF"/>
      </w:tcPr>
    </w:tblStylePr>
    <w:tblStylePr w:type="firstCol">
      <w:pPr>
        <w:jc w:val="right"/>
      </w:pPr>
      <w:rPr>
        <w:rFonts w:ascii="Calibri" w:eastAsia="Times New Roman" w:hAnsi="Calibri" w:cs="Times New Roman"/>
        <w:i/>
        <w:iCs/>
        <w:sz w:val="26"/>
      </w:rPr>
      <w:tblPr/>
      <w:tcPr>
        <w:tcBorders>
          <w:right w:val="single" w:sz="4" w:space="0" w:color="000000"/>
        </w:tcBorders>
        <w:shd w:val="clear" w:color="auto" w:fill="FFFFFF"/>
      </w:tcPr>
    </w:tblStylePr>
    <w:tblStylePr w:type="lastCol">
      <w:rPr>
        <w:rFonts w:ascii="Calibri" w:eastAsia="Times New Roman"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next w:val="ListTable7ColorfulAccent1"/>
    <w:uiPriority w:val="52"/>
    <w:rsid w:val="00A8059F"/>
    <w:rPr>
      <w:color w:val="00548C"/>
    </w:rPr>
    <w:tblPr>
      <w:tblStyleRowBandSize w:val="1"/>
      <w:tblStyleColBandSize w:val="1"/>
    </w:tblPr>
    <w:tblStylePr w:type="firstRow">
      <w:rPr>
        <w:rFonts w:ascii="Calibri" w:eastAsia="Times New Roman" w:hAnsi="Calibri" w:cs="Times New Roman"/>
        <w:i/>
        <w:iCs/>
        <w:sz w:val="26"/>
      </w:rPr>
      <w:tblPr/>
      <w:tcPr>
        <w:tcBorders>
          <w:bottom w:val="single" w:sz="4" w:space="0" w:color="0072BC"/>
        </w:tcBorders>
        <w:shd w:val="clear" w:color="auto" w:fill="FFFFFF"/>
      </w:tcPr>
    </w:tblStylePr>
    <w:tblStylePr w:type="lastRow">
      <w:rPr>
        <w:rFonts w:ascii="Calibri" w:eastAsia="Times New Roman" w:hAnsi="Calibri" w:cs="Times New Roman"/>
        <w:i/>
        <w:iCs/>
        <w:sz w:val="26"/>
      </w:rPr>
      <w:tblPr/>
      <w:tcPr>
        <w:tcBorders>
          <w:top w:val="single" w:sz="4" w:space="0" w:color="0072BC"/>
        </w:tcBorders>
        <w:shd w:val="clear" w:color="auto" w:fill="FFFFFF"/>
      </w:tcPr>
    </w:tblStylePr>
    <w:tblStylePr w:type="firstCol">
      <w:pPr>
        <w:jc w:val="right"/>
      </w:pPr>
      <w:rPr>
        <w:rFonts w:ascii="Calibri" w:eastAsia="Times New Roman" w:hAnsi="Calibri" w:cs="Times New Roman"/>
        <w:i/>
        <w:iCs/>
        <w:sz w:val="26"/>
      </w:rPr>
      <w:tblPr/>
      <w:tcPr>
        <w:tcBorders>
          <w:right w:val="single" w:sz="4" w:space="0" w:color="0072BC"/>
        </w:tcBorders>
        <w:shd w:val="clear" w:color="auto" w:fill="FFFFFF"/>
      </w:tcPr>
    </w:tblStylePr>
    <w:tblStylePr w:type="lastCol">
      <w:rPr>
        <w:rFonts w:ascii="Calibri" w:eastAsia="Times New Roman" w:hAnsi="Calibri" w:cs="Times New Roman"/>
        <w:i/>
        <w:iCs/>
        <w:sz w:val="26"/>
      </w:rPr>
      <w:tblPr/>
      <w:tcPr>
        <w:tcBorders>
          <w:left w:val="single" w:sz="4" w:space="0" w:color="0072BC"/>
        </w:tcBorders>
        <w:shd w:val="clear" w:color="auto" w:fill="FFFFFF"/>
      </w:tcPr>
    </w:tblStylePr>
    <w:tblStylePr w:type="band1Vert">
      <w:tblPr/>
      <w:tcPr>
        <w:shd w:val="clear" w:color="auto" w:fill="BEE5FF"/>
      </w:tcPr>
    </w:tblStylePr>
    <w:tblStylePr w:type="band1Horz">
      <w:tblPr/>
      <w:tcPr>
        <w:shd w:val="clear" w:color="auto" w:fill="BEE5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next w:val="ListTable7ColorfulAccent2"/>
    <w:uiPriority w:val="52"/>
    <w:rsid w:val="00A8059F"/>
    <w:rPr>
      <w:color w:val="8F0000"/>
    </w:rPr>
    <w:tblPr>
      <w:tblStyleRowBandSize w:val="1"/>
      <w:tblStyleColBandSize w:val="1"/>
    </w:tblPr>
    <w:tblStylePr w:type="firstRow">
      <w:rPr>
        <w:rFonts w:ascii="Calibri" w:eastAsia="Times New Roman" w:hAnsi="Calibri" w:cs="Times New Roman"/>
        <w:i/>
        <w:iCs/>
        <w:sz w:val="26"/>
      </w:rPr>
      <w:tblPr/>
      <w:tcPr>
        <w:tcBorders>
          <w:bottom w:val="single" w:sz="4" w:space="0" w:color="C00000"/>
        </w:tcBorders>
        <w:shd w:val="clear" w:color="auto" w:fill="FFFFFF"/>
      </w:tcPr>
    </w:tblStylePr>
    <w:tblStylePr w:type="lastRow">
      <w:rPr>
        <w:rFonts w:ascii="Calibri" w:eastAsia="Times New Roman" w:hAnsi="Calibri" w:cs="Times New Roman"/>
        <w:i/>
        <w:iCs/>
        <w:sz w:val="26"/>
      </w:rPr>
      <w:tblPr/>
      <w:tcPr>
        <w:tcBorders>
          <w:top w:val="single" w:sz="4" w:space="0" w:color="C00000"/>
        </w:tcBorders>
        <w:shd w:val="clear" w:color="auto" w:fill="FFFFFF"/>
      </w:tcPr>
    </w:tblStylePr>
    <w:tblStylePr w:type="firstCol">
      <w:pPr>
        <w:jc w:val="right"/>
      </w:pPr>
      <w:rPr>
        <w:rFonts w:ascii="Calibri" w:eastAsia="Times New Roman" w:hAnsi="Calibri" w:cs="Times New Roman"/>
        <w:i/>
        <w:iCs/>
        <w:sz w:val="26"/>
      </w:rPr>
      <w:tblPr/>
      <w:tcPr>
        <w:tcBorders>
          <w:right w:val="single" w:sz="4" w:space="0" w:color="C00000"/>
        </w:tcBorders>
        <w:shd w:val="clear" w:color="auto" w:fill="FFFFFF"/>
      </w:tcPr>
    </w:tblStylePr>
    <w:tblStylePr w:type="lastCol">
      <w:rPr>
        <w:rFonts w:ascii="Calibri" w:eastAsia="Times New Roman" w:hAnsi="Calibri" w:cs="Times New Roman"/>
        <w:i/>
        <w:iCs/>
        <w:sz w:val="26"/>
      </w:rPr>
      <w:tblPr/>
      <w:tcPr>
        <w:tcBorders>
          <w:left w:val="single" w:sz="4" w:space="0" w:color="C00000"/>
        </w:tcBorders>
        <w:shd w:val="clear" w:color="auto" w:fill="FFFFFF"/>
      </w:tcPr>
    </w:tblStylePr>
    <w:tblStylePr w:type="band1Vert">
      <w:tblPr/>
      <w:tcPr>
        <w:shd w:val="clear" w:color="auto" w:fill="FFBFBF"/>
      </w:tcPr>
    </w:tblStylePr>
    <w:tblStylePr w:type="band1Horz">
      <w:tblPr/>
      <w:tcPr>
        <w:shd w:val="clear" w:color="auto" w:fill="FFBFB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next w:val="ListTable7ColorfulAccent3"/>
    <w:uiPriority w:val="52"/>
    <w:rsid w:val="00A8059F"/>
    <w:rPr>
      <w:color w:val="424242"/>
    </w:rPr>
    <w:tblPr>
      <w:tblStyleRowBandSize w:val="1"/>
      <w:tblStyleColBandSize w:val="1"/>
    </w:tblPr>
    <w:tblStylePr w:type="firstRow">
      <w:rPr>
        <w:rFonts w:ascii="Calibri" w:eastAsia="Times New Roman" w:hAnsi="Calibri" w:cs="Times New Roman"/>
        <w:i/>
        <w:iCs/>
        <w:sz w:val="26"/>
      </w:rPr>
      <w:tblPr/>
      <w:tcPr>
        <w:tcBorders>
          <w:bottom w:val="single" w:sz="4" w:space="0" w:color="595959"/>
        </w:tcBorders>
        <w:shd w:val="clear" w:color="auto" w:fill="FFFFFF"/>
      </w:tcPr>
    </w:tblStylePr>
    <w:tblStylePr w:type="lastRow">
      <w:rPr>
        <w:rFonts w:ascii="Calibri" w:eastAsia="Times New Roman" w:hAnsi="Calibri" w:cs="Times New Roman"/>
        <w:i/>
        <w:iCs/>
        <w:sz w:val="26"/>
      </w:rPr>
      <w:tblPr/>
      <w:tcPr>
        <w:tcBorders>
          <w:top w:val="single" w:sz="4" w:space="0" w:color="595959"/>
        </w:tcBorders>
        <w:shd w:val="clear" w:color="auto" w:fill="FFFFFF"/>
      </w:tcPr>
    </w:tblStylePr>
    <w:tblStylePr w:type="firstCol">
      <w:pPr>
        <w:jc w:val="right"/>
      </w:pPr>
      <w:rPr>
        <w:rFonts w:ascii="Calibri" w:eastAsia="Times New Roman" w:hAnsi="Calibri" w:cs="Times New Roman"/>
        <w:i/>
        <w:iCs/>
        <w:sz w:val="26"/>
      </w:rPr>
      <w:tblPr/>
      <w:tcPr>
        <w:tcBorders>
          <w:right w:val="single" w:sz="4" w:space="0" w:color="595959"/>
        </w:tcBorders>
        <w:shd w:val="clear" w:color="auto" w:fill="FFFFFF"/>
      </w:tcPr>
    </w:tblStylePr>
    <w:tblStylePr w:type="lastCol">
      <w:rPr>
        <w:rFonts w:ascii="Calibri" w:eastAsia="Times New Roman" w:hAnsi="Calibri" w:cs="Times New Roman"/>
        <w:i/>
        <w:iCs/>
        <w:sz w:val="26"/>
      </w:rPr>
      <w:tblPr/>
      <w:tcPr>
        <w:tcBorders>
          <w:left w:val="single" w:sz="4" w:space="0" w:color="595959"/>
        </w:tcBorders>
        <w:shd w:val="clear" w:color="auto" w:fill="FFFFFF"/>
      </w:tcPr>
    </w:tblStylePr>
    <w:tblStylePr w:type="band1Vert">
      <w:tblPr/>
      <w:tcPr>
        <w:shd w:val="clear" w:color="auto" w:fill="DDDDDD"/>
      </w:tcPr>
    </w:tblStylePr>
    <w:tblStylePr w:type="band1Horz">
      <w:tblPr/>
      <w:tcPr>
        <w:shd w:val="clear" w:color="auto" w:fill="DDDD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next w:val="ListTable7ColorfulAccent4"/>
    <w:uiPriority w:val="52"/>
    <w:rsid w:val="00A8059F"/>
    <w:rPr>
      <w:color w:val="707070"/>
    </w:rPr>
    <w:tblPr>
      <w:tblStyleRowBandSize w:val="1"/>
      <w:tblStyleColBandSize w:val="1"/>
    </w:tblPr>
    <w:tblStylePr w:type="firstRow">
      <w:rPr>
        <w:rFonts w:ascii="Calibri" w:eastAsia="Times New Roman" w:hAnsi="Calibri" w:cs="Times New Roman"/>
        <w:i/>
        <w:iCs/>
        <w:sz w:val="26"/>
      </w:rPr>
      <w:tblPr/>
      <w:tcPr>
        <w:tcBorders>
          <w:bottom w:val="single" w:sz="4" w:space="0" w:color="969696"/>
        </w:tcBorders>
        <w:shd w:val="clear" w:color="auto" w:fill="FFFFFF"/>
      </w:tcPr>
    </w:tblStylePr>
    <w:tblStylePr w:type="lastRow">
      <w:rPr>
        <w:rFonts w:ascii="Calibri" w:eastAsia="Times New Roman" w:hAnsi="Calibri" w:cs="Times New Roman"/>
        <w:i/>
        <w:iCs/>
        <w:sz w:val="26"/>
      </w:rPr>
      <w:tblPr/>
      <w:tcPr>
        <w:tcBorders>
          <w:top w:val="single" w:sz="4" w:space="0" w:color="969696"/>
        </w:tcBorders>
        <w:shd w:val="clear" w:color="auto" w:fill="FFFFFF"/>
      </w:tcPr>
    </w:tblStylePr>
    <w:tblStylePr w:type="firstCol">
      <w:pPr>
        <w:jc w:val="right"/>
      </w:pPr>
      <w:rPr>
        <w:rFonts w:ascii="Calibri" w:eastAsia="Times New Roman" w:hAnsi="Calibri" w:cs="Times New Roman"/>
        <w:i/>
        <w:iCs/>
        <w:sz w:val="26"/>
      </w:rPr>
      <w:tblPr/>
      <w:tcPr>
        <w:tcBorders>
          <w:right w:val="single" w:sz="4" w:space="0" w:color="969696"/>
        </w:tcBorders>
        <w:shd w:val="clear" w:color="auto" w:fill="FFFFFF"/>
      </w:tcPr>
    </w:tblStylePr>
    <w:tblStylePr w:type="lastCol">
      <w:rPr>
        <w:rFonts w:ascii="Calibri" w:eastAsia="Times New Roman" w:hAnsi="Calibri" w:cs="Times New Roman"/>
        <w:i/>
        <w:iCs/>
        <w:sz w:val="26"/>
      </w:rPr>
      <w:tblPr/>
      <w:tcPr>
        <w:tcBorders>
          <w:left w:val="single" w:sz="4" w:space="0" w:color="969696"/>
        </w:tcBorders>
        <w:shd w:val="clear" w:color="auto" w:fill="FFFFFF"/>
      </w:tcPr>
    </w:tblStylePr>
    <w:tblStylePr w:type="band1Vert">
      <w:tblPr/>
      <w:tcPr>
        <w:shd w:val="clear" w:color="auto" w:fill="EAEAEA"/>
      </w:tcPr>
    </w:tblStylePr>
    <w:tblStylePr w:type="band1Horz">
      <w:tblPr/>
      <w:tcPr>
        <w:shd w:val="clear" w:color="auto" w:fill="EAEAE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next w:val="ListTable7ColorfulAccent5"/>
    <w:uiPriority w:val="52"/>
    <w:rsid w:val="00A8059F"/>
    <w:rPr>
      <w:color w:val="474747"/>
    </w:rPr>
    <w:tblPr>
      <w:tblStyleRowBandSize w:val="1"/>
      <w:tblStyleColBandSize w:val="1"/>
    </w:tblPr>
    <w:tblStylePr w:type="firstRow">
      <w:rPr>
        <w:rFonts w:ascii="Calibri" w:eastAsia="Times New Roman" w:hAnsi="Calibri" w:cs="Times New Roman"/>
        <w:i/>
        <w:iCs/>
        <w:sz w:val="26"/>
      </w:rPr>
      <w:tblPr/>
      <w:tcPr>
        <w:tcBorders>
          <w:bottom w:val="single" w:sz="4" w:space="0" w:color="5F5F5F"/>
        </w:tcBorders>
        <w:shd w:val="clear" w:color="auto" w:fill="FFFFFF"/>
      </w:tcPr>
    </w:tblStylePr>
    <w:tblStylePr w:type="lastRow">
      <w:rPr>
        <w:rFonts w:ascii="Calibri" w:eastAsia="Times New Roman" w:hAnsi="Calibri" w:cs="Times New Roman"/>
        <w:i/>
        <w:iCs/>
        <w:sz w:val="26"/>
      </w:rPr>
      <w:tblPr/>
      <w:tcPr>
        <w:tcBorders>
          <w:top w:val="single" w:sz="4" w:space="0" w:color="5F5F5F"/>
        </w:tcBorders>
        <w:shd w:val="clear" w:color="auto" w:fill="FFFFFF"/>
      </w:tcPr>
    </w:tblStylePr>
    <w:tblStylePr w:type="firstCol">
      <w:pPr>
        <w:jc w:val="right"/>
      </w:pPr>
      <w:rPr>
        <w:rFonts w:ascii="Calibri" w:eastAsia="Times New Roman" w:hAnsi="Calibri" w:cs="Times New Roman"/>
        <w:i/>
        <w:iCs/>
        <w:sz w:val="26"/>
      </w:rPr>
      <w:tblPr/>
      <w:tcPr>
        <w:tcBorders>
          <w:right w:val="single" w:sz="4" w:space="0" w:color="5F5F5F"/>
        </w:tcBorders>
        <w:shd w:val="clear" w:color="auto" w:fill="FFFFFF"/>
      </w:tcPr>
    </w:tblStylePr>
    <w:tblStylePr w:type="lastCol">
      <w:rPr>
        <w:rFonts w:ascii="Calibri" w:eastAsia="Times New Roman" w:hAnsi="Calibri" w:cs="Times New Roman"/>
        <w:i/>
        <w:iCs/>
        <w:sz w:val="26"/>
      </w:rPr>
      <w:tblPr/>
      <w:tcPr>
        <w:tcBorders>
          <w:left w:val="single" w:sz="4" w:space="0" w:color="5F5F5F"/>
        </w:tcBorders>
        <w:shd w:val="clear" w:color="auto" w:fill="FFFFFF"/>
      </w:tcPr>
    </w:tblStylePr>
    <w:tblStylePr w:type="band1Vert">
      <w:tblPr/>
      <w:tcPr>
        <w:shd w:val="clear" w:color="auto" w:fill="DFDFDF"/>
      </w:tcPr>
    </w:tblStylePr>
    <w:tblStylePr w:type="band1Horz">
      <w:tblPr/>
      <w:tcPr>
        <w:shd w:val="clear" w:color="auto" w:fill="DFDFD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next w:val="ListTable7ColorfulAccent6"/>
    <w:uiPriority w:val="52"/>
    <w:rsid w:val="00A8059F"/>
    <w:rPr>
      <w:color w:val="393939"/>
    </w:rPr>
    <w:tblPr>
      <w:tblStyleRowBandSize w:val="1"/>
      <w:tblStyleColBandSize w:val="1"/>
    </w:tblPr>
    <w:tblStylePr w:type="firstRow">
      <w:rPr>
        <w:rFonts w:ascii="Calibri" w:eastAsia="Times New Roman" w:hAnsi="Calibri" w:cs="Times New Roman"/>
        <w:i/>
        <w:iCs/>
        <w:sz w:val="26"/>
      </w:rPr>
      <w:tblPr/>
      <w:tcPr>
        <w:tcBorders>
          <w:bottom w:val="single" w:sz="4" w:space="0" w:color="4D4D4D"/>
        </w:tcBorders>
        <w:shd w:val="clear" w:color="auto" w:fill="FFFFFF"/>
      </w:tcPr>
    </w:tblStylePr>
    <w:tblStylePr w:type="lastRow">
      <w:rPr>
        <w:rFonts w:ascii="Calibri" w:eastAsia="Times New Roman" w:hAnsi="Calibri" w:cs="Times New Roman"/>
        <w:i/>
        <w:iCs/>
        <w:sz w:val="26"/>
      </w:rPr>
      <w:tblPr/>
      <w:tcPr>
        <w:tcBorders>
          <w:top w:val="single" w:sz="4" w:space="0" w:color="4D4D4D"/>
        </w:tcBorders>
        <w:shd w:val="clear" w:color="auto" w:fill="FFFFFF"/>
      </w:tcPr>
    </w:tblStylePr>
    <w:tblStylePr w:type="firstCol">
      <w:pPr>
        <w:jc w:val="right"/>
      </w:pPr>
      <w:rPr>
        <w:rFonts w:ascii="Calibri" w:eastAsia="Times New Roman" w:hAnsi="Calibri" w:cs="Times New Roman"/>
        <w:i/>
        <w:iCs/>
        <w:sz w:val="26"/>
      </w:rPr>
      <w:tblPr/>
      <w:tcPr>
        <w:tcBorders>
          <w:right w:val="single" w:sz="4" w:space="0" w:color="4D4D4D"/>
        </w:tcBorders>
        <w:shd w:val="clear" w:color="auto" w:fill="FFFFFF"/>
      </w:tcPr>
    </w:tblStylePr>
    <w:tblStylePr w:type="lastCol">
      <w:rPr>
        <w:rFonts w:ascii="Calibri" w:eastAsia="Times New Roman" w:hAnsi="Calibri" w:cs="Times New Roman"/>
        <w:i/>
        <w:iCs/>
        <w:sz w:val="26"/>
      </w:rPr>
      <w:tblPr/>
      <w:tcPr>
        <w:tcBorders>
          <w:left w:val="single" w:sz="4" w:space="0" w:color="4D4D4D"/>
        </w:tcBorders>
        <w:shd w:val="clear" w:color="auto" w:fill="FFFFFF"/>
      </w:tcPr>
    </w:tblStylePr>
    <w:tblStylePr w:type="band1Vert">
      <w:tblPr/>
      <w:tcPr>
        <w:shd w:val="clear" w:color="auto" w:fill="DBDBDB"/>
      </w:tcPr>
    </w:tblStylePr>
    <w:tblStylePr w:type="band1Horz">
      <w:tblPr/>
      <w:tcPr>
        <w:shd w:val="clear" w:color="auto" w:fill="DB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2">
    <w:name w:val="Plain Table 32"/>
    <w:basedOn w:val="TableNormal"/>
    <w:next w:val="PlainTable3"/>
    <w:uiPriority w:val="43"/>
    <w:rsid w:val="00A8059F"/>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A8059F"/>
    <w:tblPr>
      <w:tblStyleRowBandSize w:val="1"/>
      <w:tblStyleColBandSize w:val="1"/>
    </w:tblPr>
    <w:tblStylePr w:type="firstRow">
      <w:rPr>
        <w:rFonts w:ascii="Calibri" w:eastAsia="Times New Roman" w:hAnsi="Calibri" w:cs="Times New Roman"/>
        <w:i/>
        <w:iCs/>
        <w:sz w:val="26"/>
      </w:rPr>
      <w:tblPr/>
      <w:tcPr>
        <w:tcBorders>
          <w:bottom w:val="single" w:sz="4" w:space="0" w:color="7F7F7F"/>
        </w:tcBorders>
        <w:shd w:val="clear" w:color="auto" w:fill="FFFFFF"/>
      </w:tcPr>
    </w:tblStylePr>
    <w:tblStylePr w:type="lastRow">
      <w:rPr>
        <w:rFonts w:ascii="Calibri" w:eastAsia="Times New Roman" w:hAnsi="Calibri" w:cs="Times New Roman"/>
        <w:i/>
        <w:iCs/>
        <w:sz w:val="26"/>
      </w:rPr>
      <w:tblPr/>
      <w:tcPr>
        <w:tcBorders>
          <w:top w:val="single" w:sz="4" w:space="0" w:color="7F7F7F"/>
        </w:tcBorders>
        <w:shd w:val="clear" w:color="auto" w:fill="FFFFFF"/>
      </w:tcPr>
    </w:tblStylePr>
    <w:tblStylePr w:type="firstCol">
      <w:pPr>
        <w:jc w:val="right"/>
      </w:pPr>
      <w:rPr>
        <w:rFonts w:ascii="Calibri" w:eastAsia="Times New Roman" w:hAnsi="Calibri" w:cs="Times New Roman"/>
        <w:i/>
        <w:iCs/>
        <w:sz w:val="26"/>
      </w:rPr>
      <w:tblPr/>
      <w:tcPr>
        <w:tcBorders>
          <w:right w:val="single" w:sz="4" w:space="0" w:color="7F7F7F"/>
        </w:tcBorders>
        <w:shd w:val="clear" w:color="auto" w:fill="FFFFFF"/>
      </w:tcPr>
    </w:tblStylePr>
    <w:tblStylePr w:type="lastCol">
      <w:rPr>
        <w:rFonts w:ascii="Calibri" w:eastAsia="Times New Roman"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radecal">
    <w:name w:val="para_decal"/>
    <w:basedOn w:val="Normal"/>
    <w:link w:val="paradecalChar"/>
    <w:qFormat/>
    <w:rsid w:val="000E2089"/>
    <w:pPr>
      <w:ind w:left="284" w:hanging="284"/>
      <w:jc w:val="both"/>
    </w:pPr>
    <w:rPr>
      <w:sz w:val="22"/>
      <w:szCs w:val="22"/>
    </w:rPr>
  </w:style>
  <w:style w:type="character" w:customStyle="1" w:styleId="paradecalChar">
    <w:name w:val="para_decal Char"/>
    <w:basedOn w:val="DefaultParagraphFont"/>
    <w:link w:val="paradecal"/>
    <w:rsid w:val="000E208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commission.europa.eu/topics/strategic-communication-and-tackling-disinformation_en" TargetMode="External" /><Relationship Id="rId2" Type="http://schemas.openxmlformats.org/officeDocument/2006/relationships/hyperlink" Target="https://committees.parliament.uk/work/8641/social-media-misinformation-and-harmful-algorithms/" TargetMode="External" /><Relationship Id="rId3" Type="http://schemas.openxmlformats.org/officeDocument/2006/relationships/hyperlink" Target="https://dfrlab.org/the-pravda-network/"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61</Pages>
  <Words>28405</Words>
  <Characters>156232</Characters>
  <Application>Microsoft Office Word</Application>
  <DocSecurity>0</DocSecurity>
  <Lines>1301</Lines>
  <Paragraphs>368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Palermiti, Stefano</dc:creator>
  <cp:lastModifiedBy>Palermiti, Stefano</cp:lastModifiedBy>
  <cp:revision>3</cp:revision>
  <dcterms:created xsi:type="dcterms:W3CDTF">2026-08-26T09:42:00Z</dcterms:created>
  <dcterms:modified xsi:type="dcterms:W3CDTF">2026-09-04T13:16:00Z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1716965</vt:lpwstr>
  </property>
  <property fmtid="{D5CDD505-2E9C-101B-9397-08002B2CF9AE}" pid="3" name="cstLanguage">
    <vt:i4>2057</vt:i4>
  </property>
  <property fmtid="{D5CDD505-2E9C-101B-9397-08002B2CF9AE}" pid="4" name="eDOCS AutoSave">
    <vt:lpwstr/>
  </property>
  <property fmtid="{D5CDD505-2E9C-101B-9397-08002B2CF9AE}" pid="5" name="RegisteredNo">
    <vt:lpwstr>15653/22</vt:lpwstr>
  </property>
</Properties>
</file>