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5215F" w:rsidR="008D51B6" w:rsidP="0005215F" w14:paraId="49155213" w14:textId="0E455877">
      <w:pPr>
        <w:jc w:val="center"/>
        <w:rPr>
          <w:lang w:val="uk-UA"/>
        </w:rPr>
      </w:pPr>
      <w:r w:rsidRPr="0005215F">
        <w:rPr>
          <w:lang w:val="uk-UA"/>
        </w:rPr>
        <w:t>ЄВРОПЕЙСЬКИЙ СУД З ПРАВ ЛЮДИНИ</w:t>
      </w:r>
    </w:p>
    <w:p w:rsidRPr="0005215F" w:rsidR="004D042B" w:rsidP="0005215F" w14:paraId="51FA837C" w14:textId="77777777">
      <w:pPr>
        <w:jc w:val="center"/>
        <w:rPr>
          <w:lang w:val="uk-UA"/>
        </w:rPr>
      </w:pPr>
    </w:p>
    <w:p w:rsidRPr="0005215F" w:rsidR="000C5149" w:rsidP="0005215F" w14:paraId="12930B0F" w14:textId="77777777">
      <w:pPr>
        <w:jc w:val="center"/>
        <w:rPr>
          <w:lang w:val="uk-UA"/>
        </w:rPr>
      </w:pPr>
    </w:p>
    <w:p w:rsidRPr="0005215F" w:rsidR="00606600" w:rsidP="0005215F" w14:paraId="2E1BFE37" w14:textId="775C6466">
      <w:pPr>
        <w:pStyle w:val="DecHTitle"/>
        <w:rPr>
          <w:lang w:val="uk-UA"/>
        </w:rPr>
      </w:pPr>
      <w:r w:rsidRPr="0005215F">
        <w:rPr>
          <w:lang w:val="uk-UA"/>
        </w:rPr>
        <w:t>П</w:t>
      </w:r>
      <w:r w:rsidRPr="0005215F" w:rsidR="0005215F">
        <w:rPr>
          <w:lang w:val="uk-UA"/>
        </w:rPr>
        <w:t>’</w:t>
      </w:r>
      <w:r w:rsidRPr="0005215F">
        <w:rPr>
          <w:lang w:val="uk-UA"/>
        </w:rPr>
        <w:t>ЯТА СЕКЦІЯ</w:t>
      </w:r>
    </w:p>
    <w:p w:rsidRPr="0005215F" w:rsidR="00DC543C" w:rsidP="0005215F" w14:paraId="4B1A2D3F" w14:textId="0409583A">
      <w:pPr>
        <w:pStyle w:val="JuTitle"/>
        <w:rPr>
          <w:color w:val="000000" w:themeColor="text1"/>
          <w:lang w:val="uk-UA"/>
        </w:rPr>
      </w:pPr>
      <w:bookmarkStart w:name="To" w:id="0"/>
      <w:r w:rsidRPr="0005215F">
        <w:rPr>
          <w:color w:val="000000" w:themeColor="text1"/>
          <w:lang w:val="uk-UA"/>
        </w:rPr>
        <w:t>СПРАВА «МОРОЗОВА ПРОТИ УКРАЇНИ»</w:t>
      </w:r>
    </w:p>
    <w:p w:rsidRPr="0005215F" w:rsidR="006D324D" w:rsidP="0005215F" w14:paraId="02F44D90" w14:textId="20CA13D0">
      <w:pPr>
        <w:pStyle w:val="JuTitle"/>
        <w:rPr>
          <w:lang w:val="uk-UA"/>
        </w:rPr>
      </w:pPr>
      <w:r w:rsidRPr="0005215F">
        <w:rPr>
          <w:color w:val="000000" w:themeColor="text1"/>
          <w:lang w:val="uk-UA"/>
        </w:rPr>
        <w:t xml:space="preserve">(CASE OF </w:t>
      </w:r>
      <w:bookmarkEnd w:id="0"/>
      <w:r w:rsidRPr="0005215F" w:rsidR="002D74A6">
        <w:rPr>
          <w:lang w:val="uk-UA"/>
        </w:rPr>
        <w:t>MOROZOVA v. UKRAINE</w:t>
      </w:r>
      <w:r w:rsidRPr="0005215F">
        <w:rPr>
          <w:lang w:val="uk-UA"/>
        </w:rPr>
        <w:t>)</w:t>
      </w:r>
    </w:p>
    <w:p w:rsidRPr="0005215F" w:rsidR="006D324D" w:rsidP="0005215F" w14:paraId="71504F06" w14:textId="2A3B531E">
      <w:pPr>
        <w:pStyle w:val="ECHRCoverTitle4"/>
        <w:rPr>
          <w:lang w:val="uk-UA"/>
        </w:rPr>
      </w:pPr>
      <w:r w:rsidRPr="0005215F">
        <w:rPr>
          <w:lang w:val="uk-UA"/>
        </w:rPr>
        <w:t>(</w:t>
      </w:r>
      <w:r w:rsidRPr="0005215F" w:rsidR="00DC543C">
        <w:rPr>
          <w:lang w:val="uk-UA"/>
        </w:rPr>
        <w:t>Заява № </w:t>
      </w:r>
      <w:r w:rsidRPr="0005215F" w:rsidR="002D74A6">
        <w:rPr>
          <w:lang w:val="uk-UA"/>
        </w:rPr>
        <w:t>24315/24</w:t>
      </w:r>
      <w:r w:rsidRPr="0005215F">
        <w:rPr>
          <w:lang w:val="uk-UA"/>
        </w:rPr>
        <w:t>)</w:t>
      </w:r>
    </w:p>
    <w:p w:rsidRPr="0005215F" w:rsidR="006D324D" w:rsidP="0005215F" w14:paraId="30F47E7D" w14:textId="77777777">
      <w:pPr>
        <w:pStyle w:val="DecHCase"/>
        <w:rPr>
          <w:lang w:val="uk-UA"/>
        </w:rPr>
      </w:pPr>
    </w:p>
    <w:p w:rsidRPr="0005215F" w:rsidR="006D324D" w:rsidP="0005215F" w14:paraId="2EA53BC8" w14:textId="77777777">
      <w:pPr>
        <w:pStyle w:val="DecHCase"/>
        <w:rPr>
          <w:lang w:val="uk-UA"/>
        </w:rPr>
      </w:pPr>
    </w:p>
    <w:p w:rsidRPr="0005215F" w:rsidR="00606600" w:rsidP="0005215F" w14:paraId="13F32E3E" w14:textId="77777777">
      <w:pPr>
        <w:pStyle w:val="DecHCase"/>
        <w:rPr>
          <w:lang w:val="uk-UA"/>
        </w:rPr>
      </w:pPr>
    </w:p>
    <w:p w:rsidRPr="0005215F" w:rsidR="00606600" w:rsidP="0005215F" w14:paraId="7341B80B" w14:textId="77777777">
      <w:pPr>
        <w:pStyle w:val="DecHCase"/>
        <w:rPr>
          <w:lang w:val="uk-UA"/>
        </w:rPr>
      </w:pPr>
    </w:p>
    <w:p w:rsidRPr="0005215F" w:rsidR="00606600" w:rsidP="0005215F" w14:paraId="3B3E6EB0" w14:textId="77777777">
      <w:pPr>
        <w:pStyle w:val="DecHCase"/>
        <w:rPr>
          <w:lang w:val="uk-UA"/>
        </w:rPr>
      </w:pPr>
    </w:p>
    <w:p w:rsidRPr="0005215F" w:rsidR="00606600" w:rsidP="0005215F" w14:paraId="652936F8" w14:textId="77777777">
      <w:pPr>
        <w:pStyle w:val="DecHCase"/>
        <w:rPr>
          <w:lang w:val="uk-UA"/>
        </w:rPr>
      </w:pPr>
    </w:p>
    <w:p w:rsidRPr="0005215F" w:rsidR="00606600" w:rsidP="0005215F" w14:paraId="792EAA8C" w14:textId="50C71FF8">
      <w:pPr>
        <w:pStyle w:val="DecHCase"/>
        <w:rPr>
          <w:lang w:val="uk-UA"/>
        </w:rPr>
      </w:pPr>
      <w:r w:rsidRPr="0005215F">
        <w:rPr>
          <w:lang w:val="uk-UA"/>
        </w:rPr>
        <w:t>РІШЕННЯ</w:t>
      </w:r>
    </w:p>
    <w:p w:rsidRPr="0005215F" w:rsidR="00606600" w:rsidP="0005215F" w14:paraId="0E51B0A0" w14:textId="77777777">
      <w:pPr>
        <w:jc w:val="center"/>
        <w:rPr>
          <w:i/>
          <w:lang w:val="uk-UA"/>
        </w:rPr>
      </w:pPr>
    </w:p>
    <w:p w:rsidRPr="0005215F" w:rsidR="00606600" w:rsidP="0005215F" w14:paraId="6EF1B606" w14:textId="09DFBACA">
      <w:pPr>
        <w:pStyle w:val="DecHCase"/>
        <w:rPr>
          <w:lang w:val="uk-UA"/>
        </w:rPr>
      </w:pPr>
      <w:r w:rsidRPr="0005215F">
        <w:rPr>
          <w:lang w:val="uk-UA"/>
        </w:rPr>
        <w:t>СТРАСБУРГ</w:t>
      </w:r>
    </w:p>
    <w:p w:rsidRPr="0005215F" w:rsidR="00606600" w:rsidP="0005215F" w14:paraId="49E10475" w14:textId="758425AE">
      <w:pPr>
        <w:pStyle w:val="DecHCase"/>
        <w:rPr>
          <w:lang w:val="uk-UA"/>
        </w:rPr>
      </w:pPr>
      <w:r w:rsidRPr="0005215F">
        <w:rPr>
          <w:lang w:val="uk-UA"/>
        </w:rPr>
        <w:t xml:space="preserve">28 </w:t>
      </w:r>
      <w:r w:rsidRPr="0005215F" w:rsidR="00DC543C">
        <w:rPr>
          <w:lang w:val="uk-UA"/>
        </w:rPr>
        <w:t>травня</w:t>
      </w:r>
      <w:r w:rsidRPr="0005215F">
        <w:rPr>
          <w:lang w:val="uk-UA"/>
        </w:rPr>
        <w:t xml:space="preserve"> 2025</w:t>
      </w:r>
      <w:r w:rsidRPr="0005215F" w:rsidR="00DC543C">
        <w:rPr>
          <w:lang w:val="uk-UA"/>
        </w:rPr>
        <w:t xml:space="preserve"> року</w:t>
      </w:r>
    </w:p>
    <w:p w:rsidRPr="0005215F" w:rsidR="00606600" w:rsidP="0005215F" w14:paraId="5874D525" w14:textId="77777777">
      <w:pPr>
        <w:jc w:val="center"/>
        <w:rPr>
          <w:lang w:val="uk-UA"/>
        </w:rPr>
      </w:pPr>
    </w:p>
    <w:p w:rsidRPr="0005215F" w:rsidR="00606600" w:rsidP="0005215F" w14:paraId="1521C1B6" w14:textId="73893E2A">
      <w:pPr>
        <w:rPr>
          <w:sz w:val="22"/>
          <w:szCs w:val="22"/>
          <w:lang w:val="uk-UA"/>
        </w:rPr>
      </w:pPr>
      <w:r w:rsidRPr="0005215F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05215F">
        <w:rPr>
          <w:i/>
          <w:sz w:val="22"/>
          <w:szCs w:val="22"/>
          <w:lang w:val="uk-UA"/>
        </w:rPr>
        <w:t>.</w:t>
      </w:r>
    </w:p>
    <w:p w:rsidRPr="0005215F" w:rsidR="00606600" w:rsidP="0005215F" w14:paraId="4B1131B7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5215F" w:rsidR="00EB5D3F" w:rsidP="0005215F" w14:paraId="279B23F2" w14:textId="3B049F0B">
      <w:pPr>
        <w:pStyle w:val="JuCase"/>
        <w:rPr>
          <w:lang w:val="uk-UA"/>
        </w:rPr>
      </w:pPr>
      <w:r w:rsidRPr="0005215F">
        <w:rPr>
          <w:lang w:val="uk-UA"/>
        </w:rPr>
        <w:t>У справі «Морозова проти України»</w:t>
      </w:r>
    </w:p>
    <w:p w:rsidRPr="0005215F" w:rsidR="00EB5D3F" w:rsidP="0005215F" w14:paraId="05BEB9C8" w14:textId="4AFF7A5F">
      <w:pPr>
        <w:pStyle w:val="JuCase"/>
        <w:rPr>
          <w:b w:val="0"/>
          <w:lang w:val="uk-UA"/>
        </w:rPr>
      </w:pPr>
      <w:r w:rsidRPr="0005215F">
        <w:rPr>
          <w:b w:val="0"/>
          <w:lang w:val="uk-UA"/>
        </w:rPr>
        <w:t>Європейський суд з прав людини (П</w:t>
      </w:r>
      <w:r w:rsidRPr="0005215F" w:rsidR="0005215F">
        <w:rPr>
          <w:b w:val="0"/>
          <w:lang w:val="uk-UA"/>
        </w:rPr>
        <w:t>’</w:t>
      </w:r>
      <w:r w:rsidRPr="0005215F">
        <w:rPr>
          <w:b w:val="0"/>
          <w:lang w:val="uk-UA"/>
        </w:rPr>
        <w:t>ята секція), засідаючи комітетом, до складу якого увійшли:</w:t>
      </w:r>
    </w:p>
    <w:p w:rsidRPr="0005215F" w:rsidR="00EB5D3F" w:rsidP="0005215F" w14:paraId="3B76C322" w14:textId="77777777">
      <w:pPr>
        <w:pStyle w:val="JuJudges"/>
        <w:rPr>
          <w:lang w:val="uk-UA"/>
        </w:rPr>
      </w:pPr>
      <w:r w:rsidRPr="0005215F">
        <w:rPr>
          <w:lang w:val="uk-UA"/>
        </w:rPr>
        <w:tab/>
      </w:r>
      <w:r w:rsidRPr="0005215F">
        <w:rPr>
          <w:lang w:val="uk-UA"/>
        </w:rPr>
        <w:t xml:space="preserve">Діана Сирку </w:t>
      </w:r>
      <w:r w:rsidRPr="0005215F">
        <w:rPr>
          <w:i/>
          <w:iCs/>
          <w:lang w:val="uk-UA"/>
        </w:rPr>
        <w:t>(</w:t>
      </w:r>
      <w:r w:rsidRPr="0005215F">
        <w:rPr>
          <w:bCs/>
          <w:i/>
          <w:iCs/>
          <w:lang w:val="uk-UA"/>
        </w:rPr>
        <w:t>Diana Sârcu</w:t>
      </w:r>
      <w:r w:rsidRPr="0005215F">
        <w:rPr>
          <w:i/>
          <w:iCs/>
          <w:lang w:val="uk-UA"/>
        </w:rPr>
        <w:t>)</w:t>
      </w:r>
      <w:r w:rsidRPr="0005215F">
        <w:rPr>
          <w:i/>
          <w:lang w:val="uk-UA"/>
        </w:rPr>
        <w:t>, Голова</w:t>
      </w:r>
      <w:r w:rsidRPr="0005215F">
        <w:rPr>
          <w:lang w:val="uk-UA"/>
        </w:rPr>
        <w:t>,</w:t>
      </w:r>
      <w:r w:rsidRPr="0005215F">
        <w:rPr>
          <w:lang w:val="uk-UA"/>
        </w:rPr>
        <w:br/>
      </w:r>
      <w:r w:rsidRPr="0005215F">
        <w:rPr>
          <w:lang w:val="uk-UA"/>
        </w:rPr>
        <w:tab/>
      </w:r>
      <w:r w:rsidRPr="0005215F">
        <w:rPr>
          <w:lang w:val="uk-UA"/>
        </w:rPr>
        <w:t xml:space="preserve">Катержіна Шімачкова </w:t>
      </w:r>
      <w:r w:rsidRPr="0005215F">
        <w:rPr>
          <w:i/>
          <w:iCs/>
          <w:lang w:val="uk-UA"/>
        </w:rPr>
        <w:t>(Kateřina Šimáčková)</w:t>
      </w:r>
      <w:r w:rsidRPr="0005215F">
        <w:rPr>
          <w:i/>
          <w:lang w:val="uk-UA"/>
        </w:rPr>
        <w:t>,</w:t>
      </w:r>
      <w:r w:rsidRPr="0005215F">
        <w:rPr>
          <w:lang w:val="uk-UA"/>
        </w:rPr>
        <w:br/>
      </w:r>
      <w:r w:rsidRPr="0005215F">
        <w:rPr>
          <w:lang w:val="uk-UA"/>
        </w:rPr>
        <w:tab/>
        <w:t xml:space="preserve">Микола Гнатовський </w:t>
      </w:r>
      <w:r w:rsidRPr="0005215F">
        <w:rPr>
          <w:i/>
          <w:iCs/>
          <w:lang w:val="uk-UA"/>
        </w:rPr>
        <w:t>(Mykola Gnatovskyy),</w:t>
      </w:r>
      <w:r w:rsidRPr="0005215F">
        <w:rPr>
          <w:i/>
          <w:lang w:val="uk-UA"/>
        </w:rPr>
        <w:t xml:space="preserve"> судді</w:t>
      </w:r>
      <w:r w:rsidRPr="0005215F">
        <w:rPr>
          <w:lang w:val="uk-UA"/>
        </w:rPr>
        <w:t>,</w:t>
      </w:r>
    </w:p>
    <w:p w:rsidRPr="0005215F" w:rsidR="00EB5D3F" w:rsidP="0005215F" w14:paraId="5628BC9A" w14:textId="77777777">
      <w:pPr>
        <w:pStyle w:val="JuJudges"/>
        <w:rPr>
          <w:lang w:val="uk-UA"/>
        </w:rPr>
      </w:pPr>
      <w:r w:rsidRPr="0005215F">
        <w:rPr>
          <w:lang w:val="uk-UA"/>
        </w:rPr>
        <w:t xml:space="preserve">та Вікторія Марадудіна </w:t>
      </w:r>
      <w:r w:rsidRPr="0005215F">
        <w:rPr>
          <w:i/>
          <w:lang w:val="uk-UA"/>
        </w:rPr>
        <w:t>(Viktoriya Maradudina),</w:t>
      </w:r>
      <w:r w:rsidRPr="0005215F">
        <w:rPr>
          <w:lang w:val="uk-UA"/>
        </w:rPr>
        <w:t xml:space="preserve"> </w:t>
      </w:r>
      <w:r w:rsidRPr="0005215F">
        <w:rPr>
          <w:i/>
          <w:lang w:val="uk-UA"/>
        </w:rPr>
        <w:t>в.о.</w:t>
      </w:r>
      <w:r w:rsidRPr="0005215F">
        <w:rPr>
          <w:lang w:val="uk-UA"/>
        </w:rPr>
        <w:t xml:space="preserve"> </w:t>
      </w:r>
      <w:r w:rsidRPr="0005215F">
        <w:rPr>
          <w:i/>
          <w:lang w:val="uk-UA"/>
        </w:rPr>
        <w:t>заступника Секретаря секції,</w:t>
      </w:r>
    </w:p>
    <w:p w:rsidRPr="0005215F" w:rsidR="00EB5D3F" w:rsidP="0005215F" w14:paraId="73D84432" w14:textId="3A51C3F1">
      <w:pPr>
        <w:pStyle w:val="JuJudges"/>
        <w:ind w:firstLine="284"/>
        <w:rPr>
          <w:bCs/>
          <w:lang w:val="uk-UA"/>
        </w:rPr>
      </w:pPr>
      <w:r w:rsidRPr="0005215F">
        <w:rPr>
          <w:bCs/>
          <w:lang w:val="uk-UA"/>
        </w:rPr>
        <w:t>після обговорення за зачиненими дверима 07 травня 2025 року</w:t>
      </w:r>
    </w:p>
    <w:p w:rsidRPr="0005215F" w:rsidR="00EB5D3F" w:rsidP="0005215F" w14:paraId="4ABD33B7" w14:textId="77777777">
      <w:pPr>
        <w:pStyle w:val="JuJudges"/>
        <w:ind w:firstLine="284"/>
        <w:rPr>
          <w:bCs/>
          <w:lang w:val="uk-UA"/>
        </w:rPr>
      </w:pPr>
      <w:r w:rsidRPr="0005215F">
        <w:rPr>
          <w:bCs/>
          <w:lang w:val="uk-UA"/>
        </w:rPr>
        <w:t>постановляє таке рішення, що було ухвалено у той день:</w:t>
      </w:r>
    </w:p>
    <w:p w:rsidRPr="0005215F" w:rsidR="002D74A6" w:rsidP="0005215F" w14:paraId="171B4D69" w14:textId="52473092">
      <w:pPr>
        <w:pStyle w:val="JuHHead"/>
        <w:rPr>
          <w:lang w:val="uk-UA"/>
        </w:rPr>
      </w:pPr>
      <w:bookmarkStart w:name="ITMARKStartJudgment" w:id="1"/>
      <w:bookmarkEnd w:id="1"/>
      <w:r w:rsidRPr="0005215F">
        <w:rPr>
          <w:lang w:val="uk-UA"/>
        </w:rPr>
        <w:t>ПРОЦЕДУРА</w:t>
      </w:r>
    </w:p>
    <w:p w:rsidRPr="0005215F" w:rsidR="00EB5D3F" w:rsidP="0005215F" w14:paraId="21F0AACE" w14:textId="5DF1BB52">
      <w:pPr>
        <w:pStyle w:val="JuPara"/>
        <w:rPr>
          <w:lang w:val="uk-UA"/>
        </w:rPr>
      </w:pPr>
      <w:r w:rsidRPr="0005215F">
        <w:rPr>
          <w:lang w:val="uk-UA"/>
        </w:rPr>
        <w:t>1.  Справу було розпочато за заявою, поданою 30 липня 2024 року до Суду проти України на підставі статті 34 Конвенції про захист прав людини і основоположних свобод (далі – Конвенція).</w:t>
      </w:r>
    </w:p>
    <w:p w:rsidRPr="0005215F" w:rsidR="00EB5D3F" w:rsidP="0005215F" w14:paraId="1D449FD1" w14:textId="365DA250">
      <w:pPr>
        <w:pStyle w:val="JuPara"/>
        <w:rPr>
          <w:lang w:val="uk-UA"/>
        </w:rPr>
      </w:pPr>
      <w:r w:rsidRPr="0005215F">
        <w:rPr>
          <w:lang w:val="uk-UA"/>
        </w:rPr>
        <w:t>2.  Заявницю представляв пан Ю.М. Павлишин, юрист, який практикує у м. Одеса.</w:t>
      </w:r>
    </w:p>
    <w:p w:rsidRPr="0005215F" w:rsidR="002D74A6" w:rsidP="0005215F" w14:paraId="2B036054" w14:textId="789F75E4">
      <w:pPr>
        <w:pStyle w:val="JuPara"/>
        <w:rPr>
          <w:lang w:val="uk-UA"/>
        </w:rPr>
      </w:pPr>
      <w:r w:rsidRPr="0005215F">
        <w:rPr>
          <w:lang w:val="uk-UA"/>
        </w:rPr>
        <w:t>3.  Про заяву було повідомлено Уряд України (далі – Уряд).</w:t>
      </w:r>
    </w:p>
    <w:p w:rsidRPr="0005215F" w:rsidR="002D74A6" w:rsidP="0005215F" w14:paraId="3B9341F8" w14:textId="151DCAD5">
      <w:pPr>
        <w:pStyle w:val="JuHHead"/>
        <w:jc w:val="left"/>
        <w:rPr>
          <w:lang w:val="uk-UA"/>
        </w:rPr>
      </w:pPr>
      <w:r w:rsidRPr="0005215F">
        <w:rPr>
          <w:lang w:val="uk-UA"/>
        </w:rPr>
        <w:t>ФАКТИ</w:t>
      </w:r>
    </w:p>
    <w:p w:rsidRPr="0005215F" w:rsidR="002D74A6" w:rsidP="0005215F" w14:paraId="1B569D90" w14:textId="7D465BAC">
      <w:pPr>
        <w:pStyle w:val="JuPara"/>
        <w:rPr>
          <w:lang w:val="uk-UA"/>
        </w:rPr>
      </w:pPr>
      <w:r w:rsidRPr="0005215F">
        <w:rPr>
          <w:lang w:val="uk-UA"/>
        </w:rPr>
        <w:t>4.  Відомості про заявницю та інформація щодо заяви наведені в таблиці у додатку.</w:t>
      </w:r>
    </w:p>
    <w:p w:rsidRPr="0005215F" w:rsidR="002D74A6" w:rsidP="0005215F" w14:paraId="64E76850" w14:textId="7781A51B">
      <w:pPr>
        <w:pStyle w:val="JuHHead"/>
        <w:jc w:val="left"/>
        <w:rPr>
          <w:lang w:val="uk-UA"/>
        </w:rPr>
      </w:pPr>
      <w:r w:rsidRPr="0005215F">
        <w:rPr>
          <w:lang w:val="uk-UA"/>
        </w:rPr>
        <w:t>ПРАВО</w:t>
      </w:r>
    </w:p>
    <w:p w:rsidRPr="0005215F" w:rsidR="002D74A6" w:rsidP="0005215F" w14:paraId="1C99BE73" w14:textId="5B4973EB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05215F">
        <w:rPr>
          <w:lang w:val="uk-UA"/>
        </w:rPr>
        <w:t>СТВЕРДЖУВАНЕ ПОРУШЕННЯ СТАТТІ 2 КОНВЕНЦІЇ</w:t>
      </w:r>
    </w:p>
    <w:p w:rsidRPr="0005215F" w:rsidR="00B64845" w:rsidP="0005215F" w14:paraId="6222763A" w14:textId="2DFC52EE">
      <w:pPr>
        <w:pStyle w:val="JuPara"/>
        <w:rPr>
          <w:lang w:val="uk-UA"/>
        </w:rPr>
      </w:pPr>
      <w:r w:rsidRPr="0005215F">
        <w:rPr>
          <w:lang w:val="uk-UA"/>
        </w:rPr>
        <w:t>5.  </w:t>
      </w:r>
      <w:r w:rsidRPr="0005215F">
        <w:rPr>
          <w:lang w:val="uk-UA"/>
        </w:rPr>
        <w:t>Заявниця скаржилася на неефективне розслідування смерті її дочки, до якої не були причетні представники держави. Вона посилалася на статтю 2 Конвенції.</w:t>
      </w:r>
    </w:p>
    <w:p w:rsidRPr="0005215F" w:rsidR="00B64845" w:rsidP="0005215F" w14:paraId="3D87CBD5" w14:textId="18FF0C86">
      <w:pPr>
        <w:pStyle w:val="JuPara"/>
        <w:rPr>
          <w:lang w:val="uk-UA"/>
        </w:rPr>
      </w:pPr>
      <w:r w:rsidRPr="0005215F">
        <w:rPr>
          <w:lang w:val="uk-UA"/>
        </w:rPr>
        <w:t xml:space="preserve">6. </w:t>
      </w:r>
      <w:r w:rsidRPr="0005215F">
        <w:rPr>
          <w:lang w:val="uk-UA"/>
        </w:rPr>
        <w:t>Насамперед Суд зазначає, що ця справа має розглядатися з огляду на зобов</w:t>
      </w:r>
      <w:r w:rsidRPr="0005215F" w:rsidR="0005215F">
        <w:rPr>
          <w:lang w:val="uk-UA"/>
        </w:rPr>
        <w:t>’</w:t>
      </w:r>
      <w:r w:rsidRPr="0005215F">
        <w:rPr>
          <w:lang w:val="uk-UA"/>
        </w:rPr>
        <w:t xml:space="preserve">язання держави провести ефективне розслідування за процесуальним аспектом статті 2 Конвенції. Відповідні загальні принципи щодо ефективності розслідування наведені в рішенні у справі «Мустафа Тунч і Феджіре Тунч проти Туреччини» [ВП] </w:t>
      </w:r>
      <w:r w:rsidRPr="0005215F">
        <w:rPr>
          <w:i/>
          <w:iCs/>
          <w:lang w:val="uk-UA"/>
        </w:rPr>
        <w:t>(Mustafa Tunç and Fecire Tunç v. Turkey)</w:t>
      </w:r>
      <w:r w:rsidRPr="0005215F">
        <w:rPr>
          <w:lang w:val="uk-UA"/>
        </w:rPr>
        <w:t xml:space="preserve"> [GC], заява № 24014/05, пункти 169 – 182, від 14 квітня 2015 року). Зокрема, після виникнення зобов</w:t>
      </w:r>
      <w:r w:rsidRPr="0005215F" w:rsidR="0005215F">
        <w:rPr>
          <w:lang w:val="uk-UA"/>
        </w:rPr>
        <w:t>’</w:t>
      </w:r>
      <w:r w:rsidRPr="0005215F">
        <w:rPr>
          <w:lang w:val="uk-UA"/>
        </w:rPr>
        <w:t xml:space="preserve">язання провести розслідування, дотримання процесуальних вимог за статтею 2 Конвенції оцінюється на підставі декількох основних критеріїв: належність слідчих дій, оперативність розслідування, залучення членів родини померлого та незалежність розслідування. Ці елементи є </w:t>
      </w:r>
      <w:r w:rsidRPr="0005215F">
        <w:rPr>
          <w:lang w:val="uk-UA"/>
        </w:rPr>
        <w:t>взаємопов</w:t>
      </w:r>
      <w:r w:rsidRPr="0005215F" w:rsidR="0005215F">
        <w:rPr>
          <w:lang w:val="uk-UA"/>
        </w:rPr>
        <w:t>’</w:t>
      </w:r>
      <w:r w:rsidRPr="0005215F">
        <w:rPr>
          <w:lang w:val="uk-UA"/>
        </w:rPr>
        <w:t>язаними і кожен з них окремо не може бути самоціллю (там само, пункт 225).</w:t>
      </w:r>
    </w:p>
    <w:p w:rsidRPr="0005215F" w:rsidR="0005215F" w:rsidP="0005215F" w14:paraId="25ED722D" w14:textId="77777777">
      <w:pPr>
        <w:pStyle w:val="JuPara"/>
        <w:rPr>
          <w:lang w:val="uk-UA"/>
        </w:rPr>
      </w:pPr>
      <w:r w:rsidRPr="0005215F">
        <w:rPr>
          <w:lang w:val="uk-UA"/>
        </w:rPr>
        <w:t>7.  </w:t>
      </w:r>
      <w:r w:rsidRPr="0005215F" w:rsidR="00B64845">
        <w:rPr>
          <w:lang w:val="uk-UA"/>
        </w:rPr>
        <w:t>До того ж це зобов</w:t>
      </w:r>
      <w:r w:rsidRPr="0005215F">
        <w:rPr>
          <w:lang w:val="uk-UA"/>
        </w:rPr>
        <w:t>’</w:t>
      </w:r>
      <w:r w:rsidRPr="0005215F" w:rsidR="00B64845">
        <w:rPr>
          <w:lang w:val="uk-UA"/>
        </w:rPr>
        <w:t>язання не є обов</w:t>
      </w:r>
      <w:r w:rsidRPr="0005215F">
        <w:rPr>
          <w:lang w:val="uk-UA"/>
        </w:rPr>
        <w:t>’</w:t>
      </w:r>
      <w:r w:rsidRPr="0005215F" w:rsidR="00B64845">
        <w:rPr>
          <w:lang w:val="uk-UA"/>
        </w:rPr>
        <w:t>язком досягнення результатів, а обов</w:t>
      </w:r>
      <w:r w:rsidRPr="0005215F">
        <w:rPr>
          <w:lang w:val="uk-UA"/>
        </w:rPr>
        <w:t>’</w:t>
      </w:r>
      <w:r w:rsidRPr="0005215F" w:rsidR="00B64845">
        <w:rPr>
          <w:lang w:val="uk-UA"/>
        </w:rPr>
        <w:t>язком вжиття заходів. Суд погоджується, що не кожне розслідування обов</w:t>
      </w:r>
      <w:r w:rsidRPr="0005215F">
        <w:rPr>
          <w:lang w:val="uk-UA"/>
        </w:rPr>
        <w:t>’</w:t>
      </w:r>
      <w:r w:rsidRPr="0005215F" w:rsidR="00B64845">
        <w:rPr>
          <w:lang w:val="uk-UA"/>
        </w:rPr>
        <w:t xml:space="preserve">язково має бути успішним або дійти висновку, який збігається з викладом подій скаржника. Проте воно, у принципі, має бути здатним призвести до встановлення фактів справи, а якщо твердження виявляться правдивими – до встановлення та покарання винних осіб (див. рішення у справі «Пол та Одрі Едвардс проти Сполученого Королівства» </w:t>
      </w:r>
      <w:r w:rsidRPr="0005215F" w:rsidR="00B64845">
        <w:rPr>
          <w:i/>
          <w:iCs/>
          <w:lang w:val="uk-UA"/>
        </w:rPr>
        <w:t xml:space="preserve">(Paul and Audrey Edwards v. the United Kingdom), </w:t>
      </w:r>
      <w:r w:rsidRPr="0005215F" w:rsidR="00B64845">
        <w:rPr>
          <w:lang w:val="uk-UA"/>
        </w:rPr>
        <w:t>заява № 46477/99, пункт 71, ЄСПЛ 2002-II).</w:t>
      </w:r>
    </w:p>
    <w:p w:rsidRPr="0005215F" w:rsidR="00B64845" w:rsidP="0005215F" w14:paraId="4442DDD6" w14:textId="4221CE20">
      <w:pPr>
        <w:pStyle w:val="JuPara"/>
        <w:rPr>
          <w:lang w:val="uk-UA"/>
        </w:rPr>
      </w:pPr>
      <w:r w:rsidRPr="0005215F">
        <w:rPr>
          <w:lang w:val="uk-UA"/>
        </w:rPr>
        <w:t>8.  </w:t>
      </w:r>
      <w:r w:rsidRPr="0005215F">
        <w:rPr>
          <w:lang w:val="uk-UA"/>
        </w:rPr>
        <w:t>Розглядаючи факти цієї справи у контексті зазначених принципів, Суд вважає, що розслідування характеризувалося різними недоліками, які підірвали здатність органів досудового розслідування встановити обставини смерті, а також відповідальних осіб, якщо такі були. Конкретні недоліки вказані в таблиці у додатку.</w:t>
      </w:r>
    </w:p>
    <w:p w:rsidRPr="0005215F" w:rsidR="00980C9A" w:rsidP="0005215F" w14:paraId="02AB5DD6" w14:textId="6FBDA806">
      <w:pPr>
        <w:pStyle w:val="JuPara"/>
        <w:rPr>
          <w:lang w:val="uk-UA"/>
        </w:rPr>
      </w:pPr>
      <w:r w:rsidRPr="0005215F">
        <w:rPr>
          <w:lang w:val="uk-UA"/>
        </w:rPr>
        <w:t>9.  </w:t>
      </w:r>
      <w:r w:rsidRPr="0005215F">
        <w:rPr>
          <w:lang w:val="uk-UA"/>
        </w:rPr>
        <w:t xml:space="preserve">У керівних справах «Качурка проти України» </w:t>
      </w:r>
      <w:r w:rsidRPr="0005215F">
        <w:rPr>
          <w:i/>
          <w:iCs/>
          <w:lang w:val="uk-UA"/>
        </w:rPr>
        <w:t xml:space="preserve">(Kachurka v. Ukraine), </w:t>
      </w:r>
      <w:r w:rsidRPr="0005215F">
        <w:rPr>
          <w:lang w:val="uk-UA"/>
        </w:rPr>
        <w:t xml:space="preserve">заява № 4737/06, від 15 вересня 2011 року), «Поживотько проти України» </w:t>
      </w:r>
      <w:r w:rsidRPr="0005215F">
        <w:rPr>
          <w:i/>
          <w:iCs/>
          <w:lang w:val="uk-UA"/>
        </w:rPr>
        <w:t>(Pozhyvotko v. Ukraine),</w:t>
      </w:r>
      <w:r w:rsidRPr="0005215F">
        <w:rPr>
          <w:lang w:val="uk-UA"/>
        </w:rPr>
        <w:t xml:space="preserve"> заява № 42752/08, від 17 жовтня 2013 року та «Басюк проти України» </w:t>
      </w:r>
      <w:r w:rsidRPr="0005215F">
        <w:rPr>
          <w:i/>
          <w:iCs/>
          <w:lang w:val="uk-UA"/>
        </w:rPr>
        <w:t>(Basyuk v. Ukraine),</w:t>
      </w:r>
      <w:r w:rsidRPr="0005215F">
        <w:rPr>
          <w:lang w:val="uk-UA"/>
        </w:rPr>
        <w:t xml:space="preserve"> заява № 51151/10, від 05 листопада 2015 року) Суд вже встановлював порушення щодо питань, аналогічних тим, що розглядаються у цій справі.</w:t>
      </w:r>
    </w:p>
    <w:p w:rsidRPr="0005215F" w:rsidR="00980C9A" w:rsidP="0005215F" w14:paraId="3F3591BA" w14:textId="77777777">
      <w:pPr>
        <w:pStyle w:val="JuPara"/>
        <w:rPr>
          <w:lang w:val="uk-UA"/>
        </w:rPr>
      </w:pPr>
      <w:r w:rsidRPr="0005215F">
        <w:rPr>
          <w:lang w:val="uk-UA"/>
        </w:rPr>
        <w:t>10.  </w:t>
      </w:r>
      <w:r w:rsidRPr="0005215F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розслідування не відповідало критерію ефективності.</w:t>
      </w:r>
    </w:p>
    <w:p w:rsidRPr="0005215F" w:rsidR="002D74A6" w:rsidP="0005215F" w14:paraId="7DDADFFA" w14:textId="4EA80031">
      <w:pPr>
        <w:pStyle w:val="JuPara"/>
        <w:rPr>
          <w:lang w:val="uk-UA"/>
        </w:rPr>
      </w:pPr>
      <w:r w:rsidRPr="0005215F">
        <w:rPr>
          <w:lang w:val="uk-UA"/>
        </w:rPr>
        <w:t>11.  </w:t>
      </w:r>
      <w:r w:rsidRPr="0005215F" w:rsidR="00980C9A">
        <w:rPr>
          <w:lang w:val="uk-UA"/>
        </w:rPr>
        <w:t>Отже, ці скарги є прийнятними та свідчать про порушення процесуального аспекту статті 2 Конвенції.</w:t>
      </w:r>
    </w:p>
    <w:p w:rsidRPr="0005215F" w:rsidR="002D74A6" w:rsidP="0005215F" w14:paraId="50CF8496" w14:textId="06A505C0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05215F">
        <w:rPr>
          <w:lang w:val="uk-UA"/>
        </w:rPr>
        <w:t>ЗАСТОСУВАННЯ СТАТТІ 41 КОНВЕНЦІЇ</w:t>
      </w:r>
    </w:p>
    <w:p w:rsidRPr="0005215F" w:rsidR="00980C9A" w:rsidP="0005215F" w14:paraId="651AEBA3" w14:textId="7924EB7B">
      <w:pPr>
        <w:pStyle w:val="JuPara"/>
        <w:rPr>
          <w:lang w:val="uk-UA"/>
        </w:rPr>
      </w:pPr>
      <w:r w:rsidRPr="0005215F">
        <w:rPr>
          <w:lang w:val="uk-UA"/>
        </w:rPr>
        <w:t xml:space="preserve">12.  З огляду на наявні в нього документи та свою практику (див., зокрема, згадане рішення у справі «Басюк проти України» </w:t>
      </w:r>
      <w:r w:rsidRPr="0005215F">
        <w:rPr>
          <w:i/>
          <w:iCs/>
          <w:lang w:val="uk-UA"/>
        </w:rPr>
        <w:t xml:space="preserve">(Basyuk v. Ukraine), </w:t>
      </w:r>
      <w:r w:rsidRPr="0005215F">
        <w:rPr>
          <w:lang w:val="uk-UA"/>
        </w:rPr>
        <w:t>пункти 74 – 80) Суд вважає за доцільне присудити суми, зазначені у таблиці в додатку.</w:t>
      </w:r>
    </w:p>
    <w:p w:rsidRPr="0005215F" w:rsidR="002D74A6" w:rsidP="0005215F" w14:paraId="5B141C2B" w14:textId="26A78232">
      <w:pPr>
        <w:pStyle w:val="JuHHead"/>
        <w:jc w:val="left"/>
        <w:rPr>
          <w:lang w:val="uk-UA"/>
        </w:rPr>
      </w:pPr>
      <w:r w:rsidRPr="0005215F">
        <w:rPr>
          <w:lang w:val="uk-UA"/>
        </w:rPr>
        <w:t>ЗА ЦИХ ПІДСТАВ СУД ОДНОГОЛОСНО</w:t>
      </w:r>
    </w:p>
    <w:p w:rsidRPr="0005215F" w:rsidR="002D74A6" w:rsidP="0005215F" w14:paraId="2D897A4F" w14:textId="2113C21D">
      <w:pPr>
        <w:pStyle w:val="JuList"/>
        <w:keepNext/>
        <w:keepLines/>
        <w:rPr>
          <w:lang w:val="uk-UA"/>
        </w:rPr>
      </w:pPr>
      <w:r w:rsidRPr="0005215F">
        <w:rPr>
          <w:i/>
          <w:iCs/>
          <w:lang w:val="uk-UA"/>
        </w:rPr>
        <w:t xml:space="preserve">Оголошує </w:t>
      </w:r>
      <w:r w:rsidRPr="0005215F">
        <w:rPr>
          <w:iCs/>
          <w:lang w:val="uk-UA"/>
        </w:rPr>
        <w:t>заяву прийнятною;</w:t>
      </w:r>
    </w:p>
    <w:p w:rsidRPr="0005215F" w:rsidR="00980C9A" w:rsidP="0005215F" w14:paraId="70D1D508" w14:textId="76239535">
      <w:pPr>
        <w:pStyle w:val="JuList"/>
        <w:rPr>
          <w:rFonts w:cstheme="minorHAnsi"/>
          <w:bCs/>
          <w:lang w:val="uk-UA"/>
        </w:rPr>
      </w:pPr>
      <w:r w:rsidRPr="0005215F">
        <w:rPr>
          <w:i/>
          <w:lang w:val="uk-UA"/>
        </w:rPr>
        <w:t xml:space="preserve">Постановляє, </w:t>
      </w:r>
      <w:r w:rsidRPr="0005215F">
        <w:rPr>
          <w:iCs/>
          <w:lang w:val="uk-UA"/>
        </w:rPr>
        <w:t>що ця заява свідчить про порушення статті 2 Конвенції у зв</w:t>
      </w:r>
      <w:r w:rsidRPr="0005215F" w:rsidR="0005215F">
        <w:rPr>
          <w:iCs/>
          <w:lang w:val="uk-UA"/>
        </w:rPr>
        <w:t>’</w:t>
      </w:r>
      <w:r w:rsidRPr="0005215F">
        <w:rPr>
          <w:iCs/>
          <w:lang w:val="uk-UA"/>
        </w:rPr>
        <w:t>язку з неефективним розслідуванням смерті доньки заявниці;</w:t>
      </w:r>
    </w:p>
    <w:p w:rsidRPr="0005215F" w:rsidR="002D74A6" w:rsidP="0005215F" w14:paraId="61732E5E" w14:textId="0007F0E1">
      <w:pPr>
        <w:pStyle w:val="JuList"/>
        <w:keepNext/>
        <w:keepLines/>
        <w:rPr>
          <w:rFonts w:cstheme="minorHAnsi"/>
          <w:bCs/>
          <w:lang w:val="uk-UA"/>
        </w:rPr>
      </w:pPr>
      <w:r w:rsidRPr="0005215F">
        <w:rPr>
          <w:i/>
          <w:lang w:val="uk-UA"/>
        </w:rPr>
        <w:t xml:space="preserve">Постановляє, </w:t>
      </w:r>
      <w:r w:rsidRPr="0005215F">
        <w:rPr>
          <w:iCs/>
          <w:lang w:val="uk-UA"/>
        </w:rPr>
        <w:t>що:</w:t>
      </w:r>
    </w:p>
    <w:p w:rsidRPr="0005215F" w:rsidR="00980C9A" w:rsidP="0005215F" w14:paraId="0547B19B" w14:textId="2FDBA781">
      <w:pPr>
        <w:pStyle w:val="JuLista"/>
        <w:keepNext/>
        <w:keepLines/>
        <w:rPr>
          <w:lang w:val="uk-UA"/>
        </w:rPr>
      </w:pPr>
      <w:r w:rsidRPr="0005215F">
        <w:rPr>
          <w:lang w:val="uk-UA"/>
        </w:rPr>
        <w:t>упродовж трьох місяців держава-відповідач повинна сплатити заявниці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05215F" w:rsidR="00621074" w:rsidP="0005215F" w14:paraId="523F480E" w14:textId="4320B1AA">
      <w:pPr>
        <w:pStyle w:val="JuLista"/>
        <w:keepNext/>
        <w:keepLines/>
        <w:rPr>
          <w:lang w:val="uk-UA"/>
        </w:rPr>
      </w:pPr>
      <w:r w:rsidRPr="0005215F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5215F">
        <w:rPr>
          <w:i/>
          <w:iCs/>
          <w:lang w:val="uk-UA"/>
        </w:rPr>
        <w:t xml:space="preserve">(simple interest) </w:t>
      </w:r>
      <w:r w:rsidRPr="0005215F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5215F">
        <w:rPr>
          <w:spacing w:val="-2"/>
          <w:lang w:val="uk-UA"/>
        </w:rPr>
        <w:t>.</w:t>
      </w:r>
    </w:p>
    <w:p w:rsidRPr="0005215F" w:rsidR="00980C9A" w:rsidP="0005215F" w14:paraId="3819394C" w14:textId="0529D87B">
      <w:pPr>
        <w:pStyle w:val="JuParaLast"/>
        <w:rPr>
          <w:lang w:val="uk-UA"/>
        </w:rPr>
      </w:pPr>
      <w:r w:rsidRPr="0005215F">
        <w:rPr>
          <w:lang w:val="uk-UA"/>
        </w:rPr>
        <w:t>Учинено англійською мовою та повідомлено письмово 28 травня 2025 року відповідно до пунктів 2 і 3 Правила 77 Регламенту Суду.</w:t>
      </w:r>
    </w:p>
    <w:tbl>
      <w:tblPr>
        <w:tblW w:w="0" w:type="auto"/>
        <w:tblLook w:val="04A0"/>
      </w:tblPr>
      <w:tblGrid>
        <w:gridCol w:w="3691"/>
        <w:gridCol w:w="3667"/>
      </w:tblGrid>
      <w:tr w:rsidTr="00980C9A" w14:paraId="32FA58D0" w14:textId="77777777">
        <w:tblPrEx>
          <w:tblW w:w="0" w:type="auto"/>
          <w:tblLook w:val="04A0"/>
        </w:tblPrEx>
        <w:tc>
          <w:tcPr>
            <w:tcW w:w="3787" w:type="dxa"/>
            <w:hideMark/>
          </w:tcPr>
          <w:p w:rsidRPr="0005215F" w:rsidR="00980C9A" w:rsidP="0005215F" w14:paraId="06002D0C" w14:textId="77777777">
            <w:pPr>
              <w:pStyle w:val="ECHRPlaceholder"/>
              <w:jc w:val="center"/>
              <w:rPr>
                <w:rFonts w:eastAsia="PMingLiU"/>
                <w:color w:val="auto"/>
                <w:lang w:val="uk-UA"/>
              </w:rPr>
            </w:pPr>
            <w:r w:rsidRPr="0005215F">
              <w:rPr>
                <w:rFonts w:eastAsia="PMingLiU"/>
                <w:color w:val="auto"/>
                <w:lang w:val="uk-UA"/>
              </w:rPr>
              <w:t>Вікторія Марадудіна</w:t>
            </w:r>
            <w:r w:rsidRPr="0005215F">
              <w:rPr>
                <w:rFonts w:eastAsia="PMingLiU"/>
                <w:i/>
                <w:color w:val="auto"/>
                <w:lang w:val="uk-UA"/>
              </w:rPr>
              <w:br/>
              <w:t>(Viktoriya Maradudina)</w:t>
            </w:r>
            <w:r w:rsidRPr="0005215F">
              <w:rPr>
                <w:rFonts w:eastAsia="PMingLiU"/>
                <w:i/>
                <w:color w:val="auto"/>
                <w:lang w:val="uk-UA"/>
              </w:rPr>
              <w:br/>
            </w:r>
            <w:r w:rsidRPr="0005215F">
              <w:rPr>
                <w:rFonts w:eastAsia="PMingLiU"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7" w:type="dxa"/>
            <w:hideMark/>
          </w:tcPr>
          <w:p w:rsidRPr="0005215F" w:rsidR="00980C9A" w:rsidP="0005215F" w14:paraId="4FCCE7F8" w14:textId="77777777">
            <w:pPr>
              <w:pStyle w:val="ECHRPlaceholder"/>
              <w:jc w:val="center"/>
              <w:rPr>
                <w:rFonts w:eastAsia="PMingLiU"/>
                <w:color w:val="auto"/>
                <w:lang w:val="uk-UA"/>
              </w:rPr>
            </w:pPr>
            <w:r w:rsidRPr="0005215F">
              <w:rPr>
                <w:rFonts w:eastAsia="PMingLiU"/>
                <w:color w:val="auto"/>
                <w:lang w:val="uk-UA"/>
              </w:rPr>
              <w:t>Діана Сирку</w:t>
            </w:r>
          </w:p>
          <w:p w:rsidRPr="0005215F" w:rsidR="00980C9A" w:rsidP="0005215F" w14:paraId="02EC014B" w14:textId="77777777">
            <w:pPr>
              <w:pStyle w:val="ECHRPlaceholder"/>
              <w:spacing w:before="0"/>
              <w:jc w:val="center"/>
              <w:rPr>
                <w:rFonts w:eastAsia="PMingLiU"/>
                <w:color w:val="auto"/>
                <w:lang w:val="uk-UA"/>
              </w:rPr>
            </w:pPr>
            <w:r w:rsidRPr="0005215F">
              <w:rPr>
                <w:rFonts w:eastAsia="PMingLiU"/>
                <w:i/>
                <w:iCs/>
                <w:color w:val="auto"/>
                <w:lang w:val="uk-UA"/>
              </w:rPr>
              <w:t>(Diana Sârcu)</w:t>
            </w:r>
            <w:r w:rsidRPr="0005215F">
              <w:rPr>
                <w:rFonts w:eastAsia="PMingLiU"/>
                <w:color w:val="auto"/>
                <w:lang w:val="uk-UA"/>
              </w:rPr>
              <w:br/>
              <w:t>Голова</w:t>
            </w:r>
          </w:p>
        </w:tc>
      </w:tr>
    </w:tbl>
    <w:p w:rsidRPr="0005215F" w:rsidR="00BD554D" w:rsidP="0005215F" w14:paraId="5C5E135B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</w:pPr>
    </w:p>
    <w:p w:rsidRPr="0005215F" w:rsidR="00606600" w:rsidP="0005215F" w14:paraId="20198278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05215F" w:rsidR="00606600" w:rsidP="0005215F" w14:paraId="0DAF0B77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5215F" w:rsidR="00606600" w:rsidP="0005215F" w14:paraId="0F578DDB" w14:textId="6405BC78">
      <w:pPr>
        <w:pStyle w:val="DecHTitle"/>
        <w:spacing w:after="0"/>
        <w:ind w:right="-6"/>
        <w:rPr>
          <w:lang w:val="uk-UA"/>
        </w:rPr>
      </w:pPr>
      <w:r w:rsidRPr="0005215F">
        <w:rPr>
          <w:lang w:val="uk-UA"/>
        </w:rPr>
        <w:t>ДОДАТОК</w:t>
      </w:r>
    </w:p>
    <w:p w:rsidRPr="0005215F" w:rsidR="00980C9A" w:rsidP="0005215F" w14:paraId="376F1BDE" w14:textId="35E3F610">
      <w:pPr>
        <w:pStyle w:val="DecHCase"/>
        <w:contextualSpacing/>
        <w:rPr>
          <w:color w:val="3E3E3E" w:themeColor="background2" w:themeShade="40"/>
          <w:lang w:val="uk-UA"/>
        </w:rPr>
      </w:pPr>
      <w:r w:rsidRPr="0005215F">
        <w:rPr>
          <w:color w:val="3E3E3E" w:themeColor="background2" w:themeShade="40"/>
          <w:lang w:val="uk-UA"/>
        </w:rPr>
        <w:t>Заява зі скаргами за статтею 2 Конвенції</w:t>
      </w:r>
    </w:p>
    <w:p w:rsidRPr="0005215F" w:rsidR="00606600" w:rsidP="0005215F" w14:paraId="1C57A606" w14:textId="7C31B1E5">
      <w:pPr>
        <w:pStyle w:val="DecHCase"/>
        <w:rPr>
          <w:color w:val="3E3E3E" w:themeColor="background2" w:themeShade="40"/>
          <w:lang w:val="uk-UA"/>
        </w:rPr>
      </w:pPr>
      <w:r w:rsidRPr="0005215F">
        <w:rPr>
          <w:color w:val="3E3E3E" w:themeColor="background2" w:themeShade="40"/>
          <w:lang w:val="uk-UA"/>
        </w:rPr>
        <w:t xml:space="preserve">(непроведення ефективного розслідування смерті чи дорожньо-транспортних пригод, </w:t>
      </w:r>
      <w:r w:rsidRPr="0005215F" w:rsidR="006E1CDA">
        <w:rPr>
          <w:color w:val="3E3E3E" w:themeColor="background2" w:themeShade="40"/>
          <w:lang w:val="uk-UA"/>
        </w:rPr>
        <w:br/>
      </w:r>
      <w:r w:rsidRPr="0005215F">
        <w:rPr>
          <w:color w:val="3E3E3E" w:themeColor="background2" w:themeShade="40"/>
          <w:lang w:val="uk-UA"/>
        </w:rPr>
        <w:t>які становили загрозу життю, до яких не були причетні представники держави)</w:t>
      </w:r>
    </w:p>
    <w:tbl>
      <w:tblPr>
        <w:tblStyle w:val="ECHRListTable"/>
        <w:tblW w:w="12328" w:type="dxa"/>
        <w:jc w:val="center"/>
        <w:tblLook w:val="0420"/>
      </w:tblPr>
      <w:tblGrid>
        <w:gridCol w:w="944"/>
        <w:gridCol w:w="1179"/>
        <w:gridCol w:w="3909"/>
        <w:gridCol w:w="3828"/>
        <w:gridCol w:w="1334"/>
        <w:gridCol w:w="1134"/>
      </w:tblGrid>
      <w:tr w:rsidTr="002D265F" w14:paraId="52FCE425" w14:textId="77777777">
        <w:tblPrEx>
          <w:tblW w:w="12328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05215F" w:rsidR="00621074" w:rsidP="0005215F" w14:paraId="4708E8BA" w14:textId="1C90135A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05215F">
              <w:rPr>
                <w:bCs/>
                <w:sz w:val="16"/>
                <w:lang w:val="uk-UA"/>
              </w:rPr>
              <w:t>№ заяви</w:t>
            </w:r>
            <w:r w:rsidRPr="0005215F">
              <w:rPr>
                <w:sz w:val="16"/>
                <w:lang w:val="uk-UA"/>
              </w:rPr>
              <w:br/>
            </w:r>
            <w:r w:rsidRPr="0005215F">
              <w:rPr>
                <w:bCs/>
                <w:sz w:val="16"/>
                <w:lang w:val="uk-UA"/>
              </w:rPr>
              <w:t>Дата подання</w:t>
            </w:r>
          </w:p>
        </w:tc>
        <w:tc>
          <w:tcPr>
            <w:tcW w:w="0" w:type="auto"/>
          </w:tcPr>
          <w:p w:rsidRPr="0005215F" w:rsidR="00980C9A" w:rsidP="0005215F" w14:paraId="14CD0545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П.І.Б. заявника</w:t>
            </w:r>
          </w:p>
          <w:p w:rsidRPr="0005215F" w:rsidR="00980C9A" w:rsidP="0005215F" w14:paraId="184FDB18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Рік народження</w:t>
            </w:r>
          </w:p>
          <w:p w:rsidRPr="0005215F" w:rsidR="00621074" w:rsidP="0005215F" w14:paraId="7350E596" w14:textId="6EE9A788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909" w:type="dxa"/>
          </w:tcPr>
          <w:p w:rsidRPr="0005215F" w:rsidR="00621074" w:rsidP="0005215F" w14:paraId="01848DF4" w14:textId="7DE4C693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Події, що передували справі, та провадження на національному рівні</w:t>
            </w:r>
          </w:p>
        </w:tc>
        <w:tc>
          <w:tcPr>
            <w:tcW w:w="3828" w:type="dxa"/>
          </w:tcPr>
          <w:p w:rsidRPr="0005215F" w:rsidR="00621074" w:rsidP="0005215F" w14:paraId="554670D4" w14:textId="12B6AECF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Ключові питання</w:t>
            </w:r>
          </w:p>
        </w:tc>
        <w:tc>
          <w:tcPr>
            <w:tcW w:w="1134" w:type="dxa"/>
          </w:tcPr>
          <w:p w:rsidRPr="0005215F" w:rsidR="00980C9A" w:rsidP="0005215F" w14:paraId="39686838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Сума, присуджена кожному заявнику в якості відшкодування моральної шкоди</w:t>
            </w:r>
          </w:p>
          <w:p w:rsidRPr="0005215F" w:rsidR="00621074" w:rsidP="0005215F" w14:paraId="1ED224D3" w14:textId="7572F399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(в євро</w:t>
            </w:r>
            <w:r w:rsidRPr="0005215F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  <w:tc>
          <w:tcPr>
            <w:tcW w:w="1134" w:type="dxa"/>
          </w:tcPr>
          <w:p w:rsidRPr="0005215F" w:rsidR="00621074" w:rsidP="0005215F" w14:paraId="4702D6F2" w14:textId="19CFF8CA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05215F">
              <w:rPr>
                <w:sz w:val="16"/>
                <w:lang w:val="uk-UA"/>
              </w:rPr>
              <w:t>)</w:t>
            </w:r>
            <w:r>
              <w:rPr>
                <w:rStyle w:val="FootnoteReference"/>
                <w:sz w:val="16"/>
                <w:lang w:val="uk-UA"/>
              </w:rPr>
              <w:footnoteReference w:id="3"/>
            </w:r>
          </w:p>
        </w:tc>
      </w:tr>
      <w:tr w:rsidTr="002D265F" w14:paraId="6DF92B54" w14:textId="77777777">
        <w:tblPrEx>
          <w:tblW w:w="12328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05215F" w:rsidR="00621074" w:rsidP="0005215F" w14:paraId="4AC93E4D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24315/24</w:t>
            </w:r>
          </w:p>
          <w:p w:rsidRPr="0005215F" w:rsidR="00621074" w:rsidP="0005215F" w14:paraId="2567E82A" w14:textId="49EB7EC4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30</w:t>
            </w:r>
            <w:r w:rsidRPr="0005215F" w:rsidR="00980C9A">
              <w:rPr>
                <w:sz w:val="16"/>
                <w:lang w:val="uk-UA"/>
              </w:rPr>
              <w:t>.</w:t>
            </w:r>
            <w:r w:rsidRPr="0005215F">
              <w:rPr>
                <w:sz w:val="16"/>
                <w:lang w:val="uk-UA"/>
              </w:rPr>
              <w:t>07</w:t>
            </w:r>
            <w:r w:rsidRPr="0005215F" w:rsidR="00980C9A">
              <w:rPr>
                <w:sz w:val="16"/>
                <w:lang w:val="uk-UA"/>
              </w:rPr>
              <w:t>.</w:t>
            </w:r>
            <w:r w:rsidRPr="0005215F">
              <w:rPr>
                <w:sz w:val="16"/>
                <w:lang w:val="uk-UA"/>
              </w:rPr>
              <w:t>2024</w:t>
            </w:r>
          </w:p>
        </w:tc>
        <w:tc>
          <w:tcPr>
            <w:tcW w:w="0" w:type="auto"/>
          </w:tcPr>
          <w:p w:rsidRPr="0005215F" w:rsidR="00621074" w:rsidP="0005215F" w14:paraId="1E426515" w14:textId="359332E4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b/>
                <w:sz w:val="16"/>
                <w:lang w:val="uk-UA"/>
              </w:rPr>
              <w:t>Юлія Сергіївна МОРОЗОВА</w:t>
            </w:r>
          </w:p>
          <w:p w:rsidRPr="0005215F" w:rsidR="00621074" w:rsidP="0005215F" w14:paraId="742C9797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1979</w:t>
            </w:r>
          </w:p>
          <w:p w:rsidRPr="0005215F" w:rsidR="00621074" w:rsidP="0005215F" w14:paraId="6DC0683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909" w:type="dxa"/>
          </w:tcPr>
          <w:p w:rsidRPr="0005215F" w:rsidR="00621074" w:rsidP="0005215F" w14:paraId="096A5F8C" w14:textId="0A9625E8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22.11.2020 17-річна донька заявниці</w:t>
            </w:r>
            <w:r w:rsidRPr="0005215F" w:rsidR="00A066B3">
              <w:rPr>
                <w:sz w:val="16"/>
                <w:lang w:val="uk-UA"/>
              </w:rPr>
              <w:t>,</w:t>
            </w:r>
            <w:r w:rsidRPr="0005215F">
              <w:rPr>
                <w:sz w:val="16"/>
                <w:lang w:val="uk-UA"/>
              </w:rPr>
              <w:t xml:space="preserve"> Н.</w:t>
            </w:r>
            <w:r w:rsidRPr="0005215F" w:rsidR="00A066B3">
              <w:rPr>
                <w:sz w:val="16"/>
                <w:lang w:val="uk-UA"/>
              </w:rPr>
              <w:t>,</w:t>
            </w:r>
            <w:r w:rsidRPr="0005215F">
              <w:rPr>
                <w:sz w:val="16"/>
                <w:lang w:val="uk-UA"/>
              </w:rPr>
              <w:t xml:space="preserve"> померла під час </w:t>
            </w:r>
            <w:r w:rsidRPr="0005215F" w:rsidR="00AB2F3E">
              <w:rPr>
                <w:sz w:val="16"/>
                <w:lang w:val="uk-UA"/>
              </w:rPr>
              <w:t>відпочинку</w:t>
            </w:r>
            <w:r w:rsidRPr="0005215F">
              <w:rPr>
                <w:sz w:val="16"/>
                <w:lang w:val="uk-UA"/>
              </w:rPr>
              <w:t xml:space="preserve"> з</w:t>
            </w:r>
            <w:r w:rsidRPr="0005215F" w:rsidR="00AB2F3E">
              <w:rPr>
                <w:sz w:val="16"/>
                <w:lang w:val="uk-UA"/>
              </w:rPr>
              <w:t>і своїми</w:t>
            </w:r>
            <w:r w:rsidRPr="0005215F">
              <w:rPr>
                <w:sz w:val="16"/>
                <w:lang w:val="uk-UA"/>
              </w:rPr>
              <w:t xml:space="preserve"> друзями. Було </w:t>
            </w:r>
            <w:r w:rsidRPr="0005215F" w:rsidR="00AB2F3E">
              <w:rPr>
                <w:sz w:val="16"/>
                <w:lang w:val="uk-UA"/>
              </w:rPr>
              <w:t xml:space="preserve">розпочато </w:t>
            </w:r>
            <w:r w:rsidRPr="0005215F">
              <w:rPr>
                <w:sz w:val="16"/>
                <w:lang w:val="uk-UA"/>
              </w:rPr>
              <w:t xml:space="preserve">досудове розслідування. Було проведено окремі слідчі дії, включаючи огляд місця події, розтин </w:t>
            </w:r>
            <w:r w:rsidRPr="0005215F" w:rsidR="00A066B3">
              <w:rPr>
                <w:sz w:val="16"/>
                <w:lang w:val="uk-UA"/>
              </w:rPr>
              <w:t xml:space="preserve">і </w:t>
            </w:r>
            <w:r w:rsidRPr="0005215F">
              <w:rPr>
                <w:sz w:val="16"/>
                <w:lang w:val="uk-UA"/>
              </w:rPr>
              <w:t xml:space="preserve">допит </w:t>
            </w:r>
            <w:r w:rsidRPr="0005215F" w:rsidR="008525A2">
              <w:rPr>
                <w:sz w:val="16"/>
                <w:lang w:val="uk-UA"/>
              </w:rPr>
              <w:t>свідків</w:t>
            </w:r>
            <w:r w:rsidRPr="0005215F">
              <w:rPr>
                <w:sz w:val="16"/>
                <w:lang w:val="uk-UA"/>
              </w:rPr>
              <w:t>. В ході розслідування було встановлено, що смерть настала внаслідок отруєння, але слідів насильницького введення отруйної речовини виявлено</w:t>
            </w:r>
            <w:r w:rsidRPr="0005215F" w:rsidR="00AB2F3E">
              <w:rPr>
                <w:sz w:val="16"/>
                <w:lang w:val="uk-UA"/>
              </w:rPr>
              <w:t xml:space="preserve"> не було</w:t>
            </w:r>
            <w:r w:rsidRPr="0005215F">
              <w:rPr>
                <w:sz w:val="16"/>
                <w:lang w:val="uk-UA"/>
              </w:rPr>
              <w:t>.</w:t>
            </w:r>
            <w:r w:rsidRPr="0005215F" w:rsidR="00E471F3">
              <w:rPr>
                <w:sz w:val="16"/>
                <w:lang w:val="uk-UA"/>
              </w:rPr>
              <w:t xml:space="preserve"> Провадження закривалося та поновлювалося декілька разів (27.12.2020, 26.12.2022 та 13.12.2023). Постанови про закриття </w:t>
            </w:r>
            <w:r w:rsidRPr="0005215F" w:rsidR="00A066B3">
              <w:rPr>
                <w:sz w:val="16"/>
                <w:lang w:val="uk-UA"/>
              </w:rPr>
              <w:t xml:space="preserve">кримінального </w:t>
            </w:r>
            <w:r w:rsidRPr="0005215F" w:rsidR="00E471F3">
              <w:rPr>
                <w:sz w:val="16"/>
                <w:lang w:val="uk-UA"/>
              </w:rPr>
              <w:t>провадження згодом скасовували національні суди у зв</w:t>
            </w:r>
            <w:r w:rsidRPr="0005215F" w:rsidR="0005215F">
              <w:rPr>
                <w:sz w:val="16"/>
                <w:lang w:val="uk-UA"/>
              </w:rPr>
              <w:t>’</w:t>
            </w:r>
            <w:r w:rsidRPr="0005215F" w:rsidR="00E471F3">
              <w:rPr>
                <w:sz w:val="16"/>
                <w:lang w:val="uk-UA"/>
              </w:rPr>
              <w:t xml:space="preserve">язку з </w:t>
            </w:r>
            <w:r w:rsidRPr="0005215F" w:rsidR="00E471F3">
              <w:rPr>
                <w:sz w:val="16"/>
                <w:lang w:val="uk-UA"/>
              </w:rPr>
              <w:t>непроведенням</w:t>
            </w:r>
            <w:r w:rsidRPr="0005215F" w:rsidR="00E471F3">
              <w:rPr>
                <w:sz w:val="16"/>
                <w:lang w:val="uk-UA"/>
              </w:rPr>
              <w:t xml:space="preserve"> всебічного розслідування. Заявниця пода</w:t>
            </w:r>
            <w:r w:rsidRPr="0005215F" w:rsidR="00AB2F3E">
              <w:rPr>
                <w:sz w:val="16"/>
                <w:lang w:val="uk-UA"/>
              </w:rPr>
              <w:t>ва</w:t>
            </w:r>
            <w:r w:rsidRPr="0005215F" w:rsidR="00E471F3">
              <w:rPr>
                <w:sz w:val="16"/>
                <w:lang w:val="uk-UA"/>
              </w:rPr>
              <w:t xml:space="preserve">ла декілька клопотань про допит свідків, проведення судово-медичної експертизи, проведення обшуку місця проживання свідків </w:t>
            </w:r>
            <w:r w:rsidRPr="0005215F" w:rsidR="00A066B3">
              <w:rPr>
                <w:sz w:val="16"/>
                <w:lang w:val="uk-UA"/>
              </w:rPr>
              <w:t xml:space="preserve">і </w:t>
            </w:r>
            <w:r w:rsidRPr="0005215F" w:rsidR="00E471F3">
              <w:rPr>
                <w:sz w:val="16"/>
                <w:lang w:val="uk-UA"/>
              </w:rPr>
              <w:t xml:space="preserve">проведення негласних слідчих дій. Однак клопотання залишалися без відповіді. Заявниця стверджувала, що її не було належним чином повідомлено про постанову про закриття </w:t>
            </w:r>
            <w:r w:rsidRPr="0005215F" w:rsidR="008525A2">
              <w:rPr>
                <w:sz w:val="16"/>
                <w:lang w:val="uk-UA"/>
              </w:rPr>
              <w:t>кримінального провадження</w:t>
            </w:r>
            <w:r w:rsidRPr="0005215F" w:rsidR="00E471F3">
              <w:rPr>
                <w:sz w:val="16"/>
                <w:lang w:val="uk-UA"/>
              </w:rPr>
              <w:t xml:space="preserve"> від 13.12.2023, і вона дізналася про неї лише після того, як Уряд подав свої зауваження у справі. Вона також зазначила, що подала</w:t>
            </w:r>
            <w:r w:rsidRPr="0005215F" w:rsidR="00145530">
              <w:rPr>
                <w:sz w:val="16"/>
                <w:lang w:val="uk-UA"/>
              </w:rPr>
              <w:t xml:space="preserve"> скаргу</w:t>
            </w:r>
            <w:r w:rsidRPr="0005215F" w:rsidR="00E471F3">
              <w:rPr>
                <w:sz w:val="16"/>
                <w:lang w:val="uk-UA"/>
              </w:rPr>
              <w:t xml:space="preserve"> про скасування зазначеної постанови, як</w:t>
            </w:r>
            <w:r w:rsidRPr="0005215F" w:rsidR="00145530">
              <w:rPr>
                <w:sz w:val="16"/>
                <w:lang w:val="uk-UA"/>
              </w:rPr>
              <w:t>у</w:t>
            </w:r>
            <w:r w:rsidRPr="0005215F" w:rsidR="00E471F3">
              <w:rPr>
                <w:sz w:val="16"/>
                <w:lang w:val="uk-UA"/>
              </w:rPr>
              <w:t xml:space="preserve"> </w:t>
            </w:r>
            <w:r w:rsidRPr="0005215F" w:rsidR="00A066B3">
              <w:rPr>
                <w:sz w:val="16"/>
                <w:lang w:val="uk-UA"/>
              </w:rPr>
              <w:t xml:space="preserve">суд </w:t>
            </w:r>
            <w:r w:rsidRPr="0005215F" w:rsidR="00E471F3">
              <w:rPr>
                <w:sz w:val="16"/>
                <w:lang w:val="uk-UA"/>
              </w:rPr>
              <w:t>задовольнив 06.03.2025.</w:t>
            </w:r>
            <w:r w:rsidRPr="0005215F">
              <w:rPr>
                <w:sz w:val="16"/>
                <w:lang w:val="uk-UA"/>
              </w:rPr>
              <w:t xml:space="preserve"> </w:t>
            </w:r>
          </w:p>
        </w:tc>
        <w:tc>
          <w:tcPr>
            <w:tcW w:w="3828" w:type="dxa"/>
          </w:tcPr>
          <w:p w:rsidRPr="0005215F" w:rsidR="0005215F" w:rsidP="0005215F" w14:paraId="781F0DDD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 xml:space="preserve">Непроведення перевірки різних версій подій (рішення у справі «Юрій Слюсар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(Yuriy Slyusar v. Ukraine), </w:t>
            </w:r>
            <w:r w:rsidRPr="0005215F">
              <w:rPr>
                <w:sz w:val="16"/>
                <w:lang w:val="uk-UA"/>
              </w:rPr>
              <w:t>заява № 39797/05</w:t>
            </w:r>
            <w:r w:rsidRPr="0005215F" w:rsidR="00752E47">
              <w:rPr>
                <w:sz w:val="16"/>
                <w:lang w:val="uk-UA"/>
              </w:rPr>
              <w:t>,</w:t>
            </w:r>
            <w:r w:rsidRPr="0005215F">
              <w:rPr>
                <w:sz w:val="16"/>
                <w:lang w:val="uk-UA"/>
              </w:rPr>
              <w:t xml:space="preserve"> пункти 86 і 87, від 17 січня 2013 року),</w:t>
            </w:r>
          </w:p>
          <w:p w:rsidRPr="0005215F" w:rsidR="00CF1959" w:rsidP="0005215F" w14:paraId="19CA4B05" w14:textId="2141E5F1">
            <w:pPr>
              <w:jc w:val="center"/>
              <w:rPr>
                <w:sz w:val="16"/>
                <w:lang w:val="uk-UA"/>
              </w:rPr>
            </w:pPr>
          </w:p>
          <w:p w:rsidRPr="0005215F" w:rsidR="00F22CD0" w:rsidP="0005215F" w14:paraId="61B9AA34" w14:textId="4DA4B0DC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національні органи влади самі критикували процес проведення розслідування у зв</w:t>
            </w:r>
            <w:r w:rsidRPr="0005215F" w:rsidR="0005215F">
              <w:rPr>
                <w:sz w:val="16"/>
                <w:lang w:val="uk-UA"/>
              </w:rPr>
              <w:t>’</w:t>
            </w:r>
            <w:r w:rsidRPr="0005215F">
              <w:rPr>
                <w:sz w:val="16"/>
                <w:lang w:val="uk-UA"/>
              </w:rPr>
              <w:t xml:space="preserve">язку з його неефективністю (рішення у справах «Принда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(Prynda v. Ukraine), </w:t>
            </w:r>
            <w:r w:rsidRPr="0005215F">
              <w:rPr>
                <w:sz w:val="16"/>
                <w:lang w:val="uk-UA"/>
              </w:rPr>
              <w:t xml:space="preserve">заява № 10904/05, пункт 56, від 31 липня 2012 року та «Поживотько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(Pozhyvotko v. Ukraine), </w:t>
            </w:r>
            <w:r w:rsidRPr="0005215F">
              <w:rPr>
                <w:sz w:val="16"/>
                <w:lang w:val="uk-UA"/>
              </w:rPr>
              <w:t>заява № 42752/08, пункт 40,</w:t>
            </w:r>
            <w:r w:rsidRPr="0005215F" w:rsidR="00752E47">
              <w:rPr>
                <w:sz w:val="16"/>
                <w:lang w:val="uk-UA"/>
              </w:rPr>
              <w:t xml:space="preserve"> </w:t>
            </w:r>
            <w:r w:rsidRPr="0005215F">
              <w:rPr>
                <w:sz w:val="16"/>
                <w:lang w:val="uk-UA"/>
              </w:rPr>
              <w:t>від 17 жовтня 2013 року),</w:t>
            </w:r>
          </w:p>
          <w:p w:rsidRPr="0005215F" w:rsidR="00CF1959" w:rsidP="0005215F" w14:paraId="00ACBCC9" w14:textId="77777777">
            <w:pPr>
              <w:jc w:val="center"/>
              <w:rPr>
                <w:sz w:val="16"/>
                <w:lang w:val="uk-UA"/>
              </w:rPr>
            </w:pPr>
          </w:p>
          <w:p w:rsidRPr="0005215F" w:rsidR="00F22CD0" w:rsidP="0005215F" w14:paraId="37BEC807" w14:textId="0B385DD6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 xml:space="preserve">відсутність ретельності та оперативності підірвала здатність органів державної влади встановити обставини справи (рішення у справах «Ігор Шевченко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(Igor Shevchenko v. Ukraine), </w:t>
            </w:r>
            <w:r w:rsidRPr="0005215F">
              <w:rPr>
                <w:sz w:val="16"/>
                <w:lang w:val="uk-UA"/>
              </w:rPr>
              <w:t xml:space="preserve">заява № 22737/04, пункт 60, від 12 січня 2012 року; «Зубкова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(Zubkova v. Ukraine), </w:t>
            </w:r>
            <w:r w:rsidRPr="0005215F">
              <w:rPr>
                <w:sz w:val="16"/>
                <w:lang w:val="uk-UA"/>
              </w:rPr>
              <w:t xml:space="preserve">заява № 36660/08, пункт 40, </w:t>
            </w:r>
            <w:r w:rsidRPr="0005215F" w:rsidR="00A066B3">
              <w:rPr>
                <w:sz w:val="16"/>
                <w:lang w:val="uk-UA"/>
              </w:rPr>
              <w:br/>
            </w:r>
            <w:r w:rsidRPr="0005215F">
              <w:rPr>
                <w:sz w:val="16"/>
                <w:lang w:val="uk-UA"/>
              </w:rPr>
              <w:t>від 17 жовтня 2013 року),</w:t>
            </w:r>
          </w:p>
          <w:p w:rsidRPr="0005215F" w:rsidR="00CF1959" w:rsidP="0005215F" w14:paraId="7DD326CF" w14:textId="77777777">
            <w:pPr>
              <w:jc w:val="center"/>
              <w:rPr>
                <w:sz w:val="16"/>
                <w:lang w:val="uk-UA"/>
              </w:rPr>
            </w:pPr>
          </w:p>
          <w:p w:rsidRPr="0005215F" w:rsidR="00621074" w:rsidP="0005215F" w14:paraId="0FABF617" w14:textId="6BAECD16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 xml:space="preserve">органи досудового розслідування насправді не намагалися провести ретельне розслідування (рішення у справах «Любов Єфіменко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(Lyubov Efimenko v. Ukraine), </w:t>
            </w:r>
            <w:r w:rsidRPr="0005215F">
              <w:rPr>
                <w:sz w:val="16"/>
                <w:lang w:val="uk-UA"/>
              </w:rPr>
              <w:t xml:space="preserve">заява № 75726/01, пункти 76 – 80, від 25 листопада </w:t>
            </w:r>
            <w:r w:rsidRPr="0005215F" w:rsidR="00752E47">
              <w:rPr>
                <w:sz w:val="16"/>
                <w:lang w:val="uk-UA"/>
              </w:rPr>
              <w:t>2010 </w:t>
            </w:r>
            <w:r w:rsidRPr="0005215F">
              <w:rPr>
                <w:sz w:val="16"/>
                <w:lang w:val="uk-UA"/>
              </w:rPr>
              <w:t xml:space="preserve">року та «Юрій Слюсар проти України» </w:t>
            </w:r>
            <w:r w:rsidRPr="0005215F">
              <w:rPr>
                <w:i/>
                <w:iCs/>
                <w:sz w:val="16"/>
                <w:lang w:val="uk-UA"/>
              </w:rPr>
              <w:t xml:space="preserve">(Yuriy Slyusar v. Ukraine), </w:t>
            </w:r>
            <w:r w:rsidRPr="0005215F">
              <w:rPr>
                <w:sz w:val="16"/>
                <w:lang w:val="uk-UA"/>
              </w:rPr>
              <w:t>заява № 39797/05, пункти 84 – 88, від 17 січня 2013 року).</w:t>
            </w:r>
          </w:p>
        </w:tc>
        <w:tc>
          <w:tcPr>
            <w:tcW w:w="1134" w:type="dxa"/>
          </w:tcPr>
          <w:p w:rsidRPr="0005215F" w:rsidR="00621074" w:rsidP="0005215F" w14:paraId="530C8076" w14:textId="1F75D1C9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6</w:t>
            </w:r>
            <w:r w:rsidRPr="0005215F" w:rsidR="00980C9A">
              <w:rPr>
                <w:sz w:val="16"/>
                <w:lang w:val="uk-UA"/>
              </w:rPr>
              <w:t> </w:t>
            </w:r>
            <w:r w:rsidRPr="0005215F">
              <w:rPr>
                <w:sz w:val="16"/>
                <w:lang w:val="uk-UA"/>
              </w:rPr>
              <w:t>000</w:t>
            </w:r>
          </w:p>
        </w:tc>
        <w:tc>
          <w:tcPr>
            <w:tcW w:w="1134" w:type="dxa"/>
          </w:tcPr>
          <w:p w:rsidRPr="0005215F" w:rsidR="00621074" w:rsidP="0005215F" w14:paraId="21A910E0" w14:textId="77777777">
            <w:pPr>
              <w:jc w:val="center"/>
              <w:rPr>
                <w:sz w:val="16"/>
                <w:lang w:val="uk-UA"/>
              </w:rPr>
            </w:pPr>
            <w:r w:rsidRPr="0005215F">
              <w:rPr>
                <w:sz w:val="16"/>
                <w:lang w:val="uk-UA"/>
              </w:rPr>
              <w:t>250</w:t>
            </w:r>
          </w:p>
        </w:tc>
      </w:tr>
    </w:tbl>
    <w:p w:rsidRPr="0005215F" w:rsidR="00606600" w:rsidP="0005215F" w14:paraId="0B001A13" w14:textId="77777777">
      <w:pPr>
        <w:rPr>
          <w:sz w:val="4"/>
          <w:szCs w:val="4"/>
          <w:lang w:val="uk-UA"/>
        </w:rPr>
      </w:pPr>
    </w:p>
    <w:sectPr w:rsidSect="00621074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1812" w:bottom="1985" w:left="2127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6406AA10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63D64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D554D" w:rsidRPr="00611E1D" w:rsidP="00BD554D" w14:paraId="00CF526D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A63D64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150BFA" w:rsidP="0020718E" w14:paraId="5FBEE188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29309A" w14:paraId="38DF0210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56F33" w:rsidRPr="00611E1D" w:rsidP="00787E12" w14:paraId="48950F47" w14:textId="77777777">
      <w:r w:rsidRPr="00611E1D">
        <w:separator/>
      </w:r>
    </w:p>
  </w:footnote>
  <w:footnote w:type="continuationSeparator" w:id="1">
    <w:p w:rsidR="00456F33" w:rsidRPr="00611E1D" w:rsidP="00787E12" w14:paraId="2BA1AE24" w14:textId="77777777">
      <w:r w:rsidRPr="00611E1D">
        <w:continuationSeparator/>
      </w:r>
    </w:p>
  </w:footnote>
  <w:footnote w:id="2">
    <w:p w:rsidR="00621074" w:rsidRPr="00980C9A" w:rsidP="002D74A6" w14:paraId="065B3C62" w14:textId="6F0138A7">
      <w:pPr>
        <w:pStyle w:val="FootnoteText"/>
        <w:rPr>
          <w:sz w:val="16"/>
          <w:szCs w:val="16"/>
          <w:lang w:val="ru-RU"/>
        </w:rPr>
      </w:pPr>
      <w:r w:rsidRPr="002D74A6">
        <w:rPr>
          <w:rStyle w:val="FootnoteReference"/>
        </w:rPr>
        <w:footnoteRef/>
      </w:r>
      <w:r w:rsidRPr="00980C9A">
        <w:rPr>
          <w:rStyle w:val="FootnoteReference"/>
          <w:lang w:val="ru-RU"/>
        </w:rPr>
        <w:t xml:space="preserve"> </w:t>
      </w:r>
      <w:r w:rsidRPr="00B84AD2" w:rsidR="00980C9A">
        <w:rPr>
          <w:sz w:val="16"/>
          <w:szCs w:val="16"/>
          <w:lang w:val="uk-UA"/>
        </w:rPr>
        <w:t>Та додатково суму будь-якого податку, що може нараховуватися заявни</w:t>
      </w:r>
      <w:r w:rsidR="00980C9A">
        <w:rPr>
          <w:sz w:val="16"/>
          <w:szCs w:val="16"/>
          <w:lang w:val="uk-UA"/>
        </w:rPr>
        <w:t>ці</w:t>
      </w:r>
      <w:r w:rsidRPr="00980C9A">
        <w:rPr>
          <w:sz w:val="16"/>
          <w:szCs w:val="16"/>
          <w:lang w:val="ru-RU"/>
        </w:rPr>
        <w:t>.</w:t>
      </w:r>
    </w:p>
  </w:footnote>
  <w:footnote w:id="3">
    <w:p w:rsidR="00621074" w:rsidRPr="00980C9A" w:rsidP="002D74A6" w14:paraId="75283F7C" w14:textId="30641E73">
      <w:pPr>
        <w:pStyle w:val="FootnoteText"/>
        <w:rPr>
          <w:sz w:val="16"/>
          <w:szCs w:val="16"/>
          <w:lang w:val="ru-RU"/>
        </w:rPr>
      </w:pPr>
      <w:r w:rsidRPr="00621074">
        <w:rPr>
          <w:sz w:val="16"/>
          <w:szCs w:val="16"/>
        </w:rPr>
        <w:footnoteRef/>
      </w:r>
      <w:r w:rsidRPr="00980C9A">
        <w:rPr>
          <w:sz w:val="16"/>
          <w:szCs w:val="16"/>
          <w:lang w:val="ru-RU"/>
        </w:rPr>
        <w:t xml:space="preserve"> </w:t>
      </w:r>
      <w:r w:rsidRPr="00B84AD2" w:rsidR="00980C9A">
        <w:rPr>
          <w:sz w:val="16"/>
          <w:szCs w:val="16"/>
          <w:lang w:val="uk-UA"/>
        </w:rPr>
        <w:t>Та додатково суму будь-якого податку, що може нараховуватися заявни</w:t>
      </w:r>
      <w:r w:rsidR="00980C9A">
        <w:rPr>
          <w:sz w:val="16"/>
          <w:szCs w:val="16"/>
          <w:lang w:val="uk-UA"/>
        </w:rPr>
        <w:t>ці</w:t>
      </w:r>
      <w:r w:rsidRPr="00980C9A" w:rsidR="00980C9A">
        <w:rPr>
          <w:sz w:val="16"/>
          <w:szCs w:val="16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7723" w:rsidRPr="00A45145" w:rsidP="00A45145" w14:paraId="2B895C74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611E1D" w:rsidP="000318F7" w14:paraId="4FACA189" w14:textId="77777777">
    <w:pPr>
      <w:jc w:val="center"/>
      <w:rPr>
        <w:sz w:val="4"/>
        <w:szCs w:val="4"/>
      </w:rPr>
    </w:pPr>
  </w:p>
  <w:p w:rsidR="00606600" w:rsidRPr="00611E1D" w14:paraId="2CBDE4FB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74A6" w:rsidRPr="00A45145" w:rsidP="00A45145" w14:paraId="242C529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4F56E2" w:rsidP="008D51B6" w14:paraId="536A0A2B" w14:textId="77777777">
    <w:pPr>
      <w:pStyle w:val="Header0"/>
    </w:pPr>
  </w:p>
  <w:p w:rsidR="00606600" w:rsidRPr="00611E1D" w:rsidP="00B64153" w14:paraId="2614ED80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11639D" w:rsidP="0011639D" w14:paraId="7A352903" w14:textId="26A0B8E4">
    <w:pPr>
      <w:pStyle w:val="JuHeader"/>
      <w:rPr>
        <w:lang w:val="uk-UA"/>
      </w:rPr>
    </w:pPr>
    <w:r>
      <w:rPr>
        <w:lang w:val="uk-UA"/>
      </w:rPr>
      <w:t>РІШЕННЯ У СПРАВІ «МОРОЗОВА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11639D" w:rsidP="00BD554D" w14:paraId="37EC888C" w14:textId="3EC1534C">
    <w:pPr>
      <w:pStyle w:val="JuHeader"/>
      <w:rPr>
        <w:lang w:val="uk-UA"/>
      </w:rPr>
    </w:pPr>
    <w:r>
      <w:rPr>
        <w:lang w:val="uk-UA"/>
      </w:rPr>
      <w:t>РІШЕННЯ У СПРАВІ «МОРОЗОВА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639D" w:rsidRPr="0011639D" w:rsidP="0011639D" w14:paraId="3720DD38" w14:textId="77777777">
    <w:pPr>
      <w:pStyle w:val="JuHeader"/>
      <w:rPr>
        <w:lang w:val="uk-UA"/>
      </w:rPr>
    </w:pPr>
    <w:r>
      <w:rPr>
        <w:lang w:val="uk-UA"/>
      </w:rPr>
      <w:t>РІШЕННЯ У СПРАВІ «МОРОЗОВА ПРОТИ УКРАЇНИ»</w:t>
    </w:r>
  </w:p>
  <w:p w:rsidR="00606600" w:rsidRPr="0011639D" w:rsidP="0011639D" w14:paraId="79EC3485" w14:textId="7EE1CA75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6600" w:rsidRPr="00FC003D" w:rsidP="00FC003D" w14:paraId="40CB7AEE" w14:textId="10BF4120">
    <w:pPr>
      <w:pStyle w:val="JuHeader"/>
      <w:rPr>
        <w:lang w:val="uk-UA"/>
      </w:rPr>
    </w:pPr>
    <w:r>
      <w:rPr>
        <w:lang w:val="uk-UA"/>
      </w:rPr>
      <w:t>РІШЕННЯ У СПРАВІ «МОРОЗОВА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6"/>
  </w:num>
  <w:num w:numId="19">
    <w:abstractNumId w:val="10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4A6"/>
    <w:rsid w:val="000318F7"/>
    <w:rsid w:val="0005215F"/>
    <w:rsid w:val="000C5149"/>
    <w:rsid w:val="00114A35"/>
    <w:rsid w:val="0011639D"/>
    <w:rsid w:val="00135384"/>
    <w:rsid w:val="00145530"/>
    <w:rsid w:val="00150BFA"/>
    <w:rsid w:val="00173A91"/>
    <w:rsid w:val="00177329"/>
    <w:rsid w:val="001A15B6"/>
    <w:rsid w:val="001A3C4A"/>
    <w:rsid w:val="001D7CD3"/>
    <w:rsid w:val="001F3812"/>
    <w:rsid w:val="002056B7"/>
    <w:rsid w:val="0020718E"/>
    <w:rsid w:val="0023364D"/>
    <w:rsid w:val="0029309A"/>
    <w:rsid w:val="002A7072"/>
    <w:rsid w:val="002C5B23"/>
    <w:rsid w:val="002D0B37"/>
    <w:rsid w:val="002D265F"/>
    <w:rsid w:val="002D74A6"/>
    <w:rsid w:val="00337785"/>
    <w:rsid w:val="00341B2D"/>
    <w:rsid w:val="0037589C"/>
    <w:rsid w:val="003B3ECB"/>
    <w:rsid w:val="00456F33"/>
    <w:rsid w:val="0048584C"/>
    <w:rsid w:val="00497FF8"/>
    <w:rsid w:val="004B0B4E"/>
    <w:rsid w:val="004D042B"/>
    <w:rsid w:val="004D0EC7"/>
    <w:rsid w:val="004F56E2"/>
    <w:rsid w:val="00555A1D"/>
    <w:rsid w:val="00573202"/>
    <w:rsid w:val="005B102C"/>
    <w:rsid w:val="005B16C1"/>
    <w:rsid w:val="005C3A15"/>
    <w:rsid w:val="005F60F9"/>
    <w:rsid w:val="00606600"/>
    <w:rsid w:val="00611E1D"/>
    <w:rsid w:val="00621074"/>
    <w:rsid w:val="006372F5"/>
    <w:rsid w:val="00654457"/>
    <w:rsid w:val="00656431"/>
    <w:rsid w:val="00686F4E"/>
    <w:rsid w:val="006D324D"/>
    <w:rsid w:val="006E1CDA"/>
    <w:rsid w:val="00743B2A"/>
    <w:rsid w:val="00752E47"/>
    <w:rsid w:val="00766D89"/>
    <w:rsid w:val="00796DC9"/>
    <w:rsid w:val="007A72B4"/>
    <w:rsid w:val="007C699F"/>
    <w:rsid w:val="007F018A"/>
    <w:rsid w:val="007F3D67"/>
    <w:rsid w:val="00812CB3"/>
    <w:rsid w:val="008522DD"/>
    <w:rsid w:val="008525A2"/>
    <w:rsid w:val="00860732"/>
    <w:rsid w:val="008A0E2E"/>
    <w:rsid w:val="008D51B6"/>
    <w:rsid w:val="009522DD"/>
    <w:rsid w:val="00980C9A"/>
    <w:rsid w:val="009E7909"/>
    <w:rsid w:val="00A066B3"/>
    <w:rsid w:val="00A329E0"/>
    <w:rsid w:val="00A34A54"/>
    <w:rsid w:val="00A44415"/>
    <w:rsid w:val="00A45145"/>
    <w:rsid w:val="00A6104A"/>
    <w:rsid w:val="00A63D64"/>
    <w:rsid w:val="00A94CA7"/>
    <w:rsid w:val="00AB2F3E"/>
    <w:rsid w:val="00AC03BB"/>
    <w:rsid w:val="00B216C1"/>
    <w:rsid w:val="00B64153"/>
    <w:rsid w:val="00B64845"/>
    <w:rsid w:val="00B84AD2"/>
    <w:rsid w:val="00B91668"/>
    <w:rsid w:val="00BD554D"/>
    <w:rsid w:val="00BE2415"/>
    <w:rsid w:val="00BE6D4C"/>
    <w:rsid w:val="00C20CC3"/>
    <w:rsid w:val="00C64F14"/>
    <w:rsid w:val="00C877A3"/>
    <w:rsid w:val="00CB2BEF"/>
    <w:rsid w:val="00CF1959"/>
    <w:rsid w:val="00D568C4"/>
    <w:rsid w:val="00D74F17"/>
    <w:rsid w:val="00DC543C"/>
    <w:rsid w:val="00DE7D3F"/>
    <w:rsid w:val="00DF1FF2"/>
    <w:rsid w:val="00E026EC"/>
    <w:rsid w:val="00E471F3"/>
    <w:rsid w:val="00E6230A"/>
    <w:rsid w:val="00EB5D3F"/>
    <w:rsid w:val="00ED7723"/>
    <w:rsid w:val="00EF0E8B"/>
    <w:rsid w:val="00F22CD0"/>
    <w:rsid w:val="00F4279B"/>
    <w:rsid w:val="00FB16F8"/>
    <w:rsid w:val="00FC003D"/>
  </w:rsids>
  <w:docVars>
    <w:docVar w:name="ApplicationsApp" w:val="-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48543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C699F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C699F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C699F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C699F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C699F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C699F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C699F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C699F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C699F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C699F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C6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C699F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C699F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C699F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C699F"/>
    <w:rPr>
      <w:color w:val="00B050"/>
      <w:sz w:val="22"/>
    </w:rPr>
  </w:style>
  <w:style w:type="character" w:styleId="Strong">
    <w:name w:val="Strong"/>
    <w:uiPriority w:val="98"/>
    <w:semiHidden/>
    <w:qFormat/>
    <w:rsid w:val="007C699F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C699F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C699F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C699F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C699F"/>
    <w:pPr>
      <w:numPr>
        <w:numId w:val="2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C699F"/>
    <w:pPr>
      <w:numPr>
        <w:ilvl w:val="2"/>
        <w:numId w:val="2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C699F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C699F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C699F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C699F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C699F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C699F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C699F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C699F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C699F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C699F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C699F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C699F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C699F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C699F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C699F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C699F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C699F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C69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C699F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C699F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C699F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C699F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C699F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C699F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C699F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C699F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C699F"/>
    <w:pPr>
      <w:numPr>
        <w:ilvl w:val="1"/>
        <w:numId w:val="20"/>
      </w:numPr>
    </w:pPr>
  </w:style>
  <w:style w:type="paragraph" w:customStyle="1" w:styleId="NormalJustified">
    <w:name w:val="Normal_Justified"/>
    <w:basedOn w:val="Normal"/>
    <w:semiHidden/>
    <w:rsid w:val="007C699F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C699F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C699F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C699F"/>
    <w:rPr>
      <w:i/>
      <w:iCs/>
    </w:rPr>
  </w:style>
  <w:style w:type="table" w:customStyle="1" w:styleId="ECHRTable">
    <w:name w:val="ECHR_Table"/>
    <w:basedOn w:val="TableNormal"/>
    <w:rsid w:val="007C699F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C699F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C699F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C699F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C699F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C699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C699F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C699F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C699F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C69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C699F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C699F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C699F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C699F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C699F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C699F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C699F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C699F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C699F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C699F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C699F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C699F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C699F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C699F"/>
    <w:rPr>
      <w:smallCaps/>
    </w:rPr>
  </w:style>
  <w:style w:type="table" w:styleId="TableGrid">
    <w:name w:val="Table Grid"/>
    <w:basedOn w:val="TableNormal"/>
    <w:uiPriority w:val="59"/>
    <w:semiHidden/>
    <w:rsid w:val="007C699F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C699F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C699F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C699F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C699F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C699F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C699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C699F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C699F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C699F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C699F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C699F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C699F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C699F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C699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C699F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C699F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7C699F"/>
    <w:pPr>
      <w:ind w:firstLine="284"/>
    </w:pPr>
  </w:style>
  <w:style w:type="paragraph" w:styleId="BlockText">
    <w:name w:val="Block Text"/>
    <w:basedOn w:val="Normal"/>
    <w:uiPriority w:val="98"/>
    <w:semiHidden/>
    <w:rsid w:val="007C699F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C699F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C699F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C699F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C699F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C699F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C699F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C699F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C699F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C699F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C699F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C699F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C699F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C699F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C699F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C699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C699F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C699F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C699F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C699F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C69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C69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C699F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C699F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C699F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C699F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C699F"/>
    <w:pPr>
      <w:numPr>
        <w:numId w:val="7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7C699F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C699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C699F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C699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C699F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C699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C699F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C699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C699F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C699F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C699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C699F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C69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C699F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C699F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C699F"/>
  </w:style>
  <w:style w:type="character" w:customStyle="1" w:styleId="DateChar">
    <w:name w:val="Date Char"/>
    <w:basedOn w:val="DefaultParagraphFont"/>
    <w:link w:val="Date"/>
    <w:uiPriority w:val="98"/>
    <w:semiHidden/>
    <w:rsid w:val="007C699F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C699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C699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C699F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C699F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C699F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C699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C699F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C699F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C699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C699F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C699F"/>
  </w:style>
  <w:style w:type="paragraph" w:styleId="HTMLAddress">
    <w:name w:val="HTML Address"/>
    <w:basedOn w:val="Normal"/>
    <w:link w:val="HTMLAddressChar"/>
    <w:uiPriority w:val="98"/>
    <w:semiHidden/>
    <w:rsid w:val="007C699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C699F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C699F"/>
    <w:rPr>
      <w:i/>
      <w:iCs/>
    </w:rPr>
  </w:style>
  <w:style w:type="character" w:styleId="HTMLCode">
    <w:name w:val="HTML Code"/>
    <w:basedOn w:val="DefaultParagraphFont"/>
    <w:uiPriority w:val="98"/>
    <w:semiHidden/>
    <w:rsid w:val="007C699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C699F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C699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C699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C699F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C699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C699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C699F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C699F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C699F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C699F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C699F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C699F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C699F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C699F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C699F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C699F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C699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C699F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C699F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C699F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C699F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C699F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C699F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C699F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C699F"/>
  </w:style>
  <w:style w:type="paragraph" w:styleId="List">
    <w:name w:val="List"/>
    <w:basedOn w:val="Normal"/>
    <w:uiPriority w:val="98"/>
    <w:semiHidden/>
    <w:rsid w:val="007C699F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C699F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C699F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C699F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C699F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C699F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8"/>
    <w:semiHidden/>
    <w:rsid w:val="007C699F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8"/>
    <w:semiHidden/>
    <w:rsid w:val="007C699F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7C699F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7C699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C699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C699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C699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C699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C699F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7C699F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7C699F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7C699F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7C699F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7C699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C699F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C699F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C699F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C699F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C69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C699F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C699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C699F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C699F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C699F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C699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C699F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C699F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C699F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C699F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C699F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699F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699F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699F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699F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699F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699F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C699F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C699F"/>
  </w:style>
  <w:style w:type="table" w:styleId="TableProfessional">
    <w:name w:val="Table Professional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699F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C699F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C699F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C699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C699F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C699F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C699F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C699F"/>
  </w:style>
  <w:style w:type="paragraph" w:customStyle="1" w:styleId="DecList">
    <w:name w:val="Dec_List"/>
    <w:aliases w:val="_List"/>
    <w:basedOn w:val="JuList"/>
    <w:uiPriority w:val="22"/>
    <w:rsid w:val="007C699F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C699F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C699F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C699F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C699F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C699F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C699F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C699F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C699F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C699F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C699F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C699F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C699F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C699F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C699F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C699F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C699F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C699F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C699F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C699F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C699F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C699F"/>
    <w:rPr>
      <w:sz w:val="4"/>
    </w:rPr>
  </w:style>
  <w:style w:type="table" w:customStyle="1" w:styleId="ECHRTable2">
    <w:name w:val="ECHR_Table_2"/>
    <w:basedOn w:val="TableNormal"/>
    <w:uiPriority w:val="99"/>
    <w:rsid w:val="007C699F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C699F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C699F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C699F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C699F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C699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C699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C699F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C699F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C699F"/>
    <w:pPr>
      <w:outlineLvl w:val="0"/>
    </w:pPr>
  </w:style>
  <w:style w:type="table" w:customStyle="1" w:styleId="ECHRTableGrey">
    <w:name w:val="ECHR_Table_Grey"/>
    <w:basedOn w:val="TableNormal"/>
    <w:uiPriority w:val="99"/>
    <w:rsid w:val="007C699F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закрита згадка1"/>
    <w:basedOn w:val="DefaultParagraphFont"/>
    <w:uiPriority w:val="99"/>
    <w:semiHidden/>
    <w:unhideWhenUsed/>
    <w:rsid w:val="007C699F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2D74A6"/>
    <w:rPr>
      <w:sz w:val="24"/>
      <w:szCs w:val="24"/>
      <w:lang w:val="en-GB"/>
    </w:rPr>
  </w:style>
  <w:style w:type="table" w:styleId="GridTable1Light">
    <w:name w:val="Grid Table 1 Light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semiHidden/>
    <w:rsid w:val="007C699F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Accent2">
    <w:name w:val="Grid Table 2 Accent 2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Accent3">
    <w:name w:val="Grid Table 2 Accent 3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Accent4">
    <w:name w:val="Grid Table 2 Accent 4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Accent5">
    <w:name w:val="Grid Table 2 Accent 5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Accent6">
    <w:name w:val="Grid Table 2 Accent 6"/>
    <w:basedOn w:val="TableNormal"/>
    <w:uiPriority w:val="47"/>
    <w:semiHidden/>
    <w:rsid w:val="007C699F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Accent2">
    <w:name w:val="Grid Table 4 Accent 2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Accent3">
    <w:name w:val="Grid Table 4 Accent 3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Accent4">
    <w:name w:val="Grid Table 4 Accent 4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Accent5">
    <w:name w:val="Grid Table 4 Accent 5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Accent6">
    <w:name w:val="Grid Table 4 Accent 6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semiHidden/>
    <w:rsid w:val="007C699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C699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semiHidden/>
    <w:rsid w:val="007C699F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semiHidden/>
    <w:rsid w:val="007C699F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semiHidden/>
    <w:rsid w:val="007C699F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semiHidden/>
    <w:rsid w:val="007C699F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semiHidden/>
    <w:rsid w:val="007C699F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semiHidden/>
    <w:rsid w:val="007C699F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C699F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semiHidden/>
    <w:rsid w:val="007C699F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semiHidden/>
    <w:rsid w:val="007C699F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semiHidden/>
    <w:rsid w:val="007C699F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semiHidden/>
    <w:rsid w:val="007C699F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semiHidden/>
    <w:rsid w:val="007C699F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semiHidden/>
    <w:rsid w:val="007C699F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10">
    <w:name w:val="Гештег1"/>
    <w:basedOn w:val="DefaultParagraphFont"/>
    <w:uiPriority w:val="99"/>
    <w:semiHidden/>
    <w:unhideWhenUsed/>
    <w:rsid w:val="007C699F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semiHidden/>
    <w:rsid w:val="007C69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Accent2">
    <w:name w:val="List Table 2 Accent 2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Accent3">
    <w:name w:val="List Table 2 Accent 3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Accent4">
    <w:name w:val="List Table 2 Accent 4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Accent5">
    <w:name w:val="List Table 2 Accent 5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Accent6">
    <w:name w:val="List Table 2 Accent 6"/>
    <w:basedOn w:val="TableNormal"/>
    <w:uiPriority w:val="47"/>
    <w:semiHidden/>
    <w:rsid w:val="007C699F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semiHidden/>
    <w:rsid w:val="007C699F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Accent2">
    <w:name w:val="List Table 4 Accent 2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Accent3">
    <w:name w:val="List Table 4 Accent 3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Accent4">
    <w:name w:val="List Table 4 Accent 4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Accent5">
    <w:name w:val="List Table 4 Accent 5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Accent6">
    <w:name w:val="List Table 4 Accent 6"/>
    <w:basedOn w:val="TableNormal"/>
    <w:uiPriority w:val="49"/>
    <w:semiHidden/>
    <w:rsid w:val="007C699F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semiHidden/>
    <w:rsid w:val="007C699F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C699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semiHidden/>
    <w:rsid w:val="007C699F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semiHidden/>
    <w:rsid w:val="007C699F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semiHidden/>
    <w:rsid w:val="007C699F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semiHidden/>
    <w:rsid w:val="007C699F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semiHidden/>
    <w:rsid w:val="007C699F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semiHidden/>
    <w:rsid w:val="007C699F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C699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semiHidden/>
    <w:rsid w:val="007C699F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semiHidden/>
    <w:rsid w:val="007C699F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semiHidden/>
    <w:rsid w:val="007C699F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semiHidden/>
    <w:rsid w:val="007C699F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semiHidden/>
    <w:rsid w:val="007C699F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semiHidden/>
    <w:rsid w:val="007C699F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">
    <w:name w:val="Згадати1"/>
    <w:basedOn w:val="DefaultParagraphFont"/>
    <w:uiPriority w:val="99"/>
    <w:semiHidden/>
    <w:unhideWhenUsed/>
    <w:rsid w:val="007C699F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7C69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C699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C699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C699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C69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2">
    <w:name w:val="Пунктирне гіперпосилання1"/>
    <w:basedOn w:val="DefaultParagraphFont"/>
    <w:uiPriority w:val="99"/>
    <w:semiHidden/>
    <w:unhideWhenUsed/>
    <w:rsid w:val="007C699F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C699F"/>
    <w:rPr>
      <w:color w:val="0000FF"/>
      <w:u w:val="single"/>
      <w:shd w:val="clear" w:color="auto" w:fill="F3F2F1"/>
    </w:rPr>
  </w:style>
  <w:style w:type="table" w:styleId="GridTableLight">
    <w:name w:val="Grid Table Light"/>
    <w:basedOn w:val="TableNormal"/>
    <w:uiPriority w:val="40"/>
    <w:semiHidden/>
    <w:rsid w:val="007C699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1">
    <w:name w:val="Unresolved Mention1"/>
    <w:basedOn w:val="DefaultParagraphFont"/>
    <w:uiPriority w:val="98"/>
    <w:rsid w:val="00B64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EFBD-CA61-4C08-980E-E3964041F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1113</Words>
  <Characters>6804</Characters>
  <Application>Microsoft Office Word</Application>
  <DocSecurity>0</DocSecurity>
  <Lines>219</Lines>
  <Paragraphs>73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2025-06-26T08:33:00Z</dcterms:created>
  <dcterms:modified xsi:type="dcterms:W3CDTF">2025-06-26T08:33:00Z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2026753</vt:lpwstr>
  </property>
  <property fmtid="{D5CDD505-2E9C-101B-9397-08002B2CF9AE}" pid="3" name="cstLanguage">
    <vt:i4>2057</vt:i4>
  </property>
  <property fmtid="{D5CDD505-2E9C-101B-9397-08002B2CF9AE}" pid="4" name="RegisteredNo">
    <vt:lpwstr>24315/24</vt:lpwstr>
  </property>
</Properties>
</file>