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E3EDD" w:rsidR="007A4070" w:rsidP="009E3EDD" w14:paraId="05B448A8" w14:textId="6EB44E1A">
      <w:pPr>
        <w:pStyle w:val="DecHTitle"/>
      </w:pPr>
      <w:r w:rsidRPr="009E3EDD">
        <w:t>QUATRIÈME SECTION</w:t>
      </w:r>
    </w:p>
    <w:p w:rsidRPr="009E3EDD" w:rsidR="007A4070" w:rsidP="009E3EDD" w14:paraId="70541218" w14:textId="29B6ABC9">
      <w:pPr>
        <w:pStyle w:val="JuTitle"/>
        <w:spacing w:before="840"/>
      </w:pPr>
      <w:r w:rsidRPr="009E3EDD">
        <w:t xml:space="preserve">AFFAIRE </w:t>
      </w:r>
      <w:r w:rsidRPr="009E3EDD" w:rsidR="00603614">
        <w:t>MANOLACHE c. ROUMANIE</w:t>
      </w:r>
    </w:p>
    <w:p w:rsidRPr="009E3EDD" w:rsidR="007A4070" w:rsidP="009E3EDD" w14:paraId="184A271A" w14:textId="3C45635B">
      <w:pPr>
        <w:pStyle w:val="ECHRCoverTitle4"/>
      </w:pPr>
      <w:r w:rsidRPr="009E3EDD">
        <w:t>(</w:t>
      </w:r>
      <w:r w:rsidRPr="009E3EDD" w:rsidR="00603614">
        <w:t>Requête n</w:t>
      </w:r>
      <w:r w:rsidRPr="009E3EDD" w:rsidR="00603614">
        <w:rPr>
          <w:vertAlign w:val="superscript"/>
        </w:rPr>
        <w:t>o</w:t>
      </w:r>
      <w:r w:rsidRPr="009E3EDD">
        <w:t xml:space="preserve"> </w:t>
      </w:r>
      <w:r w:rsidRPr="009E3EDD" w:rsidR="00603614">
        <w:t>7908/17</w:t>
      </w:r>
      <w:r w:rsidRPr="009E3EDD">
        <w:t>)</w:t>
      </w:r>
    </w:p>
    <w:p w:rsidRPr="009E3EDD" w:rsidR="007A4070" w:rsidP="009E3EDD" w14:paraId="6FCACFD5" w14:textId="77777777">
      <w:pPr>
        <w:pStyle w:val="DecHCase"/>
      </w:pPr>
    </w:p>
    <w:p w:rsidRPr="009E3EDD" w:rsidR="007A4070" w:rsidP="009E3EDD" w14:paraId="552C84D1" w14:textId="77777777">
      <w:pPr>
        <w:pStyle w:val="DecHCase"/>
        <w:spacing w:after="120"/>
      </w:pPr>
    </w:p>
    <w:p w:rsidRPr="009E3EDD" w:rsidR="007A4070" w:rsidP="009E3EDD" w14:paraId="27F01A39" w14:textId="40EC6DA1">
      <w:pPr>
        <w:pStyle w:val="DecHCase"/>
      </w:pPr>
      <w:r w:rsidRPr="009E3EDD">
        <w:t>ARRÊT</w:t>
      </w:r>
      <w:r w:rsidRPr="009E3EDD">
        <w:br/>
      </w:r>
    </w:p>
    <w:p w:rsidRPr="009E3EDD" w:rsidR="00C644A9" w:rsidP="009E3EDD" w14:paraId="0880C63B" w14:textId="51AD032B">
      <w:pPr>
        <w:pStyle w:val="JuPara"/>
        <w:pBdr>
          <w:top w:val="single" w:color="auto" w:sz="4" w:space="1"/>
          <w:left w:val="single" w:color="auto" w:sz="4" w:space="4"/>
          <w:bottom w:val="single" w:color="auto" w:sz="4" w:space="1"/>
          <w:right w:val="single" w:color="auto" w:sz="4" w:space="4"/>
        </w:pBdr>
        <w:ind w:firstLine="0"/>
        <w:rPr>
          <w:sz w:val="22"/>
          <w:szCs w:val="22"/>
        </w:rPr>
      </w:pPr>
      <w:r w:rsidRPr="009E3EDD">
        <w:t xml:space="preserve">Art 6 § 1 (pénal) • Absence de procès équitable </w:t>
      </w:r>
      <w:r w:rsidRPr="009E3EDD" w:rsidR="0002443A">
        <w:t xml:space="preserve">en appel </w:t>
      </w:r>
      <w:r w:rsidRPr="009E3EDD">
        <w:t>ayant mené à la condamnation du requérant après sa relaxe en première instance. • Nouvelle interprétation par la cour d</w:t>
      </w:r>
      <w:r w:rsidRPr="009E3EDD" w:rsidR="009E3EDD">
        <w:t>’</w:t>
      </w:r>
      <w:r w:rsidRPr="009E3EDD">
        <w:t>appel de témoignages, constituants des éléments de preuves déterminants, sans que l</w:t>
      </w:r>
      <w:r w:rsidRPr="009E3EDD" w:rsidR="009E3EDD">
        <w:t>’</w:t>
      </w:r>
      <w:r w:rsidRPr="009E3EDD">
        <w:t>ensemble des deux juges de la formation de jugement n</w:t>
      </w:r>
      <w:r w:rsidRPr="009E3EDD" w:rsidR="009E3EDD">
        <w:t>’</w:t>
      </w:r>
      <w:r w:rsidRPr="009E3EDD">
        <w:t>aient entendu directement les témoins en question • Cour d</w:t>
      </w:r>
      <w:r w:rsidRPr="009E3EDD" w:rsidR="009E3EDD">
        <w:t>’</w:t>
      </w:r>
      <w:r w:rsidRPr="009E3EDD">
        <w:t>appel tenue au titre des obligations découlant de la Convention de prendre d</w:t>
      </w:r>
      <w:r w:rsidRPr="009E3EDD" w:rsidR="009E3EDD">
        <w:t>’</w:t>
      </w:r>
      <w:r w:rsidRPr="009E3EDD">
        <w:t>office des mesures pour entendre directement les témoins pertinents en vue de juger de la culpabilité ou de l</w:t>
      </w:r>
      <w:r w:rsidRPr="009E3EDD" w:rsidR="009E3EDD">
        <w:t>’</w:t>
      </w:r>
      <w:r w:rsidRPr="009E3EDD">
        <w:t>innocence du requérant • Respect du principe de l</w:t>
      </w:r>
      <w:r w:rsidRPr="009E3EDD" w:rsidR="009E3EDD">
        <w:t>’</w:t>
      </w:r>
      <w:r w:rsidRPr="009E3EDD">
        <w:t>immédiateté par l</w:t>
      </w:r>
      <w:r w:rsidRPr="009E3EDD" w:rsidR="009E3EDD">
        <w:t>’</w:t>
      </w:r>
      <w:r w:rsidRPr="009E3EDD">
        <w:t>un des deux juges, de la formation collégiale ne pouvant adopter la décision qu</w:t>
      </w:r>
      <w:r w:rsidRPr="009E3EDD" w:rsidR="009E3EDD">
        <w:t>’</w:t>
      </w:r>
      <w:r w:rsidRPr="009E3EDD">
        <w:t>à l</w:t>
      </w:r>
      <w:r w:rsidRPr="009E3EDD" w:rsidR="009E3EDD">
        <w:t>’</w:t>
      </w:r>
      <w:r w:rsidRPr="009E3EDD">
        <w:t>unanimité, ne saurait compenser l</w:t>
      </w:r>
      <w:r w:rsidRPr="009E3EDD" w:rsidR="009E3EDD">
        <w:t>’</w:t>
      </w:r>
      <w:r w:rsidRPr="009E3EDD">
        <w:t>absence de l</w:t>
      </w:r>
      <w:r w:rsidRPr="009E3EDD" w:rsidR="009E3EDD">
        <w:t>’</w:t>
      </w:r>
      <w:r w:rsidRPr="009E3EDD">
        <w:t>autre juge lors de l</w:t>
      </w:r>
      <w:r w:rsidRPr="009E3EDD" w:rsidR="009E3EDD">
        <w:t>’</w:t>
      </w:r>
      <w:r w:rsidRPr="009E3EDD">
        <w:t>audition de tous les témoins excepté le témoin indirect</w:t>
      </w:r>
    </w:p>
    <w:p w:rsidRPr="009E3EDD" w:rsidR="00C644A9" w:rsidP="009E3EDD" w14:paraId="166871CE" w14:textId="77777777">
      <w:pPr>
        <w:pStyle w:val="JuPara"/>
        <w:pBdr>
          <w:top w:val="single" w:color="auto" w:sz="4" w:space="1"/>
          <w:left w:val="single" w:color="auto" w:sz="4" w:space="4"/>
          <w:bottom w:val="single" w:color="auto" w:sz="4" w:space="1"/>
          <w:right w:val="single" w:color="auto" w:sz="4" w:space="4"/>
        </w:pBdr>
        <w:ind w:firstLine="0"/>
        <w:rPr>
          <w:sz w:val="20"/>
          <w:szCs w:val="20"/>
        </w:rPr>
      </w:pPr>
    </w:p>
    <w:p w:rsidRPr="009E3EDD" w:rsidR="00C644A9" w:rsidP="009E3EDD" w14:paraId="73A1F642" w14:textId="497B13AC">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9E3EDD">
        <w:rPr>
          <w:rFonts w:ascii="Times New Roman" w:hAnsi="Times New Roman" w:cs="Times New Roman"/>
          <w:color w:val="000000"/>
          <w:sz w:val="20"/>
          <w:szCs w:val="20"/>
        </w:rPr>
        <w:t>Préparé par le Greffe. Ne lie pas la Cour.</w:t>
      </w:r>
    </w:p>
    <w:p w:rsidRPr="009E3EDD" w:rsidR="00C644A9" w:rsidP="009E3EDD" w14:paraId="57DE7D9F" w14:textId="77777777">
      <w:pPr>
        <w:pStyle w:val="DecHCase"/>
        <w:spacing w:after="120"/>
      </w:pPr>
    </w:p>
    <w:p w:rsidRPr="009E3EDD" w:rsidR="007A4070" w:rsidP="009E3EDD" w14:paraId="412ABD72" w14:textId="77777777">
      <w:pPr>
        <w:pStyle w:val="DecHCase"/>
        <w:spacing w:after="200"/>
        <w:rPr>
          <w:lang w:val="en-GB"/>
        </w:rPr>
      </w:pPr>
      <w:r w:rsidRPr="009E3EDD">
        <w:rPr>
          <w:lang w:val="en-GB"/>
        </w:rPr>
        <w:t>STRASBOURG</w:t>
      </w:r>
    </w:p>
    <w:p w:rsidRPr="009E3EDD" w:rsidR="00603614" w:rsidP="009E3EDD" w14:paraId="62718B16" w14:textId="77777777">
      <w:pPr>
        <w:pStyle w:val="DecHCase"/>
        <w:spacing w:after="480"/>
        <w:rPr>
          <w:lang w:val="en-GB"/>
        </w:rPr>
      </w:pPr>
      <w:r w:rsidRPr="009E3EDD">
        <w:rPr>
          <w:lang w:val="en-GB"/>
        </w:rPr>
        <w:t>3 juin 2025</w:t>
      </w:r>
    </w:p>
    <w:p w:rsidRPr="009E3EDD" w:rsidR="009E3EDD" w:rsidP="009E3EDD" w14:paraId="3D085878" w14:textId="77777777">
      <w:pPr>
        <w:pStyle w:val="jucase0"/>
        <w:ind w:firstLine="0"/>
        <w:jc w:val="center"/>
        <w:rPr>
          <w:color w:val="FF0000"/>
          <w:sz w:val="28"/>
          <w:szCs w:val="28"/>
          <w:u w:val="single"/>
        </w:rPr>
      </w:pPr>
      <w:r w:rsidRPr="009E3EDD">
        <w:rPr>
          <w:color w:val="FF0000"/>
          <w:sz w:val="28"/>
          <w:szCs w:val="28"/>
          <w:u w:val="single"/>
        </w:rPr>
        <w:t>FINAL</w:t>
      </w:r>
    </w:p>
    <w:p w:rsidRPr="009E3EDD" w:rsidR="009E3EDD" w:rsidP="009E3EDD" w14:paraId="0436BF5A" w14:textId="77777777">
      <w:pPr>
        <w:pStyle w:val="jucase0"/>
        <w:ind w:firstLine="0"/>
        <w:jc w:val="center"/>
        <w:rPr>
          <w:b w:val="0"/>
          <w:bCs w:val="0"/>
          <w:color w:val="FF0000"/>
          <w:u w:val="single"/>
        </w:rPr>
      </w:pPr>
    </w:p>
    <w:p w:rsidRPr="009E3EDD" w:rsidR="009E3EDD" w:rsidP="009E3EDD" w14:paraId="4357854F" w14:textId="77777777">
      <w:pPr>
        <w:pStyle w:val="jucase0"/>
        <w:ind w:firstLine="0"/>
        <w:jc w:val="center"/>
        <w:rPr>
          <w:b w:val="0"/>
          <w:color w:val="FF0000"/>
          <w:sz w:val="28"/>
          <w:szCs w:val="28"/>
        </w:rPr>
      </w:pPr>
      <w:r w:rsidRPr="009E3EDD">
        <w:rPr>
          <w:b w:val="0"/>
          <w:color w:val="FF0000"/>
          <w:sz w:val="28"/>
          <w:szCs w:val="28"/>
        </w:rPr>
        <w:t>03/09/2025</w:t>
      </w:r>
    </w:p>
    <w:p w:rsidRPr="009E3EDD" w:rsidR="009E3EDD" w:rsidP="009E3EDD" w14:paraId="0FA20896" w14:textId="77777777">
      <w:pPr>
        <w:pStyle w:val="jupara0"/>
        <w:ind w:firstLine="0"/>
        <w:jc w:val="center"/>
      </w:pPr>
    </w:p>
    <w:p w:rsidRPr="009E3EDD" w:rsidR="00516B59" w:rsidP="009E3EDD" w14:paraId="2827D869" w14:textId="163BA5A8">
      <w:pPr>
        <w:jc w:val="center"/>
        <w:rPr>
          <w:rFonts w:ascii="Times New Roman" w:hAnsi="Times New Roman" w:cs="Times New Roman"/>
          <w:i/>
          <w:sz w:val="22"/>
          <w:lang w:val="en-GB"/>
        </w:rPr>
      </w:pPr>
      <w:r w:rsidRPr="009E3EDD">
        <w:rPr>
          <w:i/>
          <w:iCs/>
          <w:sz w:val="22"/>
          <w:szCs w:val="22"/>
          <w:lang w:val="en-GB"/>
        </w:rPr>
        <w:t xml:space="preserve">This judgment has become final under Article 44 § 2 of the Convention. </w:t>
      </w:r>
      <w:r w:rsidRPr="009E3EDD">
        <w:rPr>
          <w:i/>
          <w:iCs/>
          <w:sz w:val="22"/>
          <w:szCs w:val="22"/>
          <w:lang w:val="en-GB"/>
        </w:rPr>
        <w:br/>
        <w:t>It may be subject to editorial revision.</w:t>
      </w:r>
    </w:p>
    <w:p w:rsidRPr="009E3EDD" w:rsidR="00516B59" w:rsidP="009E3EDD" w14:paraId="1BA5F662" w14:textId="77777777">
      <w:pPr>
        <w:ind w:left="720"/>
        <w:rPr>
          <w:rFonts w:ascii="Times New Roman" w:hAnsi="Times New Roman" w:cs="Times New Roman"/>
          <w:sz w:val="22"/>
          <w:lang w:val="en-GB"/>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E3EDD" w:rsidR="004344E6" w:rsidP="009E3EDD" w14:paraId="48E9D6F5" w14:textId="27A0304D">
      <w:pPr>
        <w:pStyle w:val="JuCase"/>
        <w:rPr>
          <w:lang w:val="en-GB"/>
        </w:rPr>
      </w:pPr>
      <w:r w:rsidRPr="009E3EDD">
        <w:rPr>
          <w:lang w:val="en-GB"/>
        </w:rPr>
        <w:t>En l</w:t>
      </w:r>
      <w:r w:rsidRPr="009E3EDD" w:rsidR="009E3EDD">
        <w:rPr>
          <w:lang w:val="en-GB"/>
        </w:rPr>
        <w:t>’</w:t>
      </w:r>
      <w:r w:rsidRPr="009E3EDD">
        <w:rPr>
          <w:lang w:val="en-GB"/>
        </w:rPr>
        <w:t xml:space="preserve">affaire </w:t>
      </w:r>
      <w:r w:rsidRPr="009E3EDD" w:rsidR="00603614">
        <w:rPr>
          <w:lang w:val="en-GB"/>
        </w:rPr>
        <w:t>Manolache c. Roumanie</w:t>
      </w:r>
      <w:r w:rsidRPr="009E3EDD">
        <w:rPr>
          <w:lang w:val="en-GB"/>
        </w:rPr>
        <w:t>,</w:t>
      </w:r>
    </w:p>
    <w:p w:rsidRPr="009E3EDD" w:rsidR="004344E6" w:rsidP="009E3EDD" w14:paraId="4DE8482C" w14:textId="3ED3680F">
      <w:pPr>
        <w:pStyle w:val="JuPara"/>
      </w:pPr>
      <w:r w:rsidRPr="009E3EDD">
        <w:t>La Cour européenne des droits de l</w:t>
      </w:r>
      <w:r w:rsidRPr="009E3EDD" w:rsidR="009E3EDD">
        <w:t>’</w:t>
      </w:r>
      <w:r w:rsidRPr="009E3EDD">
        <w:t>homme (</w:t>
      </w:r>
      <w:r w:rsidRPr="009E3EDD" w:rsidR="00603614">
        <w:t>quatrième section</w:t>
      </w:r>
      <w:r w:rsidRPr="009E3EDD">
        <w:t xml:space="preserve">), siégeant en </w:t>
      </w:r>
      <w:r w:rsidRPr="009E3EDD" w:rsidR="00603614">
        <w:rPr>
          <w:color w:val="000000"/>
        </w:rPr>
        <w:t>une</w:t>
      </w:r>
      <w:r w:rsidRPr="009E3EDD" w:rsidR="00603614">
        <w:t xml:space="preserve"> chambre composée</w:t>
      </w:r>
      <w:r w:rsidRPr="009E3EDD">
        <w:t xml:space="preserve"> de :</w:t>
      </w:r>
    </w:p>
    <w:p w:rsidRPr="009E3EDD" w:rsidR="004344E6" w:rsidP="009E3EDD" w14:paraId="6325B1A6" w14:textId="72C28480">
      <w:pPr>
        <w:pStyle w:val="JuJudges"/>
      </w:pPr>
      <w:r w:rsidRPr="009E3EDD">
        <w:tab/>
        <w:t>Lado Chanturia</w:t>
      </w:r>
      <w:r w:rsidRPr="009E3EDD">
        <w:rPr>
          <w:i/>
        </w:rPr>
        <w:t>, président</w:t>
      </w:r>
      <w:r w:rsidRPr="009E3EDD">
        <w:t>,</w:t>
      </w:r>
      <w:r w:rsidRPr="009E3EDD">
        <w:br/>
      </w:r>
      <w:r w:rsidRPr="009E3EDD">
        <w:tab/>
        <w:t>Jolien Schukking,</w:t>
      </w:r>
      <w:r w:rsidRPr="009E3EDD">
        <w:br/>
      </w:r>
      <w:r w:rsidRPr="009E3EDD">
        <w:tab/>
        <w:t>Faris Vehabović,</w:t>
      </w:r>
      <w:r w:rsidRPr="009E3EDD">
        <w:br/>
      </w:r>
      <w:r w:rsidRPr="009E3EDD">
        <w:tab/>
        <w:t>Ana Maria Guerra Martins,</w:t>
      </w:r>
      <w:r w:rsidRPr="009E3EDD">
        <w:br/>
      </w:r>
      <w:r w:rsidRPr="009E3EDD">
        <w:tab/>
        <w:t>Anne Louise Bormann,</w:t>
      </w:r>
      <w:r w:rsidRPr="009E3EDD">
        <w:br/>
      </w:r>
      <w:r w:rsidRPr="009E3EDD">
        <w:tab/>
        <w:t>Sebastian Răduleţu,</w:t>
      </w:r>
      <w:r w:rsidRPr="009E3EDD">
        <w:br/>
      </w:r>
      <w:r w:rsidRPr="009E3EDD">
        <w:tab/>
        <w:t>András Jakab</w:t>
      </w:r>
      <w:r w:rsidRPr="009E3EDD">
        <w:rPr>
          <w:i/>
        </w:rPr>
        <w:t>, juges</w:t>
      </w:r>
      <w:r w:rsidRPr="009E3EDD">
        <w:t>,</w:t>
      </w:r>
      <w:r w:rsidRPr="009E3EDD">
        <w:br/>
        <w:t xml:space="preserve">et de </w:t>
      </w:r>
      <w:r w:rsidRPr="009E3EDD">
        <w:t>Simeon Petrovski</w:t>
      </w:r>
      <w:r w:rsidRPr="009E3EDD">
        <w:t xml:space="preserve">, </w:t>
      </w:r>
      <w:r w:rsidRPr="009E3EDD" w:rsidR="00603614">
        <w:rPr>
          <w:i/>
        </w:rPr>
        <w:t>greffier</w:t>
      </w:r>
      <w:r w:rsidRPr="009E3EDD" w:rsidR="001C6A7B">
        <w:rPr>
          <w:i/>
          <w:iCs/>
        </w:rPr>
        <w:t xml:space="preserve"> </w:t>
      </w:r>
      <w:r w:rsidRPr="009E3EDD">
        <w:rPr>
          <w:i/>
          <w:iCs/>
        </w:rPr>
        <w:t xml:space="preserve">adjoint </w:t>
      </w:r>
      <w:r w:rsidRPr="009E3EDD" w:rsidR="001C6A7B">
        <w:rPr>
          <w:i/>
          <w:iCs/>
        </w:rPr>
        <w:t>d</w:t>
      </w:r>
      <w:r w:rsidRPr="009E3EDD" w:rsidR="001C6A7B">
        <w:rPr>
          <w:i/>
        </w:rPr>
        <w:t>e section</w:t>
      </w:r>
      <w:r w:rsidRPr="009E3EDD">
        <w:t>,</w:t>
      </w:r>
    </w:p>
    <w:p w:rsidRPr="009E3EDD" w:rsidR="00603614" w:rsidP="009E3EDD" w14:paraId="381D1C33" w14:textId="77777777">
      <w:pPr>
        <w:pStyle w:val="JuPara"/>
      </w:pPr>
      <w:r w:rsidRPr="009E3EDD">
        <w:t>Vu :</w:t>
      </w:r>
    </w:p>
    <w:p w:rsidRPr="009E3EDD" w:rsidR="00603614" w:rsidP="009E3EDD" w14:paraId="4FCFA3C6" w14:textId="229B677C">
      <w:pPr>
        <w:pStyle w:val="JuPara"/>
      </w:pPr>
      <w:r w:rsidRPr="009E3EDD">
        <w:t>la requête (n</w:t>
      </w:r>
      <w:r w:rsidRPr="009E3EDD">
        <w:rPr>
          <w:vertAlign w:val="superscript"/>
        </w:rPr>
        <w:t>o</w:t>
      </w:r>
      <w:r w:rsidRPr="009E3EDD" w:rsidR="001C51D8">
        <w:t xml:space="preserve"> </w:t>
      </w:r>
      <w:r w:rsidRPr="009E3EDD">
        <w:t>7908/17) dirigée contre la Roumanie et dont un ressortissant de cet État, M. Nicolae-Richard Manolache (« le requérant »), a saisi la Cour en vertu de l</w:t>
      </w:r>
      <w:r w:rsidRPr="009E3EDD" w:rsidR="009E3EDD">
        <w:t>’</w:t>
      </w:r>
      <w:r w:rsidRPr="009E3EDD">
        <w:t>article 34 de la Convention de sauvegarde des droits de l</w:t>
      </w:r>
      <w:r w:rsidRPr="009E3EDD" w:rsidR="009E3EDD">
        <w:t>’</w:t>
      </w:r>
      <w:r w:rsidRPr="009E3EDD">
        <w:t>homme et des libertés fondamentales (« la Convention ») le 11 janvier 2017,</w:t>
      </w:r>
    </w:p>
    <w:p w:rsidRPr="009E3EDD" w:rsidR="00603614" w:rsidP="009E3EDD" w14:paraId="6BCAB533" w14:textId="77777777">
      <w:pPr>
        <w:pStyle w:val="JuPara"/>
      </w:pPr>
      <w:r w:rsidRPr="009E3EDD">
        <w:t>la décision de porter à la connaissance du gouvernement roumain (« le Gouvernement ») la requête,</w:t>
      </w:r>
    </w:p>
    <w:p w:rsidRPr="009E3EDD" w:rsidR="00603614" w:rsidP="009E3EDD" w14:paraId="5A96504D" w14:textId="77777777">
      <w:pPr>
        <w:pStyle w:val="JuPara"/>
      </w:pPr>
      <w:r w:rsidRPr="009E3EDD">
        <w:t>les observations des parties,</w:t>
      </w:r>
    </w:p>
    <w:p w:rsidRPr="009E3EDD" w:rsidR="004344E6" w:rsidP="009E3EDD" w14:paraId="53936DAB" w14:textId="33585A61">
      <w:pPr>
        <w:pStyle w:val="JuPara"/>
      </w:pPr>
      <w:r w:rsidRPr="009E3EDD">
        <w:t xml:space="preserve">Après en avoir délibéré en chambre du conseil le </w:t>
      </w:r>
      <w:r w:rsidRPr="009E3EDD" w:rsidR="00603614">
        <w:t>13 mai 2025</w:t>
      </w:r>
      <w:r w:rsidRPr="009E3EDD">
        <w:t>,</w:t>
      </w:r>
    </w:p>
    <w:p w:rsidRPr="009E3EDD" w:rsidR="00876F03" w:rsidP="009E3EDD" w14:paraId="59E30ED6" w14:textId="5E05A1C4">
      <w:pPr>
        <w:pStyle w:val="JuPara"/>
      </w:pPr>
      <w:r w:rsidRPr="009E3EDD">
        <w:t>Rend l</w:t>
      </w:r>
      <w:r w:rsidRPr="009E3EDD" w:rsidR="009E3EDD">
        <w:t>’</w:t>
      </w:r>
      <w:r w:rsidRPr="009E3EDD">
        <w:t>arrêt que voici</w:t>
      </w:r>
      <w:r w:rsidRPr="009E3EDD">
        <w:t>, adopté à cette date :</w:t>
      </w:r>
    </w:p>
    <w:p w:rsidRPr="009E3EDD" w:rsidR="00603614" w:rsidP="009E3EDD" w14:paraId="76BD2026" w14:textId="77777777">
      <w:pPr>
        <w:pStyle w:val="JuHHead"/>
      </w:pPr>
      <w:r w:rsidRPr="009E3EDD">
        <w:t>INTRODUCTION</w:t>
      </w:r>
    </w:p>
    <w:p w:rsidRPr="009E3EDD" w:rsidR="00603614" w:rsidP="009E3EDD" w14:paraId="50874E09" w14:textId="34FAC17D">
      <w:pPr>
        <w:pStyle w:val="JuPara"/>
      </w:pPr>
      <w:r>
        <w:fldChar w:fldCharType="begin"/>
      </w:r>
      <w:r>
        <w:instrText xml:space="preserve"> SEQ level0 \*arabic \* MERGEFORMAT </w:instrText>
      </w:r>
      <w:r>
        <w:fldChar w:fldCharType="separate"/>
      </w:r>
      <w:r w:rsidRPr="009E3EDD" w:rsidR="009E3EDD">
        <w:rPr>
          <w:noProof/>
        </w:rPr>
        <w:t>1</w:t>
      </w:r>
      <w:r w:rsidRPr="009E3EDD" w:rsidR="009E3EDD">
        <w:rPr>
          <w:noProof/>
        </w:rPr>
        <w:fldChar w:fldCharType="end"/>
      </w:r>
      <w:r w:rsidRPr="009E3EDD">
        <w:t>.  La requête concerne, sous l</w:t>
      </w:r>
      <w:r w:rsidRPr="009E3EDD" w:rsidR="009E3EDD">
        <w:t>’</w:t>
      </w:r>
      <w:r w:rsidRPr="009E3EDD">
        <w:t>angle de l</w:t>
      </w:r>
      <w:r w:rsidRPr="009E3EDD" w:rsidR="009E3EDD">
        <w:t>’</w:t>
      </w:r>
      <w:r w:rsidRPr="009E3EDD">
        <w:t>article 6 de la Convention, l</w:t>
      </w:r>
      <w:r w:rsidRPr="009E3EDD" w:rsidR="009E3EDD">
        <w:t>’</w:t>
      </w:r>
      <w:r w:rsidRPr="009E3EDD">
        <w:t>équité d</w:t>
      </w:r>
      <w:r w:rsidRPr="009E3EDD" w:rsidR="009E3EDD">
        <w:t>’</w:t>
      </w:r>
      <w:r w:rsidRPr="009E3EDD">
        <w:t>une procédure pénale engagée contre le requérant, l</w:t>
      </w:r>
      <w:r w:rsidRPr="009E3EDD" w:rsidR="009E3EDD">
        <w:t>’</w:t>
      </w:r>
      <w:r w:rsidRPr="009E3EDD">
        <w:t>intéressé reprochant à la formation de jugement qui l</w:t>
      </w:r>
      <w:r w:rsidRPr="009E3EDD" w:rsidR="009E3EDD">
        <w:t>’</w:t>
      </w:r>
      <w:r w:rsidRPr="009E3EDD">
        <w:t>a condamné en dernier ressort de n</w:t>
      </w:r>
      <w:r w:rsidRPr="009E3EDD" w:rsidR="009E3EDD">
        <w:t>’</w:t>
      </w:r>
      <w:r w:rsidRPr="009E3EDD">
        <w:t>avoir pas entendu directement les témoins.</w:t>
      </w:r>
    </w:p>
    <w:p w:rsidRPr="009E3EDD" w:rsidR="00603614" w:rsidP="009E3EDD" w14:paraId="71C98F66" w14:textId="77777777">
      <w:pPr>
        <w:pStyle w:val="JuHHead"/>
      </w:pPr>
      <w:r w:rsidRPr="009E3EDD">
        <w:t>EN FAIT</w:t>
      </w:r>
    </w:p>
    <w:p w:rsidRPr="009E3EDD" w:rsidR="00603614" w:rsidP="009E3EDD" w14:paraId="5C8F3DFB" w14:textId="27F4557B">
      <w:pPr>
        <w:pStyle w:val="JuPara"/>
      </w:pPr>
      <w:r w:rsidRPr="009E3EDD">
        <w:fldChar w:fldCharType="begin"/>
      </w:r>
      <w:r w:rsidRPr="009E3EDD">
        <w:instrText xml:space="preserve"> SEQ level0 \*arabic \* MERGEFORMAT </w:instrText>
      </w:r>
      <w:r w:rsidRPr="009E3EDD">
        <w:fldChar w:fldCharType="separate"/>
      </w:r>
      <w:r w:rsidRPr="009E3EDD">
        <w:rPr>
          <w:noProof/>
        </w:rPr>
        <w:t>2</w:t>
      </w:r>
      <w:r w:rsidRPr="009E3EDD">
        <w:rPr>
          <w:noProof/>
        </w:rPr>
        <w:fldChar w:fldCharType="end"/>
      </w:r>
      <w:r w:rsidRPr="009E3EDD">
        <w:t>.  Le requérant est né en 1969 et réside à Câmpulung. Il a été représenté par M</w:t>
      </w:r>
      <w:r w:rsidRPr="009E3EDD">
        <w:rPr>
          <w:vertAlign w:val="superscript"/>
        </w:rPr>
        <w:t>e</w:t>
      </w:r>
      <w:r w:rsidRPr="009E3EDD" w:rsidR="001C51D8">
        <w:t xml:space="preserve"> </w:t>
      </w:r>
      <w:r w:rsidRPr="009E3EDD">
        <w:t>A. Grigoriu, avocat à Bucarest.</w:t>
      </w:r>
    </w:p>
    <w:p w:rsidRPr="009E3EDD" w:rsidR="00603614" w:rsidP="009E3EDD" w14:paraId="7E499ED2" w14:textId="1D408750">
      <w:pPr>
        <w:pStyle w:val="JuPara"/>
      </w:pPr>
      <w:r>
        <w:fldChar w:fldCharType="begin"/>
      </w:r>
      <w:r>
        <w:instrText xml:space="preserve"> SEQ level0 \*arabic \* MERGEFORMAT </w:instrText>
      </w:r>
      <w:r>
        <w:fldChar w:fldCharType="separate"/>
      </w:r>
      <w:r w:rsidRPr="009E3EDD" w:rsidR="009E3EDD">
        <w:rPr>
          <w:noProof/>
        </w:rPr>
        <w:t>3</w:t>
      </w:r>
      <w:r w:rsidRPr="009E3EDD" w:rsidR="009E3EDD">
        <w:rPr>
          <w:noProof/>
        </w:rPr>
        <w:fldChar w:fldCharType="end"/>
      </w:r>
      <w:r w:rsidRPr="009E3EDD">
        <w:t>.  Le Gouvernement a été représenté par son agente, M</w:t>
      </w:r>
      <w:r w:rsidRPr="009E3EDD">
        <w:rPr>
          <w:vertAlign w:val="superscript"/>
        </w:rPr>
        <w:t>me</w:t>
      </w:r>
      <w:r w:rsidRPr="009E3EDD" w:rsidR="001C51D8">
        <w:t xml:space="preserve"> </w:t>
      </w:r>
      <w:r w:rsidRPr="009E3EDD">
        <w:t>O.F.</w:t>
      </w:r>
      <w:r w:rsidRPr="009E3EDD" w:rsidR="001C51D8">
        <w:t xml:space="preserve"> </w:t>
      </w:r>
      <w:r w:rsidRPr="009E3EDD">
        <w:t>Ezer, du ministère des Affaires étrangères.</w:t>
      </w:r>
    </w:p>
    <w:p w:rsidRPr="009E3EDD" w:rsidR="00603614" w:rsidP="009E3EDD" w14:paraId="695ED9EB" w14:textId="77777777">
      <w:pPr>
        <w:pStyle w:val="JuHIRoman"/>
      </w:pPr>
      <w:r w:rsidRPr="009E3EDD">
        <w:t>Les poursuites pénales contre le requérant</w:t>
      </w:r>
    </w:p>
    <w:p w:rsidRPr="009E3EDD" w:rsidR="00603614" w:rsidP="009E3EDD" w14:paraId="76DB017B" w14:textId="3B02EB77">
      <w:pPr>
        <w:pStyle w:val="JuPara"/>
      </w:pPr>
      <w:r>
        <w:fldChar w:fldCharType="begin"/>
      </w:r>
      <w:r>
        <w:instrText xml:space="preserve"> SEQ level0 \*arabic \* MERGEFORMAT </w:instrText>
      </w:r>
      <w:r>
        <w:fldChar w:fldCharType="separate"/>
      </w:r>
      <w:bookmarkStart w:name="paragraph00004" w:id="0"/>
      <w:r w:rsidRPr="009E3EDD" w:rsidR="009E3EDD">
        <w:rPr>
          <w:noProof/>
        </w:rPr>
        <w:t>4</w:t>
      </w:r>
      <w:bookmarkEnd w:id="0"/>
      <w:r>
        <w:fldChar w:fldCharType="end"/>
      </w:r>
      <w:r w:rsidRPr="009E3EDD">
        <w:t>.  Le 17 mars 2015, les époux H. (H.I. et H.S.) déposèrent auprès de la Direction générale anticorruption d</w:t>
      </w:r>
      <w:r w:rsidRPr="009E3EDD" w:rsidR="009E3EDD">
        <w:t>’</w:t>
      </w:r>
      <w:r w:rsidRPr="009E3EDD">
        <w:t>Argeş (la « DGA ») une dénonciation pénale (</w:t>
      </w:r>
      <w:r w:rsidRPr="009E3EDD">
        <w:rPr>
          <w:i/>
          <w:iCs/>
        </w:rPr>
        <w:t>denun</w:t>
      </w:r>
      <w:r w:rsidRPr="009E3EDD">
        <w:rPr>
          <w:rFonts w:cstheme="minorHAnsi"/>
          <w:i/>
          <w:iCs/>
        </w:rPr>
        <w:t>ţ</w:t>
      </w:r>
      <w:r w:rsidRPr="009E3EDD">
        <w:t xml:space="preserve">) contre le requérant, </w:t>
      </w:r>
      <w:r w:rsidRPr="009E3EDD">
        <w:t>officier de police, l</w:t>
      </w:r>
      <w:r w:rsidRPr="009E3EDD" w:rsidR="009E3EDD">
        <w:t>’</w:t>
      </w:r>
      <w:r w:rsidRPr="009E3EDD">
        <w:t>accusant d</w:t>
      </w:r>
      <w:r w:rsidRPr="009E3EDD" w:rsidR="009E3EDD">
        <w:t>’</w:t>
      </w:r>
      <w:r w:rsidRPr="009E3EDD">
        <w:t>avoir sollicité et reçu de la part de H.S. la somme de 1 500 euros (EUR) pour faire embaucher son mari, H.I., sur un poste de chauffeur dans une entreprise privée. Ils exposaient que le requérant n</w:t>
      </w:r>
      <w:r w:rsidRPr="009E3EDD" w:rsidR="009E3EDD">
        <w:t>’</w:t>
      </w:r>
      <w:r w:rsidRPr="009E3EDD">
        <w:t>avait pas tenu sa promesse et qu</w:t>
      </w:r>
      <w:r w:rsidRPr="009E3EDD" w:rsidR="009E3EDD">
        <w:t>’</w:t>
      </w:r>
      <w:r w:rsidRPr="009E3EDD">
        <w:t>il avait ensuite refusé de leur rendre des comptes lorsqu</w:t>
      </w:r>
      <w:r w:rsidRPr="009E3EDD" w:rsidR="009E3EDD">
        <w:t>’</w:t>
      </w:r>
      <w:r w:rsidRPr="009E3EDD">
        <w:t>ils lui avaient demandé le remboursement de ladite somme. Ils ajoutaient que, dans ce contexte, H.S., qui travaillait pour l</w:t>
      </w:r>
      <w:r w:rsidRPr="009E3EDD" w:rsidR="009E3EDD">
        <w:t>’</w:t>
      </w:r>
      <w:r w:rsidRPr="009E3EDD">
        <w:t>épouse du requérant, M.A., avait été licenciée.</w:t>
      </w:r>
    </w:p>
    <w:p w:rsidRPr="009E3EDD" w:rsidR="00603614" w:rsidP="009E3EDD" w14:paraId="4AD4C837" w14:textId="5C536892">
      <w:pPr>
        <w:pStyle w:val="JuPara"/>
      </w:pPr>
      <w:r>
        <w:fldChar w:fldCharType="begin"/>
      </w:r>
      <w:r>
        <w:instrText xml:space="preserve"> SEQ level0 \*arabic \* MERGEFORMAT </w:instrText>
      </w:r>
      <w:r>
        <w:fldChar w:fldCharType="separate"/>
      </w:r>
      <w:bookmarkStart w:name="paragraph00005" w:id="1"/>
      <w:r w:rsidRPr="009E3EDD" w:rsidR="009E3EDD">
        <w:rPr>
          <w:noProof/>
        </w:rPr>
        <w:t>5</w:t>
      </w:r>
      <w:bookmarkEnd w:id="1"/>
      <w:r>
        <w:fldChar w:fldCharType="end"/>
      </w:r>
      <w:r w:rsidRPr="009E3EDD">
        <w:t>.  Le 21 avril 2015, le parquet près le tribunal départemental d</w:t>
      </w:r>
      <w:r w:rsidRPr="009E3EDD" w:rsidR="009E3EDD">
        <w:t>’</w:t>
      </w:r>
      <w:r w:rsidRPr="009E3EDD">
        <w:t>Argeş (« le parquet ») ordonna l</w:t>
      </w:r>
      <w:r w:rsidRPr="009E3EDD" w:rsidR="009E3EDD">
        <w:t>’</w:t>
      </w:r>
      <w:r w:rsidRPr="009E3EDD">
        <w:t>ouverture de poursuites pénales du chef de trafic d</w:t>
      </w:r>
      <w:r w:rsidRPr="009E3EDD" w:rsidR="009E3EDD">
        <w:t>’</w:t>
      </w:r>
      <w:r w:rsidRPr="009E3EDD">
        <w:t>influence (article 291 du code pénal, lu avec l</w:t>
      </w:r>
      <w:r w:rsidRPr="009E3EDD" w:rsidR="009E3EDD">
        <w:t>’</w:t>
      </w:r>
      <w:r w:rsidRPr="009E3EDD">
        <w:t>article 7 c) de la loi n</w:t>
      </w:r>
      <w:r w:rsidRPr="009E3EDD">
        <w:rPr>
          <w:vertAlign w:val="superscript"/>
        </w:rPr>
        <w:t>o</w:t>
      </w:r>
      <w:r w:rsidRPr="009E3EDD">
        <w:t> 78/2000 relative à la prévention, à la découverte et à la sanction de faits de corruption) contre l</w:t>
      </w:r>
      <w:r w:rsidRPr="009E3EDD" w:rsidR="009E3EDD">
        <w:t>’</w:t>
      </w:r>
      <w:r w:rsidRPr="009E3EDD">
        <w:t>intéressé. Le 16 juillet 2015, il renvoya celui-ci en jugement pour ce même délit devant le tribunal départemental d</w:t>
      </w:r>
      <w:r w:rsidRPr="009E3EDD" w:rsidR="009E3EDD">
        <w:t>’</w:t>
      </w:r>
      <w:r w:rsidRPr="009E3EDD">
        <w:t>Argeş (</w:t>
      </w:r>
      <w:r w:rsidRPr="009E3EDD" w:rsidR="0041664A">
        <w:t>« </w:t>
      </w:r>
      <w:r w:rsidRPr="009E3EDD">
        <w:t>le tribunal départemental »). Le parquet s</w:t>
      </w:r>
      <w:r w:rsidRPr="009E3EDD" w:rsidR="009E3EDD">
        <w:t>’</w:t>
      </w:r>
      <w:r w:rsidRPr="009E3EDD">
        <w:t>appuyait notamment sur les déclarations faites au cours des poursuites par les époux H., qui avaient passé avec succès un test polygraphique en vue de la détection d</w:t>
      </w:r>
      <w:r w:rsidRPr="009E3EDD" w:rsidR="009E3EDD">
        <w:t>’</w:t>
      </w:r>
      <w:r w:rsidRPr="009E3EDD">
        <w:t>un éventuel comportement simulé, et sur les témoignages tant des parents de H.S., les époux R., qui avaient fourni une partie de la somme à transmettre, que d</w:t>
      </w:r>
      <w:r w:rsidRPr="009E3EDD" w:rsidR="009E3EDD">
        <w:t>’</w:t>
      </w:r>
      <w:r w:rsidRPr="009E3EDD">
        <w:t>une amie de H.S., F.D</w:t>
      </w:r>
      <w:r w:rsidRPr="009E3EDD" w:rsidR="0007010B">
        <w:t>.</w:t>
      </w:r>
      <w:r w:rsidRPr="009E3EDD">
        <w:t>, lesdits témoins ayant confirmé les faits dénoncés tels qu</w:t>
      </w:r>
      <w:r w:rsidRPr="009E3EDD" w:rsidR="009E3EDD">
        <w:t>’</w:t>
      </w:r>
      <w:r w:rsidRPr="009E3EDD">
        <w:t>ils leur avaient été rapportés, selon eux, par les époux H. à l</w:t>
      </w:r>
      <w:r w:rsidRPr="009E3EDD" w:rsidR="009E3EDD">
        <w:t>’</w:t>
      </w:r>
      <w:r w:rsidRPr="009E3EDD">
        <w:t>époque des faits. Le dossier des poursuites contenait également, entre autres, des enregistrements téléphoniques effectués sur des postes appartenant respectivement aux époux H., au requérant et à M.A., l</w:t>
      </w:r>
      <w:r w:rsidRPr="009E3EDD" w:rsidR="009E3EDD">
        <w:t>’</w:t>
      </w:r>
      <w:r w:rsidRPr="009E3EDD">
        <w:t>épouse de ce dernier, des procès-verbaux de perquisition du domicile du requérant ainsi que le témoignage de R.M.L., qui avait assisté à une dispute entre H.S. et F.D., d</w:t>
      </w:r>
      <w:r w:rsidRPr="009E3EDD" w:rsidR="009E3EDD">
        <w:t>’</w:t>
      </w:r>
      <w:r w:rsidRPr="009E3EDD">
        <w:t>une part, et entre le requérant et M.A., d</w:t>
      </w:r>
      <w:r w:rsidRPr="009E3EDD" w:rsidR="009E3EDD">
        <w:t>’</w:t>
      </w:r>
      <w:r w:rsidRPr="009E3EDD">
        <w:t>autre part, au sujet du remboursement de la somme d</w:t>
      </w:r>
      <w:r w:rsidRPr="009E3EDD" w:rsidR="009E3EDD">
        <w:t>’</w:t>
      </w:r>
      <w:r w:rsidRPr="009E3EDD">
        <w:t>argent litigieuse.</w:t>
      </w:r>
    </w:p>
    <w:p w:rsidRPr="009E3EDD" w:rsidR="00603614" w:rsidP="009E3EDD" w14:paraId="6011BB9F" w14:textId="6156C055">
      <w:pPr>
        <w:pStyle w:val="JuHIRoman"/>
      </w:pPr>
      <w:r w:rsidRPr="009E3EDD">
        <w:t>L</w:t>
      </w:r>
      <w:r w:rsidRPr="009E3EDD">
        <w:t>a procédure en première instance et la relaxe du requérant</w:t>
      </w:r>
    </w:p>
    <w:p w:rsidRPr="009E3EDD" w:rsidR="00603614" w:rsidP="009E3EDD" w14:paraId="2357B435" w14:textId="477BE59C">
      <w:pPr>
        <w:pStyle w:val="JuPara"/>
      </w:pPr>
      <w:r>
        <w:fldChar w:fldCharType="begin"/>
      </w:r>
      <w:r>
        <w:instrText xml:space="preserve"> SEQ level0 \*arabic \* MERGEFORMAT </w:instrText>
      </w:r>
      <w:r>
        <w:fldChar w:fldCharType="separate"/>
      </w:r>
      <w:r w:rsidRPr="009E3EDD" w:rsidR="009E3EDD">
        <w:rPr>
          <w:noProof/>
        </w:rPr>
        <w:t>6</w:t>
      </w:r>
      <w:r w:rsidRPr="009E3EDD" w:rsidR="009E3EDD">
        <w:rPr>
          <w:noProof/>
        </w:rPr>
        <w:fldChar w:fldCharType="end"/>
      </w:r>
      <w:r w:rsidRPr="009E3EDD">
        <w:t>.  Devant le tribunal départemental, le requérant contesta tous les témoignages recueillis lors des poursuites, à l</w:t>
      </w:r>
      <w:r w:rsidRPr="009E3EDD" w:rsidR="009E3EDD">
        <w:t>’</w:t>
      </w:r>
      <w:r w:rsidRPr="009E3EDD">
        <w:t>exception de celui de R.M.L.</w:t>
      </w:r>
    </w:p>
    <w:p w:rsidRPr="009E3EDD" w:rsidR="00603614" w:rsidP="009E3EDD" w14:paraId="76A908E0" w14:textId="258BC9C5">
      <w:pPr>
        <w:pStyle w:val="JuPara"/>
      </w:pPr>
      <w:r>
        <w:fldChar w:fldCharType="begin"/>
      </w:r>
      <w:r>
        <w:instrText xml:space="preserve"> SEQ level0 \*arabic \* MERGEFORMAT </w:instrText>
      </w:r>
      <w:r>
        <w:fldChar w:fldCharType="separate"/>
      </w:r>
      <w:bookmarkStart w:name="paragraph00007" w:id="2"/>
      <w:r w:rsidRPr="009E3EDD" w:rsidR="009E3EDD">
        <w:rPr>
          <w:noProof/>
        </w:rPr>
        <w:t>7</w:t>
      </w:r>
      <w:bookmarkEnd w:id="2"/>
      <w:r>
        <w:fldChar w:fldCharType="end"/>
      </w:r>
      <w:r w:rsidRPr="009E3EDD">
        <w:t>.  Lors des audiences des 4 novembre et 2 décembre 2015, le tribunal départemental constata que les époux H. ne pouvaient être entendus du fait de leur absence de Roumanie et de l</w:t>
      </w:r>
      <w:r w:rsidRPr="009E3EDD" w:rsidR="009E3EDD">
        <w:t>’</w:t>
      </w:r>
      <w:r w:rsidRPr="009E3EDD">
        <w:t>impossibilité, malgré la délivrance de mandats d</w:t>
      </w:r>
      <w:r w:rsidRPr="009E3EDD" w:rsidR="009E3EDD">
        <w:t>’</w:t>
      </w:r>
      <w:r w:rsidRPr="009E3EDD">
        <w:t xml:space="preserve">amener, de les faire venir devant lui. Il fit lecture des déclarations faites par eux pendant les poursuites pénales. Il entendit par ailleurs le requérant, qui nia les faits qui lui étaient reprochés, et, comme témoins, les époux R. ainsi que F.D. (paragraphe </w:t>
      </w:r>
      <w:r w:rsidRPr="009E3EDD">
        <w:fldChar w:fldCharType="begin"/>
      </w:r>
      <w:r w:rsidRPr="009E3EDD">
        <w:instrText xml:space="preserve"> REF paragraph00005 \h  \* CharFormat </w:instrText>
      </w:r>
      <w:r w:rsidRPr="009E3EDD">
        <w:fldChar w:fldCharType="separate"/>
      </w:r>
      <w:r w:rsidRPr="009E3EDD" w:rsidR="009E3EDD">
        <w:t>5</w:t>
      </w:r>
      <w:r w:rsidRPr="009E3EDD">
        <w:fldChar w:fldCharType="end"/>
      </w:r>
      <w:r w:rsidRPr="009E3EDD">
        <w:t xml:space="preserve"> ci-dessus).</w:t>
      </w:r>
    </w:p>
    <w:p w:rsidRPr="009E3EDD" w:rsidR="00603614" w:rsidP="009E3EDD" w14:paraId="4DC67F59" w14:textId="609BA666">
      <w:pPr>
        <w:pStyle w:val="JuPara"/>
      </w:pPr>
      <w:r>
        <w:fldChar w:fldCharType="begin"/>
      </w:r>
      <w:r>
        <w:instrText xml:space="preserve"> SEQ level0 \*arabic \* MERGEFORMAT </w:instrText>
      </w:r>
      <w:r>
        <w:fldChar w:fldCharType="separate"/>
      </w:r>
      <w:bookmarkStart w:name="paragraph00008" w:id="3"/>
      <w:r w:rsidRPr="009E3EDD" w:rsidR="009E3EDD">
        <w:rPr>
          <w:noProof/>
        </w:rPr>
        <w:t>8</w:t>
      </w:r>
      <w:bookmarkEnd w:id="3"/>
      <w:r>
        <w:fldChar w:fldCharType="end"/>
      </w:r>
      <w:r w:rsidRPr="009E3EDD">
        <w:t xml:space="preserve">.  Par un jugement rendu le 4 décembre 2015, le tribunal départemental relaxa le requérant. Faisant </w:t>
      </w:r>
      <w:r w:rsidRPr="009E3EDD">
        <w:t xml:space="preserve">application du principe </w:t>
      </w:r>
      <w:r w:rsidRPr="009E3EDD">
        <w:rPr>
          <w:i/>
          <w:iCs/>
        </w:rPr>
        <w:t>in dubio pro reo</w:t>
      </w:r>
      <w:r w:rsidRPr="009E3EDD">
        <w:t>, il estima qu</w:t>
      </w:r>
      <w:r w:rsidRPr="009E3EDD" w:rsidR="009E3EDD">
        <w:t>’</w:t>
      </w:r>
      <w:r w:rsidRPr="009E3EDD">
        <w:t>il n</w:t>
      </w:r>
      <w:r w:rsidRPr="009E3EDD" w:rsidR="009E3EDD">
        <w:t>’</w:t>
      </w:r>
      <w:r w:rsidRPr="009E3EDD">
        <w:t>y avait pas suffisamment de preuves en l</w:t>
      </w:r>
      <w:r w:rsidRPr="009E3EDD" w:rsidR="009E3EDD">
        <w:t>’</w:t>
      </w:r>
      <w:r w:rsidRPr="009E3EDD">
        <w:t>espèce pour réfuter la présomption d</w:t>
      </w:r>
      <w:r w:rsidRPr="009E3EDD" w:rsidR="009E3EDD">
        <w:t>’</w:t>
      </w:r>
      <w:r w:rsidRPr="009E3EDD">
        <w:t>innocence de l</w:t>
      </w:r>
      <w:r w:rsidRPr="009E3EDD" w:rsidR="009E3EDD">
        <w:t>’</w:t>
      </w:r>
      <w:r w:rsidRPr="009E3EDD">
        <w:t xml:space="preserve">intéressé. Il releva, à cet égard, que les seules preuves directes étaient les déclarations des époux H. en tant que dénonciateurs, puisque les autres témoins, qui se bornaient à relater ce que les premiers leur avaient dit, devaient être considérés comme indirects. Même si les conclusions des rapports technico-scientifiques relatifs au test polygraphique (paragraphe </w:t>
      </w:r>
      <w:r w:rsidRPr="009E3EDD">
        <w:fldChar w:fldCharType="begin"/>
      </w:r>
      <w:r w:rsidRPr="009E3EDD">
        <w:instrText xml:space="preserve"> REF paragraph00005 \h  \* CharFormat </w:instrText>
      </w:r>
      <w:r w:rsidRPr="009E3EDD">
        <w:fldChar w:fldCharType="separate"/>
      </w:r>
      <w:r w:rsidRPr="009E3EDD" w:rsidR="009E3EDD">
        <w:t>5</w:t>
      </w:r>
      <w:r w:rsidRPr="009E3EDD">
        <w:fldChar w:fldCharType="end"/>
      </w:r>
      <w:r w:rsidRPr="009E3EDD">
        <w:t xml:space="preserve"> ci-dessus) – lequel ne figurait pas parmi les preuves prévues par le code de procédure pénale (« le CPP ») – pouvaient constituer un indice de sincérité dès lors qu</w:t>
      </w:r>
      <w:r w:rsidRPr="009E3EDD" w:rsidR="009E3EDD">
        <w:t>’</w:t>
      </w:r>
      <w:r w:rsidRPr="009E3EDD">
        <w:t>elles venaient corroborer d</w:t>
      </w:r>
      <w:r w:rsidRPr="009E3EDD" w:rsidR="009E3EDD">
        <w:t>’</w:t>
      </w:r>
      <w:r w:rsidRPr="009E3EDD">
        <w:t>autres preuves, de telles conclusions ne pouvaient à elles seules justifier un jugement de condamnation lorsque, comme en l</w:t>
      </w:r>
      <w:r w:rsidRPr="009E3EDD" w:rsidR="009E3EDD">
        <w:t>’</w:t>
      </w:r>
      <w:r w:rsidRPr="009E3EDD">
        <w:t>espèce, les déclarations du couple H. constituaient la seule preuve directe. Le tribunal départemental souligna qu</w:t>
      </w:r>
      <w:r w:rsidRPr="009E3EDD" w:rsidR="009E3EDD">
        <w:t>’</w:t>
      </w:r>
      <w:r w:rsidRPr="009E3EDD">
        <w:t>il n</w:t>
      </w:r>
      <w:r w:rsidRPr="009E3EDD" w:rsidR="009E3EDD">
        <w:t>’</w:t>
      </w:r>
      <w:r w:rsidRPr="009E3EDD">
        <w:t xml:space="preserve">appartenait pas au requérant de prouver son innocence. Il retint, en outre, que les enregistrements téléphoniques, dans lesquels M.A. niait constamment avoir eu connaissance des faits dénoncés, ne prouvaient pas la véracité des allégations formulées contre le requérant, et que la thèse de celui-ci selon laquelle H.S. cherchait, à travers celles-ci, à se venger contre son licenciement par M.A. (paragraphe </w:t>
      </w:r>
      <w:r w:rsidRPr="009E3EDD">
        <w:fldChar w:fldCharType="begin"/>
      </w:r>
      <w:r w:rsidRPr="009E3EDD">
        <w:instrText xml:space="preserve"> REF paragraph00004 \h  \* CharFormat </w:instrText>
      </w:r>
      <w:r w:rsidRPr="009E3EDD">
        <w:fldChar w:fldCharType="separate"/>
      </w:r>
      <w:r w:rsidRPr="009E3EDD" w:rsidR="009E3EDD">
        <w:t>4</w:t>
      </w:r>
      <w:r w:rsidRPr="009E3EDD">
        <w:fldChar w:fldCharType="end"/>
      </w:r>
      <w:r w:rsidRPr="009E3EDD">
        <w:t xml:space="preserve"> ci-dessus) était étayée en partie par le témoignage que R.M.L. avait fourni au cours des poursuites (paragraphe</w:t>
      </w:r>
      <w:r w:rsidRPr="009E3EDD" w:rsidR="000A1DBC">
        <w:t xml:space="preserve"> </w:t>
      </w:r>
      <w:r w:rsidRPr="009E3EDD">
        <w:fldChar w:fldCharType="begin"/>
      </w:r>
      <w:r w:rsidRPr="009E3EDD">
        <w:instrText xml:space="preserve"> REF paragraph00005 \h  \* CharFormat </w:instrText>
      </w:r>
      <w:r w:rsidRPr="009E3EDD">
        <w:fldChar w:fldCharType="separate"/>
      </w:r>
      <w:r w:rsidRPr="009E3EDD" w:rsidR="009E3EDD">
        <w:t>5</w:t>
      </w:r>
      <w:r w:rsidRPr="009E3EDD">
        <w:fldChar w:fldCharType="end"/>
      </w:r>
      <w:r w:rsidRPr="009E3EDD">
        <w:t xml:space="preserve"> ci</w:t>
      </w:r>
      <w:r w:rsidRPr="009E3EDD">
        <w:noBreakHyphen/>
        <w:t>dessus).</w:t>
      </w:r>
    </w:p>
    <w:p w:rsidRPr="009E3EDD" w:rsidR="00603614" w:rsidP="009E3EDD" w14:paraId="53104A7B" w14:textId="77777777">
      <w:pPr>
        <w:pStyle w:val="JuHIRoman"/>
      </w:pPr>
      <w:r w:rsidRPr="009E3EDD">
        <w:t>La procédure pénale en dernière instance et la condamnation du requérant</w:t>
      </w:r>
    </w:p>
    <w:p w:rsidRPr="009E3EDD" w:rsidR="00603614" w:rsidP="009E3EDD" w14:paraId="33061FA9" w14:textId="3091C125">
      <w:pPr>
        <w:pStyle w:val="JuPara"/>
      </w:pPr>
      <w:r>
        <w:fldChar w:fldCharType="begin"/>
      </w:r>
      <w:r>
        <w:instrText xml:space="preserve"> SEQ level0 \*arabic \* MERGEFORMAT </w:instrText>
      </w:r>
      <w:r>
        <w:fldChar w:fldCharType="separate"/>
      </w:r>
      <w:bookmarkStart w:name="paragraph00009" w:id="4"/>
      <w:r w:rsidRPr="009E3EDD" w:rsidR="009E3EDD">
        <w:rPr>
          <w:noProof/>
        </w:rPr>
        <w:t>9</w:t>
      </w:r>
      <w:bookmarkEnd w:id="4"/>
      <w:r>
        <w:fldChar w:fldCharType="end"/>
      </w:r>
      <w:r w:rsidRPr="009E3EDD">
        <w:t>.  Le parquet releva appel du jugement de relaxe devant la cour d</w:t>
      </w:r>
      <w:r w:rsidRPr="009E3EDD" w:rsidR="009E3EDD">
        <w:t>’</w:t>
      </w:r>
      <w:r w:rsidRPr="009E3EDD">
        <w:t>appel de Pite</w:t>
      </w:r>
      <w:r w:rsidRPr="009E3EDD">
        <w:rPr>
          <w:rFonts w:cstheme="minorHAnsi"/>
        </w:rPr>
        <w:t>ş</w:t>
      </w:r>
      <w:r w:rsidRPr="009E3EDD">
        <w:t>ti (« la cour d</w:t>
      </w:r>
      <w:r w:rsidRPr="009E3EDD" w:rsidR="009E3EDD">
        <w:t>’</w:t>
      </w:r>
      <w:r w:rsidRPr="009E3EDD">
        <w:t>appel »). Critiquant la conclusion du tribunal départemental selon laquelle les déclarations des époux H. constituaient les seules preuves de culpabilité disponibles, il estimait que, dans les cas où le constat d</w:t>
      </w:r>
      <w:r w:rsidRPr="009E3EDD" w:rsidR="009E3EDD">
        <w:t>’</w:t>
      </w:r>
      <w:r w:rsidRPr="009E3EDD">
        <w:t>un flagrant délit n</w:t>
      </w:r>
      <w:r w:rsidRPr="009E3EDD" w:rsidR="009E3EDD">
        <w:t>’</w:t>
      </w:r>
      <w:r w:rsidRPr="009E3EDD">
        <w:t>était plus possible, toutes les preuves, directes et indirectes, devaient être interprétées à la lumière des unes et des autres. Le parquet relevait, entre autres, que les époux H. avaient passé sans incident le test polygraphique, alors que le requérant avait refusé de s</w:t>
      </w:r>
      <w:r w:rsidRPr="009E3EDD" w:rsidR="009E3EDD">
        <w:t>’</w:t>
      </w:r>
      <w:r w:rsidRPr="009E3EDD">
        <w:t>y soumettre, et il estimait que le tribunal avait mal interprété, voire ignoré, le contenu des enregistrements des conversations téléphoniques entre H.S. et M.A.</w:t>
      </w:r>
    </w:p>
    <w:p w:rsidRPr="009E3EDD" w:rsidR="00603614" w:rsidP="009E3EDD" w14:paraId="0CF95B1B" w14:textId="196C2645">
      <w:pPr>
        <w:pStyle w:val="JuPara"/>
      </w:pPr>
      <w:r>
        <w:fldChar w:fldCharType="begin"/>
      </w:r>
      <w:r>
        <w:instrText xml:space="preserve"> SEQ level0 \*arabic \* MERGEFORMAT </w:instrText>
      </w:r>
      <w:r>
        <w:fldChar w:fldCharType="separate"/>
      </w:r>
      <w:bookmarkStart w:name="paragraph00010" w:id="5"/>
      <w:r w:rsidRPr="009E3EDD" w:rsidR="009E3EDD">
        <w:rPr>
          <w:noProof/>
        </w:rPr>
        <w:t>10</w:t>
      </w:r>
      <w:bookmarkEnd w:id="5"/>
      <w:r>
        <w:fldChar w:fldCharType="end"/>
      </w:r>
      <w:r w:rsidRPr="009E3EDD">
        <w:t>.  À l</w:t>
      </w:r>
      <w:r w:rsidRPr="009E3EDD" w:rsidR="009E3EDD">
        <w:t>’</w:t>
      </w:r>
      <w:r w:rsidRPr="009E3EDD">
        <w:t>audience qui se tint le 8 juin 2016 devant la cour d</w:t>
      </w:r>
      <w:r w:rsidRPr="009E3EDD" w:rsidR="009E3EDD">
        <w:t>’</w:t>
      </w:r>
      <w:r w:rsidRPr="009E3EDD">
        <w:t>appel siégeant en formation de deux juges, à savoir C.A.N. (présidente) et T.G., le requérant, qui était assisté d</w:t>
      </w:r>
      <w:r w:rsidRPr="009E3EDD" w:rsidR="009E3EDD">
        <w:t>’</w:t>
      </w:r>
      <w:r w:rsidRPr="009E3EDD">
        <w:t>un avocat de son choix, déclara ne pas vouloir faire de déclaration. Il s</w:t>
      </w:r>
      <w:r w:rsidRPr="009E3EDD" w:rsidR="009E3EDD">
        <w:t>’</w:t>
      </w:r>
      <w:r w:rsidRPr="009E3EDD">
        <w:t>opposa, par l</w:t>
      </w:r>
      <w:r w:rsidRPr="009E3EDD" w:rsidR="009E3EDD">
        <w:t>’</w:t>
      </w:r>
      <w:r w:rsidRPr="009E3EDD">
        <w:t>intermédiaire de son avocat, à la demande du parquet tendant à faire entendre les témoins à charge dont les déclarations avaient été utilisées dans le jugement de relaxe, et en particulier les époux H. L</w:t>
      </w:r>
      <w:r w:rsidRPr="009E3EDD" w:rsidR="009E3EDD">
        <w:t>’</w:t>
      </w:r>
      <w:r w:rsidRPr="009E3EDD">
        <w:t>avocat du requérant arguait qu</w:t>
      </w:r>
      <w:r w:rsidRPr="009E3EDD" w:rsidR="009E3EDD">
        <w:t>’</w:t>
      </w:r>
      <w:r w:rsidRPr="009E3EDD">
        <w:t>il y avait au dossier suffisamment de preuves pour que la cour d</w:t>
      </w:r>
      <w:r w:rsidRPr="009E3EDD" w:rsidR="009E3EDD">
        <w:t>’</w:t>
      </w:r>
      <w:r w:rsidRPr="009E3EDD">
        <w:t>appel examinât l</w:t>
      </w:r>
      <w:r w:rsidRPr="009E3EDD" w:rsidR="009E3EDD">
        <w:t>’</w:t>
      </w:r>
      <w:r w:rsidRPr="009E3EDD">
        <w:t>affaire à la lumière des motifs d</w:t>
      </w:r>
      <w:r w:rsidRPr="009E3EDD" w:rsidR="009E3EDD">
        <w:t>’</w:t>
      </w:r>
      <w:r w:rsidRPr="009E3EDD">
        <w:t>appel du parquet, qui se limitaient, selon lui, à l</w:t>
      </w:r>
      <w:r w:rsidRPr="009E3EDD" w:rsidR="009E3EDD">
        <w:t>’</w:t>
      </w:r>
      <w:r w:rsidRPr="009E3EDD">
        <w:t>interprétation des preuves. Il estimait que les témoins en question, qui avaient déjà été entendus lors des poursuites et en première instance, n</w:t>
      </w:r>
      <w:r w:rsidRPr="009E3EDD" w:rsidR="009E3EDD">
        <w:t>’</w:t>
      </w:r>
      <w:r w:rsidRPr="009E3EDD">
        <w:t>auraient rien de plus à ajouter, et faisait observer, en particulier, que les époux H. n</w:t>
      </w:r>
      <w:r w:rsidRPr="009E3EDD" w:rsidR="009E3EDD">
        <w:t>’</w:t>
      </w:r>
      <w:r w:rsidRPr="009E3EDD">
        <w:t>avaient pas pu se présenter devant le tribunal départemental malgré les mandats d</w:t>
      </w:r>
      <w:r w:rsidRPr="009E3EDD" w:rsidR="009E3EDD">
        <w:t>’</w:t>
      </w:r>
      <w:r w:rsidRPr="009E3EDD">
        <w:t xml:space="preserve">amener émis à leur encontre (paragraphe </w:t>
      </w:r>
      <w:r w:rsidRPr="009E3EDD">
        <w:fldChar w:fldCharType="begin"/>
      </w:r>
      <w:r w:rsidRPr="009E3EDD">
        <w:instrText xml:space="preserve"> REF paragraph00007 \h  \* CharFormat </w:instrText>
      </w:r>
      <w:r w:rsidRPr="009E3EDD">
        <w:fldChar w:fldCharType="separate"/>
      </w:r>
      <w:r w:rsidRPr="009E3EDD" w:rsidR="009E3EDD">
        <w:t>7</w:t>
      </w:r>
      <w:r w:rsidRPr="009E3EDD">
        <w:fldChar w:fldCharType="end"/>
      </w:r>
      <w:r w:rsidRPr="009E3EDD">
        <w:t xml:space="preserve"> ci-dessus).</w:t>
      </w:r>
    </w:p>
    <w:p w:rsidRPr="009E3EDD" w:rsidR="00603614" w:rsidP="009E3EDD" w14:paraId="5528E3F0" w14:textId="59FC98A9">
      <w:pPr>
        <w:pStyle w:val="JuPara"/>
      </w:pPr>
      <w:r>
        <w:fldChar w:fldCharType="begin"/>
      </w:r>
      <w:r>
        <w:instrText xml:space="preserve"> SEQ level0 \*arabic \* MERGEFORMAT </w:instrText>
      </w:r>
      <w:r>
        <w:fldChar w:fldCharType="separate"/>
      </w:r>
      <w:bookmarkStart w:name="paragraph00011" w:id="6"/>
      <w:r w:rsidRPr="009E3EDD" w:rsidR="009E3EDD">
        <w:rPr>
          <w:noProof/>
        </w:rPr>
        <w:t>11</w:t>
      </w:r>
      <w:bookmarkEnd w:id="6"/>
      <w:r>
        <w:fldChar w:fldCharType="end"/>
      </w:r>
      <w:r w:rsidRPr="009E3EDD">
        <w:t>.  Se fondant sur l</w:t>
      </w:r>
      <w:r w:rsidRPr="009E3EDD" w:rsidR="009E3EDD">
        <w:t>’</w:t>
      </w:r>
      <w:r w:rsidRPr="009E3EDD">
        <w:t>article 421 § 2 a) du CPP, tel que modifié par l</w:t>
      </w:r>
      <w:r w:rsidRPr="009E3EDD" w:rsidR="009E3EDD">
        <w:t>’</w:t>
      </w:r>
      <w:r w:rsidRPr="009E3EDD">
        <w:t>ordonnance d</w:t>
      </w:r>
      <w:r w:rsidRPr="009E3EDD" w:rsidR="009E3EDD">
        <w:t>’</w:t>
      </w:r>
      <w:r w:rsidRPr="009E3EDD">
        <w:t>urgence du Gouvernement n</w:t>
      </w:r>
      <w:r w:rsidRPr="009E3EDD">
        <w:rPr>
          <w:vertAlign w:val="superscript"/>
        </w:rPr>
        <w:t>o</w:t>
      </w:r>
      <w:r w:rsidRPr="009E3EDD" w:rsidR="000A1DBC">
        <w:t xml:space="preserve"> </w:t>
      </w:r>
      <w:r w:rsidRPr="009E3EDD">
        <w:t>18/2016 (« l</w:t>
      </w:r>
      <w:r w:rsidRPr="009E3EDD" w:rsidR="009E3EDD">
        <w:t>’</w:t>
      </w:r>
      <w:r w:rsidRPr="009E3EDD">
        <w:t>OUG n</w:t>
      </w:r>
      <w:r w:rsidRPr="009E3EDD">
        <w:rPr>
          <w:vertAlign w:val="superscript"/>
        </w:rPr>
        <w:t>o</w:t>
      </w:r>
      <w:r w:rsidRPr="009E3EDD" w:rsidR="000A1DBC">
        <w:t xml:space="preserve"> </w:t>
      </w:r>
      <w:r w:rsidRPr="009E3EDD">
        <w:t xml:space="preserve">18/2016 » – paragraphe </w:t>
      </w:r>
      <w:r w:rsidRPr="009E3EDD">
        <w:fldChar w:fldCharType="begin"/>
      </w:r>
      <w:r w:rsidRPr="009E3EDD">
        <w:instrText xml:space="preserve"> REF paragraph00017 \h  \* CharFormat </w:instrText>
      </w:r>
      <w:r w:rsidRPr="009E3EDD">
        <w:fldChar w:fldCharType="separate"/>
      </w:r>
      <w:r w:rsidRPr="009E3EDD" w:rsidR="009E3EDD">
        <w:t>17</w:t>
      </w:r>
      <w:r w:rsidRPr="009E3EDD">
        <w:fldChar w:fldCharType="end"/>
      </w:r>
      <w:r w:rsidRPr="009E3EDD">
        <w:t xml:space="preserve"> ci-dessous), la cour d</w:t>
      </w:r>
      <w:r w:rsidRPr="009E3EDD" w:rsidR="009E3EDD">
        <w:t>’</w:t>
      </w:r>
      <w:r w:rsidRPr="009E3EDD">
        <w:t>appel ajourna l</w:t>
      </w:r>
      <w:r w:rsidRPr="009E3EDD" w:rsidR="009E3EDD">
        <w:t>’</w:t>
      </w:r>
      <w:r w:rsidRPr="009E3EDD">
        <w:t>affaire pour faire citer les époux H., les époux R. et F.D. en vue d</w:t>
      </w:r>
      <w:r w:rsidRPr="009E3EDD" w:rsidR="009E3EDD">
        <w:t>’</w:t>
      </w:r>
      <w:r w:rsidRPr="009E3EDD">
        <w:t>entendre leurs témoignages.</w:t>
      </w:r>
    </w:p>
    <w:p w:rsidRPr="009E3EDD" w:rsidR="00603614" w:rsidP="009E3EDD" w14:paraId="1CBD52D2" w14:textId="502DDC47">
      <w:pPr>
        <w:pStyle w:val="JuPara"/>
      </w:pPr>
      <w:r>
        <w:fldChar w:fldCharType="begin"/>
      </w:r>
      <w:r>
        <w:instrText xml:space="preserve"> SEQ level0 \*arabic \* MERGEFORMAT </w:instrText>
      </w:r>
      <w:r>
        <w:fldChar w:fldCharType="separate"/>
      </w:r>
      <w:bookmarkStart w:name="paragraph00012" w:id="7"/>
      <w:r w:rsidRPr="009E3EDD" w:rsidR="009E3EDD">
        <w:rPr>
          <w:noProof/>
        </w:rPr>
        <w:t>12</w:t>
      </w:r>
      <w:bookmarkEnd w:id="7"/>
      <w:r>
        <w:fldChar w:fldCharType="end"/>
      </w:r>
      <w:r w:rsidRPr="009E3EDD">
        <w:t>.  Lors de l</w:t>
      </w:r>
      <w:r w:rsidRPr="009E3EDD" w:rsidR="009E3EDD">
        <w:t>’</w:t>
      </w:r>
      <w:r w:rsidRPr="009E3EDD">
        <w:t>audience du 21 septembre 2016, la cour d</w:t>
      </w:r>
      <w:r w:rsidRPr="009E3EDD" w:rsidR="009E3EDD">
        <w:t>’</w:t>
      </w:r>
      <w:r w:rsidRPr="009E3EDD">
        <w:t>appel siégeant en formation de deux juges, composée cette fois-ci de E.P. (présidente) et I.F., entendit les époux H. et les époux R., dont les déclarations, très similaires à celles faites précédemment dans la procédure, furent consignées au dossier.</w:t>
      </w:r>
    </w:p>
    <w:p w:rsidRPr="009E3EDD" w:rsidR="00603614" w:rsidP="009E3EDD" w14:paraId="261EF398" w14:textId="7F746476">
      <w:pPr>
        <w:pStyle w:val="JuPara"/>
      </w:pPr>
      <w:r>
        <w:fldChar w:fldCharType="begin"/>
      </w:r>
      <w:r>
        <w:instrText xml:space="preserve"> SEQ level0 \*arabic \* MERGEFORMAT </w:instrText>
      </w:r>
      <w:r>
        <w:fldChar w:fldCharType="separate"/>
      </w:r>
      <w:bookmarkStart w:name="paragraph00013" w:id="8"/>
      <w:r w:rsidRPr="009E3EDD" w:rsidR="009E3EDD">
        <w:rPr>
          <w:noProof/>
        </w:rPr>
        <w:t>13</w:t>
      </w:r>
      <w:bookmarkEnd w:id="8"/>
      <w:r>
        <w:fldChar w:fldCharType="end"/>
      </w:r>
      <w:r w:rsidRPr="009E3EDD">
        <w:t>.  À l</w:t>
      </w:r>
      <w:r w:rsidRPr="009E3EDD" w:rsidR="009E3EDD">
        <w:t>’</w:t>
      </w:r>
      <w:r w:rsidRPr="009E3EDD">
        <w:t>audience suivante, le 2 novembre 2016, la cour d</w:t>
      </w:r>
      <w:r w:rsidRPr="009E3EDD" w:rsidR="009E3EDD">
        <w:t>’</w:t>
      </w:r>
      <w:r w:rsidRPr="009E3EDD">
        <w:t xml:space="preserve">appel, siégeant dans une formation une nouvelle fois modifiée et composée cette fois des juges E.P. (présidente) et T.G. (paragraphe </w:t>
      </w:r>
      <w:r w:rsidRPr="009E3EDD">
        <w:fldChar w:fldCharType="begin"/>
      </w:r>
      <w:r w:rsidRPr="009E3EDD">
        <w:instrText xml:space="preserve"> REF paragraph00010 \h  \* CharFormat </w:instrText>
      </w:r>
      <w:r w:rsidRPr="009E3EDD">
        <w:fldChar w:fldCharType="separate"/>
      </w:r>
      <w:r w:rsidRPr="009E3EDD" w:rsidR="009E3EDD">
        <w:t>10</w:t>
      </w:r>
      <w:r w:rsidRPr="009E3EDD">
        <w:fldChar w:fldCharType="end"/>
      </w:r>
      <w:r w:rsidRPr="009E3EDD">
        <w:t xml:space="preserve"> ci-dessus), entendit le témoin F.D., qui confirma sa déposition initiale (paragraphe </w:t>
      </w:r>
      <w:r w:rsidRPr="009E3EDD">
        <w:fldChar w:fldCharType="begin"/>
      </w:r>
      <w:r w:rsidRPr="009E3EDD">
        <w:instrText xml:space="preserve"> REF paragraph00005 \h  \* CharFormat </w:instrText>
      </w:r>
      <w:r w:rsidRPr="009E3EDD">
        <w:fldChar w:fldCharType="separate"/>
      </w:r>
      <w:r w:rsidRPr="009E3EDD" w:rsidR="009E3EDD">
        <w:t>5</w:t>
      </w:r>
      <w:r w:rsidRPr="009E3EDD">
        <w:fldChar w:fldCharType="end"/>
      </w:r>
      <w:r w:rsidRPr="009E3EDD">
        <w:t xml:space="preserve"> ci-dessus). Ayant pris note de ce qu</w:t>
      </w:r>
      <w:r w:rsidRPr="009E3EDD" w:rsidR="009E3EDD">
        <w:t>’</w:t>
      </w:r>
      <w:r w:rsidRPr="009E3EDD">
        <w:t>il n</w:t>
      </w:r>
      <w:r w:rsidRPr="009E3EDD" w:rsidR="009E3EDD">
        <w:t>’</w:t>
      </w:r>
      <w:r w:rsidRPr="009E3EDD">
        <w:t>y avait pas d</w:t>
      </w:r>
      <w:r w:rsidRPr="009E3EDD" w:rsidR="009E3EDD">
        <w:t>’</w:t>
      </w:r>
      <w:r w:rsidRPr="009E3EDD">
        <w:t>autres demandes préalables, la cour d</w:t>
      </w:r>
      <w:r w:rsidRPr="009E3EDD" w:rsidR="009E3EDD">
        <w:t>’</w:t>
      </w:r>
      <w:r w:rsidRPr="009E3EDD">
        <w:t>appel ouvrit les débats et entendit les parties en leurs conclusions. Le requérant, par l</w:t>
      </w:r>
      <w:r w:rsidRPr="009E3EDD" w:rsidR="009E3EDD">
        <w:t>’</w:t>
      </w:r>
      <w:r w:rsidRPr="009E3EDD">
        <w:t>intermédiaire de son avocat, argua que la déclaration de culpabilité le concernant ne s</w:t>
      </w:r>
      <w:r w:rsidRPr="009E3EDD" w:rsidR="009E3EDD">
        <w:t>’</w:t>
      </w:r>
      <w:r w:rsidRPr="009E3EDD">
        <w:t>appuyait que sur les déclarations des témoins dénonciateurs, les époux H. Or, selon lui, lesdites déclarations contenaient plusieurs contradictions, notamment quant à la présence du fils des époux H. lors de la prétendue remise d</w:t>
      </w:r>
      <w:r w:rsidRPr="009E3EDD" w:rsidR="009E3EDD">
        <w:t>’</w:t>
      </w:r>
      <w:r w:rsidRPr="009E3EDD">
        <w:t>argent dont il aurait bénéficié, et il en allait de même des déclarations des époux</w:t>
      </w:r>
      <w:r w:rsidRPr="009E3EDD" w:rsidR="000A1DBC">
        <w:t xml:space="preserve"> </w:t>
      </w:r>
      <w:r w:rsidRPr="009E3EDD">
        <w:t>R. et des affirmations avancées par les époux H. lors du test polygraphique. Par ailleurs, ajouta-t-il, les autres témoins ne confirmaient les faits dénoncés que pour autant que ceux-ci leur avaient été décrits par les époux H.</w:t>
      </w:r>
    </w:p>
    <w:p w:rsidRPr="009E3EDD" w:rsidR="00603614" w:rsidP="009E3EDD" w14:paraId="0C73D5A1" w14:textId="11EAC0AF">
      <w:pPr>
        <w:pStyle w:val="JuPara"/>
      </w:pPr>
      <w:r>
        <w:fldChar w:fldCharType="begin"/>
      </w:r>
      <w:r>
        <w:instrText xml:space="preserve"> SEQ level0 \*arabic \* MERGEFORMAT </w:instrText>
      </w:r>
      <w:r>
        <w:fldChar w:fldCharType="separate"/>
      </w:r>
      <w:bookmarkStart w:name="paragraph00014" w:id="9"/>
      <w:r w:rsidRPr="009E3EDD" w:rsidR="009E3EDD">
        <w:rPr>
          <w:noProof/>
        </w:rPr>
        <w:t>14</w:t>
      </w:r>
      <w:bookmarkEnd w:id="9"/>
      <w:r>
        <w:fldChar w:fldCharType="end"/>
      </w:r>
      <w:r w:rsidRPr="009E3EDD">
        <w:t>.  Par un arrêt définitif rendu le même jour, soit le 2 novembre 2016, la cour d</w:t>
      </w:r>
      <w:r w:rsidRPr="009E3EDD" w:rsidR="009E3EDD">
        <w:t>’</w:t>
      </w:r>
      <w:r w:rsidRPr="009E3EDD">
        <w:t>appel, dans une formation composée des juges E.P. (présidente) et T.G., annula le jugement de relaxe et, après réexamen de l</w:t>
      </w:r>
      <w:r w:rsidRPr="009E3EDD" w:rsidR="009E3EDD">
        <w:t>’</w:t>
      </w:r>
      <w:r w:rsidRPr="009E3EDD">
        <w:t>affaire sur le fond, condamna le requérant à une peine de trois ans de prison avec sursis. Elle observa qu</w:t>
      </w:r>
      <w:r w:rsidRPr="009E3EDD" w:rsidR="009E3EDD">
        <w:t>’</w:t>
      </w:r>
      <w:r w:rsidRPr="009E3EDD">
        <w:t xml:space="preserve">il découlait du principe </w:t>
      </w:r>
      <w:r w:rsidRPr="009E3EDD">
        <w:rPr>
          <w:i/>
          <w:iCs/>
        </w:rPr>
        <w:t xml:space="preserve">in dubio pro reo </w:t>
      </w:r>
      <w:r w:rsidRPr="009E3EDD">
        <w:t>que, pour qu</w:t>
      </w:r>
      <w:r w:rsidRPr="009E3EDD" w:rsidR="009E3EDD">
        <w:t>’</w:t>
      </w:r>
      <w:r w:rsidRPr="009E3EDD">
        <w:t>un juge pût entrer en voie de condamnation, les preuves devaient emporter sa conviction et que le doute éventuel qui pouvait subsister devait être circonscrit dans des limites raisonnables. En l</w:t>
      </w:r>
      <w:r w:rsidRPr="009E3EDD" w:rsidR="009E3EDD">
        <w:t>’</w:t>
      </w:r>
      <w:r w:rsidRPr="009E3EDD">
        <w:t>espèce, la cour d</w:t>
      </w:r>
      <w:r w:rsidRPr="009E3EDD" w:rsidR="009E3EDD">
        <w:t>’</w:t>
      </w:r>
      <w:r w:rsidRPr="009E3EDD">
        <w:t>appel considéra, contrairement au tribunal, que les déclarations du couple H. étaient corroborées par les autres preuves et qu</w:t>
      </w:r>
      <w:r w:rsidRPr="009E3EDD" w:rsidR="009E3EDD">
        <w:t>’</w:t>
      </w:r>
      <w:r w:rsidRPr="009E3EDD">
        <w:t>elles n</w:t>
      </w:r>
      <w:r w:rsidRPr="009E3EDD" w:rsidR="009E3EDD">
        <w:t>’</w:t>
      </w:r>
      <w:r w:rsidRPr="009E3EDD">
        <w:t>étaient de ce fait pas les seules preuves de culpabilité. Relevant en outre que les autres témoins entendus avaient confirmé leurs déclarations, elle retint que l</w:t>
      </w:r>
      <w:r w:rsidRPr="009E3EDD" w:rsidR="009E3EDD">
        <w:t>’</w:t>
      </w:r>
      <w:r w:rsidRPr="009E3EDD">
        <w:t>ensemble des preuves confirmaient les faits tels que présentés dans le réquisitoire du parquet.</w:t>
      </w:r>
    </w:p>
    <w:p w:rsidRPr="009E3EDD" w:rsidR="00603614" w:rsidP="009E3EDD" w14:paraId="52D738EF" w14:textId="3528B740">
      <w:pPr>
        <w:pStyle w:val="JuPara"/>
      </w:pPr>
      <w:r>
        <w:fldChar w:fldCharType="begin"/>
      </w:r>
      <w:r>
        <w:instrText xml:space="preserve"> SEQ level0 \*arabic \* MERGEFORMAT </w:instrText>
      </w:r>
      <w:r>
        <w:fldChar w:fldCharType="separate"/>
      </w:r>
      <w:bookmarkStart w:name="paragraph00015" w:id="10"/>
      <w:r w:rsidRPr="009E3EDD" w:rsidR="009E3EDD">
        <w:rPr>
          <w:noProof/>
        </w:rPr>
        <w:t>15</w:t>
      </w:r>
      <w:bookmarkEnd w:id="10"/>
      <w:r>
        <w:fldChar w:fldCharType="end"/>
      </w:r>
      <w:r w:rsidRPr="009E3EDD">
        <w:t>.  La cour d</w:t>
      </w:r>
      <w:r w:rsidRPr="009E3EDD" w:rsidR="009E3EDD">
        <w:t>’</w:t>
      </w:r>
      <w:r w:rsidRPr="009E3EDD">
        <w:t>appel se reporta en particulier aux témoignages des époux R. et de F.D., qualifiant ces derniers de témoins « indirects » en ce qu</w:t>
      </w:r>
      <w:r w:rsidRPr="009E3EDD" w:rsidR="009E3EDD">
        <w:t>’</w:t>
      </w:r>
      <w:r w:rsidRPr="009E3EDD">
        <w:t>ils n</w:t>
      </w:r>
      <w:r w:rsidRPr="009E3EDD" w:rsidR="009E3EDD">
        <w:t>’</w:t>
      </w:r>
      <w:r w:rsidRPr="009E3EDD">
        <w:t>étaient pas des témoins oculaires, mais notant qu</w:t>
      </w:r>
      <w:r w:rsidRPr="009E3EDD" w:rsidR="009E3EDD">
        <w:t>’</w:t>
      </w:r>
      <w:r w:rsidRPr="009E3EDD">
        <w:t>ils étaient constants, détaillés et précis dans leurs déclarations, et que nonobstant les rapports familiaux ou amicaux qu</w:t>
      </w:r>
      <w:r w:rsidRPr="009E3EDD" w:rsidR="009E3EDD">
        <w:t>’</w:t>
      </w:r>
      <w:r w:rsidRPr="009E3EDD">
        <w:t>ils entretenaient avec les époux H, ils n</w:t>
      </w:r>
      <w:r w:rsidRPr="009E3EDD" w:rsidR="009E3EDD">
        <w:t>’</w:t>
      </w:r>
      <w:r w:rsidRPr="009E3EDD">
        <w:t>avaient pas d</w:t>
      </w:r>
      <w:r w:rsidRPr="009E3EDD" w:rsidR="009E3EDD">
        <w:t>’</w:t>
      </w:r>
      <w:r w:rsidRPr="009E3EDD">
        <w:t>intérêt à faire condamner le requérant. Elle releva qu</w:t>
      </w:r>
      <w:r w:rsidRPr="009E3EDD" w:rsidR="009E3EDD">
        <w:t>’</w:t>
      </w:r>
      <w:r w:rsidRPr="009E3EDD">
        <w:t xml:space="preserve">elle avait entendu les cinq personnes appelées à témoigner en appel (paragraphes </w:t>
      </w:r>
      <w:r w:rsidRPr="009E3EDD">
        <w:fldChar w:fldCharType="begin"/>
      </w:r>
      <w:r w:rsidRPr="009E3EDD">
        <w:instrText xml:space="preserve"> REF paragraph00012 \h  \* CharFormat </w:instrText>
      </w:r>
      <w:r w:rsidRPr="009E3EDD">
        <w:fldChar w:fldCharType="separate"/>
      </w:r>
      <w:r w:rsidRPr="009E3EDD" w:rsidR="009E3EDD">
        <w:t>12</w:t>
      </w:r>
      <w:r w:rsidRPr="009E3EDD">
        <w:fldChar w:fldCharType="end"/>
      </w:r>
      <w:r w:rsidRPr="009E3EDD">
        <w:t xml:space="preserve"> et </w:t>
      </w:r>
      <w:r w:rsidRPr="009E3EDD">
        <w:fldChar w:fldCharType="begin"/>
      </w:r>
      <w:r w:rsidRPr="009E3EDD">
        <w:instrText xml:space="preserve"> REF paragraph00013 \h  \* CharFormat </w:instrText>
      </w:r>
      <w:r w:rsidRPr="009E3EDD">
        <w:fldChar w:fldCharType="separate"/>
      </w:r>
      <w:r w:rsidRPr="009E3EDD" w:rsidR="009E3EDD">
        <w:t>13</w:t>
      </w:r>
      <w:r w:rsidRPr="009E3EDD">
        <w:fldChar w:fldCharType="end"/>
      </w:r>
      <w:r w:rsidRPr="009E3EDD">
        <w:t xml:space="preserve"> ci</w:t>
      </w:r>
      <w:r w:rsidRPr="009E3EDD">
        <w:noBreakHyphen/>
        <w:t xml:space="preserve">dessus). Elle se référa également aux enregistrements des conversations entre H.S. et M.A. (paragraphe </w:t>
      </w:r>
      <w:r w:rsidRPr="009E3EDD">
        <w:fldChar w:fldCharType="begin"/>
      </w:r>
      <w:r w:rsidRPr="009E3EDD">
        <w:instrText xml:space="preserve"> REF paragraph00009 \h  \* CharFormat </w:instrText>
      </w:r>
      <w:r w:rsidRPr="009E3EDD">
        <w:fldChar w:fldCharType="separate"/>
      </w:r>
      <w:r w:rsidRPr="009E3EDD" w:rsidR="009E3EDD">
        <w:t>9</w:t>
      </w:r>
      <w:r w:rsidRPr="009E3EDD">
        <w:fldChar w:fldCharType="end"/>
      </w:r>
      <w:r w:rsidRPr="009E3EDD">
        <w:t xml:space="preserve"> ci-dessus), dont il ressortait que celle-ci, tout en contestant avoir eu connaissance des faits précis allégués, avait affirmé que H.S. était « impertinente, pas menteuse » sur ce point et avait en outre admis avoir compris que H.I. devait être « aidé » pour trouver un emploi. La cour d</w:t>
      </w:r>
      <w:r w:rsidRPr="009E3EDD" w:rsidR="009E3EDD">
        <w:t>’</w:t>
      </w:r>
      <w:r w:rsidRPr="009E3EDD">
        <w:t>appel s</w:t>
      </w:r>
      <w:r w:rsidRPr="009E3EDD" w:rsidR="009E3EDD">
        <w:t>’</w:t>
      </w:r>
      <w:r w:rsidRPr="009E3EDD">
        <w:t>appuya enfin sur les rapports concluant à l</w:t>
      </w:r>
      <w:r w:rsidRPr="009E3EDD" w:rsidR="009E3EDD">
        <w:t>’</w:t>
      </w:r>
      <w:r w:rsidRPr="009E3EDD">
        <w:t>absence de comportement simulé des époux H. à l</w:t>
      </w:r>
      <w:r w:rsidRPr="009E3EDD" w:rsidR="009E3EDD">
        <w:t>’</w:t>
      </w:r>
      <w:r w:rsidRPr="009E3EDD">
        <w:t>issue du test polygraphique, test auquel le requérant avait refusé de se soumettre. De l</w:t>
      </w:r>
      <w:r w:rsidRPr="009E3EDD" w:rsidR="009E3EDD">
        <w:t>’</w:t>
      </w:r>
      <w:r w:rsidRPr="009E3EDD">
        <w:t>avis de la juridiction d</w:t>
      </w:r>
      <w:r w:rsidRPr="009E3EDD" w:rsidR="009E3EDD">
        <w:t>’</w:t>
      </w:r>
      <w:r w:rsidRPr="009E3EDD">
        <w:t>appel, lesdits rapports, qui avaient été rédigés par des experts, étaient assimilables à des expertises qui, elles, étaient des moyens de preuve prévus par le CPP, et ils devaient par conséquent être examinés avec les autres preuves du dossier et à la lumière de celles-ci.</w:t>
      </w:r>
    </w:p>
    <w:p w:rsidRPr="009E3EDD" w:rsidR="00603614" w:rsidP="009E3EDD" w14:paraId="25B0128D" w14:textId="77777777">
      <w:pPr>
        <w:pStyle w:val="JuHHead"/>
      </w:pPr>
      <w:r w:rsidRPr="009E3EDD">
        <w:t>LE CADRE JURIDIQUE INTERNE PERTINENT</w:t>
      </w:r>
    </w:p>
    <w:p w:rsidRPr="009E3EDD" w:rsidR="00603614" w:rsidP="009E3EDD" w14:paraId="6EC46A03" w14:textId="19CB5A27">
      <w:pPr>
        <w:pStyle w:val="JuPara"/>
      </w:pPr>
      <w:r w:rsidRPr="009E3EDD">
        <w:fldChar w:fldCharType="begin"/>
      </w:r>
      <w:r w:rsidRPr="009E3EDD">
        <w:instrText xml:space="preserve"> SEQ level0 \*arabic \* MERGEFORMAT </w:instrText>
      </w:r>
      <w:r w:rsidRPr="009E3EDD">
        <w:fldChar w:fldCharType="separate"/>
      </w:r>
      <w:bookmarkStart w:name="paragraph00016" w:id="11"/>
      <w:r w:rsidRPr="009E3EDD">
        <w:rPr>
          <w:noProof/>
        </w:rPr>
        <w:t>16</w:t>
      </w:r>
      <w:bookmarkEnd w:id="11"/>
      <w:r w:rsidRPr="009E3EDD">
        <w:rPr>
          <w:noProof/>
        </w:rPr>
        <w:fldChar w:fldCharType="end"/>
      </w:r>
      <w:r w:rsidRPr="009E3EDD">
        <w:t>.</w:t>
      </w:r>
      <w:r w:rsidRPr="009E3EDD" w:rsidR="00F25FAD">
        <w:t> </w:t>
      </w:r>
      <w:r w:rsidRPr="009E3EDD">
        <w:t> Les dispositions pertinentes du CPP dans sa rédaction en vigueur depuis le 1</w:t>
      </w:r>
      <w:r w:rsidRPr="009E3EDD">
        <w:rPr>
          <w:vertAlign w:val="superscript"/>
        </w:rPr>
        <w:t>er</w:t>
      </w:r>
      <w:r w:rsidRPr="009E3EDD" w:rsidR="000A1DBC">
        <w:t xml:space="preserve"> </w:t>
      </w:r>
      <w:r w:rsidRPr="009E3EDD">
        <w:t>février 2014 sont résumées dans l</w:t>
      </w:r>
      <w:r w:rsidRPr="009E3EDD">
        <w:t>’</w:t>
      </w:r>
      <w:r w:rsidRPr="009E3EDD">
        <w:t xml:space="preserve">arrêt </w:t>
      </w:r>
      <w:bookmarkStart w:name="_cl44432LECADREJURIDIQUEINTERNEPERTINENT" w:id="12"/>
      <w:r w:rsidRPr="009E3EDD">
        <w:rPr>
          <w:i/>
          <w:iCs/>
        </w:rPr>
        <w:t>Miron c. Roumanie</w:t>
      </w:r>
      <w:bookmarkEnd w:id="12"/>
      <w:r w:rsidRPr="009E3EDD">
        <w:t xml:space="preserve"> (n</w:t>
      </w:r>
      <w:r w:rsidRPr="009E3EDD">
        <w:rPr>
          <w:vertAlign w:val="superscript"/>
        </w:rPr>
        <w:t>o</w:t>
      </w:r>
      <w:r w:rsidRPr="009E3EDD">
        <w:t> 37324/16, §§ 17-19, 5 novembre 2024).</w:t>
      </w:r>
    </w:p>
    <w:p w:rsidRPr="009E3EDD" w:rsidR="00603614" w:rsidP="009E3EDD" w14:paraId="0023D72D" w14:textId="4C7BB238">
      <w:pPr>
        <w:pStyle w:val="JuPara"/>
        <w:rPr>
          <w:rFonts w:eastAsiaTheme="minorEastAsia"/>
          <w:snapToGrid w:val="0"/>
        </w:rPr>
      </w:pPr>
      <w:r>
        <w:fldChar w:fldCharType="begin"/>
      </w:r>
      <w:r>
        <w:instrText xml:space="preserve"> SEQ level0 \*arabic \* MERGEFORMAT </w:instrText>
      </w:r>
      <w:r>
        <w:fldChar w:fldCharType="separate"/>
      </w:r>
      <w:bookmarkStart w:name="paragraph00017" w:id="13"/>
      <w:r w:rsidRPr="009E3EDD" w:rsidR="009E3EDD">
        <w:rPr>
          <w:noProof/>
        </w:rPr>
        <w:t>17</w:t>
      </w:r>
      <w:bookmarkEnd w:id="13"/>
      <w:r>
        <w:fldChar w:fldCharType="end"/>
      </w:r>
      <w:r w:rsidRPr="009E3EDD">
        <w:t>.  L</w:t>
      </w:r>
      <w:r w:rsidRPr="009E3EDD" w:rsidR="009E3EDD">
        <w:t>’</w:t>
      </w:r>
      <w:r w:rsidRPr="009E3EDD">
        <w:t>article 417 § 2 du CPP prévoit, concernant l</w:t>
      </w:r>
      <w:r w:rsidRPr="009E3EDD" w:rsidR="009E3EDD">
        <w:t>’</w:t>
      </w:r>
      <w:r w:rsidRPr="009E3EDD">
        <w:t>effet dévolutif de l</w:t>
      </w:r>
      <w:r w:rsidRPr="009E3EDD" w:rsidR="009E3EDD">
        <w:t>’</w:t>
      </w:r>
      <w:r w:rsidRPr="009E3EDD">
        <w:t>appel, qu</w:t>
      </w:r>
      <w:r w:rsidRPr="009E3EDD" w:rsidR="009E3EDD">
        <w:t>’</w:t>
      </w:r>
      <w:r w:rsidRPr="009E3EDD">
        <w:t>au-delà des motifs d</w:t>
      </w:r>
      <w:r w:rsidRPr="009E3EDD" w:rsidR="009E3EDD">
        <w:t>’</w:t>
      </w:r>
      <w:r w:rsidRPr="009E3EDD">
        <w:t>appel soulevés par la partie ayant exercé cette voie de recours, la juridiction d</w:t>
      </w:r>
      <w:r w:rsidRPr="009E3EDD" w:rsidR="009E3EDD">
        <w:t>’</w:t>
      </w:r>
      <w:r w:rsidRPr="009E3EDD">
        <w:t>appel doit examiner tous les aspects de l</w:t>
      </w:r>
      <w:r w:rsidRPr="009E3EDD" w:rsidR="009E3EDD">
        <w:t>’</w:t>
      </w:r>
      <w:r w:rsidRPr="009E3EDD">
        <w:t xml:space="preserve">affaire, en fait comme en droit. Par ailleurs, </w:t>
      </w:r>
      <w:r w:rsidRPr="009E3EDD">
        <w:rPr>
          <w:rFonts w:eastAsiaTheme="minorEastAsia"/>
          <w:snapToGrid w:val="0"/>
        </w:rPr>
        <w:t>l</w:t>
      </w:r>
      <w:r w:rsidRPr="009E3EDD" w:rsidR="009E3EDD">
        <w:rPr>
          <w:rFonts w:eastAsiaTheme="minorEastAsia"/>
          <w:snapToGrid w:val="0"/>
        </w:rPr>
        <w:t>’</w:t>
      </w:r>
      <w:r w:rsidRPr="009E3EDD">
        <w:rPr>
          <w:rFonts w:eastAsiaTheme="minorEastAsia"/>
          <w:snapToGrid w:val="0"/>
        </w:rPr>
        <w:t>article</w:t>
      </w:r>
      <w:r w:rsidRPr="009E3EDD" w:rsidR="000A1DBC">
        <w:rPr>
          <w:rFonts w:eastAsiaTheme="minorEastAsia"/>
          <w:snapToGrid w:val="0"/>
        </w:rPr>
        <w:t xml:space="preserve"> </w:t>
      </w:r>
      <w:r w:rsidRPr="009E3EDD">
        <w:rPr>
          <w:rFonts w:eastAsiaTheme="minorEastAsia"/>
          <w:snapToGrid w:val="0"/>
        </w:rPr>
        <w:t>421 du CPP tel qu</w:t>
      </w:r>
      <w:r w:rsidRPr="009E3EDD" w:rsidR="009E3EDD">
        <w:rPr>
          <w:rFonts w:eastAsiaTheme="minorEastAsia"/>
          <w:snapToGrid w:val="0"/>
        </w:rPr>
        <w:t>’</w:t>
      </w:r>
      <w:r w:rsidRPr="009E3EDD">
        <w:rPr>
          <w:rFonts w:eastAsiaTheme="minorEastAsia"/>
          <w:snapToGrid w:val="0"/>
        </w:rPr>
        <w:t>amendé par</w:t>
      </w:r>
      <w:r w:rsidRPr="009E3EDD">
        <w:rPr>
          <w:rFonts w:eastAsiaTheme="minorEastAsia"/>
          <w:szCs w:val="22"/>
          <w:lang w:bidi="en-US"/>
        </w:rPr>
        <w:t xml:space="preserve"> l</w:t>
      </w:r>
      <w:r w:rsidRPr="009E3EDD" w:rsidR="009E3EDD">
        <w:rPr>
          <w:rFonts w:eastAsiaTheme="minorEastAsia"/>
          <w:szCs w:val="22"/>
          <w:lang w:bidi="en-US"/>
        </w:rPr>
        <w:t>’</w:t>
      </w:r>
      <w:r w:rsidRPr="009E3EDD">
        <w:rPr>
          <w:rFonts w:eastAsiaTheme="minorEastAsia"/>
          <w:szCs w:val="22"/>
          <w:lang w:bidi="en-US"/>
        </w:rPr>
        <w:t>ordonnance d</w:t>
      </w:r>
      <w:r w:rsidRPr="009E3EDD" w:rsidR="009E3EDD">
        <w:rPr>
          <w:rFonts w:eastAsiaTheme="minorEastAsia"/>
          <w:szCs w:val="22"/>
          <w:lang w:bidi="en-US"/>
        </w:rPr>
        <w:t>’</w:t>
      </w:r>
      <w:r w:rsidRPr="009E3EDD">
        <w:rPr>
          <w:rFonts w:eastAsiaTheme="minorEastAsia"/>
          <w:szCs w:val="22"/>
          <w:lang w:bidi="en-US"/>
        </w:rPr>
        <w:t>urgence du gouvernement n</w:t>
      </w:r>
      <w:r w:rsidRPr="009E3EDD">
        <w:rPr>
          <w:rFonts w:eastAsiaTheme="minorEastAsia"/>
          <w:szCs w:val="22"/>
          <w:vertAlign w:val="superscript"/>
          <w:lang w:bidi="en-US"/>
        </w:rPr>
        <w:t>o</w:t>
      </w:r>
      <w:r w:rsidRPr="009E3EDD" w:rsidR="000A1DBC">
        <w:rPr>
          <w:rFonts w:eastAsiaTheme="minorEastAsia"/>
          <w:szCs w:val="22"/>
          <w:lang w:bidi="en-US"/>
        </w:rPr>
        <w:t xml:space="preserve"> </w:t>
      </w:r>
      <w:r w:rsidRPr="009E3EDD">
        <w:rPr>
          <w:rFonts w:eastAsiaTheme="minorEastAsia"/>
          <w:szCs w:val="22"/>
          <w:lang w:bidi="en-US"/>
        </w:rPr>
        <w:t>18/2016 (OUG</w:t>
      </w:r>
      <w:r w:rsidRPr="009E3EDD" w:rsidR="00014B7C">
        <w:rPr>
          <w:rFonts w:eastAsiaTheme="minorEastAsia"/>
          <w:szCs w:val="22"/>
          <w:lang w:bidi="en-US"/>
        </w:rPr>
        <w:t xml:space="preserve"> </w:t>
      </w:r>
      <w:r w:rsidRPr="009E3EDD">
        <w:rPr>
          <w:rFonts w:eastAsiaTheme="minorEastAsia"/>
          <w:szCs w:val="22"/>
          <w:lang w:bidi="en-US"/>
        </w:rPr>
        <w:t>n</w:t>
      </w:r>
      <w:r w:rsidRPr="009E3EDD">
        <w:rPr>
          <w:rFonts w:eastAsiaTheme="minorEastAsia"/>
          <w:szCs w:val="22"/>
          <w:vertAlign w:val="superscript"/>
          <w:lang w:bidi="en-US"/>
        </w:rPr>
        <w:t>o</w:t>
      </w:r>
      <w:r w:rsidRPr="009E3EDD">
        <w:rPr>
          <w:rFonts w:eastAsiaTheme="minorEastAsia"/>
          <w:szCs w:val="22"/>
          <w:lang w:bidi="en-US"/>
        </w:rPr>
        <w:t> 18/2016), entrée en vigueur le 23</w:t>
      </w:r>
      <w:r w:rsidRPr="009E3EDD" w:rsidR="000A1DBC">
        <w:rPr>
          <w:rFonts w:eastAsiaTheme="minorEastAsia"/>
          <w:szCs w:val="22"/>
          <w:lang w:bidi="en-US"/>
        </w:rPr>
        <w:t xml:space="preserve"> </w:t>
      </w:r>
      <w:r w:rsidRPr="009E3EDD">
        <w:rPr>
          <w:rFonts w:eastAsiaTheme="minorEastAsia"/>
          <w:szCs w:val="22"/>
          <w:lang w:bidi="en-US"/>
        </w:rPr>
        <w:t xml:space="preserve">mai 2016, </w:t>
      </w:r>
      <w:r w:rsidRPr="009E3EDD">
        <w:rPr>
          <w:rFonts w:eastAsiaTheme="minorEastAsia"/>
          <w:snapToGrid w:val="0"/>
        </w:rPr>
        <w:t>est ainsi libellé en ses passages pertinents en l</w:t>
      </w:r>
      <w:r w:rsidRPr="009E3EDD" w:rsidR="009E3EDD">
        <w:rPr>
          <w:rFonts w:eastAsiaTheme="minorEastAsia"/>
          <w:snapToGrid w:val="0"/>
        </w:rPr>
        <w:t>’</w:t>
      </w:r>
      <w:r w:rsidRPr="009E3EDD">
        <w:rPr>
          <w:rFonts w:eastAsiaTheme="minorEastAsia"/>
          <w:snapToGrid w:val="0"/>
        </w:rPr>
        <w:t>espèce :</w:t>
      </w:r>
    </w:p>
    <w:p w:rsidRPr="009E3EDD" w:rsidR="00603614" w:rsidP="009E3EDD" w14:paraId="7A0283FB" w14:textId="77777777">
      <w:pPr>
        <w:pStyle w:val="JuHArticle"/>
        <w:rPr>
          <w:rFonts w:eastAsiaTheme="minorEastAsia"/>
          <w:lang w:bidi="en-US"/>
        </w:rPr>
      </w:pPr>
      <w:r w:rsidRPr="009E3EDD">
        <w:rPr>
          <w:rFonts w:eastAsiaTheme="minorEastAsia"/>
          <w:lang w:bidi="en-US"/>
        </w:rPr>
        <w:t>Article 421 § 2 – Les solutions adoptées en appel</w:t>
      </w:r>
    </w:p>
    <w:p w:rsidRPr="009E3EDD" w:rsidR="00603614" w:rsidP="009E3EDD" w14:paraId="4D8E1B96" w14:textId="3C10D1A0">
      <w:pPr>
        <w:pStyle w:val="JuQuot"/>
        <w:rPr>
          <w:rFonts w:eastAsiaTheme="minorEastAsia"/>
          <w:lang w:bidi="en-US"/>
        </w:rPr>
      </w:pPr>
      <w:r w:rsidRPr="009E3EDD">
        <w:rPr>
          <w:rFonts w:eastAsiaTheme="minorEastAsia"/>
          <w:lang w:bidi="en-US"/>
        </w:rPr>
        <w:t>« La juridiction d</w:t>
      </w:r>
      <w:r w:rsidRPr="009E3EDD" w:rsidR="009E3EDD">
        <w:rPr>
          <w:rFonts w:eastAsiaTheme="minorEastAsia"/>
          <w:lang w:bidi="en-US"/>
        </w:rPr>
        <w:t>’</w:t>
      </w:r>
      <w:r w:rsidRPr="009E3EDD">
        <w:rPr>
          <w:rFonts w:eastAsiaTheme="minorEastAsia"/>
          <w:lang w:bidi="en-US"/>
        </w:rPr>
        <w:t>appel prend l</w:t>
      </w:r>
      <w:r w:rsidRPr="009E3EDD" w:rsidR="009E3EDD">
        <w:rPr>
          <w:rFonts w:eastAsiaTheme="minorEastAsia"/>
          <w:lang w:bidi="en-US"/>
        </w:rPr>
        <w:t>’</w:t>
      </w:r>
      <w:r w:rsidRPr="009E3EDD">
        <w:rPr>
          <w:rFonts w:eastAsiaTheme="minorEastAsia"/>
          <w:lang w:bidi="en-US"/>
        </w:rPr>
        <w:t>une des décisions suivantes :</w:t>
      </w:r>
    </w:p>
    <w:p w:rsidRPr="009E3EDD" w:rsidR="00603614" w:rsidP="009E3EDD" w14:paraId="5FC524D4" w14:textId="77777777">
      <w:pPr>
        <w:pStyle w:val="JuQuot"/>
        <w:rPr>
          <w:rFonts w:eastAsiaTheme="minorEastAsia"/>
          <w:lang w:bidi="en-US"/>
        </w:rPr>
      </w:pPr>
      <w:r w:rsidRPr="009E3EDD">
        <w:rPr>
          <w:rFonts w:eastAsiaTheme="minorEastAsia"/>
          <w:lang w:bidi="en-US"/>
        </w:rPr>
        <w:t>(...)</w:t>
      </w:r>
    </w:p>
    <w:p w:rsidRPr="009E3EDD" w:rsidR="00603614" w:rsidP="009E3EDD" w14:paraId="2922C2F7" w14:textId="70714064">
      <w:pPr>
        <w:pStyle w:val="JuQuot"/>
        <w:rPr>
          <w:rFonts w:eastAsiaTheme="minorEastAsia"/>
          <w:lang w:bidi="en-US"/>
        </w:rPr>
      </w:pPr>
      <w:r w:rsidRPr="009E3EDD">
        <w:rPr>
          <w:rFonts w:eastAsiaTheme="minorEastAsia"/>
          <w:lang w:bidi="en-US"/>
        </w:rPr>
        <w:t>2.  accueille l</w:t>
      </w:r>
      <w:r w:rsidRPr="009E3EDD" w:rsidR="009E3EDD">
        <w:rPr>
          <w:rFonts w:eastAsiaTheme="minorEastAsia"/>
          <w:lang w:bidi="en-US"/>
        </w:rPr>
        <w:t>’</w:t>
      </w:r>
      <w:r w:rsidRPr="009E3EDD">
        <w:rPr>
          <w:rFonts w:eastAsiaTheme="minorEastAsia"/>
          <w:lang w:bidi="en-US"/>
        </w:rPr>
        <w:t>appel et :</w:t>
      </w:r>
    </w:p>
    <w:p w:rsidRPr="009E3EDD" w:rsidR="00603614" w:rsidP="009E3EDD" w14:paraId="359E516D" w14:textId="356F9392">
      <w:pPr>
        <w:pStyle w:val="JuQuot"/>
        <w:rPr>
          <w:rFonts w:eastAsiaTheme="minorEastAsia"/>
          <w:lang w:bidi="en-US"/>
        </w:rPr>
      </w:pPr>
      <w:r w:rsidRPr="009E3EDD">
        <w:rPr>
          <w:rFonts w:eastAsiaTheme="minorEastAsia"/>
          <w:lang w:bidi="en-US"/>
        </w:rPr>
        <w:t>a)  annule la décision de la première juridiction et prononce un nouvel arrêt en respectant les règles relatives à l</w:t>
      </w:r>
      <w:r w:rsidRPr="009E3EDD" w:rsidR="009E3EDD">
        <w:rPr>
          <w:rFonts w:eastAsiaTheme="minorEastAsia"/>
          <w:lang w:bidi="en-US"/>
        </w:rPr>
        <w:t>’</w:t>
      </w:r>
      <w:r w:rsidRPr="009E3EDD">
        <w:rPr>
          <w:rFonts w:eastAsiaTheme="minorEastAsia"/>
          <w:lang w:bidi="en-US"/>
        </w:rPr>
        <w:t>examen de l</w:t>
      </w:r>
      <w:r w:rsidRPr="009E3EDD" w:rsidR="009E3EDD">
        <w:rPr>
          <w:rFonts w:eastAsiaTheme="minorEastAsia"/>
          <w:lang w:bidi="en-US"/>
        </w:rPr>
        <w:t>’</w:t>
      </w:r>
      <w:r w:rsidRPr="009E3EDD">
        <w:rPr>
          <w:rFonts w:eastAsiaTheme="minorEastAsia"/>
          <w:lang w:bidi="en-US"/>
        </w:rPr>
        <w:t>action pénale et de l</w:t>
      </w:r>
      <w:r w:rsidRPr="009E3EDD" w:rsidR="009E3EDD">
        <w:rPr>
          <w:rFonts w:eastAsiaTheme="minorEastAsia"/>
          <w:lang w:bidi="en-US"/>
        </w:rPr>
        <w:t>’</w:t>
      </w:r>
      <w:r w:rsidRPr="009E3EDD">
        <w:rPr>
          <w:rFonts w:eastAsiaTheme="minorEastAsia"/>
          <w:lang w:bidi="en-US"/>
        </w:rPr>
        <w:t>action civile dans le cadre du jugement au fond [d</w:t>
      </w:r>
      <w:r w:rsidRPr="009E3EDD" w:rsidR="009E3EDD">
        <w:rPr>
          <w:rFonts w:eastAsiaTheme="minorEastAsia"/>
          <w:lang w:bidi="en-US"/>
        </w:rPr>
        <w:t>’</w:t>
      </w:r>
      <w:r w:rsidRPr="009E3EDD">
        <w:rPr>
          <w:rFonts w:eastAsiaTheme="minorEastAsia"/>
          <w:lang w:bidi="en-US"/>
        </w:rPr>
        <w:t>une affaire]. La juridiction d</w:t>
      </w:r>
      <w:r w:rsidRPr="009E3EDD" w:rsidR="009E3EDD">
        <w:rPr>
          <w:rFonts w:eastAsiaTheme="minorEastAsia"/>
          <w:lang w:bidi="en-US"/>
        </w:rPr>
        <w:t>’</w:t>
      </w:r>
      <w:r w:rsidRPr="009E3EDD">
        <w:rPr>
          <w:rFonts w:eastAsiaTheme="minorEastAsia"/>
          <w:lang w:bidi="en-US"/>
        </w:rPr>
        <w:t>appel recueille à nouveau les déclarations [des témoins] qui ont fondé l</w:t>
      </w:r>
      <w:r w:rsidRPr="009E3EDD" w:rsidR="009E3EDD">
        <w:rPr>
          <w:rFonts w:eastAsiaTheme="minorEastAsia"/>
          <w:lang w:bidi="en-US"/>
        </w:rPr>
        <w:t>’</w:t>
      </w:r>
      <w:r w:rsidRPr="009E3EDD">
        <w:rPr>
          <w:rFonts w:eastAsiaTheme="minorEastAsia"/>
          <w:lang w:bidi="en-US"/>
        </w:rPr>
        <w:t>acquittement prononcé par la première juridiction,</w:t>
      </w:r>
      <w:r w:rsidRPr="009E3EDD">
        <w:rPr>
          <w:rFonts w:eastAsiaTheme="minorEastAsia"/>
          <w:iCs/>
          <w:lang w:bidi="en-US"/>
        </w:rPr>
        <w:t xml:space="preserve"> (...)</w:t>
      </w:r>
      <w:r w:rsidRPr="009E3EDD">
        <w:rPr>
          <w:rFonts w:eastAsiaTheme="minorEastAsia"/>
          <w:lang w:bidi="en-US"/>
        </w:rPr>
        <w:t>. »</w:t>
      </w:r>
    </w:p>
    <w:p w:rsidRPr="009E3EDD" w:rsidR="00603614" w:rsidP="009E3EDD" w14:paraId="15A69852" w14:textId="77777777">
      <w:pPr>
        <w:pStyle w:val="JuHHead"/>
      </w:pPr>
      <w:r w:rsidRPr="009E3EDD">
        <w:t>EN DROIT</w:t>
      </w:r>
    </w:p>
    <w:p w:rsidRPr="009E3EDD" w:rsidR="00603614" w:rsidP="009E3EDD" w14:paraId="332E2D79" w14:textId="1F1C4B54">
      <w:pPr>
        <w:pStyle w:val="JuHIRoman"/>
      </w:pPr>
      <w:r w:rsidRPr="009E3EDD">
        <w:t>SUR LA VIOLATION ALLÉGUÉE DE L</w:t>
      </w:r>
      <w:r w:rsidRPr="009E3EDD" w:rsidR="009E3EDD">
        <w:t>’</w:t>
      </w:r>
      <w:r w:rsidRPr="009E3EDD">
        <w:t>ARTICLE 6 DE LA CONVENTION</w:t>
      </w:r>
    </w:p>
    <w:p w:rsidRPr="009E3EDD" w:rsidR="00603614" w:rsidP="009E3EDD" w14:paraId="0D9350D4" w14:textId="68249C34">
      <w:pPr>
        <w:pStyle w:val="JuPara"/>
      </w:pPr>
      <w:r>
        <w:fldChar w:fldCharType="begin"/>
      </w:r>
      <w:r>
        <w:instrText xml:space="preserve"> SEQ level0 \*arabic \* MERGEFORMAT </w:instrText>
      </w:r>
      <w:r>
        <w:fldChar w:fldCharType="separate"/>
      </w:r>
      <w:r w:rsidRPr="009E3EDD" w:rsidR="009E3EDD">
        <w:rPr>
          <w:noProof/>
        </w:rPr>
        <w:t>18</w:t>
      </w:r>
      <w:r w:rsidRPr="009E3EDD" w:rsidR="009E3EDD">
        <w:rPr>
          <w:noProof/>
        </w:rPr>
        <w:fldChar w:fldCharType="end"/>
      </w:r>
      <w:r w:rsidRPr="009E3EDD">
        <w:t>.  Le requérant estime que la cour d</w:t>
      </w:r>
      <w:r w:rsidRPr="009E3EDD" w:rsidR="009E3EDD">
        <w:t>’</w:t>
      </w:r>
      <w:r w:rsidRPr="009E3EDD">
        <w:t>appel l</w:t>
      </w:r>
      <w:r w:rsidRPr="009E3EDD" w:rsidR="009E3EDD">
        <w:t>’</w:t>
      </w:r>
      <w:r w:rsidRPr="009E3EDD">
        <w:t>ayant condamné en dernière instance après sa relaxe a méconnu le principe d</w:t>
      </w:r>
      <w:r w:rsidRPr="009E3EDD" w:rsidR="009E3EDD">
        <w:t>’</w:t>
      </w:r>
      <w:r w:rsidRPr="009E3EDD">
        <w:t>immédiateté, et il se plaint dès lors d</w:t>
      </w:r>
      <w:r w:rsidRPr="009E3EDD" w:rsidR="009E3EDD">
        <w:t>’</w:t>
      </w:r>
      <w:r w:rsidRPr="009E3EDD">
        <w:t>une iniquité de la procédure pénale qui a été menée contre lui. Il invoque l</w:t>
      </w:r>
      <w:r w:rsidRPr="009E3EDD" w:rsidR="009E3EDD">
        <w:t>’</w:t>
      </w:r>
      <w:r w:rsidRPr="009E3EDD">
        <w:t>article 6 de la Convention, qui se lit comme suit en ses passages pertinents en l</w:t>
      </w:r>
      <w:r w:rsidRPr="009E3EDD" w:rsidR="009E3EDD">
        <w:t>’</w:t>
      </w:r>
      <w:r w:rsidRPr="009E3EDD">
        <w:t>espèce :</w:t>
      </w:r>
    </w:p>
    <w:p w:rsidRPr="009E3EDD" w:rsidR="00603614" w:rsidP="009E3EDD" w14:paraId="67908EA2" w14:textId="77777777">
      <w:pPr>
        <w:pStyle w:val="JuQuot"/>
      </w:pPr>
      <w:r w:rsidRPr="009E3EDD">
        <w:t>« Toute personne a droit à ce que sa cause soit entendue équitablement (...) par un tribunal (...) qui décidera (...) du bien-fondé de toute accusation en matière pénale dirigée contre elle. »</w:t>
      </w:r>
    </w:p>
    <w:p w:rsidRPr="009E3EDD" w:rsidR="00603614" w:rsidP="009E3EDD" w14:paraId="2FBCD0D8" w14:textId="77777777">
      <w:pPr>
        <w:pStyle w:val="JuHA"/>
        <w:numPr>
          <w:ilvl w:val="2"/>
          <w:numId w:val="1"/>
        </w:numPr>
        <w:tabs>
          <w:tab w:val="num" w:pos="360"/>
        </w:tabs>
        <w:ind w:left="510" w:hanging="340"/>
      </w:pPr>
      <w:r w:rsidRPr="009E3EDD">
        <w:t>Sur la recevabilité</w:t>
      </w:r>
    </w:p>
    <w:p w:rsidRPr="009E3EDD" w:rsidR="00603614" w:rsidP="009E3EDD" w14:paraId="79A4A8D6" w14:textId="1D63640C">
      <w:pPr>
        <w:pStyle w:val="JuPara"/>
      </w:pPr>
      <w:r w:rsidRPr="009E3EDD">
        <w:fldChar w:fldCharType="begin"/>
      </w:r>
      <w:r w:rsidRPr="009E3EDD">
        <w:instrText xml:space="preserve"> SEQ level0 \*arabic \* MERGEFORMAT </w:instrText>
      </w:r>
      <w:r w:rsidRPr="009E3EDD">
        <w:fldChar w:fldCharType="separate"/>
      </w:r>
      <w:r w:rsidRPr="009E3EDD">
        <w:rPr>
          <w:noProof/>
        </w:rPr>
        <w:t>19</w:t>
      </w:r>
      <w:r w:rsidRPr="009E3EDD">
        <w:rPr>
          <w:noProof/>
        </w:rPr>
        <w:fldChar w:fldCharType="end"/>
      </w:r>
      <w:r w:rsidRPr="009E3EDD">
        <w:t>.  Constatant que la requête n</w:t>
      </w:r>
      <w:r w:rsidRPr="009E3EDD">
        <w:t>’</w:t>
      </w:r>
      <w:r w:rsidRPr="009E3EDD">
        <w:t>est pas manifestement mal fondée ni irrecevable pour un autre motif visé à l</w:t>
      </w:r>
      <w:r w:rsidRPr="009E3EDD">
        <w:t>’</w:t>
      </w:r>
      <w:r w:rsidRPr="009E3EDD">
        <w:t>article 35 de la Convention, la Cour la déclare recevable.</w:t>
      </w:r>
    </w:p>
    <w:p w:rsidRPr="009E3EDD" w:rsidR="00603614" w:rsidP="009E3EDD" w14:paraId="3CEE06B0" w14:textId="77777777">
      <w:pPr>
        <w:pStyle w:val="JuHA"/>
        <w:numPr>
          <w:ilvl w:val="2"/>
          <w:numId w:val="1"/>
        </w:numPr>
        <w:tabs>
          <w:tab w:val="num" w:pos="360"/>
        </w:tabs>
        <w:ind w:left="510" w:hanging="340"/>
      </w:pPr>
      <w:r w:rsidRPr="009E3EDD">
        <w:t>Sur le fond</w:t>
      </w:r>
    </w:p>
    <w:p w:rsidRPr="009E3EDD" w:rsidR="00603614" w:rsidP="009E3EDD" w14:paraId="12836BFA" w14:textId="77777777">
      <w:pPr>
        <w:pStyle w:val="JuH1"/>
      </w:pPr>
      <w:r w:rsidRPr="009E3EDD">
        <w:t>Arguments des parties</w:t>
      </w:r>
    </w:p>
    <w:p w:rsidRPr="009E3EDD" w:rsidR="00603614" w:rsidP="009E3EDD" w14:paraId="56D207B9" w14:textId="3C51E3C0">
      <w:pPr>
        <w:pStyle w:val="JuPara"/>
      </w:pPr>
      <w:r>
        <w:fldChar w:fldCharType="begin"/>
      </w:r>
      <w:r>
        <w:instrText xml:space="preserve"> SEQ level0 \*arabic \* MERGEFORMAT </w:instrText>
      </w:r>
      <w:r>
        <w:fldChar w:fldCharType="separate"/>
      </w:r>
      <w:r w:rsidRPr="009E3EDD" w:rsidR="009E3EDD">
        <w:rPr>
          <w:noProof/>
        </w:rPr>
        <w:t>20</w:t>
      </w:r>
      <w:r w:rsidRPr="009E3EDD" w:rsidR="009E3EDD">
        <w:rPr>
          <w:noProof/>
        </w:rPr>
        <w:fldChar w:fldCharType="end"/>
      </w:r>
      <w:r w:rsidRPr="009E3EDD">
        <w:t>.  Le requérant renvoie à la jurisprudence de la Cour en matière du respect du principe de l</w:t>
      </w:r>
      <w:r w:rsidRPr="009E3EDD" w:rsidR="009E3EDD">
        <w:t>’</w:t>
      </w:r>
      <w:r w:rsidRPr="009E3EDD">
        <w:t xml:space="preserve">immédiateté dans les procédures pénales, citant les arrêts </w:t>
      </w:r>
      <w:r w:rsidRPr="009E3EDD">
        <w:rPr>
          <w:i/>
          <w:iCs/>
        </w:rPr>
        <w:t>P.K.</w:t>
      </w:r>
      <w:r w:rsidRPr="009E3EDD">
        <w:rPr>
          <w:rFonts w:ascii="Times New Roman" w:hAnsi="Times New Roman" w:cs="Times New Roman"/>
          <w:i/>
          <w:iCs/>
        </w:rPr>
        <w:t xml:space="preserve"> c.</w:t>
      </w:r>
      <w:r w:rsidRPr="009E3EDD" w:rsidR="00014B7C">
        <w:rPr>
          <w:rFonts w:ascii="Times New Roman" w:hAnsi="Times New Roman" w:cs="Times New Roman"/>
          <w:i/>
          <w:iCs/>
        </w:rPr>
        <w:t xml:space="preserve"> </w:t>
      </w:r>
      <w:r w:rsidRPr="009E3EDD">
        <w:rPr>
          <w:rFonts w:ascii="Times New Roman" w:hAnsi="Times New Roman" w:cs="Times New Roman"/>
          <w:i/>
          <w:iCs/>
        </w:rPr>
        <w:t>Finlande</w:t>
      </w:r>
      <w:r w:rsidRPr="009E3EDD">
        <w:rPr>
          <w:rFonts w:ascii="Times New Roman" w:hAnsi="Times New Roman" w:cs="Times New Roman"/>
        </w:rPr>
        <w:t xml:space="preserve"> ((déc.), n</w:t>
      </w:r>
      <w:r w:rsidRPr="009E3EDD">
        <w:rPr>
          <w:rFonts w:ascii="Times New Roman" w:hAnsi="Times New Roman" w:cs="Times New Roman"/>
          <w:vertAlign w:val="superscript"/>
        </w:rPr>
        <w:t>o</w:t>
      </w:r>
      <w:r w:rsidRPr="009E3EDD" w:rsidR="00014B7C">
        <w:rPr>
          <w:rFonts w:ascii="Times New Roman" w:hAnsi="Times New Roman" w:cs="Times New Roman"/>
        </w:rPr>
        <w:t xml:space="preserve"> </w:t>
      </w:r>
      <w:r w:rsidRPr="009E3EDD">
        <w:rPr>
          <w:rFonts w:ascii="Times New Roman" w:hAnsi="Times New Roman" w:cs="Times New Roman"/>
        </w:rPr>
        <w:t xml:space="preserve">37442/97, 9 juillet 2002), </w:t>
      </w:r>
      <w:r w:rsidRPr="009E3EDD">
        <w:rPr>
          <w:i/>
          <w:iCs/>
        </w:rPr>
        <w:t>Beraru</w:t>
      </w:r>
      <w:r w:rsidRPr="009E3EDD">
        <w:t xml:space="preserve"> </w:t>
      </w:r>
      <w:bookmarkStart w:name="_cl2033ENDROIT" w:id="14"/>
      <w:r w:rsidRPr="009E3EDD">
        <w:rPr>
          <w:i/>
          <w:iCs/>
        </w:rPr>
        <w:t>c. Roumanie</w:t>
      </w:r>
      <w:bookmarkEnd w:id="14"/>
      <w:r w:rsidRPr="009E3EDD">
        <w:t xml:space="preserve"> (n</w:t>
      </w:r>
      <w:r w:rsidRPr="009E3EDD">
        <w:rPr>
          <w:vertAlign w:val="superscript"/>
        </w:rPr>
        <w:t>o</w:t>
      </w:r>
      <w:r w:rsidRPr="009E3EDD" w:rsidR="00014B7C">
        <w:t xml:space="preserve"> </w:t>
      </w:r>
      <w:r w:rsidRPr="009E3EDD">
        <w:t>40107/04, 18</w:t>
      </w:r>
      <w:r w:rsidRPr="009E3EDD" w:rsidR="00014B7C">
        <w:t xml:space="preserve"> </w:t>
      </w:r>
      <w:r w:rsidRPr="009E3EDD">
        <w:t xml:space="preserve">mars 2014), et </w:t>
      </w:r>
      <w:bookmarkStart w:name="_cl41056ENDROIT" w:id="15"/>
      <w:r w:rsidRPr="009E3EDD">
        <w:rPr>
          <w:i/>
          <w:iCs/>
        </w:rPr>
        <w:t>Cutean c. Roumanie</w:t>
      </w:r>
      <w:bookmarkEnd w:id="15"/>
      <w:r w:rsidRPr="009E3EDD">
        <w:t xml:space="preserve"> (n</w:t>
      </w:r>
      <w:r w:rsidRPr="009E3EDD">
        <w:rPr>
          <w:vertAlign w:val="superscript"/>
        </w:rPr>
        <w:t>o</w:t>
      </w:r>
      <w:r w:rsidRPr="009E3EDD">
        <w:t> 53150/12, 2 décembre 2014), et il expose, en particulier, que sa cause présente de nombreuses similarités avec cette dernière affaire. Il estime que chaque changement dans la composition de la formation de jugement aurait dû mener à la reprise des débats et à l</w:t>
      </w:r>
      <w:r w:rsidRPr="009E3EDD" w:rsidR="009E3EDD">
        <w:t>’</w:t>
      </w:r>
      <w:r w:rsidRPr="009E3EDD">
        <w:t>audition directe, par les juges l</w:t>
      </w:r>
      <w:r w:rsidRPr="009E3EDD" w:rsidR="009E3EDD">
        <w:t>’</w:t>
      </w:r>
      <w:r w:rsidRPr="009E3EDD">
        <w:t>ayant condamné, des époux H., dont les témoignages étaient, d</w:t>
      </w:r>
      <w:r w:rsidRPr="009E3EDD" w:rsidR="009E3EDD">
        <w:t>’</w:t>
      </w:r>
      <w:r w:rsidRPr="009E3EDD">
        <w:t>après lui, les seules preuves directes et cruciales pouvant fonder une condamnation. De l</w:t>
      </w:r>
      <w:r w:rsidRPr="009E3EDD" w:rsidR="009E3EDD">
        <w:t>’</w:t>
      </w:r>
      <w:r w:rsidRPr="009E3EDD">
        <w:t>avis du requérant, la position adoptée par son avocat au début de la procédure d</w:t>
      </w:r>
      <w:r w:rsidRPr="009E3EDD" w:rsidR="009E3EDD">
        <w:t>’</w:t>
      </w:r>
      <w:r w:rsidRPr="009E3EDD">
        <w:t xml:space="preserve">appel (paragraphe </w:t>
      </w:r>
      <w:r w:rsidRPr="009E3EDD">
        <w:fldChar w:fldCharType="begin"/>
      </w:r>
      <w:r w:rsidRPr="009E3EDD">
        <w:instrText xml:space="preserve"> REF paragraph00010 \h  \* CharFormat </w:instrText>
      </w:r>
      <w:r w:rsidRPr="009E3EDD">
        <w:fldChar w:fldCharType="separate"/>
      </w:r>
      <w:r w:rsidRPr="009E3EDD" w:rsidR="009E3EDD">
        <w:t>10</w:t>
      </w:r>
      <w:r w:rsidRPr="009E3EDD">
        <w:fldChar w:fldCharType="end"/>
      </w:r>
      <w:r w:rsidRPr="009E3EDD">
        <w:t xml:space="preserve"> ci-dessus) ne pouvait justifier une autre approche de la part de la cour d</w:t>
      </w:r>
      <w:r w:rsidRPr="009E3EDD" w:rsidR="009E3EDD">
        <w:t>’</w:t>
      </w:r>
      <w:r w:rsidRPr="009E3EDD">
        <w:t>appel. Par ailleurs, l</w:t>
      </w:r>
      <w:r w:rsidRPr="009E3EDD" w:rsidR="009E3EDD">
        <w:t>’</w:t>
      </w:r>
      <w:r w:rsidRPr="009E3EDD">
        <w:t>intéressé considère qu</w:t>
      </w:r>
      <w:r w:rsidRPr="009E3EDD" w:rsidR="009E3EDD">
        <w:t>’</w:t>
      </w:r>
      <w:r w:rsidRPr="009E3EDD">
        <w:t>il a contesté la crédibilité des époux H.</w:t>
      </w:r>
    </w:p>
    <w:p w:rsidRPr="009E3EDD" w:rsidR="00603614" w:rsidP="009E3EDD" w14:paraId="527F1CFF" w14:textId="61F53C39">
      <w:pPr>
        <w:pStyle w:val="JuPara"/>
      </w:pPr>
      <w:r>
        <w:fldChar w:fldCharType="begin"/>
      </w:r>
      <w:r>
        <w:instrText xml:space="preserve"> SEQ level0 \*arabic \* MERGEFORMAT </w:instrText>
      </w:r>
      <w:r>
        <w:fldChar w:fldCharType="separate"/>
      </w:r>
      <w:bookmarkStart w:name="paragraph00021" w:id="16"/>
      <w:r w:rsidRPr="009E3EDD" w:rsidR="009E3EDD">
        <w:rPr>
          <w:noProof/>
        </w:rPr>
        <w:t>21</w:t>
      </w:r>
      <w:bookmarkEnd w:id="16"/>
      <w:r>
        <w:fldChar w:fldCharType="end"/>
      </w:r>
      <w:r w:rsidRPr="009E3EDD">
        <w:t xml:space="preserve">.  Le Gouvernement soutient que la présente cause se distingue des affaires </w:t>
      </w:r>
      <w:r w:rsidRPr="009E3EDD">
        <w:rPr>
          <w:i/>
          <w:iCs/>
        </w:rPr>
        <w:t xml:space="preserve">Beraru </w:t>
      </w:r>
      <w:r w:rsidRPr="009E3EDD">
        <w:t xml:space="preserve">et </w:t>
      </w:r>
      <w:r w:rsidRPr="009E3EDD">
        <w:rPr>
          <w:i/>
          <w:iCs/>
        </w:rPr>
        <w:t>Cutean</w:t>
      </w:r>
      <w:r w:rsidRPr="009E3EDD">
        <w:t>, précitées, dans lesquelles, rappelle-t-il, la Cour a conclu à la méconnaissance du principe de l</w:t>
      </w:r>
      <w:r w:rsidRPr="009E3EDD" w:rsidR="009E3EDD">
        <w:t>’</w:t>
      </w:r>
      <w:r w:rsidRPr="009E3EDD">
        <w:t>immédiateté et à l</w:t>
      </w:r>
      <w:r w:rsidRPr="009E3EDD" w:rsidR="009E3EDD">
        <w:t>’</w:t>
      </w:r>
      <w:r w:rsidRPr="009E3EDD">
        <w:t>iniquité des procédures pénales en cause. Il allègue d</w:t>
      </w:r>
      <w:r w:rsidRPr="009E3EDD" w:rsidR="009E3EDD">
        <w:t>’</w:t>
      </w:r>
      <w:r w:rsidRPr="009E3EDD">
        <w:t>abord que, contrairement au requérant dans l</w:t>
      </w:r>
      <w:r w:rsidRPr="009E3EDD" w:rsidR="009E3EDD">
        <w:t>’</w:t>
      </w:r>
      <w:r w:rsidRPr="009E3EDD">
        <w:t xml:space="preserve">affaire </w:t>
      </w:r>
      <w:r w:rsidRPr="009E3EDD">
        <w:rPr>
          <w:i/>
          <w:iCs/>
        </w:rPr>
        <w:t>Beraru</w:t>
      </w:r>
      <w:r w:rsidRPr="009E3EDD">
        <w:t>, le requérant en l</w:t>
      </w:r>
      <w:r w:rsidRPr="009E3EDD" w:rsidR="009E3EDD">
        <w:t>’</w:t>
      </w:r>
      <w:r w:rsidRPr="009E3EDD">
        <w:t>espèce s</w:t>
      </w:r>
      <w:r w:rsidRPr="009E3EDD" w:rsidR="009E3EDD">
        <w:t>’</w:t>
      </w:r>
      <w:r w:rsidRPr="009E3EDD">
        <w:t>est opposé au début de la procédure en appel à ce que la cour d</w:t>
      </w:r>
      <w:r w:rsidRPr="009E3EDD" w:rsidR="009E3EDD">
        <w:t>’</w:t>
      </w:r>
      <w:r w:rsidRPr="009E3EDD">
        <w:t xml:space="preserve">appel entendît à nouveau les témoins (paragraphe </w:t>
      </w:r>
      <w:r w:rsidRPr="009E3EDD">
        <w:fldChar w:fldCharType="begin"/>
      </w:r>
      <w:r w:rsidRPr="009E3EDD">
        <w:instrText xml:space="preserve"> REF paragraph00010 \h  \* CharFormat </w:instrText>
      </w:r>
      <w:r w:rsidRPr="009E3EDD">
        <w:fldChar w:fldCharType="separate"/>
      </w:r>
      <w:r w:rsidRPr="009E3EDD" w:rsidR="009E3EDD">
        <w:t>10</w:t>
      </w:r>
      <w:r w:rsidRPr="009E3EDD">
        <w:fldChar w:fldCharType="end"/>
      </w:r>
      <w:r w:rsidRPr="009E3EDD">
        <w:t xml:space="preserve"> ci-dessus). Il expose ensuite qu</w:t>
      </w:r>
      <w:r w:rsidRPr="009E3EDD" w:rsidR="009E3EDD">
        <w:t>’</w:t>
      </w:r>
      <w:r w:rsidRPr="009E3EDD">
        <w:t>à la différence de l</w:t>
      </w:r>
      <w:r w:rsidRPr="009E3EDD" w:rsidR="009E3EDD">
        <w:t>’</w:t>
      </w:r>
      <w:r w:rsidRPr="009E3EDD">
        <w:t xml:space="preserve">affaire </w:t>
      </w:r>
      <w:r w:rsidRPr="009E3EDD">
        <w:rPr>
          <w:i/>
          <w:iCs/>
        </w:rPr>
        <w:t>Cutean</w:t>
      </w:r>
      <w:r w:rsidRPr="009E3EDD">
        <w:t>, où aucun des juges ayant prononcé, ou confirmé, le jugement de condamnation n</w:t>
      </w:r>
      <w:r w:rsidRPr="009E3EDD" w:rsidR="009E3EDD">
        <w:t>’</w:t>
      </w:r>
      <w:r w:rsidRPr="009E3EDD">
        <w:t>avait entendu directement les témoins, dans la présente espèce ce n</w:t>
      </w:r>
      <w:r w:rsidRPr="009E3EDD" w:rsidR="009E3EDD">
        <w:t>’</w:t>
      </w:r>
      <w:r w:rsidRPr="009E3EDD">
        <w:t>est que l</w:t>
      </w:r>
      <w:r w:rsidRPr="009E3EDD" w:rsidR="009E3EDD">
        <w:t>’</w:t>
      </w:r>
      <w:r w:rsidRPr="009E3EDD">
        <w:t>un des deux juges qui a été remplacé par un autre (T.G.) à l</w:t>
      </w:r>
      <w:r w:rsidRPr="009E3EDD" w:rsidR="009E3EDD">
        <w:t>’</w:t>
      </w:r>
      <w:r w:rsidRPr="009E3EDD">
        <w:t>audience à l</w:t>
      </w:r>
      <w:r w:rsidRPr="009E3EDD" w:rsidR="009E3EDD">
        <w:t>’</w:t>
      </w:r>
      <w:r w:rsidRPr="009E3EDD">
        <w:t>issue de laquelle l</w:t>
      </w:r>
      <w:r w:rsidRPr="009E3EDD" w:rsidR="009E3EDD">
        <w:t>’</w:t>
      </w:r>
      <w:r w:rsidRPr="009E3EDD">
        <w:t>arrêt de condamnation du 2 novembre 2016 a été rendu. De plus, argue-t-il, les enregistrements audio des témoignages ainsi que l</w:t>
      </w:r>
      <w:r w:rsidRPr="009E3EDD" w:rsidR="009E3EDD">
        <w:t>’</w:t>
      </w:r>
      <w:r w:rsidRPr="009E3EDD">
        <w:t>ensemble des autres preuves étaient à la disposition de cette dernière formation de jugement de la cour d</w:t>
      </w:r>
      <w:r w:rsidRPr="009E3EDD" w:rsidR="009E3EDD">
        <w:t>’</w:t>
      </w:r>
      <w:r w:rsidRPr="009E3EDD">
        <w:t>appel. À cet égard, le Gouvernement estime qu</w:t>
      </w:r>
      <w:r w:rsidRPr="009E3EDD" w:rsidR="009E3EDD">
        <w:t>’</w:t>
      </w:r>
      <w:r w:rsidRPr="009E3EDD">
        <w:t>il ressort de l</w:t>
      </w:r>
      <w:r w:rsidRPr="009E3EDD" w:rsidR="009E3EDD">
        <w:t>’</w:t>
      </w:r>
      <w:r w:rsidRPr="009E3EDD">
        <w:t xml:space="preserve">arrêt du 2 novembre 2016 (paragraphes </w:t>
      </w:r>
      <w:r w:rsidRPr="009E3EDD">
        <w:fldChar w:fldCharType="begin"/>
      </w:r>
      <w:r w:rsidRPr="009E3EDD">
        <w:instrText xml:space="preserve"> REF paragraph00014 \h  \* CharFormat </w:instrText>
      </w:r>
      <w:r w:rsidRPr="009E3EDD">
        <w:fldChar w:fldCharType="separate"/>
      </w:r>
      <w:r w:rsidRPr="009E3EDD" w:rsidR="009E3EDD">
        <w:t>14</w:t>
      </w:r>
      <w:r w:rsidRPr="009E3EDD">
        <w:fldChar w:fldCharType="end"/>
      </w:r>
      <w:r w:rsidRPr="009E3EDD">
        <w:t xml:space="preserve"> et </w:t>
      </w:r>
      <w:r w:rsidRPr="009E3EDD">
        <w:fldChar w:fldCharType="begin"/>
      </w:r>
      <w:r w:rsidRPr="009E3EDD">
        <w:instrText xml:space="preserve"> REF paragraph00015 \h  \* CharFormat </w:instrText>
      </w:r>
      <w:r w:rsidRPr="009E3EDD">
        <w:fldChar w:fldCharType="separate"/>
      </w:r>
      <w:r w:rsidRPr="009E3EDD" w:rsidR="009E3EDD">
        <w:t>15</w:t>
      </w:r>
      <w:r w:rsidRPr="009E3EDD">
        <w:fldChar w:fldCharType="end"/>
      </w:r>
      <w:r w:rsidRPr="009E3EDD">
        <w:t xml:space="preserve"> ci-dessus) que la condamnation du requérant ne s</w:t>
      </w:r>
      <w:r w:rsidRPr="009E3EDD" w:rsidR="009E3EDD">
        <w:t>’</w:t>
      </w:r>
      <w:r w:rsidRPr="009E3EDD">
        <w:t>est pas fondée uniquement sur les déclarations des témoins. Il ajoute que, contrairement à l</w:t>
      </w:r>
      <w:r w:rsidRPr="009E3EDD" w:rsidR="009E3EDD">
        <w:t>’</w:t>
      </w:r>
      <w:r w:rsidRPr="009E3EDD">
        <w:t xml:space="preserve">affaire </w:t>
      </w:r>
      <w:r w:rsidRPr="009E3EDD">
        <w:rPr>
          <w:i/>
          <w:iCs/>
        </w:rPr>
        <w:t>Cutean</w:t>
      </w:r>
      <w:r w:rsidRPr="009E3EDD">
        <w:t>,</w:t>
      </w:r>
      <w:r w:rsidRPr="009E3EDD">
        <w:rPr>
          <w:i/>
          <w:iCs/>
        </w:rPr>
        <w:t xml:space="preserve"> </w:t>
      </w:r>
      <w:r w:rsidRPr="009E3EDD">
        <w:t>précitée, la crédibilité des témoins n</w:t>
      </w:r>
      <w:r w:rsidRPr="009E3EDD" w:rsidR="009E3EDD">
        <w:t>’</w:t>
      </w:r>
      <w:r w:rsidRPr="009E3EDD">
        <w:t>a pas été mise en cause par l</w:t>
      </w:r>
      <w:r w:rsidRPr="009E3EDD" w:rsidR="009E3EDD">
        <w:t>’</w:t>
      </w:r>
      <w:r w:rsidRPr="009E3EDD">
        <w:t>avocat du requérant, et que rien n</w:t>
      </w:r>
      <w:r w:rsidRPr="009E3EDD" w:rsidR="009E3EDD">
        <w:t>’</w:t>
      </w:r>
      <w:r w:rsidRPr="009E3EDD">
        <w:t>indique que ledit avocat ait adopté une position différente devant la formation de jugement dans laquelle siégeait le juge T.G. dès lors qu</w:t>
      </w:r>
      <w:r w:rsidRPr="009E3EDD" w:rsidR="009E3EDD">
        <w:t>’</w:t>
      </w:r>
      <w:r w:rsidRPr="009E3EDD">
        <w:t>aucune demande de nouvelle audition des témoins n</w:t>
      </w:r>
      <w:r w:rsidRPr="009E3EDD" w:rsidR="009E3EDD">
        <w:t>’</w:t>
      </w:r>
      <w:r w:rsidRPr="009E3EDD">
        <w:t>a été formulée par lui.</w:t>
      </w:r>
    </w:p>
    <w:p w:rsidRPr="009E3EDD" w:rsidR="00603614" w:rsidP="009E3EDD" w14:paraId="718845D7" w14:textId="77777777">
      <w:pPr>
        <w:pStyle w:val="JuH1"/>
        <w:keepNext w:val="0"/>
        <w:keepLines w:val="0"/>
      </w:pPr>
      <w:r w:rsidRPr="009E3EDD">
        <w:t>Appréciation de la Cour</w:t>
      </w:r>
    </w:p>
    <w:p w:rsidRPr="009E3EDD" w:rsidR="00603614" w:rsidP="009E3EDD" w14:paraId="13EC35D4" w14:textId="77777777">
      <w:pPr>
        <w:pStyle w:val="JuHa0"/>
        <w:keepNext w:val="0"/>
        <w:keepLines w:val="0"/>
      </w:pPr>
      <w:r w:rsidRPr="009E3EDD">
        <w:t>Principes généraux</w:t>
      </w:r>
    </w:p>
    <w:p w:rsidRPr="009E3EDD" w:rsidR="00603614" w:rsidP="009E3EDD" w14:paraId="67D9CF12" w14:textId="6D9E10D1">
      <w:pPr>
        <w:pStyle w:val="JuPara"/>
      </w:pPr>
      <w:r w:rsidRPr="009E3EDD">
        <w:fldChar w:fldCharType="begin"/>
      </w:r>
      <w:r w:rsidRPr="009E3EDD">
        <w:instrText xml:space="preserve"> SEQ leve</w:instrText>
      </w:r>
      <w:r w:rsidRPr="009E3EDD">
        <w:instrText xml:space="preserve">l0 \*arabic \* MERGEFORMAT </w:instrText>
      </w:r>
      <w:r w:rsidRPr="009E3EDD">
        <w:fldChar w:fldCharType="separate"/>
      </w:r>
      <w:bookmarkStart w:name="paragraph00022" w:id="17"/>
      <w:r w:rsidRPr="009E3EDD">
        <w:rPr>
          <w:noProof/>
        </w:rPr>
        <w:t>22</w:t>
      </w:r>
      <w:bookmarkEnd w:id="17"/>
      <w:r w:rsidRPr="009E3EDD">
        <w:rPr>
          <w:noProof/>
        </w:rPr>
        <w:fldChar w:fldCharType="end"/>
      </w:r>
      <w:r w:rsidRPr="009E3EDD">
        <w:t>.  La Cour rappelle qu</w:t>
      </w:r>
      <w:r w:rsidRPr="009E3EDD">
        <w:t>’</w:t>
      </w:r>
      <w:r w:rsidRPr="009E3EDD">
        <w:t>un aspect important de l</w:t>
      </w:r>
      <w:r w:rsidRPr="009E3EDD">
        <w:t>’</w:t>
      </w:r>
      <w:r w:rsidRPr="009E3EDD">
        <w:t>équité de la procédure pénale réside dans la possibilité pour l</w:t>
      </w:r>
      <w:r w:rsidRPr="009E3EDD">
        <w:t>’</w:t>
      </w:r>
      <w:r w:rsidRPr="009E3EDD">
        <w:t>accusé d</w:t>
      </w:r>
      <w:r w:rsidRPr="009E3EDD">
        <w:t>’</w:t>
      </w:r>
      <w:r w:rsidRPr="009E3EDD">
        <w:t>être confronté aux témoins en présence du juge appelé à statuer sur son affaire. Le principe de l</w:t>
      </w:r>
      <w:r w:rsidRPr="009E3EDD">
        <w:t>’</w:t>
      </w:r>
      <w:r w:rsidRPr="009E3EDD">
        <w:t>immédiateté est une garantie importante dans toute procédure pénale où les observations faites par le tribunal sur le comportement et la crédibilité d</w:t>
      </w:r>
      <w:r w:rsidRPr="009E3EDD">
        <w:t>’</w:t>
      </w:r>
      <w:r w:rsidRPr="009E3EDD">
        <w:t>un témoin sont susceptibles d</w:t>
      </w:r>
      <w:r w:rsidRPr="009E3EDD">
        <w:t>’</w:t>
      </w:r>
      <w:r w:rsidRPr="009E3EDD">
        <w:t>avoir des conséquences importantes pour l</w:t>
      </w:r>
      <w:r w:rsidRPr="009E3EDD">
        <w:t>’</w:t>
      </w:r>
      <w:r w:rsidRPr="009E3EDD">
        <w:t>accusé (</w:t>
      </w:r>
      <w:r w:rsidRPr="009E3EDD">
        <w:rPr>
          <w:i/>
          <w:iCs/>
        </w:rPr>
        <w:t>Beraru</w:t>
      </w:r>
      <w:r w:rsidRPr="009E3EDD">
        <w:t xml:space="preserve">, précité, § 64, </w:t>
      </w:r>
      <w:r w:rsidRPr="009E3EDD">
        <w:rPr>
          <w:i/>
          <w:iCs/>
        </w:rPr>
        <w:t>Cutean</w:t>
      </w:r>
      <w:r w:rsidRPr="009E3EDD">
        <w:t xml:space="preserve">, précité, § 60, et </w:t>
      </w:r>
      <w:r w:rsidRPr="009E3EDD">
        <w:rPr>
          <w:i/>
          <w:iCs/>
        </w:rPr>
        <w:t>Cerovšek et Božičnik c. Slovénie</w:t>
      </w:r>
      <w:r w:rsidRPr="009E3EDD">
        <w:t>, n</w:t>
      </w:r>
      <w:r w:rsidRPr="009E3EDD">
        <w:rPr>
          <w:vertAlign w:val="superscript"/>
        </w:rPr>
        <w:t>os</w:t>
      </w:r>
      <w:r w:rsidRPr="009E3EDD" w:rsidR="00014B7C">
        <w:t xml:space="preserve"> </w:t>
      </w:r>
      <w:r w:rsidRPr="009E3EDD">
        <w:t>68939/12 et 68949/12, § 43, 7 mars 2017).</w:t>
      </w:r>
    </w:p>
    <w:p w:rsidRPr="009E3EDD" w:rsidR="00603614" w:rsidP="009E3EDD" w14:paraId="29E9C333" w14:textId="2DC9520A">
      <w:pPr>
        <w:pStyle w:val="JuPara"/>
      </w:pPr>
      <w:r>
        <w:fldChar w:fldCharType="begin"/>
      </w:r>
      <w:r>
        <w:instrText xml:space="preserve"> SEQ level0 \*arabic \* MERGEFORMAT </w:instrText>
      </w:r>
      <w:r>
        <w:fldChar w:fldCharType="separate"/>
      </w:r>
      <w:bookmarkStart w:name="paragraph00023" w:id="18"/>
      <w:r w:rsidRPr="009E3EDD" w:rsidR="009E3EDD">
        <w:rPr>
          <w:noProof/>
        </w:rPr>
        <w:t>23</w:t>
      </w:r>
      <w:bookmarkEnd w:id="18"/>
      <w:r>
        <w:fldChar w:fldCharType="end"/>
      </w:r>
      <w:r w:rsidRPr="009E3EDD">
        <w:t>.  En vertu du principe de l</w:t>
      </w:r>
      <w:r w:rsidRPr="009E3EDD" w:rsidR="009E3EDD">
        <w:t>’</w:t>
      </w:r>
      <w:r w:rsidRPr="009E3EDD">
        <w:t>immédiateté, la décision dans une affaire pénale doit être prise par des juges qui ont été présents tout au long de la procédure et du processus de collecte des preuves (</w:t>
      </w:r>
      <w:r w:rsidRPr="009E3EDD">
        <w:rPr>
          <w:i/>
          <w:iCs/>
        </w:rPr>
        <w:t>Cutean</w:t>
      </w:r>
      <w:r w:rsidRPr="009E3EDD">
        <w:t>, précité, § 61). On ne saurait toutefois en déduire une interdiction de modifier la composition du tribunal au cours d</w:t>
      </w:r>
      <w:r w:rsidRPr="009E3EDD" w:rsidR="009E3EDD">
        <w:t>’</w:t>
      </w:r>
      <w:r w:rsidRPr="009E3EDD">
        <w:t>une affaire (</w:t>
      </w:r>
      <w:r w:rsidRPr="009E3EDD">
        <w:rPr>
          <w:i/>
          <w:iCs/>
        </w:rPr>
        <w:t>P.K. c.</w:t>
      </w:r>
      <w:r w:rsidRPr="009E3EDD" w:rsidR="00014B7C">
        <w:rPr>
          <w:i/>
          <w:iCs/>
        </w:rPr>
        <w:t xml:space="preserve"> </w:t>
      </w:r>
      <w:r w:rsidRPr="009E3EDD">
        <w:rPr>
          <w:i/>
          <w:iCs/>
        </w:rPr>
        <w:t>Finlande</w:t>
      </w:r>
      <w:r w:rsidRPr="009E3EDD">
        <w:t xml:space="preserve">, </w:t>
      </w:r>
      <w:r w:rsidRPr="009E3EDD" w:rsidR="001D6A9A">
        <w:t xml:space="preserve">décision </w:t>
      </w:r>
      <w:r w:rsidRPr="009E3EDD">
        <w:t>précitée). Il peut survenir des événements administratifs ou procéduraux très clairs qui rendent impossible pour le juge de continuer à participer à l</w:t>
      </w:r>
      <w:r w:rsidRPr="009E3EDD" w:rsidR="009E3EDD">
        <w:t>’</w:t>
      </w:r>
      <w:r w:rsidRPr="009E3EDD">
        <w:t>examen de l</w:t>
      </w:r>
      <w:r w:rsidRPr="009E3EDD" w:rsidR="009E3EDD">
        <w:t>’</w:t>
      </w:r>
      <w:r w:rsidRPr="009E3EDD">
        <w:t>affaire. La Cour a indiqué qu</w:t>
      </w:r>
      <w:r w:rsidRPr="009E3EDD" w:rsidR="009E3EDD">
        <w:t>’</w:t>
      </w:r>
      <w:r w:rsidRPr="009E3EDD">
        <w:t>il faut alors prendre des mesures pour faire en sorte que les juges qui reprennent cet examen comprennent bien les éléments de preuve et les arguments, par exemple mettre à leur disposition des transcriptions des auditions lorsque la crédibilité des témoins n</w:t>
      </w:r>
      <w:r w:rsidRPr="009E3EDD" w:rsidR="009E3EDD">
        <w:t>’</w:t>
      </w:r>
      <w:r w:rsidRPr="009E3EDD">
        <w:t>est pas en doute, ou organiser une nouvelle audition où seront présentés au tribunal dans sa nouvelle composition les arguments pertinents ou les témoins importants (</w:t>
      </w:r>
      <w:r w:rsidRPr="009E3EDD">
        <w:rPr>
          <w:i/>
          <w:iCs/>
        </w:rPr>
        <w:t>Cutean</w:t>
      </w:r>
      <w:r w:rsidRPr="009E3EDD">
        <w:t xml:space="preserve">, précité, § 61, et </w:t>
      </w:r>
      <w:r w:rsidRPr="009E3EDD">
        <w:rPr>
          <w:i/>
          <w:iCs/>
        </w:rPr>
        <w:t>Škaro c. Croatie</w:t>
      </w:r>
      <w:r w:rsidRPr="009E3EDD">
        <w:t>, n</w:t>
      </w:r>
      <w:r w:rsidRPr="009E3EDD">
        <w:rPr>
          <w:vertAlign w:val="superscript"/>
        </w:rPr>
        <w:t>o</w:t>
      </w:r>
      <w:r w:rsidRPr="009E3EDD" w:rsidR="00014B7C">
        <w:t xml:space="preserve"> </w:t>
      </w:r>
      <w:r w:rsidRPr="009E3EDD">
        <w:t>6962/13, § 24, 6 décembre 2016).</w:t>
      </w:r>
    </w:p>
    <w:p w:rsidRPr="009E3EDD" w:rsidR="00603614" w:rsidP="009E3EDD" w14:paraId="07F25751" w14:textId="34A30B8C">
      <w:pPr>
        <w:pStyle w:val="JuPara"/>
      </w:pPr>
      <w:r>
        <w:fldChar w:fldCharType="begin"/>
      </w:r>
      <w:r>
        <w:instrText xml:space="preserve"> SEQ level0 \*arabic \* MERGEFORMAT </w:instrText>
      </w:r>
      <w:r>
        <w:fldChar w:fldCharType="separate"/>
      </w:r>
      <w:bookmarkStart w:name="paragraph00024" w:id="19"/>
      <w:r w:rsidRPr="009E3EDD" w:rsidR="009E3EDD">
        <w:rPr>
          <w:noProof/>
        </w:rPr>
        <w:t>24</w:t>
      </w:r>
      <w:bookmarkEnd w:id="19"/>
      <w:r>
        <w:fldChar w:fldCharType="end"/>
      </w:r>
      <w:r w:rsidRPr="009E3EDD">
        <w:t>.  La Cour rappelle enfin avoir déjà considéré dans des affaires similaires – où le requérant avait été condamné après avoir été relaxé par les juridictions inférieures et où la juridiction d</w:t>
      </w:r>
      <w:r w:rsidRPr="009E3EDD" w:rsidR="009E3EDD">
        <w:t>’</w:t>
      </w:r>
      <w:r w:rsidRPr="009E3EDD">
        <w:t>appel était amenée à connaître de l</w:t>
      </w:r>
      <w:r w:rsidRPr="009E3EDD" w:rsidR="009E3EDD">
        <w:t>’</w:t>
      </w:r>
      <w:r w:rsidRPr="009E3EDD">
        <w:t>affaire en fait et en droit et à étudier dans son ensemble la question de la culpabilité ou de l</w:t>
      </w:r>
      <w:r w:rsidRPr="009E3EDD" w:rsidR="009E3EDD">
        <w:t>’</w:t>
      </w:r>
      <w:r w:rsidRPr="009E3EDD">
        <w:t>innocence – que cette dernière juridiction était tenue de prendre d</w:t>
      </w:r>
      <w:r w:rsidRPr="009E3EDD" w:rsidR="009E3EDD">
        <w:t>’</w:t>
      </w:r>
      <w:r w:rsidRPr="009E3EDD">
        <w:t>office des mesures pour entendre directement des témoins, nonobstant l</w:t>
      </w:r>
      <w:r w:rsidRPr="009E3EDD" w:rsidR="009E3EDD">
        <w:t>’</w:t>
      </w:r>
      <w:r w:rsidRPr="009E3EDD">
        <w:t xml:space="preserve">absence de sollicitation expresse du requérant (voir, par exemple, </w:t>
      </w:r>
      <w:r w:rsidRPr="009E3EDD">
        <w:rPr>
          <w:i/>
          <w:iCs/>
        </w:rPr>
        <w:t>Sigurþór</w:t>
      </w:r>
      <w:r w:rsidRPr="009E3EDD">
        <w:rPr>
          <w:i/>
        </w:rPr>
        <w:t xml:space="preserve"> Arnarsson c.</w:t>
      </w:r>
      <w:r w:rsidRPr="009E3EDD" w:rsidR="00014B7C">
        <w:rPr>
          <w:i/>
        </w:rPr>
        <w:t xml:space="preserve"> </w:t>
      </w:r>
      <w:r w:rsidRPr="009E3EDD">
        <w:rPr>
          <w:i/>
        </w:rPr>
        <w:t>Islande</w:t>
      </w:r>
      <w:r w:rsidRPr="009E3EDD">
        <w:t>,</w:t>
      </w:r>
      <w:r w:rsidRPr="009E3EDD">
        <w:rPr>
          <w:i/>
        </w:rPr>
        <w:t xml:space="preserve"> </w:t>
      </w:r>
      <w:r w:rsidRPr="009E3EDD">
        <w:t>n</w:t>
      </w:r>
      <w:r w:rsidRPr="009E3EDD">
        <w:rPr>
          <w:vertAlign w:val="superscript"/>
        </w:rPr>
        <w:t>o</w:t>
      </w:r>
      <w:r w:rsidRPr="009E3EDD" w:rsidR="00014B7C">
        <w:t xml:space="preserve"> </w:t>
      </w:r>
      <w:r w:rsidRPr="009E3EDD">
        <w:t>44671/98, §</w:t>
      </w:r>
      <w:r w:rsidRPr="009E3EDD" w:rsidR="00014B7C">
        <w:t xml:space="preserve"> </w:t>
      </w:r>
      <w:r w:rsidRPr="009E3EDD">
        <w:t xml:space="preserve">38, 15 juillet 2003, </w:t>
      </w:r>
      <w:r w:rsidRPr="009E3EDD">
        <w:rPr>
          <w:i/>
        </w:rPr>
        <w:t>Manolachi c.</w:t>
      </w:r>
      <w:r w:rsidRPr="009E3EDD" w:rsidR="00014B7C">
        <w:rPr>
          <w:i/>
        </w:rPr>
        <w:t xml:space="preserve"> </w:t>
      </w:r>
      <w:r w:rsidRPr="009E3EDD">
        <w:rPr>
          <w:i/>
        </w:rPr>
        <w:t>Roumanie</w:t>
      </w:r>
      <w:r w:rsidRPr="009E3EDD">
        <w:t>, n</w:t>
      </w:r>
      <w:r w:rsidRPr="009E3EDD">
        <w:rPr>
          <w:vertAlign w:val="superscript"/>
        </w:rPr>
        <w:t>o</w:t>
      </w:r>
      <w:r w:rsidRPr="009E3EDD" w:rsidR="00014B7C">
        <w:t xml:space="preserve"> </w:t>
      </w:r>
      <w:r w:rsidRPr="009E3EDD">
        <w:t>36605/04, §</w:t>
      </w:r>
      <w:r w:rsidRPr="009E3EDD" w:rsidR="00014B7C">
        <w:t xml:space="preserve"> </w:t>
      </w:r>
      <w:r w:rsidRPr="009E3EDD">
        <w:t xml:space="preserve">50, 5 mars 2013, </w:t>
      </w:r>
      <w:bookmarkStart w:name="_cl10300ENDROIT" w:id="20"/>
      <w:r w:rsidRPr="009E3EDD">
        <w:rPr>
          <w:i/>
          <w:iCs/>
        </w:rPr>
        <w:t>Lazu c. République de Moldov</w:t>
      </w:r>
      <w:bookmarkEnd w:id="20"/>
      <w:r w:rsidRPr="009E3EDD">
        <w:rPr>
          <w:i/>
          <w:iCs/>
        </w:rPr>
        <w:t>a</w:t>
      </w:r>
      <w:r w:rsidRPr="009E3EDD">
        <w:rPr>
          <w:i/>
        </w:rPr>
        <w:t>,</w:t>
      </w:r>
      <w:r w:rsidRPr="009E3EDD">
        <w:rPr>
          <w:iCs/>
        </w:rPr>
        <w:t xml:space="preserve"> n</w:t>
      </w:r>
      <w:r w:rsidRPr="009E3EDD">
        <w:rPr>
          <w:iCs/>
          <w:vertAlign w:val="superscript"/>
        </w:rPr>
        <w:t>o</w:t>
      </w:r>
      <w:r w:rsidRPr="009E3EDD" w:rsidR="00014B7C">
        <w:rPr>
          <w:iCs/>
        </w:rPr>
        <w:t xml:space="preserve"> </w:t>
      </w:r>
      <w:r w:rsidRPr="009E3EDD">
        <w:rPr>
          <w:iCs/>
        </w:rPr>
        <w:t xml:space="preserve">46182/08, § 42, 5 juillet 2016, et </w:t>
      </w:r>
      <w:bookmarkStart w:name="_cl3418ENDROIT" w:id="21"/>
      <w:r w:rsidRPr="009E3EDD">
        <w:rPr>
          <w:i/>
          <w:iCs/>
        </w:rPr>
        <w:t>Chiper c. Roumanie</w:t>
      </w:r>
      <w:bookmarkEnd w:id="21"/>
      <w:r w:rsidRPr="009E3EDD">
        <w:rPr>
          <w:iCs/>
        </w:rPr>
        <w:t>, n</w:t>
      </w:r>
      <w:r w:rsidRPr="009E3EDD">
        <w:rPr>
          <w:iCs/>
          <w:vertAlign w:val="superscript"/>
        </w:rPr>
        <w:t>o</w:t>
      </w:r>
      <w:r w:rsidRPr="009E3EDD">
        <w:rPr>
          <w:iCs/>
        </w:rPr>
        <w:t> 22036/10, § 56, 27 juin 2017</w:t>
      </w:r>
      <w:r w:rsidRPr="009E3EDD">
        <w:t>).</w:t>
      </w:r>
    </w:p>
    <w:p w:rsidRPr="009E3EDD" w:rsidR="00603614" w:rsidP="009E3EDD" w14:paraId="770C8574" w14:textId="60A27303">
      <w:pPr>
        <w:pStyle w:val="JuHa0"/>
      </w:pPr>
      <w:r w:rsidRPr="009E3EDD">
        <w:t>Application de ces principes au cas d</w:t>
      </w:r>
      <w:r w:rsidRPr="009E3EDD" w:rsidR="009E3EDD">
        <w:t>’</w:t>
      </w:r>
      <w:r w:rsidRPr="009E3EDD">
        <w:t>espèce</w:t>
      </w:r>
    </w:p>
    <w:p w:rsidRPr="009E3EDD" w:rsidR="00603614" w:rsidP="009E3EDD" w14:paraId="3668BAD6" w14:textId="6C514437">
      <w:pPr>
        <w:pStyle w:val="JuPara"/>
        <w:keepNext/>
        <w:keepLines/>
        <w:rPr>
          <w:rFonts w:eastAsiaTheme="minorEastAsia"/>
          <w:szCs w:val="22"/>
        </w:rPr>
      </w:pPr>
      <w:r w:rsidRPr="009E3EDD">
        <w:rPr>
          <w:iCs/>
        </w:rPr>
        <w:fldChar w:fldCharType="begin"/>
      </w:r>
      <w:r w:rsidRPr="009E3EDD">
        <w:rPr>
          <w:iCs/>
        </w:rPr>
        <w:instrText xml:space="preserve"> SEQ level0 \*arabic \* MERGEFORMAT </w:instrText>
      </w:r>
      <w:r w:rsidRPr="009E3EDD">
        <w:rPr>
          <w:iCs/>
        </w:rPr>
        <w:fldChar w:fldCharType="separate"/>
      </w:r>
      <w:r w:rsidRPr="009E3EDD" w:rsidR="009E3EDD">
        <w:rPr>
          <w:iCs/>
          <w:noProof/>
        </w:rPr>
        <w:t>25</w:t>
      </w:r>
      <w:r w:rsidRPr="009E3EDD">
        <w:rPr>
          <w:iCs/>
        </w:rPr>
        <w:fldChar w:fldCharType="end"/>
      </w:r>
      <w:r w:rsidRPr="009E3EDD">
        <w:rPr>
          <w:iCs/>
        </w:rPr>
        <w:t>.  </w:t>
      </w:r>
      <w:r w:rsidRPr="009E3EDD">
        <w:rPr>
          <w:rFonts w:eastAsiaTheme="minorEastAsia"/>
          <w:szCs w:val="22"/>
        </w:rPr>
        <w:t>La Cour note que le requérant se plaint exclusivement de ce que la cour d</w:t>
      </w:r>
      <w:r w:rsidRPr="009E3EDD" w:rsidR="009E3EDD">
        <w:rPr>
          <w:rFonts w:eastAsiaTheme="minorEastAsia"/>
          <w:szCs w:val="22"/>
        </w:rPr>
        <w:t>’</w:t>
      </w:r>
      <w:r w:rsidRPr="009E3EDD">
        <w:rPr>
          <w:rFonts w:eastAsiaTheme="minorEastAsia"/>
          <w:szCs w:val="22"/>
        </w:rPr>
        <w:t>appel, qui l</w:t>
      </w:r>
      <w:r w:rsidRPr="009E3EDD" w:rsidR="009E3EDD">
        <w:rPr>
          <w:rFonts w:eastAsiaTheme="minorEastAsia"/>
          <w:szCs w:val="22"/>
        </w:rPr>
        <w:t>’</w:t>
      </w:r>
      <w:r w:rsidRPr="009E3EDD">
        <w:rPr>
          <w:rFonts w:eastAsiaTheme="minorEastAsia"/>
          <w:szCs w:val="22"/>
        </w:rPr>
        <w:t>a condamné alors qu</w:t>
      </w:r>
      <w:r w:rsidRPr="009E3EDD" w:rsidR="009E3EDD">
        <w:rPr>
          <w:rFonts w:eastAsiaTheme="minorEastAsia"/>
          <w:szCs w:val="22"/>
        </w:rPr>
        <w:t>’</w:t>
      </w:r>
      <w:r w:rsidRPr="009E3EDD">
        <w:rPr>
          <w:rFonts w:eastAsiaTheme="minorEastAsia"/>
          <w:szCs w:val="22"/>
        </w:rPr>
        <w:t>il avait été relaxé en première instance, n</w:t>
      </w:r>
      <w:r w:rsidRPr="009E3EDD" w:rsidR="009E3EDD">
        <w:rPr>
          <w:rFonts w:eastAsiaTheme="minorEastAsia"/>
          <w:szCs w:val="22"/>
        </w:rPr>
        <w:t>’</w:t>
      </w:r>
      <w:r w:rsidRPr="009E3EDD">
        <w:rPr>
          <w:rFonts w:eastAsiaTheme="minorEastAsia"/>
          <w:szCs w:val="22"/>
        </w:rPr>
        <w:t>ait pas procédé à un interrogatoire direct des témoins. La Cour doit examiner si, dans ces conditions, la procédure dans son ensemble a été équitable.</w:t>
      </w:r>
    </w:p>
    <w:p w:rsidRPr="009E3EDD" w:rsidR="00603614" w:rsidP="009E3EDD" w14:paraId="6AD47BC8" w14:textId="1D754594">
      <w:pPr>
        <w:pStyle w:val="JuPara"/>
        <w:rPr>
          <w:rFonts w:eastAsiaTheme="minorEastAsia"/>
        </w:rPr>
      </w:pPr>
      <w:r w:rsidRPr="009E3EDD">
        <w:rPr>
          <w:rFonts w:eastAsiaTheme="minorEastAsia"/>
        </w:rPr>
        <w:fldChar w:fldCharType="begin"/>
      </w:r>
      <w:r w:rsidRPr="009E3EDD">
        <w:rPr>
          <w:rFonts w:eastAsiaTheme="minorEastAsia"/>
        </w:rPr>
        <w:instrText xml:space="preserve"> SEQ level0 \*arabic \* MERGEFORMAT </w:instrText>
      </w:r>
      <w:r w:rsidRPr="009E3EDD">
        <w:rPr>
          <w:rFonts w:eastAsiaTheme="minorEastAsia"/>
        </w:rPr>
        <w:fldChar w:fldCharType="separate"/>
      </w:r>
      <w:r w:rsidRPr="009E3EDD" w:rsidR="009E3EDD">
        <w:rPr>
          <w:rFonts w:eastAsiaTheme="minorEastAsia"/>
          <w:noProof/>
        </w:rPr>
        <w:t>26</w:t>
      </w:r>
      <w:r w:rsidRPr="009E3EDD">
        <w:rPr>
          <w:rFonts w:eastAsiaTheme="minorEastAsia"/>
        </w:rPr>
        <w:fldChar w:fldCharType="end"/>
      </w:r>
      <w:r w:rsidRPr="009E3EDD">
        <w:rPr>
          <w:rFonts w:eastAsiaTheme="minorEastAsia"/>
        </w:rPr>
        <w:t>.  En l</w:t>
      </w:r>
      <w:r w:rsidRPr="009E3EDD" w:rsidR="009E3EDD">
        <w:rPr>
          <w:rFonts w:eastAsiaTheme="minorEastAsia"/>
        </w:rPr>
        <w:t>’</w:t>
      </w:r>
      <w:r w:rsidRPr="009E3EDD">
        <w:rPr>
          <w:rFonts w:eastAsiaTheme="minorEastAsia"/>
        </w:rPr>
        <w:t>espèce, le requérant, assisté par un avocat, a pu participer à la procédure interne ; il a été entendu par la juridiction de première</w:t>
      </w:r>
      <w:r w:rsidRPr="009E3EDD" w:rsidR="00014B7C">
        <w:rPr>
          <w:rFonts w:eastAsiaTheme="minorEastAsia"/>
        </w:rPr>
        <w:t xml:space="preserve"> </w:t>
      </w:r>
      <w:r w:rsidRPr="009E3EDD">
        <w:rPr>
          <w:rFonts w:eastAsiaTheme="minorEastAsia"/>
        </w:rPr>
        <w:t>instance et il s</w:t>
      </w:r>
      <w:r w:rsidRPr="009E3EDD" w:rsidR="009E3EDD">
        <w:rPr>
          <w:rFonts w:eastAsiaTheme="minorEastAsia"/>
        </w:rPr>
        <w:t>’</w:t>
      </w:r>
      <w:r w:rsidRPr="009E3EDD">
        <w:rPr>
          <w:rFonts w:eastAsiaTheme="minorEastAsia"/>
        </w:rPr>
        <w:t xml:space="preserve">est prévalu de son droit de garder le silence devant la juridiction de recours (paragraphes </w:t>
      </w:r>
      <w:r w:rsidRPr="009E3EDD">
        <w:rPr>
          <w:rFonts w:eastAsiaTheme="minorEastAsia"/>
        </w:rPr>
        <w:fldChar w:fldCharType="begin"/>
      </w:r>
      <w:r w:rsidRPr="009E3EDD">
        <w:rPr>
          <w:rFonts w:eastAsiaTheme="minorEastAsia"/>
        </w:rPr>
        <w:instrText xml:space="preserve"> REF paragraph00007 \h  \* CharFormat </w:instrText>
      </w:r>
      <w:r w:rsidRPr="009E3EDD" w:rsidR="00F25FAD">
        <w:rPr>
          <w:rFonts w:eastAsiaTheme="minorEastAsia"/>
        </w:rPr>
        <w:instrText xml:space="preserve"> \* MERGEFORMAT </w:instrText>
      </w:r>
      <w:r w:rsidRPr="009E3EDD">
        <w:rPr>
          <w:rFonts w:eastAsiaTheme="minorEastAsia"/>
        </w:rPr>
        <w:fldChar w:fldCharType="separate"/>
      </w:r>
      <w:r w:rsidRPr="009E3EDD" w:rsidR="009E3EDD">
        <w:rPr>
          <w:rFonts w:eastAsiaTheme="minorEastAsia"/>
        </w:rPr>
        <w:t>7</w:t>
      </w:r>
      <w:r w:rsidRPr="009E3EDD">
        <w:rPr>
          <w:rFonts w:eastAsiaTheme="minorEastAsia"/>
        </w:rPr>
        <w:fldChar w:fldCharType="end"/>
      </w:r>
      <w:r w:rsidRPr="009E3EDD">
        <w:rPr>
          <w:rFonts w:eastAsiaTheme="minorEastAsia"/>
        </w:rPr>
        <w:t xml:space="preserve"> et </w:t>
      </w:r>
      <w:r w:rsidRPr="009E3EDD">
        <w:rPr>
          <w:rFonts w:eastAsiaTheme="minorEastAsia"/>
        </w:rPr>
        <w:fldChar w:fldCharType="begin"/>
      </w:r>
      <w:r w:rsidRPr="009E3EDD">
        <w:rPr>
          <w:rFonts w:eastAsiaTheme="minorEastAsia"/>
        </w:rPr>
        <w:instrText xml:space="preserve"> REF paragraph00010 \h  \* CharFormat </w:instrText>
      </w:r>
      <w:r w:rsidRPr="009E3EDD" w:rsidR="00F25FAD">
        <w:rPr>
          <w:rFonts w:eastAsiaTheme="minorEastAsia"/>
        </w:rPr>
        <w:instrText xml:space="preserve"> \* MERGEFORMAT </w:instrText>
      </w:r>
      <w:r w:rsidRPr="009E3EDD">
        <w:rPr>
          <w:rFonts w:eastAsiaTheme="minorEastAsia"/>
        </w:rPr>
        <w:fldChar w:fldCharType="separate"/>
      </w:r>
      <w:r w:rsidRPr="009E3EDD" w:rsidR="009E3EDD">
        <w:rPr>
          <w:rFonts w:eastAsiaTheme="minorEastAsia"/>
        </w:rPr>
        <w:t>10</w:t>
      </w:r>
      <w:r w:rsidRPr="009E3EDD">
        <w:rPr>
          <w:rFonts w:eastAsiaTheme="minorEastAsia"/>
        </w:rPr>
        <w:fldChar w:fldCharType="end"/>
      </w:r>
      <w:r w:rsidRPr="009E3EDD">
        <w:rPr>
          <w:rFonts w:eastAsiaTheme="minorEastAsia"/>
        </w:rPr>
        <w:t xml:space="preserve"> ci-dessus). Par ailleurs, il n</w:t>
      </w:r>
      <w:r w:rsidRPr="009E3EDD" w:rsidR="009E3EDD">
        <w:rPr>
          <w:rFonts w:eastAsiaTheme="minorEastAsia"/>
        </w:rPr>
        <w:t>’</w:t>
      </w:r>
      <w:r w:rsidRPr="009E3EDD">
        <w:rPr>
          <w:rFonts w:eastAsiaTheme="minorEastAsia"/>
        </w:rPr>
        <w:t>est pas contesté devant la Cour que l</w:t>
      </w:r>
      <w:r w:rsidRPr="009E3EDD" w:rsidR="009E3EDD">
        <w:rPr>
          <w:rFonts w:eastAsiaTheme="minorEastAsia"/>
        </w:rPr>
        <w:t>’</w:t>
      </w:r>
      <w:r w:rsidRPr="009E3EDD">
        <w:rPr>
          <w:rFonts w:eastAsiaTheme="minorEastAsia"/>
        </w:rPr>
        <w:t>intéressé a eu la possibilité de poser des questions aux témoins lors de leur interrogatoire par le tribunal départemental, en première instance, et par la cour d</w:t>
      </w:r>
      <w:r w:rsidRPr="009E3EDD" w:rsidR="009E3EDD">
        <w:rPr>
          <w:rFonts w:eastAsiaTheme="minorEastAsia"/>
        </w:rPr>
        <w:t>’</w:t>
      </w:r>
      <w:r w:rsidRPr="009E3EDD">
        <w:rPr>
          <w:rFonts w:eastAsiaTheme="minorEastAsia"/>
        </w:rPr>
        <w:t>appel, en dernier ressort. De plus, aucune doléance spécifique n</w:t>
      </w:r>
      <w:r w:rsidRPr="009E3EDD" w:rsidR="009E3EDD">
        <w:rPr>
          <w:rFonts w:eastAsiaTheme="minorEastAsia"/>
        </w:rPr>
        <w:t>’</w:t>
      </w:r>
      <w:r w:rsidRPr="009E3EDD">
        <w:rPr>
          <w:rFonts w:eastAsiaTheme="minorEastAsia"/>
        </w:rPr>
        <w:t>a été formulée par lui au sujet d</w:t>
      </w:r>
      <w:r w:rsidRPr="009E3EDD" w:rsidR="009E3EDD">
        <w:rPr>
          <w:rFonts w:eastAsiaTheme="minorEastAsia"/>
        </w:rPr>
        <w:t>’</w:t>
      </w:r>
      <w:r w:rsidRPr="009E3EDD">
        <w:rPr>
          <w:rFonts w:eastAsiaTheme="minorEastAsia"/>
        </w:rPr>
        <w:t>une éventuelle méconnaissance de l</w:t>
      </w:r>
      <w:r w:rsidRPr="009E3EDD" w:rsidR="009E3EDD">
        <w:rPr>
          <w:rFonts w:eastAsiaTheme="minorEastAsia"/>
        </w:rPr>
        <w:t>’</w:t>
      </w:r>
      <w:r w:rsidRPr="009E3EDD">
        <w:rPr>
          <w:rFonts w:eastAsiaTheme="minorEastAsia"/>
        </w:rPr>
        <w:t xml:space="preserve">article 6 §§ 1 et 3 d) lors de la procédure pénale à son encontre (voir, en ce sens, </w:t>
      </w:r>
      <w:r w:rsidRPr="009E3EDD">
        <w:rPr>
          <w:rFonts w:eastAsiaTheme="minorEastAsia"/>
          <w:i/>
        </w:rPr>
        <w:t>Kashlev c. Estonie</w:t>
      </w:r>
      <w:r w:rsidRPr="009E3EDD">
        <w:rPr>
          <w:rFonts w:eastAsiaTheme="minorEastAsia"/>
        </w:rPr>
        <w:t>, n</w:t>
      </w:r>
      <w:r w:rsidRPr="009E3EDD">
        <w:rPr>
          <w:rFonts w:eastAsiaTheme="minorEastAsia"/>
          <w:vertAlign w:val="superscript"/>
        </w:rPr>
        <w:t>o</w:t>
      </w:r>
      <w:r w:rsidRPr="009E3EDD">
        <w:rPr>
          <w:rFonts w:eastAsiaTheme="minorEastAsia"/>
        </w:rPr>
        <w:t xml:space="preserve"> 22574/08, § 47, 26 avril 2016). Partant, la Cour examinera le grief du requérant, qui concerne la question du respect du principe de l</w:t>
      </w:r>
      <w:r w:rsidRPr="009E3EDD" w:rsidR="009E3EDD">
        <w:rPr>
          <w:rFonts w:eastAsiaTheme="minorEastAsia"/>
        </w:rPr>
        <w:t>’</w:t>
      </w:r>
      <w:r w:rsidRPr="009E3EDD">
        <w:rPr>
          <w:rFonts w:eastAsiaTheme="minorEastAsia"/>
        </w:rPr>
        <w:t>immédiateté par la cour d</w:t>
      </w:r>
      <w:r w:rsidRPr="009E3EDD" w:rsidR="009E3EDD">
        <w:rPr>
          <w:rFonts w:eastAsiaTheme="minorEastAsia"/>
        </w:rPr>
        <w:t>’</w:t>
      </w:r>
      <w:r w:rsidRPr="009E3EDD">
        <w:rPr>
          <w:rFonts w:eastAsiaTheme="minorEastAsia"/>
        </w:rPr>
        <w:t>appel, uniquement sous l</w:t>
      </w:r>
      <w:r w:rsidRPr="009E3EDD" w:rsidR="009E3EDD">
        <w:rPr>
          <w:rFonts w:eastAsiaTheme="minorEastAsia"/>
        </w:rPr>
        <w:t>’</w:t>
      </w:r>
      <w:r w:rsidRPr="009E3EDD">
        <w:rPr>
          <w:rFonts w:eastAsiaTheme="minorEastAsia"/>
        </w:rPr>
        <w:t>angle de l</w:t>
      </w:r>
      <w:r w:rsidRPr="009E3EDD" w:rsidR="009E3EDD">
        <w:rPr>
          <w:rFonts w:eastAsiaTheme="minorEastAsia"/>
        </w:rPr>
        <w:t>’</w:t>
      </w:r>
      <w:r w:rsidRPr="009E3EDD">
        <w:rPr>
          <w:rFonts w:eastAsiaTheme="minorEastAsia"/>
        </w:rPr>
        <w:t>article 6 § 1 de la Convention.</w:t>
      </w:r>
    </w:p>
    <w:p w:rsidRPr="009E3EDD" w:rsidR="00603614" w:rsidP="009E3EDD" w14:paraId="749D91E7" w14:textId="47160428">
      <w:pPr>
        <w:pStyle w:val="JuPara"/>
        <w:rPr>
          <w:rFonts w:eastAsiaTheme="minorEastAsia"/>
        </w:rPr>
      </w:pPr>
      <w:r w:rsidRPr="009E3EDD">
        <w:rPr>
          <w:rFonts w:eastAsiaTheme="minorEastAsia"/>
        </w:rPr>
        <w:fldChar w:fldCharType="begin"/>
      </w:r>
      <w:r w:rsidRPr="009E3EDD">
        <w:rPr>
          <w:rFonts w:eastAsiaTheme="minorEastAsia"/>
        </w:rPr>
        <w:instrText xml:space="preserve"> SEQ level0 \*arabic \* MERGEFORMAT </w:instrText>
      </w:r>
      <w:r w:rsidRPr="009E3EDD">
        <w:rPr>
          <w:rFonts w:eastAsiaTheme="minorEastAsia"/>
        </w:rPr>
        <w:fldChar w:fldCharType="separate"/>
      </w:r>
      <w:r w:rsidRPr="009E3EDD" w:rsidR="009E3EDD">
        <w:rPr>
          <w:rFonts w:eastAsiaTheme="minorEastAsia"/>
          <w:noProof/>
        </w:rPr>
        <w:t>27</w:t>
      </w:r>
      <w:r w:rsidRPr="009E3EDD">
        <w:rPr>
          <w:rFonts w:eastAsiaTheme="minorEastAsia"/>
        </w:rPr>
        <w:fldChar w:fldCharType="end"/>
      </w:r>
      <w:r w:rsidRPr="009E3EDD">
        <w:rPr>
          <w:rFonts w:eastAsiaTheme="minorEastAsia"/>
        </w:rPr>
        <w:t>.  La Cour relève qu</w:t>
      </w:r>
      <w:r w:rsidRPr="009E3EDD" w:rsidR="009E3EDD">
        <w:rPr>
          <w:rFonts w:eastAsiaTheme="minorEastAsia"/>
        </w:rPr>
        <w:t>’</w:t>
      </w:r>
      <w:r w:rsidRPr="009E3EDD">
        <w:rPr>
          <w:rFonts w:eastAsiaTheme="minorEastAsia"/>
        </w:rPr>
        <w:t>en vertu d</w:t>
      </w:r>
      <w:r w:rsidRPr="009E3EDD" w:rsidR="009E3EDD">
        <w:rPr>
          <w:rFonts w:eastAsiaTheme="minorEastAsia"/>
        </w:rPr>
        <w:t>’</w:t>
      </w:r>
      <w:r w:rsidRPr="009E3EDD">
        <w:rPr>
          <w:rFonts w:eastAsiaTheme="minorEastAsia"/>
        </w:rPr>
        <w:t>un principe de droit généralement admis en matière d</w:t>
      </w:r>
      <w:r w:rsidRPr="009E3EDD" w:rsidR="009E3EDD">
        <w:rPr>
          <w:rFonts w:eastAsiaTheme="minorEastAsia"/>
        </w:rPr>
        <w:t>’</w:t>
      </w:r>
      <w:r w:rsidRPr="009E3EDD">
        <w:rPr>
          <w:rFonts w:eastAsiaTheme="minorEastAsia"/>
        </w:rPr>
        <w:t>appel, et reflété en droit roumain à l</w:t>
      </w:r>
      <w:r w:rsidRPr="009E3EDD" w:rsidR="009E3EDD">
        <w:rPr>
          <w:rFonts w:eastAsiaTheme="minorEastAsia"/>
        </w:rPr>
        <w:t>’</w:t>
      </w:r>
      <w:r w:rsidRPr="009E3EDD">
        <w:rPr>
          <w:rFonts w:eastAsiaTheme="minorEastAsia"/>
        </w:rPr>
        <w:t xml:space="preserve">article 417 § 2 du CPP (paragraphe </w:t>
      </w:r>
      <w:r w:rsidRPr="009E3EDD">
        <w:rPr>
          <w:rFonts w:eastAsiaTheme="minorEastAsia"/>
        </w:rPr>
        <w:fldChar w:fldCharType="begin"/>
      </w:r>
      <w:r w:rsidRPr="009E3EDD">
        <w:rPr>
          <w:rFonts w:eastAsiaTheme="minorEastAsia"/>
        </w:rPr>
        <w:instrText xml:space="preserve"> REF paragraph00017 \h  \* CharFormat </w:instrText>
      </w:r>
      <w:r w:rsidRPr="009E3EDD" w:rsidR="00F25FAD">
        <w:rPr>
          <w:rFonts w:eastAsiaTheme="minorEastAsia"/>
        </w:rPr>
        <w:instrText xml:space="preserve"> \* MERGEFORMAT </w:instrText>
      </w:r>
      <w:r w:rsidRPr="009E3EDD">
        <w:rPr>
          <w:rFonts w:eastAsiaTheme="minorEastAsia"/>
        </w:rPr>
        <w:fldChar w:fldCharType="separate"/>
      </w:r>
      <w:r w:rsidRPr="009E3EDD" w:rsidR="009E3EDD">
        <w:rPr>
          <w:rFonts w:eastAsiaTheme="minorEastAsia"/>
        </w:rPr>
        <w:t>17</w:t>
      </w:r>
      <w:r w:rsidRPr="009E3EDD">
        <w:rPr>
          <w:rFonts w:eastAsiaTheme="minorEastAsia"/>
        </w:rPr>
        <w:fldChar w:fldCharType="end"/>
      </w:r>
      <w:r w:rsidRPr="009E3EDD">
        <w:rPr>
          <w:rFonts w:eastAsiaTheme="minorEastAsia"/>
        </w:rPr>
        <w:t xml:space="preserve"> ci-dessus), la compétence des juridictions saisies par l</w:t>
      </w:r>
      <w:r w:rsidRPr="009E3EDD" w:rsidR="009E3EDD">
        <w:rPr>
          <w:rFonts w:eastAsiaTheme="minorEastAsia"/>
        </w:rPr>
        <w:t>’</w:t>
      </w:r>
      <w:r w:rsidRPr="009E3EDD">
        <w:rPr>
          <w:rFonts w:eastAsiaTheme="minorEastAsia"/>
        </w:rPr>
        <w:t>appel interjeté par le requérant s</w:t>
      </w:r>
      <w:r w:rsidRPr="009E3EDD" w:rsidR="009E3EDD">
        <w:rPr>
          <w:rFonts w:eastAsiaTheme="minorEastAsia"/>
        </w:rPr>
        <w:t>’</w:t>
      </w:r>
      <w:r w:rsidRPr="009E3EDD">
        <w:rPr>
          <w:rFonts w:eastAsiaTheme="minorEastAsia"/>
        </w:rPr>
        <w:t>étendait, de par l</w:t>
      </w:r>
      <w:r w:rsidRPr="009E3EDD" w:rsidR="009E3EDD">
        <w:rPr>
          <w:rFonts w:eastAsiaTheme="minorEastAsia"/>
        </w:rPr>
        <w:t>’</w:t>
      </w:r>
      <w:r w:rsidRPr="009E3EDD">
        <w:rPr>
          <w:rFonts w:eastAsiaTheme="minorEastAsia"/>
        </w:rPr>
        <w:t>effet dévolutif de cette voie de recours, aux questions de fait et de droit, par-delà même les points soulevés par l</w:t>
      </w:r>
      <w:r w:rsidRPr="009E3EDD" w:rsidR="009E3EDD">
        <w:rPr>
          <w:rFonts w:eastAsiaTheme="minorEastAsia"/>
        </w:rPr>
        <w:t>’</w:t>
      </w:r>
      <w:r w:rsidRPr="009E3EDD">
        <w:rPr>
          <w:rFonts w:eastAsiaTheme="minorEastAsia"/>
        </w:rPr>
        <w:t>intéressé. La procédure applicable dans le cadre de l</w:t>
      </w:r>
      <w:r w:rsidRPr="009E3EDD" w:rsidR="009E3EDD">
        <w:rPr>
          <w:rFonts w:eastAsiaTheme="minorEastAsia"/>
        </w:rPr>
        <w:t>’</w:t>
      </w:r>
      <w:r w:rsidRPr="009E3EDD">
        <w:rPr>
          <w:rFonts w:eastAsiaTheme="minorEastAsia"/>
        </w:rPr>
        <w:t>appel était ainsi une procédure complète, qui suivait les mêmes règles qu</w:t>
      </w:r>
      <w:r w:rsidRPr="009E3EDD" w:rsidR="009E3EDD">
        <w:rPr>
          <w:rFonts w:eastAsiaTheme="minorEastAsia"/>
        </w:rPr>
        <w:t>’</w:t>
      </w:r>
      <w:r w:rsidRPr="009E3EDD">
        <w:rPr>
          <w:rFonts w:eastAsiaTheme="minorEastAsia"/>
        </w:rPr>
        <w:t>une procédure au fond, et la juridiction d</w:t>
      </w:r>
      <w:r w:rsidRPr="009E3EDD" w:rsidR="009E3EDD">
        <w:rPr>
          <w:rFonts w:eastAsiaTheme="minorEastAsia"/>
        </w:rPr>
        <w:t>’</w:t>
      </w:r>
      <w:r w:rsidRPr="009E3EDD">
        <w:rPr>
          <w:rFonts w:eastAsiaTheme="minorEastAsia"/>
        </w:rPr>
        <w:t>appel pouvait décider soit de confirmer la relaxe du requérant prononcée par la juridiction inférieure, soit de déclarer celui-ci coupable au terme d</w:t>
      </w:r>
      <w:r w:rsidRPr="009E3EDD" w:rsidR="009E3EDD">
        <w:rPr>
          <w:rFonts w:eastAsiaTheme="minorEastAsia"/>
        </w:rPr>
        <w:t>’</w:t>
      </w:r>
      <w:r w:rsidRPr="009E3EDD">
        <w:rPr>
          <w:rFonts w:eastAsiaTheme="minorEastAsia"/>
        </w:rPr>
        <w:t>une appréciation exhaustive de la question de la culpabilité ou de l</w:t>
      </w:r>
      <w:r w:rsidRPr="009E3EDD" w:rsidR="009E3EDD">
        <w:rPr>
          <w:rFonts w:eastAsiaTheme="minorEastAsia"/>
        </w:rPr>
        <w:t>’</w:t>
      </w:r>
      <w:r w:rsidRPr="009E3EDD">
        <w:rPr>
          <w:rFonts w:eastAsiaTheme="minorEastAsia"/>
        </w:rPr>
        <w:t>innocence de l</w:t>
      </w:r>
      <w:r w:rsidRPr="009E3EDD" w:rsidR="009E3EDD">
        <w:rPr>
          <w:rFonts w:eastAsiaTheme="minorEastAsia"/>
        </w:rPr>
        <w:t>’</w:t>
      </w:r>
      <w:r w:rsidRPr="009E3EDD">
        <w:rPr>
          <w:rFonts w:eastAsiaTheme="minorEastAsia"/>
        </w:rPr>
        <w:t>intéressé, en administrant le cas échéant de nouveaux moyens de preuve.</w:t>
      </w:r>
    </w:p>
    <w:p w:rsidRPr="009E3EDD" w:rsidR="00603614" w:rsidP="009E3EDD" w14:paraId="5BF33AA2" w14:textId="1D955F68">
      <w:pPr>
        <w:pStyle w:val="JuPara"/>
        <w:rPr>
          <w:rFonts w:eastAsiaTheme="minorEastAsia"/>
          <w:lang w:bidi="en-US"/>
        </w:rPr>
      </w:pPr>
      <w:r w:rsidRPr="009E3EDD">
        <w:rPr>
          <w:rFonts w:eastAsiaTheme="minorEastAsia"/>
        </w:rPr>
        <w:fldChar w:fldCharType="begin"/>
      </w:r>
      <w:r w:rsidRPr="009E3EDD">
        <w:rPr>
          <w:rFonts w:eastAsiaTheme="minorEastAsia"/>
        </w:rPr>
        <w:instrText xml:space="preserve"> SEQ level0 \*arabic \* MERGEFORMAT </w:instrText>
      </w:r>
      <w:r w:rsidRPr="009E3EDD">
        <w:rPr>
          <w:rFonts w:eastAsiaTheme="minorEastAsia"/>
        </w:rPr>
        <w:fldChar w:fldCharType="separate"/>
      </w:r>
      <w:r w:rsidRPr="009E3EDD" w:rsidR="009E3EDD">
        <w:rPr>
          <w:rFonts w:eastAsiaTheme="minorEastAsia"/>
          <w:noProof/>
        </w:rPr>
        <w:t>28</w:t>
      </w:r>
      <w:r w:rsidRPr="009E3EDD">
        <w:rPr>
          <w:rFonts w:eastAsiaTheme="minorEastAsia"/>
        </w:rPr>
        <w:fldChar w:fldCharType="end"/>
      </w:r>
      <w:r w:rsidRPr="009E3EDD">
        <w:rPr>
          <w:rFonts w:eastAsiaTheme="minorEastAsia"/>
        </w:rPr>
        <w:t>.  Par ailleurs, la Cour observe, en complément de ce qui précède s</w:t>
      </w:r>
      <w:r w:rsidRPr="009E3EDD" w:rsidR="009E3EDD">
        <w:rPr>
          <w:rFonts w:eastAsiaTheme="minorEastAsia"/>
        </w:rPr>
        <w:t>’</w:t>
      </w:r>
      <w:r w:rsidRPr="009E3EDD">
        <w:rPr>
          <w:rFonts w:eastAsiaTheme="minorEastAsia"/>
        </w:rPr>
        <w:t>agissant du cadre posé par le droit interne, que pour autant que la cour d</w:t>
      </w:r>
      <w:r w:rsidRPr="009E3EDD" w:rsidR="009E3EDD">
        <w:rPr>
          <w:rFonts w:eastAsiaTheme="minorEastAsia"/>
        </w:rPr>
        <w:t>’</w:t>
      </w:r>
      <w:r w:rsidRPr="009E3EDD">
        <w:rPr>
          <w:rFonts w:eastAsiaTheme="minorEastAsia"/>
        </w:rPr>
        <w:t>appel envisageait l</w:t>
      </w:r>
      <w:r w:rsidRPr="009E3EDD" w:rsidR="009E3EDD">
        <w:rPr>
          <w:rFonts w:eastAsiaTheme="minorEastAsia"/>
        </w:rPr>
        <w:t>’</w:t>
      </w:r>
      <w:r w:rsidRPr="009E3EDD">
        <w:rPr>
          <w:rFonts w:eastAsiaTheme="minorEastAsia"/>
        </w:rPr>
        <w:t>annulation du jugement prononcé en première instance et l</w:t>
      </w:r>
      <w:r w:rsidRPr="009E3EDD" w:rsidR="009E3EDD">
        <w:rPr>
          <w:rFonts w:eastAsiaTheme="minorEastAsia"/>
        </w:rPr>
        <w:t>’</w:t>
      </w:r>
      <w:r w:rsidRPr="009E3EDD">
        <w:rPr>
          <w:rFonts w:eastAsiaTheme="minorEastAsia"/>
        </w:rPr>
        <w:t>examen par elle-même de l</w:t>
      </w:r>
      <w:r w:rsidRPr="009E3EDD" w:rsidR="009E3EDD">
        <w:rPr>
          <w:rFonts w:eastAsiaTheme="minorEastAsia"/>
        </w:rPr>
        <w:t>’</w:t>
      </w:r>
      <w:r w:rsidRPr="009E3EDD">
        <w:rPr>
          <w:rFonts w:eastAsiaTheme="minorEastAsia"/>
        </w:rPr>
        <w:t>affaire au fond, sans renvoi de celle-ci pour un réexamen en première instance, l</w:t>
      </w:r>
      <w:r w:rsidRPr="009E3EDD" w:rsidR="009E3EDD">
        <w:rPr>
          <w:rFonts w:eastAsiaTheme="minorEastAsia"/>
        </w:rPr>
        <w:t>’</w:t>
      </w:r>
      <w:r w:rsidRPr="009E3EDD">
        <w:rPr>
          <w:rFonts w:eastAsiaTheme="minorEastAsia"/>
        </w:rPr>
        <w:t>article 421 § 2 a) du CPP, qui était en vigueur à l</w:t>
      </w:r>
      <w:r w:rsidRPr="009E3EDD" w:rsidR="009E3EDD">
        <w:rPr>
          <w:rFonts w:eastAsiaTheme="minorEastAsia"/>
        </w:rPr>
        <w:t>’</w:t>
      </w:r>
      <w:r w:rsidRPr="009E3EDD">
        <w:rPr>
          <w:rFonts w:eastAsiaTheme="minorEastAsia"/>
        </w:rPr>
        <w:t>époque des faits puisque d</w:t>
      </w:r>
      <w:r w:rsidRPr="009E3EDD" w:rsidR="009E3EDD">
        <w:rPr>
          <w:rFonts w:eastAsiaTheme="minorEastAsia"/>
        </w:rPr>
        <w:t>’</w:t>
      </w:r>
      <w:r w:rsidRPr="009E3EDD">
        <w:rPr>
          <w:rFonts w:eastAsiaTheme="minorEastAsia"/>
        </w:rPr>
        <w:t>application immédiate, exigeait expressément qu</w:t>
      </w:r>
      <w:r w:rsidRPr="009E3EDD" w:rsidR="009E3EDD">
        <w:rPr>
          <w:rFonts w:eastAsiaTheme="minorEastAsia"/>
        </w:rPr>
        <w:t>’</w:t>
      </w:r>
      <w:r w:rsidRPr="009E3EDD">
        <w:rPr>
          <w:rFonts w:eastAsiaTheme="minorEastAsia"/>
        </w:rPr>
        <w:t>elle</w:t>
      </w:r>
      <w:r w:rsidRPr="009E3EDD">
        <w:rPr>
          <w:rFonts w:eastAsiaTheme="minorEastAsia"/>
          <w:lang w:bidi="en-US"/>
        </w:rPr>
        <w:t xml:space="preserve"> entendît à nouveau les témoins dont les déclarations fondaient l</w:t>
      </w:r>
      <w:r w:rsidRPr="009E3EDD" w:rsidR="009E3EDD">
        <w:rPr>
          <w:rFonts w:eastAsiaTheme="minorEastAsia"/>
          <w:lang w:bidi="en-US"/>
        </w:rPr>
        <w:t>’</w:t>
      </w:r>
      <w:r w:rsidRPr="009E3EDD">
        <w:rPr>
          <w:rFonts w:eastAsiaTheme="minorEastAsia"/>
          <w:lang w:bidi="en-US"/>
        </w:rPr>
        <w:t xml:space="preserve">acquittement prononcé par le tribunal départemental en premier ressort (paragraphe </w:t>
      </w:r>
      <w:r w:rsidRPr="009E3EDD">
        <w:rPr>
          <w:rFonts w:eastAsiaTheme="minorEastAsia"/>
          <w:lang w:bidi="en-US"/>
        </w:rPr>
        <w:fldChar w:fldCharType="begin"/>
      </w:r>
      <w:r w:rsidRPr="009E3EDD">
        <w:rPr>
          <w:rFonts w:eastAsiaTheme="minorEastAsia"/>
          <w:lang w:bidi="en-US"/>
        </w:rPr>
        <w:instrText xml:space="preserve"> REF paragraph00017 \h  \* CharFormat </w:instrText>
      </w:r>
      <w:r w:rsidRPr="009E3EDD" w:rsidR="00F25FAD">
        <w:rPr>
          <w:rFonts w:eastAsiaTheme="minorEastAsia"/>
          <w:lang w:bidi="en-US"/>
        </w:rPr>
        <w:instrText xml:space="preserve"> \* MERGEFORMAT </w:instrText>
      </w:r>
      <w:r w:rsidRPr="009E3EDD">
        <w:rPr>
          <w:rFonts w:eastAsiaTheme="minorEastAsia"/>
          <w:lang w:bidi="en-US"/>
        </w:rPr>
        <w:fldChar w:fldCharType="separate"/>
      </w:r>
      <w:r w:rsidRPr="009E3EDD" w:rsidR="009E3EDD">
        <w:rPr>
          <w:rFonts w:eastAsiaTheme="minorEastAsia"/>
          <w:lang w:bidi="en-US"/>
        </w:rPr>
        <w:t>17</w:t>
      </w:r>
      <w:r w:rsidRPr="009E3EDD">
        <w:rPr>
          <w:rFonts w:eastAsiaTheme="minorEastAsia"/>
          <w:lang w:bidi="en-US"/>
        </w:rPr>
        <w:fldChar w:fldCharType="end"/>
      </w:r>
      <w:r w:rsidRPr="009E3EDD">
        <w:rPr>
          <w:rFonts w:eastAsiaTheme="minorEastAsia"/>
          <w:lang w:bidi="en-US"/>
        </w:rPr>
        <w:t xml:space="preserve"> ci-dessus).</w:t>
      </w:r>
    </w:p>
    <w:p w:rsidRPr="009E3EDD" w:rsidR="00603614" w:rsidP="009E3EDD" w14:paraId="1D1D5276" w14:textId="6769B980">
      <w:pPr>
        <w:pStyle w:val="JuPara"/>
      </w:pPr>
      <w:r w:rsidRPr="009E3EDD">
        <w:rPr>
          <w:rFonts w:eastAsiaTheme="minorEastAsia"/>
          <w:lang w:bidi="en-US"/>
        </w:rPr>
        <w:fldChar w:fldCharType="begin"/>
      </w:r>
      <w:r w:rsidRPr="009E3EDD">
        <w:rPr>
          <w:rFonts w:eastAsiaTheme="minorEastAsia"/>
          <w:lang w:bidi="en-US"/>
        </w:rPr>
        <w:instrText xml:space="preserve"> SEQ level0 \*arabic \* MERGEFORMAT </w:instrText>
      </w:r>
      <w:r w:rsidRPr="009E3EDD">
        <w:rPr>
          <w:rFonts w:eastAsiaTheme="minorEastAsia"/>
          <w:lang w:bidi="en-US"/>
        </w:rPr>
        <w:fldChar w:fldCharType="separate"/>
      </w:r>
      <w:bookmarkStart w:name="paragraph00029" w:id="22"/>
      <w:r w:rsidRPr="009E3EDD" w:rsidR="009E3EDD">
        <w:rPr>
          <w:rFonts w:eastAsiaTheme="minorEastAsia"/>
          <w:noProof/>
          <w:lang w:bidi="en-US"/>
        </w:rPr>
        <w:t>29</w:t>
      </w:r>
      <w:bookmarkEnd w:id="22"/>
      <w:r w:rsidRPr="009E3EDD">
        <w:rPr>
          <w:rFonts w:eastAsiaTheme="minorEastAsia"/>
          <w:lang w:bidi="en-US"/>
        </w:rPr>
        <w:fldChar w:fldCharType="end"/>
      </w:r>
      <w:r w:rsidRPr="009E3EDD">
        <w:rPr>
          <w:rFonts w:eastAsiaTheme="minorEastAsia"/>
          <w:lang w:bidi="en-US"/>
        </w:rPr>
        <w:t>.  Il n</w:t>
      </w:r>
      <w:r w:rsidRPr="009E3EDD" w:rsidR="009E3EDD">
        <w:rPr>
          <w:rFonts w:eastAsiaTheme="minorEastAsia"/>
          <w:lang w:bidi="en-US"/>
        </w:rPr>
        <w:t>’</w:t>
      </w:r>
      <w:r w:rsidRPr="009E3EDD">
        <w:rPr>
          <w:rFonts w:eastAsiaTheme="minorEastAsia"/>
          <w:lang w:bidi="en-US"/>
        </w:rPr>
        <w:t>est pas contesté en l</w:t>
      </w:r>
      <w:r w:rsidRPr="009E3EDD" w:rsidR="009E3EDD">
        <w:rPr>
          <w:rFonts w:eastAsiaTheme="minorEastAsia"/>
          <w:lang w:bidi="en-US"/>
        </w:rPr>
        <w:t>’</w:t>
      </w:r>
      <w:r w:rsidRPr="009E3EDD">
        <w:rPr>
          <w:rFonts w:eastAsiaTheme="minorEastAsia"/>
          <w:lang w:bidi="en-US"/>
        </w:rPr>
        <w:t>espèce qu</w:t>
      </w:r>
      <w:r w:rsidRPr="009E3EDD" w:rsidR="009E3EDD">
        <w:rPr>
          <w:rFonts w:eastAsiaTheme="minorEastAsia"/>
          <w:lang w:bidi="en-US"/>
        </w:rPr>
        <w:t>’</w:t>
      </w:r>
      <w:r w:rsidRPr="009E3EDD">
        <w:rPr>
          <w:rFonts w:eastAsiaTheme="minorEastAsia"/>
          <w:lang w:bidi="en-US"/>
        </w:rPr>
        <w:t>à l</w:t>
      </w:r>
      <w:r w:rsidRPr="009E3EDD" w:rsidR="009E3EDD">
        <w:rPr>
          <w:rFonts w:eastAsiaTheme="minorEastAsia"/>
          <w:lang w:bidi="en-US"/>
        </w:rPr>
        <w:t>’</w:t>
      </w:r>
      <w:r w:rsidRPr="009E3EDD">
        <w:rPr>
          <w:rFonts w:eastAsiaTheme="minorEastAsia"/>
          <w:lang w:bidi="en-US"/>
        </w:rPr>
        <w:t>audience du 2 novembre 2016, à l</w:t>
      </w:r>
      <w:r w:rsidRPr="009E3EDD" w:rsidR="009E3EDD">
        <w:rPr>
          <w:rFonts w:eastAsiaTheme="minorEastAsia"/>
          <w:lang w:bidi="en-US"/>
        </w:rPr>
        <w:t>’</w:t>
      </w:r>
      <w:r w:rsidRPr="009E3EDD">
        <w:rPr>
          <w:rFonts w:eastAsiaTheme="minorEastAsia"/>
          <w:lang w:bidi="en-US"/>
        </w:rPr>
        <w:t>issue de laquelle la cour d</w:t>
      </w:r>
      <w:r w:rsidRPr="009E3EDD" w:rsidR="009E3EDD">
        <w:rPr>
          <w:rFonts w:eastAsiaTheme="minorEastAsia"/>
          <w:lang w:bidi="en-US"/>
        </w:rPr>
        <w:t>’</w:t>
      </w:r>
      <w:r w:rsidRPr="009E3EDD">
        <w:rPr>
          <w:rFonts w:eastAsiaTheme="minorEastAsia"/>
          <w:lang w:bidi="en-US"/>
        </w:rPr>
        <w:t>appel a rendu un arrêt de condamnation à l</w:t>
      </w:r>
      <w:r w:rsidRPr="009E3EDD" w:rsidR="009E3EDD">
        <w:rPr>
          <w:rFonts w:eastAsiaTheme="minorEastAsia"/>
          <w:lang w:bidi="en-US"/>
        </w:rPr>
        <w:t>’</w:t>
      </w:r>
      <w:r w:rsidRPr="009E3EDD">
        <w:rPr>
          <w:rFonts w:eastAsiaTheme="minorEastAsia"/>
          <w:lang w:bidi="en-US"/>
        </w:rPr>
        <w:t>encontre du requérant, celle-ci siégeait dans une formation modifiée par rapport à celle qui avait recueilli, à l</w:t>
      </w:r>
      <w:r w:rsidRPr="009E3EDD" w:rsidR="009E3EDD">
        <w:rPr>
          <w:rFonts w:eastAsiaTheme="minorEastAsia"/>
          <w:lang w:bidi="en-US"/>
        </w:rPr>
        <w:t>’</w:t>
      </w:r>
      <w:r w:rsidRPr="009E3EDD">
        <w:rPr>
          <w:rFonts w:eastAsiaTheme="minorEastAsia"/>
          <w:lang w:bidi="en-US"/>
        </w:rPr>
        <w:t>audience précédente, tenue le 21</w:t>
      </w:r>
      <w:r w:rsidRPr="009E3EDD" w:rsidR="00014B7C">
        <w:rPr>
          <w:rFonts w:eastAsiaTheme="minorEastAsia"/>
          <w:lang w:bidi="en-US"/>
        </w:rPr>
        <w:t> </w:t>
      </w:r>
      <w:r w:rsidRPr="009E3EDD">
        <w:rPr>
          <w:rFonts w:eastAsiaTheme="minorEastAsia"/>
          <w:lang w:bidi="en-US"/>
        </w:rPr>
        <w:t>septembre 2016, les déclarations des plaignants, à savoir les époux</w:t>
      </w:r>
      <w:r w:rsidRPr="009E3EDD" w:rsidR="00014B7C">
        <w:rPr>
          <w:rFonts w:eastAsiaTheme="minorEastAsia"/>
          <w:lang w:bidi="en-US"/>
        </w:rPr>
        <w:t xml:space="preserve"> </w:t>
      </w:r>
      <w:r w:rsidRPr="009E3EDD">
        <w:rPr>
          <w:rFonts w:eastAsiaTheme="minorEastAsia"/>
          <w:lang w:bidi="en-US"/>
        </w:rPr>
        <w:t>H., et des époux R. En particulier, à l</w:t>
      </w:r>
      <w:r w:rsidRPr="009E3EDD" w:rsidR="009E3EDD">
        <w:rPr>
          <w:rFonts w:eastAsiaTheme="minorEastAsia"/>
          <w:lang w:bidi="en-US"/>
        </w:rPr>
        <w:t>’</w:t>
      </w:r>
      <w:r w:rsidRPr="009E3EDD">
        <w:rPr>
          <w:rFonts w:eastAsiaTheme="minorEastAsia"/>
          <w:lang w:bidi="en-US"/>
        </w:rPr>
        <w:t xml:space="preserve">audience du 21 septembre (paragraphes </w:t>
      </w:r>
      <w:r w:rsidRPr="009E3EDD">
        <w:rPr>
          <w:rFonts w:eastAsiaTheme="minorEastAsia"/>
          <w:lang w:bidi="en-US"/>
        </w:rPr>
        <w:fldChar w:fldCharType="begin"/>
      </w:r>
      <w:r w:rsidRPr="009E3EDD">
        <w:rPr>
          <w:rFonts w:eastAsiaTheme="minorEastAsia"/>
          <w:lang w:bidi="en-US"/>
        </w:rPr>
        <w:instrText xml:space="preserve"> REF paragraph00012 \h  \* CharFormat </w:instrText>
      </w:r>
      <w:r w:rsidRPr="009E3EDD" w:rsidR="00F25FAD">
        <w:rPr>
          <w:rFonts w:eastAsiaTheme="minorEastAsia"/>
          <w:lang w:bidi="en-US"/>
        </w:rPr>
        <w:instrText xml:space="preserve"> \* MERGEFORMAT </w:instrText>
      </w:r>
      <w:r w:rsidRPr="009E3EDD">
        <w:rPr>
          <w:rFonts w:eastAsiaTheme="minorEastAsia"/>
          <w:lang w:bidi="en-US"/>
        </w:rPr>
        <w:fldChar w:fldCharType="separate"/>
      </w:r>
      <w:r w:rsidRPr="009E3EDD" w:rsidR="009E3EDD">
        <w:rPr>
          <w:rFonts w:eastAsiaTheme="minorEastAsia"/>
          <w:lang w:bidi="en-US"/>
        </w:rPr>
        <w:t>12</w:t>
      </w:r>
      <w:r w:rsidRPr="009E3EDD">
        <w:rPr>
          <w:rFonts w:eastAsiaTheme="minorEastAsia"/>
          <w:lang w:bidi="en-US"/>
        </w:rPr>
        <w:fldChar w:fldCharType="end"/>
      </w:r>
      <w:r w:rsidRPr="009E3EDD">
        <w:rPr>
          <w:rFonts w:eastAsiaTheme="minorEastAsia"/>
          <w:lang w:bidi="en-US"/>
        </w:rPr>
        <w:t xml:space="preserve"> et </w:t>
      </w:r>
      <w:r w:rsidRPr="009E3EDD">
        <w:rPr>
          <w:rFonts w:eastAsiaTheme="minorEastAsia"/>
          <w:lang w:bidi="en-US"/>
        </w:rPr>
        <w:fldChar w:fldCharType="begin"/>
      </w:r>
      <w:r w:rsidRPr="009E3EDD">
        <w:rPr>
          <w:rFonts w:eastAsiaTheme="minorEastAsia"/>
          <w:lang w:bidi="en-US"/>
        </w:rPr>
        <w:instrText xml:space="preserve"> REF paragraph00013 \h  \* CharFormat </w:instrText>
      </w:r>
      <w:r w:rsidRPr="009E3EDD" w:rsidR="00F25FAD">
        <w:rPr>
          <w:rFonts w:eastAsiaTheme="minorEastAsia"/>
          <w:lang w:bidi="en-US"/>
        </w:rPr>
        <w:instrText xml:space="preserve"> \* MERGEFORMAT </w:instrText>
      </w:r>
      <w:r w:rsidRPr="009E3EDD">
        <w:rPr>
          <w:rFonts w:eastAsiaTheme="minorEastAsia"/>
          <w:lang w:bidi="en-US"/>
        </w:rPr>
        <w:fldChar w:fldCharType="separate"/>
      </w:r>
      <w:r w:rsidRPr="009E3EDD" w:rsidR="009E3EDD">
        <w:rPr>
          <w:rFonts w:eastAsiaTheme="minorEastAsia"/>
          <w:lang w:bidi="en-US"/>
        </w:rPr>
        <w:t>13</w:t>
      </w:r>
      <w:r w:rsidRPr="009E3EDD">
        <w:rPr>
          <w:rFonts w:eastAsiaTheme="minorEastAsia"/>
          <w:lang w:bidi="en-US"/>
        </w:rPr>
        <w:fldChar w:fldCharType="end"/>
      </w:r>
      <w:r w:rsidRPr="009E3EDD">
        <w:rPr>
          <w:rFonts w:eastAsiaTheme="minorEastAsia"/>
          <w:lang w:bidi="en-US"/>
        </w:rPr>
        <w:t xml:space="preserve"> ci-dessus) la juridiction de recours était composée de E.P. (présidente) et I.F., alors qu</w:t>
      </w:r>
      <w:r w:rsidRPr="009E3EDD" w:rsidR="009E3EDD">
        <w:rPr>
          <w:rFonts w:eastAsiaTheme="minorEastAsia"/>
          <w:lang w:bidi="en-US"/>
        </w:rPr>
        <w:t>’</w:t>
      </w:r>
      <w:r w:rsidRPr="009E3EDD">
        <w:rPr>
          <w:rFonts w:eastAsiaTheme="minorEastAsia"/>
          <w:lang w:bidi="en-US"/>
        </w:rPr>
        <w:t>à l</w:t>
      </w:r>
      <w:r w:rsidRPr="009E3EDD" w:rsidR="009E3EDD">
        <w:rPr>
          <w:rFonts w:eastAsiaTheme="minorEastAsia"/>
          <w:lang w:bidi="en-US"/>
        </w:rPr>
        <w:t>’</w:t>
      </w:r>
      <w:r w:rsidRPr="009E3EDD">
        <w:rPr>
          <w:rFonts w:eastAsiaTheme="minorEastAsia"/>
          <w:lang w:bidi="en-US"/>
        </w:rPr>
        <w:t>audience du 2 novembre à la présidente E.P. s</w:t>
      </w:r>
      <w:r w:rsidRPr="009E3EDD" w:rsidR="009E3EDD">
        <w:rPr>
          <w:rFonts w:eastAsiaTheme="minorEastAsia"/>
          <w:lang w:bidi="en-US"/>
        </w:rPr>
        <w:t>’</w:t>
      </w:r>
      <w:r w:rsidRPr="009E3EDD">
        <w:rPr>
          <w:rFonts w:eastAsiaTheme="minorEastAsia"/>
          <w:lang w:bidi="en-US"/>
        </w:rPr>
        <w:t xml:space="preserve">ajoutait le juge T.G. Ladite condamnation du requérant se fondait, certes, sur un ensemble de preuves, composé des témoignages, des preuves écrites et des enregistrements des conversations téléphoniques de H.S. </w:t>
      </w:r>
      <w:r w:rsidRPr="009E3EDD">
        <w:t>Il n</w:t>
      </w:r>
      <w:r w:rsidRPr="009E3EDD" w:rsidR="009E3EDD">
        <w:t>’</w:t>
      </w:r>
      <w:r w:rsidRPr="009E3EDD">
        <w:t>en demeure pas moins que, d</w:t>
      </w:r>
      <w:r w:rsidRPr="009E3EDD" w:rsidR="009E3EDD">
        <w:t>’</w:t>
      </w:r>
      <w:r w:rsidRPr="009E3EDD">
        <w:t>après le libellé des deux décisions pénales prononcées en l</w:t>
      </w:r>
      <w:r w:rsidRPr="009E3EDD" w:rsidR="009E3EDD">
        <w:t>’</w:t>
      </w:r>
      <w:r w:rsidRPr="009E3EDD">
        <w:t xml:space="preserve">espèce (paragraphes </w:t>
      </w:r>
      <w:r w:rsidRPr="009E3EDD">
        <w:fldChar w:fldCharType="begin"/>
      </w:r>
      <w:r w:rsidRPr="009E3EDD">
        <w:instrText xml:space="preserve"> REF paragraph00008 \h  \* CharFormat </w:instrText>
      </w:r>
      <w:r w:rsidRPr="009E3EDD" w:rsidR="00F25FAD">
        <w:instrText xml:space="preserve"> \* MERGEFORMAT </w:instrText>
      </w:r>
      <w:r w:rsidRPr="009E3EDD">
        <w:fldChar w:fldCharType="separate"/>
      </w:r>
      <w:r w:rsidRPr="009E3EDD" w:rsidR="009E3EDD">
        <w:t>8</w:t>
      </w:r>
      <w:r w:rsidRPr="009E3EDD">
        <w:fldChar w:fldCharType="end"/>
      </w:r>
      <w:r w:rsidRPr="009E3EDD">
        <w:t xml:space="preserve"> et </w:t>
      </w:r>
      <w:r w:rsidRPr="009E3EDD">
        <w:fldChar w:fldCharType="begin"/>
      </w:r>
      <w:r w:rsidRPr="009E3EDD">
        <w:instrText xml:space="preserve"> REF paragraph00014 \h  \* CharFormat </w:instrText>
      </w:r>
      <w:r w:rsidRPr="009E3EDD" w:rsidR="00F25FAD">
        <w:instrText xml:space="preserve"> \* MERGEFORMAT </w:instrText>
      </w:r>
      <w:r w:rsidRPr="009E3EDD">
        <w:fldChar w:fldCharType="separate"/>
      </w:r>
      <w:r w:rsidRPr="009E3EDD" w:rsidR="009E3EDD">
        <w:t>14</w:t>
      </w:r>
      <w:r w:rsidRPr="009E3EDD">
        <w:fldChar w:fldCharType="end"/>
      </w:r>
      <w:r w:rsidRPr="009E3EDD">
        <w:t>-</w:t>
      </w:r>
      <w:r w:rsidRPr="009E3EDD">
        <w:fldChar w:fldCharType="begin"/>
      </w:r>
      <w:r w:rsidRPr="009E3EDD">
        <w:instrText xml:space="preserve"> REF paragraph00015 \h  \* CharFormat </w:instrText>
      </w:r>
      <w:r w:rsidRPr="009E3EDD" w:rsidR="00F25FAD">
        <w:instrText xml:space="preserve"> \* MERGEFORMAT </w:instrText>
      </w:r>
      <w:r w:rsidRPr="009E3EDD">
        <w:fldChar w:fldCharType="separate"/>
      </w:r>
      <w:r w:rsidRPr="009E3EDD" w:rsidR="009E3EDD">
        <w:t>15</w:t>
      </w:r>
      <w:r w:rsidRPr="009E3EDD">
        <w:fldChar w:fldCharType="end"/>
      </w:r>
      <w:r w:rsidRPr="009E3EDD">
        <w:t xml:space="preserve"> ci-dessus), lesdites preuves ne pouvaient à elles seules conduire à la condamnation du requérant, et elles n</w:t>
      </w:r>
      <w:r w:rsidRPr="009E3EDD" w:rsidR="009E3EDD">
        <w:t>’</w:t>
      </w:r>
      <w:r w:rsidRPr="009E3EDD">
        <w:t>étaient utilisées que pour autant qu</w:t>
      </w:r>
      <w:r w:rsidRPr="009E3EDD" w:rsidR="009E3EDD">
        <w:t>’</w:t>
      </w:r>
      <w:r w:rsidRPr="009E3EDD">
        <w:t>elles corroboraient les déclarations directes des époux H., lesquels étaient, à part le requérant, les seuls témoins oculaires de l</w:t>
      </w:r>
      <w:r w:rsidRPr="009E3EDD" w:rsidR="009E3EDD">
        <w:t>’</w:t>
      </w:r>
      <w:r w:rsidRPr="009E3EDD">
        <w:t>acte incriminé. Dans ces conditions, et notant que le tribunal départemental avait exprimé quelques doutes quant à la crédibilité des époux H. (paragraphe</w:t>
      </w:r>
      <w:r w:rsidRPr="009E3EDD" w:rsidR="00014B7C">
        <w:t> </w:t>
      </w:r>
      <w:r w:rsidRPr="009E3EDD">
        <w:fldChar w:fldCharType="begin"/>
      </w:r>
      <w:r w:rsidRPr="009E3EDD">
        <w:instrText xml:space="preserve"> REF paragraph00008 \h  \* CharFormat </w:instrText>
      </w:r>
      <w:r w:rsidRPr="009E3EDD" w:rsidR="00F25FAD">
        <w:instrText xml:space="preserve"> \* MERGEFORMAT </w:instrText>
      </w:r>
      <w:r w:rsidRPr="009E3EDD">
        <w:fldChar w:fldCharType="separate"/>
      </w:r>
      <w:r w:rsidRPr="009E3EDD" w:rsidR="009E3EDD">
        <w:t>8</w:t>
      </w:r>
      <w:r w:rsidRPr="009E3EDD">
        <w:fldChar w:fldCharType="end"/>
      </w:r>
      <w:r w:rsidRPr="009E3EDD">
        <w:t xml:space="preserve"> ci-dessus), la Cour estime que les dépositions des témoins, et tout particulièrement des époux H., étaient très importantes, voire même susceptibles d</w:t>
      </w:r>
      <w:r w:rsidRPr="009E3EDD" w:rsidR="009E3EDD">
        <w:t>’</w:t>
      </w:r>
      <w:r w:rsidRPr="009E3EDD">
        <w:t>emporter la décision sur l</w:t>
      </w:r>
      <w:r w:rsidRPr="009E3EDD" w:rsidR="009E3EDD">
        <w:t>’</w:t>
      </w:r>
      <w:r w:rsidRPr="009E3EDD">
        <w:t xml:space="preserve">affaire (comparer avec </w:t>
      </w:r>
      <w:r w:rsidRPr="009E3EDD">
        <w:rPr>
          <w:i/>
          <w:iCs/>
        </w:rPr>
        <w:t xml:space="preserve">Chiper, </w:t>
      </w:r>
      <w:r w:rsidRPr="009E3EDD">
        <w:t xml:space="preserve">précité, §§ 62 et 64, et </w:t>
      </w:r>
      <w:bookmarkStart w:name="_cl4090ENDROIT" w:id="23"/>
      <w:r w:rsidRPr="009E3EDD">
        <w:rPr>
          <w:i/>
          <w:iCs/>
        </w:rPr>
        <w:t>Dan c. Moldova</w:t>
      </w:r>
      <w:bookmarkEnd w:id="23"/>
      <w:r w:rsidRPr="009E3EDD">
        <w:t>, n</w:t>
      </w:r>
      <w:r w:rsidRPr="009E3EDD">
        <w:rPr>
          <w:vertAlign w:val="superscript"/>
        </w:rPr>
        <w:t>o</w:t>
      </w:r>
      <w:r w:rsidRPr="009E3EDD">
        <w:t xml:space="preserve"> 8999/07, § 31, 5 juillet 2011 ; </w:t>
      </w:r>
      <w:r w:rsidRPr="009E3EDD">
        <w:rPr>
          <w:i/>
          <w:iCs/>
        </w:rPr>
        <w:t>a contrario</w:t>
      </w:r>
      <w:r w:rsidRPr="009E3EDD">
        <w:t xml:space="preserve">, </w:t>
      </w:r>
      <w:bookmarkStart w:name="_cl44432ENDROIT" w:id="24"/>
      <w:r w:rsidRPr="009E3EDD">
        <w:rPr>
          <w:i/>
          <w:iCs/>
        </w:rPr>
        <w:t>Miron</w:t>
      </w:r>
      <w:r w:rsidRPr="009E3EDD">
        <w:t>, précité, § 30)</w:t>
      </w:r>
      <w:bookmarkEnd w:id="24"/>
      <w:r w:rsidRPr="009E3EDD">
        <w:t>. En outre, elle remarque qu</w:t>
      </w:r>
      <w:r w:rsidRPr="009E3EDD" w:rsidR="009E3EDD">
        <w:t>’</w:t>
      </w:r>
      <w:r w:rsidRPr="009E3EDD">
        <w:t>avant de relaxer le requérant, le tribunal départemental avait eu la possibilité d</w:t>
      </w:r>
      <w:r w:rsidRPr="009E3EDD" w:rsidR="009E3EDD">
        <w:t>’</w:t>
      </w:r>
      <w:r w:rsidRPr="009E3EDD">
        <w:t xml:space="preserve">entendre directement, entre autres, les époux R. (paragraphe </w:t>
      </w:r>
      <w:r w:rsidRPr="009E3EDD">
        <w:fldChar w:fldCharType="begin"/>
      </w:r>
      <w:r w:rsidRPr="009E3EDD">
        <w:instrText xml:space="preserve"> REF paragraph00007 \h  \* CharFormat </w:instrText>
      </w:r>
      <w:r w:rsidRPr="009E3EDD" w:rsidR="00F25FAD">
        <w:instrText xml:space="preserve"> \* MERGEFORMAT </w:instrText>
      </w:r>
      <w:r w:rsidRPr="009E3EDD">
        <w:fldChar w:fldCharType="separate"/>
      </w:r>
      <w:r w:rsidRPr="009E3EDD" w:rsidR="009E3EDD">
        <w:t>7</w:t>
      </w:r>
      <w:r w:rsidRPr="009E3EDD">
        <w:fldChar w:fldCharType="end"/>
      </w:r>
      <w:r w:rsidRPr="009E3EDD">
        <w:t xml:space="preserve"> ci-dessus).</w:t>
      </w:r>
    </w:p>
    <w:p w:rsidRPr="009E3EDD" w:rsidR="00603614" w:rsidP="009E3EDD" w14:paraId="08F14B24" w14:textId="2969A9BD">
      <w:pPr>
        <w:pStyle w:val="JuPara"/>
        <w:rPr>
          <w:rFonts w:eastAsiaTheme="minorEastAsia"/>
        </w:rPr>
      </w:pPr>
      <w:r>
        <w:fldChar w:fldCharType="begin"/>
      </w:r>
      <w:r>
        <w:instrText xml:space="preserve"> SEQ level0 \*arabic \* MERGEFORMAT </w:instrText>
      </w:r>
      <w:r>
        <w:fldChar w:fldCharType="separate"/>
      </w:r>
      <w:bookmarkStart w:name="paragraph00030" w:id="25"/>
      <w:r w:rsidRPr="009E3EDD" w:rsidR="009E3EDD">
        <w:rPr>
          <w:noProof/>
        </w:rPr>
        <w:t>30</w:t>
      </w:r>
      <w:bookmarkEnd w:id="25"/>
      <w:r>
        <w:fldChar w:fldCharType="end"/>
      </w:r>
      <w:r w:rsidRPr="009E3EDD">
        <w:t>.  </w:t>
      </w:r>
      <w:r w:rsidRPr="009E3EDD">
        <w:rPr>
          <w:rFonts w:eastAsiaTheme="minorEastAsia"/>
          <w:lang w:bidi="en-US"/>
        </w:rPr>
        <w:t>Pour s</w:t>
      </w:r>
      <w:r w:rsidRPr="009E3EDD" w:rsidR="009E3EDD">
        <w:rPr>
          <w:rFonts w:eastAsiaTheme="minorEastAsia"/>
          <w:lang w:bidi="en-US"/>
        </w:rPr>
        <w:t>’</w:t>
      </w:r>
      <w:r w:rsidRPr="009E3EDD">
        <w:rPr>
          <w:rFonts w:eastAsiaTheme="minorEastAsia"/>
          <w:lang w:bidi="en-US"/>
        </w:rPr>
        <w:t>assurer du respect en l</w:t>
      </w:r>
      <w:r w:rsidRPr="009E3EDD" w:rsidR="009E3EDD">
        <w:rPr>
          <w:rFonts w:eastAsiaTheme="minorEastAsia"/>
          <w:lang w:bidi="en-US"/>
        </w:rPr>
        <w:t>’</w:t>
      </w:r>
      <w:r w:rsidRPr="009E3EDD">
        <w:rPr>
          <w:rFonts w:eastAsiaTheme="minorEastAsia"/>
          <w:lang w:bidi="en-US"/>
        </w:rPr>
        <w:t>espèce des garanties minimales prévues par l</w:t>
      </w:r>
      <w:r w:rsidRPr="009E3EDD" w:rsidR="009E3EDD">
        <w:rPr>
          <w:rFonts w:eastAsiaTheme="minorEastAsia"/>
          <w:lang w:bidi="en-US"/>
        </w:rPr>
        <w:t>’</w:t>
      </w:r>
      <w:r w:rsidRPr="009E3EDD">
        <w:rPr>
          <w:rFonts w:eastAsiaTheme="minorEastAsia"/>
          <w:lang w:bidi="en-US"/>
        </w:rPr>
        <w:t>article 6 § 1 de la Convention, telles que développées par la jurisprudence pertinente concernant le principe de l</w:t>
      </w:r>
      <w:r w:rsidRPr="009E3EDD" w:rsidR="009E3EDD">
        <w:rPr>
          <w:rFonts w:eastAsiaTheme="minorEastAsia"/>
          <w:lang w:bidi="en-US"/>
        </w:rPr>
        <w:t>’</w:t>
      </w:r>
      <w:r w:rsidRPr="009E3EDD">
        <w:rPr>
          <w:rFonts w:eastAsiaTheme="minorEastAsia"/>
          <w:lang w:bidi="en-US"/>
        </w:rPr>
        <w:t xml:space="preserve">immédiateté (paragraphes </w:t>
      </w:r>
      <w:r w:rsidRPr="009E3EDD">
        <w:rPr>
          <w:rFonts w:eastAsiaTheme="minorEastAsia"/>
          <w:lang w:bidi="en-US"/>
        </w:rPr>
        <w:fldChar w:fldCharType="begin"/>
      </w:r>
      <w:r w:rsidRPr="009E3EDD">
        <w:rPr>
          <w:rFonts w:eastAsiaTheme="minorEastAsia"/>
          <w:lang w:bidi="en-US"/>
        </w:rPr>
        <w:instrText xml:space="preserve"> REF paragraph00022 \h  \* CharFormat </w:instrText>
      </w:r>
      <w:r w:rsidRPr="009E3EDD" w:rsidR="00F25FAD">
        <w:rPr>
          <w:rFonts w:eastAsiaTheme="minorEastAsia"/>
          <w:lang w:bidi="en-US"/>
        </w:rPr>
        <w:instrText xml:space="preserve"> \* MERGEFORMAT </w:instrText>
      </w:r>
      <w:r w:rsidRPr="009E3EDD">
        <w:rPr>
          <w:rFonts w:eastAsiaTheme="minorEastAsia"/>
          <w:lang w:bidi="en-US"/>
        </w:rPr>
        <w:fldChar w:fldCharType="separate"/>
      </w:r>
      <w:r w:rsidRPr="009E3EDD" w:rsidR="009E3EDD">
        <w:rPr>
          <w:rFonts w:eastAsiaTheme="minorEastAsia"/>
          <w:lang w:bidi="en-US"/>
        </w:rPr>
        <w:t>22</w:t>
      </w:r>
      <w:r w:rsidRPr="009E3EDD">
        <w:rPr>
          <w:rFonts w:eastAsiaTheme="minorEastAsia"/>
          <w:lang w:bidi="en-US"/>
        </w:rPr>
        <w:fldChar w:fldCharType="end"/>
      </w:r>
      <w:r w:rsidRPr="009E3EDD">
        <w:rPr>
          <w:rFonts w:eastAsiaTheme="minorEastAsia"/>
          <w:lang w:bidi="en-US"/>
        </w:rPr>
        <w:t>-</w:t>
      </w:r>
      <w:r w:rsidRPr="009E3EDD">
        <w:rPr>
          <w:rFonts w:eastAsiaTheme="minorEastAsia"/>
          <w:lang w:bidi="en-US"/>
        </w:rPr>
        <w:fldChar w:fldCharType="begin"/>
      </w:r>
      <w:r w:rsidRPr="009E3EDD">
        <w:rPr>
          <w:rFonts w:eastAsiaTheme="minorEastAsia"/>
          <w:lang w:bidi="en-US"/>
        </w:rPr>
        <w:instrText xml:space="preserve"> REF paragraph00024 \h  \* CharFormat </w:instrText>
      </w:r>
      <w:r w:rsidRPr="009E3EDD" w:rsidR="00F25FAD">
        <w:rPr>
          <w:rFonts w:eastAsiaTheme="minorEastAsia"/>
          <w:lang w:bidi="en-US"/>
        </w:rPr>
        <w:instrText xml:space="preserve"> \* MERGEFORMAT </w:instrText>
      </w:r>
      <w:r w:rsidRPr="009E3EDD">
        <w:rPr>
          <w:rFonts w:eastAsiaTheme="minorEastAsia"/>
          <w:lang w:bidi="en-US"/>
        </w:rPr>
        <w:fldChar w:fldCharType="separate"/>
      </w:r>
      <w:r w:rsidRPr="009E3EDD" w:rsidR="009E3EDD">
        <w:rPr>
          <w:rFonts w:eastAsiaTheme="minorEastAsia"/>
          <w:lang w:bidi="en-US"/>
        </w:rPr>
        <w:t>24</w:t>
      </w:r>
      <w:r w:rsidRPr="009E3EDD">
        <w:rPr>
          <w:rFonts w:eastAsiaTheme="minorEastAsia"/>
          <w:lang w:bidi="en-US"/>
        </w:rPr>
        <w:fldChar w:fldCharType="end"/>
      </w:r>
      <w:r w:rsidRPr="009E3EDD">
        <w:rPr>
          <w:rFonts w:eastAsiaTheme="minorEastAsia"/>
          <w:lang w:bidi="en-US"/>
        </w:rPr>
        <w:t xml:space="preserve"> ci</w:t>
      </w:r>
      <w:r w:rsidRPr="009E3EDD">
        <w:rPr>
          <w:rFonts w:eastAsiaTheme="minorEastAsia"/>
          <w:lang w:bidi="en-US"/>
        </w:rPr>
        <w:noBreakHyphen/>
        <w:t>dessus), la Cour doit examiner si la procédure visant le requérant a été équitable malgré l</w:t>
      </w:r>
      <w:r w:rsidRPr="009E3EDD" w:rsidR="009E3EDD">
        <w:rPr>
          <w:rFonts w:eastAsiaTheme="minorEastAsia"/>
          <w:lang w:bidi="en-US"/>
        </w:rPr>
        <w:t>’</w:t>
      </w:r>
      <w:r w:rsidRPr="009E3EDD">
        <w:rPr>
          <w:rFonts w:eastAsiaTheme="minorEastAsia"/>
          <w:lang w:bidi="en-US"/>
        </w:rPr>
        <w:t>absence d</w:t>
      </w:r>
      <w:r w:rsidRPr="009E3EDD" w:rsidR="009E3EDD">
        <w:rPr>
          <w:rFonts w:eastAsiaTheme="minorEastAsia"/>
          <w:lang w:bidi="en-US"/>
        </w:rPr>
        <w:t>’</w:t>
      </w:r>
      <w:r w:rsidRPr="009E3EDD">
        <w:rPr>
          <w:rFonts w:eastAsiaTheme="minorEastAsia"/>
          <w:lang w:bidi="en-US"/>
        </w:rPr>
        <w:t>audition directe des époux H. et des époux R., soit des « témoins importants » au sens de cette jurisprudence, par le juge T.G., lequel a rejoint la présidente E.P. pour compléter la formation judiciaire de la cour d</w:t>
      </w:r>
      <w:r w:rsidRPr="009E3EDD" w:rsidR="009E3EDD">
        <w:rPr>
          <w:rFonts w:eastAsiaTheme="minorEastAsia"/>
          <w:lang w:bidi="en-US"/>
        </w:rPr>
        <w:t>’</w:t>
      </w:r>
      <w:r w:rsidRPr="009E3EDD">
        <w:rPr>
          <w:rFonts w:eastAsiaTheme="minorEastAsia"/>
          <w:lang w:bidi="en-US"/>
        </w:rPr>
        <w:t xml:space="preserve">appel le 2 novembre 2016 (paragraphe </w:t>
      </w:r>
      <w:r w:rsidRPr="009E3EDD">
        <w:rPr>
          <w:rFonts w:eastAsiaTheme="minorEastAsia"/>
          <w:lang w:bidi="en-US"/>
        </w:rPr>
        <w:fldChar w:fldCharType="begin"/>
      </w:r>
      <w:r w:rsidRPr="009E3EDD">
        <w:rPr>
          <w:rFonts w:eastAsiaTheme="minorEastAsia"/>
          <w:lang w:bidi="en-US"/>
        </w:rPr>
        <w:instrText xml:space="preserve"> REF paragraph00029 \h  \* CharFormat </w:instrText>
      </w:r>
      <w:r w:rsidRPr="009E3EDD" w:rsidR="00F25FAD">
        <w:rPr>
          <w:rFonts w:eastAsiaTheme="minorEastAsia"/>
          <w:lang w:bidi="en-US"/>
        </w:rPr>
        <w:instrText xml:space="preserve"> \* MERGEFORMAT </w:instrText>
      </w:r>
      <w:r w:rsidRPr="009E3EDD">
        <w:rPr>
          <w:rFonts w:eastAsiaTheme="minorEastAsia"/>
          <w:lang w:bidi="en-US"/>
        </w:rPr>
        <w:fldChar w:fldCharType="separate"/>
      </w:r>
      <w:r w:rsidRPr="009E3EDD" w:rsidR="009E3EDD">
        <w:rPr>
          <w:rFonts w:eastAsiaTheme="minorEastAsia"/>
          <w:lang w:bidi="en-US"/>
        </w:rPr>
        <w:t>29</w:t>
      </w:r>
      <w:r w:rsidRPr="009E3EDD">
        <w:rPr>
          <w:rFonts w:eastAsiaTheme="minorEastAsia"/>
          <w:lang w:bidi="en-US"/>
        </w:rPr>
        <w:fldChar w:fldCharType="end"/>
      </w:r>
      <w:r w:rsidRPr="009E3EDD">
        <w:rPr>
          <w:rFonts w:eastAsiaTheme="minorEastAsia"/>
          <w:lang w:bidi="en-US"/>
        </w:rPr>
        <w:t xml:space="preserve"> ci-dessus).</w:t>
      </w:r>
    </w:p>
    <w:p w:rsidRPr="009E3EDD" w:rsidR="00603614" w:rsidP="009E3EDD" w14:paraId="2BDC687D" w14:textId="6E806C68">
      <w:pPr>
        <w:pStyle w:val="JuPara"/>
      </w:pPr>
      <w:r>
        <w:fldChar w:fldCharType="begin"/>
      </w:r>
      <w:r>
        <w:instrText xml:space="preserve"> SEQ level0 \*arabic \* MERGEFORMAT </w:instrText>
      </w:r>
      <w:r>
        <w:fldChar w:fldCharType="separate"/>
      </w:r>
      <w:r w:rsidRPr="009E3EDD" w:rsidR="009E3EDD">
        <w:rPr>
          <w:noProof/>
        </w:rPr>
        <w:t>31</w:t>
      </w:r>
      <w:r w:rsidRPr="009E3EDD" w:rsidR="009E3EDD">
        <w:rPr>
          <w:noProof/>
        </w:rPr>
        <w:fldChar w:fldCharType="end"/>
      </w:r>
      <w:r w:rsidRPr="009E3EDD">
        <w:t>.  La Cour ne saurait suivre le Gouvernement lorsqu</w:t>
      </w:r>
      <w:r w:rsidRPr="009E3EDD" w:rsidR="009E3EDD">
        <w:t>’</w:t>
      </w:r>
      <w:r w:rsidRPr="009E3EDD">
        <w:t>il entend faire valoir que, à la différence de l</w:t>
      </w:r>
      <w:r w:rsidRPr="009E3EDD" w:rsidR="009E3EDD">
        <w:t>’</w:t>
      </w:r>
      <w:r w:rsidRPr="009E3EDD">
        <w:t xml:space="preserve">affaire </w:t>
      </w:r>
      <w:r w:rsidRPr="009E3EDD">
        <w:rPr>
          <w:i/>
          <w:iCs/>
        </w:rPr>
        <w:t>Cutean</w:t>
      </w:r>
      <w:r w:rsidRPr="009E3EDD">
        <w:t>,</w:t>
      </w:r>
      <w:r w:rsidRPr="009E3EDD">
        <w:rPr>
          <w:i/>
          <w:iCs/>
        </w:rPr>
        <w:t xml:space="preserve"> </w:t>
      </w:r>
      <w:r w:rsidRPr="009E3EDD">
        <w:t>précitée, la crédibilité des témoins en l</w:t>
      </w:r>
      <w:r w:rsidRPr="009E3EDD" w:rsidR="009E3EDD">
        <w:t>’</w:t>
      </w:r>
      <w:r w:rsidRPr="009E3EDD">
        <w:t>espèce n</w:t>
      </w:r>
      <w:r w:rsidRPr="009E3EDD" w:rsidR="009E3EDD">
        <w:t>’</w:t>
      </w:r>
      <w:r w:rsidRPr="009E3EDD">
        <w:t>avait pas été mise en cause par l</w:t>
      </w:r>
      <w:r w:rsidRPr="009E3EDD" w:rsidR="009E3EDD">
        <w:t>’</w:t>
      </w:r>
      <w:r w:rsidRPr="009E3EDD">
        <w:t>avocat du requérant, que ce soit au début de la procédure d</w:t>
      </w:r>
      <w:r w:rsidRPr="009E3EDD" w:rsidR="009E3EDD">
        <w:t>’</w:t>
      </w:r>
      <w:r w:rsidRPr="009E3EDD">
        <w:t>appel ou au cours de l</w:t>
      </w:r>
      <w:r w:rsidRPr="009E3EDD" w:rsidR="009E3EDD">
        <w:t>’</w:t>
      </w:r>
      <w:r w:rsidRPr="009E3EDD">
        <w:t>audience du 2</w:t>
      </w:r>
      <w:r w:rsidRPr="009E3EDD" w:rsidR="00014B7C">
        <w:t> </w:t>
      </w:r>
      <w:r w:rsidRPr="009E3EDD">
        <w:t xml:space="preserve">novembre 2016 (paragraphe </w:t>
      </w:r>
      <w:r w:rsidRPr="009E3EDD">
        <w:fldChar w:fldCharType="begin"/>
      </w:r>
      <w:r w:rsidRPr="009E3EDD">
        <w:instrText xml:space="preserve"> REF paragraph00021 \h  \* CharFormat </w:instrText>
      </w:r>
      <w:r w:rsidRPr="009E3EDD" w:rsidR="00F25FAD">
        <w:instrText xml:space="preserve"> \* MERGEFORMAT </w:instrText>
      </w:r>
      <w:r w:rsidRPr="009E3EDD">
        <w:fldChar w:fldCharType="separate"/>
      </w:r>
      <w:r w:rsidRPr="009E3EDD" w:rsidR="009E3EDD">
        <w:t>21</w:t>
      </w:r>
      <w:r w:rsidRPr="009E3EDD">
        <w:fldChar w:fldCharType="end"/>
      </w:r>
      <w:r w:rsidRPr="009E3EDD">
        <w:t xml:space="preserve"> </w:t>
      </w:r>
      <w:r w:rsidRPr="009E3EDD">
        <w:rPr>
          <w:i/>
          <w:iCs/>
        </w:rPr>
        <w:t>in fine</w:t>
      </w:r>
      <w:r w:rsidRPr="009E3EDD">
        <w:t xml:space="preserve"> ci-dessus). Certes, lors de l</w:t>
      </w:r>
      <w:r w:rsidRPr="009E3EDD" w:rsidR="009E3EDD">
        <w:t>’</w:t>
      </w:r>
      <w:r w:rsidRPr="009E3EDD">
        <w:t>audience du 8 juin 2016 sur l</w:t>
      </w:r>
      <w:r w:rsidRPr="009E3EDD" w:rsidR="009E3EDD">
        <w:t>’</w:t>
      </w:r>
      <w:r w:rsidRPr="009E3EDD">
        <w:t>administration des preuves, l</w:t>
      </w:r>
      <w:r w:rsidRPr="009E3EDD" w:rsidR="009E3EDD">
        <w:t>’</w:t>
      </w:r>
      <w:r w:rsidRPr="009E3EDD">
        <w:t>avocat du requérant a estimé qu</w:t>
      </w:r>
      <w:r w:rsidRPr="009E3EDD" w:rsidR="009E3EDD">
        <w:t>’</w:t>
      </w:r>
      <w:r w:rsidRPr="009E3EDD">
        <w:t>une audition des témoins par la cour d</w:t>
      </w:r>
      <w:r w:rsidRPr="009E3EDD" w:rsidR="009E3EDD">
        <w:t>’</w:t>
      </w:r>
      <w:r w:rsidRPr="009E3EDD">
        <w:t>appel était inutile, rappelant d</w:t>
      </w:r>
      <w:r w:rsidRPr="009E3EDD" w:rsidR="009E3EDD">
        <w:t>’</w:t>
      </w:r>
      <w:r w:rsidRPr="009E3EDD">
        <w:t>ailleurs également, à cet égard, l</w:t>
      </w:r>
      <w:r w:rsidRPr="009E3EDD" w:rsidR="009E3EDD">
        <w:t>’</w:t>
      </w:r>
      <w:r w:rsidRPr="009E3EDD">
        <w:t>impossibilité qui avait été celle des autorités d</w:t>
      </w:r>
      <w:r w:rsidRPr="009E3EDD" w:rsidR="009E3EDD">
        <w:t>’</w:t>
      </w:r>
      <w:r w:rsidRPr="009E3EDD">
        <w:t>assurer la présence des époux H. en première instance (paragraphe</w:t>
      </w:r>
      <w:r w:rsidRPr="009E3EDD" w:rsidR="00014B7C">
        <w:t> </w:t>
      </w:r>
      <w:r w:rsidRPr="009E3EDD">
        <w:fldChar w:fldCharType="begin"/>
      </w:r>
      <w:r w:rsidRPr="009E3EDD">
        <w:instrText xml:space="preserve"> REF paragraph00010 \h  \* CharFormat </w:instrText>
      </w:r>
      <w:r w:rsidRPr="009E3EDD" w:rsidR="00F25FAD">
        <w:instrText xml:space="preserve"> \* MERGEFORMAT </w:instrText>
      </w:r>
      <w:r w:rsidRPr="009E3EDD">
        <w:fldChar w:fldCharType="separate"/>
      </w:r>
      <w:r w:rsidRPr="009E3EDD" w:rsidR="009E3EDD">
        <w:t>10</w:t>
      </w:r>
      <w:r w:rsidRPr="009E3EDD">
        <w:fldChar w:fldCharType="end"/>
      </w:r>
      <w:r w:rsidRPr="009E3EDD">
        <w:t xml:space="preserve"> ci-dessus). Toutefois, il échet de constater que, nonobstant la position défendue par l</w:t>
      </w:r>
      <w:r w:rsidRPr="009E3EDD" w:rsidR="009E3EDD">
        <w:t>’</w:t>
      </w:r>
      <w:r w:rsidRPr="009E3EDD">
        <w:t>avocat, la cour d</w:t>
      </w:r>
      <w:r w:rsidRPr="009E3EDD" w:rsidR="009E3EDD">
        <w:t>’</w:t>
      </w:r>
      <w:r w:rsidRPr="009E3EDD">
        <w:t>appel, et en particulier le juge T.G., qui faisait partie de la formation de jugement, a décidé d</w:t>
      </w:r>
      <w:r w:rsidRPr="009E3EDD" w:rsidR="009E3EDD">
        <w:t>’</w:t>
      </w:r>
      <w:r w:rsidRPr="009E3EDD">
        <w:t>entendre les époux H., les époux R. et F.D. comme témoins, se fondant sur ce point sur l</w:t>
      </w:r>
      <w:r w:rsidRPr="009E3EDD" w:rsidR="009E3EDD">
        <w:t>’</w:t>
      </w:r>
      <w:r w:rsidRPr="009E3EDD">
        <w:t xml:space="preserve">article 421 § 2 a) du CPP (paragraphe </w:t>
      </w:r>
      <w:r w:rsidRPr="009E3EDD">
        <w:fldChar w:fldCharType="begin"/>
      </w:r>
      <w:r w:rsidRPr="009E3EDD">
        <w:instrText xml:space="preserve"> REF paragraph00011 \h  \* CharFormat </w:instrText>
      </w:r>
      <w:r w:rsidRPr="009E3EDD" w:rsidR="00F25FAD">
        <w:instrText xml:space="preserve"> \* MERGEFORMAT </w:instrText>
      </w:r>
      <w:r w:rsidRPr="009E3EDD">
        <w:fldChar w:fldCharType="separate"/>
      </w:r>
      <w:r w:rsidRPr="009E3EDD" w:rsidR="009E3EDD">
        <w:t>11</w:t>
      </w:r>
      <w:r w:rsidRPr="009E3EDD">
        <w:fldChar w:fldCharType="end"/>
      </w:r>
      <w:r w:rsidRPr="009E3EDD">
        <w:t xml:space="preserve"> ci-dessus).</w:t>
      </w:r>
    </w:p>
    <w:p w:rsidRPr="009E3EDD" w:rsidR="00603614" w:rsidP="009E3EDD" w14:paraId="41A15708" w14:textId="0DF15768">
      <w:pPr>
        <w:pStyle w:val="JuPara"/>
      </w:pPr>
      <w:r>
        <w:fldChar w:fldCharType="begin"/>
      </w:r>
      <w:r>
        <w:instrText xml:space="preserve"> SEQ level0 \*arabic \* MERGEFORMAT </w:instrText>
      </w:r>
      <w:r>
        <w:fldChar w:fldCharType="separate"/>
      </w:r>
      <w:bookmarkStart w:name="paragraph00032" w:id="26"/>
      <w:r w:rsidRPr="009E3EDD" w:rsidR="009E3EDD">
        <w:rPr>
          <w:noProof/>
        </w:rPr>
        <w:t>32</w:t>
      </w:r>
      <w:bookmarkEnd w:id="26"/>
      <w:r>
        <w:fldChar w:fldCharType="end"/>
      </w:r>
      <w:r w:rsidRPr="009E3EDD">
        <w:t>.  Observant en outre que la crédibilité des témoignages des époux H. a été mise en question tant par le tribunal départemental dans son jugement de relaxe que, par la suite, par l</w:t>
      </w:r>
      <w:r w:rsidRPr="009E3EDD" w:rsidR="009E3EDD">
        <w:t>’</w:t>
      </w:r>
      <w:r w:rsidRPr="009E3EDD">
        <w:t xml:space="preserve">avocat du requérant lui-même lors des débats du 2 novembre 2016 (paragraphes </w:t>
      </w:r>
      <w:r w:rsidRPr="009E3EDD">
        <w:fldChar w:fldCharType="begin"/>
      </w:r>
      <w:r w:rsidRPr="009E3EDD">
        <w:instrText xml:space="preserve"> REF paragraph00008 \h  \* CharFormat </w:instrText>
      </w:r>
      <w:r w:rsidRPr="009E3EDD" w:rsidR="00F25FAD">
        <w:instrText xml:space="preserve"> \* MERGEFORMAT </w:instrText>
      </w:r>
      <w:r w:rsidRPr="009E3EDD">
        <w:fldChar w:fldCharType="separate"/>
      </w:r>
      <w:r w:rsidRPr="009E3EDD" w:rsidR="009E3EDD">
        <w:t>8</w:t>
      </w:r>
      <w:r w:rsidRPr="009E3EDD">
        <w:fldChar w:fldCharType="end"/>
      </w:r>
      <w:r w:rsidRPr="009E3EDD">
        <w:t xml:space="preserve"> </w:t>
      </w:r>
      <w:r w:rsidRPr="009E3EDD">
        <w:rPr>
          <w:i/>
          <w:iCs/>
        </w:rPr>
        <w:t>in fine</w:t>
      </w:r>
      <w:r w:rsidRPr="009E3EDD">
        <w:t xml:space="preserve"> et </w:t>
      </w:r>
      <w:r w:rsidRPr="009E3EDD">
        <w:fldChar w:fldCharType="begin"/>
      </w:r>
      <w:r w:rsidRPr="009E3EDD">
        <w:instrText xml:space="preserve"> REF paragraph00013 \h  \* CharFormat </w:instrText>
      </w:r>
      <w:r w:rsidRPr="009E3EDD" w:rsidR="00F25FAD">
        <w:instrText xml:space="preserve"> \* MERGEFORMAT </w:instrText>
      </w:r>
      <w:r w:rsidRPr="009E3EDD">
        <w:fldChar w:fldCharType="separate"/>
      </w:r>
      <w:r w:rsidRPr="009E3EDD" w:rsidR="009E3EDD">
        <w:t>13</w:t>
      </w:r>
      <w:r w:rsidRPr="009E3EDD">
        <w:fldChar w:fldCharType="end"/>
      </w:r>
      <w:r w:rsidRPr="009E3EDD">
        <w:t xml:space="preserve"> ci-dessus), la Cour considère qu</w:t>
      </w:r>
      <w:r w:rsidRPr="009E3EDD" w:rsidR="009E3EDD">
        <w:t>’</w:t>
      </w:r>
      <w:r w:rsidRPr="009E3EDD">
        <w:t>il ne peut être conclu qu</w:t>
      </w:r>
      <w:r w:rsidRPr="009E3EDD" w:rsidR="009E3EDD">
        <w:t>’</w:t>
      </w:r>
      <w:r w:rsidRPr="009E3EDD">
        <w:t>en l</w:t>
      </w:r>
      <w:r w:rsidRPr="009E3EDD" w:rsidR="009E3EDD">
        <w:t>’</w:t>
      </w:r>
      <w:r w:rsidRPr="009E3EDD">
        <w:t>espèce la crédibilité desdits plaignants n</w:t>
      </w:r>
      <w:r w:rsidRPr="009E3EDD" w:rsidR="009E3EDD">
        <w:t>’</w:t>
      </w:r>
      <w:r w:rsidRPr="009E3EDD">
        <w:t>était pas mise en doute. Partant, la mise à disposition des transcriptions des auditions auprès des membres de la formation de jugement de la cour d</w:t>
      </w:r>
      <w:r w:rsidRPr="009E3EDD" w:rsidR="009E3EDD">
        <w:t>’</w:t>
      </w:r>
      <w:r w:rsidRPr="009E3EDD">
        <w:t>appel qui ont condamné le requérant n</w:t>
      </w:r>
      <w:r w:rsidRPr="009E3EDD" w:rsidR="009E3EDD">
        <w:t>’</w:t>
      </w:r>
      <w:r w:rsidRPr="009E3EDD">
        <w:t xml:space="preserve">était pas suffisante au regard des exigences de la jurisprudence de la Cour (voir, </w:t>
      </w:r>
      <w:r w:rsidRPr="009E3EDD">
        <w:rPr>
          <w:i/>
          <w:iCs/>
        </w:rPr>
        <w:t>a contrario</w:t>
      </w:r>
      <w:r w:rsidRPr="009E3EDD">
        <w:t>,</w:t>
      </w:r>
      <w:r w:rsidRPr="009E3EDD">
        <w:rPr>
          <w:i/>
          <w:iCs/>
        </w:rPr>
        <w:t xml:space="preserve"> P.K. c.</w:t>
      </w:r>
      <w:r w:rsidRPr="009E3EDD" w:rsidR="001D5F52">
        <w:rPr>
          <w:i/>
          <w:iCs/>
        </w:rPr>
        <w:t xml:space="preserve"> </w:t>
      </w:r>
      <w:r w:rsidRPr="009E3EDD">
        <w:rPr>
          <w:i/>
          <w:iCs/>
        </w:rPr>
        <w:t>Finlande</w:t>
      </w:r>
      <w:r w:rsidRPr="009E3EDD">
        <w:t>, décision précitée). Par ailleurs, si l</w:t>
      </w:r>
      <w:r w:rsidRPr="009E3EDD" w:rsidR="009E3EDD">
        <w:t>’</w:t>
      </w:r>
      <w:r w:rsidRPr="009E3EDD">
        <w:t>avocat du requérant aurait pu effectivement soulever lesdites contradictions figurant dans les témoignages avant l</w:t>
      </w:r>
      <w:r w:rsidRPr="009E3EDD" w:rsidR="009E3EDD">
        <w:t>’</w:t>
      </w:r>
      <w:r w:rsidRPr="009E3EDD">
        <w:t>ouverture des débats le 2 novembre 2016, la Cour rappelle que dans ce type d</w:t>
      </w:r>
      <w:r w:rsidRPr="009E3EDD" w:rsidR="009E3EDD">
        <w:t>’</w:t>
      </w:r>
      <w:r w:rsidRPr="009E3EDD">
        <w:t>affaire, et pour autant qu</w:t>
      </w:r>
      <w:r w:rsidRPr="009E3EDD" w:rsidR="009E3EDD">
        <w:t>’</w:t>
      </w:r>
      <w:r w:rsidRPr="009E3EDD">
        <w:t>une condamnation était envisagée après la relaxe initiale, la cour d</w:t>
      </w:r>
      <w:r w:rsidRPr="009E3EDD" w:rsidR="009E3EDD">
        <w:t>’</w:t>
      </w:r>
      <w:r w:rsidRPr="009E3EDD">
        <w:t>appel était tenue au titre des obligations découlant de la Convention de prendre d</w:t>
      </w:r>
      <w:r w:rsidRPr="009E3EDD" w:rsidR="009E3EDD">
        <w:t>’</w:t>
      </w:r>
      <w:r w:rsidRPr="009E3EDD">
        <w:t>office des mesures pour entendre directement les témoins pertinents en vue de juger de la culpabilité ou de l</w:t>
      </w:r>
      <w:r w:rsidRPr="009E3EDD" w:rsidR="009E3EDD">
        <w:t>’</w:t>
      </w:r>
      <w:r w:rsidRPr="009E3EDD">
        <w:t>innocence du requérant, ce nonobstant l</w:t>
      </w:r>
      <w:r w:rsidRPr="009E3EDD" w:rsidR="009E3EDD">
        <w:t>’</w:t>
      </w:r>
      <w:r w:rsidRPr="009E3EDD">
        <w:t>absence de sollicitation expresse de la part de l</w:t>
      </w:r>
      <w:r w:rsidRPr="009E3EDD" w:rsidR="009E3EDD">
        <w:t>’</w:t>
      </w:r>
      <w:r w:rsidRPr="009E3EDD">
        <w:t xml:space="preserve">avocat en question (voir la jurisprudence citée au paragraphe </w:t>
      </w:r>
      <w:r w:rsidRPr="009E3EDD">
        <w:fldChar w:fldCharType="begin"/>
      </w:r>
      <w:r w:rsidRPr="009E3EDD">
        <w:instrText xml:space="preserve"> REF paragraph00024 \h  \* CharFormat </w:instrText>
      </w:r>
      <w:r w:rsidRPr="009E3EDD" w:rsidR="00F25FAD">
        <w:instrText xml:space="preserve"> \* MERGEFORMAT </w:instrText>
      </w:r>
      <w:r w:rsidRPr="009E3EDD">
        <w:fldChar w:fldCharType="separate"/>
      </w:r>
      <w:r w:rsidRPr="009E3EDD" w:rsidR="009E3EDD">
        <w:t>24</w:t>
      </w:r>
      <w:r w:rsidRPr="009E3EDD">
        <w:fldChar w:fldCharType="end"/>
      </w:r>
      <w:r w:rsidRPr="009E3EDD">
        <w:t xml:space="preserve"> ci</w:t>
      </w:r>
      <w:r w:rsidRPr="009E3EDD">
        <w:noBreakHyphen/>
        <w:t xml:space="preserve">dessus ; comparer avec </w:t>
      </w:r>
      <w:r w:rsidRPr="009E3EDD">
        <w:rPr>
          <w:i/>
          <w:iCs/>
        </w:rPr>
        <w:t>Miron</w:t>
      </w:r>
      <w:r w:rsidRPr="009E3EDD">
        <w:t>, précité, §§ 31-34). L</w:t>
      </w:r>
      <w:r w:rsidRPr="009E3EDD" w:rsidR="009E3EDD">
        <w:t>’</w:t>
      </w:r>
      <w:r w:rsidRPr="009E3EDD">
        <w:t>article 421 § 2 a) du CPP va dans le même sens et la Cour relève, de plus, que dans son arrêt définitif du 2</w:t>
      </w:r>
      <w:r w:rsidRPr="009E3EDD" w:rsidR="00C644A9">
        <w:t> </w:t>
      </w:r>
      <w:r w:rsidRPr="009E3EDD">
        <w:t>novembre 2016, la cour d</w:t>
      </w:r>
      <w:r w:rsidRPr="009E3EDD" w:rsidR="009E3EDD">
        <w:t>’</w:t>
      </w:r>
      <w:r w:rsidRPr="009E3EDD">
        <w:t>appel a pris soin de souligner qu</w:t>
      </w:r>
      <w:r w:rsidRPr="009E3EDD" w:rsidR="009E3EDD">
        <w:t>’</w:t>
      </w:r>
      <w:r w:rsidRPr="009E3EDD">
        <w:t xml:space="preserve">elle avait entendu directement les personnes appelées à témoigner en appel (paragraphes </w:t>
      </w:r>
      <w:r w:rsidRPr="009E3EDD">
        <w:fldChar w:fldCharType="begin"/>
      </w:r>
      <w:r w:rsidRPr="009E3EDD">
        <w:instrText xml:space="preserve"> REF paragraph00015 \h  \* CharFormat </w:instrText>
      </w:r>
      <w:r w:rsidRPr="009E3EDD" w:rsidR="00F25FAD">
        <w:instrText xml:space="preserve"> \* MERGEFORMAT </w:instrText>
      </w:r>
      <w:r w:rsidRPr="009E3EDD">
        <w:fldChar w:fldCharType="separate"/>
      </w:r>
      <w:r w:rsidRPr="009E3EDD" w:rsidR="009E3EDD">
        <w:t>15</w:t>
      </w:r>
      <w:r w:rsidRPr="009E3EDD">
        <w:fldChar w:fldCharType="end"/>
      </w:r>
      <w:r w:rsidRPr="009E3EDD">
        <w:t xml:space="preserve"> et </w:t>
      </w:r>
      <w:r w:rsidRPr="009E3EDD">
        <w:fldChar w:fldCharType="begin"/>
      </w:r>
      <w:r w:rsidRPr="009E3EDD">
        <w:instrText xml:space="preserve"> REF paragraph00017 \h  \* CharFormat </w:instrText>
      </w:r>
      <w:r w:rsidRPr="009E3EDD" w:rsidR="00F25FAD">
        <w:instrText xml:space="preserve"> \* MERGEFORMAT </w:instrText>
      </w:r>
      <w:r w:rsidRPr="009E3EDD">
        <w:fldChar w:fldCharType="separate"/>
      </w:r>
      <w:r w:rsidRPr="009E3EDD" w:rsidR="009E3EDD">
        <w:t>17</w:t>
      </w:r>
      <w:r w:rsidRPr="009E3EDD">
        <w:fldChar w:fldCharType="end"/>
      </w:r>
      <w:r w:rsidRPr="009E3EDD">
        <w:t xml:space="preserve"> ci-dessus). De l</w:t>
      </w:r>
      <w:r w:rsidRPr="009E3EDD" w:rsidR="009E3EDD">
        <w:t>’</w:t>
      </w:r>
      <w:r w:rsidRPr="009E3EDD">
        <w:t>avis de la Cour, ceci démontre l</w:t>
      </w:r>
      <w:r w:rsidRPr="009E3EDD" w:rsidR="009E3EDD">
        <w:t>’</w:t>
      </w:r>
      <w:r w:rsidRPr="009E3EDD">
        <w:t>importance que l</w:t>
      </w:r>
      <w:r w:rsidRPr="009E3EDD" w:rsidR="009E3EDD">
        <w:t>’</w:t>
      </w:r>
      <w:r w:rsidRPr="009E3EDD">
        <w:t>audition directe desdits témoins revêtait pour la cour d</w:t>
      </w:r>
      <w:r w:rsidRPr="009E3EDD" w:rsidR="009E3EDD">
        <w:t>’</w:t>
      </w:r>
      <w:r w:rsidRPr="009E3EDD">
        <w:t>appel, même si celle-ci n</w:t>
      </w:r>
      <w:r w:rsidRPr="009E3EDD" w:rsidR="009E3EDD">
        <w:t>’</w:t>
      </w:r>
      <w:r w:rsidRPr="009E3EDD">
        <w:t>a pas tenu compte du changement intervenu dans la dernière composition de sa formation de jugement et de l</w:t>
      </w:r>
      <w:r w:rsidRPr="009E3EDD" w:rsidR="009E3EDD">
        <w:t>’</w:t>
      </w:r>
      <w:r w:rsidRPr="009E3EDD">
        <w:t>effet de celui-ci sur le respect du principe de l</w:t>
      </w:r>
      <w:r w:rsidRPr="009E3EDD" w:rsidR="009E3EDD">
        <w:t>’</w:t>
      </w:r>
      <w:r w:rsidRPr="009E3EDD">
        <w:t>immédiateté.</w:t>
      </w:r>
    </w:p>
    <w:p w:rsidRPr="009E3EDD" w:rsidR="00603614" w:rsidP="009E3EDD" w14:paraId="65949CA7" w14:textId="23E509CF">
      <w:pPr>
        <w:pStyle w:val="JuPara"/>
      </w:pPr>
      <w:r>
        <w:fldChar w:fldCharType="begin"/>
      </w:r>
      <w:r>
        <w:instrText xml:space="preserve"> SEQ level0 \*arabic \* MERGEFORMAT </w:instrText>
      </w:r>
      <w:r>
        <w:fldChar w:fldCharType="separate"/>
      </w:r>
      <w:bookmarkStart w:name="paragraph00033" w:id="27"/>
      <w:r w:rsidRPr="009E3EDD" w:rsidR="009E3EDD">
        <w:rPr>
          <w:noProof/>
        </w:rPr>
        <w:t>33</w:t>
      </w:r>
      <w:bookmarkEnd w:id="27"/>
      <w:r>
        <w:fldChar w:fldCharType="end"/>
      </w:r>
      <w:r w:rsidRPr="009E3EDD">
        <w:t xml:space="preserve">.  Il est vrai, enfin, que, comme le remarque le Gouvernement (paragraphe </w:t>
      </w:r>
      <w:r w:rsidRPr="009E3EDD">
        <w:fldChar w:fldCharType="begin"/>
      </w:r>
      <w:r w:rsidRPr="009E3EDD">
        <w:instrText xml:space="preserve"> REF paragraph00021 \h  \* CharFormat </w:instrText>
      </w:r>
      <w:r w:rsidRPr="009E3EDD" w:rsidR="00F25FAD">
        <w:instrText xml:space="preserve"> \* MERGEFORMAT </w:instrText>
      </w:r>
      <w:r w:rsidRPr="009E3EDD">
        <w:fldChar w:fldCharType="separate"/>
      </w:r>
      <w:r w:rsidRPr="009E3EDD" w:rsidR="009E3EDD">
        <w:t>21</w:t>
      </w:r>
      <w:r w:rsidRPr="009E3EDD">
        <w:fldChar w:fldCharType="end"/>
      </w:r>
      <w:r w:rsidRPr="009E3EDD">
        <w:t xml:space="preserve"> ci-dessus), dans la présente cause et à la différence de l</w:t>
      </w:r>
      <w:r w:rsidRPr="009E3EDD" w:rsidR="009E3EDD">
        <w:t>’</w:t>
      </w:r>
      <w:r w:rsidRPr="009E3EDD">
        <w:t xml:space="preserve">affaire </w:t>
      </w:r>
      <w:r w:rsidRPr="009E3EDD">
        <w:rPr>
          <w:i/>
          <w:iCs/>
        </w:rPr>
        <w:t>Cutean</w:t>
      </w:r>
      <w:r w:rsidRPr="009E3EDD">
        <w:t>, précitée, seul un juge, en l</w:t>
      </w:r>
      <w:r w:rsidRPr="009E3EDD" w:rsidR="009E3EDD">
        <w:t>’</w:t>
      </w:r>
      <w:r w:rsidRPr="009E3EDD">
        <w:t>occurrence T.G., a entendu directement un seul des témoins pertinents au sujet de l</w:t>
      </w:r>
      <w:r w:rsidRPr="009E3EDD" w:rsidR="009E3EDD">
        <w:t>’</w:t>
      </w:r>
      <w:r w:rsidRPr="009E3EDD">
        <w:t xml:space="preserve">acte incriminé, à savoir F.D., et pas les autres (paragraphe </w:t>
      </w:r>
      <w:r w:rsidRPr="009E3EDD">
        <w:fldChar w:fldCharType="begin"/>
      </w:r>
      <w:r w:rsidRPr="009E3EDD">
        <w:instrText xml:space="preserve"> REF paragraph00013 \h  \* CharFormat </w:instrText>
      </w:r>
      <w:r w:rsidRPr="009E3EDD" w:rsidR="00F25FAD">
        <w:instrText xml:space="preserve"> \* MERGEFORMAT </w:instrText>
      </w:r>
      <w:r w:rsidRPr="009E3EDD">
        <w:fldChar w:fldCharType="separate"/>
      </w:r>
      <w:r w:rsidRPr="009E3EDD" w:rsidR="009E3EDD">
        <w:t>13</w:t>
      </w:r>
      <w:r w:rsidRPr="009E3EDD">
        <w:fldChar w:fldCharType="end"/>
      </w:r>
      <w:r w:rsidRPr="009E3EDD">
        <w:t xml:space="preserve"> ci-dessus). L</w:t>
      </w:r>
      <w:r w:rsidRPr="009E3EDD" w:rsidR="009E3EDD">
        <w:t>’</w:t>
      </w:r>
      <w:r w:rsidRPr="009E3EDD">
        <w:t>autre juge de la formation de jugement ayant rendu l</w:t>
      </w:r>
      <w:r w:rsidRPr="009E3EDD" w:rsidR="009E3EDD">
        <w:t>’</w:t>
      </w:r>
      <w:r w:rsidRPr="009E3EDD">
        <w:t>arrêt définitif du 2</w:t>
      </w:r>
      <w:r w:rsidRPr="009E3EDD" w:rsidR="001D5F52">
        <w:t xml:space="preserve"> </w:t>
      </w:r>
      <w:r w:rsidRPr="009E3EDD">
        <w:t xml:space="preserve">novembre 2016, la présidente E.P., a interrogé tous les témoins en question (paragraphes </w:t>
      </w:r>
      <w:r w:rsidRPr="009E3EDD">
        <w:fldChar w:fldCharType="begin"/>
      </w:r>
      <w:r w:rsidRPr="009E3EDD">
        <w:instrText xml:space="preserve"> REF paragraph00012 \h  \* CharFormat </w:instrText>
      </w:r>
      <w:r w:rsidRPr="009E3EDD" w:rsidR="00F25FAD">
        <w:instrText xml:space="preserve"> \* MERGEFORMAT </w:instrText>
      </w:r>
      <w:r w:rsidRPr="009E3EDD">
        <w:fldChar w:fldCharType="separate"/>
      </w:r>
      <w:r w:rsidRPr="009E3EDD" w:rsidR="009E3EDD">
        <w:t>12</w:t>
      </w:r>
      <w:r w:rsidRPr="009E3EDD">
        <w:fldChar w:fldCharType="end"/>
      </w:r>
      <w:r w:rsidRPr="009E3EDD">
        <w:t xml:space="preserve"> et </w:t>
      </w:r>
      <w:r w:rsidRPr="009E3EDD">
        <w:fldChar w:fldCharType="begin"/>
      </w:r>
      <w:r w:rsidRPr="009E3EDD">
        <w:instrText xml:space="preserve"> REF paragraph00013 \h  \* CharFormat </w:instrText>
      </w:r>
      <w:r w:rsidRPr="009E3EDD" w:rsidR="00F25FAD">
        <w:instrText xml:space="preserve"> \* MERGEFORMAT </w:instrText>
      </w:r>
      <w:r w:rsidRPr="009E3EDD">
        <w:fldChar w:fldCharType="separate"/>
      </w:r>
      <w:r w:rsidRPr="009E3EDD" w:rsidR="009E3EDD">
        <w:t>13</w:t>
      </w:r>
      <w:r w:rsidRPr="009E3EDD">
        <w:fldChar w:fldCharType="end"/>
      </w:r>
      <w:r w:rsidRPr="009E3EDD">
        <w:t xml:space="preserve"> ci-dessus). La Cour estime toutefois que la présente espèce diffère de celles dans lesquelles elle a conclu au respect de l</w:t>
      </w:r>
      <w:r w:rsidRPr="009E3EDD" w:rsidR="009E3EDD">
        <w:t>’</w:t>
      </w:r>
      <w:r w:rsidRPr="009E3EDD">
        <w:t>équité de la procédure en retenant que le juge qui n</w:t>
      </w:r>
      <w:r w:rsidRPr="009E3EDD" w:rsidR="009E3EDD">
        <w:t>’</w:t>
      </w:r>
      <w:r w:rsidRPr="009E3EDD">
        <w:t>avait pas entendu directement les témoignages litigieux était le seul d</w:t>
      </w:r>
      <w:r w:rsidRPr="009E3EDD" w:rsidR="009E3EDD">
        <w:t>’</w:t>
      </w:r>
      <w:r w:rsidRPr="009E3EDD">
        <w:t>une formation collégiale beaucoup plus large à se trouver dans cette situation (</w:t>
      </w:r>
      <w:r w:rsidRPr="009E3EDD">
        <w:rPr>
          <w:i/>
          <w:iCs/>
        </w:rPr>
        <w:t>P.K. c. Finlande</w:t>
      </w:r>
      <w:r w:rsidRPr="009E3EDD">
        <w:t>, décision précitée</w:t>
      </w:r>
      <w:bookmarkStart w:name="_cl6844ENDROIT" w:id="28"/>
      <w:r w:rsidRPr="009E3EDD">
        <w:t xml:space="preserve">, où il y avait une formation de jugement de quatre membres ; </w:t>
      </w:r>
      <w:r w:rsidRPr="009E3EDD">
        <w:rPr>
          <w:i/>
          <w:iCs/>
        </w:rPr>
        <w:t>Graviano c. Italie</w:t>
      </w:r>
      <w:bookmarkEnd w:id="28"/>
      <w:r w:rsidRPr="009E3EDD">
        <w:t>, n</w:t>
      </w:r>
      <w:r w:rsidRPr="009E3EDD">
        <w:rPr>
          <w:vertAlign w:val="superscript"/>
        </w:rPr>
        <w:t>o</w:t>
      </w:r>
      <w:r w:rsidRPr="009E3EDD" w:rsidR="001D5F52">
        <w:t xml:space="preserve"> </w:t>
      </w:r>
      <w:r w:rsidRPr="009E3EDD">
        <w:t xml:space="preserve">10075/02, §§ 39-40, 10 février 2005, formation de jugement de huit membres ; et </w:t>
      </w:r>
      <w:r w:rsidRPr="009E3EDD">
        <w:rPr>
          <w:i/>
          <w:iCs/>
        </w:rPr>
        <w:t>Škaro</w:t>
      </w:r>
      <w:r w:rsidRPr="009E3EDD">
        <w:t>, précité, §§ 29-31, formation de jugement de cinq membres). En l</w:t>
      </w:r>
      <w:r w:rsidRPr="009E3EDD" w:rsidR="009E3EDD">
        <w:t>’</w:t>
      </w:r>
      <w:r w:rsidRPr="009E3EDD">
        <w:t>espèce, T.G. était membre d</w:t>
      </w:r>
      <w:r w:rsidRPr="009E3EDD" w:rsidR="009E3EDD">
        <w:t>’</w:t>
      </w:r>
      <w:r w:rsidRPr="009E3EDD">
        <w:t>une formation collégiale de deux juges dont la décision ne pouvait être adoptée qu</w:t>
      </w:r>
      <w:r w:rsidRPr="009E3EDD" w:rsidR="009E3EDD">
        <w:t>’</w:t>
      </w:r>
      <w:r w:rsidRPr="009E3EDD">
        <w:t>à l</w:t>
      </w:r>
      <w:r w:rsidRPr="009E3EDD" w:rsidR="009E3EDD">
        <w:t>’</w:t>
      </w:r>
      <w:r w:rsidRPr="009E3EDD">
        <w:t>unanimité, de sorte que le respect du principe de l</w:t>
      </w:r>
      <w:r w:rsidRPr="009E3EDD" w:rsidR="009E3EDD">
        <w:t>’</w:t>
      </w:r>
      <w:r w:rsidRPr="009E3EDD">
        <w:t>immédiateté par l</w:t>
      </w:r>
      <w:r w:rsidRPr="009E3EDD" w:rsidR="009E3EDD">
        <w:t>’</w:t>
      </w:r>
      <w:r w:rsidRPr="009E3EDD">
        <w:t>autre juge E.P. ne saurait compenser l</w:t>
      </w:r>
      <w:r w:rsidRPr="009E3EDD" w:rsidR="009E3EDD">
        <w:t>’</w:t>
      </w:r>
      <w:r w:rsidRPr="009E3EDD">
        <w:t>absence du juge T.G. lors de l</w:t>
      </w:r>
      <w:r w:rsidRPr="009E3EDD" w:rsidR="009E3EDD">
        <w:t>’</w:t>
      </w:r>
      <w:r w:rsidRPr="009E3EDD">
        <w:t>audition de tous les témoins excepté le témoin indirect F.D.</w:t>
      </w:r>
    </w:p>
    <w:p w:rsidRPr="009E3EDD" w:rsidR="00603614" w:rsidP="009E3EDD" w14:paraId="114AAF34" w14:textId="5485B5AA">
      <w:pPr>
        <w:pStyle w:val="JuPara"/>
        <w:rPr>
          <w:rFonts w:ascii="Times New Roman" w:hAnsi="Times New Roman" w:cs="Times New Roman"/>
        </w:rPr>
      </w:pPr>
      <w:r w:rsidRPr="009E3EDD">
        <w:fldChar w:fldCharType="begin"/>
      </w:r>
      <w:r w:rsidRPr="009E3EDD">
        <w:instrText xml:space="preserve"> SEQ level0 \*arabic</w:instrText>
      </w:r>
      <w:r w:rsidRPr="009E3EDD">
        <w:instrText xml:space="preserve"> \* MERGEFORMAT </w:instrText>
      </w:r>
      <w:r w:rsidRPr="009E3EDD">
        <w:fldChar w:fldCharType="separate"/>
      </w:r>
      <w:r w:rsidRPr="009E3EDD">
        <w:rPr>
          <w:noProof/>
        </w:rPr>
        <w:t>34</w:t>
      </w:r>
      <w:r w:rsidRPr="009E3EDD">
        <w:rPr>
          <w:noProof/>
        </w:rPr>
        <w:fldChar w:fldCharType="end"/>
      </w:r>
      <w:r w:rsidRPr="009E3EDD">
        <w:t>.  Eu égard aux considérations qui précèdent, la Cour est d</w:t>
      </w:r>
      <w:r w:rsidRPr="009E3EDD">
        <w:t>’</w:t>
      </w:r>
      <w:r w:rsidRPr="009E3EDD">
        <w:t>avis que la cour d</w:t>
      </w:r>
      <w:r w:rsidRPr="009E3EDD">
        <w:t>’</w:t>
      </w:r>
      <w:r w:rsidRPr="009E3EDD">
        <w:t>appel</w:t>
      </w:r>
      <w:r w:rsidRPr="009E3EDD">
        <w:rPr>
          <w:rFonts w:eastAsiaTheme="minorEastAsia"/>
          <w:szCs w:val="22"/>
        </w:rPr>
        <w:t xml:space="preserve"> s</w:t>
      </w:r>
      <w:r w:rsidRPr="009E3EDD">
        <w:rPr>
          <w:rFonts w:eastAsiaTheme="minorEastAsia"/>
          <w:szCs w:val="22"/>
        </w:rPr>
        <w:t>’</w:t>
      </w:r>
      <w:r w:rsidRPr="009E3EDD">
        <w:rPr>
          <w:rFonts w:eastAsiaTheme="minorEastAsia"/>
          <w:szCs w:val="22"/>
        </w:rPr>
        <w:t>est en l</w:t>
      </w:r>
      <w:r w:rsidRPr="009E3EDD">
        <w:rPr>
          <w:rFonts w:eastAsiaTheme="minorEastAsia"/>
          <w:szCs w:val="22"/>
        </w:rPr>
        <w:t>’</w:t>
      </w:r>
      <w:r w:rsidRPr="009E3EDD">
        <w:rPr>
          <w:rFonts w:eastAsiaTheme="minorEastAsia"/>
          <w:szCs w:val="22"/>
        </w:rPr>
        <w:t>espèce bel et bien livrée, dans son arrêt du 2 novembre 2016, à une nouvelle interprétation des témoignages, qui constituaient des éléments de preuves déterminants, sans que l</w:t>
      </w:r>
      <w:r w:rsidRPr="009E3EDD">
        <w:rPr>
          <w:rFonts w:eastAsiaTheme="minorEastAsia"/>
          <w:szCs w:val="22"/>
        </w:rPr>
        <w:t>’</w:t>
      </w:r>
      <w:r w:rsidRPr="009E3EDD">
        <w:rPr>
          <w:rFonts w:eastAsiaTheme="minorEastAsia"/>
          <w:szCs w:val="22"/>
        </w:rPr>
        <w:t>ensemble des deux juges de la formation de jugement n</w:t>
      </w:r>
      <w:r w:rsidRPr="009E3EDD">
        <w:rPr>
          <w:rFonts w:eastAsiaTheme="minorEastAsia"/>
          <w:szCs w:val="22"/>
        </w:rPr>
        <w:t>’</w:t>
      </w:r>
      <w:r w:rsidRPr="009E3EDD">
        <w:rPr>
          <w:rFonts w:eastAsiaTheme="minorEastAsia"/>
          <w:szCs w:val="22"/>
        </w:rPr>
        <w:t>aient entendu directement les témoins en question (comparer</w:t>
      </w:r>
      <w:r w:rsidRPr="009E3EDD">
        <w:t xml:space="preserve"> avec</w:t>
      </w:r>
      <w:r w:rsidRPr="009E3EDD">
        <w:rPr>
          <w:i/>
          <w:iCs/>
        </w:rPr>
        <w:t xml:space="preserve"> Chiper</w:t>
      </w:r>
      <w:r w:rsidRPr="009E3EDD">
        <w:t>, précité, §§ 62-70), ce qui est contraire aux exigences d</w:t>
      </w:r>
      <w:r w:rsidRPr="009E3EDD">
        <w:t>’</w:t>
      </w:r>
      <w:r w:rsidRPr="009E3EDD">
        <w:t>un procès équitable au sens de l</w:t>
      </w:r>
      <w:r w:rsidRPr="009E3EDD">
        <w:t>’</w:t>
      </w:r>
      <w:r w:rsidRPr="009E3EDD">
        <w:t>article 6 § 1 de la Convention.</w:t>
      </w:r>
    </w:p>
    <w:p w:rsidRPr="009E3EDD" w:rsidR="00603614" w:rsidP="009E3EDD" w14:paraId="79300D04" w14:textId="796975A6">
      <w:pPr>
        <w:pStyle w:val="JuPara"/>
        <w:rPr>
          <w:rFonts w:eastAsiaTheme="minorEastAsia"/>
        </w:rPr>
      </w:pPr>
      <w:r w:rsidRPr="009E3EDD">
        <w:rPr>
          <w:rFonts w:eastAsiaTheme="minorEastAsia"/>
        </w:rPr>
        <w:fldChar w:fldCharType="begin"/>
      </w:r>
      <w:r w:rsidRPr="009E3EDD">
        <w:rPr>
          <w:rFonts w:eastAsiaTheme="minorEastAsia"/>
        </w:rPr>
        <w:instrText xml:space="preserve"> SEQ level0 \*arabic \* MERGEFORMAT </w:instrText>
      </w:r>
      <w:r w:rsidRPr="009E3EDD">
        <w:rPr>
          <w:rFonts w:eastAsiaTheme="minorEastAsia"/>
        </w:rPr>
        <w:fldChar w:fldCharType="separate"/>
      </w:r>
      <w:r w:rsidRPr="009E3EDD" w:rsidR="009E3EDD">
        <w:rPr>
          <w:rFonts w:eastAsiaTheme="minorEastAsia"/>
          <w:noProof/>
        </w:rPr>
        <w:t>35</w:t>
      </w:r>
      <w:r w:rsidRPr="009E3EDD">
        <w:rPr>
          <w:rFonts w:eastAsiaTheme="minorEastAsia"/>
        </w:rPr>
        <w:fldChar w:fldCharType="end"/>
      </w:r>
      <w:r w:rsidRPr="009E3EDD">
        <w:rPr>
          <w:rFonts w:eastAsiaTheme="minorEastAsia"/>
        </w:rPr>
        <w:t>.  Partant, il y a eu violation de cette disposition.</w:t>
      </w:r>
    </w:p>
    <w:p w:rsidRPr="009E3EDD" w:rsidR="00603614" w:rsidP="009E3EDD" w14:paraId="43705C52" w14:textId="46D9E276">
      <w:pPr>
        <w:pStyle w:val="JuHIRoman"/>
      </w:pPr>
      <w:r w:rsidRPr="009E3EDD">
        <w:t>SUR L</w:t>
      </w:r>
      <w:r w:rsidRPr="009E3EDD" w:rsidR="009E3EDD">
        <w:t>’</w:t>
      </w:r>
      <w:r w:rsidRPr="009E3EDD">
        <w:t>APPLICATION DE L</w:t>
      </w:r>
      <w:r w:rsidRPr="009E3EDD" w:rsidR="009E3EDD">
        <w:t>’</w:t>
      </w:r>
      <w:r w:rsidRPr="009E3EDD">
        <w:t>ARTICLE 41 DE LA CONVENTION</w:t>
      </w:r>
    </w:p>
    <w:p w:rsidRPr="009E3EDD" w:rsidR="00603614" w:rsidP="009E3EDD" w14:paraId="48929805" w14:textId="15CF48C9">
      <w:pPr>
        <w:pStyle w:val="JuPara"/>
      </w:pPr>
      <w:r w:rsidRPr="009E3EDD">
        <w:fldChar w:fldCharType="begin"/>
      </w:r>
      <w:r w:rsidRPr="009E3EDD">
        <w:instrText xml:space="preserve"> SEQ level0 \*arabic \* MERGEFORMAT </w:instrText>
      </w:r>
      <w:r w:rsidRPr="009E3EDD">
        <w:fldChar w:fldCharType="separate"/>
      </w:r>
      <w:r w:rsidRPr="009E3EDD">
        <w:rPr>
          <w:noProof/>
        </w:rPr>
        <w:t>36</w:t>
      </w:r>
      <w:r w:rsidRPr="009E3EDD">
        <w:rPr>
          <w:noProof/>
        </w:rPr>
        <w:fldChar w:fldCharType="end"/>
      </w:r>
      <w:r w:rsidRPr="009E3EDD">
        <w:t>.  Aux termes de l</w:t>
      </w:r>
      <w:r w:rsidRPr="009E3EDD">
        <w:t>’</w:t>
      </w:r>
      <w:r w:rsidRPr="009E3EDD">
        <w:t>article 41 de la Convention :</w:t>
      </w:r>
    </w:p>
    <w:p w:rsidRPr="009E3EDD" w:rsidR="00603614" w:rsidP="009E3EDD" w14:paraId="3ADED6AD" w14:textId="6343C2EB">
      <w:pPr>
        <w:pStyle w:val="JuQuot"/>
      </w:pPr>
      <w:r w:rsidRPr="009E3EDD">
        <w:t>« Si la Cour déclare qu</w:t>
      </w:r>
      <w:r w:rsidRPr="009E3EDD" w:rsidR="009E3EDD">
        <w:t>’</w:t>
      </w:r>
      <w:r w:rsidRPr="009E3EDD">
        <w:t>il y a eu violation de la Convention ou de ses Protocoles, et si le droit interne de la Haute Partie contractante ne permet d</w:t>
      </w:r>
      <w:r w:rsidRPr="009E3EDD" w:rsidR="009E3EDD">
        <w:t>’</w:t>
      </w:r>
      <w:r w:rsidRPr="009E3EDD">
        <w:t>effacer qu</w:t>
      </w:r>
      <w:r w:rsidRPr="009E3EDD" w:rsidR="009E3EDD">
        <w:t>’</w:t>
      </w:r>
      <w:r w:rsidRPr="009E3EDD">
        <w:t>imparfaitement les conséquences de cette violation, la Cour accorde à la partie lésée, s</w:t>
      </w:r>
      <w:r w:rsidRPr="009E3EDD" w:rsidR="009E3EDD">
        <w:t>’</w:t>
      </w:r>
      <w:r w:rsidRPr="009E3EDD">
        <w:t>il y a lieu, une satisfaction équitable. »</w:t>
      </w:r>
    </w:p>
    <w:p w:rsidRPr="009E3EDD" w:rsidR="00603614" w:rsidP="009E3EDD" w14:paraId="11DE830B" w14:textId="77777777">
      <w:pPr>
        <w:pStyle w:val="JuHA"/>
      </w:pPr>
      <w:r w:rsidRPr="009E3EDD">
        <w:t>Dommage</w:t>
      </w:r>
    </w:p>
    <w:p w:rsidRPr="009E3EDD" w:rsidR="00603614" w:rsidP="009E3EDD" w14:paraId="2055E875" w14:textId="7EF8709C">
      <w:pPr>
        <w:pStyle w:val="JuPara"/>
      </w:pPr>
      <w:r>
        <w:fldChar w:fldCharType="begin"/>
      </w:r>
      <w:r>
        <w:instrText xml:space="preserve"> SEQ level0 \*arabic \* MERGEFORMAT </w:instrText>
      </w:r>
      <w:r>
        <w:fldChar w:fldCharType="separate"/>
      </w:r>
      <w:r w:rsidRPr="009E3EDD" w:rsidR="009E3EDD">
        <w:rPr>
          <w:noProof/>
        </w:rPr>
        <w:t>37</w:t>
      </w:r>
      <w:r w:rsidRPr="009E3EDD" w:rsidR="009E3EDD">
        <w:rPr>
          <w:noProof/>
        </w:rPr>
        <w:fldChar w:fldCharType="end"/>
      </w:r>
      <w:r w:rsidRPr="009E3EDD">
        <w:t>.  Le requérant demande 305 euros (EUR) pour dommage matériel, correspondant à des paiements versés au ministère des Finances publiques, et 7</w:t>
      </w:r>
      <w:r w:rsidRPr="009E3EDD" w:rsidR="001D5F52">
        <w:t> </w:t>
      </w:r>
      <w:r w:rsidRPr="009E3EDD">
        <w:t>500</w:t>
      </w:r>
      <w:r w:rsidRPr="009E3EDD" w:rsidR="001D5F52">
        <w:t> </w:t>
      </w:r>
      <w:r w:rsidRPr="009E3EDD">
        <w:t>EUR au titre du préjudice moral qu</w:t>
      </w:r>
      <w:r w:rsidRPr="009E3EDD" w:rsidR="009E3EDD">
        <w:t>’</w:t>
      </w:r>
      <w:r w:rsidRPr="009E3EDD">
        <w:t>il dit avoir subi en raison de la violation de l</w:t>
      </w:r>
      <w:r w:rsidRPr="009E3EDD" w:rsidR="009E3EDD">
        <w:t>’</w:t>
      </w:r>
      <w:r w:rsidRPr="009E3EDD">
        <w:t>article 6 de la Convention.</w:t>
      </w:r>
    </w:p>
    <w:p w:rsidRPr="009E3EDD" w:rsidR="00603614" w:rsidP="009E3EDD" w14:paraId="1AC39178" w14:textId="76A2322B">
      <w:pPr>
        <w:pStyle w:val="JuPara"/>
      </w:pPr>
      <w:r>
        <w:fldChar w:fldCharType="begin"/>
      </w:r>
      <w:r>
        <w:instrText xml:space="preserve"> SEQ level0 \*arabic \* MERGEFORMAT </w:instrText>
      </w:r>
      <w:r>
        <w:fldChar w:fldCharType="separate"/>
      </w:r>
      <w:r w:rsidRPr="009E3EDD" w:rsidR="009E3EDD">
        <w:rPr>
          <w:noProof/>
        </w:rPr>
        <w:t>38</w:t>
      </w:r>
      <w:r w:rsidRPr="009E3EDD" w:rsidR="009E3EDD">
        <w:rPr>
          <w:noProof/>
        </w:rPr>
        <w:fldChar w:fldCharType="end"/>
      </w:r>
      <w:r w:rsidRPr="009E3EDD">
        <w:t>.  Le Gouvernement considère que la demande du requérant pour dommage matériel est dépourvue de fondement. Pour ce qui est du dommage moral, il estime, renvoyant à cet égard à des exemples de jurisprudence de la Cour, que le constat de violation constitue en soi une satisfaction équitable suffisante. En outre, le montant sollicité est, selon lui, excessif.</w:t>
      </w:r>
    </w:p>
    <w:p w:rsidRPr="009E3EDD" w:rsidR="00603614" w:rsidP="009E3EDD" w14:paraId="5BB06E93" w14:textId="7DDE1065">
      <w:pPr>
        <w:pStyle w:val="JuPara"/>
        <w:rPr>
          <w:rFonts w:eastAsiaTheme="minorEastAsia"/>
          <w:szCs w:val="22"/>
        </w:rPr>
      </w:pPr>
      <w:r>
        <w:fldChar w:fldCharType="begin"/>
      </w:r>
      <w:r>
        <w:instrText xml:space="preserve"> SEQ level0 \*arabic \* MERGEFORMAT </w:instrText>
      </w:r>
      <w:r>
        <w:fldChar w:fldCharType="separate"/>
      </w:r>
      <w:r w:rsidRPr="009E3EDD" w:rsidR="009E3EDD">
        <w:rPr>
          <w:noProof/>
        </w:rPr>
        <w:t>39</w:t>
      </w:r>
      <w:r w:rsidRPr="009E3EDD" w:rsidR="009E3EDD">
        <w:rPr>
          <w:noProof/>
        </w:rPr>
        <w:fldChar w:fldCharType="end"/>
      </w:r>
      <w:r w:rsidRPr="009E3EDD">
        <w:t>.  La Cour</w:t>
      </w:r>
      <w:r w:rsidRPr="009E3EDD">
        <w:rPr>
          <w:rFonts w:eastAsiaTheme="minorEastAsia"/>
          <w:szCs w:val="22"/>
        </w:rPr>
        <w:t xml:space="preserve"> estime que le requérant n</w:t>
      </w:r>
      <w:r w:rsidRPr="009E3EDD" w:rsidR="009E3EDD">
        <w:rPr>
          <w:rFonts w:eastAsiaTheme="minorEastAsia"/>
          <w:szCs w:val="22"/>
        </w:rPr>
        <w:t>’</w:t>
      </w:r>
      <w:r w:rsidRPr="009E3EDD">
        <w:rPr>
          <w:rFonts w:eastAsiaTheme="minorEastAsia"/>
          <w:szCs w:val="22"/>
        </w:rPr>
        <w:t>a pas démontré l</w:t>
      </w:r>
      <w:r w:rsidRPr="009E3EDD" w:rsidR="009E3EDD">
        <w:rPr>
          <w:rFonts w:eastAsiaTheme="minorEastAsia"/>
          <w:szCs w:val="22"/>
        </w:rPr>
        <w:t>’</w:t>
      </w:r>
      <w:r w:rsidRPr="009E3EDD">
        <w:rPr>
          <w:rFonts w:eastAsiaTheme="minorEastAsia"/>
          <w:szCs w:val="22"/>
        </w:rPr>
        <w:t>existence d</w:t>
      </w:r>
      <w:r w:rsidRPr="009E3EDD" w:rsidR="009E3EDD">
        <w:rPr>
          <w:rFonts w:eastAsiaTheme="minorEastAsia"/>
          <w:szCs w:val="22"/>
        </w:rPr>
        <w:t>’</w:t>
      </w:r>
      <w:r w:rsidRPr="009E3EDD">
        <w:rPr>
          <w:rFonts w:eastAsiaTheme="minorEastAsia"/>
          <w:szCs w:val="22"/>
        </w:rPr>
        <w:t>un lien de causalité entre la violation constatée et le dommage matériel qu</w:t>
      </w:r>
      <w:r w:rsidRPr="009E3EDD" w:rsidR="009E3EDD">
        <w:rPr>
          <w:rFonts w:eastAsiaTheme="minorEastAsia"/>
          <w:szCs w:val="22"/>
        </w:rPr>
        <w:t>’</w:t>
      </w:r>
      <w:r w:rsidRPr="009E3EDD">
        <w:rPr>
          <w:rFonts w:eastAsiaTheme="minorEastAsia"/>
          <w:szCs w:val="22"/>
        </w:rPr>
        <w:t>il allègue avoir subi. Elle rejette donc la demande formulée par le requérant à ce titre.</w:t>
      </w:r>
    </w:p>
    <w:p w:rsidRPr="009E3EDD" w:rsidR="00603614" w:rsidP="009E3EDD" w14:paraId="1A8EF045" w14:textId="3E841FBD">
      <w:pPr>
        <w:pStyle w:val="JuPara"/>
        <w:rPr>
          <w:rFonts w:eastAsiaTheme="minorEastAsia"/>
        </w:rPr>
      </w:pPr>
      <w:r w:rsidRPr="009E3EDD">
        <w:rPr>
          <w:rFonts w:eastAsiaTheme="minorEastAsia"/>
        </w:rPr>
        <w:fldChar w:fldCharType="begin"/>
      </w:r>
      <w:r w:rsidRPr="009E3EDD">
        <w:rPr>
          <w:rFonts w:eastAsiaTheme="minorEastAsia"/>
        </w:rPr>
        <w:instrText xml:space="preserve"> SEQ level0 \*arabic \* MERGEFORMAT </w:instrText>
      </w:r>
      <w:r w:rsidRPr="009E3EDD">
        <w:rPr>
          <w:rFonts w:eastAsiaTheme="minorEastAsia"/>
        </w:rPr>
        <w:fldChar w:fldCharType="separate"/>
      </w:r>
      <w:bookmarkStart w:name="paragraph00040" w:id="29"/>
      <w:r w:rsidRPr="009E3EDD" w:rsidR="009E3EDD">
        <w:rPr>
          <w:rFonts w:eastAsiaTheme="minorEastAsia"/>
          <w:noProof/>
        </w:rPr>
        <w:t>40</w:t>
      </w:r>
      <w:bookmarkEnd w:id="29"/>
      <w:r w:rsidRPr="009E3EDD">
        <w:rPr>
          <w:rFonts w:eastAsiaTheme="minorEastAsia"/>
        </w:rPr>
        <w:fldChar w:fldCharType="end"/>
      </w:r>
      <w:r w:rsidRPr="009E3EDD">
        <w:rPr>
          <w:rFonts w:eastAsiaTheme="minorEastAsia"/>
        </w:rPr>
        <w:t>.  En outre, la Cour considère que, dans les circonstances de la cause, le constat d</w:t>
      </w:r>
      <w:r w:rsidRPr="009E3EDD" w:rsidR="009E3EDD">
        <w:rPr>
          <w:rFonts w:eastAsiaTheme="minorEastAsia"/>
        </w:rPr>
        <w:t>’</w:t>
      </w:r>
      <w:r w:rsidRPr="009E3EDD">
        <w:rPr>
          <w:rFonts w:eastAsiaTheme="minorEastAsia"/>
        </w:rPr>
        <w:t>un manquement aux exigences de l</w:t>
      </w:r>
      <w:r w:rsidRPr="009E3EDD" w:rsidR="009E3EDD">
        <w:rPr>
          <w:rFonts w:eastAsiaTheme="minorEastAsia"/>
        </w:rPr>
        <w:t>’</w:t>
      </w:r>
      <w:r w:rsidRPr="009E3EDD">
        <w:rPr>
          <w:rFonts w:eastAsiaTheme="minorEastAsia"/>
        </w:rPr>
        <w:t>article 6 fournit au requérant une satisfaction équitable suffisante pour le dommage moral qu</w:t>
      </w:r>
      <w:r w:rsidRPr="009E3EDD" w:rsidR="009E3EDD">
        <w:rPr>
          <w:rFonts w:eastAsiaTheme="minorEastAsia"/>
        </w:rPr>
        <w:t>’</w:t>
      </w:r>
      <w:r w:rsidRPr="009E3EDD">
        <w:rPr>
          <w:rFonts w:eastAsiaTheme="minorEastAsia"/>
        </w:rPr>
        <w:t>il dit avoir subi.</w:t>
      </w:r>
    </w:p>
    <w:p w:rsidRPr="009E3EDD" w:rsidR="00603614" w:rsidP="009E3EDD" w14:paraId="78A44BFF" w14:textId="2B3FFB58">
      <w:pPr>
        <w:pStyle w:val="JuPara"/>
        <w:rPr>
          <w:rFonts w:eastAsiaTheme="minorEastAsia"/>
          <w:szCs w:val="22"/>
        </w:rPr>
      </w:pPr>
      <w:r w:rsidRPr="009E3EDD">
        <w:rPr>
          <w:rFonts w:eastAsiaTheme="minorEastAsia"/>
          <w:szCs w:val="22"/>
        </w:rPr>
        <w:fldChar w:fldCharType="begin"/>
      </w:r>
      <w:r w:rsidRPr="009E3EDD">
        <w:rPr>
          <w:rFonts w:eastAsiaTheme="minorEastAsia"/>
          <w:szCs w:val="22"/>
        </w:rPr>
        <w:instrText xml:space="preserve"> SEQ level0 \*arabic </w:instrText>
      </w:r>
      <w:r w:rsidRPr="009E3EDD">
        <w:rPr>
          <w:rFonts w:eastAsiaTheme="minorEastAsia"/>
          <w:szCs w:val="22"/>
        </w:rPr>
        <w:fldChar w:fldCharType="separate"/>
      </w:r>
      <w:r w:rsidRPr="009E3EDD" w:rsidR="009E3EDD">
        <w:rPr>
          <w:rFonts w:eastAsiaTheme="minorEastAsia"/>
          <w:noProof/>
          <w:szCs w:val="22"/>
        </w:rPr>
        <w:t>41</w:t>
      </w:r>
      <w:r w:rsidRPr="009E3EDD">
        <w:rPr>
          <w:rFonts w:eastAsiaTheme="minorEastAsia"/>
          <w:szCs w:val="22"/>
        </w:rPr>
        <w:fldChar w:fldCharType="end"/>
      </w:r>
      <w:r w:rsidRPr="009E3EDD">
        <w:rPr>
          <w:rFonts w:eastAsiaTheme="minorEastAsia"/>
          <w:szCs w:val="22"/>
        </w:rPr>
        <w:t>.  Enfin, elle rappelle que lorsqu</w:t>
      </w:r>
      <w:r w:rsidRPr="009E3EDD" w:rsidR="009E3EDD">
        <w:rPr>
          <w:rFonts w:eastAsiaTheme="minorEastAsia"/>
          <w:szCs w:val="22"/>
        </w:rPr>
        <w:t>’</w:t>
      </w:r>
      <w:r w:rsidRPr="009E3EDD">
        <w:rPr>
          <w:rFonts w:eastAsiaTheme="minorEastAsia"/>
          <w:szCs w:val="22"/>
        </w:rPr>
        <w:t>un particulier a été, comme en l</w:t>
      </w:r>
      <w:r w:rsidRPr="009E3EDD" w:rsidR="009E3EDD">
        <w:rPr>
          <w:rFonts w:eastAsiaTheme="minorEastAsia"/>
          <w:szCs w:val="22"/>
        </w:rPr>
        <w:t>’</w:t>
      </w:r>
      <w:r w:rsidRPr="009E3EDD">
        <w:rPr>
          <w:rFonts w:eastAsiaTheme="minorEastAsia"/>
          <w:szCs w:val="22"/>
        </w:rPr>
        <w:t>espèce, condamné à l</w:t>
      </w:r>
      <w:r w:rsidRPr="009E3EDD" w:rsidR="009E3EDD">
        <w:rPr>
          <w:rFonts w:eastAsiaTheme="minorEastAsia"/>
          <w:szCs w:val="22"/>
        </w:rPr>
        <w:t>’</w:t>
      </w:r>
      <w:r w:rsidRPr="009E3EDD">
        <w:rPr>
          <w:rFonts w:eastAsiaTheme="minorEastAsia"/>
          <w:szCs w:val="22"/>
        </w:rPr>
        <w:t>issue d</w:t>
      </w:r>
      <w:r w:rsidRPr="009E3EDD" w:rsidR="009E3EDD">
        <w:rPr>
          <w:rFonts w:eastAsiaTheme="minorEastAsia"/>
          <w:szCs w:val="22"/>
        </w:rPr>
        <w:t>’</w:t>
      </w:r>
      <w:r w:rsidRPr="009E3EDD">
        <w:rPr>
          <w:rFonts w:eastAsiaTheme="minorEastAsia"/>
          <w:szCs w:val="22"/>
        </w:rPr>
        <w:t>une procédure entachée de manquements aux exigences de l</w:t>
      </w:r>
      <w:r w:rsidRPr="009E3EDD" w:rsidR="009E3EDD">
        <w:rPr>
          <w:rFonts w:eastAsiaTheme="minorEastAsia"/>
          <w:szCs w:val="22"/>
        </w:rPr>
        <w:t>’</w:t>
      </w:r>
      <w:r w:rsidRPr="009E3EDD">
        <w:rPr>
          <w:rFonts w:eastAsiaTheme="minorEastAsia"/>
          <w:szCs w:val="22"/>
        </w:rPr>
        <w:t xml:space="preserve">article 6 de la Convention, </w:t>
      </w:r>
      <w:bookmarkStart w:name="_1000006" w:id="30"/>
      <w:bookmarkStart w:name="_1000007" w:id="31"/>
      <w:bookmarkEnd w:id="30"/>
      <w:bookmarkEnd w:id="31"/>
      <w:r w:rsidRPr="009E3EDD">
        <w:rPr>
          <w:rFonts w:eastAsiaTheme="minorEastAsia"/>
          <w:szCs w:val="22"/>
        </w:rPr>
        <w:t>un nouveau procès ou une réouverture de la procédure à la demande de l</w:t>
      </w:r>
      <w:r w:rsidRPr="009E3EDD" w:rsidR="009E3EDD">
        <w:rPr>
          <w:rFonts w:eastAsiaTheme="minorEastAsia"/>
          <w:szCs w:val="22"/>
        </w:rPr>
        <w:t>’</w:t>
      </w:r>
      <w:r w:rsidRPr="009E3EDD">
        <w:rPr>
          <w:rFonts w:eastAsiaTheme="minorEastAsia"/>
          <w:szCs w:val="22"/>
        </w:rPr>
        <w:t>intéressé représente en principe un moyen approprié de remédier à la violation constatée (</w:t>
      </w:r>
      <w:r w:rsidRPr="009E3EDD">
        <w:rPr>
          <w:rFonts w:eastAsiaTheme="minorEastAsia"/>
          <w:i/>
          <w:iCs/>
          <w:szCs w:val="22"/>
        </w:rPr>
        <w:t>Moreira Ferreira c. Portugal (n</w:t>
      </w:r>
      <w:r w:rsidRPr="009E3EDD">
        <w:rPr>
          <w:rFonts w:eastAsiaTheme="minorEastAsia"/>
          <w:i/>
          <w:szCs w:val="22"/>
          <w:vertAlign w:val="superscript"/>
        </w:rPr>
        <w:t>o</w:t>
      </w:r>
      <w:r w:rsidRPr="009E3EDD">
        <w:rPr>
          <w:rFonts w:eastAsiaTheme="minorEastAsia"/>
          <w:i/>
          <w:iCs/>
          <w:szCs w:val="22"/>
        </w:rPr>
        <w:t xml:space="preserve"> 2) </w:t>
      </w:r>
      <w:r w:rsidRPr="009E3EDD">
        <w:rPr>
          <w:rFonts w:eastAsiaTheme="minorEastAsia"/>
          <w:iCs/>
          <w:szCs w:val="22"/>
        </w:rPr>
        <w:t>[GC]</w:t>
      </w:r>
      <w:r w:rsidRPr="009E3EDD">
        <w:rPr>
          <w:rFonts w:eastAsiaTheme="minorEastAsia"/>
          <w:szCs w:val="22"/>
        </w:rPr>
        <w:t xml:space="preserve">, </w:t>
      </w:r>
      <w:r w:rsidRPr="009E3EDD">
        <w:rPr>
          <w:rFonts w:eastAsiaTheme="minorEastAsia"/>
          <w:szCs w:val="22"/>
          <w:lang w:eastAsia="en-GB"/>
        </w:rPr>
        <w:t>n</w:t>
      </w:r>
      <w:r w:rsidRPr="009E3EDD">
        <w:rPr>
          <w:rFonts w:eastAsiaTheme="minorEastAsia"/>
          <w:szCs w:val="22"/>
          <w:vertAlign w:val="superscript"/>
        </w:rPr>
        <w:t>o</w:t>
      </w:r>
      <w:r w:rsidRPr="009E3EDD" w:rsidR="001D5F52">
        <w:rPr>
          <w:rFonts w:eastAsiaTheme="minorEastAsia"/>
          <w:szCs w:val="22"/>
          <w:lang w:eastAsia="en-GB"/>
        </w:rPr>
        <w:t xml:space="preserve"> </w:t>
      </w:r>
      <w:r w:rsidRPr="009E3EDD">
        <w:rPr>
          <w:rFonts w:eastAsiaTheme="minorEastAsia"/>
          <w:iCs/>
          <w:szCs w:val="22"/>
        </w:rPr>
        <w:t xml:space="preserve">19867/12, </w:t>
      </w:r>
      <w:r w:rsidRPr="009E3EDD">
        <w:rPr>
          <w:rFonts w:eastAsiaTheme="minorEastAsia"/>
          <w:szCs w:val="22"/>
        </w:rPr>
        <w:t>§§</w:t>
      </w:r>
      <w:r w:rsidRPr="009E3EDD" w:rsidR="001D5F52">
        <w:rPr>
          <w:rFonts w:eastAsiaTheme="minorEastAsia"/>
          <w:szCs w:val="22"/>
        </w:rPr>
        <w:t xml:space="preserve"> </w:t>
      </w:r>
      <w:r w:rsidRPr="009E3EDD">
        <w:rPr>
          <w:rFonts w:eastAsiaTheme="minorEastAsia"/>
          <w:szCs w:val="22"/>
        </w:rPr>
        <w:t>48-50, 11</w:t>
      </w:r>
      <w:r w:rsidRPr="009E3EDD" w:rsidR="001D5F52">
        <w:rPr>
          <w:rFonts w:eastAsiaTheme="minorEastAsia"/>
          <w:szCs w:val="22"/>
        </w:rPr>
        <w:t xml:space="preserve"> </w:t>
      </w:r>
      <w:r w:rsidRPr="009E3EDD">
        <w:rPr>
          <w:rFonts w:eastAsiaTheme="minorEastAsia"/>
          <w:szCs w:val="22"/>
        </w:rPr>
        <w:t>juillet</w:t>
      </w:r>
      <w:r w:rsidRPr="009E3EDD" w:rsidR="001D5F52">
        <w:rPr>
          <w:rFonts w:eastAsiaTheme="minorEastAsia"/>
          <w:szCs w:val="22"/>
        </w:rPr>
        <w:t xml:space="preserve"> </w:t>
      </w:r>
      <w:r w:rsidRPr="009E3EDD">
        <w:rPr>
          <w:rFonts w:eastAsiaTheme="minorEastAsia"/>
          <w:szCs w:val="22"/>
        </w:rPr>
        <w:t>2017). À cet égard, elle note que l</w:t>
      </w:r>
      <w:r w:rsidRPr="009E3EDD" w:rsidR="009E3EDD">
        <w:rPr>
          <w:rFonts w:eastAsiaTheme="minorEastAsia"/>
          <w:szCs w:val="22"/>
        </w:rPr>
        <w:t>’</w:t>
      </w:r>
      <w:r w:rsidRPr="009E3EDD">
        <w:rPr>
          <w:rFonts w:eastAsiaTheme="minorEastAsia"/>
          <w:szCs w:val="22"/>
        </w:rPr>
        <w:t>article 465 du CPP permet la révision d</w:t>
      </w:r>
      <w:r w:rsidRPr="009E3EDD" w:rsidR="009E3EDD">
        <w:rPr>
          <w:rFonts w:eastAsiaTheme="minorEastAsia"/>
          <w:szCs w:val="22"/>
        </w:rPr>
        <w:t>’</w:t>
      </w:r>
      <w:r w:rsidRPr="009E3EDD">
        <w:rPr>
          <w:rFonts w:eastAsiaTheme="minorEastAsia"/>
          <w:szCs w:val="22"/>
        </w:rPr>
        <w:t>un procès au niveau interne lorsque la Cour a constaté la violation des droits et libertés fondamentaux d</w:t>
      </w:r>
      <w:r w:rsidRPr="009E3EDD" w:rsidR="009E3EDD">
        <w:rPr>
          <w:rFonts w:eastAsiaTheme="minorEastAsia"/>
          <w:szCs w:val="22"/>
        </w:rPr>
        <w:t>’</w:t>
      </w:r>
      <w:r w:rsidRPr="009E3EDD">
        <w:rPr>
          <w:rFonts w:eastAsiaTheme="minorEastAsia"/>
          <w:szCs w:val="22"/>
        </w:rPr>
        <w:t>un requérant (</w:t>
      </w:r>
      <w:bookmarkStart w:name="_cl13408ENDROIT" w:id="32"/>
      <w:r w:rsidRPr="009E3EDD">
        <w:rPr>
          <w:rFonts w:eastAsiaTheme="minorEastAsia"/>
          <w:i/>
          <w:iCs/>
          <w:szCs w:val="22"/>
        </w:rPr>
        <w:t>Ovidiu Cristian Stoica c. Roumanie</w:t>
      </w:r>
      <w:bookmarkEnd w:id="32"/>
      <w:r w:rsidRPr="009E3EDD">
        <w:rPr>
          <w:rFonts w:eastAsiaTheme="minorEastAsia"/>
          <w:szCs w:val="22"/>
        </w:rPr>
        <w:t>, n</w:t>
      </w:r>
      <w:r w:rsidRPr="009E3EDD">
        <w:rPr>
          <w:rFonts w:eastAsiaTheme="minorEastAsia"/>
          <w:szCs w:val="22"/>
          <w:vertAlign w:val="superscript"/>
        </w:rPr>
        <w:t>o</w:t>
      </w:r>
      <w:r w:rsidRPr="009E3EDD" w:rsidR="001D5F52">
        <w:rPr>
          <w:rFonts w:eastAsiaTheme="minorEastAsia"/>
          <w:szCs w:val="22"/>
          <w:vertAlign w:val="superscript"/>
        </w:rPr>
        <w:t xml:space="preserve"> </w:t>
      </w:r>
      <w:r w:rsidRPr="009E3EDD">
        <w:rPr>
          <w:rFonts w:eastAsiaTheme="minorEastAsia"/>
          <w:szCs w:val="22"/>
        </w:rPr>
        <w:t>55116/12, § 53, 24</w:t>
      </w:r>
      <w:r w:rsidRPr="009E3EDD" w:rsidR="001D5F52">
        <w:rPr>
          <w:rFonts w:eastAsiaTheme="minorEastAsia"/>
          <w:szCs w:val="22"/>
        </w:rPr>
        <w:t> </w:t>
      </w:r>
      <w:r w:rsidRPr="009E3EDD">
        <w:rPr>
          <w:rFonts w:eastAsiaTheme="minorEastAsia"/>
          <w:szCs w:val="22"/>
        </w:rPr>
        <w:t>avril 2018)</w:t>
      </w:r>
      <w:r w:rsidRPr="009E3EDD">
        <w:t>.</w:t>
      </w:r>
    </w:p>
    <w:p w:rsidRPr="009E3EDD" w:rsidR="00603614" w:rsidP="009E3EDD" w14:paraId="52047A09" w14:textId="77777777">
      <w:pPr>
        <w:pStyle w:val="JuHA"/>
      </w:pPr>
      <w:r w:rsidRPr="009E3EDD">
        <w:t>Frais et dépens</w:t>
      </w:r>
    </w:p>
    <w:p w:rsidRPr="009E3EDD" w:rsidR="00603614" w:rsidP="009E3EDD" w14:paraId="10CA839D" w14:textId="46ECB599">
      <w:pPr>
        <w:pStyle w:val="JuPara"/>
      </w:pPr>
      <w:r>
        <w:fldChar w:fldCharType="begin"/>
      </w:r>
      <w:r>
        <w:instrText xml:space="preserve"> SEQ level0 \*arabic \* MERGEFORMAT </w:instrText>
      </w:r>
      <w:r>
        <w:fldChar w:fldCharType="separate"/>
      </w:r>
      <w:r w:rsidRPr="009E3EDD" w:rsidR="009E3EDD">
        <w:rPr>
          <w:noProof/>
        </w:rPr>
        <w:t>42</w:t>
      </w:r>
      <w:r w:rsidRPr="009E3EDD" w:rsidR="009E3EDD">
        <w:rPr>
          <w:noProof/>
        </w:rPr>
        <w:fldChar w:fldCharType="end"/>
      </w:r>
      <w:r w:rsidRPr="009E3EDD">
        <w:t>.  Le requérant réclame 2 203 EUR au titre des frais et dépens qu</w:t>
      </w:r>
      <w:r w:rsidRPr="009E3EDD" w:rsidR="009E3EDD">
        <w:t>’</w:t>
      </w:r>
      <w:r w:rsidRPr="009E3EDD">
        <w:t>il déclare avoir engagés aux fins de la procédure menée devant la Cour.</w:t>
      </w:r>
    </w:p>
    <w:p w:rsidRPr="009E3EDD" w:rsidR="00603614" w:rsidP="009E3EDD" w14:paraId="4427D76E" w14:textId="34C71083">
      <w:pPr>
        <w:pStyle w:val="JuPara"/>
      </w:pPr>
      <w:r>
        <w:fldChar w:fldCharType="begin"/>
      </w:r>
      <w:r>
        <w:instrText xml:space="preserve"> SEQ level0 \*arabic \* MERGEFORMAT </w:instrText>
      </w:r>
      <w:r>
        <w:fldChar w:fldCharType="separate"/>
      </w:r>
      <w:r w:rsidRPr="009E3EDD" w:rsidR="009E3EDD">
        <w:rPr>
          <w:noProof/>
        </w:rPr>
        <w:t>43</w:t>
      </w:r>
      <w:r w:rsidRPr="009E3EDD" w:rsidR="009E3EDD">
        <w:rPr>
          <w:noProof/>
        </w:rPr>
        <w:fldChar w:fldCharType="end"/>
      </w:r>
      <w:r w:rsidRPr="009E3EDD">
        <w:t>.  Le Gouvernement conteste la partie des frais correspondant à la rédaction de la requête introduite devant la Cour et allègue que l</w:t>
      </w:r>
      <w:r w:rsidRPr="009E3EDD" w:rsidR="009E3EDD">
        <w:t>’</w:t>
      </w:r>
      <w:r w:rsidRPr="009E3EDD">
        <w:t>avocat n</w:t>
      </w:r>
      <w:r w:rsidRPr="009E3EDD" w:rsidR="009E3EDD">
        <w:t>’</w:t>
      </w:r>
      <w:r w:rsidRPr="009E3EDD">
        <w:t>a pas produit de récapitulatif de ses heures de travail. Il estime, en outre, que le montant de la demande est disproportionné.</w:t>
      </w:r>
    </w:p>
    <w:p w:rsidRPr="009E3EDD" w:rsidR="00603614" w:rsidP="009E3EDD" w14:paraId="4780760B" w14:textId="2B3E6131">
      <w:pPr>
        <w:pStyle w:val="JuPara"/>
      </w:pPr>
      <w:r>
        <w:fldChar w:fldCharType="begin"/>
      </w:r>
      <w:r>
        <w:instrText xml:space="preserve"> SEQ level0 \*arabic \* MERGEFORMAT </w:instrText>
      </w:r>
      <w:r>
        <w:fldChar w:fldCharType="separate"/>
      </w:r>
      <w:r w:rsidRPr="009E3EDD" w:rsidR="009E3EDD">
        <w:rPr>
          <w:noProof/>
        </w:rPr>
        <w:t>44</w:t>
      </w:r>
      <w:r w:rsidRPr="009E3EDD" w:rsidR="009E3EDD">
        <w:rPr>
          <w:noProof/>
        </w:rPr>
        <w:fldChar w:fldCharType="end"/>
      </w:r>
      <w:r w:rsidRPr="009E3EDD">
        <w:t>.  Selon la jurisprudence de la Cour, un requérant ne peut obtenir le remboursement de ses frais et dépens que dans la mesure où se trouvent établis leur réalité, leur nécessité et le caractère raisonnable de leur taux. En l</w:t>
      </w:r>
      <w:r w:rsidRPr="009E3EDD" w:rsidR="009E3EDD">
        <w:t>’</w:t>
      </w:r>
      <w:r w:rsidRPr="009E3EDD">
        <w:t>espèce, compte tenu des documents en sa possession et des critères susmentionnés, la Cour juge raisonnable d</w:t>
      </w:r>
      <w:r w:rsidRPr="009E3EDD" w:rsidR="009E3EDD">
        <w:t>’</w:t>
      </w:r>
      <w:r w:rsidRPr="009E3EDD">
        <w:t>allouer au requérant la somme de 1</w:t>
      </w:r>
      <w:r w:rsidRPr="009E3EDD" w:rsidR="001D5F52">
        <w:t> </w:t>
      </w:r>
      <w:r w:rsidRPr="009E3EDD">
        <w:t>750</w:t>
      </w:r>
      <w:r w:rsidRPr="009E3EDD" w:rsidR="001D5F52">
        <w:t> </w:t>
      </w:r>
      <w:r w:rsidRPr="009E3EDD">
        <w:t>EUR pour la procédure menée devant elle, plus tout montant pouvant être dû sur cette somme à titre d</w:t>
      </w:r>
      <w:r w:rsidRPr="009E3EDD" w:rsidR="009E3EDD">
        <w:t>’</w:t>
      </w:r>
      <w:r w:rsidRPr="009E3EDD">
        <w:t>impôt par le requérant.</w:t>
      </w:r>
    </w:p>
    <w:p w:rsidRPr="009E3EDD" w:rsidR="00603614" w:rsidP="009E3EDD" w14:paraId="263D7118" w14:textId="4DD4A3BA">
      <w:pPr>
        <w:pStyle w:val="JuHHead"/>
      </w:pPr>
      <w:r w:rsidRPr="009E3EDD">
        <w:t>PAR CES MOTIFS, LA COUR, À L</w:t>
      </w:r>
      <w:r w:rsidRPr="009E3EDD" w:rsidR="009E3EDD">
        <w:t>’</w:t>
      </w:r>
      <w:r w:rsidRPr="009E3EDD">
        <w:t>UNANIMITÉ,</w:t>
      </w:r>
    </w:p>
    <w:p w:rsidRPr="009E3EDD" w:rsidR="00603614" w:rsidP="009E3EDD" w14:paraId="1E286B2E" w14:textId="657EA1A2">
      <w:pPr>
        <w:pStyle w:val="JuList"/>
      </w:pPr>
      <w:r w:rsidRPr="009E3EDD">
        <w:rPr>
          <w:i/>
        </w:rPr>
        <w:t>Déclare</w:t>
      </w:r>
      <w:r w:rsidRPr="009E3EDD">
        <w:t xml:space="preserve"> la requête recevable ;</w:t>
      </w:r>
    </w:p>
    <w:p w:rsidRPr="009E3EDD" w:rsidR="00603614" w:rsidP="009E3EDD" w14:paraId="0FA485CD" w14:textId="6CDCE4FC">
      <w:pPr>
        <w:pStyle w:val="JuList"/>
      </w:pPr>
      <w:r w:rsidRPr="009E3EDD">
        <w:rPr>
          <w:i/>
        </w:rPr>
        <w:t>Dit</w:t>
      </w:r>
      <w:r w:rsidRPr="009E3EDD">
        <w:t xml:space="preserve"> qu</w:t>
      </w:r>
      <w:r w:rsidRPr="009E3EDD" w:rsidR="009E3EDD">
        <w:t>’</w:t>
      </w:r>
      <w:r w:rsidRPr="009E3EDD">
        <w:t>il y a eu violation de l</w:t>
      </w:r>
      <w:r w:rsidRPr="009E3EDD" w:rsidR="009E3EDD">
        <w:t>’</w:t>
      </w:r>
      <w:r w:rsidRPr="009E3EDD">
        <w:t>article 6 § 1 de la Convention ;</w:t>
      </w:r>
    </w:p>
    <w:p w:rsidRPr="009E3EDD" w:rsidR="00603614" w:rsidP="009E3EDD" w14:paraId="12C06A11" w14:textId="2E247FF3">
      <w:pPr>
        <w:pStyle w:val="JuList"/>
      </w:pPr>
      <w:r w:rsidRPr="009E3EDD">
        <w:rPr>
          <w:i/>
        </w:rPr>
        <w:t>Dit</w:t>
      </w:r>
      <w:r w:rsidRPr="009E3EDD">
        <w:t xml:space="preserve"> que le constat d</w:t>
      </w:r>
      <w:r w:rsidRPr="009E3EDD" w:rsidR="009E3EDD">
        <w:t>’</w:t>
      </w:r>
      <w:r w:rsidRPr="009E3EDD">
        <w:t>une violation fournit en soi une satisfaction équitable suffisante pour le dommage moral subi par le requérant ;</w:t>
      </w:r>
    </w:p>
    <w:p w:rsidRPr="009E3EDD" w:rsidR="00603614" w:rsidP="009E3EDD" w14:paraId="66673A3D" w14:textId="372866C9">
      <w:pPr>
        <w:pStyle w:val="JuList"/>
      </w:pPr>
      <w:r w:rsidRPr="009E3EDD">
        <w:rPr>
          <w:i/>
        </w:rPr>
        <w:t>Dit</w:t>
      </w:r>
    </w:p>
    <w:p w:rsidRPr="009E3EDD" w:rsidR="00603614" w:rsidP="009E3EDD" w14:paraId="21322714" w14:textId="50711E96">
      <w:pPr>
        <w:pStyle w:val="JuLista"/>
        <w:rPr>
          <w:bCs/>
        </w:rPr>
      </w:pPr>
      <w:r w:rsidRPr="009E3EDD">
        <w:t>que l</w:t>
      </w:r>
      <w:r w:rsidRPr="009E3EDD" w:rsidR="009E3EDD">
        <w:t>’</w:t>
      </w:r>
      <w:r w:rsidRPr="009E3EDD">
        <w:t>État défendeur doit verser au requérant, dans un délai de trois mois à compter de la date à laquelle l</w:t>
      </w:r>
      <w:r w:rsidRPr="009E3EDD" w:rsidR="009E3EDD">
        <w:t>’</w:t>
      </w:r>
      <w:r w:rsidRPr="009E3EDD">
        <w:t>arrêt sera devenu définitif conformément à l</w:t>
      </w:r>
      <w:r w:rsidRPr="009E3EDD" w:rsidR="009E3EDD">
        <w:t>’</w:t>
      </w:r>
      <w:r w:rsidRPr="009E3EDD">
        <w:t>article</w:t>
      </w:r>
      <w:r w:rsidRPr="009E3EDD" w:rsidR="001D5F52">
        <w:t xml:space="preserve"> </w:t>
      </w:r>
      <w:r w:rsidRPr="009E3EDD">
        <w:t>44</w:t>
      </w:r>
      <w:r w:rsidRPr="009E3EDD" w:rsidR="001D5F52">
        <w:t xml:space="preserve"> </w:t>
      </w:r>
      <w:r w:rsidRPr="009E3EDD">
        <w:t>§</w:t>
      </w:r>
      <w:r w:rsidRPr="009E3EDD" w:rsidR="001D5F52">
        <w:t xml:space="preserve"> </w:t>
      </w:r>
      <w:r w:rsidRPr="009E3EDD">
        <w:t>2 de la Convention, 1</w:t>
      </w:r>
      <w:r w:rsidRPr="009E3EDD" w:rsidR="001D5F52">
        <w:t> </w:t>
      </w:r>
      <w:r w:rsidRPr="009E3EDD">
        <w:t>750</w:t>
      </w:r>
      <w:r w:rsidRPr="009E3EDD" w:rsidR="001D5F52">
        <w:t> </w:t>
      </w:r>
      <w:r w:rsidRPr="009E3EDD">
        <w:t>EUR (mille sept cent cinquante euros), plus tout montant pouvant être dû par le requérant à titre d</w:t>
      </w:r>
      <w:r w:rsidRPr="009E3EDD" w:rsidR="009E3EDD">
        <w:t>’</w:t>
      </w:r>
      <w:r w:rsidRPr="009E3EDD">
        <w:t xml:space="preserve">impôt sur cette somme, pour frais et dépens, </w:t>
      </w:r>
      <w:r w:rsidRPr="009E3EDD">
        <w:rPr>
          <w:bCs/>
        </w:rPr>
        <w:t>à convertir dans la monnaie de l</w:t>
      </w:r>
      <w:r w:rsidRPr="009E3EDD" w:rsidR="009E3EDD">
        <w:rPr>
          <w:bCs/>
        </w:rPr>
        <w:t>’</w:t>
      </w:r>
      <w:r w:rsidRPr="009E3EDD">
        <w:rPr>
          <w:bCs/>
        </w:rPr>
        <w:t>État défendeur au taux applicable à la date du règlement ;</w:t>
      </w:r>
    </w:p>
    <w:p w:rsidRPr="009E3EDD" w:rsidR="00603614" w:rsidP="009E3EDD" w14:paraId="1C11F9D8" w14:textId="61DFF788">
      <w:pPr>
        <w:pStyle w:val="JuLista"/>
      </w:pPr>
      <w:r w:rsidRPr="009E3EDD">
        <w:t>qu</w:t>
      </w:r>
      <w:r w:rsidRPr="009E3EDD" w:rsidR="009E3EDD">
        <w:t>’</w:t>
      </w:r>
      <w:r w:rsidRPr="009E3EDD">
        <w:t>à compter de l</w:t>
      </w:r>
      <w:r w:rsidRPr="009E3EDD" w:rsidR="009E3EDD">
        <w:t>’</w:t>
      </w:r>
      <w:r w:rsidRPr="009E3EDD">
        <w:t>expiration dudit délai et jusqu</w:t>
      </w:r>
      <w:r w:rsidRPr="009E3EDD" w:rsidR="009E3EDD">
        <w:t>’</w:t>
      </w:r>
      <w:r w:rsidRPr="009E3EDD">
        <w:t>au versement, ce montant sera à majorer d</w:t>
      </w:r>
      <w:r w:rsidRPr="009E3EDD" w:rsidR="009E3EDD">
        <w:t>’</w:t>
      </w:r>
      <w:r w:rsidRPr="009E3EDD">
        <w:t>un intérêt simple à un taux égal à celui de la facilité de prêt marginal de la Banque centrale européenne applicable pendant cette période, augmenté de trois points de pourcentage ;</w:t>
      </w:r>
    </w:p>
    <w:p w:rsidRPr="009E3EDD" w:rsidR="00876F03" w:rsidP="009E3EDD" w14:paraId="78AA8332" w14:textId="3D54D3BE">
      <w:pPr>
        <w:pStyle w:val="JuList"/>
      </w:pPr>
      <w:r w:rsidRPr="009E3EDD">
        <w:rPr>
          <w:i/>
        </w:rPr>
        <w:t>Rejette</w:t>
      </w:r>
      <w:r w:rsidRPr="009E3EDD">
        <w:t xml:space="preserve"> la demande de satisfaction équitable pour le surplus.</w:t>
      </w:r>
    </w:p>
    <w:p w:rsidRPr="009E3EDD" w:rsidR="00893F30" w:rsidP="009E3EDD" w14:paraId="40780A0D" w14:textId="63A537F3">
      <w:pPr>
        <w:pStyle w:val="JuParaLast"/>
      </w:pPr>
      <w:r w:rsidRPr="009E3EDD">
        <w:t xml:space="preserve">Fait en français, puis communiqué par écrit le </w:t>
      </w:r>
      <w:r w:rsidRPr="009E3EDD" w:rsidR="00603614">
        <w:t>3 juin 2025</w:t>
      </w:r>
      <w:r w:rsidRPr="009E3EDD">
        <w:t>, en application de l</w:t>
      </w:r>
      <w:r w:rsidRPr="009E3EDD" w:rsidR="009E3EDD">
        <w:t>’</w:t>
      </w:r>
      <w:r w:rsidRPr="009E3EDD">
        <w:t>article</w:t>
      </w:r>
      <w:r w:rsidRPr="009E3EDD" w:rsidR="001D5F52">
        <w:t xml:space="preserve"> </w:t>
      </w:r>
      <w:r w:rsidRPr="009E3EDD">
        <w:t>77</w:t>
      </w:r>
      <w:r w:rsidRPr="009E3EDD" w:rsidR="001D5F52">
        <w:t xml:space="preserve"> </w:t>
      </w:r>
      <w:r w:rsidRPr="009E3EDD">
        <w:t>§§</w:t>
      </w:r>
      <w:r w:rsidRPr="009E3EDD" w:rsidR="001D5F52">
        <w:t xml:space="preserve"> </w:t>
      </w:r>
      <w:r w:rsidRPr="009E3EDD">
        <w:t>2 et</w:t>
      </w:r>
      <w:r w:rsidRPr="009E3EDD" w:rsidR="001D5F52">
        <w:t xml:space="preserve"> </w:t>
      </w:r>
      <w:r w:rsidRPr="009E3EDD">
        <w:t>3 du règlement.</w:t>
      </w:r>
    </w:p>
    <w:p w:rsidRPr="009E3EDD" w:rsidR="00F94531" w:rsidP="009E3EDD" w14:paraId="58267C59" w14:textId="0C00E28A">
      <w:pPr>
        <w:pStyle w:val="JuSigned"/>
        <w:keepNext/>
        <w:keepLines/>
        <w:rPr>
          <w:color w:val="F8F8F8" w:themeColor="background2"/>
        </w:rPr>
      </w:pPr>
      <w:r w:rsidRPr="009E3EDD">
        <w:rPr>
          <w:color w:val="F8F8F8" w:themeColor="background2"/>
        </w:rPr>
        <w:tab/>
      </w:r>
    </w:p>
    <w:p w:rsidRPr="009E3EDD" w:rsidR="00876F03" w:rsidP="009E3EDD" w14:paraId="0AE4AB71" w14:textId="3A56187F">
      <w:pPr>
        <w:pStyle w:val="JuSigned"/>
      </w:pPr>
      <w:r w:rsidRPr="009E3EDD">
        <w:tab/>
      </w:r>
      <w:r w:rsidRPr="009E3EDD" w:rsidR="00D54D16">
        <w:t>Simeon Petrovski</w:t>
      </w:r>
      <w:r w:rsidRPr="009E3EDD" w:rsidR="004344E6">
        <w:tab/>
      </w:r>
      <w:r w:rsidRPr="009E3EDD" w:rsidR="00603614">
        <w:t>Lado Chanturia</w:t>
      </w:r>
      <w:r w:rsidRPr="009E3EDD" w:rsidR="004344E6">
        <w:br/>
      </w:r>
      <w:r w:rsidRPr="009E3EDD" w:rsidR="004344E6">
        <w:tab/>
      </w:r>
      <w:r w:rsidRPr="009E3EDD" w:rsidR="00603614">
        <w:t>Greffier</w:t>
      </w:r>
      <w:r w:rsidRPr="009E3EDD" w:rsidR="00D54D16">
        <w:t xml:space="preserve"> adjoint</w:t>
      </w:r>
      <w:r w:rsidRPr="009E3EDD" w:rsidR="009E0E2A">
        <w:rPr>
          <w:iCs/>
        </w:rPr>
        <w:tab/>
      </w:r>
      <w:r w:rsidRPr="009E3EDD" w:rsidR="00603614">
        <w:t>Président</w:t>
      </w:r>
    </w:p>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6280C8F9" w14:textId="6D2663B8">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614" w:rsidRPr="00150BFA" w:rsidP="0020718E" w14:paraId="69B85726" w14:textId="722B9CD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F25EFC" w:rsidP="00F27D13" w14:paraId="4C2ABAE5" w14:textId="567218B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614" w:rsidRPr="00150BFA" w:rsidP="0020718E" w14:paraId="0558CBC7" w14:textId="71C17835">
    <w:pPr>
      <w:jc w:val="center"/>
    </w:pPr>
    <w:r>
      <w:rPr>
        <w:noProof/>
        <w:lang w:val="en-US"/>
      </w:rPr>
      <w:drawing>
        <wp:inline distT="0" distB="0" distL="0" distR="0">
          <wp:extent cx="771525" cy="619125"/>
          <wp:effectExtent l="0" t="0" r="9525" b="9525"/>
          <wp:docPr id="88" name="Picture 8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685E3858" w14:textId="728BA18C">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201278D8" w14:textId="45FE9D1A">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614" w:rsidRPr="00A45145" w:rsidP="00A45145" w14:paraId="6CEDC0EA" w14:textId="6A3691D1">
    <w:pPr>
      <w:jc w:val="center"/>
    </w:pPr>
    <w:r>
      <w:rPr>
        <w:noProof/>
        <w:lang w:val="en-US"/>
      </w:rPr>
      <w:drawing>
        <wp:inline distT="0" distB="0" distL="0" distR="0">
          <wp:extent cx="2962275" cy="1219200"/>
          <wp:effectExtent l="0" t="0" r="9525" b="0"/>
          <wp:docPr id="90" name="Picture 9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F25EFC" w:rsidP="009840A2" w14:paraId="3DD8C8BC" w14:textId="1ECAEE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614" w:rsidRPr="00A45145" w:rsidP="00A45145" w14:paraId="7465E7CB" w14:textId="39139E2C">
    <w:pPr>
      <w:jc w:val="center"/>
    </w:pPr>
    <w:r>
      <w:rPr>
        <w:noProof/>
        <w:lang w:val="en-US"/>
      </w:rPr>
      <w:drawing>
        <wp:inline distT="0" distB="0" distL="0" distR="0">
          <wp:extent cx="2962275" cy="1219200"/>
          <wp:effectExtent l="0" t="0" r="9525" b="0"/>
          <wp:docPr id="77" name="Picture 7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20FFBD40" w14:textId="1B58CF41">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592C8D" w:rsidP="00A21624" w14:paraId="037D6A17" w14:textId="7A3AC4C7">
    <w:pPr>
      <w:pStyle w:val="JuHeader"/>
      <w:rPr>
        <w:lang w:val="en-US"/>
      </w:rPr>
    </w:pPr>
    <w:r w:rsidRPr="00592C8D">
      <w:rPr>
        <w:lang w:val="en-US"/>
      </w:rPr>
      <w:t>ARRÊT</w:t>
    </w:r>
    <w:r w:rsidRPr="00592C8D" w:rsidR="00256F45">
      <w:rPr>
        <w:lang w:val="en-US"/>
      </w:rPr>
      <w:t xml:space="preserve"> </w:t>
    </w:r>
    <w:r w:rsidR="00603614">
      <w:rPr>
        <w:lang w:val="en-US"/>
      </w:rPr>
      <w:t>MANOLACHE c. ROUMANIE</w:t>
    </w:r>
    <w:r w:rsidRPr="00592C8D" w:rsidR="00603614">
      <w:rPr>
        <w:noProof/>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62882" w:rsidP="00662882" w14:paraId="41EEB4C8" w14:textId="1A06090E">
    <w:pPr>
      <w:pStyle w:val="JuHeader"/>
    </w:pPr>
    <w:r w:rsidRPr="00592C8D">
      <w:rPr>
        <w:lang w:val="en-US"/>
      </w:rPr>
      <w:t>ARRÊT</w:t>
    </w:r>
    <w:r w:rsidRPr="00592C8D" w:rsidR="00162967">
      <w:rPr>
        <w:lang w:val="en-US"/>
      </w:rPr>
      <w:t xml:space="preserve"> </w:t>
    </w:r>
    <w:r w:rsidR="00603614">
      <w:rPr>
        <w:lang w:val="en-US"/>
      </w:rPr>
      <w:t>MANOLACHE c. ROUMANIE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326468312">
    <w:abstractNumId w:val="16"/>
  </w:num>
  <w:num w:numId="2" w16cid:durableId="900947983">
    <w:abstractNumId w:val="13"/>
  </w:num>
  <w:num w:numId="3" w16cid:durableId="1692880427">
    <w:abstractNumId w:val="11"/>
  </w:num>
  <w:num w:numId="4" w16cid:durableId="71242668">
    <w:abstractNumId w:val="10"/>
  </w:num>
  <w:num w:numId="5" w16cid:durableId="1487355033">
    <w:abstractNumId w:val="17"/>
  </w:num>
  <w:num w:numId="6" w16cid:durableId="2038919939">
    <w:abstractNumId w:val="7"/>
  </w:num>
  <w:num w:numId="7" w16cid:durableId="2017921560">
    <w:abstractNumId w:val="6"/>
  </w:num>
  <w:num w:numId="8" w16cid:durableId="1908343484">
    <w:abstractNumId w:val="5"/>
  </w:num>
  <w:num w:numId="9" w16cid:durableId="97676071">
    <w:abstractNumId w:val="4"/>
  </w:num>
  <w:num w:numId="10" w16cid:durableId="224032846">
    <w:abstractNumId w:val="8"/>
  </w:num>
  <w:num w:numId="11" w16cid:durableId="312833361">
    <w:abstractNumId w:val="3"/>
  </w:num>
  <w:num w:numId="12" w16cid:durableId="1960793617">
    <w:abstractNumId w:val="2"/>
  </w:num>
  <w:num w:numId="13" w16cid:durableId="598877118">
    <w:abstractNumId w:val="1"/>
  </w:num>
  <w:num w:numId="14" w16cid:durableId="1793549572">
    <w:abstractNumId w:val="0"/>
  </w:num>
  <w:num w:numId="15" w16cid:durableId="2118786800">
    <w:abstractNumId w:val="9"/>
  </w:num>
  <w:num w:numId="16" w16cid:durableId="734165210">
    <w:abstractNumId w:val="14"/>
  </w:num>
  <w:num w:numId="17" w16cid:durableId="108010920">
    <w:abstractNumId w:val="12"/>
  </w:num>
  <w:num w:numId="18" w16cid:durableId="1882280175">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614"/>
    <w:rsid w:val="000041F8"/>
    <w:rsid w:val="000042A8"/>
    <w:rsid w:val="00004308"/>
    <w:rsid w:val="00005BF0"/>
    <w:rsid w:val="00007154"/>
    <w:rsid w:val="000103AE"/>
    <w:rsid w:val="00011D69"/>
    <w:rsid w:val="00012AD3"/>
    <w:rsid w:val="00014B7C"/>
    <w:rsid w:val="00015C2D"/>
    <w:rsid w:val="00015F00"/>
    <w:rsid w:val="00022C1D"/>
    <w:rsid w:val="0002443A"/>
    <w:rsid w:val="00034987"/>
    <w:rsid w:val="00051015"/>
    <w:rsid w:val="000602DF"/>
    <w:rsid w:val="00061B05"/>
    <w:rsid w:val="000632D5"/>
    <w:rsid w:val="000644EE"/>
    <w:rsid w:val="000675A9"/>
    <w:rsid w:val="0007010B"/>
    <w:rsid w:val="00080ECE"/>
    <w:rsid w:val="0008621D"/>
    <w:rsid w:val="00086E4E"/>
    <w:rsid w:val="00086E70"/>
    <w:rsid w:val="0009057B"/>
    <w:rsid w:val="000925AD"/>
    <w:rsid w:val="000A1DBC"/>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51D8"/>
    <w:rsid w:val="001C6A7B"/>
    <w:rsid w:val="001D5F52"/>
    <w:rsid w:val="001D63ED"/>
    <w:rsid w:val="001D6A9A"/>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25FB6"/>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E18C1"/>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0497"/>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02ADA"/>
    <w:rsid w:val="0041177B"/>
    <w:rsid w:val="00414300"/>
    <w:rsid w:val="0041664A"/>
    <w:rsid w:val="00425C67"/>
    <w:rsid w:val="00427E7A"/>
    <w:rsid w:val="00431C07"/>
    <w:rsid w:val="004344E6"/>
    <w:rsid w:val="00436C49"/>
    <w:rsid w:val="0044318F"/>
    <w:rsid w:val="00445366"/>
    <w:rsid w:val="00447F5B"/>
    <w:rsid w:val="00456549"/>
    <w:rsid w:val="004604A0"/>
    <w:rsid w:val="00461DB0"/>
    <w:rsid w:val="00463926"/>
    <w:rsid w:val="00464C9A"/>
    <w:rsid w:val="004668D2"/>
    <w:rsid w:val="00474F3D"/>
    <w:rsid w:val="00477E3A"/>
    <w:rsid w:val="004839C4"/>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C5352"/>
    <w:rsid w:val="004D15F3"/>
    <w:rsid w:val="004D51C3"/>
    <w:rsid w:val="004D5311"/>
    <w:rsid w:val="004D5DCC"/>
    <w:rsid w:val="004E22F1"/>
    <w:rsid w:val="004F10AF"/>
    <w:rsid w:val="004F11A4"/>
    <w:rsid w:val="004F2389"/>
    <w:rsid w:val="004F304D"/>
    <w:rsid w:val="004F4902"/>
    <w:rsid w:val="004F61BE"/>
    <w:rsid w:val="004F66B1"/>
    <w:rsid w:val="00510D77"/>
    <w:rsid w:val="00511C07"/>
    <w:rsid w:val="00516967"/>
    <w:rsid w:val="00516B59"/>
    <w:rsid w:val="005173A6"/>
    <w:rsid w:val="00520BAA"/>
    <w:rsid w:val="00520BC2"/>
    <w:rsid w:val="00522ABA"/>
    <w:rsid w:val="00525208"/>
    <w:rsid w:val="005257A5"/>
    <w:rsid w:val="005264C0"/>
    <w:rsid w:val="00526A8A"/>
    <w:rsid w:val="00531DF2"/>
    <w:rsid w:val="005442EE"/>
    <w:rsid w:val="00547353"/>
    <w:rsid w:val="005474E7"/>
    <w:rsid w:val="005512A3"/>
    <w:rsid w:val="00554315"/>
    <w:rsid w:val="005578CE"/>
    <w:rsid w:val="00562781"/>
    <w:rsid w:val="005631B4"/>
    <w:rsid w:val="00566E2B"/>
    <w:rsid w:val="0057271C"/>
    <w:rsid w:val="00572845"/>
    <w:rsid w:val="00576986"/>
    <w:rsid w:val="00592772"/>
    <w:rsid w:val="00592C8D"/>
    <w:rsid w:val="005939AC"/>
    <w:rsid w:val="00594B9A"/>
    <w:rsid w:val="0059574A"/>
    <w:rsid w:val="005A1B9B"/>
    <w:rsid w:val="005A6751"/>
    <w:rsid w:val="005A6F39"/>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F51E1"/>
    <w:rsid w:val="00603614"/>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0906"/>
    <w:rsid w:val="00691270"/>
    <w:rsid w:val="00694BA8"/>
    <w:rsid w:val="006A037C"/>
    <w:rsid w:val="006A2534"/>
    <w:rsid w:val="006A36F4"/>
    <w:rsid w:val="006A406F"/>
    <w:rsid w:val="006A5D3A"/>
    <w:rsid w:val="006C23D4"/>
    <w:rsid w:val="006C475E"/>
    <w:rsid w:val="006C7BB0"/>
    <w:rsid w:val="006D3237"/>
    <w:rsid w:val="006E2E37"/>
    <w:rsid w:val="006E3CF1"/>
    <w:rsid w:val="006E7E80"/>
    <w:rsid w:val="006F158C"/>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52302"/>
    <w:rsid w:val="007612E2"/>
    <w:rsid w:val="00764D4E"/>
    <w:rsid w:val="00765A1F"/>
    <w:rsid w:val="00775B6D"/>
    <w:rsid w:val="00776D68"/>
    <w:rsid w:val="0078300D"/>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27C"/>
    <w:rsid w:val="007D4832"/>
    <w:rsid w:val="007E21B2"/>
    <w:rsid w:val="007E2C4E"/>
    <w:rsid w:val="007F1905"/>
    <w:rsid w:val="00801300"/>
    <w:rsid w:val="00802C64"/>
    <w:rsid w:val="0080523A"/>
    <w:rsid w:val="00805E52"/>
    <w:rsid w:val="008061D0"/>
    <w:rsid w:val="00810B38"/>
    <w:rsid w:val="00817D2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C26DE"/>
    <w:rsid w:val="008D093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96B"/>
    <w:rsid w:val="00947AFB"/>
    <w:rsid w:val="00951D7D"/>
    <w:rsid w:val="00954AD6"/>
    <w:rsid w:val="00961E57"/>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3EDD"/>
    <w:rsid w:val="009E776C"/>
    <w:rsid w:val="00A00672"/>
    <w:rsid w:val="00A065BF"/>
    <w:rsid w:val="00A132AD"/>
    <w:rsid w:val="00A1630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65D2"/>
    <w:rsid w:val="00A94C20"/>
    <w:rsid w:val="00AA227F"/>
    <w:rsid w:val="00AA3BC7"/>
    <w:rsid w:val="00AA5E4E"/>
    <w:rsid w:val="00AA754A"/>
    <w:rsid w:val="00AB099E"/>
    <w:rsid w:val="00AB4328"/>
    <w:rsid w:val="00AB5628"/>
    <w:rsid w:val="00AB7415"/>
    <w:rsid w:val="00AC00C2"/>
    <w:rsid w:val="00AC5872"/>
    <w:rsid w:val="00AD2473"/>
    <w:rsid w:val="00AE0A2E"/>
    <w:rsid w:val="00AE354C"/>
    <w:rsid w:val="00AF4B07"/>
    <w:rsid w:val="00AF6186"/>
    <w:rsid w:val="00AF7A3A"/>
    <w:rsid w:val="00B009F4"/>
    <w:rsid w:val="00B160DB"/>
    <w:rsid w:val="00B20836"/>
    <w:rsid w:val="00B20F1A"/>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3D7F"/>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61D3B"/>
    <w:rsid w:val="00C644A9"/>
    <w:rsid w:val="00C74810"/>
    <w:rsid w:val="00C81ACF"/>
    <w:rsid w:val="00C90D68"/>
    <w:rsid w:val="00C939FE"/>
    <w:rsid w:val="00CA4BDA"/>
    <w:rsid w:val="00CA7C61"/>
    <w:rsid w:val="00CB1F66"/>
    <w:rsid w:val="00CB2951"/>
    <w:rsid w:val="00CC2348"/>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D16"/>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26D7"/>
    <w:rsid w:val="00DF4B6A"/>
    <w:rsid w:val="00E02C09"/>
    <w:rsid w:val="00E04D59"/>
    <w:rsid w:val="00E07DA1"/>
    <w:rsid w:val="00E123CB"/>
    <w:rsid w:val="00E20E13"/>
    <w:rsid w:val="00E21DBC"/>
    <w:rsid w:val="00E275D7"/>
    <w:rsid w:val="00E27DBE"/>
    <w:rsid w:val="00E32AB1"/>
    <w:rsid w:val="00E36C71"/>
    <w:rsid w:val="00E37E79"/>
    <w:rsid w:val="00E40404"/>
    <w:rsid w:val="00E459C6"/>
    <w:rsid w:val="00E47589"/>
    <w:rsid w:val="00E64915"/>
    <w:rsid w:val="00E661D4"/>
    <w:rsid w:val="00E70091"/>
    <w:rsid w:val="00E720F5"/>
    <w:rsid w:val="00E73ED3"/>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E6D15"/>
    <w:rsid w:val="00EF34CB"/>
    <w:rsid w:val="00EF6E2D"/>
    <w:rsid w:val="00F00A79"/>
    <w:rsid w:val="00F00E86"/>
    <w:rsid w:val="00F07C1E"/>
    <w:rsid w:val="00F105DB"/>
    <w:rsid w:val="00F132BC"/>
    <w:rsid w:val="00F13D80"/>
    <w:rsid w:val="00F16AAA"/>
    <w:rsid w:val="00F21161"/>
    <w:rsid w:val="00F218EF"/>
    <w:rsid w:val="00F21BC7"/>
    <w:rsid w:val="00F25EFC"/>
    <w:rsid w:val="00F25FAD"/>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0688"/>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C6F0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1630D"/>
    <w:rPr>
      <w:sz w:val="24"/>
      <w:szCs w:val="24"/>
      <w:lang w:val="fr-FR"/>
    </w:rPr>
  </w:style>
  <w:style w:type="paragraph" w:styleId="Heading1">
    <w:name w:val="heading 1"/>
    <w:basedOn w:val="Normal"/>
    <w:next w:val="Normal"/>
    <w:link w:val="Heading1Char"/>
    <w:uiPriority w:val="98"/>
    <w:semiHidden/>
    <w:rsid w:val="00A1630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1630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1630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1630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1630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1630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1630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1630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1630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1630D"/>
    <w:rPr>
      <w:rFonts w:ascii="Tahoma" w:hAnsi="Tahoma" w:cs="Tahoma"/>
      <w:sz w:val="16"/>
      <w:szCs w:val="16"/>
    </w:rPr>
  </w:style>
  <w:style w:type="character" w:customStyle="1" w:styleId="BalloonTextChar">
    <w:name w:val="Balloon Text Char"/>
    <w:basedOn w:val="DefaultParagraphFont"/>
    <w:link w:val="BalloonText"/>
    <w:uiPriority w:val="98"/>
    <w:semiHidden/>
    <w:rsid w:val="00A1630D"/>
    <w:rPr>
      <w:rFonts w:ascii="Tahoma" w:hAnsi="Tahoma" w:cs="Tahoma"/>
      <w:sz w:val="16"/>
      <w:szCs w:val="16"/>
      <w:lang w:val="fr-FR"/>
    </w:rPr>
  </w:style>
  <w:style w:type="character" w:styleId="BookTitle">
    <w:name w:val="Book Title"/>
    <w:uiPriority w:val="98"/>
    <w:semiHidden/>
    <w:qFormat/>
    <w:rsid w:val="00A1630D"/>
    <w:rPr>
      <w:i/>
      <w:iCs/>
      <w:smallCaps/>
      <w:spacing w:val="5"/>
    </w:rPr>
  </w:style>
  <w:style w:type="paragraph" w:customStyle="1" w:styleId="JuHeader">
    <w:name w:val="Ju_Header"/>
    <w:aliases w:val="_Header"/>
    <w:basedOn w:val="Header0"/>
    <w:uiPriority w:val="29"/>
    <w:qFormat/>
    <w:rsid w:val="00A1630D"/>
    <w:pPr>
      <w:tabs>
        <w:tab w:val="clear" w:pos="4536"/>
        <w:tab w:val="clear" w:pos="9072"/>
      </w:tabs>
      <w:jc w:val="center"/>
    </w:pPr>
    <w:rPr>
      <w:sz w:val="18"/>
    </w:rPr>
  </w:style>
  <w:style w:type="paragraph" w:customStyle="1" w:styleId="DummyStyle">
    <w:name w:val="Dummy_Style"/>
    <w:aliases w:val="_Dummy"/>
    <w:basedOn w:val="Normal"/>
    <w:semiHidden/>
    <w:qFormat/>
    <w:rsid w:val="00A1630D"/>
    <w:rPr>
      <w:color w:val="00B050"/>
      <w:sz w:val="22"/>
    </w:rPr>
  </w:style>
  <w:style w:type="character" w:styleId="Strong">
    <w:name w:val="Strong"/>
    <w:uiPriority w:val="98"/>
    <w:semiHidden/>
    <w:qFormat/>
    <w:rsid w:val="00A1630D"/>
    <w:rPr>
      <w:b/>
      <w:bCs/>
    </w:rPr>
  </w:style>
  <w:style w:type="paragraph" w:styleId="NoSpacing">
    <w:name w:val="No Spacing"/>
    <w:basedOn w:val="Normal"/>
    <w:link w:val="NoSpacingChar"/>
    <w:uiPriority w:val="98"/>
    <w:semiHidden/>
    <w:qFormat/>
    <w:rsid w:val="00A1630D"/>
  </w:style>
  <w:style w:type="character" w:customStyle="1" w:styleId="NoSpacingChar">
    <w:name w:val="No Spacing Char"/>
    <w:basedOn w:val="DefaultParagraphFont"/>
    <w:link w:val="NoSpacing"/>
    <w:uiPriority w:val="98"/>
    <w:semiHidden/>
    <w:rsid w:val="00A1630D"/>
    <w:rPr>
      <w:sz w:val="24"/>
      <w:szCs w:val="24"/>
      <w:lang w:val="fr-FR"/>
    </w:rPr>
  </w:style>
  <w:style w:type="paragraph" w:customStyle="1" w:styleId="JuQuot">
    <w:name w:val="Ju_Quot"/>
    <w:aliases w:val="_Quote"/>
    <w:basedOn w:val="NormalJustified"/>
    <w:uiPriority w:val="20"/>
    <w:qFormat/>
    <w:rsid w:val="00A1630D"/>
    <w:pPr>
      <w:spacing w:before="120" w:after="120"/>
      <w:ind w:left="425" w:firstLine="142"/>
    </w:pPr>
    <w:rPr>
      <w:sz w:val="20"/>
    </w:rPr>
  </w:style>
  <w:style w:type="paragraph" w:customStyle="1" w:styleId="JuList">
    <w:name w:val="Ju_List"/>
    <w:aliases w:val="_List_1"/>
    <w:basedOn w:val="NormalJustified"/>
    <w:uiPriority w:val="23"/>
    <w:qFormat/>
    <w:rsid w:val="00A1630D"/>
    <w:pPr>
      <w:numPr>
        <w:numId w:val="17"/>
      </w:numPr>
      <w:spacing w:before="280" w:after="60"/>
    </w:pPr>
  </w:style>
  <w:style w:type="paragraph" w:customStyle="1" w:styleId="JuLista">
    <w:name w:val="Ju_List_a"/>
    <w:aliases w:val="_List_2"/>
    <w:basedOn w:val="NormalJustified"/>
    <w:uiPriority w:val="23"/>
    <w:rsid w:val="00A1630D"/>
    <w:pPr>
      <w:numPr>
        <w:ilvl w:val="1"/>
        <w:numId w:val="17"/>
      </w:numPr>
    </w:pPr>
  </w:style>
  <w:style w:type="paragraph" w:customStyle="1" w:styleId="JuListi">
    <w:name w:val="Ju_List_i"/>
    <w:aliases w:val="_List_3"/>
    <w:basedOn w:val="NormalJustified"/>
    <w:uiPriority w:val="23"/>
    <w:rsid w:val="00A1630D"/>
    <w:pPr>
      <w:numPr>
        <w:ilvl w:val="2"/>
        <w:numId w:val="17"/>
      </w:numPr>
    </w:pPr>
  </w:style>
  <w:style w:type="paragraph" w:customStyle="1" w:styleId="DecHTitle">
    <w:name w:val="Dec_H_Title"/>
    <w:aliases w:val="_Title_1"/>
    <w:basedOn w:val="JuPara"/>
    <w:next w:val="JuPara"/>
    <w:uiPriority w:val="38"/>
    <w:qFormat/>
    <w:rsid w:val="00A1630D"/>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A1630D"/>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A1630D"/>
    <w:pPr>
      <w:keepNext/>
      <w:keepLines/>
      <w:tabs>
        <w:tab w:val="right" w:pos="7938"/>
      </w:tabs>
      <w:ind w:firstLine="0"/>
      <w:jc w:val="center"/>
    </w:pPr>
    <w:rPr>
      <w:i/>
    </w:rPr>
  </w:style>
  <w:style w:type="numbering" w:customStyle="1" w:styleId="ECHRA1StyleBulletedSquare">
    <w:name w:val="ECHR_A1_Style_Bulleted_Square"/>
    <w:basedOn w:val="NoList"/>
    <w:rsid w:val="00A1630D"/>
    <w:pPr>
      <w:numPr>
        <w:numId w:val="16"/>
      </w:numPr>
    </w:pPr>
  </w:style>
  <w:style w:type="paragraph" w:customStyle="1" w:styleId="JuHHead">
    <w:name w:val="Ju_H_Head"/>
    <w:aliases w:val="_Head_1"/>
    <w:basedOn w:val="Heading1"/>
    <w:next w:val="JuPara"/>
    <w:uiPriority w:val="17"/>
    <w:qFormat/>
    <w:rsid w:val="00A1630D"/>
    <w:pPr>
      <w:keepNext/>
      <w:keepLines/>
      <w:numPr>
        <w:numId w:val="15"/>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A1630D"/>
    <w:pPr>
      <w:numPr>
        <w:numId w:val="17"/>
      </w:numPr>
    </w:pPr>
  </w:style>
  <w:style w:type="paragraph" w:customStyle="1" w:styleId="JuSigned">
    <w:name w:val="Ju_Signed"/>
    <w:aliases w:val="_Signature"/>
    <w:basedOn w:val="Normal"/>
    <w:next w:val="JuPara"/>
    <w:uiPriority w:val="31"/>
    <w:qFormat/>
    <w:rsid w:val="00A1630D"/>
    <w:pPr>
      <w:tabs>
        <w:tab w:val="center" w:pos="1418"/>
        <w:tab w:val="center" w:pos="5954"/>
      </w:tabs>
      <w:spacing w:before="720"/>
    </w:pPr>
  </w:style>
  <w:style w:type="paragraph" w:styleId="Title">
    <w:name w:val="Title"/>
    <w:basedOn w:val="Normal"/>
    <w:next w:val="Normal"/>
    <w:link w:val="TitleChar"/>
    <w:uiPriority w:val="98"/>
    <w:semiHidden/>
    <w:qFormat/>
    <w:rsid w:val="00A1630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1630D"/>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1630D"/>
    <w:pPr>
      <w:numPr>
        <w:numId w:val="18"/>
      </w:numPr>
    </w:pPr>
  </w:style>
  <w:style w:type="table" w:customStyle="1" w:styleId="ECHRTable2019">
    <w:name w:val="ECHR_Table_2019"/>
    <w:basedOn w:val="TableNormal"/>
    <w:uiPriority w:val="99"/>
    <w:rsid w:val="00A1630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A1630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1630D"/>
    <w:pPr>
      <w:tabs>
        <w:tab w:val="center" w:pos="6407"/>
      </w:tabs>
      <w:spacing w:before="720"/>
      <w:jc w:val="right"/>
    </w:pPr>
  </w:style>
  <w:style w:type="paragraph" w:customStyle="1" w:styleId="JuHIRoman">
    <w:name w:val="Ju_H_I_Roman"/>
    <w:aliases w:val="_Head_2"/>
    <w:basedOn w:val="Heading2"/>
    <w:next w:val="JuPara"/>
    <w:uiPriority w:val="17"/>
    <w:qFormat/>
    <w:rsid w:val="00A1630D"/>
    <w:pPr>
      <w:keepNext/>
      <w:keepLines/>
      <w:numPr>
        <w:ilvl w:val="1"/>
        <w:numId w:val="1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1630D"/>
    <w:pPr>
      <w:keepNext/>
      <w:keepLines/>
      <w:numPr>
        <w:ilvl w:val="2"/>
        <w:numId w:val="1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1630D"/>
    <w:pPr>
      <w:keepNext/>
      <w:keepLines/>
      <w:numPr>
        <w:ilvl w:val="3"/>
        <w:numId w:val="15"/>
      </w:numPr>
      <w:spacing w:before="100" w:beforeAutospacing="1" w:after="120"/>
      <w:jc w:val="both"/>
    </w:pPr>
    <w:rPr>
      <w:b w:val="0"/>
      <w:color w:val="auto"/>
      <w:sz w:val="24"/>
    </w:rPr>
  </w:style>
  <w:style w:type="paragraph" w:styleId="Header0">
    <w:name w:val="header"/>
    <w:basedOn w:val="Normal"/>
    <w:link w:val="HeaderChar"/>
    <w:uiPriority w:val="98"/>
    <w:semiHidden/>
    <w:rsid w:val="00A1630D"/>
    <w:pPr>
      <w:tabs>
        <w:tab w:val="center" w:pos="4536"/>
        <w:tab w:val="right" w:pos="9072"/>
      </w:tabs>
    </w:pPr>
  </w:style>
  <w:style w:type="character" w:customStyle="1" w:styleId="HeaderChar">
    <w:name w:val="Header Char"/>
    <w:basedOn w:val="DefaultParagraphFont"/>
    <w:link w:val="Header0"/>
    <w:uiPriority w:val="98"/>
    <w:semiHidden/>
    <w:rsid w:val="00A1630D"/>
    <w:rPr>
      <w:sz w:val="24"/>
      <w:szCs w:val="24"/>
      <w:lang w:val="fr-FR"/>
    </w:rPr>
  </w:style>
  <w:style w:type="character" w:customStyle="1" w:styleId="Heading1Char">
    <w:name w:val="Heading 1 Char"/>
    <w:basedOn w:val="DefaultParagraphFont"/>
    <w:link w:val="Heading1"/>
    <w:uiPriority w:val="98"/>
    <w:semiHidden/>
    <w:rsid w:val="00A1630D"/>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A1630D"/>
    <w:pPr>
      <w:keepNext/>
      <w:keepLines/>
      <w:numPr>
        <w:ilvl w:val="4"/>
        <w:numId w:val="15"/>
      </w:numPr>
      <w:spacing w:before="100" w:beforeAutospacing="1" w:after="120"/>
      <w:jc w:val="both"/>
    </w:pPr>
    <w:rPr>
      <w:color w:val="auto"/>
      <w:sz w:val="20"/>
    </w:rPr>
  </w:style>
  <w:style w:type="paragraph" w:customStyle="1" w:styleId="JuHi">
    <w:name w:val="Ju_H_i"/>
    <w:aliases w:val="_Head_6"/>
    <w:basedOn w:val="Heading6"/>
    <w:next w:val="JuPara"/>
    <w:uiPriority w:val="17"/>
    <w:rsid w:val="00A1630D"/>
    <w:pPr>
      <w:keepNext/>
      <w:keepLines/>
      <w:numPr>
        <w:ilvl w:val="5"/>
        <w:numId w:val="1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1630D"/>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A1630D"/>
    <w:pPr>
      <w:keepNext/>
      <w:keepLines/>
      <w:numPr>
        <w:ilvl w:val="6"/>
        <w:numId w:val="1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1630D"/>
    <w:pPr>
      <w:keepNext/>
      <w:keepLines/>
      <w:numPr>
        <w:ilvl w:val="7"/>
        <w:numId w:val="15"/>
      </w:numPr>
      <w:spacing w:before="100" w:beforeAutospacing="1" w:after="120"/>
      <w:jc w:val="both"/>
    </w:pPr>
    <w:rPr>
      <w:i/>
    </w:rPr>
  </w:style>
  <w:style w:type="character" w:customStyle="1" w:styleId="Heading3Char">
    <w:name w:val="Heading 3 Char"/>
    <w:basedOn w:val="DefaultParagraphFont"/>
    <w:link w:val="Heading3"/>
    <w:uiPriority w:val="98"/>
    <w:semiHidden/>
    <w:rsid w:val="00A1630D"/>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A1630D"/>
    <w:pPr>
      <w:keepNext/>
      <w:keepLines/>
      <w:spacing w:before="240" w:after="240"/>
      <w:ind w:firstLine="284"/>
    </w:pPr>
  </w:style>
  <w:style w:type="paragraph" w:customStyle="1" w:styleId="JuJudges">
    <w:name w:val="Ju_Judges"/>
    <w:aliases w:val="_Judges"/>
    <w:basedOn w:val="Normal"/>
    <w:uiPriority w:val="32"/>
    <w:qFormat/>
    <w:rsid w:val="00A1630D"/>
    <w:pPr>
      <w:tabs>
        <w:tab w:val="left" w:pos="567"/>
        <w:tab w:val="left" w:pos="1134"/>
      </w:tabs>
    </w:pPr>
  </w:style>
  <w:style w:type="character" w:customStyle="1" w:styleId="Heading4Char">
    <w:name w:val="Heading 4 Char"/>
    <w:basedOn w:val="DefaultParagraphFont"/>
    <w:link w:val="Heading4"/>
    <w:uiPriority w:val="98"/>
    <w:semiHidden/>
    <w:rsid w:val="00A1630D"/>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A1630D"/>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A1630D"/>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A1630D"/>
    <w:rPr>
      <w:caps w:val="0"/>
      <w:smallCaps/>
    </w:rPr>
  </w:style>
  <w:style w:type="paragraph" w:customStyle="1" w:styleId="NormalJustified">
    <w:name w:val="Normal_Justified"/>
    <w:basedOn w:val="Normal"/>
    <w:semiHidden/>
    <w:rsid w:val="00A1630D"/>
    <w:pPr>
      <w:jc w:val="both"/>
    </w:pPr>
  </w:style>
  <w:style w:type="character" w:styleId="SubtleEmphasis">
    <w:name w:val="Subtle Emphasis"/>
    <w:uiPriority w:val="98"/>
    <w:semiHidden/>
    <w:qFormat/>
    <w:rsid w:val="00A1630D"/>
    <w:rPr>
      <w:i/>
      <w:iCs/>
    </w:rPr>
  </w:style>
  <w:style w:type="table" w:customStyle="1" w:styleId="ECHRTable">
    <w:name w:val="ECHR_Table"/>
    <w:basedOn w:val="TableNormal"/>
    <w:rsid w:val="00A1630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1630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1630D"/>
    <w:rPr>
      <w:b/>
      <w:bCs/>
      <w:i/>
      <w:iCs/>
      <w:spacing w:val="10"/>
      <w:bdr w:val="none" w:sz="0" w:space="0" w:color="auto"/>
      <w:shd w:val="clear" w:color="auto" w:fill="auto"/>
    </w:rPr>
  </w:style>
  <w:style w:type="paragraph" w:styleId="Footer1">
    <w:name w:val="footer"/>
    <w:basedOn w:val="Normal"/>
    <w:link w:val="FooterChar"/>
    <w:uiPriority w:val="98"/>
    <w:semiHidden/>
    <w:rsid w:val="00A1630D"/>
    <w:pPr>
      <w:tabs>
        <w:tab w:val="center" w:pos="3686"/>
        <w:tab w:val="right" w:pos="7371"/>
      </w:tabs>
    </w:pPr>
  </w:style>
  <w:style w:type="character" w:customStyle="1" w:styleId="FooterChar">
    <w:name w:val="Footer Char"/>
    <w:basedOn w:val="DefaultParagraphFont"/>
    <w:link w:val="Footer1"/>
    <w:uiPriority w:val="98"/>
    <w:semiHidden/>
    <w:rsid w:val="00A1630D"/>
    <w:rPr>
      <w:sz w:val="24"/>
      <w:szCs w:val="24"/>
      <w:lang w:val="fr-FR"/>
    </w:rPr>
  </w:style>
  <w:style w:type="character" w:styleId="FootnoteReference">
    <w:name w:val="footnote reference"/>
    <w:basedOn w:val="DefaultParagraphFont"/>
    <w:uiPriority w:val="98"/>
    <w:semiHidden/>
    <w:rsid w:val="00A1630D"/>
    <w:rPr>
      <w:vertAlign w:val="superscript"/>
    </w:rPr>
  </w:style>
  <w:style w:type="paragraph" w:styleId="FootnoteText">
    <w:name w:val="footnote text"/>
    <w:basedOn w:val="NormalJustified"/>
    <w:link w:val="FootnoteTextChar"/>
    <w:uiPriority w:val="98"/>
    <w:semiHidden/>
    <w:rsid w:val="00A1630D"/>
    <w:rPr>
      <w:sz w:val="20"/>
      <w:szCs w:val="20"/>
    </w:rPr>
  </w:style>
  <w:style w:type="character" w:customStyle="1" w:styleId="FootnoteTextChar">
    <w:name w:val="Footnote Text Char"/>
    <w:basedOn w:val="DefaultParagraphFont"/>
    <w:link w:val="FootnoteText"/>
    <w:uiPriority w:val="98"/>
    <w:semiHidden/>
    <w:rsid w:val="00A1630D"/>
    <w:rPr>
      <w:sz w:val="20"/>
      <w:szCs w:val="20"/>
      <w:lang w:val="fr-FR"/>
    </w:rPr>
  </w:style>
  <w:style w:type="character" w:customStyle="1" w:styleId="Heading6Char">
    <w:name w:val="Heading 6 Char"/>
    <w:basedOn w:val="DefaultParagraphFont"/>
    <w:link w:val="Heading6"/>
    <w:uiPriority w:val="98"/>
    <w:semiHidden/>
    <w:rsid w:val="00A1630D"/>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A1630D"/>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A1630D"/>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A1630D"/>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A1630D"/>
    <w:rPr>
      <w:color w:val="0072BC" w:themeColor="hyperlink"/>
      <w:u w:val="single"/>
    </w:rPr>
  </w:style>
  <w:style w:type="character" w:styleId="IntenseEmphasis">
    <w:name w:val="Intense Emphasis"/>
    <w:uiPriority w:val="98"/>
    <w:semiHidden/>
    <w:qFormat/>
    <w:rsid w:val="00A1630D"/>
    <w:rPr>
      <w:b/>
      <w:bCs/>
    </w:rPr>
  </w:style>
  <w:style w:type="paragraph" w:styleId="IntenseQuote">
    <w:name w:val="Intense Quote"/>
    <w:basedOn w:val="Normal"/>
    <w:next w:val="Normal"/>
    <w:link w:val="IntenseQuoteChar"/>
    <w:uiPriority w:val="98"/>
    <w:semiHidden/>
    <w:qFormat/>
    <w:rsid w:val="00A1630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1630D"/>
    <w:rPr>
      <w:b/>
      <w:bCs/>
      <w:i/>
      <w:iCs/>
      <w:sz w:val="24"/>
      <w:szCs w:val="24"/>
      <w:lang w:val="fr-FR" w:bidi="en-US"/>
    </w:rPr>
  </w:style>
  <w:style w:type="character" w:styleId="IntenseReference">
    <w:name w:val="Intense Reference"/>
    <w:uiPriority w:val="98"/>
    <w:semiHidden/>
    <w:qFormat/>
    <w:rsid w:val="00A1630D"/>
    <w:rPr>
      <w:smallCaps/>
      <w:spacing w:val="5"/>
      <w:u w:val="single"/>
    </w:rPr>
  </w:style>
  <w:style w:type="paragraph" w:styleId="ListParagraph">
    <w:name w:val="List Paragraph"/>
    <w:basedOn w:val="Normal"/>
    <w:uiPriority w:val="98"/>
    <w:semiHidden/>
    <w:qFormat/>
    <w:rsid w:val="00A1630D"/>
    <w:pPr>
      <w:ind w:left="720"/>
      <w:contextualSpacing/>
    </w:pPr>
  </w:style>
  <w:style w:type="table" w:customStyle="1" w:styleId="LtrTableAddress">
    <w:name w:val="Ltr_Table_Address"/>
    <w:aliases w:val="ECHR_Ltr_Table_Address"/>
    <w:basedOn w:val="TableNormal"/>
    <w:uiPriority w:val="99"/>
    <w:rsid w:val="00A1630D"/>
    <w:rPr>
      <w:sz w:val="24"/>
      <w:szCs w:val="24"/>
    </w:rPr>
    <w:tblPr>
      <w:tblInd w:w="5103" w:type="dxa"/>
    </w:tblPr>
  </w:style>
  <w:style w:type="paragraph" w:styleId="Quote0">
    <w:name w:val="Quote"/>
    <w:basedOn w:val="Normal"/>
    <w:next w:val="Normal"/>
    <w:link w:val="QuoteChar"/>
    <w:uiPriority w:val="98"/>
    <w:semiHidden/>
    <w:qFormat/>
    <w:rsid w:val="00A1630D"/>
    <w:pPr>
      <w:spacing w:before="200"/>
      <w:ind w:left="360" w:right="360"/>
    </w:pPr>
    <w:rPr>
      <w:i/>
      <w:iCs/>
      <w:lang w:bidi="en-US"/>
    </w:rPr>
  </w:style>
  <w:style w:type="character" w:customStyle="1" w:styleId="QuoteChar">
    <w:name w:val="Quote Char"/>
    <w:basedOn w:val="DefaultParagraphFont"/>
    <w:link w:val="Quote0"/>
    <w:uiPriority w:val="98"/>
    <w:semiHidden/>
    <w:rsid w:val="00A1630D"/>
    <w:rPr>
      <w:i/>
      <w:iCs/>
      <w:sz w:val="24"/>
      <w:szCs w:val="24"/>
      <w:lang w:val="fr-FR" w:bidi="en-US"/>
    </w:rPr>
  </w:style>
  <w:style w:type="character" w:styleId="SubtleReference">
    <w:name w:val="Subtle Reference"/>
    <w:uiPriority w:val="98"/>
    <w:semiHidden/>
    <w:qFormat/>
    <w:rsid w:val="00A1630D"/>
    <w:rPr>
      <w:smallCaps/>
    </w:rPr>
  </w:style>
  <w:style w:type="table" w:styleId="TableGrid">
    <w:name w:val="Table Grid"/>
    <w:basedOn w:val="TableNormal"/>
    <w:uiPriority w:val="59"/>
    <w:semiHidden/>
    <w:rsid w:val="00A1630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1630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1630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1630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1630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1630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1630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1630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1630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1630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1630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1630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1630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1630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1630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1630D"/>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1630D"/>
    <w:pPr>
      <w:numPr>
        <w:numId w:val="2"/>
      </w:numPr>
    </w:pPr>
  </w:style>
  <w:style w:type="paragraph" w:customStyle="1" w:styleId="JuPara">
    <w:name w:val="Ju_Para"/>
    <w:aliases w:val="_Para"/>
    <w:basedOn w:val="NormalJustified"/>
    <w:link w:val="JuParaChar"/>
    <w:uiPriority w:val="4"/>
    <w:qFormat/>
    <w:rsid w:val="00A1630D"/>
    <w:pPr>
      <w:ind w:firstLine="284"/>
    </w:pPr>
  </w:style>
  <w:style w:type="numbering" w:styleId="1ai">
    <w:name w:val="Outline List 1"/>
    <w:basedOn w:val="NoList"/>
    <w:uiPriority w:val="99"/>
    <w:semiHidden/>
    <w:unhideWhenUsed/>
    <w:rsid w:val="00A1630D"/>
    <w:pPr>
      <w:numPr>
        <w:numId w:val="3"/>
      </w:numPr>
    </w:pPr>
  </w:style>
  <w:style w:type="table" w:customStyle="1" w:styleId="ECHRTableSimpleBox">
    <w:name w:val="ECHR_Table_Simple_Box"/>
    <w:basedOn w:val="TableNormal"/>
    <w:uiPriority w:val="99"/>
    <w:rsid w:val="00A1630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1630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1630D"/>
    <w:pPr>
      <w:numPr>
        <w:numId w:val="4"/>
      </w:numPr>
    </w:pPr>
  </w:style>
  <w:style w:type="table" w:customStyle="1" w:styleId="ECHRTableForInternalUse">
    <w:name w:val="ECHR_Table_For_Internal_Use"/>
    <w:basedOn w:val="TableNormal"/>
    <w:uiPriority w:val="99"/>
    <w:rsid w:val="00A1630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1630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1630D"/>
  </w:style>
  <w:style w:type="paragraph" w:styleId="BlockText">
    <w:name w:val="Block Text"/>
    <w:basedOn w:val="Normal"/>
    <w:uiPriority w:val="98"/>
    <w:semiHidden/>
    <w:rsid w:val="00A163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1630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1630D"/>
    <w:pPr>
      <w:spacing w:after="120"/>
    </w:pPr>
  </w:style>
  <w:style w:type="character" w:customStyle="1" w:styleId="BodyTextChar">
    <w:name w:val="Body Text Char"/>
    <w:basedOn w:val="DefaultParagraphFont"/>
    <w:link w:val="BodyText"/>
    <w:uiPriority w:val="98"/>
    <w:semiHidden/>
    <w:rsid w:val="00A1630D"/>
    <w:rPr>
      <w:sz w:val="24"/>
      <w:szCs w:val="24"/>
      <w:lang w:val="fr-FR"/>
    </w:rPr>
  </w:style>
  <w:style w:type="table" w:customStyle="1" w:styleId="ECHRTableOddBanded">
    <w:name w:val="ECHR_Table_Odd_Banded"/>
    <w:basedOn w:val="TableNormal"/>
    <w:uiPriority w:val="99"/>
    <w:rsid w:val="00A1630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1630D"/>
    <w:pPr>
      <w:spacing w:after="120" w:line="480" w:lineRule="auto"/>
    </w:pPr>
  </w:style>
  <w:style w:type="table" w:customStyle="1" w:styleId="ECHRHeaderTableReduced">
    <w:name w:val="ECHR_Header_Table_Reduced"/>
    <w:basedOn w:val="TableNormal"/>
    <w:uiPriority w:val="99"/>
    <w:rsid w:val="00A1630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1630D"/>
    <w:pPr>
      <w:ind w:firstLine="284"/>
    </w:pPr>
    <w:rPr>
      <w:b/>
    </w:rPr>
  </w:style>
  <w:style w:type="character" w:styleId="PageNumber">
    <w:name w:val="page number"/>
    <w:uiPriority w:val="98"/>
    <w:semiHidden/>
    <w:rsid w:val="00A1630D"/>
    <w:rPr>
      <w:sz w:val="18"/>
    </w:rPr>
  </w:style>
  <w:style w:type="paragraph" w:styleId="ListBullet2">
    <w:name w:val="List Bullet 2"/>
    <w:basedOn w:val="Normal"/>
    <w:uiPriority w:val="98"/>
    <w:semiHidden/>
    <w:rsid w:val="00A1630D"/>
    <w:pPr>
      <w:numPr>
        <w:numId w:val="6"/>
      </w:numPr>
      <w:contextualSpacing/>
    </w:pPr>
  </w:style>
  <w:style w:type="character" w:customStyle="1" w:styleId="BodyText2Char">
    <w:name w:val="Body Text 2 Char"/>
    <w:basedOn w:val="DefaultParagraphFont"/>
    <w:link w:val="BodyText2"/>
    <w:uiPriority w:val="98"/>
    <w:semiHidden/>
    <w:rsid w:val="00A1630D"/>
    <w:rPr>
      <w:sz w:val="24"/>
      <w:szCs w:val="24"/>
      <w:lang w:val="fr-FR"/>
    </w:rPr>
  </w:style>
  <w:style w:type="paragraph" w:styleId="BodyText3">
    <w:name w:val="Body Text 3"/>
    <w:basedOn w:val="Normal"/>
    <w:link w:val="BodyText3Char"/>
    <w:uiPriority w:val="98"/>
    <w:semiHidden/>
    <w:rsid w:val="00A1630D"/>
    <w:pPr>
      <w:spacing w:after="120"/>
    </w:pPr>
    <w:rPr>
      <w:sz w:val="16"/>
      <w:szCs w:val="16"/>
    </w:rPr>
  </w:style>
  <w:style w:type="character" w:customStyle="1" w:styleId="BodyText3Char">
    <w:name w:val="Body Text 3 Char"/>
    <w:basedOn w:val="DefaultParagraphFont"/>
    <w:link w:val="BodyText3"/>
    <w:uiPriority w:val="98"/>
    <w:semiHidden/>
    <w:rsid w:val="00A1630D"/>
    <w:rPr>
      <w:sz w:val="16"/>
      <w:szCs w:val="16"/>
      <w:lang w:val="fr-FR"/>
    </w:rPr>
  </w:style>
  <w:style w:type="paragraph" w:styleId="BodyTextFirstIndent">
    <w:name w:val="Body Text First Indent"/>
    <w:basedOn w:val="BodyText"/>
    <w:link w:val="BodyTextFirstIndentChar"/>
    <w:uiPriority w:val="98"/>
    <w:semiHidden/>
    <w:rsid w:val="00A1630D"/>
    <w:pPr>
      <w:spacing w:after="0"/>
      <w:ind w:firstLine="360"/>
    </w:pPr>
  </w:style>
  <w:style w:type="character" w:customStyle="1" w:styleId="BodyTextFirstIndentChar">
    <w:name w:val="Body Text First Indent Char"/>
    <w:basedOn w:val="BodyTextChar"/>
    <w:link w:val="BodyTextFirstIndent"/>
    <w:uiPriority w:val="98"/>
    <w:semiHidden/>
    <w:rsid w:val="00A1630D"/>
    <w:rPr>
      <w:sz w:val="24"/>
      <w:szCs w:val="24"/>
      <w:lang w:val="fr-FR"/>
    </w:rPr>
  </w:style>
  <w:style w:type="paragraph" w:styleId="BodyTextIndent">
    <w:name w:val="Body Text Indent"/>
    <w:basedOn w:val="Normal"/>
    <w:link w:val="BodyTextIndentChar"/>
    <w:uiPriority w:val="98"/>
    <w:semiHidden/>
    <w:rsid w:val="00A1630D"/>
    <w:pPr>
      <w:spacing w:after="120"/>
      <w:ind w:left="283"/>
    </w:pPr>
  </w:style>
  <w:style w:type="character" w:customStyle="1" w:styleId="BodyTextIndentChar">
    <w:name w:val="Body Text Indent Char"/>
    <w:basedOn w:val="DefaultParagraphFont"/>
    <w:link w:val="BodyTextIndent"/>
    <w:uiPriority w:val="98"/>
    <w:semiHidden/>
    <w:rsid w:val="00A1630D"/>
    <w:rPr>
      <w:sz w:val="24"/>
      <w:szCs w:val="24"/>
      <w:lang w:val="fr-FR"/>
    </w:rPr>
  </w:style>
  <w:style w:type="paragraph" w:styleId="BodyTextFirstIndent2">
    <w:name w:val="Body Text First Indent 2"/>
    <w:basedOn w:val="BodyTextIndent"/>
    <w:link w:val="BodyTextFirstIndent2Char"/>
    <w:uiPriority w:val="98"/>
    <w:semiHidden/>
    <w:rsid w:val="00A1630D"/>
    <w:pPr>
      <w:spacing w:after="0"/>
      <w:ind w:left="360" w:firstLine="360"/>
    </w:pPr>
  </w:style>
  <w:style w:type="character" w:customStyle="1" w:styleId="BodyTextFirstIndent2Char">
    <w:name w:val="Body Text First Indent 2 Char"/>
    <w:basedOn w:val="BodyTextIndentChar"/>
    <w:link w:val="BodyTextFirstIndent2"/>
    <w:uiPriority w:val="98"/>
    <w:semiHidden/>
    <w:rsid w:val="00A1630D"/>
    <w:rPr>
      <w:sz w:val="24"/>
      <w:szCs w:val="24"/>
      <w:lang w:val="fr-FR"/>
    </w:rPr>
  </w:style>
  <w:style w:type="paragraph" w:styleId="BodyTextIndent2">
    <w:name w:val="Body Text Indent 2"/>
    <w:basedOn w:val="Normal"/>
    <w:link w:val="BodyTextIndent2Char"/>
    <w:uiPriority w:val="98"/>
    <w:semiHidden/>
    <w:rsid w:val="00A1630D"/>
    <w:pPr>
      <w:spacing w:after="120" w:line="480" w:lineRule="auto"/>
      <w:ind w:left="283"/>
    </w:pPr>
  </w:style>
  <w:style w:type="character" w:customStyle="1" w:styleId="BodyTextIndent2Char">
    <w:name w:val="Body Text Indent 2 Char"/>
    <w:basedOn w:val="DefaultParagraphFont"/>
    <w:link w:val="BodyTextIndent2"/>
    <w:uiPriority w:val="98"/>
    <w:semiHidden/>
    <w:rsid w:val="00A1630D"/>
    <w:rPr>
      <w:sz w:val="24"/>
      <w:szCs w:val="24"/>
      <w:lang w:val="fr-FR"/>
    </w:rPr>
  </w:style>
  <w:style w:type="paragraph" w:styleId="BodyTextIndent3">
    <w:name w:val="Body Text Indent 3"/>
    <w:basedOn w:val="Normal"/>
    <w:link w:val="BodyTextIndent3Char"/>
    <w:uiPriority w:val="98"/>
    <w:semiHidden/>
    <w:rsid w:val="00A1630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1630D"/>
    <w:rPr>
      <w:sz w:val="16"/>
      <w:szCs w:val="16"/>
      <w:lang w:val="fr-FR"/>
    </w:rPr>
  </w:style>
  <w:style w:type="paragraph" w:styleId="Caption">
    <w:name w:val="caption"/>
    <w:basedOn w:val="Normal"/>
    <w:next w:val="Normal"/>
    <w:uiPriority w:val="98"/>
    <w:semiHidden/>
    <w:qFormat/>
    <w:rsid w:val="00A1630D"/>
    <w:pPr>
      <w:spacing w:after="200"/>
    </w:pPr>
    <w:rPr>
      <w:b/>
      <w:bCs/>
      <w:color w:val="0072BC" w:themeColor="accent1"/>
      <w:sz w:val="18"/>
      <w:szCs w:val="18"/>
    </w:rPr>
  </w:style>
  <w:style w:type="paragraph" w:styleId="Closing">
    <w:name w:val="Closing"/>
    <w:basedOn w:val="Normal"/>
    <w:link w:val="ClosingChar"/>
    <w:uiPriority w:val="98"/>
    <w:semiHidden/>
    <w:rsid w:val="00A1630D"/>
    <w:pPr>
      <w:ind w:left="4252"/>
    </w:pPr>
  </w:style>
  <w:style w:type="character" w:customStyle="1" w:styleId="ClosingChar">
    <w:name w:val="Closing Char"/>
    <w:basedOn w:val="DefaultParagraphFont"/>
    <w:link w:val="Closing"/>
    <w:uiPriority w:val="98"/>
    <w:semiHidden/>
    <w:rsid w:val="00A1630D"/>
    <w:rPr>
      <w:sz w:val="24"/>
      <w:szCs w:val="24"/>
      <w:lang w:val="fr-FR"/>
    </w:rPr>
  </w:style>
  <w:style w:type="table" w:styleId="ColorfulGrid">
    <w:name w:val="Colorful Grid"/>
    <w:basedOn w:val="TableNormal"/>
    <w:uiPriority w:val="73"/>
    <w:semiHidden/>
    <w:rsid w:val="00A1630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1630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1630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1630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1630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1630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1630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1630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1630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1630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1630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1630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1630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1630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1630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1630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1630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1630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1630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1630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1630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1630D"/>
    <w:rPr>
      <w:sz w:val="16"/>
      <w:szCs w:val="16"/>
    </w:rPr>
  </w:style>
  <w:style w:type="paragraph" w:styleId="CommentText">
    <w:name w:val="annotation text"/>
    <w:basedOn w:val="Normal"/>
    <w:link w:val="CommentTextChar"/>
    <w:uiPriority w:val="98"/>
    <w:semiHidden/>
    <w:rsid w:val="00A1630D"/>
    <w:rPr>
      <w:sz w:val="20"/>
      <w:szCs w:val="20"/>
    </w:rPr>
  </w:style>
  <w:style w:type="character" w:customStyle="1" w:styleId="CommentTextChar">
    <w:name w:val="Comment Text Char"/>
    <w:basedOn w:val="DefaultParagraphFont"/>
    <w:link w:val="CommentText"/>
    <w:uiPriority w:val="98"/>
    <w:semiHidden/>
    <w:rsid w:val="00A1630D"/>
    <w:rPr>
      <w:sz w:val="20"/>
      <w:szCs w:val="20"/>
      <w:lang w:val="fr-FR"/>
    </w:rPr>
  </w:style>
  <w:style w:type="paragraph" w:styleId="CommentSubject">
    <w:name w:val="annotation subject"/>
    <w:basedOn w:val="CommentText"/>
    <w:next w:val="CommentText"/>
    <w:link w:val="CommentSubjectChar"/>
    <w:uiPriority w:val="98"/>
    <w:semiHidden/>
    <w:rsid w:val="00A1630D"/>
    <w:rPr>
      <w:b/>
      <w:bCs/>
    </w:rPr>
  </w:style>
  <w:style w:type="character" w:customStyle="1" w:styleId="CommentSubjectChar">
    <w:name w:val="Comment Subject Char"/>
    <w:basedOn w:val="CommentTextChar"/>
    <w:link w:val="CommentSubject"/>
    <w:uiPriority w:val="98"/>
    <w:semiHidden/>
    <w:rsid w:val="00A1630D"/>
    <w:rPr>
      <w:b/>
      <w:bCs/>
      <w:sz w:val="20"/>
      <w:szCs w:val="20"/>
      <w:lang w:val="fr-FR"/>
    </w:rPr>
  </w:style>
  <w:style w:type="table" w:styleId="DarkList">
    <w:name w:val="Dark List"/>
    <w:basedOn w:val="TableNormal"/>
    <w:uiPriority w:val="70"/>
    <w:semiHidden/>
    <w:rsid w:val="00A1630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1630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1630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1630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1630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1630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1630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1630D"/>
  </w:style>
  <w:style w:type="character" w:customStyle="1" w:styleId="DateChar">
    <w:name w:val="Date Char"/>
    <w:basedOn w:val="DefaultParagraphFont"/>
    <w:link w:val="Date"/>
    <w:uiPriority w:val="98"/>
    <w:semiHidden/>
    <w:rsid w:val="00A1630D"/>
    <w:rPr>
      <w:sz w:val="24"/>
      <w:szCs w:val="24"/>
      <w:lang w:val="fr-FR"/>
    </w:rPr>
  </w:style>
  <w:style w:type="paragraph" w:styleId="DocumentMap">
    <w:name w:val="Document Map"/>
    <w:basedOn w:val="Normal"/>
    <w:link w:val="DocumentMapChar"/>
    <w:uiPriority w:val="98"/>
    <w:semiHidden/>
    <w:rsid w:val="00A1630D"/>
    <w:rPr>
      <w:rFonts w:ascii="Tahoma" w:hAnsi="Tahoma" w:cs="Tahoma"/>
      <w:sz w:val="16"/>
      <w:szCs w:val="16"/>
    </w:rPr>
  </w:style>
  <w:style w:type="character" w:customStyle="1" w:styleId="DocumentMapChar">
    <w:name w:val="Document Map Char"/>
    <w:basedOn w:val="DefaultParagraphFont"/>
    <w:link w:val="DocumentMap"/>
    <w:uiPriority w:val="98"/>
    <w:semiHidden/>
    <w:rsid w:val="00A1630D"/>
    <w:rPr>
      <w:rFonts w:ascii="Tahoma" w:hAnsi="Tahoma" w:cs="Tahoma"/>
      <w:sz w:val="16"/>
      <w:szCs w:val="16"/>
      <w:lang w:val="fr-FR"/>
    </w:rPr>
  </w:style>
  <w:style w:type="paragraph" w:styleId="E-mailSignature">
    <w:name w:val="E-mail Signature"/>
    <w:basedOn w:val="Normal"/>
    <w:link w:val="E-mailSignatureChar"/>
    <w:uiPriority w:val="98"/>
    <w:semiHidden/>
    <w:rsid w:val="00A1630D"/>
  </w:style>
  <w:style w:type="character" w:customStyle="1" w:styleId="E-mailSignatureChar">
    <w:name w:val="E-mail Signature Char"/>
    <w:basedOn w:val="DefaultParagraphFont"/>
    <w:link w:val="E-mailSignature"/>
    <w:uiPriority w:val="98"/>
    <w:semiHidden/>
    <w:rsid w:val="00A1630D"/>
    <w:rPr>
      <w:sz w:val="24"/>
      <w:szCs w:val="24"/>
      <w:lang w:val="fr-FR"/>
    </w:rPr>
  </w:style>
  <w:style w:type="character" w:styleId="EndnoteReference">
    <w:name w:val="endnote reference"/>
    <w:basedOn w:val="DefaultParagraphFont"/>
    <w:uiPriority w:val="98"/>
    <w:semiHidden/>
    <w:rsid w:val="00A1630D"/>
    <w:rPr>
      <w:vertAlign w:val="superscript"/>
    </w:rPr>
  </w:style>
  <w:style w:type="paragraph" w:styleId="EndnoteText">
    <w:name w:val="endnote text"/>
    <w:basedOn w:val="Normal"/>
    <w:link w:val="EndnoteTextChar"/>
    <w:uiPriority w:val="98"/>
    <w:semiHidden/>
    <w:rsid w:val="00A1630D"/>
    <w:rPr>
      <w:sz w:val="20"/>
      <w:szCs w:val="20"/>
    </w:rPr>
  </w:style>
  <w:style w:type="character" w:customStyle="1" w:styleId="EndnoteTextChar">
    <w:name w:val="Endnote Text Char"/>
    <w:basedOn w:val="DefaultParagraphFont"/>
    <w:link w:val="EndnoteText"/>
    <w:uiPriority w:val="98"/>
    <w:semiHidden/>
    <w:rsid w:val="00A1630D"/>
    <w:rPr>
      <w:sz w:val="20"/>
      <w:szCs w:val="20"/>
      <w:lang w:val="fr-FR"/>
    </w:rPr>
  </w:style>
  <w:style w:type="paragraph" w:styleId="EnvelopeAddress">
    <w:name w:val="envelope address"/>
    <w:basedOn w:val="Normal"/>
    <w:uiPriority w:val="98"/>
    <w:semiHidden/>
    <w:rsid w:val="00A1630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1630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1630D"/>
    <w:rPr>
      <w:color w:val="7030A0" w:themeColor="followedHyperlink"/>
      <w:u w:val="single"/>
    </w:rPr>
  </w:style>
  <w:style w:type="character" w:styleId="HTMLAcronym">
    <w:name w:val="HTML Acronym"/>
    <w:basedOn w:val="DefaultParagraphFont"/>
    <w:uiPriority w:val="98"/>
    <w:semiHidden/>
    <w:rsid w:val="00A1630D"/>
  </w:style>
  <w:style w:type="paragraph" w:styleId="HTMLAddress">
    <w:name w:val="HTML Address"/>
    <w:basedOn w:val="Normal"/>
    <w:link w:val="HTMLAddressChar"/>
    <w:uiPriority w:val="98"/>
    <w:semiHidden/>
    <w:rsid w:val="00A1630D"/>
    <w:rPr>
      <w:i/>
      <w:iCs/>
    </w:rPr>
  </w:style>
  <w:style w:type="character" w:customStyle="1" w:styleId="HTMLAddressChar">
    <w:name w:val="HTML Address Char"/>
    <w:basedOn w:val="DefaultParagraphFont"/>
    <w:link w:val="HTMLAddress"/>
    <w:uiPriority w:val="98"/>
    <w:semiHidden/>
    <w:rsid w:val="00A1630D"/>
    <w:rPr>
      <w:i/>
      <w:iCs/>
      <w:sz w:val="24"/>
      <w:szCs w:val="24"/>
      <w:lang w:val="fr-FR"/>
    </w:rPr>
  </w:style>
  <w:style w:type="character" w:styleId="HTMLCite">
    <w:name w:val="HTML Cite"/>
    <w:basedOn w:val="DefaultParagraphFont"/>
    <w:uiPriority w:val="98"/>
    <w:semiHidden/>
    <w:rsid w:val="00A1630D"/>
    <w:rPr>
      <w:i/>
      <w:iCs/>
    </w:rPr>
  </w:style>
  <w:style w:type="character" w:styleId="HTMLCode">
    <w:name w:val="HTML Code"/>
    <w:basedOn w:val="DefaultParagraphFont"/>
    <w:uiPriority w:val="98"/>
    <w:semiHidden/>
    <w:rsid w:val="00A1630D"/>
    <w:rPr>
      <w:rFonts w:ascii="Consolas" w:hAnsi="Consolas" w:cs="Consolas"/>
      <w:sz w:val="20"/>
      <w:szCs w:val="20"/>
    </w:rPr>
  </w:style>
  <w:style w:type="character" w:styleId="HTMLDefinition">
    <w:name w:val="HTML Definition"/>
    <w:basedOn w:val="DefaultParagraphFont"/>
    <w:uiPriority w:val="98"/>
    <w:semiHidden/>
    <w:rsid w:val="00A1630D"/>
    <w:rPr>
      <w:i/>
      <w:iCs/>
    </w:rPr>
  </w:style>
  <w:style w:type="character" w:styleId="HTMLKeyboard">
    <w:name w:val="HTML Keyboard"/>
    <w:basedOn w:val="DefaultParagraphFont"/>
    <w:uiPriority w:val="98"/>
    <w:semiHidden/>
    <w:rsid w:val="00A1630D"/>
    <w:rPr>
      <w:rFonts w:ascii="Consolas" w:hAnsi="Consolas" w:cs="Consolas"/>
      <w:sz w:val="20"/>
      <w:szCs w:val="20"/>
    </w:rPr>
  </w:style>
  <w:style w:type="paragraph" w:styleId="HTMLPreformatted">
    <w:name w:val="HTML Preformatted"/>
    <w:basedOn w:val="Normal"/>
    <w:link w:val="HTMLPreformattedChar"/>
    <w:uiPriority w:val="98"/>
    <w:semiHidden/>
    <w:rsid w:val="00A1630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1630D"/>
    <w:rPr>
      <w:rFonts w:ascii="Consolas" w:hAnsi="Consolas" w:cs="Consolas"/>
      <w:sz w:val="20"/>
      <w:szCs w:val="20"/>
      <w:lang w:val="fr-FR"/>
    </w:rPr>
  </w:style>
  <w:style w:type="character" w:styleId="HTMLSample">
    <w:name w:val="HTML Sample"/>
    <w:basedOn w:val="DefaultParagraphFont"/>
    <w:uiPriority w:val="98"/>
    <w:semiHidden/>
    <w:rsid w:val="00A1630D"/>
    <w:rPr>
      <w:rFonts w:ascii="Consolas" w:hAnsi="Consolas" w:cs="Consolas"/>
      <w:sz w:val="24"/>
      <w:szCs w:val="24"/>
    </w:rPr>
  </w:style>
  <w:style w:type="character" w:styleId="HTMLTypewriter">
    <w:name w:val="HTML Typewriter"/>
    <w:basedOn w:val="DefaultParagraphFont"/>
    <w:uiPriority w:val="98"/>
    <w:semiHidden/>
    <w:rsid w:val="00A1630D"/>
    <w:rPr>
      <w:rFonts w:ascii="Consolas" w:hAnsi="Consolas" w:cs="Consolas"/>
      <w:sz w:val="20"/>
      <w:szCs w:val="20"/>
    </w:rPr>
  </w:style>
  <w:style w:type="character" w:styleId="HTMLVariable">
    <w:name w:val="HTML Variable"/>
    <w:basedOn w:val="DefaultParagraphFont"/>
    <w:uiPriority w:val="98"/>
    <w:semiHidden/>
    <w:rsid w:val="00A1630D"/>
    <w:rPr>
      <w:i/>
      <w:iCs/>
    </w:rPr>
  </w:style>
  <w:style w:type="paragraph" w:styleId="Index1">
    <w:name w:val="index 1"/>
    <w:basedOn w:val="Normal"/>
    <w:next w:val="Normal"/>
    <w:autoRedefine/>
    <w:uiPriority w:val="98"/>
    <w:semiHidden/>
    <w:rsid w:val="00A1630D"/>
    <w:pPr>
      <w:ind w:left="240" w:hanging="240"/>
    </w:pPr>
  </w:style>
  <w:style w:type="paragraph" w:styleId="Index2">
    <w:name w:val="index 2"/>
    <w:basedOn w:val="Normal"/>
    <w:next w:val="Normal"/>
    <w:autoRedefine/>
    <w:uiPriority w:val="98"/>
    <w:semiHidden/>
    <w:rsid w:val="00A1630D"/>
    <w:pPr>
      <w:ind w:left="480" w:hanging="240"/>
    </w:pPr>
  </w:style>
  <w:style w:type="paragraph" w:styleId="Index3">
    <w:name w:val="index 3"/>
    <w:basedOn w:val="Normal"/>
    <w:next w:val="Normal"/>
    <w:autoRedefine/>
    <w:uiPriority w:val="98"/>
    <w:semiHidden/>
    <w:rsid w:val="00A1630D"/>
    <w:pPr>
      <w:ind w:left="720" w:hanging="240"/>
    </w:pPr>
  </w:style>
  <w:style w:type="paragraph" w:styleId="Index4">
    <w:name w:val="index 4"/>
    <w:basedOn w:val="Normal"/>
    <w:next w:val="Normal"/>
    <w:autoRedefine/>
    <w:uiPriority w:val="98"/>
    <w:semiHidden/>
    <w:rsid w:val="00A1630D"/>
    <w:pPr>
      <w:ind w:left="960" w:hanging="240"/>
    </w:pPr>
  </w:style>
  <w:style w:type="paragraph" w:styleId="Index5">
    <w:name w:val="index 5"/>
    <w:basedOn w:val="Normal"/>
    <w:next w:val="Normal"/>
    <w:autoRedefine/>
    <w:uiPriority w:val="98"/>
    <w:semiHidden/>
    <w:rsid w:val="00A1630D"/>
    <w:pPr>
      <w:ind w:left="1200" w:hanging="240"/>
    </w:pPr>
  </w:style>
  <w:style w:type="paragraph" w:styleId="Index6">
    <w:name w:val="index 6"/>
    <w:basedOn w:val="Normal"/>
    <w:next w:val="Normal"/>
    <w:autoRedefine/>
    <w:uiPriority w:val="98"/>
    <w:semiHidden/>
    <w:rsid w:val="00A1630D"/>
    <w:pPr>
      <w:ind w:left="1440" w:hanging="240"/>
    </w:pPr>
  </w:style>
  <w:style w:type="paragraph" w:styleId="Index7">
    <w:name w:val="index 7"/>
    <w:basedOn w:val="Normal"/>
    <w:next w:val="Normal"/>
    <w:autoRedefine/>
    <w:uiPriority w:val="98"/>
    <w:semiHidden/>
    <w:rsid w:val="00A1630D"/>
    <w:pPr>
      <w:ind w:left="1680" w:hanging="240"/>
    </w:pPr>
  </w:style>
  <w:style w:type="paragraph" w:styleId="Index8">
    <w:name w:val="index 8"/>
    <w:basedOn w:val="Normal"/>
    <w:next w:val="Normal"/>
    <w:autoRedefine/>
    <w:uiPriority w:val="98"/>
    <w:semiHidden/>
    <w:rsid w:val="00A1630D"/>
    <w:pPr>
      <w:ind w:left="1920" w:hanging="240"/>
    </w:pPr>
  </w:style>
  <w:style w:type="paragraph" w:styleId="Index9">
    <w:name w:val="index 9"/>
    <w:basedOn w:val="Normal"/>
    <w:next w:val="Normal"/>
    <w:autoRedefine/>
    <w:uiPriority w:val="98"/>
    <w:semiHidden/>
    <w:rsid w:val="00A1630D"/>
    <w:pPr>
      <w:ind w:left="2160" w:hanging="240"/>
    </w:pPr>
  </w:style>
  <w:style w:type="paragraph" w:styleId="IndexHeading">
    <w:name w:val="index heading"/>
    <w:basedOn w:val="Normal"/>
    <w:next w:val="Index1"/>
    <w:uiPriority w:val="98"/>
    <w:semiHidden/>
    <w:rsid w:val="00A1630D"/>
    <w:rPr>
      <w:rFonts w:asciiTheme="majorHAnsi" w:eastAsiaTheme="majorEastAsia" w:hAnsiTheme="majorHAnsi" w:cstheme="majorBidi"/>
      <w:b/>
      <w:bCs/>
    </w:rPr>
  </w:style>
  <w:style w:type="table" w:styleId="LightGrid">
    <w:name w:val="Light Grid"/>
    <w:basedOn w:val="TableNormal"/>
    <w:uiPriority w:val="62"/>
    <w:semiHidden/>
    <w:rsid w:val="00A1630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1630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1630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1630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1630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1630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1630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1630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1630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1630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1630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1630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1630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1630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1630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1630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1630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1630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1630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1630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1630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1630D"/>
  </w:style>
  <w:style w:type="paragraph" w:styleId="List">
    <w:name w:val="List"/>
    <w:basedOn w:val="Normal"/>
    <w:uiPriority w:val="98"/>
    <w:semiHidden/>
    <w:rsid w:val="00A1630D"/>
    <w:pPr>
      <w:ind w:left="283" w:hanging="283"/>
      <w:contextualSpacing/>
    </w:pPr>
  </w:style>
  <w:style w:type="paragraph" w:styleId="List20">
    <w:name w:val="List 2"/>
    <w:basedOn w:val="Normal"/>
    <w:uiPriority w:val="98"/>
    <w:semiHidden/>
    <w:rsid w:val="00A1630D"/>
    <w:pPr>
      <w:ind w:left="566" w:hanging="283"/>
      <w:contextualSpacing/>
    </w:pPr>
  </w:style>
  <w:style w:type="paragraph" w:styleId="List30">
    <w:name w:val="List 3"/>
    <w:basedOn w:val="Normal"/>
    <w:uiPriority w:val="98"/>
    <w:semiHidden/>
    <w:rsid w:val="00A1630D"/>
    <w:pPr>
      <w:ind w:left="849" w:hanging="283"/>
      <w:contextualSpacing/>
    </w:pPr>
  </w:style>
  <w:style w:type="paragraph" w:styleId="List4">
    <w:name w:val="List 4"/>
    <w:basedOn w:val="Normal"/>
    <w:uiPriority w:val="98"/>
    <w:semiHidden/>
    <w:rsid w:val="00A1630D"/>
    <w:pPr>
      <w:ind w:left="1132" w:hanging="283"/>
      <w:contextualSpacing/>
    </w:pPr>
  </w:style>
  <w:style w:type="paragraph" w:styleId="List5">
    <w:name w:val="List 5"/>
    <w:basedOn w:val="Normal"/>
    <w:uiPriority w:val="98"/>
    <w:semiHidden/>
    <w:rsid w:val="00A1630D"/>
    <w:pPr>
      <w:ind w:left="1415" w:hanging="283"/>
      <w:contextualSpacing/>
    </w:pPr>
  </w:style>
  <w:style w:type="paragraph" w:styleId="ListBullet">
    <w:name w:val="List Bullet"/>
    <w:basedOn w:val="Normal"/>
    <w:uiPriority w:val="98"/>
    <w:semiHidden/>
    <w:rsid w:val="00A1630D"/>
    <w:pPr>
      <w:numPr>
        <w:numId w:val="5"/>
      </w:numPr>
    </w:pPr>
  </w:style>
  <w:style w:type="paragraph" w:styleId="ListBullet3">
    <w:name w:val="List Bullet 3"/>
    <w:basedOn w:val="Normal"/>
    <w:uiPriority w:val="98"/>
    <w:semiHidden/>
    <w:rsid w:val="00A1630D"/>
    <w:pPr>
      <w:numPr>
        <w:numId w:val="7"/>
      </w:numPr>
      <w:contextualSpacing/>
    </w:pPr>
  </w:style>
  <w:style w:type="paragraph" w:styleId="ListBullet4">
    <w:name w:val="List Bullet 4"/>
    <w:basedOn w:val="Normal"/>
    <w:uiPriority w:val="98"/>
    <w:semiHidden/>
    <w:rsid w:val="00A1630D"/>
    <w:pPr>
      <w:numPr>
        <w:numId w:val="8"/>
      </w:numPr>
      <w:contextualSpacing/>
    </w:pPr>
  </w:style>
  <w:style w:type="paragraph" w:styleId="ListBullet5">
    <w:name w:val="List Bullet 5"/>
    <w:basedOn w:val="Normal"/>
    <w:uiPriority w:val="98"/>
    <w:semiHidden/>
    <w:rsid w:val="00A1630D"/>
    <w:pPr>
      <w:numPr>
        <w:numId w:val="9"/>
      </w:numPr>
      <w:contextualSpacing/>
    </w:pPr>
  </w:style>
  <w:style w:type="paragraph" w:styleId="ListContinue">
    <w:name w:val="List Continue"/>
    <w:basedOn w:val="Normal"/>
    <w:uiPriority w:val="98"/>
    <w:semiHidden/>
    <w:rsid w:val="00A1630D"/>
    <w:pPr>
      <w:spacing w:after="120"/>
      <w:ind w:left="283"/>
      <w:contextualSpacing/>
    </w:pPr>
  </w:style>
  <w:style w:type="paragraph" w:styleId="ListContinue2">
    <w:name w:val="List Continue 2"/>
    <w:basedOn w:val="Normal"/>
    <w:uiPriority w:val="98"/>
    <w:semiHidden/>
    <w:rsid w:val="00A1630D"/>
    <w:pPr>
      <w:spacing w:after="120"/>
      <w:ind w:left="566"/>
      <w:contextualSpacing/>
    </w:pPr>
  </w:style>
  <w:style w:type="paragraph" w:styleId="ListContinue3">
    <w:name w:val="List Continue 3"/>
    <w:basedOn w:val="Normal"/>
    <w:uiPriority w:val="98"/>
    <w:semiHidden/>
    <w:rsid w:val="00A1630D"/>
    <w:pPr>
      <w:spacing w:after="120"/>
      <w:ind w:left="849"/>
      <w:contextualSpacing/>
    </w:pPr>
  </w:style>
  <w:style w:type="paragraph" w:styleId="ListContinue4">
    <w:name w:val="List Continue 4"/>
    <w:basedOn w:val="Normal"/>
    <w:uiPriority w:val="98"/>
    <w:semiHidden/>
    <w:rsid w:val="00A1630D"/>
    <w:pPr>
      <w:spacing w:after="120"/>
      <w:ind w:left="1132"/>
      <w:contextualSpacing/>
    </w:pPr>
  </w:style>
  <w:style w:type="paragraph" w:styleId="ListContinue5">
    <w:name w:val="List Continue 5"/>
    <w:basedOn w:val="Normal"/>
    <w:uiPriority w:val="98"/>
    <w:semiHidden/>
    <w:rsid w:val="00A1630D"/>
    <w:pPr>
      <w:spacing w:after="120"/>
      <w:ind w:left="1415"/>
      <w:contextualSpacing/>
    </w:pPr>
  </w:style>
  <w:style w:type="paragraph" w:styleId="ListNumber">
    <w:name w:val="List Number"/>
    <w:basedOn w:val="Normal"/>
    <w:uiPriority w:val="98"/>
    <w:semiHidden/>
    <w:rsid w:val="00A1630D"/>
    <w:pPr>
      <w:numPr>
        <w:numId w:val="10"/>
      </w:numPr>
      <w:contextualSpacing/>
    </w:pPr>
  </w:style>
  <w:style w:type="paragraph" w:styleId="ListNumber2">
    <w:name w:val="List Number 2"/>
    <w:basedOn w:val="Normal"/>
    <w:uiPriority w:val="98"/>
    <w:semiHidden/>
    <w:rsid w:val="00A1630D"/>
    <w:pPr>
      <w:numPr>
        <w:numId w:val="11"/>
      </w:numPr>
      <w:contextualSpacing/>
    </w:pPr>
  </w:style>
  <w:style w:type="paragraph" w:styleId="ListNumber3">
    <w:name w:val="List Number 3"/>
    <w:basedOn w:val="Normal"/>
    <w:uiPriority w:val="98"/>
    <w:semiHidden/>
    <w:rsid w:val="00A1630D"/>
    <w:pPr>
      <w:numPr>
        <w:numId w:val="12"/>
      </w:numPr>
      <w:contextualSpacing/>
    </w:pPr>
  </w:style>
  <w:style w:type="paragraph" w:styleId="ListNumber4">
    <w:name w:val="List Number 4"/>
    <w:basedOn w:val="Normal"/>
    <w:uiPriority w:val="98"/>
    <w:semiHidden/>
    <w:rsid w:val="00A1630D"/>
    <w:pPr>
      <w:numPr>
        <w:numId w:val="13"/>
      </w:numPr>
      <w:contextualSpacing/>
    </w:pPr>
  </w:style>
  <w:style w:type="paragraph" w:styleId="ListNumber5">
    <w:name w:val="List Number 5"/>
    <w:basedOn w:val="Normal"/>
    <w:uiPriority w:val="98"/>
    <w:semiHidden/>
    <w:rsid w:val="00A1630D"/>
    <w:pPr>
      <w:numPr>
        <w:numId w:val="14"/>
      </w:numPr>
      <w:contextualSpacing/>
    </w:pPr>
  </w:style>
  <w:style w:type="paragraph" w:styleId="Macro">
    <w:name w:val="macro"/>
    <w:link w:val="MacroTextChar"/>
    <w:uiPriority w:val="98"/>
    <w:semiHidden/>
    <w:rsid w:val="00A163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1630D"/>
    <w:rPr>
      <w:rFonts w:ascii="Consolas" w:hAnsi="Consolas" w:eastAsiaTheme="minorEastAsia" w:cs="Consolas"/>
      <w:sz w:val="20"/>
      <w:szCs w:val="20"/>
    </w:rPr>
  </w:style>
  <w:style w:type="table" w:styleId="MediumGrid1">
    <w:name w:val="Medium Grid 1"/>
    <w:basedOn w:val="TableNormal"/>
    <w:uiPriority w:val="67"/>
    <w:semiHidden/>
    <w:rsid w:val="00A1630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1630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1630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1630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1630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1630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1630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1630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1630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1630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1630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1630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1630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1630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1630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1630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1630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1630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1630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1630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1630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1630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1630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1630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1630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1630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1630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1630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1630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1630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1630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1630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1630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1630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1630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1630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1630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1630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1630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1630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1630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1630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1630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1630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1630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1630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1630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1630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1630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163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1630D"/>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A1630D"/>
    <w:rPr>
      <w:rFonts w:ascii="Times New Roman" w:hAnsi="Times New Roman" w:cs="Times New Roman"/>
    </w:rPr>
  </w:style>
  <w:style w:type="paragraph" w:styleId="NormalIndent">
    <w:name w:val="Normal Indent"/>
    <w:basedOn w:val="Normal"/>
    <w:uiPriority w:val="98"/>
    <w:semiHidden/>
    <w:rsid w:val="00A1630D"/>
    <w:pPr>
      <w:ind w:left="720"/>
    </w:pPr>
  </w:style>
  <w:style w:type="paragraph" w:styleId="NoteHeading">
    <w:name w:val="Note Heading"/>
    <w:basedOn w:val="Normal"/>
    <w:next w:val="Normal"/>
    <w:link w:val="NoteHeadingChar"/>
    <w:uiPriority w:val="98"/>
    <w:semiHidden/>
    <w:rsid w:val="00A1630D"/>
  </w:style>
  <w:style w:type="character" w:customStyle="1" w:styleId="NoteHeadingChar">
    <w:name w:val="Note Heading Char"/>
    <w:basedOn w:val="DefaultParagraphFont"/>
    <w:link w:val="NoteHeading"/>
    <w:uiPriority w:val="98"/>
    <w:semiHidden/>
    <w:rsid w:val="00A1630D"/>
    <w:rPr>
      <w:sz w:val="24"/>
      <w:szCs w:val="24"/>
      <w:lang w:val="fr-FR"/>
    </w:rPr>
  </w:style>
  <w:style w:type="character" w:styleId="PlaceholderText">
    <w:name w:val="Placeholder Text"/>
    <w:basedOn w:val="DefaultParagraphFont"/>
    <w:uiPriority w:val="98"/>
    <w:semiHidden/>
    <w:rsid w:val="00A1630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1630D"/>
    <w:rPr>
      <w:rFonts w:ascii="Consolas" w:hAnsi="Consolas" w:cs="Consolas"/>
      <w:sz w:val="21"/>
      <w:szCs w:val="21"/>
    </w:rPr>
  </w:style>
  <w:style w:type="character" w:customStyle="1" w:styleId="PlainTextChar">
    <w:name w:val="Plain Text Char"/>
    <w:basedOn w:val="DefaultParagraphFont"/>
    <w:link w:val="PlainText"/>
    <w:uiPriority w:val="98"/>
    <w:semiHidden/>
    <w:rsid w:val="00A1630D"/>
    <w:rPr>
      <w:rFonts w:ascii="Consolas" w:hAnsi="Consolas" w:cs="Consolas"/>
      <w:sz w:val="21"/>
      <w:szCs w:val="21"/>
      <w:lang w:val="fr-FR"/>
    </w:rPr>
  </w:style>
  <w:style w:type="paragraph" w:styleId="Salutation">
    <w:name w:val="Salutation"/>
    <w:basedOn w:val="Normal"/>
    <w:next w:val="Normal"/>
    <w:link w:val="SalutationChar"/>
    <w:uiPriority w:val="98"/>
    <w:semiHidden/>
    <w:rsid w:val="00A1630D"/>
  </w:style>
  <w:style w:type="character" w:customStyle="1" w:styleId="SalutationChar">
    <w:name w:val="Salutation Char"/>
    <w:basedOn w:val="DefaultParagraphFont"/>
    <w:link w:val="Salutation"/>
    <w:uiPriority w:val="98"/>
    <w:semiHidden/>
    <w:rsid w:val="00A1630D"/>
    <w:rPr>
      <w:sz w:val="24"/>
      <w:szCs w:val="24"/>
      <w:lang w:val="fr-FR"/>
    </w:rPr>
  </w:style>
  <w:style w:type="paragraph" w:styleId="Signature0">
    <w:name w:val="Signature"/>
    <w:basedOn w:val="Normal"/>
    <w:link w:val="SignatureChar"/>
    <w:uiPriority w:val="98"/>
    <w:semiHidden/>
    <w:rsid w:val="00A1630D"/>
    <w:pPr>
      <w:ind w:left="4252"/>
    </w:pPr>
  </w:style>
  <w:style w:type="character" w:customStyle="1" w:styleId="SignatureChar">
    <w:name w:val="Signature Char"/>
    <w:basedOn w:val="DefaultParagraphFont"/>
    <w:link w:val="Signature0"/>
    <w:uiPriority w:val="98"/>
    <w:semiHidden/>
    <w:rsid w:val="00A1630D"/>
    <w:rPr>
      <w:sz w:val="24"/>
      <w:szCs w:val="24"/>
      <w:lang w:val="fr-FR"/>
    </w:rPr>
  </w:style>
  <w:style w:type="table" w:styleId="Table3Deffects1">
    <w:name w:val="Table 3D effects 1"/>
    <w:basedOn w:val="TableNormal"/>
    <w:uiPriority w:val="99"/>
    <w:semiHidden/>
    <w:unhideWhenUsed/>
    <w:rsid w:val="00A1630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630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630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630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630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630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630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630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630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630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630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630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630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630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630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630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630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1630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630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630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630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630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630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630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630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1630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630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630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630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630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630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630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630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1630D"/>
    <w:pPr>
      <w:ind w:left="240" w:hanging="240"/>
    </w:pPr>
  </w:style>
  <w:style w:type="paragraph" w:styleId="TableofFigures">
    <w:name w:val="table of figures"/>
    <w:basedOn w:val="Normal"/>
    <w:next w:val="Normal"/>
    <w:uiPriority w:val="98"/>
    <w:semiHidden/>
    <w:rsid w:val="00A1630D"/>
  </w:style>
  <w:style w:type="table" w:styleId="TableProfessional">
    <w:name w:val="Table Professional"/>
    <w:basedOn w:val="TableNormal"/>
    <w:uiPriority w:val="99"/>
    <w:semiHidden/>
    <w:unhideWhenUsed/>
    <w:rsid w:val="00A1630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630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630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630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630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630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630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630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630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630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1630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1630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1630D"/>
    <w:pPr>
      <w:spacing w:after="100"/>
      <w:ind w:left="1680"/>
    </w:pPr>
  </w:style>
  <w:style w:type="paragraph" w:styleId="TOC9">
    <w:name w:val="toc 9"/>
    <w:basedOn w:val="Normal"/>
    <w:next w:val="Normal"/>
    <w:autoRedefine/>
    <w:uiPriority w:val="98"/>
    <w:semiHidden/>
    <w:rsid w:val="00A1630D"/>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A1630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1630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1630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1630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1630D"/>
    <w:pPr>
      <w:numPr>
        <w:numId w:val="16"/>
      </w:numPr>
      <w:spacing w:before="60" w:after="60"/>
    </w:pPr>
  </w:style>
  <w:style w:type="paragraph" w:customStyle="1" w:styleId="ECHRBullet2">
    <w:name w:val="ECHR_Bullet_2"/>
    <w:aliases w:val="_Bul_2"/>
    <w:basedOn w:val="ECHRBullet1"/>
    <w:uiPriority w:val="23"/>
    <w:semiHidden/>
    <w:rsid w:val="00A1630D"/>
    <w:pPr>
      <w:numPr>
        <w:ilvl w:val="1"/>
      </w:numPr>
    </w:pPr>
  </w:style>
  <w:style w:type="paragraph" w:customStyle="1" w:styleId="ECHRBullet3">
    <w:name w:val="ECHR_Bullet_3"/>
    <w:aliases w:val="_Bul_3"/>
    <w:basedOn w:val="ECHRBullet2"/>
    <w:uiPriority w:val="23"/>
    <w:semiHidden/>
    <w:rsid w:val="00A1630D"/>
    <w:pPr>
      <w:numPr>
        <w:ilvl w:val="2"/>
      </w:numPr>
    </w:pPr>
  </w:style>
  <w:style w:type="paragraph" w:customStyle="1" w:styleId="ECHRBullet4">
    <w:name w:val="ECHR_Bullet_4"/>
    <w:aliases w:val="_Bul_4"/>
    <w:basedOn w:val="ECHRBullet3"/>
    <w:uiPriority w:val="23"/>
    <w:semiHidden/>
    <w:rsid w:val="00A1630D"/>
    <w:pPr>
      <w:numPr>
        <w:ilvl w:val="3"/>
      </w:numPr>
    </w:pPr>
  </w:style>
  <w:style w:type="paragraph" w:customStyle="1" w:styleId="ECHRConfidential">
    <w:name w:val="ECHR_Confidential"/>
    <w:aliases w:val="_Confidential"/>
    <w:basedOn w:val="Normal"/>
    <w:next w:val="Normal"/>
    <w:uiPriority w:val="42"/>
    <w:semiHidden/>
    <w:qFormat/>
    <w:rsid w:val="00A1630D"/>
    <w:pPr>
      <w:jc w:val="right"/>
    </w:pPr>
    <w:rPr>
      <w:color w:val="C00000"/>
      <w:sz w:val="20"/>
    </w:rPr>
  </w:style>
  <w:style w:type="paragraph" w:customStyle="1" w:styleId="ECHRDecisionBody">
    <w:name w:val="ECHR_Decision_Body"/>
    <w:aliases w:val="_Decision_Body"/>
    <w:basedOn w:val="NormalJustified"/>
    <w:uiPriority w:val="54"/>
    <w:semiHidden/>
    <w:rsid w:val="00A1630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1630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1630D"/>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A1630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1630D"/>
    <w:pPr>
      <w:jc w:val="right"/>
    </w:pPr>
    <w:rPr>
      <w:sz w:val="20"/>
    </w:rPr>
  </w:style>
  <w:style w:type="paragraph" w:customStyle="1" w:styleId="ECHRHeaderRefIt">
    <w:name w:val="ECHR_Header_Ref_It"/>
    <w:aliases w:val="_Ref_Ital"/>
    <w:basedOn w:val="Normal"/>
    <w:next w:val="ECHRHeaderDate"/>
    <w:uiPriority w:val="43"/>
    <w:qFormat/>
    <w:rsid w:val="00A1630D"/>
    <w:pPr>
      <w:jc w:val="right"/>
    </w:pPr>
    <w:rPr>
      <w:i/>
      <w:sz w:val="20"/>
    </w:rPr>
  </w:style>
  <w:style w:type="paragraph" w:customStyle="1" w:styleId="ECHRHeading9">
    <w:name w:val="ECHR_Heading_9"/>
    <w:aliases w:val="_Head_9"/>
    <w:basedOn w:val="Heading9"/>
    <w:uiPriority w:val="17"/>
    <w:semiHidden/>
    <w:rsid w:val="00A1630D"/>
    <w:pPr>
      <w:keepNext/>
      <w:keepLines/>
      <w:numPr>
        <w:ilvl w:val="8"/>
        <w:numId w:val="1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1630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1630D"/>
    <w:pPr>
      <w:numPr>
        <w:numId w:val="18"/>
      </w:numPr>
      <w:spacing w:before="60" w:after="60"/>
    </w:pPr>
  </w:style>
  <w:style w:type="paragraph" w:customStyle="1" w:styleId="ECHRNumberedList2">
    <w:name w:val="ECHR_Numbered_List_2"/>
    <w:aliases w:val="_Num_2"/>
    <w:basedOn w:val="ECHRNumberedList1"/>
    <w:uiPriority w:val="23"/>
    <w:semiHidden/>
    <w:rsid w:val="00A1630D"/>
    <w:pPr>
      <w:numPr>
        <w:ilvl w:val="1"/>
      </w:numPr>
    </w:pPr>
  </w:style>
  <w:style w:type="paragraph" w:customStyle="1" w:styleId="ECHRNumberedList3">
    <w:name w:val="ECHR_Numbered_List_3"/>
    <w:aliases w:val="_Num_3"/>
    <w:basedOn w:val="ECHRNumberedList2"/>
    <w:uiPriority w:val="23"/>
    <w:semiHidden/>
    <w:rsid w:val="00A1630D"/>
    <w:pPr>
      <w:numPr>
        <w:ilvl w:val="2"/>
      </w:numPr>
    </w:pPr>
  </w:style>
  <w:style w:type="paragraph" w:customStyle="1" w:styleId="ECHRParaHanging">
    <w:name w:val="ECHR_Para_Hanging"/>
    <w:aliases w:val="_Hanging"/>
    <w:basedOn w:val="NormalJustified"/>
    <w:uiPriority w:val="8"/>
    <w:semiHidden/>
    <w:qFormat/>
    <w:rsid w:val="00A1630D"/>
    <w:pPr>
      <w:ind w:left="567" w:hanging="567"/>
    </w:pPr>
  </w:style>
  <w:style w:type="paragraph" w:customStyle="1" w:styleId="ECHRParaIndent">
    <w:name w:val="ECHR_Para_Indent"/>
    <w:aliases w:val="_Indent"/>
    <w:basedOn w:val="NormalJustified"/>
    <w:uiPriority w:val="7"/>
    <w:semiHidden/>
    <w:qFormat/>
    <w:rsid w:val="00A1630D"/>
    <w:pPr>
      <w:spacing w:before="120" w:after="120"/>
      <w:ind w:left="567"/>
    </w:pPr>
  </w:style>
  <w:style w:type="character" w:customStyle="1" w:styleId="ECHRRed">
    <w:name w:val="ECHR_Red"/>
    <w:aliases w:val="_Red"/>
    <w:basedOn w:val="DefaultParagraphFont"/>
    <w:uiPriority w:val="15"/>
    <w:semiHidden/>
    <w:qFormat/>
    <w:rsid w:val="00A1630D"/>
    <w:rPr>
      <w:color w:val="C00000" w:themeColor="accent2"/>
    </w:rPr>
  </w:style>
  <w:style w:type="paragraph" w:customStyle="1" w:styleId="DecList">
    <w:name w:val="Dec_List"/>
    <w:aliases w:val="_List"/>
    <w:basedOn w:val="JuList"/>
    <w:uiPriority w:val="22"/>
    <w:rsid w:val="00A1630D"/>
    <w:pPr>
      <w:numPr>
        <w:numId w:val="0"/>
      </w:numPr>
      <w:ind w:left="284"/>
    </w:pPr>
  </w:style>
  <w:style w:type="table" w:customStyle="1" w:styleId="ECHRTable2">
    <w:name w:val="ECHR_Table_2"/>
    <w:basedOn w:val="TableNormal"/>
    <w:uiPriority w:val="99"/>
    <w:rsid w:val="00A1630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1630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1630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1630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1630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1630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1630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1630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1630D"/>
    <w:pPr>
      <w:outlineLvl w:val="0"/>
    </w:pPr>
  </w:style>
  <w:style w:type="paragraph" w:customStyle="1" w:styleId="ECHRTitleTOC1">
    <w:name w:val="ECHR_Title_TOC_1"/>
    <w:aliases w:val="_Title_L_TOC"/>
    <w:basedOn w:val="ECHRTitle1"/>
    <w:next w:val="Normal"/>
    <w:uiPriority w:val="27"/>
    <w:semiHidden/>
    <w:qFormat/>
    <w:rsid w:val="00A1630D"/>
    <w:pPr>
      <w:outlineLvl w:val="0"/>
    </w:pPr>
  </w:style>
  <w:style w:type="paragraph" w:customStyle="1" w:styleId="ECHRPlaceholder">
    <w:name w:val="ECHR_Placeholder"/>
    <w:aliases w:val="_Placeholder"/>
    <w:basedOn w:val="JuSigned"/>
    <w:uiPriority w:val="31"/>
    <w:rsid w:val="00A1630D"/>
    <w:rPr>
      <w:color w:val="FFFFFF"/>
    </w:rPr>
  </w:style>
  <w:style w:type="paragraph" w:customStyle="1" w:styleId="ECHRSpacer">
    <w:name w:val="ECHR_Spacer"/>
    <w:aliases w:val="_Spacer"/>
    <w:basedOn w:val="Normal"/>
    <w:uiPriority w:val="45"/>
    <w:semiHidden/>
    <w:rsid w:val="00A1630D"/>
    <w:rPr>
      <w:sz w:val="4"/>
    </w:rPr>
  </w:style>
  <w:style w:type="table" w:customStyle="1" w:styleId="ECHRTableGrey">
    <w:name w:val="ECHR_Table_Grey"/>
    <w:basedOn w:val="TableNormal"/>
    <w:uiPriority w:val="99"/>
    <w:rsid w:val="00A1630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603614"/>
    <w:rPr>
      <w:sz w:val="24"/>
      <w:szCs w:val="24"/>
      <w:lang w:val="fr-FR"/>
    </w:rPr>
  </w:style>
  <w:style w:type="character" w:customStyle="1" w:styleId="JuNames1">
    <w:name w:val="Ju_Names"/>
    <w:rsid w:val="00603614"/>
    <w:rPr>
      <w:smallCaps/>
    </w:rPr>
  </w:style>
  <w:style w:type="paragraph" w:customStyle="1" w:styleId="JuList4">
    <w:name w:val="Ju_List_4"/>
    <w:aliases w:val="N_Bul_4"/>
    <w:basedOn w:val="JuListi"/>
    <w:uiPriority w:val="19"/>
    <w:rsid w:val="00603614"/>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603614"/>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603614"/>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03614"/>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03614"/>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03614"/>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03614"/>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03614"/>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03614"/>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03614"/>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03614"/>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03614"/>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603614"/>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03614"/>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03614"/>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0361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0361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0361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03614"/>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60361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0361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0361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0361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0361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0361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03614"/>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60361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0361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0361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0361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0361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0361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0361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60361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0361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0361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03614"/>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03614"/>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03614"/>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03614"/>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603614"/>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03614"/>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03614"/>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03614"/>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03614"/>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03614"/>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03614"/>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603614"/>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03614"/>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03614"/>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03614"/>
    <w:rPr>
      <w:color w:val="2B579A"/>
      <w:shd w:val="clear" w:color="auto" w:fill="E1DFDD"/>
    </w:rPr>
  </w:style>
  <w:style w:type="table" w:styleId="ListTable1Light">
    <w:name w:val="List Table 1 Light"/>
    <w:basedOn w:val="TableNormal"/>
    <w:uiPriority w:val="46"/>
    <w:semiHidden/>
    <w:rsid w:val="00603614"/>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03614"/>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03614"/>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03614"/>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603614"/>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03614"/>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03614"/>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03614"/>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03614"/>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03614"/>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03614"/>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603614"/>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03614"/>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03614"/>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03614"/>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03614"/>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03614"/>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03614"/>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603614"/>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03614"/>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03614"/>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0361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0361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0361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03614"/>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60361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0361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0361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03614"/>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03614"/>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03614"/>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03614"/>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03614"/>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03614"/>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03614"/>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03614"/>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03614"/>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03614"/>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03614"/>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603614"/>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03614"/>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03614"/>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03614"/>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03614"/>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03614"/>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03614"/>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03614"/>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03614"/>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03614"/>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03614"/>
    <w:rPr>
      <w:color w:val="2B579A"/>
      <w:shd w:val="clear" w:color="auto" w:fill="E1DFDD"/>
    </w:rPr>
  </w:style>
  <w:style w:type="table" w:styleId="PlainTable1">
    <w:name w:val="Plain Table 1"/>
    <w:basedOn w:val="TableNormal"/>
    <w:uiPriority w:val="41"/>
    <w:semiHidden/>
    <w:rsid w:val="00603614"/>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603614"/>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03614"/>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03614"/>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603614"/>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03614"/>
    <w:rPr>
      <w:u w:val="dotted"/>
    </w:rPr>
  </w:style>
  <w:style w:type="character" w:styleId="SmartLink">
    <w:name w:val="Smart Link"/>
    <w:basedOn w:val="DefaultParagraphFont"/>
    <w:uiPriority w:val="99"/>
    <w:semiHidden/>
    <w:unhideWhenUsed/>
    <w:rsid w:val="00603614"/>
    <w:rPr>
      <w:color w:val="0000FF"/>
      <w:u w:val="single"/>
      <w:shd w:val="clear" w:color="auto" w:fill="F3F2F1"/>
    </w:rPr>
  </w:style>
  <w:style w:type="table" w:styleId="GridTableLight">
    <w:name w:val="Grid Table Light"/>
    <w:basedOn w:val="TableNormal"/>
    <w:uiPriority w:val="40"/>
    <w:semiHidden/>
    <w:rsid w:val="00603614"/>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0">
    <w:name w:val="_para"/>
    <w:basedOn w:val="Normal"/>
    <w:rsid w:val="00603614"/>
    <w:pPr>
      <w:spacing w:before="100" w:beforeAutospacing="1" w:after="100" w:afterAutospacing="1"/>
    </w:pPr>
    <w:rPr>
      <w:rFonts w:ascii="Times New Roman" w:eastAsia="Times New Roman" w:hAnsi="Times New Roman" w:cs="Times New Roman"/>
      <w:lang w:eastAsia="fr-FR"/>
    </w:rPr>
  </w:style>
  <w:style w:type="paragraph" w:styleId="Revision">
    <w:name w:val="Revision"/>
    <w:hidden/>
    <w:uiPriority w:val="99"/>
    <w:semiHidden/>
    <w:rsid w:val="00603614"/>
    <w:rPr>
      <w:sz w:val="24"/>
      <w:szCs w:val="24"/>
      <w:lang w:val="fr-FR"/>
    </w:rPr>
  </w:style>
  <w:style w:type="paragraph" w:customStyle="1" w:styleId="jupara0">
    <w:name w:val="jupara"/>
    <w:basedOn w:val="Normal"/>
    <w:rsid w:val="009E3EDD"/>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9E3EDD"/>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6236</Words>
  <Characters>32308</Characters>
  <Application>Microsoft Office Word</Application>
  <DocSecurity>0</DocSecurity>
  <Lines>587</Lines>
  <Paragraphs>129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2025-06-02T07:55:00Z</dcterms:created>
  <dcterms:modified xsi:type="dcterms:W3CDTF">2025-09-17T15:25:00Z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1281164</vt:lpwstr>
  </property>
  <property fmtid="{D5CDD505-2E9C-101B-9397-08002B2CF9AE}" pid="3" name="cstLanguage">
    <vt:i4>1036</vt:i4>
  </property>
  <property fmtid="{D5CDD505-2E9C-101B-9397-08002B2CF9AE}" pid="4" name="RegisteredNo">
    <vt:lpwstr>7908/17</vt:lpwstr>
  </property>
</Properties>
</file>