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C699F" w:rsidR="008D51B6" w:rsidP="007C699F" w14:paraId="1E31D67A" w14:textId="77777777">
      <w:pPr>
        <w:jc w:val="center"/>
      </w:pPr>
    </w:p>
    <w:p w:rsidRPr="007C699F" w:rsidR="004D042B" w:rsidP="007C699F" w14:paraId="78FDC568" w14:textId="1B1006CB">
      <w:pPr>
        <w:jc w:val="center"/>
      </w:pPr>
    </w:p>
    <w:p w:rsidRPr="007C699F" w:rsidR="000C5149" w:rsidP="007C699F" w14:paraId="3A8B24BD" w14:textId="77777777">
      <w:pPr>
        <w:jc w:val="center"/>
      </w:pPr>
    </w:p>
    <w:p w:rsidRPr="007C699F" w:rsidR="00606600" w:rsidP="007C699F" w14:paraId="070D272D" w14:textId="71CECDAC">
      <w:pPr>
        <w:pStyle w:val="DecHTitle"/>
      </w:pPr>
      <w:r w:rsidRPr="007C699F">
        <w:t>FIFTH SECTION</w:t>
      </w:r>
    </w:p>
    <w:p w:rsidRPr="007C699F" w:rsidR="006D324D" w:rsidP="007C699F" w14:paraId="1EA4ABE3" w14:textId="356773F7">
      <w:pPr>
        <w:pStyle w:val="JuTitle"/>
      </w:pPr>
      <w:bookmarkStart w:name="To" w:id="0"/>
      <w:r w:rsidRPr="007C699F">
        <w:rPr>
          <w:color w:val="000000" w:themeColor="text1"/>
        </w:rPr>
        <w:t xml:space="preserve">CASE OF </w:t>
      </w:r>
      <w:bookmarkEnd w:id="0"/>
      <w:r w:rsidRPr="007C699F" w:rsidR="002D74A6">
        <w:t>MOROZOVA v. UKRAINE</w:t>
      </w:r>
    </w:p>
    <w:p w:rsidRPr="007C699F" w:rsidR="006D324D" w:rsidP="007C699F" w14:paraId="22919991" w14:textId="7B343683">
      <w:pPr>
        <w:pStyle w:val="ECHRCoverTitle4"/>
      </w:pPr>
      <w:r w:rsidRPr="007C699F">
        <w:t>(</w:t>
      </w:r>
      <w:r w:rsidRPr="007C699F" w:rsidR="002D74A6">
        <w:t>Application no. 24315/24</w:t>
      </w:r>
      <w:r w:rsidRPr="007C699F">
        <w:t>)</w:t>
      </w:r>
    </w:p>
    <w:p w:rsidRPr="007C699F" w:rsidR="006D324D" w:rsidP="007C699F" w14:paraId="46BD1C7A" w14:textId="77777777">
      <w:pPr>
        <w:pStyle w:val="DecHCase"/>
      </w:pPr>
    </w:p>
    <w:p w:rsidRPr="007C699F" w:rsidR="006D324D" w:rsidP="007C699F" w14:paraId="5FFA5520" w14:textId="77777777">
      <w:pPr>
        <w:pStyle w:val="DecHCase"/>
      </w:pPr>
    </w:p>
    <w:p w:rsidRPr="007C699F" w:rsidR="00606600" w:rsidP="007C699F" w14:paraId="21A0A08B" w14:textId="77777777">
      <w:pPr>
        <w:pStyle w:val="DecHCase"/>
      </w:pPr>
    </w:p>
    <w:p w:rsidRPr="007C699F" w:rsidR="00606600" w:rsidP="007C699F" w14:paraId="2A3BA7E6" w14:textId="77777777">
      <w:pPr>
        <w:pStyle w:val="DecHCase"/>
      </w:pPr>
    </w:p>
    <w:p w:rsidRPr="007C699F" w:rsidR="00606600" w:rsidP="007C699F" w14:paraId="4DA4ED42" w14:textId="77777777">
      <w:pPr>
        <w:pStyle w:val="DecHCase"/>
      </w:pPr>
    </w:p>
    <w:p w:rsidRPr="007C699F" w:rsidR="00606600" w:rsidP="007C699F" w14:paraId="4B2EDA7D" w14:textId="77777777">
      <w:pPr>
        <w:pStyle w:val="DecHCase"/>
      </w:pPr>
    </w:p>
    <w:p w:rsidRPr="007C699F" w:rsidR="00606600" w:rsidP="007C699F" w14:paraId="5F80BB42" w14:textId="77777777">
      <w:pPr>
        <w:pStyle w:val="DecHCase"/>
      </w:pPr>
      <w:r w:rsidRPr="007C699F">
        <w:t>JUDGMENT</w:t>
      </w:r>
    </w:p>
    <w:p w:rsidRPr="007C699F" w:rsidR="00606600" w:rsidP="007C699F" w14:paraId="689CC89D" w14:textId="77777777">
      <w:pPr>
        <w:jc w:val="center"/>
        <w:rPr>
          <w:i/>
        </w:rPr>
      </w:pPr>
    </w:p>
    <w:p w:rsidRPr="007C699F" w:rsidR="00606600" w:rsidP="007C699F" w14:paraId="61C90F9E" w14:textId="77777777">
      <w:pPr>
        <w:pStyle w:val="DecHCase"/>
      </w:pPr>
      <w:r w:rsidRPr="007C699F">
        <w:t>STRASBOURG</w:t>
      </w:r>
    </w:p>
    <w:p w:rsidRPr="007C699F" w:rsidR="00606600" w:rsidP="007C699F" w14:paraId="7968FF68" w14:textId="5FC260C0">
      <w:pPr>
        <w:pStyle w:val="DecHCase"/>
      </w:pPr>
      <w:r w:rsidRPr="007C699F">
        <w:t>28 May 2025</w:t>
      </w:r>
    </w:p>
    <w:p w:rsidRPr="007C699F" w:rsidR="00606600" w:rsidP="007C699F" w14:paraId="4C1B1EE8" w14:textId="77777777">
      <w:pPr>
        <w:jc w:val="center"/>
      </w:pPr>
    </w:p>
    <w:p w:rsidRPr="007C699F" w:rsidR="00606600" w:rsidP="007C699F" w14:paraId="477D9A4D" w14:textId="77777777">
      <w:pPr>
        <w:rPr>
          <w:sz w:val="22"/>
          <w:szCs w:val="22"/>
        </w:rPr>
      </w:pPr>
      <w:r w:rsidRPr="007C699F">
        <w:rPr>
          <w:i/>
          <w:sz w:val="22"/>
          <w:szCs w:val="22"/>
        </w:rPr>
        <w:t xml:space="preserve">This judgment is </w:t>
      </w:r>
      <w:r w:rsidRPr="007C699F">
        <w:rPr>
          <w:i/>
          <w:sz w:val="22"/>
          <w:szCs w:val="22"/>
        </w:rPr>
        <w:t>final</w:t>
      </w:r>
      <w:r w:rsidRPr="007C699F">
        <w:rPr>
          <w:i/>
          <w:sz w:val="22"/>
          <w:szCs w:val="22"/>
        </w:rPr>
        <w:t xml:space="preserve"> but it may be subject to editorial revision.</w:t>
      </w:r>
    </w:p>
    <w:p w:rsidRPr="007C699F" w:rsidR="00606600" w:rsidP="007C699F" w14:paraId="389544A7"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7C699F" w:rsidR="00606600" w:rsidP="007C699F" w14:paraId="51779BD9" w14:textId="798FDC0C">
      <w:pPr>
        <w:pStyle w:val="JuCase"/>
        <w:rPr>
          <w:bCs/>
        </w:rPr>
      </w:pPr>
      <w:r w:rsidRPr="007C699F">
        <w:t xml:space="preserve">In the case of </w:t>
      </w:r>
      <w:r w:rsidRPr="007C699F" w:rsidR="002D74A6">
        <w:t>Morozova v. Ukraine</w:t>
      </w:r>
      <w:r w:rsidRPr="007C699F">
        <w:t>,</w:t>
      </w:r>
    </w:p>
    <w:p w:rsidRPr="007C699F" w:rsidR="00606600" w:rsidP="007C699F" w14:paraId="74A2C439" w14:textId="02B34637">
      <w:pPr>
        <w:pStyle w:val="JuPara"/>
      </w:pPr>
      <w:r w:rsidRPr="007C699F">
        <w:t>The European Court of Human Rights (</w:t>
      </w:r>
      <w:r w:rsidRPr="007C699F" w:rsidR="002D74A6">
        <w:t>Fifth Section</w:t>
      </w:r>
      <w:r w:rsidRPr="007C699F">
        <w:t>), sitting as a</w:t>
      </w:r>
      <w:r w:rsidRPr="007C699F" w:rsidR="00621074">
        <w:t> </w:t>
      </w:r>
      <w:r w:rsidRPr="007C699F">
        <w:t>Committee composed of:</w:t>
      </w:r>
    </w:p>
    <w:p w:rsidRPr="007C699F" w:rsidR="002C5B23" w:rsidP="007C699F" w14:paraId="234EAA3B" w14:textId="305308BA">
      <w:pPr>
        <w:pStyle w:val="JuJudges"/>
      </w:pPr>
      <w:r w:rsidRPr="007C699F">
        <w:tab/>
        <w:t xml:space="preserve">Diana </w:t>
      </w:r>
      <w:r w:rsidRPr="007C699F">
        <w:t>Sârcu</w:t>
      </w:r>
      <w:r w:rsidRPr="007C699F">
        <w:rPr>
          <w:i/>
        </w:rPr>
        <w:t>, President</w:t>
      </w:r>
      <w:r w:rsidRPr="007C699F">
        <w:t>,</w:t>
      </w:r>
      <w:r w:rsidRPr="007C699F">
        <w:br/>
      </w:r>
      <w:r w:rsidRPr="007C699F">
        <w:tab/>
      </w:r>
      <w:r w:rsidRPr="007C699F">
        <w:t>Kateřina</w:t>
      </w:r>
      <w:r w:rsidRPr="007C699F">
        <w:t xml:space="preserve"> </w:t>
      </w:r>
      <w:r w:rsidRPr="007C699F">
        <w:t>Šimáčková</w:t>
      </w:r>
      <w:r w:rsidRPr="007C699F">
        <w:t>,</w:t>
      </w:r>
      <w:r w:rsidRPr="007C699F">
        <w:br/>
      </w:r>
      <w:r w:rsidRPr="007C699F">
        <w:tab/>
        <w:t xml:space="preserve">Mykola </w:t>
      </w:r>
      <w:r w:rsidRPr="007C699F">
        <w:t>Gnatovskyy</w:t>
      </w:r>
      <w:r w:rsidRPr="007C699F">
        <w:rPr>
          <w:i/>
        </w:rPr>
        <w:t>, judges</w:t>
      </w:r>
      <w:r w:rsidRPr="007C699F">
        <w:t>,</w:t>
      </w:r>
    </w:p>
    <w:p w:rsidRPr="007C699F" w:rsidR="00606600" w:rsidP="007C699F" w14:paraId="1BE56616" w14:textId="3E46DDD3">
      <w:pPr>
        <w:pStyle w:val="JuJudges"/>
      </w:pPr>
      <w:r w:rsidRPr="007C699F">
        <w:t xml:space="preserve">and </w:t>
      </w:r>
      <w:r w:rsidRPr="007C699F" w:rsidR="002D74A6">
        <w:t>Viktoriya</w:t>
      </w:r>
      <w:r w:rsidRPr="007C699F">
        <w:t xml:space="preserve"> </w:t>
      </w:r>
      <w:r w:rsidRPr="007C699F" w:rsidR="002D74A6">
        <w:t>Maradudina</w:t>
      </w:r>
      <w:r w:rsidRPr="007C699F" w:rsidR="00555A1D">
        <w:t>,</w:t>
      </w:r>
      <w:r w:rsidRPr="007C699F">
        <w:t xml:space="preserve"> </w:t>
      </w:r>
      <w:r w:rsidRPr="007C699F">
        <w:rPr>
          <w:i/>
        </w:rPr>
        <w:t>Acting</w:t>
      </w:r>
      <w:r w:rsidRPr="007C699F">
        <w:t xml:space="preserve"> </w:t>
      </w:r>
      <w:r w:rsidRPr="007C699F">
        <w:rPr>
          <w:rFonts w:cstheme="minorHAnsi"/>
          <w:i/>
        </w:rPr>
        <w:t>Deputy Section Registrar</w:t>
      </w:r>
      <w:r w:rsidRPr="007C699F">
        <w:rPr>
          <w:i/>
        </w:rPr>
        <w:t>,</w:t>
      </w:r>
    </w:p>
    <w:p w:rsidRPr="007C699F" w:rsidR="00606600" w:rsidP="007C699F" w14:paraId="4A8A2CDD" w14:textId="31466FF8">
      <w:pPr>
        <w:pStyle w:val="JuPara"/>
      </w:pPr>
      <w:r w:rsidRPr="007C699F">
        <w:t xml:space="preserve">Having deliberated in private on </w:t>
      </w:r>
      <w:r w:rsidRPr="007C699F" w:rsidR="00621074">
        <w:t>7 May 2025</w:t>
      </w:r>
      <w:r w:rsidRPr="007C699F">
        <w:t>,</w:t>
      </w:r>
    </w:p>
    <w:p w:rsidRPr="007C699F" w:rsidR="00606600" w:rsidP="007C699F" w14:paraId="31E7F014" w14:textId="77777777">
      <w:pPr>
        <w:pStyle w:val="JuPara"/>
      </w:pPr>
      <w:r w:rsidRPr="007C699F">
        <w:t>Delivers the following judgment, which was adopted on that date:</w:t>
      </w:r>
    </w:p>
    <w:p w:rsidRPr="007C699F" w:rsidR="002D74A6" w:rsidP="007C699F" w14:paraId="29F20848" w14:textId="77777777">
      <w:pPr>
        <w:pStyle w:val="JuHHead"/>
      </w:pPr>
      <w:bookmarkStart w:name="ITMARKStartJudgment" w:id="1"/>
      <w:bookmarkEnd w:id="1"/>
      <w:r w:rsidRPr="007C699F">
        <w:t>PROCEDURE</w:t>
      </w:r>
    </w:p>
    <w:p w:rsidRPr="007C699F" w:rsidR="002D74A6" w:rsidP="007C699F" w14:paraId="453483E7" w14:textId="64EA2F45">
      <w:pPr>
        <w:pStyle w:val="JuPara"/>
      </w:pPr>
      <w:r w:rsidRPr="007C699F">
        <w:fldChar w:fldCharType="begin"/>
      </w:r>
      <w:r w:rsidRPr="007C699F">
        <w:instrText xml:space="preserve"> SEQ level0 \*arabic \* MERGEFORMAT </w:instrText>
      </w:r>
      <w:r w:rsidRPr="007C699F">
        <w:fldChar w:fldCharType="separate"/>
      </w:r>
      <w:r w:rsidRPr="007C699F">
        <w:rPr>
          <w:noProof/>
        </w:rPr>
        <w:t>1</w:t>
      </w:r>
      <w:r w:rsidRPr="007C699F">
        <w:fldChar w:fldCharType="end"/>
      </w:r>
      <w:r w:rsidRPr="007C699F">
        <w:t>.  The case originated in an application against Ukraine lodged with the</w:t>
      </w:r>
      <w:r w:rsidRPr="007C699F" w:rsidR="00621074">
        <w:t> </w:t>
      </w:r>
      <w:r w:rsidRPr="007C699F">
        <w:t>Court under Article 34 of the Convention for the Protection of Human Rights and Fundamental Freedoms (“the Convention”) on 30 July 2024.</w:t>
      </w:r>
    </w:p>
    <w:p w:rsidRPr="007C699F" w:rsidR="002D74A6" w:rsidP="007C699F" w14:paraId="0AB51548" w14:textId="0C9A14D9">
      <w:pPr>
        <w:pStyle w:val="JuPara"/>
      </w:pPr>
      <w:r w:rsidRPr="007C699F">
        <w:fldChar w:fldCharType="begin"/>
      </w:r>
      <w:r w:rsidRPr="007C699F">
        <w:instrText xml:space="preserve"> SEQ l</w:instrText>
      </w:r>
      <w:r w:rsidRPr="007C699F">
        <w:instrText xml:space="preserve">evel0 \*arabic \* MERGEFORMAT </w:instrText>
      </w:r>
      <w:r w:rsidRPr="007C699F">
        <w:fldChar w:fldCharType="separate"/>
      </w:r>
      <w:r w:rsidRPr="007C699F">
        <w:rPr>
          <w:noProof/>
        </w:rPr>
        <w:t>2</w:t>
      </w:r>
      <w:r w:rsidRPr="007C699F">
        <w:fldChar w:fldCharType="end"/>
      </w:r>
      <w:r w:rsidRPr="007C699F">
        <w:t xml:space="preserve">.  The applicant was represented by Mr Y.M. </w:t>
      </w:r>
      <w:r w:rsidRPr="007C699F">
        <w:t>Pavlyshyn</w:t>
      </w:r>
      <w:r w:rsidRPr="007C699F">
        <w:t>, a lawyer practising in Odesa.</w:t>
      </w:r>
    </w:p>
    <w:p w:rsidRPr="007C699F" w:rsidR="002D74A6" w:rsidP="007C699F" w14:paraId="5FFE0EE5" w14:textId="4641FB22">
      <w:pPr>
        <w:pStyle w:val="JuPara"/>
      </w:pPr>
      <w:r w:rsidRPr="007C699F">
        <w:fldChar w:fldCharType="begin"/>
      </w:r>
      <w:r w:rsidRPr="007C699F">
        <w:instrText xml:space="preserve"> SEQ level0 \*arabic \* MERGEFORMAT </w:instrText>
      </w:r>
      <w:r w:rsidRPr="007C699F">
        <w:fldChar w:fldCharType="separate"/>
      </w:r>
      <w:r w:rsidRPr="007C699F">
        <w:rPr>
          <w:noProof/>
        </w:rPr>
        <w:t>3</w:t>
      </w:r>
      <w:r w:rsidRPr="007C699F">
        <w:fldChar w:fldCharType="end"/>
      </w:r>
      <w:r w:rsidRPr="007C699F">
        <w:t>.  The Ukrainian Government (“the Government”) were given notice of the application.</w:t>
      </w:r>
    </w:p>
    <w:p w:rsidRPr="007C699F" w:rsidR="002D74A6" w:rsidP="007C699F" w14:paraId="308E59AF" w14:textId="77777777">
      <w:pPr>
        <w:pStyle w:val="JuHHead"/>
        <w:jc w:val="left"/>
      </w:pPr>
      <w:r w:rsidRPr="007C699F">
        <w:t>THE FACTS</w:t>
      </w:r>
    </w:p>
    <w:p w:rsidRPr="007C699F" w:rsidR="002D74A6" w:rsidP="007C699F" w14:paraId="60135707" w14:textId="45143F0A">
      <w:pPr>
        <w:pStyle w:val="JuPara"/>
      </w:pPr>
      <w:r w:rsidRPr="007C699F">
        <w:fldChar w:fldCharType="begin"/>
      </w:r>
      <w:r w:rsidRPr="007C699F">
        <w:instrText xml:space="preserve"> S</w:instrText>
      </w:r>
      <w:r w:rsidRPr="007C699F">
        <w:instrText xml:space="preserve">EQ level0 \*arabic \* MERGEFORMAT </w:instrText>
      </w:r>
      <w:r w:rsidRPr="007C699F">
        <w:fldChar w:fldCharType="separate"/>
      </w:r>
      <w:r w:rsidRPr="007C699F">
        <w:rPr>
          <w:noProof/>
        </w:rPr>
        <w:t>4</w:t>
      </w:r>
      <w:r w:rsidRPr="007C699F">
        <w:fldChar w:fldCharType="end"/>
      </w:r>
      <w:r w:rsidRPr="007C699F">
        <w:t>.  The applicant</w:t>
      </w:r>
      <w:r w:rsidRPr="007C699F">
        <w:t>’</w:t>
      </w:r>
      <w:r w:rsidRPr="007C699F">
        <w:t>s details and information relevant to the application are set out in the appended table.</w:t>
      </w:r>
    </w:p>
    <w:p w:rsidRPr="007C699F" w:rsidR="002D74A6" w:rsidP="007C699F" w14:paraId="60FE9A2E" w14:textId="77777777">
      <w:pPr>
        <w:pStyle w:val="JuHHead"/>
        <w:jc w:val="left"/>
      </w:pPr>
      <w:r w:rsidRPr="007C699F">
        <w:t>THE LAW</w:t>
      </w:r>
    </w:p>
    <w:p w:rsidRPr="007C699F" w:rsidR="002D74A6" w:rsidP="007C699F" w14:paraId="226DD378" w14:textId="77777777">
      <w:pPr>
        <w:pStyle w:val="JuHIRoman"/>
        <w:tabs>
          <w:tab w:val="clear" w:pos="454"/>
          <w:tab w:val="clear" w:pos="539"/>
          <w:tab w:val="clear" w:pos="624"/>
          <w:tab w:val="clear" w:pos="709"/>
          <w:tab w:val="clear" w:pos="794"/>
        </w:tabs>
        <w:ind w:left="357" w:hanging="357"/>
        <w:rPr>
          <w:rFonts w:eastAsia="PMingLiU"/>
        </w:rPr>
      </w:pPr>
      <w:r w:rsidRPr="007C699F">
        <w:t xml:space="preserve">ALLEGED VIOLATION OF ARTICLE 2 </w:t>
      </w:r>
      <w:r w:rsidRPr="007C699F">
        <w:rPr>
          <w:rFonts w:ascii="Times New Roman" w:hAnsi="Times New Roman" w:eastAsia="PMingLiU" w:cs="Times New Roman"/>
        </w:rPr>
        <w:t>of the Convention</w:t>
      </w:r>
    </w:p>
    <w:p w:rsidRPr="007C699F" w:rsidR="002D74A6" w:rsidP="007C699F" w14:paraId="6A5666A0" w14:textId="0DCE1083">
      <w:pPr>
        <w:pStyle w:val="JuPara"/>
      </w:pPr>
      <w:r w:rsidRPr="007C699F">
        <w:fldChar w:fldCharType="begin"/>
      </w:r>
      <w:r w:rsidRPr="007C699F">
        <w:instrText xml:space="preserve"> SEQ level0 \*arabic \* MERGEFORMAT </w:instrText>
      </w:r>
      <w:r w:rsidRPr="007C699F">
        <w:fldChar w:fldCharType="separate"/>
      </w:r>
      <w:r w:rsidRPr="007C699F">
        <w:rPr>
          <w:noProof/>
        </w:rPr>
        <w:t>5</w:t>
      </w:r>
      <w:r w:rsidRPr="007C699F">
        <w:fldChar w:fldCharType="end"/>
      </w:r>
      <w:r w:rsidRPr="007C699F">
        <w:t>.  The applicant complained</w:t>
      </w:r>
      <w:r w:rsidRPr="007C699F">
        <w:rPr>
          <w:bCs/>
        </w:rPr>
        <w:t xml:space="preserve"> </w:t>
      </w:r>
      <w:r w:rsidRPr="007C699F">
        <w:t>of the ineffective investigation into the death of her daughter without involvement of State agents</w:t>
      </w:r>
      <w:r w:rsidRPr="007C699F">
        <w:rPr>
          <w:bCs/>
        </w:rPr>
        <w:t>.</w:t>
      </w:r>
      <w:r w:rsidRPr="007C699F">
        <w:t xml:space="preserve"> She relied on Article 2 </w:t>
      </w:r>
      <w:r w:rsidRPr="007C699F">
        <w:rPr>
          <w:rFonts w:ascii="Times New Roman" w:hAnsi="Times New Roman" w:eastAsia="PMingLiU" w:cs="Times New Roman"/>
        </w:rPr>
        <w:t>of the Convention</w:t>
      </w:r>
      <w:r w:rsidRPr="007C699F">
        <w:t>.</w:t>
      </w:r>
    </w:p>
    <w:p w:rsidRPr="007C699F" w:rsidR="002D74A6" w:rsidP="007C699F" w14:paraId="0FAC05A2" w14:textId="10B5ED10">
      <w:pPr>
        <w:pStyle w:val="JuPara"/>
      </w:pPr>
      <w:r w:rsidRPr="007C699F">
        <w:fldChar w:fldCharType="begin"/>
      </w:r>
      <w:r w:rsidRPr="007C699F">
        <w:instrText xml:space="preserve"> SEQ level0 \*arabic \* MERGEFORMAT </w:instrText>
      </w:r>
      <w:r w:rsidRPr="007C699F">
        <w:fldChar w:fldCharType="separate"/>
      </w:r>
      <w:r w:rsidRPr="007C699F">
        <w:rPr>
          <w:noProof/>
        </w:rPr>
        <w:t>6</w:t>
      </w:r>
      <w:r w:rsidRPr="007C699F">
        <w:fldChar w:fldCharType="end"/>
      </w:r>
      <w:r w:rsidRPr="007C699F">
        <w:t xml:space="preserve">. </w:t>
      </w:r>
      <w:r w:rsidRPr="007C699F">
        <w:rPr>
          <w:rFonts w:cstheme="minorHAnsi"/>
        </w:rPr>
        <w:t>The</w:t>
      </w:r>
      <w:r w:rsidRPr="007C699F">
        <w:t xml:space="preserve"> Court notes at the outset that the present case falls to be examined from the perspective of the State</w:t>
      </w:r>
      <w:r w:rsidRPr="007C699F">
        <w:t>’</w:t>
      </w:r>
      <w:r w:rsidRPr="007C699F">
        <w:t>s obligation to conduct an effective investigation under the procedural limb of Article 2 of the</w:t>
      </w:r>
      <w:r w:rsidRPr="007C699F" w:rsidR="00621074">
        <w:t> </w:t>
      </w:r>
      <w:r w:rsidRPr="007C699F">
        <w:t>Convention. The</w:t>
      </w:r>
      <w:r w:rsidRPr="007C699F" w:rsidR="00621074">
        <w:t> </w:t>
      </w:r>
      <w:r w:rsidRPr="007C699F">
        <w:t xml:space="preserve">relevant general principles concerning the effectiveness of the investigation were summarised in </w:t>
      </w:r>
      <w:r w:rsidRPr="007C699F">
        <w:rPr>
          <w:i/>
          <w:iCs/>
        </w:rPr>
        <w:t xml:space="preserve">Mustafa </w:t>
      </w:r>
      <w:r w:rsidRPr="007C699F">
        <w:rPr>
          <w:i/>
          <w:iCs/>
        </w:rPr>
        <w:t>Tunç</w:t>
      </w:r>
      <w:r w:rsidRPr="007C699F">
        <w:rPr>
          <w:i/>
          <w:iCs/>
        </w:rPr>
        <w:t xml:space="preserve"> and </w:t>
      </w:r>
      <w:r w:rsidRPr="007C699F">
        <w:rPr>
          <w:i/>
          <w:iCs/>
        </w:rPr>
        <w:t>Fecire</w:t>
      </w:r>
      <w:r w:rsidRPr="007C699F">
        <w:rPr>
          <w:i/>
          <w:iCs/>
        </w:rPr>
        <w:t xml:space="preserve"> </w:t>
      </w:r>
      <w:r w:rsidRPr="007C699F">
        <w:rPr>
          <w:i/>
          <w:iCs/>
        </w:rPr>
        <w:t>Tunç</w:t>
      </w:r>
      <w:r w:rsidRPr="007C699F">
        <w:rPr>
          <w:i/>
          <w:iCs/>
        </w:rPr>
        <w:t xml:space="preserve"> v. Turkey</w:t>
      </w:r>
      <w:r w:rsidRPr="007C699F">
        <w:t xml:space="preserve"> [GC] (no. 24014/05, §§ 169-82, 14 April 2015). </w:t>
      </w:r>
      <w:r w:rsidRPr="007C699F">
        <w:t>In particular, once</w:t>
      </w:r>
      <w:r w:rsidRPr="007C699F">
        <w:t xml:space="preserve"> the investigative obligation is triggered, compliance with the procedural requirement of Article 2 is assessed on the basis of several essential parameters: the adequacy of the investigative measures, the promptness of the</w:t>
      </w:r>
      <w:r w:rsidRPr="007C699F" w:rsidR="00621074">
        <w:t> </w:t>
      </w:r>
      <w:r w:rsidRPr="007C699F">
        <w:t>investigation, the involvement of the deceased person</w:t>
      </w:r>
      <w:r w:rsidRPr="007C699F">
        <w:t>’</w:t>
      </w:r>
      <w:r w:rsidRPr="007C699F">
        <w:t>s family, and the</w:t>
      </w:r>
      <w:r w:rsidRPr="007C699F" w:rsidR="00621074">
        <w:t> </w:t>
      </w:r>
      <w:r w:rsidRPr="007C699F">
        <w:t>independence of the investigation. These elements are inter</w:t>
      </w:r>
      <w:r w:rsidRPr="007C699F">
        <w:noBreakHyphen/>
        <w:t xml:space="preserve">related and </w:t>
      </w:r>
      <w:r w:rsidRPr="007C699F">
        <w:t xml:space="preserve">each of them, taken separately, does not amount to an </w:t>
      </w:r>
      <w:r w:rsidRPr="007C699F">
        <w:t>end in itself</w:t>
      </w:r>
      <w:r w:rsidRPr="007C699F">
        <w:t xml:space="preserve"> (ibid.,</w:t>
      </w:r>
      <w:r w:rsidRPr="007C699F" w:rsidR="00621074">
        <w:t> </w:t>
      </w:r>
      <w:r w:rsidRPr="007C699F">
        <w:t>§ 225).</w:t>
      </w:r>
    </w:p>
    <w:p w:rsidRPr="007C699F" w:rsidR="002D74A6" w:rsidP="007C699F" w14:paraId="5560D4D8" w14:textId="7113FBCA">
      <w:pPr>
        <w:pStyle w:val="JuPara"/>
      </w:pPr>
      <w:r w:rsidRPr="007C699F">
        <w:fldChar w:fldCharType="begin"/>
      </w:r>
      <w:r w:rsidRPr="007C699F">
        <w:instrText xml:space="preserve"> SEQ level0 \*arabic \* MERGEFORMAT </w:instrText>
      </w:r>
      <w:r w:rsidRPr="007C699F">
        <w:fldChar w:fldCharType="separate"/>
      </w:r>
      <w:r w:rsidRPr="007C699F">
        <w:rPr>
          <w:noProof/>
        </w:rPr>
        <w:t>7</w:t>
      </w:r>
      <w:r w:rsidRPr="007C699F">
        <w:fldChar w:fldCharType="end"/>
      </w:r>
      <w:r w:rsidRPr="007C699F">
        <w:t xml:space="preserve">.  Moreover, this is not an obligation of results to be achieved but of means to be employed. The Court accepts that not every investigation is necessarily successful or </w:t>
      </w:r>
      <w:r w:rsidRPr="007C699F">
        <w:t>comes to a conclusion</w:t>
      </w:r>
      <w:r w:rsidRPr="007C699F">
        <w:t xml:space="preserve"> coinciding with the</w:t>
      </w:r>
      <w:r w:rsidRPr="007C699F" w:rsidR="00621074">
        <w:t> </w:t>
      </w:r>
      <w:r w:rsidRPr="007C699F">
        <w:t>claimant</w:t>
      </w:r>
      <w:r w:rsidRPr="007C699F">
        <w:t>’</w:t>
      </w:r>
      <w:r w:rsidRPr="007C699F">
        <w:t xml:space="preserve">s account of events. However, it should, in principle, be capable of leading to the establishment of the facts of the case and, if the allegations prove to be true, to the identification and punishment of those responsible (see </w:t>
      </w:r>
      <w:r w:rsidRPr="007C699F">
        <w:rPr>
          <w:i/>
          <w:iCs/>
        </w:rPr>
        <w:t>Paul and Audrey Edwards v. the United Kingdom</w:t>
      </w:r>
      <w:r w:rsidRPr="007C699F">
        <w:t>, no. 46477/99, § 71, ECHR 2002-II).</w:t>
      </w:r>
    </w:p>
    <w:p w:rsidRPr="007C699F" w:rsidR="002D74A6" w:rsidP="007C699F" w14:paraId="7ED236C2" w14:textId="55701485">
      <w:pPr>
        <w:pStyle w:val="JuPara"/>
      </w:pPr>
      <w:r w:rsidRPr="007C699F">
        <w:fldChar w:fldCharType="begin"/>
      </w:r>
      <w:r w:rsidRPr="007C699F">
        <w:instrText xml:space="preserve"> SEQ level0 \*arabic \* MERGEFORMAT </w:instrText>
      </w:r>
      <w:r w:rsidRPr="007C699F">
        <w:fldChar w:fldCharType="separate"/>
      </w:r>
      <w:r w:rsidRPr="007C699F">
        <w:rPr>
          <w:noProof/>
        </w:rPr>
        <w:t>8</w:t>
      </w:r>
      <w:r w:rsidRPr="007C699F">
        <w:fldChar w:fldCharType="end"/>
      </w:r>
      <w:r w:rsidRPr="007C699F">
        <w:t>.  Reviewing the facts of the present case in the light of those principles, the Court considers that the investigation was marked by various shortcomings, which had undermined the ability of the investigating authorities to establish the circumstances of the death, and who, if anyone, was responsible. The specific shortcomings are indicated in the appended table.</w:t>
      </w:r>
    </w:p>
    <w:p w:rsidRPr="007C699F" w:rsidR="002D74A6" w:rsidP="007C699F" w14:paraId="618BBDF0" w14:textId="5DA26AAA">
      <w:pPr>
        <w:pStyle w:val="JuPara"/>
      </w:pPr>
      <w:r w:rsidRPr="007C699F">
        <w:fldChar w:fldCharType="begin"/>
      </w:r>
      <w:r w:rsidRPr="007C699F">
        <w:instrText xml:space="preserve"> SEQ level0 \*arabic \* MERGEFORMAT </w:instrText>
      </w:r>
      <w:r w:rsidRPr="007C699F">
        <w:fldChar w:fldCharType="separate"/>
      </w:r>
      <w:r w:rsidRPr="007C699F">
        <w:rPr>
          <w:noProof/>
        </w:rPr>
        <w:t>9</w:t>
      </w:r>
      <w:r w:rsidRPr="007C699F">
        <w:fldChar w:fldCharType="end"/>
      </w:r>
      <w:r w:rsidRPr="007C699F">
        <w:t xml:space="preserve">.  In the leading cases of </w:t>
      </w:r>
      <w:r w:rsidRPr="007C699F">
        <w:rPr>
          <w:i/>
          <w:iCs/>
        </w:rPr>
        <w:t>Kachurka</w:t>
      </w:r>
      <w:r w:rsidRPr="007C699F">
        <w:rPr>
          <w:i/>
          <w:iCs/>
        </w:rPr>
        <w:t xml:space="preserve"> v. Ukraine</w:t>
      </w:r>
      <w:r w:rsidRPr="007C699F">
        <w:t xml:space="preserve"> (no. 4737/06, 15 September 2011), </w:t>
      </w:r>
      <w:r w:rsidRPr="007C699F">
        <w:rPr>
          <w:i/>
          <w:iCs/>
        </w:rPr>
        <w:t>Pozhyvotko</w:t>
      </w:r>
      <w:r w:rsidRPr="007C699F">
        <w:rPr>
          <w:i/>
          <w:iCs/>
        </w:rPr>
        <w:t xml:space="preserve"> v. Ukraine</w:t>
      </w:r>
      <w:r w:rsidRPr="007C699F">
        <w:t xml:space="preserve"> (no. 42752/08, 17</w:t>
      </w:r>
      <w:r w:rsidRPr="007C699F" w:rsidR="00621074">
        <w:t> </w:t>
      </w:r>
      <w:r w:rsidRPr="007C699F">
        <w:t>October</w:t>
      </w:r>
      <w:r w:rsidRPr="007C699F" w:rsidR="00621074">
        <w:t> </w:t>
      </w:r>
      <w:r w:rsidRPr="007C699F">
        <w:t xml:space="preserve">2013), and </w:t>
      </w:r>
      <w:r w:rsidRPr="007C699F">
        <w:rPr>
          <w:i/>
          <w:iCs/>
        </w:rPr>
        <w:t>Basyuk</w:t>
      </w:r>
      <w:r w:rsidRPr="007C699F">
        <w:rPr>
          <w:i/>
          <w:iCs/>
        </w:rPr>
        <w:t xml:space="preserve"> v. Ukraine</w:t>
      </w:r>
      <w:r w:rsidRPr="007C699F">
        <w:t xml:space="preserve"> (no. 51151/10, 5 November 2015), the Court already found violations in respect of issues </w:t>
      </w:r>
      <w:r w:rsidRPr="007C699F">
        <w:t>similar to</w:t>
      </w:r>
      <w:r w:rsidRPr="007C699F">
        <w:t xml:space="preserve"> those in the present case.</w:t>
      </w:r>
    </w:p>
    <w:p w:rsidRPr="007C699F" w:rsidR="002D74A6" w:rsidP="007C699F" w14:paraId="49029DFE" w14:textId="24F1099E">
      <w:pPr>
        <w:pStyle w:val="JuPara"/>
      </w:pPr>
      <w:r w:rsidRPr="007C699F">
        <w:fldChar w:fldCharType="begin"/>
      </w:r>
      <w:r w:rsidRPr="007C699F">
        <w:instrText xml:space="preserve"> SEQ level0 \*arabic \* MERGEFORMAT </w:instrText>
      </w:r>
      <w:r w:rsidRPr="007C699F">
        <w:fldChar w:fldCharType="separate"/>
      </w:r>
      <w:r w:rsidRPr="007C699F">
        <w:rPr>
          <w:noProof/>
        </w:rPr>
        <w:t>10</w:t>
      </w:r>
      <w:r w:rsidRPr="007C699F">
        <w:fldChar w:fldCharType="end"/>
      </w:r>
      <w:r w:rsidRPr="007C699F">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w:t>
      </w:r>
      <w:r w:rsidRPr="007C699F" w:rsidR="00621074">
        <w:t> </w:t>
      </w:r>
      <w:r w:rsidRPr="007C699F">
        <w:t>investigation failed to meet the criteria of effectiveness.</w:t>
      </w:r>
    </w:p>
    <w:p w:rsidRPr="007C699F" w:rsidR="002D74A6" w:rsidP="007C699F" w14:paraId="0473F224" w14:textId="2B25D3D1">
      <w:pPr>
        <w:pStyle w:val="JuPara"/>
      </w:pPr>
      <w:r w:rsidRPr="007C699F">
        <w:fldChar w:fldCharType="begin"/>
      </w:r>
      <w:r w:rsidRPr="007C699F">
        <w:instrText xml:space="preserve"> SEQ level0 \*arabic \* MERGEFORMAT </w:instrText>
      </w:r>
      <w:r w:rsidRPr="007C699F">
        <w:fldChar w:fldCharType="separate"/>
      </w:r>
      <w:r w:rsidRPr="007C699F">
        <w:rPr>
          <w:noProof/>
        </w:rPr>
        <w:t>11</w:t>
      </w:r>
      <w:r w:rsidRPr="007C699F">
        <w:fldChar w:fldCharType="end"/>
      </w:r>
      <w:r w:rsidRPr="007C699F">
        <w:t>.  These complaints are therefore admissible and disclose a breach of Article 2 of the Convention under its procedural limb.</w:t>
      </w:r>
    </w:p>
    <w:p w:rsidRPr="007C699F" w:rsidR="002D74A6" w:rsidP="007C699F" w14:paraId="6F1D12E3" w14:textId="77777777">
      <w:pPr>
        <w:pStyle w:val="JuHIRoman"/>
        <w:tabs>
          <w:tab w:val="clear" w:pos="454"/>
          <w:tab w:val="clear" w:pos="539"/>
          <w:tab w:val="clear" w:pos="624"/>
          <w:tab w:val="clear" w:pos="709"/>
          <w:tab w:val="clear" w:pos="794"/>
        </w:tabs>
        <w:ind w:left="357" w:hanging="357"/>
        <w:jc w:val="left"/>
      </w:pPr>
      <w:r w:rsidRPr="007C699F">
        <w:t>APPLICATION OF ARTICLE 41 OF THE CONVENTION</w:t>
      </w:r>
    </w:p>
    <w:p w:rsidRPr="007C699F" w:rsidR="002D74A6" w:rsidP="007C699F" w14:paraId="496A7711" w14:textId="356E8655">
      <w:pPr>
        <w:pStyle w:val="JuPara"/>
      </w:pPr>
      <w:r w:rsidRPr="007C699F">
        <w:fldChar w:fldCharType="begin"/>
      </w:r>
      <w:r w:rsidRPr="007C699F">
        <w:instrText xml:space="preserve"> SEQ level0 \</w:instrText>
      </w:r>
      <w:r w:rsidRPr="007C699F">
        <w:instrText xml:space="preserve">*arabic \* MERGEFORMAT </w:instrText>
      </w:r>
      <w:r w:rsidRPr="007C699F">
        <w:fldChar w:fldCharType="separate"/>
      </w:r>
      <w:r w:rsidRPr="007C699F">
        <w:rPr>
          <w:noProof/>
        </w:rPr>
        <w:t>12</w:t>
      </w:r>
      <w:r w:rsidRPr="007C699F">
        <w:fldChar w:fldCharType="end"/>
      </w:r>
      <w:r w:rsidRPr="007C699F">
        <w:t>.  Regard being had to the documents in its possession and to its case</w:t>
      </w:r>
      <w:r w:rsidRPr="007C699F">
        <w:noBreakHyphen/>
        <w:t>law (see</w:t>
      </w:r>
      <w:r w:rsidRPr="007C699F">
        <w:t xml:space="preserve">, in particular, </w:t>
      </w:r>
      <w:r w:rsidRPr="007C699F">
        <w:rPr>
          <w:i/>
        </w:rPr>
        <w:t>Basyuk</w:t>
      </w:r>
      <w:r w:rsidRPr="007C699F">
        <w:t>, cited above, §§ 74-80), the Court considers it reasonable to award the sums indicated in the appended table.</w:t>
      </w:r>
    </w:p>
    <w:p w:rsidRPr="007C699F" w:rsidR="002D74A6" w:rsidP="007C699F" w14:paraId="14669089" w14:textId="77777777">
      <w:pPr>
        <w:pStyle w:val="JuHHead"/>
        <w:jc w:val="left"/>
      </w:pPr>
      <w:r w:rsidRPr="007C699F">
        <w:t>FOR THESE REASONS, THE COURT, UNANIMOUSLY,</w:t>
      </w:r>
    </w:p>
    <w:p w:rsidRPr="007C699F" w:rsidR="002D74A6" w:rsidP="007C699F" w14:paraId="3DC38494" w14:textId="77777777">
      <w:pPr>
        <w:pStyle w:val="JuList"/>
        <w:keepNext/>
        <w:keepLines/>
      </w:pPr>
      <w:r w:rsidRPr="007C699F">
        <w:rPr>
          <w:i/>
        </w:rPr>
        <w:t xml:space="preserve">Declares </w:t>
      </w:r>
      <w:r w:rsidRPr="007C699F">
        <w:t xml:space="preserve">the application </w:t>
      </w:r>
      <w:r w:rsidRPr="007C699F">
        <w:t>admissible;</w:t>
      </w:r>
    </w:p>
    <w:p w:rsidRPr="007C699F" w:rsidR="002D74A6" w:rsidP="007C699F" w14:paraId="10C1ED12" w14:textId="34912ACF">
      <w:pPr>
        <w:pStyle w:val="JuList"/>
        <w:rPr>
          <w:rFonts w:cstheme="minorHAnsi"/>
          <w:bCs/>
        </w:rPr>
      </w:pPr>
      <w:r w:rsidRPr="007C699F">
        <w:rPr>
          <w:i/>
        </w:rPr>
        <w:t xml:space="preserve">Holds </w:t>
      </w:r>
      <w:r w:rsidRPr="007C699F">
        <w:t xml:space="preserve">that this application discloses a breach of Article 2 </w:t>
      </w:r>
      <w:r w:rsidRPr="007C699F">
        <w:rPr>
          <w:rFonts w:ascii="Times New Roman" w:hAnsi="Times New Roman" w:eastAsia="PMingLiU" w:cs="Times New Roman"/>
        </w:rPr>
        <w:t>of the</w:t>
      </w:r>
      <w:r w:rsidRPr="007C699F" w:rsidR="00621074">
        <w:rPr>
          <w:rFonts w:ascii="Times New Roman" w:hAnsi="Times New Roman" w:eastAsia="PMingLiU" w:cs="Times New Roman"/>
        </w:rPr>
        <w:t> </w:t>
      </w:r>
      <w:r w:rsidRPr="007C699F">
        <w:rPr>
          <w:rFonts w:ascii="Times New Roman" w:hAnsi="Times New Roman" w:eastAsia="PMingLiU" w:cs="Times New Roman"/>
        </w:rPr>
        <w:t>Convention</w:t>
      </w:r>
      <w:r w:rsidRPr="007C699F">
        <w:t xml:space="preserve"> concerning the </w:t>
      </w:r>
      <w:r w:rsidRPr="007C699F">
        <w:rPr>
          <w:rFonts w:cstheme="minorHAnsi"/>
        </w:rPr>
        <w:t>ineffective investigation into death of the</w:t>
      </w:r>
      <w:r w:rsidRPr="007C699F" w:rsidR="00621074">
        <w:rPr>
          <w:rFonts w:cstheme="minorHAnsi"/>
        </w:rPr>
        <w:t> </w:t>
      </w:r>
      <w:r w:rsidRPr="007C699F">
        <w:rPr>
          <w:rFonts w:cstheme="minorHAnsi"/>
        </w:rPr>
        <w:t>applicant</w:t>
      </w:r>
      <w:r w:rsidRPr="007C699F" w:rsidR="007C699F">
        <w:rPr>
          <w:rFonts w:cstheme="minorHAnsi"/>
        </w:rPr>
        <w:t>’</w:t>
      </w:r>
      <w:r w:rsidRPr="007C699F">
        <w:rPr>
          <w:rFonts w:cstheme="minorHAnsi"/>
        </w:rPr>
        <w:t xml:space="preserve">s </w:t>
      </w:r>
      <w:r w:rsidRPr="007C699F">
        <w:rPr>
          <w:rFonts w:cstheme="minorHAnsi"/>
        </w:rPr>
        <w:t>daughter</w:t>
      </w:r>
      <w:r w:rsidRPr="007C699F">
        <w:rPr>
          <w:rFonts w:eastAsia="PMingLiU"/>
        </w:rPr>
        <w:t>;</w:t>
      </w:r>
    </w:p>
    <w:p w:rsidRPr="007C699F" w:rsidR="002D74A6" w:rsidP="007C699F" w14:paraId="7AB09411" w14:textId="77777777">
      <w:pPr>
        <w:pStyle w:val="JuList"/>
        <w:keepNext/>
        <w:keepLines/>
        <w:rPr>
          <w:rFonts w:cstheme="minorHAnsi"/>
          <w:bCs/>
        </w:rPr>
      </w:pPr>
      <w:r w:rsidRPr="007C699F">
        <w:rPr>
          <w:i/>
        </w:rPr>
        <w:t>Holds</w:t>
      </w:r>
    </w:p>
    <w:p w:rsidRPr="007C699F" w:rsidR="002D74A6" w:rsidP="007C699F" w14:paraId="632D49C8" w14:textId="00C40CF8">
      <w:pPr>
        <w:pStyle w:val="JuLista"/>
        <w:keepNext/>
        <w:keepLines/>
      </w:pPr>
      <w:r w:rsidRPr="007C699F">
        <w:t>that the respondent State is to pay the applicant, within three months, the amounts indicated in the appended table, to be converted into the</w:t>
      </w:r>
      <w:r w:rsidRPr="007C699F" w:rsidR="00621074">
        <w:t> </w:t>
      </w:r>
      <w:r w:rsidRPr="007C699F">
        <w:t xml:space="preserve">currency of the respondent State at the rate applicable at the date of </w:t>
      </w:r>
      <w:r w:rsidRPr="007C699F">
        <w:t>settlement;</w:t>
      </w:r>
    </w:p>
    <w:p w:rsidRPr="007C699F" w:rsidR="00621074" w:rsidP="007C699F" w14:paraId="06681D0E" w14:textId="18655E9E">
      <w:pPr>
        <w:pStyle w:val="JuLista"/>
        <w:keepNext/>
        <w:keepLines/>
      </w:pPr>
      <w:r w:rsidRPr="007C699F">
        <w:t>that from the expiry of the above-mentioned three months until settlement simple interest shall be payable on the above amounts at a rate equal to the marginal lending rate of the European Central Bank during the default period plus three percentage points</w:t>
      </w:r>
      <w:r w:rsidRPr="007C699F">
        <w:rPr>
          <w:spacing w:val="-2"/>
        </w:rPr>
        <w:t>.</w:t>
      </w:r>
    </w:p>
    <w:p w:rsidRPr="007C699F" w:rsidR="00606600" w:rsidP="007C699F" w14:paraId="1DEDBF87" w14:textId="645E8684">
      <w:pPr>
        <w:pStyle w:val="JuParaLast"/>
      </w:pPr>
      <w:r w:rsidRPr="007C699F">
        <w:t xml:space="preserve">Done in English, and notified in writing on </w:t>
      </w:r>
      <w:r w:rsidRPr="007C699F" w:rsidR="002D74A6">
        <w:t>28 May 2025</w:t>
      </w:r>
      <w:r w:rsidRPr="007C699F">
        <w:t>, pursuant to Rule 77 §§ 2 and 3 of the Rules of Court.</w:t>
      </w:r>
    </w:p>
    <w:p w:rsidRPr="007C699F" w:rsidR="00656431" w:rsidP="007C699F" w14:paraId="44D96D8B" w14:textId="75E00415">
      <w:pPr>
        <w:pStyle w:val="ECHRPlaceholder"/>
        <w:rPr>
          <w:szCs w:val="22"/>
        </w:rPr>
      </w:pPr>
      <w:r w:rsidRPr="007C699F">
        <w:rPr>
          <w:rFonts w:eastAsia="PMingLiU"/>
        </w:rPr>
        <w:tab/>
      </w:r>
    </w:p>
    <w:p w:rsidRPr="007C699F" w:rsidR="00606600" w:rsidP="007C699F" w14:paraId="644C3C9E" w14:textId="776D830A">
      <w:pPr>
        <w:pStyle w:val="JuSigned"/>
        <w:rPr>
          <w:rFonts w:eastAsia="PMingLiU"/>
        </w:rPr>
      </w:pPr>
      <w:r w:rsidRPr="007C699F">
        <w:rPr>
          <w:rFonts w:eastAsia="PMingLiU"/>
        </w:rPr>
        <w:tab/>
      </w:r>
      <w:r w:rsidRPr="007C699F" w:rsidR="002D74A6">
        <w:rPr>
          <w:rFonts w:eastAsia="PMingLiU"/>
        </w:rPr>
        <w:t>Viktoriya</w:t>
      </w:r>
      <w:r w:rsidRPr="007C699F" w:rsidR="0048584C">
        <w:rPr>
          <w:rFonts w:eastAsia="PMingLiU"/>
        </w:rPr>
        <w:t xml:space="preserve"> </w:t>
      </w:r>
      <w:r w:rsidRPr="007C699F" w:rsidR="002D74A6">
        <w:rPr>
          <w:rFonts w:eastAsia="PMingLiU"/>
        </w:rPr>
        <w:t>Maradudina</w:t>
      </w:r>
      <w:r w:rsidRPr="007C699F" w:rsidR="0048584C">
        <w:rPr>
          <w:rFonts w:eastAsia="PMingLiU"/>
        </w:rPr>
        <w:tab/>
      </w:r>
      <w:r w:rsidRPr="007C699F" w:rsidR="002D74A6">
        <w:rPr>
          <w:rFonts w:eastAsia="PMingLiU"/>
        </w:rPr>
        <w:t xml:space="preserve">Diana </w:t>
      </w:r>
      <w:r w:rsidRPr="007C699F" w:rsidR="002D74A6">
        <w:rPr>
          <w:rFonts w:eastAsia="PMingLiU"/>
        </w:rPr>
        <w:t>Sârcu</w:t>
      </w:r>
    </w:p>
    <w:p w:rsidRPr="007C699F" w:rsidR="00B91668" w:rsidP="007C699F" w14:paraId="5BBE7268" w14:textId="2DF1468D">
      <w:pPr>
        <w:pStyle w:val="JuSigned"/>
        <w:contextualSpacing/>
        <w:rPr>
          <w:rFonts w:eastAsia="PMingLiU"/>
        </w:rPr>
      </w:pPr>
      <w:r w:rsidRPr="007C699F">
        <w:rPr>
          <w:rFonts w:eastAsia="PMingLiU"/>
        </w:rPr>
        <w:tab/>
        <w:t>Acting Deputy Registrar</w:t>
      </w:r>
      <w:r w:rsidRPr="007C699F">
        <w:rPr>
          <w:rFonts w:eastAsia="PMingLiU"/>
        </w:rPr>
        <w:tab/>
        <w:t>President</w:t>
      </w:r>
    </w:p>
    <w:p w:rsidRPr="007C699F" w:rsidR="00BD554D" w:rsidP="007C699F" w14:paraId="5FA70348" w14:textId="54C0321A">
      <w:pPr>
        <w:pStyle w:val="JuSigned"/>
        <w:tabs>
          <w:tab w:val="left" w:pos="5115"/>
        </w:tabs>
        <w:contextualSpacing/>
        <w:rPr>
          <w:rFonts w:eastAsia="PMingLiU"/>
        </w:rPr>
      </w:pPr>
    </w:p>
    <w:p w:rsidRPr="007C699F" w:rsidR="00606600" w:rsidP="007C699F" w14:paraId="2535D825" w14:textId="77777777">
      <w:pPr>
        <w:pStyle w:val="JuSigned"/>
        <w:tabs>
          <w:tab w:val="center" w:pos="1134"/>
        </w:tabs>
        <w:contextualSpacing/>
        <w:rPr>
          <w:rFonts w:eastAsia="PMingLiU"/>
        </w:rPr>
      </w:pPr>
    </w:p>
    <w:p w:rsidRPr="007C699F" w:rsidR="00606600" w:rsidP="007C699F" w14:paraId="1DB1C801"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7C699F" w:rsidR="00606600" w:rsidP="007C699F" w14:paraId="4852898E" w14:textId="77777777">
      <w:pPr>
        <w:pStyle w:val="DecHTitle"/>
        <w:spacing w:after="0"/>
        <w:ind w:right="-6"/>
      </w:pPr>
      <w:r w:rsidRPr="007C699F">
        <w:t>APPENDIX</w:t>
      </w:r>
    </w:p>
    <w:p w:rsidRPr="007C699F" w:rsidR="00606600" w:rsidP="007C699F" w14:paraId="2173F975" w14:textId="38D88DAB">
      <w:pPr>
        <w:pStyle w:val="DecHCase"/>
        <w:contextualSpacing/>
        <w:rPr>
          <w:b/>
          <w:i/>
          <w:color w:val="3E3E3E" w:themeColor="background2" w:themeShade="40"/>
        </w:rPr>
      </w:pPr>
      <w:r w:rsidRPr="007C699F">
        <w:rPr>
          <w:color w:val="3E3E3E" w:themeColor="background2" w:themeShade="40"/>
        </w:rPr>
        <w:t>Application</w:t>
      </w:r>
      <w:r w:rsidRPr="007C699F" w:rsidR="0048584C">
        <w:rPr>
          <w:color w:val="3E3E3E" w:themeColor="background2" w:themeShade="40"/>
        </w:rPr>
        <w:t xml:space="preserve"> raising complaints under Article</w:t>
      </w:r>
      <w:r w:rsidRPr="007C699F">
        <w:rPr>
          <w:color w:val="3E3E3E" w:themeColor="background2" w:themeShade="40"/>
        </w:rPr>
        <w:t xml:space="preserve"> 2 of the Convention</w:t>
      </w:r>
    </w:p>
    <w:p w:rsidRPr="007C699F" w:rsidR="00606600" w:rsidP="007C699F" w14:paraId="7935D46B" w14:textId="44AC2D00">
      <w:pPr>
        <w:pStyle w:val="DecHCase"/>
        <w:spacing w:after="120"/>
        <w:contextualSpacing/>
        <w:rPr>
          <w:b/>
          <w:i/>
        </w:rPr>
      </w:pPr>
      <w:r w:rsidRPr="007C699F">
        <w:rPr>
          <w:color w:val="3E3E3E" w:themeColor="background2" w:themeShade="40"/>
        </w:rPr>
        <w:t>(</w:t>
      </w:r>
      <w:r w:rsidRPr="007C699F" w:rsidR="002D74A6">
        <w:rPr>
          <w:color w:val="3E3E3E" w:themeColor="background2" w:themeShade="40"/>
        </w:rPr>
        <w:t>ineffective</w:t>
      </w:r>
      <w:r w:rsidRPr="007C699F" w:rsidR="002D74A6">
        <w:rPr>
          <w:color w:val="3E3E3E" w:themeColor="background2" w:themeShade="40"/>
        </w:rPr>
        <w:t xml:space="preserve"> investigation into deaths or life-threatening accidents without involvement of State agents</w:t>
      </w:r>
      <w:r w:rsidRPr="007C699F">
        <w:rPr>
          <w:color w:val="3E3E3E" w:themeColor="background2" w:themeShade="40"/>
        </w:rPr>
        <w:t>)</w:t>
      </w:r>
    </w:p>
    <w:tbl>
      <w:tblPr>
        <w:tblStyle w:val="ECHRListTable"/>
        <w:tblW w:w="12328" w:type="dxa"/>
        <w:jc w:val="center"/>
        <w:tblLook w:val="0420"/>
      </w:tblPr>
      <w:tblGrid>
        <w:gridCol w:w="1088"/>
        <w:gridCol w:w="1235"/>
        <w:gridCol w:w="3909"/>
        <w:gridCol w:w="3828"/>
        <w:gridCol w:w="1134"/>
        <w:gridCol w:w="1134"/>
      </w:tblGrid>
      <w:tr w:rsidTr="00621074" w14:paraId="6D24F932" w14:textId="77777777">
        <w:tblPrEx>
          <w:tblW w:w="12328" w:type="dxa"/>
          <w:jc w:val="center"/>
          <w:tblLook w:val="0420"/>
        </w:tblPrEx>
        <w:trPr>
          <w:jc w:val="center"/>
        </w:trPr>
        <w:tc>
          <w:tcPr>
            <w:tcW w:w="0" w:type="auto"/>
          </w:tcPr>
          <w:p w:rsidRPr="007C699F" w:rsidR="00621074" w:rsidP="007C699F" w14:paraId="4CB14982" w14:textId="77777777">
            <w:pPr>
              <w:jc w:val="center"/>
              <w:rPr>
                <w:sz w:val="16"/>
              </w:rPr>
            </w:pPr>
            <w:bookmarkStart w:name="WECLListStart" w:id="2"/>
            <w:bookmarkEnd w:id="2"/>
            <w:r w:rsidRPr="007C699F">
              <w:rPr>
                <w:sz w:val="16"/>
              </w:rPr>
              <w:t>Application no.</w:t>
            </w:r>
          </w:p>
          <w:p w:rsidRPr="007C699F" w:rsidR="00621074" w:rsidP="007C699F" w14:paraId="485DE05C" w14:textId="77777777">
            <w:pPr>
              <w:jc w:val="center"/>
              <w:rPr>
                <w:sz w:val="16"/>
              </w:rPr>
            </w:pPr>
            <w:r w:rsidRPr="007C699F">
              <w:rPr>
                <w:sz w:val="16"/>
              </w:rPr>
              <w:t>Date of introduction</w:t>
            </w:r>
          </w:p>
        </w:tc>
        <w:tc>
          <w:tcPr>
            <w:tcW w:w="0" w:type="auto"/>
          </w:tcPr>
          <w:p w:rsidRPr="007C699F" w:rsidR="00621074" w:rsidP="007C699F" w14:paraId="547504FC" w14:textId="431D44F0">
            <w:pPr>
              <w:jc w:val="center"/>
              <w:rPr>
                <w:sz w:val="16"/>
              </w:rPr>
            </w:pPr>
            <w:r w:rsidRPr="007C699F">
              <w:rPr>
                <w:sz w:val="16"/>
              </w:rPr>
              <w:t>Applicant</w:t>
            </w:r>
            <w:r w:rsidRPr="007C699F" w:rsidR="007C699F">
              <w:rPr>
                <w:sz w:val="16"/>
              </w:rPr>
              <w:t>’</w:t>
            </w:r>
            <w:r w:rsidRPr="007C699F">
              <w:rPr>
                <w:sz w:val="16"/>
              </w:rPr>
              <w:t>s name</w:t>
            </w:r>
          </w:p>
          <w:p w:rsidRPr="007C699F" w:rsidR="00621074" w:rsidP="007C699F" w14:paraId="284D100A" w14:textId="77777777">
            <w:pPr>
              <w:jc w:val="center"/>
              <w:rPr>
                <w:sz w:val="16"/>
              </w:rPr>
            </w:pPr>
            <w:r w:rsidRPr="007C699F">
              <w:rPr>
                <w:sz w:val="16"/>
              </w:rPr>
              <w:t>Year of birth</w:t>
            </w:r>
          </w:p>
        </w:tc>
        <w:tc>
          <w:tcPr>
            <w:tcW w:w="3909" w:type="dxa"/>
          </w:tcPr>
          <w:p w:rsidRPr="007C699F" w:rsidR="00621074" w:rsidP="007C699F" w14:paraId="2F6D16F7" w14:textId="77777777">
            <w:pPr>
              <w:jc w:val="center"/>
              <w:rPr>
                <w:sz w:val="16"/>
              </w:rPr>
            </w:pPr>
            <w:r w:rsidRPr="007C699F">
              <w:rPr>
                <w:sz w:val="16"/>
              </w:rPr>
              <w:t>Background to the case and domestic proceedings</w:t>
            </w:r>
          </w:p>
        </w:tc>
        <w:tc>
          <w:tcPr>
            <w:tcW w:w="3828" w:type="dxa"/>
          </w:tcPr>
          <w:p w:rsidRPr="007C699F" w:rsidR="00621074" w:rsidP="007C699F" w14:paraId="0716D893" w14:textId="77777777">
            <w:pPr>
              <w:jc w:val="center"/>
              <w:rPr>
                <w:sz w:val="16"/>
              </w:rPr>
            </w:pPr>
            <w:r w:rsidRPr="007C699F">
              <w:rPr>
                <w:sz w:val="16"/>
              </w:rPr>
              <w:t>Key issues</w:t>
            </w:r>
          </w:p>
        </w:tc>
        <w:tc>
          <w:tcPr>
            <w:tcW w:w="1134" w:type="dxa"/>
          </w:tcPr>
          <w:p w:rsidRPr="007C699F" w:rsidR="00621074" w:rsidP="007C699F" w14:paraId="4BD42352" w14:textId="77777777">
            <w:pPr>
              <w:jc w:val="center"/>
              <w:rPr>
                <w:sz w:val="16"/>
              </w:rPr>
            </w:pPr>
            <w:r w:rsidRPr="007C699F">
              <w:rPr>
                <w:sz w:val="16"/>
              </w:rPr>
              <w:t xml:space="preserve">Amount awarded for non-pecuniary </w:t>
            </w:r>
            <w:r w:rsidRPr="007C699F">
              <w:rPr>
                <w:sz w:val="16"/>
              </w:rPr>
              <w:t>damage</w:t>
            </w:r>
          </w:p>
          <w:p w:rsidRPr="007C699F" w:rsidR="00621074" w:rsidP="007C699F" w14:paraId="37CF30E2" w14:textId="174EF9DC">
            <w:pPr>
              <w:jc w:val="center"/>
              <w:rPr>
                <w:sz w:val="16"/>
              </w:rPr>
            </w:pPr>
            <w:r w:rsidRPr="007C699F">
              <w:rPr>
                <w:sz w:val="16"/>
              </w:rPr>
              <w:t>(</w:t>
            </w:r>
            <w:r w:rsidRPr="007C699F">
              <w:rPr>
                <w:sz w:val="16"/>
              </w:rPr>
              <w:t>in</w:t>
            </w:r>
            <w:r w:rsidRPr="007C699F">
              <w:rPr>
                <w:sz w:val="16"/>
              </w:rPr>
              <w:t xml:space="preserve"> euros)</w:t>
            </w:r>
            <w:r>
              <w:rPr>
                <w:rStyle w:val="FootnoteReference"/>
                <w:sz w:val="16"/>
              </w:rPr>
              <w:footnoteReference w:id="2"/>
            </w:r>
          </w:p>
        </w:tc>
        <w:tc>
          <w:tcPr>
            <w:tcW w:w="1134" w:type="dxa"/>
          </w:tcPr>
          <w:p w:rsidRPr="007C699F" w:rsidR="00621074" w:rsidP="007C699F" w14:paraId="72216CB1" w14:textId="77777777">
            <w:pPr>
              <w:jc w:val="center"/>
              <w:rPr>
                <w:sz w:val="16"/>
              </w:rPr>
            </w:pPr>
            <w:r w:rsidRPr="007C699F">
              <w:rPr>
                <w:sz w:val="16"/>
              </w:rPr>
              <w:t xml:space="preserve">Amount awarded for costs and </w:t>
            </w:r>
            <w:r w:rsidRPr="007C699F">
              <w:rPr>
                <w:sz w:val="16"/>
              </w:rPr>
              <w:t>expenses</w:t>
            </w:r>
          </w:p>
          <w:p w:rsidRPr="007C699F" w:rsidR="00621074" w:rsidP="007C699F" w14:paraId="7E73A821" w14:textId="245BD5AF">
            <w:pPr>
              <w:jc w:val="center"/>
              <w:rPr>
                <w:sz w:val="16"/>
              </w:rPr>
            </w:pPr>
            <w:r w:rsidRPr="007C699F">
              <w:rPr>
                <w:sz w:val="16"/>
              </w:rPr>
              <w:t>(</w:t>
            </w:r>
            <w:r w:rsidRPr="007C699F">
              <w:rPr>
                <w:sz w:val="16"/>
              </w:rPr>
              <w:t>in</w:t>
            </w:r>
            <w:r w:rsidRPr="007C699F">
              <w:rPr>
                <w:sz w:val="16"/>
              </w:rPr>
              <w:t xml:space="preserve"> euros)</w:t>
            </w:r>
            <w:r>
              <w:rPr>
                <w:rStyle w:val="FootnoteReference"/>
                <w:sz w:val="16"/>
              </w:rPr>
              <w:footnoteReference w:id="3"/>
            </w:r>
          </w:p>
        </w:tc>
      </w:tr>
      <w:tr w:rsidTr="00621074" w14:paraId="25A7336B" w14:textId="77777777">
        <w:tblPrEx>
          <w:tblW w:w="12328" w:type="dxa"/>
          <w:jc w:val="center"/>
          <w:tblLook w:val="0420"/>
        </w:tblPrEx>
        <w:trPr>
          <w:jc w:val="center"/>
        </w:trPr>
        <w:tc>
          <w:tcPr>
            <w:tcW w:w="0" w:type="auto"/>
          </w:tcPr>
          <w:p w:rsidRPr="007C699F" w:rsidR="00621074" w:rsidP="007C699F" w14:paraId="3E78F71D" w14:textId="77777777">
            <w:pPr>
              <w:jc w:val="center"/>
              <w:rPr>
                <w:sz w:val="16"/>
              </w:rPr>
            </w:pPr>
            <w:r w:rsidRPr="007C699F">
              <w:rPr>
                <w:sz w:val="16"/>
              </w:rPr>
              <w:t>24315/24</w:t>
            </w:r>
          </w:p>
          <w:p w:rsidRPr="007C699F" w:rsidR="00621074" w:rsidP="007C699F" w14:paraId="41ACE86E" w14:textId="77777777">
            <w:pPr>
              <w:jc w:val="center"/>
              <w:rPr>
                <w:sz w:val="16"/>
              </w:rPr>
            </w:pPr>
            <w:r w:rsidRPr="007C699F">
              <w:rPr>
                <w:sz w:val="16"/>
              </w:rPr>
              <w:t>30/07/2024</w:t>
            </w:r>
          </w:p>
        </w:tc>
        <w:tc>
          <w:tcPr>
            <w:tcW w:w="0" w:type="auto"/>
          </w:tcPr>
          <w:p w:rsidRPr="007C699F" w:rsidR="00621074" w:rsidP="007C699F" w14:paraId="215D9616" w14:textId="77777777">
            <w:pPr>
              <w:jc w:val="center"/>
              <w:rPr>
                <w:sz w:val="16"/>
              </w:rPr>
            </w:pPr>
            <w:r w:rsidRPr="007C699F">
              <w:rPr>
                <w:b/>
                <w:sz w:val="16"/>
              </w:rPr>
              <w:t xml:space="preserve">Yuliya </w:t>
            </w:r>
            <w:r w:rsidRPr="007C699F">
              <w:rPr>
                <w:b/>
                <w:sz w:val="16"/>
              </w:rPr>
              <w:t>Sergiyivna</w:t>
            </w:r>
            <w:r w:rsidRPr="007C699F">
              <w:rPr>
                <w:b/>
                <w:sz w:val="16"/>
              </w:rPr>
              <w:t xml:space="preserve"> MOROZOVA</w:t>
            </w:r>
          </w:p>
          <w:p w:rsidRPr="007C699F" w:rsidR="00621074" w:rsidP="007C699F" w14:paraId="1E538078" w14:textId="77777777">
            <w:pPr>
              <w:jc w:val="center"/>
              <w:rPr>
                <w:sz w:val="16"/>
              </w:rPr>
            </w:pPr>
            <w:r w:rsidRPr="007C699F">
              <w:rPr>
                <w:sz w:val="16"/>
              </w:rPr>
              <w:t>1979</w:t>
            </w:r>
          </w:p>
          <w:p w:rsidRPr="007C699F" w:rsidR="00621074" w:rsidP="007C699F" w14:paraId="04743119" w14:textId="77777777">
            <w:pPr>
              <w:jc w:val="center"/>
              <w:rPr>
                <w:sz w:val="16"/>
              </w:rPr>
            </w:pPr>
          </w:p>
        </w:tc>
        <w:tc>
          <w:tcPr>
            <w:tcW w:w="3909" w:type="dxa"/>
          </w:tcPr>
          <w:p w:rsidRPr="007C699F" w:rsidR="00621074" w:rsidP="007C699F" w14:paraId="788C33B7" w14:textId="42C4DD50">
            <w:pPr>
              <w:jc w:val="center"/>
              <w:rPr>
                <w:sz w:val="16"/>
              </w:rPr>
            </w:pPr>
            <w:r w:rsidRPr="007C699F">
              <w:rPr>
                <w:sz w:val="16"/>
              </w:rPr>
              <w:t>On 22/11/2020 the applicant</w:t>
            </w:r>
            <w:r w:rsidRPr="007C699F" w:rsidR="007C699F">
              <w:rPr>
                <w:sz w:val="16"/>
              </w:rPr>
              <w:t>’</w:t>
            </w:r>
            <w:r w:rsidRPr="007C699F">
              <w:rPr>
                <w:sz w:val="16"/>
              </w:rPr>
              <w:t xml:space="preserve">s 17-year-old daughter N. died when she was out with her friends. Pre-trial investigation was initiated. Some investigative actions were taken, including examination of the crime scene, autopsy, and questioning of a witness. </w:t>
            </w:r>
            <w:r w:rsidRPr="007C699F">
              <w:rPr>
                <w:sz w:val="16"/>
              </w:rPr>
              <w:t>In the course of</w:t>
            </w:r>
            <w:r w:rsidRPr="007C699F">
              <w:rPr>
                <w:sz w:val="16"/>
              </w:rPr>
              <w:t xml:space="preserve"> the investigation, it was established that the death was caused by poisoning, but no signs of forceful injection of a poisonous substance were found. The proceedings were closed and re-opened </w:t>
            </w:r>
            <w:r w:rsidRPr="007C699F">
              <w:rPr>
                <w:sz w:val="16"/>
              </w:rPr>
              <w:t>a number of</w:t>
            </w:r>
            <w:r w:rsidRPr="007C699F">
              <w:rPr>
                <w:sz w:val="16"/>
              </w:rPr>
              <w:t xml:space="preserve"> times (on 27/12/2020, 26/12/2022, and 13/12/2023). Decisions to close the proceedings were subsequently quashed by the domestic courts for failure to carry out a throughout investigation. The applicant lodged several requests asking to question of witnesses, to perform forensic medical examinations, to search the place of residence of the witnesses, and to carry out covert operations. However, the requests went unanswered. The applicant argued that she had not been properly informed of the decision to terminate the pre-trial investigation on 13/12/2023 and that she only learned of it only after the Government had submitted their observations in the case. She further noted that she had lodged a request seeking cancellation of the above decision, which was allowed by the court on 06/03/2025. </w:t>
            </w:r>
          </w:p>
        </w:tc>
        <w:tc>
          <w:tcPr>
            <w:tcW w:w="3828" w:type="dxa"/>
          </w:tcPr>
          <w:p w:rsidRPr="007C699F" w:rsidR="00621074" w:rsidP="007C699F" w14:paraId="33CC9B70" w14:textId="77777777">
            <w:pPr>
              <w:jc w:val="center"/>
              <w:rPr>
                <w:sz w:val="16"/>
              </w:rPr>
            </w:pPr>
            <w:r w:rsidRPr="007C699F">
              <w:rPr>
                <w:sz w:val="16"/>
              </w:rPr>
              <w:t>Failure to check different versions of events (</w:t>
            </w:r>
            <w:r w:rsidRPr="007C699F">
              <w:rPr>
                <w:i/>
                <w:iCs/>
                <w:sz w:val="16"/>
              </w:rPr>
              <w:t xml:space="preserve">Yuriy </w:t>
            </w:r>
            <w:r w:rsidRPr="007C699F">
              <w:rPr>
                <w:i/>
                <w:iCs/>
                <w:sz w:val="16"/>
              </w:rPr>
              <w:t>Slyusar</w:t>
            </w:r>
            <w:r w:rsidRPr="007C699F">
              <w:rPr>
                <w:i/>
                <w:iCs/>
                <w:sz w:val="16"/>
              </w:rPr>
              <w:t xml:space="preserve"> v. Ukraine</w:t>
            </w:r>
            <w:r w:rsidRPr="007C699F">
              <w:rPr>
                <w:sz w:val="16"/>
              </w:rPr>
              <w:t>,</w:t>
            </w:r>
          </w:p>
          <w:p w:rsidRPr="007C699F" w:rsidR="00621074" w:rsidP="007C699F" w14:paraId="394AC21F" w14:textId="77777777">
            <w:pPr>
              <w:jc w:val="center"/>
              <w:rPr>
                <w:sz w:val="16"/>
              </w:rPr>
            </w:pPr>
            <w:r w:rsidRPr="007C699F">
              <w:rPr>
                <w:sz w:val="16"/>
              </w:rPr>
              <w:t>no. 39797/05, §§ 86-87,</w:t>
            </w:r>
          </w:p>
          <w:p w:rsidRPr="007C699F" w:rsidR="00621074" w:rsidP="007C699F" w14:paraId="74070E0E" w14:textId="77777777">
            <w:pPr>
              <w:jc w:val="center"/>
              <w:rPr>
                <w:sz w:val="16"/>
              </w:rPr>
            </w:pPr>
            <w:r w:rsidRPr="007C699F">
              <w:rPr>
                <w:sz w:val="16"/>
              </w:rPr>
              <w:t>17 January 2013),</w:t>
            </w:r>
          </w:p>
          <w:p w:rsidRPr="007C699F" w:rsidR="00621074" w:rsidP="007C699F" w14:paraId="0281CF26" w14:textId="0405F7FB">
            <w:pPr>
              <w:jc w:val="center"/>
              <w:rPr>
                <w:sz w:val="4"/>
                <w:szCs w:val="4"/>
              </w:rPr>
            </w:pPr>
          </w:p>
          <w:p w:rsidRPr="007C699F" w:rsidR="00621074" w:rsidP="007C699F" w14:paraId="6BDCB637" w14:textId="77777777">
            <w:pPr>
              <w:jc w:val="center"/>
              <w:rPr>
                <w:sz w:val="16"/>
              </w:rPr>
            </w:pPr>
            <w:r w:rsidRPr="007C699F">
              <w:rPr>
                <w:sz w:val="16"/>
              </w:rPr>
              <w:t>investigation criticised by the national authorities themselves for lack of efficiency (</w:t>
            </w:r>
            <w:r w:rsidRPr="007C699F">
              <w:rPr>
                <w:i/>
                <w:iCs/>
                <w:sz w:val="16"/>
              </w:rPr>
              <w:t>Prynda</w:t>
            </w:r>
            <w:r w:rsidRPr="007C699F">
              <w:rPr>
                <w:i/>
                <w:iCs/>
                <w:sz w:val="16"/>
              </w:rPr>
              <w:t xml:space="preserve"> v. Ukraine</w:t>
            </w:r>
            <w:r w:rsidRPr="007C699F">
              <w:rPr>
                <w:sz w:val="16"/>
              </w:rPr>
              <w:t>, no. 10904/05,</w:t>
            </w:r>
          </w:p>
          <w:p w:rsidRPr="007C699F" w:rsidR="00621074" w:rsidP="007C699F" w14:paraId="020D926A" w14:textId="08C8AB72">
            <w:pPr>
              <w:jc w:val="center"/>
              <w:rPr>
                <w:sz w:val="16"/>
              </w:rPr>
            </w:pPr>
            <w:r w:rsidRPr="007C699F">
              <w:rPr>
                <w:sz w:val="16"/>
              </w:rPr>
              <w:t xml:space="preserve">§ 56, 31 July 2012; </w:t>
            </w:r>
            <w:r w:rsidRPr="007C699F">
              <w:rPr>
                <w:i/>
                <w:iCs/>
                <w:sz w:val="16"/>
              </w:rPr>
              <w:t>Pozhyvotko</w:t>
            </w:r>
            <w:r w:rsidRPr="007C699F">
              <w:rPr>
                <w:i/>
                <w:iCs/>
                <w:sz w:val="16"/>
              </w:rPr>
              <w:t xml:space="preserve"> v. Ukraine</w:t>
            </w:r>
            <w:r w:rsidRPr="007C699F">
              <w:rPr>
                <w:sz w:val="16"/>
              </w:rPr>
              <w:t>, no.</w:t>
            </w:r>
            <w:r w:rsidRPr="007C699F" w:rsidR="00654457">
              <w:rPr>
                <w:sz w:val="16"/>
              </w:rPr>
              <w:t> </w:t>
            </w:r>
            <w:r w:rsidRPr="007C699F">
              <w:rPr>
                <w:sz w:val="16"/>
              </w:rPr>
              <w:t>42752/08, § 40,</w:t>
            </w:r>
          </w:p>
          <w:p w:rsidRPr="007C699F" w:rsidR="00621074" w:rsidP="007C699F" w14:paraId="41300337" w14:textId="77777777">
            <w:pPr>
              <w:jc w:val="center"/>
              <w:rPr>
                <w:sz w:val="16"/>
              </w:rPr>
            </w:pPr>
            <w:r w:rsidRPr="007C699F">
              <w:rPr>
                <w:sz w:val="16"/>
              </w:rPr>
              <w:t>17 October 2013),</w:t>
            </w:r>
          </w:p>
          <w:p w:rsidRPr="007C699F" w:rsidR="00621074" w:rsidP="007C699F" w14:paraId="77B30998" w14:textId="5DB6999D">
            <w:pPr>
              <w:jc w:val="center"/>
              <w:rPr>
                <w:sz w:val="4"/>
                <w:szCs w:val="4"/>
              </w:rPr>
            </w:pPr>
          </w:p>
          <w:p w:rsidRPr="007C699F" w:rsidR="00621074" w:rsidP="007C699F" w14:paraId="6F8B1295" w14:textId="47F626A3">
            <w:pPr>
              <w:jc w:val="center"/>
              <w:rPr>
                <w:sz w:val="16"/>
              </w:rPr>
            </w:pPr>
            <w:r w:rsidRPr="007C699F">
              <w:rPr>
                <w:sz w:val="16"/>
              </w:rPr>
              <w:t>lack of thoroughness and promptness which undermined the authorities</w:t>
            </w:r>
            <w:r w:rsidRPr="007C699F" w:rsidR="007C699F">
              <w:rPr>
                <w:sz w:val="16"/>
              </w:rPr>
              <w:t>’</w:t>
            </w:r>
            <w:r w:rsidRPr="007C699F">
              <w:rPr>
                <w:sz w:val="16"/>
              </w:rPr>
              <w:t xml:space="preserve"> ability to establish the circumstances of the case (</w:t>
            </w:r>
            <w:r w:rsidRPr="007C699F">
              <w:rPr>
                <w:i/>
                <w:iCs/>
                <w:sz w:val="16"/>
              </w:rPr>
              <w:t>Igor Shevchenko v. Ukraine</w:t>
            </w:r>
            <w:r w:rsidRPr="007C699F">
              <w:rPr>
                <w:sz w:val="16"/>
              </w:rPr>
              <w:t xml:space="preserve">, no. 22737/04, § 60, 12 January 2012; </w:t>
            </w:r>
            <w:r w:rsidRPr="007C699F">
              <w:rPr>
                <w:i/>
                <w:iCs/>
                <w:sz w:val="16"/>
              </w:rPr>
              <w:t>Zubkova v.</w:t>
            </w:r>
            <w:r w:rsidRPr="007C699F" w:rsidR="00654457">
              <w:rPr>
                <w:i/>
                <w:iCs/>
                <w:sz w:val="16"/>
              </w:rPr>
              <w:t> </w:t>
            </w:r>
            <w:r w:rsidRPr="007C699F">
              <w:rPr>
                <w:i/>
                <w:iCs/>
                <w:sz w:val="16"/>
              </w:rPr>
              <w:t>Ukraine</w:t>
            </w:r>
            <w:r w:rsidRPr="007C699F">
              <w:rPr>
                <w:sz w:val="16"/>
              </w:rPr>
              <w:t>,</w:t>
            </w:r>
          </w:p>
          <w:p w:rsidRPr="007C699F" w:rsidR="00621074" w:rsidP="007C699F" w14:paraId="60C31894" w14:textId="77777777">
            <w:pPr>
              <w:jc w:val="center"/>
              <w:rPr>
                <w:sz w:val="16"/>
              </w:rPr>
            </w:pPr>
            <w:r w:rsidRPr="007C699F">
              <w:rPr>
                <w:sz w:val="16"/>
              </w:rPr>
              <w:t>no. 36660/08, § 40,</w:t>
            </w:r>
          </w:p>
          <w:p w:rsidRPr="007C699F" w:rsidR="00621074" w:rsidP="007C699F" w14:paraId="13FE4CC9" w14:textId="77777777">
            <w:pPr>
              <w:jc w:val="center"/>
              <w:rPr>
                <w:sz w:val="16"/>
              </w:rPr>
            </w:pPr>
            <w:r w:rsidRPr="007C699F">
              <w:rPr>
                <w:sz w:val="16"/>
              </w:rPr>
              <w:t>17 October 2013),</w:t>
            </w:r>
          </w:p>
          <w:p w:rsidRPr="007C699F" w:rsidR="00621074" w:rsidP="007C699F" w14:paraId="794A4A16" w14:textId="3792C0E1">
            <w:pPr>
              <w:jc w:val="center"/>
              <w:rPr>
                <w:sz w:val="4"/>
                <w:szCs w:val="4"/>
              </w:rPr>
            </w:pPr>
          </w:p>
          <w:p w:rsidRPr="007C699F" w:rsidR="00621074" w:rsidP="007C699F" w14:paraId="7A8E6512" w14:textId="29E8B278">
            <w:pPr>
              <w:jc w:val="center"/>
              <w:rPr>
                <w:sz w:val="16"/>
              </w:rPr>
            </w:pPr>
            <w:r w:rsidRPr="007C699F">
              <w:rPr>
                <w:sz w:val="16"/>
              </w:rPr>
              <w:t>no genuine attempt by the investigating authorities to carry out a thorough investigation (</w:t>
            </w:r>
            <w:r w:rsidRPr="007C699F">
              <w:rPr>
                <w:i/>
                <w:iCs/>
                <w:sz w:val="16"/>
              </w:rPr>
              <w:t xml:space="preserve">Lyubov </w:t>
            </w:r>
            <w:r w:rsidRPr="007C699F">
              <w:rPr>
                <w:i/>
                <w:iCs/>
                <w:sz w:val="16"/>
              </w:rPr>
              <w:t>Efimenko</w:t>
            </w:r>
            <w:r w:rsidRPr="007C699F">
              <w:rPr>
                <w:i/>
                <w:iCs/>
                <w:sz w:val="16"/>
              </w:rPr>
              <w:t xml:space="preserve"> v.</w:t>
            </w:r>
            <w:r w:rsidRPr="007C699F" w:rsidR="00654457">
              <w:rPr>
                <w:i/>
                <w:iCs/>
                <w:sz w:val="16"/>
              </w:rPr>
              <w:t> </w:t>
            </w:r>
            <w:r w:rsidRPr="007C699F">
              <w:rPr>
                <w:i/>
                <w:iCs/>
                <w:sz w:val="16"/>
              </w:rPr>
              <w:t>Ukraine</w:t>
            </w:r>
            <w:r w:rsidRPr="007C699F">
              <w:rPr>
                <w:sz w:val="16"/>
              </w:rPr>
              <w:t>,</w:t>
            </w:r>
          </w:p>
          <w:p w:rsidRPr="007C699F" w:rsidR="00621074" w:rsidP="007C699F" w14:paraId="7A119CE8" w14:textId="77777777">
            <w:pPr>
              <w:jc w:val="center"/>
              <w:rPr>
                <w:sz w:val="16"/>
              </w:rPr>
            </w:pPr>
            <w:r w:rsidRPr="007C699F">
              <w:rPr>
                <w:sz w:val="16"/>
              </w:rPr>
              <w:t>no. 75726/01, §§ 76-80,</w:t>
            </w:r>
          </w:p>
          <w:p w:rsidRPr="007C699F" w:rsidR="00621074" w:rsidP="007C699F" w14:paraId="4EA535F6" w14:textId="77777777">
            <w:pPr>
              <w:jc w:val="center"/>
              <w:rPr>
                <w:sz w:val="16"/>
              </w:rPr>
            </w:pPr>
            <w:r w:rsidRPr="007C699F">
              <w:rPr>
                <w:sz w:val="16"/>
              </w:rPr>
              <w:t xml:space="preserve">25 November 2010; </w:t>
            </w:r>
            <w:r w:rsidRPr="007C699F">
              <w:rPr>
                <w:i/>
                <w:iCs/>
                <w:sz w:val="16"/>
              </w:rPr>
              <w:t xml:space="preserve">Yuriy </w:t>
            </w:r>
            <w:r w:rsidRPr="007C699F">
              <w:rPr>
                <w:i/>
                <w:iCs/>
                <w:sz w:val="16"/>
              </w:rPr>
              <w:t>Slyusar</w:t>
            </w:r>
            <w:r w:rsidRPr="007C699F">
              <w:rPr>
                <w:i/>
                <w:iCs/>
                <w:sz w:val="16"/>
              </w:rPr>
              <w:t xml:space="preserve"> v. Ukraine</w:t>
            </w:r>
            <w:r w:rsidRPr="007C699F">
              <w:rPr>
                <w:sz w:val="16"/>
              </w:rPr>
              <w:t>,</w:t>
            </w:r>
          </w:p>
          <w:p w:rsidRPr="007C699F" w:rsidR="00621074" w:rsidP="007C699F" w14:paraId="2398533A" w14:textId="77777777">
            <w:pPr>
              <w:jc w:val="center"/>
              <w:rPr>
                <w:sz w:val="16"/>
              </w:rPr>
            </w:pPr>
            <w:r w:rsidRPr="007C699F">
              <w:rPr>
                <w:sz w:val="16"/>
              </w:rPr>
              <w:t>no. 39797/05, §§ 84-88,</w:t>
            </w:r>
          </w:p>
          <w:p w:rsidRPr="007C699F" w:rsidR="00621074" w:rsidP="007C699F" w14:paraId="51CA1ACD" w14:textId="33140F36">
            <w:pPr>
              <w:jc w:val="center"/>
              <w:rPr>
                <w:sz w:val="16"/>
              </w:rPr>
            </w:pPr>
            <w:r w:rsidRPr="007C699F">
              <w:rPr>
                <w:sz w:val="16"/>
              </w:rPr>
              <w:t>17 January 2013).</w:t>
            </w:r>
          </w:p>
        </w:tc>
        <w:tc>
          <w:tcPr>
            <w:tcW w:w="1134" w:type="dxa"/>
          </w:tcPr>
          <w:p w:rsidRPr="007C699F" w:rsidR="00621074" w:rsidP="007C699F" w14:paraId="5172FA6C" w14:textId="77777777">
            <w:pPr>
              <w:jc w:val="center"/>
              <w:rPr>
                <w:sz w:val="16"/>
              </w:rPr>
            </w:pPr>
            <w:r w:rsidRPr="007C699F">
              <w:rPr>
                <w:sz w:val="16"/>
              </w:rPr>
              <w:t>6,000</w:t>
            </w:r>
          </w:p>
        </w:tc>
        <w:tc>
          <w:tcPr>
            <w:tcW w:w="1134" w:type="dxa"/>
          </w:tcPr>
          <w:p w:rsidRPr="007C699F" w:rsidR="00621074" w:rsidP="007C699F" w14:paraId="42FDD3CE" w14:textId="77777777">
            <w:pPr>
              <w:jc w:val="center"/>
              <w:rPr>
                <w:sz w:val="16"/>
              </w:rPr>
            </w:pPr>
            <w:r w:rsidRPr="007C699F">
              <w:rPr>
                <w:sz w:val="16"/>
              </w:rPr>
              <w:t>250</w:t>
            </w:r>
          </w:p>
        </w:tc>
      </w:tr>
    </w:tbl>
    <w:p w:rsidRPr="007C699F" w:rsidR="00606600" w:rsidP="007C699F" w14:paraId="5704774E" w14:textId="77777777">
      <w:pPr>
        <w:rPr>
          <w:sz w:val="4"/>
          <w:szCs w:val="4"/>
        </w:rPr>
      </w:pPr>
    </w:p>
    <w:sectPr w:rsidSect="00621074">
      <w:headerReference w:type="even" r:id="rId14"/>
      <w:headerReference w:type="default" r:id="rId15"/>
      <w:footnotePr>
        <w:numRestart w:val="eachPage"/>
      </w:footnotePr>
      <w:endnotePr>
        <w:numFmt w:val="decimal"/>
      </w:endnotePr>
      <w:pgSz w:w="16838" w:h="11906" w:orient="landscape" w:code="9"/>
      <w:pgMar w:top="2274" w:right="1812" w:bottom="1985" w:left="2127"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9B66697" w14:textId="41D4B2D0">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C777FAF" w14:textId="1BD2CD12">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117BED15"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5A42FBFE"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D74A6" w:rsidRPr="00611E1D" w:rsidP="00787E12" w14:paraId="32D9FF82" w14:textId="77777777">
      <w:r w:rsidRPr="00611E1D">
        <w:separator/>
      </w:r>
    </w:p>
  </w:footnote>
  <w:footnote w:type="continuationSeparator" w:id="1">
    <w:p w:rsidR="002D74A6" w:rsidRPr="00611E1D" w:rsidP="00787E12" w14:paraId="6048E7D3" w14:textId="77777777">
      <w:r w:rsidRPr="00611E1D">
        <w:continuationSeparator/>
      </w:r>
    </w:p>
  </w:footnote>
  <w:footnote w:id="2">
    <w:p w:rsidR="00621074" w:rsidRPr="007F3D67" w:rsidP="002D74A6" w14:paraId="1A6C5FAC" w14:textId="77777777">
      <w:pPr>
        <w:pStyle w:val="FootnoteText"/>
        <w:rPr>
          <w:sz w:val="16"/>
          <w:szCs w:val="16"/>
        </w:rPr>
      </w:pPr>
      <w:r w:rsidRPr="002D74A6">
        <w:rPr>
          <w:rStyle w:val="FootnoteReference"/>
        </w:rPr>
        <w:footnoteRef/>
      </w:r>
      <w:r w:rsidRPr="002D74A6">
        <w:rPr>
          <w:rStyle w:val="FootnoteReference"/>
        </w:rPr>
        <w:t xml:space="preserve"> </w:t>
      </w:r>
      <w:r w:rsidRPr="007F3D67">
        <w:rPr>
          <w:sz w:val="16"/>
          <w:szCs w:val="16"/>
        </w:rPr>
        <w:t>Plus</w:t>
      </w:r>
      <w:r w:rsidRPr="007F3D67">
        <w:rPr>
          <w:sz w:val="16"/>
          <w:szCs w:val="16"/>
        </w:rPr>
        <w:t xml:space="preserve"> any tax that may be chargeable to the applicant.</w:t>
      </w:r>
    </w:p>
  </w:footnote>
  <w:footnote w:id="3">
    <w:p w:rsidR="00621074" w:rsidRPr="009E7909" w:rsidP="002D74A6" w14:paraId="4A9F0E1E" w14:textId="77777777">
      <w:pPr>
        <w:pStyle w:val="FootnoteText"/>
      </w:pPr>
      <w:r w:rsidRPr="00621074">
        <w:rPr>
          <w:sz w:val="16"/>
          <w:szCs w:val="16"/>
        </w:rPr>
        <w:footnoteRef/>
      </w:r>
      <w:r w:rsidRPr="00621074">
        <w:rPr>
          <w:sz w:val="16"/>
          <w:szCs w:val="16"/>
        </w:rPr>
        <w:t xml:space="preserve"> </w:t>
      </w:r>
      <w:r w:rsidRPr="00621074">
        <w:rPr>
          <w:sz w:val="16"/>
          <w:szCs w:val="16"/>
        </w:rPr>
        <w:t>Plus</w:t>
      </w:r>
      <w:r w:rsidRPr="00621074">
        <w:rPr>
          <w:sz w:val="16"/>
          <w:szCs w:val="16"/>
        </w:rPr>
        <w:t xml:space="preserve"> any tax that may be chargeable to the applicant.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4A6" w14:paraId="157CC95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677C2465"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208D1986" w14:textId="77777777">
    <w:pPr>
      <w:jc w:val="center"/>
      <w:rPr>
        <w:sz w:val="4"/>
        <w:szCs w:val="4"/>
      </w:rPr>
    </w:pPr>
  </w:p>
  <w:p w:rsidR="00606600" w:rsidRPr="00611E1D" w14:paraId="6018F38F"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74A6" w:rsidRPr="00A45145" w:rsidP="00A45145" w14:paraId="499B9954" w14:textId="748625C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0F88A1B3" w14:textId="235E5240">
    <w:pPr>
      <w:pStyle w:val="Header0"/>
    </w:pPr>
  </w:p>
  <w:p w:rsidR="00606600" w:rsidRPr="00611E1D" w:rsidP="00B64153" w14:paraId="07B00023"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26962CA4" w14:textId="4C459101">
    <w:pPr>
      <w:pStyle w:val="JuHeader"/>
    </w:pPr>
    <w:r>
      <w:t>MOROZOVA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0433E074" w14:textId="6CFF0F77">
    <w:pPr>
      <w:pStyle w:val="JuHeader"/>
    </w:pPr>
    <w:r>
      <w:t>MOROZOVA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5A07A4A4" w14:textId="77777777">
    <w:pPr>
      <w:pStyle w:val="JuHeader"/>
    </w:pPr>
    <w:r>
      <w:t>MOROZOVA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3644D40D" w14:textId="77777777">
    <w:pPr>
      <w:pStyle w:val="JuHeader"/>
    </w:pPr>
    <w:r>
      <w:t>MOROZOVA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12"/>
  </w:num>
  <w:num w:numId="23">
    <w:abstractNumId w:val="11"/>
  </w:num>
  <w:num w:numId="24">
    <w:abstractNumId w:val="17"/>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3"/>
  </w:num>
  <w:num w:numId="36">
    <w:abstractNumId w:val="16"/>
  </w:num>
  <w:num w:numId="37">
    <w:abstractNumId w:val="15"/>
  </w:num>
  <w:num w:numId="38">
    <w:abstractNumId w:val="15"/>
  </w:num>
  <w:num w:numId="39">
    <w:abstractNumId w:val="15"/>
  </w:num>
  <w:num w:numId="40">
    <w:abstractNumId w:val="15"/>
  </w:num>
  <w:num w:numId="41">
    <w:abstractNumId w:val="10"/>
  </w:num>
  <w:num w:numId="42">
    <w:abstractNumId w:val="16"/>
  </w:num>
  <w:num w:numId="43">
    <w:abstractNumId w:val="16"/>
  </w:num>
  <w:num w:numId="44">
    <w:abstractNumId w:val="16"/>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9"/>
  </w:num>
  <w:num w:numId="54">
    <w:abstractNumId w:val="9"/>
  </w:num>
  <w:num w:numId="55">
    <w:abstractNumId w:val="9"/>
  </w:num>
  <w:num w:numId="56">
    <w:abstractNumId w:val="14"/>
  </w:num>
  <w:num w:numId="57">
    <w:abstractNumId w:val="12"/>
  </w:num>
  <w:num w:numId="58">
    <w:abstractNumId w:val="11"/>
  </w:num>
  <w:num w:numId="59">
    <w:abstractNumId w:val="17"/>
  </w:num>
  <w:num w:numId="60">
    <w:abstractNumId w:val="7"/>
  </w:num>
  <w:num w:numId="61">
    <w:abstractNumId w:val="6"/>
  </w:num>
  <w:num w:numId="62">
    <w:abstractNumId w:val="5"/>
  </w:num>
  <w:num w:numId="63">
    <w:abstractNumId w:val="4"/>
  </w:num>
  <w:num w:numId="64">
    <w:abstractNumId w:val="8"/>
  </w:num>
  <w:num w:numId="65">
    <w:abstractNumId w:val="3"/>
  </w:num>
  <w:num w:numId="66">
    <w:abstractNumId w:val="2"/>
  </w:num>
  <w:num w:numId="67">
    <w:abstractNumId w:val="1"/>
  </w:num>
  <w:num w:numId="68">
    <w:abstractNumId w:val="0"/>
  </w:num>
  <w:num w:numId="69">
    <w:abstractNumId w:val="15"/>
  </w:num>
  <w:num w:numId="70">
    <w:abstractNumId w:val="13"/>
  </w:num>
  <w:num w:numId="71">
    <w:abstractNumId w:val="16"/>
  </w:num>
  <w:num w:numId="72">
    <w:abstractNumId w:val="15"/>
  </w:num>
  <w:num w:numId="73">
    <w:abstractNumId w:val="15"/>
  </w:num>
  <w:num w:numId="74">
    <w:abstractNumId w:val="15"/>
  </w:num>
  <w:num w:numId="75">
    <w:abstractNumId w:val="15"/>
  </w:num>
  <w:num w:numId="76">
    <w:abstractNumId w:val="10"/>
  </w:num>
  <w:num w:numId="77">
    <w:abstractNumId w:val="16"/>
  </w:num>
  <w:num w:numId="78">
    <w:abstractNumId w:val="16"/>
  </w:num>
  <w:num w:numId="79">
    <w:abstractNumId w:val="16"/>
  </w:num>
  <w:num w:numId="80">
    <w:abstractNumId w:val="10"/>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9"/>
  </w:num>
  <w:num w:numId="89">
    <w:abstractNumId w:val="9"/>
  </w:num>
  <w:num w:numId="9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4A6"/>
    <w:rsid w:val="000318F7"/>
    <w:rsid w:val="000C5149"/>
    <w:rsid w:val="00135384"/>
    <w:rsid w:val="00150BFA"/>
    <w:rsid w:val="00173A91"/>
    <w:rsid w:val="00177329"/>
    <w:rsid w:val="001A15B6"/>
    <w:rsid w:val="001A3C4A"/>
    <w:rsid w:val="001D7CD3"/>
    <w:rsid w:val="001F3812"/>
    <w:rsid w:val="002056B7"/>
    <w:rsid w:val="0020718E"/>
    <w:rsid w:val="0023364D"/>
    <w:rsid w:val="0029309A"/>
    <w:rsid w:val="002C5B23"/>
    <w:rsid w:val="002D74A6"/>
    <w:rsid w:val="00337785"/>
    <w:rsid w:val="00341B2D"/>
    <w:rsid w:val="0037589C"/>
    <w:rsid w:val="003B3ECB"/>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21074"/>
    <w:rsid w:val="006372F5"/>
    <w:rsid w:val="00654457"/>
    <w:rsid w:val="00656431"/>
    <w:rsid w:val="006D324D"/>
    <w:rsid w:val="00743B2A"/>
    <w:rsid w:val="00796DC9"/>
    <w:rsid w:val="007A72B4"/>
    <w:rsid w:val="007C699F"/>
    <w:rsid w:val="007F018A"/>
    <w:rsid w:val="007F3D67"/>
    <w:rsid w:val="008522DD"/>
    <w:rsid w:val="00860732"/>
    <w:rsid w:val="008A0E2E"/>
    <w:rsid w:val="008D51B6"/>
    <w:rsid w:val="009522DD"/>
    <w:rsid w:val="009E7909"/>
    <w:rsid w:val="00A329E0"/>
    <w:rsid w:val="00A34A54"/>
    <w:rsid w:val="00A44415"/>
    <w:rsid w:val="00A45145"/>
    <w:rsid w:val="00A6104A"/>
    <w:rsid w:val="00A94CA7"/>
    <w:rsid w:val="00AC03BB"/>
    <w:rsid w:val="00B216C1"/>
    <w:rsid w:val="00B64153"/>
    <w:rsid w:val="00B91668"/>
    <w:rsid w:val="00BD554D"/>
    <w:rsid w:val="00BE2415"/>
    <w:rsid w:val="00BE6D4C"/>
    <w:rsid w:val="00C20CC3"/>
    <w:rsid w:val="00C877A3"/>
    <w:rsid w:val="00DE7D3F"/>
    <w:rsid w:val="00E026EC"/>
    <w:rsid w:val="00E6230A"/>
    <w:rsid w:val="00ED7723"/>
    <w:rsid w:val="00FB16F8"/>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5CD4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C699F"/>
    <w:rPr>
      <w:sz w:val="24"/>
      <w:szCs w:val="24"/>
      <w:lang w:val="en-GB"/>
    </w:rPr>
  </w:style>
  <w:style w:type="paragraph" w:styleId="Heading1">
    <w:name w:val="heading 1"/>
    <w:basedOn w:val="Normal"/>
    <w:next w:val="Normal"/>
    <w:link w:val="Heading1Char"/>
    <w:uiPriority w:val="98"/>
    <w:semiHidden/>
    <w:rsid w:val="007C699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C699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C699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C699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C699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C699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C699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C699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C699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7C6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99F"/>
  </w:style>
  <w:style w:type="paragraph" w:styleId="BalloonText">
    <w:name w:val="Balloon Text"/>
    <w:basedOn w:val="Normal"/>
    <w:link w:val="BalloonTextChar"/>
    <w:uiPriority w:val="98"/>
    <w:semiHidden/>
    <w:rsid w:val="007C699F"/>
    <w:rPr>
      <w:rFonts w:ascii="Tahoma" w:hAnsi="Tahoma" w:cs="Tahoma"/>
      <w:sz w:val="16"/>
      <w:szCs w:val="16"/>
    </w:rPr>
  </w:style>
  <w:style w:type="character" w:customStyle="1" w:styleId="BalloonTextChar">
    <w:name w:val="Balloon Text Char"/>
    <w:basedOn w:val="DefaultParagraphFont"/>
    <w:link w:val="BalloonText"/>
    <w:uiPriority w:val="98"/>
    <w:semiHidden/>
    <w:rsid w:val="007C699F"/>
    <w:rPr>
      <w:rFonts w:ascii="Tahoma" w:hAnsi="Tahoma" w:cs="Tahoma"/>
      <w:sz w:val="16"/>
      <w:szCs w:val="16"/>
      <w:lang w:val="en-GB"/>
    </w:rPr>
  </w:style>
  <w:style w:type="character" w:styleId="BookTitle">
    <w:name w:val="Book Title"/>
    <w:uiPriority w:val="98"/>
    <w:semiHidden/>
    <w:qFormat/>
    <w:rsid w:val="007C699F"/>
    <w:rPr>
      <w:i/>
      <w:iCs/>
      <w:smallCaps/>
      <w:spacing w:val="5"/>
    </w:rPr>
  </w:style>
  <w:style w:type="paragraph" w:customStyle="1" w:styleId="JuHeader">
    <w:name w:val="Ju_Header"/>
    <w:aliases w:val="_Header"/>
    <w:basedOn w:val="Header0"/>
    <w:uiPriority w:val="29"/>
    <w:qFormat/>
    <w:rsid w:val="007C699F"/>
    <w:pPr>
      <w:tabs>
        <w:tab w:val="clear" w:pos="4536"/>
        <w:tab w:val="clear" w:pos="9072"/>
      </w:tabs>
      <w:jc w:val="center"/>
    </w:pPr>
    <w:rPr>
      <w:sz w:val="18"/>
    </w:rPr>
  </w:style>
  <w:style w:type="paragraph" w:customStyle="1" w:styleId="DummyStyle">
    <w:name w:val="Dummy_Style"/>
    <w:aliases w:val="_Dummy"/>
    <w:basedOn w:val="Normal"/>
    <w:semiHidden/>
    <w:qFormat/>
    <w:rsid w:val="007C699F"/>
    <w:rPr>
      <w:color w:val="00B050"/>
      <w:sz w:val="22"/>
    </w:rPr>
  </w:style>
  <w:style w:type="character" w:styleId="Strong">
    <w:name w:val="Strong"/>
    <w:uiPriority w:val="98"/>
    <w:semiHidden/>
    <w:qFormat/>
    <w:rsid w:val="007C699F"/>
    <w:rPr>
      <w:b/>
      <w:bCs/>
    </w:rPr>
  </w:style>
  <w:style w:type="paragraph" w:styleId="NoSpacing">
    <w:name w:val="No Spacing"/>
    <w:basedOn w:val="Normal"/>
    <w:link w:val="NoSpacingChar"/>
    <w:uiPriority w:val="98"/>
    <w:semiHidden/>
    <w:qFormat/>
    <w:rsid w:val="007C699F"/>
  </w:style>
  <w:style w:type="character" w:customStyle="1" w:styleId="NoSpacingChar">
    <w:name w:val="No Spacing Char"/>
    <w:basedOn w:val="DefaultParagraphFont"/>
    <w:link w:val="NoSpacing"/>
    <w:uiPriority w:val="98"/>
    <w:semiHidden/>
    <w:rsid w:val="007C699F"/>
    <w:rPr>
      <w:sz w:val="24"/>
      <w:szCs w:val="24"/>
      <w:lang w:val="en-GB"/>
    </w:rPr>
  </w:style>
  <w:style w:type="paragraph" w:customStyle="1" w:styleId="JuQuot">
    <w:name w:val="Ju_Quot"/>
    <w:aliases w:val="_Quote"/>
    <w:basedOn w:val="NormalJustified"/>
    <w:uiPriority w:val="20"/>
    <w:qFormat/>
    <w:rsid w:val="007C699F"/>
    <w:pPr>
      <w:spacing w:before="120" w:after="120"/>
      <w:ind w:left="425" w:firstLine="142"/>
    </w:pPr>
    <w:rPr>
      <w:sz w:val="20"/>
    </w:rPr>
  </w:style>
  <w:style w:type="paragraph" w:customStyle="1" w:styleId="JuList">
    <w:name w:val="Ju_List"/>
    <w:aliases w:val="_List_1"/>
    <w:basedOn w:val="NormalJustified"/>
    <w:link w:val="JuListChar"/>
    <w:uiPriority w:val="23"/>
    <w:qFormat/>
    <w:rsid w:val="007C699F"/>
    <w:pPr>
      <w:numPr>
        <w:numId w:val="90"/>
      </w:numPr>
      <w:spacing w:before="280" w:after="60"/>
    </w:pPr>
  </w:style>
  <w:style w:type="paragraph" w:customStyle="1" w:styleId="JuListi">
    <w:name w:val="Ju_List_i"/>
    <w:aliases w:val="_List_3"/>
    <w:basedOn w:val="NormalJustified"/>
    <w:uiPriority w:val="23"/>
    <w:rsid w:val="007C699F"/>
    <w:pPr>
      <w:numPr>
        <w:ilvl w:val="2"/>
        <w:numId w:val="90"/>
      </w:numPr>
    </w:pPr>
  </w:style>
  <w:style w:type="paragraph" w:customStyle="1" w:styleId="JuTitle">
    <w:name w:val="Ju_Title"/>
    <w:aliases w:val="_Title_2"/>
    <w:basedOn w:val="Normal"/>
    <w:next w:val="JuPara"/>
    <w:uiPriority w:val="38"/>
    <w:qFormat/>
    <w:rsid w:val="007C699F"/>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C699F"/>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C699F"/>
    <w:pPr>
      <w:keepNext/>
      <w:spacing w:before="100" w:beforeAutospacing="1" w:after="120"/>
      <w:contextualSpacing/>
      <w:jc w:val="center"/>
    </w:pPr>
    <w:rPr>
      <w:b/>
      <w:sz w:val="20"/>
    </w:rPr>
  </w:style>
  <w:style w:type="numbering" w:customStyle="1" w:styleId="ECHRA1StyleBulletedSquare">
    <w:name w:val="ECHR_A1_Style_Bulleted_Square"/>
    <w:basedOn w:val="NoList"/>
    <w:rsid w:val="007C699F"/>
    <w:pPr>
      <w:numPr>
        <w:numId w:val="69"/>
      </w:numPr>
    </w:pPr>
  </w:style>
  <w:style w:type="numbering" w:customStyle="1" w:styleId="ECHRA1StyleList">
    <w:name w:val="ECHR_A1_Style_List"/>
    <w:basedOn w:val="NoList"/>
    <w:uiPriority w:val="99"/>
    <w:rsid w:val="007C699F"/>
    <w:pPr>
      <w:numPr>
        <w:numId w:val="70"/>
      </w:numPr>
    </w:pPr>
  </w:style>
  <w:style w:type="paragraph" w:customStyle="1" w:styleId="JuHHead">
    <w:name w:val="Ju_H_Head"/>
    <w:aliases w:val="_Head_1"/>
    <w:basedOn w:val="Heading1"/>
    <w:next w:val="JuPara"/>
    <w:uiPriority w:val="17"/>
    <w:qFormat/>
    <w:rsid w:val="007C699F"/>
    <w:pPr>
      <w:keepNext/>
      <w:keepLines/>
      <w:numPr>
        <w:numId w:val="87"/>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C699F"/>
    <w:pPr>
      <w:numPr>
        <w:numId w:val="71"/>
      </w:numPr>
    </w:pPr>
  </w:style>
  <w:style w:type="table" w:customStyle="1" w:styleId="ECHRTable2019">
    <w:name w:val="ECHR_Table_2019"/>
    <w:basedOn w:val="TableNormal"/>
    <w:uiPriority w:val="99"/>
    <w:rsid w:val="007C699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7C699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C699F"/>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C699F"/>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C699F"/>
    <w:pPr>
      <w:tabs>
        <w:tab w:val="center" w:pos="6407"/>
      </w:tabs>
      <w:spacing w:before="720"/>
      <w:jc w:val="right"/>
    </w:pPr>
  </w:style>
  <w:style w:type="character" w:customStyle="1" w:styleId="JuITMark">
    <w:name w:val="Ju_ITMark"/>
    <w:aliases w:val="_ITMark"/>
    <w:basedOn w:val="DefaultParagraphFont"/>
    <w:uiPriority w:val="54"/>
    <w:semiHidden/>
    <w:qFormat/>
    <w:rsid w:val="007C699F"/>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7C699F"/>
    <w:pPr>
      <w:keepNext/>
      <w:keepLines/>
      <w:numPr>
        <w:ilvl w:val="1"/>
        <w:numId w:val="8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C699F"/>
    <w:pPr>
      <w:keepNext/>
      <w:keepLines/>
      <w:numPr>
        <w:ilvl w:val="2"/>
        <w:numId w:val="8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C699F"/>
    <w:pPr>
      <w:keepNext/>
      <w:keepLines/>
      <w:numPr>
        <w:ilvl w:val="3"/>
        <w:numId w:val="87"/>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C699F"/>
    <w:pPr>
      <w:keepNext/>
      <w:keepLines/>
      <w:numPr>
        <w:ilvl w:val="4"/>
        <w:numId w:val="87"/>
      </w:numPr>
      <w:spacing w:before="100" w:beforeAutospacing="1" w:after="120"/>
      <w:jc w:val="both"/>
    </w:pPr>
    <w:rPr>
      <w:color w:val="auto"/>
      <w:sz w:val="20"/>
    </w:rPr>
  </w:style>
  <w:style w:type="paragraph" w:styleId="Header0">
    <w:name w:val="header"/>
    <w:basedOn w:val="Normal"/>
    <w:link w:val="HeaderChar"/>
    <w:uiPriority w:val="98"/>
    <w:semiHidden/>
    <w:rsid w:val="007C699F"/>
    <w:pPr>
      <w:tabs>
        <w:tab w:val="center" w:pos="4536"/>
        <w:tab w:val="right" w:pos="9072"/>
      </w:tabs>
    </w:pPr>
  </w:style>
  <w:style w:type="character" w:customStyle="1" w:styleId="HeaderChar">
    <w:name w:val="Header Char"/>
    <w:basedOn w:val="DefaultParagraphFont"/>
    <w:link w:val="Header0"/>
    <w:uiPriority w:val="98"/>
    <w:semiHidden/>
    <w:rsid w:val="007C699F"/>
    <w:rPr>
      <w:sz w:val="24"/>
      <w:szCs w:val="24"/>
      <w:lang w:val="en-GB"/>
    </w:rPr>
  </w:style>
  <w:style w:type="character" w:customStyle="1" w:styleId="Heading1Char">
    <w:name w:val="Heading 1 Char"/>
    <w:basedOn w:val="DefaultParagraphFont"/>
    <w:link w:val="Heading1"/>
    <w:uiPriority w:val="98"/>
    <w:semiHidden/>
    <w:rsid w:val="007C699F"/>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C699F"/>
    <w:pPr>
      <w:keepNext/>
      <w:keepLines/>
      <w:numPr>
        <w:ilvl w:val="5"/>
        <w:numId w:val="87"/>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C699F"/>
    <w:pPr>
      <w:keepNext/>
      <w:keepLines/>
      <w:numPr>
        <w:ilvl w:val="6"/>
        <w:numId w:val="87"/>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C699F"/>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C699F"/>
    <w:pPr>
      <w:keepNext/>
      <w:keepLines/>
      <w:numPr>
        <w:ilvl w:val="7"/>
        <w:numId w:val="87"/>
      </w:numPr>
      <w:spacing w:before="100" w:beforeAutospacing="1" w:after="120"/>
      <w:jc w:val="both"/>
    </w:pPr>
    <w:rPr>
      <w:i/>
    </w:rPr>
  </w:style>
  <w:style w:type="character" w:customStyle="1" w:styleId="JUNAMES">
    <w:name w:val="JU_NAMES"/>
    <w:aliases w:val="_Ju_Names"/>
    <w:uiPriority w:val="33"/>
    <w:qFormat/>
    <w:rsid w:val="007C699F"/>
    <w:rPr>
      <w:caps w:val="0"/>
      <w:smallCaps/>
    </w:rPr>
  </w:style>
  <w:style w:type="character" w:customStyle="1" w:styleId="Heading3Char">
    <w:name w:val="Heading 3 Char"/>
    <w:basedOn w:val="DefaultParagraphFont"/>
    <w:link w:val="Heading3"/>
    <w:uiPriority w:val="98"/>
    <w:semiHidden/>
    <w:rsid w:val="007C699F"/>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C699F"/>
    <w:pPr>
      <w:numPr>
        <w:ilvl w:val="1"/>
        <w:numId w:val="90"/>
      </w:numPr>
    </w:pPr>
  </w:style>
  <w:style w:type="paragraph" w:customStyle="1" w:styleId="NormalJustified">
    <w:name w:val="Normal_Justified"/>
    <w:basedOn w:val="Normal"/>
    <w:semiHidden/>
    <w:rsid w:val="007C699F"/>
    <w:pPr>
      <w:jc w:val="both"/>
    </w:pPr>
  </w:style>
  <w:style w:type="character" w:customStyle="1" w:styleId="Heading4Char">
    <w:name w:val="Heading 4 Char"/>
    <w:basedOn w:val="DefaultParagraphFont"/>
    <w:link w:val="Heading4"/>
    <w:uiPriority w:val="98"/>
    <w:semiHidden/>
    <w:rsid w:val="007C699F"/>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C699F"/>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C699F"/>
    <w:rPr>
      <w:i/>
      <w:iCs/>
    </w:rPr>
  </w:style>
  <w:style w:type="table" w:customStyle="1" w:styleId="ECHRTable">
    <w:name w:val="ECHR_Table"/>
    <w:basedOn w:val="TableNormal"/>
    <w:rsid w:val="007C699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C699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7C699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C699F"/>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C699F"/>
    <w:pPr>
      <w:keepNext/>
      <w:keepLines/>
      <w:spacing w:after="280"/>
      <w:ind w:firstLine="0"/>
      <w:jc w:val="center"/>
    </w:pPr>
    <w:rPr>
      <w:rFonts w:asciiTheme="majorHAnsi" w:hAnsiTheme="majorHAnsi"/>
    </w:rPr>
  </w:style>
  <w:style w:type="character" w:styleId="Emphasis">
    <w:name w:val="Emphasis"/>
    <w:uiPriority w:val="98"/>
    <w:semiHidden/>
    <w:qFormat/>
    <w:rsid w:val="007C699F"/>
    <w:rPr>
      <w:b/>
      <w:bCs/>
      <w:i/>
      <w:iCs/>
      <w:spacing w:val="10"/>
      <w:bdr w:val="none" w:sz="0" w:space="0" w:color="auto"/>
      <w:shd w:val="clear" w:color="auto" w:fill="auto"/>
    </w:rPr>
  </w:style>
  <w:style w:type="paragraph" w:styleId="Footer1">
    <w:name w:val="footer"/>
    <w:basedOn w:val="Normal"/>
    <w:link w:val="FooterChar"/>
    <w:uiPriority w:val="98"/>
    <w:semiHidden/>
    <w:rsid w:val="007C699F"/>
    <w:pPr>
      <w:tabs>
        <w:tab w:val="center" w:pos="3686"/>
        <w:tab w:val="right" w:pos="7371"/>
      </w:tabs>
    </w:pPr>
  </w:style>
  <w:style w:type="character" w:customStyle="1" w:styleId="FooterChar">
    <w:name w:val="Footer Char"/>
    <w:basedOn w:val="DefaultParagraphFont"/>
    <w:link w:val="Footer1"/>
    <w:uiPriority w:val="98"/>
    <w:semiHidden/>
    <w:rsid w:val="007C699F"/>
    <w:rPr>
      <w:sz w:val="24"/>
      <w:szCs w:val="24"/>
      <w:lang w:val="en-GB"/>
    </w:rPr>
  </w:style>
  <w:style w:type="character" w:styleId="FootnoteReference">
    <w:name w:val="footnote reference"/>
    <w:basedOn w:val="DefaultParagraphFont"/>
    <w:uiPriority w:val="98"/>
    <w:semiHidden/>
    <w:rsid w:val="007C699F"/>
    <w:rPr>
      <w:vertAlign w:val="superscript"/>
    </w:rPr>
  </w:style>
  <w:style w:type="paragraph" w:styleId="FootnoteText">
    <w:name w:val="footnote text"/>
    <w:basedOn w:val="NormalJustified"/>
    <w:link w:val="FootnoteTextChar"/>
    <w:uiPriority w:val="98"/>
    <w:semiHidden/>
    <w:rsid w:val="007C699F"/>
    <w:rPr>
      <w:sz w:val="20"/>
      <w:szCs w:val="20"/>
    </w:rPr>
  </w:style>
  <w:style w:type="character" w:customStyle="1" w:styleId="FootnoteTextChar">
    <w:name w:val="Footnote Text Char"/>
    <w:basedOn w:val="DefaultParagraphFont"/>
    <w:link w:val="FootnoteText"/>
    <w:uiPriority w:val="98"/>
    <w:semiHidden/>
    <w:rsid w:val="007C699F"/>
    <w:rPr>
      <w:sz w:val="20"/>
      <w:szCs w:val="20"/>
      <w:lang w:val="en-GB"/>
    </w:rPr>
  </w:style>
  <w:style w:type="character" w:customStyle="1" w:styleId="Heading6Char">
    <w:name w:val="Heading 6 Char"/>
    <w:basedOn w:val="DefaultParagraphFont"/>
    <w:link w:val="Heading6"/>
    <w:uiPriority w:val="98"/>
    <w:semiHidden/>
    <w:rsid w:val="007C699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C699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C699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C699F"/>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C699F"/>
    <w:rPr>
      <w:b/>
      <w:bCs/>
    </w:rPr>
  </w:style>
  <w:style w:type="paragraph" w:styleId="IntenseQuote">
    <w:name w:val="Intense Quote"/>
    <w:basedOn w:val="Normal"/>
    <w:next w:val="Normal"/>
    <w:link w:val="IntenseQuoteChar"/>
    <w:uiPriority w:val="98"/>
    <w:semiHidden/>
    <w:qFormat/>
    <w:rsid w:val="007C699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C699F"/>
    <w:rPr>
      <w:b/>
      <w:bCs/>
      <w:i/>
      <w:iCs/>
      <w:sz w:val="24"/>
      <w:szCs w:val="24"/>
      <w:lang w:val="en-GB" w:bidi="en-US"/>
    </w:rPr>
  </w:style>
  <w:style w:type="character" w:styleId="IntenseReference">
    <w:name w:val="Intense Reference"/>
    <w:uiPriority w:val="98"/>
    <w:semiHidden/>
    <w:qFormat/>
    <w:rsid w:val="007C699F"/>
    <w:rPr>
      <w:smallCaps/>
      <w:spacing w:val="5"/>
      <w:u w:val="single"/>
    </w:rPr>
  </w:style>
  <w:style w:type="paragraph" w:styleId="ListParagraph">
    <w:name w:val="List Paragraph"/>
    <w:basedOn w:val="Normal"/>
    <w:uiPriority w:val="98"/>
    <w:semiHidden/>
    <w:qFormat/>
    <w:rsid w:val="007C699F"/>
    <w:pPr>
      <w:ind w:left="720"/>
      <w:contextualSpacing/>
    </w:pPr>
  </w:style>
  <w:style w:type="table" w:customStyle="1" w:styleId="LtrTableAddress">
    <w:name w:val="Ltr_Table_Address"/>
    <w:aliases w:val="ECHR_Ltr_Table_Address"/>
    <w:basedOn w:val="TableNormal"/>
    <w:uiPriority w:val="99"/>
    <w:rsid w:val="007C699F"/>
    <w:rPr>
      <w:sz w:val="24"/>
      <w:szCs w:val="24"/>
    </w:rPr>
    <w:tblPr>
      <w:tblInd w:w="5103" w:type="dxa"/>
    </w:tblPr>
  </w:style>
  <w:style w:type="paragraph" w:styleId="Quote0">
    <w:name w:val="Quote"/>
    <w:basedOn w:val="Normal"/>
    <w:next w:val="Normal"/>
    <w:link w:val="QuoteChar"/>
    <w:uiPriority w:val="98"/>
    <w:semiHidden/>
    <w:qFormat/>
    <w:rsid w:val="007C699F"/>
    <w:pPr>
      <w:spacing w:before="200"/>
      <w:ind w:left="360" w:right="360"/>
    </w:pPr>
    <w:rPr>
      <w:i/>
      <w:iCs/>
      <w:lang w:bidi="en-US"/>
    </w:rPr>
  </w:style>
  <w:style w:type="character" w:customStyle="1" w:styleId="QuoteChar">
    <w:name w:val="Quote Char"/>
    <w:basedOn w:val="DefaultParagraphFont"/>
    <w:link w:val="Quote0"/>
    <w:uiPriority w:val="98"/>
    <w:semiHidden/>
    <w:rsid w:val="007C699F"/>
    <w:rPr>
      <w:i/>
      <w:iCs/>
      <w:sz w:val="24"/>
      <w:szCs w:val="24"/>
      <w:lang w:val="en-GB" w:bidi="en-US"/>
    </w:rPr>
  </w:style>
  <w:style w:type="character" w:styleId="SubtleReference">
    <w:name w:val="Subtle Reference"/>
    <w:uiPriority w:val="98"/>
    <w:semiHidden/>
    <w:qFormat/>
    <w:rsid w:val="007C699F"/>
    <w:rPr>
      <w:smallCaps/>
    </w:rPr>
  </w:style>
  <w:style w:type="table" w:styleId="TableGrid">
    <w:name w:val="Table Grid"/>
    <w:basedOn w:val="TableNormal"/>
    <w:uiPriority w:val="59"/>
    <w:semiHidden/>
    <w:rsid w:val="007C699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C699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C699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C699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C699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C699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C699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C699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C699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C699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C699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C699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C699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C699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7C699F"/>
    <w:pPr>
      <w:numPr>
        <w:numId w:val="56"/>
      </w:numPr>
    </w:pPr>
  </w:style>
  <w:style w:type="numbering" w:styleId="1ai">
    <w:name w:val="Outline List 1"/>
    <w:basedOn w:val="NoList"/>
    <w:uiPriority w:val="99"/>
    <w:semiHidden/>
    <w:unhideWhenUsed/>
    <w:rsid w:val="007C699F"/>
    <w:pPr>
      <w:numPr>
        <w:numId w:val="57"/>
      </w:numPr>
    </w:pPr>
  </w:style>
  <w:style w:type="paragraph" w:styleId="Bibliography">
    <w:name w:val="Bibliography"/>
    <w:basedOn w:val="Normal"/>
    <w:next w:val="Normal"/>
    <w:uiPriority w:val="98"/>
    <w:semiHidden/>
    <w:rsid w:val="007C699F"/>
  </w:style>
  <w:style w:type="paragraph" w:customStyle="1" w:styleId="JuPara">
    <w:name w:val="Ju_Para"/>
    <w:aliases w:val="_Para"/>
    <w:basedOn w:val="NormalJustified"/>
    <w:link w:val="JuParaChar"/>
    <w:uiPriority w:val="4"/>
    <w:qFormat/>
    <w:rsid w:val="007C699F"/>
    <w:pPr>
      <w:ind w:firstLine="284"/>
    </w:pPr>
  </w:style>
  <w:style w:type="paragraph" w:styleId="BlockText">
    <w:name w:val="Block Text"/>
    <w:basedOn w:val="Normal"/>
    <w:uiPriority w:val="98"/>
    <w:semiHidden/>
    <w:rsid w:val="007C699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C699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C699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7C699F"/>
    <w:pPr>
      <w:spacing w:after="120"/>
    </w:pPr>
  </w:style>
  <w:style w:type="table" w:customStyle="1" w:styleId="ECHRTableForInternalUse">
    <w:name w:val="ECHR_Table_For_Internal_Use"/>
    <w:basedOn w:val="TableNormal"/>
    <w:uiPriority w:val="99"/>
    <w:rsid w:val="007C699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C699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C699F"/>
    <w:rPr>
      <w:sz w:val="24"/>
      <w:szCs w:val="24"/>
      <w:lang w:val="en-GB"/>
    </w:rPr>
  </w:style>
  <w:style w:type="paragraph" w:styleId="BodyText2">
    <w:name w:val="Body Text 2"/>
    <w:basedOn w:val="Normal"/>
    <w:link w:val="BodyText2Char"/>
    <w:uiPriority w:val="98"/>
    <w:semiHidden/>
    <w:rsid w:val="007C699F"/>
    <w:pPr>
      <w:spacing w:after="120" w:line="480" w:lineRule="auto"/>
    </w:pPr>
  </w:style>
  <w:style w:type="table" w:customStyle="1" w:styleId="ECHRHeaderTable">
    <w:name w:val="ECHR_Header_Table"/>
    <w:basedOn w:val="TableNormal"/>
    <w:uiPriority w:val="99"/>
    <w:rsid w:val="007C699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C699F"/>
    <w:rPr>
      <w:sz w:val="24"/>
      <w:szCs w:val="24"/>
      <w:lang w:val="en-GB"/>
    </w:rPr>
  </w:style>
  <w:style w:type="paragraph" w:styleId="BodyText3">
    <w:name w:val="Body Text 3"/>
    <w:basedOn w:val="Normal"/>
    <w:link w:val="BodyText3Char"/>
    <w:uiPriority w:val="98"/>
    <w:semiHidden/>
    <w:rsid w:val="007C699F"/>
    <w:pPr>
      <w:spacing w:after="120"/>
    </w:pPr>
    <w:rPr>
      <w:sz w:val="16"/>
      <w:szCs w:val="16"/>
    </w:rPr>
  </w:style>
  <w:style w:type="table" w:customStyle="1" w:styleId="ECHRTableOddBanded">
    <w:name w:val="ECHR_Table_Odd_Banded"/>
    <w:basedOn w:val="TableNormal"/>
    <w:uiPriority w:val="99"/>
    <w:rsid w:val="007C699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C699F"/>
    <w:pPr>
      <w:tabs>
        <w:tab w:val="left" w:pos="567"/>
        <w:tab w:val="left" w:pos="1134"/>
      </w:tabs>
    </w:pPr>
  </w:style>
  <w:style w:type="table" w:customStyle="1" w:styleId="ECHRHeaderTableReduced">
    <w:name w:val="ECHR_Header_Table_Reduced"/>
    <w:basedOn w:val="TableNormal"/>
    <w:uiPriority w:val="99"/>
    <w:rsid w:val="007C699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C699F"/>
    <w:rPr>
      <w:sz w:val="16"/>
      <w:szCs w:val="16"/>
      <w:lang w:val="en-GB"/>
    </w:rPr>
  </w:style>
  <w:style w:type="paragraph" w:styleId="BodyTextFirstIndent">
    <w:name w:val="Body Text First Indent"/>
    <w:basedOn w:val="BodyText"/>
    <w:link w:val="BodyTextFirstIndentChar"/>
    <w:uiPriority w:val="98"/>
    <w:semiHidden/>
    <w:rsid w:val="007C699F"/>
    <w:pPr>
      <w:spacing w:after="0"/>
      <w:ind w:firstLine="360"/>
    </w:pPr>
  </w:style>
  <w:style w:type="character" w:customStyle="1" w:styleId="BodyTextFirstIndentChar">
    <w:name w:val="Body Text First Indent Char"/>
    <w:basedOn w:val="BodyTextChar"/>
    <w:link w:val="BodyTextFirstIndent"/>
    <w:uiPriority w:val="98"/>
    <w:semiHidden/>
    <w:rsid w:val="007C699F"/>
    <w:rPr>
      <w:sz w:val="24"/>
      <w:szCs w:val="24"/>
      <w:lang w:val="en-GB"/>
    </w:rPr>
  </w:style>
  <w:style w:type="character" w:styleId="PlaceholderText">
    <w:name w:val="Placeholder Text"/>
    <w:basedOn w:val="DefaultParagraphFont"/>
    <w:uiPriority w:val="98"/>
    <w:semiHidden/>
    <w:rsid w:val="007C699F"/>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C699F"/>
    <w:pPr>
      <w:tabs>
        <w:tab w:val="center" w:pos="1418"/>
        <w:tab w:val="center" w:pos="5954"/>
      </w:tabs>
      <w:spacing w:before="720"/>
    </w:pPr>
  </w:style>
  <w:style w:type="character" w:styleId="PageNumber">
    <w:name w:val="page number"/>
    <w:uiPriority w:val="98"/>
    <w:semiHidden/>
    <w:rsid w:val="007C699F"/>
    <w:rPr>
      <w:sz w:val="18"/>
    </w:rPr>
  </w:style>
  <w:style w:type="character" w:styleId="CommentReference">
    <w:name w:val="annotation reference"/>
    <w:basedOn w:val="DefaultParagraphFont"/>
    <w:uiPriority w:val="98"/>
    <w:semiHidden/>
    <w:rsid w:val="007C699F"/>
    <w:rPr>
      <w:sz w:val="16"/>
      <w:szCs w:val="16"/>
    </w:rPr>
  </w:style>
  <w:style w:type="paragraph" w:styleId="CommentText">
    <w:name w:val="annotation text"/>
    <w:basedOn w:val="Normal"/>
    <w:link w:val="CommentTextChar"/>
    <w:uiPriority w:val="98"/>
    <w:semiHidden/>
    <w:rsid w:val="007C699F"/>
    <w:rPr>
      <w:sz w:val="20"/>
      <w:szCs w:val="20"/>
    </w:rPr>
  </w:style>
  <w:style w:type="character" w:customStyle="1" w:styleId="CommentTextChar">
    <w:name w:val="Comment Text Char"/>
    <w:basedOn w:val="DefaultParagraphFont"/>
    <w:link w:val="CommentText"/>
    <w:uiPriority w:val="98"/>
    <w:semiHidden/>
    <w:rsid w:val="007C699F"/>
    <w:rPr>
      <w:sz w:val="20"/>
      <w:szCs w:val="20"/>
      <w:lang w:val="en-GB"/>
    </w:rPr>
  </w:style>
  <w:style w:type="paragraph" w:customStyle="1" w:styleId="DecHTitle">
    <w:name w:val="Dec_H_Title"/>
    <w:aliases w:val="_Title_1"/>
    <w:basedOn w:val="JuPara"/>
    <w:next w:val="JuPara"/>
    <w:uiPriority w:val="38"/>
    <w:qFormat/>
    <w:rsid w:val="007C699F"/>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C699F"/>
    <w:pPr>
      <w:keepNext/>
      <w:keepLines/>
      <w:spacing w:before="240" w:after="240"/>
      <w:ind w:firstLine="284"/>
    </w:pPr>
  </w:style>
  <w:style w:type="numbering" w:styleId="ArticleSection">
    <w:name w:val="Outline List 3"/>
    <w:basedOn w:val="NoList"/>
    <w:uiPriority w:val="99"/>
    <w:semiHidden/>
    <w:unhideWhenUsed/>
    <w:rsid w:val="007C699F"/>
    <w:pPr>
      <w:numPr>
        <w:numId w:val="58"/>
      </w:numPr>
    </w:pPr>
  </w:style>
  <w:style w:type="paragraph" w:styleId="ListBullet">
    <w:name w:val="List Bullet"/>
    <w:basedOn w:val="Normal"/>
    <w:uiPriority w:val="98"/>
    <w:semiHidden/>
    <w:rsid w:val="007C699F"/>
    <w:pPr>
      <w:numPr>
        <w:numId w:val="59"/>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7C699F"/>
    <w:pPr>
      <w:ind w:firstLine="284"/>
    </w:pPr>
    <w:rPr>
      <w:b/>
    </w:rPr>
  </w:style>
  <w:style w:type="paragraph" w:styleId="BodyTextIndent">
    <w:name w:val="Body Text Indent"/>
    <w:basedOn w:val="Normal"/>
    <w:link w:val="BodyTextIndentChar"/>
    <w:uiPriority w:val="98"/>
    <w:semiHidden/>
    <w:rsid w:val="007C699F"/>
    <w:pPr>
      <w:spacing w:after="120"/>
      <w:ind w:left="283"/>
    </w:pPr>
  </w:style>
  <w:style w:type="character" w:customStyle="1" w:styleId="BodyTextIndentChar">
    <w:name w:val="Body Text Indent Char"/>
    <w:basedOn w:val="DefaultParagraphFont"/>
    <w:link w:val="BodyTextIndent"/>
    <w:uiPriority w:val="98"/>
    <w:semiHidden/>
    <w:rsid w:val="007C699F"/>
    <w:rPr>
      <w:sz w:val="24"/>
      <w:szCs w:val="24"/>
      <w:lang w:val="en-GB"/>
    </w:rPr>
  </w:style>
  <w:style w:type="paragraph" w:styleId="BodyTextFirstIndent2">
    <w:name w:val="Body Text First Indent 2"/>
    <w:basedOn w:val="BodyTextIndent"/>
    <w:link w:val="BodyTextFirstIndent2Char"/>
    <w:uiPriority w:val="98"/>
    <w:semiHidden/>
    <w:rsid w:val="007C699F"/>
    <w:pPr>
      <w:spacing w:after="0"/>
      <w:ind w:left="360" w:firstLine="360"/>
    </w:pPr>
  </w:style>
  <w:style w:type="character" w:customStyle="1" w:styleId="BodyTextFirstIndent2Char">
    <w:name w:val="Body Text First Indent 2 Char"/>
    <w:basedOn w:val="BodyTextIndentChar"/>
    <w:link w:val="BodyTextFirstIndent2"/>
    <w:uiPriority w:val="98"/>
    <w:semiHidden/>
    <w:rsid w:val="007C699F"/>
    <w:rPr>
      <w:sz w:val="24"/>
      <w:szCs w:val="24"/>
      <w:lang w:val="en-GB"/>
    </w:rPr>
  </w:style>
  <w:style w:type="paragraph" w:styleId="BodyTextIndent2">
    <w:name w:val="Body Text Indent 2"/>
    <w:basedOn w:val="Normal"/>
    <w:link w:val="BodyTextIndent2Char"/>
    <w:uiPriority w:val="98"/>
    <w:semiHidden/>
    <w:rsid w:val="007C699F"/>
    <w:pPr>
      <w:spacing w:after="120" w:line="480" w:lineRule="auto"/>
      <w:ind w:left="283"/>
    </w:pPr>
  </w:style>
  <w:style w:type="character" w:customStyle="1" w:styleId="BodyTextIndent2Char">
    <w:name w:val="Body Text Indent 2 Char"/>
    <w:basedOn w:val="DefaultParagraphFont"/>
    <w:link w:val="BodyTextIndent2"/>
    <w:uiPriority w:val="98"/>
    <w:semiHidden/>
    <w:rsid w:val="007C699F"/>
    <w:rPr>
      <w:sz w:val="24"/>
      <w:szCs w:val="24"/>
      <w:lang w:val="en-GB"/>
    </w:rPr>
  </w:style>
  <w:style w:type="paragraph" w:styleId="BodyTextIndent3">
    <w:name w:val="Body Text Indent 3"/>
    <w:basedOn w:val="Normal"/>
    <w:link w:val="BodyTextIndent3Char"/>
    <w:uiPriority w:val="98"/>
    <w:semiHidden/>
    <w:rsid w:val="007C699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C699F"/>
    <w:rPr>
      <w:sz w:val="16"/>
      <w:szCs w:val="16"/>
      <w:lang w:val="en-GB"/>
    </w:rPr>
  </w:style>
  <w:style w:type="paragraph" w:styleId="Caption">
    <w:name w:val="caption"/>
    <w:basedOn w:val="Normal"/>
    <w:next w:val="Normal"/>
    <w:uiPriority w:val="98"/>
    <w:semiHidden/>
    <w:qFormat/>
    <w:rsid w:val="007C699F"/>
    <w:pPr>
      <w:spacing w:after="200"/>
    </w:pPr>
    <w:rPr>
      <w:b/>
      <w:bCs/>
      <w:color w:val="0072BC" w:themeColor="accent1"/>
      <w:sz w:val="18"/>
      <w:szCs w:val="18"/>
    </w:rPr>
  </w:style>
  <w:style w:type="paragraph" w:styleId="Closing">
    <w:name w:val="Closing"/>
    <w:basedOn w:val="Normal"/>
    <w:link w:val="ClosingChar"/>
    <w:uiPriority w:val="98"/>
    <w:semiHidden/>
    <w:rsid w:val="007C699F"/>
    <w:pPr>
      <w:ind w:left="4252"/>
    </w:pPr>
  </w:style>
  <w:style w:type="character" w:customStyle="1" w:styleId="ClosingChar">
    <w:name w:val="Closing Char"/>
    <w:basedOn w:val="DefaultParagraphFont"/>
    <w:link w:val="Closing"/>
    <w:uiPriority w:val="98"/>
    <w:semiHidden/>
    <w:rsid w:val="007C699F"/>
    <w:rPr>
      <w:sz w:val="24"/>
      <w:szCs w:val="24"/>
      <w:lang w:val="en-GB"/>
    </w:rPr>
  </w:style>
  <w:style w:type="table" w:styleId="ColorfulGrid">
    <w:name w:val="Colorful Grid"/>
    <w:basedOn w:val="TableNormal"/>
    <w:uiPriority w:val="73"/>
    <w:semiHidden/>
    <w:rsid w:val="007C699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C699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C699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C699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C699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C699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C699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C699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C699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C699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C699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C699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C699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C699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C699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C699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C699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C699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C699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C699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C699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C699F"/>
    <w:rPr>
      <w:b/>
      <w:bCs/>
    </w:rPr>
  </w:style>
  <w:style w:type="character" w:customStyle="1" w:styleId="CommentSubjectChar">
    <w:name w:val="Comment Subject Char"/>
    <w:basedOn w:val="CommentTextChar"/>
    <w:link w:val="CommentSubject"/>
    <w:uiPriority w:val="98"/>
    <w:semiHidden/>
    <w:rsid w:val="007C699F"/>
    <w:rPr>
      <w:b/>
      <w:bCs/>
      <w:sz w:val="20"/>
      <w:szCs w:val="20"/>
      <w:lang w:val="en-GB"/>
    </w:rPr>
  </w:style>
  <w:style w:type="table" w:styleId="DarkList">
    <w:name w:val="Dark List"/>
    <w:basedOn w:val="TableNormal"/>
    <w:uiPriority w:val="70"/>
    <w:semiHidden/>
    <w:rsid w:val="007C699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C699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C699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C699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C699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C699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C699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C699F"/>
  </w:style>
  <w:style w:type="character" w:customStyle="1" w:styleId="DateChar">
    <w:name w:val="Date Char"/>
    <w:basedOn w:val="DefaultParagraphFont"/>
    <w:link w:val="Date"/>
    <w:uiPriority w:val="98"/>
    <w:semiHidden/>
    <w:rsid w:val="007C699F"/>
    <w:rPr>
      <w:sz w:val="24"/>
      <w:szCs w:val="24"/>
      <w:lang w:val="en-GB"/>
    </w:rPr>
  </w:style>
  <w:style w:type="paragraph" w:styleId="DocumentMap">
    <w:name w:val="Document Map"/>
    <w:basedOn w:val="Normal"/>
    <w:link w:val="DocumentMapChar"/>
    <w:uiPriority w:val="98"/>
    <w:semiHidden/>
    <w:rsid w:val="007C699F"/>
    <w:rPr>
      <w:rFonts w:ascii="Tahoma" w:hAnsi="Tahoma" w:cs="Tahoma"/>
      <w:sz w:val="16"/>
      <w:szCs w:val="16"/>
    </w:rPr>
  </w:style>
  <w:style w:type="character" w:customStyle="1" w:styleId="DocumentMapChar">
    <w:name w:val="Document Map Char"/>
    <w:basedOn w:val="DefaultParagraphFont"/>
    <w:link w:val="DocumentMap"/>
    <w:uiPriority w:val="98"/>
    <w:semiHidden/>
    <w:rsid w:val="007C699F"/>
    <w:rPr>
      <w:rFonts w:ascii="Tahoma" w:hAnsi="Tahoma" w:cs="Tahoma"/>
      <w:sz w:val="16"/>
      <w:szCs w:val="16"/>
      <w:lang w:val="en-GB"/>
    </w:rPr>
  </w:style>
  <w:style w:type="paragraph" w:styleId="E-mailSignature">
    <w:name w:val="E-mail Signature"/>
    <w:basedOn w:val="Normal"/>
    <w:link w:val="E-mailSignatureChar"/>
    <w:uiPriority w:val="98"/>
    <w:semiHidden/>
    <w:rsid w:val="007C699F"/>
  </w:style>
  <w:style w:type="character" w:customStyle="1" w:styleId="E-mailSignatureChar">
    <w:name w:val="E-mail Signature Char"/>
    <w:basedOn w:val="DefaultParagraphFont"/>
    <w:link w:val="E-mailSignature"/>
    <w:uiPriority w:val="98"/>
    <w:semiHidden/>
    <w:rsid w:val="007C699F"/>
    <w:rPr>
      <w:sz w:val="24"/>
      <w:szCs w:val="24"/>
      <w:lang w:val="en-GB"/>
    </w:rPr>
  </w:style>
  <w:style w:type="character" w:styleId="EndnoteReference">
    <w:name w:val="endnote reference"/>
    <w:basedOn w:val="DefaultParagraphFont"/>
    <w:uiPriority w:val="98"/>
    <w:semiHidden/>
    <w:rsid w:val="007C699F"/>
    <w:rPr>
      <w:vertAlign w:val="superscript"/>
    </w:rPr>
  </w:style>
  <w:style w:type="paragraph" w:styleId="EndnoteText">
    <w:name w:val="endnote text"/>
    <w:basedOn w:val="Normal"/>
    <w:link w:val="EndnoteTextChar"/>
    <w:uiPriority w:val="98"/>
    <w:semiHidden/>
    <w:rsid w:val="007C699F"/>
    <w:rPr>
      <w:sz w:val="20"/>
      <w:szCs w:val="20"/>
    </w:rPr>
  </w:style>
  <w:style w:type="character" w:customStyle="1" w:styleId="EndnoteTextChar">
    <w:name w:val="Endnote Text Char"/>
    <w:basedOn w:val="DefaultParagraphFont"/>
    <w:link w:val="EndnoteText"/>
    <w:uiPriority w:val="98"/>
    <w:semiHidden/>
    <w:rsid w:val="007C699F"/>
    <w:rPr>
      <w:sz w:val="20"/>
      <w:szCs w:val="20"/>
      <w:lang w:val="en-GB"/>
    </w:rPr>
  </w:style>
  <w:style w:type="paragraph" w:styleId="EnvelopeAddress">
    <w:name w:val="envelope address"/>
    <w:basedOn w:val="Normal"/>
    <w:uiPriority w:val="98"/>
    <w:semiHidden/>
    <w:rsid w:val="007C699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C699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C699F"/>
    <w:rPr>
      <w:color w:val="7030A0" w:themeColor="followedHyperlink"/>
      <w:u w:val="single"/>
    </w:rPr>
  </w:style>
  <w:style w:type="character" w:styleId="HTMLAcronym">
    <w:name w:val="HTML Acronym"/>
    <w:basedOn w:val="DefaultParagraphFont"/>
    <w:uiPriority w:val="98"/>
    <w:semiHidden/>
    <w:rsid w:val="007C699F"/>
  </w:style>
  <w:style w:type="paragraph" w:styleId="HTMLAddress">
    <w:name w:val="HTML Address"/>
    <w:basedOn w:val="Normal"/>
    <w:link w:val="HTMLAddressChar"/>
    <w:uiPriority w:val="98"/>
    <w:semiHidden/>
    <w:rsid w:val="007C699F"/>
    <w:rPr>
      <w:i/>
      <w:iCs/>
    </w:rPr>
  </w:style>
  <w:style w:type="character" w:customStyle="1" w:styleId="HTMLAddressChar">
    <w:name w:val="HTML Address Char"/>
    <w:basedOn w:val="DefaultParagraphFont"/>
    <w:link w:val="HTMLAddress"/>
    <w:uiPriority w:val="98"/>
    <w:semiHidden/>
    <w:rsid w:val="007C699F"/>
    <w:rPr>
      <w:i/>
      <w:iCs/>
      <w:sz w:val="24"/>
      <w:szCs w:val="24"/>
      <w:lang w:val="en-GB"/>
    </w:rPr>
  </w:style>
  <w:style w:type="character" w:styleId="HTMLCite">
    <w:name w:val="HTML Cite"/>
    <w:basedOn w:val="DefaultParagraphFont"/>
    <w:uiPriority w:val="98"/>
    <w:semiHidden/>
    <w:rsid w:val="007C699F"/>
    <w:rPr>
      <w:i/>
      <w:iCs/>
    </w:rPr>
  </w:style>
  <w:style w:type="character" w:styleId="HTMLCode">
    <w:name w:val="HTML Code"/>
    <w:basedOn w:val="DefaultParagraphFont"/>
    <w:uiPriority w:val="98"/>
    <w:semiHidden/>
    <w:rsid w:val="007C699F"/>
    <w:rPr>
      <w:rFonts w:ascii="Consolas" w:hAnsi="Consolas" w:cs="Consolas"/>
      <w:sz w:val="20"/>
      <w:szCs w:val="20"/>
    </w:rPr>
  </w:style>
  <w:style w:type="character" w:styleId="HTMLDefinition">
    <w:name w:val="HTML Definition"/>
    <w:basedOn w:val="DefaultParagraphFont"/>
    <w:uiPriority w:val="98"/>
    <w:semiHidden/>
    <w:rsid w:val="007C699F"/>
    <w:rPr>
      <w:i/>
      <w:iCs/>
    </w:rPr>
  </w:style>
  <w:style w:type="character" w:styleId="HTMLKeyboard">
    <w:name w:val="HTML Keyboard"/>
    <w:basedOn w:val="DefaultParagraphFont"/>
    <w:uiPriority w:val="98"/>
    <w:semiHidden/>
    <w:rsid w:val="007C699F"/>
    <w:rPr>
      <w:rFonts w:ascii="Consolas" w:hAnsi="Consolas" w:cs="Consolas"/>
      <w:sz w:val="20"/>
      <w:szCs w:val="20"/>
    </w:rPr>
  </w:style>
  <w:style w:type="paragraph" w:styleId="HTMLPreformatted">
    <w:name w:val="HTML Preformatted"/>
    <w:basedOn w:val="Normal"/>
    <w:link w:val="HTMLPreformattedChar"/>
    <w:uiPriority w:val="98"/>
    <w:semiHidden/>
    <w:rsid w:val="007C699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C699F"/>
    <w:rPr>
      <w:rFonts w:ascii="Consolas" w:hAnsi="Consolas" w:cs="Consolas"/>
      <w:sz w:val="20"/>
      <w:szCs w:val="20"/>
      <w:lang w:val="en-GB"/>
    </w:rPr>
  </w:style>
  <w:style w:type="character" w:styleId="HTMLSample">
    <w:name w:val="HTML Sample"/>
    <w:basedOn w:val="DefaultParagraphFont"/>
    <w:uiPriority w:val="98"/>
    <w:semiHidden/>
    <w:rsid w:val="007C699F"/>
    <w:rPr>
      <w:rFonts w:ascii="Consolas" w:hAnsi="Consolas" w:cs="Consolas"/>
      <w:sz w:val="24"/>
      <w:szCs w:val="24"/>
    </w:rPr>
  </w:style>
  <w:style w:type="character" w:styleId="HTMLTypewriter">
    <w:name w:val="HTML Typewriter"/>
    <w:basedOn w:val="DefaultParagraphFont"/>
    <w:uiPriority w:val="98"/>
    <w:semiHidden/>
    <w:rsid w:val="007C699F"/>
    <w:rPr>
      <w:rFonts w:ascii="Consolas" w:hAnsi="Consolas" w:cs="Consolas"/>
      <w:sz w:val="20"/>
      <w:szCs w:val="20"/>
    </w:rPr>
  </w:style>
  <w:style w:type="character" w:styleId="HTMLVariable">
    <w:name w:val="HTML Variable"/>
    <w:basedOn w:val="DefaultParagraphFont"/>
    <w:uiPriority w:val="98"/>
    <w:semiHidden/>
    <w:rsid w:val="007C699F"/>
    <w:rPr>
      <w:i/>
      <w:iCs/>
    </w:rPr>
  </w:style>
  <w:style w:type="paragraph" w:styleId="Index1">
    <w:name w:val="index 1"/>
    <w:basedOn w:val="Normal"/>
    <w:next w:val="Normal"/>
    <w:autoRedefine/>
    <w:uiPriority w:val="98"/>
    <w:semiHidden/>
    <w:rsid w:val="007C699F"/>
    <w:pPr>
      <w:ind w:left="240" w:hanging="240"/>
    </w:pPr>
  </w:style>
  <w:style w:type="paragraph" w:styleId="Index2">
    <w:name w:val="index 2"/>
    <w:basedOn w:val="Normal"/>
    <w:next w:val="Normal"/>
    <w:autoRedefine/>
    <w:uiPriority w:val="98"/>
    <w:semiHidden/>
    <w:rsid w:val="007C699F"/>
    <w:pPr>
      <w:ind w:left="480" w:hanging="240"/>
    </w:pPr>
  </w:style>
  <w:style w:type="paragraph" w:styleId="Index3">
    <w:name w:val="index 3"/>
    <w:basedOn w:val="Normal"/>
    <w:next w:val="Normal"/>
    <w:autoRedefine/>
    <w:uiPriority w:val="98"/>
    <w:semiHidden/>
    <w:rsid w:val="007C699F"/>
    <w:pPr>
      <w:ind w:left="720" w:hanging="240"/>
    </w:pPr>
  </w:style>
  <w:style w:type="paragraph" w:styleId="Index4">
    <w:name w:val="index 4"/>
    <w:basedOn w:val="Normal"/>
    <w:next w:val="Normal"/>
    <w:autoRedefine/>
    <w:uiPriority w:val="98"/>
    <w:semiHidden/>
    <w:rsid w:val="007C699F"/>
    <w:pPr>
      <w:ind w:left="960" w:hanging="240"/>
    </w:pPr>
  </w:style>
  <w:style w:type="paragraph" w:styleId="Index5">
    <w:name w:val="index 5"/>
    <w:basedOn w:val="Normal"/>
    <w:next w:val="Normal"/>
    <w:autoRedefine/>
    <w:uiPriority w:val="98"/>
    <w:semiHidden/>
    <w:rsid w:val="007C699F"/>
    <w:pPr>
      <w:ind w:left="1200" w:hanging="240"/>
    </w:pPr>
  </w:style>
  <w:style w:type="paragraph" w:styleId="Index6">
    <w:name w:val="index 6"/>
    <w:basedOn w:val="Normal"/>
    <w:next w:val="Normal"/>
    <w:autoRedefine/>
    <w:uiPriority w:val="98"/>
    <w:semiHidden/>
    <w:rsid w:val="007C699F"/>
    <w:pPr>
      <w:ind w:left="1440" w:hanging="240"/>
    </w:pPr>
  </w:style>
  <w:style w:type="paragraph" w:styleId="Index7">
    <w:name w:val="index 7"/>
    <w:basedOn w:val="Normal"/>
    <w:next w:val="Normal"/>
    <w:autoRedefine/>
    <w:uiPriority w:val="98"/>
    <w:semiHidden/>
    <w:rsid w:val="007C699F"/>
    <w:pPr>
      <w:ind w:left="1680" w:hanging="240"/>
    </w:pPr>
  </w:style>
  <w:style w:type="paragraph" w:styleId="Index8">
    <w:name w:val="index 8"/>
    <w:basedOn w:val="Normal"/>
    <w:next w:val="Normal"/>
    <w:autoRedefine/>
    <w:uiPriority w:val="98"/>
    <w:semiHidden/>
    <w:rsid w:val="007C699F"/>
    <w:pPr>
      <w:ind w:left="1920" w:hanging="240"/>
    </w:pPr>
  </w:style>
  <w:style w:type="paragraph" w:styleId="Index9">
    <w:name w:val="index 9"/>
    <w:basedOn w:val="Normal"/>
    <w:next w:val="Normal"/>
    <w:autoRedefine/>
    <w:uiPriority w:val="98"/>
    <w:semiHidden/>
    <w:rsid w:val="007C699F"/>
    <w:pPr>
      <w:ind w:left="2160" w:hanging="240"/>
    </w:pPr>
  </w:style>
  <w:style w:type="paragraph" w:styleId="IndexHeading">
    <w:name w:val="index heading"/>
    <w:basedOn w:val="Normal"/>
    <w:next w:val="Index1"/>
    <w:uiPriority w:val="98"/>
    <w:semiHidden/>
    <w:rsid w:val="007C699F"/>
    <w:rPr>
      <w:rFonts w:asciiTheme="majorHAnsi" w:eastAsiaTheme="majorEastAsia" w:hAnsiTheme="majorHAnsi" w:cstheme="majorBidi"/>
      <w:b/>
      <w:bCs/>
    </w:rPr>
  </w:style>
  <w:style w:type="table" w:styleId="LightGrid">
    <w:name w:val="Light Grid"/>
    <w:basedOn w:val="TableNormal"/>
    <w:uiPriority w:val="62"/>
    <w:semiHidden/>
    <w:rsid w:val="007C699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C699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C699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C699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C699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C699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C699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C699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C699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C699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C699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C699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C699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C699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C699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C699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C699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C699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C699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C699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C699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C699F"/>
  </w:style>
  <w:style w:type="paragraph" w:styleId="List">
    <w:name w:val="List"/>
    <w:basedOn w:val="Normal"/>
    <w:uiPriority w:val="98"/>
    <w:semiHidden/>
    <w:rsid w:val="007C699F"/>
    <w:pPr>
      <w:ind w:left="283" w:hanging="283"/>
      <w:contextualSpacing/>
    </w:pPr>
  </w:style>
  <w:style w:type="paragraph" w:styleId="List20">
    <w:name w:val="List 2"/>
    <w:basedOn w:val="Normal"/>
    <w:uiPriority w:val="98"/>
    <w:semiHidden/>
    <w:rsid w:val="007C699F"/>
    <w:pPr>
      <w:ind w:left="566" w:hanging="283"/>
      <w:contextualSpacing/>
    </w:pPr>
  </w:style>
  <w:style w:type="paragraph" w:styleId="List30">
    <w:name w:val="List 3"/>
    <w:basedOn w:val="Normal"/>
    <w:uiPriority w:val="98"/>
    <w:semiHidden/>
    <w:rsid w:val="007C699F"/>
    <w:pPr>
      <w:ind w:left="849" w:hanging="283"/>
      <w:contextualSpacing/>
    </w:pPr>
  </w:style>
  <w:style w:type="paragraph" w:styleId="List4">
    <w:name w:val="List 4"/>
    <w:basedOn w:val="Normal"/>
    <w:uiPriority w:val="98"/>
    <w:semiHidden/>
    <w:rsid w:val="007C699F"/>
    <w:pPr>
      <w:ind w:left="1132" w:hanging="283"/>
      <w:contextualSpacing/>
    </w:pPr>
  </w:style>
  <w:style w:type="paragraph" w:styleId="List5">
    <w:name w:val="List 5"/>
    <w:basedOn w:val="Normal"/>
    <w:uiPriority w:val="98"/>
    <w:semiHidden/>
    <w:rsid w:val="007C699F"/>
    <w:pPr>
      <w:ind w:left="1415" w:hanging="283"/>
      <w:contextualSpacing/>
    </w:pPr>
  </w:style>
  <w:style w:type="paragraph" w:styleId="ListBullet2">
    <w:name w:val="List Bullet 2"/>
    <w:basedOn w:val="Normal"/>
    <w:uiPriority w:val="98"/>
    <w:semiHidden/>
    <w:rsid w:val="007C699F"/>
    <w:pPr>
      <w:numPr>
        <w:numId w:val="60"/>
      </w:numPr>
      <w:contextualSpacing/>
    </w:pPr>
  </w:style>
  <w:style w:type="paragraph" w:styleId="ListBullet3">
    <w:name w:val="List Bullet 3"/>
    <w:basedOn w:val="Normal"/>
    <w:uiPriority w:val="98"/>
    <w:semiHidden/>
    <w:rsid w:val="007C699F"/>
    <w:pPr>
      <w:numPr>
        <w:numId w:val="61"/>
      </w:numPr>
      <w:contextualSpacing/>
    </w:pPr>
  </w:style>
  <w:style w:type="paragraph" w:styleId="ListBullet4">
    <w:name w:val="List Bullet 4"/>
    <w:basedOn w:val="Normal"/>
    <w:uiPriority w:val="98"/>
    <w:semiHidden/>
    <w:rsid w:val="007C699F"/>
    <w:pPr>
      <w:numPr>
        <w:numId w:val="62"/>
      </w:numPr>
      <w:contextualSpacing/>
    </w:pPr>
  </w:style>
  <w:style w:type="paragraph" w:styleId="ListBullet5">
    <w:name w:val="List Bullet 5"/>
    <w:basedOn w:val="Normal"/>
    <w:uiPriority w:val="98"/>
    <w:semiHidden/>
    <w:rsid w:val="007C699F"/>
    <w:pPr>
      <w:numPr>
        <w:numId w:val="63"/>
      </w:numPr>
      <w:contextualSpacing/>
    </w:pPr>
  </w:style>
  <w:style w:type="paragraph" w:styleId="ListContinue">
    <w:name w:val="List Continue"/>
    <w:basedOn w:val="Normal"/>
    <w:uiPriority w:val="98"/>
    <w:semiHidden/>
    <w:rsid w:val="007C699F"/>
    <w:pPr>
      <w:spacing w:after="120"/>
      <w:ind w:left="283"/>
      <w:contextualSpacing/>
    </w:pPr>
  </w:style>
  <w:style w:type="paragraph" w:styleId="ListContinue2">
    <w:name w:val="List Continue 2"/>
    <w:basedOn w:val="Normal"/>
    <w:uiPriority w:val="98"/>
    <w:semiHidden/>
    <w:rsid w:val="007C699F"/>
    <w:pPr>
      <w:spacing w:after="120"/>
      <w:ind w:left="566"/>
      <w:contextualSpacing/>
    </w:pPr>
  </w:style>
  <w:style w:type="paragraph" w:styleId="ListContinue3">
    <w:name w:val="List Continue 3"/>
    <w:basedOn w:val="Normal"/>
    <w:uiPriority w:val="98"/>
    <w:semiHidden/>
    <w:rsid w:val="007C699F"/>
    <w:pPr>
      <w:spacing w:after="120"/>
      <w:ind w:left="849"/>
      <w:contextualSpacing/>
    </w:pPr>
  </w:style>
  <w:style w:type="paragraph" w:styleId="ListContinue4">
    <w:name w:val="List Continue 4"/>
    <w:basedOn w:val="Normal"/>
    <w:uiPriority w:val="98"/>
    <w:semiHidden/>
    <w:rsid w:val="007C699F"/>
    <w:pPr>
      <w:spacing w:after="120"/>
      <w:ind w:left="1132"/>
      <w:contextualSpacing/>
    </w:pPr>
  </w:style>
  <w:style w:type="paragraph" w:styleId="ListContinue5">
    <w:name w:val="List Continue 5"/>
    <w:basedOn w:val="Normal"/>
    <w:uiPriority w:val="98"/>
    <w:semiHidden/>
    <w:rsid w:val="007C699F"/>
    <w:pPr>
      <w:spacing w:after="120"/>
      <w:ind w:left="1415"/>
      <w:contextualSpacing/>
    </w:pPr>
  </w:style>
  <w:style w:type="paragraph" w:styleId="ListNumber">
    <w:name w:val="List Number"/>
    <w:basedOn w:val="Normal"/>
    <w:uiPriority w:val="98"/>
    <w:semiHidden/>
    <w:rsid w:val="007C699F"/>
    <w:pPr>
      <w:numPr>
        <w:numId w:val="64"/>
      </w:numPr>
      <w:contextualSpacing/>
    </w:pPr>
  </w:style>
  <w:style w:type="paragraph" w:styleId="ListNumber2">
    <w:name w:val="List Number 2"/>
    <w:basedOn w:val="Normal"/>
    <w:uiPriority w:val="98"/>
    <w:semiHidden/>
    <w:rsid w:val="007C699F"/>
    <w:pPr>
      <w:numPr>
        <w:numId w:val="65"/>
      </w:numPr>
      <w:contextualSpacing/>
    </w:pPr>
  </w:style>
  <w:style w:type="paragraph" w:styleId="ListNumber3">
    <w:name w:val="List Number 3"/>
    <w:basedOn w:val="Normal"/>
    <w:uiPriority w:val="98"/>
    <w:semiHidden/>
    <w:rsid w:val="007C699F"/>
    <w:pPr>
      <w:numPr>
        <w:numId w:val="66"/>
      </w:numPr>
      <w:contextualSpacing/>
    </w:pPr>
  </w:style>
  <w:style w:type="paragraph" w:styleId="ListNumber4">
    <w:name w:val="List Number 4"/>
    <w:basedOn w:val="Normal"/>
    <w:uiPriority w:val="98"/>
    <w:semiHidden/>
    <w:rsid w:val="007C699F"/>
    <w:pPr>
      <w:numPr>
        <w:numId w:val="67"/>
      </w:numPr>
      <w:contextualSpacing/>
    </w:pPr>
  </w:style>
  <w:style w:type="paragraph" w:styleId="ListNumber5">
    <w:name w:val="List Number 5"/>
    <w:basedOn w:val="Normal"/>
    <w:uiPriority w:val="98"/>
    <w:semiHidden/>
    <w:rsid w:val="007C699F"/>
    <w:pPr>
      <w:numPr>
        <w:numId w:val="68"/>
      </w:numPr>
      <w:contextualSpacing/>
    </w:pPr>
  </w:style>
  <w:style w:type="paragraph" w:styleId="Macro">
    <w:name w:val="macro"/>
    <w:link w:val="MacroTextChar"/>
    <w:uiPriority w:val="98"/>
    <w:semiHidden/>
    <w:rsid w:val="007C699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C699F"/>
    <w:rPr>
      <w:rFonts w:ascii="Consolas" w:hAnsi="Consolas" w:eastAsiaTheme="minorEastAsia" w:cs="Consolas"/>
      <w:sz w:val="20"/>
      <w:szCs w:val="20"/>
    </w:rPr>
  </w:style>
  <w:style w:type="table" w:styleId="MediumGrid1">
    <w:name w:val="Medium Grid 1"/>
    <w:basedOn w:val="TableNormal"/>
    <w:uiPriority w:val="67"/>
    <w:semiHidden/>
    <w:rsid w:val="007C699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C699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C699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C699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C699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C699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C699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C6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C6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C6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C6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C6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C6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C69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C699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C699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C699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C699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C699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C699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C699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C699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C699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C699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C699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C699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C699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C699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C699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C6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C6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C6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C6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C6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C6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C69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C699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C699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C699F"/>
    <w:rPr>
      <w:rFonts w:ascii="Times New Roman" w:hAnsi="Times New Roman" w:cs="Times New Roman"/>
    </w:rPr>
  </w:style>
  <w:style w:type="paragraph" w:styleId="NormalIndent">
    <w:name w:val="Normal Indent"/>
    <w:basedOn w:val="Normal"/>
    <w:uiPriority w:val="98"/>
    <w:semiHidden/>
    <w:rsid w:val="007C699F"/>
    <w:pPr>
      <w:ind w:left="720"/>
    </w:pPr>
  </w:style>
  <w:style w:type="paragraph" w:customStyle="1" w:styleId="ECHRHeaderLandscape">
    <w:name w:val="ECHR_Header_Landscape"/>
    <w:aliases w:val="_Header_Landscape"/>
    <w:basedOn w:val="JuHeader"/>
    <w:uiPriority w:val="29"/>
    <w:semiHidden/>
    <w:rsid w:val="007C699F"/>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C699F"/>
    <w:rPr>
      <w:sz w:val="24"/>
      <w:szCs w:val="24"/>
      <w:lang w:val="en-GB"/>
    </w:rPr>
  </w:style>
  <w:style w:type="paragraph" w:styleId="PlainText">
    <w:name w:val="Plain Text"/>
    <w:basedOn w:val="Normal"/>
    <w:link w:val="PlainTextChar"/>
    <w:uiPriority w:val="98"/>
    <w:semiHidden/>
    <w:rsid w:val="007C699F"/>
    <w:rPr>
      <w:rFonts w:ascii="Consolas" w:hAnsi="Consolas" w:cs="Consolas"/>
      <w:sz w:val="21"/>
      <w:szCs w:val="21"/>
    </w:rPr>
  </w:style>
  <w:style w:type="character" w:customStyle="1" w:styleId="PlainTextChar">
    <w:name w:val="Plain Text Char"/>
    <w:basedOn w:val="DefaultParagraphFont"/>
    <w:link w:val="PlainText"/>
    <w:uiPriority w:val="98"/>
    <w:semiHidden/>
    <w:rsid w:val="007C699F"/>
    <w:rPr>
      <w:rFonts w:ascii="Consolas" w:hAnsi="Consolas" w:cs="Consolas"/>
      <w:sz w:val="21"/>
      <w:szCs w:val="21"/>
      <w:lang w:val="en-GB"/>
    </w:rPr>
  </w:style>
  <w:style w:type="paragraph" w:styleId="Salutation">
    <w:name w:val="Salutation"/>
    <w:basedOn w:val="Normal"/>
    <w:next w:val="Normal"/>
    <w:link w:val="SalutationChar"/>
    <w:uiPriority w:val="98"/>
    <w:semiHidden/>
    <w:rsid w:val="007C699F"/>
  </w:style>
  <w:style w:type="character" w:customStyle="1" w:styleId="SalutationChar">
    <w:name w:val="Salutation Char"/>
    <w:basedOn w:val="DefaultParagraphFont"/>
    <w:link w:val="Salutation"/>
    <w:uiPriority w:val="98"/>
    <w:semiHidden/>
    <w:rsid w:val="007C699F"/>
    <w:rPr>
      <w:sz w:val="24"/>
      <w:szCs w:val="24"/>
      <w:lang w:val="en-GB"/>
    </w:rPr>
  </w:style>
  <w:style w:type="paragraph" w:styleId="Signature0">
    <w:name w:val="Signature"/>
    <w:basedOn w:val="Normal"/>
    <w:link w:val="SignatureChar"/>
    <w:uiPriority w:val="98"/>
    <w:semiHidden/>
    <w:rsid w:val="007C699F"/>
    <w:pPr>
      <w:ind w:left="4252"/>
    </w:pPr>
  </w:style>
  <w:style w:type="character" w:customStyle="1" w:styleId="SignatureChar">
    <w:name w:val="Signature Char"/>
    <w:basedOn w:val="DefaultParagraphFont"/>
    <w:link w:val="Signature0"/>
    <w:uiPriority w:val="98"/>
    <w:semiHidden/>
    <w:rsid w:val="007C699F"/>
    <w:rPr>
      <w:sz w:val="24"/>
      <w:szCs w:val="24"/>
      <w:lang w:val="en-GB"/>
    </w:rPr>
  </w:style>
  <w:style w:type="table" w:styleId="Table3Deffects1">
    <w:name w:val="Table 3D effects 1"/>
    <w:basedOn w:val="TableNormal"/>
    <w:uiPriority w:val="99"/>
    <w:semiHidden/>
    <w:unhideWhenUsed/>
    <w:rsid w:val="007C699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C699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C699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C699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C699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C699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C699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C699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C699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C699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C699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C699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C699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C699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C699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C699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C699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C69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C699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C699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C699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C699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C699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C699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C699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C699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C699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C699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C699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C69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C699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C699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C699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C699F"/>
    <w:pPr>
      <w:ind w:left="240" w:hanging="240"/>
    </w:pPr>
  </w:style>
  <w:style w:type="paragraph" w:styleId="TableofFigures">
    <w:name w:val="table of figures"/>
    <w:basedOn w:val="Normal"/>
    <w:next w:val="Normal"/>
    <w:uiPriority w:val="98"/>
    <w:semiHidden/>
    <w:rsid w:val="007C699F"/>
  </w:style>
  <w:style w:type="table" w:styleId="TableProfessional">
    <w:name w:val="Table Professional"/>
    <w:basedOn w:val="TableNormal"/>
    <w:uiPriority w:val="99"/>
    <w:semiHidden/>
    <w:unhideWhenUsed/>
    <w:rsid w:val="007C69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C699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C699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C699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C699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C699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C699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C699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C699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C699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C699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C699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C699F"/>
    <w:pPr>
      <w:spacing w:after="100"/>
      <w:ind w:left="1680"/>
    </w:pPr>
  </w:style>
  <w:style w:type="paragraph" w:styleId="TOC9">
    <w:name w:val="toc 9"/>
    <w:basedOn w:val="Normal"/>
    <w:next w:val="Normal"/>
    <w:autoRedefine/>
    <w:uiPriority w:val="98"/>
    <w:semiHidden/>
    <w:rsid w:val="007C699F"/>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C699F"/>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C699F"/>
    <w:rPr>
      <w:color w:val="0072BC" w:themeColor="hyperlink"/>
      <w:u w:val="single"/>
    </w:rPr>
  </w:style>
  <w:style w:type="paragraph" w:styleId="NoteHeading">
    <w:name w:val="Note Heading"/>
    <w:basedOn w:val="Normal"/>
    <w:next w:val="Normal"/>
    <w:link w:val="NoteHeadingChar"/>
    <w:uiPriority w:val="98"/>
    <w:semiHidden/>
    <w:rsid w:val="007C699F"/>
  </w:style>
  <w:style w:type="paragraph" w:customStyle="1" w:styleId="DecList">
    <w:name w:val="Dec_List"/>
    <w:aliases w:val="_List"/>
    <w:basedOn w:val="JuList"/>
    <w:uiPriority w:val="22"/>
    <w:rsid w:val="007C699F"/>
    <w:pPr>
      <w:numPr>
        <w:numId w:val="0"/>
      </w:numPr>
      <w:ind w:left="284"/>
    </w:pPr>
  </w:style>
  <w:style w:type="paragraph" w:customStyle="1" w:styleId="ECHRPlaceholder">
    <w:name w:val="ECHR_Placeholder"/>
    <w:aliases w:val="_Placeholder"/>
    <w:basedOn w:val="JuSigned"/>
    <w:uiPriority w:val="31"/>
    <w:rsid w:val="007C699F"/>
    <w:rPr>
      <w:color w:val="FFFFFF"/>
    </w:rPr>
  </w:style>
  <w:style w:type="paragraph" w:customStyle="1" w:styleId="ECHRBullet1">
    <w:name w:val="ECHR_Bullet_1"/>
    <w:aliases w:val="_Bul_1"/>
    <w:basedOn w:val="NormalJustified"/>
    <w:uiPriority w:val="23"/>
    <w:semiHidden/>
    <w:qFormat/>
    <w:rsid w:val="007C699F"/>
    <w:pPr>
      <w:numPr>
        <w:numId w:val="75"/>
      </w:numPr>
      <w:spacing w:before="60" w:after="60"/>
    </w:pPr>
  </w:style>
  <w:style w:type="paragraph" w:customStyle="1" w:styleId="ECHRBullet2">
    <w:name w:val="ECHR_Bullet_2"/>
    <w:aliases w:val="_Bul_2"/>
    <w:basedOn w:val="ECHRBullet1"/>
    <w:uiPriority w:val="23"/>
    <w:semiHidden/>
    <w:rsid w:val="007C699F"/>
    <w:pPr>
      <w:numPr>
        <w:ilvl w:val="1"/>
      </w:numPr>
    </w:pPr>
  </w:style>
  <w:style w:type="paragraph" w:customStyle="1" w:styleId="ECHRBullet3">
    <w:name w:val="ECHR_Bullet_3"/>
    <w:aliases w:val="_Bul_3"/>
    <w:basedOn w:val="ECHRBullet2"/>
    <w:uiPriority w:val="23"/>
    <w:semiHidden/>
    <w:rsid w:val="007C699F"/>
    <w:pPr>
      <w:numPr>
        <w:ilvl w:val="2"/>
      </w:numPr>
    </w:pPr>
  </w:style>
  <w:style w:type="paragraph" w:customStyle="1" w:styleId="ECHRBullet4">
    <w:name w:val="ECHR_Bullet_4"/>
    <w:aliases w:val="_Bul_4"/>
    <w:basedOn w:val="ECHRBullet3"/>
    <w:uiPriority w:val="23"/>
    <w:semiHidden/>
    <w:rsid w:val="007C699F"/>
    <w:pPr>
      <w:numPr>
        <w:ilvl w:val="3"/>
      </w:numPr>
    </w:pPr>
  </w:style>
  <w:style w:type="paragraph" w:customStyle="1" w:styleId="ECHRConfidential">
    <w:name w:val="ECHR_Confidential"/>
    <w:aliases w:val="_Confidential"/>
    <w:basedOn w:val="Normal"/>
    <w:next w:val="Normal"/>
    <w:uiPriority w:val="42"/>
    <w:semiHidden/>
    <w:qFormat/>
    <w:rsid w:val="007C699F"/>
    <w:pPr>
      <w:jc w:val="right"/>
    </w:pPr>
    <w:rPr>
      <w:color w:val="C00000"/>
      <w:sz w:val="20"/>
    </w:rPr>
  </w:style>
  <w:style w:type="paragraph" w:customStyle="1" w:styleId="ECHRDecisionBody">
    <w:name w:val="ECHR_Decision_Body"/>
    <w:aliases w:val="_Decision_Body"/>
    <w:basedOn w:val="NormalJustified"/>
    <w:uiPriority w:val="54"/>
    <w:semiHidden/>
    <w:rsid w:val="007C699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C699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C699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C699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C699F"/>
    <w:pPr>
      <w:jc w:val="right"/>
    </w:pPr>
    <w:rPr>
      <w:sz w:val="20"/>
    </w:rPr>
  </w:style>
  <w:style w:type="paragraph" w:customStyle="1" w:styleId="ECHRHeaderRefIt">
    <w:name w:val="ECHR_Header_Ref_It"/>
    <w:aliases w:val="_Ref_Ital"/>
    <w:basedOn w:val="Normal"/>
    <w:next w:val="ECHRHeaderDate"/>
    <w:uiPriority w:val="43"/>
    <w:semiHidden/>
    <w:qFormat/>
    <w:rsid w:val="007C699F"/>
    <w:pPr>
      <w:jc w:val="right"/>
    </w:pPr>
    <w:rPr>
      <w:i/>
      <w:sz w:val="20"/>
    </w:rPr>
  </w:style>
  <w:style w:type="paragraph" w:customStyle="1" w:styleId="ECHRHeading9">
    <w:name w:val="ECHR_Heading_9"/>
    <w:aliases w:val="_Head_9"/>
    <w:basedOn w:val="Heading9"/>
    <w:uiPriority w:val="17"/>
    <w:semiHidden/>
    <w:rsid w:val="007C699F"/>
    <w:pPr>
      <w:keepNext/>
      <w:keepLines/>
      <w:numPr>
        <w:ilvl w:val="8"/>
        <w:numId w:val="8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C699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C699F"/>
    <w:pPr>
      <w:numPr>
        <w:numId w:val="79"/>
      </w:numPr>
      <w:spacing w:before="60" w:after="60"/>
    </w:pPr>
  </w:style>
  <w:style w:type="paragraph" w:customStyle="1" w:styleId="ECHRNumberedList2">
    <w:name w:val="ECHR_Numbered_List_2"/>
    <w:aliases w:val="_Num_2"/>
    <w:basedOn w:val="ECHRNumberedList1"/>
    <w:uiPriority w:val="23"/>
    <w:semiHidden/>
    <w:rsid w:val="007C699F"/>
    <w:pPr>
      <w:numPr>
        <w:ilvl w:val="1"/>
      </w:numPr>
    </w:pPr>
  </w:style>
  <w:style w:type="paragraph" w:customStyle="1" w:styleId="ECHRNumberedList3">
    <w:name w:val="ECHR_Numbered_List_3"/>
    <w:aliases w:val="_Num_3"/>
    <w:basedOn w:val="ECHRNumberedList2"/>
    <w:uiPriority w:val="23"/>
    <w:semiHidden/>
    <w:rsid w:val="007C699F"/>
    <w:pPr>
      <w:numPr>
        <w:ilvl w:val="2"/>
      </w:numPr>
    </w:pPr>
  </w:style>
  <w:style w:type="paragraph" w:customStyle="1" w:styleId="ECHRParaHanging">
    <w:name w:val="ECHR_Para_Hanging"/>
    <w:aliases w:val="_Hanging"/>
    <w:basedOn w:val="NormalJustified"/>
    <w:uiPriority w:val="8"/>
    <w:semiHidden/>
    <w:qFormat/>
    <w:rsid w:val="007C699F"/>
    <w:pPr>
      <w:ind w:left="567" w:hanging="567"/>
    </w:pPr>
  </w:style>
  <w:style w:type="paragraph" w:customStyle="1" w:styleId="ECHRParaIndent">
    <w:name w:val="ECHR_Para_Indent"/>
    <w:aliases w:val="_Indent"/>
    <w:basedOn w:val="NormalJustified"/>
    <w:uiPriority w:val="7"/>
    <w:semiHidden/>
    <w:qFormat/>
    <w:rsid w:val="007C699F"/>
    <w:pPr>
      <w:spacing w:before="120" w:after="120"/>
      <w:ind w:left="284"/>
    </w:pPr>
  </w:style>
  <w:style w:type="character" w:customStyle="1" w:styleId="ECHRRed">
    <w:name w:val="ECHR_Red"/>
    <w:aliases w:val="_Red"/>
    <w:basedOn w:val="DefaultParagraphFont"/>
    <w:uiPriority w:val="15"/>
    <w:semiHidden/>
    <w:qFormat/>
    <w:rsid w:val="007C699F"/>
    <w:rPr>
      <w:color w:val="C00000" w:themeColor="accent2"/>
    </w:rPr>
  </w:style>
  <w:style w:type="paragraph" w:customStyle="1" w:styleId="ECHRSpacer">
    <w:name w:val="ECHR_Spacer"/>
    <w:aliases w:val="_Spacer"/>
    <w:basedOn w:val="Normal"/>
    <w:uiPriority w:val="45"/>
    <w:semiHidden/>
    <w:rsid w:val="007C699F"/>
    <w:rPr>
      <w:sz w:val="4"/>
    </w:rPr>
  </w:style>
  <w:style w:type="table" w:customStyle="1" w:styleId="ECHRTable2">
    <w:name w:val="ECHR_Table_2"/>
    <w:basedOn w:val="TableNormal"/>
    <w:uiPriority w:val="99"/>
    <w:rsid w:val="007C699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C699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C699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C699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C699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C699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C699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C699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C699F"/>
    <w:pPr>
      <w:outlineLvl w:val="0"/>
    </w:pPr>
  </w:style>
  <w:style w:type="paragraph" w:customStyle="1" w:styleId="ECHRTitleTOC1">
    <w:name w:val="ECHR_Title_TOC_1"/>
    <w:aliases w:val="_Title_L_TOC"/>
    <w:basedOn w:val="ECHRTitle1"/>
    <w:next w:val="Normal"/>
    <w:uiPriority w:val="27"/>
    <w:semiHidden/>
    <w:qFormat/>
    <w:rsid w:val="007C699F"/>
    <w:pPr>
      <w:outlineLvl w:val="0"/>
    </w:pPr>
  </w:style>
  <w:style w:type="table" w:customStyle="1" w:styleId="ECHRTableGrey">
    <w:name w:val="ECHR_Table_Grey"/>
    <w:basedOn w:val="TableNormal"/>
    <w:uiPriority w:val="99"/>
    <w:rsid w:val="007C699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7C699F"/>
    <w:rPr>
      <w:color w:val="605E5C"/>
      <w:shd w:val="clear" w:color="auto" w:fill="E1DFDD"/>
    </w:rPr>
  </w:style>
  <w:style w:type="character" w:customStyle="1" w:styleId="JuListChar">
    <w:name w:val="Ju_List Char"/>
    <w:basedOn w:val="DefaultParagraphFont"/>
    <w:link w:val="JuList"/>
    <w:uiPriority w:val="23"/>
    <w:locked/>
    <w:rsid w:val="002D74A6"/>
    <w:rPr>
      <w:sz w:val="24"/>
      <w:szCs w:val="24"/>
      <w:lang w:val="en-GB"/>
    </w:rPr>
  </w:style>
  <w:style w:type="table" w:styleId="GridTable1Light">
    <w:name w:val="Grid Table 1 Light"/>
    <w:basedOn w:val="TableNormal"/>
    <w:uiPriority w:val="46"/>
    <w:semiHidden/>
    <w:rsid w:val="007C69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C699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C699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C699F"/>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C699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C699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C699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C69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C699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C699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C699F"/>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C699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C699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C699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C69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C699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C699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C699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C699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C699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C699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C69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C699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C699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C699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C699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C699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C699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C69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C69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C69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C69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C69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C69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C69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C699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C699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C699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C699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C699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C699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C699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C699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C699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C699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C699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C699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C699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C699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7C699F"/>
    <w:rPr>
      <w:color w:val="2B579A"/>
      <w:shd w:val="clear" w:color="auto" w:fill="E1DFDD"/>
    </w:rPr>
  </w:style>
  <w:style w:type="table" w:styleId="ListTable1Light">
    <w:name w:val="List Table 1 Light"/>
    <w:basedOn w:val="TableNormal"/>
    <w:uiPriority w:val="46"/>
    <w:semiHidden/>
    <w:rsid w:val="007C69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C699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C699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C699F"/>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C699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C699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C699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C69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C699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C699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C699F"/>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C699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C699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C699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C69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C699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C699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C699F"/>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C699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C699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C699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C69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C699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C699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C699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C699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C699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C699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C69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C699F"/>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C699F"/>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C699F"/>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C699F"/>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C699F"/>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C699F"/>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C699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C699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C699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C699F"/>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C699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C699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C699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C699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C699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C699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C699F"/>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C699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C699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C699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7C699F"/>
    <w:rPr>
      <w:color w:val="2B579A"/>
      <w:shd w:val="clear" w:color="auto" w:fill="E1DFDD"/>
    </w:rPr>
  </w:style>
  <w:style w:type="table" w:styleId="PlainTable1">
    <w:name w:val="Plain Table 1"/>
    <w:basedOn w:val="TableNormal"/>
    <w:uiPriority w:val="41"/>
    <w:semiHidden/>
    <w:rsid w:val="007C69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C699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C69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C69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C69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7C699F"/>
    <w:rPr>
      <w:u w:val="dotted"/>
    </w:rPr>
  </w:style>
  <w:style w:type="character" w:styleId="SmartLink">
    <w:name w:val="Smart Link"/>
    <w:basedOn w:val="DefaultParagraphFont"/>
    <w:uiPriority w:val="99"/>
    <w:semiHidden/>
    <w:unhideWhenUsed/>
    <w:rsid w:val="007C699F"/>
    <w:rPr>
      <w:color w:val="0000FF"/>
      <w:u w:val="single"/>
      <w:shd w:val="clear" w:color="auto" w:fill="F3F2F1"/>
    </w:rPr>
  </w:style>
  <w:style w:type="table" w:styleId="GridTableLight">
    <w:name w:val="Grid Table Light"/>
    <w:basedOn w:val="TableNormal"/>
    <w:uiPriority w:val="40"/>
    <w:semiHidden/>
    <w:rsid w:val="007C699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1258</Words>
  <Characters>6770</Characters>
  <Application>Microsoft Office Word</Application>
  <DocSecurity>0</DocSecurity>
  <Lines>205</Lines>
  <Paragraphs>91</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2025-05-20T12:16:00Z</dcterms:created>
  <dcterms:modified xsi:type="dcterms:W3CDTF">2025-05-20T12:18:00Z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2026753</vt:lpwstr>
  </property>
  <property fmtid="{D5CDD505-2E9C-101B-9397-08002B2CF9AE}" pid="3" name="cstLanguage">
    <vt:i4>2057</vt:i4>
  </property>
  <property fmtid="{D5CDD505-2E9C-101B-9397-08002B2CF9AE}" pid="4" name="RegisteredNo">
    <vt:lpwstr>24315/24</vt:lpwstr>
  </property>
</Properties>
</file>