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B22A8" w:rsidR="0098410D" w:rsidP="008B22A8" w14:paraId="798842B4" w14:textId="77777777">
      <w:pPr>
        <w:jc w:val="center"/>
      </w:pPr>
    </w:p>
    <w:p w:rsidRPr="008B22A8" w:rsidR="0098410D" w:rsidP="008B22A8" w14:paraId="7B73DEAF" w14:textId="20865DCE">
      <w:pPr>
        <w:pStyle w:val="DecHTitle"/>
        <w:keepNext w:val="0"/>
        <w:keepLines w:val="0"/>
      </w:pPr>
      <w:r w:rsidRPr="008B22A8">
        <w:t>THIRD SECTION</w:t>
      </w:r>
    </w:p>
    <w:p w:rsidRPr="008B22A8" w:rsidR="008E6217" w:rsidP="00274FAD" w14:paraId="2732E3F9" w14:textId="14335609">
      <w:pPr>
        <w:pStyle w:val="JuTitle"/>
        <w:keepNext w:val="0"/>
        <w:keepLines w:val="0"/>
        <w:spacing w:before="840"/>
      </w:pPr>
      <w:r w:rsidRPr="008B22A8">
        <w:t xml:space="preserve">CASE OF </w:t>
      </w:r>
      <w:r w:rsidRPr="008B22A8" w:rsidR="00F404AC">
        <w:t>BAYRAMOV v. AZERBAIJAN</w:t>
      </w:r>
    </w:p>
    <w:p w:rsidRPr="008B22A8" w:rsidR="00D74888" w:rsidP="008B22A8" w14:paraId="23DF34DF" w14:textId="5DC58F6E">
      <w:pPr>
        <w:pStyle w:val="ECHRCoverTitle4"/>
        <w:keepNext w:val="0"/>
        <w:keepLines w:val="0"/>
      </w:pPr>
      <w:r w:rsidRPr="008B22A8">
        <w:t>(</w:t>
      </w:r>
      <w:r w:rsidRPr="008B22A8" w:rsidR="00F404AC">
        <w:t>Application no.</w:t>
      </w:r>
      <w:r w:rsidRPr="008B22A8">
        <w:t xml:space="preserve"> </w:t>
      </w:r>
      <w:r w:rsidRPr="008B22A8" w:rsidR="00F404AC">
        <w:t>45735/21</w:t>
      </w:r>
      <w:r w:rsidRPr="008B22A8">
        <w:t>)</w:t>
      </w:r>
    </w:p>
    <w:p w:rsidRPr="008B22A8" w:rsidR="0098410D" w:rsidP="008B22A8" w14:paraId="44FC07BC" w14:textId="77777777">
      <w:pPr>
        <w:pStyle w:val="DecHCase"/>
        <w:keepNext w:val="0"/>
        <w:keepLines w:val="0"/>
      </w:pPr>
    </w:p>
    <w:p w:rsidRPr="008B22A8" w:rsidR="0098410D" w:rsidP="008B22A8" w14:paraId="066A65A5" w14:textId="77777777">
      <w:pPr>
        <w:pStyle w:val="DecHCase"/>
        <w:keepNext w:val="0"/>
        <w:keepLines w:val="0"/>
      </w:pPr>
    </w:p>
    <w:p w:rsidR="0098410D" w:rsidP="008B22A8" w14:paraId="3ACA2D8E" w14:textId="58ED28F0">
      <w:pPr>
        <w:pStyle w:val="DecHCase"/>
        <w:keepNext w:val="0"/>
        <w:keepLines w:val="0"/>
      </w:pPr>
      <w:r w:rsidRPr="008B22A8">
        <w:t>JUDGMENT</w:t>
      </w:r>
    </w:p>
    <w:p w:rsidRPr="00274FAD" w:rsidR="00274FAD" w:rsidP="00274FAD" w14:paraId="4E847EA5" w14:textId="77777777">
      <w:pPr>
        <w:pStyle w:val="JuPara"/>
      </w:pPr>
    </w:p>
    <w:p w:rsidRPr="008B22A8" w:rsidR="007D7B8A" w:rsidP="008B22A8" w14:paraId="44507D59" w14:textId="09BAA0AE">
      <w:pPr>
        <w:pBdr>
          <w:top w:val="single" w:color="auto" w:sz="4" w:space="1"/>
          <w:left w:val="single" w:color="auto" w:sz="4" w:space="4"/>
          <w:bottom w:val="single" w:color="auto" w:sz="4" w:space="1"/>
          <w:right w:val="single" w:color="auto" w:sz="4" w:space="4"/>
        </w:pBdr>
        <w:jc w:val="both"/>
      </w:pPr>
      <w:r w:rsidRPr="008B22A8">
        <w:t>Art 8 • Positive obligations • Private life • Domestic courts</w:t>
      </w:r>
      <w:r w:rsidRPr="008B22A8" w:rsidR="008B22A8">
        <w:t>’</w:t>
      </w:r>
      <w:r w:rsidRPr="008B22A8">
        <w:t xml:space="preserve"> failure to provide adequate reasoning when dismissing a lawyer</w:t>
      </w:r>
      <w:r w:rsidRPr="008B22A8" w:rsidR="008B22A8">
        <w:t>’</w:t>
      </w:r>
      <w:r w:rsidRPr="008B22A8">
        <w:t xml:space="preserve">s complaint in his civil action against the police for allegedly unlawfully filming him during a traffic stop incident for alleged drinking-driving and later publishing the </w:t>
      </w:r>
      <w:r w:rsidRPr="008B22A8">
        <w:t>footage</w:t>
      </w:r>
    </w:p>
    <w:p w:rsidRPr="008B22A8" w:rsidR="007D7B8A" w:rsidP="008B22A8" w14:paraId="3C4A3868" w14:textId="77777777">
      <w:pPr>
        <w:pBdr>
          <w:top w:val="single" w:color="auto" w:sz="4" w:space="1"/>
          <w:left w:val="single" w:color="auto" w:sz="4" w:space="4"/>
          <w:bottom w:val="single" w:color="auto" w:sz="4" w:space="1"/>
          <w:right w:val="single" w:color="auto" w:sz="4" w:space="4"/>
        </w:pBdr>
        <w:jc w:val="center"/>
        <w:rPr>
          <w:sz w:val="20"/>
          <w:szCs w:val="20"/>
        </w:rPr>
      </w:pPr>
    </w:p>
    <w:p w:rsidRPr="008B22A8" w:rsidR="007D7B8A" w:rsidP="008B22A8" w14:paraId="6625952B" w14:textId="0508B705">
      <w:pPr>
        <w:pBdr>
          <w:top w:val="single" w:color="auto" w:sz="4" w:space="1"/>
          <w:left w:val="single" w:color="auto" w:sz="4" w:space="4"/>
          <w:bottom w:val="single" w:color="auto" w:sz="4" w:space="1"/>
          <w:right w:val="single" w:color="auto" w:sz="4" w:space="4"/>
        </w:pBdr>
        <w:jc w:val="center"/>
        <w:rPr>
          <w:sz w:val="20"/>
          <w:szCs w:val="20"/>
        </w:rPr>
      </w:pPr>
      <w:r w:rsidRPr="008B22A8">
        <w:rPr>
          <w:sz w:val="20"/>
          <w:szCs w:val="20"/>
        </w:rPr>
        <w:t>Prepared by the Registry. Does not bind the Court.</w:t>
      </w:r>
    </w:p>
    <w:p w:rsidRPr="008B22A8" w:rsidR="007D7B8A" w:rsidP="008B22A8" w14:paraId="26D379F2" w14:textId="77777777">
      <w:pPr>
        <w:pStyle w:val="DecHCase"/>
        <w:keepNext w:val="0"/>
        <w:keepLines w:val="0"/>
      </w:pPr>
    </w:p>
    <w:p w:rsidRPr="008B22A8" w:rsidR="0098410D" w:rsidP="008B22A8" w14:paraId="7942666A" w14:textId="5EE5895C">
      <w:pPr>
        <w:pStyle w:val="DecHCase"/>
        <w:keepNext w:val="0"/>
        <w:keepLines w:val="0"/>
      </w:pPr>
      <w:r w:rsidRPr="008B22A8">
        <w:t>STRASBOURG</w:t>
      </w:r>
    </w:p>
    <w:p w:rsidRPr="008B22A8" w:rsidR="0098410D" w:rsidP="008B22A8" w14:paraId="035FFBCE" w14:textId="0C979913">
      <w:pPr>
        <w:pStyle w:val="DecHCase"/>
        <w:keepNext w:val="0"/>
        <w:keepLines w:val="0"/>
      </w:pPr>
      <w:r w:rsidRPr="008B22A8">
        <w:rPr>
          <w:rFonts w:ascii="Times New Roman" w:hAnsi="Times New Roman" w:cs="Times New Roman"/>
        </w:rPr>
        <w:t>6 May 202</w:t>
      </w:r>
      <w:r w:rsidRPr="008B22A8" w:rsidR="00D1629F">
        <w:rPr>
          <w:rFonts w:ascii="Times New Roman" w:hAnsi="Times New Roman" w:cs="Times New Roman"/>
        </w:rPr>
        <w:t>5</w:t>
      </w:r>
    </w:p>
    <w:p w:rsidRPr="008B22A8" w:rsidR="00AC4CD4" w:rsidP="008B22A8" w14:paraId="144BB4BA" w14:textId="77777777">
      <w:pPr>
        <w:pStyle w:val="JuPara"/>
      </w:pPr>
    </w:p>
    <w:p w:rsidR="00274FAD" w:rsidP="00274FAD" w14:paraId="32342C63" w14:textId="77777777">
      <w:pPr>
        <w:pStyle w:val="jucase0"/>
        <w:ind w:firstLine="0"/>
        <w:jc w:val="center"/>
        <w:rPr>
          <w:color w:val="FF0000"/>
          <w:sz w:val="28"/>
          <w:szCs w:val="28"/>
          <w:u w:val="single"/>
        </w:rPr>
      </w:pPr>
      <w:bookmarkStart w:name="_Hlk195278602" w:id="0"/>
      <w:bookmarkStart w:name="_Hlk195279162" w:id="1"/>
      <w:bookmarkStart w:name="_Hlk59706592" w:id="2"/>
      <w:bookmarkStart w:name="_Hlk59704667" w:id="3"/>
      <w:r w:rsidRPr="00261F46">
        <w:rPr>
          <w:color w:val="FF0000"/>
          <w:sz w:val="28"/>
          <w:szCs w:val="28"/>
          <w:u w:val="single"/>
        </w:rPr>
        <w:t>FINAL</w:t>
      </w:r>
    </w:p>
    <w:p w:rsidRPr="00D04090" w:rsidR="00274FAD" w:rsidP="00274FAD" w14:paraId="1697AA4F" w14:textId="77777777">
      <w:pPr>
        <w:pStyle w:val="jucase0"/>
        <w:ind w:firstLine="0"/>
        <w:jc w:val="center"/>
        <w:rPr>
          <w:b w:val="0"/>
          <w:bCs w:val="0"/>
          <w:color w:val="FF0000"/>
          <w:u w:val="single"/>
        </w:rPr>
      </w:pPr>
    </w:p>
    <w:p w:rsidRPr="00A85E0C" w:rsidR="00274FAD" w:rsidP="00274FAD" w14:paraId="536D5218" w14:textId="77777777">
      <w:pPr>
        <w:pStyle w:val="jucase0"/>
        <w:ind w:firstLine="0"/>
        <w:jc w:val="center"/>
        <w:rPr>
          <w:b w:val="0"/>
          <w:color w:val="FF0000"/>
          <w:sz w:val="28"/>
          <w:szCs w:val="28"/>
        </w:rPr>
      </w:pPr>
      <w:r>
        <w:rPr>
          <w:b w:val="0"/>
          <w:color w:val="FF0000"/>
          <w:sz w:val="28"/>
          <w:szCs w:val="28"/>
        </w:rPr>
        <w:t>06/08/2025</w:t>
      </w:r>
    </w:p>
    <w:bookmarkEnd w:id="0"/>
    <w:p w:rsidR="00274FAD" w:rsidP="00274FAD" w14:paraId="23F341CE" w14:textId="77777777">
      <w:pPr>
        <w:pStyle w:val="jupara0"/>
        <w:ind w:firstLine="0"/>
        <w:jc w:val="center"/>
      </w:pPr>
    </w:p>
    <w:p w:rsidRPr="00261F46" w:rsidR="00274FAD" w:rsidP="00274FAD" w14:paraId="3E7A244D" w14:textId="77777777">
      <w:pPr>
        <w:pStyle w:val="jupara0"/>
        <w:ind w:firstLine="0"/>
        <w:jc w:val="center"/>
      </w:pPr>
    </w:p>
    <w:p w:rsidRPr="00261F46" w:rsidR="00274FAD" w:rsidP="00274FAD" w14:paraId="46304291"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1"/>
      <w:r w:rsidRPr="00261F46">
        <w:rPr>
          <w:i/>
          <w:iCs/>
          <w:sz w:val="22"/>
          <w:szCs w:val="22"/>
        </w:rPr>
        <w:t>.</w:t>
      </w:r>
      <w:bookmarkEnd w:id="2"/>
    </w:p>
    <w:bookmarkEnd w:id="3"/>
    <w:p w:rsidRPr="008B22A8" w:rsidR="002422B6" w:rsidP="008B22A8" w14:paraId="37610176" w14:textId="7F31BD32">
      <w:pPr>
        <w:rPr>
          <w:i/>
          <w:sz w:val="22"/>
        </w:rPr>
      </w:pPr>
    </w:p>
    <w:p w:rsidRPr="008B22A8" w:rsidR="0098410D" w:rsidP="008B22A8" w14:paraId="1F81E70F"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B22A8" w:rsidR="0098410D" w:rsidP="008B22A8" w14:paraId="5589E019" w14:textId="540AAE4E">
      <w:pPr>
        <w:pStyle w:val="JuCase"/>
      </w:pPr>
      <w:r w:rsidRPr="008B22A8">
        <w:t xml:space="preserve">In the case of </w:t>
      </w:r>
      <w:r w:rsidRPr="008B22A8" w:rsidR="00F404AC">
        <w:t>Bayramov v. Azerbaijan</w:t>
      </w:r>
      <w:r w:rsidRPr="008B22A8">
        <w:t>,</w:t>
      </w:r>
    </w:p>
    <w:p w:rsidRPr="008B22A8" w:rsidR="009F4C8F" w:rsidP="008B22A8" w14:paraId="2566FB05" w14:textId="2B1F660E">
      <w:pPr>
        <w:pStyle w:val="JuPara"/>
      </w:pPr>
      <w:r w:rsidRPr="008B22A8">
        <w:t>The European Court of Human Rights (</w:t>
      </w:r>
      <w:r w:rsidRPr="008B22A8" w:rsidR="00F404AC">
        <w:t>Third Section</w:t>
      </w:r>
      <w:r w:rsidRPr="008B22A8">
        <w:t xml:space="preserve">), sitting as a </w:t>
      </w:r>
      <w:r w:rsidRPr="008B22A8" w:rsidR="00F404AC">
        <w:t>Chamber</w:t>
      </w:r>
      <w:r w:rsidRPr="008B22A8">
        <w:t xml:space="preserve"> composed of:</w:t>
      </w:r>
    </w:p>
    <w:p w:rsidRPr="008B22A8" w:rsidR="00A92625" w:rsidP="008B22A8" w14:paraId="7AB8C3C8" w14:textId="3C7CA335">
      <w:pPr>
        <w:pStyle w:val="JuJudges"/>
      </w:pPr>
      <w:r w:rsidRPr="008B22A8">
        <w:tab/>
        <w:t xml:space="preserve">Ioannis </w:t>
      </w:r>
      <w:r w:rsidRPr="008B22A8">
        <w:t>Ktistakis</w:t>
      </w:r>
      <w:r w:rsidRPr="008B22A8">
        <w:rPr>
          <w:i/>
        </w:rPr>
        <w:t>, President</w:t>
      </w:r>
      <w:r w:rsidRPr="008B22A8">
        <w:t>,</w:t>
      </w:r>
      <w:r w:rsidRPr="008B22A8">
        <w:br/>
      </w:r>
      <w:r w:rsidRPr="008B22A8">
        <w:tab/>
      </w:r>
      <w:r w:rsidRPr="008B22A8">
        <w:t>Peeter</w:t>
      </w:r>
      <w:r w:rsidRPr="008B22A8">
        <w:t xml:space="preserve"> </w:t>
      </w:r>
      <w:r w:rsidRPr="008B22A8">
        <w:t>Roosma</w:t>
      </w:r>
      <w:r w:rsidRPr="008B22A8">
        <w:t>,</w:t>
      </w:r>
      <w:r w:rsidRPr="008B22A8">
        <w:br/>
      </w:r>
      <w:r w:rsidRPr="008B22A8">
        <w:tab/>
      </w:r>
      <w:r w:rsidRPr="008B22A8">
        <w:t>Lətif</w:t>
      </w:r>
      <w:r w:rsidRPr="008B22A8">
        <w:t xml:space="preserve"> </w:t>
      </w:r>
      <w:r w:rsidRPr="008B22A8">
        <w:t>Hüseynov</w:t>
      </w:r>
      <w:r w:rsidRPr="008B22A8">
        <w:t>,</w:t>
      </w:r>
      <w:r w:rsidRPr="008B22A8">
        <w:br/>
      </w:r>
      <w:r w:rsidRPr="008B22A8">
        <w:tab/>
        <w:t>Darian Pavli,</w:t>
      </w:r>
      <w:r w:rsidRPr="008B22A8">
        <w:br/>
      </w:r>
      <w:r w:rsidRPr="008B22A8">
        <w:tab/>
      </w:r>
      <w:r w:rsidRPr="008B22A8">
        <w:t>Oddný</w:t>
      </w:r>
      <w:r w:rsidRPr="008B22A8">
        <w:t xml:space="preserve"> </w:t>
      </w:r>
      <w:r w:rsidRPr="008B22A8">
        <w:t>Mjöll</w:t>
      </w:r>
      <w:r w:rsidRPr="008B22A8">
        <w:t xml:space="preserve"> </w:t>
      </w:r>
      <w:r w:rsidRPr="008B22A8">
        <w:t>Arnardóttir</w:t>
      </w:r>
      <w:r w:rsidRPr="008B22A8">
        <w:t>,</w:t>
      </w:r>
      <w:r w:rsidRPr="008B22A8">
        <w:br/>
      </w:r>
      <w:r w:rsidRPr="008B22A8">
        <w:tab/>
      </w:r>
      <w:r w:rsidRPr="008B22A8">
        <w:t>Úna</w:t>
      </w:r>
      <w:r w:rsidRPr="008B22A8">
        <w:t xml:space="preserve"> </w:t>
      </w:r>
      <w:r w:rsidRPr="008B22A8">
        <w:t>Ní</w:t>
      </w:r>
      <w:r w:rsidRPr="008B22A8">
        <w:t xml:space="preserve"> </w:t>
      </w:r>
      <w:r w:rsidRPr="008B22A8">
        <w:t>Raifeartaigh</w:t>
      </w:r>
      <w:r w:rsidRPr="008B22A8">
        <w:t>,</w:t>
      </w:r>
      <w:r w:rsidRPr="008B22A8">
        <w:br/>
      </w:r>
      <w:r w:rsidRPr="008B22A8">
        <w:tab/>
      </w:r>
      <w:r w:rsidRPr="008B22A8">
        <w:t>Mateja</w:t>
      </w:r>
      <w:r w:rsidRPr="008B22A8">
        <w:t xml:space="preserve"> </w:t>
      </w:r>
      <w:r w:rsidRPr="008B22A8">
        <w:t>Đurović</w:t>
      </w:r>
      <w:r w:rsidRPr="008B22A8">
        <w:rPr>
          <w:i/>
        </w:rPr>
        <w:t>, judges</w:t>
      </w:r>
      <w:r w:rsidRPr="008B22A8">
        <w:t>,</w:t>
      </w:r>
      <w:r w:rsidRPr="008B22A8" w:rsidR="009F4C8F">
        <w:br/>
        <w:t>and</w:t>
      </w:r>
      <w:r w:rsidRPr="008B22A8" w:rsidR="005C2C62">
        <w:t xml:space="preserve"> </w:t>
      </w:r>
      <w:r w:rsidRPr="008B22A8" w:rsidR="00F404AC">
        <w:t xml:space="preserve">Milan </w:t>
      </w:r>
      <w:r w:rsidRPr="008B22A8" w:rsidR="00F404AC">
        <w:t>Blaško</w:t>
      </w:r>
      <w:r w:rsidRPr="008B22A8">
        <w:t xml:space="preserve">, </w:t>
      </w:r>
      <w:r w:rsidRPr="008B22A8" w:rsidR="00E744E0">
        <w:rPr>
          <w:i/>
        </w:rPr>
        <w:t xml:space="preserve">Section </w:t>
      </w:r>
      <w:r w:rsidRPr="008B22A8" w:rsidR="00E744E0">
        <w:rPr>
          <w:i/>
          <w:iCs/>
        </w:rPr>
        <w:t>Registrar</w:t>
      </w:r>
      <w:r w:rsidRPr="008B22A8" w:rsidR="008F2465">
        <w:rPr>
          <w:i/>
        </w:rPr>
        <w:t>,</w:t>
      </w:r>
    </w:p>
    <w:p w:rsidRPr="008B22A8" w:rsidR="00F404AC" w:rsidP="008B22A8" w14:paraId="1D3BCF1D" w14:textId="77777777">
      <w:pPr>
        <w:pStyle w:val="JuPara"/>
      </w:pPr>
      <w:r w:rsidRPr="008B22A8">
        <w:t>Having regard to:</w:t>
      </w:r>
    </w:p>
    <w:p w:rsidRPr="008B22A8" w:rsidR="00F404AC" w:rsidP="008B22A8" w14:paraId="1A853DF7" w14:textId="77777777">
      <w:pPr>
        <w:pStyle w:val="JuPara"/>
      </w:pPr>
      <w:r w:rsidRPr="008B22A8">
        <w:t xml:space="preserve">the application (no. 45735/21) against the Republic of Azerbaijan lodged with the Court under Article 34 of the Convention for the Protection of Human Rights and Fundamental Freedoms (“the Convention”) by an Azerbaijani national, Mr </w:t>
      </w:r>
      <w:r w:rsidRPr="008B22A8">
        <w:t>Bahruz</w:t>
      </w:r>
      <w:r w:rsidRPr="008B22A8">
        <w:t xml:space="preserve"> Front </w:t>
      </w:r>
      <w:r w:rsidRPr="008B22A8">
        <w:t>oglu</w:t>
      </w:r>
      <w:r w:rsidRPr="008B22A8">
        <w:t xml:space="preserve"> Bayramov (</w:t>
      </w:r>
      <w:r w:rsidRPr="008B22A8">
        <w:rPr>
          <w:i/>
          <w:iCs/>
          <w:lang w:val="az-Latn-AZ"/>
        </w:rPr>
        <w:t xml:space="preserve">Bəhruz </w:t>
      </w:r>
      <w:r w:rsidRPr="008B22A8">
        <w:rPr>
          <w:i/>
          <w:iCs/>
          <w:lang w:val="az-Latn-AZ"/>
        </w:rPr>
        <w:t>Front</w:t>
      </w:r>
      <w:r w:rsidRPr="008B22A8">
        <w:rPr>
          <w:i/>
          <w:iCs/>
          <w:lang w:val="az-Latn-AZ"/>
        </w:rPr>
        <w:t xml:space="preserve"> oğlu Bayramov – </w:t>
      </w:r>
      <w:r w:rsidRPr="008B22A8">
        <w:t xml:space="preserve">“the applicant”), on 4 September </w:t>
      </w:r>
      <w:r w:rsidRPr="008B22A8">
        <w:t>2021;</w:t>
      </w:r>
    </w:p>
    <w:p w:rsidRPr="008B22A8" w:rsidR="00F404AC" w:rsidP="008B22A8" w14:paraId="04A6E994" w14:textId="77777777">
      <w:pPr>
        <w:pStyle w:val="JuPara"/>
      </w:pPr>
      <w:r w:rsidRPr="008B22A8">
        <w:t xml:space="preserve">the decision to give notice to the Azerbaijani Government (“the Government”) of the complaints under Articles 6 and 8 of the Convention and to declare the remainder of the application </w:t>
      </w:r>
      <w:r w:rsidRPr="008B22A8">
        <w:t>inadmissible;</w:t>
      </w:r>
    </w:p>
    <w:p w:rsidRPr="008B22A8" w:rsidR="00F404AC" w:rsidP="008B22A8" w14:paraId="125B72C3" w14:textId="5104B8FF">
      <w:pPr>
        <w:pStyle w:val="JuPara"/>
      </w:pPr>
      <w:r w:rsidRPr="008B22A8">
        <w:t>the parties</w:t>
      </w:r>
      <w:r w:rsidRPr="008B22A8" w:rsidR="008B22A8">
        <w:t>’</w:t>
      </w:r>
      <w:r w:rsidRPr="008B22A8">
        <w:t xml:space="preserve"> </w:t>
      </w:r>
      <w:r w:rsidRPr="008B22A8">
        <w:t>observations;</w:t>
      </w:r>
    </w:p>
    <w:p w:rsidRPr="008B22A8" w:rsidR="009F4C8F" w:rsidP="008B22A8" w14:paraId="594E6BD2" w14:textId="5DD66EA2">
      <w:pPr>
        <w:pStyle w:val="JuPara"/>
      </w:pPr>
      <w:r w:rsidRPr="008B22A8">
        <w:t xml:space="preserve">Having deliberated in private on </w:t>
      </w:r>
      <w:r w:rsidRPr="008B22A8" w:rsidR="00F404AC">
        <w:t>1 April 2025</w:t>
      </w:r>
      <w:r w:rsidRPr="008B22A8">
        <w:t>,</w:t>
      </w:r>
    </w:p>
    <w:p w:rsidRPr="008B22A8" w:rsidR="009F4C8F" w:rsidP="008B22A8" w14:paraId="308B2DFB" w14:textId="77777777">
      <w:pPr>
        <w:pStyle w:val="JuPara"/>
      </w:pPr>
      <w:r w:rsidRPr="008B22A8">
        <w:t>Delivers the following judgment, which was adopted on that date:</w:t>
      </w:r>
    </w:p>
    <w:p w:rsidRPr="008B22A8" w:rsidR="00F404AC" w:rsidP="008B22A8" w14:paraId="666FD617" w14:textId="77777777">
      <w:pPr>
        <w:pStyle w:val="JuHHead"/>
        <w:numPr>
          <w:ilvl w:val="0"/>
          <w:numId w:val="0"/>
        </w:numPr>
      </w:pPr>
      <w:r w:rsidRPr="008B22A8">
        <w:t>INTRODUCTION</w:t>
      </w:r>
    </w:p>
    <w:p w:rsidRPr="008B22A8" w:rsidR="00F404AC" w:rsidP="008B22A8" w14:paraId="6B751D60" w14:textId="1DDEF148">
      <w:pPr>
        <w:pStyle w:val="JuPara"/>
      </w:pPr>
      <w:r>
        <w:fldChar w:fldCharType="begin"/>
      </w:r>
      <w:r>
        <w:instrText xml:space="preserve"> SEQ level0 \*arabic \* MERGEFORMAT </w:instrText>
      </w:r>
      <w:r>
        <w:fldChar w:fldCharType="separate"/>
      </w:r>
      <w:r w:rsidRPr="008B22A8" w:rsidR="008B22A8">
        <w:rPr>
          <w:noProof/>
        </w:rPr>
        <w:t>1</w:t>
      </w:r>
      <w:r>
        <w:rPr>
          <w:noProof/>
        </w:rPr>
        <w:fldChar w:fldCharType="end"/>
      </w:r>
      <w:r w:rsidRPr="008B22A8">
        <w:t>.  The application concerns the filming of the applicant when he was stopped by the State Traffic Police (“the STP”) of the Baku City Police Office under the Ministry of Internal Affairs for alleged drink-driving and taken for an examination to determine his state of intoxication, and the subsequent publication of that video footage on television channels and websites.</w:t>
      </w:r>
    </w:p>
    <w:p w:rsidRPr="008B22A8" w:rsidR="00F404AC" w:rsidP="008B22A8" w14:paraId="06F4D0BB" w14:textId="77777777">
      <w:pPr>
        <w:pStyle w:val="JuHHead"/>
      </w:pPr>
      <w:r w:rsidRPr="008B22A8">
        <w:t>THE FACTS</w:t>
      </w:r>
    </w:p>
    <w:p w:rsidRPr="008B22A8" w:rsidR="00F404AC" w:rsidP="008B22A8" w14:paraId="78F85C4A" w14:textId="7DD82913">
      <w:pPr>
        <w:pStyle w:val="JuHIRoman"/>
      </w:pPr>
      <w:r w:rsidRPr="008B22A8">
        <w:rPr>
          <w:caps w:val="0"/>
        </w:rPr>
        <w:t>BACKGROUND</w:t>
      </w:r>
    </w:p>
    <w:p w:rsidRPr="008B22A8" w:rsidR="00F404AC" w:rsidP="008B22A8" w14:paraId="6AF97239" w14:textId="5B781D22">
      <w:pPr>
        <w:pStyle w:val="JuPara"/>
      </w:pPr>
      <w:r>
        <w:fldChar w:fldCharType="begin"/>
      </w:r>
      <w:r>
        <w:instrText xml:space="preserve"> SEQ level0 \*arabic \* MERGEFORMAT </w:instrText>
      </w:r>
      <w:r>
        <w:fldChar w:fldCharType="separate"/>
      </w:r>
      <w:r w:rsidRPr="008B22A8" w:rsidR="008B22A8">
        <w:rPr>
          <w:noProof/>
        </w:rPr>
        <w:t>2</w:t>
      </w:r>
      <w:r>
        <w:rPr>
          <w:noProof/>
        </w:rPr>
        <w:fldChar w:fldCharType="end"/>
      </w:r>
      <w:r w:rsidRPr="008B22A8">
        <w:t xml:space="preserve">.  The applicant was born in 1974 and lives in Baku. He was represented by Mr Y. </w:t>
      </w:r>
      <w:r w:rsidRPr="008B22A8">
        <w:t>Imanov</w:t>
      </w:r>
      <w:r w:rsidRPr="008B22A8">
        <w:t>, a lawyer based in Azerbaijan.</w:t>
      </w:r>
    </w:p>
    <w:p w:rsidRPr="008B22A8" w:rsidR="00F404AC" w:rsidP="008B22A8" w14:paraId="7E9FF1E9" w14:textId="25EC3F02">
      <w:pPr>
        <w:pStyle w:val="JuPara"/>
        <w:rPr>
          <w:lang w:val="az-Latn-AZ"/>
        </w:rPr>
      </w:pPr>
      <w:r>
        <w:fldChar w:fldCharType="begin"/>
      </w:r>
      <w:r>
        <w:instrText xml:space="preserve"> SEQ level0 \*arabic \* MERGEFORMAT </w:instrText>
      </w:r>
      <w:r>
        <w:fldChar w:fldCharType="separate"/>
      </w:r>
      <w:r w:rsidRPr="008B22A8" w:rsidR="008B22A8">
        <w:rPr>
          <w:noProof/>
        </w:rPr>
        <w:t>3</w:t>
      </w:r>
      <w:r>
        <w:rPr>
          <w:noProof/>
        </w:rPr>
        <w:fldChar w:fldCharType="end"/>
      </w:r>
      <w:r w:rsidRPr="008B22A8">
        <w:t xml:space="preserve">.  The Government were represented by their Agent, Mr </w:t>
      </w:r>
      <w:r w:rsidRPr="008B22A8">
        <w:rPr>
          <w:lang w:val="az-Latn-AZ"/>
        </w:rPr>
        <w:t xml:space="preserve">Ç. </w:t>
      </w:r>
      <w:r w:rsidRPr="008B22A8">
        <w:rPr>
          <w:lang w:val="az-Latn-AZ"/>
        </w:rPr>
        <w:t>Əsgərov</w:t>
      </w:r>
      <w:r w:rsidRPr="008B22A8">
        <w:rPr>
          <w:lang w:val="az-Latn-AZ"/>
        </w:rPr>
        <w:t>.</w:t>
      </w:r>
    </w:p>
    <w:p w:rsidRPr="008B22A8" w:rsidR="00F404AC" w:rsidP="008B22A8" w14:paraId="59106590" w14:textId="7DB5C2FC">
      <w:pPr>
        <w:pStyle w:val="JuPara"/>
      </w:pPr>
      <w:r>
        <w:fldChar w:fldCharType="begin"/>
      </w:r>
      <w:r>
        <w:instrText xml:space="preserve"> SEQ level0 \*arabic \* MERGEFORMAT </w:instrText>
      </w:r>
      <w:r>
        <w:fldChar w:fldCharType="separate"/>
      </w:r>
      <w:r w:rsidRPr="008B22A8" w:rsidR="008B22A8">
        <w:rPr>
          <w:noProof/>
        </w:rPr>
        <w:t>4</w:t>
      </w:r>
      <w:r>
        <w:rPr>
          <w:noProof/>
        </w:rPr>
        <w:fldChar w:fldCharType="end"/>
      </w:r>
      <w:r w:rsidRPr="008B22A8">
        <w:t>.  The facts of the case may be summarised as follows.</w:t>
      </w:r>
    </w:p>
    <w:p w:rsidRPr="008B22A8" w:rsidR="00F404AC" w:rsidP="008B22A8" w14:paraId="65153122" w14:textId="78E81A2A">
      <w:pPr>
        <w:pStyle w:val="JuPara"/>
      </w:pPr>
      <w:r>
        <w:fldChar w:fldCharType="begin"/>
      </w:r>
      <w:r>
        <w:instrText xml:space="preserve"> SEQ level0 \*arabic \* MERGEFORMAT </w:instrText>
      </w:r>
      <w:r>
        <w:fldChar w:fldCharType="separate"/>
      </w:r>
      <w:r w:rsidRPr="008B22A8" w:rsidR="008B22A8">
        <w:rPr>
          <w:noProof/>
        </w:rPr>
        <w:t>5</w:t>
      </w:r>
      <w:r>
        <w:rPr>
          <w:noProof/>
        </w:rPr>
        <w:fldChar w:fldCharType="end"/>
      </w:r>
      <w:r w:rsidRPr="008B22A8">
        <w:t>.  The applicant is a lawyer and has been practising as an advocate in Azerbaijan since 2007.</w:t>
      </w:r>
    </w:p>
    <w:p w:rsidRPr="008B22A8" w:rsidR="00F404AC" w:rsidP="008B22A8" w14:paraId="790ACDCC" w14:textId="73952B19">
      <w:pPr>
        <w:pStyle w:val="JuHA"/>
      </w:pPr>
      <w:r w:rsidRPr="008B22A8">
        <w:t>The applicant</w:t>
      </w:r>
      <w:r w:rsidRPr="008B22A8" w:rsidR="008B22A8">
        <w:t>’</w:t>
      </w:r>
      <w:r w:rsidRPr="008B22A8">
        <w:t>s version of events</w:t>
      </w:r>
    </w:p>
    <w:bookmarkStart w:name="paragraph00006" w:id="4"/>
    <w:p w:rsidRPr="008B22A8" w:rsidR="00F404AC" w:rsidP="008B22A8" w14:paraId="2E861341" w14:textId="7ADEDC2B">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6</w:t>
      </w:r>
      <w:r w:rsidRPr="008B22A8">
        <w:fldChar w:fldCharType="end"/>
      </w:r>
      <w:bookmarkEnd w:id="4"/>
      <w:r w:rsidRPr="008B22A8">
        <w:t>.  According to the applicant, on 20 October 2018 he attended a family member</w:t>
      </w:r>
      <w:r w:rsidRPr="008B22A8" w:rsidR="008B22A8">
        <w:t>’</w:t>
      </w:r>
      <w:r w:rsidRPr="008B22A8">
        <w:t>s birthday party and consumed a small amount of alcohol. To return home with his family, he requested and used the “sober driver” service, which provides professional drivers to safely drive individuals and their vehicles when they are unable to drive, usually due to alcohol consumption or fatigue. According to him, the “sober driver” parked his car sometime between 10 and 11 p.m., approximately 70 metres from his house, and then left. The applicant then went to a nearby shop. When he returned to his car to drive it into his yard, the STP suddenly pulled up next to him. An officer exited the vehicle and demanded his documents without identifying himself. The applicant told the officer that he had not driven his car and had used the “sober driver” service, but he was nevertheless forced to sit in the STP</w:t>
      </w:r>
      <w:r w:rsidRPr="008B22A8" w:rsidR="008B22A8">
        <w:t>’</w:t>
      </w:r>
      <w:r w:rsidRPr="008B22A8">
        <w:t>s vehicle. The STP officers took the applicant with them. During the journey, the STP officers called someone to ask a cameraman to come and told the applicant that they intended to record him and embarrass him in the media. They took him to the Narcology Centre of the Ministry of Health for a medical examination to determine his state of intoxication, where a report was drawn up concluding that he was drunk. The STP officers filmed his examination by a doctor and reiterated their intention to distribute the footage to the media. At 1 a.m. he was allowed to return home by taxi.</w:t>
      </w:r>
    </w:p>
    <w:p w:rsidRPr="008B22A8" w:rsidR="00F404AC" w:rsidP="008B22A8" w14:paraId="689D8019" w14:textId="7886238A">
      <w:pPr>
        <w:pStyle w:val="JuHA"/>
      </w:pPr>
      <w:r w:rsidRPr="008B22A8">
        <w:t>The Government</w:t>
      </w:r>
      <w:r w:rsidRPr="008B22A8" w:rsidR="008B22A8">
        <w:t>’</w:t>
      </w:r>
      <w:r w:rsidRPr="008B22A8">
        <w:t>s version of events</w:t>
      </w:r>
    </w:p>
    <w:bookmarkStart w:name="paragraph00007" w:id="5"/>
    <w:p w:rsidRPr="008B22A8" w:rsidR="00F404AC" w:rsidP="008B22A8" w14:paraId="7D4836F7" w14:textId="68E76841">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7</w:t>
      </w:r>
      <w:r w:rsidRPr="008B22A8">
        <w:fldChar w:fldCharType="end"/>
      </w:r>
      <w:bookmarkEnd w:id="5"/>
      <w:r w:rsidRPr="008B22A8">
        <w:t>.  On 20 October 2018 the applicant was stopped for driving his car without a seatbelt. It was then determined that he had been driving under the influence of alcohol.</w:t>
      </w:r>
    </w:p>
    <w:p w:rsidRPr="008B22A8" w:rsidR="00F404AC" w:rsidP="008B22A8" w14:paraId="5671938C" w14:textId="394D28DA">
      <w:pPr>
        <w:pStyle w:val="JuHA"/>
      </w:pPr>
      <w:r w:rsidRPr="008B22A8">
        <w:t>Publication of content about the applicant</w:t>
      </w:r>
      <w:r w:rsidRPr="008B22A8" w:rsidR="008B22A8">
        <w:t>’</w:t>
      </w:r>
      <w:r w:rsidRPr="008B22A8">
        <w:t>s alleged drink-driving</w:t>
      </w:r>
    </w:p>
    <w:p w:rsidRPr="008B22A8" w:rsidR="00F404AC" w:rsidP="008B22A8" w14:paraId="5E363866" w14:textId="3AD3A329">
      <w:pPr>
        <w:pStyle w:val="JuPara"/>
      </w:pPr>
      <w:r>
        <w:fldChar w:fldCharType="begin"/>
      </w:r>
      <w:r>
        <w:instrText xml:space="preserve"> SEQ level0 \*arabic \* MERGEFORMAT </w:instrText>
      </w:r>
      <w:r>
        <w:fldChar w:fldCharType="separate"/>
      </w:r>
      <w:r w:rsidRPr="008B22A8" w:rsidR="008B22A8">
        <w:rPr>
          <w:noProof/>
        </w:rPr>
        <w:t>8</w:t>
      </w:r>
      <w:r>
        <w:rPr>
          <w:noProof/>
        </w:rPr>
        <w:fldChar w:fldCharType="end"/>
      </w:r>
      <w:r w:rsidRPr="008B22A8">
        <w:t>.  On 22 October 2018 the video footage of the applicant started to be published on various television channels and on YouTube. The footage showed the applicant arriving at the Narcology Centre in a police car, entering the building and being examined by a doctor. Several websites, citing the Press Service of the Ministry of Internal Affairs, published articles accompanied by stills from the video footage under various headlines, such as “Well-known advocate arrested drunk” (</w:t>
      </w:r>
      <w:r w:rsidRPr="008B22A8">
        <w:rPr>
          <w:i/>
          <w:iCs/>
        </w:rPr>
        <w:t>“Tan</w:t>
      </w:r>
      <w:r w:rsidRPr="008B22A8">
        <w:rPr>
          <w:i/>
          <w:iCs/>
          <w:lang w:val="az-Latn-AZ"/>
        </w:rPr>
        <w:t>ınmış</w:t>
      </w:r>
      <w:r w:rsidRPr="008B22A8">
        <w:rPr>
          <w:i/>
          <w:iCs/>
          <w:lang w:val="az-Latn-AZ"/>
        </w:rPr>
        <w:t xml:space="preserve"> vəkil sərxoş tutuldu”</w:t>
      </w:r>
      <w:r w:rsidRPr="008B22A8">
        <w:rPr>
          <w:lang w:val="az-Latn-AZ"/>
        </w:rPr>
        <w:t>), “</w:t>
      </w:r>
      <w:r w:rsidRPr="008B22A8">
        <w:rPr>
          <w:lang w:val="az-Latn-AZ"/>
        </w:rPr>
        <w:t>Well-known</w:t>
      </w:r>
      <w:r w:rsidRPr="008B22A8">
        <w:rPr>
          <w:lang w:val="az-Latn-AZ"/>
        </w:rPr>
        <w:t xml:space="preserve"> </w:t>
      </w:r>
      <w:r w:rsidRPr="008B22A8">
        <w:rPr>
          <w:lang w:val="az-Latn-AZ"/>
        </w:rPr>
        <w:t>advocate</w:t>
      </w:r>
      <w:r w:rsidRPr="008B22A8">
        <w:rPr>
          <w:lang w:val="az-Latn-AZ"/>
        </w:rPr>
        <w:t xml:space="preserve"> </w:t>
      </w:r>
      <w:r w:rsidRPr="008B22A8">
        <w:rPr>
          <w:lang w:val="az-Latn-AZ"/>
        </w:rPr>
        <w:t>stopped</w:t>
      </w:r>
      <w:r w:rsidRPr="008B22A8">
        <w:rPr>
          <w:lang w:val="az-Latn-AZ"/>
        </w:rPr>
        <w:t xml:space="preserve"> </w:t>
      </w:r>
      <w:r w:rsidRPr="008B22A8">
        <w:rPr>
          <w:lang w:val="az-Latn-AZ"/>
        </w:rPr>
        <w:t>while</w:t>
      </w:r>
      <w:r w:rsidRPr="008B22A8">
        <w:rPr>
          <w:lang w:val="az-Latn-AZ"/>
        </w:rPr>
        <w:t xml:space="preserve"> </w:t>
      </w:r>
      <w:r w:rsidRPr="008B22A8">
        <w:rPr>
          <w:lang w:val="az-Latn-AZ"/>
        </w:rPr>
        <w:t>drink-driving</w:t>
      </w:r>
      <w:r w:rsidRPr="008B22A8">
        <w:rPr>
          <w:lang w:val="az-Latn-AZ"/>
        </w:rPr>
        <w:t>” (</w:t>
      </w:r>
      <w:r w:rsidRPr="008B22A8">
        <w:rPr>
          <w:i/>
          <w:iCs/>
          <w:lang w:val="az-Latn-AZ"/>
        </w:rPr>
        <w:t>“</w:t>
      </w:r>
      <w:r w:rsidRPr="008B22A8">
        <w:rPr>
          <w:i/>
          <w:iCs/>
        </w:rPr>
        <w:t>Tan</w:t>
      </w:r>
      <w:r w:rsidRPr="008B22A8">
        <w:rPr>
          <w:i/>
          <w:iCs/>
          <w:lang w:val="az-Latn-AZ"/>
        </w:rPr>
        <w:t>ınmış</w:t>
      </w:r>
      <w:r w:rsidRPr="008B22A8">
        <w:rPr>
          <w:i/>
          <w:iCs/>
          <w:lang w:val="az-Latn-AZ"/>
        </w:rPr>
        <w:t xml:space="preserve"> vəkil maşını sərxoş idarə edərkən saxlanıldı”</w:t>
      </w:r>
      <w:r w:rsidRPr="008B22A8">
        <w:rPr>
          <w:lang w:val="az-Latn-AZ"/>
        </w:rPr>
        <w:t>), “</w:t>
      </w:r>
      <w:r w:rsidRPr="008B22A8">
        <w:rPr>
          <w:lang w:val="az-Latn-AZ"/>
        </w:rPr>
        <w:t>Operation</w:t>
      </w:r>
      <w:r w:rsidRPr="008B22A8">
        <w:rPr>
          <w:lang w:val="az-Latn-AZ"/>
        </w:rPr>
        <w:t xml:space="preserve"> </w:t>
      </w:r>
      <w:r w:rsidRPr="008B22A8">
        <w:rPr>
          <w:lang w:val="az-Latn-AZ"/>
        </w:rPr>
        <w:t>in</w:t>
      </w:r>
      <w:r w:rsidRPr="008B22A8">
        <w:rPr>
          <w:lang w:val="az-Latn-AZ"/>
        </w:rPr>
        <w:t xml:space="preserve"> </w:t>
      </w:r>
      <w:r w:rsidRPr="008B22A8">
        <w:rPr>
          <w:lang w:val="az-Latn-AZ"/>
        </w:rPr>
        <w:t>Baku</w:t>
      </w:r>
      <w:r w:rsidRPr="008B22A8">
        <w:rPr>
          <w:lang w:val="az-Latn-AZ"/>
        </w:rPr>
        <w:t xml:space="preserve">: </w:t>
      </w:r>
      <w:r w:rsidRPr="008B22A8">
        <w:rPr>
          <w:lang w:val="az-Latn-AZ"/>
        </w:rPr>
        <w:t>drunk</w:t>
      </w:r>
      <w:r w:rsidRPr="008B22A8">
        <w:rPr>
          <w:lang w:val="az-Latn-AZ"/>
        </w:rPr>
        <w:t xml:space="preserve">, </w:t>
      </w:r>
      <w:r w:rsidRPr="008B22A8">
        <w:rPr>
          <w:lang w:val="az-Latn-AZ"/>
        </w:rPr>
        <w:t>drugged</w:t>
      </w:r>
      <w:r w:rsidRPr="008B22A8">
        <w:rPr>
          <w:lang w:val="az-Latn-AZ"/>
        </w:rPr>
        <w:t xml:space="preserve"> </w:t>
      </w:r>
      <w:r w:rsidRPr="008B22A8">
        <w:rPr>
          <w:lang w:val="az-Latn-AZ"/>
        </w:rPr>
        <w:t>up</w:t>
      </w:r>
      <w:r w:rsidRPr="008B22A8">
        <w:rPr>
          <w:lang w:val="az-Latn-AZ"/>
        </w:rPr>
        <w:t xml:space="preserve"> and </w:t>
      </w:r>
      <w:r w:rsidRPr="008B22A8" w:rsidR="008B22A8">
        <w:rPr>
          <w:lang w:val="az-Latn-AZ"/>
        </w:rPr>
        <w:t>‘</w:t>
      </w:r>
      <w:r w:rsidRPr="008B22A8">
        <w:rPr>
          <w:lang w:val="az-Latn-AZ"/>
        </w:rPr>
        <w:t>reckless</w:t>
      </w:r>
      <w:r w:rsidRPr="008B22A8" w:rsidR="008B22A8">
        <w:rPr>
          <w:lang w:val="az-Latn-AZ"/>
        </w:rPr>
        <w:t>’</w:t>
      </w:r>
      <w:r w:rsidRPr="008B22A8">
        <w:rPr>
          <w:lang w:val="az-Latn-AZ"/>
        </w:rPr>
        <w:t xml:space="preserve"> </w:t>
      </w:r>
      <w:r w:rsidRPr="008B22A8">
        <w:rPr>
          <w:lang w:val="az-Latn-AZ"/>
        </w:rPr>
        <w:t>drivers</w:t>
      </w:r>
      <w:r w:rsidRPr="008B22A8">
        <w:rPr>
          <w:lang w:val="az-Latn-AZ"/>
        </w:rPr>
        <w:t xml:space="preserve"> </w:t>
      </w:r>
      <w:r w:rsidRPr="008B22A8">
        <w:rPr>
          <w:lang w:val="az-Latn-AZ"/>
        </w:rPr>
        <w:t>arrested</w:t>
      </w:r>
      <w:r w:rsidRPr="008B22A8">
        <w:rPr>
          <w:lang w:val="az-Latn-AZ"/>
        </w:rPr>
        <w:t xml:space="preserve"> – </w:t>
      </w:r>
      <w:r w:rsidRPr="008B22A8">
        <w:rPr>
          <w:lang w:val="az-Latn-AZ"/>
        </w:rPr>
        <w:t>One</w:t>
      </w:r>
      <w:r w:rsidRPr="008B22A8">
        <w:rPr>
          <w:lang w:val="az-Latn-AZ"/>
        </w:rPr>
        <w:t xml:space="preserve"> </w:t>
      </w:r>
      <w:r w:rsidRPr="008B22A8">
        <w:rPr>
          <w:lang w:val="az-Latn-AZ"/>
        </w:rPr>
        <w:t>is</w:t>
      </w:r>
      <w:r w:rsidRPr="008B22A8">
        <w:rPr>
          <w:lang w:val="az-Latn-AZ"/>
        </w:rPr>
        <w:t xml:space="preserve"> an </w:t>
      </w:r>
      <w:r w:rsidRPr="008B22A8">
        <w:rPr>
          <w:lang w:val="az-Latn-AZ"/>
        </w:rPr>
        <w:t>advocate</w:t>
      </w:r>
      <w:r w:rsidRPr="008B22A8">
        <w:rPr>
          <w:lang w:val="az-Latn-AZ"/>
        </w:rPr>
        <w:t>” (</w:t>
      </w:r>
      <w:r w:rsidRPr="008B22A8">
        <w:rPr>
          <w:i/>
          <w:iCs/>
          <w:lang w:val="az-Latn-AZ"/>
        </w:rPr>
        <w:t xml:space="preserve">“Bakıda reyd: Sərxoş, narkoman və </w:t>
      </w:r>
      <w:r w:rsidRPr="008B22A8" w:rsidR="008B22A8">
        <w:rPr>
          <w:i/>
          <w:iCs/>
          <w:lang w:val="az-Latn-AZ"/>
        </w:rPr>
        <w:t>‘</w:t>
      </w:r>
      <w:r w:rsidRPr="008B22A8">
        <w:rPr>
          <w:i/>
          <w:iCs/>
          <w:lang w:val="az-Latn-AZ"/>
        </w:rPr>
        <w:t>avtoş</w:t>
      </w:r>
      <w:r w:rsidRPr="008B22A8" w:rsidR="008B22A8">
        <w:rPr>
          <w:i/>
          <w:iCs/>
          <w:lang w:val="az-Latn-AZ"/>
        </w:rPr>
        <w:t>’</w:t>
      </w:r>
      <w:r w:rsidRPr="008B22A8">
        <w:rPr>
          <w:i/>
          <w:iCs/>
          <w:lang w:val="az-Latn-AZ"/>
        </w:rPr>
        <w:t xml:space="preserve"> sürücülər tutuldu – Biri vəkildir”</w:t>
      </w:r>
      <w:r w:rsidRPr="008B22A8">
        <w:t>).</w:t>
      </w:r>
    </w:p>
    <w:p w:rsidRPr="008B22A8" w:rsidR="00F404AC" w:rsidP="008B22A8" w14:paraId="611E9963" w14:textId="6F9C1BEE">
      <w:pPr>
        <w:pStyle w:val="JuHIRoman"/>
        <w:rPr>
          <w:lang w:val="az-Latn-AZ"/>
        </w:rPr>
      </w:pPr>
      <w:r w:rsidRPr="008B22A8">
        <w:rPr>
          <w:caps w:val="0"/>
          <w:lang w:val="az-Latn-AZ"/>
        </w:rPr>
        <w:t xml:space="preserve">ADMINISTRATIVE-OFFENCE </w:t>
      </w:r>
      <w:r w:rsidRPr="008B22A8">
        <w:rPr>
          <w:caps w:val="0"/>
        </w:rPr>
        <w:t>PROCEEDINGS</w:t>
      </w:r>
      <w:r w:rsidRPr="008B22A8">
        <w:rPr>
          <w:caps w:val="0"/>
          <w:lang w:val="az-Latn-AZ"/>
        </w:rPr>
        <w:t xml:space="preserve"> </w:t>
      </w:r>
      <w:r w:rsidRPr="008B22A8">
        <w:rPr>
          <w:caps w:val="0"/>
        </w:rPr>
        <w:t>AGAINST</w:t>
      </w:r>
      <w:r w:rsidRPr="008B22A8">
        <w:rPr>
          <w:caps w:val="0"/>
          <w:lang w:val="az-Latn-AZ"/>
        </w:rPr>
        <w:t xml:space="preserve"> THE APPLICANT</w:t>
      </w:r>
    </w:p>
    <w:p w:rsidRPr="008B22A8" w:rsidR="00F404AC" w:rsidP="008B22A8" w14:paraId="6DEF603A" w14:textId="4D12FB11">
      <w:pPr>
        <w:pStyle w:val="JuPara"/>
      </w:pPr>
      <w:r w:rsidRPr="008B22A8">
        <w:rPr>
          <w:lang w:val="az-Latn-AZ"/>
        </w:rPr>
        <w:fldChar w:fldCharType="begin"/>
      </w:r>
      <w:r w:rsidRPr="008B22A8">
        <w:rPr>
          <w:lang w:val="az-Latn-AZ"/>
        </w:rPr>
        <w:instrText xml:space="preserve"> SEQ level0 \*arabic \* MERGEFORMAT </w:instrText>
      </w:r>
      <w:r w:rsidRPr="008B22A8">
        <w:rPr>
          <w:lang w:val="az-Latn-AZ"/>
        </w:rPr>
        <w:fldChar w:fldCharType="separate"/>
      </w:r>
      <w:r w:rsidRPr="008B22A8" w:rsidR="008B22A8">
        <w:rPr>
          <w:noProof/>
          <w:lang w:val="az-Latn-AZ"/>
        </w:rPr>
        <w:t>9</w:t>
      </w:r>
      <w:r w:rsidRPr="008B22A8">
        <w:rPr>
          <w:lang w:val="az-Latn-AZ"/>
        </w:rPr>
        <w:fldChar w:fldCharType="end"/>
      </w:r>
      <w:r w:rsidRPr="008B22A8">
        <w:rPr>
          <w:lang w:val="az-Latn-AZ"/>
        </w:rPr>
        <w:t xml:space="preserve">.  On 20 </w:t>
      </w:r>
      <w:r w:rsidRPr="008B22A8">
        <w:rPr>
          <w:lang w:val="az-Latn-AZ"/>
        </w:rPr>
        <w:t>October</w:t>
      </w:r>
      <w:r w:rsidRPr="008B22A8">
        <w:rPr>
          <w:lang w:val="az-Latn-AZ"/>
        </w:rPr>
        <w:t xml:space="preserve"> 2018 an </w:t>
      </w:r>
      <w:r w:rsidRPr="008B22A8">
        <w:t xml:space="preserve">administrative-offence report was drawn up against the applicant under Articles 329.1 and 333.1 of the Code of Administrative Offences (“the CAO”, see paragraphs </w:t>
      </w:r>
      <w:r w:rsidRPr="008B22A8">
        <w:fldChar w:fldCharType="begin"/>
      </w:r>
      <w:r w:rsidRPr="008B22A8">
        <w:instrText xml:space="preserve">REF paragraph00032 \h \* CharFormat </w:instrText>
      </w:r>
      <w:r w:rsidRPr="008B22A8">
        <w:fldChar w:fldCharType="separate"/>
      </w:r>
      <w:r w:rsidRPr="008B22A8" w:rsidR="008B22A8">
        <w:t>32</w:t>
      </w:r>
      <w:r w:rsidRPr="008B22A8">
        <w:fldChar w:fldCharType="end"/>
      </w:r>
      <w:r w:rsidRPr="008B22A8">
        <w:t>-</w:t>
      </w:r>
      <w:r w:rsidRPr="008B22A8">
        <w:fldChar w:fldCharType="begin"/>
      </w:r>
      <w:r w:rsidRPr="008B22A8">
        <w:instrText xml:space="preserve">REF paragraph00033 \h \* CharFormat </w:instrText>
      </w:r>
      <w:r w:rsidRPr="008B22A8">
        <w:fldChar w:fldCharType="separate"/>
      </w:r>
      <w:r w:rsidRPr="008B22A8" w:rsidR="008B22A8">
        <w:t>33</w:t>
      </w:r>
      <w:r w:rsidRPr="008B22A8">
        <w:fldChar w:fldCharType="end"/>
      </w:r>
      <w:r w:rsidRPr="008B22A8">
        <w:t xml:space="preserve"> below). The report stated that he had been stopped at 11.40 p.m. for driving his car without a seatbelt and while drunk. It also stated that he had refused to read and sign the report.</w:t>
      </w:r>
    </w:p>
    <w:bookmarkStart w:name="paragraph00010" w:id="6"/>
    <w:p w:rsidRPr="008B22A8" w:rsidR="00F404AC" w:rsidP="008B22A8" w14:paraId="03F61B10" w14:textId="4E62292F">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10</w:t>
      </w:r>
      <w:r w:rsidRPr="008B22A8">
        <w:fldChar w:fldCharType="end"/>
      </w:r>
      <w:bookmarkEnd w:id="6"/>
      <w:r w:rsidRPr="008B22A8">
        <w:t xml:space="preserve">.  At the court hearing held on 3 December 2018 before the </w:t>
      </w:r>
      <w:r w:rsidRPr="008B22A8">
        <w:t>Binagadi</w:t>
      </w:r>
      <w:r w:rsidRPr="008B22A8">
        <w:t xml:space="preserve"> District Court the applicant submitted that he had not driven his car after drinking and had used the “sober driver” service. He also stated that despite his repeated requests, he had not been provided with a copy of the administrative-offence report. On the same day, the court decided to return the administrative-offence report, along with the attached documents, to the STP. It held that although the medical examination report (see paragraph </w:t>
      </w:r>
      <w:r w:rsidRPr="008B22A8">
        <w:fldChar w:fldCharType="begin"/>
      </w:r>
      <w:r w:rsidRPr="008B22A8">
        <w:instrText xml:space="preserve">REF paragraph00006 \h \* CharFormat </w:instrText>
      </w:r>
      <w:r w:rsidRPr="008B22A8">
        <w:fldChar w:fldCharType="separate"/>
      </w:r>
      <w:r w:rsidRPr="008B22A8" w:rsidR="008B22A8">
        <w:t>6</w:t>
      </w:r>
      <w:r w:rsidRPr="008B22A8">
        <w:fldChar w:fldCharType="end"/>
      </w:r>
      <w:r w:rsidRPr="008B22A8">
        <w:t xml:space="preserve"> above) had been signed, the signatory</w:t>
      </w:r>
      <w:r w:rsidRPr="008B22A8" w:rsidR="008B22A8">
        <w:t>’</w:t>
      </w:r>
      <w:r w:rsidRPr="008B22A8">
        <w:t>s name had not been indicated, and no document had been submitted to the court proving that a copy of it had been served on the applicant. The court also found that no documents had been submitted showing whether any attesting witnesses</w:t>
      </w:r>
      <w:r w:rsidRPr="008B22A8">
        <w:rPr>
          <w:lang w:val="az-Latn-AZ"/>
        </w:rPr>
        <w:t xml:space="preserve"> </w:t>
      </w:r>
      <w:r w:rsidRPr="008B22A8">
        <w:t>had been present during the examination to determine his state of intoxication.</w:t>
      </w:r>
    </w:p>
    <w:p w:rsidRPr="008B22A8" w:rsidR="00F404AC" w:rsidP="008B22A8" w14:paraId="50DB0C99" w14:textId="02536842">
      <w:pPr>
        <w:pStyle w:val="JuPara"/>
      </w:pPr>
      <w:r>
        <w:fldChar w:fldCharType="begin"/>
      </w:r>
      <w:r>
        <w:instrText xml:space="preserve"> SEQ level0 \*arabic \* MERGEFORMAT </w:instrText>
      </w:r>
      <w:r>
        <w:fldChar w:fldCharType="separate"/>
      </w:r>
      <w:r w:rsidRPr="008B22A8" w:rsidR="008B22A8">
        <w:rPr>
          <w:noProof/>
        </w:rPr>
        <w:t>11</w:t>
      </w:r>
      <w:r>
        <w:rPr>
          <w:noProof/>
        </w:rPr>
        <w:fldChar w:fldCharType="end"/>
      </w:r>
      <w:r w:rsidRPr="008B22A8">
        <w:t>.  The STP lodged an appeal. On 28 January 2019 the Baku Court of Appeal allowed it in part and quashed the first-instance court</w:t>
      </w:r>
      <w:r w:rsidRPr="008B22A8" w:rsidR="008B22A8">
        <w:t>’</w:t>
      </w:r>
      <w:r w:rsidRPr="008B22A8">
        <w:t>s decision. It found that the lower court should have examined the issue of returning the case file to the STP during the preliminary stage of the proceedings, rather than after accepting the case for examination.</w:t>
      </w:r>
    </w:p>
    <w:p w:rsidRPr="008B22A8" w:rsidR="00F404AC" w:rsidP="008B22A8" w14:paraId="7E7F2DD5" w14:textId="766CF4C8">
      <w:pPr>
        <w:pStyle w:val="JuPara"/>
      </w:pPr>
      <w:r>
        <w:fldChar w:fldCharType="begin"/>
      </w:r>
      <w:r>
        <w:instrText xml:space="preserve"> SEQ level0 \*arabic \* MERGEFORMAT </w:instrText>
      </w:r>
      <w:r>
        <w:fldChar w:fldCharType="separate"/>
      </w:r>
      <w:r w:rsidRPr="008B22A8" w:rsidR="008B22A8">
        <w:rPr>
          <w:noProof/>
        </w:rPr>
        <w:t>12</w:t>
      </w:r>
      <w:r>
        <w:rPr>
          <w:noProof/>
        </w:rPr>
        <w:fldChar w:fldCharType="end"/>
      </w:r>
      <w:r w:rsidRPr="008B22A8">
        <w:t xml:space="preserve">.  On 29 March 2019 the first-instance court again decided to return the case file to the STP on the above-mentioned grounds (see paragraph </w:t>
      </w:r>
      <w:r w:rsidRPr="008B22A8">
        <w:fldChar w:fldCharType="begin"/>
      </w:r>
      <w:r w:rsidRPr="008B22A8">
        <w:instrText xml:space="preserve">REF paragraph00010 \h \* CharFormat </w:instrText>
      </w:r>
      <w:r w:rsidRPr="008B22A8">
        <w:fldChar w:fldCharType="separate"/>
      </w:r>
      <w:r w:rsidRPr="008B22A8" w:rsidR="008B22A8">
        <w:t>10</w:t>
      </w:r>
      <w:r w:rsidRPr="008B22A8">
        <w:fldChar w:fldCharType="end"/>
      </w:r>
      <w:r w:rsidRPr="008B22A8">
        <w:t xml:space="preserve"> above).</w:t>
      </w:r>
    </w:p>
    <w:bookmarkStart w:name="paragraph00013" w:id="7"/>
    <w:p w:rsidRPr="008B22A8" w:rsidR="00F404AC" w:rsidP="008B22A8" w14:paraId="700E45ED" w14:textId="13BFD022">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13</w:t>
      </w:r>
      <w:r w:rsidRPr="008B22A8">
        <w:fldChar w:fldCharType="end"/>
      </w:r>
      <w:bookmarkEnd w:id="7"/>
      <w:r w:rsidRPr="008B22A8">
        <w:t>.  On 27 July 2019 the STP decided to terminate the administrative</w:t>
      </w:r>
      <w:r w:rsidRPr="008B22A8" w:rsidR="00445C21">
        <w:noBreakHyphen/>
      </w:r>
      <w:r w:rsidRPr="008B22A8">
        <w:t>offence proceedings, in accordance with Articles 8.1 and</w:t>
      </w:r>
      <w:r w:rsidRPr="008B22A8" w:rsidR="007D7B8A">
        <w:t> </w:t>
      </w:r>
      <w:r w:rsidRPr="008B22A8">
        <w:t xml:space="preserve">53.0.1 of the CAO (see paragraphs </w:t>
      </w:r>
      <w:r w:rsidRPr="008B22A8">
        <w:fldChar w:fldCharType="begin"/>
      </w:r>
      <w:r w:rsidRPr="008B22A8">
        <w:instrText xml:space="preserve">REF paragraph00024 \h \* CharFormat </w:instrText>
      </w:r>
      <w:r w:rsidRPr="008B22A8">
        <w:fldChar w:fldCharType="separate"/>
      </w:r>
      <w:r w:rsidRPr="008B22A8" w:rsidR="008B22A8">
        <w:t>24</w:t>
      </w:r>
      <w:r w:rsidRPr="008B22A8">
        <w:fldChar w:fldCharType="end"/>
      </w:r>
      <w:r w:rsidRPr="008B22A8">
        <w:t xml:space="preserve"> and </w:t>
      </w:r>
      <w:r w:rsidRPr="008B22A8">
        <w:fldChar w:fldCharType="begin"/>
      </w:r>
      <w:r w:rsidRPr="008B22A8">
        <w:instrText xml:space="preserve">REF paragraph00026 \h \* CharFormat </w:instrText>
      </w:r>
      <w:r w:rsidRPr="008B22A8">
        <w:fldChar w:fldCharType="separate"/>
      </w:r>
      <w:r w:rsidRPr="008B22A8" w:rsidR="008B22A8">
        <w:t>26</w:t>
      </w:r>
      <w:r w:rsidRPr="008B22A8">
        <w:fldChar w:fldCharType="end"/>
      </w:r>
      <w:r w:rsidRPr="008B22A8">
        <w:t xml:space="preserve"> below), owing to absence of any video or audio-recording or witnesses, and therefore any evidence proving that the applicant had committed an administrative offence.</w:t>
      </w:r>
    </w:p>
    <w:bookmarkStart w:name="paragraph00014" w:id="8"/>
    <w:p w:rsidRPr="008B22A8" w:rsidR="00F404AC" w:rsidP="008B22A8" w14:paraId="6E9D978C" w14:textId="412809A7">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14</w:t>
      </w:r>
      <w:r w:rsidRPr="008B22A8">
        <w:fldChar w:fldCharType="end"/>
      </w:r>
      <w:bookmarkEnd w:id="8"/>
      <w:r w:rsidRPr="008B22A8">
        <w:t>.  On 21 February 2020 the STP overturned the above-mentioned decision and discontinued the administrative-offence proceedings as time</w:t>
      </w:r>
      <w:r w:rsidRPr="008B22A8" w:rsidR="00445C21">
        <w:noBreakHyphen/>
      </w:r>
      <w:r w:rsidRPr="008B22A8">
        <w:t>barred.</w:t>
      </w:r>
    </w:p>
    <w:p w:rsidRPr="008B22A8" w:rsidR="00F404AC" w:rsidP="008B22A8" w14:paraId="2ECBB8D7" w14:textId="4B581E72">
      <w:pPr>
        <w:pStyle w:val="JuHIRoman"/>
        <w:rPr>
          <w:lang w:val="az-Latn-AZ"/>
        </w:rPr>
      </w:pPr>
      <w:r w:rsidRPr="008B22A8">
        <w:rPr>
          <w:caps w:val="0"/>
          <w:lang w:val="az-Latn-AZ"/>
        </w:rPr>
        <w:t>THE APPLICANT</w:t>
      </w:r>
      <w:r w:rsidRPr="008B22A8" w:rsidR="008B22A8">
        <w:rPr>
          <w:caps w:val="0"/>
          <w:lang w:val="az-Latn-AZ"/>
        </w:rPr>
        <w:t>’</w:t>
      </w:r>
      <w:r w:rsidRPr="008B22A8">
        <w:rPr>
          <w:caps w:val="0"/>
          <w:lang w:val="az-Latn-AZ"/>
        </w:rPr>
        <w:t>S CIVIL ACTION AGAINST THE POLICE</w:t>
      </w:r>
    </w:p>
    <w:bookmarkStart w:name="paragraph00015" w:id="9"/>
    <w:p w:rsidRPr="008B22A8" w:rsidR="00F404AC" w:rsidP="008B22A8" w14:paraId="587EE7FF" w14:textId="2AF27E8F">
      <w:pPr>
        <w:pStyle w:val="JuPara"/>
      </w:pPr>
      <w:r w:rsidRPr="008B22A8">
        <w:rPr>
          <w:lang w:val="az-Latn-AZ"/>
        </w:rPr>
        <w:fldChar w:fldCharType="begin"/>
      </w:r>
      <w:r w:rsidRPr="008B22A8">
        <w:rPr>
          <w:lang w:val="az-Latn-AZ"/>
        </w:rPr>
        <w:instrText xml:space="preserve"> SEQ level0 \*arabic \* MERGEFORMAT </w:instrText>
      </w:r>
      <w:r w:rsidRPr="008B22A8">
        <w:rPr>
          <w:lang w:val="az-Latn-AZ"/>
        </w:rPr>
        <w:fldChar w:fldCharType="separate"/>
      </w:r>
      <w:r w:rsidRPr="008B22A8" w:rsidR="008B22A8">
        <w:rPr>
          <w:noProof/>
          <w:lang w:val="az-Latn-AZ"/>
        </w:rPr>
        <w:t>15</w:t>
      </w:r>
      <w:r w:rsidRPr="008B22A8">
        <w:rPr>
          <w:lang w:val="az-Latn-AZ"/>
        </w:rPr>
        <w:fldChar w:fldCharType="end"/>
      </w:r>
      <w:bookmarkEnd w:id="9"/>
      <w:r w:rsidRPr="008B22A8">
        <w:rPr>
          <w:lang w:val="az-Latn-AZ"/>
        </w:rPr>
        <w:t>.  </w:t>
      </w:r>
      <w:r w:rsidRPr="008B22A8">
        <w:t xml:space="preserve">In August 2019 the applicant lodged a claim with the </w:t>
      </w:r>
      <w:r w:rsidRPr="008B22A8">
        <w:t>Yasamal</w:t>
      </w:r>
      <w:r w:rsidRPr="008B22A8">
        <w:t xml:space="preserve"> District Court against the STP, describing the incident in question (see paragraph </w:t>
      </w:r>
      <w:r w:rsidRPr="008B22A8">
        <w:fldChar w:fldCharType="begin"/>
      </w:r>
      <w:r w:rsidRPr="008B22A8">
        <w:instrText xml:space="preserve">REF paragraph00006 \h \* CharFormat </w:instrText>
      </w:r>
      <w:r w:rsidRPr="008B22A8">
        <w:fldChar w:fldCharType="separate"/>
      </w:r>
      <w:r w:rsidRPr="008B22A8" w:rsidR="008B22A8">
        <w:t>6</w:t>
      </w:r>
      <w:r w:rsidRPr="008B22A8">
        <w:fldChar w:fldCharType="end"/>
      </w:r>
      <w:r w:rsidRPr="008B22A8">
        <w:t xml:space="preserve"> above) and alleging breaches of Articles 69.2, 69.3, 69.4, 96.</w:t>
      </w:r>
      <w:r w:rsidRPr="008B22A8" w:rsidR="00FF4983">
        <w:t>3</w:t>
      </w:r>
      <w:r w:rsidRPr="008B22A8">
        <w:t xml:space="preserve"> and 101 of the CAO (see paragraphs </w:t>
      </w:r>
      <w:r w:rsidRPr="008B22A8">
        <w:fldChar w:fldCharType="begin"/>
      </w:r>
      <w:r w:rsidRPr="008B22A8">
        <w:instrText xml:space="preserve">REF paragraph00027 \h \* CharFormat </w:instrText>
      </w:r>
      <w:r w:rsidRPr="008B22A8">
        <w:fldChar w:fldCharType="separate"/>
      </w:r>
      <w:r w:rsidRPr="008B22A8" w:rsidR="008B22A8">
        <w:t>27</w:t>
      </w:r>
      <w:r w:rsidRPr="008B22A8">
        <w:fldChar w:fldCharType="end"/>
      </w:r>
      <w:r w:rsidRPr="008B22A8">
        <w:t>-</w:t>
      </w:r>
      <w:r w:rsidRPr="008B22A8">
        <w:fldChar w:fldCharType="begin"/>
      </w:r>
      <w:r w:rsidRPr="008B22A8">
        <w:instrText xml:space="preserve">REF paragraph00031 \h \* CharFormat </w:instrText>
      </w:r>
      <w:r w:rsidRPr="008B22A8">
        <w:fldChar w:fldCharType="separate"/>
      </w:r>
      <w:r w:rsidRPr="008B22A8" w:rsidR="008B22A8">
        <w:t>31</w:t>
      </w:r>
      <w:r w:rsidRPr="008B22A8">
        <w:fldChar w:fldCharType="end"/>
      </w:r>
      <w:r w:rsidRPr="008B22A8">
        <w:t xml:space="preserve"> below). He argued that no report had been drawn </w:t>
      </w:r>
      <w:r w:rsidRPr="008B22A8">
        <w:t xml:space="preserve">up about his disqualification from driving and the medical examination to determine his state of intoxication, and that no witnesses had been present during the examination, as required by domestic law. He further complained that he had not been provided with a copy of the administrative-offence report, and that the police officers in question had unlawfully filmed him and distributed the video footage to television channels and websites, damaging his reputation and causing him financial loss and emotional distress. He relied, </w:t>
      </w:r>
      <w:r w:rsidRPr="008B22A8">
        <w:rPr>
          <w:i/>
          <w:iCs/>
        </w:rPr>
        <w:t>inter alia</w:t>
      </w:r>
      <w:r w:rsidRPr="008B22A8">
        <w:t xml:space="preserve">, on Article 51.2 of the CAO (see paragraph </w:t>
      </w:r>
      <w:r w:rsidRPr="008B22A8">
        <w:fldChar w:fldCharType="begin"/>
      </w:r>
      <w:r w:rsidRPr="008B22A8">
        <w:instrText xml:space="preserve">REF paragraph00025 \h \* CharFormat </w:instrText>
      </w:r>
      <w:r w:rsidRPr="008B22A8">
        <w:fldChar w:fldCharType="separate"/>
      </w:r>
      <w:r w:rsidRPr="008B22A8" w:rsidR="008B22A8">
        <w:t>25</w:t>
      </w:r>
      <w:r w:rsidRPr="008B22A8">
        <w:fldChar w:fldCharType="end"/>
      </w:r>
      <w:r w:rsidRPr="008B22A8">
        <w:t xml:space="preserve"> below), Article 32 of the Constitution (see paragraph </w:t>
      </w:r>
      <w:r w:rsidRPr="008B22A8">
        <w:fldChar w:fldCharType="begin"/>
      </w:r>
      <w:r w:rsidRPr="008B22A8">
        <w:instrText xml:space="preserve">REF paragraph00022 \h \* CharFormat </w:instrText>
      </w:r>
      <w:r w:rsidRPr="008B22A8">
        <w:fldChar w:fldCharType="separate"/>
      </w:r>
      <w:r w:rsidRPr="008B22A8" w:rsidR="008B22A8">
        <w:t>22</w:t>
      </w:r>
      <w:r w:rsidRPr="008B22A8">
        <w:fldChar w:fldCharType="end"/>
      </w:r>
      <w:r w:rsidRPr="008B22A8">
        <w:t xml:space="preserve"> below) and Article 8 of the Convention. He asserted that, </w:t>
      </w:r>
      <w:r w:rsidRPr="008B22A8">
        <w:t>as a result of</w:t>
      </w:r>
      <w:r w:rsidRPr="008B22A8">
        <w:t xml:space="preserve"> the situation complained of, he had been unable to conclude any contracts for legal services between 22 October and 22 November 2018, and that since the video footage remained accessible on YouTube and potential clients could see it when enquiring about him online, the publication of that footage continued to negatively impact his professional activities. He asked that the STP retract the information about his alleged drink-driving on the relevant television channels and websites, accompanied by the following statement: “Bayramov </w:t>
      </w:r>
      <w:r w:rsidRPr="008B22A8">
        <w:t>Bahruz</w:t>
      </w:r>
      <w:r w:rsidRPr="008B22A8">
        <w:t xml:space="preserve"> Front </w:t>
      </w:r>
      <w:r w:rsidRPr="008B22A8">
        <w:t>oglu</w:t>
      </w:r>
      <w:r w:rsidRPr="008B22A8">
        <w:t xml:space="preserve"> did not drive his car while drunk, [we] retract this news by officially apologising” (</w:t>
      </w:r>
      <w:r w:rsidRPr="008B22A8">
        <w:rPr>
          <w:i/>
          <w:iCs/>
        </w:rPr>
        <w:t>“Bayramov B</w:t>
      </w:r>
      <w:r w:rsidRPr="008B22A8">
        <w:rPr>
          <w:i/>
          <w:iCs/>
          <w:lang w:val="az-Latn-AZ"/>
        </w:rPr>
        <w:t>əhruz</w:t>
      </w:r>
      <w:r w:rsidRPr="008B22A8">
        <w:rPr>
          <w:i/>
          <w:iCs/>
          <w:lang w:val="az-Latn-AZ"/>
        </w:rPr>
        <w:t xml:space="preserve"> </w:t>
      </w:r>
      <w:r w:rsidRPr="008B22A8">
        <w:rPr>
          <w:i/>
          <w:iCs/>
          <w:lang w:val="az-Latn-AZ"/>
        </w:rPr>
        <w:t>Front</w:t>
      </w:r>
      <w:r w:rsidRPr="008B22A8">
        <w:rPr>
          <w:i/>
          <w:iCs/>
          <w:lang w:val="az-Latn-AZ"/>
        </w:rPr>
        <w:t xml:space="preserve"> oğlu sərxoş halda avtomobili idarə etməyib rəsmi üzr istəməklə bu xəbəri təkzib edirik”</w:t>
      </w:r>
      <w:r w:rsidRPr="008B22A8">
        <w:rPr>
          <w:lang w:val="az-Latn-AZ"/>
        </w:rPr>
        <w:t xml:space="preserve">). </w:t>
      </w:r>
      <w:r w:rsidRPr="008B22A8">
        <w:rPr>
          <w:lang w:val="az-Latn-AZ"/>
        </w:rPr>
        <w:t>Additionally</w:t>
      </w:r>
      <w:r w:rsidRPr="008B22A8">
        <w:rPr>
          <w:lang w:val="az-Latn-AZ"/>
        </w:rPr>
        <w:t xml:space="preserve">, </w:t>
      </w:r>
      <w:r w:rsidRPr="008B22A8">
        <w:rPr>
          <w:lang w:val="az-Latn-AZ"/>
        </w:rPr>
        <w:t>he</w:t>
      </w:r>
      <w:r w:rsidRPr="008B22A8">
        <w:rPr>
          <w:lang w:val="az-Latn-AZ"/>
        </w:rPr>
        <w:t xml:space="preserve"> </w:t>
      </w:r>
      <w:r w:rsidRPr="008B22A8">
        <w:rPr>
          <w:lang w:val="az-Latn-AZ"/>
        </w:rPr>
        <w:t>claimed</w:t>
      </w:r>
      <w:r w:rsidRPr="008B22A8">
        <w:rPr>
          <w:lang w:val="az-Latn-AZ"/>
        </w:rPr>
        <w:t xml:space="preserve"> </w:t>
      </w:r>
      <w:r w:rsidRPr="008B22A8">
        <w:rPr>
          <w:lang w:val="az-Latn-AZ"/>
        </w:rPr>
        <w:t>compensation</w:t>
      </w:r>
      <w:r w:rsidRPr="008B22A8">
        <w:rPr>
          <w:lang w:val="az-Latn-AZ"/>
        </w:rPr>
        <w:t xml:space="preserve"> of</w:t>
      </w:r>
      <w:r w:rsidRPr="008B22A8">
        <w:t xml:space="preserve"> 300,000 Azerbaijani manats (AZN) in respect of pecuniary and non-pecuniary damage.</w:t>
      </w:r>
    </w:p>
    <w:p w:rsidRPr="008B22A8" w:rsidR="00F404AC" w:rsidP="008B22A8" w14:paraId="1796FDF3" w14:textId="7E58B532">
      <w:pPr>
        <w:pStyle w:val="JuPara"/>
      </w:pPr>
      <w:r>
        <w:fldChar w:fldCharType="begin"/>
      </w:r>
      <w:r>
        <w:instrText xml:space="preserve"> SEQ level0 \*arabic \* MERGEFORMAT </w:instrText>
      </w:r>
      <w:r>
        <w:fldChar w:fldCharType="separate"/>
      </w:r>
      <w:bookmarkStart w:name="paragraph00017" w:id="10"/>
      <w:r w:rsidRPr="008B22A8" w:rsidR="008B22A8">
        <w:rPr>
          <w:noProof/>
        </w:rPr>
        <w:t>16</w:t>
      </w:r>
      <w:bookmarkEnd w:id="10"/>
      <w:r>
        <w:rPr>
          <w:noProof/>
        </w:rPr>
        <w:fldChar w:fldCharType="end"/>
      </w:r>
      <w:r w:rsidRPr="008B22A8">
        <w:t xml:space="preserve">.  On 15 October 2019 the </w:t>
      </w:r>
      <w:r w:rsidRPr="008B22A8">
        <w:t>Yasamal</w:t>
      </w:r>
      <w:r w:rsidRPr="008B22A8">
        <w:t xml:space="preserve"> District Court dismissed the applicant</w:t>
      </w:r>
      <w:r w:rsidRPr="008B22A8" w:rsidR="008B22A8">
        <w:t>’</w:t>
      </w:r>
      <w:r w:rsidRPr="008B22A8">
        <w:t xml:space="preserve">s claim, finding that information about his being stopped by the STP and drink-driving had been shared on social media and news websites, where the Press Service of the Ministry of Internal Affairs had been indicated as the source. The court held, however, that since the applicant had admitted to being drunk when stopped by the STP, he had failed to prove that the publication of the information in question </w:t>
      </w:r>
      <w:r w:rsidRPr="008B22A8">
        <w:t>actually constituted</w:t>
      </w:r>
      <w:r w:rsidRPr="008B22A8">
        <w:t xml:space="preserve"> defamation, and that it was the STP which had made that information and the video footage of him available to the media.</w:t>
      </w:r>
    </w:p>
    <w:p w:rsidRPr="008B22A8" w:rsidR="00F404AC" w:rsidP="008B22A8" w14:paraId="169924BA" w14:textId="2455ADA6">
      <w:pPr>
        <w:pStyle w:val="JuPara"/>
      </w:pPr>
      <w:r>
        <w:fldChar w:fldCharType="begin"/>
      </w:r>
      <w:r>
        <w:instrText xml:space="preserve"> SEQ level0 \*arabic \* MERGEFORMAT </w:instrText>
      </w:r>
      <w:r>
        <w:fldChar w:fldCharType="separate"/>
      </w:r>
      <w:bookmarkStart w:name="paragraph00018" w:id="11"/>
      <w:r w:rsidRPr="008B22A8" w:rsidR="008B22A8">
        <w:rPr>
          <w:noProof/>
        </w:rPr>
        <w:t>17</w:t>
      </w:r>
      <w:bookmarkEnd w:id="11"/>
      <w:r>
        <w:rPr>
          <w:noProof/>
        </w:rPr>
        <w:fldChar w:fldCharType="end"/>
      </w:r>
      <w:r w:rsidRPr="008B22A8">
        <w:t xml:space="preserve">.  The applicant appealed, reiterating his previous arguments (see paragraph </w:t>
      </w:r>
      <w:r w:rsidRPr="008B22A8">
        <w:fldChar w:fldCharType="begin"/>
      </w:r>
      <w:r w:rsidRPr="008B22A8">
        <w:instrText xml:space="preserve">REF paragraph00015 \h \* CharFormat </w:instrText>
      </w:r>
      <w:r w:rsidRPr="008B22A8">
        <w:fldChar w:fldCharType="separate"/>
      </w:r>
      <w:r w:rsidRPr="008B22A8" w:rsidR="008B22A8">
        <w:t>15</w:t>
      </w:r>
      <w:r w:rsidRPr="008B22A8">
        <w:fldChar w:fldCharType="end"/>
      </w:r>
      <w:r w:rsidRPr="008B22A8">
        <w:t xml:space="preserve"> above). He also argued that the first-instance court had failed to examine all the relevant factual circumstances of the case and that its judgment was unlawful and unsubstantiated.</w:t>
      </w:r>
    </w:p>
    <w:p w:rsidRPr="008B22A8" w:rsidR="00F404AC" w:rsidP="008B22A8" w14:paraId="0C22B80F" w14:textId="65C1E707">
      <w:pPr>
        <w:pStyle w:val="JuPara"/>
      </w:pPr>
      <w:r>
        <w:fldChar w:fldCharType="begin"/>
      </w:r>
      <w:r>
        <w:instrText xml:space="preserve"> SEQ level0 \*arabic \* </w:instrText>
      </w:r>
      <w:r>
        <w:instrText xml:space="preserve">MERGEFORMAT </w:instrText>
      </w:r>
      <w:r>
        <w:fldChar w:fldCharType="separate"/>
      </w:r>
      <w:r w:rsidRPr="008B22A8" w:rsidR="008B22A8">
        <w:rPr>
          <w:noProof/>
        </w:rPr>
        <w:t>18</w:t>
      </w:r>
      <w:r>
        <w:rPr>
          <w:noProof/>
        </w:rPr>
        <w:fldChar w:fldCharType="end"/>
      </w:r>
      <w:r w:rsidRPr="008B22A8">
        <w:t>.  On 12 February 2020 the Baku Court of Appeal allowed the applicant</w:t>
      </w:r>
      <w:r w:rsidRPr="008B22A8" w:rsidR="008B22A8">
        <w:t>’</w:t>
      </w:r>
      <w:r w:rsidRPr="008B22A8">
        <w:t>s appeal in part and awarded him AZN 1,000 (approximately 540</w:t>
      </w:r>
      <w:r w:rsidRPr="008B22A8" w:rsidR="007A68E4">
        <w:t> </w:t>
      </w:r>
      <w:r w:rsidRPr="008B22A8">
        <w:t>euros at the relevant time) in respect of non-pecuniary damage. The court held that since there was no proof that the STP had made the information in question available to the media, it could not be held responsible for that. However, it found that the STP had to be held responsible for the unlawful actions of its officials, as the commission of an administrative offence by the applicant had not been proved.</w:t>
      </w:r>
    </w:p>
    <w:p w:rsidRPr="008B22A8" w:rsidR="00F404AC" w:rsidP="008B22A8" w14:paraId="2AFBCBAD" w14:textId="19407ADE">
      <w:pPr>
        <w:pStyle w:val="JuPara"/>
      </w:pPr>
      <w:r>
        <w:fldChar w:fldCharType="begin"/>
      </w:r>
      <w:r>
        <w:instrText xml:space="preserve"> SEQ level0 \*arabic \* MERGEFORMAT </w:instrText>
      </w:r>
      <w:r>
        <w:fldChar w:fldCharType="separate"/>
      </w:r>
      <w:r w:rsidRPr="008B22A8" w:rsidR="008B22A8">
        <w:rPr>
          <w:noProof/>
        </w:rPr>
        <w:t>19</w:t>
      </w:r>
      <w:r>
        <w:rPr>
          <w:noProof/>
        </w:rPr>
        <w:fldChar w:fldCharType="end"/>
      </w:r>
      <w:r w:rsidRPr="008B22A8">
        <w:t>.  Following cassation appeals by both parties, on 21 July 2020 the Supreme Court quashed the appellate court</w:t>
      </w:r>
      <w:r w:rsidRPr="008B22A8" w:rsidR="008B22A8">
        <w:t>’</w:t>
      </w:r>
      <w:r w:rsidRPr="008B22A8">
        <w:t>s judgment and remitted it for fresh examination. The court firstly held that, while under domestic law damages resulting from the actions of State authorities had to be paid by the Ministry of Finance, the lower court had failed to explore the possibility of substituting the defendant – subject to the applicant</w:t>
      </w:r>
      <w:r w:rsidRPr="008B22A8" w:rsidR="008B22A8">
        <w:t>’</w:t>
      </w:r>
      <w:r w:rsidRPr="008B22A8">
        <w:t xml:space="preserve">s consent – or involving the Ministry of Finance as another defendant in the proceedings. It also held that while the administrative-offence proceedings had been terminated on 27 July 2019 for lack of evidence, that decision had later been overturned by the STP on 21 February 2020 and the proceedings had been discontinued as time-barred (see paragraphs </w:t>
      </w:r>
      <w:r w:rsidRPr="008B22A8">
        <w:fldChar w:fldCharType="begin"/>
      </w:r>
      <w:r w:rsidRPr="008B22A8">
        <w:instrText xml:space="preserve">REF paragraph00013 \h \* CharFormat </w:instrText>
      </w:r>
      <w:r w:rsidRPr="008B22A8">
        <w:fldChar w:fldCharType="separate"/>
      </w:r>
      <w:r w:rsidRPr="008B22A8" w:rsidR="008B22A8">
        <w:t>13</w:t>
      </w:r>
      <w:r w:rsidRPr="008B22A8">
        <w:fldChar w:fldCharType="end"/>
      </w:r>
      <w:r w:rsidRPr="008B22A8">
        <w:t>-</w:t>
      </w:r>
      <w:r w:rsidRPr="008B22A8">
        <w:fldChar w:fldCharType="begin"/>
      </w:r>
      <w:r w:rsidRPr="008B22A8">
        <w:instrText xml:space="preserve">REF paragraph00014 \h \* CharFormat </w:instrText>
      </w:r>
      <w:r w:rsidRPr="008B22A8">
        <w:fldChar w:fldCharType="separate"/>
      </w:r>
      <w:r w:rsidRPr="008B22A8" w:rsidR="008B22A8">
        <w:t>14</w:t>
      </w:r>
      <w:r w:rsidRPr="008B22A8">
        <w:fldChar w:fldCharType="end"/>
      </w:r>
      <w:r w:rsidRPr="008B22A8">
        <w:t xml:space="preserve"> above).</w:t>
      </w:r>
    </w:p>
    <w:bookmarkStart w:name="paragraph00020" w:id="12"/>
    <w:p w:rsidRPr="008B22A8" w:rsidR="00F404AC" w:rsidP="008B22A8" w14:paraId="18C1767B" w14:textId="7AA80018">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20</w:t>
      </w:r>
      <w:r w:rsidRPr="008B22A8">
        <w:fldChar w:fldCharType="end"/>
      </w:r>
      <w:bookmarkEnd w:id="12"/>
      <w:r w:rsidRPr="008B22A8">
        <w:t>.  On 6 October 2020 the Baku Court of Appeal upheld the first-instance court</w:t>
      </w:r>
      <w:r w:rsidRPr="008B22A8" w:rsidR="008B22A8">
        <w:t>’</w:t>
      </w:r>
      <w:r w:rsidRPr="008B22A8">
        <w:t>s judgment. The court reiterated that the applicant had failed to prove that the police had distributed the information about his alleged drink-driving to the media. It held that while an excerpt from one website (atmosfer.az) indicated that the information had been given by the Press Service of the Ministry of Internal Affairs, it had not specified “which official exactly”. The court also referred to a letter from the STP dated 1 February 2020, in which it denied distributing the information to the media. It further referred to a letter from a television channel (Real TV) addressed to the STP indicating that its employees had shared a video on YouTube with the title “Operation in Baku – well-known advocate among drunk drivers” (</w:t>
      </w:r>
      <w:r w:rsidRPr="008B22A8">
        <w:rPr>
          <w:i/>
          <w:iCs/>
        </w:rPr>
        <w:t>“</w:t>
      </w:r>
      <w:r w:rsidRPr="008B22A8">
        <w:rPr>
          <w:i/>
          <w:iCs/>
          <w:lang w:val="az-Latn-AZ"/>
        </w:rPr>
        <w:t>Bakıda reyd-sərxoş sürücülər arasında tanınmış vəkil də var”</w:t>
      </w:r>
      <w:r w:rsidRPr="008B22A8">
        <w:rPr>
          <w:lang w:val="az-Latn-AZ"/>
        </w:rPr>
        <w:t xml:space="preserve">) </w:t>
      </w:r>
      <w:r w:rsidRPr="008B22A8">
        <w:t>but had later removed it “taking into account the discontent”. The court added that the claim had not been brought against the correct defendant, as the STP could not be liable to pay damages and State control over the budget was exercised by the Ministry of Finance. It also found that the grounds for the termination of the administrative-offence proceedings against the applicant had no bearing on the examination of the claim.</w:t>
      </w:r>
    </w:p>
    <w:bookmarkStart w:name="paragraph00021" w:id="13"/>
    <w:p w:rsidRPr="008B22A8" w:rsidR="00F404AC" w:rsidP="008B22A8" w14:paraId="50EAFCDD" w14:textId="59CC0F00">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21</w:t>
      </w:r>
      <w:r w:rsidRPr="008B22A8">
        <w:fldChar w:fldCharType="end"/>
      </w:r>
      <w:bookmarkEnd w:id="13"/>
      <w:r w:rsidRPr="008B22A8">
        <w:t>.  On 1 April 2021 the Supreme Court dismissed the applicant</w:t>
      </w:r>
      <w:r w:rsidRPr="008B22A8" w:rsidR="008B22A8">
        <w:t>’</w:t>
      </w:r>
      <w:r w:rsidRPr="008B22A8">
        <w:t>s cassation appeal and upheld the appellate court</w:t>
      </w:r>
      <w:r w:rsidRPr="008B22A8" w:rsidR="008B22A8">
        <w:t>’</w:t>
      </w:r>
      <w:r w:rsidRPr="008B22A8">
        <w:t>s judgment, giving the same reasons.</w:t>
      </w:r>
    </w:p>
    <w:p w:rsidRPr="008B22A8" w:rsidR="00F404AC" w:rsidP="008B22A8" w14:paraId="61F37C41" w14:textId="77777777">
      <w:pPr>
        <w:pStyle w:val="JuHHead"/>
      </w:pPr>
      <w:r w:rsidRPr="008B22A8">
        <w:t>RELEVANT LEGAL FRAMEWORK</w:t>
      </w:r>
    </w:p>
    <w:p w:rsidRPr="008B22A8" w:rsidR="00F404AC" w:rsidP="008B22A8" w14:paraId="54F2BEE0" w14:textId="77777777">
      <w:pPr>
        <w:pStyle w:val="JuHIRoman"/>
      </w:pPr>
      <w:r w:rsidRPr="008B22A8">
        <w:t>THE 1995 CONSTITUTION</w:t>
      </w:r>
    </w:p>
    <w:bookmarkStart w:name="paragraph00022" w:id="14"/>
    <w:p w:rsidRPr="008B22A8" w:rsidR="00F404AC" w:rsidP="008B22A8" w14:paraId="7F917B7A" w14:textId="686A8CFF">
      <w:pPr>
        <w:pStyle w:val="JuPara"/>
        <w:rPr>
          <w:rFonts w:eastAsiaTheme="minorEastAsia"/>
          <w:szCs w:val="22"/>
        </w:rPr>
      </w:pPr>
      <w:r w:rsidRPr="008B22A8">
        <w:fldChar w:fldCharType="begin"/>
      </w:r>
      <w:r w:rsidRPr="008B22A8">
        <w:instrText xml:space="preserve"> SEQ level0 \*arabic \* MERGEFORMAT </w:instrText>
      </w:r>
      <w:r w:rsidRPr="008B22A8">
        <w:fldChar w:fldCharType="separate"/>
      </w:r>
      <w:r w:rsidRPr="008B22A8" w:rsidR="008B22A8">
        <w:rPr>
          <w:noProof/>
        </w:rPr>
        <w:t>22</w:t>
      </w:r>
      <w:r w:rsidRPr="008B22A8">
        <w:fldChar w:fldCharType="end"/>
      </w:r>
      <w:bookmarkEnd w:id="14"/>
      <w:r w:rsidRPr="008B22A8">
        <w:t>.  </w:t>
      </w:r>
      <w:r w:rsidRPr="008B22A8">
        <w:rPr>
          <w:rFonts w:eastAsiaTheme="minorEastAsia"/>
          <w:szCs w:val="22"/>
        </w:rPr>
        <w:t>Article 32 of the Constitution provides as follows:</w:t>
      </w:r>
    </w:p>
    <w:p w:rsidRPr="008B22A8" w:rsidR="00F404AC" w:rsidP="008B22A8" w14:paraId="0B3AEAF0" w14:textId="77777777">
      <w:pPr>
        <w:pStyle w:val="JuHArticle"/>
        <w:rPr>
          <w:rFonts w:eastAsiaTheme="minorEastAsia"/>
        </w:rPr>
      </w:pPr>
      <w:r w:rsidRPr="008B22A8">
        <w:rPr>
          <w:rFonts w:eastAsiaTheme="minorEastAsia"/>
        </w:rPr>
        <w:t>Article 32. Right to personal inviolability</w:t>
      </w:r>
    </w:p>
    <w:p w:rsidRPr="008B22A8" w:rsidR="00F404AC" w:rsidP="008B22A8" w14:paraId="6E53B727" w14:textId="77777777">
      <w:pPr>
        <w:pStyle w:val="JuQuot"/>
        <w:rPr>
          <w:rFonts w:eastAsiaTheme="minorEastAsia"/>
        </w:rPr>
      </w:pPr>
      <w:r w:rsidRPr="008B22A8">
        <w:rPr>
          <w:rFonts w:eastAsiaTheme="minorEastAsia"/>
        </w:rPr>
        <w:t>“I.  Everyone has the right to personal inviolability.</w:t>
      </w:r>
    </w:p>
    <w:p w:rsidRPr="008B22A8" w:rsidR="00F404AC" w:rsidP="008B22A8" w14:paraId="1CA63554" w14:textId="34CDD270">
      <w:pPr>
        <w:pStyle w:val="JuQuot"/>
        <w:rPr>
          <w:rFonts w:eastAsiaTheme="minorEastAsia"/>
        </w:rPr>
      </w:pPr>
      <w:r w:rsidRPr="008B22A8">
        <w:rPr>
          <w:rFonts w:eastAsiaTheme="minorEastAsia"/>
        </w:rPr>
        <w:t>II.  Everyone has the right to keep their private and family life secret. It is prohibited to interfere with a person</w:t>
      </w:r>
      <w:r w:rsidRPr="008B22A8" w:rsidR="008B22A8">
        <w:rPr>
          <w:rFonts w:eastAsiaTheme="minorEastAsia"/>
        </w:rPr>
        <w:t>’</w:t>
      </w:r>
      <w:r w:rsidRPr="008B22A8">
        <w:rPr>
          <w:rFonts w:eastAsiaTheme="minorEastAsia"/>
        </w:rPr>
        <w:t xml:space="preserve">s private or family life, except </w:t>
      </w:r>
      <w:r w:rsidRPr="008B22A8">
        <w:rPr>
          <w:rFonts w:eastAsiaTheme="minorEastAsia"/>
        </w:rPr>
        <w:t>where</w:t>
      </w:r>
      <w:r w:rsidRPr="008B22A8">
        <w:rPr>
          <w:rFonts w:eastAsiaTheme="minorEastAsia"/>
        </w:rPr>
        <w:t xml:space="preserve"> permitted by law. </w:t>
      </w:r>
      <w:r w:rsidRPr="008B22A8">
        <w:rPr>
          <w:rFonts w:eastAsiaTheme="minorEastAsia"/>
        </w:rPr>
        <w:t>Everyone has the right to be protected from unlawful interference in his or her private and family life.</w:t>
      </w:r>
    </w:p>
    <w:p w:rsidRPr="008B22A8" w:rsidR="00F404AC" w:rsidP="008B22A8" w14:paraId="2F588932" w14:textId="6ECC144C">
      <w:pPr>
        <w:pStyle w:val="JuQuot"/>
        <w:rPr>
          <w:rFonts w:eastAsiaTheme="minorEastAsia"/>
        </w:rPr>
      </w:pPr>
      <w:r w:rsidRPr="008B22A8">
        <w:rPr>
          <w:rFonts w:eastAsiaTheme="minorEastAsia"/>
        </w:rPr>
        <w:t xml:space="preserve">III.  No one may collect, keep, </w:t>
      </w:r>
      <w:r w:rsidRPr="008B22A8">
        <w:rPr>
          <w:rFonts w:eastAsiaTheme="minorEastAsia"/>
        </w:rPr>
        <w:t>use</w:t>
      </w:r>
      <w:r w:rsidRPr="008B22A8">
        <w:rPr>
          <w:rFonts w:eastAsiaTheme="minorEastAsia"/>
        </w:rPr>
        <w:t xml:space="preserve"> or publish information about a person</w:t>
      </w:r>
      <w:r w:rsidRPr="008B22A8" w:rsidR="008B22A8">
        <w:rPr>
          <w:rFonts w:eastAsiaTheme="minorEastAsia"/>
        </w:rPr>
        <w:t>’</w:t>
      </w:r>
      <w:r w:rsidRPr="008B22A8">
        <w:rPr>
          <w:rFonts w:eastAsiaTheme="minorEastAsia"/>
        </w:rPr>
        <w:t>s private life without his or her consent. Except in cases prescribed by law, no one may be subjected to being followed, videotaped, photographed or tape recorded or subjected to other similar action without his or her knowledge or against his or her will.</w:t>
      </w:r>
    </w:p>
    <w:p w:rsidRPr="008B22A8" w:rsidR="00F404AC" w:rsidP="008B22A8" w14:paraId="7294070C" w14:textId="77777777">
      <w:pPr>
        <w:pStyle w:val="JuQuot"/>
        <w:rPr>
          <w:rFonts w:eastAsiaTheme="minorEastAsia"/>
        </w:rPr>
      </w:pPr>
      <w:r w:rsidRPr="008B22A8">
        <w:rPr>
          <w:rFonts w:eastAsiaTheme="minorEastAsia"/>
        </w:rPr>
        <w:t xml:space="preserve">IV.  The State guarantees everyone the right to the confidentiality of their correspondence, telephone communications, post, telegraph messages and information sent by other means of communication. This right may be restricted by a procedure provided for by law </w:t>
      </w:r>
      <w:r w:rsidRPr="008B22A8">
        <w:rPr>
          <w:rFonts w:eastAsiaTheme="minorEastAsia"/>
        </w:rPr>
        <w:t>in order to</w:t>
      </w:r>
      <w:r w:rsidRPr="008B22A8">
        <w:rPr>
          <w:rFonts w:eastAsiaTheme="minorEastAsia"/>
        </w:rPr>
        <w:t xml:space="preserve"> prevent crime or to discover the facts when investigating a criminal case.</w:t>
      </w:r>
    </w:p>
    <w:p w:rsidRPr="008B22A8" w:rsidR="00F404AC" w:rsidP="008B22A8" w14:paraId="33DF46EE" w14:textId="77777777">
      <w:pPr>
        <w:pStyle w:val="JuQuot"/>
        <w:rPr>
          <w:rFonts w:eastAsiaTheme="minorEastAsia"/>
        </w:rPr>
      </w:pPr>
      <w:r w:rsidRPr="008B22A8">
        <w:rPr>
          <w:rFonts w:eastAsiaTheme="minorEastAsia"/>
        </w:rPr>
        <w:t>V.  Except where otherwise prescribed by law, everyone may have access to information about him or her. Everyone has a right to request the correction or deletion of information about him or her which does not correspond to the truth, is incomplete or has been collected in violation of the requirements of the law ...”</w:t>
      </w:r>
    </w:p>
    <w:p w:rsidRPr="008B22A8" w:rsidR="00F404AC" w:rsidP="008B22A8" w14:paraId="17B0DDC6" w14:textId="6AC213CF">
      <w:pPr>
        <w:pStyle w:val="JuPara"/>
        <w:rPr>
          <w:rFonts w:eastAsiaTheme="minorEastAsia"/>
          <w:bCs/>
        </w:rPr>
      </w:pPr>
      <w:r w:rsidRPr="008B22A8">
        <w:rPr>
          <w:rFonts w:eastAsiaTheme="minorEastAsia"/>
          <w:bCs/>
        </w:rPr>
        <w:fldChar w:fldCharType="begin"/>
      </w:r>
      <w:r w:rsidRPr="008B22A8">
        <w:rPr>
          <w:rFonts w:eastAsiaTheme="minorEastAsia"/>
          <w:bCs/>
        </w:rPr>
        <w:instrText xml:space="preserve"> SEQ level0 \*arabic \* MERGEFORMAT </w:instrText>
      </w:r>
      <w:r w:rsidRPr="008B22A8">
        <w:rPr>
          <w:rFonts w:eastAsiaTheme="minorEastAsia"/>
          <w:bCs/>
        </w:rPr>
        <w:fldChar w:fldCharType="separate"/>
      </w:r>
      <w:r w:rsidRPr="008B22A8" w:rsidR="008B22A8">
        <w:rPr>
          <w:rFonts w:eastAsiaTheme="minorEastAsia"/>
          <w:bCs/>
          <w:noProof/>
        </w:rPr>
        <w:t>23</w:t>
      </w:r>
      <w:r w:rsidRPr="008B22A8">
        <w:rPr>
          <w:rFonts w:eastAsiaTheme="minorEastAsia"/>
          <w:bCs/>
        </w:rPr>
        <w:fldChar w:fldCharType="end"/>
      </w:r>
      <w:r w:rsidRPr="008B22A8">
        <w:rPr>
          <w:rFonts w:eastAsiaTheme="minorEastAsia"/>
          <w:bCs/>
        </w:rPr>
        <w:t>.  Article 46 of the Constitution provides:</w:t>
      </w:r>
    </w:p>
    <w:p w:rsidRPr="008B22A8" w:rsidR="00F404AC" w:rsidP="008B22A8" w14:paraId="7738A914" w14:textId="77777777">
      <w:pPr>
        <w:pStyle w:val="JuQuot"/>
        <w:rPr>
          <w:rFonts w:eastAsiaTheme="minorEastAsia"/>
        </w:rPr>
      </w:pPr>
      <w:r w:rsidRPr="008B22A8">
        <w:rPr>
          <w:rFonts w:eastAsiaTheme="minorEastAsia"/>
        </w:rPr>
        <w:t>“I.  Everyone has the right to defend his or her honour and dignity.</w:t>
      </w:r>
    </w:p>
    <w:p w:rsidRPr="008B22A8" w:rsidR="00F404AC" w:rsidP="008B22A8" w14:paraId="53BB4E4A" w14:textId="2210BDE8">
      <w:pPr>
        <w:pStyle w:val="JuQuot"/>
        <w:rPr>
          <w:rFonts w:eastAsiaTheme="minorEastAsia"/>
        </w:rPr>
      </w:pPr>
      <w:r w:rsidRPr="008B22A8">
        <w:rPr>
          <w:rFonts w:eastAsiaTheme="minorEastAsia"/>
        </w:rPr>
        <w:t>II.  The dignity of a person is protected by the State. No circumstance can justify the humiliation of a person by an affront to that person</w:t>
      </w:r>
      <w:r w:rsidRPr="008B22A8" w:rsidR="008B22A8">
        <w:rPr>
          <w:rFonts w:eastAsiaTheme="minorEastAsia"/>
        </w:rPr>
        <w:t>’</w:t>
      </w:r>
      <w:r w:rsidRPr="008B22A8">
        <w:rPr>
          <w:rFonts w:eastAsiaTheme="minorEastAsia"/>
        </w:rPr>
        <w:t>s dignity ...”</w:t>
      </w:r>
    </w:p>
    <w:p w:rsidRPr="008B22A8" w:rsidR="00F404AC" w:rsidP="008B22A8" w14:paraId="53B7479F" w14:textId="77777777">
      <w:pPr>
        <w:pStyle w:val="JuHIRoman"/>
        <w:rPr>
          <w:rFonts w:eastAsiaTheme="minorEastAsia"/>
        </w:rPr>
      </w:pPr>
      <w:r w:rsidRPr="008B22A8">
        <w:rPr>
          <w:rFonts w:eastAsiaTheme="minorEastAsia"/>
        </w:rPr>
        <w:t>THE 2016 CODE OF ADMINISTRATIVE OFFENCES</w:t>
      </w:r>
    </w:p>
    <w:bookmarkStart w:name="paragraph00024" w:id="15"/>
    <w:p w:rsidRPr="008B22A8" w:rsidR="00F404AC" w:rsidP="008B22A8" w14:paraId="39437754" w14:textId="71CBABE7">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24</w:t>
      </w:r>
      <w:r w:rsidRPr="008B22A8">
        <w:fldChar w:fldCharType="end"/>
      </w:r>
      <w:bookmarkEnd w:id="15"/>
      <w:r w:rsidRPr="008B22A8">
        <w:t>.  Article 8.1 of the Code of Administrative Offences provides that if the guilt of a person against whom administrative-offence proceedings are being conducted is not proven in accordance with the procedure set out in the Code, and this is not determined by decision of the judge or competent body (official) that heard the case, the person is considered innocent.</w:t>
      </w:r>
    </w:p>
    <w:bookmarkStart w:name="paragraph00025" w:id="16"/>
    <w:p w:rsidRPr="008B22A8" w:rsidR="00F404AC" w:rsidP="008B22A8" w14:paraId="6C459FD0" w14:textId="5569AB11">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25</w:t>
      </w:r>
      <w:r w:rsidRPr="008B22A8">
        <w:fldChar w:fldCharType="end"/>
      </w:r>
      <w:bookmarkEnd w:id="16"/>
      <w:r w:rsidRPr="008B22A8">
        <w:t xml:space="preserve">.  Article 51.2, as in force at the material time, provided that a photograph taken, or a video or audio-recording made, </w:t>
      </w:r>
      <w:r w:rsidRPr="008B22A8">
        <w:t>in the course of</w:t>
      </w:r>
      <w:r w:rsidRPr="008B22A8">
        <w:t xml:space="preserve"> administrative-offence proceedings could not be published in the mass media without the consent of the person against whom the proceedings were being conducted.</w:t>
      </w:r>
    </w:p>
    <w:bookmarkStart w:name="paragraph00026" w:id="17"/>
    <w:p w:rsidRPr="008B22A8" w:rsidR="00F404AC" w:rsidP="008B22A8" w14:paraId="4610E7A6" w14:textId="4079594F">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26</w:t>
      </w:r>
      <w:r w:rsidRPr="008B22A8">
        <w:fldChar w:fldCharType="end"/>
      </w:r>
      <w:bookmarkEnd w:id="17"/>
      <w:r w:rsidRPr="008B22A8">
        <w:t>.  Article 53.0.1 (which became Article 53.1.1 after 23 February 2021) provided that administrative-offence proceedings could not be initiated if no administrative offence had been committed, and that any proceedings already initiated had to be terminated.</w:t>
      </w:r>
    </w:p>
    <w:bookmarkStart w:name="paragraph00027" w:id="18"/>
    <w:p w:rsidRPr="008B22A8" w:rsidR="00F404AC" w:rsidP="008B22A8" w14:paraId="1193932A" w14:textId="2803FE84">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27</w:t>
      </w:r>
      <w:r w:rsidRPr="008B22A8">
        <w:fldChar w:fldCharType="end"/>
      </w:r>
      <w:bookmarkEnd w:id="18"/>
      <w:r w:rsidRPr="008B22A8">
        <w:t>.  Articles 69.2 to 69.4, in force at the material time, provided for the mandatory attendance of attesting witnesses during certain procedures, including examinations to determine a person</w:t>
      </w:r>
      <w:r w:rsidRPr="008B22A8" w:rsidR="008B22A8">
        <w:t>’</w:t>
      </w:r>
      <w:r w:rsidRPr="008B22A8">
        <w:t>s state of intoxication. These provisions required that the involvement of attesting witnesses, along with any comments they had regarding the procedural steps taken, be documented in the corresponding report. Witnesses confirmed the procedural steps carried out in their presence, including their content and results, by signing the report.</w:t>
      </w:r>
    </w:p>
    <w:p w:rsidRPr="008B22A8" w:rsidR="00F404AC" w:rsidP="008B22A8" w14:paraId="65816D26" w14:textId="2C077A44">
      <w:pPr>
        <w:pStyle w:val="JuPara"/>
      </w:pPr>
      <w:r>
        <w:fldChar w:fldCharType="begin"/>
      </w:r>
      <w:r>
        <w:instrText xml:space="preserve"> SEQ level0 \*arabic \* MERGEFORMAT </w:instrText>
      </w:r>
      <w:r>
        <w:fldChar w:fldCharType="separate"/>
      </w:r>
      <w:r w:rsidRPr="008B22A8" w:rsidR="008B22A8">
        <w:rPr>
          <w:noProof/>
        </w:rPr>
        <w:t>28</w:t>
      </w:r>
      <w:r>
        <w:rPr>
          <w:noProof/>
        </w:rPr>
        <w:fldChar w:fldCharType="end"/>
      </w:r>
      <w:r w:rsidRPr="008B22A8">
        <w:t>.  Article 96.3 provides that a report must be drawn up on a driver</w:t>
      </w:r>
      <w:r w:rsidRPr="008B22A8" w:rsidR="008B22A8">
        <w:t>’</w:t>
      </w:r>
      <w:r w:rsidRPr="008B22A8">
        <w:t>s disqualification from driving, the use of special technical means to determine his or her state of intoxication or referral for a medical examination.</w:t>
      </w:r>
    </w:p>
    <w:p w:rsidRPr="008B22A8" w:rsidR="00F404AC" w:rsidP="008B22A8" w14:paraId="3145422B" w14:textId="5277E5A0">
      <w:pPr>
        <w:pStyle w:val="JuPara"/>
      </w:pPr>
      <w:r>
        <w:fldChar w:fldCharType="begin"/>
      </w:r>
      <w:r>
        <w:instrText xml:space="preserve"> SEQ level0 \*arabic \* MERGEFORMAT </w:instrText>
      </w:r>
      <w:r>
        <w:fldChar w:fldCharType="separate"/>
      </w:r>
      <w:r w:rsidRPr="008B22A8" w:rsidR="008B22A8">
        <w:rPr>
          <w:noProof/>
        </w:rPr>
        <w:t>29</w:t>
      </w:r>
      <w:r>
        <w:rPr>
          <w:noProof/>
        </w:rPr>
        <w:fldChar w:fldCharType="end"/>
      </w:r>
      <w:r w:rsidRPr="008B22A8">
        <w:t>.  Article 96.5 provides that the report on a driver</w:t>
      </w:r>
      <w:r w:rsidRPr="008B22A8" w:rsidR="008B22A8">
        <w:t>’</w:t>
      </w:r>
      <w:r w:rsidRPr="008B22A8">
        <w:t>s disqualification from driving, the use of special technical means to determine his or her state of intoxication or referral for a medical examination must be signed by the official who drew up the report and the driver to whom the above-mentioned measures are applied. If the driver refuses to sign the report, a corresponding note is made in the report. The driver has the right to explain and provide comments on the content of the report, as well as to indicate the reasons for refusing to sign it. The explanation and comments are added to the report. A copy of the report must be provided to the driver.</w:t>
      </w:r>
    </w:p>
    <w:p w:rsidRPr="008B22A8" w:rsidR="00F404AC" w:rsidP="008B22A8" w14:paraId="49082CA9" w14:textId="0EA24333">
      <w:pPr>
        <w:pStyle w:val="JuPara"/>
      </w:pPr>
      <w:r>
        <w:fldChar w:fldCharType="begin"/>
      </w:r>
      <w:r>
        <w:instrText xml:space="preserve"> SEQ level0 \*arabic \* MERGEFORMAT </w:instrText>
      </w:r>
      <w:r>
        <w:fldChar w:fldCharType="separate"/>
      </w:r>
      <w:r w:rsidRPr="008B22A8" w:rsidR="008B22A8">
        <w:rPr>
          <w:noProof/>
        </w:rPr>
        <w:t>30</w:t>
      </w:r>
      <w:r>
        <w:rPr>
          <w:noProof/>
        </w:rPr>
        <w:fldChar w:fldCharType="end"/>
      </w:r>
      <w:r w:rsidRPr="008B22A8">
        <w:t>.  Article 96.6 provides that the report on the medical examination to determine a driver</w:t>
      </w:r>
      <w:r w:rsidRPr="008B22A8" w:rsidR="008B22A8">
        <w:t>’</w:t>
      </w:r>
      <w:r w:rsidRPr="008B22A8">
        <w:t>s state of intoxication is attached to the relevant report.</w:t>
      </w:r>
    </w:p>
    <w:bookmarkStart w:name="paragraph00031" w:id="19"/>
    <w:p w:rsidRPr="008B22A8" w:rsidR="00F404AC" w:rsidP="008B22A8" w14:paraId="59A61C58" w14:textId="456ACE75">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31</w:t>
      </w:r>
      <w:r w:rsidRPr="008B22A8">
        <w:fldChar w:fldCharType="end"/>
      </w:r>
      <w:bookmarkEnd w:id="19"/>
      <w:r w:rsidRPr="008B22A8">
        <w:t>.  Article 101 provides that an administrative-offence report must be drawn up immediately after the offence is discovered. In cases where additional clarification of the circumstances, as well as information about the identity of the person, are needed, the administrative-offence report must be drawn up within two days of the offence being discovered.</w:t>
      </w:r>
    </w:p>
    <w:bookmarkStart w:name="paragraph00032" w:id="20"/>
    <w:p w:rsidRPr="008B22A8" w:rsidR="00F404AC" w:rsidP="008B22A8" w14:paraId="549A4AB6" w14:textId="3561EDF1">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32</w:t>
      </w:r>
      <w:r w:rsidRPr="008B22A8">
        <w:fldChar w:fldCharType="end"/>
      </w:r>
      <w:bookmarkEnd w:id="20"/>
      <w:r w:rsidRPr="008B22A8">
        <w:t>.  Article 329.1 provides that driving without a seatbelt is punishable by a fine of AZN 40.</w:t>
      </w:r>
    </w:p>
    <w:bookmarkStart w:name="paragraph00033" w:id="21"/>
    <w:p w:rsidRPr="008B22A8" w:rsidR="00F404AC" w:rsidP="008B22A8" w14:paraId="3E3113CA" w14:textId="0385A7A4">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33</w:t>
      </w:r>
      <w:r w:rsidRPr="008B22A8">
        <w:fldChar w:fldCharType="end"/>
      </w:r>
      <w:bookmarkEnd w:id="21"/>
      <w:r w:rsidRPr="008B22A8">
        <w:t>.  Article 333.1 provides that drink-driving is punishable by a fine of up to AZN 400 or a ban on driving for six months to a year.</w:t>
      </w:r>
    </w:p>
    <w:p w:rsidRPr="008B22A8" w:rsidR="00F404AC" w:rsidP="008B22A8" w14:paraId="7BD106E5" w14:textId="77777777">
      <w:pPr>
        <w:pStyle w:val="JuHIRoman"/>
      </w:pPr>
      <w:r w:rsidRPr="008B22A8">
        <w:t>The 2000 CIVIL CODE</w:t>
      </w:r>
    </w:p>
    <w:p w:rsidRPr="008B22A8" w:rsidR="00F404AC" w:rsidP="008B22A8" w14:paraId="1D026938" w14:textId="69BFB374">
      <w:pPr>
        <w:pStyle w:val="JuPara"/>
      </w:pPr>
      <w:r>
        <w:fldChar w:fldCharType="begin"/>
      </w:r>
      <w:r>
        <w:instrText xml:space="preserve"> SEQ level0 \*arabic \* MERGEFORMAT </w:instrText>
      </w:r>
      <w:r>
        <w:fldChar w:fldCharType="separate"/>
      </w:r>
      <w:r w:rsidRPr="008B22A8" w:rsidR="008B22A8">
        <w:rPr>
          <w:noProof/>
        </w:rPr>
        <w:t>34</w:t>
      </w:r>
      <w:r>
        <w:rPr>
          <w:noProof/>
        </w:rPr>
        <w:fldChar w:fldCharType="end"/>
      </w:r>
      <w:r w:rsidRPr="008B22A8">
        <w:t>.  Article 23 of the Civil Code, as in force at the material time, provided as follows:</w:t>
      </w:r>
    </w:p>
    <w:p w:rsidRPr="008B22A8" w:rsidR="00F404AC" w:rsidP="008B22A8" w14:paraId="008B3DB9" w14:textId="77777777">
      <w:pPr>
        <w:pStyle w:val="JuQuot"/>
      </w:pPr>
      <w:r w:rsidRPr="008B22A8">
        <w:t xml:space="preserve">“23.1.  An individual is entitled to obtain, by way of a court order, a retraction of information harming his or her honour, </w:t>
      </w:r>
      <w:r w:rsidRPr="008B22A8">
        <w:t>dignity</w:t>
      </w:r>
      <w:r w:rsidRPr="008B22A8">
        <w:t xml:space="preserve"> or business reputation, disclosing secrets relating to his or her private or family life or breaching his or her personal or family inviolability, provided that the person who disseminated such information fails to prove that the information was true. The same rule shall also apply in cases of incomplete publication of </w:t>
      </w:r>
      <w:r w:rsidRPr="008B22A8">
        <w:t>factual information</w:t>
      </w:r>
      <w:r w:rsidRPr="008B22A8">
        <w:t xml:space="preserve"> if, as a result, the honour, dignity or business reputation of an individual is harmed ...</w:t>
      </w:r>
    </w:p>
    <w:p w:rsidRPr="008B22A8" w:rsidR="00F404AC" w:rsidP="008B22A8" w14:paraId="78CB9468" w14:textId="77777777">
      <w:pPr>
        <w:pStyle w:val="JuQuot"/>
      </w:pPr>
      <w:r w:rsidRPr="008B22A8">
        <w:t xml:space="preserve">23.2.  If information harming the honour, </w:t>
      </w:r>
      <w:r w:rsidRPr="008B22A8">
        <w:t>dignity</w:t>
      </w:r>
      <w:r w:rsidRPr="008B22A8">
        <w:t xml:space="preserve"> or business reputation of an individual or invading the secrecy of his or her private or family life is disseminated in the mass media, the information shall be retracted in the same mass media source ...</w:t>
      </w:r>
    </w:p>
    <w:p w:rsidRPr="008B22A8" w:rsidR="00F404AC" w:rsidP="008B22A8" w14:paraId="35094E72" w14:textId="3B675628">
      <w:pPr>
        <w:pStyle w:val="JuQuot"/>
      </w:pPr>
      <w:r w:rsidRPr="008B22A8">
        <w:t>23.3.  If the mass media publish information breaching an individual</w:t>
      </w:r>
      <w:r w:rsidRPr="008B22A8" w:rsidR="008B22A8">
        <w:t>’</w:t>
      </w:r>
      <w:r w:rsidRPr="008B22A8">
        <w:t>s rights and interests protected by law, that individual has the right to publish his or her reply in the same mass media source.</w:t>
      </w:r>
    </w:p>
    <w:p w:rsidRPr="008B22A8" w:rsidR="00F404AC" w:rsidP="008B22A8" w14:paraId="411349C0" w14:textId="77777777">
      <w:pPr>
        <w:pStyle w:val="JuQuot"/>
      </w:pPr>
      <w:r w:rsidRPr="008B22A8">
        <w:t>23.4.  In addition to the right to seek a retraction of the information harming his or her honour, dignity or business reputation, the individual has the right to claim compensation for damage caused by the dissemination of such information ...”</w:t>
      </w:r>
    </w:p>
    <w:p w:rsidRPr="008B22A8" w:rsidR="00F404AC" w:rsidP="008B22A8" w14:paraId="1C011887" w14:textId="77777777">
      <w:pPr>
        <w:pStyle w:val="JuHHead"/>
        <w:numPr>
          <w:ilvl w:val="0"/>
          <w:numId w:val="2"/>
        </w:numPr>
        <w:tabs>
          <w:tab w:val="num" w:pos="340"/>
        </w:tabs>
        <w:ind w:left="340" w:hanging="340"/>
      </w:pPr>
      <w:r w:rsidRPr="008B22A8">
        <w:t>THE LAW</w:t>
      </w:r>
    </w:p>
    <w:p w:rsidRPr="008B22A8" w:rsidR="00F404AC" w:rsidP="008B22A8" w14:paraId="7116BB59" w14:textId="77777777">
      <w:pPr>
        <w:pStyle w:val="JuHIRoman"/>
        <w:numPr>
          <w:ilvl w:val="1"/>
          <w:numId w:val="3"/>
        </w:numPr>
        <w:tabs>
          <w:tab w:val="left" w:pos="567"/>
          <w:tab w:val="left" w:pos="680"/>
        </w:tabs>
        <w:ind w:left="0" w:firstLine="0"/>
      </w:pPr>
      <w:r w:rsidRPr="008B22A8">
        <w:t>ALLEGED VIOLATION OF ARTICLE 8 OF THE CONVENTION</w:t>
      </w:r>
    </w:p>
    <w:p w:rsidRPr="008B22A8" w:rsidR="00F404AC" w:rsidP="008B22A8" w14:paraId="101E2A0A" w14:textId="738A67BC">
      <w:pPr>
        <w:pStyle w:val="JuPara"/>
      </w:pPr>
      <w:r>
        <w:fldChar w:fldCharType="begin"/>
      </w:r>
      <w:r>
        <w:instrText xml:space="preserve"> SEQ level0 \*arabic \* MERGEFORMAT </w:instrText>
      </w:r>
      <w:r>
        <w:fldChar w:fldCharType="separate"/>
      </w:r>
      <w:r w:rsidRPr="008B22A8" w:rsidR="008B22A8">
        <w:rPr>
          <w:noProof/>
        </w:rPr>
        <w:t>35</w:t>
      </w:r>
      <w:r>
        <w:rPr>
          <w:noProof/>
        </w:rPr>
        <w:fldChar w:fldCharType="end"/>
      </w:r>
      <w:r w:rsidRPr="008B22A8">
        <w:t>.  The applicant complained, under Articles 6 and 8 of the Convention, that the unlawful filming of him and the subsequent publication of that footage by the STP had breached his right to respect for his private life, and that the domestic courts had failed to provide adequate reasoning in their judgments when dismissing his claim.</w:t>
      </w:r>
    </w:p>
    <w:p w:rsidRPr="008B22A8" w:rsidR="00F404AC" w:rsidP="008B22A8" w14:paraId="703F79E7" w14:textId="3B792E6B">
      <w:pPr>
        <w:pStyle w:val="JuPara"/>
      </w:pPr>
      <w:r>
        <w:fldChar w:fldCharType="begin"/>
      </w:r>
      <w:r>
        <w:instrText xml:space="preserve"> SEQ level0 \*arabic \* MERGEFORMAT </w:instrText>
      </w:r>
      <w:r>
        <w:fldChar w:fldCharType="separate"/>
      </w:r>
      <w:r w:rsidRPr="008B22A8" w:rsidR="008B22A8">
        <w:rPr>
          <w:noProof/>
        </w:rPr>
        <w:t>36</w:t>
      </w:r>
      <w:r>
        <w:rPr>
          <w:noProof/>
        </w:rPr>
        <w:fldChar w:fldCharType="end"/>
      </w:r>
      <w:r w:rsidRPr="008B22A8">
        <w:t xml:space="preserve">.  Being the master of the characterisation to be given in law to the facts of a case (see, for example, </w:t>
      </w:r>
      <w:r w:rsidRPr="008B22A8">
        <w:rPr>
          <w:i/>
          <w:iCs/>
        </w:rPr>
        <w:t>Radomilja</w:t>
      </w:r>
      <w:r w:rsidRPr="008B22A8">
        <w:rPr>
          <w:i/>
          <w:iCs/>
        </w:rPr>
        <w:t xml:space="preserve"> and Others v. Croatia</w:t>
      </w:r>
      <w:r w:rsidRPr="008B22A8">
        <w:t xml:space="preserve"> [GC], nos. 37685/10 and 22768/12, § 126, 20 March 2018), the Court considers that the complaint falls to be examined solely under Article 8 of the Convention, which reads as follows:</w:t>
      </w:r>
    </w:p>
    <w:p w:rsidRPr="008B22A8" w:rsidR="00F404AC" w:rsidP="008B22A8" w14:paraId="4E347C91" w14:textId="77777777">
      <w:pPr>
        <w:pStyle w:val="JuQuot"/>
      </w:pPr>
      <w:r w:rsidRPr="008B22A8">
        <w:t xml:space="preserve">“1.  Everyone has the right to respect for his private and family life, his </w:t>
      </w:r>
      <w:r w:rsidRPr="008B22A8">
        <w:t>home</w:t>
      </w:r>
      <w:r w:rsidRPr="008B22A8">
        <w:t xml:space="preserve"> and his correspondence.</w:t>
      </w:r>
    </w:p>
    <w:p w:rsidRPr="008B22A8" w:rsidR="00F404AC" w:rsidP="008B22A8" w14:paraId="4E9BA503" w14:textId="77777777">
      <w:pPr>
        <w:pStyle w:val="JuQuot"/>
      </w:pPr>
      <w:r w:rsidRPr="008B22A8">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8B22A8" w:rsidR="00F404AC" w:rsidP="008B22A8" w14:paraId="441631DE" w14:textId="77777777">
      <w:pPr>
        <w:pStyle w:val="JuHA"/>
      </w:pPr>
      <w:r w:rsidRPr="008B22A8">
        <w:t>Admissibility</w:t>
      </w:r>
    </w:p>
    <w:p w:rsidRPr="008B22A8" w:rsidR="00F404AC" w:rsidP="008B22A8" w14:paraId="2283D9F5" w14:textId="77777777">
      <w:pPr>
        <w:pStyle w:val="JuH1"/>
      </w:pPr>
      <w:r w:rsidRPr="008B22A8">
        <w:t>Applicability</w:t>
      </w:r>
    </w:p>
    <w:p w:rsidRPr="008B22A8" w:rsidR="00F404AC" w:rsidP="008B22A8" w14:paraId="374D4A58" w14:textId="56F1942F">
      <w:pPr>
        <w:pStyle w:val="JuPara"/>
      </w:pPr>
      <w:r>
        <w:fldChar w:fldCharType="begin"/>
      </w:r>
      <w:r>
        <w:instrText xml:space="preserve"> SEQ level0 \*arabic \* MERGEFORMAT </w:instrText>
      </w:r>
      <w:r>
        <w:fldChar w:fldCharType="separate"/>
      </w:r>
      <w:r w:rsidRPr="008B22A8" w:rsidR="008B22A8">
        <w:rPr>
          <w:noProof/>
        </w:rPr>
        <w:t>37</w:t>
      </w:r>
      <w:r>
        <w:rPr>
          <w:noProof/>
        </w:rPr>
        <w:fldChar w:fldCharType="end"/>
      </w:r>
      <w:r w:rsidRPr="008B22A8">
        <w:t>.  The Court observes at the outset that the Government did not raise any objection as regards the applicability of Article 8 to the present case. As the question of applicability is an issue of the Court</w:t>
      </w:r>
      <w:r w:rsidRPr="008B22A8" w:rsidR="008B22A8">
        <w:t>’</w:t>
      </w:r>
      <w:r w:rsidRPr="008B22A8">
        <w:t xml:space="preserve">s jurisdiction </w:t>
      </w:r>
      <w:r w:rsidRPr="008B22A8">
        <w:rPr>
          <w:i/>
          <w:iCs/>
        </w:rPr>
        <w:t>ratione</w:t>
      </w:r>
      <w:r w:rsidRPr="008B22A8">
        <w:rPr>
          <w:i/>
          <w:iCs/>
        </w:rPr>
        <w:t xml:space="preserve"> </w:t>
      </w:r>
      <w:r w:rsidRPr="008B22A8">
        <w:rPr>
          <w:i/>
          <w:iCs/>
        </w:rPr>
        <w:t>materiae</w:t>
      </w:r>
      <w:r w:rsidRPr="008B22A8">
        <w:t xml:space="preserve">, the Court will examine it at the admissibility stage (see </w:t>
      </w:r>
      <w:r w:rsidRPr="008B22A8">
        <w:rPr>
          <w:i/>
        </w:rPr>
        <w:t>Denisov v.</w:t>
      </w:r>
      <w:r w:rsidRPr="008B22A8" w:rsidR="00445C21">
        <w:rPr>
          <w:i/>
        </w:rPr>
        <w:t> </w:t>
      </w:r>
      <w:r w:rsidRPr="008B22A8">
        <w:rPr>
          <w:i/>
        </w:rPr>
        <w:t>Ukraine</w:t>
      </w:r>
      <w:r w:rsidRPr="008B22A8">
        <w:t xml:space="preserve"> [GC], no. 76639/11, § 93, 25 September 2018, and </w:t>
      </w:r>
      <w:r w:rsidRPr="008B22A8">
        <w:rPr>
          <w:i/>
          <w:iCs/>
        </w:rPr>
        <w:t>Liebscher</w:t>
      </w:r>
      <w:r w:rsidRPr="008B22A8">
        <w:rPr>
          <w:i/>
          <w:iCs/>
        </w:rPr>
        <w:t xml:space="preserve"> v.</w:t>
      </w:r>
      <w:r w:rsidRPr="008B22A8" w:rsidR="007D7B8A">
        <w:rPr>
          <w:bCs/>
          <w:i/>
          <w:iCs/>
        </w:rPr>
        <w:t> </w:t>
      </w:r>
      <w:r w:rsidRPr="008B22A8">
        <w:rPr>
          <w:i/>
          <w:iCs/>
        </w:rPr>
        <w:t>Austria</w:t>
      </w:r>
      <w:r w:rsidRPr="008B22A8">
        <w:t>, no. 5434/17, § 30, 6 April 2021).</w:t>
      </w:r>
    </w:p>
    <w:p w:rsidRPr="008B22A8" w:rsidR="00F404AC" w:rsidP="008B22A8" w14:paraId="2B29F09B" w14:textId="70DF3768">
      <w:pPr>
        <w:pStyle w:val="JuPara"/>
      </w:pPr>
      <w:r>
        <w:fldChar w:fldCharType="begin"/>
      </w:r>
      <w:r>
        <w:instrText xml:space="preserve"> SEQ level0 \*arabi</w:instrText>
      </w:r>
      <w:r>
        <w:instrText xml:space="preserve">c \* MERGEFORMAT </w:instrText>
      </w:r>
      <w:r>
        <w:fldChar w:fldCharType="separate"/>
      </w:r>
      <w:r w:rsidRPr="008B22A8" w:rsidR="008B22A8">
        <w:rPr>
          <w:noProof/>
        </w:rPr>
        <w:t>38</w:t>
      </w:r>
      <w:r>
        <w:rPr>
          <w:noProof/>
        </w:rPr>
        <w:fldChar w:fldCharType="end"/>
      </w:r>
      <w:r w:rsidRPr="008B22A8">
        <w:t xml:space="preserve">.  The Court reiterates that the right to protection of reputation is a right which is protected by Article 8 of the Convention as part of the right to respect for private life. </w:t>
      </w:r>
      <w:r w:rsidRPr="008B22A8">
        <w:t>In order for</w:t>
      </w:r>
      <w:r w:rsidRPr="008B22A8">
        <w:t xml:space="preserve"> that provision to come into play, an attack on a person</w:t>
      </w:r>
      <w:r w:rsidRPr="008B22A8" w:rsidR="008B22A8">
        <w:t>’</w:t>
      </w:r>
      <w:r w:rsidRPr="008B22A8">
        <w:t xml:space="preserve">s reputation must attain a certain level of seriousness and in a manner causing prejudice to personal enjoyment of the right to respect for private life (see </w:t>
      </w:r>
      <w:r w:rsidRPr="008B22A8">
        <w:rPr>
          <w:i/>
        </w:rPr>
        <w:t>Axel Springer AG v. Germany</w:t>
      </w:r>
      <w:r w:rsidRPr="008B22A8">
        <w:t xml:space="preserve"> [GC], no. 39954/08, § 83, 7 February 2012). This requirement covers social reputation in general, as well as professional reputation in particular (see </w:t>
      </w:r>
      <w:r w:rsidRPr="008B22A8">
        <w:rPr>
          <w:i/>
          <w:iCs/>
        </w:rPr>
        <w:t>Denisov</w:t>
      </w:r>
      <w:r w:rsidRPr="008B22A8">
        <w:t>, cited above, § 112).</w:t>
      </w:r>
    </w:p>
    <w:p w:rsidRPr="008B22A8" w:rsidR="00F404AC" w:rsidP="008B22A8" w14:paraId="03002D99" w14:textId="31C04D2C">
      <w:pPr>
        <w:pStyle w:val="JuPara"/>
        <w:rPr>
          <w:rFonts w:eastAsia="Times New Roman"/>
          <w:szCs w:val="20"/>
          <w:lang w:val="en-US" w:eastAsia="fr-FR"/>
        </w:rPr>
      </w:pPr>
      <w:r>
        <w:fldChar w:fldCharType="begin"/>
      </w:r>
      <w:r>
        <w:instrText xml:space="preserve"> SEQ level0 \*arabic \* MERGEFORMAT </w:instrText>
      </w:r>
      <w:r>
        <w:fldChar w:fldCharType="separate"/>
      </w:r>
      <w:r w:rsidRPr="008B22A8" w:rsidR="008B22A8">
        <w:rPr>
          <w:noProof/>
        </w:rPr>
        <w:t>39</w:t>
      </w:r>
      <w:r>
        <w:rPr>
          <w:noProof/>
        </w:rPr>
        <w:fldChar w:fldCharType="end"/>
      </w:r>
      <w:r w:rsidRPr="008B22A8">
        <w:t>.  </w:t>
      </w:r>
      <w:r w:rsidRPr="008B22A8">
        <w:rPr>
          <w:rFonts w:ascii="Times New Roman" w:hAnsi="Times New Roman" w:eastAsia="Times New Roman" w:cs="Times New Roman"/>
          <w:szCs w:val="20"/>
          <w:lang w:eastAsia="fr-FR"/>
        </w:rPr>
        <w:t>The Court further reiterates that the concept of private life extends to aspects relating to personal identity, such as a person</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 xml:space="preserve">s name or photograph, or to physical and moral integrity: the guarantee afforded by Article 8 is primarily intended to ensure the development, without outside interference, of the personality of </w:t>
      </w:r>
      <w:r w:rsidRPr="008B22A8">
        <w:rPr>
          <w:rFonts w:ascii="Times New Roman" w:hAnsi="Times New Roman" w:eastAsia="Times New Roman" w:cs="Times New Roman"/>
          <w:szCs w:val="20"/>
          <w:lang w:eastAsia="fr-FR"/>
        </w:rPr>
        <w:t>each individual</w:t>
      </w:r>
      <w:r w:rsidRPr="008B22A8">
        <w:rPr>
          <w:rFonts w:ascii="Times New Roman" w:hAnsi="Times New Roman" w:eastAsia="Times New Roman" w:cs="Times New Roman"/>
          <w:szCs w:val="20"/>
          <w:lang w:eastAsia="fr-FR"/>
        </w:rPr>
        <w:t xml:space="preserve"> in his or her relations with other human </w:t>
      </w:r>
      <w:r w:rsidRPr="008B22A8">
        <w:rPr>
          <w:rFonts w:ascii="Times New Roman" w:hAnsi="Times New Roman" w:eastAsia="Times New Roman" w:cs="Times New Roman"/>
          <w:szCs w:val="20"/>
          <w:lang w:eastAsia="fr-FR"/>
        </w:rPr>
        <w:t>beings. There is therefore a zone within which a person interacts with others which, even in a public context, may fall within the scope of private life. The publication of a photograph may therefore intrude upon a person</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s private life even where he or she is a public figure. The Court has stated that a person</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s image constitutes one of the chief attributes of his or her personality, as it reveals the person</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s unique characteristics and distinguishes the person from his or her peers. The right to the protection of one</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s image is therefore one of the essential components of the development of a person</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s individuality. It mainly presupposes the individual</w:t>
      </w:r>
      <w:r w:rsidRPr="008B22A8" w:rsidR="008B22A8">
        <w:rPr>
          <w:rFonts w:ascii="Times New Roman" w:hAnsi="Times New Roman" w:eastAsia="Times New Roman" w:cs="Times New Roman"/>
          <w:szCs w:val="20"/>
          <w:lang w:eastAsia="fr-FR"/>
        </w:rPr>
        <w:t>’</w:t>
      </w:r>
      <w:r w:rsidRPr="008B22A8">
        <w:rPr>
          <w:rFonts w:ascii="Times New Roman" w:hAnsi="Times New Roman" w:eastAsia="Times New Roman" w:cs="Times New Roman"/>
          <w:szCs w:val="20"/>
          <w:lang w:eastAsia="fr-FR"/>
        </w:rPr>
        <w:t xml:space="preserve">s right to control the use of that image, including the right to refuse publication of it (see </w:t>
      </w:r>
      <w:bookmarkStart w:name="_cl39065" w:id="22"/>
      <w:r w:rsidRPr="008B22A8">
        <w:rPr>
          <w:rFonts w:eastAsia="Times New Roman"/>
          <w:i/>
          <w:iCs/>
          <w:szCs w:val="20"/>
          <w:lang w:val="en-US" w:eastAsia="fr-FR"/>
        </w:rPr>
        <w:t>Von Hannover v. Germany (no. 2)</w:t>
      </w:r>
      <w:bookmarkEnd w:id="22"/>
      <w:r w:rsidRPr="008B22A8">
        <w:rPr>
          <w:rFonts w:eastAsia="Times New Roman"/>
          <w:szCs w:val="20"/>
          <w:lang w:val="en-US" w:eastAsia="fr-FR"/>
        </w:rPr>
        <w:t xml:space="preserve"> [GC], nos. 40660/08 and 60641/08, §§ 95-96, ECHR 2012, and </w:t>
      </w:r>
      <w:bookmarkStart w:name="_cl42571" w:id="23"/>
      <w:r w:rsidRPr="008B22A8">
        <w:rPr>
          <w:rFonts w:eastAsia="Times New Roman"/>
          <w:i/>
          <w:iCs/>
          <w:szCs w:val="20"/>
          <w:lang w:eastAsia="fr-FR"/>
        </w:rPr>
        <w:t>Margari</w:t>
      </w:r>
      <w:r w:rsidRPr="008B22A8">
        <w:rPr>
          <w:rFonts w:eastAsia="Times New Roman"/>
          <w:i/>
          <w:iCs/>
          <w:szCs w:val="20"/>
          <w:lang w:eastAsia="fr-FR"/>
        </w:rPr>
        <w:t xml:space="preserve"> v. Greece</w:t>
      </w:r>
      <w:bookmarkEnd w:id="23"/>
      <w:r w:rsidRPr="008B22A8">
        <w:rPr>
          <w:rFonts w:eastAsia="Times New Roman"/>
          <w:szCs w:val="20"/>
          <w:lang w:eastAsia="fr-FR"/>
        </w:rPr>
        <w:t>, no. 36705/16, §§ 27-28, 20 June 2023</w:t>
      </w:r>
      <w:r w:rsidRPr="008B22A8">
        <w:t xml:space="preserve">). </w:t>
      </w:r>
      <w:r w:rsidRPr="008B22A8">
        <w:rPr>
          <w:rFonts w:eastAsia="Times New Roman"/>
          <w:szCs w:val="20"/>
          <w:lang w:val="en-US" w:eastAsia="fr-FR"/>
        </w:rPr>
        <w:t xml:space="preserve">The Court has previously held that </w:t>
      </w:r>
      <w:r w:rsidRPr="008B22A8">
        <w:rPr>
          <w:rFonts w:eastAsia="Times New Roman"/>
          <w:szCs w:val="20"/>
          <w:lang w:eastAsia="fr-FR"/>
        </w:rPr>
        <w:t xml:space="preserve">even a neutral photograph accompanying a story portraying an individual in a negative light constitutes a serious intrusion into the private life of a person who does not seek publicity (see </w:t>
      </w:r>
      <w:bookmarkStart w:name="_cl35110" w:id="24"/>
      <w:r w:rsidRPr="008B22A8">
        <w:rPr>
          <w:rFonts w:eastAsia="Times New Roman"/>
          <w:i/>
          <w:iCs/>
          <w:szCs w:val="20"/>
          <w:lang w:val="en-US" w:eastAsia="fr-FR"/>
        </w:rPr>
        <w:t>Rodina v. Latvia</w:t>
      </w:r>
      <w:bookmarkEnd w:id="24"/>
      <w:r w:rsidRPr="008B22A8">
        <w:rPr>
          <w:rFonts w:eastAsia="Times New Roman"/>
          <w:szCs w:val="20"/>
          <w:lang w:val="en-US" w:eastAsia="fr-FR"/>
        </w:rPr>
        <w:t>, nos. 48534/10 and 19532/15, § 131, 14 May 2020).</w:t>
      </w:r>
    </w:p>
    <w:p w:rsidRPr="008B22A8" w:rsidR="00F404AC" w:rsidP="008B22A8" w14:paraId="38E1FE68" w14:textId="15EA50D2">
      <w:pPr>
        <w:pStyle w:val="JuPara"/>
        <w:rPr>
          <w:lang w:val="fr-FR"/>
        </w:rPr>
      </w:pPr>
      <w:r>
        <w:fldChar w:fldCharType="begin"/>
      </w:r>
      <w:r>
        <w:instrText xml:space="preserve"> SEQ level0 \*arabic \* MERGEFORMA</w:instrText>
      </w:r>
      <w:r>
        <w:instrText xml:space="preserve">T </w:instrText>
      </w:r>
      <w:r>
        <w:fldChar w:fldCharType="separate"/>
      </w:r>
      <w:r w:rsidRPr="008B22A8" w:rsidR="008B22A8">
        <w:rPr>
          <w:noProof/>
        </w:rPr>
        <w:t>40</w:t>
      </w:r>
      <w:r>
        <w:rPr>
          <w:noProof/>
        </w:rPr>
        <w:fldChar w:fldCharType="end"/>
      </w:r>
      <w:r w:rsidRPr="008B22A8">
        <w:t xml:space="preserve">.  In the light of the above, the Court considers that the publication of the video footage in question, which suggested that the applicant, an advocate, had been drink-driving affected his private life to such a degree as to engage Article 8 (compare </w:t>
      </w:r>
      <w:bookmarkStart w:name="_cl23254THELAW" w:id="25"/>
      <w:r w:rsidRPr="008B22A8">
        <w:rPr>
          <w:i/>
          <w:iCs/>
        </w:rPr>
        <w:t>Cemalettin</w:t>
      </w:r>
      <w:r w:rsidRPr="008B22A8">
        <w:rPr>
          <w:i/>
          <w:iCs/>
        </w:rPr>
        <w:t xml:space="preserve"> </w:t>
      </w:r>
      <w:r w:rsidRPr="008B22A8">
        <w:rPr>
          <w:i/>
          <w:iCs/>
        </w:rPr>
        <w:t>Canlı</w:t>
      </w:r>
      <w:r w:rsidRPr="008B22A8">
        <w:rPr>
          <w:i/>
          <w:iCs/>
        </w:rPr>
        <w:t xml:space="preserve"> v. Turkey</w:t>
      </w:r>
      <w:bookmarkEnd w:id="25"/>
      <w:r w:rsidRPr="008B22A8">
        <w:t>, no. 22427/04, §§</w:t>
      </w:r>
      <w:r w:rsidRPr="008B22A8" w:rsidR="00445C21">
        <w:t> </w:t>
      </w:r>
      <w:r w:rsidRPr="008B22A8">
        <w:t>35-37, 18 November 2008). Article 8 is therefore applicable in the present case.</w:t>
      </w:r>
    </w:p>
    <w:p w:rsidRPr="008B22A8" w:rsidR="00F404AC" w:rsidP="008B22A8" w14:paraId="50E99B9F" w14:textId="77777777">
      <w:pPr>
        <w:pStyle w:val="JuH1"/>
      </w:pPr>
      <w:r w:rsidRPr="008B22A8">
        <w:t>Non-exhaustion of domestic remedies</w:t>
      </w:r>
    </w:p>
    <w:bookmarkStart w:name="paragraph00041" w:id="26"/>
    <w:p w:rsidRPr="008B22A8" w:rsidR="00F404AC" w:rsidP="008B22A8" w14:paraId="2D040A50" w14:textId="0F38CA90">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41</w:t>
      </w:r>
      <w:r w:rsidRPr="008B22A8">
        <w:fldChar w:fldCharType="end"/>
      </w:r>
      <w:bookmarkEnd w:id="26"/>
      <w:r w:rsidRPr="008B22A8">
        <w:t>.  The Government argued that the applicant had failed to exhaust domestic remedies. They submitted that he should have brought civil or criminal proceedings for defamation against the relevant websites and news channels, instead of the STP, as there was no evidence that the latter had disseminated the video footage in question.</w:t>
      </w:r>
    </w:p>
    <w:p w:rsidRPr="008B22A8" w:rsidR="00F404AC" w:rsidP="008B22A8" w14:paraId="0F0C79F4" w14:textId="34639D0B">
      <w:pPr>
        <w:pStyle w:val="JuPara"/>
      </w:pPr>
      <w:r>
        <w:fldChar w:fldCharType="begin"/>
      </w:r>
      <w:r>
        <w:instrText xml:space="preserve"> SEQ level0 \*arabic \* MERGEFORMAT </w:instrText>
      </w:r>
      <w:r>
        <w:fldChar w:fldCharType="separate"/>
      </w:r>
      <w:r w:rsidRPr="008B22A8" w:rsidR="008B22A8">
        <w:rPr>
          <w:noProof/>
        </w:rPr>
        <w:t>42</w:t>
      </w:r>
      <w:r>
        <w:rPr>
          <w:noProof/>
        </w:rPr>
        <w:fldChar w:fldCharType="end"/>
      </w:r>
      <w:r w:rsidRPr="008B22A8">
        <w:t>.  The applicant disagreed, maintaining that he had lodged his civil claim against the STP and had requested a retraction and apology because they had distributed the video footage to the media and had been indicated as the source of information about his alleged drink-driving. He therefore argued that bringing civil or criminal proceedings against the media entities had been unnecessary in his case. He also submitted that the articles about his alleged drink-driving remained on certain websites and provided links to two of them where the Ministry of Internal Affairs had been indicated as the source of the information in question.</w:t>
      </w:r>
    </w:p>
    <w:p w:rsidRPr="008B22A8" w:rsidR="00F404AC" w:rsidP="008B22A8" w14:paraId="6CAF45C7" w14:textId="36E9BF91">
      <w:pPr>
        <w:pStyle w:val="JuPara"/>
      </w:pPr>
      <w:r>
        <w:fldChar w:fldCharType="begin"/>
      </w:r>
      <w:r>
        <w:instrText xml:space="preserve"> SEQ level0 \*arabic \* MERGEFORMAT </w:instrText>
      </w:r>
      <w:r>
        <w:fldChar w:fldCharType="separate"/>
      </w:r>
      <w:r w:rsidRPr="008B22A8" w:rsidR="008B22A8">
        <w:rPr>
          <w:noProof/>
        </w:rPr>
        <w:t>43</w:t>
      </w:r>
      <w:r>
        <w:rPr>
          <w:noProof/>
        </w:rPr>
        <w:fldChar w:fldCharType="end"/>
      </w:r>
      <w:r w:rsidRPr="008B22A8">
        <w:t>.  The Court considers that, in the specific circumstances of the present case, the Government</w:t>
      </w:r>
      <w:r w:rsidRPr="008B22A8" w:rsidR="008B22A8">
        <w:t>’</w:t>
      </w:r>
      <w:r w:rsidRPr="008B22A8">
        <w:t>s preliminary objection of non-exhaustion of domestic remedies is closely linked to the merits of the applicant</w:t>
      </w:r>
      <w:r w:rsidRPr="008B22A8" w:rsidR="008B22A8">
        <w:t>’</w:t>
      </w:r>
      <w:r w:rsidRPr="008B22A8">
        <w:t>s complaint and that it should therefore be joined to the merits of the case.</w:t>
      </w:r>
    </w:p>
    <w:p w:rsidRPr="008B22A8" w:rsidR="00F404AC" w:rsidP="008B22A8" w14:paraId="1B14CFB7" w14:textId="77777777">
      <w:pPr>
        <w:pStyle w:val="JuH1"/>
      </w:pPr>
      <w:r w:rsidRPr="008B22A8">
        <w:t>Conclusion</w:t>
      </w:r>
    </w:p>
    <w:p w:rsidRPr="008B22A8" w:rsidR="00F404AC" w:rsidP="008B22A8" w14:paraId="08717307" w14:textId="070270CA">
      <w:pPr>
        <w:pStyle w:val="JuPara"/>
      </w:pPr>
      <w:r>
        <w:fldChar w:fldCharType="begin"/>
      </w:r>
      <w:r>
        <w:instrText xml:space="preserve"> SEQ level0 \*arabic \* MERGEFORMAT </w:instrText>
      </w:r>
      <w:r>
        <w:fldChar w:fldCharType="separate"/>
      </w:r>
      <w:r w:rsidRPr="008B22A8" w:rsidR="008B22A8">
        <w:rPr>
          <w:noProof/>
        </w:rPr>
        <w:t>44</w:t>
      </w:r>
      <w:r>
        <w:rPr>
          <w:noProof/>
        </w:rPr>
        <w:fldChar w:fldCharType="end"/>
      </w:r>
      <w:r w:rsidRPr="008B22A8">
        <w:t>.  The Court notes that the complaint is neither manifestly ill-founded nor inadmissible on any other grounds listed in Article 35 of the Convention. It must therefore be declared admissible.</w:t>
      </w:r>
    </w:p>
    <w:p w:rsidRPr="008B22A8" w:rsidR="00F404AC" w:rsidP="008B22A8" w14:paraId="03569B54" w14:textId="77777777">
      <w:pPr>
        <w:pStyle w:val="JuHA"/>
      </w:pPr>
      <w:r w:rsidRPr="008B22A8">
        <w:t>Merits</w:t>
      </w:r>
    </w:p>
    <w:p w:rsidRPr="008B22A8" w:rsidR="00F404AC" w:rsidP="008B22A8" w14:paraId="2C919971" w14:textId="462D176A">
      <w:pPr>
        <w:pStyle w:val="JuH1"/>
      </w:pPr>
      <w:r w:rsidRPr="008B22A8">
        <w:t>The parties</w:t>
      </w:r>
      <w:r w:rsidRPr="008B22A8" w:rsidR="008B22A8">
        <w:t>’</w:t>
      </w:r>
      <w:r w:rsidRPr="008B22A8">
        <w:t xml:space="preserve"> submissions</w:t>
      </w:r>
    </w:p>
    <w:p w:rsidRPr="008B22A8" w:rsidR="00F404AC" w:rsidP="008B22A8" w14:paraId="68B8592B" w14:textId="442AEAA2">
      <w:pPr>
        <w:pStyle w:val="JuPara"/>
      </w:pPr>
      <w:r>
        <w:fldChar w:fldCharType="begin"/>
      </w:r>
      <w:r>
        <w:instrText xml:space="preserve"> SEQ level0 \*arabic \* MERGEFORMAT </w:instrText>
      </w:r>
      <w:r>
        <w:fldChar w:fldCharType="separate"/>
      </w:r>
      <w:r w:rsidRPr="008B22A8" w:rsidR="008B22A8">
        <w:rPr>
          <w:noProof/>
        </w:rPr>
        <w:t>45</w:t>
      </w:r>
      <w:r>
        <w:rPr>
          <w:noProof/>
        </w:rPr>
        <w:fldChar w:fldCharType="end"/>
      </w:r>
      <w:r w:rsidRPr="008B22A8">
        <w:t>.  The applicant argued that contrary to the Government</w:t>
      </w:r>
      <w:r w:rsidRPr="008B22A8" w:rsidR="008B22A8">
        <w:t>’</w:t>
      </w:r>
      <w:r w:rsidRPr="008B22A8">
        <w:t xml:space="preserve">s submissions (see paragraph </w:t>
      </w:r>
      <w:r w:rsidRPr="008B22A8">
        <w:fldChar w:fldCharType="begin"/>
      </w:r>
      <w:r w:rsidRPr="008B22A8">
        <w:instrText xml:space="preserve">REF paragraph00046 \h \* CharFormat </w:instrText>
      </w:r>
      <w:r w:rsidRPr="008B22A8">
        <w:fldChar w:fldCharType="separate"/>
      </w:r>
      <w:r w:rsidRPr="008B22A8" w:rsidR="008B22A8">
        <w:t>46</w:t>
      </w:r>
      <w:r w:rsidRPr="008B22A8">
        <w:fldChar w:fldCharType="end"/>
      </w:r>
      <w:r w:rsidRPr="008B22A8">
        <w:t xml:space="preserve"> below), the video footage in question had not been captured by independent journalists or other third parties. He submitted that he had been stopped late in the evening and that there was no evidence, including in content published, that media personnel or anyone else had been present during the incident in question. He further argued that the examination to determine his state of intoxication had been carried out by a doctor at the Narcology Centre of the Ministry of Health, in a closed room where no third parties, including the media, had been authorised to enter. He also argued that even if a third party had been present during the examination, it could only have happened with the permission of the STP officers who had taken him there. He maintained that the video footage had been distributed to television channels and websites by the STP to defame him, and that despite the numerous arguments and pieces of evidence he had submitted to the domestic courts, they had failed to consider them. He stated</w:t>
      </w:r>
      <w:r w:rsidRPr="008B22A8">
        <w:t>, in particular, that</w:t>
      </w:r>
      <w:r w:rsidRPr="008B22A8">
        <w:t xml:space="preserve"> various media outlets had cited the STP as the source, while some had referred to the Ministry of Internal Affairs, and that there had been no indication of media involvement during the police operation (</w:t>
      </w:r>
      <w:r w:rsidRPr="008B22A8">
        <w:rPr>
          <w:i/>
          <w:iCs/>
        </w:rPr>
        <w:t>reyd</w:t>
      </w:r>
      <w:r w:rsidRPr="008B22A8">
        <w:t>) in the news shared by those outlets.</w:t>
      </w:r>
    </w:p>
    <w:bookmarkStart w:name="paragraph00046" w:id="27"/>
    <w:p w:rsidRPr="008B22A8" w:rsidR="00F404AC" w:rsidP="008B22A8" w14:paraId="0341ADA7" w14:textId="6F4B82EB">
      <w:pPr>
        <w:pStyle w:val="JuPara"/>
      </w:pPr>
      <w:r w:rsidRPr="008B22A8">
        <w:fldChar w:fldCharType="begin"/>
      </w:r>
      <w:r w:rsidRPr="008B22A8">
        <w:instrText xml:space="preserve"> SEQ level0 \*arabic \* MERGEFORMAT </w:instrText>
      </w:r>
      <w:r w:rsidRPr="008B22A8">
        <w:fldChar w:fldCharType="separate"/>
      </w:r>
      <w:r w:rsidRPr="008B22A8" w:rsidR="008B22A8">
        <w:rPr>
          <w:noProof/>
        </w:rPr>
        <w:t>46</w:t>
      </w:r>
      <w:r w:rsidRPr="008B22A8">
        <w:fldChar w:fldCharType="end"/>
      </w:r>
      <w:bookmarkEnd w:id="27"/>
      <w:r w:rsidRPr="008B22A8">
        <w:t>.  The Government argued that it was clear from the articles posted on several websites and the video footage shared on YouTube that they were the work of independent journalists and “reviewers”, and that there was no indication that the information had been leaked by the STP. The Government submitted that the law-enforcement agencies carried out periodic checks to prevent individuals from driving while intoxicated, and that during such operations, third parties or media employees could randomly take photographs or record videos. The Government therefore argued that there had been no interference by any State authority with the applicant</w:t>
      </w:r>
      <w:r w:rsidRPr="008B22A8" w:rsidR="008B22A8">
        <w:t>’</w:t>
      </w:r>
      <w:r w:rsidRPr="008B22A8">
        <w:t>s rights protected under Article 8 of the Convention. As regards the State</w:t>
      </w:r>
      <w:r w:rsidRPr="008B22A8" w:rsidR="008B22A8">
        <w:t>’</w:t>
      </w:r>
      <w:r w:rsidRPr="008B22A8">
        <w:t xml:space="preserve">s positive obligations under that provision, the Government reiterated that the applicant had failed to exhaust domestic remedies (see paragraph </w:t>
      </w:r>
      <w:r w:rsidRPr="008B22A8">
        <w:fldChar w:fldCharType="begin"/>
      </w:r>
      <w:r w:rsidRPr="008B22A8">
        <w:instrText xml:space="preserve">REF paragraph00041 \h \* CharFormat </w:instrText>
      </w:r>
      <w:r w:rsidRPr="008B22A8">
        <w:fldChar w:fldCharType="separate"/>
      </w:r>
      <w:r w:rsidRPr="008B22A8" w:rsidR="008B22A8">
        <w:t>41</w:t>
      </w:r>
      <w:r w:rsidRPr="008B22A8">
        <w:fldChar w:fldCharType="end"/>
      </w:r>
      <w:r w:rsidRPr="008B22A8">
        <w:t xml:space="preserve"> above).</w:t>
      </w:r>
    </w:p>
    <w:p w:rsidRPr="008B22A8" w:rsidR="00F404AC" w:rsidP="008B22A8" w14:paraId="09AF89C8" w14:textId="3F11B465">
      <w:pPr>
        <w:pStyle w:val="JuH1"/>
      </w:pPr>
      <w:r w:rsidRPr="008B22A8">
        <w:t>The Court</w:t>
      </w:r>
      <w:r w:rsidRPr="008B22A8" w:rsidR="008B22A8">
        <w:t>’</w:t>
      </w:r>
      <w:r w:rsidRPr="008B22A8">
        <w:t>s assessment</w:t>
      </w:r>
    </w:p>
    <w:p w:rsidRPr="008B22A8" w:rsidR="00F404AC" w:rsidP="008B22A8" w14:paraId="2E457448" w14:textId="7CC646DD">
      <w:pPr>
        <w:pStyle w:val="JuPara"/>
      </w:pPr>
      <w:r>
        <w:fldChar w:fldCharType="begin"/>
      </w:r>
      <w:r>
        <w:instrText xml:space="preserve"> SEQ level0 \*arabic \* MERGEFORMAT </w:instrText>
      </w:r>
      <w:r>
        <w:fldChar w:fldCharType="separate"/>
      </w:r>
      <w:r w:rsidRPr="008B22A8" w:rsidR="008B22A8">
        <w:rPr>
          <w:noProof/>
        </w:rPr>
        <w:t>47</w:t>
      </w:r>
      <w:r>
        <w:rPr>
          <w:noProof/>
        </w:rPr>
        <w:fldChar w:fldCharType="end"/>
      </w:r>
      <w:r w:rsidRPr="008B22A8">
        <w:t>.  The Court has held on various occasions that the recording of videos in a law-enforcement context or the release of applicants</w:t>
      </w:r>
      <w:r w:rsidRPr="008B22A8" w:rsidR="008B22A8">
        <w:t>’</w:t>
      </w:r>
      <w:r w:rsidRPr="008B22A8">
        <w:t xml:space="preserve"> photographs by the </w:t>
      </w:r>
      <w:r w:rsidRPr="008B22A8">
        <w:t xml:space="preserve">police to the media constitutes an interference with the right to respect for private life (see, for example, </w:t>
      </w:r>
      <w:bookmarkStart w:name="_cl33895" w:id="28"/>
      <w:bookmarkStart w:name="_cl36003" w:id="29"/>
      <w:r w:rsidRPr="008B22A8">
        <w:rPr>
          <w:i/>
          <w:iCs/>
        </w:rPr>
        <w:t>Peck v. the United Kingdom</w:t>
      </w:r>
      <w:bookmarkEnd w:id="28"/>
      <w:r w:rsidRPr="008B22A8">
        <w:t xml:space="preserve">, no. 44647/98, §§ 62-63, ECHR 2003-I; </w:t>
      </w:r>
      <w:r w:rsidRPr="008B22A8">
        <w:rPr>
          <w:i/>
          <w:iCs/>
        </w:rPr>
        <w:t>Sciacca v. Italy</w:t>
      </w:r>
      <w:bookmarkEnd w:id="29"/>
      <w:r w:rsidRPr="008B22A8">
        <w:t>, no. 50774/99, §§ 26-29, ECHR</w:t>
      </w:r>
      <w:r w:rsidRPr="008B22A8" w:rsidR="007D7B8A">
        <w:t> </w:t>
      </w:r>
      <w:r w:rsidRPr="008B22A8">
        <w:t xml:space="preserve">2005-I; </w:t>
      </w:r>
      <w:bookmarkStart w:name="_cl9160" w:id="30"/>
      <w:r w:rsidRPr="008B22A8">
        <w:rPr>
          <w:i/>
          <w:iCs/>
        </w:rPr>
        <w:t>Khuzhin</w:t>
      </w:r>
      <w:r w:rsidRPr="008B22A8">
        <w:rPr>
          <w:i/>
          <w:iCs/>
        </w:rPr>
        <w:t xml:space="preserve"> and Others v. Russi</w:t>
      </w:r>
      <w:bookmarkEnd w:id="30"/>
      <w:r w:rsidRPr="008B22A8">
        <w:rPr>
          <w:i/>
          <w:iCs/>
        </w:rPr>
        <w:t>a</w:t>
      </w:r>
      <w:r w:rsidRPr="008B22A8">
        <w:t xml:space="preserve">, no. 13470/02, § 116, 23 October 2008; and </w:t>
      </w:r>
      <w:bookmarkStart w:name="_cl29151" w:id="31"/>
      <w:r w:rsidRPr="008B22A8">
        <w:rPr>
          <w:i/>
          <w:iCs/>
        </w:rPr>
        <w:t>Khmel</w:t>
      </w:r>
      <w:r w:rsidRPr="008B22A8">
        <w:rPr>
          <w:i/>
          <w:iCs/>
        </w:rPr>
        <w:t xml:space="preserve"> v. Russia</w:t>
      </w:r>
      <w:bookmarkEnd w:id="31"/>
      <w:r w:rsidRPr="008B22A8">
        <w:t>, no. 20383/04, §§ 42-44, 12 December 2013).</w:t>
      </w:r>
    </w:p>
    <w:p w:rsidRPr="008B22A8" w:rsidR="00F404AC" w:rsidP="008B22A8" w14:paraId="398AC896" w14:textId="7A053639">
      <w:pPr>
        <w:pStyle w:val="JuPara"/>
      </w:pPr>
      <w:r>
        <w:fldChar w:fldCharType="begin"/>
      </w:r>
      <w:r>
        <w:instrText xml:space="preserve"> SEQ level0 \*arabic \* MERGEFORMAT </w:instrText>
      </w:r>
      <w:r>
        <w:fldChar w:fldCharType="separate"/>
      </w:r>
      <w:r w:rsidRPr="008B22A8" w:rsidR="008B22A8">
        <w:rPr>
          <w:noProof/>
        </w:rPr>
        <w:t>48</w:t>
      </w:r>
      <w:r>
        <w:rPr>
          <w:noProof/>
        </w:rPr>
        <w:fldChar w:fldCharType="end"/>
      </w:r>
      <w:r w:rsidRPr="008B22A8">
        <w:t xml:space="preserve">.  In the present case, the parties are in dispute as regards the existence of an interference by the State authorities. The applicant asserted that he had been filmed by the STP officers, who had later distributed the video footage in question to the media, whereas the Government denied any involvement of the STP and argued that the content in question was the work of independent journalists and passers-by (see paragraphs </w:t>
      </w:r>
      <w:r w:rsidRPr="008B22A8">
        <w:fldChar w:fldCharType="begin"/>
      </w:r>
      <w:r w:rsidRPr="008B22A8">
        <w:instrText xml:space="preserve">REF paragraph00041 \h \* CharFormat </w:instrText>
      </w:r>
      <w:r w:rsidRPr="008B22A8">
        <w:fldChar w:fldCharType="separate"/>
      </w:r>
      <w:r w:rsidRPr="008B22A8" w:rsidR="008B22A8">
        <w:t>41</w:t>
      </w:r>
      <w:r w:rsidRPr="008B22A8">
        <w:fldChar w:fldCharType="end"/>
      </w:r>
      <w:r w:rsidRPr="008B22A8">
        <w:t xml:space="preserve"> and </w:t>
      </w:r>
      <w:r w:rsidRPr="008B22A8">
        <w:fldChar w:fldCharType="begin"/>
      </w:r>
      <w:r w:rsidRPr="008B22A8">
        <w:instrText xml:space="preserve">REF paragraph00046 \h \* CharFormat </w:instrText>
      </w:r>
      <w:r w:rsidRPr="008B22A8">
        <w:fldChar w:fldCharType="separate"/>
      </w:r>
      <w:r w:rsidRPr="008B22A8" w:rsidR="008B22A8">
        <w:t>46</w:t>
      </w:r>
      <w:r w:rsidRPr="008B22A8">
        <w:fldChar w:fldCharType="end"/>
      </w:r>
      <w:r w:rsidRPr="008B22A8">
        <w:t xml:space="preserve"> above; contrast </w:t>
      </w:r>
      <w:r w:rsidRPr="008B22A8">
        <w:rPr>
          <w:i/>
          <w:iCs/>
        </w:rPr>
        <w:t>Sciacca</w:t>
      </w:r>
      <w:r w:rsidRPr="008B22A8">
        <w:t>, cited above, § 26). Having regard to the facts of the case and the sequence of the events, the Court does not exclude the possibility of the STP</w:t>
      </w:r>
      <w:r w:rsidRPr="008B22A8" w:rsidR="008B22A8">
        <w:t>’</w:t>
      </w:r>
      <w:r w:rsidRPr="008B22A8">
        <w:t>s involvement in leaking the video footage in question to the media. However, considering the parties</w:t>
      </w:r>
      <w:r w:rsidRPr="008B22A8" w:rsidR="008B22A8">
        <w:t>’</w:t>
      </w:r>
      <w:r w:rsidRPr="008B22A8">
        <w:t xml:space="preserve"> arguments and the available material, and in view of its reasoning below, the Court does not find it necessary to resolve this matter in the present case.</w:t>
      </w:r>
    </w:p>
    <w:p w:rsidRPr="008B22A8" w:rsidR="00F404AC" w:rsidP="008B22A8" w14:paraId="1C3DF64D" w14:textId="13CDB755">
      <w:pPr>
        <w:pStyle w:val="JuPara"/>
      </w:pPr>
      <w:r>
        <w:fldChar w:fldCharType="begin"/>
      </w:r>
      <w:r>
        <w:instrText xml:space="preserve"> SEQ level0 \*arabic \* MERGEFORMAT </w:instrText>
      </w:r>
      <w:r>
        <w:fldChar w:fldCharType="separate"/>
      </w:r>
      <w:r w:rsidRPr="008B22A8" w:rsidR="008B22A8">
        <w:rPr>
          <w:noProof/>
        </w:rPr>
        <w:t>49</w:t>
      </w:r>
      <w:r>
        <w:rPr>
          <w:noProof/>
        </w:rPr>
        <w:fldChar w:fldCharType="end"/>
      </w:r>
      <w:r w:rsidRPr="008B22A8">
        <w:t>.  The Court reiterates that, although the object of Article 8 is essentially to protect the individual against arbitrary interference by public authorities, it does not merely compel the State to abstain from such interference. In addition to this primarily negative undertaking, there may be positive obligations inherent in an effective respect for private or family life. These obligations may require measures to be taken which are designed to secure respect for private and family life even in the sphere of the relations of individuals between themselves. Moreover, the boundaries between the State</w:t>
      </w:r>
      <w:r w:rsidRPr="008B22A8" w:rsidR="008B22A8">
        <w:t>’</w:t>
      </w:r>
      <w:r w:rsidRPr="008B22A8">
        <w:t xml:space="preserve">s positive and negative obligations under Article 8 do not always lend themselves to precise definition. The applicable principles are nonetheless similar. </w:t>
      </w:r>
      <w:r w:rsidRPr="008B22A8">
        <w:t>In particular, in</w:t>
      </w:r>
      <w:r w:rsidRPr="008B22A8">
        <w:t xml:space="preserve"> both instances regard must be had to the fair balance which has to be struck between the competing interests (see </w:t>
      </w:r>
      <w:bookmarkStart w:name="_cl33110" w:id="32"/>
      <w:r w:rsidRPr="008B22A8">
        <w:rPr>
          <w:i/>
          <w:iCs/>
          <w:lang w:val="en-US"/>
        </w:rPr>
        <w:t>Odièvre</w:t>
      </w:r>
      <w:r w:rsidRPr="008B22A8">
        <w:rPr>
          <w:i/>
          <w:iCs/>
          <w:lang w:val="en-US"/>
        </w:rPr>
        <w:t xml:space="preserve"> v. France</w:t>
      </w:r>
      <w:bookmarkEnd w:id="32"/>
      <w:r w:rsidRPr="008B22A8">
        <w:rPr>
          <w:lang w:val="en-US"/>
        </w:rPr>
        <w:t xml:space="preserve"> [GC], no. 42326/98, § 40, ECHR 2003-III</w:t>
      </w:r>
      <w:r w:rsidRPr="008B22A8">
        <w:rPr>
          <w:iCs/>
          <w:lang w:val="en-US"/>
        </w:rPr>
        <w:t>)</w:t>
      </w:r>
      <w:r w:rsidRPr="008B22A8">
        <w:t>.</w:t>
      </w:r>
    </w:p>
    <w:p w:rsidRPr="008B22A8" w:rsidR="00F404AC" w:rsidP="008B22A8" w14:paraId="101EB501" w14:textId="77588576">
      <w:pPr>
        <w:pStyle w:val="JuPara"/>
      </w:pPr>
      <w:r>
        <w:fldChar w:fldCharType="begin"/>
      </w:r>
      <w:r>
        <w:instrText xml:space="preserve"> SEQ level0 \*arabic \* MERGEFORMAT </w:instrText>
      </w:r>
      <w:r>
        <w:fldChar w:fldCharType="separate"/>
      </w:r>
      <w:r w:rsidRPr="008B22A8" w:rsidR="008B22A8">
        <w:rPr>
          <w:noProof/>
        </w:rPr>
        <w:t>50</w:t>
      </w:r>
      <w:r>
        <w:rPr>
          <w:noProof/>
        </w:rPr>
        <w:fldChar w:fldCharType="end"/>
      </w:r>
      <w:r w:rsidRPr="008B22A8">
        <w:t xml:space="preserve">.  The Court observes that throughout the domestic proceedings the applicant consistently argued that the STP officers had filmed him and distributed the video footage suggesting that he had been drink-driving to the media, in breach of the provisions of domestic law and the Convention (see paragraphs </w:t>
      </w:r>
      <w:r w:rsidRPr="008B22A8">
        <w:fldChar w:fldCharType="begin"/>
      </w:r>
      <w:r w:rsidRPr="008B22A8">
        <w:instrText xml:space="preserve">REF paragraph00015 \h \* CharFormat </w:instrText>
      </w:r>
      <w:r w:rsidRPr="008B22A8">
        <w:fldChar w:fldCharType="separate"/>
      </w:r>
      <w:r w:rsidRPr="008B22A8" w:rsidR="008B22A8">
        <w:t>15</w:t>
      </w:r>
      <w:r w:rsidRPr="008B22A8">
        <w:fldChar w:fldCharType="end"/>
      </w:r>
      <w:r w:rsidRPr="008B22A8">
        <w:t xml:space="preserve"> and </w:t>
      </w:r>
      <w:r w:rsidRPr="008B22A8">
        <w:fldChar w:fldCharType="begin"/>
      </w:r>
      <w:r w:rsidRPr="008B22A8">
        <w:instrText xml:space="preserve"> REF paragraph00018 \h  \* CharFormat </w:instrText>
      </w:r>
      <w:r w:rsidRPr="008B22A8">
        <w:fldChar w:fldCharType="separate"/>
      </w:r>
      <w:r w:rsidRPr="008B22A8" w:rsidR="008B22A8">
        <w:t>17</w:t>
      </w:r>
      <w:r w:rsidRPr="008B22A8">
        <w:fldChar w:fldCharType="end"/>
      </w:r>
      <w:r w:rsidRPr="008B22A8">
        <w:t xml:space="preserve"> above). While doing so, he pointed out that many of those channels and websites had cited the STP or the Ministry of Internal Affairs as the source of the information in question. Despite acknowledging that the relevant websites had indeed indicated the Press Service of the Ministry of Internal Affairs as the source of the information shared about the applicant</w:t>
      </w:r>
      <w:r w:rsidRPr="008B22A8" w:rsidR="008B22A8">
        <w:t>’</w:t>
      </w:r>
      <w:r w:rsidRPr="008B22A8">
        <w:t>s alleged drink-driving, the domestic courts dismissed the applicant</w:t>
      </w:r>
      <w:r w:rsidRPr="008B22A8" w:rsidR="008B22A8">
        <w:t>’</w:t>
      </w:r>
      <w:r w:rsidRPr="008B22A8">
        <w:t xml:space="preserve">s claim finding that he had failed to prove that the police had distributed the information in question to the media. They held, on the basis of an excerpt from one website, that the article did not specify which official </w:t>
      </w:r>
      <w:r w:rsidRPr="008B22A8">
        <w:t xml:space="preserve">of the Press Service of the Ministry of Internal Affairs had given that information (see paragraphs </w:t>
      </w:r>
      <w:r w:rsidRPr="008B22A8">
        <w:fldChar w:fldCharType="begin"/>
      </w:r>
      <w:r w:rsidRPr="008B22A8">
        <w:instrText xml:space="preserve"> REF paragraph00017 \h  \* CharFormat </w:instrText>
      </w:r>
      <w:r w:rsidRPr="008B22A8">
        <w:fldChar w:fldCharType="separate"/>
      </w:r>
      <w:r w:rsidRPr="008B22A8" w:rsidR="008B22A8">
        <w:t>16</w:t>
      </w:r>
      <w:r w:rsidRPr="008B22A8">
        <w:fldChar w:fldCharType="end"/>
      </w:r>
      <w:r w:rsidRPr="008B22A8">
        <w:t xml:space="preserve"> and </w:t>
      </w:r>
      <w:r w:rsidRPr="008B22A8">
        <w:fldChar w:fldCharType="begin"/>
      </w:r>
      <w:r w:rsidRPr="008B22A8">
        <w:instrText xml:space="preserve">REF paragraph00020 \h \* CharFormat </w:instrText>
      </w:r>
      <w:r w:rsidRPr="008B22A8">
        <w:fldChar w:fldCharType="separate"/>
      </w:r>
      <w:r w:rsidRPr="008B22A8" w:rsidR="008B22A8">
        <w:t>20</w:t>
      </w:r>
      <w:r w:rsidRPr="008B22A8">
        <w:fldChar w:fldCharType="end"/>
      </w:r>
      <w:r w:rsidRPr="008B22A8">
        <w:t>-</w:t>
      </w:r>
      <w:r w:rsidRPr="008B22A8">
        <w:fldChar w:fldCharType="begin"/>
      </w:r>
      <w:r w:rsidRPr="008B22A8">
        <w:instrText xml:space="preserve">REF paragraph00021 \h \* CharFormat </w:instrText>
      </w:r>
      <w:r w:rsidRPr="008B22A8">
        <w:fldChar w:fldCharType="separate"/>
      </w:r>
      <w:r w:rsidRPr="008B22A8" w:rsidR="008B22A8">
        <w:t>21</w:t>
      </w:r>
      <w:r w:rsidRPr="008B22A8">
        <w:fldChar w:fldCharType="end"/>
      </w:r>
      <w:r w:rsidRPr="008B22A8">
        <w:t xml:space="preserve"> above).</w:t>
      </w:r>
    </w:p>
    <w:p w:rsidRPr="008B22A8" w:rsidR="00F404AC" w:rsidP="008B22A8" w14:paraId="0512905A" w14:textId="49B743F6">
      <w:pPr>
        <w:pStyle w:val="JuPara"/>
      </w:pPr>
      <w:r>
        <w:fldChar w:fldCharType="begin"/>
      </w:r>
      <w:r>
        <w:instrText xml:space="preserve"> SEQ level0 \*arabic \* MERGEFORMAT </w:instrText>
      </w:r>
      <w:r>
        <w:fldChar w:fldCharType="separate"/>
      </w:r>
      <w:r w:rsidRPr="008B22A8" w:rsidR="008B22A8">
        <w:rPr>
          <w:noProof/>
        </w:rPr>
        <w:t>51</w:t>
      </w:r>
      <w:r>
        <w:rPr>
          <w:noProof/>
        </w:rPr>
        <w:fldChar w:fldCharType="end"/>
      </w:r>
      <w:r w:rsidRPr="008B22A8">
        <w:t>.  When dismissing the applicant</w:t>
      </w:r>
      <w:r w:rsidRPr="008B22A8" w:rsidR="008B22A8">
        <w:t>’</w:t>
      </w:r>
      <w:r w:rsidRPr="008B22A8">
        <w:t>s claim, the domestic courts also referred to the letters from the STP and a television channel (see paragraphs</w:t>
      </w:r>
      <w:r w:rsidRPr="008B22A8" w:rsidR="007D7B8A">
        <w:t> </w:t>
      </w:r>
      <w:r w:rsidRPr="008B22A8">
        <w:fldChar w:fldCharType="begin"/>
      </w:r>
      <w:r w:rsidRPr="008B22A8">
        <w:instrText xml:space="preserve">REF paragraph00020 \h \* CharFormat </w:instrText>
      </w:r>
      <w:r w:rsidRPr="008B22A8">
        <w:fldChar w:fldCharType="separate"/>
      </w:r>
      <w:r w:rsidRPr="008B22A8" w:rsidR="008B22A8">
        <w:t>20</w:t>
      </w:r>
      <w:r w:rsidRPr="008B22A8">
        <w:fldChar w:fldCharType="end"/>
      </w:r>
      <w:r w:rsidRPr="008B22A8">
        <w:t>-</w:t>
      </w:r>
      <w:r w:rsidRPr="008B22A8">
        <w:fldChar w:fldCharType="begin"/>
      </w:r>
      <w:r w:rsidRPr="008B22A8">
        <w:instrText xml:space="preserve">REF paragraph00021 \h \* CharFormat </w:instrText>
      </w:r>
      <w:r w:rsidRPr="008B22A8">
        <w:fldChar w:fldCharType="separate"/>
      </w:r>
      <w:r w:rsidRPr="008B22A8" w:rsidR="008B22A8">
        <w:t>21</w:t>
      </w:r>
      <w:r w:rsidRPr="008B22A8">
        <w:fldChar w:fldCharType="end"/>
      </w:r>
      <w:r w:rsidRPr="008B22A8">
        <w:t xml:space="preserve"> above). The Court notes in this connection that the domestic courts merely relied on the STP</w:t>
      </w:r>
      <w:r w:rsidRPr="008B22A8" w:rsidR="008B22A8">
        <w:t>’</w:t>
      </w:r>
      <w:r w:rsidRPr="008B22A8">
        <w:t>s letter denying any wrongdoing and failed to provide adequate reasoning in respect of the applicant</w:t>
      </w:r>
      <w:r w:rsidRPr="008B22A8" w:rsidR="008B22A8">
        <w:t>’</w:t>
      </w:r>
      <w:r w:rsidRPr="008B22A8">
        <w:t xml:space="preserve">s arguments in this regard (compare </w:t>
      </w:r>
      <w:bookmarkStart w:name="_cl44150" w:id="33"/>
      <w:r w:rsidRPr="008B22A8">
        <w:rPr>
          <w:i/>
          <w:iCs/>
        </w:rPr>
        <w:t>Biba v. Albania</w:t>
      </w:r>
      <w:bookmarkEnd w:id="33"/>
      <w:r w:rsidRPr="008B22A8">
        <w:t>, no. 24228/18, § 73, 7 May 2024). They also failed to explain how the letter from Real TV was relevant</w:t>
      </w:r>
      <w:r w:rsidRPr="008B22A8">
        <w:rPr>
          <w:i/>
          <w:iCs/>
        </w:rPr>
        <w:t xml:space="preserve"> </w:t>
      </w:r>
      <w:r w:rsidRPr="008B22A8">
        <w:t>to determining whether the video footage of the applicant had been published by the STP. Having regard to these considerations, the Court concludes that the domestic courts dismissed the applicant</w:t>
      </w:r>
      <w:r w:rsidRPr="008B22A8" w:rsidR="008B22A8">
        <w:t>’</w:t>
      </w:r>
      <w:r w:rsidRPr="008B22A8">
        <w:t>s complaint in respect of the alleged actions on the part of the STP – namely, the unlawful filming of him and the subsequent publication of that footage – without sufficient reasoning</w:t>
      </w:r>
      <w:r w:rsidRPr="008B22A8">
        <w:t xml:space="preserve"> </w:t>
      </w:r>
      <w:r w:rsidRPr="008B22A8">
        <w:t xml:space="preserve">(compare </w:t>
      </w:r>
      <w:bookmarkStart w:name="_cl42651" w:id="34"/>
      <w:r w:rsidRPr="008B22A8">
        <w:rPr>
          <w:i/>
          <w:iCs/>
        </w:rPr>
        <w:t>D.H. and Others v. North Macedonia</w:t>
      </w:r>
      <w:bookmarkEnd w:id="34"/>
      <w:r w:rsidRPr="008B22A8">
        <w:rPr>
          <w:i/>
          <w:iCs/>
        </w:rPr>
        <w:t xml:space="preserve">, </w:t>
      </w:r>
      <w:r w:rsidRPr="008B22A8">
        <w:t>no. 44033/17, §</w:t>
      </w:r>
      <w:r w:rsidRPr="008B22A8" w:rsidR="00445C21">
        <w:t> </w:t>
      </w:r>
      <w:r w:rsidRPr="008B22A8">
        <w:t>65, 18 July 2023).</w:t>
      </w:r>
    </w:p>
    <w:p w:rsidRPr="008B22A8" w:rsidR="00F404AC" w:rsidP="008B22A8" w14:paraId="34388DE2" w14:textId="072D3E7E">
      <w:pPr>
        <w:pStyle w:val="JuPara"/>
      </w:pPr>
      <w:r>
        <w:fldChar w:fldCharType="begin"/>
      </w:r>
      <w:r>
        <w:instrText xml:space="preserve"> SEQ level0 \*arabic \* MERGEFORMAT </w:instrText>
      </w:r>
      <w:r>
        <w:fldChar w:fldCharType="separate"/>
      </w:r>
      <w:r w:rsidRPr="008B22A8" w:rsidR="008B22A8">
        <w:rPr>
          <w:noProof/>
        </w:rPr>
        <w:t>52</w:t>
      </w:r>
      <w:r>
        <w:rPr>
          <w:noProof/>
        </w:rPr>
        <w:fldChar w:fldCharType="end"/>
      </w:r>
      <w:r w:rsidRPr="008B22A8">
        <w:t>.  The Government argued that the video footage of the applicant could have been captured by passers-by and independent journalists (see paragraphs</w:t>
      </w:r>
      <w:r w:rsidRPr="008B22A8" w:rsidR="007D7B8A">
        <w:t> </w:t>
      </w:r>
      <w:r w:rsidRPr="008B22A8">
        <w:fldChar w:fldCharType="begin"/>
      </w:r>
      <w:r w:rsidRPr="008B22A8">
        <w:instrText xml:space="preserve">REF paragraph00041 \h \* CharFormat </w:instrText>
      </w:r>
      <w:r w:rsidRPr="008B22A8">
        <w:fldChar w:fldCharType="separate"/>
      </w:r>
      <w:r w:rsidRPr="008B22A8" w:rsidR="008B22A8">
        <w:t>41</w:t>
      </w:r>
      <w:r w:rsidRPr="008B22A8">
        <w:fldChar w:fldCharType="end"/>
      </w:r>
      <w:r w:rsidRPr="008B22A8">
        <w:t xml:space="preserve"> and </w:t>
      </w:r>
      <w:r w:rsidRPr="008B22A8">
        <w:fldChar w:fldCharType="begin"/>
      </w:r>
      <w:r w:rsidRPr="008B22A8">
        <w:instrText xml:space="preserve">REF paragraph00046 \h \* CharFormat </w:instrText>
      </w:r>
      <w:r w:rsidRPr="008B22A8">
        <w:fldChar w:fldCharType="separate"/>
      </w:r>
      <w:r w:rsidRPr="008B22A8" w:rsidR="008B22A8">
        <w:t>46</w:t>
      </w:r>
      <w:r w:rsidRPr="008B22A8">
        <w:fldChar w:fldCharType="end"/>
      </w:r>
      <w:r w:rsidRPr="008B22A8">
        <w:t xml:space="preserve"> above). The Court firstly observes that the domestic courts never made such a finding in their judgments, nor did the Government adduce any evidence in support of that argument. Furthermore, they failed to explain how third parties could have filmed the applicant during the medical examination to determine his state of intoxication, given that it took place in a doctor</w:t>
      </w:r>
      <w:r w:rsidRPr="008B22A8" w:rsidR="008B22A8">
        <w:t>’</w:t>
      </w:r>
      <w:r w:rsidRPr="008B22A8">
        <w:t xml:space="preserve">s room at the Narcology Centre of the Ministry of Health (see paragraphs </w:t>
      </w:r>
      <w:r w:rsidRPr="008B22A8">
        <w:fldChar w:fldCharType="begin"/>
      </w:r>
      <w:r w:rsidRPr="008B22A8">
        <w:instrText xml:space="preserve">REF paragraph00006 \h \* CharFormat </w:instrText>
      </w:r>
      <w:r w:rsidRPr="008B22A8">
        <w:fldChar w:fldCharType="separate"/>
      </w:r>
      <w:r w:rsidRPr="008B22A8" w:rsidR="008B22A8">
        <w:t>6</w:t>
      </w:r>
      <w:r w:rsidRPr="008B22A8">
        <w:fldChar w:fldCharType="end"/>
      </w:r>
      <w:r w:rsidRPr="008B22A8">
        <w:t>-</w:t>
      </w:r>
      <w:r w:rsidRPr="008B22A8">
        <w:fldChar w:fldCharType="begin"/>
      </w:r>
      <w:r w:rsidRPr="008B22A8">
        <w:instrText xml:space="preserve">REF paragraph00007 \h \* CharFormat </w:instrText>
      </w:r>
      <w:r w:rsidRPr="008B22A8">
        <w:fldChar w:fldCharType="separate"/>
      </w:r>
      <w:r w:rsidRPr="008B22A8" w:rsidR="008B22A8">
        <w:t>7</w:t>
      </w:r>
      <w:r w:rsidRPr="008B22A8">
        <w:fldChar w:fldCharType="end"/>
      </w:r>
      <w:r w:rsidRPr="008B22A8">
        <w:t xml:space="preserve"> above).</w:t>
      </w:r>
    </w:p>
    <w:p w:rsidRPr="008B22A8" w:rsidR="00F404AC" w:rsidP="008B22A8" w14:paraId="78A7F1FD" w14:textId="6EB771EA">
      <w:pPr>
        <w:pStyle w:val="JuPara"/>
      </w:pPr>
      <w:r>
        <w:fldChar w:fldCharType="begin"/>
      </w:r>
      <w:r>
        <w:instrText xml:space="preserve"> SEQ level0 \*arabic \* MERGEFORMAT </w:instrText>
      </w:r>
      <w:r>
        <w:fldChar w:fldCharType="separate"/>
      </w:r>
      <w:r w:rsidRPr="008B22A8" w:rsidR="008B22A8">
        <w:rPr>
          <w:noProof/>
        </w:rPr>
        <w:t>53</w:t>
      </w:r>
      <w:r>
        <w:rPr>
          <w:noProof/>
        </w:rPr>
        <w:fldChar w:fldCharType="end"/>
      </w:r>
      <w:r w:rsidRPr="008B22A8">
        <w:t xml:space="preserve">.  The Court considers that, in the circumstances of the present case, it was not unreasonable for the applicant to bring proceedings against the STP rather than against the television channels and </w:t>
      </w:r>
      <w:r w:rsidRPr="008B22A8">
        <w:t>websites, and</w:t>
      </w:r>
      <w:r w:rsidRPr="008B22A8">
        <w:t xml:space="preserve"> dismisses the Government</w:t>
      </w:r>
      <w:r w:rsidRPr="008B22A8" w:rsidR="008B22A8">
        <w:t>’</w:t>
      </w:r>
      <w:r w:rsidRPr="008B22A8">
        <w:t xml:space="preserve">s objection that he failed to exhaust domestic remedies (compare </w:t>
      </w:r>
      <w:r w:rsidRPr="008B22A8">
        <w:rPr>
          <w:i/>
          <w:iCs/>
        </w:rPr>
        <w:t>Cemalettin</w:t>
      </w:r>
      <w:r w:rsidRPr="008B22A8">
        <w:rPr>
          <w:i/>
          <w:iCs/>
        </w:rPr>
        <w:t xml:space="preserve"> </w:t>
      </w:r>
      <w:r w:rsidRPr="008B22A8">
        <w:rPr>
          <w:i/>
          <w:iCs/>
        </w:rPr>
        <w:t>Canlı</w:t>
      </w:r>
      <w:r w:rsidRPr="008B22A8">
        <w:t xml:space="preserve">, cited above, §§ 28-29, and </w:t>
      </w:r>
      <w:bookmarkStart w:name="_cl37912" w:id="35"/>
      <w:r w:rsidRPr="008B22A8">
        <w:rPr>
          <w:i/>
          <w:iCs/>
        </w:rPr>
        <w:t>Toma v. Romania</w:t>
      </w:r>
      <w:bookmarkEnd w:id="35"/>
      <w:r w:rsidRPr="008B22A8">
        <w:t>, no. 42716/02, §§ 83-85, 24 February 2009).</w:t>
      </w:r>
    </w:p>
    <w:p w:rsidRPr="008B22A8" w:rsidR="00F404AC" w:rsidP="008B22A8" w14:paraId="5DFB5D69" w14:textId="54CBC1C6">
      <w:pPr>
        <w:pStyle w:val="JuPara"/>
      </w:pPr>
      <w:r>
        <w:fldChar w:fldCharType="begin"/>
      </w:r>
      <w:r>
        <w:instrText xml:space="preserve"> SEQ level0 \*arabic \* MERGEFORMAT </w:instrText>
      </w:r>
      <w:r>
        <w:fldChar w:fldCharType="separate"/>
      </w:r>
      <w:r w:rsidRPr="008B22A8" w:rsidR="008B22A8">
        <w:rPr>
          <w:noProof/>
        </w:rPr>
        <w:t>54</w:t>
      </w:r>
      <w:r>
        <w:rPr>
          <w:noProof/>
        </w:rPr>
        <w:fldChar w:fldCharType="end"/>
      </w:r>
      <w:r w:rsidRPr="008B22A8">
        <w:t>.  The foregoing considerations are sufficient for the Court to conclude that the respondent State has failed to fulfil its positive obligations under Article 8 of the Convention. There has accordingly been a violation of that provision.</w:t>
      </w:r>
    </w:p>
    <w:p w:rsidRPr="008B22A8" w:rsidR="00F404AC" w:rsidP="008B22A8" w14:paraId="0F3B7192" w14:textId="77777777">
      <w:pPr>
        <w:pStyle w:val="JuHIRoman"/>
        <w:tabs>
          <w:tab w:val="left" w:pos="567"/>
          <w:tab w:val="left" w:pos="680"/>
        </w:tabs>
        <w:ind w:left="397" w:hanging="397"/>
      </w:pPr>
      <w:r w:rsidRPr="008B22A8">
        <w:t>APPLICATION OF ARTICLE 41 OF THE CONVENTION</w:t>
      </w:r>
    </w:p>
    <w:p w:rsidRPr="008B22A8" w:rsidR="00F404AC" w:rsidP="008B22A8" w14:paraId="76809B25" w14:textId="6B633114">
      <w:pPr>
        <w:pStyle w:val="JuPara"/>
      </w:pPr>
      <w:r>
        <w:fldChar w:fldCharType="begin"/>
      </w:r>
      <w:r>
        <w:instrText xml:space="preserve"> SEQ level0 \*arabic \* MERGEFORMAT </w:instrText>
      </w:r>
      <w:r>
        <w:fldChar w:fldCharType="separate"/>
      </w:r>
      <w:r w:rsidRPr="008B22A8" w:rsidR="008B22A8">
        <w:rPr>
          <w:noProof/>
        </w:rPr>
        <w:t>55</w:t>
      </w:r>
      <w:r>
        <w:rPr>
          <w:noProof/>
        </w:rPr>
        <w:fldChar w:fldCharType="end"/>
      </w:r>
      <w:r w:rsidRPr="008B22A8">
        <w:t>.  Article 41 of the Convention provides:</w:t>
      </w:r>
    </w:p>
    <w:p w:rsidRPr="008B22A8" w:rsidR="00F404AC" w:rsidP="008B22A8" w14:paraId="3ECCC19E" w14:textId="77777777">
      <w:pPr>
        <w:pStyle w:val="JuQuot"/>
      </w:pPr>
      <w:r w:rsidRPr="008B22A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22A8" w:rsidR="00F404AC" w:rsidP="008B22A8" w14:paraId="502CA8E2" w14:textId="77777777">
      <w:pPr>
        <w:pStyle w:val="JuHA"/>
        <w:numPr>
          <w:ilvl w:val="2"/>
          <w:numId w:val="1"/>
        </w:numPr>
        <w:ind w:left="510" w:hanging="340"/>
      </w:pPr>
      <w:r w:rsidRPr="008B22A8">
        <w:t>Damage</w:t>
      </w:r>
    </w:p>
    <w:p w:rsidRPr="008B22A8" w:rsidR="00F404AC" w:rsidP="008B22A8" w14:paraId="5C57C1D0" w14:textId="27051C76">
      <w:pPr>
        <w:pStyle w:val="JuPara"/>
      </w:pPr>
      <w:r>
        <w:fldChar w:fldCharType="begin"/>
      </w:r>
      <w:r>
        <w:instrText xml:space="preserve"> SEQ level0 \*arabic \* MERGEFORMAT </w:instrText>
      </w:r>
      <w:r>
        <w:fldChar w:fldCharType="separate"/>
      </w:r>
      <w:r w:rsidRPr="008B22A8" w:rsidR="008B22A8">
        <w:rPr>
          <w:noProof/>
        </w:rPr>
        <w:t>56</w:t>
      </w:r>
      <w:r>
        <w:rPr>
          <w:noProof/>
        </w:rPr>
        <w:fldChar w:fldCharType="end"/>
      </w:r>
      <w:r w:rsidRPr="008B22A8">
        <w:t xml:space="preserve">.  The applicant claimed </w:t>
      </w:r>
      <w:r w:rsidRPr="008B22A8" w:rsidR="00886C2D">
        <w:t xml:space="preserve">Azerbaijani manats </w:t>
      </w:r>
      <w:r w:rsidRPr="008B22A8">
        <w:t xml:space="preserve">24,000 </w:t>
      </w:r>
      <w:r w:rsidRPr="008B22A8" w:rsidR="00886C2D">
        <w:t xml:space="preserve">(AZN) </w:t>
      </w:r>
      <w:r w:rsidRPr="008B22A8">
        <w:t>(approximately 13,330 euros (EUR) at the date of submission of the claim) in respect of pecuniary damage, the amount he was supposed to receive under a two-year contract for legal services that was allegedly terminated by his client after the publication of the video footage. He also claimed EUR 20,000 in respect of non-pecuniary damage.</w:t>
      </w:r>
    </w:p>
    <w:p w:rsidRPr="008B22A8" w:rsidR="00F404AC" w:rsidP="008B22A8" w14:paraId="2DB32EFE" w14:textId="7F56F678">
      <w:pPr>
        <w:pStyle w:val="JuPara"/>
      </w:pPr>
      <w:r>
        <w:fldChar w:fldCharType="begin"/>
      </w:r>
      <w:r>
        <w:instrText xml:space="preserve"> SEQ level0 \*arabic \* MERGEFORMAT </w:instrText>
      </w:r>
      <w:r>
        <w:fldChar w:fldCharType="separate"/>
      </w:r>
      <w:r w:rsidRPr="008B22A8" w:rsidR="008B22A8">
        <w:rPr>
          <w:noProof/>
        </w:rPr>
        <w:t>57</w:t>
      </w:r>
      <w:r>
        <w:rPr>
          <w:noProof/>
        </w:rPr>
        <w:fldChar w:fldCharType="end"/>
      </w:r>
      <w:r w:rsidRPr="008B22A8">
        <w:t xml:space="preserve">.  The Government submitted that the applicant had never disputed the termination of the above-mentioned contract before the domestic courts and that, in any event, there was no causal link between its termination and the pecuniary damage alleged. They also invited the Court to dismiss his claim in respect of non-pecuniary damage, arguing that the finding of a violation would </w:t>
      </w:r>
      <w:r w:rsidRPr="008B22A8">
        <w:t>in itself constitute</w:t>
      </w:r>
      <w:r w:rsidRPr="008B22A8">
        <w:t xml:space="preserve"> sufficient just satisfaction.</w:t>
      </w:r>
    </w:p>
    <w:p w:rsidRPr="008B22A8" w:rsidR="00F404AC" w:rsidP="008B22A8" w14:paraId="4E1E855D" w14:textId="2E8F5206">
      <w:pPr>
        <w:pStyle w:val="JuPara"/>
      </w:pPr>
      <w:r>
        <w:fldChar w:fldCharType="begin"/>
      </w:r>
      <w:r>
        <w:instrText xml:space="preserve"> SEQ level0 \*arabic \* MERGEFORMAT </w:instrText>
      </w:r>
      <w:r>
        <w:fldChar w:fldCharType="separate"/>
      </w:r>
      <w:r w:rsidRPr="008B22A8" w:rsidR="008B22A8">
        <w:rPr>
          <w:noProof/>
        </w:rPr>
        <w:t>58</w:t>
      </w:r>
      <w:r>
        <w:rPr>
          <w:noProof/>
        </w:rPr>
        <w:fldChar w:fldCharType="end"/>
      </w:r>
      <w:r w:rsidRPr="008B22A8">
        <w:t>.  The Court does not discern any causal link between the violation found and the pecuniary damage alleged; it therefore rejects this claim. However, ruling on an equitable basis, as required by Article 41 of the Convention, it awards the applicant EUR 4,500 in respect of non-pecuniary damage, plus any tax that may be chargeable.</w:t>
      </w:r>
    </w:p>
    <w:p w:rsidRPr="008B22A8" w:rsidR="00F404AC" w:rsidP="008B22A8" w14:paraId="03EF1861" w14:textId="77777777">
      <w:pPr>
        <w:pStyle w:val="JuHA"/>
        <w:numPr>
          <w:ilvl w:val="2"/>
          <w:numId w:val="1"/>
        </w:numPr>
        <w:ind w:left="510" w:hanging="340"/>
      </w:pPr>
      <w:r w:rsidRPr="008B22A8">
        <w:t>Costs and expenses</w:t>
      </w:r>
    </w:p>
    <w:p w:rsidRPr="008B22A8" w:rsidR="00F404AC" w:rsidP="008B22A8" w14:paraId="068701AE" w14:textId="476A0237">
      <w:pPr>
        <w:pStyle w:val="JuPara"/>
      </w:pPr>
      <w:r>
        <w:fldChar w:fldCharType="begin"/>
      </w:r>
      <w:r>
        <w:instrText xml:space="preserve"> SEQ level0 \*arabic \* MERGEFORMAT </w:instrText>
      </w:r>
      <w:r>
        <w:fldChar w:fldCharType="separate"/>
      </w:r>
      <w:r w:rsidRPr="008B22A8" w:rsidR="008B22A8">
        <w:rPr>
          <w:noProof/>
        </w:rPr>
        <w:t>59</w:t>
      </w:r>
      <w:r>
        <w:rPr>
          <w:noProof/>
        </w:rPr>
        <w:fldChar w:fldCharType="end"/>
      </w:r>
      <w:r w:rsidRPr="008B22A8">
        <w:t xml:space="preserve">.  The applicant submitted that under the contract for legal services concluded with Mr Y. </w:t>
      </w:r>
      <w:r w:rsidRPr="008B22A8">
        <w:t>Imanov</w:t>
      </w:r>
      <w:r w:rsidRPr="008B22A8">
        <w:t xml:space="preserve"> he was bound to pay the latter AZN 3,500 for costs and expenses incurred before the Court and asked to be awarded the euro equivalent of that amount at the rate applicable at the date of the conclusion of the contract (approximately EUR 1,740). He submitted a copy of the said contract.</w:t>
      </w:r>
    </w:p>
    <w:p w:rsidRPr="008B22A8" w:rsidR="00F404AC" w:rsidP="008B22A8" w14:paraId="04582BC8" w14:textId="21C76128">
      <w:pPr>
        <w:pStyle w:val="JuPara"/>
      </w:pPr>
      <w:r>
        <w:fldChar w:fldCharType="begin"/>
      </w:r>
      <w:r>
        <w:instrText xml:space="preserve"> SEQ level0 \*arabic \* MERGEFORMAT </w:instrText>
      </w:r>
      <w:r>
        <w:fldChar w:fldCharType="separate"/>
      </w:r>
      <w:r w:rsidRPr="008B22A8" w:rsidR="008B22A8">
        <w:rPr>
          <w:noProof/>
        </w:rPr>
        <w:t>60</w:t>
      </w:r>
      <w:r>
        <w:rPr>
          <w:noProof/>
        </w:rPr>
        <w:fldChar w:fldCharType="end"/>
      </w:r>
      <w:r w:rsidRPr="008B22A8">
        <w:t>.  The Government argued that the amount claimed was excessive, given the circumstances of the case and the applicant</w:t>
      </w:r>
      <w:r w:rsidRPr="008B22A8" w:rsidR="008B22A8">
        <w:t>’</w:t>
      </w:r>
      <w:r w:rsidRPr="008B22A8">
        <w:t>s profession as a practising advocate. They considered that EUR 500 would be a reasonable amount for the legal services provided by the applicant</w:t>
      </w:r>
      <w:r w:rsidRPr="008B22A8" w:rsidR="008B22A8">
        <w:t>’</w:t>
      </w:r>
      <w:r w:rsidRPr="008B22A8">
        <w:t>s lawyer.</w:t>
      </w:r>
    </w:p>
    <w:p w:rsidRPr="008B22A8" w:rsidR="00F404AC" w:rsidP="008B22A8" w14:paraId="45945AA4" w14:textId="50155E42">
      <w:pPr>
        <w:pStyle w:val="JuPara"/>
      </w:pPr>
      <w:r>
        <w:fldChar w:fldCharType="begin"/>
      </w:r>
      <w:r>
        <w:instrText xml:space="preserve"> SEQ level0 \*arabic \* MERGEFORMAT </w:instrText>
      </w:r>
      <w:r>
        <w:fldChar w:fldCharType="separate"/>
      </w:r>
      <w:r w:rsidRPr="008B22A8" w:rsidR="008B22A8">
        <w:rPr>
          <w:noProof/>
        </w:rPr>
        <w:t>61</w:t>
      </w:r>
      <w:r>
        <w:rPr>
          <w:noProof/>
        </w:rPr>
        <w:fldChar w:fldCharType="end"/>
      </w:r>
      <w:r w:rsidRPr="008B22A8">
        <w:t>.  According to the Court</w:t>
      </w:r>
      <w:r w:rsidRPr="008B22A8" w:rsidR="008B22A8">
        <w:t>’</w:t>
      </w:r>
      <w:r w:rsidRPr="008B22A8">
        <w:t xml:space="preserve">s case-law, an applicant is entitled to the reimbursement of costs and expenses only in so far as it has been shown that these were actually and necessarily incurred and are reasonable as to quantum (see, for example, </w:t>
      </w:r>
      <w:bookmarkStart w:name="_cl31073" w:id="36"/>
      <w:bookmarkStart w:name="_cl42074" w:id="37"/>
      <w:r w:rsidRPr="008B22A8">
        <w:rPr>
          <w:i/>
          <w:iCs/>
        </w:rPr>
        <w:t>Vegotex</w:t>
      </w:r>
      <w:r w:rsidRPr="008B22A8">
        <w:rPr>
          <w:i/>
          <w:iCs/>
        </w:rPr>
        <w:t xml:space="preserve"> International S.A. v. Belgium</w:t>
      </w:r>
      <w:r w:rsidRPr="008B22A8">
        <w:t xml:space="preserve"> [GC], no. 49812/09, § 167, 3 November 2022, and </w:t>
      </w:r>
      <w:r w:rsidRPr="008B22A8">
        <w:rPr>
          <w:i/>
          <w:iCs/>
        </w:rPr>
        <w:t>Malik Babayev v. Azerbaijan</w:t>
      </w:r>
      <w:bookmarkEnd w:id="36"/>
      <w:r w:rsidRPr="008B22A8">
        <w:t>, no. 30500/11, § 97, 1 June 2017</w:t>
      </w:r>
      <w:r w:rsidRPr="008B22A8">
        <w:rPr>
          <w:lang w:val="en-US"/>
        </w:rPr>
        <w:t>, with further references</w:t>
      </w:r>
      <w:bookmarkEnd w:id="37"/>
      <w:r w:rsidRPr="008B22A8">
        <w:t>). In the present case, regard being had to the documents in its possession and the above criteria, the Court considers it reasonable to award the sum of EUR 1,000 for the costs and expenses before the Court, plus any tax that may be chargeable to the applicant, to be paid directly into the bank account of his representative, Mr Y. </w:t>
      </w:r>
      <w:r w:rsidRPr="008B22A8">
        <w:t>Imanov</w:t>
      </w:r>
      <w:r w:rsidRPr="008B22A8">
        <w:t>.</w:t>
      </w:r>
    </w:p>
    <w:p w:rsidRPr="008B22A8" w:rsidR="00F404AC" w:rsidP="008B22A8" w14:paraId="67662E40" w14:textId="77777777">
      <w:pPr>
        <w:pStyle w:val="JuHHead"/>
        <w:keepNext w:val="0"/>
        <w:keepLines w:val="0"/>
        <w:numPr>
          <w:ilvl w:val="0"/>
          <w:numId w:val="1"/>
        </w:numPr>
        <w:ind w:left="360" w:hanging="360"/>
      </w:pPr>
      <w:r w:rsidRPr="008B22A8">
        <w:t>FOR THESE REASONS, THE COURT, UNANIMOUSLY,</w:t>
      </w:r>
    </w:p>
    <w:p w:rsidRPr="008B22A8" w:rsidR="00F404AC" w:rsidP="008B22A8" w14:paraId="560943EF" w14:textId="1C339464">
      <w:pPr>
        <w:pStyle w:val="JuList"/>
      </w:pPr>
      <w:r w:rsidRPr="008B22A8">
        <w:rPr>
          <w:i/>
        </w:rPr>
        <w:t xml:space="preserve">Decides </w:t>
      </w:r>
      <w:r w:rsidRPr="008B22A8">
        <w:t>to join to the merits the Government</w:t>
      </w:r>
      <w:r w:rsidRPr="008B22A8" w:rsidR="008B22A8">
        <w:t>’</w:t>
      </w:r>
      <w:r w:rsidRPr="008B22A8">
        <w:t xml:space="preserve">s preliminary objection concerning the non-exhaustion of domestic remedies and </w:t>
      </w:r>
      <w:r w:rsidRPr="008B22A8">
        <w:rPr>
          <w:i/>
          <w:iCs/>
        </w:rPr>
        <w:t>dismisses</w:t>
      </w:r>
      <w:r w:rsidRPr="008B22A8">
        <w:t xml:space="preserve"> </w:t>
      </w:r>
      <w:r w:rsidRPr="008B22A8">
        <w:t>it;</w:t>
      </w:r>
    </w:p>
    <w:p w:rsidRPr="008B22A8" w:rsidR="00F404AC" w:rsidP="008B22A8" w14:paraId="3C801D3D" w14:textId="77777777">
      <w:pPr>
        <w:pStyle w:val="JuList"/>
      </w:pPr>
      <w:r w:rsidRPr="008B22A8">
        <w:rPr>
          <w:i/>
        </w:rPr>
        <w:t xml:space="preserve">Declares </w:t>
      </w:r>
      <w:r w:rsidRPr="008B22A8">
        <w:t xml:space="preserve">the application </w:t>
      </w:r>
      <w:r w:rsidRPr="008B22A8">
        <w:t>admissible;</w:t>
      </w:r>
    </w:p>
    <w:p w:rsidRPr="008B22A8" w:rsidR="00F404AC" w:rsidP="008B22A8" w14:paraId="19EE78D7" w14:textId="77777777">
      <w:pPr>
        <w:pStyle w:val="JuList"/>
      </w:pPr>
      <w:r w:rsidRPr="008B22A8">
        <w:rPr>
          <w:i/>
        </w:rPr>
        <w:t xml:space="preserve">Holds </w:t>
      </w:r>
      <w:r w:rsidRPr="008B22A8">
        <w:t xml:space="preserve">that there has been a violation of Article 8 of the </w:t>
      </w:r>
      <w:r w:rsidRPr="008B22A8">
        <w:t>Convention;</w:t>
      </w:r>
    </w:p>
    <w:p w:rsidRPr="008B22A8" w:rsidR="00F404AC" w:rsidP="008B22A8" w14:paraId="6C9E951D" w14:textId="77777777">
      <w:pPr>
        <w:pStyle w:val="JuList"/>
      </w:pPr>
      <w:r w:rsidRPr="008B22A8">
        <w:rPr>
          <w:i/>
        </w:rPr>
        <w:t>Holds</w:t>
      </w:r>
    </w:p>
    <w:p w:rsidRPr="008B22A8" w:rsidR="00F404AC" w:rsidP="008B22A8" w14:paraId="1ACB5E8B" w14:textId="77777777">
      <w:pPr>
        <w:pStyle w:val="JuLista"/>
      </w:pPr>
      <w:r w:rsidRPr="008B22A8">
        <w:t>that the respondent State is to pay the applicant, within three months from the date on which the judgment becomes final in accordance with Article 44 § 2 of the Convention, the following amounts</w:t>
      </w:r>
      <w:r w:rsidRPr="008B22A8">
        <w:rPr>
          <w:bCs/>
        </w:rPr>
        <w:t>, to be converted into the currency of the respondent State</w:t>
      </w:r>
      <w:r w:rsidRPr="008B22A8">
        <w:rPr>
          <w:b/>
        </w:rPr>
        <w:t xml:space="preserve"> </w:t>
      </w:r>
      <w:r w:rsidRPr="008B22A8">
        <w:t>at the rate applicable at the date of settlement:</w:t>
      </w:r>
    </w:p>
    <w:p w:rsidRPr="008B22A8" w:rsidR="00F404AC" w:rsidP="008B22A8" w14:paraId="06F6A848" w14:textId="77777777">
      <w:pPr>
        <w:pStyle w:val="JuListi"/>
      </w:pPr>
      <w:r w:rsidRPr="008B22A8">
        <w:t xml:space="preserve">EUR 4,500 (four thousand five hundred euros), plus any tax that may be chargeable, in respect of non-pecuniary </w:t>
      </w:r>
      <w:r w:rsidRPr="008B22A8">
        <w:t>damage;</w:t>
      </w:r>
    </w:p>
    <w:p w:rsidRPr="008B22A8" w:rsidR="00F404AC" w:rsidP="008B22A8" w14:paraId="3FA284F5" w14:textId="77777777">
      <w:pPr>
        <w:pStyle w:val="JuListi"/>
      </w:pPr>
      <w:r w:rsidRPr="008B22A8">
        <w:t>EUR 1,000 (one thousand euros), plus any tax that may be chargeable to the applicant, in respect of costs and expenses, to be paid directly into the bank account of his representative, Mr Y. </w:t>
      </w:r>
      <w:r w:rsidRPr="008B22A8">
        <w:t>Imanov</w:t>
      </w:r>
      <w:r w:rsidRPr="008B22A8">
        <w:t>;</w:t>
      </w:r>
    </w:p>
    <w:p w:rsidRPr="008B22A8" w:rsidR="00F404AC" w:rsidP="008B22A8" w14:paraId="58D38AB0" w14:textId="77777777">
      <w:pPr>
        <w:pStyle w:val="JuLista"/>
      </w:pPr>
      <w:r w:rsidRPr="008B22A8">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8B22A8">
        <w:t>points;</w:t>
      </w:r>
    </w:p>
    <w:p w:rsidRPr="008B22A8" w:rsidR="004D0EC7" w:rsidP="008B22A8" w14:paraId="467C5A0E" w14:textId="39C0006A">
      <w:pPr>
        <w:pStyle w:val="JuList"/>
      </w:pPr>
      <w:r w:rsidRPr="008B22A8">
        <w:rPr>
          <w:i/>
        </w:rPr>
        <w:t xml:space="preserve">Dismisses </w:t>
      </w:r>
      <w:r w:rsidRPr="008B22A8">
        <w:t>the remainder of the applicant</w:t>
      </w:r>
      <w:r w:rsidRPr="008B22A8" w:rsidR="008B22A8">
        <w:t>’</w:t>
      </w:r>
      <w:r w:rsidRPr="008B22A8">
        <w:t>s claim for just satisfaction.</w:t>
      </w:r>
    </w:p>
    <w:p w:rsidRPr="008B22A8" w:rsidR="008E3A08" w:rsidP="008B22A8" w14:paraId="2B9795F1" w14:textId="2B278E95">
      <w:pPr>
        <w:pStyle w:val="JuParaLast"/>
      </w:pPr>
      <w:r w:rsidRPr="008B22A8">
        <w:t xml:space="preserve">Done in English, and notified in writing on </w:t>
      </w:r>
      <w:r w:rsidRPr="008B22A8" w:rsidR="00F404AC">
        <w:rPr>
          <w:rFonts w:ascii="Times New Roman" w:hAnsi="Times New Roman" w:cs="Times New Roman"/>
        </w:rPr>
        <w:t>6 May 202</w:t>
      </w:r>
      <w:r w:rsidRPr="008B22A8" w:rsidR="00AF21CC">
        <w:rPr>
          <w:rFonts w:ascii="Times New Roman" w:hAnsi="Times New Roman" w:cs="Times New Roman"/>
        </w:rPr>
        <w:t>5</w:t>
      </w:r>
      <w:r w:rsidRPr="008B22A8">
        <w:t>, pursuant to Rule 77 §§ 2 and 3 of the Rules of Court.</w:t>
      </w:r>
    </w:p>
    <w:p w:rsidRPr="008B22A8" w:rsidR="007E79A4" w:rsidP="008B22A8" w14:paraId="0B7849D4" w14:textId="35839AAA">
      <w:pPr>
        <w:pStyle w:val="JuSigned"/>
        <w:rPr>
          <w:lang w:val="it-IT"/>
        </w:rPr>
      </w:pPr>
      <w:r w:rsidRPr="008B22A8">
        <w:tab/>
      </w:r>
      <w:r w:rsidRPr="008B22A8" w:rsidR="00F404AC">
        <w:rPr>
          <w:lang w:val="it-IT"/>
        </w:rPr>
        <w:t xml:space="preserve">Milan </w:t>
      </w:r>
      <w:r w:rsidRPr="008B22A8" w:rsidR="00F404AC">
        <w:rPr>
          <w:lang w:val="it-IT"/>
        </w:rPr>
        <w:t>Blaško</w:t>
      </w:r>
      <w:r w:rsidRPr="008B22A8">
        <w:rPr>
          <w:lang w:val="it-IT"/>
        </w:rPr>
        <w:tab/>
      </w:r>
      <w:r w:rsidRPr="008B22A8" w:rsidR="00F404AC">
        <w:rPr>
          <w:lang w:val="it-IT"/>
        </w:rPr>
        <w:t xml:space="preserve">Ioannis </w:t>
      </w:r>
      <w:r w:rsidRPr="008B22A8" w:rsidR="00F404AC">
        <w:rPr>
          <w:lang w:val="it-IT"/>
        </w:rPr>
        <w:t>Ktistakis</w:t>
      </w:r>
      <w:r w:rsidRPr="008B22A8">
        <w:rPr>
          <w:lang w:val="it-IT"/>
        </w:rPr>
        <w:br/>
      </w:r>
      <w:r w:rsidRPr="008B22A8">
        <w:rPr>
          <w:lang w:val="it-IT"/>
        </w:rPr>
        <w:tab/>
      </w:r>
      <w:r w:rsidRPr="008B22A8" w:rsidR="00F404AC">
        <w:rPr>
          <w:iCs/>
          <w:lang w:val="it-IT"/>
        </w:rPr>
        <w:t>Registrar</w:t>
      </w:r>
      <w:r w:rsidRPr="008B22A8">
        <w:rPr>
          <w:lang w:val="it-IT"/>
        </w:rPr>
        <w:tab/>
      </w:r>
      <w:r w:rsidRPr="008B22A8">
        <w:rPr>
          <w:lang w:val="it-IT"/>
        </w:rPr>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4AC" w:rsidRPr="00150BFA" w:rsidP="0020718E" w14:paraId="2DFDCBD3" w14:textId="7E7D71AD">
    <w:pPr>
      <w:jc w:val="center"/>
    </w:pPr>
    <w:r>
      <w:rPr>
        <w:noProof/>
        <w:lang w:val="en-US"/>
      </w:rPr>
      <w:drawing>
        <wp:inline distT="0" distB="0" distL="0" distR="0">
          <wp:extent cx="771525" cy="619125"/>
          <wp:effectExtent l="0" t="0" r="9525" b="9525"/>
          <wp:docPr id="84" name="Picture 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6B2EF7C" w14:textId="0F31A46C">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4AC" w:rsidRPr="00150BFA" w:rsidP="0020718E" w14:paraId="1F604CF0" w14:textId="7B321439">
    <w:pPr>
      <w:jc w:val="center"/>
    </w:pPr>
    <w:r>
      <w:rPr>
        <w:noProof/>
        <w:lang w:val="en-US"/>
      </w:rPr>
      <w:drawing>
        <wp:inline distT="0" distB="0" distL="0" distR="0">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BD0E70C" w14:textId="685E0D53">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6483C79" w14:textId="22AC6CA4">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760DB61" w14:textId="49711880">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4AC" w:rsidRPr="00A45145" w:rsidP="00A45145" w14:paraId="14AF70CD" w14:textId="28C283D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73B3FAF9" w14:textId="22300F2A">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04AC" w:rsidRPr="00A45145" w:rsidP="00A45145" w14:paraId="612E98BD" w14:textId="1A4E1584">
    <w:pPr>
      <w:jc w:val="center"/>
    </w:pPr>
    <w:r>
      <w:rPr>
        <w:noProof/>
        <w:lang w:val="en-US"/>
      </w:rPr>
      <w:drawing>
        <wp:inline distT="0" distB="0" distL="0" distR="0">
          <wp:extent cx="2962275" cy="1219200"/>
          <wp:effectExtent l="0" t="0" r="9525" b="0"/>
          <wp:docPr id="72" name="Picture 7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58ECC566" w14:textId="7CF33BE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D67D486" w14:textId="291A4B31">
    <w:pPr>
      <w:pStyle w:val="JuHeader"/>
    </w:pPr>
    <w:r>
      <w:t>BAYRAMOV v. AZERBAIJAN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FB4952F" w14:textId="111E5D7F">
    <w:pPr>
      <w:pStyle w:val="JuHeader"/>
    </w:pPr>
    <w:r>
      <w:t>BAYRAMOV 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02371621">
    <w:abstractNumId w:val="19"/>
  </w:num>
  <w:num w:numId="2" w16cid:durableId="15349361">
    <w:abstractNumId w:val="17"/>
  </w:num>
  <w:num w:numId="3" w16cid:durableId="657925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4432977">
    <w:abstractNumId w:val="14"/>
  </w:num>
  <w:num w:numId="5" w16cid:durableId="539518838">
    <w:abstractNumId w:val="12"/>
  </w:num>
  <w:num w:numId="6" w16cid:durableId="1409882818">
    <w:abstractNumId w:val="11"/>
  </w:num>
  <w:num w:numId="7" w16cid:durableId="1114400640">
    <w:abstractNumId w:val="18"/>
  </w:num>
  <w:num w:numId="8" w16cid:durableId="1903129017">
    <w:abstractNumId w:val="7"/>
  </w:num>
  <w:num w:numId="9" w16cid:durableId="195045271">
    <w:abstractNumId w:val="6"/>
  </w:num>
  <w:num w:numId="10" w16cid:durableId="122430681">
    <w:abstractNumId w:val="5"/>
  </w:num>
  <w:num w:numId="11" w16cid:durableId="1392651492">
    <w:abstractNumId w:val="4"/>
  </w:num>
  <w:num w:numId="12" w16cid:durableId="1525050487">
    <w:abstractNumId w:val="8"/>
  </w:num>
  <w:num w:numId="13" w16cid:durableId="1833332761">
    <w:abstractNumId w:val="3"/>
  </w:num>
  <w:num w:numId="14" w16cid:durableId="1013727802">
    <w:abstractNumId w:val="2"/>
  </w:num>
  <w:num w:numId="15" w16cid:durableId="1930889444">
    <w:abstractNumId w:val="1"/>
  </w:num>
  <w:num w:numId="16" w16cid:durableId="1232039551">
    <w:abstractNumId w:val="0"/>
  </w:num>
  <w:num w:numId="17" w16cid:durableId="1199197338">
    <w:abstractNumId w:val="15"/>
  </w:num>
  <w:num w:numId="18" w16cid:durableId="1714185224">
    <w:abstractNumId w:val="13"/>
  </w:num>
  <w:num w:numId="19" w16cid:durableId="1157838313">
    <w:abstractNumId w:val="16"/>
  </w:num>
  <w:num w:numId="20" w16cid:durableId="1050610016">
    <w:abstractNumId w:val="15"/>
  </w:num>
  <w:num w:numId="21" w16cid:durableId="1157842028">
    <w:abstractNumId w:val="16"/>
  </w:num>
  <w:num w:numId="22" w16cid:durableId="1998919199">
    <w:abstractNumId w:val="10"/>
  </w:num>
  <w:num w:numId="23" w16cid:durableId="951788349">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AC"/>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0E9C"/>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4FAD"/>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5C21"/>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E4C30"/>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68E4"/>
    <w:rsid w:val="007A716F"/>
    <w:rsid w:val="007B270A"/>
    <w:rsid w:val="007B4182"/>
    <w:rsid w:val="007C0695"/>
    <w:rsid w:val="007C419A"/>
    <w:rsid w:val="007C4CC8"/>
    <w:rsid w:val="007C5426"/>
    <w:rsid w:val="007C5798"/>
    <w:rsid w:val="007D1ECD"/>
    <w:rsid w:val="007D3701"/>
    <w:rsid w:val="007D4832"/>
    <w:rsid w:val="007D7B8A"/>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86C2D"/>
    <w:rsid w:val="00893576"/>
    <w:rsid w:val="00893E73"/>
    <w:rsid w:val="008B02DC"/>
    <w:rsid w:val="008B092C"/>
    <w:rsid w:val="008B22A8"/>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5AE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5E0C"/>
    <w:rsid w:val="00A865D2"/>
    <w:rsid w:val="00A8773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21CC"/>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7FF"/>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2AE3"/>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29F"/>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04AC"/>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4983"/>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9AA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D7B8A"/>
    <w:rPr>
      <w:sz w:val="24"/>
      <w:szCs w:val="24"/>
      <w:lang w:val="en-GB"/>
    </w:rPr>
  </w:style>
  <w:style w:type="paragraph" w:styleId="Heading1">
    <w:name w:val="heading 1"/>
    <w:basedOn w:val="Normal"/>
    <w:next w:val="Normal"/>
    <w:link w:val="Heading1Char"/>
    <w:uiPriority w:val="98"/>
    <w:semiHidden/>
    <w:rsid w:val="00A8773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8773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8773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A8773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A8773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A8773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A8773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A8773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8773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87732"/>
    <w:rPr>
      <w:rFonts w:ascii="Tahoma" w:hAnsi="Tahoma" w:cs="Tahoma"/>
      <w:sz w:val="16"/>
      <w:szCs w:val="16"/>
    </w:rPr>
  </w:style>
  <w:style w:type="character" w:customStyle="1" w:styleId="BalloonTextChar">
    <w:name w:val="Balloon Text Char"/>
    <w:basedOn w:val="DefaultParagraphFont"/>
    <w:link w:val="BalloonText"/>
    <w:uiPriority w:val="98"/>
    <w:semiHidden/>
    <w:rsid w:val="00A87732"/>
    <w:rPr>
      <w:rFonts w:ascii="Tahoma" w:hAnsi="Tahoma" w:cs="Tahoma"/>
      <w:sz w:val="16"/>
      <w:szCs w:val="16"/>
      <w:lang w:val="en-GB"/>
    </w:rPr>
  </w:style>
  <w:style w:type="character" w:styleId="BookTitle">
    <w:name w:val="Book Title"/>
    <w:uiPriority w:val="98"/>
    <w:semiHidden/>
    <w:qFormat/>
    <w:rsid w:val="00A87732"/>
    <w:rPr>
      <w:i/>
      <w:iCs/>
      <w:smallCaps/>
      <w:spacing w:val="5"/>
    </w:rPr>
  </w:style>
  <w:style w:type="paragraph" w:customStyle="1" w:styleId="JuHeader">
    <w:name w:val="Ju_Header"/>
    <w:aliases w:val="_Header"/>
    <w:basedOn w:val="Header0"/>
    <w:uiPriority w:val="29"/>
    <w:qFormat/>
    <w:rsid w:val="00A87732"/>
    <w:pPr>
      <w:tabs>
        <w:tab w:val="clear" w:pos="4536"/>
        <w:tab w:val="clear" w:pos="9072"/>
      </w:tabs>
      <w:jc w:val="center"/>
    </w:pPr>
    <w:rPr>
      <w:sz w:val="18"/>
    </w:rPr>
  </w:style>
  <w:style w:type="paragraph" w:customStyle="1" w:styleId="NormalJustified">
    <w:name w:val="Normal_Justified"/>
    <w:basedOn w:val="Normal"/>
    <w:semiHidden/>
    <w:rsid w:val="00A87732"/>
    <w:pPr>
      <w:jc w:val="both"/>
    </w:pPr>
  </w:style>
  <w:style w:type="character" w:styleId="Strong">
    <w:name w:val="Strong"/>
    <w:uiPriority w:val="98"/>
    <w:semiHidden/>
    <w:qFormat/>
    <w:rsid w:val="00A87732"/>
    <w:rPr>
      <w:b/>
      <w:bCs/>
    </w:rPr>
  </w:style>
  <w:style w:type="paragraph" w:styleId="NoSpacing">
    <w:name w:val="No Spacing"/>
    <w:basedOn w:val="Normal"/>
    <w:link w:val="NoSpacingChar"/>
    <w:uiPriority w:val="98"/>
    <w:semiHidden/>
    <w:qFormat/>
    <w:rsid w:val="00A87732"/>
  </w:style>
  <w:style w:type="character" w:customStyle="1" w:styleId="NoSpacingChar">
    <w:name w:val="No Spacing Char"/>
    <w:basedOn w:val="DefaultParagraphFont"/>
    <w:link w:val="NoSpacing"/>
    <w:uiPriority w:val="98"/>
    <w:semiHidden/>
    <w:rsid w:val="00A87732"/>
    <w:rPr>
      <w:sz w:val="24"/>
      <w:szCs w:val="24"/>
      <w:lang w:val="en-GB"/>
    </w:rPr>
  </w:style>
  <w:style w:type="paragraph" w:customStyle="1" w:styleId="JuQuot">
    <w:name w:val="Ju_Quot"/>
    <w:aliases w:val="_Quote"/>
    <w:basedOn w:val="NormalJustified"/>
    <w:uiPriority w:val="20"/>
    <w:qFormat/>
    <w:rsid w:val="00A87732"/>
    <w:pPr>
      <w:spacing w:before="120" w:after="120"/>
      <w:ind w:left="425" w:firstLine="142"/>
    </w:pPr>
    <w:rPr>
      <w:sz w:val="20"/>
    </w:rPr>
  </w:style>
  <w:style w:type="paragraph" w:customStyle="1" w:styleId="DummyStyle">
    <w:name w:val="Dummy_Style"/>
    <w:aliases w:val="_Dummy"/>
    <w:basedOn w:val="Normal"/>
    <w:semiHidden/>
    <w:qFormat/>
    <w:rsid w:val="00A87732"/>
    <w:rPr>
      <w:color w:val="00B050"/>
      <w:sz w:val="22"/>
    </w:rPr>
  </w:style>
  <w:style w:type="paragraph" w:customStyle="1" w:styleId="JuList">
    <w:name w:val="Ju_List"/>
    <w:aliases w:val="_List_1"/>
    <w:basedOn w:val="NormalJustified"/>
    <w:uiPriority w:val="23"/>
    <w:qFormat/>
    <w:rsid w:val="00A87732"/>
    <w:pPr>
      <w:numPr>
        <w:numId w:val="23"/>
      </w:numPr>
      <w:spacing w:before="280" w:after="60"/>
    </w:pPr>
  </w:style>
  <w:style w:type="paragraph" w:customStyle="1" w:styleId="JuLista">
    <w:name w:val="Ju_List_a"/>
    <w:aliases w:val="_List_2"/>
    <w:basedOn w:val="NormalJustified"/>
    <w:uiPriority w:val="23"/>
    <w:rsid w:val="00A87732"/>
    <w:pPr>
      <w:numPr>
        <w:ilvl w:val="1"/>
        <w:numId w:val="23"/>
      </w:numPr>
    </w:pPr>
  </w:style>
  <w:style w:type="paragraph" w:customStyle="1" w:styleId="JuListi">
    <w:name w:val="Ju_List_i"/>
    <w:aliases w:val="_List_3"/>
    <w:basedOn w:val="NormalJustified"/>
    <w:uiPriority w:val="23"/>
    <w:rsid w:val="00A87732"/>
    <w:pPr>
      <w:numPr>
        <w:ilvl w:val="2"/>
        <w:numId w:val="23"/>
      </w:numPr>
    </w:pPr>
  </w:style>
  <w:style w:type="paragraph" w:customStyle="1" w:styleId="JuHArticle">
    <w:name w:val="Ju_H_Article"/>
    <w:aliases w:val="_Title_Quote"/>
    <w:basedOn w:val="Normal"/>
    <w:next w:val="JuQuot"/>
    <w:uiPriority w:val="19"/>
    <w:qFormat/>
    <w:rsid w:val="00A87732"/>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8773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87732"/>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87732"/>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87732"/>
    <w:pPr>
      <w:numPr>
        <w:numId w:val="17"/>
      </w:numPr>
    </w:pPr>
  </w:style>
  <w:style w:type="paragraph" w:customStyle="1" w:styleId="JuSigned">
    <w:name w:val="Ju_Signed"/>
    <w:aliases w:val="_Signature"/>
    <w:basedOn w:val="Normal"/>
    <w:next w:val="JuPara"/>
    <w:uiPriority w:val="31"/>
    <w:qFormat/>
    <w:rsid w:val="00A87732"/>
    <w:pPr>
      <w:tabs>
        <w:tab w:val="center" w:pos="1418"/>
        <w:tab w:val="center" w:pos="5954"/>
      </w:tabs>
      <w:spacing w:before="720"/>
    </w:pPr>
  </w:style>
  <w:style w:type="paragraph" w:styleId="Title">
    <w:name w:val="Title"/>
    <w:basedOn w:val="Normal"/>
    <w:next w:val="Normal"/>
    <w:link w:val="TitleChar"/>
    <w:uiPriority w:val="98"/>
    <w:semiHidden/>
    <w:qFormat/>
    <w:rsid w:val="00A8773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8773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87732"/>
    <w:pPr>
      <w:numPr>
        <w:numId w:val="18"/>
      </w:numPr>
    </w:pPr>
  </w:style>
  <w:style w:type="numbering" w:customStyle="1" w:styleId="ECHRA1StyleNumberedList">
    <w:name w:val="ECHR_A1_Style_Numbered_List"/>
    <w:basedOn w:val="NoList"/>
    <w:rsid w:val="00A87732"/>
    <w:pPr>
      <w:numPr>
        <w:numId w:val="19"/>
      </w:numPr>
    </w:pPr>
  </w:style>
  <w:style w:type="table" w:customStyle="1" w:styleId="ECHRTable2019">
    <w:name w:val="ECHR_Table_2019"/>
    <w:basedOn w:val="TableNormal"/>
    <w:uiPriority w:val="99"/>
    <w:rsid w:val="00A8773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8773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87732"/>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87732"/>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87732"/>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A87732"/>
    <w:pPr>
      <w:tabs>
        <w:tab w:val="center" w:pos="4536"/>
        <w:tab w:val="right" w:pos="9072"/>
      </w:tabs>
    </w:pPr>
  </w:style>
  <w:style w:type="character" w:customStyle="1" w:styleId="HeaderChar">
    <w:name w:val="Header Char"/>
    <w:basedOn w:val="DefaultParagraphFont"/>
    <w:link w:val="Header0"/>
    <w:uiPriority w:val="98"/>
    <w:semiHidden/>
    <w:rsid w:val="00A87732"/>
    <w:rPr>
      <w:sz w:val="24"/>
      <w:szCs w:val="24"/>
      <w:lang w:val="en-GB"/>
    </w:rPr>
  </w:style>
  <w:style w:type="character" w:customStyle="1" w:styleId="Heading1Char">
    <w:name w:val="Heading 1 Char"/>
    <w:basedOn w:val="DefaultParagraphFont"/>
    <w:link w:val="Heading1"/>
    <w:uiPriority w:val="98"/>
    <w:semiHidden/>
    <w:rsid w:val="00A8773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87732"/>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A87732"/>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A8773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87732"/>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87732"/>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A8773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87732"/>
    <w:pPr>
      <w:keepNext/>
      <w:keepLines/>
      <w:spacing w:before="240" w:after="240"/>
      <w:ind w:firstLine="284"/>
    </w:pPr>
  </w:style>
  <w:style w:type="paragraph" w:customStyle="1" w:styleId="JuJudges">
    <w:name w:val="Ju_Judges"/>
    <w:aliases w:val="_Judges"/>
    <w:basedOn w:val="Normal"/>
    <w:uiPriority w:val="32"/>
    <w:qFormat/>
    <w:rsid w:val="00A87732"/>
    <w:pPr>
      <w:tabs>
        <w:tab w:val="left" w:pos="567"/>
        <w:tab w:val="left" w:pos="1134"/>
      </w:tabs>
    </w:pPr>
  </w:style>
  <w:style w:type="character" w:customStyle="1" w:styleId="Heading4Char">
    <w:name w:val="Heading 4 Char"/>
    <w:basedOn w:val="DefaultParagraphFont"/>
    <w:link w:val="Heading4"/>
    <w:uiPriority w:val="98"/>
    <w:semiHidden/>
    <w:rsid w:val="00A87732"/>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87732"/>
    <w:pPr>
      <w:tabs>
        <w:tab w:val="center" w:pos="6407"/>
      </w:tabs>
      <w:spacing w:before="720"/>
      <w:jc w:val="right"/>
    </w:pPr>
  </w:style>
  <w:style w:type="character" w:customStyle="1" w:styleId="Heading5Char">
    <w:name w:val="Heading 5 Char"/>
    <w:basedOn w:val="DefaultParagraphFont"/>
    <w:link w:val="Heading5"/>
    <w:uiPriority w:val="98"/>
    <w:semiHidden/>
    <w:rsid w:val="00A87732"/>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87732"/>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A87732"/>
    <w:rPr>
      <w:caps w:val="0"/>
      <w:smallCaps/>
    </w:rPr>
  </w:style>
  <w:style w:type="character" w:styleId="SubtleEmphasis">
    <w:name w:val="Subtle Emphasis"/>
    <w:uiPriority w:val="98"/>
    <w:semiHidden/>
    <w:qFormat/>
    <w:rsid w:val="00A87732"/>
    <w:rPr>
      <w:i/>
      <w:iCs/>
    </w:rPr>
  </w:style>
  <w:style w:type="table" w:customStyle="1" w:styleId="ECHRTable">
    <w:name w:val="ECHR_Table"/>
    <w:basedOn w:val="TableNormal"/>
    <w:rsid w:val="00A8773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8773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A87732"/>
    <w:rPr>
      <w:b/>
      <w:bCs/>
      <w:i/>
      <w:iCs/>
      <w:spacing w:val="10"/>
      <w:bdr w:val="none" w:sz="0" w:space="0" w:color="auto"/>
      <w:shd w:val="clear" w:color="auto" w:fill="auto"/>
    </w:rPr>
  </w:style>
  <w:style w:type="paragraph" w:styleId="Footer1">
    <w:name w:val="footer"/>
    <w:basedOn w:val="Normal"/>
    <w:link w:val="FooterChar"/>
    <w:uiPriority w:val="98"/>
    <w:semiHidden/>
    <w:rsid w:val="00A87732"/>
    <w:pPr>
      <w:tabs>
        <w:tab w:val="center" w:pos="3686"/>
        <w:tab w:val="right" w:pos="7371"/>
      </w:tabs>
    </w:pPr>
  </w:style>
  <w:style w:type="character" w:customStyle="1" w:styleId="FooterChar">
    <w:name w:val="Footer Char"/>
    <w:basedOn w:val="DefaultParagraphFont"/>
    <w:link w:val="Footer1"/>
    <w:uiPriority w:val="98"/>
    <w:semiHidden/>
    <w:rsid w:val="00A87732"/>
    <w:rPr>
      <w:sz w:val="24"/>
      <w:szCs w:val="24"/>
      <w:lang w:val="en-GB"/>
    </w:rPr>
  </w:style>
  <w:style w:type="character" w:styleId="FootnoteReference">
    <w:name w:val="footnote reference"/>
    <w:basedOn w:val="DefaultParagraphFont"/>
    <w:uiPriority w:val="98"/>
    <w:semiHidden/>
    <w:rsid w:val="00A87732"/>
    <w:rPr>
      <w:vertAlign w:val="superscript"/>
    </w:rPr>
  </w:style>
  <w:style w:type="paragraph" w:styleId="FootnoteText">
    <w:name w:val="footnote text"/>
    <w:basedOn w:val="NormalJustified"/>
    <w:link w:val="FootnoteTextChar"/>
    <w:uiPriority w:val="98"/>
    <w:semiHidden/>
    <w:rsid w:val="00A87732"/>
    <w:rPr>
      <w:sz w:val="20"/>
      <w:szCs w:val="20"/>
    </w:rPr>
  </w:style>
  <w:style w:type="character" w:customStyle="1" w:styleId="FootnoteTextChar">
    <w:name w:val="Footnote Text Char"/>
    <w:basedOn w:val="DefaultParagraphFont"/>
    <w:link w:val="FootnoteText"/>
    <w:uiPriority w:val="98"/>
    <w:semiHidden/>
    <w:rsid w:val="00A87732"/>
    <w:rPr>
      <w:sz w:val="20"/>
      <w:szCs w:val="20"/>
      <w:lang w:val="en-GB"/>
    </w:rPr>
  </w:style>
  <w:style w:type="character" w:customStyle="1" w:styleId="Heading6Char">
    <w:name w:val="Heading 6 Char"/>
    <w:basedOn w:val="DefaultParagraphFont"/>
    <w:link w:val="Heading6"/>
    <w:uiPriority w:val="98"/>
    <w:semiHidden/>
    <w:rsid w:val="00A8773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A8773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A8773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8773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87732"/>
    <w:rPr>
      <w:color w:val="0072BC" w:themeColor="hyperlink"/>
      <w:u w:val="single"/>
    </w:rPr>
  </w:style>
  <w:style w:type="character" w:styleId="IntenseEmphasis">
    <w:name w:val="Intense Emphasis"/>
    <w:uiPriority w:val="98"/>
    <w:semiHidden/>
    <w:qFormat/>
    <w:rsid w:val="00A87732"/>
    <w:rPr>
      <w:b/>
      <w:bCs/>
    </w:rPr>
  </w:style>
  <w:style w:type="paragraph" w:styleId="IntenseQuote">
    <w:name w:val="Intense Quote"/>
    <w:basedOn w:val="Normal"/>
    <w:next w:val="Normal"/>
    <w:link w:val="IntenseQuoteChar"/>
    <w:uiPriority w:val="98"/>
    <w:semiHidden/>
    <w:qFormat/>
    <w:rsid w:val="00A8773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87732"/>
    <w:rPr>
      <w:b/>
      <w:bCs/>
      <w:i/>
      <w:iCs/>
      <w:sz w:val="24"/>
      <w:szCs w:val="24"/>
      <w:lang w:val="en-GB" w:bidi="en-US"/>
    </w:rPr>
  </w:style>
  <w:style w:type="character" w:styleId="IntenseReference">
    <w:name w:val="Intense Reference"/>
    <w:uiPriority w:val="98"/>
    <w:semiHidden/>
    <w:qFormat/>
    <w:rsid w:val="00A87732"/>
    <w:rPr>
      <w:smallCaps/>
      <w:spacing w:val="5"/>
      <w:u w:val="single"/>
    </w:rPr>
  </w:style>
  <w:style w:type="paragraph" w:styleId="ListParagraph">
    <w:name w:val="List Paragraph"/>
    <w:basedOn w:val="Normal"/>
    <w:uiPriority w:val="98"/>
    <w:semiHidden/>
    <w:qFormat/>
    <w:rsid w:val="00A87732"/>
    <w:pPr>
      <w:ind w:left="720"/>
      <w:contextualSpacing/>
    </w:pPr>
  </w:style>
  <w:style w:type="table" w:customStyle="1" w:styleId="LtrTableAddress">
    <w:name w:val="Ltr_Table_Address"/>
    <w:aliases w:val="ECHR_Ltr_Table_Address"/>
    <w:basedOn w:val="TableNormal"/>
    <w:uiPriority w:val="99"/>
    <w:rsid w:val="00A87732"/>
    <w:rPr>
      <w:sz w:val="24"/>
      <w:szCs w:val="24"/>
    </w:rPr>
    <w:tblPr>
      <w:tblInd w:w="5103" w:type="dxa"/>
    </w:tblPr>
  </w:style>
  <w:style w:type="paragraph" w:styleId="Quote0">
    <w:name w:val="Quote"/>
    <w:basedOn w:val="Normal"/>
    <w:next w:val="Normal"/>
    <w:link w:val="QuoteChar"/>
    <w:uiPriority w:val="98"/>
    <w:semiHidden/>
    <w:qFormat/>
    <w:rsid w:val="00A87732"/>
    <w:pPr>
      <w:spacing w:before="200"/>
      <w:ind w:left="360" w:right="360"/>
    </w:pPr>
    <w:rPr>
      <w:i/>
      <w:iCs/>
      <w:lang w:bidi="en-US"/>
    </w:rPr>
  </w:style>
  <w:style w:type="character" w:customStyle="1" w:styleId="QuoteChar">
    <w:name w:val="Quote Char"/>
    <w:basedOn w:val="DefaultParagraphFont"/>
    <w:link w:val="Quote0"/>
    <w:uiPriority w:val="98"/>
    <w:semiHidden/>
    <w:rsid w:val="00A87732"/>
    <w:rPr>
      <w:i/>
      <w:iCs/>
      <w:sz w:val="24"/>
      <w:szCs w:val="24"/>
      <w:lang w:val="en-GB" w:bidi="en-US"/>
    </w:rPr>
  </w:style>
  <w:style w:type="character" w:styleId="SubtleReference">
    <w:name w:val="Subtle Reference"/>
    <w:uiPriority w:val="98"/>
    <w:semiHidden/>
    <w:qFormat/>
    <w:rsid w:val="00A87732"/>
    <w:rPr>
      <w:smallCaps/>
    </w:rPr>
  </w:style>
  <w:style w:type="table" w:styleId="TableGrid">
    <w:name w:val="Table Grid"/>
    <w:basedOn w:val="TableNormal"/>
    <w:uiPriority w:val="59"/>
    <w:semiHidden/>
    <w:rsid w:val="00A8773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8773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8773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8773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8773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8773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87732"/>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A8773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8773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8773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8773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A8773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8773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8773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A8773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8773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87732"/>
    <w:pPr>
      <w:numPr>
        <w:numId w:val="4"/>
      </w:numPr>
    </w:pPr>
  </w:style>
  <w:style w:type="paragraph" w:customStyle="1" w:styleId="JuPara">
    <w:name w:val="Ju_Para"/>
    <w:aliases w:val="_Para"/>
    <w:basedOn w:val="NormalJustified"/>
    <w:link w:val="JuParaChar"/>
    <w:uiPriority w:val="4"/>
    <w:qFormat/>
    <w:rsid w:val="00A87732"/>
    <w:pPr>
      <w:ind w:firstLine="284"/>
    </w:pPr>
  </w:style>
  <w:style w:type="numbering" w:styleId="1ai">
    <w:name w:val="Outline List 1"/>
    <w:basedOn w:val="NoList"/>
    <w:uiPriority w:val="99"/>
    <w:semiHidden/>
    <w:unhideWhenUsed/>
    <w:rsid w:val="00A87732"/>
    <w:pPr>
      <w:numPr>
        <w:numId w:val="5"/>
      </w:numPr>
    </w:pPr>
  </w:style>
  <w:style w:type="table" w:customStyle="1" w:styleId="ECHRTableSimpleBox">
    <w:name w:val="ECHR_Table_Simple_Box"/>
    <w:basedOn w:val="TableNormal"/>
    <w:uiPriority w:val="99"/>
    <w:rsid w:val="00A8773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A8773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A87732"/>
    <w:pPr>
      <w:numPr>
        <w:numId w:val="6"/>
      </w:numPr>
    </w:pPr>
  </w:style>
  <w:style w:type="table" w:customStyle="1" w:styleId="ECHRTableForInternalUse">
    <w:name w:val="ECHR_Table_For_Internal_Use"/>
    <w:basedOn w:val="TableNormal"/>
    <w:uiPriority w:val="99"/>
    <w:rsid w:val="00A8773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A8773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87732"/>
  </w:style>
  <w:style w:type="paragraph" w:styleId="BlockText">
    <w:name w:val="Block Text"/>
    <w:basedOn w:val="Normal"/>
    <w:uiPriority w:val="98"/>
    <w:semiHidden/>
    <w:rsid w:val="00A8773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8773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87732"/>
    <w:pPr>
      <w:spacing w:after="120"/>
    </w:pPr>
  </w:style>
  <w:style w:type="character" w:customStyle="1" w:styleId="BodyTextChar">
    <w:name w:val="Body Text Char"/>
    <w:basedOn w:val="DefaultParagraphFont"/>
    <w:link w:val="BodyText"/>
    <w:uiPriority w:val="98"/>
    <w:semiHidden/>
    <w:rsid w:val="00A87732"/>
    <w:rPr>
      <w:sz w:val="24"/>
      <w:szCs w:val="24"/>
      <w:lang w:val="en-GB"/>
    </w:rPr>
  </w:style>
  <w:style w:type="table" w:customStyle="1" w:styleId="ECHRTableOddBanded">
    <w:name w:val="ECHR_Table_Odd_Banded"/>
    <w:basedOn w:val="TableNormal"/>
    <w:uiPriority w:val="99"/>
    <w:rsid w:val="00A8773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87732"/>
    <w:pPr>
      <w:spacing w:after="120" w:line="480" w:lineRule="auto"/>
    </w:pPr>
  </w:style>
  <w:style w:type="table" w:customStyle="1" w:styleId="ECHRHeaderTableReduced">
    <w:name w:val="ECHR_Header_Table_Reduced"/>
    <w:basedOn w:val="TableNormal"/>
    <w:uiPriority w:val="99"/>
    <w:rsid w:val="00A8773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87732"/>
    <w:pPr>
      <w:ind w:firstLine="284"/>
    </w:pPr>
    <w:rPr>
      <w:b/>
    </w:rPr>
  </w:style>
  <w:style w:type="character" w:styleId="PageNumber">
    <w:name w:val="page number"/>
    <w:uiPriority w:val="98"/>
    <w:semiHidden/>
    <w:rsid w:val="00A87732"/>
    <w:rPr>
      <w:sz w:val="18"/>
    </w:rPr>
  </w:style>
  <w:style w:type="paragraph" w:styleId="ListBullet">
    <w:name w:val="List Bullet"/>
    <w:basedOn w:val="Normal"/>
    <w:uiPriority w:val="98"/>
    <w:semiHidden/>
    <w:rsid w:val="00A87732"/>
    <w:pPr>
      <w:numPr>
        <w:numId w:val="7"/>
      </w:numPr>
    </w:pPr>
  </w:style>
  <w:style w:type="paragraph" w:styleId="ListBullet3">
    <w:name w:val="List Bullet 3"/>
    <w:basedOn w:val="Normal"/>
    <w:uiPriority w:val="98"/>
    <w:semiHidden/>
    <w:rsid w:val="00A87732"/>
    <w:pPr>
      <w:numPr>
        <w:numId w:val="9"/>
      </w:numPr>
      <w:contextualSpacing/>
    </w:pPr>
  </w:style>
  <w:style w:type="character" w:customStyle="1" w:styleId="BodyText2Char">
    <w:name w:val="Body Text 2 Char"/>
    <w:basedOn w:val="DefaultParagraphFont"/>
    <w:link w:val="BodyText2"/>
    <w:uiPriority w:val="98"/>
    <w:semiHidden/>
    <w:rsid w:val="00A87732"/>
    <w:rPr>
      <w:sz w:val="24"/>
      <w:szCs w:val="24"/>
      <w:lang w:val="en-GB"/>
    </w:rPr>
  </w:style>
  <w:style w:type="paragraph" w:styleId="BodyText3">
    <w:name w:val="Body Text 3"/>
    <w:basedOn w:val="Normal"/>
    <w:link w:val="BodyText3Char"/>
    <w:uiPriority w:val="98"/>
    <w:semiHidden/>
    <w:rsid w:val="00A87732"/>
    <w:pPr>
      <w:spacing w:after="120"/>
    </w:pPr>
    <w:rPr>
      <w:sz w:val="16"/>
      <w:szCs w:val="16"/>
    </w:rPr>
  </w:style>
  <w:style w:type="character" w:customStyle="1" w:styleId="BodyText3Char">
    <w:name w:val="Body Text 3 Char"/>
    <w:basedOn w:val="DefaultParagraphFont"/>
    <w:link w:val="BodyText3"/>
    <w:uiPriority w:val="98"/>
    <w:semiHidden/>
    <w:rsid w:val="00A87732"/>
    <w:rPr>
      <w:sz w:val="16"/>
      <w:szCs w:val="16"/>
      <w:lang w:val="en-GB"/>
    </w:rPr>
  </w:style>
  <w:style w:type="paragraph" w:styleId="BodyTextFirstIndent">
    <w:name w:val="Body Text First Indent"/>
    <w:basedOn w:val="BodyText"/>
    <w:link w:val="BodyTextFirstIndentChar"/>
    <w:uiPriority w:val="98"/>
    <w:semiHidden/>
    <w:rsid w:val="00A87732"/>
    <w:pPr>
      <w:spacing w:after="0"/>
      <w:ind w:firstLine="360"/>
    </w:pPr>
  </w:style>
  <w:style w:type="character" w:customStyle="1" w:styleId="BodyTextFirstIndentChar">
    <w:name w:val="Body Text First Indent Char"/>
    <w:basedOn w:val="BodyTextChar"/>
    <w:link w:val="BodyTextFirstIndent"/>
    <w:uiPriority w:val="98"/>
    <w:semiHidden/>
    <w:rsid w:val="00A87732"/>
    <w:rPr>
      <w:sz w:val="24"/>
      <w:szCs w:val="24"/>
      <w:lang w:val="en-GB"/>
    </w:rPr>
  </w:style>
  <w:style w:type="paragraph" w:styleId="BodyTextIndent">
    <w:name w:val="Body Text Indent"/>
    <w:basedOn w:val="Normal"/>
    <w:link w:val="BodyTextIndentChar"/>
    <w:uiPriority w:val="98"/>
    <w:semiHidden/>
    <w:rsid w:val="00A87732"/>
    <w:pPr>
      <w:spacing w:after="120"/>
      <w:ind w:left="283"/>
    </w:pPr>
  </w:style>
  <w:style w:type="character" w:customStyle="1" w:styleId="BodyTextIndentChar">
    <w:name w:val="Body Text Indent Char"/>
    <w:basedOn w:val="DefaultParagraphFont"/>
    <w:link w:val="BodyTextIndent"/>
    <w:uiPriority w:val="98"/>
    <w:semiHidden/>
    <w:rsid w:val="00A87732"/>
    <w:rPr>
      <w:sz w:val="24"/>
      <w:szCs w:val="24"/>
      <w:lang w:val="en-GB"/>
    </w:rPr>
  </w:style>
  <w:style w:type="paragraph" w:styleId="BodyTextFirstIndent2">
    <w:name w:val="Body Text First Indent 2"/>
    <w:basedOn w:val="BodyTextIndent"/>
    <w:link w:val="BodyTextFirstIndent2Char"/>
    <w:uiPriority w:val="98"/>
    <w:semiHidden/>
    <w:rsid w:val="00A8773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87732"/>
    <w:rPr>
      <w:sz w:val="24"/>
      <w:szCs w:val="24"/>
      <w:lang w:val="en-GB"/>
    </w:rPr>
  </w:style>
  <w:style w:type="paragraph" w:styleId="BodyTextIndent2">
    <w:name w:val="Body Text Indent 2"/>
    <w:basedOn w:val="Normal"/>
    <w:link w:val="BodyTextIndent2Char"/>
    <w:uiPriority w:val="98"/>
    <w:semiHidden/>
    <w:rsid w:val="00A87732"/>
    <w:pPr>
      <w:spacing w:after="120" w:line="480" w:lineRule="auto"/>
      <w:ind w:left="283"/>
    </w:pPr>
  </w:style>
  <w:style w:type="character" w:customStyle="1" w:styleId="BodyTextIndent2Char">
    <w:name w:val="Body Text Indent 2 Char"/>
    <w:basedOn w:val="DefaultParagraphFont"/>
    <w:link w:val="BodyTextIndent2"/>
    <w:uiPriority w:val="98"/>
    <w:semiHidden/>
    <w:rsid w:val="00A87732"/>
    <w:rPr>
      <w:sz w:val="24"/>
      <w:szCs w:val="24"/>
      <w:lang w:val="en-GB"/>
    </w:rPr>
  </w:style>
  <w:style w:type="paragraph" w:styleId="BodyTextIndent3">
    <w:name w:val="Body Text Indent 3"/>
    <w:basedOn w:val="Normal"/>
    <w:link w:val="BodyTextIndent3Char"/>
    <w:uiPriority w:val="98"/>
    <w:semiHidden/>
    <w:rsid w:val="00A8773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87732"/>
    <w:rPr>
      <w:sz w:val="16"/>
      <w:szCs w:val="16"/>
      <w:lang w:val="en-GB"/>
    </w:rPr>
  </w:style>
  <w:style w:type="paragraph" w:styleId="Caption">
    <w:name w:val="caption"/>
    <w:basedOn w:val="Normal"/>
    <w:next w:val="Normal"/>
    <w:uiPriority w:val="98"/>
    <w:semiHidden/>
    <w:qFormat/>
    <w:rsid w:val="00A87732"/>
    <w:pPr>
      <w:spacing w:after="200"/>
    </w:pPr>
    <w:rPr>
      <w:b/>
      <w:bCs/>
      <w:color w:val="0072BC" w:themeColor="accent1"/>
      <w:sz w:val="18"/>
      <w:szCs w:val="18"/>
    </w:rPr>
  </w:style>
  <w:style w:type="paragraph" w:styleId="Closing">
    <w:name w:val="Closing"/>
    <w:basedOn w:val="Normal"/>
    <w:link w:val="ClosingChar"/>
    <w:uiPriority w:val="98"/>
    <w:semiHidden/>
    <w:rsid w:val="00A87732"/>
    <w:pPr>
      <w:ind w:left="4252"/>
    </w:pPr>
  </w:style>
  <w:style w:type="character" w:customStyle="1" w:styleId="ClosingChar">
    <w:name w:val="Closing Char"/>
    <w:basedOn w:val="DefaultParagraphFont"/>
    <w:link w:val="Closing"/>
    <w:uiPriority w:val="98"/>
    <w:semiHidden/>
    <w:rsid w:val="00A87732"/>
    <w:rPr>
      <w:sz w:val="24"/>
      <w:szCs w:val="24"/>
      <w:lang w:val="en-GB"/>
    </w:rPr>
  </w:style>
  <w:style w:type="table" w:styleId="ColorfulGrid">
    <w:name w:val="Colorful Grid"/>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8773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8773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8773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8773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8773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A8773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8773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8773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8773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8773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8773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8773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A8773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8773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8773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87732"/>
    <w:rPr>
      <w:sz w:val="16"/>
      <w:szCs w:val="16"/>
    </w:rPr>
  </w:style>
  <w:style w:type="paragraph" w:styleId="CommentText">
    <w:name w:val="annotation text"/>
    <w:basedOn w:val="Normal"/>
    <w:link w:val="CommentTextChar"/>
    <w:uiPriority w:val="98"/>
    <w:semiHidden/>
    <w:rsid w:val="00A87732"/>
    <w:rPr>
      <w:sz w:val="20"/>
      <w:szCs w:val="20"/>
    </w:rPr>
  </w:style>
  <w:style w:type="character" w:customStyle="1" w:styleId="CommentTextChar">
    <w:name w:val="Comment Text Char"/>
    <w:basedOn w:val="DefaultParagraphFont"/>
    <w:link w:val="CommentText"/>
    <w:uiPriority w:val="98"/>
    <w:semiHidden/>
    <w:rsid w:val="00A87732"/>
    <w:rPr>
      <w:sz w:val="20"/>
      <w:szCs w:val="20"/>
      <w:lang w:val="en-GB"/>
    </w:rPr>
  </w:style>
  <w:style w:type="paragraph" w:styleId="CommentSubject">
    <w:name w:val="annotation subject"/>
    <w:basedOn w:val="CommentText"/>
    <w:next w:val="CommentText"/>
    <w:link w:val="CommentSubjectChar"/>
    <w:uiPriority w:val="98"/>
    <w:semiHidden/>
    <w:rsid w:val="00A87732"/>
    <w:rPr>
      <w:b/>
      <w:bCs/>
    </w:rPr>
  </w:style>
  <w:style w:type="character" w:customStyle="1" w:styleId="CommentSubjectChar">
    <w:name w:val="Comment Subject Char"/>
    <w:basedOn w:val="CommentTextChar"/>
    <w:link w:val="CommentSubject"/>
    <w:uiPriority w:val="98"/>
    <w:semiHidden/>
    <w:rsid w:val="00A87732"/>
    <w:rPr>
      <w:b/>
      <w:bCs/>
      <w:sz w:val="20"/>
      <w:szCs w:val="20"/>
      <w:lang w:val="en-GB"/>
    </w:rPr>
  </w:style>
  <w:style w:type="table" w:styleId="DarkList">
    <w:name w:val="Dark List"/>
    <w:basedOn w:val="TableNormal"/>
    <w:uiPriority w:val="70"/>
    <w:semiHidden/>
    <w:rsid w:val="00A8773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8773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8773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8773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A8773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8773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8773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87732"/>
  </w:style>
  <w:style w:type="character" w:customStyle="1" w:styleId="DateChar">
    <w:name w:val="Date Char"/>
    <w:basedOn w:val="DefaultParagraphFont"/>
    <w:link w:val="Date"/>
    <w:uiPriority w:val="98"/>
    <w:semiHidden/>
    <w:rsid w:val="00A87732"/>
    <w:rPr>
      <w:sz w:val="24"/>
      <w:szCs w:val="24"/>
      <w:lang w:val="en-GB"/>
    </w:rPr>
  </w:style>
  <w:style w:type="paragraph" w:styleId="DocumentMap">
    <w:name w:val="Document Map"/>
    <w:basedOn w:val="Normal"/>
    <w:link w:val="DocumentMapChar"/>
    <w:uiPriority w:val="98"/>
    <w:semiHidden/>
    <w:rsid w:val="00A87732"/>
    <w:rPr>
      <w:rFonts w:ascii="Tahoma" w:hAnsi="Tahoma" w:cs="Tahoma"/>
      <w:sz w:val="16"/>
      <w:szCs w:val="16"/>
    </w:rPr>
  </w:style>
  <w:style w:type="character" w:customStyle="1" w:styleId="DocumentMapChar">
    <w:name w:val="Document Map Char"/>
    <w:basedOn w:val="DefaultParagraphFont"/>
    <w:link w:val="DocumentMap"/>
    <w:uiPriority w:val="98"/>
    <w:semiHidden/>
    <w:rsid w:val="00A87732"/>
    <w:rPr>
      <w:rFonts w:ascii="Tahoma" w:hAnsi="Tahoma" w:cs="Tahoma"/>
      <w:sz w:val="16"/>
      <w:szCs w:val="16"/>
      <w:lang w:val="en-GB"/>
    </w:rPr>
  </w:style>
  <w:style w:type="paragraph" w:styleId="E-mailSignature">
    <w:name w:val="E-mail Signature"/>
    <w:basedOn w:val="Normal"/>
    <w:link w:val="E-mailSignatureChar"/>
    <w:uiPriority w:val="98"/>
    <w:semiHidden/>
    <w:rsid w:val="00A87732"/>
  </w:style>
  <w:style w:type="character" w:customStyle="1" w:styleId="E-mailSignatureChar">
    <w:name w:val="E-mail Signature Char"/>
    <w:basedOn w:val="DefaultParagraphFont"/>
    <w:link w:val="E-mailSignature"/>
    <w:uiPriority w:val="98"/>
    <w:semiHidden/>
    <w:rsid w:val="00A87732"/>
    <w:rPr>
      <w:sz w:val="24"/>
      <w:szCs w:val="24"/>
      <w:lang w:val="en-GB"/>
    </w:rPr>
  </w:style>
  <w:style w:type="character" w:styleId="EndnoteReference">
    <w:name w:val="endnote reference"/>
    <w:basedOn w:val="DefaultParagraphFont"/>
    <w:uiPriority w:val="98"/>
    <w:semiHidden/>
    <w:rsid w:val="00A87732"/>
    <w:rPr>
      <w:vertAlign w:val="superscript"/>
    </w:rPr>
  </w:style>
  <w:style w:type="paragraph" w:styleId="EndnoteText">
    <w:name w:val="endnote text"/>
    <w:basedOn w:val="Normal"/>
    <w:link w:val="EndnoteTextChar"/>
    <w:uiPriority w:val="98"/>
    <w:semiHidden/>
    <w:rsid w:val="00A87732"/>
    <w:rPr>
      <w:sz w:val="20"/>
      <w:szCs w:val="20"/>
    </w:rPr>
  </w:style>
  <w:style w:type="character" w:customStyle="1" w:styleId="EndnoteTextChar">
    <w:name w:val="Endnote Text Char"/>
    <w:basedOn w:val="DefaultParagraphFont"/>
    <w:link w:val="EndnoteText"/>
    <w:uiPriority w:val="98"/>
    <w:semiHidden/>
    <w:rsid w:val="00A87732"/>
    <w:rPr>
      <w:sz w:val="20"/>
      <w:szCs w:val="20"/>
      <w:lang w:val="en-GB"/>
    </w:rPr>
  </w:style>
  <w:style w:type="paragraph" w:styleId="EnvelopeAddress">
    <w:name w:val="envelope address"/>
    <w:basedOn w:val="Normal"/>
    <w:uiPriority w:val="98"/>
    <w:semiHidden/>
    <w:rsid w:val="00A8773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A8773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87732"/>
    <w:rPr>
      <w:color w:val="7030A0" w:themeColor="followedHyperlink"/>
      <w:u w:val="single"/>
    </w:rPr>
  </w:style>
  <w:style w:type="character" w:styleId="HTMLAcronym">
    <w:name w:val="HTML Acronym"/>
    <w:basedOn w:val="DefaultParagraphFont"/>
    <w:uiPriority w:val="98"/>
    <w:semiHidden/>
    <w:rsid w:val="00A87732"/>
  </w:style>
  <w:style w:type="paragraph" w:styleId="HTMLAddress">
    <w:name w:val="HTML Address"/>
    <w:basedOn w:val="Normal"/>
    <w:link w:val="HTMLAddressChar"/>
    <w:uiPriority w:val="98"/>
    <w:semiHidden/>
    <w:rsid w:val="00A87732"/>
    <w:rPr>
      <w:i/>
      <w:iCs/>
    </w:rPr>
  </w:style>
  <w:style w:type="character" w:customStyle="1" w:styleId="HTMLAddressChar">
    <w:name w:val="HTML Address Char"/>
    <w:basedOn w:val="DefaultParagraphFont"/>
    <w:link w:val="HTMLAddress"/>
    <w:uiPriority w:val="98"/>
    <w:semiHidden/>
    <w:rsid w:val="00A87732"/>
    <w:rPr>
      <w:i/>
      <w:iCs/>
      <w:sz w:val="24"/>
      <w:szCs w:val="24"/>
      <w:lang w:val="en-GB"/>
    </w:rPr>
  </w:style>
  <w:style w:type="character" w:styleId="HTMLCite">
    <w:name w:val="HTML Cite"/>
    <w:basedOn w:val="DefaultParagraphFont"/>
    <w:uiPriority w:val="98"/>
    <w:semiHidden/>
    <w:rsid w:val="00A87732"/>
    <w:rPr>
      <w:i/>
      <w:iCs/>
    </w:rPr>
  </w:style>
  <w:style w:type="character" w:styleId="HTMLCode">
    <w:name w:val="HTML Code"/>
    <w:basedOn w:val="DefaultParagraphFont"/>
    <w:uiPriority w:val="98"/>
    <w:semiHidden/>
    <w:rsid w:val="00A87732"/>
    <w:rPr>
      <w:rFonts w:ascii="Consolas" w:hAnsi="Consolas" w:cs="Consolas"/>
      <w:sz w:val="20"/>
      <w:szCs w:val="20"/>
    </w:rPr>
  </w:style>
  <w:style w:type="character" w:styleId="HTMLDefinition">
    <w:name w:val="HTML Definition"/>
    <w:basedOn w:val="DefaultParagraphFont"/>
    <w:uiPriority w:val="98"/>
    <w:semiHidden/>
    <w:rsid w:val="00A87732"/>
    <w:rPr>
      <w:i/>
      <w:iCs/>
    </w:rPr>
  </w:style>
  <w:style w:type="character" w:styleId="HTMLKeyboard">
    <w:name w:val="HTML Keyboard"/>
    <w:basedOn w:val="DefaultParagraphFont"/>
    <w:uiPriority w:val="98"/>
    <w:semiHidden/>
    <w:rsid w:val="00A87732"/>
    <w:rPr>
      <w:rFonts w:ascii="Consolas" w:hAnsi="Consolas" w:cs="Consolas"/>
      <w:sz w:val="20"/>
      <w:szCs w:val="20"/>
    </w:rPr>
  </w:style>
  <w:style w:type="paragraph" w:styleId="HTMLPreformatted">
    <w:name w:val="HTML Preformatted"/>
    <w:basedOn w:val="Normal"/>
    <w:link w:val="HTMLPreformattedChar"/>
    <w:uiPriority w:val="98"/>
    <w:semiHidden/>
    <w:rsid w:val="00A8773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87732"/>
    <w:rPr>
      <w:rFonts w:ascii="Consolas" w:hAnsi="Consolas" w:cs="Consolas"/>
      <w:sz w:val="20"/>
      <w:szCs w:val="20"/>
      <w:lang w:val="en-GB"/>
    </w:rPr>
  </w:style>
  <w:style w:type="character" w:styleId="HTMLSample">
    <w:name w:val="HTML Sample"/>
    <w:basedOn w:val="DefaultParagraphFont"/>
    <w:uiPriority w:val="98"/>
    <w:semiHidden/>
    <w:rsid w:val="00A87732"/>
    <w:rPr>
      <w:rFonts w:ascii="Consolas" w:hAnsi="Consolas" w:cs="Consolas"/>
      <w:sz w:val="24"/>
      <w:szCs w:val="24"/>
    </w:rPr>
  </w:style>
  <w:style w:type="character" w:styleId="HTMLTypewriter">
    <w:name w:val="HTML Typewriter"/>
    <w:basedOn w:val="DefaultParagraphFont"/>
    <w:uiPriority w:val="98"/>
    <w:semiHidden/>
    <w:rsid w:val="00A87732"/>
    <w:rPr>
      <w:rFonts w:ascii="Consolas" w:hAnsi="Consolas" w:cs="Consolas"/>
      <w:sz w:val="20"/>
      <w:szCs w:val="20"/>
    </w:rPr>
  </w:style>
  <w:style w:type="character" w:styleId="HTMLVariable">
    <w:name w:val="HTML Variable"/>
    <w:basedOn w:val="DefaultParagraphFont"/>
    <w:uiPriority w:val="98"/>
    <w:semiHidden/>
    <w:rsid w:val="00A87732"/>
    <w:rPr>
      <w:i/>
      <w:iCs/>
    </w:rPr>
  </w:style>
  <w:style w:type="paragraph" w:styleId="Index1">
    <w:name w:val="index 1"/>
    <w:basedOn w:val="Normal"/>
    <w:next w:val="Normal"/>
    <w:autoRedefine/>
    <w:uiPriority w:val="98"/>
    <w:semiHidden/>
    <w:rsid w:val="00A87732"/>
    <w:pPr>
      <w:ind w:left="240" w:hanging="240"/>
    </w:pPr>
  </w:style>
  <w:style w:type="paragraph" w:styleId="Index2">
    <w:name w:val="index 2"/>
    <w:basedOn w:val="Normal"/>
    <w:next w:val="Normal"/>
    <w:autoRedefine/>
    <w:uiPriority w:val="98"/>
    <w:semiHidden/>
    <w:rsid w:val="00A87732"/>
    <w:pPr>
      <w:ind w:left="480" w:hanging="240"/>
    </w:pPr>
  </w:style>
  <w:style w:type="paragraph" w:styleId="Index3">
    <w:name w:val="index 3"/>
    <w:basedOn w:val="Normal"/>
    <w:next w:val="Normal"/>
    <w:autoRedefine/>
    <w:uiPriority w:val="98"/>
    <w:semiHidden/>
    <w:rsid w:val="00A87732"/>
    <w:pPr>
      <w:ind w:left="720" w:hanging="240"/>
    </w:pPr>
  </w:style>
  <w:style w:type="paragraph" w:styleId="Index4">
    <w:name w:val="index 4"/>
    <w:basedOn w:val="Normal"/>
    <w:next w:val="Normal"/>
    <w:autoRedefine/>
    <w:uiPriority w:val="98"/>
    <w:semiHidden/>
    <w:rsid w:val="00A87732"/>
    <w:pPr>
      <w:ind w:left="960" w:hanging="240"/>
    </w:pPr>
  </w:style>
  <w:style w:type="paragraph" w:styleId="Index5">
    <w:name w:val="index 5"/>
    <w:basedOn w:val="Normal"/>
    <w:next w:val="Normal"/>
    <w:autoRedefine/>
    <w:uiPriority w:val="98"/>
    <w:semiHidden/>
    <w:rsid w:val="00A87732"/>
    <w:pPr>
      <w:ind w:left="1200" w:hanging="240"/>
    </w:pPr>
  </w:style>
  <w:style w:type="paragraph" w:styleId="Index6">
    <w:name w:val="index 6"/>
    <w:basedOn w:val="Normal"/>
    <w:next w:val="Normal"/>
    <w:autoRedefine/>
    <w:uiPriority w:val="98"/>
    <w:semiHidden/>
    <w:rsid w:val="00A87732"/>
    <w:pPr>
      <w:ind w:left="1440" w:hanging="240"/>
    </w:pPr>
  </w:style>
  <w:style w:type="paragraph" w:styleId="Index7">
    <w:name w:val="index 7"/>
    <w:basedOn w:val="Normal"/>
    <w:next w:val="Normal"/>
    <w:autoRedefine/>
    <w:uiPriority w:val="98"/>
    <w:semiHidden/>
    <w:rsid w:val="00A87732"/>
    <w:pPr>
      <w:ind w:left="1680" w:hanging="240"/>
    </w:pPr>
  </w:style>
  <w:style w:type="paragraph" w:styleId="Index8">
    <w:name w:val="index 8"/>
    <w:basedOn w:val="Normal"/>
    <w:next w:val="Normal"/>
    <w:autoRedefine/>
    <w:uiPriority w:val="98"/>
    <w:semiHidden/>
    <w:rsid w:val="00A87732"/>
    <w:pPr>
      <w:ind w:left="1920" w:hanging="240"/>
    </w:pPr>
  </w:style>
  <w:style w:type="paragraph" w:styleId="Index9">
    <w:name w:val="index 9"/>
    <w:basedOn w:val="Normal"/>
    <w:next w:val="Normal"/>
    <w:autoRedefine/>
    <w:uiPriority w:val="98"/>
    <w:semiHidden/>
    <w:rsid w:val="00A87732"/>
    <w:pPr>
      <w:ind w:left="2160" w:hanging="240"/>
    </w:pPr>
  </w:style>
  <w:style w:type="paragraph" w:styleId="IndexHeading">
    <w:name w:val="index heading"/>
    <w:basedOn w:val="Normal"/>
    <w:next w:val="Index1"/>
    <w:uiPriority w:val="98"/>
    <w:semiHidden/>
    <w:rsid w:val="00A87732"/>
    <w:rPr>
      <w:rFonts w:asciiTheme="majorHAnsi" w:eastAsiaTheme="majorEastAsia" w:hAnsiTheme="majorHAnsi" w:cstheme="majorBidi"/>
      <w:b/>
      <w:bCs/>
    </w:rPr>
  </w:style>
  <w:style w:type="table" w:styleId="LightGrid">
    <w:name w:val="Light Grid"/>
    <w:basedOn w:val="TableNormal"/>
    <w:uiPriority w:val="62"/>
    <w:semiHidden/>
    <w:rsid w:val="00A877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877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877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8773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A877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877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877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8773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8773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8773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8773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A8773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8773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8773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8773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8773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8773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8773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A8773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8773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8773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87732"/>
  </w:style>
  <w:style w:type="paragraph" w:styleId="List">
    <w:name w:val="List"/>
    <w:basedOn w:val="Normal"/>
    <w:uiPriority w:val="98"/>
    <w:semiHidden/>
    <w:rsid w:val="00A87732"/>
    <w:pPr>
      <w:ind w:left="283" w:hanging="283"/>
      <w:contextualSpacing/>
    </w:pPr>
  </w:style>
  <w:style w:type="paragraph" w:styleId="List20">
    <w:name w:val="List 2"/>
    <w:basedOn w:val="Normal"/>
    <w:uiPriority w:val="98"/>
    <w:semiHidden/>
    <w:rsid w:val="00A87732"/>
    <w:pPr>
      <w:ind w:left="566" w:hanging="283"/>
      <w:contextualSpacing/>
    </w:pPr>
  </w:style>
  <w:style w:type="paragraph" w:styleId="List30">
    <w:name w:val="List 3"/>
    <w:basedOn w:val="Normal"/>
    <w:uiPriority w:val="98"/>
    <w:semiHidden/>
    <w:rsid w:val="00A87732"/>
    <w:pPr>
      <w:ind w:left="849" w:hanging="283"/>
      <w:contextualSpacing/>
    </w:pPr>
  </w:style>
  <w:style w:type="paragraph" w:styleId="List4">
    <w:name w:val="List 4"/>
    <w:basedOn w:val="Normal"/>
    <w:uiPriority w:val="98"/>
    <w:semiHidden/>
    <w:rsid w:val="00A87732"/>
    <w:pPr>
      <w:ind w:left="1132" w:hanging="283"/>
      <w:contextualSpacing/>
    </w:pPr>
  </w:style>
  <w:style w:type="paragraph" w:styleId="List5">
    <w:name w:val="List 5"/>
    <w:basedOn w:val="Normal"/>
    <w:uiPriority w:val="98"/>
    <w:semiHidden/>
    <w:rsid w:val="00A87732"/>
    <w:pPr>
      <w:ind w:left="1415" w:hanging="283"/>
      <w:contextualSpacing/>
    </w:pPr>
  </w:style>
  <w:style w:type="paragraph" w:styleId="ListBullet2">
    <w:name w:val="List Bullet 2"/>
    <w:basedOn w:val="Normal"/>
    <w:uiPriority w:val="98"/>
    <w:semiHidden/>
    <w:rsid w:val="00A87732"/>
    <w:pPr>
      <w:numPr>
        <w:numId w:val="8"/>
      </w:numPr>
      <w:contextualSpacing/>
    </w:pPr>
  </w:style>
  <w:style w:type="paragraph" w:styleId="ListBullet4">
    <w:name w:val="List Bullet 4"/>
    <w:basedOn w:val="Normal"/>
    <w:uiPriority w:val="98"/>
    <w:semiHidden/>
    <w:rsid w:val="00A87732"/>
    <w:pPr>
      <w:numPr>
        <w:numId w:val="10"/>
      </w:numPr>
      <w:contextualSpacing/>
    </w:pPr>
  </w:style>
  <w:style w:type="paragraph" w:styleId="ListBullet5">
    <w:name w:val="List Bullet 5"/>
    <w:basedOn w:val="Normal"/>
    <w:uiPriority w:val="98"/>
    <w:semiHidden/>
    <w:rsid w:val="00A87732"/>
    <w:pPr>
      <w:numPr>
        <w:numId w:val="11"/>
      </w:numPr>
      <w:contextualSpacing/>
    </w:pPr>
  </w:style>
  <w:style w:type="paragraph" w:styleId="ListContinue">
    <w:name w:val="List Continue"/>
    <w:basedOn w:val="Normal"/>
    <w:uiPriority w:val="98"/>
    <w:semiHidden/>
    <w:rsid w:val="00A87732"/>
    <w:pPr>
      <w:spacing w:after="120"/>
      <w:ind w:left="283"/>
      <w:contextualSpacing/>
    </w:pPr>
  </w:style>
  <w:style w:type="paragraph" w:styleId="ListContinue2">
    <w:name w:val="List Continue 2"/>
    <w:basedOn w:val="Normal"/>
    <w:uiPriority w:val="98"/>
    <w:semiHidden/>
    <w:rsid w:val="00A87732"/>
    <w:pPr>
      <w:spacing w:after="120"/>
      <w:ind w:left="566"/>
      <w:contextualSpacing/>
    </w:pPr>
  </w:style>
  <w:style w:type="paragraph" w:styleId="ListContinue3">
    <w:name w:val="List Continue 3"/>
    <w:basedOn w:val="Normal"/>
    <w:uiPriority w:val="98"/>
    <w:semiHidden/>
    <w:rsid w:val="00A87732"/>
    <w:pPr>
      <w:spacing w:after="120"/>
      <w:ind w:left="849"/>
      <w:contextualSpacing/>
    </w:pPr>
  </w:style>
  <w:style w:type="paragraph" w:styleId="ListContinue4">
    <w:name w:val="List Continue 4"/>
    <w:basedOn w:val="Normal"/>
    <w:uiPriority w:val="98"/>
    <w:semiHidden/>
    <w:rsid w:val="00A87732"/>
    <w:pPr>
      <w:spacing w:after="120"/>
      <w:ind w:left="1132"/>
      <w:contextualSpacing/>
    </w:pPr>
  </w:style>
  <w:style w:type="paragraph" w:styleId="ListContinue5">
    <w:name w:val="List Continue 5"/>
    <w:basedOn w:val="Normal"/>
    <w:uiPriority w:val="98"/>
    <w:semiHidden/>
    <w:rsid w:val="00A87732"/>
    <w:pPr>
      <w:spacing w:after="120"/>
      <w:ind w:left="1415"/>
      <w:contextualSpacing/>
    </w:pPr>
  </w:style>
  <w:style w:type="paragraph" w:styleId="ListNumber">
    <w:name w:val="List Number"/>
    <w:basedOn w:val="Normal"/>
    <w:uiPriority w:val="98"/>
    <w:semiHidden/>
    <w:rsid w:val="00A87732"/>
    <w:pPr>
      <w:numPr>
        <w:numId w:val="12"/>
      </w:numPr>
      <w:contextualSpacing/>
    </w:pPr>
  </w:style>
  <w:style w:type="paragraph" w:styleId="ListNumber2">
    <w:name w:val="List Number 2"/>
    <w:basedOn w:val="Normal"/>
    <w:uiPriority w:val="98"/>
    <w:semiHidden/>
    <w:rsid w:val="00A87732"/>
    <w:pPr>
      <w:numPr>
        <w:numId w:val="13"/>
      </w:numPr>
      <w:contextualSpacing/>
    </w:pPr>
  </w:style>
  <w:style w:type="paragraph" w:styleId="ListNumber3">
    <w:name w:val="List Number 3"/>
    <w:basedOn w:val="Normal"/>
    <w:uiPriority w:val="98"/>
    <w:semiHidden/>
    <w:rsid w:val="00A87732"/>
    <w:pPr>
      <w:numPr>
        <w:numId w:val="14"/>
      </w:numPr>
      <w:contextualSpacing/>
    </w:pPr>
  </w:style>
  <w:style w:type="paragraph" w:styleId="ListNumber4">
    <w:name w:val="List Number 4"/>
    <w:basedOn w:val="Normal"/>
    <w:uiPriority w:val="98"/>
    <w:semiHidden/>
    <w:rsid w:val="00A87732"/>
    <w:pPr>
      <w:numPr>
        <w:numId w:val="15"/>
      </w:numPr>
      <w:contextualSpacing/>
    </w:pPr>
  </w:style>
  <w:style w:type="paragraph" w:styleId="ListNumber5">
    <w:name w:val="List Number 5"/>
    <w:basedOn w:val="Normal"/>
    <w:uiPriority w:val="98"/>
    <w:semiHidden/>
    <w:rsid w:val="00A87732"/>
    <w:pPr>
      <w:numPr>
        <w:numId w:val="16"/>
      </w:numPr>
      <w:contextualSpacing/>
    </w:pPr>
  </w:style>
  <w:style w:type="paragraph" w:styleId="Macro">
    <w:name w:val="macro"/>
    <w:link w:val="MacroTextChar"/>
    <w:uiPriority w:val="98"/>
    <w:semiHidden/>
    <w:rsid w:val="00A8773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A87732"/>
    <w:rPr>
      <w:rFonts w:ascii="Consolas" w:hAnsi="Consolas" w:eastAsiaTheme="minorEastAsia" w:cs="Consolas"/>
      <w:sz w:val="20"/>
      <w:szCs w:val="20"/>
    </w:rPr>
  </w:style>
  <w:style w:type="table" w:styleId="MediumGrid1">
    <w:name w:val="Medium Grid 1"/>
    <w:basedOn w:val="TableNormal"/>
    <w:uiPriority w:val="67"/>
    <w:semiHidden/>
    <w:rsid w:val="00A877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877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877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8773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A877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877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877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8773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A8773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8773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8773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8773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A8773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8773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8773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8773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A8773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8773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8773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8773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8773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8773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8773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8773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877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8773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87732"/>
    <w:rPr>
      <w:rFonts w:ascii="Times New Roman" w:hAnsi="Times New Roman" w:cs="Times New Roman"/>
    </w:rPr>
  </w:style>
  <w:style w:type="paragraph" w:styleId="NormalIndent">
    <w:name w:val="Normal Indent"/>
    <w:basedOn w:val="Normal"/>
    <w:uiPriority w:val="98"/>
    <w:semiHidden/>
    <w:rsid w:val="00A87732"/>
    <w:pPr>
      <w:ind w:left="720"/>
    </w:pPr>
  </w:style>
  <w:style w:type="paragraph" w:styleId="NoteHeading">
    <w:name w:val="Note Heading"/>
    <w:basedOn w:val="Normal"/>
    <w:next w:val="Normal"/>
    <w:link w:val="NoteHeadingChar"/>
    <w:uiPriority w:val="98"/>
    <w:semiHidden/>
    <w:rsid w:val="00A87732"/>
  </w:style>
  <w:style w:type="character" w:customStyle="1" w:styleId="NoteHeadingChar">
    <w:name w:val="Note Heading Char"/>
    <w:basedOn w:val="DefaultParagraphFont"/>
    <w:link w:val="NoteHeading"/>
    <w:uiPriority w:val="98"/>
    <w:semiHidden/>
    <w:rsid w:val="00A87732"/>
    <w:rPr>
      <w:sz w:val="24"/>
      <w:szCs w:val="24"/>
      <w:lang w:val="en-GB"/>
    </w:rPr>
  </w:style>
  <w:style w:type="character" w:styleId="PlaceholderText">
    <w:name w:val="Placeholder Text"/>
    <w:basedOn w:val="DefaultParagraphFont"/>
    <w:uiPriority w:val="98"/>
    <w:semiHidden/>
    <w:rsid w:val="00A8773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87732"/>
    <w:rPr>
      <w:rFonts w:ascii="Consolas" w:hAnsi="Consolas" w:cs="Consolas"/>
      <w:sz w:val="21"/>
      <w:szCs w:val="21"/>
    </w:rPr>
  </w:style>
  <w:style w:type="character" w:customStyle="1" w:styleId="PlainTextChar">
    <w:name w:val="Plain Text Char"/>
    <w:basedOn w:val="DefaultParagraphFont"/>
    <w:link w:val="PlainText"/>
    <w:uiPriority w:val="98"/>
    <w:semiHidden/>
    <w:rsid w:val="00A87732"/>
    <w:rPr>
      <w:rFonts w:ascii="Consolas" w:hAnsi="Consolas" w:cs="Consolas"/>
      <w:sz w:val="21"/>
      <w:szCs w:val="21"/>
      <w:lang w:val="en-GB"/>
    </w:rPr>
  </w:style>
  <w:style w:type="paragraph" w:styleId="Salutation">
    <w:name w:val="Salutation"/>
    <w:basedOn w:val="Normal"/>
    <w:next w:val="Normal"/>
    <w:link w:val="SalutationChar"/>
    <w:uiPriority w:val="98"/>
    <w:semiHidden/>
    <w:rsid w:val="00A87732"/>
  </w:style>
  <w:style w:type="character" w:customStyle="1" w:styleId="SalutationChar">
    <w:name w:val="Salutation Char"/>
    <w:basedOn w:val="DefaultParagraphFont"/>
    <w:link w:val="Salutation"/>
    <w:uiPriority w:val="98"/>
    <w:semiHidden/>
    <w:rsid w:val="00A87732"/>
    <w:rPr>
      <w:sz w:val="24"/>
      <w:szCs w:val="24"/>
      <w:lang w:val="en-GB"/>
    </w:rPr>
  </w:style>
  <w:style w:type="paragraph" w:styleId="Signature0">
    <w:name w:val="Signature"/>
    <w:basedOn w:val="Normal"/>
    <w:link w:val="SignatureChar"/>
    <w:uiPriority w:val="98"/>
    <w:semiHidden/>
    <w:rsid w:val="00A87732"/>
    <w:pPr>
      <w:ind w:left="4252"/>
    </w:pPr>
  </w:style>
  <w:style w:type="character" w:customStyle="1" w:styleId="SignatureChar">
    <w:name w:val="Signature Char"/>
    <w:basedOn w:val="DefaultParagraphFont"/>
    <w:link w:val="Signature0"/>
    <w:uiPriority w:val="98"/>
    <w:semiHidden/>
    <w:rsid w:val="00A87732"/>
    <w:rPr>
      <w:sz w:val="24"/>
      <w:szCs w:val="24"/>
      <w:lang w:val="en-GB"/>
    </w:rPr>
  </w:style>
  <w:style w:type="table" w:styleId="Table3Deffects1">
    <w:name w:val="Table 3D effects 1"/>
    <w:basedOn w:val="TableNormal"/>
    <w:uiPriority w:val="99"/>
    <w:semiHidden/>
    <w:unhideWhenUsed/>
    <w:rsid w:val="00A8773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8773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8773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8773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8773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8773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8773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8773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8773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8773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8773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8773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8773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8773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8773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8773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8773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877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8773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8773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8773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877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8773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8773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8773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8773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8773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8773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8773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877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877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8773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8773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87732"/>
    <w:pPr>
      <w:ind w:left="240" w:hanging="240"/>
    </w:pPr>
  </w:style>
  <w:style w:type="paragraph" w:styleId="TableofFigures">
    <w:name w:val="table of figures"/>
    <w:basedOn w:val="Normal"/>
    <w:next w:val="Normal"/>
    <w:uiPriority w:val="98"/>
    <w:semiHidden/>
    <w:rsid w:val="00A87732"/>
  </w:style>
  <w:style w:type="table" w:styleId="TableProfessional">
    <w:name w:val="Table Professional"/>
    <w:basedOn w:val="TableNormal"/>
    <w:uiPriority w:val="99"/>
    <w:semiHidden/>
    <w:unhideWhenUsed/>
    <w:rsid w:val="00A8773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8773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8773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8773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8773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8773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8773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8773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8773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8773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8773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8773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87732"/>
    <w:pPr>
      <w:spacing w:after="100"/>
      <w:ind w:left="1680"/>
    </w:pPr>
  </w:style>
  <w:style w:type="paragraph" w:styleId="TOC9">
    <w:name w:val="toc 9"/>
    <w:basedOn w:val="Normal"/>
    <w:next w:val="Normal"/>
    <w:autoRedefine/>
    <w:uiPriority w:val="98"/>
    <w:semiHidden/>
    <w:rsid w:val="00A87732"/>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8773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8773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87732"/>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A8773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87732"/>
    <w:pPr>
      <w:numPr>
        <w:numId w:val="20"/>
      </w:numPr>
      <w:spacing w:before="60" w:after="60"/>
    </w:pPr>
  </w:style>
  <w:style w:type="paragraph" w:customStyle="1" w:styleId="ECHRBullet2">
    <w:name w:val="ECHR_Bullet_2"/>
    <w:aliases w:val="_Bul_2"/>
    <w:basedOn w:val="ECHRBullet1"/>
    <w:uiPriority w:val="23"/>
    <w:semiHidden/>
    <w:rsid w:val="00A87732"/>
    <w:pPr>
      <w:numPr>
        <w:ilvl w:val="1"/>
      </w:numPr>
    </w:pPr>
  </w:style>
  <w:style w:type="paragraph" w:customStyle="1" w:styleId="ECHRBullet3">
    <w:name w:val="ECHR_Bullet_3"/>
    <w:aliases w:val="_Bul_3"/>
    <w:basedOn w:val="ECHRBullet2"/>
    <w:uiPriority w:val="23"/>
    <w:semiHidden/>
    <w:rsid w:val="00A87732"/>
    <w:pPr>
      <w:numPr>
        <w:ilvl w:val="2"/>
      </w:numPr>
    </w:pPr>
  </w:style>
  <w:style w:type="paragraph" w:customStyle="1" w:styleId="ECHRBullet4">
    <w:name w:val="ECHR_Bullet_4"/>
    <w:aliases w:val="_Bul_4"/>
    <w:basedOn w:val="ECHRBullet3"/>
    <w:uiPriority w:val="23"/>
    <w:semiHidden/>
    <w:rsid w:val="00A87732"/>
    <w:pPr>
      <w:numPr>
        <w:ilvl w:val="3"/>
      </w:numPr>
    </w:pPr>
  </w:style>
  <w:style w:type="paragraph" w:customStyle="1" w:styleId="ECHRConfidential">
    <w:name w:val="ECHR_Confidential"/>
    <w:aliases w:val="_Confidential"/>
    <w:basedOn w:val="Normal"/>
    <w:next w:val="Normal"/>
    <w:uiPriority w:val="42"/>
    <w:semiHidden/>
    <w:qFormat/>
    <w:rsid w:val="00A87732"/>
    <w:pPr>
      <w:jc w:val="right"/>
    </w:pPr>
    <w:rPr>
      <w:color w:val="C00000"/>
      <w:sz w:val="20"/>
    </w:rPr>
  </w:style>
  <w:style w:type="paragraph" w:customStyle="1" w:styleId="ECHRDecisionBody">
    <w:name w:val="ECHR_Decision_Body"/>
    <w:aliases w:val="_Decision_Body"/>
    <w:basedOn w:val="NormalJustified"/>
    <w:uiPriority w:val="54"/>
    <w:semiHidden/>
    <w:rsid w:val="00A8773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8773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8773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8773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A87732"/>
    <w:pPr>
      <w:jc w:val="right"/>
    </w:pPr>
    <w:rPr>
      <w:sz w:val="20"/>
    </w:rPr>
  </w:style>
  <w:style w:type="paragraph" w:customStyle="1" w:styleId="ECHRHeaderRefIt">
    <w:name w:val="ECHR_Header_Ref_It"/>
    <w:aliases w:val="_Ref_Ital"/>
    <w:basedOn w:val="Normal"/>
    <w:next w:val="ECHRHeaderDate"/>
    <w:uiPriority w:val="43"/>
    <w:qFormat/>
    <w:rsid w:val="00A87732"/>
    <w:pPr>
      <w:jc w:val="right"/>
    </w:pPr>
    <w:rPr>
      <w:i/>
      <w:sz w:val="20"/>
    </w:rPr>
  </w:style>
  <w:style w:type="paragraph" w:customStyle="1" w:styleId="ECHRHeading9">
    <w:name w:val="ECHR_Heading_9"/>
    <w:aliases w:val="_Head_9"/>
    <w:basedOn w:val="Heading9"/>
    <w:uiPriority w:val="17"/>
    <w:semiHidden/>
    <w:rsid w:val="00A87732"/>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8773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87732"/>
    <w:pPr>
      <w:numPr>
        <w:numId w:val="21"/>
      </w:numPr>
      <w:spacing w:before="60" w:after="60"/>
    </w:pPr>
  </w:style>
  <w:style w:type="paragraph" w:customStyle="1" w:styleId="ECHRNumberedList2">
    <w:name w:val="ECHR_Numbered_List_2"/>
    <w:aliases w:val="_Num_2"/>
    <w:basedOn w:val="ECHRNumberedList1"/>
    <w:uiPriority w:val="23"/>
    <w:semiHidden/>
    <w:rsid w:val="00A87732"/>
    <w:pPr>
      <w:numPr>
        <w:ilvl w:val="1"/>
      </w:numPr>
    </w:pPr>
  </w:style>
  <w:style w:type="paragraph" w:customStyle="1" w:styleId="ECHRNumberedList3">
    <w:name w:val="ECHR_Numbered_List_3"/>
    <w:aliases w:val="_Num_3"/>
    <w:basedOn w:val="ECHRNumberedList2"/>
    <w:uiPriority w:val="23"/>
    <w:semiHidden/>
    <w:rsid w:val="00A87732"/>
    <w:pPr>
      <w:numPr>
        <w:ilvl w:val="2"/>
      </w:numPr>
    </w:pPr>
  </w:style>
  <w:style w:type="paragraph" w:customStyle="1" w:styleId="ECHRParaHanging">
    <w:name w:val="ECHR_Para_Hanging"/>
    <w:aliases w:val="_Hanging"/>
    <w:basedOn w:val="NormalJustified"/>
    <w:uiPriority w:val="8"/>
    <w:semiHidden/>
    <w:qFormat/>
    <w:rsid w:val="00A87732"/>
    <w:pPr>
      <w:ind w:left="567" w:hanging="567"/>
    </w:pPr>
  </w:style>
  <w:style w:type="paragraph" w:customStyle="1" w:styleId="ECHRParaIndent">
    <w:name w:val="ECHR_Para_Indent"/>
    <w:aliases w:val="_Indent"/>
    <w:basedOn w:val="NormalJustified"/>
    <w:uiPriority w:val="7"/>
    <w:semiHidden/>
    <w:qFormat/>
    <w:rsid w:val="00A87732"/>
    <w:pPr>
      <w:spacing w:before="120" w:after="120"/>
      <w:ind w:left="284"/>
    </w:pPr>
  </w:style>
  <w:style w:type="character" w:customStyle="1" w:styleId="ECHRRed">
    <w:name w:val="ECHR_Red"/>
    <w:aliases w:val="_Red"/>
    <w:basedOn w:val="DefaultParagraphFont"/>
    <w:uiPriority w:val="15"/>
    <w:semiHidden/>
    <w:qFormat/>
    <w:rsid w:val="00A87732"/>
    <w:rPr>
      <w:color w:val="C00000" w:themeColor="accent2"/>
    </w:rPr>
  </w:style>
  <w:style w:type="paragraph" w:customStyle="1" w:styleId="DecList">
    <w:name w:val="Dec_List"/>
    <w:aliases w:val="_List"/>
    <w:basedOn w:val="JuList"/>
    <w:uiPriority w:val="22"/>
    <w:rsid w:val="00A87732"/>
    <w:pPr>
      <w:numPr>
        <w:numId w:val="0"/>
      </w:numPr>
      <w:ind w:left="284"/>
    </w:pPr>
  </w:style>
  <w:style w:type="table" w:customStyle="1" w:styleId="ECHRTable2">
    <w:name w:val="ECHR_Table_2"/>
    <w:basedOn w:val="TableNormal"/>
    <w:uiPriority w:val="99"/>
    <w:rsid w:val="00A8773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8773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A8773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A8773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A8773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A8773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A8773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A8773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A87732"/>
    <w:pPr>
      <w:outlineLvl w:val="0"/>
    </w:pPr>
  </w:style>
  <w:style w:type="paragraph" w:customStyle="1" w:styleId="ECHRTitleTOC1">
    <w:name w:val="ECHR_Title_TOC_1"/>
    <w:aliases w:val="_Title_L_TOC"/>
    <w:basedOn w:val="ECHRTitle1"/>
    <w:next w:val="Normal"/>
    <w:uiPriority w:val="27"/>
    <w:semiHidden/>
    <w:qFormat/>
    <w:rsid w:val="00A87732"/>
    <w:pPr>
      <w:outlineLvl w:val="0"/>
    </w:pPr>
  </w:style>
  <w:style w:type="paragraph" w:customStyle="1" w:styleId="ECHRPlaceholder">
    <w:name w:val="ECHR_Placeholder"/>
    <w:aliases w:val="_Placeholder"/>
    <w:basedOn w:val="JuSigned"/>
    <w:uiPriority w:val="31"/>
    <w:rsid w:val="00A87732"/>
    <w:rPr>
      <w:color w:val="FFFFFF"/>
    </w:rPr>
  </w:style>
  <w:style w:type="paragraph" w:customStyle="1" w:styleId="ECHRSpacer">
    <w:name w:val="ECHR_Spacer"/>
    <w:aliases w:val="_Spacer"/>
    <w:basedOn w:val="Normal"/>
    <w:uiPriority w:val="45"/>
    <w:semiHidden/>
    <w:rsid w:val="00A87732"/>
    <w:rPr>
      <w:sz w:val="4"/>
    </w:rPr>
  </w:style>
  <w:style w:type="table" w:customStyle="1" w:styleId="ECHRTableGrey">
    <w:name w:val="ECHR_Table_Grey"/>
    <w:basedOn w:val="TableNormal"/>
    <w:uiPriority w:val="99"/>
    <w:rsid w:val="00A8773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87732"/>
    <w:rPr>
      <w:color w:val="605E5C"/>
      <w:shd w:val="clear" w:color="auto" w:fill="E1DFDD"/>
    </w:rPr>
  </w:style>
  <w:style w:type="character" w:customStyle="1" w:styleId="JuParaChar">
    <w:name w:val="Ju_Para Char"/>
    <w:aliases w:val="_Para Char"/>
    <w:link w:val="JuPara"/>
    <w:uiPriority w:val="4"/>
    <w:rsid w:val="00F404AC"/>
    <w:rPr>
      <w:sz w:val="24"/>
      <w:szCs w:val="24"/>
      <w:lang w:val="en-GB"/>
    </w:rPr>
  </w:style>
  <w:style w:type="table" w:customStyle="1" w:styleId="GridTable1Light1">
    <w:name w:val="Grid Table 1 Light1"/>
    <w:basedOn w:val="TableNormal"/>
    <w:uiPriority w:val="46"/>
    <w:semiHidden/>
    <w:rsid w:val="00F404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404AC"/>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F404A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F404A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F404A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F404A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F404A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F404A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F404A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F404A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F404A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F404A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2-Accent41">
    <w:name w:val="Grid Table 2 - Accent 41"/>
    <w:basedOn w:val="TableNormal"/>
    <w:uiPriority w:val="47"/>
    <w:semiHidden/>
    <w:rsid w:val="00F404A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F404A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F404A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3-Accent41">
    <w:name w:val="Grid Table 3 - Accent 41"/>
    <w:basedOn w:val="TableNormal"/>
    <w:uiPriority w:val="48"/>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4-Accent41">
    <w:name w:val="Grid Table 4 - Accent 41"/>
    <w:basedOn w:val="TableNormal"/>
    <w:uiPriority w:val="49"/>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customStyle="1" w:styleId="GridTable5Dark-Accent41">
    <w:name w:val="Grid Table 5 Dark - Accent 4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F404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F404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F404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F404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GridTable6Colorful-Accent41">
    <w:name w:val="Grid Table 6 Colorful - Accent 41"/>
    <w:basedOn w:val="TableNormal"/>
    <w:uiPriority w:val="51"/>
    <w:semiHidden/>
    <w:rsid w:val="00F404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F404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F404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F404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F404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F404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F404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customStyle="1" w:styleId="GridTable7Colorful-Accent41">
    <w:name w:val="Grid Table 7 Colorful - Accent 41"/>
    <w:basedOn w:val="TableNormal"/>
    <w:uiPriority w:val="52"/>
    <w:semiHidden/>
    <w:rsid w:val="00F404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F404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F404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F404A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F404A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F404A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F404A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1Light-Accent41">
    <w:name w:val="List Table 1 Light - Accent 41"/>
    <w:basedOn w:val="TableNormal"/>
    <w:uiPriority w:val="46"/>
    <w:semiHidden/>
    <w:rsid w:val="00F404A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F404A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F404A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F404A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F404A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F404A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F404A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2-Accent41">
    <w:name w:val="List Table 2 - Accent 41"/>
    <w:basedOn w:val="TableNormal"/>
    <w:uiPriority w:val="47"/>
    <w:semiHidden/>
    <w:rsid w:val="00F404A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F404A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F404A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F404A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F404A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F404A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F404A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customStyle="1" w:styleId="ListTable3-Accent41">
    <w:name w:val="List Table 3 - Accent 41"/>
    <w:basedOn w:val="TableNormal"/>
    <w:uiPriority w:val="48"/>
    <w:semiHidden/>
    <w:rsid w:val="00F404A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F404A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F404A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4-Accent41">
    <w:name w:val="List Table 4 - Accent 41"/>
    <w:basedOn w:val="TableNormal"/>
    <w:uiPriority w:val="49"/>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F404A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F404A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F404A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F404A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F404A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F404A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F404A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F404A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F404A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F404A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F404A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customStyle="1" w:styleId="ListTable6Colorful-Accent41">
    <w:name w:val="List Table 6 Colorful - Accent 41"/>
    <w:basedOn w:val="TableNormal"/>
    <w:uiPriority w:val="51"/>
    <w:semiHidden/>
    <w:rsid w:val="00F404A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F404A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F404A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F404A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F404A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F404A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F404A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F404A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F404A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F404A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F404A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F404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F404A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F404A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F404A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F404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
    <w:name w:val="Grid Table 1 Light"/>
    <w:basedOn w:val="TableNormal"/>
    <w:uiPriority w:val="46"/>
    <w:semiHidden/>
    <w:rsid w:val="00F404A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F404A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F404A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F404A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F404A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F404A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F404A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F404A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F404A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F404A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F404A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F404A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F404A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F404A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F404A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F404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F404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F404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F404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F404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F404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F404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F404A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F404A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F404A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F404A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F404A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F404A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F404A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404AC"/>
    <w:rPr>
      <w:color w:val="2B579A"/>
      <w:shd w:val="clear" w:color="auto" w:fill="E1DFDD"/>
    </w:rPr>
  </w:style>
  <w:style w:type="table" w:styleId="ListTable1Light">
    <w:name w:val="List Table 1 Light"/>
    <w:basedOn w:val="TableNormal"/>
    <w:uiPriority w:val="46"/>
    <w:semiHidden/>
    <w:rsid w:val="00F404A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F404A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F404A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F404A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F404A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F404A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F404A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F404A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F404A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F404A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F404A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F404A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F404A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F404A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F404A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F404A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F404A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F404A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F404A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F404A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F404A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F404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F404A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F404A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F404A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F404A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F404A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F404A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F404A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F404A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F404A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F404A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F404A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F404A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F404A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F404A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F404A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F404A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F404A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F404A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F404A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F404A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F404A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F404A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F404A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F404A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F404A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F404A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F404A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404AC"/>
    <w:rPr>
      <w:color w:val="2B579A"/>
      <w:shd w:val="clear" w:color="auto" w:fill="E1DFDD"/>
    </w:rPr>
  </w:style>
  <w:style w:type="table" w:styleId="PlainTable1">
    <w:name w:val="Plain Table 1"/>
    <w:basedOn w:val="TableNormal"/>
    <w:uiPriority w:val="41"/>
    <w:semiHidden/>
    <w:rsid w:val="00F404A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F404A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F404A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F404A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F404A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404AC"/>
    <w:rPr>
      <w:u w:val="dotted"/>
    </w:rPr>
  </w:style>
  <w:style w:type="character" w:styleId="SmartLink">
    <w:name w:val="Smart Link"/>
    <w:basedOn w:val="DefaultParagraphFont"/>
    <w:uiPriority w:val="99"/>
    <w:semiHidden/>
    <w:unhideWhenUsed/>
    <w:rsid w:val="00F404AC"/>
    <w:rPr>
      <w:color w:val="0000FF"/>
      <w:u w:val="single"/>
      <w:shd w:val="clear" w:color="auto" w:fill="F3F2F1"/>
    </w:rPr>
  </w:style>
  <w:style w:type="table" w:styleId="GridTableLight">
    <w:name w:val="Grid Table Light"/>
    <w:basedOn w:val="TableNormal"/>
    <w:uiPriority w:val="40"/>
    <w:semiHidden/>
    <w:rsid w:val="00F404A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F404AC"/>
    <w:rPr>
      <w:sz w:val="24"/>
      <w:szCs w:val="24"/>
      <w:lang w:val="en-GB"/>
    </w:rPr>
  </w:style>
  <w:style w:type="paragraph" w:customStyle="1" w:styleId="jupara0">
    <w:name w:val="jupara"/>
    <w:basedOn w:val="Normal"/>
    <w:rsid w:val="00274FAD"/>
    <w:pPr>
      <w:ind w:firstLine="284"/>
      <w:jc w:val="both"/>
    </w:pPr>
    <w:rPr>
      <w:rFonts w:ascii="Times New Roman" w:eastAsia="Times New Roman" w:hAnsi="Times New Roman" w:cs="Times New Roman"/>
      <w:lang w:eastAsia="en-GB"/>
    </w:rPr>
  </w:style>
  <w:style w:type="paragraph" w:customStyle="1" w:styleId="jucase0">
    <w:name w:val="jucase"/>
    <w:basedOn w:val="Normal"/>
    <w:rsid w:val="00274FA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6275</Words>
  <Characters>34514</Characters>
  <Application>Microsoft Office Word</Application>
  <DocSecurity>0</DocSecurity>
  <Lines>1150</Lines>
  <Paragraphs>448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40341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2025-04-30T13:31:00Z</dcterms:created>
  <dcterms:modified xsi:type="dcterms:W3CDTF">2025-08-26T15:48:00Z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1665237</vt:lpwstr>
  </property>
  <property fmtid="{D5CDD505-2E9C-101B-9397-08002B2CF9AE}" pid="3" name="cstLanguage">
    <vt:i4>2057</vt:i4>
  </property>
  <property fmtid="{D5CDD505-2E9C-101B-9397-08002B2CF9AE}" pid="4" name="RegisteredNo">
    <vt:lpwstr>45735/21</vt:lpwstr>
  </property>
</Properties>
</file>