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65D22" w:rsidR="0098410D" w:rsidP="00465D22" w14:paraId="1A2BD52F" w14:textId="77777777">
      <w:pPr>
        <w:jc w:val="center"/>
      </w:pPr>
    </w:p>
    <w:p w:rsidRPr="00465D22" w:rsidR="0098410D" w:rsidP="00465D22" w14:paraId="1E9E31D6" w14:textId="73AC3F25">
      <w:pPr>
        <w:pStyle w:val="DecHTitle"/>
      </w:pPr>
      <w:r w:rsidRPr="00465D22">
        <w:t>SECOND SECTION</w:t>
      </w:r>
    </w:p>
    <w:p w:rsidRPr="00465D22" w:rsidR="008E6217" w:rsidP="00465D22" w14:paraId="35EAA1D7" w14:textId="2DA9741C">
      <w:pPr>
        <w:pStyle w:val="JuTitle"/>
      </w:pPr>
      <w:r w:rsidRPr="00465D22">
        <w:rPr>
          <w:color w:val="000000" w:themeColor="text1"/>
        </w:rPr>
        <w:t xml:space="preserve">CASE OF </w:t>
      </w:r>
      <w:r w:rsidRPr="00465D22" w:rsidR="006A50A4">
        <w:t>RUMINAS v. LITHUANIA</w:t>
      </w:r>
    </w:p>
    <w:p w:rsidRPr="00465D22" w:rsidR="00D74888" w:rsidP="00465D22" w14:paraId="5915F115" w14:textId="2C85B18E">
      <w:pPr>
        <w:pStyle w:val="ECHRCoverTitle4"/>
      </w:pPr>
      <w:r w:rsidRPr="00465D22">
        <w:t>(</w:t>
      </w:r>
      <w:r w:rsidRPr="00465D22" w:rsidR="006A50A4">
        <w:rPr>
          <w:noProof/>
        </w:rPr>
        <w:t>Application no.</w:t>
      </w:r>
      <w:r w:rsidRPr="00465D22">
        <w:t xml:space="preserve"> </w:t>
      </w:r>
      <w:r w:rsidRPr="00465D22" w:rsidR="006A50A4">
        <w:t>3181/22</w:t>
      </w:r>
      <w:r w:rsidRPr="00465D22">
        <w:t>)</w:t>
      </w:r>
    </w:p>
    <w:p w:rsidRPr="00465D22" w:rsidR="0098410D" w:rsidP="00465D22" w14:paraId="39CE98E8" w14:textId="77777777">
      <w:pPr>
        <w:pStyle w:val="DecHCase"/>
      </w:pPr>
    </w:p>
    <w:p w:rsidRPr="00465D22" w:rsidR="0054716E" w:rsidP="00465D22" w14:paraId="45CCD3CC" w14:textId="77777777">
      <w:pPr>
        <w:pStyle w:val="DecHCase"/>
      </w:pPr>
    </w:p>
    <w:p w:rsidRPr="00465D22" w:rsidR="0054716E" w:rsidP="00465D22" w14:paraId="5DE618F1" w14:textId="77777777">
      <w:pPr>
        <w:pStyle w:val="DecHCase"/>
      </w:pPr>
    </w:p>
    <w:p w:rsidRPr="00465D22" w:rsidR="0098410D" w:rsidP="00465D22" w14:paraId="5F57BB9A" w14:textId="77777777">
      <w:pPr>
        <w:pStyle w:val="DecHCase"/>
      </w:pPr>
    </w:p>
    <w:p w:rsidRPr="00465D22" w:rsidR="00AC4CD4" w:rsidP="00465D22" w14:paraId="43C4EBEC" w14:textId="77777777">
      <w:pPr>
        <w:pStyle w:val="DecHCase"/>
      </w:pPr>
    </w:p>
    <w:p w:rsidRPr="00465D22" w:rsidR="0098410D" w:rsidP="00465D22" w14:paraId="749B8291" w14:textId="77777777">
      <w:pPr>
        <w:pStyle w:val="DecHCase"/>
      </w:pPr>
    </w:p>
    <w:p w:rsidRPr="00465D22" w:rsidR="0098410D" w:rsidP="00465D22" w14:paraId="0CECD99C" w14:textId="0D6A6D9D">
      <w:pPr>
        <w:pStyle w:val="DecHCase"/>
      </w:pPr>
      <w:r w:rsidRPr="00465D22">
        <w:t>JUDGMENT</w:t>
      </w:r>
      <w:r w:rsidRPr="00465D22" w:rsidR="00AC4CD4">
        <w:br/>
      </w:r>
    </w:p>
    <w:p w:rsidRPr="00465D22" w:rsidR="0098410D" w:rsidP="00465D22" w14:paraId="7564DC8F" w14:textId="77777777">
      <w:pPr>
        <w:pStyle w:val="DecHCase"/>
      </w:pPr>
      <w:r w:rsidRPr="00465D22">
        <w:t>STRASBOURG</w:t>
      </w:r>
    </w:p>
    <w:p w:rsidRPr="00465D22" w:rsidR="0098410D" w:rsidP="00465D22" w14:paraId="396E3E34" w14:textId="11712AC9">
      <w:pPr>
        <w:pStyle w:val="DecHCase"/>
      </w:pPr>
      <w:r w:rsidRPr="00465D22">
        <w:rPr>
          <w:rFonts w:ascii="Times New Roman" w:hAnsi="Times New Roman" w:cs="Times New Roman"/>
        </w:rPr>
        <w:t>13 May 2025</w:t>
      </w:r>
    </w:p>
    <w:p w:rsidRPr="00465D22" w:rsidR="00AC4CD4" w:rsidP="00465D22" w14:paraId="55552C3A" w14:textId="77777777">
      <w:pPr>
        <w:pStyle w:val="JuPara"/>
      </w:pPr>
    </w:p>
    <w:p w:rsidRPr="00465D22" w:rsidR="002422B6" w:rsidP="00465D22" w14:paraId="3F8E9705" w14:textId="19D8B029">
      <w:pPr>
        <w:rPr>
          <w:i/>
          <w:sz w:val="22"/>
        </w:rPr>
      </w:pPr>
      <w:r w:rsidRPr="00465D22">
        <w:rPr>
          <w:i/>
          <w:sz w:val="22"/>
        </w:rPr>
        <w:t xml:space="preserve">This judgment </w:t>
      </w:r>
      <w:r w:rsidRPr="00465D22" w:rsidR="006A50A4">
        <w:rPr>
          <w:i/>
          <w:noProof/>
          <w:sz w:val="22"/>
        </w:rPr>
        <w:t>is final but it</w:t>
      </w:r>
      <w:r w:rsidRPr="00465D22">
        <w:rPr>
          <w:i/>
          <w:sz w:val="22"/>
        </w:rPr>
        <w:t xml:space="preserve"> may be subject to editorial revision.</w:t>
      </w:r>
    </w:p>
    <w:p w:rsidRPr="00465D22" w:rsidR="0098410D" w:rsidP="00465D22" w14:paraId="5C446E83"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65D22" w:rsidR="0098410D" w:rsidP="00465D22" w14:paraId="48506D4F" w14:textId="5479FAA3">
      <w:pPr>
        <w:pStyle w:val="JuCase"/>
      </w:pPr>
      <w:r w:rsidRPr="00465D22">
        <w:t xml:space="preserve">In the case of </w:t>
      </w:r>
      <w:r w:rsidRPr="00465D22" w:rsidR="006A50A4">
        <w:t>Ruminas v. Lithuania</w:t>
      </w:r>
      <w:r w:rsidRPr="00465D22">
        <w:t>,</w:t>
      </w:r>
    </w:p>
    <w:p w:rsidRPr="00465D22" w:rsidR="009F4C8F" w:rsidP="00465D22" w14:paraId="507E41BF" w14:textId="36BC9D41">
      <w:pPr>
        <w:pStyle w:val="JuPara"/>
      </w:pPr>
      <w:r w:rsidRPr="00465D22">
        <w:t>The European Court of Human Rights (</w:t>
      </w:r>
      <w:r w:rsidRPr="00465D22" w:rsidR="006A50A4">
        <w:t>Second Section</w:t>
      </w:r>
      <w:r w:rsidRPr="00465D22">
        <w:t xml:space="preserve">), sitting as a </w:t>
      </w:r>
      <w:r w:rsidRPr="00465D22" w:rsidR="006A50A4">
        <w:rPr>
          <w:noProof/>
        </w:rPr>
        <w:t>Committee</w:t>
      </w:r>
      <w:r w:rsidRPr="00465D22">
        <w:t xml:space="preserve"> composed of:</w:t>
      </w:r>
    </w:p>
    <w:p w:rsidRPr="00465D22" w:rsidR="00A92625" w:rsidP="00465D22" w14:paraId="16AD1242" w14:textId="624FE1BB">
      <w:pPr>
        <w:pStyle w:val="JuJudges"/>
      </w:pPr>
      <w:r w:rsidRPr="00465D22">
        <w:tab/>
        <w:t>Anja Seibert-Fohr</w:t>
      </w:r>
      <w:r w:rsidRPr="00465D22">
        <w:rPr>
          <w:i/>
        </w:rPr>
        <w:t>, President</w:t>
      </w:r>
      <w:r w:rsidRPr="00465D22">
        <w:t>,</w:t>
      </w:r>
      <w:r w:rsidRPr="00465D22">
        <w:br/>
      </w:r>
      <w:r w:rsidRPr="00465D22">
        <w:tab/>
        <w:t>Davor Derenčinović,</w:t>
      </w:r>
      <w:r w:rsidRPr="00465D22">
        <w:br/>
      </w:r>
      <w:r w:rsidRPr="00465D22">
        <w:tab/>
        <w:t>Gediminas Sagatys</w:t>
      </w:r>
      <w:r w:rsidRPr="00465D22">
        <w:rPr>
          <w:i/>
        </w:rPr>
        <w:t>, judges</w:t>
      </w:r>
      <w:r w:rsidRPr="00465D22">
        <w:t>,</w:t>
      </w:r>
      <w:r w:rsidRPr="00465D22" w:rsidR="009F4C8F">
        <w:br/>
        <w:t>and</w:t>
      </w:r>
      <w:r w:rsidRPr="00465D22" w:rsidR="005C2C62">
        <w:t xml:space="preserve"> </w:t>
      </w:r>
      <w:r w:rsidRPr="00465D22" w:rsidR="006A50A4">
        <w:rPr>
          <w:rFonts w:eastAsia="PMingLiU"/>
          <w:noProof/>
        </w:rPr>
        <w:t>Dorothee von Arnim</w:t>
      </w:r>
      <w:r w:rsidRPr="00465D22">
        <w:t xml:space="preserve">, </w:t>
      </w:r>
      <w:r w:rsidRPr="00465D22" w:rsidR="006A50A4">
        <w:rPr>
          <w:i/>
          <w:iCs/>
          <w:noProof/>
        </w:rPr>
        <w:t xml:space="preserve">Deputy </w:t>
      </w:r>
      <w:r w:rsidRPr="00465D22" w:rsidR="00E744E0">
        <w:rPr>
          <w:i/>
        </w:rPr>
        <w:t xml:space="preserve">Section </w:t>
      </w:r>
      <w:r w:rsidRPr="00465D22" w:rsidR="00E744E0">
        <w:rPr>
          <w:i/>
          <w:iCs/>
        </w:rPr>
        <w:t>Registrar</w:t>
      </w:r>
      <w:r w:rsidRPr="00465D22" w:rsidR="008F2465">
        <w:rPr>
          <w:i/>
        </w:rPr>
        <w:t>,</w:t>
      </w:r>
    </w:p>
    <w:p w:rsidRPr="00465D22" w:rsidR="006A50A4" w:rsidP="00465D22" w14:paraId="08A2279A" w14:textId="77777777">
      <w:pPr>
        <w:pStyle w:val="JuPara"/>
      </w:pPr>
      <w:r w:rsidRPr="00465D22">
        <w:t>Having regard to:</w:t>
      </w:r>
    </w:p>
    <w:p w:rsidRPr="00465D22" w:rsidR="006A50A4" w:rsidP="00465D22" w14:paraId="4FD5E635" w14:textId="77777777">
      <w:pPr>
        <w:pStyle w:val="JuPara"/>
      </w:pPr>
      <w:r w:rsidRPr="00465D22">
        <w:t>the application (no. 3181/22) against the Republic of Lithuania lodged with the Court under Article 34 of the Convention for the Protection of Human Rights and Fundamental Freedoms (“the Convention”) on 5 January 2022 by a Lithuanian national, Mr Žilvinas Ruminas (“the applicant”), who was born in 1986, lives in Vilnius and was represented by Mr K. Rugys, a lawyer practising in Vilnius;</w:t>
      </w:r>
    </w:p>
    <w:p w:rsidRPr="00465D22" w:rsidR="006A50A4" w:rsidP="00465D22" w14:paraId="58BEA3FC" w14:textId="77777777">
      <w:pPr>
        <w:pStyle w:val="JuPara"/>
      </w:pPr>
      <w:r w:rsidRPr="00465D22">
        <w:t>the decision to give notice of the application to the Lithuanian Government (“the Government”), represented by their Agent, Ms K. Bubnyt</w:t>
      </w:r>
      <w:r w:rsidRPr="00465D22">
        <w:rPr>
          <w:rFonts w:cstheme="minorHAnsi"/>
        </w:rPr>
        <w:t>ė</w:t>
      </w:r>
      <w:r w:rsidRPr="00465D22">
        <w:t>-</w:t>
      </w:r>
      <w:r w:rsidRPr="00465D22">
        <w:rPr>
          <w:rFonts w:cstheme="minorHAnsi"/>
        </w:rPr>
        <w:t>Š</w:t>
      </w:r>
      <w:r w:rsidRPr="00465D22">
        <w:t>irmen</w:t>
      </w:r>
      <w:r w:rsidRPr="00465D22">
        <w:rPr>
          <w:rFonts w:cstheme="minorHAnsi"/>
        </w:rPr>
        <w:t>ė</w:t>
      </w:r>
      <w:r w:rsidRPr="00465D22">
        <w:t>,</w:t>
      </w:r>
    </w:p>
    <w:p w:rsidRPr="00465D22" w:rsidR="006A50A4" w:rsidP="00465D22" w14:paraId="3C88337E" w14:textId="4914CA7D">
      <w:pPr>
        <w:pStyle w:val="JuPara"/>
      </w:pPr>
      <w:r w:rsidRPr="00465D22">
        <w:t>the parties</w:t>
      </w:r>
      <w:r w:rsidRPr="00465D22" w:rsidR="00465D22">
        <w:t>’</w:t>
      </w:r>
      <w:r w:rsidRPr="00465D22">
        <w:t xml:space="preserve"> observations;</w:t>
      </w:r>
    </w:p>
    <w:p w:rsidRPr="00465D22" w:rsidR="009F4C8F" w:rsidP="00465D22" w14:paraId="4D9F8BB9" w14:textId="7BA84374">
      <w:pPr>
        <w:pStyle w:val="JuPara"/>
      </w:pPr>
      <w:r w:rsidRPr="00465D22">
        <w:t xml:space="preserve">Having deliberated in private on </w:t>
      </w:r>
      <w:r w:rsidRPr="00465D22" w:rsidR="006A50A4">
        <w:t>22 April 2025</w:t>
      </w:r>
      <w:r w:rsidRPr="00465D22">
        <w:t>,</w:t>
      </w:r>
    </w:p>
    <w:p w:rsidRPr="00465D22" w:rsidR="009F4C8F" w:rsidP="00465D22" w14:paraId="7CC0193C" w14:textId="77777777">
      <w:pPr>
        <w:pStyle w:val="JuPara"/>
      </w:pPr>
      <w:r w:rsidRPr="00465D22">
        <w:t>Delivers the following judgment, which was adopted on that date:</w:t>
      </w:r>
    </w:p>
    <w:p w:rsidRPr="00465D22" w:rsidR="006A50A4" w:rsidP="00465D22" w14:paraId="70951B9D" w14:textId="0370C734">
      <w:pPr>
        <w:pStyle w:val="JuHHead"/>
        <w:numPr>
          <w:ilvl w:val="0"/>
          <w:numId w:val="0"/>
        </w:numPr>
      </w:pPr>
      <w:r w:rsidRPr="00465D22">
        <w:t>SUBJECT MATTER OF THE CASE</w:t>
      </w:r>
    </w:p>
    <w:p w:rsidRPr="00465D22" w:rsidR="006A50A4" w:rsidP="00465D22" w14:paraId="7DCA6901" w14:textId="18D404E3">
      <w:pPr>
        <w:pStyle w:val="JuPara"/>
      </w:pPr>
      <w:r w:rsidRPr="00465D22">
        <w:fldChar w:fldCharType="begin"/>
      </w:r>
      <w:r w:rsidRPr="00465D22">
        <w:instrText xml:space="preserve"> SEQ level0 \*arabic \r1 </w:instrText>
      </w:r>
      <w:r w:rsidRPr="00465D22">
        <w:fldChar w:fldCharType="separate"/>
      </w:r>
      <w:r w:rsidRPr="00465D22" w:rsidR="00465D22">
        <w:rPr>
          <w:noProof/>
        </w:rPr>
        <w:t>1</w:t>
      </w:r>
      <w:r w:rsidRPr="00465D22">
        <w:fldChar w:fldCharType="end"/>
      </w:r>
      <w:r w:rsidRPr="00465D22">
        <w:t>.  The case concerns the domestic courts</w:t>
      </w:r>
      <w:r w:rsidRPr="00465D22" w:rsidR="00465D22">
        <w:t>’</w:t>
      </w:r>
      <w:r w:rsidRPr="00465D22">
        <w:t xml:space="preserve"> refusal to reimburse costs and expenses incurred by the applicant in administrative offence proceedings in which he successfully challenged an administrative-law violation for driving under the influence of alcohol.</w:t>
      </w:r>
    </w:p>
    <w:bookmarkStart w:name="F_6Feb2016_applicant_stopped_by_police" w:id="0"/>
    <w:p w:rsidRPr="00465D22" w:rsidR="006A50A4" w:rsidP="00465D22" w14:paraId="57AD94B0" w14:textId="395A7B0C">
      <w:pPr>
        <w:pStyle w:val="JuPara"/>
      </w:pPr>
      <w:r w:rsidRPr="00465D22">
        <w:fldChar w:fldCharType="begin"/>
      </w:r>
      <w:r w:rsidRPr="00465D22">
        <w:instrText xml:space="preserve"> SEQ level0 \*arabic \* MERGEFORMAT </w:instrText>
      </w:r>
      <w:r w:rsidRPr="00465D22">
        <w:fldChar w:fldCharType="separate"/>
      </w:r>
      <w:r w:rsidRPr="00465D22" w:rsidR="00465D22">
        <w:rPr>
          <w:noProof/>
        </w:rPr>
        <w:t>2</w:t>
      </w:r>
      <w:r w:rsidRPr="00465D22">
        <w:fldChar w:fldCharType="end"/>
      </w:r>
      <w:bookmarkEnd w:id="0"/>
      <w:r w:rsidRPr="00465D22">
        <w:t>.  On 6 February 2016 during a stop and search (</w:t>
      </w:r>
      <w:r w:rsidRPr="00465D22">
        <w:rPr>
          <w:i/>
          <w:iCs/>
        </w:rPr>
        <w:t>policijos reidas</w:t>
      </w:r>
      <w:r w:rsidRPr="00465D22">
        <w:t>), the applicant was stopped by the police while driving his car in Vilnius and asked to take a breathalyser test. The test detected 1.38 per mille of alcohol (the legal limit for driving was 0.4 per mille). The applicant denied having consumed any alcohol, and asked the police officer to be tested again, which the police officer refused to do. The police drew up a report of an administrative-law violation under Article 126 § 1 of the Code of Administrative Law Violations (hereinafter – “the CALV”). The applicant refused to sign that police report; he stated that he had not consumed any alcohol in the last three days.</w:t>
      </w:r>
    </w:p>
    <w:bookmarkStart w:name="F_6Feb2016_applicants_blood_tested" w:id="1"/>
    <w:p w:rsidRPr="00465D22" w:rsidR="006A50A4" w:rsidP="00465D22" w14:paraId="34B0CCCB" w14:textId="027CB266">
      <w:pPr>
        <w:pStyle w:val="JuPara"/>
      </w:pPr>
      <w:r w:rsidRPr="00465D22">
        <w:fldChar w:fldCharType="begin"/>
      </w:r>
      <w:r w:rsidRPr="00465D22">
        <w:instrText xml:space="preserve"> SEQ level0 \*arabic \* MERGEFORMAT </w:instrText>
      </w:r>
      <w:r w:rsidRPr="00465D22">
        <w:fldChar w:fldCharType="separate"/>
      </w:r>
      <w:r w:rsidRPr="00465D22" w:rsidR="00465D22">
        <w:rPr>
          <w:noProof/>
        </w:rPr>
        <w:t>3</w:t>
      </w:r>
      <w:r w:rsidRPr="00465D22">
        <w:fldChar w:fldCharType="end"/>
      </w:r>
      <w:bookmarkEnd w:id="1"/>
      <w:r w:rsidRPr="00465D22">
        <w:t>.  Within one hour of being stopped by the police the applicant went to a hospital where a blood test was performed (this being a requirement under domestic law so that the medical examination result would be valid); no alcohol whatsoever was detected in his blood.</w:t>
      </w:r>
    </w:p>
    <w:bookmarkStart w:name="F_7Nov2016_VCDC_discontinues_adm_case" w:id="2"/>
    <w:p w:rsidRPr="00465D22" w:rsidR="006A50A4" w:rsidP="00465D22" w14:paraId="3C270F67" w14:textId="10DD9866">
      <w:pPr>
        <w:pStyle w:val="JuPara"/>
        <w:rPr>
          <w:rFonts w:eastAsia="Times New Roman"/>
        </w:rPr>
      </w:pPr>
      <w:r w:rsidRPr="00465D22">
        <w:fldChar w:fldCharType="begin"/>
      </w:r>
      <w:r w:rsidRPr="00465D22">
        <w:instrText xml:space="preserve"> SEQ level0 \*arabic \* MERGEFORMAT </w:instrText>
      </w:r>
      <w:r w:rsidRPr="00465D22">
        <w:fldChar w:fldCharType="separate"/>
      </w:r>
      <w:r w:rsidRPr="00465D22" w:rsidR="00465D22">
        <w:rPr>
          <w:noProof/>
        </w:rPr>
        <w:t>4</w:t>
      </w:r>
      <w:r w:rsidRPr="00465D22">
        <w:fldChar w:fldCharType="end"/>
      </w:r>
      <w:bookmarkEnd w:id="2"/>
      <w:r w:rsidRPr="00465D22">
        <w:t>.  On 7 November 2016 the Vilnius City District Court established that it was for the police to prove the applicant</w:t>
      </w:r>
      <w:r w:rsidRPr="00465D22" w:rsidR="00465D22">
        <w:t>’</w:t>
      </w:r>
      <w:r w:rsidRPr="00465D22">
        <w:t>s guilt of drunk-driving, and that any discrepancies should be interpreted in favour of the person against whom the</w:t>
      </w:r>
      <w:r w:rsidRPr="00465D22">
        <w:rPr>
          <w:rFonts w:eastAsia="Times New Roman"/>
        </w:rPr>
        <w:t xml:space="preserve"> </w:t>
      </w:r>
      <w:r w:rsidRPr="00465D22">
        <w:t>administrative-law violation proceedings were brought. In the applicant</w:t>
      </w:r>
      <w:r w:rsidRPr="00465D22" w:rsidR="00465D22">
        <w:t>’</w:t>
      </w:r>
      <w:r w:rsidRPr="00465D22">
        <w:t xml:space="preserve">s </w:t>
      </w:r>
      <w:r w:rsidRPr="00465D22">
        <w:t>case, according to the forensic expert</w:t>
      </w:r>
      <w:r w:rsidRPr="00465D22" w:rsidR="00465D22">
        <w:t>’</w:t>
      </w:r>
      <w:r w:rsidRPr="00465D22">
        <w:t>s report, it was impossible for no trace of alcohol to remain in the applicant</w:t>
      </w:r>
      <w:r w:rsidRPr="00465D22" w:rsidR="00465D22">
        <w:t>’</w:t>
      </w:r>
      <w:r w:rsidRPr="00465D22">
        <w:t>s blood within an hour of testing positive with the police breathalyser. The forensic expert who testified in court also stated that it would be impossible to artificially reduce the alcohol level to zero from 1.38 per mille within one hour. The court concluded that there remained a real possibility that the breathalyser used had shown incorrect data. The District Court also noted that although the breathalyser test had been taken at 02:42:31 on 6 February 2016, the report of the administrative violation “somehow” indicated that the applicant had been driving the car under the influence of alcohol at 2.25 a.m. The court discontinued the administrative-law violation proceedings against the applicant, holding that no administrative-law violation had been committed (</w:t>
      </w:r>
      <w:r w:rsidRPr="00465D22">
        <w:rPr>
          <w:i/>
          <w:iCs/>
        </w:rPr>
        <w:t>nenustačius pažeidimo įvykio ir sudėties</w:t>
      </w:r>
      <w:r w:rsidRPr="00465D22">
        <w:t>).</w:t>
      </w:r>
    </w:p>
    <w:bookmarkStart w:name="F_7Nov2016_VCDC_no_reimbursement_costs" w:id="3"/>
    <w:p w:rsidRPr="00465D22" w:rsidR="006A50A4" w:rsidP="00465D22" w14:paraId="3164B91B" w14:textId="192E119D">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5</w:t>
      </w:r>
      <w:r w:rsidRPr="00465D22">
        <w:rPr>
          <w:rFonts w:eastAsia="Times New Roman"/>
        </w:rPr>
        <w:fldChar w:fldCharType="end"/>
      </w:r>
      <w:bookmarkEnd w:id="3"/>
      <w:r w:rsidRPr="00465D22">
        <w:rPr>
          <w:rFonts w:eastAsia="Times New Roman"/>
        </w:rPr>
        <w:t>.  By the same ruling, the court left unexamined the applicant</w:t>
      </w:r>
      <w:r w:rsidRPr="00465D22" w:rsidR="00465D22">
        <w:rPr>
          <w:rFonts w:eastAsia="Times New Roman"/>
        </w:rPr>
        <w:t>’</w:t>
      </w:r>
      <w:r w:rsidRPr="00465D22">
        <w:rPr>
          <w:rFonts w:eastAsia="Times New Roman"/>
        </w:rPr>
        <w:t xml:space="preserve">s request to be compensated for costs – EUR 500 for assistance by a lawyer and EUR 29 for the blood test at the hospital – holding that neither Article 279 nor other provisions of the CALV or of the Code of Criminal Procedure (hereinafter – “the CCP”), which were applied </w:t>
      </w:r>
      <w:r w:rsidRPr="00465D22">
        <w:rPr>
          <w:rFonts w:eastAsia="Times New Roman"/>
          <w:i/>
          <w:iCs/>
        </w:rPr>
        <w:t>mutatis mutandis</w:t>
      </w:r>
      <w:r w:rsidRPr="00465D22">
        <w:rPr>
          <w:rFonts w:eastAsia="Times New Roman"/>
        </w:rPr>
        <w:t xml:space="preserve"> in cases of administrative law violations, foresaw a possibility of compensation for costs which a person had incurred in connection with the examination of a case regarding an administrative-law violation. The court noted that the applicant, if he considered that he had sustained damage because of the law</w:t>
      </w:r>
      <w:r w:rsidRPr="00465D22" w:rsidR="00652A15">
        <w:rPr>
          <w:rFonts w:eastAsia="Times New Roman"/>
        </w:rPr>
        <w:noBreakHyphen/>
      </w:r>
      <w:r w:rsidRPr="00465D22">
        <w:rPr>
          <w:rFonts w:eastAsia="Times New Roman"/>
        </w:rPr>
        <w:t>enforcement authorities</w:t>
      </w:r>
      <w:r w:rsidRPr="00465D22" w:rsidR="00465D22">
        <w:rPr>
          <w:rFonts w:eastAsia="Times New Roman"/>
        </w:rPr>
        <w:t>’</w:t>
      </w:r>
      <w:r w:rsidRPr="00465D22">
        <w:rPr>
          <w:rFonts w:eastAsia="Times New Roman"/>
        </w:rPr>
        <w:t xml:space="preserve"> actions, could initiate court proceedings for compensation of such damage, in accordance with the law on civil proceedings or other legislation. The court referred to Article 6.249 § 1 of the Civil Code, and noted that costs which the applicant had sustained in connection with the hearing of the case on an administrative law violation, potentially could be considered as a constitutive part of pecuniary damage sustained. The court ruling was not appealed against either by the applicant or by the police authorities and became final.</w:t>
      </w:r>
    </w:p>
    <w:bookmarkStart w:name="F_App_starts_court_proceedings_4damage" w:id="4"/>
    <w:p w:rsidRPr="00465D22" w:rsidR="006A50A4" w:rsidP="00465D22" w14:paraId="40F0A873" w14:textId="50FC62F9">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6</w:t>
      </w:r>
      <w:r w:rsidRPr="00465D22">
        <w:rPr>
          <w:rFonts w:eastAsia="Times New Roman"/>
        </w:rPr>
        <w:fldChar w:fldCharType="end"/>
      </w:r>
      <w:bookmarkEnd w:id="4"/>
      <w:r w:rsidRPr="00465D22">
        <w:rPr>
          <w:rFonts w:eastAsia="Times New Roman"/>
        </w:rPr>
        <w:t>.  The applicant then brought administrative court proceedings, claiming EUR 529 for pecuniary damage (lawyer</w:t>
      </w:r>
      <w:r w:rsidRPr="00465D22" w:rsidR="00465D22">
        <w:rPr>
          <w:rFonts w:eastAsia="Times New Roman"/>
        </w:rPr>
        <w:t>’</w:t>
      </w:r>
      <w:r w:rsidRPr="00465D22">
        <w:rPr>
          <w:rFonts w:eastAsia="Times New Roman"/>
        </w:rPr>
        <w:t>s fee and blood test fee) and EUR 5,000 for non-pecuniary damage, amounts he claimed to have sustained as a result of the administrative-law violation proceedings.</w:t>
      </w:r>
    </w:p>
    <w:bookmarkStart w:name="F_24Oct2017_VRAC_dismissed_apps_req_2CC" w:id="5"/>
    <w:p w:rsidRPr="00465D22" w:rsidR="006A50A4" w:rsidP="00465D22" w14:paraId="38AF3114" w14:textId="6B465905">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7</w:t>
      </w:r>
      <w:r w:rsidRPr="00465D22">
        <w:rPr>
          <w:rFonts w:eastAsia="Times New Roman"/>
        </w:rPr>
        <w:fldChar w:fldCharType="end"/>
      </w:r>
      <w:bookmarkEnd w:id="5"/>
      <w:r w:rsidRPr="00465D22">
        <w:rPr>
          <w:rFonts w:eastAsia="Times New Roman"/>
        </w:rPr>
        <w:t>.  In a decision of 24 October 2017 the Vilnius Regional Administrative Court considered that the applicant</w:t>
      </w:r>
      <w:r w:rsidRPr="00465D22" w:rsidR="00465D22">
        <w:rPr>
          <w:rFonts w:eastAsia="Times New Roman"/>
        </w:rPr>
        <w:t>’</w:t>
      </w:r>
      <w:r w:rsidRPr="00465D22">
        <w:rPr>
          <w:rFonts w:eastAsia="Times New Roman"/>
        </w:rPr>
        <w:t xml:space="preserve">s claim fell to be examined not only under the rules of the Law on Administrative Law Proceedings, but also under Article 6.271 of the Civil Code (see for the content of that provision </w:t>
      </w:r>
      <w:r w:rsidRPr="00465D22">
        <w:rPr>
          <w:rFonts w:eastAsia="Times New Roman"/>
          <w:i/>
          <w:iCs/>
        </w:rPr>
        <w:t>Jakutavičius v. Lithuania</w:t>
      </w:r>
      <w:r w:rsidRPr="00465D22">
        <w:rPr>
          <w:rFonts w:eastAsia="Times New Roman"/>
        </w:rPr>
        <w:t>, no. 42180/19, § 20, 13 February 2024), and dismissed the applicant</w:t>
      </w:r>
      <w:r w:rsidRPr="00465D22" w:rsidR="00465D22">
        <w:rPr>
          <w:rFonts w:eastAsia="Times New Roman"/>
        </w:rPr>
        <w:t>’</w:t>
      </w:r>
      <w:r w:rsidRPr="00465D22">
        <w:rPr>
          <w:rFonts w:eastAsia="Times New Roman"/>
        </w:rPr>
        <w:t>s claim, having held that no unlawful actions on the part of the police officers, when drawing up the administrative-law violation report, had been established. The court also rejected as unwarranted the applicant</w:t>
      </w:r>
      <w:r w:rsidRPr="00465D22" w:rsidR="00465D22">
        <w:rPr>
          <w:rFonts w:eastAsia="Times New Roman"/>
        </w:rPr>
        <w:t>’</w:t>
      </w:r>
      <w:r w:rsidRPr="00465D22">
        <w:rPr>
          <w:rFonts w:eastAsia="Times New Roman"/>
        </w:rPr>
        <w:t xml:space="preserve">s request to refer the question of compatibility of the legal regulation, under which legal costs were not awarded in administrative-law </w:t>
      </w:r>
      <w:r w:rsidRPr="00465D22">
        <w:rPr>
          <w:rFonts w:eastAsia="Times New Roman"/>
        </w:rPr>
        <w:t xml:space="preserve">violation cases, to the Constitutional Court for interpretation (see also paragraph </w:t>
      </w:r>
      <w:r w:rsidRPr="00465D22">
        <w:rPr>
          <w:rFonts w:eastAsia="Times New Roman"/>
        </w:rPr>
        <w:fldChar w:fldCharType="begin"/>
      </w:r>
      <w:r w:rsidRPr="00465D22">
        <w:rPr>
          <w:rFonts w:eastAsia="Times New Roman"/>
        </w:rPr>
        <w:instrText xml:space="preserve"> REF F_Const_Court_ruling_19_March_2021 \h </w:instrText>
      </w:r>
      <w:r w:rsidRPr="00465D22" w:rsidR="00A96A5A">
        <w:rPr>
          <w:rFonts w:eastAsia="Times New Roman"/>
        </w:rPr>
        <w:instrText xml:space="preserve"> \* MERGEFORMAT </w:instrText>
      </w:r>
      <w:r w:rsidRPr="00465D22">
        <w:rPr>
          <w:rFonts w:eastAsia="Times New Roman"/>
        </w:rPr>
        <w:fldChar w:fldCharType="separate"/>
      </w:r>
      <w:r w:rsidRPr="00465D22" w:rsidR="00465D22">
        <w:rPr>
          <w:rFonts w:eastAsia="Times New Roman"/>
          <w:noProof/>
        </w:rPr>
        <w:t>9</w:t>
      </w:r>
      <w:r w:rsidRPr="00465D22">
        <w:rPr>
          <w:rFonts w:eastAsia="Times New Roman"/>
        </w:rPr>
        <w:fldChar w:fldCharType="end"/>
      </w:r>
      <w:r w:rsidRPr="00465D22">
        <w:rPr>
          <w:rFonts w:eastAsia="Times New Roman"/>
        </w:rPr>
        <w:t xml:space="preserve"> below).</w:t>
      </w:r>
    </w:p>
    <w:bookmarkStart w:name="F_29Oct2019_SAC_upholds_VRAC_decision" w:id="6"/>
    <w:p w:rsidRPr="00465D22" w:rsidR="006A50A4" w:rsidP="00465D22" w14:paraId="20E8071C" w14:textId="05A64A3B">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8</w:t>
      </w:r>
      <w:r w:rsidRPr="00465D22">
        <w:rPr>
          <w:rFonts w:eastAsia="Times New Roman"/>
        </w:rPr>
        <w:fldChar w:fldCharType="end"/>
      </w:r>
      <w:bookmarkEnd w:id="6"/>
      <w:r w:rsidRPr="00465D22">
        <w:rPr>
          <w:rFonts w:eastAsia="Times New Roman"/>
        </w:rPr>
        <w:t>.  By a final and non-appealable ruling of 29 October 2019 the Supreme Administrative Court upheld the Vilnius Regional Administrative Court</w:t>
      </w:r>
      <w:r w:rsidRPr="00465D22" w:rsidR="00465D22">
        <w:rPr>
          <w:rFonts w:eastAsia="Times New Roman"/>
        </w:rPr>
        <w:t>’</w:t>
      </w:r>
      <w:r w:rsidRPr="00465D22">
        <w:rPr>
          <w:rFonts w:eastAsia="Times New Roman"/>
        </w:rPr>
        <w:t>s decision of 24 October 2017.</w:t>
      </w:r>
    </w:p>
    <w:bookmarkStart w:name="F_Const_Court_ruling_19_March_2021" w:id="7"/>
    <w:p w:rsidRPr="00465D22" w:rsidR="006A50A4" w:rsidP="00465D22" w14:paraId="42C35440" w14:textId="1057854F">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9</w:t>
      </w:r>
      <w:r w:rsidRPr="00465D22">
        <w:rPr>
          <w:rFonts w:eastAsia="Times New Roman"/>
        </w:rPr>
        <w:fldChar w:fldCharType="end"/>
      </w:r>
      <w:bookmarkEnd w:id="7"/>
      <w:r w:rsidRPr="00465D22">
        <w:rPr>
          <w:rFonts w:eastAsia="Times New Roman"/>
        </w:rPr>
        <w:t>.  On 19 March 2021, having examined the applicant</w:t>
      </w:r>
      <w:r w:rsidRPr="00465D22" w:rsidR="00465D22">
        <w:rPr>
          <w:rFonts w:eastAsia="Times New Roman"/>
        </w:rPr>
        <w:t>’</w:t>
      </w:r>
      <w:r w:rsidRPr="00465D22">
        <w:rPr>
          <w:rFonts w:eastAsia="Times New Roman"/>
        </w:rPr>
        <w:t>s constitutional complaint, the Constitutional Court concluded that the fact that Article 302</w:t>
      </w:r>
      <w:r w:rsidRPr="00465D22">
        <w:rPr>
          <w:rFonts w:eastAsia="Times New Roman"/>
          <w:vertAlign w:val="superscript"/>
        </w:rPr>
        <w:t>1</w:t>
      </w:r>
      <w:r w:rsidRPr="00465D22">
        <w:rPr>
          <w:rFonts w:eastAsia="Times New Roman"/>
        </w:rPr>
        <w:t xml:space="preserve"> (wording of 18 November 2010) of the CALV did not provide for the reimbursement of legal costs incurred by a person in respect of whom administrative-law violation proceedings had been discontinued on the grounds that no such violation had been committed was not consistent with the right of access to a court guaranteed by the Constitution. In particular, that legal regulation meant that a person who had successfully challenged an administrative fine with the help of a lawyer might find himself or herself in a worse situation than he or she would have been in without having defended his or her rights, which amounted to an unjustifiable burden on the exercise of the right of access to a court. The Constitutional Court also concluded that, similarly, Article 106 of the CCP (as amended on 26 June 2020) did not provide for the reimbursement of legal costs incurred by an acquitted person and that that regulation was not in compliance with the Constitution either (see for the content of that ruling also </w:t>
      </w:r>
      <w:bookmarkStart w:name="_cl43998" w:id="8"/>
      <w:r w:rsidRPr="00465D22">
        <w:rPr>
          <w:rFonts w:eastAsia="Times New Roman"/>
          <w:i/>
          <w:iCs/>
        </w:rPr>
        <w:t>Jakutavičius</w:t>
      </w:r>
      <w:bookmarkEnd w:id="8"/>
      <w:r w:rsidRPr="00465D22">
        <w:rPr>
          <w:rFonts w:eastAsia="Times New Roman"/>
        </w:rPr>
        <w:t>, cited above, §§ 42-46).</w:t>
      </w:r>
    </w:p>
    <w:bookmarkStart w:name="F_App_asks_2reopen_adm_cp_after_CC" w:id="9"/>
    <w:p w:rsidRPr="00465D22" w:rsidR="006A50A4" w:rsidP="00465D22" w14:paraId="3AADC598" w14:textId="458471F5">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10</w:t>
      </w:r>
      <w:r w:rsidRPr="00465D22">
        <w:rPr>
          <w:rFonts w:eastAsia="Times New Roman"/>
        </w:rPr>
        <w:fldChar w:fldCharType="end"/>
      </w:r>
      <w:bookmarkEnd w:id="9"/>
      <w:r w:rsidRPr="00465D22">
        <w:rPr>
          <w:rFonts w:eastAsia="Times New Roman"/>
        </w:rPr>
        <w:t>.  Afterwards, referring to the Constitutional Court</w:t>
      </w:r>
      <w:r w:rsidRPr="00465D22" w:rsidR="00465D22">
        <w:rPr>
          <w:rFonts w:eastAsia="Times New Roman"/>
        </w:rPr>
        <w:t>’</w:t>
      </w:r>
      <w:r w:rsidRPr="00465D22">
        <w:rPr>
          <w:rFonts w:eastAsia="Times New Roman"/>
        </w:rPr>
        <w:t>s ruling, the applicant asked the Supreme Administrative Court to re-open the administrative proceedings for compensation in respect of pecuniary and non-pecuniary damage.</w:t>
      </w:r>
    </w:p>
    <w:bookmarkStart w:name="F_2021_SAC_rejects_apps_claim_after_CC" w:id="10"/>
    <w:p w:rsidRPr="00465D22" w:rsidR="006A50A4" w:rsidP="00465D22" w14:paraId="6D4CF3AF" w14:textId="03C44FF6">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11</w:t>
      </w:r>
      <w:r w:rsidRPr="00465D22">
        <w:rPr>
          <w:rFonts w:eastAsia="Times New Roman"/>
        </w:rPr>
        <w:fldChar w:fldCharType="end"/>
      </w:r>
      <w:bookmarkEnd w:id="10"/>
      <w:r w:rsidRPr="00465D22">
        <w:rPr>
          <w:rFonts w:eastAsia="Times New Roman"/>
        </w:rPr>
        <w:t>.  By a non-appealable ruling of 27 October 2021 the Supreme Administrative Court refused the applicant</w:t>
      </w:r>
      <w:r w:rsidRPr="00465D22" w:rsidR="00465D22">
        <w:rPr>
          <w:rFonts w:eastAsia="Times New Roman"/>
        </w:rPr>
        <w:t>’</w:t>
      </w:r>
      <w:r w:rsidRPr="00465D22">
        <w:rPr>
          <w:rFonts w:eastAsia="Times New Roman"/>
        </w:rPr>
        <w:t>s request to re-open the administrative proceedings. Firstly, during the administrative proceedings for compensation of damage it had not relied on the provisions of the CALV and CCP which the Constitutional Court had declared unconstitutional. Secondly, none of the grounds on which the applicant had based his request to re-open the proceedings existed (essential circumstances, which could not have been known when hearing the case, came to light; an essential breach of material legal norms occurred in their application, which could have led to the adoption of an unlawful court decision; it was necessary to guarantee a uniform practice of the administrative courts).</w:t>
      </w:r>
    </w:p>
    <w:p w:rsidRPr="00465D22" w:rsidR="006A50A4" w:rsidP="00465D22" w14:paraId="34DB1045" w14:textId="2D43B7D5">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12</w:t>
      </w:r>
      <w:r w:rsidRPr="00465D22">
        <w:rPr>
          <w:rFonts w:eastAsia="Times New Roman"/>
        </w:rPr>
        <w:fldChar w:fldCharType="end"/>
      </w:r>
      <w:r w:rsidRPr="00465D22">
        <w:rPr>
          <w:rFonts w:eastAsia="Times New Roman"/>
        </w:rPr>
        <w:t>.  The applicant complained that the fact that his costs and expenses had not been reimbursed had violated his right to effectively defend himself, in breach of Article 6 § 1 of the Convention.</w:t>
      </w:r>
    </w:p>
    <w:p w:rsidRPr="00465D22" w:rsidR="006A50A4" w:rsidP="00465D22" w14:paraId="08C47FBA" w14:textId="2E174F37">
      <w:pPr>
        <w:pStyle w:val="JuHHead"/>
        <w:rPr>
          <w:rFonts w:eastAsia="Times New Roman"/>
        </w:rPr>
      </w:pPr>
      <w:r w:rsidRPr="00465D22">
        <w:rPr>
          <w:rFonts w:eastAsia="Times New Roman"/>
        </w:rPr>
        <w:t>THE COURT</w:t>
      </w:r>
      <w:r w:rsidRPr="00465D22" w:rsidR="00465D22">
        <w:rPr>
          <w:rFonts w:eastAsia="Times New Roman"/>
        </w:rPr>
        <w:t>’</w:t>
      </w:r>
      <w:r w:rsidRPr="00465D22">
        <w:rPr>
          <w:rFonts w:eastAsia="Times New Roman"/>
        </w:rPr>
        <w:t>S ASSESSMENT</w:t>
      </w:r>
    </w:p>
    <w:p w:rsidRPr="00465D22" w:rsidR="006A50A4" w:rsidP="00465D22" w14:paraId="7564C807" w14:textId="77777777">
      <w:pPr>
        <w:pStyle w:val="JuHIRoman"/>
        <w:numPr>
          <w:ilvl w:val="0"/>
          <w:numId w:val="0"/>
        </w:numPr>
        <w:ind w:left="369" w:hanging="369"/>
        <w:rPr>
          <w:rFonts w:eastAsia="Times New Roman"/>
        </w:rPr>
      </w:pPr>
      <w:r w:rsidRPr="00465D22">
        <w:rPr>
          <w:rFonts w:eastAsia="Times New Roman"/>
        </w:rPr>
        <w:t>ALLEGED VIOLATION OF ARTICLE 6 § 1 OF THE CONVENTION</w:t>
      </w:r>
    </w:p>
    <w:p w:rsidRPr="00465D22" w:rsidR="006A50A4" w:rsidP="00465D22" w14:paraId="0E047C09" w14:textId="6A894454">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13</w:t>
      </w:r>
      <w:r w:rsidRPr="00465D22">
        <w:rPr>
          <w:rFonts w:eastAsia="Times New Roman"/>
        </w:rPr>
        <w:fldChar w:fldCharType="end"/>
      </w:r>
      <w:r w:rsidRPr="00465D22">
        <w:rPr>
          <w:rFonts w:eastAsia="Times New Roman"/>
        </w:rPr>
        <w:t>.  At the outset, the Court finds that the applicant</w:t>
      </w:r>
      <w:r w:rsidRPr="00465D22" w:rsidR="00465D22">
        <w:rPr>
          <w:rFonts w:eastAsia="Times New Roman"/>
        </w:rPr>
        <w:t>’</w:t>
      </w:r>
      <w:r w:rsidRPr="00465D22">
        <w:rPr>
          <w:rFonts w:eastAsia="Times New Roman"/>
        </w:rPr>
        <w:t xml:space="preserve">s complaint falls to be examined under the civil limb of Article 6 § 1 of the Convention, the applicability of which was not contested by the Government (see, also for the general principles, </w:t>
      </w:r>
      <w:r w:rsidRPr="00465D22">
        <w:rPr>
          <w:rFonts w:eastAsia="Times New Roman"/>
          <w:i/>
          <w:iCs/>
        </w:rPr>
        <w:t>Jakutavičius</w:t>
      </w:r>
      <w:r w:rsidRPr="00465D22">
        <w:rPr>
          <w:rFonts w:eastAsia="Times New Roman"/>
        </w:rPr>
        <w:t>, cited above, §§ 54-60).</w:t>
      </w:r>
    </w:p>
    <w:p w:rsidRPr="00465D22" w:rsidR="006A50A4" w:rsidP="00465D22" w14:paraId="4D459E34" w14:textId="677F4CE0">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14</w:t>
      </w:r>
      <w:r w:rsidRPr="00465D22">
        <w:rPr>
          <w:rFonts w:eastAsia="Times New Roman"/>
        </w:rPr>
        <w:fldChar w:fldCharType="end"/>
      </w:r>
      <w:r w:rsidRPr="00465D22">
        <w:rPr>
          <w:rFonts w:eastAsia="Times New Roman"/>
        </w:rPr>
        <w:t>.  The Government argued that the applicant should have appealed against the Vilnius City District Court</w:t>
      </w:r>
      <w:r w:rsidRPr="00465D22" w:rsidR="00465D22">
        <w:rPr>
          <w:rFonts w:eastAsia="Times New Roman"/>
        </w:rPr>
        <w:t>’</w:t>
      </w:r>
      <w:r w:rsidRPr="00465D22">
        <w:rPr>
          <w:rFonts w:eastAsia="Times New Roman"/>
        </w:rPr>
        <w:t>s ruling of 7 November 2016 and should have asked that court for a referral to the Constitutional Court to examine the constitutionality of the provisions of the CALV. The Government further stated that after the Constitutional Court</w:t>
      </w:r>
      <w:r w:rsidRPr="00465D22" w:rsidR="00465D22">
        <w:rPr>
          <w:rFonts w:eastAsia="Times New Roman"/>
        </w:rPr>
        <w:t>’</w:t>
      </w:r>
      <w:r w:rsidRPr="00465D22">
        <w:rPr>
          <w:rFonts w:eastAsia="Times New Roman"/>
        </w:rPr>
        <w:t>s ruling of 19 March 2021, the applicant should have requested to re-open (on the basis of Article 658 of the Code of Administrative Offences, by lodging a request to the Supreme Court) the proceedings in the case of the administrative law violation that had ended with the Vilnius City District Court</w:t>
      </w:r>
      <w:r w:rsidRPr="00465D22" w:rsidR="00465D22">
        <w:rPr>
          <w:rFonts w:eastAsia="Times New Roman"/>
        </w:rPr>
        <w:t>’</w:t>
      </w:r>
      <w:r w:rsidRPr="00465D22">
        <w:rPr>
          <w:rFonts w:eastAsia="Times New Roman"/>
        </w:rPr>
        <w:t xml:space="preserve">s ruling of 7 November 2016, rather than addressing the Supreme Administrative Court. The Government also suggested that the applicant should have lodged a claim for damages based on unlawful actions of the State (in this case, the inaction of the </w:t>
      </w:r>
      <w:r w:rsidRPr="00465D22">
        <w:rPr>
          <w:rFonts w:eastAsia="Times New Roman"/>
          <w:i/>
          <w:iCs/>
        </w:rPr>
        <w:t>Seimas</w:t>
      </w:r>
      <w:r w:rsidRPr="00465D22">
        <w:rPr>
          <w:rFonts w:eastAsia="Times New Roman"/>
        </w:rPr>
        <w:t>).</w:t>
      </w:r>
    </w:p>
    <w:p w:rsidRPr="00465D22" w:rsidR="006A50A4" w:rsidP="00465D22" w14:paraId="5A53C69A" w14:textId="6594F370">
      <w:pPr>
        <w:pStyle w:val="JuPara"/>
        <w:rPr>
          <w:rFonts w:ascii="Times New Roman" w:hAnsi="Times New Roman" w:eastAsia="Times New Roman" w:cs="Times New Roman"/>
        </w:rPr>
      </w:pPr>
      <w:r w:rsidRPr="00465D22">
        <w:rPr>
          <w:rStyle w:val="JuParaChar"/>
        </w:rPr>
        <w:fldChar w:fldCharType="begin"/>
      </w:r>
      <w:r w:rsidRPr="00465D22">
        <w:rPr>
          <w:rStyle w:val="JuParaChar"/>
        </w:rPr>
        <w:instrText xml:space="preserve"> SEQ level0 \*arabic \* MERGEFORMAT </w:instrText>
      </w:r>
      <w:r w:rsidRPr="00465D22">
        <w:rPr>
          <w:rStyle w:val="JuParaChar"/>
        </w:rPr>
        <w:fldChar w:fldCharType="separate"/>
      </w:r>
      <w:r w:rsidRPr="00465D22" w:rsidR="00465D22">
        <w:rPr>
          <w:rStyle w:val="JuParaChar"/>
          <w:noProof/>
        </w:rPr>
        <w:t>15</w:t>
      </w:r>
      <w:r w:rsidRPr="00465D22">
        <w:rPr>
          <w:rStyle w:val="JuParaChar"/>
        </w:rPr>
        <w:fldChar w:fldCharType="end"/>
      </w:r>
      <w:r w:rsidRPr="00465D22">
        <w:rPr>
          <w:rStyle w:val="JuParaChar"/>
        </w:rPr>
        <w:t>.  The Court observes, however, that, when leaving the applicant</w:t>
      </w:r>
      <w:r w:rsidRPr="00465D22" w:rsidR="00465D22">
        <w:rPr>
          <w:rStyle w:val="JuParaChar"/>
        </w:rPr>
        <w:t>’</w:t>
      </w:r>
      <w:r w:rsidRPr="00465D22">
        <w:rPr>
          <w:rStyle w:val="JuParaChar"/>
        </w:rPr>
        <w:t xml:space="preserve">s request for costs unexamined by its ruling of 7 November 2016, the Vilnius City District Court pointed out that the applicant had a right to initiate court proceedings for compensation of damage (see paragraph </w:t>
      </w:r>
      <w:r w:rsidRPr="00465D22">
        <w:rPr>
          <w:rStyle w:val="JuParaChar"/>
        </w:rPr>
        <w:fldChar w:fldCharType="begin"/>
      </w:r>
      <w:r w:rsidRPr="00465D22">
        <w:rPr>
          <w:rStyle w:val="JuParaChar"/>
        </w:rPr>
        <w:instrText xml:space="preserve"> REF F_7Nov2016_VCDC_no_reimbursement_costs \h  \* MERGEFORMAT </w:instrText>
      </w:r>
      <w:r w:rsidRPr="00465D22">
        <w:rPr>
          <w:rStyle w:val="JuParaChar"/>
        </w:rPr>
        <w:fldChar w:fldCharType="separate"/>
      </w:r>
      <w:r w:rsidRPr="00465D22" w:rsidR="00465D22">
        <w:rPr>
          <w:rStyle w:val="JuParaChar"/>
        </w:rPr>
        <w:t>5</w:t>
      </w:r>
      <w:r w:rsidRPr="00465D22">
        <w:rPr>
          <w:rStyle w:val="JuParaChar"/>
        </w:rPr>
        <w:fldChar w:fldCharType="end"/>
      </w:r>
      <w:r w:rsidRPr="00465D22">
        <w:rPr>
          <w:rStyle w:val="JuParaChar"/>
        </w:rPr>
        <w:t xml:space="preserve"> above). The Court also notes that, under Lithuanian law, the parties</w:t>
      </w:r>
      <w:r w:rsidRPr="00465D22" w:rsidR="00465D22">
        <w:rPr>
          <w:rStyle w:val="JuParaChar"/>
        </w:rPr>
        <w:t>’</w:t>
      </w:r>
      <w:r w:rsidRPr="00465D22">
        <w:rPr>
          <w:rStyle w:val="JuParaChar"/>
        </w:rPr>
        <w:t xml:space="preserve"> request to a court of general jurisdiction or administrative court to make a referral to the Constitutional Court for interpretation does not bind the court of general jurisdiction or administrative court (see paragraph </w:t>
      </w:r>
      <w:r w:rsidRPr="00465D22">
        <w:rPr>
          <w:rStyle w:val="JuParaChar"/>
        </w:rPr>
        <w:fldChar w:fldCharType="begin"/>
      </w:r>
      <w:r w:rsidRPr="00465D22">
        <w:rPr>
          <w:rStyle w:val="JuParaChar"/>
        </w:rPr>
        <w:instrText xml:space="preserve"> REF F_24Oct2017_VRAC_dismissed_apps_req_2CC \h  \* MERGEFORMAT </w:instrText>
      </w:r>
      <w:r w:rsidRPr="00465D22">
        <w:rPr>
          <w:rStyle w:val="JuParaChar"/>
        </w:rPr>
        <w:fldChar w:fldCharType="separate"/>
      </w:r>
      <w:r w:rsidRPr="00465D22" w:rsidR="00465D22">
        <w:rPr>
          <w:rStyle w:val="JuParaChar"/>
        </w:rPr>
        <w:t>7</w:t>
      </w:r>
      <w:r w:rsidRPr="00465D22">
        <w:rPr>
          <w:rStyle w:val="JuParaChar"/>
        </w:rPr>
        <w:fldChar w:fldCharType="end"/>
      </w:r>
      <w:r w:rsidRPr="00465D22">
        <w:rPr>
          <w:rStyle w:val="JuParaChar"/>
        </w:rPr>
        <w:t xml:space="preserve"> above). It further observes that the right to an individual constitutional complaint came into effect only on 1 September 2019 (see </w:t>
      </w:r>
      <w:bookmarkStart w:name="_cl40735SUBJECTMATTEROFTHECASE" w:id="11"/>
      <w:r w:rsidRPr="00465D22">
        <w:rPr>
          <w:rStyle w:val="JuParaChar"/>
          <w:i/>
          <w:iCs/>
        </w:rPr>
        <w:t>Ancient Baltic religious association “Romuva” v. Lithuania</w:t>
      </w:r>
      <w:bookmarkEnd w:id="11"/>
      <w:r w:rsidRPr="00465D22">
        <w:rPr>
          <w:rStyle w:val="JuParaChar"/>
        </w:rPr>
        <w:t xml:space="preserve">, no. 48329/19, § 39, 8 June 2021). Article 65 § 2 of the Law on the Constitutional Court of the Republic of Lithuania provides that a person shall have the right to file a petition with the Constitutional Court for an investigation into the compliance of laws or other acts of the Seimas, the acts of the President of the Republic, or the acts of the Government with the Constitution or laws if: 1) a decision adopted on the basis of these acts has violated the constitutional rights or freedoms of the person, and 2) the person has exhausted all remedies provided for by law for defending his constitutional rights or freedoms, including the right to apply to a court, and, after all possibilities established by law for filing a complaint against the decision of the court have been exhausted, the final and non-appealable decision is adopted by the court, and 3) not more than four months have passed from the day that the court decision referred to in Item 2 of this </w:t>
      </w:r>
      <w:r w:rsidRPr="00465D22">
        <w:t>paragraph came into force. In this regard the Court notes that the Vilnius City District Court</w:t>
      </w:r>
      <w:r w:rsidRPr="00465D22" w:rsidR="00465D22">
        <w:t>’</w:t>
      </w:r>
      <w:r w:rsidRPr="00465D22">
        <w:t xml:space="preserve">s ruling of 7 November 2016 was not appealed against (see paragraph </w:t>
      </w:r>
      <w:r w:rsidRPr="00465D22">
        <w:fldChar w:fldCharType="begin"/>
      </w:r>
      <w:r w:rsidRPr="00465D22">
        <w:instrText xml:space="preserve"> REF F_7Nov2016_VCDC_no_reimbursement_costs \h  \* MERGEFORMAT </w:instrText>
      </w:r>
      <w:r w:rsidRPr="00465D22">
        <w:fldChar w:fldCharType="separate"/>
      </w:r>
      <w:r w:rsidRPr="00465D22" w:rsidR="00465D22">
        <w:t>5</w:t>
      </w:r>
      <w:r w:rsidRPr="00465D22">
        <w:fldChar w:fldCharType="end"/>
      </w:r>
      <w:r w:rsidRPr="00465D22">
        <w:t xml:space="preserve"> above). The </w:t>
      </w:r>
      <w:r w:rsidRPr="00465D22">
        <w:rPr>
          <w:rFonts w:ascii="Times New Roman" w:hAnsi="Times New Roman" w:eastAsia="Times New Roman" w:cs="Times New Roman"/>
        </w:rPr>
        <w:t>Constitutional Court had accepted the applicant</w:t>
      </w:r>
      <w:r w:rsidRPr="00465D22" w:rsidR="00465D22">
        <w:rPr>
          <w:rFonts w:ascii="Times New Roman" w:hAnsi="Times New Roman" w:eastAsia="Times New Roman" w:cs="Times New Roman"/>
        </w:rPr>
        <w:t>’</w:t>
      </w:r>
      <w:r w:rsidRPr="00465D22">
        <w:rPr>
          <w:rFonts w:ascii="Times New Roman" w:hAnsi="Times New Roman" w:eastAsia="Times New Roman" w:cs="Times New Roman"/>
        </w:rPr>
        <w:t>s individual constitutional complaint for examination after the Supreme Administrative Court</w:t>
      </w:r>
      <w:r w:rsidRPr="00465D22" w:rsidR="00465D22">
        <w:rPr>
          <w:rFonts w:ascii="Times New Roman" w:hAnsi="Times New Roman" w:eastAsia="Times New Roman" w:cs="Times New Roman"/>
        </w:rPr>
        <w:t>’</w:t>
      </w:r>
      <w:r w:rsidRPr="00465D22">
        <w:rPr>
          <w:rFonts w:ascii="Times New Roman" w:hAnsi="Times New Roman" w:eastAsia="Times New Roman" w:cs="Times New Roman"/>
        </w:rPr>
        <w:t>s final and non-appealable ruling of 29 October 2019, wherein the applicant</w:t>
      </w:r>
      <w:r w:rsidRPr="00465D22" w:rsidR="00465D22">
        <w:rPr>
          <w:rFonts w:ascii="Times New Roman" w:hAnsi="Times New Roman" w:eastAsia="Times New Roman" w:cs="Times New Roman"/>
        </w:rPr>
        <w:t>’</w:t>
      </w:r>
      <w:r w:rsidRPr="00465D22">
        <w:rPr>
          <w:rFonts w:ascii="Times New Roman" w:hAnsi="Times New Roman" w:eastAsia="Times New Roman" w:cs="Times New Roman"/>
        </w:rPr>
        <w:t xml:space="preserve">s claim for damage was dismissed (see paragraphs </w:t>
      </w:r>
      <w:r w:rsidRPr="00465D22">
        <w:rPr>
          <w:rFonts w:ascii="Times New Roman" w:hAnsi="Times New Roman" w:eastAsia="Times New Roman" w:cs="Times New Roman"/>
        </w:rPr>
        <w:fldChar w:fldCharType="begin"/>
      </w:r>
      <w:r w:rsidRPr="00465D22">
        <w:rPr>
          <w:rFonts w:ascii="Times New Roman" w:hAnsi="Times New Roman" w:eastAsia="Times New Roman" w:cs="Times New Roman"/>
        </w:rPr>
        <w:instrText xml:space="preserve"> REF F_29Oct2019_SAC_upholds_VRAC_decision \h  \* MERGEFORMAT </w:instrText>
      </w:r>
      <w:r w:rsidRPr="00465D22">
        <w:rPr>
          <w:rFonts w:ascii="Times New Roman" w:hAnsi="Times New Roman" w:eastAsia="Times New Roman" w:cs="Times New Roman"/>
        </w:rPr>
        <w:fldChar w:fldCharType="separate"/>
      </w:r>
      <w:r w:rsidRPr="00465D22" w:rsidR="00465D22">
        <w:rPr>
          <w:rFonts w:ascii="Times New Roman" w:hAnsi="Times New Roman" w:eastAsia="Times New Roman" w:cs="Times New Roman"/>
        </w:rPr>
        <w:t>8</w:t>
      </w:r>
      <w:r w:rsidRPr="00465D22">
        <w:rPr>
          <w:rFonts w:ascii="Times New Roman" w:hAnsi="Times New Roman" w:eastAsia="Times New Roman" w:cs="Times New Roman"/>
        </w:rPr>
        <w:fldChar w:fldCharType="end"/>
      </w:r>
      <w:r w:rsidRPr="00465D22">
        <w:rPr>
          <w:rFonts w:ascii="Times New Roman" w:hAnsi="Times New Roman" w:eastAsia="Times New Roman" w:cs="Times New Roman"/>
        </w:rPr>
        <w:t xml:space="preserve"> and </w:t>
      </w:r>
      <w:r w:rsidRPr="00465D22">
        <w:rPr>
          <w:rFonts w:ascii="Times New Roman" w:hAnsi="Times New Roman" w:eastAsia="Times New Roman" w:cs="Times New Roman"/>
        </w:rPr>
        <w:fldChar w:fldCharType="begin"/>
      </w:r>
      <w:r w:rsidRPr="00465D22">
        <w:rPr>
          <w:rFonts w:ascii="Times New Roman" w:hAnsi="Times New Roman" w:eastAsia="Times New Roman" w:cs="Times New Roman"/>
        </w:rPr>
        <w:instrText xml:space="preserve"> REF F_Const_Court_ruling_19_March_2021 \h  \* CharFormat  \* MERGEFORMAT </w:instrText>
      </w:r>
      <w:r w:rsidRPr="00465D22">
        <w:rPr>
          <w:rFonts w:ascii="Times New Roman" w:hAnsi="Times New Roman" w:eastAsia="Times New Roman" w:cs="Times New Roman"/>
        </w:rPr>
        <w:fldChar w:fldCharType="separate"/>
      </w:r>
      <w:r w:rsidRPr="00465D22" w:rsidR="00465D22">
        <w:rPr>
          <w:rFonts w:ascii="Times New Roman" w:hAnsi="Times New Roman" w:eastAsia="Times New Roman" w:cs="Times New Roman"/>
        </w:rPr>
        <w:t>9</w:t>
      </w:r>
      <w:r w:rsidRPr="00465D22">
        <w:rPr>
          <w:rFonts w:ascii="Times New Roman" w:hAnsi="Times New Roman" w:eastAsia="Times New Roman" w:cs="Times New Roman"/>
        </w:rPr>
        <w:fldChar w:fldCharType="end"/>
      </w:r>
      <w:r w:rsidRPr="00465D22">
        <w:rPr>
          <w:rFonts w:ascii="Times New Roman" w:hAnsi="Times New Roman" w:eastAsia="Times New Roman" w:cs="Times New Roman"/>
        </w:rPr>
        <w:t xml:space="preserve"> above). In the Court</w:t>
      </w:r>
      <w:r w:rsidRPr="00465D22" w:rsidR="00465D22">
        <w:rPr>
          <w:rFonts w:ascii="Times New Roman" w:hAnsi="Times New Roman" w:eastAsia="Times New Roman" w:cs="Times New Roman"/>
        </w:rPr>
        <w:t>’</w:t>
      </w:r>
      <w:r w:rsidRPr="00465D22">
        <w:rPr>
          <w:rFonts w:ascii="Times New Roman" w:hAnsi="Times New Roman" w:eastAsia="Times New Roman" w:cs="Times New Roman"/>
        </w:rPr>
        <w:t>s assessment, the above sequence of events in a present case could have given the applicant reasonable grounds to perceive that the proceedings in the Constitutional Court were the continuation of his litigation in the administrative courts, rather than in the court of general jurisdiction, where the decision had been reached on 7 November 2016, and that, therefore, when seeking compensation for damage, he should request the re-opening of the administrative court proceedings, which he did (see paragraphs </w:t>
      </w:r>
      <w:r w:rsidRPr="00465D22">
        <w:rPr>
          <w:rFonts w:ascii="Times New Roman" w:hAnsi="Times New Roman" w:eastAsia="Times New Roman" w:cs="Times New Roman"/>
        </w:rPr>
        <w:fldChar w:fldCharType="begin"/>
      </w:r>
      <w:r w:rsidRPr="00465D22">
        <w:rPr>
          <w:rFonts w:ascii="Times New Roman" w:hAnsi="Times New Roman" w:eastAsia="Times New Roman" w:cs="Times New Roman"/>
        </w:rPr>
        <w:instrText xml:space="preserve"> REF F_App_asks_2reopen_adm_cp_after_CC \h  \* CharFormat  \* MERGEFORMAT </w:instrText>
      </w:r>
      <w:r w:rsidRPr="00465D22">
        <w:rPr>
          <w:rFonts w:ascii="Times New Roman" w:hAnsi="Times New Roman" w:eastAsia="Times New Roman" w:cs="Times New Roman"/>
        </w:rPr>
        <w:fldChar w:fldCharType="separate"/>
      </w:r>
      <w:r w:rsidRPr="00465D22" w:rsidR="00465D22">
        <w:rPr>
          <w:rFonts w:ascii="Times New Roman" w:hAnsi="Times New Roman" w:eastAsia="Times New Roman" w:cs="Times New Roman"/>
        </w:rPr>
        <w:t>10</w:t>
      </w:r>
      <w:r w:rsidRPr="00465D22">
        <w:rPr>
          <w:rFonts w:ascii="Times New Roman" w:hAnsi="Times New Roman" w:eastAsia="Times New Roman" w:cs="Times New Roman"/>
        </w:rPr>
        <w:fldChar w:fldCharType="end"/>
      </w:r>
      <w:r w:rsidRPr="00465D22">
        <w:rPr>
          <w:rFonts w:ascii="Times New Roman" w:hAnsi="Times New Roman" w:eastAsia="Times New Roman" w:cs="Times New Roman"/>
        </w:rPr>
        <w:t>-</w:t>
      </w:r>
      <w:r w:rsidRPr="00465D22">
        <w:rPr>
          <w:rFonts w:ascii="Times New Roman" w:hAnsi="Times New Roman" w:eastAsia="Times New Roman" w:cs="Times New Roman"/>
        </w:rPr>
        <w:fldChar w:fldCharType="begin"/>
      </w:r>
      <w:r w:rsidRPr="00465D22">
        <w:rPr>
          <w:rFonts w:ascii="Times New Roman" w:hAnsi="Times New Roman" w:eastAsia="Times New Roman" w:cs="Times New Roman"/>
        </w:rPr>
        <w:instrText xml:space="preserve"> REF F_2021_SAC_rejects_apps_claim_after_CC \h  \* MERGEFORMAT </w:instrText>
      </w:r>
      <w:r w:rsidRPr="00465D22">
        <w:rPr>
          <w:rFonts w:ascii="Times New Roman" w:hAnsi="Times New Roman" w:eastAsia="Times New Roman" w:cs="Times New Roman"/>
        </w:rPr>
        <w:fldChar w:fldCharType="separate"/>
      </w:r>
      <w:r w:rsidRPr="00465D22" w:rsidR="00465D22">
        <w:rPr>
          <w:rFonts w:ascii="Times New Roman" w:hAnsi="Times New Roman" w:eastAsia="Times New Roman" w:cs="Times New Roman"/>
        </w:rPr>
        <w:t>11</w:t>
      </w:r>
      <w:r w:rsidRPr="00465D22">
        <w:rPr>
          <w:rFonts w:ascii="Times New Roman" w:hAnsi="Times New Roman" w:eastAsia="Times New Roman" w:cs="Times New Roman"/>
        </w:rPr>
        <w:fldChar w:fldCharType="end"/>
      </w:r>
      <w:r w:rsidRPr="00465D22">
        <w:rPr>
          <w:rFonts w:ascii="Times New Roman" w:hAnsi="Times New Roman" w:eastAsia="Times New Roman" w:cs="Times New Roman"/>
        </w:rPr>
        <w:t xml:space="preserve"> above).</w:t>
      </w:r>
    </w:p>
    <w:p w:rsidRPr="00465D22" w:rsidR="006A50A4" w:rsidP="00465D22" w14:paraId="4B0CE32F" w14:textId="66CE1237">
      <w:pPr>
        <w:pStyle w:val="JuPara"/>
      </w:pPr>
      <w:r w:rsidRPr="00465D22">
        <w:rPr>
          <w:rFonts w:ascii="Times New Roman" w:hAnsi="Times New Roman" w:eastAsia="Times New Roman" w:cs="Times New Roman"/>
        </w:rPr>
        <w:fldChar w:fldCharType="begin"/>
      </w:r>
      <w:r w:rsidRPr="00465D22">
        <w:rPr>
          <w:rFonts w:ascii="Times New Roman" w:hAnsi="Times New Roman" w:eastAsia="Times New Roman" w:cs="Times New Roman"/>
        </w:rPr>
        <w:instrText xml:space="preserve"> SEQ level0 \*arabic \* MERGEFORMAT </w:instrText>
      </w:r>
      <w:r w:rsidRPr="00465D22">
        <w:rPr>
          <w:rFonts w:ascii="Times New Roman" w:hAnsi="Times New Roman" w:eastAsia="Times New Roman" w:cs="Times New Roman"/>
        </w:rPr>
        <w:fldChar w:fldCharType="separate"/>
      </w:r>
      <w:r w:rsidRPr="00465D22" w:rsidR="00465D22">
        <w:rPr>
          <w:rFonts w:ascii="Times New Roman" w:hAnsi="Times New Roman" w:eastAsia="Times New Roman" w:cs="Times New Roman"/>
          <w:noProof/>
        </w:rPr>
        <w:t>16</w:t>
      </w:r>
      <w:r w:rsidRPr="00465D22">
        <w:rPr>
          <w:rFonts w:ascii="Times New Roman" w:hAnsi="Times New Roman" w:eastAsia="Times New Roman" w:cs="Times New Roman"/>
        </w:rPr>
        <w:fldChar w:fldCharType="end"/>
      </w:r>
      <w:r w:rsidRPr="00465D22">
        <w:rPr>
          <w:rFonts w:ascii="Times New Roman" w:hAnsi="Times New Roman" w:eastAsia="Times New Roman" w:cs="Times New Roman"/>
        </w:rPr>
        <w:t>.  Lastly, given that the applicant had pursued proceedings for damages as a remedy (see paragraph </w:t>
      </w:r>
      <w:r w:rsidRPr="00465D22">
        <w:rPr>
          <w:rFonts w:ascii="Times New Roman" w:hAnsi="Times New Roman" w:eastAsia="Times New Roman" w:cs="Times New Roman"/>
        </w:rPr>
        <w:fldChar w:fldCharType="begin"/>
      </w:r>
      <w:r w:rsidRPr="00465D22">
        <w:rPr>
          <w:rFonts w:ascii="Times New Roman" w:hAnsi="Times New Roman" w:eastAsia="Times New Roman" w:cs="Times New Roman"/>
        </w:rPr>
        <w:instrText xml:space="preserve"> REF F_App_starts_court_proceedings_4damage \h </w:instrText>
      </w:r>
      <w:r w:rsidRPr="00465D22" w:rsidR="00A96A5A">
        <w:rPr>
          <w:rFonts w:ascii="Times New Roman" w:hAnsi="Times New Roman" w:eastAsia="Times New Roman" w:cs="Times New Roman"/>
        </w:rPr>
        <w:instrText xml:space="preserve"> \* MERGEFORMAT </w:instrText>
      </w:r>
      <w:r w:rsidRPr="00465D22">
        <w:rPr>
          <w:rFonts w:ascii="Times New Roman" w:hAnsi="Times New Roman" w:eastAsia="Times New Roman" w:cs="Times New Roman"/>
        </w:rPr>
        <w:fldChar w:fldCharType="separate"/>
      </w:r>
      <w:r w:rsidRPr="00465D22" w:rsidR="00465D22">
        <w:rPr>
          <w:rFonts w:ascii="Times New Roman" w:hAnsi="Times New Roman" w:eastAsia="Times New Roman" w:cs="Times New Roman"/>
          <w:noProof/>
        </w:rPr>
        <w:t>6</w:t>
      </w:r>
      <w:r w:rsidRPr="00465D22">
        <w:rPr>
          <w:rFonts w:ascii="Times New Roman" w:hAnsi="Times New Roman" w:eastAsia="Times New Roman" w:cs="Times New Roman"/>
        </w:rPr>
        <w:fldChar w:fldCharType="end"/>
      </w:r>
      <w:r w:rsidRPr="00465D22">
        <w:rPr>
          <w:rFonts w:ascii="Times New Roman" w:hAnsi="Times New Roman" w:eastAsia="Times New Roman" w:cs="Times New Roman"/>
        </w:rPr>
        <w:t xml:space="preserve"> above) the Court rejects the Government</w:t>
      </w:r>
      <w:r w:rsidRPr="00465D22" w:rsidR="00465D22">
        <w:rPr>
          <w:rFonts w:ascii="Times New Roman" w:hAnsi="Times New Roman" w:eastAsia="Times New Roman" w:cs="Times New Roman"/>
        </w:rPr>
        <w:t>’</w:t>
      </w:r>
      <w:r w:rsidRPr="00465D22">
        <w:rPr>
          <w:rFonts w:ascii="Times New Roman" w:hAnsi="Times New Roman" w:eastAsia="Times New Roman" w:cs="Times New Roman"/>
        </w:rPr>
        <w:t xml:space="preserve">s suggestion that the applicant should have alternatively pursued separate court proceedings seeking compensation, based on alleged inaction of the </w:t>
      </w:r>
      <w:r w:rsidRPr="00465D22">
        <w:rPr>
          <w:rFonts w:ascii="Times New Roman" w:hAnsi="Times New Roman" w:eastAsia="Times New Roman" w:cs="Times New Roman"/>
          <w:i/>
          <w:iCs/>
        </w:rPr>
        <w:t>Seimas</w:t>
      </w:r>
      <w:r w:rsidRPr="00465D22">
        <w:rPr>
          <w:rFonts w:ascii="Times New Roman" w:hAnsi="Times New Roman" w:eastAsia="Times New Roman" w:cs="Times New Roman"/>
        </w:rPr>
        <w:t>.</w:t>
      </w:r>
      <w:r w:rsidRPr="00465D22">
        <w:t xml:space="preserve"> </w:t>
      </w:r>
      <w:r w:rsidRPr="00465D22">
        <w:rPr>
          <w:rFonts w:ascii="Times New Roman" w:hAnsi="Times New Roman" w:eastAsia="Times New Roman" w:cs="Times New Roman"/>
        </w:rPr>
        <w:t xml:space="preserve">In this respect, the Court recalls that, where several remedies are available, the applicant is not required to pursue more than one (see </w:t>
      </w:r>
      <w:bookmarkStart w:name="_cl28767SUBJECTMATTEROFTHECASE" w:id="12"/>
      <w:r w:rsidRPr="00465D22">
        <w:rPr>
          <w:rFonts w:eastAsia="Times New Roman"/>
          <w:i/>
          <w:iCs/>
        </w:rPr>
        <w:t>Karakó v. Hungary</w:t>
      </w:r>
      <w:bookmarkEnd w:id="12"/>
      <w:r w:rsidRPr="00465D22">
        <w:rPr>
          <w:rFonts w:eastAsia="Times New Roman"/>
        </w:rPr>
        <w:t>, no. 39311/05, § 14, 28 April 2009</w:t>
      </w:r>
      <w:r w:rsidRPr="00465D22">
        <w:t>).</w:t>
      </w:r>
    </w:p>
    <w:p w:rsidRPr="00465D22" w:rsidR="006A50A4" w:rsidP="00465D22" w14:paraId="2FE8A812" w14:textId="06069E0D">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17</w:t>
      </w:r>
      <w:r w:rsidRPr="00465D22">
        <w:rPr>
          <w:rFonts w:eastAsia="Times New Roman"/>
        </w:rPr>
        <w:fldChar w:fldCharType="end"/>
      </w:r>
      <w:r w:rsidRPr="00465D22">
        <w:rPr>
          <w:rFonts w:eastAsia="Times New Roman"/>
        </w:rPr>
        <w:t>.  In the light of the above, and having regard to the material in its possession and the parties</w:t>
      </w:r>
      <w:r w:rsidRPr="00465D22" w:rsidR="00465D22">
        <w:rPr>
          <w:rFonts w:eastAsia="Times New Roman"/>
        </w:rPr>
        <w:t>’</w:t>
      </w:r>
      <w:r w:rsidRPr="00465D22">
        <w:rPr>
          <w:rFonts w:eastAsia="Times New Roman"/>
        </w:rPr>
        <w:t xml:space="preserve"> arguments, the Court thus dismisses the Government</w:t>
      </w:r>
      <w:r w:rsidRPr="00465D22" w:rsidR="00465D22">
        <w:rPr>
          <w:rFonts w:eastAsia="Times New Roman"/>
        </w:rPr>
        <w:t>’</w:t>
      </w:r>
      <w:r w:rsidRPr="00465D22">
        <w:rPr>
          <w:rFonts w:eastAsia="Times New Roman"/>
        </w:rPr>
        <w:t>s objection that the applicant had failed to properly raise the Article 6 § 1 complaint in the domestic courts.</w:t>
      </w:r>
    </w:p>
    <w:p w:rsidRPr="00465D22" w:rsidR="006A50A4" w:rsidP="00465D22" w14:paraId="0B847A4E" w14:textId="528561B0">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18</w:t>
      </w:r>
      <w:r w:rsidRPr="00465D22">
        <w:rPr>
          <w:rFonts w:eastAsia="Times New Roman"/>
        </w:rPr>
        <w:fldChar w:fldCharType="end"/>
      </w:r>
      <w:r w:rsidRPr="00465D22">
        <w:rPr>
          <w:rFonts w:eastAsia="Times New Roman"/>
        </w:rPr>
        <w:t>.  The Court further notes that this complaint is not manifestly ill</w:t>
      </w:r>
      <w:r w:rsidRPr="00465D22" w:rsidR="008C5067">
        <w:rPr>
          <w:rFonts w:eastAsia="Times New Roman"/>
        </w:rPr>
        <w:noBreakHyphen/>
      </w:r>
      <w:r w:rsidRPr="00465D22">
        <w:rPr>
          <w:rFonts w:eastAsia="Times New Roman"/>
        </w:rPr>
        <w:t>founded within the meaning of Article 35 § 3 (a) of the Convention or inadmissible on any other grounds. It must therefore be declared admissible.</w:t>
      </w:r>
    </w:p>
    <w:p w:rsidRPr="00465D22" w:rsidR="006A50A4" w:rsidP="00465D22" w14:paraId="7454CBEA" w14:textId="70AD6A0F">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19</w:t>
      </w:r>
      <w:r w:rsidRPr="00465D22">
        <w:rPr>
          <w:rFonts w:eastAsia="Times New Roman"/>
        </w:rPr>
        <w:fldChar w:fldCharType="end"/>
      </w:r>
      <w:r w:rsidRPr="00465D22">
        <w:rPr>
          <w:rFonts w:eastAsia="Times New Roman"/>
        </w:rPr>
        <w:t xml:space="preserve">.  The general principles on the right of access to a court were summarised in </w:t>
      </w:r>
      <w:r w:rsidRPr="00465D22">
        <w:rPr>
          <w:rFonts w:eastAsia="Times New Roman"/>
          <w:i/>
          <w:iCs/>
        </w:rPr>
        <w:t>Zubac v. Croatia</w:t>
      </w:r>
      <w:r w:rsidRPr="00465D22">
        <w:rPr>
          <w:rFonts w:eastAsia="Times New Roman"/>
        </w:rPr>
        <w:t xml:space="preserve"> ([GC], no. 40160/12, §§ 76-79, 5 April 2018, and the cases cited therein). In particular, limitations to the right of access to court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(ibid., § 78).</w:t>
      </w:r>
    </w:p>
    <w:p w:rsidRPr="00465D22" w:rsidR="006A50A4" w:rsidP="00465D22" w14:paraId="741FB815" w14:textId="67DCC241">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20</w:t>
      </w:r>
      <w:r w:rsidRPr="00465D22">
        <w:rPr>
          <w:rFonts w:eastAsia="Times New Roman"/>
        </w:rPr>
        <w:fldChar w:fldCharType="end"/>
      </w:r>
      <w:r w:rsidRPr="00465D22">
        <w:rPr>
          <w:rFonts w:eastAsia="Times New Roman"/>
        </w:rPr>
        <w:t xml:space="preserve">.  The Court considers that the obligation for the applicant to bear the costs of his legal defence and his other expenses incurred in the proceedings, despite having obtained a court decision in his favour, amounted to a restriction on his right of access to a court, which pursued the legitimate aim to limit State expenses (compare also </w:t>
      </w:r>
      <w:r w:rsidRPr="00465D22">
        <w:rPr>
          <w:rFonts w:eastAsia="Times New Roman"/>
          <w:i/>
          <w:iCs/>
        </w:rPr>
        <w:t>Černius and Rinkevičius v. Lithuania</w:t>
      </w:r>
      <w:r w:rsidRPr="00465D22">
        <w:rPr>
          <w:rFonts w:eastAsia="Times New Roman"/>
        </w:rPr>
        <w:t>, nos. 73579/17 and 14620/18, §§ 68-69, 18 February 2020</w:t>
      </w:r>
      <w:r w:rsidRPr="00465D22">
        <w:t xml:space="preserve">, </w:t>
      </w:r>
      <w:r w:rsidRPr="00465D22">
        <w:rPr>
          <w:rFonts w:eastAsia="Times New Roman"/>
        </w:rPr>
        <w:t xml:space="preserve">and </w:t>
      </w:r>
      <w:r w:rsidRPr="00465D22">
        <w:rPr>
          <w:rFonts w:eastAsia="Times New Roman"/>
          <w:i/>
          <w:iCs/>
        </w:rPr>
        <w:t>Jakutavičius</w:t>
      </w:r>
      <w:r w:rsidRPr="00465D22">
        <w:rPr>
          <w:rFonts w:eastAsia="Times New Roman"/>
        </w:rPr>
        <w:t>, cited above, §§ 76-79).</w:t>
      </w:r>
    </w:p>
    <w:p w:rsidRPr="00465D22" w:rsidR="006A50A4" w:rsidP="00465D22" w14:paraId="3253190D" w14:textId="0F75B106">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21</w:t>
      </w:r>
      <w:r w:rsidRPr="00465D22">
        <w:rPr>
          <w:rFonts w:eastAsia="Times New Roman"/>
        </w:rPr>
        <w:fldChar w:fldCharType="end"/>
      </w:r>
      <w:r w:rsidRPr="00465D22">
        <w:rPr>
          <w:rFonts w:eastAsia="Times New Roman"/>
        </w:rPr>
        <w:t xml:space="preserve">.  As to the proportionality of that interference with the right of access to court, the Court firstly finds that the circumstances of the present case are to be distinguished from those in </w:t>
      </w:r>
      <w:r w:rsidRPr="00465D22">
        <w:rPr>
          <w:rFonts w:eastAsia="Times New Roman"/>
          <w:i/>
          <w:iCs/>
        </w:rPr>
        <w:t>Jakutavičius</w:t>
      </w:r>
      <w:r w:rsidRPr="00465D22">
        <w:rPr>
          <w:rFonts w:eastAsia="Times New Roman"/>
        </w:rPr>
        <w:t xml:space="preserve"> (cited above, §§ 6 and 84), where the Court found that the applicant</w:t>
      </w:r>
      <w:r w:rsidRPr="00465D22" w:rsidR="00465D22">
        <w:rPr>
          <w:rFonts w:eastAsia="Times New Roman"/>
        </w:rPr>
        <w:t>’</w:t>
      </w:r>
      <w:r w:rsidRPr="00465D22">
        <w:rPr>
          <w:rFonts w:eastAsia="Times New Roman"/>
        </w:rPr>
        <w:t>s own actions had substantially contributed to the decision of the police to fine him (see paragraphs </w:t>
      </w:r>
      <w:r w:rsidRPr="00465D22">
        <w:rPr>
          <w:rFonts w:eastAsia="Times New Roman"/>
        </w:rPr>
        <w:fldChar w:fldCharType="begin"/>
      </w:r>
      <w:r w:rsidRPr="00465D22">
        <w:rPr>
          <w:rFonts w:eastAsia="Times New Roman"/>
        </w:rPr>
        <w:instrText xml:space="preserve"> REF F_6Feb2016_applicant_stopped_by_police \h </w:instrText>
      </w:r>
      <w:r w:rsidRPr="00465D22" w:rsidR="00A96A5A">
        <w:rPr>
          <w:rFonts w:eastAsia="Times New Roman"/>
        </w:rPr>
        <w:instrText xml:space="preserve"> \* MERGEFORMAT </w:instrText>
      </w:r>
      <w:r w:rsidRPr="00465D22">
        <w:rPr>
          <w:rFonts w:eastAsia="Times New Roman"/>
        </w:rPr>
        <w:fldChar w:fldCharType="separate"/>
      </w:r>
      <w:r w:rsidRPr="00465D22" w:rsidR="00465D22">
        <w:rPr>
          <w:rFonts w:eastAsia="Times New Roman"/>
          <w:noProof/>
        </w:rPr>
        <w:t>2</w:t>
      </w:r>
      <w:r w:rsidRPr="00465D22">
        <w:rPr>
          <w:rFonts w:eastAsia="Times New Roman"/>
        </w:rPr>
        <w:fldChar w:fldCharType="end"/>
      </w:r>
      <w:r w:rsidRPr="00465D22">
        <w:rPr>
          <w:rFonts w:eastAsia="Times New Roman"/>
        </w:rPr>
        <w:t>-</w:t>
      </w:r>
      <w:r w:rsidRPr="00465D22">
        <w:rPr>
          <w:rFonts w:eastAsia="Times New Roman"/>
        </w:rPr>
        <w:fldChar w:fldCharType="begin"/>
      </w:r>
      <w:r w:rsidRPr="00465D22">
        <w:rPr>
          <w:rFonts w:eastAsia="Times New Roman"/>
        </w:rPr>
        <w:instrText xml:space="preserve"> REF F_7Nov2016_VCDC_discontinues_adm_case \h </w:instrText>
      </w:r>
      <w:r w:rsidRPr="00465D22" w:rsidR="00A96A5A">
        <w:rPr>
          <w:rFonts w:eastAsia="Times New Roman"/>
        </w:rPr>
        <w:instrText xml:space="preserve"> \* MERGEFORMAT </w:instrText>
      </w:r>
      <w:r w:rsidRPr="00465D22">
        <w:rPr>
          <w:rFonts w:eastAsia="Times New Roman"/>
        </w:rPr>
        <w:fldChar w:fldCharType="separate"/>
      </w:r>
      <w:r w:rsidRPr="00465D22" w:rsidR="00465D22">
        <w:rPr>
          <w:rFonts w:eastAsia="Times New Roman"/>
          <w:noProof/>
        </w:rPr>
        <w:t>4</w:t>
      </w:r>
      <w:r w:rsidRPr="00465D22">
        <w:rPr>
          <w:rFonts w:eastAsia="Times New Roman"/>
        </w:rPr>
        <w:fldChar w:fldCharType="end"/>
      </w:r>
      <w:r w:rsidRPr="00465D22">
        <w:rPr>
          <w:rFonts w:eastAsia="Times New Roman"/>
        </w:rPr>
        <w:t xml:space="preserve"> above). In the present case the applicant was stopped in a stop and search context, rather than having attracted the police officers</w:t>
      </w:r>
      <w:r w:rsidRPr="00465D22" w:rsidR="00465D22">
        <w:rPr>
          <w:rFonts w:eastAsia="Times New Roman"/>
        </w:rPr>
        <w:t>’</w:t>
      </w:r>
      <w:r w:rsidRPr="00465D22">
        <w:rPr>
          <w:rFonts w:eastAsia="Times New Roman"/>
        </w:rPr>
        <w:t xml:space="preserve"> attention by seemingly unorderly behaviour; he had consistently refuted the charge of driving under the influence of alcohol (contrast </w:t>
      </w:r>
      <w:r w:rsidRPr="00465D22">
        <w:rPr>
          <w:rFonts w:eastAsia="Times New Roman"/>
          <w:i/>
          <w:iCs/>
        </w:rPr>
        <w:t>Jakutavičius</w:t>
      </w:r>
      <w:r w:rsidRPr="00465D22">
        <w:rPr>
          <w:rFonts w:eastAsia="Times New Roman"/>
        </w:rPr>
        <w:t>, cited above, § 7).</w:t>
      </w:r>
    </w:p>
    <w:p w:rsidRPr="00465D22" w:rsidR="006A50A4" w:rsidP="00465D22" w14:paraId="3142946D" w14:textId="033660BA">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22</w:t>
      </w:r>
      <w:r w:rsidRPr="00465D22">
        <w:rPr>
          <w:rFonts w:eastAsia="Times New Roman"/>
        </w:rPr>
        <w:fldChar w:fldCharType="end"/>
      </w:r>
      <w:r w:rsidRPr="00465D22">
        <w:rPr>
          <w:rFonts w:eastAsia="Times New Roman"/>
        </w:rPr>
        <w:t>.  Secondly, in the applicant</w:t>
      </w:r>
      <w:r w:rsidRPr="00465D22" w:rsidR="00465D22">
        <w:rPr>
          <w:rFonts w:eastAsia="Times New Roman"/>
        </w:rPr>
        <w:t>’</w:t>
      </w:r>
      <w:r w:rsidRPr="00465D22">
        <w:rPr>
          <w:rFonts w:eastAsia="Times New Roman"/>
        </w:rPr>
        <w:t>s case, the Court takes into account the expert</w:t>
      </w:r>
      <w:r w:rsidRPr="00465D22" w:rsidR="00465D22">
        <w:rPr>
          <w:rFonts w:eastAsia="Times New Roman"/>
        </w:rPr>
        <w:t>’</w:t>
      </w:r>
      <w:r w:rsidRPr="00465D22">
        <w:rPr>
          <w:rFonts w:eastAsia="Times New Roman"/>
        </w:rPr>
        <w:t>s testimony that it was impossible for the blood alcohol level to be reduced to zero within the time the applicant had reached the hospital for medical examination, as well as the District Court</w:t>
      </w:r>
      <w:r w:rsidRPr="00465D22" w:rsidR="00465D22">
        <w:rPr>
          <w:rFonts w:eastAsia="Times New Roman"/>
        </w:rPr>
        <w:t>’</w:t>
      </w:r>
      <w:r w:rsidRPr="00465D22">
        <w:rPr>
          <w:rFonts w:eastAsia="Times New Roman"/>
        </w:rPr>
        <w:t>s finding that there had been a real possibility that the breathalyser had shown incorrect data. Likewise, the Court does not turn a blind eye to the District Court</w:t>
      </w:r>
      <w:r w:rsidRPr="00465D22" w:rsidR="00465D22">
        <w:rPr>
          <w:rFonts w:eastAsia="Times New Roman"/>
        </w:rPr>
        <w:t>’</w:t>
      </w:r>
      <w:r w:rsidRPr="00465D22">
        <w:rPr>
          <w:rFonts w:eastAsia="Times New Roman"/>
        </w:rPr>
        <w:t>s finding that “somehow” the report of the applicant</w:t>
      </w:r>
      <w:r w:rsidRPr="00465D22" w:rsidR="00465D22">
        <w:rPr>
          <w:rFonts w:eastAsia="Times New Roman"/>
        </w:rPr>
        <w:t>’</w:t>
      </w:r>
      <w:r w:rsidRPr="00465D22">
        <w:rPr>
          <w:rFonts w:eastAsia="Times New Roman"/>
        </w:rPr>
        <w:t xml:space="preserve">s alleged administrative law violation specified an incorrect time when he had allegedly been driving under the influence of alcohol (see paragraph </w:t>
      </w:r>
      <w:r w:rsidRPr="00465D22">
        <w:rPr>
          <w:rFonts w:eastAsia="Times New Roman"/>
        </w:rPr>
        <w:fldChar w:fldCharType="begin"/>
      </w:r>
      <w:r w:rsidRPr="00465D22">
        <w:rPr>
          <w:rFonts w:eastAsia="Times New Roman"/>
        </w:rPr>
        <w:instrText xml:space="preserve"> REF F_7Nov2016_VCDC_discontinues_adm_case \h </w:instrText>
      </w:r>
      <w:r w:rsidRPr="00465D22" w:rsidR="00A96A5A">
        <w:rPr>
          <w:rFonts w:eastAsia="Times New Roman"/>
        </w:rPr>
        <w:instrText xml:space="preserve"> \* MERGEFORMAT </w:instrText>
      </w:r>
      <w:r w:rsidRPr="00465D22">
        <w:rPr>
          <w:rFonts w:eastAsia="Times New Roman"/>
        </w:rPr>
        <w:fldChar w:fldCharType="separate"/>
      </w:r>
      <w:r w:rsidRPr="00465D22" w:rsidR="00465D22">
        <w:rPr>
          <w:rFonts w:eastAsia="Times New Roman"/>
          <w:noProof/>
        </w:rPr>
        <w:t>4</w:t>
      </w:r>
      <w:r w:rsidRPr="00465D22">
        <w:rPr>
          <w:rFonts w:eastAsia="Times New Roman"/>
        </w:rPr>
        <w:fldChar w:fldCharType="end"/>
      </w:r>
      <w:r w:rsidRPr="00465D22">
        <w:rPr>
          <w:rFonts w:eastAsia="Times New Roman"/>
        </w:rPr>
        <w:t xml:space="preserve"> above). At the same time, no blame for any suspicious actions or behaviour when driving or communicating with the police officers could be laid on the applicant in the present case; rather, he had consistently refuted the charge of driving under the influence of alcohol.</w:t>
      </w:r>
    </w:p>
    <w:p w:rsidRPr="00465D22" w:rsidR="006A50A4" w:rsidP="00465D22" w14:paraId="2621FB9D" w14:textId="4A6E76AE">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23</w:t>
      </w:r>
      <w:r w:rsidRPr="00465D22">
        <w:rPr>
          <w:rFonts w:eastAsia="Times New Roman"/>
        </w:rPr>
        <w:fldChar w:fldCharType="end"/>
      </w:r>
      <w:r w:rsidRPr="00465D22">
        <w:rPr>
          <w:rFonts w:eastAsia="Times New Roman"/>
        </w:rPr>
        <w:t>.  Thirdly, the Court notes the applicant</w:t>
      </w:r>
      <w:r w:rsidRPr="00465D22" w:rsidR="00465D22">
        <w:rPr>
          <w:rFonts w:eastAsia="Times New Roman"/>
        </w:rPr>
        <w:t>’</w:t>
      </w:r>
      <w:r w:rsidRPr="00465D22">
        <w:rPr>
          <w:rFonts w:eastAsia="Times New Roman"/>
        </w:rPr>
        <w:t>s argument that the lengthy legal process caused him stress and had an impact on his reputation, as he was accused of a particularly serious violation of the law. The Government, for their part, did not plead that the court proceedings to contest the alleged administrative law violation had been pointless. Besides, the sum claimed by the applicant for his legal defence in the administrative proceedings was not excessive.</w:t>
      </w:r>
    </w:p>
    <w:p w:rsidRPr="00465D22" w:rsidR="006A50A4" w:rsidP="00465D22" w14:paraId="28DBFEF9" w14:textId="1856ABD2">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24</w:t>
      </w:r>
      <w:r w:rsidRPr="00465D22">
        <w:rPr>
          <w:rFonts w:eastAsia="Times New Roman"/>
        </w:rPr>
        <w:fldChar w:fldCharType="end"/>
      </w:r>
      <w:r w:rsidRPr="00465D22">
        <w:rPr>
          <w:rFonts w:eastAsia="Times New Roman"/>
        </w:rPr>
        <w:t>.  In the light of all the above-mentioned considerations, the Court finds that, in the circumstances of the present case, the fact that the applicant had to cover the costs himself in the administrative-law violation proceedings restricted his right of access to a court to such an extent that impaired the very essence of that right.</w:t>
      </w:r>
    </w:p>
    <w:p w:rsidRPr="00465D22" w:rsidR="006A50A4" w:rsidP="00465D22" w14:paraId="5DFEC895" w14:textId="024C157D">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25</w:t>
      </w:r>
      <w:r w:rsidRPr="00465D22">
        <w:rPr>
          <w:rFonts w:eastAsia="Times New Roman"/>
        </w:rPr>
        <w:fldChar w:fldCharType="end"/>
      </w:r>
      <w:r w:rsidRPr="00465D22">
        <w:rPr>
          <w:rFonts w:eastAsia="Times New Roman"/>
        </w:rPr>
        <w:t>.  There has accordingly been a violation of Article 6 § 1 of the Convention.</w:t>
      </w:r>
    </w:p>
    <w:p w:rsidRPr="00465D22" w:rsidR="006A50A4" w:rsidP="00465D22" w14:paraId="1261F644" w14:textId="77777777">
      <w:pPr>
        <w:pStyle w:val="JuHHead"/>
        <w:rPr>
          <w:rFonts w:eastAsia="Times New Roman"/>
        </w:rPr>
      </w:pPr>
      <w:r w:rsidRPr="00465D22">
        <w:rPr>
          <w:rFonts w:eastAsia="Times New Roman"/>
        </w:rPr>
        <w:t>APPLICATION OF ARTICLE 41 OF THE CONVENTION</w:t>
      </w:r>
    </w:p>
    <w:p w:rsidRPr="00465D22" w:rsidR="006A50A4" w:rsidP="00465D22" w14:paraId="53314506" w14:textId="454B19A3">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26</w:t>
      </w:r>
      <w:r w:rsidRPr="00465D22">
        <w:rPr>
          <w:rFonts w:eastAsia="Times New Roman"/>
        </w:rPr>
        <w:fldChar w:fldCharType="end"/>
      </w:r>
      <w:r w:rsidRPr="00465D22">
        <w:rPr>
          <w:rFonts w:eastAsia="Times New Roman"/>
        </w:rPr>
        <w:t>.  The applicant claimed 529 euros (EUR) in respect of pecuniary damage, namely the sum he had claimed in the administrative court proceedings, and EUR 5,000 in respect of non-pecuniary damage incurred in connection with the domestic court</w:t>
      </w:r>
      <w:r w:rsidRPr="00465D22" w:rsidR="00465D22">
        <w:rPr>
          <w:rFonts w:eastAsia="Times New Roman"/>
        </w:rPr>
        <w:t>’</w:t>
      </w:r>
      <w:r w:rsidRPr="00465D22">
        <w:rPr>
          <w:rFonts w:eastAsia="Times New Roman"/>
        </w:rPr>
        <w:t>s decision not to award those costs.</w:t>
      </w:r>
    </w:p>
    <w:p w:rsidRPr="00465D22" w:rsidR="006A50A4" w:rsidP="00465D22" w14:paraId="2431EB78" w14:textId="0C06AE2F">
      <w:pPr>
        <w:pStyle w:val="JuPara"/>
        <w:rPr>
          <w:rFonts w:eastAsia="Times New Roman"/>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27</w:t>
      </w:r>
      <w:r w:rsidRPr="00465D22">
        <w:rPr>
          <w:rFonts w:eastAsia="Times New Roman"/>
        </w:rPr>
        <w:fldChar w:fldCharType="end"/>
      </w:r>
      <w:r w:rsidRPr="00465D22">
        <w:rPr>
          <w:rFonts w:eastAsia="Times New Roman"/>
        </w:rPr>
        <w:t>.  The Government disputed the claim for non-pecuniary damage as unreasonable.</w:t>
      </w:r>
    </w:p>
    <w:p w:rsidRPr="00465D22" w:rsidR="006A50A4" w:rsidP="00465D22" w14:paraId="2A2330D6" w14:textId="20B720A5">
      <w:pPr>
        <w:pStyle w:val="JuPara"/>
        <w:rPr>
          <w:rFonts w:eastAsia="Times New Roman"/>
          <w:lang w:eastAsia="fr-FR"/>
        </w:rPr>
      </w:pPr>
      <w:r w:rsidRPr="00465D22">
        <w:rPr>
          <w:rFonts w:eastAsia="Times New Roman"/>
        </w:rPr>
        <w:fldChar w:fldCharType="begin"/>
      </w:r>
      <w:r w:rsidRPr="00465D22">
        <w:rPr>
          <w:rFonts w:eastAsia="Times New Roman"/>
        </w:rPr>
        <w:instrText xml:space="preserve"> SEQ level0 \*arabic \* MERGEFORMAT </w:instrText>
      </w:r>
      <w:r w:rsidRPr="00465D22">
        <w:rPr>
          <w:rFonts w:eastAsia="Times New Roman"/>
        </w:rPr>
        <w:fldChar w:fldCharType="separate"/>
      </w:r>
      <w:r w:rsidRPr="00465D22" w:rsidR="00465D22">
        <w:rPr>
          <w:rFonts w:eastAsia="Times New Roman"/>
          <w:noProof/>
        </w:rPr>
        <w:t>28</w:t>
      </w:r>
      <w:r w:rsidRPr="00465D22">
        <w:rPr>
          <w:rFonts w:eastAsia="Times New Roman"/>
        </w:rPr>
        <w:fldChar w:fldCharType="end"/>
      </w:r>
      <w:r w:rsidRPr="00465D22">
        <w:rPr>
          <w:rFonts w:eastAsia="Times New Roman"/>
        </w:rPr>
        <w:t>.  Having regard to the documents in its possession, the Court awards the applicant EUR 529 in respect of pecuniary damage, plus any tax that may be chargeable. It further considers it reasonable to award the applicant EUR 2,500 in respect of non-pecuniary damage, plus any tax that may be chargeable</w:t>
      </w:r>
      <w:r w:rsidRPr="00465D22">
        <w:rPr>
          <w:rFonts w:eastAsia="Times New Roman"/>
          <w:lang w:eastAsia="fr-FR"/>
        </w:rPr>
        <w:t>.</w:t>
      </w:r>
    </w:p>
    <w:p w:rsidRPr="00465D22" w:rsidR="006A50A4" w:rsidP="00465D22" w14:paraId="23155E35" w14:textId="42FF9822">
      <w:pPr>
        <w:pStyle w:val="JuHHead"/>
      </w:pPr>
      <w:r w:rsidRPr="00465D22">
        <w:t>FOR THESE REASONS, THE COURT, UNANIMOUSLY,</w:t>
      </w:r>
    </w:p>
    <w:p w:rsidRPr="00465D22" w:rsidR="006A50A4" w:rsidP="00465D22" w14:paraId="05CBD047" w14:textId="77777777">
      <w:pPr>
        <w:pStyle w:val="JuList"/>
      </w:pPr>
      <w:r w:rsidRPr="00465D22">
        <w:rPr>
          <w:i/>
        </w:rPr>
        <w:t>Declares</w:t>
      </w:r>
      <w:r w:rsidRPr="00465D22">
        <w:t xml:space="preserve"> the application admissible;</w:t>
      </w:r>
    </w:p>
    <w:p w:rsidRPr="00465D22" w:rsidR="006A50A4" w:rsidP="00465D22" w14:paraId="7701F008" w14:textId="77777777">
      <w:pPr>
        <w:pStyle w:val="JuList"/>
      </w:pPr>
      <w:r w:rsidRPr="00465D22">
        <w:rPr>
          <w:i/>
        </w:rPr>
        <w:t>Holds</w:t>
      </w:r>
      <w:r w:rsidRPr="00465D22">
        <w:t xml:space="preserve"> that there has been a violation of Article 6 </w:t>
      </w:r>
      <w:r w:rsidRPr="00465D22">
        <w:rPr>
          <w:rFonts w:cstheme="minorHAnsi"/>
        </w:rPr>
        <w:t>§</w:t>
      </w:r>
      <w:r w:rsidRPr="00465D22">
        <w:t xml:space="preserve"> 1 of the Convention;</w:t>
      </w:r>
    </w:p>
    <w:p w:rsidRPr="00465D22" w:rsidR="006A50A4" w:rsidP="00465D22" w14:paraId="2062649C" w14:textId="77777777">
      <w:pPr>
        <w:pStyle w:val="JuList"/>
      </w:pPr>
      <w:r w:rsidRPr="00465D22">
        <w:rPr>
          <w:i/>
          <w:iCs/>
        </w:rPr>
        <w:t>Holds</w:t>
      </w:r>
    </w:p>
    <w:p w:rsidRPr="00465D22" w:rsidR="006A50A4" w:rsidP="00465D22" w14:paraId="79BA7854" w14:textId="77777777">
      <w:pPr>
        <w:pStyle w:val="JuLista"/>
      </w:pPr>
      <w:r w:rsidRPr="00465D22">
        <w:t>that the respondent State is to pay the applicant, within three months, the following amounts:</w:t>
      </w:r>
    </w:p>
    <w:p w:rsidRPr="00465D22" w:rsidR="006A50A4" w:rsidP="00465D22" w14:paraId="01A72F8C" w14:textId="77777777">
      <w:pPr>
        <w:pStyle w:val="JuListi"/>
      </w:pPr>
      <w:r w:rsidRPr="00465D22">
        <w:t>EUR 529 (five hundred and twenty-nine euros), plus any tax that may be chargeable, in respect of pecuniary damage;</w:t>
      </w:r>
    </w:p>
    <w:p w:rsidRPr="00465D22" w:rsidR="006A50A4" w:rsidP="00465D22" w14:paraId="05D7B93F" w14:textId="77777777">
      <w:pPr>
        <w:pStyle w:val="JuListi"/>
      </w:pPr>
      <w:r w:rsidRPr="00465D22">
        <w:t>EUR 2,500 (two thousand five hundred euros), plus any tax that may be chargeable, in respect of non-pecuniary damage;</w:t>
      </w:r>
    </w:p>
    <w:p w:rsidRPr="00465D22" w:rsidR="006A50A4" w:rsidP="00465D22" w14:paraId="3FEA5FE2" w14:textId="77777777">
      <w:pPr>
        <w:pStyle w:val="JuLista"/>
      </w:pPr>
      <w:r w:rsidRPr="00465D2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65D22" w:rsidR="004D0EC7" w:rsidP="00465D22" w14:paraId="1D6D36B4" w14:textId="033B77FB">
      <w:pPr>
        <w:pStyle w:val="JuList"/>
      </w:pPr>
      <w:r w:rsidRPr="00465D22">
        <w:rPr>
          <w:i/>
        </w:rPr>
        <w:t xml:space="preserve">Dismisses </w:t>
      </w:r>
      <w:r w:rsidRPr="00465D22">
        <w:t>the remainder of the applicant</w:t>
      </w:r>
      <w:r w:rsidRPr="00465D22" w:rsidR="00465D22">
        <w:t>’</w:t>
      </w:r>
      <w:r w:rsidRPr="00465D22">
        <w:t>s claim for just satisfaction.</w:t>
      </w:r>
    </w:p>
    <w:p w:rsidRPr="00465D22" w:rsidR="008E3A08" w:rsidP="00465D22" w14:paraId="01D86A91" w14:textId="1F53520C">
      <w:pPr>
        <w:pStyle w:val="JuParaLast"/>
      </w:pPr>
      <w:r w:rsidRPr="00465D22">
        <w:t xml:space="preserve">Done in English, and notified in writing on </w:t>
      </w:r>
      <w:r w:rsidRPr="00465D22" w:rsidR="006A50A4">
        <w:rPr>
          <w:rFonts w:ascii="Times New Roman" w:hAnsi="Times New Roman" w:cs="Times New Roman"/>
        </w:rPr>
        <w:t>13 May 2025</w:t>
      </w:r>
      <w:r w:rsidRPr="00465D22">
        <w:t>, pursuant to Rule 77 §§ 2 and 3 of the Rules of Court.</w:t>
      </w:r>
    </w:p>
    <w:p w:rsidRPr="00465D22" w:rsidR="007E79A4" w:rsidP="00465D22" w14:paraId="5FE832EE" w14:textId="0D56608E">
      <w:pPr>
        <w:pStyle w:val="JuSigned"/>
      </w:pPr>
      <w:r w:rsidRPr="00465D22">
        <w:tab/>
      </w:r>
      <w:r w:rsidRPr="00465D22" w:rsidR="006A50A4">
        <w:rPr>
          <w:noProof/>
        </w:rPr>
        <w:t>Dorothee von Arnim</w:t>
      </w:r>
      <w:r w:rsidRPr="00465D22">
        <w:tab/>
      </w:r>
      <w:r w:rsidRPr="00465D22" w:rsidR="006A50A4">
        <w:rPr>
          <w:noProof/>
        </w:rPr>
        <w:t>Anja Seibert-Fohr</w:t>
      </w:r>
      <w:r w:rsidRPr="00465D22">
        <w:br/>
      </w:r>
      <w:r w:rsidRPr="00465D22">
        <w:tab/>
      </w:r>
      <w:r w:rsidRPr="00465D22" w:rsidR="006A50A4">
        <w:rPr>
          <w:noProof/>
        </w:rPr>
        <w:t>Deputy Registrar</w:t>
      </w:r>
      <w:r w:rsidRPr="00465D22">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50A4" w:rsidRPr="00150BFA" w:rsidP="0020718E" w14:paraId="34E4BFE9" w14:textId="77777777">
    <w:pPr>
      <w:jc w:val="center"/>
    </w:pPr>
    <w:r>
      <w:rPr>
        <w:noProof/>
        <w:lang w:val="en-US"/>
      </w:rPr>
      <w:drawing>
        <wp:inline distT="0" distB="0" distL="0" distR="0">
          <wp:extent cx="771525" cy="619125"/>
          <wp:effectExtent l="0" t="0" r="9525" b="9525"/>
          <wp:docPr id="66" name="Picture 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6A50A4" w:rsidP="00AF12C5" w14:paraId="46A31653"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50A4" w:rsidRPr="00150BFA" w:rsidP="0020718E" w14:paraId="22379919" w14:textId="77777777">
    <w:pPr>
      <w:jc w:val="center"/>
    </w:pPr>
    <w:r>
      <w:rPr>
        <w:noProof/>
        <w:lang w:val="en-US"/>
      </w:rPr>
      <w:drawing>
        <wp:inline distT="0" distB="0" distL="0" distR="0">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6A50A4" w:rsidP="009E7A6F" w14:paraId="49F929E0"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FA993E4" w14:textId="06B63E7C">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AD591FA" w14:textId="2A2AB99E">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50A4" w:rsidRPr="00A45145" w:rsidP="00A45145" w14:paraId="5611E177" w14:textId="77777777">
    <w:pPr>
      <w:jc w:val="center"/>
    </w:pPr>
    <w:r>
      <w:rPr>
        <w:noProof/>
        <w:lang w:val="en-US"/>
      </w:rPr>
      <w:drawing>
        <wp:inline distT="0" distB="0" distL="0" distR="0">
          <wp:extent cx="2962275" cy="1219200"/>
          <wp:effectExtent l="0" t="0" r="9525" b="0"/>
          <wp:docPr id="65" name="Picture 6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A50A4" w:rsidP="00B14793" w14:paraId="0703785D"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50A4" w:rsidRPr="00A45145" w:rsidP="00A45145" w14:paraId="7C9C6045" w14:textId="77777777">
    <w:pPr>
      <w:jc w:val="center"/>
    </w:pPr>
    <w:r>
      <w:rPr>
        <w:noProof/>
        <w:lang w:val="en-US"/>
      </w:rPr>
      <w:drawing>
        <wp:inline distT="0" distB="0" distL="0" distR="0">
          <wp:extent cx="2962275" cy="1219200"/>
          <wp:effectExtent l="0" t="0" r="9525" b="0"/>
          <wp:docPr id="67" name="Picture 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A50A4" w14:paraId="1626229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6A82E4B" w14:textId="536EB1E9">
    <w:pPr>
      <w:pStyle w:val="JuHeader"/>
    </w:pPr>
    <w:r>
      <w:t>RUMINAS v. LITHUANIA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AD826B3" w14:textId="7D7F7841">
    <w:pPr>
      <w:pStyle w:val="JuHeader"/>
    </w:pPr>
    <w:r>
      <w:t>RUMINAS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262760332">
    <w:abstractNumId w:val="17"/>
  </w:num>
  <w:num w:numId="8" w16cid:durableId="549653961">
    <w:abstractNumId w:val="7"/>
  </w:num>
  <w:num w:numId="9" w16cid:durableId="302394298">
    <w:abstractNumId w:val="6"/>
  </w:num>
  <w:num w:numId="10" w16cid:durableId="1227106409">
    <w:abstractNumId w:val="5"/>
  </w:num>
  <w:num w:numId="11" w16cid:durableId="40059299">
    <w:abstractNumId w:val="4"/>
  </w:num>
  <w:num w:numId="12" w16cid:durableId="1576475271">
    <w:abstractNumId w:val="8"/>
  </w:num>
  <w:num w:numId="13" w16cid:durableId="1674524494">
    <w:abstractNumId w:val="3"/>
  </w:num>
  <w:num w:numId="14" w16cid:durableId="1974869810">
    <w:abstractNumId w:val="2"/>
  </w:num>
  <w:num w:numId="15" w16cid:durableId="161510858">
    <w:abstractNumId w:val="1"/>
  </w:num>
  <w:num w:numId="16" w16cid:durableId="243300468">
    <w:abstractNumId w:val="0"/>
  </w:num>
  <w:num w:numId="17" w16cid:durableId="1417046989">
    <w:abstractNumId w:val="15"/>
  </w:num>
  <w:num w:numId="18" w16cid:durableId="414867112">
    <w:abstractNumId w:val="16"/>
  </w:num>
  <w:num w:numId="19" w16cid:durableId="588926238">
    <w:abstractNumId w:val="10"/>
  </w:num>
  <w:num w:numId="20" w16cid:durableId="105500341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0A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65D22"/>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2A15"/>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0A4"/>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37F0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C5067"/>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655C"/>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96A5A"/>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3480"/>
    <w:rsid w:val="00D977B6"/>
    <w:rsid w:val="00DA1223"/>
    <w:rsid w:val="00DA4A31"/>
    <w:rsid w:val="00DA7B04"/>
    <w:rsid w:val="00DB00EB"/>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4248"/>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E06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96A5A"/>
    <w:rPr>
      <w:sz w:val="24"/>
      <w:szCs w:val="24"/>
      <w:lang w:val="en-GB"/>
    </w:rPr>
  </w:style>
  <w:style w:type="paragraph" w:styleId="Heading1">
    <w:name w:val="heading 1"/>
    <w:basedOn w:val="Normal"/>
    <w:next w:val="Normal"/>
    <w:link w:val="Heading1Char"/>
    <w:uiPriority w:val="98"/>
    <w:semiHidden/>
    <w:rsid w:val="00A96A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96A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96A5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96A5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96A5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96A5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96A5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96A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96A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96A5A"/>
    <w:rPr>
      <w:rFonts w:ascii="Tahoma" w:hAnsi="Tahoma" w:cs="Tahoma"/>
      <w:sz w:val="16"/>
      <w:szCs w:val="16"/>
    </w:rPr>
  </w:style>
  <w:style w:type="character" w:customStyle="1" w:styleId="BalloonTextChar">
    <w:name w:val="Balloon Text Char"/>
    <w:basedOn w:val="DefaultParagraphFont"/>
    <w:link w:val="BalloonText"/>
    <w:uiPriority w:val="98"/>
    <w:semiHidden/>
    <w:rsid w:val="00A96A5A"/>
    <w:rPr>
      <w:rFonts w:ascii="Tahoma" w:hAnsi="Tahoma" w:cs="Tahoma"/>
      <w:sz w:val="16"/>
      <w:szCs w:val="16"/>
      <w:lang w:val="en-GB"/>
    </w:rPr>
  </w:style>
  <w:style w:type="character" w:styleId="BookTitle">
    <w:name w:val="Book Title"/>
    <w:uiPriority w:val="98"/>
    <w:semiHidden/>
    <w:qFormat/>
    <w:rsid w:val="00A96A5A"/>
    <w:rPr>
      <w:i/>
      <w:iCs/>
      <w:smallCaps/>
      <w:spacing w:val="5"/>
    </w:rPr>
  </w:style>
  <w:style w:type="paragraph" w:customStyle="1" w:styleId="JuHeader">
    <w:name w:val="Ju_Header"/>
    <w:aliases w:val="_Header"/>
    <w:basedOn w:val="Header0"/>
    <w:uiPriority w:val="29"/>
    <w:qFormat/>
    <w:rsid w:val="00A96A5A"/>
    <w:pPr>
      <w:tabs>
        <w:tab w:val="clear" w:pos="4536"/>
        <w:tab w:val="clear" w:pos="9072"/>
      </w:tabs>
      <w:jc w:val="center"/>
    </w:pPr>
    <w:rPr>
      <w:sz w:val="18"/>
    </w:rPr>
  </w:style>
  <w:style w:type="paragraph" w:customStyle="1" w:styleId="NormalJustified">
    <w:name w:val="Normal_Justified"/>
    <w:basedOn w:val="Normal"/>
    <w:semiHidden/>
    <w:rsid w:val="00A96A5A"/>
    <w:pPr>
      <w:jc w:val="both"/>
    </w:pPr>
  </w:style>
  <w:style w:type="character" w:styleId="Strong">
    <w:name w:val="Strong"/>
    <w:uiPriority w:val="98"/>
    <w:semiHidden/>
    <w:qFormat/>
    <w:rsid w:val="00A96A5A"/>
    <w:rPr>
      <w:b/>
      <w:bCs/>
    </w:rPr>
  </w:style>
  <w:style w:type="paragraph" w:styleId="NoSpacing">
    <w:name w:val="No Spacing"/>
    <w:basedOn w:val="Normal"/>
    <w:link w:val="NoSpacingChar"/>
    <w:uiPriority w:val="98"/>
    <w:semiHidden/>
    <w:qFormat/>
    <w:rsid w:val="00A96A5A"/>
  </w:style>
  <w:style w:type="character" w:customStyle="1" w:styleId="NoSpacingChar">
    <w:name w:val="No Spacing Char"/>
    <w:basedOn w:val="DefaultParagraphFont"/>
    <w:link w:val="NoSpacing"/>
    <w:uiPriority w:val="98"/>
    <w:semiHidden/>
    <w:rsid w:val="00A96A5A"/>
    <w:rPr>
      <w:sz w:val="24"/>
      <w:szCs w:val="24"/>
      <w:lang w:val="en-GB"/>
    </w:rPr>
  </w:style>
  <w:style w:type="paragraph" w:customStyle="1" w:styleId="JuQuot">
    <w:name w:val="Ju_Quot"/>
    <w:aliases w:val="_Quote"/>
    <w:basedOn w:val="NormalJustified"/>
    <w:uiPriority w:val="20"/>
    <w:qFormat/>
    <w:rsid w:val="00A96A5A"/>
    <w:pPr>
      <w:spacing w:before="120" w:after="120"/>
      <w:ind w:left="425" w:firstLine="142"/>
    </w:pPr>
    <w:rPr>
      <w:sz w:val="20"/>
    </w:rPr>
  </w:style>
  <w:style w:type="paragraph" w:customStyle="1" w:styleId="JuList">
    <w:name w:val="Ju_List"/>
    <w:aliases w:val="_List_1"/>
    <w:basedOn w:val="NormalJustified"/>
    <w:uiPriority w:val="23"/>
    <w:qFormat/>
    <w:rsid w:val="00A96A5A"/>
    <w:pPr>
      <w:numPr>
        <w:numId w:val="20"/>
      </w:numPr>
      <w:spacing w:before="280" w:after="60"/>
    </w:pPr>
  </w:style>
  <w:style w:type="paragraph" w:customStyle="1" w:styleId="JuLista">
    <w:name w:val="Ju_List_a"/>
    <w:aliases w:val="_List_2"/>
    <w:basedOn w:val="NormalJustified"/>
    <w:uiPriority w:val="23"/>
    <w:rsid w:val="00A96A5A"/>
    <w:pPr>
      <w:numPr>
        <w:ilvl w:val="1"/>
        <w:numId w:val="20"/>
      </w:numPr>
    </w:pPr>
  </w:style>
  <w:style w:type="paragraph" w:customStyle="1" w:styleId="JuListi">
    <w:name w:val="Ju_List_i"/>
    <w:aliases w:val="_List_3"/>
    <w:basedOn w:val="NormalJustified"/>
    <w:uiPriority w:val="23"/>
    <w:rsid w:val="00A96A5A"/>
    <w:pPr>
      <w:numPr>
        <w:ilvl w:val="2"/>
        <w:numId w:val="20"/>
      </w:numPr>
    </w:pPr>
  </w:style>
  <w:style w:type="paragraph" w:customStyle="1" w:styleId="JuHArticle">
    <w:name w:val="Ju_H_Article"/>
    <w:aliases w:val="_Title_Quote"/>
    <w:basedOn w:val="Normal"/>
    <w:next w:val="JuQuot"/>
    <w:uiPriority w:val="19"/>
    <w:qFormat/>
    <w:rsid w:val="00A96A5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96A5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96A5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96A5A"/>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96A5A"/>
    <w:pPr>
      <w:numPr>
        <w:numId w:val="4"/>
      </w:numPr>
    </w:pPr>
  </w:style>
  <w:style w:type="paragraph" w:customStyle="1" w:styleId="JuSigned">
    <w:name w:val="Ju_Signed"/>
    <w:aliases w:val="_Signature"/>
    <w:basedOn w:val="Normal"/>
    <w:next w:val="JuPara"/>
    <w:uiPriority w:val="31"/>
    <w:qFormat/>
    <w:rsid w:val="00A96A5A"/>
    <w:pPr>
      <w:tabs>
        <w:tab w:val="center" w:pos="1418"/>
        <w:tab w:val="center" w:pos="5954"/>
      </w:tabs>
      <w:spacing w:before="720"/>
    </w:pPr>
  </w:style>
  <w:style w:type="paragraph" w:styleId="Title">
    <w:name w:val="Title"/>
    <w:basedOn w:val="Normal"/>
    <w:next w:val="Normal"/>
    <w:link w:val="TitleChar"/>
    <w:uiPriority w:val="98"/>
    <w:semiHidden/>
    <w:qFormat/>
    <w:rsid w:val="00A96A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96A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96A5A"/>
    <w:pPr>
      <w:numPr>
        <w:numId w:val="5"/>
      </w:numPr>
    </w:pPr>
  </w:style>
  <w:style w:type="numbering" w:customStyle="1" w:styleId="ECHRA1StyleNumberedList">
    <w:name w:val="ECHR_A1_Style_Numbered_List"/>
    <w:basedOn w:val="NoList"/>
    <w:rsid w:val="00A96A5A"/>
    <w:pPr>
      <w:numPr>
        <w:numId w:val="6"/>
      </w:numPr>
    </w:pPr>
  </w:style>
  <w:style w:type="table" w:customStyle="1" w:styleId="ECHRTable2019">
    <w:name w:val="ECHR_Table_2019"/>
    <w:basedOn w:val="TableNormal"/>
    <w:uiPriority w:val="99"/>
    <w:rsid w:val="00A96A5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96A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96A5A"/>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96A5A"/>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96A5A"/>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A96A5A"/>
    <w:pPr>
      <w:tabs>
        <w:tab w:val="center" w:pos="4536"/>
        <w:tab w:val="right" w:pos="9072"/>
      </w:tabs>
    </w:pPr>
  </w:style>
  <w:style w:type="character" w:customStyle="1" w:styleId="HeaderChar">
    <w:name w:val="Header Char"/>
    <w:basedOn w:val="DefaultParagraphFont"/>
    <w:link w:val="Header0"/>
    <w:uiPriority w:val="98"/>
    <w:semiHidden/>
    <w:rsid w:val="00A96A5A"/>
    <w:rPr>
      <w:sz w:val="24"/>
      <w:szCs w:val="24"/>
      <w:lang w:val="en-GB"/>
    </w:rPr>
  </w:style>
  <w:style w:type="character" w:customStyle="1" w:styleId="Heading1Char">
    <w:name w:val="Heading 1 Char"/>
    <w:basedOn w:val="DefaultParagraphFont"/>
    <w:link w:val="Heading1"/>
    <w:uiPriority w:val="98"/>
    <w:semiHidden/>
    <w:rsid w:val="00A96A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96A5A"/>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A96A5A"/>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96A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96A5A"/>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96A5A"/>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A96A5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96A5A"/>
    <w:pPr>
      <w:keepNext/>
      <w:keepLines/>
      <w:spacing w:before="240" w:after="240"/>
      <w:ind w:firstLine="284"/>
    </w:pPr>
  </w:style>
  <w:style w:type="paragraph" w:customStyle="1" w:styleId="JuJudges">
    <w:name w:val="Ju_Judges"/>
    <w:aliases w:val="_Judges"/>
    <w:basedOn w:val="Normal"/>
    <w:uiPriority w:val="32"/>
    <w:qFormat/>
    <w:rsid w:val="00A96A5A"/>
    <w:pPr>
      <w:tabs>
        <w:tab w:val="left" w:pos="567"/>
        <w:tab w:val="left" w:pos="1134"/>
      </w:tabs>
    </w:pPr>
  </w:style>
  <w:style w:type="character" w:customStyle="1" w:styleId="Heading4Char">
    <w:name w:val="Heading 4 Char"/>
    <w:basedOn w:val="DefaultParagraphFont"/>
    <w:link w:val="Heading4"/>
    <w:uiPriority w:val="98"/>
    <w:semiHidden/>
    <w:rsid w:val="00A96A5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96A5A"/>
    <w:pPr>
      <w:tabs>
        <w:tab w:val="center" w:pos="6407"/>
      </w:tabs>
      <w:spacing w:before="720"/>
      <w:jc w:val="right"/>
    </w:pPr>
  </w:style>
  <w:style w:type="character" w:customStyle="1" w:styleId="Heading5Char">
    <w:name w:val="Heading 5 Char"/>
    <w:basedOn w:val="DefaultParagraphFont"/>
    <w:link w:val="Heading5"/>
    <w:uiPriority w:val="98"/>
    <w:semiHidden/>
    <w:rsid w:val="00A96A5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96A5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96A5A"/>
    <w:rPr>
      <w:caps w:val="0"/>
      <w:smallCaps/>
    </w:rPr>
  </w:style>
  <w:style w:type="character" w:styleId="SubtleEmphasis">
    <w:name w:val="Subtle Emphasis"/>
    <w:uiPriority w:val="98"/>
    <w:semiHidden/>
    <w:qFormat/>
    <w:rsid w:val="00A96A5A"/>
    <w:rPr>
      <w:i/>
      <w:iCs/>
    </w:rPr>
  </w:style>
  <w:style w:type="table" w:customStyle="1" w:styleId="ECHRTable">
    <w:name w:val="ECHR_Table"/>
    <w:basedOn w:val="TableNormal"/>
    <w:rsid w:val="00A96A5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96A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96A5A"/>
    <w:rPr>
      <w:b/>
      <w:bCs/>
      <w:i/>
      <w:iCs/>
      <w:spacing w:val="10"/>
      <w:bdr w:val="none" w:sz="0" w:space="0" w:color="auto"/>
      <w:shd w:val="clear" w:color="auto" w:fill="auto"/>
    </w:rPr>
  </w:style>
  <w:style w:type="paragraph" w:styleId="Footer1">
    <w:name w:val="footer"/>
    <w:basedOn w:val="Normal"/>
    <w:link w:val="FooterChar"/>
    <w:uiPriority w:val="98"/>
    <w:semiHidden/>
    <w:rsid w:val="00A96A5A"/>
    <w:pPr>
      <w:tabs>
        <w:tab w:val="center" w:pos="3686"/>
        <w:tab w:val="right" w:pos="7371"/>
      </w:tabs>
    </w:pPr>
  </w:style>
  <w:style w:type="character" w:customStyle="1" w:styleId="FooterChar">
    <w:name w:val="Footer Char"/>
    <w:basedOn w:val="DefaultParagraphFont"/>
    <w:link w:val="Footer1"/>
    <w:uiPriority w:val="98"/>
    <w:semiHidden/>
    <w:rsid w:val="00A96A5A"/>
    <w:rPr>
      <w:sz w:val="24"/>
      <w:szCs w:val="24"/>
      <w:lang w:val="en-GB"/>
    </w:rPr>
  </w:style>
  <w:style w:type="character" w:styleId="FootnoteReference">
    <w:name w:val="footnote reference"/>
    <w:basedOn w:val="DefaultParagraphFont"/>
    <w:uiPriority w:val="98"/>
    <w:semiHidden/>
    <w:rsid w:val="00A96A5A"/>
    <w:rPr>
      <w:vertAlign w:val="superscript"/>
    </w:rPr>
  </w:style>
  <w:style w:type="paragraph" w:styleId="FootnoteText">
    <w:name w:val="footnote text"/>
    <w:basedOn w:val="NormalJustified"/>
    <w:link w:val="FootnoteTextChar"/>
    <w:uiPriority w:val="98"/>
    <w:semiHidden/>
    <w:rsid w:val="00A96A5A"/>
    <w:rPr>
      <w:sz w:val="20"/>
      <w:szCs w:val="20"/>
    </w:rPr>
  </w:style>
  <w:style w:type="character" w:customStyle="1" w:styleId="FootnoteTextChar">
    <w:name w:val="Footnote Text Char"/>
    <w:basedOn w:val="DefaultParagraphFont"/>
    <w:link w:val="FootnoteText"/>
    <w:uiPriority w:val="98"/>
    <w:semiHidden/>
    <w:rsid w:val="00A96A5A"/>
    <w:rPr>
      <w:sz w:val="20"/>
      <w:szCs w:val="20"/>
      <w:lang w:val="en-GB"/>
    </w:rPr>
  </w:style>
  <w:style w:type="character" w:customStyle="1" w:styleId="Heading6Char">
    <w:name w:val="Heading 6 Char"/>
    <w:basedOn w:val="DefaultParagraphFont"/>
    <w:link w:val="Heading6"/>
    <w:uiPriority w:val="98"/>
    <w:semiHidden/>
    <w:rsid w:val="00A96A5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96A5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96A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96A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96A5A"/>
    <w:rPr>
      <w:color w:val="0072BC" w:themeColor="hyperlink"/>
      <w:u w:val="single"/>
    </w:rPr>
  </w:style>
  <w:style w:type="character" w:styleId="IntenseEmphasis">
    <w:name w:val="Intense Emphasis"/>
    <w:uiPriority w:val="98"/>
    <w:semiHidden/>
    <w:qFormat/>
    <w:rsid w:val="00A96A5A"/>
    <w:rPr>
      <w:b/>
      <w:bCs/>
    </w:rPr>
  </w:style>
  <w:style w:type="paragraph" w:styleId="IntenseQuote">
    <w:name w:val="Intense Quote"/>
    <w:basedOn w:val="Normal"/>
    <w:next w:val="Normal"/>
    <w:link w:val="IntenseQuoteChar"/>
    <w:uiPriority w:val="98"/>
    <w:semiHidden/>
    <w:qFormat/>
    <w:rsid w:val="00A96A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96A5A"/>
    <w:rPr>
      <w:b/>
      <w:bCs/>
      <w:i/>
      <w:iCs/>
      <w:sz w:val="24"/>
      <w:szCs w:val="24"/>
      <w:lang w:val="en-GB" w:bidi="en-US"/>
    </w:rPr>
  </w:style>
  <w:style w:type="character" w:styleId="IntenseReference">
    <w:name w:val="Intense Reference"/>
    <w:uiPriority w:val="98"/>
    <w:semiHidden/>
    <w:qFormat/>
    <w:rsid w:val="00A96A5A"/>
    <w:rPr>
      <w:smallCaps/>
      <w:spacing w:val="5"/>
      <w:u w:val="single"/>
    </w:rPr>
  </w:style>
  <w:style w:type="paragraph" w:styleId="ListParagraph">
    <w:name w:val="List Paragraph"/>
    <w:basedOn w:val="Normal"/>
    <w:uiPriority w:val="98"/>
    <w:semiHidden/>
    <w:qFormat/>
    <w:rsid w:val="00A96A5A"/>
    <w:pPr>
      <w:ind w:left="720"/>
      <w:contextualSpacing/>
    </w:pPr>
  </w:style>
  <w:style w:type="table" w:customStyle="1" w:styleId="LtrTableAddress">
    <w:name w:val="Ltr_Table_Address"/>
    <w:aliases w:val="ECHR_Ltr_Table_Address"/>
    <w:basedOn w:val="TableNormal"/>
    <w:uiPriority w:val="99"/>
    <w:rsid w:val="00A96A5A"/>
    <w:rPr>
      <w:sz w:val="24"/>
      <w:szCs w:val="24"/>
    </w:rPr>
    <w:tblPr>
      <w:tblInd w:w="5103" w:type="dxa"/>
    </w:tblPr>
  </w:style>
  <w:style w:type="paragraph" w:styleId="Quote0">
    <w:name w:val="Quote"/>
    <w:basedOn w:val="Normal"/>
    <w:next w:val="Normal"/>
    <w:link w:val="QuoteChar"/>
    <w:uiPriority w:val="98"/>
    <w:semiHidden/>
    <w:qFormat/>
    <w:rsid w:val="00A96A5A"/>
    <w:pPr>
      <w:spacing w:before="200"/>
      <w:ind w:left="360" w:right="360"/>
    </w:pPr>
    <w:rPr>
      <w:i/>
      <w:iCs/>
      <w:lang w:bidi="en-US"/>
    </w:rPr>
  </w:style>
  <w:style w:type="character" w:customStyle="1" w:styleId="QuoteChar">
    <w:name w:val="Quote Char"/>
    <w:basedOn w:val="DefaultParagraphFont"/>
    <w:link w:val="Quote0"/>
    <w:uiPriority w:val="98"/>
    <w:semiHidden/>
    <w:rsid w:val="00A96A5A"/>
    <w:rPr>
      <w:i/>
      <w:iCs/>
      <w:sz w:val="24"/>
      <w:szCs w:val="24"/>
      <w:lang w:val="en-GB" w:bidi="en-US"/>
    </w:rPr>
  </w:style>
  <w:style w:type="character" w:styleId="SubtleReference">
    <w:name w:val="Subtle Reference"/>
    <w:uiPriority w:val="98"/>
    <w:semiHidden/>
    <w:qFormat/>
    <w:rsid w:val="00A96A5A"/>
    <w:rPr>
      <w:smallCaps/>
    </w:rPr>
  </w:style>
  <w:style w:type="table" w:styleId="TableGrid">
    <w:name w:val="Table Grid"/>
    <w:basedOn w:val="TableNormal"/>
    <w:uiPriority w:val="59"/>
    <w:semiHidden/>
    <w:rsid w:val="00A96A5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96A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96A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96A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96A5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96A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96A5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96A5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96A5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96A5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96A5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96A5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96A5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96A5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96A5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96A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96A5A"/>
    <w:pPr>
      <w:numPr>
        <w:numId w:val="1"/>
      </w:numPr>
    </w:pPr>
  </w:style>
  <w:style w:type="paragraph" w:customStyle="1" w:styleId="JuPara">
    <w:name w:val="Ju_Para"/>
    <w:aliases w:val="_Para"/>
    <w:basedOn w:val="NormalJustified"/>
    <w:link w:val="JuParaChar"/>
    <w:uiPriority w:val="4"/>
    <w:qFormat/>
    <w:rsid w:val="00A96A5A"/>
    <w:pPr>
      <w:ind w:firstLine="284"/>
    </w:pPr>
  </w:style>
  <w:style w:type="numbering" w:styleId="1ai">
    <w:name w:val="Outline List 1"/>
    <w:basedOn w:val="NoList"/>
    <w:uiPriority w:val="99"/>
    <w:semiHidden/>
    <w:unhideWhenUsed/>
    <w:rsid w:val="00A96A5A"/>
    <w:pPr>
      <w:numPr>
        <w:numId w:val="2"/>
      </w:numPr>
    </w:pPr>
  </w:style>
  <w:style w:type="table" w:customStyle="1" w:styleId="ECHRTableSimpleBox">
    <w:name w:val="ECHR_Table_Simple_Box"/>
    <w:basedOn w:val="TableNormal"/>
    <w:uiPriority w:val="99"/>
    <w:rsid w:val="00A96A5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96A5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96A5A"/>
    <w:pPr>
      <w:numPr>
        <w:numId w:val="3"/>
      </w:numPr>
    </w:pPr>
  </w:style>
  <w:style w:type="table" w:customStyle="1" w:styleId="ECHRTableForInternalUse">
    <w:name w:val="ECHR_Table_For_Internal_Use"/>
    <w:basedOn w:val="TableNormal"/>
    <w:uiPriority w:val="99"/>
    <w:rsid w:val="00A96A5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96A5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96A5A"/>
  </w:style>
  <w:style w:type="paragraph" w:styleId="BlockText">
    <w:name w:val="Block Text"/>
    <w:basedOn w:val="Normal"/>
    <w:uiPriority w:val="98"/>
    <w:semiHidden/>
    <w:rsid w:val="00A96A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96A5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96A5A"/>
    <w:pPr>
      <w:spacing w:after="120"/>
    </w:pPr>
  </w:style>
  <w:style w:type="character" w:customStyle="1" w:styleId="BodyTextChar">
    <w:name w:val="Body Text Char"/>
    <w:basedOn w:val="DefaultParagraphFont"/>
    <w:link w:val="BodyText"/>
    <w:uiPriority w:val="98"/>
    <w:semiHidden/>
    <w:rsid w:val="00A96A5A"/>
    <w:rPr>
      <w:sz w:val="24"/>
      <w:szCs w:val="24"/>
      <w:lang w:val="en-GB"/>
    </w:rPr>
  </w:style>
  <w:style w:type="table" w:customStyle="1" w:styleId="ECHRTableOddBanded">
    <w:name w:val="ECHR_Table_Odd_Banded"/>
    <w:basedOn w:val="TableNormal"/>
    <w:uiPriority w:val="99"/>
    <w:rsid w:val="00A96A5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96A5A"/>
    <w:pPr>
      <w:spacing w:after="120" w:line="480" w:lineRule="auto"/>
    </w:pPr>
  </w:style>
  <w:style w:type="table" w:customStyle="1" w:styleId="ECHRHeaderTableReduced">
    <w:name w:val="ECHR_Header_Table_Reduced"/>
    <w:basedOn w:val="TableNormal"/>
    <w:uiPriority w:val="99"/>
    <w:rsid w:val="00A96A5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96A5A"/>
    <w:pPr>
      <w:ind w:firstLine="284"/>
    </w:pPr>
    <w:rPr>
      <w:b/>
    </w:rPr>
  </w:style>
  <w:style w:type="character" w:styleId="PageNumber">
    <w:name w:val="page number"/>
    <w:uiPriority w:val="98"/>
    <w:semiHidden/>
    <w:rsid w:val="00A96A5A"/>
    <w:rPr>
      <w:sz w:val="18"/>
    </w:rPr>
  </w:style>
  <w:style w:type="paragraph" w:styleId="ListBullet">
    <w:name w:val="List Bullet"/>
    <w:basedOn w:val="Normal"/>
    <w:uiPriority w:val="98"/>
    <w:semiHidden/>
    <w:rsid w:val="00A96A5A"/>
    <w:pPr>
      <w:numPr>
        <w:numId w:val="7"/>
      </w:numPr>
    </w:pPr>
  </w:style>
  <w:style w:type="paragraph" w:styleId="ListBullet3">
    <w:name w:val="List Bullet 3"/>
    <w:basedOn w:val="Normal"/>
    <w:uiPriority w:val="98"/>
    <w:semiHidden/>
    <w:rsid w:val="00A96A5A"/>
    <w:pPr>
      <w:numPr>
        <w:numId w:val="9"/>
      </w:numPr>
      <w:contextualSpacing/>
    </w:pPr>
  </w:style>
  <w:style w:type="character" w:customStyle="1" w:styleId="BodyText2Char">
    <w:name w:val="Body Text 2 Char"/>
    <w:basedOn w:val="DefaultParagraphFont"/>
    <w:link w:val="BodyText2"/>
    <w:uiPriority w:val="98"/>
    <w:semiHidden/>
    <w:rsid w:val="00A96A5A"/>
    <w:rPr>
      <w:sz w:val="24"/>
      <w:szCs w:val="24"/>
      <w:lang w:val="en-GB"/>
    </w:rPr>
  </w:style>
  <w:style w:type="paragraph" w:styleId="BodyText3">
    <w:name w:val="Body Text 3"/>
    <w:basedOn w:val="Normal"/>
    <w:link w:val="BodyText3Char"/>
    <w:uiPriority w:val="98"/>
    <w:semiHidden/>
    <w:rsid w:val="00A96A5A"/>
    <w:pPr>
      <w:spacing w:after="120"/>
    </w:pPr>
    <w:rPr>
      <w:sz w:val="16"/>
      <w:szCs w:val="16"/>
    </w:rPr>
  </w:style>
  <w:style w:type="character" w:customStyle="1" w:styleId="BodyText3Char">
    <w:name w:val="Body Text 3 Char"/>
    <w:basedOn w:val="DefaultParagraphFont"/>
    <w:link w:val="BodyText3"/>
    <w:uiPriority w:val="98"/>
    <w:semiHidden/>
    <w:rsid w:val="00A96A5A"/>
    <w:rPr>
      <w:sz w:val="16"/>
      <w:szCs w:val="16"/>
      <w:lang w:val="en-GB"/>
    </w:rPr>
  </w:style>
  <w:style w:type="paragraph" w:styleId="BodyTextFirstIndent">
    <w:name w:val="Body Text First Indent"/>
    <w:basedOn w:val="BodyText"/>
    <w:link w:val="BodyTextFirstIndentChar"/>
    <w:uiPriority w:val="98"/>
    <w:semiHidden/>
    <w:rsid w:val="00A96A5A"/>
    <w:pPr>
      <w:spacing w:after="0"/>
      <w:ind w:firstLine="360"/>
    </w:pPr>
  </w:style>
  <w:style w:type="character" w:customStyle="1" w:styleId="BodyTextFirstIndentChar">
    <w:name w:val="Body Text First Indent Char"/>
    <w:basedOn w:val="BodyTextChar"/>
    <w:link w:val="BodyTextFirstIndent"/>
    <w:uiPriority w:val="98"/>
    <w:semiHidden/>
    <w:rsid w:val="00A96A5A"/>
    <w:rPr>
      <w:sz w:val="24"/>
      <w:szCs w:val="24"/>
      <w:lang w:val="en-GB"/>
    </w:rPr>
  </w:style>
  <w:style w:type="paragraph" w:styleId="BodyTextIndent">
    <w:name w:val="Body Text Indent"/>
    <w:basedOn w:val="Normal"/>
    <w:link w:val="BodyTextIndentChar"/>
    <w:uiPriority w:val="98"/>
    <w:semiHidden/>
    <w:rsid w:val="00A96A5A"/>
    <w:pPr>
      <w:spacing w:after="120"/>
      <w:ind w:left="283"/>
    </w:pPr>
  </w:style>
  <w:style w:type="character" w:customStyle="1" w:styleId="BodyTextIndentChar">
    <w:name w:val="Body Text Indent Char"/>
    <w:basedOn w:val="DefaultParagraphFont"/>
    <w:link w:val="BodyTextIndent"/>
    <w:uiPriority w:val="98"/>
    <w:semiHidden/>
    <w:rsid w:val="00A96A5A"/>
    <w:rPr>
      <w:sz w:val="24"/>
      <w:szCs w:val="24"/>
      <w:lang w:val="en-GB"/>
    </w:rPr>
  </w:style>
  <w:style w:type="paragraph" w:styleId="BodyTextFirstIndent2">
    <w:name w:val="Body Text First Indent 2"/>
    <w:basedOn w:val="BodyTextIndent"/>
    <w:link w:val="BodyTextFirstIndent2Char"/>
    <w:uiPriority w:val="98"/>
    <w:semiHidden/>
    <w:rsid w:val="00A96A5A"/>
    <w:pPr>
      <w:spacing w:after="0"/>
      <w:ind w:left="360" w:firstLine="360"/>
    </w:pPr>
  </w:style>
  <w:style w:type="character" w:customStyle="1" w:styleId="BodyTextFirstIndent2Char">
    <w:name w:val="Body Text First Indent 2 Char"/>
    <w:basedOn w:val="BodyTextIndentChar"/>
    <w:link w:val="BodyTextFirstIndent2"/>
    <w:uiPriority w:val="98"/>
    <w:semiHidden/>
    <w:rsid w:val="00A96A5A"/>
    <w:rPr>
      <w:sz w:val="24"/>
      <w:szCs w:val="24"/>
      <w:lang w:val="en-GB"/>
    </w:rPr>
  </w:style>
  <w:style w:type="paragraph" w:styleId="BodyTextIndent2">
    <w:name w:val="Body Text Indent 2"/>
    <w:basedOn w:val="Normal"/>
    <w:link w:val="BodyTextIndent2Char"/>
    <w:uiPriority w:val="98"/>
    <w:semiHidden/>
    <w:rsid w:val="00A96A5A"/>
    <w:pPr>
      <w:spacing w:after="120" w:line="480" w:lineRule="auto"/>
      <w:ind w:left="283"/>
    </w:pPr>
  </w:style>
  <w:style w:type="character" w:customStyle="1" w:styleId="BodyTextIndent2Char">
    <w:name w:val="Body Text Indent 2 Char"/>
    <w:basedOn w:val="DefaultParagraphFont"/>
    <w:link w:val="BodyTextIndent2"/>
    <w:uiPriority w:val="98"/>
    <w:semiHidden/>
    <w:rsid w:val="00A96A5A"/>
    <w:rPr>
      <w:sz w:val="24"/>
      <w:szCs w:val="24"/>
      <w:lang w:val="en-GB"/>
    </w:rPr>
  </w:style>
  <w:style w:type="paragraph" w:styleId="BodyTextIndent3">
    <w:name w:val="Body Text Indent 3"/>
    <w:basedOn w:val="Normal"/>
    <w:link w:val="BodyTextIndent3Char"/>
    <w:uiPriority w:val="98"/>
    <w:semiHidden/>
    <w:rsid w:val="00A96A5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96A5A"/>
    <w:rPr>
      <w:sz w:val="16"/>
      <w:szCs w:val="16"/>
      <w:lang w:val="en-GB"/>
    </w:rPr>
  </w:style>
  <w:style w:type="paragraph" w:styleId="Caption">
    <w:name w:val="caption"/>
    <w:basedOn w:val="Normal"/>
    <w:next w:val="Normal"/>
    <w:uiPriority w:val="98"/>
    <w:semiHidden/>
    <w:qFormat/>
    <w:rsid w:val="00A96A5A"/>
    <w:pPr>
      <w:spacing w:after="200"/>
    </w:pPr>
    <w:rPr>
      <w:b/>
      <w:bCs/>
      <w:color w:val="0072BC" w:themeColor="accent1"/>
      <w:sz w:val="18"/>
      <w:szCs w:val="18"/>
    </w:rPr>
  </w:style>
  <w:style w:type="paragraph" w:styleId="Closing">
    <w:name w:val="Closing"/>
    <w:basedOn w:val="Normal"/>
    <w:link w:val="ClosingChar"/>
    <w:uiPriority w:val="98"/>
    <w:semiHidden/>
    <w:rsid w:val="00A96A5A"/>
    <w:pPr>
      <w:ind w:left="4252"/>
    </w:pPr>
  </w:style>
  <w:style w:type="character" w:customStyle="1" w:styleId="ClosingChar">
    <w:name w:val="Closing Char"/>
    <w:basedOn w:val="DefaultParagraphFont"/>
    <w:link w:val="Closing"/>
    <w:uiPriority w:val="98"/>
    <w:semiHidden/>
    <w:rsid w:val="00A96A5A"/>
    <w:rPr>
      <w:sz w:val="24"/>
      <w:szCs w:val="24"/>
      <w:lang w:val="en-GB"/>
    </w:rPr>
  </w:style>
  <w:style w:type="table" w:styleId="ColorfulGrid">
    <w:name w:val="Colorful Grid"/>
    <w:basedOn w:val="TableNormal"/>
    <w:uiPriority w:val="73"/>
    <w:semiHidden/>
    <w:rsid w:val="00A96A5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96A5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96A5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96A5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96A5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96A5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96A5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96A5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96A5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96A5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96A5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96A5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96A5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96A5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96A5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96A5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96A5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96A5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96A5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96A5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96A5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96A5A"/>
    <w:rPr>
      <w:sz w:val="16"/>
      <w:szCs w:val="16"/>
    </w:rPr>
  </w:style>
  <w:style w:type="paragraph" w:styleId="CommentText">
    <w:name w:val="annotation text"/>
    <w:basedOn w:val="Normal"/>
    <w:link w:val="CommentTextChar"/>
    <w:uiPriority w:val="98"/>
    <w:semiHidden/>
    <w:rsid w:val="00A96A5A"/>
    <w:rPr>
      <w:sz w:val="20"/>
      <w:szCs w:val="20"/>
    </w:rPr>
  </w:style>
  <w:style w:type="character" w:customStyle="1" w:styleId="CommentTextChar">
    <w:name w:val="Comment Text Char"/>
    <w:basedOn w:val="DefaultParagraphFont"/>
    <w:link w:val="CommentText"/>
    <w:uiPriority w:val="98"/>
    <w:semiHidden/>
    <w:rsid w:val="00A96A5A"/>
    <w:rPr>
      <w:sz w:val="20"/>
      <w:szCs w:val="20"/>
      <w:lang w:val="en-GB"/>
    </w:rPr>
  </w:style>
  <w:style w:type="paragraph" w:styleId="CommentSubject">
    <w:name w:val="annotation subject"/>
    <w:basedOn w:val="CommentText"/>
    <w:next w:val="CommentText"/>
    <w:link w:val="CommentSubjectChar"/>
    <w:uiPriority w:val="98"/>
    <w:semiHidden/>
    <w:rsid w:val="00A96A5A"/>
    <w:rPr>
      <w:b/>
      <w:bCs/>
    </w:rPr>
  </w:style>
  <w:style w:type="character" w:customStyle="1" w:styleId="CommentSubjectChar">
    <w:name w:val="Comment Subject Char"/>
    <w:basedOn w:val="CommentTextChar"/>
    <w:link w:val="CommentSubject"/>
    <w:uiPriority w:val="98"/>
    <w:semiHidden/>
    <w:rsid w:val="00A96A5A"/>
    <w:rPr>
      <w:b/>
      <w:bCs/>
      <w:sz w:val="20"/>
      <w:szCs w:val="20"/>
      <w:lang w:val="en-GB"/>
    </w:rPr>
  </w:style>
  <w:style w:type="table" w:styleId="DarkList">
    <w:name w:val="Dark List"/>
    <w:basedOn w:val="TableNormal"/>
    <w:uiPriority w:val="70"/>
    <w:semiHidden/>
    <w:rsid w:val="00A96A5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96A5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96A5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96A5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96A5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96A5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96A5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96A5A"/>
  </w:style>
  <w:style w:type="character" w:customStyle="1" w:styleId="DateChar">
    <w:name w:val="Date Char"/>
    <w:basedOn w:val="DefaultParagraphFont"/>
    <w:link w:val="Date"/>
    <w:uiPriority w:val="98"/>
    <w:semiHidden/>
    <w:rsid w:val="00A96A5A"/>
    <w:rPr>
      <w:sz w:val="24"/>
      <w:szCs w:val="24"/>
      <w:lang w:val="en-GB"/>
    </w:rPr>
  </w:style>
  <w:style w:type="paragraph" w:styleId="DocumentMap">
    <w:name w:val="Document Map"/>
    <w:basedOn w:val="Normal"/>
    <w:link w:val="DocumentMapChar"/>
    <w:uiPriority w:val="98"/>
    <w:semiHidden/>
    <w:rsid w:val="00A96A5A"/>
    <w:rPr>
      <w:rFonts w:ascii="Tahoma" w:hAnsi="Tahoma" w:cs="Tahoma"/>
      <w:sz w:val="16"/>
      <w:szCs w:val="16"/>
    </w:rPr>
  </w:style>
  <w:style w:type="character" w:customStyle="1" w:styleId="DocumentMapChar">
    <w:name w:val="Document Map Char"/>
    <w:basedOn w:val="DefaultParagraphFont"/>
    <w:link w:val="DocumentMap"/>
    <w:uiPriority w:val="98"/>
    <w:semiHidden/>
    <w:rsid w:val="00A96A5A"/>
    <w:rPr>
      <w:rFonts w:ascii="Tahoma" w:hAnsi="Tahoma" w:cs="Tahoma"/>
      <w:sz w:val="16"/>
      <w:szCs w:val="16"/>
      <w:lang w:val="en-GB"/>
    </w:rPr>
  </w:style>
  <w:style w:type="paragraph" w:styleId="E-mailSignature">
    <w:name w:val="E-mail Signature"/>
    <w:basedOn w:val="Normal"/>
    <w:link w:val="E-mailSignatureChar"/>
    <w:uiPriority w:val="98"/>
    <w:semiHidden/>
    <w:rsid w:val="00A96A5A"/>
  </w:style>
  <w:style w:type="character" w:customStyle="1" w:styleId="E-mailSignatureChar">
    <w:name w:val="E-mail Signature Char"/>
    <w:basedOn w:val="DefaultParagraphFont"/>
    <w:link w:val="E-mailSignature"/>
    <w:uiPriority w:val="98"/>
    <w:semiHidden/>
    <w:rsid w:val="00A96A5A"/>
    <w:rPr>
      <w:sz w:val="24"/>
      <w:szCs w:val="24"/>
      <w:lang w:val="en-GB"/>
    </w:rPr>
  </w:style>
  <w:style w:type="character" w:styleId="EndnoteReference">
    <w:name w:val="endnote reference"/>
    <w:basedOn w:val="DefaultParagraphFont"/>
    <w:uiPriority w:val="98"/>
    <w:semiHidden/>
    <w:rsid w:val="00A96A5A"/>
    <w:rPr>
      <w:vertAlign w:val="superscript"/>
    </w:rPr>
  </w:style>
  <w:style w:type="paragraph" w:styleId="EndnoteText">
    <w:name w:val="endnote text"/>
    <w:basedOn w:val="Normal"/>
    <w:link w:val="EndnoteTextChar"/>
    <w:uiPriority w:val="98"/>
    <w:semiHidden/>
    <w:rsid w:val="00A96A5A"/>
    <w:rPr>
      <w:sz w:val="20"/>
      <w:szCs w:val="20"/>
    </w:rPr>
  </w:style>
  <w:style w:type="character" w:customStyle="1" w:styleId="EndnoteTextChar">
    <w:name w:val="Endnote Text Char"/>
    <w:basedOn w:val="DefaultParagraphFont"/>
    <w:link w:val="EndnoteText"/>
    <w:uiPriority w:val="98"/>
    <w:semiHidden/>
    <w:rsid w:val="00A96A5A"/>
    <w:rPr>
      <w:sz w:val="20"/>
      <w:szCs w:val="20"/>
      <w:lang w:val="en-GB"/>
    </w:rPr>
  </w:style>
  <w:style w:type="paragraph" w:styleId="EnvelopeAddress">
    <w:name w:val="envelope address"/>
    <w:basedOn w:val="Normal"/>
    <w:uiPriority w:val="98"/>
    <w:semiHidden/>
    <w:rsid w:val="00A96A5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96A5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96A5A"/>
    <w:rPr>
      <w:color w:val="7030A0" w:themeColor="followedHyperlink"/>
      <w:u w:val="single"/>
    </w:rPr>
  </w:style>
  <w:style w:type="character" w:styleId="HTMLAcronym">
    <w:name w:val="HTML Acronym"/>
    <w:basedOn w:val="DefaultParagraphFont"/>
    <w:uiPriority w:val="98"/>
    <w:semiHidden/>
    <w:rsid w:val="00A96A5A"/>
  </w:style>
  <w:style w:type="paragraph" w:styleId="HTMLAddress">
    <w:name w:val="HTML Address"/>
    <w:basedOn w:val="Normal"/>
    <w:link w:val="HTMLAddressChar"/>
    <w:uiPriority w:val="98"/>
    <w:semiHidden/>
    <w:rsid w:val="00A96A5A"/>
    <w:rPr>
      <w:i/>
      <w:iCs/>
    </w:rPr>
  </w:style>
  <w:style w:type="character" w:customStyle="1" w:styleId="HTMLAddressChar">
    <w:name w:val="HTML Address Char"/>
    <w:basedOn w:val="DefaultParagraphFont"/>
    <w:link w:val="HTMLAddress"/>
    <w:uiPriority w:val="98"/>
    <w:semiHidden/>
    <w:rsid w:val="00A96A5A"/>
    <w:rPr>
      <w:i/>
      <w:iCs/>
      <w:sz w:val="24"/>
      <w:szCs w:val="24"/>
      <w:lang w:val="en-GB"/>
    </w:rPr>
  </w:style>
  <w:style w:type="character" w:styleId="HTMLCite">
    <w:name w:val="HTML Cite"/>
    <w:basedOn w:val="DefaultParagraphFont"/>
    <w:uiPriority w:val="98"/>
    <w:semiHidden/>
    <w:rsid w:val="00A96A5A"/>
    <w:rPr>
      <w:i/>
      <w:iCs/>
    </w:rPr>
  </w:style>
  <w:style w:type="character" w:styleId="HTMLCode">
    <w:name w:val="HTML Code"/>
    <w:basedOn w:val="DefaultParagraphFont"/>
    <w:uiPriority w:val="98"/>
    <w:semiHidden/>
    <w:rsid w:val="00A96A5A"/>
    <w:rPr>
      <w:rFonts w:ascii="Consolas" w:hAnsi="Consolas" w:cs="Consolas"/>
      <w:sz w:val="20"/>
      <w:szCs w:val="20"/>
    </w:rPr>
  </w:style>
  <w:style w:type="character" w:styleId="HTMLDefinition">
    <w:name w:val="HTML Definition"/>
    <w:basedOn w:val="DefaultParagraphFont"/>
    <w:uiPriority w:val="98"/>
    <w:semiHidden/>
    <w:rsid w:val="00A96A5A"/>
    <w:rPr>
      <w:i/>
      <w:iCs/>
    </w:rPr>
  </w:style>
  <w:style w:type="character" w:styleId="HTMLKeyboard">
    <w:name w:val="HTML Keyboard"/>
    <w:basedOn w:val="DefaultParagraphFont"/>
    <w:uiPriority w:val="98"/>
    <w:semiHidden/>
    <w:rsid w:val="00A96A5A"/>
    <w:rPr>
      <w:rFonts w:ascii="Consolas" w:hAnsi="Consolas" w:cs="Consolas"/>
      <w:sz w:val="20"/>
      <w:szCs w:val="20"/>
    </w:rPr>
  </w:style>
  <w:style w:type="paragraph" w:styleId="HTMLPreformatted">
    <w:name w:val="HTML Preformatted"/>
    <w:basedOn w:val="Normal"/>
    <w:link w:val="HTMLPreformattedChar"/>
    <w:uiPriority w:val="98"/>
    <w:semiHidden/>
    <w:rsid w:val="00A96A5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96A5A"/>
    <w:rPr>
      <w:rFonts w:ascii="Consolas" w:hAnsi="Consolas" w:cs="Consolas"/>
      <w:sz w:val="20"/>
      <w:szCs w:val="20"/>
      <w:lang w:val="en-GB"/>
    </w:rPr>
  </w:style>
  <w:style w:type="character" w:styleId="HTMLSample">
    <w:name w:val="HTML Sample"/>
    <w:basedOn w:val="DefaultParagraphFont"/>
    <w:uiPriority w:val="98"/>
    <w:semiHidden/>
    <w:rsid w:val="00A96A5A"/>
    <w:rPr>
      <w:rFonts w:ascii="Consolas" w:hAnsi="Consolas" w:cs="Consolas"/>
      <w:sz w:val="24"/>
      <w:szCs w:val="24"/>
    </w:rPr>
  </w:style>
  <w:style w:type="character" w:styleId="HTMLTypewriter">
    <w:name w:val="HTML Typewriter"/>
    <w:basedOn w:val="DefaultParagraphFont"/>
    <w:uiPriority w:val="98"/>
    <w:semiHidden/>
    <w:rsid w:val="00A96A5A"/>
    <w:rPr>
      <w:rFonts w:ascii="Consolas" w:hAnsi="Consolas" w:cs="Consolas"/>
      <w:sz w:val="20"/>
      <w:szCs w:val="20"/>
    </w:rPr>
  </w:style>
  <w:style w:type="character" w:styleId="HTMLVariable">
    <w:name w:val="HTML Variable"/>
    <w:basedOn w:val="DefaultParagraphFont"/>
    <w:uiPriority w:val="98"/>
    <w:semiHidden/>
    <w:rsid w:val="00A96A5A"/>
    <w:rPr>
      <w:i/>
      <w:iCs/>
    </w:rPr>
  </w:style>
  <w:style w:type="paragraph" w:styleId="Index1">
    <w:name w:val="index 1"/>
    <w:basedOn w:val="Normal"/>
    <w:next w:val="Normal"/>
    <w:autoRedefine/>
    <w:uiPriority w:val="98"/>
    <w:semiHidden/>
    <w:rsid w:val="00A96A5A"/>
    <w:pPr>
      <w:ind w:left="240" w:hanging="240"/>
    </w:pPr>
  </w:style>
  <w:style w:type="paragraph" w:styleId="Index2">
    <w:name w:val="index 2"/>
    <w:basedOn w:val="Normal"/>
    <w:next w:val="Normal"/>
    <w:autoRedefine/>
    <w:uiPriority w:val="98"/>
    <w:semiHidden/>
    <w:rsid w:val="00A96A5A"/>
    <w:pPr>
      <w:ind w:left="480" w:hanging="240"/>
    </w:pPr>
  </w:style>
  <w:style w:type="paragraph" w:styleId="Index3">
    <w:name w:val="index 3"/>
    <w:basedOn w:val="Normal"/>
    <w:next w:val="Normal"/>
    <w:autoRedefine/>
    <w:uiPriority w:val="98"/>
    <w:semiHidden/>
    <w:rsid w:val="00A96A5A"/>
    <w:pPr>
      <w:ind w:left="720" w:hanging="240"/>
    </w:pPr>
  </w:style>
  <w:style w:type="paragraph" w:styleId="Index4">
    <w:name w:val="index 4"/>
    <w:basedOn w:val="Normal"/>
    <w:next w:val="Normal"/>
    <w:autoRedefine/>
    <w:uiPriority w:val="98"/>
    <w:semiHidden/>
    <w:rsid w:val="00A96A5A"/>
    <w:pPr>
      <w:ind w:left="960" w:hanging="240"/>
    </w:pPr>
  </w:style>
  <w:style w:type="paragraph" w:styleId="Index5">
    <w:name w:val="index 5"/>
    <w:basedOn w:val="Normal"/>
    <w:next w:val="Normal"/>
    <w:autoRedefine/>
    <w:uiPriority w:val="98"/>
    <w:semiHidden/>
    <w:rsid w:val="00A96A5A"/>
    <w:pPr>
      <w:ind w:left="1200" w:hanging="240"/>
    </w:pPr>
  </w:style>
  <w:style w:type="paragraph" w:styleId="Index6">
    <w:name w:val="index 6"/>
    <w:basedOn w:val="Normal"/>
    <w:next w:val="Normal"/>
    <w:autoRedefine/>
    <w:uiPriority w:val="98"/>
    <w:semiHidden/>
    <w:rsid w:val="00A96A5A"/>
    <w:pPr>
      <w:ind w:left="1440" w:hanging="240"/>
    </w:pPr>
  </w:style>
  <w:style w:type="paragraph" w:styleId="Index7">
    <w:name w:val="index 7"/>
    <w:basedOn w:val="Normal"/>
    <w:next w:val="Normal"/>
    <w:autoRedefine/>
    <w:uiPriority w:val="98"/>
    <w:semiHidden/>
    <w:rsid w:val="00A96A5A"/>
    <w:pPr>
      <w:ind w:left="1680" w:hanging="240"/>
    </w:pPr>
  </w:style>
  <w:style w:type="paragraph" w:styleId="Index8">
    <w:name w:val="index 8"/>
    <w:basedOn w:val="Normal"/>
    <w:next w:val="Normal"/>
    <w:autoRedefine/>
    <w:uiPriority w:val="98"/>
    <w:semiHidden/>
    <w:rsid w:val="00A96A5A"/>
    <w:pPr>
      <w:ind w:left="1920" w:hanging="240"/>
    </w:pPr>
  </w:style>
  <w:style w:type="paragraph" w:styleId="Index9">
    <w:name w:val="index 9"/>
    <w:basedOn w:val="Normal"/>
    <w:next w:val="Normal"/>
    <w:autoRedefine/>
    <w:uiPriority w:val="98"/>
    <w:semiHidden/>
    <w:rsid w:val="00A96A5A"/>
    <w:pPr>
      <w:ind w:left="2160" w:hanging="240"/>
    </w:pPr>
  </w:style>
  <w:style w:type="paragraph" w:styleId="IndexHeading">
    <w:name w:val="index heading"/>
    <w:basedOn w:val="Normal"/>
    <w:next w:val="Index1"/>
    <w:uiPriority w:val="98"/>
    <w:semiHidden/>
    <w:rsid w:val="00A96A5A"/>
    <w:rPr>
      <w:rFonts w:asciiTheme="majorHAnsi" w:eastAsiaTheme="majorEastAsia" w:hAnsiTheme="majorHAnsi" w:cstheme="majorBidi"/>
      <w:b/>
      <w:bCs/>
    </w:rPr>
  </w:style>
  <w:style w:type="table" w:styleId="LightGrid">
    <w:name w:val="Light Grid"/>
    <w:basedOn w:val="TableNormal"/>
    <w:uiPriority w:val="62"/>
    <w:semiHidden/>
    <w:rsid w:val="00A96A5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96A5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96A5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96A5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96A5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96A5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96A5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96A5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96A5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96A5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96A5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96A5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96A5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96A5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96A5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96A5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96A5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96A5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96A5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96A5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96A5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96A5A"/>
  </w:style>
  <w:style w:type="paragraph" w:styleId="List">
    <w:name w:val="List"/>
    <w:basedOn w:val="Normal"/>
    <w:uiPriority w:val="98"/>
    <w:semiHidden/>
    <w:rsid w:val="00A96A5A"/>
    <w:pPr>
      <w:ind w:left="283" w:hanging="283"/>
      <w:contextualSpacing/>
    </w:pPr>
  </w:style>
  <w:style w:type="paragraph" w:styleId="List20">
    <w:name w:val="List 2"/>
    <w:basedOn w:val="Normal"/>
    <w:uiPriority w:val="98"/>
    <w:semiHidden/>
    <w:rsid w:val="00A96A5A"/>
    <w:pPr>
      <w:ind w:left="566" w:hanging="283"/>
      <w:contextualSpacing/>
    </w:pPr>
  </w:style>
  <w:style w:type="paragraph" w:styleId="List30">
    <w:name w:val="List 3"/>
    <w:basedOn w:val="Normal"/>
    <w:uiPriority w:val="98"/>
    <w:semiHidden/>
    <w:rsid w:val="00A96A5A"/>
    <w:pPr>
      <w:ind w:left="849" w:hanging="283"/>
      <w:contextualSpacing/>
    </w:pPr>
  </w:style>
  <w:style w:type="paragraph" w:styleId="List4">
    <w:name w:val="List 4"/>
    <w:basedOn w:val="Normal"/>
    <w:uiPriority w:val="98"/>
    <w:semiHidden/>
    <w:rsid w:val="00A96A5A"/>
    <w:pPr>
      <w:ind w:left="1132" w:hanging="283"/>
      <w:contextualSpacing/>
    </w:pPr>
  </w:style>
  <w:style w:type="paragraph" w:styleId="List5">
    <w:name w:val="List 5"/>
    <w:basedOn w:val="Normal"/>
    <w:uiPriority w:val="98"/>
    <w:semiHidden/>
    <w:rsid w:val="00A96A5A"/>
    <w:pPr>
      <w:ind w:left="1415" w:hanging="283"/>
      <w:contextualSpacing/>
    </w:pPr>
  </w:style>
  <w:style w:type="paragraph" w:styleId="ListBullet2">
    <w:name w:val="List Bullet 2"/>
    <w:basedOn w:val="Normal"/>
    <w:uiPriority w:val="98"/>
    <w:semiHidden/>
    <w:rsid w:val="00A96A5A"/>
    <w:pPr>
      <w:numPr>
        <w:numId w:val="8"/>
      </w:numPr>
      <w:contextualSpacing/>
    </w:pPr>
  </w:style>
  <w:style w:type="paragraph" w:styleId="ListBullet4">
    <w:name w:val="List Bullet 4"/>
    <w:basedOn w:val="Normal"/>
    <w:uiPriority w:val="98"/>
    <w:semiHidden/>
    <w:rsid w:val="00A96A5A"/>
    <w:pPr>
      <w:numPr>
        <w:numId w:val="10"/>
      </w:numPr>
      <w:contextualSpacing/>
    </w:pPr>
  </w:style>
  <w:style w:type="paragraph" w:styleId="ListBullet5">
    <w:name w:val="List Bullet 5"/>
    <w:basedOn w:val="Normal"/>
    <w:uiPriority w:val="98"/>
    <w:semiHidden/>
    <w:rsid w:val="00A96A5A"/>
    <w:pPr>
      <w:numPr>
        <w:numId w:val="11"/>
      </w:numPr>
      <w:contextualSpacing/>
    </w:pPr>
  </w:style>
  <w:style w:type="paragraph" w:styleId="ListContinue">
    <w:name w:val="List Continue"/>
    <w:basedOn w:val="Normal"/>
    <w:uiPriority w:val="98"/>
    <w:semiHidden/>
    <w:rsid w:val="00A96A5A"/>
    <w:pPr>
      <w:spacing w:after="120"/>
      <w:ind w:left="283"/>
      <w:contextualSpacing/>
    </w:pPr>
  </w:style>
  <w:style w:type="paragraph" w:styleId="ListContinue2">
    <w:name w:val="List Continue 2"/>
    <w:basedOn w:val="Normal"/>
    <w:uiPriority w:val="98"/>
    <w:semiHidden/>
    <w:rsid w:val="00A96A5A"/>
    <w:pPr>
      <w:spacing w:after="120"/>
      <w:ind w:left="566"/>
      <w:contextualSpacing/>
    </w:pPr>
  </w:style>
  <w:style w:type="paragraph" w:styleId="ListContinue3">
    <w:name w:val="List Continue 3"/>
    <w:basedOn w:val="Normal"/>
    <w:uiPriority w:val="98"/>
    <w:semiHidden/>
    <w:rsid w:val="00A96A5A"/>
    <w:pPr>
      <w:spacing w:after="120"/>
      <w:ind w:left="849"/>
      <w:contextualSpacing/>
    </w:pPr>
  </w:style>
  <w:style w:type="paragraph" w:styleId="ListContinue4">
    <w:name w:val="List Continue 4"/>
    <w:basedOn w:val="Normal"/>
    <w:uiPriority w:val="98"/>
    <w:semiHidden/>
    <w:rsid w:val="00A96A5A"/>
    <w:pPr>
      <w:spacing w:after="120"/>
      <w:ind w:left="1132"/>
      <w:contextualSpacing/>
    </w:pPr>
  </w:style>
  <w:style w:type="paragraph" w:styleId="ListContinue5">
    <w:name w:val="List Continue 5"/>
    <w:basedOn w:val="Normal"/>
    <w:uiPriority w:val="98"/>
    <w:semiHidden/>
    <w:rsid w:val="00A96A5A"/>
    <w:pPr>
      <w:spacing w:after="120"/>
      <w:ind w:left="1415"/>
      <w:contextualSpacing/>
    </w:pPr>
  </w:style>
  <w:style w:type="paragraph" w:styleId="ListNumber">
    <w:name w:val="List Number"/>
    <w:basedOn w:val="Normal"/>
    <w:uiPriority w:val="98"/>
    <w:semiHidden/>
    <w:rsid w:val="00A96A5A"/>
    <w:pPr>
      <w:numPr>
        <w:numId w:val="12"/>
      </w:numPr>
      <w:contextualSpacing/>
    </w:pPr>
  </w:style>
  <w:style w:type="paragraph" w:styleId="ListNumber2">
    <w:name w:val="List Number 2"/>
    <w:basedOn w:val="Normal"/>
    <w:uiPriority w:val="98"/>
    <w:semiHidden/>
    <w:rsid w:val="00A96A5A"/>
    <w:pPr>
      <w:numPr>
        <w:numId w:val="13"/>
      </w:numPr>
      <w:contextualSpacing/>
    </w:pPr>
  </w:style>
  <w:style w:type="paragraph" w:styleId="ListNumber3">
    <w:name w:val="List Number 3"/>
    <w:basedOn w:val="Normal"/>
    <w:uiPriority w:val="98"/>
    <w:semiHidden/>
    <w:rsid w:val="00A96A5A"/>
    <w:pPr>
      <w:numPr>
        <w:numId w:val="14"/>
      </w:numPr>
      <w:contextualSpacing/>
    </w:pPr>
  </w:style>
  <w:style w:type="paragraph" w:styleId="ListNumber4">
    <w:name w:val="List Number 4"/>
    <w:basedOn w:val="Normal"/>
    <w:uiPriority w:val="98"/>
    <w:semiHidden/>
    <w:rsid w:val="00A96A5A"/>
    <w:pPr>
      <w:numPr>
        <w:numId w:val="15"/>
      </w:numPr>
      <w:contextualSpacing/>
    </w:pPr>
  </w:style>
  <w:style w:type="paragraph" w:styleId="ListNumber5">
    <w:name w:val="List Number 5"/>
    <w:basedOn w:val="Normal"/>
    <w:uiPriority w:val="98"/>
    <w:semiHidden/>
    <w:rsid w:val="00A96A5A"/>
    <w:pPr>
      <w:numPr>
        <w:numId w:val="16"/>
      </w:numPr>
      <w:contextualSpacing/>
    </w:pPr>
  </w:style>
  <w:style w:type="paragraph" w:styleId="Macro">
    <w:name w:val="macro"/>
    <w:link w:val="MacroTextChar"/>
    <w:uiPriority w:val="98"/>
    <w:semiHidden/>
    <w:rsid w:val="00A96A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96A5A"/>
    <w:rPr>
      <w:rFonts w:ascii="Consolas" w:hAnsi="Consolas" w:eastAsiaTheme="minorEastAsia" w:cs="Consolas"/>
      <w:sz w:val="20"/>
      <w:szCs w:val="20"/>
    </w:rPr>
  </w:style>
  <w:style w:type="table" w:styleId="MediumGrid1">
    <w:name w:val="Medium Grid 1"/>
    <w:basedOn w:val="TableNormal"/>
    <w:uiPriority w:val="67"/>
    <w:semiHidden/>
    <w:rsid w:val="00A96A5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96A5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96A5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96A5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96A5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96A5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96A5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96A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96A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96A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96A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96A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96A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96A5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96A5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96A5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96A5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96A5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96A5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96A5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96A5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96A5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96A5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96A5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96A5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96A5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96A5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96A5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96A5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96A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96A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96A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96A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96A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96A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96A5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96A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96A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96A5A"/>
    <w:rPr>
      <w:rFonts w:ascii="Times New Roman" w:hAnsi="Times New Roman" w:cs="Times New Roman"/>
    </w:rPr>
  </w:style>
  <w:style w:type="paragraph" w:styleId="NormalIndent">
    <w:name w:val="Normal Indent"/>
    <w:basedOn w:val="Normal"/>
    <w:uiPriority w:val="98"/>
    <w:semiHidden/>
    <w:rsid w:val="00A96A5A"/>
    <w:pPr>
      <w:ind w:left="720"/>
    </w:pPr>
  </w:style>
  <w:style w:type="paragraph" w:styleId="NoteHeading">
    <w:name w:val="Note Heading"/>
    <w:basedOn w:val="Normal"/>
    <w:next w:val="Normal"/>
    <w:link w:val="NoteHeadingChar"/>
    <w:uiPriority w:val="98"/>
    <w:semiHidden/>
    <w:rsid w:val="00A96A5A"/>
  </w:style>
  <w:style w:type="character" w:customStyle="1" w:styleId="NoteHeadingChar">
    <w:name w:val="Note Heading Char"/>
    <w:basedOn w:val="DefaultParagraphFont"/>
    <w:link w:val="NoteHeading"/>
    <w:uiPriority w:val="98"/>
    <w:semiHidden/>
    <w:rsid w:val="00A96A5A"/>
    <w:rPr>
      <w:sz w:val="24"/>
      <w:szCs w:val="24"/>
      <w:lang w:val="en-GB"/>
    </w:rPr>
  </w:style>
  <w:style w:type="character" w:styleId="PlaceholderText">
    <w:name w:val="Placeholder Text"/>
    <w:basedOn w:val="DefaultParagraphFont"/>
    <w:uiPriority w:val="98"/>
    <w:semiHidden/>
    <w:rsid w:val="00A96A5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96A5A"/>
    <w:rPr>
      <w:rFonts w:ascii="Consolas" w:hAnsi="Consolas" w:cs="Consolas"/>
      <w:sz w:val="21"/>
      <w:szCs w:val="21"/>
    </w:rPr>
  </w:style>
  <w:style w:type="character" w:customStyle="1" w:styleId="PlainTextChar">
    <w:name w:val="Plain Text Char"/>
    <w:basedOn w:val="DefaultParagraphFont"/>
    <w:link w:val="PlainText"/>
    <w:uiPriority w:val="98"/>
    <w:semiHidden/>
    <w:rsid w:val="00A96A5A"/>
    <w:rPr>
      <w:rFonts w:ascii="Consolas" w:hAnsi="Consolas" w:cs="Consolas"/>
      <w:sz w:val="21"/>
      <w:szCs w:val="21"/>
      <w:lang w:val="en-GB"/>
    </w:rPr>
  </w:style>
  <w:style w:type="paragraph" w:styleId="Salutation">
    <w:name w:val="Salutation"/>
    <w:basedOn w:val="Normal"/>
    <w:next w:val="Normal"/>
    <w:link w:val="SalutationChar"/>
    <w:uiPriority w:val="98"/>
    <w:semiHidden/>
    <w:rsid w:val="00A96A5A"/>
  </w:style>
  <w:style w:type="character" w:customStyle="1" w:styleId="SalutationChar">
    <w:name w:val="Salutation Char"/>
    <w:basedOn w:val="DefaultParagraphFont"/>
    <w:link w:val="Salutation"/>
    <w:uiPriority w:val="98"/>
    <w:semiHidden/>
    <w:rsid w:val="00A96A5A"/>
    <w:rPr>
      <w:sz w:val="24"/>
      <w:szCs w:val="24"/>
      <w:lang w:val="en-GB"/>
    </w:rPr>
  </w:style>
  <w:style w:type="paragraph" w:styleId="Signature0">
    <w:name w:val="Signature"/>
    <w:basedOn w:val="Normal"/>
    <w:link w:val="SignatureChar"/>
    <w:uiPriority w:val="98"/>
    <w:semiHidden/>
    <w:rsid w:val="00A96A5A"/>
    <w:pPr>
      <w:ind w:left="4252"/>
    </w:pPr>
  </w:style>
  <w:style w:type="character" w:customStyle="1" w:styleId="SignatureChar">
    <w:name w:val="Signature Char"/>
    <w:basedOn w:val="DefaultParagraphFont"/>
    <w:link w:val="Signature0"/>
    <w:uiPriority w:val="98"/>
    <w:semiHidden/>
    <w:rsid w:val="00A96A5A"/>
    <w:rPr>
      <w:sz w:val="24"/>
      <w:szCs w:val="24"/>
      <w:lang w:val="en-GB"/>
    </w:rPr>
  </w:style>
  <w:style w:type="table" w:styleId="Table3Deffects1">
    <w:name w:val="Table 3D effects 1"/>
    <w:basedOn w:val="TableNormal"/>
    <w:uiPriority w:val="99"/>
    <w:semiHidden/>
    <w:unhideWhenUsed/>
    <w:rsid w:val="00A96A5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96A5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96A5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96A5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96A5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96A5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96A5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96A5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96A5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96A5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96A5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96A5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96A5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96A5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96A5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96A5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96A5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96A5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96A5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96A5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96A5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96A5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96A5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96A5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96A5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96A5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96A5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96A5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96A5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96A5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96A5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96A5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96A5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96A5A"/>
    <w:pPr>
      <w:ind w:left="240" w:hanging="240"/>
    </w:pPr>
  </w:style>
  <w:style w:type="paragraph" w:styleId="TableofFigures">
    <w:name w:val="table of figures"/>
    <w:basedOn w:val="Normal"/>
    <w:next w:val="Normal"/>
    <w:uiPriority w:val="98"/>
    <w:semiHidden/>
    <w:rsid w:val="00A96A5A"/>
  </w:style>
  <w:style w:type="table" w:styleId="TableProfessional">
    <w:name w:val="Table Professional"/>
    <w:basedOn w:val="TableNormal"/>
    <w:uiPriority w:val="99"/>
    <w:semiHidden/>
    <w:unhideWhenUsed/>
    <w:rsid w:val="00A96A5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96A5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96A5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96A5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96A5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96A5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96A5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96A5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96A5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96A5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96A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96A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96A5A"/>
    <w:pPr>
      <w:spacing w:after="100"/>
      <w:ind w:left="1680"/>
    </w:pPr>
  </w:style>
  <w:style w:type="paragraph" w:styleId="TOC9">
    <w:name w:val="toc 9"/>
    <w:basedOn w:val="Normal"/>
    <w:next w:val="Normal"/>
    <w:autoRedefine/>
    <w:uiPriority w:val="98"/>
    <w:semiHidden/>
    <w:rsid w:val="00A96A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96A5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96A5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96A5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A96A5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96A5A"/>
    <w:pPr>
      <w:numPr>
        <w:numId w:val="17"/>
      </w:numPr>
      <w:spacing w:before="60" w:after="60"/>
    </w:pPr>
  </w:style>
  <w:style w:type="paragraph" w:customStyle="1" w:styleId="ECHRBullet2">
    <w:name w:val="ECHR_Bullet_2"/>
    <w:aliases w:val="_Bul_2"/>
    <w:basedOn w:val="ECHRBullet1"/>
    <w:uiPriority w:val="23"/>
    <w:semiHidden/>
    <w:rsid w:val="00A96A5A"/>
    <w:pPr>
      <w:numPr>
        <w:ilvl w:val="1"/>
      </w:numPr>
    </w:pPr>
  </w:style>
  <w:style w:type="paragraph" w:customStyle="1" w:styleId="ECHRBullet3">
    <w:name w:val="ECHR_Bullet_3"/>
    <w:aliases w:val="_Bul_3"/>
    <w:basedOn w:val="ECHRBullet2"/>
    <w:uiPriority w:val="23"/>
    <w:semiHidden/>
    <w:rsid w:val="00A96A5A"/>
    <w:pPr>
      <w:numPr>
        <w:ilvl w:val="2"/>
      </w:numPr>
    </w:pPr>
  </w:style>
  <w:style w:type="paragraph" w:customStyle="1" w:styleId="ECHRBullet4">
    <w:name w:val="ECHR_Bullet_4"/>
    <w:aliases w:val="_Bul_4"/>
    <w:basedOn w:val="ECHRBullet3"/>
    <w:uiPriority w:val="23"/>
    <w:semiHidden/>
    <w:rsid w:val="00A96A5A"/>
    <w:pPr>
      <w:numPr>
        <w:ilvl w:val="3"/>
      </w:numPr>
    </w:pPr>
  </w:style>
  <w:style w:type="paragraph" w:customStyle="1" w:styleId="ECHRConfidential">
    <w:name w:val="ECHR_Confidential"/>
    <w:aliases w:val="_Confidential"/>
    <w:basedOn w:val="Normal"/>
    <w:next w:val="Normal"/>
    <w:uiPriority w:val="42"/>
    <w:semiHidden/>
    <w:qFormat/>
    <w:rsid w:val="00A96A5A"/>
    <w:pPr>
      <w:jc w:val="right"/>
    </w:pPr>
    <w:rPr>
      <w:color w:val="C00000"/>
      <w:sz w:val="20"/>
    </w:rPr>
  </w:style>
  <w:style w:type="paragraph" w:customStyle="1" w:styleId="ECHRDecisionBody">
    <w:name w:val="ECHR_Decision_Body"/>
    <w:aliases w:val="_Decision_Body"/>
    <w:basedOn w:val="NormalJustified"/>
    <w:uiPriority w:val="54"/>
    <w:semiHidden/>
    <w:rsid w:val="00A96A5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96A5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96A5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96A5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96A5A"/>
    <w:pPr>
      <w:jc w:val="right"/>
    </w:pPr>
    <w:rPr>
      <w:sz w:val="20"/>
    </w:rPr>
  </w:style>
  <w:style w:type="paragraph" w:customStyle="1" w:styleId="ECHRHeaderRefIt">
    <w:name w:val="ECHR_Header_Ref_It"/>
    <w:aliases w:val="_Ref_Ital"/>
    <w:basedOn w:val="Normal"/>
    <w:next w:val="ECHRHeaderDate"/>
    <w:uiPriority w:val="43"/>
    <w:semiHidden/>
    <w:qFormat/>
    <w:rsid w:val="00A96A5A"/>
    <w:pPr>
      <w:jc w:val="right"/>
    </w:pPr>
    <w:rPr>
      <w:i/>
      <w:sz w:val="20"/>
    </w:rPr>
  </w:style>
  <w:style w:type="paragraph" w:customStyle="1" w:styleId="ECHRHeading9">
    <w:name w:val="ECHR_Heading_9"/>
    <w:aliases w:val="_Head_9"/>
    <w:basedOn w:val="Heading9"/>
    <w:uiPriority w:val="17"/>
    <w:semiHidden/>
    <w:rsid w:val="00A96A5A"/>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96A5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96A5A"/>
    <w:pPr>
      <w:numPr>
        <w:numId w:val="18"/>
      </w:numPr>
      <w:spacing w:before="60" w:after="60"/>
    </w:pPr>
  </w:style>
  <w:style w:type="paragraph" w:customStyle="1" w:styleId="ECHRNumberedList2">
    <w:name w:val="ECHR_Numbered_List_2"/>
    <w:aliases w:val="_Num_2"/>
    <w:basedOn w:val="ECHRNumberedList1"/>
    <w:uiPriority w:val="23"/>
    <w:semiHidden/>
    <w:rsid w:val="00A96A5A"/>
    <w:pPr>
      <w:numPr>
        <w:ilvl w:val="1"/>
      </w:numPr>
    </w:pPr>
  </w:style>
  <w:style w:type="paragraph" w:customStyle="1" w:styleId="ECHRNumberedList3">
    <w:name w:val="ECHR_Numbered_List_3"/>
    <w:aliases w:val="_Num_3"/>
    <w:basedOn w:val="ECHRNumberedList2"/>
    <w:uiPriority w:val="23"/>
    <w:semiHidden/>
    <w:rsid w:val="00A96A5A"/>
    <w:pPr>
      <w:numPr>
        <w:ilvl w:val="2"/>
      </w:numPr>
    </w:pPr>
  </w:style>
  <w:style w:type="paragraph" w:customStyle="1" w:styleId="ECHRParaHanging">
    <w:name w:val="ECHR_Para_Hanging"/>
    <w:aliases w:val="_Hanging"/>
    <w:basedOn w:val="NormalJustified"/>
    <w:uiPriority w:val="8"/>
    <w:semiHidden/>
    <w:qFormat/>
    <w:rsid w:val="00A96A5A"/>
    <w:pPr>
      <w:ind w:left="567" w:hanging="567"/>
    </w:pPr>
  </w:style>
  <w:style w:type="paragraph" w:customStyle="1" w:styleId="ECHRParaIndent">
    <w:name w:val="ECHR_Para_Indent"/>
    <w:aliases w:val="_Indent"/>
    <w:basedOn w:val="NormalJustified"/>
    <w:uiPriority w:val="7"/>
    <w:semiHidden/>
    <w:qFormat/>
    <w:rsid w:val="00A96A5A"/>
    <w:pPr>
      <w:spacing w:before="120" w:after="120"/>
      <w:ind w:left="284"/>
    </w:pPr>
  </w:style>
  <w:style w:type="character" w:customStyle="1" w:styleId="ECHRRed">
    <w:name w:val="ECHR_Red"/>
    <w:aliases w:val="_Red"/>
    <w:basedOn w:val="DefaultParagraphFont"/>
    <w:uiPriority w:val="15"/>
    <w:semiHidden/>
    <w:qFormat/>
    <w:rsid w:val="00A96A5A"/>
    <w:rPr>
      <w:color w:val="C00000" w:themeColor="accent2"/>
    </w:rPr>
  </w:style>
  <w:style w:type="paragraph" w:customStyle="1" w:styleId="DecList">
    <w:name w:val="Dec_List"/>
    <w:aliases w:val="_List"/>
    <w:basedOn w:val="JuList"/>
    <w:uiPriority w:val="22"/>
    <w:rsid w:val="00A96A5A"/>
    <w:pPr>
      <w:numPr>
        <w:numId w:val="0"/>
      </w:numPr>
      <w:ind w:left="284"/>
    </w:pPr>
  </w:style>
  <w:style w:type="table" w:customStyle="1" w:styleId="ECHRTable2">
    <w:name w:val="ECHR_Table_2"/>
    <w:basedOn w:val="TableNormal"/>
    <w:uiPriority w:val="99"/>
    <w:rsid w:val="00A96A5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96A5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96A5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96A5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96A5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96A5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96A5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96A5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96A5A"/>
    <w:pPr>
      <w:outlineLvl w:val="0"/>
    </w:pPr>
  </w:style>
  <w:style w:type="paragraph" w:customStyle="1" w:styleId="ECHRTitleTOC1">
    <w:name w:val="ECHR_Title_TOC_1"/>
    <w:aliases w:val="_Title_L_TOC"/>
    <w:basedOn w:val="ECHRTitle1"/>
    <w:next w:val="Normal"/>
    <w:uiPriority w:val="27"/>
    <w:semiHidden/>
    <w:qFormat/>
    <w:rsid w:val="00A96A5A"/>
    <w:pPr>
      <w:outlineLvl w:val="0"/>
    </w:pPr>
  </w:style>
  <w:style w:type="paragraph" w:customStyle="1" w:styleId="ECHRPlaceholder">
    <w:name w:val="ECHR_Placeholder"/>
    <w:aliases w:val="_Placeholder"/>
    <w:basedOn w:val="JuSigned"/>
    <w:uiPriority w:val="31"/>
    <w:rsid w:val="00A96A5A"/>
    <w:rPr>
      <w:color w:val="FFFFFF"/>
    </w:rPr>
  </w:style>
  <w:style w:type="paragraph" w:customStyle="1" w:styleId="ECHRSpacer">
    <w:name w:val="ECHR_Spacer"/>
    <w:aliases w:val="_Spacer"/>
    <w:basedOn w:val="Normal"/>
    <w:uiPriority w:val="45"/>
    <w:semiHidden/>
    <w:rsid w:val="00A96A5A"/>
    <w:rPr>
      <w:sz w:val="4"/>
    </w:rPr>
  </w:style>
  <w:style w:type="table" w:customStyle="1" w:styleId="ECHRTableGrey">
    <w:name w:val="ECHR_Table_Grey"/>
    <w:basedOn w:val="TableNormal"/>
    <w:uiPriority w:val="99"/>
    <w:rsid w:val="00A96A5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96A5A"/>
    <w:rPr>
      <w:color w:val="605E5C"/>
      <w:shd w:val="clear" w:color="auto" w:fill="E1DFDD"/>
    </w:rPr>
  </w:style>
  <w:style w:type="character" w:customStyle="1" w:styleId="JuParaChar">
    <w:name w:val="Ju_Para Char"/>
    <w:aliases w:val="_Para Char"/>
    <w:link w:val="JuPara"/>
    <w:uiPriority w:val="4"/>
    <w:rsid w:val="006A50A4"/>
    <w:rPr>
      <w:sz w:val="24"/>
      <w:szCs w:val="24"/>
      <w:lang w:val="en-GB"/>
    </w:rPr>
  </w:style>
  <w:style w:type="table" w:styleId="GridTable1Light">
    <w:name w:val="Grid Table 1 Light"/>
    <w:basedOn w:val="TableNormal"/>
    <w:uiPriority w:val="46"/>
    <w:semiHidden/>
    <w:rsid w:val="00837F0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37F0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37F0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37F0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37F0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37F0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37F0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37F0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37F0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37F0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37F0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37F0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37F0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37F0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37F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37F0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37F0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37F0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37F0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37F0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37F0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37F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37F0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37F0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37F0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37F0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37F0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37F0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37F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37F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37F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37F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37F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37F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37F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37F0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37F0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37F0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37F0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37F0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37F0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37F0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37F0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37F0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37F0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37F0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37F0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37F0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37F0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37F00"/>
    <w:rPr>
      <w:color w:val="2B579A"/>
      <w:shd w:val="clear" w:color="auto" w:fill="E1DFDD"/>
    </w:rPr>
  </w:style>
  <w:style w:type="table" w:styleId="ListTable1Light">
    <w:name w:val="List Table 1 Light"/>
    <w:basedOn w:val="TableNormal"/>
    <w:uiPriority w:val="46"/>
    <w:semiHidden/>
    <w:rsid w:val="00837F0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37F0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37F0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37F0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37F0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37F0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37F0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37F0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37F0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37F0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37F0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37F0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37F0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37F0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37F0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37F0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37F0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37F0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37F0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37F0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37F0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37F0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37F0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37F0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37F0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37F0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37F0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37F0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37F0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37F0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37F0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37F0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37F0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37F0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37F0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37F0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37F0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37F0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37F0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37F0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37F0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37F0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37F0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37F0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37F0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37F0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37F0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37F0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37F0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37F00"/>
    <w:rPr>
      <w:color w:val="2B579A"/>
      <w:shd w:val="clear" w:color="auto" w:fill="E1DFDD"/>
    </w:rPr>
  </w:style>
  <w:style w:type="table" w:styleId="PlainTable1">
    <w:name w:val="Plain Table 1"/>
    <w:basedOn w:val="TableNormal"/>
    <w:uiPriority w:val="41"/>
    <w:semiHidden/>
    <w:rsid w:val="00837F0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37F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37F0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37F0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37F0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37F00"/>
    <w:rPr>
      <w:u w:val="dotted"/>
    </w:rPr>
  </w:style>
  <w:style w:type="character" w:styleId="SmartLink">
    <w:name w:val="Smart Link"/>
    <w:basedOn w:val="DefaultParagraphFont"/>
    <w:uiPriority w:val="99"/>
    <w:semiHidden/>
    <w:unhideWhenUsed/>
    <w:rsid w:val="00837F00"/>
    <w:rPr>
      <w:color w:val="0000FF"/>
      <w:u w:val="single"/>
      <w:shd w:val="clear" w:color="auto" w:fill="F3F2F1"/>
    </w:rPr>
  </w:style>
  <w:style w:type="table" w:styleId="GridTableLight">
    <w:name w:val="Grid Table Light"/>
    <w:basedOn w:val="TableNormal"/>
    <w:uiPriority w:val="40"/>
    <w:semiHidden/>
    <w:rsid w:val="00837F0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3328</Words>
  <Characters>17340</Characters>
  <Application>Microsoft Office Word</Application>
  <DocSecurity>0</DocSecurity>
  <Lines>327</Lines>
  <Paragraphs>77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2025-05-12T07:23:00Z</dcterms:created>
  <dcterms:modified xsi:type="dcterms:W3CDTF">2025-05-12T07:25:00Z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1694499</vt:lpwstr>
  </property>
  <property fmtid="{D5CDD505-2E9C-101B-9397-08002B2CF9AE}" pid="3" name="cstLanguage">
    <vt:i4>2057</vt:i4>
  </property>
  <property fmtid="{D5CDD505-2E9C-101B-9397-08002B2CF9AE}" pid="4" name="RegisteredNo">
    <vt:lpwstr>3181/22</vt:lpwstr>
  </property>
</Properties>
</file>