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66A60" w:rsidR="00584B25" w:rsidP="00D66A60" w14:paraId="0C85653F" w14:textId="0ABB25B9">
      <w:pPr>
        <w:jc w:val="center"/>
      </w:pPr>
    </w:p>
    <w:p w:rsidRPr="00D66A60" w:rsidR="00584B25" w:rsidP="00D66A60" w14:paraId="7489CEB1" w14:textId="49579A47">
      <w:pPr>
        <w:jc w:val="center"/>
        <w:rPr>
          <w:sz w:val="4"/>
          <w:szCs w:val="4"/>
        </w:rPr>
      </w:pPr>
    </w:p>
    <w:p w:rsidRPr="00D66A60" w:rsidR="00584B25" w:rsidP="00D66A60" w14:paraId="65CB4DF7" w14:textId="1A02B104">
      <w:pPr>
        <w:pStyle w:val="DecHTitle"/>
      </w:pPr>
      <w:r w:rsidRPr="00D66A60">
        <w:t>FIFTH SECTION</w:t>
      </w:r>
    </w:p>
    <w:p w:rsidRPr="00D66A60" w:rsidR="00584B25" w:rsidP="00D66A60" w14:paraId="437AEBB3" w14:textId="77777777">
      <w:pPr>
        <w:pStyle w:val="DecHTitle"/>
      </w:pPr>
      <w:r w:rsidRPr="00D66A60">
        <w:t>DECISION</w:t>
      </w:r>
    </w:p>
    <w:p w:rsidRPr="00D66A60" w:rsidR="00584B25" w:rsidP="00D66A60" w14:paraId="5DB10C3D" w14:textId="46A5F664">
      <w:pPr>
        <w:pStyle w:val="DecHCase"/>
        <w:rPr>
          <w:i/>
        </w:rPr>
      </w:pPr>
      <w:r w:rsidRPr="00D66A60">
        <w:rPr>
          <w:noProof/>
        </w:rPr>
        <w:t>Application no.</w:t>
      </w:r>
      <w:r w:rsidRPr="00D66A60" w:rsidR="006267D3">
        <w:t xml:space="preserve"> </w:t>
      </w:r>
      <w:r w:rsidRPr="00D66A60">
        <w:t>16505/23</w:t>
      </w:r>
      <w:r w:rsidRPr="00D66A60" w:rsidR="006267D3">
        <w:br/>
      </w:r>
      <w:r w:rsidRPr="00D66A60">
        <w:rPr>
          <w:noProof/>
        </w:rPr>
        <w:t>Gennadiy Volodymyrovych KRUPNYK</w:t>
      </w:r>
      <w:r w:rsidRPr="00D66A60">
        <w:rPr>
          <w:noProof/>
        </w:rPr>
        <w:br/>
      </w:r>
      <w:r w:rsidRPr="00D66A60" w:rsidR="006267D3">
        <w:t xml:space="preserve">against </w:t>
      </w:r>
      <w:r w:rsidRPr="00D66A60">
        <w:t>Ukraine</w:t>
      </w:r>
    </w:p>
    <w:p w:rsidRPr="00D66A60" w:rsidR="00584B25" w:rsidP="00D66A60" w14:paraId="6C2F74AC" w14:textId="43BBB683">
      <w:pPr>
        <w:rPr>
          <w:sz w:val="2"/>
          <w:szCs w:val="2"/>
        </w:rPr>
      </w:pPr>
    </w:p>
    <w:p w:rsidRPr="00D66A60" w:rsidR="008D3C58" w:rsidP="00D66A60" w14:paraId="0FA5A962" w14:textId="43BBFEDB">
      <w:pPr>
        <w:pStyle w:val="JuPara"/>
      </w:pPr>
      <w:r w:rsidRPr="00D66A60">
        <w:t xml:space="preserve">The European Court of Human Rights (Fifth Section), sitting on </w:t>
      </w:r>
      <w:r w:rsidRPr="00D66A60" w:rsidR="00584B25">
        <w:t>20 March 2025</w:t>
      </w:r>
      <w:r w:rsidRPr="00D66A60">
        <w:t xml:space="preserve"> as a Committee composed of:</w:t>
      </w:r>
    </w:p>
    <w:p w:rsidRPr="00D66A60" w:rsidR="008D3C58" w:rsidP="00D66A60" w14:paraId="615FD6B0" w14:textId="7C02550B">
      <w:pPr>
        <w:pStyle w:val="JuJudges"/>
        <w:rPr>
          <w:iCs/>
        </w:rPr>
      </w:pPr>
      <w:r w:rsidRPr="00D66A60">
        <w:tab/>
        <w:t xml:space="preserve">Andreas </w:t>
      </w:r>
      <w:r w:rsidRPr="00D66A60">
        <w:t>Zünd</w:t>
      </w:r>
      <w:r w:rsidRPr="00D66A60">
        <w:rPr>
          <w:i/>
        </w:rPr>
        <w:t>, President</w:t>
      </w:r>
      <w:r w:rsidRPr="00D66A60">
        <w:t>,</w:t>
      </w:r>
      <w:r w:rsidRPr="00D66A60">
        <w:br/>
      </w:r>
      <w:r w:rsidRPr="00D66A60">
        <w:tab/>
      </w:r>
      <w:r w:rsidRPr="00D66A60">
        <w:t>Kateřina</w:t>
      </w:r>
      <w:r w:rsidRPr="00D66A60">
        <w:t xml:space="preserve"> </w:t>
      </w:r>
      <w:r w:rsidRPr="00D66A60">
        <w:t>Šimáčková</w:t>
      </w:r>
      <w:r w:rsidRPr="00D66A60">
        <w:t>,</w:t>
      </w:r>
      <w:r w:rsidRPr="00D66A60">
        <w:br/>
      </w:r>
      <w:r w:rsidRPr="00D66A60">
        <w:tab/>
        <w:t>Mykola Gnatovskyy</w:t>
      </w:r>
      <w:r w:rsidRPr="00D66A60">
        <w:rPr>
          <w:i/>
        </w:rPr>
        <w:t>, judges</w:t>
      </w:r>
      <w:r w:rsidRPr="00D66A60">
        <w:t>,</w:t>
      </w:r>
      <w:r w:rsidRPr="00D66A60">
        <w:br/>
        <w:t xml:space="preserve">and Martina Keller, </w:t>
      </w:r>
      <w:r w:rsidRPr="00D66A60">
        <w:rPr>
          <w:i/>
        </w:rPr>
        <w:t>Deputy</w:t>
      </w:r>
      <w:r w:rsidRPr="00D66A60">
        <w:t xml:space="preserve"> </w:t>
      </w:r>
      <w:r w:rsidRPr="00D66A60">
        <w:rPr>
          <w:i/>
          <w:iCs/>
        </w:rPr>
        <w:t>Section Registrar</w:t>
      </w:r>
      <w:r w:rsidRPr="00D66A60">
        <w:rPr>
          <w:i/>
        </w:rPr>
        <w:t>,</w:t>
      </w:r>
    </w:p>
    <w:p w:rsidRPr="00D66A60" w:rsidR="008D3C58" w:rsidP="00D66A60" w14:paraId="34BBFFB8" w14:textId="77777777">
      <w:pPr>
        <w:pStyle w:val="JuPara"/>
      </w:pPr>
      <w:r w:rsidRPr="00D66A60">
        <w:t>Having regard to:</w:t>
      </w:r>
    </w:p>
    <w:p w:rsidRPr="00D66A60" w:rsidR="008D3C58" w:rsidP="00D66A60" w14:paraId="2B4E1142" w14:textId="77777777">
      <w:pPr>
        <w:pStyle w:val="JuPara"/>
      </w:pPr>
      <w:r w:rsidRPr="00D66A60">
        <w:t xml:space="preserve">the application (no. 16505/23) against Ukraine lodged with the Court under Article 34 of the Convention for the Protection of Human Rights and Fundamental Freedoms (“the Convention”) on 27 March 2023 by a Ukrainian national, Mr </w:t>
      </w:r>
      <w:r w:rsidRPr="00D66A60">
        <w:t>Gennadiy</w:t>
      </w:r>
      <w:r w:rsidRPr="00D66A60">
        <w:t xml:space="preserve"> </w:t>
      </w:r>
      <w:r w:rsidRPr="00D66A60">
        <w:t>Volodymyrovych</w:t>
      </w:r>
      <w:r w:rsidRPr="00D66A60">
        <w:t xml:space="preserve"> </w:t>
      </w:r>
      <w:r w:rsidRPr="00D66A60">
        <w:t>Krupnyk</w:t>
      </w:r>
      <w:r w:rsidRPr="00D66A60">
        <w:t>, who was born in 1964 and lives in Lviv (“the applicant”);</w:t>
      </w:r>
    </w:p>
    <w:p w:rsidRPr="00D66A60" w:rsidR="008D3C58" w:rsidP="00D66A60" w14:paraId="6CF8DB87" w14:textId="77777777">
      <w:pPr>
        <w:pStyle w:val="JuPara"/>
      </w:pPr>
      <w:r w:rsidRPr="00D66A60">
        <w:t>Having deliberated, decides as follows:</w:t>
      </w:r>
    </w:p>
    <w:p w:rsidRPr="00D66A60" w:rsidR="008D3C58" w:rsidP="00D66A60" w14:paraId="220ABFFB" w14:textId="2C789C0C">
      <w:pPr>
        <w:pStyle w:val="JuHHead"/>
        <w:numPr>
          <w:ilvl w:val="0"/>
          <w:numId w:val="0"/>
        </w:numPr>
      </w:pPr>
      <w:r w:rsidRPr="00D66A60">
        <w:t>SUBJECT MATTER OF THE CASE</w:t>
      </w:r>
    </w:p>
    <w:p w:rsidRPr="00D66A60" w:rsidR="008D3C58" w:rsidP="00D66A60" w14:paraId="1173D66E" w14:textId="6BBBED39">
      <w:pPr>
        <w:pStyle w:val="JuPara"/>
      </w:pPr>
      <w:r>
        <w:fldChar w:fldCharType="begin"/>
      </w:r>
      <w:r>
        <w:instrText xml:space="preserve"> SEQ level0 \*arabic \* MERGEFORMAT </w:instrText>
      </w:r>
      <w:r>
        <w:fldChar w:fldCharType="separate"/>
      </w:r>
      <w:r w:rsidRPr="00D66A60" w:rsidR="00D66A60">
        <w:rPr>
          <w:noProof/>
        </w:rPr>
        <w:t>1</w:t>
      </w:r>
      <w:r w:rsidRPr="00D66A60" w:rsidR="00D66A60">
        <w:rPr>
          <w:noProof/>
        </w:rPr>
        <w:fldChar w:fldCharType="end"/>
      </w:r>
      <w:r w:rsidRPr="00D66A60">
        <w:t>.  The case concerns the sale of the applicant</w:t>
      </w:r>
      <w:r w:rsidRPr="00D66A60" w:rsidR="00D66A60">
        <w:t>’</w:t>
      </w:r>
      <w:r w:rsidRPr="00D66A60">
        <w:t>s seized property at the allegedly undervalued price.</w:t>
      </w:r>
    </w:p>
    <w:p w:rsidRPr="00D66A60" w:rsidR="008D3C58" w:rsidP="00D66A60" w14:paraId="23F5F010" w14:textId="2CC6306B">
      <w:pPr>
        <w:pStyle w:val="JuPara"/>
      </w:pPr>
      <w:r>
        <w:fldChar w:fldCharType="begin"/>
      </w:r>
      <w:r>
        <w:instrText xml:space="preserve"> SEQ level0 \*arabic \* MERGEFORMAT </w:instrText>
      </w:r>
      <w:r>
        <w:fldChar w:fldCharType="separate"/>
      </w:r>
      <w:r w:rsidRPr="00D66A60" w:rsidR="00D66A60">
        <w:rPr>
          <w:noProof/>
        </w:rPr>
        <w:t>2</w:t>
      </w:r>
      <w:r w:rsidRPr="00D66A60" w:rsidR="00D66A60">
        <w:rPr>
          <w:noProof/>
        </w:rPr>
        <w:fldChar w:fldCharType="end"/>
      </w:r>
      <w:r w:rsidRPr="00D66A60">
        <w:t xml:space="preserve">.  In February 2021 the applicant brought proceedings challenging the actions of a private debt collector regarding the sale of his property. By a judgment of the </w:t>
      </w:r>
      <w:r w:rsidRPr="00D66A60">
        <w:t>Zhovkva</w:t>
      </w:r>
      <w:r w:rsidRPr="00D66A60">
        <w:t xml:space="preserve"> Court of Lviv Region, upheld by the Lviv Court of Appeal on 5 July 2022, following a public hearing, the applicant</w:t>
      </w:r>
      <w:r w:rsidRPr="00D66A60" w:rsidR="00D66A60">
        <w:t>’</w:t>
      </w:r>
      <w:r w:rsidRPr="00D66A60">
        <w:t>s claim was dismissed on the merits. At the end of the hearing, at which the applicant</w:t>
      </w:r>
      <w:r w:rsidRPr="00D66A60" w:rsidR="00D66A60">
        <w:t>’</w:t>
      </w:r>
      <w:r w:rsidRPr="00D66A60">
        <w:t>s legal representative was present, the appellate court pronounced the introductory and operative parts of its decision. The full text of its decision was prepared on 7 July 2022, published in the State Register of Court Decisions on 13 July 2022 and sent to the applicant by post on 23 August 2022.</w:t>
      </w:r>
    </w:p>
    <w:p w:rsidRPr="00D66A60" w:rsidR="008D3C58" w:rsidP="00D66A60" w14:paraId="2D074ED6" w14:textId="027838C2">
      <w:pPr>
        <w:pStyle w:val="JuPara"/>
      </w:pPr>
      <w:r>
        <w:fldChar w:fldCharType="begin"/>
      </w:r>
      <w:r>
        <w:instrText xml:space="preserve"> SEQ level0 \*arabic \* MERGEFORMAT </w:instrText>
      </w:r>
      <w:r>
        <w:fldChar w:fldCharType="separate"/>
      </w:r>
      <w:r w:rsidRPr="00D66A60" w:rsidR="00D66A60">
        <w:rPr>
          <w:noProof/>
        </w:rPr>
        <w:t>3</w:t>
      </w:r>
      <w:r w:rsidRPr="00D66A60" w:rsidR="00D66A60">
        <w:rPr>
          <w:noProof/>
        </w:rPr>
        <w:fldChar w:fldCharType="end"/>
      </w:r>
      <w:r w:rsidRPr="00D66A60">
        <w:t>.  On 21 September 2022 the applicant appealed in cassation against the appellate court</w:t>
      </w:r>
      <w:r w:rsidRPr="00D66A60" w:rsidR="00D66A60">
        <w:t>’</w:t>
      </w:r>
      <w:r w:rsidRPr="00D66A60">
        <w:t xml:space="preserve">s decision of 5 July 2022 and asked the Supreme Court to </w:t>
      </w:r>
      <w:r w:rsidRPr="00D66A60">
        <w:t>extend the statutory thirty-day time-limit for lodging a cassation appeal. He submitted, in this respect, that he had received the full text of the contested decision on 25 August 2022.</w:t>
      </w:r>
    </w:p>
    <w:p w:rsidRPr="00D66A60" w:rsidR="008D3C58" w:rsidP="00D66A60" w14:paraId="0C6823FD" w14:textId="51A583BA">
      <w:pPr>
        <w:pStyle w:val="JuPara"/>
      </w:pPr>
      <w:r>
        <w:fldChar w:fldCharType="begin"/>
      </w:r>
      <w:r>
        <w:instrText xml:space="preserve"> SEQ level0 \*arabic \* MERGEFORMAT </w:instrText>
      </w:r>
      <w:r>
        <w:fldChar w:fldCharType="separate"/>
      </w:r>
      <w:bookmarkStart w:name="paragraph00004" w:id="0"/>
      <w:r w:rsidRPr="00D66A60" w:rsidR="00D66A60">
        <w:rPr>
          <w:noProof/>
        </w:rPr>
        <w:t>4</w:t>
      </w:r>
      <w:bookmarkEnd w:id="0"/>
      <w:r>
        <w:fldChar w:fldCharType="end"/>
      </w:r>
      <w:r w:rsidRPr="00D66A60">
        <w:t>.  </w:t>
      </w:r>
      <w:bookmarkStart w:name="n8811" w:id="1"/>
      <w:bookmarkEnd w:id="1"/>
      <w:r w:rsidRPr="00D66A60">
        <w:t>According to Article 390 § 1 of the Code of Civil Procedure, the statutory thirty-day period starts running from the date on which a decision is pronounced by an appellate court. If only the introductory and operative parts of the decision are pronounced at the court hearing, this period starts running from the date on which the full text of the decision is prepared. Once the decision has been prepared, it is published in the State Register of Court Decisions in accordance with well-established national practice. Parties to the proceedings can familiarise themselves with the decision and obtain a copy of it as soon as it is published.</w:t>
      </w:r>
    </w:p>
    <w:p w:rsidRPr="00D66A60" w:rsidR="008D3C58" w:rsidP="00D66A60" w14:paraId="123955E3" w14:textId="2353948F">
      <w:pPr>
        <w:pStyle w:val="JuPara"/>
      </w:pPr>
      <w:r>
        <w:fldChar w:fldCharType="begin"/>
      </w:r>
      <w:r>
        <w:instrText xml:space="preserve"> SEQ level0 \*arabic \* MERGEFORMAT </w:instrText>
      </w:r>
      <w:r>
        <w:fldChar w:fldCharType="separate"/>
      </w:r>
      <w:bookmarkStart w:name="paragraph00005" w:id="2"/>
      <w:r w:rsidRPr="00D66A60" w:rsidR="00D66A60">
        <w:rPr>
          <w:noProof/>
        </w:rPr>
        <w:t>5</w:t>
      </w:r>
      <w:bookmarkEnd w:id="2"/>
      <w:r>
        <w:fldChar w:fldCharType="end"/>
      </w:r>
      <w:r w:rsidRPr="00D66A60">
        <w:t>.  On 2 December 2022 the Supreme Court rejected the applicant</w:t>
      </w:r>
      <w:r w:rsidRPr="00D66A60" w:rsidR="00D66A60">
        <w:t>’</w:t>
      </w:r>
      <w:r w:rsidRPr="00D66A60">
        <w:t>s request for an extension and refused to open cassation proceedings stating that (</w:t>
      </w:r>
      <w:r w:rsidRPr="00D66A60">
        <w:t>i</w:t>
      </w:r>
      <w:r w:rsidRPr="00D66A60">
        <w:t>) the applicant</w:t>
      </w:r>
      <w:r w:rsidRPr="00D66A60" w:rsidR="00D66A60">
        <w:t>’</w:t>
      </w:r>
      <w:r w:rsidRPr="00D66A60">
        <w:t>s representative had attended the appellate court hearing held on 5 July 2022 and had been informed of the contested decision on that date; (ii) the contested decision had been publicly available since 13 July 2022; and (iii) the applicant had failed to provide any explanation as to why he or his representative had not asked the appellate court to provide a copy of its decision prior to 23 August 2022.</w:t>
      </w:r>
    </w:p>
    <w:p w:rsidRPr="00D66A60" w:rsidR="008D3C58" w:rsidP="00D66A60" w14:paraId="3CA0A90D" w14:textId="66E73A44">
      <w:pPr>
        <w:pStyle w:val="JuHHead"/>
        <w:keepNext w:val="0"/>
        <w:keepLines w:val="0"/>
        <w:numPr>
          <w:ilvl w:val="0"/>
          <w:numId w:val="21"/>
        </w:numPr>
      </w:pPr>
      <w:r w:rsidRPr="00D66A60">
        <w:t>THE COURT</w:t>
      </w:r>
      <w:r w:rsidRPr="00D66A60" w:rsidR="00D66A60">
        <w:t>’</w:t>
      </w:r>
      <w:r w:rsidRPr="00D66A60">
        <w:t>S ASSESSMENT</w:t>
      </w:r>
    </w:p>
    <w:p w:rsidRPr="00D66A60" w:rsidR="008D3C58" w:rsidP="00D66A60" w14:paraId="7A822B6A" w14:textId="25BC8DC6">
      <w:pPr>
        <w:pStyle w:val="JuPara"/>
      </w:pPr>
      <w:r>
        <w:fldChar w:fldCharType="begin"/>
      </w:r>
      <w:r>
        <w:instrText xml:space="preserve"> SEQ level0 \*arabic \* MERGEFORMAT </w:instrText>
      </w:r>
      <w:r>
        <w:fldChar w:fldCharType="separate"/>
      </w:r>
      <w:r w:rsidRPr="00D66A60" w:rsidR="00D66A60">
        <w:rPr>
          <w:noProof/>
        </w:rPr>
        <w:t>6</w:t>
      </w:r>
      <w:r w:rsidRPr="00D66A60" w:rsidR="00D66A60">
        <w:rPr>
          <w:noProof/>
        </w:rPr>
        <w:fldChar w:fldCharType="end"/>
      </w:r>
      <w:r w:rsidRPr="00D66A60">
        <w:t>.  The applicant complained under Articles 6 and 14 of the Convention about the Supreme Court</w:t>
      </w:r>
      <w:r w:rsidRPr="00D66A60" w:rsidR="00D66A60">
        <w:t>’</w:t>
      </w:r>
      <w:r w:rsidRPr="00D66A60">
        <w:t>s refusal to examine his cassation appeal and about the unfavourable outcome of the proceedings on the merits.</w:t>
      </w:r>
    </w:p>
    <w:p w:rsidRPr="00D66A60" w:rsidR="008D3C58" w:rsidP="00D66A60" w14:paraId="6EC87D96" w14:textId="7C4E4F07">
      <w:pPr>
        <w:pStyle w:val="JuPara"/>
      </w:pPr>
      <w:r>
        <w:fldChar w:fldCharType="begin"/>
      </w:r>
      <w:r>
        <w:instrText xml:space="preserve"> SEQ level0 \*arabic \* MERGEFORMAT </w:instrText>
      </w:r>
      <w:r>
        <w:fldChar w:fldCharType="separate"/>
      </w:r>
      <w:r w:rsidRPr="00D66A60" w:rsidR="00D66A60">
        <w:rPr>
          <w:noProof/>
        </w:rPr>
        <w:t>7</w:t>
      </w:r>
      <w:r w:rsidRPr="00D66A60" w:rsidR="00D66A60">
        <w:rPr>
          <w:noProof/>
        </w:rPr>
        <w:fldChar w:fldCharType="end"/>
      </w:r>
      <w:r w:rsidRPr="00D66A60">
        <w:t>.  The Court, being the master of the characterisation to be given in law to the facts of the case, considers that the complaints fall to be examined solely under Article 6 § 1 of the Convention.</w:t>
      </w:r>
    </w:p>
    <w:p w:rsidRPr="00D66A60" w:rsidR="008D3C58" w:rsidP="00D66A60" w14:paraId="1C86DBE8" w14:textId="4DAD0935">
      <w:pPr>
        <w:pStyle w:val="JuPara"/>
      </w:pPr>
      <w:r>
        <w:fldChar w:fldCharType="begin"/>
      </w:r>
      <w:r>
        <w:instrText xml:space="preserve"> SEQ level0 \*arabic \* MERGEFORMAT </w:instrText>
      </w:r>
      <w:r>
        <w:fldChar w:fldCharType="separate"/>
      </w:r>
      <w:r w:rsidRPr="00D66A60" w:rsidR="00D66A60">
        <w:rPr>
          <w:noProof/>
        </w:rPr>
        <w:t>8</w:t>
      </w:r>
      <w:r w:rsidRPr="00D66A60" w:rsidR="00D66A60">
        <w:rPr>
          <w:noProof/>
        </w:rPr>
        <w:fldChar w:fldCharType="end"/>
      </w:r>
      <w:r w:rsidRPr="00D66A60">
        <w:t>.  The relevant principles emerging from the Court</w:t>
      </w:r>
      <w:r w:rsidRPr="00D66A60" w:rsidR="00D66A60">
        <w:t>’</w:t>
      </w:r>
      <w:r w:rsidRPr="00D66A60">
        <w:t xml:space="preserve">s case-law concerning the right of access to a court are summarised in, among other authorities, </w:t>
      </w:r>
      <w:r w:rsidRPr="00D66A60">
        <w:rPr>
          <w:i/>
          <w:iCs/>
        </w:rPr>
        <w:t>Zubac v. Croatia</w:t>
      </w:r>
      <w:r w:rsidRPr="00D66A60">
        <w:t xml:space="preserve"> ([GC], no. 40160/12, §§ 76-99, 5 April 2018).</w:t>
      </w:r>
    </w:p>
    <w:p w:rsidRPr="00D66A60" w:rsidR="008D3C58" w:rsidP="00D66A60" w14:paraId="7CAF02DB" w14:textId="6446C568">
      <w:pPr>
        <w:pStyle w:val="JuPara"/>
      </w:pPr>
      <w:r>
        <w:fldChar w:fldCharType="begin"/>
      </w:r>
      <w:r>
        <w:instrText xml:space="preserve"> SEQ level0 \*arabic \* MERGEFORMAT </w:instrText>
      </w:r>
      <w:r>
        <w:fldChar w:fldCharType="separate"/>
      </w:r>
      <w:r w:rsidRPr="00D66A60" w:rsidR="00D66A60">
        <w:rPr>
          <w:noProof/>
        </w:rPr>
        <w:t>9</w:t>
      </w:r>
      <w:r w:rsidRPr="00D66A60" w:rsidR="00D66A60">
        <w:rPr>
          <w:noProof/>
        </w:rPr>
        <w:fldChar w:fldCharType="end"/>
      </w:r>
      <w:r w:rsidRPr="00D66A60">
        <w:t xml:space="preserve">.  The Court reiterates that rules governing the formal steps to be taken and the time-limits to be complied with in lodging an appeal are aimed at ensuring a proper administration of justice and compliance, in particular, with the principle of legal certainty (see, for example, </w:t>
      </w:r>
      <w:r w:rsidRPr="00D66A60">
        <w:rPr>
          <w:i/>
          <w:iCs/>
        </w:rPr>
        <w:t>Miragall</w:t>
      </w:r>
      <w:r w:rsidRPr="00D66A60">
        <w:rPr>
          <w:i/>
          <w:iCs/>
        </w:rPr>
        <w:t xml:space="preserve"> </w:t>
      </w:r>
      <w:r w:rsidRPr="00D66A60">
        <w:rPr>
          <w:i/>
          <w:iCs/>
        </w:rPr>
        <w:t>Escolano</w:t>
      </w:r>
      <w:r w:rsidRPr="00D66A60">
        <w:rPr>
          <w:i/>
          <w:iCs/>
        </w:rPr>
        <w:t xml:space="preserve"> and Others v. Spain</w:t>
      </w:r>
      <w:r w:rsidRPr="00D66A60">
        <w:t xml:space="preserve">, no. 38366/97, §§ 33 and 36, ECHR 2000-I, </w:t>
      </w:r>
      <w:r w:rsidRPr="00D66A60">
        <w:rPr>
          <w:i/>
          <w:iCs/>
        </w:rPr>
        <w:t xml:space="preserve">and </w:t>
      </w:r>
      <w:r w:rsidRPr="00D66A60">
        <w:rPr>
          <w:i/>
          <w:iCs/>
        </w:rPr>
        <w:t>Běleš</w:t>
      </w:r>
      <w:r w:rsidRPr="00D66A60">
        <w:rPr>
          <w:i/>
          <w:iCs/>
        </w:rPr>
        <w:t xml:space="preserve"> and Others v. the Czech Republic</w:t>
      </w:r>
      <w:r w:rsidRPr="00D66A60">
        <w:t xml:space="preserve">, no. 47273/99, § 49, ECHR 2002‑IX). The Court further reiterates that it is incumbent on the interested parties to display special diligence in the defence of their interests and to take the necessary steps to apprise themselves of the developments in the proceedings (see </w:t>
      </w:r>
      <w:r w:rsidRPr="00D66A60">
        <w:rPr>
          <w:i/>
          <w:iCs/>
        </w:rPr>
        <w:t>Karakutsya</w:t>
      </w:r>
      <w:r w:rsidRPr="00D66A60">
        <w:rPr>
          <w:i/>
          <w:iCs/>
        </w:rPr>
        <w:t xml:space="preserve"> v. Ukraine</w:t>
      </w:r>
      <w:r w:rsidRPr="00D66A60">
        <w:t>, no. 18986/06, §§ 53-60, 16 February 2017).</w:t>
      </w:r>
    </w:p>
    <w:p w:rsidRPr="00D66A60" w:rsidR="008D3C58" w:rsidP="00D66A60" w14:paraId="0776C18F" w14:textId="0743ACF9">
      <w:pPr>
        <w:pStyle w:val="JuPara"/>
      </w:pPr>
      <w:r>
        <w:fldChar w:fldCharType="begin"/>
      </w:r>
      <w:r>
        <w:instrText xml:space="preserve"> SEQ level0 \*arabic \* MERGEFORMAT </w:instrText>
      </w:r>
      <w:r>
        <w:fldChar w:fldCharType="separate"/>
      </w:r>
      <w:r w:rsidRPr="00D66A60" w:rsidR="00D66A60">
        <w:rPr>
          <w:noProof/>
        </w:rPr>
        <w:t>10</w:t>
      </w:r>
      <w:r w:rsidRPr="00D66A60" w:rsidR="00D66A60">
        <w:rPr>
          <w:noProof/>
        </w:rPr>
        <w:fldChar w:fldCharType="end"/>
      </w:r>
      <w:r w:rsidRPr="00D66A60">
        <w:t xml:space="preserve">.  In the present case, the Court notes that the national law is clear in respect of the starting date of the statutory time-limit for filing a cassation appeal (see paragraph </w:t>
      </w:r>
      <w:r w:rsidRPr="00D66A60">
        <w:fldChar w:fldCharType="begin"/>
      </w:r>
      <w:r w:rsidRPr="00D66A60">
        <w:instrText xml:space="preserve"> REF paragraph00004 \h  \* CharFormat </w:instrText>
      </w:r>
      <w:r w:rsidRPr="00D66A60">
        <w:fldChar w:fldCharType="separate"/>
      </w:r>
      <w:r w:rsidRPr="00D66A60" w:rsidR="00D66A60">
        <w:t>4</w:t>
      </w:r>
      <w:r w:rsidRPr="00D66A60">
        <w:fldChar w:fldCharType="end"/>
      </w:r>
      <w:r w:rsidRPr="00D66A60">
        <w:t xml:space="preserve"> above).</w:t>
      </w:r>
    </w:p>
    <w:p w:rsidRPr="00D66A60" w:rsidR="008D3C58" w:rsidP="00D66A60" w14:paraId="61AE9307" w14:textId="2A057833">
      <w:pPr>
        <w:pStyle w:val="JuPara"/>
      </w:pPr>
      <w:r>
        <w:fldChar w:fldCharType="begin"/>
      </w:r>
      <w:r>
        <w:instrText xml:space="preserve"> SEQ level0 \*arabic \* MERGEFORMAT </w:instrText>
      </w:r>
      <w:r>
        <w:fldChar w:fldCharType="separate"/>
      </w:r>
      <w:r w:rsidRPr="00D66A60" w:rsidR="00D66A60">
        <w:rPr>
          <w:noProof/>
        </w:rPr>
        <w:t>11</w:t>
      </w:r>
      <w:r w:rsidRPr="00D66A60" w:rsidR="00D66A60">
        <w:rPr>
          <w:noProof/>
        </w:rPr>
        <w:fldChar w:fldCharType="end"/>
      </w:r>
      <w:r w:rsidRPr="00D66A60">
        <w:t>.  The Court further notes that the applicant</w:t>
      </w:r>
      <w:r w:rsidRPr="00D66A60" w:rsidR="00D66A60">
        <w:t>’</w:t>
      </w:r>
      <w:r w:rsidRPr="00D66A60">
        <w:t xml:space="preserve">s lawyer had been present at the hearing held before the appellate court on 5 July 2022 and had been </w:t>
      </w:r>
      <w:r w:rsidRPr="00D66A60">
        <w:t>thus informed of the introductory and operative parts of the appellate court</w:t>
      </w:r>
      <w:r w:rsidRPr="00D66A60" w:rsidR="00D66A60">
        <w:t>’</w:t>
      </w:r>
      <w:r w:rsidRPr="00D66A60">
        <w:t xml:space="preserve">s decision on the same date. It is true that the full text of this decision was sent to the applicant only on 23 August 2022, who received it on 25 August 2022. However, having been prepared on 7 July 2022, the decision was available in the State Register of Court Decisions on 13 July 2022, where the applicant or his representative could obtain it. Or, as the Supreme Court already noted, they could ask the appellate court to provide a copy of its decision (see paragraph </w:t>
      </w:r>
      <w:r w:rsidRPr="00D66A60">
        <w:fldChar w:fldCharType="begin"/>
      </w:r>
      <w:r w:rsidRPr="00D66A60">
        <w:instrText xml:space="preserve"> REF paragraph00005 \h  \* CharFormat </w:instrText>
      </w:r>
      <w:r w:rsidRPr="00D66A60">
        <w:fldChar w:fldCharType="separate"/>
      </w:r>
      <w:r w:rsidRPr="00D66A60" w:rsidR="00D66A60">
        <w:t>5</w:t>
      </w:r>
      <w:r w:rsidRPr="00D66A60">
        <w:fldChar w:fldCharType="end"/>
      </w:r>
      <w:r w:rsidRPr="00D66A60">
        <w:t xml:space="preserve"> above). However, neither the applicant nor his legal representative, who had not stated before the Supreme Court – nor did so the applicant in the present application - that the well-established national practice concerning the publication of court decisions in the State Register of Court Decisions (see paragraph </w:t>
      </w:r>
      <w:r w:rsidRPr="00D66A60">
        <w:fldChar w:fldCharType="begin"/>
      </w:r>
      <w:r w:rsidRPr="00D66A60">
        <w:instrText xml:space="preserve"> REF paragraph00004 \h  \* CharFormat </w:instrText>
      </w:r>
      <w:r w:rsidRPr="00D66A60">
        <w:fldChar w:fldCharType="separate"/>
      </w:r>
      <w:r w:rsidRPr="00D66A60" w:rsidR="00D66A60">
        <w:t>4</w:t>
      </w:r>
      <w:r w:rsidRPr="00D66A60">
        <w:fldChar w:fldCharType="end"/>
      </w:r>
      <w:r w:rsidRPr="00D66A60">
        <w:t xml:space="preserve"> above) had been unknown to them or unclear, availed themselves of any of these procedural possibilities.</w:t>
      </w:r>
    </w:p>
    <w:p w:rsidRPr="00D66A60" w:rsidR="008D3C58" w:rsidP="00D66A60" w14:paraId="014B6297" w14:textId="7561C3D8">
      <w:pPr>
        <w:pStyle w:val="JuPara"/>
      </w:pPr>
      <w:r>
        <w:fldChar w:fldCharType="begin"/>
      </w:r>
      <w:r>
        <w:instrText xml:space="preserve"> SEQ level0 \*arabic \* MERGEFORMAT </w:instrText>
      </w:r>
      <w:r>
        <w:fldChar w:fldCharType="separate"/>
      </w:r>
      <w:r w:rsidRPr="00D66A60" w:rsidR="00D66A60">
        <w:rPr>
          <w:noProof/>
        </w:rPr>
        <w:t>12</w:t>
      </w:r>
      <w:r w:rsidRPr="00D66A60" w:rsidR="00D66A60">
        <w:rPr>
          <w:noProof/>
        </w:rPr>
        <w:fldChar w:fldCharType="end"/>
      </w:r>
      <w:r w:rsidRPr="00D66A60">
        <w:t>.  In view of these circumstances, it cannot be said that the applicant and his lawyer, as the party to the proceedings, demonstrated the requisite diligence in following the developments in the proceedings and did not take any reasonable steps to obtain the full text when it became available.</w:t>
      </w:r>
    </w:p>
    <w:p w:rsidRPr="00D66A60" w:rsidR="008D3C58" w:rsidP="00D66A60" w14:paraId="1142F4D5" w14:textId="23F577B7">
      <w:pPr>
        <w:pStyle w:val="JuPara"/>
      </w:pPr>
      <w:r>
        <w:fldChar w:fldCharType="begin"/>
      </w:r>
      <w:r>
        <w:instrText xml:space="preserve"> SEQ level0 \*arabic \* MERGEFORMAT </w:instrText>
      </w:r>
      <w:r>
        <w:fldChar w:fldCharType="separate"/>
      </w:r>
      <w:r w:rsidRPr="00D66A60" w:rsidR="00D66A60">
        <w:rPr>
          <w:noProof/>
        </w:rPr>
        <w:t>13</w:t>
      </w:r>
      <w:r w:rsidRPr="00D66A60" w:rsidR="00D66A60">
        <w:rPr>
          <w:noProof/>
        </w:rPr>
        <w:fldChar w:fldCharType="end"/>
      </w:r>
      <w:r w:rsidRPr="00D66A60">
        <w:t>.  The Court thus considers that by rejecting, on the basis of applicable law, the applicant</w:t>
      </w:r>
      <w:r w:rsidRPr="00D66A60" w:rsidR="00D66A60">
        <w:t>’</w:t>
      </w:r>
      <w:r w:rsidRPr="00D66A60">
        <w:t>s cassation appeal as having been lodged out of time, the Supreme Court did not act too rigidly, nor did it restrict the applicant</w:t>
      </w:r>
      <w:r w:rsidRPr="00D66A60" w:rsidR="00D66A60">
        <w:t>’</w:t>
      </w:r>
      <w:r w:rsidRPr="00D66A60">
        <w:t xml:space="preserve">s right of access to court in a manner incompatible with Article 6 of the Convention (see </w:t>
      </w:r>
      <w:r w:rsidRPr="00D66A60">
        <w:rPr>
          <w:i/>
          <w:iCs/>
        </w:rPr>
        <w:t xml:space="preserve">Tanja </w:t>
      </w:r>
      <w:r w:rsidRPr="00D66A60">
        <w:rPr>
          <w:i/>
          <w:iCs/>
        </w:rPr>
        <w:t>Oškrt</w:t>
      </w:r>
      <w:r w:rsidRPr="00D66A60">
        <w:rPr>
          <w:i/>
          <w:iCs/>
        </w:rPr>
        <w:t xml:space="preserve"> </w:t>
      </w:r>
      <w:r w:rsidRPr="00D66A60">
        <w:rPr>
          <w:i/>
          <w:iCs/>
        </w:rPr>
        <w:t>Bunjevčević</w:t>
      </w:r>
      <w:r w:rsidRPr="00D66A60">
        <w:rPr>
          <w:i/>
          <w:iCs/>
        </w:rPr>
        <w:t xml:space="preserve"> v. Croatia</w:t>
      </w:r>
      <w:r w:rsidRPr="00D66A60">
        <w:t xml:space="preserve"> (dec.) [Committee], no. 1789/15, §§ 50-71, 16 March 2021). Accordingly, his complaint concerning the lack of access to that court should be rejected as manifestly ill-founded pursuant to Article 35 §§ 3 (a) and 4 of the Convention.</w:t>
      </w:r>
    </w:p>
    <w:p w:rsidRPr="00D66A60" w:rsidR="008D3C58" w:rsidP="00D66A60" w14:paraId="000AB7E2" w14:textId="2CA92705">
      <w:pPr>
        <w:pStyle w:val="JuPara"/>
      </w:pPr>
      <w:r>
        <w:fldChar w:fldCharType="begin"/>
      </w:r>
      <w:r>
        <w:instrText xml:space="preserve"> SEQ level0 \*arabic \* MERGEFORMAT </w:instrText>
      </w:r>
      <w:r>
        <w:fldChar w:fldCharType="separate"/>
      </w:r>
      <w:r w:rsidRPr="00D66A60" w:rsidR="00D66A60">
        <w:rPr>
          <w:noProof/>
        </w:rPr>
        <w:t>14</w:t>
      </w:r>
      <w:r w:rsidRPr="00D66A60" w:rsidR="00D66A60">
        <w:rPr>
          <w:noProof/>
        </w:rPr>
        <w:fldChar w:fldCharType="end"/>
      </w:r>
      <w:r w:rsidRPr="00D66A60">
        <w:t>.  As to the applicant</w:t>
      </w:r>
      <w:r w:rsidRPr="00D66A60" w:rsidR="00D66A60">
        <w:t>’</w:t>
      </w:r>
      <w:r w:rsidRPr="00D66A60">
        <w:t>s complaint concerning the outcome of the proceedings, it must be rejected for his failure to exhaust domestic remedies pursuant to Article 35 §§ 1 and 4 of the Convention, given that the applicant failed to lodge his cassation appeal with the Supreme Court in accordance with the relevant procedural requirements.</w:t>
      </w:r>
    </w:p>
    <w:p w:rsidRPr="00D66A60" w:rsidR="008D3C58" w:rsidP="00D66A60" w14:paraId="5DB6CB58" w14:textId="18C619EC">
      <w:pPr>
        <w:pStyle w:val="JuParaLast"/>
      </w:pPr>
      <w:r w:rsidRPr="00D66A60">
        <w:t>For these reasons, the Court, unanimously,</w:t>
      </w:r>
    </w:p>
    <w:p w:rsidRPr="00D66A60" w:rsidR="008D3C58" w:rsidP="00D66A60" w14:paraId="48A3DE2A" w14:textId="77777777">
      <w:pPr>
        <w:pStyle w:val="DecList"/>
      </w:pPr>
      <w:r w:rsidRPr="00D66A60">
        <w:rPr>
          <w:i/>
        </w:rPr>
        <w:t>Declares</w:t>
      </w:r>
      <w:r w:rsidRPr="00D66A60">
        <w:t xml:space="preserve"> the application inadmissible.</w:t>
      </w:r>
    </w:p>
    <w:p w:rsidRPr="00D66A60" w:rsidR="00BD1692" w:rsidP="00D66A60" w14:paraId="739BD5A1" w14:textId="11091E1E">
      <w:pPr>
        <w:pStyle w:val="JuParaLast"/>
        <w:rPr>
          <w:sz w:val="14"/>
        </w:rPr>
      </w:pPr>
      <w:r w:rsidRPr="00D66A60">
        <w:t xml:space="preserve">Done in English and notified in writing on </w:t>
      </w:r>
      <w:r w:rsidRPr="00D66A60" w:rsidR="008D3C58">
        <w:rPr>
          <w:noProof/>
        </w:rPr>
        <w:t>24 April 2025</w:t>
      </w:r>
      <w:r w:rsidRPr="00D66A60">
        <w:t>.</w:t>
      </w:r>
    </w:p>
    <w:p w:rsidRPr="00D66A60" w:rsidR="00BD1692" w:rsidP="00D66A60" w14:paraId="3C5F781A" w14:textId="0FADE9F6">
      <w:pPr>
        <w:pStyle w:val="ECHRPlaceholder"/>
      </w:pPr>
      <w:r w:rsidRPr="00D66A60">
        <w:tab/>
      </w:r>
    </w:p>
    <w:p w:rsidRPr="00D66A60" w:rsidR="00584B25" w:rsidP="00D66A60" w14:paraId="358F459A" w14:textId="11E35F1C">
      <w:pPr>
        <w:pStyle w:val="JuSigned"/>
      </w:pPr>
      <w:r w:rsidRPr="00D66A60">
        <w:tab/>
      </w:r>
      <w:r w:rsidRPr="00D66A60" w:rsidR="008D3C58">
        <w:rPr>
          <w:rFonts w:eastAsia="PMingLiU"/>
          <w:noProof/>
        </w:rPr>
        <w:t>Martina Keller</w:t>
      </w:r>
      <w:r w:rsidRPr="00D66A60" w:rsidR="001D1233">
        <w:tab/>
      </w:r>
      <w:r w:rsidRPr="00D66A60" w:rsidR="008D3C58">
        <w:rPr>
          <w:noProof/>
        </w:rPr>
        <w:t>Andreas Zünd</w:t>
      </w:r>
      <w:r w:rsidRPr="00D66A60" w:rsidR="001D1233">
        <w:br/>
      </w:r>
      <w:r w:rsidRPr="00D66A60" w:rsidR="001D1233">
        <w:tab/>
      </w:r>
      <w:r w:rsidRPr="00D66A60" w:rsidR="008D3C58">
        <w:rPr>
          <w:noProof/>
        </w:rPr>
        <w:t>Deputy Registrar</w:t>
      </w:r>
      <w:r w:rsidRPr="00D66A60" w:rsidR="006267D3">
        <w:tab/>
        <w:t>President</w:t>
      </w:r>
    </w:p>
    <w:p w:rsidRPr="00D66A60" w:rsidR="00CB3BD9" w:rsidP="00D66A60" w14:paraId="35F24450" w14:textId="77777777"/>
    <w:sectPr w:rsidSect="00584B25">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68" w:right="2274" w:bottom="1418"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4B25" w:rsidRPr="008D3C58" w:rsidP="000D61E7" w14:paraId="376FB572" w14:textId="359AC5DF">
    <w:pPr>
      <w:pStyle w:val="JuHeader"/>
    </w:pPr>
    <w:r>
      <w:fldChar w:fldCharType="begin"/>
    </w:r>
    <w:r>
      <w:instrText xml:space="preserve"> PAGE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4B25" w:rsidRPr="008D3C58" w:rsidP="000D61E7" w14:paraId="6E25DD8B" w14:textId="59EFB9B5">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3C58" w:rsidRPr="00150BFA" w:rsidP="0020718E" w14:paraId="0DCB9D19" w14:textId="31A172A5">
    <w:pPr>
      <w:jc w:val="center"/>
    </w:pPr>
    <w:r w:rsidRPr="008D3C58">
      <w:rPr>
        <w:noProof/>
      </w:rPr>
      <w:drawing>
        <wp:inline distT="0" distB="0" distL="0" distR="0">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84B25" w:rsidRPr="008D3C58" w:rsidP="002E2C77" w14:paraId="4EFF791A" w14:textId="106C9BCB">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4B25" w:rsidRPr="008D3C58" w:rsidP="0076040F" w14:paraId="59E4C6A1" w14:textId="0CEA1F9E">
    <w:pPr>
      <w:pStyle w:val="JuHeader"/>
    </w:pPr>
    <w:r>
      <w:t>KRUPNYK v. UKRAINE</w:t>
    </w:r>
    <w:r w:rsidRPr="008D3C58"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4B25" w:rsidRPr="008D3C58" w:rsidP="000D61E7" w14:paraId="2974900F" w14:textId="18713AD9">
    <w:pPr>
      <w:pStyle w:val="JuHeader"/>
    </w:pPr>
    <w:r>
      <w:t>KRUPNYK v. UKRAINE</w:t>
    </w:r>
    <w:r w:rsidRPr="008D3C58"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D3C58" w:rsidRPr="00A45145" w:rsidP="00A45145" w14:paraId="69E8BC4E" w14:textId="2CF6006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84B25" w:rsidRPr="008D3C58" w:rsidP="00EA1004" w14:paraId="41FC5E4A" w14:textId="7CD90732">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392577473">
    <w:abstractNumId w:val="14"/>
  </w:num>
  <w:num w:numId="2" w16cid:durableId="1346664737">
    <w:abstractNumId w:val="12"/>
  </w:num>
  <w:num w:numId="3" w16cid:durableId="1480658492">
    <w:abstractNumId w:val="11"/>
  </w:num>
  <w:num w:numId="4" w16cid:durableId="1130440231">
    <w:abstractNumId w:val="15"/>
  </w:num>
  <w:num w:numId="5" w16cid:durableId="432432105">
    <w:abstractNumId w:val="13"/>
  </w:num>
  <w:num w:numId="6" w16cid:durableId="1816408553">
    <w:abstractNumId w:val="16"/>
  </w:num>
  <w:num w:numId="7" w16cid:durableId="1046367054">
    <w:abstractNumId w:val="15"/>
  </w:num>
  <w:num w:numId="8" w16cid:durableId="2042395626">
    <w:abstractNumId w:val="16"/>
  </w:num>
  <w:num w:numId="9" w16cid:durableId="1277833482">
    <w:abstractNumId w:val="10"/>
  </w:num>
  <w:num w:numId="10" w16cid:durableId="1630744334">
    <w:abstractNumId w:val="9"/>
  </w:num>
  <w:num w:numId="11" w16cid:durableId="1126509090">
    <w:abstractNumId w:val="18"/>
  </w:num>
  <w:num w:numId="12" w16cid:durableId="79836789">
    <w:abstractNumId w:val="7"/>
  </w:num>
  <w:num w:numId="13" w16cid:durableId="2062290694">
    <w:abstractNumId w:val="6"/>
  </w:num>
  <w:num w:numId="14" w16cid:durableId="468716787">
    <w:abstractNumId w:val="5"/>
  </w:num>
  <w:num w:numId="15" w16cid:durableId="2143839638">
    <w:abstractNumId w:val="4"/>
  </w:num>
  <w:num w:numId="16" w16cid:durableId="129789527">
    <w:abstractNumId w:val="8"/>
  </w:num>
  <w:num w:numId="17" w16cid:durableId="92209432">
    <w:abstractNumId w:val="3"/>
  </w:num>
  <w:num w:numId="18" w16cid:durableId="967055209">
    <w:abstractNumId w:val="2"/>
  </w:num>
  <w:num w:numId="19" w16cid:durableId="884559341">
    <w:abstractNumId w:val="1"/>
  </w:num>
  <w:num w:numId="20" w16cid:durableId="480729005">
    <w:abstractNumId w:val="0"/>
  </w:num>
  <w:num w:numId="21" w16cid:durableId="1920674528">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C58"/>
    <w:rsid w:val="00095FD8"/>
    <w:rsid w:val="000B1FA9"/>
    <w:rsid w:val="000D61E7"/>
    <w:rsid w:val="000E3A89"/>
    <w:rsid w:val="00132029"/>
    <w:rsid w:val="00144EBC"/>
    <w:rsid w:val="00150BFA"/>
    <w:rsid w:val="001D1233"/>
    <w:rsid w:val="0020718E"/>
    <w:rsid w:val="00223591"/>
    <w:rsid w:val="002A7443"/>
    <w:rsid w:val="002E2C77"/>
    <w:rsid w:val="003B50D7"/>
    <w:rsid w:val="003E3C60"/>
    <w:rsid w:val="00452087"/>
    <w:rsid w:val="00464268"/>
    <w:rsid w:val="004A4C71"/>
    <w:rsid w:val="004B4E73"/>
    <w:rsid w:val="00584B25"/>
    <w:rsid w:val="005E56C2"/>
    <w:rsid w:val="005F11CB"/>
    <w:rsid w:val="006262FA"/>
    <w:rsid w:val="006267D3"/>
    <w:rsid w:val="006300E9"/>
    <w:rsid w:val="00653EF4"/>
    <w:rsid w:val="00656B81"/>
    <w:rsid w:val="006A1CA7"/>
    <w:rsid w:val="006D4D63"/>
    <w:rsid w:val="006E123B"/>
    <w:rsid w:val="0076040F"/>
    <w:rsid w:val="007907C0"/>
    <w:rsid w:val="007A74FC"/>
    <w:rsid w:val="007B2364"/>
    <w:rsid w:val="00812D10"/>
    <w:rsid w:val="008D10E4"/>
    <w:rsid w:val="008D3C58"/>
    <w:rsid w:val="008F0A92"/>
    <w:rsid w:val="008F7189"/>
    <w:rsid w:val="00956B2A"/>
    <w:rsid w:val="0096293E"/>
    <w:rsid w:val="009656DE"/>
    <w:rsid w:val="009B6F49"/>
    <w:rsid w:val="009C21E8"/>
    <w:rsid w:val="009E01FB"/>
    <w:rsid w:val="00A45145"/>
    <w:rsid w:val="00AA5AEE"/>
    <w:rsid w:val="00AC58E5"/>
    <w:rsid w:val="00B140D3"/>
    <w:rsid w:val="00BD1692"/>
    <w:rsid w:val="00C42C12"/>
    <w:rsid w:val="00C8038F"/>
    <w:rsid w:val="00CB3BD9"/>
    <w:rsid w:val="00D415D6"/>
    <w:rsid w:val="00D66A60"/>
    <w:rsid w:val="00DB6354"/>
    <w:rsid w:val="00E5464B"/>
    <w:rsid w:val="00EA1004"/>
    <w:rsid w:val="00EE38CA"/>
    <w:rsid w:val="00F0534F"/>
    <w:rsid w:val="00F24AB9"/>
    <w:rsid w:val="00FC2655"/>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6EFD4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44EBC"/>
    <w:rPr>
      <w:sz w:val="24"/>
      <w:szCs w:val="24"/>
      <w:lang w:val="en-GB"/>
    </w:rPr>
  </w:style>
  <w:style w:type="paragraph" w:styleId="Heading1">
    <w:name w:val="heading 1"/>
    <w:basedOn w:val="Normal"/>
    <w:next w:val="Normal"/>
    <w:link w:val="Heading1Char"/>
    <w:uiPriority w:val="98"/>
    <w:semiHidden/>
    <w:rsid w:val="00144E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4E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4E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4E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4E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4E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4E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4E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4E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44EBC"/>
    <w:pPr>
      <w:tabs>
        <w:tab w:val="center" w:pos="1418"/>
        <w:tab w:val="center" w:pos="5954"/>
      </w:tabs>
      <w:spacing w:before="720"/>
    </w:pPr>
  </w:style>
  <w:style w:type="paragraph" w:customStyle="1" w:styleId="JuPara">
    <w:name w:val="Ju_Para"/>
    <w:aliases w:val="_Para"/>
    <w:basedOn w:val="NormalJustified"/>
    <w:link w:val="JuParaChar"/>
    <w:uiPriority w:val="4"/>
    <w:qFormat/>
    <w:rsid w:val="00144EBC"/>
    <w:pPr>
      <w:ind w:firstLine="284"/>
    </w:pPr>
  </w:style>
  <w:style w:type="character" w:styleId="PageNumber">
    <w:name w:val="page number"/>
    <w:uiPriority w:val="98"/>
    <w:semiHidden/>
    <w:rsid w:val="00144EBC"/>
    <w:rPr>
      <w:sz w:val="18"/>
    </w:rPr>
  </w:style>
  <w:style w:type="character" w:styleId="CommentReference">
    <w:name w:val="annotation reference"/>
    <w:basedOn w:val="DefaultParagraphFont"/>
    <w:uiPriority w:val="98"/>
    <w:semiHidden/>
    <w:rsid w:val="00144EBC"/>
    <w:rPr>
      <w:sz w:val="16"/>
      <w:szCs w:val="16"/>
    </w:rPr>
  </w:style>
  <w:style w:type="paragraph" w:styleId="CommentText">
    <w:name w:val="annotation text"/>
    <w:basedOn w:val="Normal"/>
    <w:link w:val="CommentTextChar"/>
    <w:uiPriority w:val="98"/>
    <w:semiHidden/>
    <w:rsid w:val="00144EBC"/>
    <w:rPr>
      <w:sz w:val="20"/>
      <w:szCs w:val="20"/>
    </w:rPr>
  </w:style>
  <w:style w:type="character" w:customStyle="1" w:styleId="CommentTextChar">
    <w:name w:val="Comment Text Char"/>
    <w:basedOn w:val="DefaultParagraphFont"/>
    <w:link w:val="CommentText"/>
    <w:uiPriority w:val="98"/>
    <w:semiHidden/>
    <w:rsid w:val="00144EBC"/>
    <w:rPr>
      <w:sz w:val="20"/>
      <w:szCs w:val="20"/>
      <w:lang w:val="en-GB"/>
    </w:rPr>
  </w:style>
  <w:style w:type="paragraph" w:customStyle="1" w:styleId="DecHTitle">
    <w:name w:val="Dec_H_Title"/>
    <w:aliases w:val="_Title_1"/>
    <w:basedOn w:val="JuPara"/>
    <w:next w:val="JuPara"/>
    <w:uiPriority w:val="38"/>
    <w:qFormat/>
    <w:rsid w:val="00144EB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144E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4EBC"/>
    <w:pPr>
      <w:keepNext/>
      <w:keepLines/>
      <w:spacing w:before="1320" w:after="280"/>
      <w:contextualSpacing/>
      <w:jc w:val="center"/>
    </w:pPr>
    <w:rPr>
      <w:b/>
    </w:rPr>
  </w:style>
  <w:style w:type="paragraph" w:customStyle="1" w:styleId="JuHeader">
    <w:name w:val="Ju_Header"/>
    <w:aliases w:val="_Header"/>
    <w:basedOn w:val="Header0"/>
    <w:uiPriority w:val="29"/>
    <w:qFormat/>
    <w:rsid w:val="00144EBC"/>
    <w:pPr>
      <w:tabs>
        <w:tab w:val="clear" w:pos="4536"/>
        <w:tab w:val="clear" w:pos="9072"/>
      </w:tabs>
      <w:jc w:val="center"/>
    </w:pPr>
    <w:rPr>
      <w:sz w:val="18"/>
    </w:rPr>
  </w:style>
  <w:style w:type="paragraph" w:styleId="Header0">
    <w:name w:val="header"/>
    <w:basedOn w:val="Normal"/>
    <w:link w:val="HeaderChar"/>
    <w:uiPriority w:val="98"/>
    <w:semiHidden/>
    <w:rsid w:val="00144EBC"/>
    <w:pPr>
      <w:tabs>
        <w:tab w:val="center" w:pos="4536"/>
        <w:tab w:val="right" w:pos="9072"/>
      </w:tabs>
    </w:pPr>
  </w:style>
  <w:style w:type="character" w:customStyle="1" w:styleId="HeaderChar">
    <w:name w:val="Header Char"/>
    <w:basedOn w:val="DefaultParagraphFont"/>
    <w:link w:val="Header0"/>
    <w:uiPriority w:val="98"/>
    <w:semiHidden/>
    <w:rsid w:val="00144EBC"/>
    <w:rPr>
      <w:sz w:val="24"/>
      <w:szCs w:val="24"/>
      <w:lang w:val="en-GB"/>
    </w:rPr>
  </w:style>
  <w:style w:type="paragraph" w:styleId="BalloonText">
    <w:name w:val="Balloon Text"/>
    <w:basedOn w:val="Normal"/>
    <w:link w:val="BalloonTextChar"/>
    <w:uiPriority w:val="98"/>
    <w:semiHidden/>
    <w:rsid w:val="00144EBC"/>
    <w:rPr>
      <w:rFonts w:ascii="Tahoma" w:hAnsi="Tahoma" w:cs="Tahoma"/>
      <w:sz w:val="16"/>
      <w:szCs w:val="16"/>
    </w:rPr>
  </w:style>
  <w:style w:type="character" w:customStyle="1" w:styleId="BalloonTextChar">
    <w:name w:val="Balloon Text Char"/>
    <w:basedOn w:val="DefaultParagraphFont"/>
    <w:link w:val="BalloonText"/>
    <w:uiPriority w:val="98"/>
    <w:semiHidden/>
    <w:rsid w:val="00144EBC"/>
    <w:rPr>
      <w:rFonts w:ascii="Tahoma" w:hAnsi="Tahoma" w:cs="Tahoma"/>
      <w:sz w:val="16"/>
      <w:szCs w:val="16"/>
      <w:lang w:val="en-GB"/>
    </w:rPr>
  </w:style>
  <w:style w:type="paragraph" w:customStyle="1" w:styleId="DummyStyle">
    <w:name w:val="Dummy_Style"/>
    <w:aliases w:val="_Dummy"/>
    <w:basedOn w:val="Normal"/>
    <w:semiHidden/>
    <w:qFormat/>
    <w:rsid w:val="00144EBC"/>
    <w:rPr>
      <w:color w:val="00B050"/>
      <w:sz w:val="22"/>
    </w:rPr>
  </w:style>
  <w:style w:type="paragraph" w:customStyle="1" w:styleId="NormalJustified">
    <w:name w:val="Normal_Justified"/>
    <w:basedOn w:val="Normal"/>
    <w:semiHidden/>
    <w:rsid w:val="00144EBC"/>
    <w:pPr>
      <w:jc w:val="both"/>
    </w:pPr>
  </w:style>
  <w:style w:type="paragraph" w:customStyle="1" w:styleId="JuQuot">
    <w:name w:val="Ju_Quot"/>
    <w:aliases w:val="_Quote"/>
    <w:basedOn w:val="NormalJustified"/>
    <w:uiPriority w:val="20"/>
    <w:qFormat/>
    <w:rsid w:val="00144EB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44EBC"/>
    <w:pPr>
      <w:keepNext/>
      <w:keepLines/>
      <w:tabs>
        <w:tab w:val="right" w:pos="7938"/>
      </w:tabs>
      <w:ind w:firstLine="0"/>
      <w:jc w:val="center"/>
    </w:pPr>
    <w:rPr>
      <w:i/>
    </w:rPr>
  </w:style>
  <w:style w:type="table" w:customStyle="1" w:styleId="ECHRDNTable">
    <w:name w:val="ECHR_DN_Table"/>
    <w:basedOn w:val="TableNormal"/>
    <w:uiPriority w:val="99"/>
    <w:rsid w:val="00144E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44EBC"/>
    <w:pPr>
      <w:numPr>
        <w:numId w:val="4"/>
      </w:numPr>
    </w:pPr>
  </w:style>
  <w:style w:type="numbering" w:customStyle="1" w:styleId="ECHRA1StyleList">
    <w:name w:val="ECHR_A1_Style_List"/>
    <w:basedOn w:val="NoList"/>
    <w:uiPriority w:val="99"/>
    <w:rsid w:val="00144EBC"/>
    <w:pPr>
      <w:numPr>
        <w:numId w:val="5"/>
      </w:numPr>
    </w:pPr>
  </w:style>
  <w:style w:type="paragraph" w:customStyle="1" w:styleId="JuHArticle">
    <w:name w:val="Ju_H_Article"/>
    <w:aliases w:val="_Title_Quote"/>
    <w:basedOn w:val="Normal"/>
    <w:next w:val="JuQuot"/>
    <w:uiPriority w:val="19"/>
    <w:qFormat/>
    <w:rsid w:val="00144EBC"/>
    <w:pPr>
      <w:keepNext/>
      <w:spacing w:before="100" w:beforeAutospacing="1" w:after="120"/>
      <w:contextualSpacing/>
      <w:jc w:val="center"/>
    </w:pPr>
    <w:rPr>
      <w:b/>
      <w:sz w:val="20"/>
    </w:rPr>
  </w:style>
  <w:style w:type="numbering" w:customStyle="1" w:styleId="ECHRA1StyleNumberedList">
    <w:name w:val="ECHR_A1_Style_Numbered_List"/>
    <w:basedOn w:val="NoList"/>
    <w:rsid w:val="00144EBC"/>
    <w:pPr>
      <w:numPr>
        <w:numId w:val="6"/>
      </w:numPr>
    </w:pPr>
  </w:style>
  <w:style w:type="table" w:customStyle="1" w:styleId="ECHRHeaderTable">
    <w:name w:val="ECHR_Header_Table"/>
    <w:basedOn w:val="TableNormal"/>
    <w:uiPriority w:val="99"/>
    <w:rsid w:val="00144E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144EBC"/>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44EBC"/>
    <w:pPr>
      <w:tabs>
        <w:tab w:val="center" w:pos="6407"/>
      </w:tabs>
      <w:spacing w:before="720"/>
      <w:jc w:val="right"/>
    </w:pPr>
  </w:style>
  <w:style w:type="table" w:customStyle="1" w:styleId="ECHRHeaderTableReduced">
    <w:name w:val="ECHR_Header_Table_Reduced"/>
    <w:basedOn w:val="TableNormal"/>
    <w:uiPriority w:val="99"/>
    <w:rsid w:val="00144E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44EBC"/>
    <w:rPr>
      <w:caps w:val="0"/>
      <w:smallCaps/>
    </w:rPr>
  </w:style>
  <w:style w:type="character" w:customStyle="1" w:styleId="JuITMark">
    <w:name w:val="Ju_ITMark"/>
    <w:aliases w:val="_ITMark"/>
    <w:basedOn w:val="DefaultParagraphFont"/>
    <w:uiPriority w:val="54"/>
    <w:qFormat/>
    <w:rsid w:val="00144EBC"/>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144E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44EBC"/>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144EBC"/>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144EBC"/>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44EBC"/>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144EBC"/>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144EBC"/>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144EBC"/>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144EBC"/>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144EB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144EBC"/>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144EBC"/>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44EBC"/>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144EBC"/>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144EBC"/>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144EBC"/>
    <w:pPr>
      <w:keepNext/>
      <w:keepLines/>
      <w:spacing w:before="240" w:after="240"/>
      <w:ind w:firstLine="284"/>
    </w:pPr>
  </w:style>
  <w:style w:type="table" w:customStyle="1" w:styleId="ECHRTableBoxHeader">
    <w:name w:val="ECHR_Table_Box_Header"/>
    <w:basedOn w:val="TableNormal"/>
    <w:rsid w:val="00144E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144EBC"/>
    <w:pPr>
      <w:tabs>
        <w:tab w:val="left" w:pos="567"/>
        <w:tab w:val="left" w:pos="1134"/>
      </w:tabs>
    </w:pPr>
  </w:style>
  <w:style w:type="paragraph" w:customStyle="1" w:styleId="JuList">
    <w:name w:val="Ju_List"/>
    <w:aliases w:val="_List_1"/>
    <w:basedOn w:val="NormalJustified"/>
    <w:uiPriority w:val="23"/>
    <w:qFormat/>
    <w:rsid w:val="00144EBC"/>
    <w:pPr>
      <w:numPr>
        <w:numId w:val="10"/>
      </w:numPr>
      <w:spacing w:before="280" w:after="60"/>
    </w:pPr>
  </w:style>
  <w:style w:type="paragraph" w:customStyle="1" w:styleId="JuLista">
    <w:name w:val="Ju_List_a"/>
    <w:aliases w:val="_List_2"/>
    <w:basedOn w:val="NormalJustified"/>
    <w:uiPriority w:val="23"/>
    <w:rsid w:val="00144EBC"/>
    <w:pPr>
      <w:numPr>
        <w:ilvl w:val="1"/>
        <w:numId w:val="10"/>
      </w:numPr>
    </w:pPr>
  </w:style>
  <w:style w:type="paragraph" w:customStyle="1" w:styleId="JuListi">
    <w:name w:val="Ju_List_i"/>
    <w:aliases w:val="_List_3"/>
    <w:basedOn w:val="NormalJustified"/>
    <w:uiPriority w:val="23"/>
    <w:rsid w:val="00144EBC"/>
    <w:pPr>
      <w:numPr>
        <w:ilvl w:val="2"/>
        <w:numId w:val="10"/>
      </w:numPr>
    </w:pPr>
  </w:style>
  <w:style w:type="table" w:customStyle="1" w:styleId="ECHRTableFax">
    <w:name w:val="ECHR_Table_Fax"/>
    <w:basedOn w:val="TableNormal"/>
    <w:uiPriority w:val="99"/>
    <w:rsid w:val="00144E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44E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44E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44E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4EBC"/>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144E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44EBC"/>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144E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44EBC"/>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144EBC"/>
    <w:rPr>
      <w:b/>
      <w:bCs/>
    </w:rPr>
  </w:style>
  <w:style w:type="character" w:styleId="Emphasis">
    <w:name w:val="Emphasis"/>
    <w:uiPriority w:val="98"/>
    <w:semiHidden/>
    <w:qFormat/>
    <w:rsid w:val="00144EBC"/>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144EBC"/>
  </w:style>
  <w:style w:type="character" w:customStyle="1" w:styleId="NoSpacingChar">
    <w:name w:val="No Spacing Char"/>
    <w:basedOn w:val="DefaultParagraphFont"/>
    <w:link w:val="NoSpacing"/>
    <w:uiPriority w:val="98"/>
    <w:semiHidden/>
    <w:rsid w:val="00144EBC"/>
    <w:rPr>
      <w:sz w:val="24"/>
      <w:szCs w:val="24"/>
      <w:lang w:val="en-GB"/>
    </w:rPr>
  </w:style>
  <w:style w:type="paragraph" w:styleId="ListParagraph">
    <w:name w:val="List Paragraph"/>
    <w:basedOn w:val="Normal"/>
    <w:uiPriority w:val="98"/>
    <w:semiHidden/>
    <w:qFormat/>
    <w:rsid w:val="00144EBC"/>
    <w:pPr>
      <w:ind w:left="720"/>
      <w:contextualSpacing/>
    </w:pPr>
  </w:style>
  <w:style w:type="paragraph" w:styleId="Quote0">
    <w:name w:val="Quote"/>
    <w:basedOn w:val="Normal"/>
    <w:next w:val="Normal"/>
    <w:link w:val="QuoteChar"/>
    <w:uiPriority w:val="98"/>
    <w:semiHidden/>
    <w:qFormat/>
    <w:rsid w:val="00144EBC"/>
    <w:pPr>
      <w:spacing w:before="200"/>
      <w:ind w:left="360" w:right="360"/>
    </w:pPr>
    <w:rPr>
      <w:i/>
      <w:iCs/>
      <w:lang w:bidi="en-US"/>
    </w:rPr>
  </w:style>
  <w:style w:type="character" w:customStyle="1" w:styleId="QuoteChar">
    <w:name w:val="Quote Char"/>
    <w:basedOn w:val="DefaultParagraphFont"/>
    <w:link w:val="Quote0"/>
    <w:uiPriority w:val="98"/>
    <w:semiHidden/>
    <w:rsid w:val="00144EBC"/>
    <w:rPr>
      <w:i/>
      <w:iCs/>
      <w:sz w:val="24"/>
      <w:szCs w:val="24"/>
      <w:lang w:val="en-GB" w:bidi="en-US"/>
    </w:rPr>
  </w:style>
  <w:style w:type="paragraph" w:styleId="IntenseQuote">
    <w:name w:val="Intense Quote"/>
    <w:basedOn w:val="Normal"/>
    <w:next w:val="Normal"/>
    <w:link w:val="IntenseQuoteChar"/>
    <w:uiPriority w:val="98"/>
    <w:semiHidden/>
    <w:qFormat/>
    <w:rsid w:val="00144E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44EBC"/>
    <w:rPr>
      <w:b/>
      <w:bCs/>
      <w:i/>
      <w:iCs/>
      <w:sz w:val="24"/>
      <w:szCs w:val="24"/>
      <w:lang w:val="en-GB" w:bidi="en-US"/>
    </w:rPr>
  </w:style>
  <w:style w:type="character" w:styleId="SubtleEmphasis">
    <w:name w:val="Subtle Emphasis"/>
    <w:uiPriority w:val="98"/>
    <w:semiHidden/>
    <w:qFormat/>
    <w:rsid w:val="00144EBC"/>
    <w:rPr>
      <w:i/>
      <w:iCs/>
    </w:rPr>
  </w:style>
  <w:style w:type="character" w:styleId="IntenseEmphasis">
    <w:name w:val="Intense Emphasis"/>
    <w:uiPriority w:val="98"/>
    <w:semiHidden/>
    <w:qFormat/>
    <w:rsid w:val="00144EBC"/>
    <w:rPr>
      <w:b/>
      <w:bCs/>
    </w:rPr>
  </w:style>
  <w:style w:type="character" w:styleId="SubtleReference">
    <w:name w:val="Subtle Reference"/>
    <w:uiPriority w:val="98"/>
    <w:semiHidden/>
    <w:qFormat/>
    <w:rsid w:val="00144EBC"/>
    <w:rPr>
      <w:smallCaps/>
    </w:rPr>
  </w:style>
  <w:style w:type="character" w:styleId="IntenseReference">
    <w:name w:val="Intense Reference"/>
    <w:uiPriority w:val="98"/>
    <w:semiHidden/>
    <w:qFormat/>
    <w:rsid w:val="00144EBC"/>
    <w:rPr>
      <w:smallCaps/>
      <w:spacing w:val="5"/>
      <w:u w:val="single"/>
    </w:rPr>
  </w:style>
  <w:style w:type="character" w:styleId="BookTitle">
    <w:name w:val="Book Title"/>
    <w:uiPriority w:val="98"/>
    <w:semiHidden/>
    <w:qFormat/>
    <w:rsid w:val="00144EBC"/>
    <w:rPr>
      <w:i/>
      <w:iCs/>
      <w:smallCaps/>
      <w:spacing w:val="5"/>
    </w:rPr>
  </w:style>
  <w:style w:type="paragraph" w:styleId="TOCHeading">
    <w:name w:val="TOC Heading"/>
    <w:basedOn w:val="Normal"/>
    <w:next w:val="Normal"/>
    <w:uiPriority w:val="98"/>
    <w:semiHidden/>
    <w:qFormat/>
    <w:rsid w:val="00144EB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144EBC"/>
    <w:pPr>
      <w:numPr>
        <w:numId w:val="1"/>
      </w:numPr>
    </w:pPr>
  </w:style>
  <w:style w:type="numbering" w:styleId="1ai">
    <w:name w:val="Outline List 1"/>
    <w:basedOn w:val="NoList"/>
    <w:uiPriority w:val="99"/>
    <w:semiHidden/>
    <w:unhideWhenUsed/>
    <w:rsid w:val="00144EBC"/>
    <w:pPr>
      <w:numPr>
        <w:numId w:val="2"/>
      </w:numPr>
    </w:pPr>
  </w:style>
  <w:style w:type="numbering" w:styleId="ArticleSection">
    <w:name w:val="Outline List 3"/>
    <w:basedOn w:val="NoList"/>
    <w:uiPriority w:val="99"/>
    <w:semiHidden/>
    <w:unhideWhenUsed/>
    <w:rsid w:val="00144EBC"/>
    <w:pPr>
      <w:numPr>
        <w:numId w:val="3"/>
      </w:numPr>
    </w:pPr>
  </w:style>
  <w:style w:type="paragraph" w:styleId="Bibliography">
    <w:name w:val="Bibliography"/>
    <w:basedOn w:val="Normal"/>
    <w:next w:val="Normal"/>
    <w:uiPriority w:val="98"/>
    <w:semiHidden/>
    <w:rsid w:val="00144EBC"/>
  </w:style>
  <w:style w:type="paragraph" w:styleId="BlockText">
    <w:name w:val="Block Text"/>
    <w:basedOn w:val="Normal"/>
    <w:uiPriority w:val="98"/>
    <w:semiHidden/>
    <w:rsid w:val="00144E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44EBC"/>
    <w:pPr>
      <w:spacing w:after="120"/>
    </w:pPr>
  </w:style>
  <w:style w:type="character" w:customStyle="1" w:styleId="BodyTextChar">
    <w:name w:val="Body Text Char"/>
    <w:basedOn w:val="DefaultParagraphFont"/>
    <w:link w:val="BodyText"/>
    <w:uiPriority w:val="98"/>
    <w:semiHidden/>
    <w:rsid w:val="00144EBC"/>
    <w:rPr>
      <w:sz w:val="24"/>
      <w:szCs w:val="24"/>
      <w:lang w:val="en-GB"/>
    </w:rPr>
  </w:style>
  <w:style w:type="paragraph" w:styleId="BodyText2">
    <w:name w:val="Body Text 2"/>
    <w:basedOn w:val="Normal"/>
    <w:link w:val="BodyText2Char"/>
    <w:uiPriority w:val="98"/>
    <w:semiHidden/>
    <w:rsid w:val="00144EBC"/>
    <w:pPr>
      <w:spacing w:after="120" w:line="480" w:lineRule="auto"/>
    </w:pPr>
  </w:style>
  <w:style w:type="character" w:customStyle="1" w:styleId="BodyText2Char">
    <w:name w:val="Body Text 2 Char"/>
    <w:basedOn w:val="DefaultParagraphFont"/>
    <w:link w:val="BodyText2"/>
    <w:uiPriority w:val="98"/>
    <w:semiHidden/>
    <w:rsid w:val="00144EBC"/>
    <w:rPr>
      <w:sz w:val="24"/>
      <w:szCs w:val="24"/>
      <w:lang w:val="en-GB"/>
    </w:rPr>
  </w:style>
  <w:style w:type="paragraph" w:styleId="BodyText3">
    <w:name w:val="Body Text 3"/>
    <w:basedOn w:val="Normal"/>
    <w:link w:val="BodyText3Char"/>
    <w:uiPriority w:val="98"/>
    <w:semiHidden/>
    <w:rsid w:val="00144EBC"/>
    <w:pPr>
      <w:spacing w:after="120"/>
    </w:pPr>
    <w:rPr>
      <w:sz w:val="16"/>
      <w:szCs w:val="16"/>
    </w:rPr>
  </w:style>
  <w:style w:type="character" w:customStyle="1" w:styleId="BodyText3Char">
    <w:name w:val="Body Text 3 Char"/>
    <w:basedOn w:val="DefaultParagraphFont"/>
    <w:link w:val="BodyText3"/>
    <w:uiPriority w:val="98"/>
    <w:semiHidden/>
    <w:rsid w:val="00144EBC"/>
    <w:rPr>
      <w:sz w:val="16"/>
      <w:szCs w:val="16"/>
      <w:lang w:val="en-GB"/>
    </w:rPr>
  </w:style>
  <w:style w:type="paragraph" w:styleId="BodyTextFirstIndent">
    <w:name w:val="Body Text First Indent"/>
    <w:basedOn w:val="BodyText"/>
    <w:link w:val="BodyTextFirstIndentChar"/>
    <w:uiPriority w:val="98"/>
    <w:semiHidden/>
    <w:rsid w:val="00144EBC"/>
    <w:pPr>
      <w:spacing w:after="0"/>
      <w:ind w:firstLine="360"/>
    </w:pPr>
  </w:style>
  <w:style w:type="character" w:customStyle="1" w:styleId="BodyTextFirstIndentChar">
    <w:name w:val="Body Text First Indent Char"/>
    <w:basedOn w:val="BodyTextChar"/>
    <w:link w:val="BodyTextFirstIndent"/>
    <w:uiPriority w:val="98"/>
    <w:semiHidden/>
    <w:rsid w:val="00144EBC"/>
    <w:rPr>
      <w:sz w:val="24"/>
      <w:szCs w:val="24"/>
      <w:lang w:val="en-GB"/>
    </w:rPr>
  </w:style>
  <w:style w:type="paragraph" w:styleId="BodyTextIndent">
    <w:name w:val="Body Text Indent"/>
    <w:basedOn w:val="Normal"/>
    <w:link w:val="BodyTextIndentChar"/>
    <w:uiPriority w:val="98"/>
    <w:semiHidden/>
    <w:rsid w:val="00144EBC"/>
    <w:pPr>
      <w:spacing w:after="120"/>
      <w:ind w:left="283"/>
    </w:pPr>
  </w:style>
  <w:style w:type="character" w:customStyle="1" w:styleId="BodyTextIndentChar">
    <w:name w:val="Body Text Indent Char"/>
    <w:basedOn w:val="DefaultParagraphFont"/>
    <w:link w:val="BodyTextIndent"/>
    <w:uiPriority w:val="98"/>
    <w:semiHidden/>
    <w:rsid w:val="00144EBC"/>
    <w:rPr>
      <w:sz w:val="24"/>
      <w:szCs w:val="24"/>
      <w:lang w:val="en-GB"/>
    </w:rPr>
  </w:style>
  <w:style w:type="paragraph" w:styleId="BodyTextFirstIndent2">
    <w:name w:val="Body Text First Indent 2"/>
    <w:basedOn w:val="BodyTextIndent"/>
    <w:link w:val="BodyTextFirstIndent2Char"/>
    <w:uiPriority w:val="98"/>
    <w:semiHidden/>
    <w:rsid w:val="00144E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4EBC"/>
    <w:rPr>
      <w:sz w:val="24"/>
      <w:szCs w:val="24"/>
      <w:lang w:val="en-GB"/>
    </w:rPr>
  </w:style>
  <w:style w:type="paragraph" w:styleId="BodyTextIndent2">
    <w:name w:val="Body Text Indent 2"/>
    <w:basedOn w:val="Normal"/>
    <w:link w:val="BodyTextIndent2Char"/>
    <w:uiPriority w:val="98"/>
    <w:semiHidden/>
    <w:rsid w:val="00144EBC"/>
    <w:pPr>
      <w:spacing w:after="120" w:line="480" w:lineRule="auto"/>
      <w:ind w:left="283"/>
    </w:pPr>
  </w:style>
  <w:style w:type="character" w:customStyle="1" w:styleId="BodyTextIndent2Char">
    <w:name w:val="Body Text Indent 2 Char"/>
    <w:basedOn w:val="DefaultParagraphFont"/>
    <w:link w:val="BodyTextIndent2"/>
    <w:uiPriority w:val="98"/>
    <w:semiHidden/>
    <w:rsid w:val="00144EBC"/>
    <w:rPr>
      <w:sz w:val="24"/>
      <w:szCs w:val="24"/>
      <w:lang w:val="en-GB"/>
    </w:rPr>
  </w:style>
  <w:style w:type="paragraph" w:styleId="BodyTextIndent3">
    <w:name w:val="Body Text Indent 3"/>
    <w:basedOn w:val="Normal"/>
    <w:link w:val="BodyTextIndent3Char"/>
    <w:uiPriority w:val="98"/>
    <w:semiHidden/>
    <w:rsid w:val="00144E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4EBC"/>
    <w:rPr>
      <w:sz w:val="16"/>
      <w:szCs w:val="16"/>
      <w:lang w:val="en-GB"/>
    </w:rPr>
  </w:style>
  <w:style w:type="paragraph" w:styleId="Caption">
    <w:name w:val="caption"/>
    <w:basedOn w:val="Normal"/>
    <w:next w:val="Normal"/>
    <w:uiPriority w:val="98"/>
    <w:semiHidden/>
    <w:qFormat/>
    <w:rsid w:val="00144EBC"/>
    <w:pPr>
      <w:spacing w:after="200"/>
    </w:pPr>
    <w:rPr>
      <w:b/>
      <w:bCs/>
      <w:color w:val="0072BC" w:themeColor="accent1"/>
      <w:sz w:val="18"/>
      <w:szCs w:val="18"/>
    </w:rPr>
  </w:style>
  <w:style w:type="paragraph" w:styleId="Closing">
    <w:name w:val="Closing"/>
    <w:basedOn w:val="Normal"/>
    <w:link w:val="ClosingChar"/>
    <w:uiPriority w:val="98"/>
    <w:semiHidden/>
    <w:rsid w:val="00144EBC"/>
    <w:pPr>
      <w:ind w:left="4252"/>
    </w:pPr>
  </w:style>
  <w:style w:type="character" w:customStyle="1" w:styleId="ClosingChar">
    <w:name w:val="Closing Char"/>
    <w:basedOn w:val="DefaultParagraphFont"/>
    <w:link w:val="Closing"/>
    <w:uiPriority w:val="98"/>
    <w:semiHidden/>
    <w:rsid w:val="00144EBC"/>
    <w:rPr>
      <w:sz w:val="24"/>
      <w:szCs w:val="24"/>
      <w:lang w:val="en-GB"/>
    </w:rPr>
  </w:style>
  <w:style w:type="table" w:styleId="ColorfulGrid">
    <w:name w:val="Colorful Grid"/>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4E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4E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4E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4E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4E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4E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4E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4E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4E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4E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4E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44EBC"/>
    <w:rPr>
      <w:b/>
      <w:bCs/>
    </w:rPr>
  </w:style>
  <w:style w:type="character" w:customStyle="1" w:styleId="CommentSubjectChar">
    <w:name w:val="Comment Subject Char"/>
    <w:basedOn w:val="CommentTextChar"/>
    <w:link w:val="CommentSubject"/>
    <w:uiPriority w:val="98"/>
    <w:semiHidden/>
    <w:rsid w:val="00144EBC"/>
    <w:rPr>
      <w:b/>
      <w:bCs/>
      <w:sz w:val="20"/>
      <w:szCs w:val="20"/>
      <w:lang w:val="en-GB"/>
    </w:rPr>
  </w:style>
  <w:style w:type="table" w:styleId="DarkList">
    <w:name w:val="Dark List"/>
    <w:basedOn w:val="TableNormal"/>
    <w:uiPriority w:val="70"/>
    <w:semiHidden/>
    <w:rsid w:val="00144E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4E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4E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4E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4E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4E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4E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4EBC"/>
  </w:style>
  <w:style w:type="character" w:customStyle="1" w:styleId="DateChar">
    <w:name w:val="Date Char"/>
    <w:basedOn w:val="DefaultParagraphFont"/>
    <w:link w:val="Date"/>
    <w:uiPriority w:val="98"/>
    <w:semiHidden/>
    <w:rsid w:val="00144EBC"/>
    <w:rPr>
      <w:sz w:val="24"/>
      <w:szCs w:val="24"/>
      <w:lang w:val="en-GB"/>
    </w:rPr>
  </w:style>
  <w:style w:type="paragraph" w:styleId="DocumentMap">
    <w:name w:val="Document Map"/>
    <w:basedOn w:val="Normal"/>
    <w:link w:val="DocumentMapChar"/>
    <w:uiPriority w:val="98"/>
    <w:semiHidden/>
    <w:rsid w:val="00144EBC"/>
    <w:rPr>
      <w:rFonts w:ascii="Tahoma" w:hAnsi="Tahoma" w:cs="Tahoma"/>
      <w:sz w:val="16"/>
      <w:szCs w:val="16"/>
    </w:rPr>
  </w:style>
  <w:style w:type="character" w:customStyle="1" w:styleId="DocumentMapChar">
    <w:name w:val="Document Map Char"/>
    <w:basedOn w:val="DefaultParagraphFont"/>
    <w:link w:val="DocumentMap"/>
    <w:uiPriority w:val="98"/>
    <w:semiHidden/>
    <w:rsid w:val="00144EBC"/>
    <w:rPr>
      <w:rFonts w:ascii="Tahoma" w:hAnsi="Tahoma" w:cs="Tahoma"/>
      <w:sz w:val="16"/>
      <w:szCs w:val="16"/>
      <w:lang w:val="en-GB"/>
    </w:rPr>
  </w:style>
  <w:style w:type="paragraph" w:styleId="E-mailSignature">
    <w:name w:val="E-mail Signature"/>
    <w:basedOn w:val="Normal"/>
    <w:link w:val="E-mailSignatureChar"/>
    <w:uiPriority w:val="98"/>
    <w:semiHidden/>
    <w:rsid w:val="00144EBC"/>
  </w:style>
  <w:style w:type="character" w:customStyle="1" w:styleId="E-mailSignatureChar">
    <w:name w:val="E-mail Signature Char"/>
    <w:basedOn w:val="DefaultParagraphFont"/>
    <w:link w:val="E-mailSignature"/>
    <w:uiPriority w:val="98"/>
    <w:semiHidden/>
    <w:rsid w:val="00144EBC"/>
    <w:rPr>
      <w:sz w:val="24"/>
      <w:szCs w:val="24"/>
      <w:lang w:val="en-GB"/>
    </w:rPr>
  </w:style>
  <w:style w:type="character" w:styleId="EndnoteReference">
    <w:name w:val="endnote reference"/>
    <w:basedOn w:val="DefaultParagraphFont"/>
    <w:uiPriority w:val="98"/>
    <w:semiHidden/>
    <w:rsid w:val="00144EBC"/>
    <w:rPr>
      <w:vertAlign w:val="superscript"/>
    </w:rPr>
  </w:style>
  <w:style w:type="paragraph" w:styleId="EndnoteText">
    <w:name w:val="endnote text"/>
    <w:basedOn w:val="Normal"/>
    <w:link w:val="EndnoteTextChar"/>
    <w:uiPriority w:val="98"/>
    <w:semiHidden/>
    <w:rsid w:val="00144EBC"/>
    <w:rPr>
      <w:sz w:val="20"/>
      <w:szCs w:val="20"/>
    </w:rPr>
  </w:style>
  <w:style w:type="character" w:customStyle="1" w:styleId="EndnoteTextChar">
    <w:name w:val="Endnote Text Char"/>
    <w:basedOn w:val="DefaultParagraphFont"/>
    <w:link w:val="EndnoteText"/>
    <w:uiPriority w:val="98"/>
    <w:semiHidden/>
    <w:rsid w:val="00144EBC"/>
    <w:rPr>
      <w:sz w:val="20"/>
      <w:szCs w:val="20"/>
      <w:lang w:val="en-GB"/>
    </w:rPr>
  </w:style>
  <w:style w:type="paragraph" w:styleId="EnvelopeAddress">
    <w:name w:val="envelope address"/>
    <w:basedOn w:val="Normal"/>
    <w:uiPriority w:val="98"/>
    <w:semiHidden/>
    <w:rsid w:val="00144E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4E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4EBC"/>
    <w:rPr>
      <w:color w:val="7030A0" w:themeColor="followedHyperlink"/>
      <w:u w:val="single"/>
    </w:rPr>
  </w:style>
  <w:style w:type="character" w:styleId="FootnoteReference">
    <w:name w:val="footnote reference"/>
    <w:basedOn w:val="DefaultParagraphFont"/>
    <w:uiPriority w:val="98"/>
    <w:semiHidden/>
    <w:rsid w:val="00144EBC"/>
    <w:rPr>
      <w:vertAlign w:val="superscript"/>
    </w:rPr>
  </w:style>
  <w:style w:type="paragraph" w:styleId="FootnoteText">
    <w:name w:val="footnote text"/>
    <w:basedOn w:val="Normal"/>
    <w:link w:val="FootnoteTextChar"/>
    <w:uiPriority w:val="98"/>
    <w:semiHidden/>
    <w:rsid w:val="00144EBC"/>
    <w:rPr>
      <w:sz w:val="20"/>
      <w:szCs w:val="20"/>
    </w:rPr>
  </w:style>
  <w:style w:type="character" w:customStyle="1" w:styleId="FootnoteTextChar">
    <w:name w:val="Footnote Text Char"/>
    <w:basedOn w:val="DefaultParagraphFont"/>
    <w:link w:val="FootnoteText"/>
    <w:uiPriority w:val="98"/>
    <w:semiHidden/>
    <w:rsid w:val="00144EBC"/>
    <w:rPr>
      <w:sz w:val="20"/>
      <w:szCs w:val="20"/>
      <w:lang w:val="en-GB"/>
    </w:rPr>
  </w:style>
  <w:style w:type="character" w:styleId="HTMLAcronym">
    <w:name w:val="HTML Acronym"/>
    <w:basedOn w:val="DefaultParagraphFont"/>
    <w:uiPriority w:val="98"/>
    <w:semiHidden/>
    <w:rsid w:val="00144EBC"/>
  </w:style>
  <w:style w:type="paragraph" w:styleId="HTMLAddress">
    <w:name w:val="HTML Address"/>
    <w:basedOn w:val="Normal"/>
    <w:link w:val="HTMLAddressChar"/>
    <w:uiPriority w:val="98"/>
    <w:semiHidden/>
    <w:rsid w:val="00144EBC"/>
    <w:rPr>
      <w:i/>
      <w:iCs/>
    </w:rPr>
  </w:style>
  <w:style w:type="character" w:customStyle="1" w:styleId="HTMLAddressChar">
    <w:name w:val="HTML Address Char"/>
    <w:basedOn w:val="DefaultParagraphFont"/>
    <w:link w:val="HTMLAddress"/>
    <w:uiPriority w:val="98"/>
    <w:semiHidden/>
    <w:rsid w:val="00144EBC"/>
    <w:rPr>
      <w:i/>
      <w:iCs/>
      <w:sz w:val="24"/>
      <w:szCs w:val="24"/>
      <w:lang w:val="en-GB"/>
    </w:rPr>
  </w:style>
  <w:style w:type="character" w:styleId="HTMLCite">
    <w:name w:val="HTML Cite"/>
    <w:basedOn w:val="DefaultParagraphFont"/>
    <w:uiPriority w:val="98"/>
    <w:semiHidden/>
    <w:rsid w:val="00144EBC"/>
    <w:rPr>
      <w:i/>
      <w:iCs/>
    </w:rPr>
  </w:style>
  <w:style w:type="character" w:styleId="HTMLCode">
    <w:name w:val="HTML Code"/>
    <w:basedOn w:val="DefaultParagraphFont"/>
    <w:uiPriority w:val="98"/>
    <w:semiHidden/>
    <w:rsid w:val="00144EBC"/>
    <w:rPr>
      <w:rFonts w:ascii="Consolas" w:hAnsi="Consolas" w:cs="Consolas"/>
      <w:sz w:val="20"/>
      <w:szCs w:val="20"/>
    </w:rPr>
  </w:style>
  <w:style w:type="character" w:styleId="HTMLDefinition">
    <w:name w:val="HTML Definition"/>
    <w:basedOn w:val="DefaultParagraphFont"/>
    <w:uiPriority w:val="98"/>
    <w:semiHidden/>
    <w:rsid w:val="00144EBC"/>
    <w:rPr>
      <w:i/>
      <w:iCs/>
    </w:rPr>
  </w:style>
  <w:style w:type="character" w:styleId="HTMLKeyboard">
    <w:name w:val="HTML Keyboard"/>
    <w:basedOn w:val="DefaultParagraphFont"/>
    <w:uiPriority w:val="98"/>
    <w:semiHidden/>
    <w:rsid w:val="00144EBC"/>
    <w:rPr>
      <w:rFonts w:ascii="Consolas" w:hAnsi="Consolas" w:cs="Consolas"/>
      <w:sz w:val="20"/>
      <w:szCs w:val="20"/>
    </w:rPr>
  </w:style>
  <w:style w:type="paragraph" w:styleId="HTMLPreformatted">
    <w:name w:val="HTML Preformatted"/>
    <w:basedOn w:val="Normal"/>
    <w:link w:val="HTMLPreformattedChar"/>
    <w:uiPriority w:val="98"/>
    <w:semiHidden/>
    <w:rsid w:val="00144E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4EBC"/>
    <w:rPr>
      <w:rFonts w:ascii="Consolas" w:hAnsi="Consolas" w:cs="Consolas"/>
      <w:sz w:val="20"/>
      <w:szCs w:val="20"/>
      <w:lang w:val="en-GB"/>
    </w:rPr>
  </w:style>
  <w:style w:type="character" w:styleId="HTMLSample">
    <w:name w:val="HTML Sample"/>
    <w:basedOn w:val="DefaultParagraphFont"/>
    <w:uiPriority w:val="98"/>
    <w:semiHidden/>
    <w:rsid w:val="00144EBC"/>
    <w:rPr>
      <w:rFonts w:ascii="Consolas" w:hAnsi="Consolas" w:cs="Consolas"/>
      <w:sz w:val="24"/>
      <w:szCs w:val="24"/>
    </w:rPr>
  </w:style>
  <w:style w:type="character" w:styleId="HTMLTypewriter">
    <w:name w:val="HTML Typewriter"/>
    <w:basedOn w:val="DefaultParagraphFont"/>
    <w:uiPriority w:val="98"/>
    <w:semiHidden/>
    <w:rsid w:val="00144EBC"/>
    <w:rPr>
      <w:rFonts w:ascii="Consolas" w:hAnsi="Consolas" w:cs="Consolas"/>
      <w:sz w:val="20"/>
      <w:szCs w:val="20"/>
    </w:rPr>
  </w:style>
  <w:style w:type="character" w:styleId="HTMLVariable">
    <w:name w:val="HTML Variable"/>
    <w:basedOn w:val="DefaultParagraphFont"/>
    <w:uiPriority w:val="98"/>
    <w:semiHidden/>
    <w:rsid w:val="00144EBC"/>
    <w:rPr>
      <w:i/>
      <w:iCs/>
    </w:rPr>
  </w:style>
  <w:style w:type="character" w:styleId="Hyperlink">
    <w:name w:val="Hyperlink"/>
    <w:basedOn w:val="DefaultParagraphFont"/>
    <w:uiPriority w:val="98"/>
    <w:rsid w:val="00144EBC"/>
    <w:rPr>
      <w:color w:val="0072BC" w:themeColor="hyperlink"/>
      <w:u w:val="single"/>
    </w:rPr>
  </w:style>
  <w:style w:type="paragraph" w:styleId="Index1">
    <w:name w:val="index 1"/>
    <w:basedOn w:val="Normal"/>
    <w:next w:val="Normal"/>
    <w:autoRedefine/>
    <w:uiPriority w:val="98"/>
    <w:semiHidden/>
    <w:rsid w:val="00144EBC"/>
    <w:pPr>
      <w:ind w:left="240" w:hanging="240"/>
    </w:pPr>
  </w:style>
  <w:style w:type="paragraph" w:styleId="Index2">
    <w:name w:val="index 2"/>
    <w:basedOn w:val="Normal"/>
    <w:next w:val="Normal"/>
    <w:autoRedefine/>
    <w:uiPriority w:val="98"/>
    <w:semiHidden/>
    <w:rsid w:val="00144EBC"/>
    <w:pPr>
      <w:ind w:left="480" w:hanging="240"/>
    </w:pPr>
  </w:style>
  <w:style w:type="paragraph" w:styleId="Index3">
    <w:name w:val="index 3"/>
    <w:basedOn w:val="Normal"/>
    <w:next w:val="Normal"/>
    <w:autoRedefine/>
    <w:uiPriority w:val="98"/>
    <w:semiHidden/>
    <w:rsid w:val="00144EBC"/>
    <w:pPr>
      <w:ind w:left="720" w:hanging="240"/>
    </w:pPr>
  </w:style>
  <w:style w:type="paragraph" w:styleId="Index4">
    <w:name w:val="index 4"/>
    <w:basedOn w:val="Normal"/>
    <w:next w:val="Normal"/>
    <w:autoRedefine/>
    <w:uiPriority w:val="98"/>
    <w:semiHidden/>
    <w:rsid w:val="00144EBC"/>
    <w:pPr>
      <w:ind w:left="960" w:hanging="240"/>
    </w:pPr>
  </w:style>
  <w:style w:type="paragraph" w:styleId="Index5">
    <w:name w:val="index 5"/>
    <w:basedOn w:val="Normal"/>
    <w:next w:val="Normal"/>
    <w:autoRedefine/>
    <w:uiPriority w:val="98"/>
    <w:semiHidden/>
    <w:rsid w:val="00144EBC"/>
    <w:pPr>
      <w:ind w:left="1200" w:hanging="240"/>
    </w:pPr>
  </w:style>
  <w:style w:type="paragraph" w:styleId="Index6">
    <w:name w:val="index 6"/>
    <w:basedOn w:val="Normal"/>
    <w:next w:val="Normal"/>
    <w:autoRedefine/>
    <w:uiPriority w:val="98"/>
    <w:semiHidden/>
    <w:rsid w:val="00144EBC"/>
    <w:pPr>
      <w:ind w:left="1440" w:hanging="240"/>
    </w:pPr>
  </w:style>
  <w:style w:type="paragraph" w:styleId="Index7">
    <w:name w:val="index 7"/>
    <w:basedOn w:val="Normal"/>
    <w:next w:val="Normal"/>
    <w:autoRedefine/>
    <w:uiPriority w:val="98"/>
    <w:semiHidden/>
    <w:rsid w:val="00144EBC"/>
    <w:pPr>
      <w:ind w:left="1680" w:hanging="240"/>
    </w:pPr>
  </w:style>
  <w:style w:type="paragraph" w:styleId="Index8">
    <w:name w:val="index 8"/>
    <w:basedOn w:val="Normal"/>
    <w:next w:val="Normal"/>
    <w:autoRedefine/>
    <w:uiPriority w:val="98"/>
    <w:semiHidden/>
    <w:rsid w:val="00144EBC"/>
    <w:pPr>
      <w:ind w:left="1920" w:hanging="240"/>
    </w:pPr>
  </w:style>
  <w:style w:type="paragraph" w:styleId="Index9">
    <w:name w:val="index 9"/>
    <w:basedOn w:val="Normal"/>
    <w:next w:val="Normal"/>
    <w:autoRedefine/>
    <w:uiPriority w:val="98"/>
    <w:semiHidden/>
    <w:rsid w:val="00144EBC"/>
    <w:pPr>
      <w:ind w:left="2160" w:hanging="240"/>
    </w:pPr>
  </w:style>
  <w:style w:type="paragraph" w:styleId="IndexHeading">
    <w:name w:val="index heading"/>
    <w:basedOn w:val="Normal"/>
    <w:next w:val="Index1"/>
    <w:uiPriority w:val="98"/>
    <w:semiHidden/>
    <w:rsid w:val="00144EBC"/>
    <w:rPr>
      <w:rFonts w:asciiTheme="majorHAnsi" w:eastAsiaTheme="majorEastAsia" w:hAnsiTheme="majorHAnsi" w:cstheme="majorBidi"/>
      <w:b/>
      <w:bCs/>
    </w:rPr>
  </w:style>
  <w:style w:type="table" w:styleId="LightGrid">
    <w:name w:val="Light Grid"/>
    <w:basedOn w:val="TableNormal"/>
    <w:uiPriority w:val="62"/>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4E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4E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4E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4E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4E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4E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4E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4EBC"/>
  </w:style>
  <w:style w:type="paragraph" w:styleId="List">
    <w:name w:val="List"/>
    <w:basedOn w:val="Normal"/>
    <w:uiPriority w:val="98"/>
    <w:semiHidden/>
    <w:rsid w:val="00144EBC"/>
    <w:pPr>
      <w:ind w:left="283" w:hanging="283"/>
      <w:contextualSpacing/>
    </w:pPr>
  </w:style>
  <w:style w:type="paragraph" w:styleId="List20">
    <w:name w:val="List 2"/>
    <w:basedOn w:val="Normal"/>
    <w:uiPriority w:val="98"/>
    <w:semiHidden/>
    <w:rsid w:val="00144EBC"/>
    <w:pPr>
      <w:ind w:left="566" w:hanging="283"/>
      <w:contextualSpacing/>
    </w:pPr>
  </w:style>
  <w:style w:type="paragraph" w:styleId="List30">
    <w:name w:val="List 3"/>
    <w:basedOn w:val="Normal"/>
    <w:uiPriority w:val="98"/>
    <w:semiHidden/>
    <w:rsid w:val="00144EBC"/>
    <w:pPr>
      <w:ind w:left="849" w:hanging="283"/>
      <w:contextualSpacing/>
    </w:pPr>
  </w:style>
  <w:style w:type="paragraph" w:styleId="List4">
    <w:name w:val="List 4"/>
    <w:basedOn w:val="Normal"/>
    <w:uiPriority w:val="98"/>
    <w:semiHidden/>
    <w:rsid w:val="00144EBC"/>
    <w:pPr>
      <w:ind w:left="1132" w:hanging="283"/>
      <w:contextualSpacing/>
    </w:pPr>
  </w:style>
  <w:style w:type="paragraph" w:styleId="List5">
    <w:name w:val="List 5"/>
    <w:basedOn w:val="Normal"/>
    <w:uiPriority w:val="98"/>
    <w:semiHidden/>
    <w:rsid w:val="00144EBC"/>
    <w:pPr>
      <w:ind w:left="1415" w:hanging="283"/>
      <w:contextualSpacing/>
    </w:pPr>
  </w:style>
  <w:style w:type="paragraph" w:styleId="ListBullet">
    <w:name w:val="List Bullet"/>
    <w:basedOn w:val="Normal"/>
    <w:uiPriority w:val="98"/>
    <w:semiHidden/>
    <w:rsid w:val="00144EBC"/>
    <w:pPr>
      <w:numPr>
        <w:numId w:val="11"/>
      </w:numPr>
    </w:pPr>
  </w:style>
  <w:style w:type="paragraph" w:styleId="ListBullet2">
    <w:name w:val="List Bullet 2"/>
    <w:basedOn w:val="Normal"/>
    <w:uiPriority w:val="98"/>
    <w:semiHidden/>
    <w:rsid w:val="00144EBC"/>
    <w:pPr>
      <w:numPr>
        <w:numId w:val="12"/>
      </w:numPr>
      <w:contextualSpacing/>
    </w:pPr>
  </w:style>
  <w:style w:type="paragraph" w:styleId="ListBullet3">
    <w:name w:val="List Bullet 3"/>
    <w:basedOn w:val="Normal"/>
    <w:uiPriority w:val="98"/>
    <w:semiHidden/>
    <w:rsid w:val="00144EBC"/>
    <w:pPr>
      <w:numPr>
        <w:numId w:val="13"/>
      </w:numPr>
      <w:contextualSpacing/>
    </w:pPr>
  </w:style>
  <w:style w:type="paragraph" w:styleId="ListBullet4">
    <w:name w:val="List Bullet 4"/>
    <w:basedOn w:val="Normal"/>
    <w:uiPriority w:val="98"/>
    <w:semiHidden/>
    <w:rsid w:val="00144EBC"/>
    <w:pPr>
      <w:numPr>
        <w:numId w:val="14"/>
      </w:numPr>
      <w:contextualSpacing/>
    </w:pPr>
  </w:style>
  <w:style w:type="paragraph" w:styleId="ListBullet5">
    <w:name w:val="List Bullet 5"/>
    <w:basedOn w:val="Normal"/>
    <w:uiPriority w:val="98"/>
    <w:semiHidden/>
    <w:rsid w:val="00144EBC"/>
    <w:pPr>
      <w:numPr>
        <w:numId w:val="15"/>
      </w:numPr>
      <w:contextualSpacing/>
    </w:pPr>
  </w:style>
  <w:style w:type="paragraph" w:styleId="ListContinue">
    <w:name w:val="List Continue"/>
    <w:basedOn w:val="Normal"/>
    <w:uiPriority w:val="98"/>
    <w:semiHidden/>
    <w:rsid w:val="00144EBC"/>
    <w:pPr>
      <w:spacing w:after="120"/>
      <w:ind w:left="283"/>
      <w:contextualSpacing/>
    </w:pPr>
  </w:style>
  <w:style w:type="paragraph" w:styleId="ListContinue2">
    <w:name w:val="List Continue 2"/>
    <w:basedOn w:val="Normal"/>
    <w:uiPriority w:val="98"/>
    <w:semiHidden/>
    <w:rsid w:val="00144EBC"/>
    <w:pPr>
      <w:spacing w:after="120"/>
      <w:ind w:left="566"/>
      <w:contextualSpacing/>
    </w:pPr>
  </w:style>
  <w:style w:type="paragraph" w:styleId="ListContinue3">
    <w:name w:val="List Continue 3"/>
    <w:basedOn w:val="Normal"/>
    <w:uiPriority w:val="98"/>
    <w:semiHidden/>
    <w:rsid w:val="00144EBC"/>
    <w:pPr>
      <w:spacing w:after="120"/>
      <w:ind w:left="849"/>
      <w:contextualSpacing/>
    </w:pPr>
  </w:style>
  <w:style w:type="paragraph" w:styleId="ListContinue4">
    <w:name w:val="List Continue 4"/>
    <w:basedOn w:val="Normal"/>
    <w:uiPriority w:val="98"/>
    <w:semiHidden/>
    <w:rsid w:val="00144EBC"/>
    <w:pPr>
      <w:spacing w:after="120"/>
      <w:ind w:left="1132"/>
      <w:contextualSpacing/>
    </w:pPr>
  </w:style>
  <w:style w:type="paragraph" w:styleId="ListContinue5">
    <w:name w:val="List Continue 5"/>
    <w:basedOn w:val="Normal"/>
    <w:uiPriority w:val="98"/>
    <w:semiHidden/>
    <w:rsid w:val="00144EBC"/>
    <w:pPr>
      <w:spacing w:after="120"/>
      <w:ind w:left="1415"/>
      <w:contextualSpacing/>
    </w:pPr>
  </w:style>
  <w:style w:type="paragraph" w:styleId="ListNumber">
    <w:name w:val="List Number"/>
    <w:basedOn w:val="Normal"/>
    <w:uiPriority w:val="98"/>
    <w:semiHidden/>
    <w:rsid w:val="00144EBC"/>
    <w:pPr>
      <w:numPr>
        <w:numId w:val="16"/>
      </w:numPr>
      <w:contextualSpacing/>
    </w:pPr>
  </w:style>
  <w:style w:type="paragraph" w:styleId="ListNumber2">
    <w:name w:val="List Number 2"/>
    <w:basedOn w:val="Normal"/>
    <w:uiPriority w:val="98"/>
    <w:semiHidden/>
    <w:rsid w:val="00144EBC"/>
    <w:pPr>
      <w:numPr>
        <w:numId w:val="17"/>
      </w:numPr>
      <w:contextualSpacing/>
    </w:pPr>
  </w:style>
  <w:style w:type="paragraph" w:styleId="ListNumber3">
    <w:name w:val="List Number 3"/>
    <w:basedOn w:val="Normal"/>
    <w:uiPriority w:val="98"/>
    <w:semiHidden/>
    <w:rsid w:val="00144EBC"/>
    <w:pPr>
      <w:numPr>
        <w:numId w:val="18"/>
      </w:numPr>
      <w:contextualSpacing/>
    </w:pPr>
  </w:style>
  <w:style w:type="paragraph" w:styleId="ListNumber4">
    <w:name w:val="List Number 4"/>
    <w:basedOn w:val="Normal"/>
    <w:uiPriority w:val="98"/>
    <w:semiHidden/>
    <w:rsid w:val="00144EBC"/>
    <w:pPr>
      <w:numPr>
        <w:numId w:val="19"/>
      </w:numPr>
      <w:contextualSpacing/>
    </w:pPr>
  </w:style>
  <w:style w:type="paragraph" w:styleId="ListNumber5">
    <w:name w:val="List Number 5"/>
    <w:basedOn w:val="Normal"/>
    <w:uiPriority w:val="98"/>
    <w:semiHidden/>
    <w:rsid w:val="00144EBC"/>
    <w:pPr>
      <w:numPr>
        <w:numId w:val="20"/>
      </w:numPr>
      <w:contextualSpacing/>
    </w:pPr>
  </w:style>
  <w:style w:type="paragraph" w:styleId="Macro">
    <w:name w:val="macro"/>
    <w:link w:val="MacroTextChar"/>
    <w:uiPriority w:val="98"/>
    <w:semiHidden/>
    <w:rsid w:val="00144EB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4EBC"/>
    <w:rPr>
      <w:rFonts w:ascii="Consolas" w:hAnsi="Consolas" w:eastAsiaTheme="minorEastAsia" w:cs="Consolas"/>
      <w:sz w:val="20"/>
      <w:szCs w:val="20"/>
    </w:rPr>
  </w:style>
  <w:style w:type="table" w:styleId="MediumGrid1">
    <w:name w:val="Medium Grid 1"/>
    <w:basedOn w:val="TableNormal"/>
    <w:uiPriority w:val="67"/>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4E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4E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4E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4E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4E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4E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4E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4E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4E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4EBC"/>
    <w:rPr>
      <w:rFonts w:ascii="Times New Roman" w:hAnsi="Times New Roman" w:cs="Times New Roman"/>
    </w:rPr>
  </w:style>
  <w:style w:type="paragraph" w:styleId="NormalIndent">
    <w:name w:val="Normal Indent"/>
    <w:basedOn w:val="Normal"/>
    <w:uiPriority w:val="98"/>
    <w:semiHidden/>
    <w:rsid w:val="00144EBC"/>
    <w:pPr>
      <w:ind w:left="720"/>
    </w:pPr>
  </w:style>
  <w:style w:type="table" w:customStyle="1" w:styleId="ECHRTableNoLines">
    <w:name w:val="ECHR_Table_No_Lines"/>
    <w:basedOn w:val="TableNormal"/>
    <w:uiPriority w:val="99"/>
    <w:rsid w:val="00144E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144E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144E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4EBC"/>
    <w:rPr>
      <w:rFonts w:ascii="Consolas" w:hAnsi="Consolas" w:cs="Consolas"/>
      <w:sz w:val="21"/>
      <w:szCs w:val="21"/>
    </w:rPr>
  </w:style>
  <w:style w:type="character" w:customStyle="1" w:styleId="PlainTextChar">
    <w:name w:val="Plain Text Char"/>
    <w:basedOn w:val="DefaultParagraphFont"/>
    <w:link w:val="PlainText"/>
    <w:uiPriority w:val="98"/>
    <w:semiHidden/>
    <w:rsid w:val="00144EBC"/>
    <w:rPr>
      <w:rFonts w:ascii="Consolas" w:hAnsi="Consolas" w:cs="Consolas"/>
      <w:sz w:val="21"/>
      <w:szCs w:val="21"/>
      <w:lang w:val="en-GB"/>
    </w:rPr>
  </w:style>
  <w:style w:type="paragraph" w:styleId="Salutation">
    <w:name w:val="Salutation"/>
    <w:basedOn w:val="Normal"/>
    <w:next w:val="Normal"/>
    <w:link w:val="SalutationChar"/>
    <w:uiPriority w:val="98"/>
    <w:semiHidden/>
    <w:rsid w:val="00144EBC"/>
  </w:style>
  <w:style w:type="character" w:customStyle="1" w:styleId="SalutationChar">
    <w:name w:val="Salutation Char"/>
    <w:basedOn w:val="DefaultParagraphFont"/>
    <w:link w:val="Salutation"/>
    <w:uiPriority w:val="98"/>
    <w:semiHidden/>
    <w:rsid w:val="00144EBC"/>
    <w:rPr>
      <w:sz w:val="24"/>
      <w:szCs w:val="24"/>
      <w:lang w:val="en-GB"/>
    </w:rPr>
  </w:style>
  <w:style w:type="paragraph" w:styleId="Signature0">
    <w:name w:val="Signature"/>
    <w:basedOn w:val="Normal"/>
    <w:link w:val="SignatureChar"/>
    <w:uiPriority w:val="98"/>
    <w:semiHidden/>
    <w:rsid w:val="00144EBC"/>
    <w:pPr>
      <w:ind w:left="4252"/>
    </w:pPr>
  </w:style>
  <w:style w:type="character" w:customStyle="1" w:styleId="SignatureChar">
    <w:name w:val="Signature Char"/>
    <w:basedOn w:val="DefaultParagraphFont"/>
    <w:link w:val="Signature0"/>
    <w:uiPriority w:val="98"/>
    <w:semiHidden/>
    <w:rsid w:val="00144EBC"/>
    <w:rPr>
      <w:sz w:val="24"/>
      <w:szCs w:val="24"/>
      <w:lang w:val="en-GB"/>
    </w:rPr>
  </w:style>
  <w:style w:type="table" w:styleId="Table3Deffects1">
    <w:name w:val="Table 3D effects 1"/>
    <w:basedOn w:val="TableNormal"/>
    <w:uiPriority w:val="99"/>
    <w:semiHidden/>
    <w:unhideWhenUsed/>
    <w:rsid w:val="00144E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4E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4E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4E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4E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4E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4E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4E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4E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4E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4E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4E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4E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4E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4E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144E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4E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4E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4E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4E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4E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4E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4E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4E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4E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4EBC"/>
    <w:pPr>
      <w:ind w:left="240" w:hanging="240"/>
    </w:pPr>
  </w:style>
  <w:style w:type="paragraph" w:styleId="TableofFigures">
    <w:name w:val="table of figures"/>
    <w:basedOn w:val="Normal"/>
    <w:next w:val="Normal"/>
    <w:uiPriority w:val="98"/>
    <w:semiHidden/>
    <w:rsid w:val="00144EBC"/>
  </w:style>
  <w:style w:type="table" w:styleId="TableProfessional">
    <w:name w:val="Table Professional"/>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4E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4E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4E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4E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4E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4E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4E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4E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44E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144E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4E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4E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4E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4EB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44E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4E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4EBC"/>
    <w:pPr>
      <w:spacing w:after="100"/>
      <w:ind w:left="1680"/>
    </w:pPr>
  </w:style>
  <w:style w:type="paragraph" w:styleId="TOC9">
    <w:name w:val="toc 9"/>
    <w:basedOn w:val="Normal"/>
    <w:next w:val="Normal"/>
    <w:autoRedefine/>
    <w:uiPriority w:val="98"/>
    <w:semiHidden/>
    <w:rsid w:val="00144EBC"/>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144EBC"/>
    <w:pPr>
      <w:tabs>
        <w:tab w:val="center" w:pos="3686"/>
        <w:tab w:val="right" w:pos="7371"/>
      </w:tabs>
    </w:pPr>
  </w:style>
  <w:style w:type="character" w:customStyle="1" w:styleId="FooterChar">
    <w:name w:val="Footer Char"/>
    <w:basedOn w:val="DefaultParagraphFont"/>
    <w:link w:val="Footer1"/>
    <w:uiPriority w:val="98"/>
    <w:semiHidden/>
    <w:rsid w:val="00144EBC"/>
    <w:rPr>
      <w:sz w:val="24"/>
      <w:szCs w:val="24"/>
      <w:lang w:val="en-GB"/>
    </w:rPr>
  </w:style>
  <w:style w:type="paragraph" w:customStyle="1" w:styleId="ECHRFooterLine">
    <w:name w:val="ECHR_Footer_Line"/>
    <w:aliases w:val="_Footer_Line"/>
    <w:basedOn w:val="Normal"/>
    <w:next w:val="Normal"/>
    <w:uiPriority w:val="30"/>
    <w:semiHidden/>
    <w:rsid w:val="00144EB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44E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144EBC"/>
    <w:pPr>
      <w:ind w:firstLine="284"/>
      <w:jc w:val="both"/>
    </w:pPr>
    <w:rPr>
      <w:b/>
    </w:rPr>
  </w:style>
  <w:style w:type="paragraph" w:styleId="NoteHeading">
    <w:name w:val="Note Heading"/>
    <w:basedOn w:val="Normal"/>
    <w:next w:val="Normal"/>
    <w:link w:val="NoteHeadingChar"/>
    <w:uiPriority w:val="98"/>
    <w:semiHidden/>
    <w:rsid w:val="00144EBC"/>
  </w:style>
  <w:style w:type="character" w:customStyle="1" w:styleId="NoteHeadingChar">
    <w:name w:val="Note Heading Char"/>
    <w:basedOn w:val="DefaultParagraphFont"/>
    <w:link w:val="NoteHeading"/>
    <w:uiPriority w:val="98"/>
    <w:semiHidden/>
    <w:rsid w:val="00144EBC"/>
    <w:rPr>
      <w:sz w:val="24"/>
      <w:szCs w:val="24"/>
      <w:lang w:val="en-GB"/>
    </w:rPr>
  </w:style>
  <w:style w:type="paragraph" w:customStyle="1" w:styleId="ECHRHeaderLandscape">
    <w:name w:val="ECHR_Header_Landscape"/>
    <w:aliases w:val="_Header_Landscape"/>
    <w:basedOn w:val="JuHeader"/>
    <w:uiPriority w:val="29"/>
    <w:semiHidden/>
    <w:rsid w:val="00144EB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44EBC"/>
    <w:pPr>
      <w:numPr>
        <w:numId w:val="7"/>
      </w:numPr>
      <w:spacing w:before="60" w:after="60"/>
    </w:pPr>
  </w:style>
  <w:style w:type="paragraph" w:customStyle="1" w:styleId="ECHRBullet2">
    <w:name w:val="ECHR_Bullet_2"/>
    <w:aliases w:val="_Bul_2"/>
    <w:basedOn w:val="ECHRBullet1"/>
    <w:uiPriority w:val="23"/>
    <w:semiHidden/>
    <w:rsid w:val="00144EBC"/>
    <w:pPr>
      <w:numPr>
        <w:ilvl w:val="1"/>
      </w:numPr>
    </w:pPr>
  </w:style>
  <w:style w:type="paragraph" w:customStyle="1" w:styleId="ECHRBullet3">
    <w:name w:val="ECHR_Bullet_3"/>
    <w:aliases w:val="_Bul_3"/>
    <w:basedOn w:val="ECHRBullet2"/>
    <w:uiPriority w:val="23"/>
    <w:semiHidden/>
    <w:rsid w:val="00144EBC"/>
    <w:pPr>
      <w:numPr>
        <w:ilvl w:val="2"/>
      </w:numPr>
    </w:pPr>
  </w:style>
  <w:style w:type="paragraph" w:customStyle="1" w:styleId="ECHRBullet4">
    <w:name w:val="ECHR_Bullet_4"/>
    <w:aliases w:val="_Bul_4"/>
    <w:basedOn w:val="ECHRBullet3"/>
    <w:uiPriority w:val="23"/>
    <w:semiHidden/>
    <w:rsid w:val="00144EBC"/>
    <w:pPr>
      <w:numPr>
        <w:ilvl w:val="3"/>
      </w:numPr>
    </w:pPr>
  </w:style>
  <w:style w:type="paragraph" w:customStyle="1" w:styleId="ECHRConfidential">
    <w:name w:val="ECHR_Confidential"/>
    <w:aliases w:val="_Confidential"/>
    <w:basedOn w:val="Normal"/>
    <w:next w:val="Normal"/>
    <w:uiPriority w:val="42"/>
    <w:semiHidden/>
    <w:qFormat/>
    <w:rsid w:val="00144EBC"/>
    <w:pPr>
      <w:jc w:val="right"/>
    </w:pPr>
    <w:rPr>
      <w:color w:val="C00000"/>
      <w:sz w:val="20"/>
    </w:rPr>
  </w:style>
  <w:style w:type="paragraph" w:customStyle="1" w:styleId="ECHRDecisionBody">
    <w:name w:val="ECHR_Decision_Body"/>
    <w:aliases w:val="_Decision_Body"/>
    <w:basedOn w:val="NormalJustified"/>
    <w:uiPriority w:val="54"/>
    <w:semiHidden/>
    <w:rsid w:val="00144E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4E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4E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4E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4EBC"/>
    <w:pPr>
      <w:jc w:val="right"/>
    </w:pPr>
    <w:rPr>
      <w:sz w:val="20"/>
    </w:rPr>
  </w:style>
  <w:style w:type="paragraph" w:customStyle="1" w:styleId="ECHRHeaderRefIt">
    <w:name w:val="ECHR_Header_Ref_It"/>
    <w:aliases w:val="_Ref_Ital"/>
    <w:basedOn w:val="Normal"/>
    <w:next w:val="ECHRHeaderDate"/>
    <w:uiPriority w:val="43"/>
    <w:semiHidden/>
    <w:qFormat/>
    <w:rsid w:val="00144EBC"/>
    <w:pPr>
      <w:jc w:val="right"/>
    </w:pPr>
    <w:rPr>
      <w:i/>
      <w:sz w:val="20"/>
    </w:rPr>
  </w:style>
  <w:style w:type="paragraph" w:customStyle="1" w:styleId="ECHRHeading9">
    <w:name w:val="ECHR_Heading_9"/>
    <w:aliases w:val="_Head_9"/>
    <w:basedOn w:val="Heading9"/>
    <w:uiPriority w:val="17"/>
    <w:semiHidden/>
    <w:rsid w:val="00144EB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4E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44EBC"/>
    <w:pPr>
      <w:numPr>
        <w:numId w:val="8"/>
      </w:numPr>
      <w:spacing w:before="60" w:after="60"/>
    </w:pPr>
  </w:style>
  <w:style w:type="paragraph" w:customStyle="1" w:styleId="ECHRNumberedList2">
    <w:name w:val="ECHR_Numbered_List_2"/>
    <w:aliases w:val="_Num_2"/>
    <w:basedOn w:val="ECHRNumberedList1"/>
    <w:uiPriority w:val="23"/>
    <w:semiHidden/>
    <w:rsid w:val="00144EBC"/>
    <w:pPr>
      <w:numPr>
        <w:ilvl w:val="1"/>
      </w:numPr>
    </w:pPr>
  </w:style>
  <w:style w:type="paragraph" w:customStyle="1" w:styleId="ECHRNumberedList3">
    <w:name w:val="ECHR_Numbered_List_3"/>
    <w:aliases w:val="_Num_3"/>
    <w:basedOn w:val="ECHRNumberedList2"/>
    <w:uiPriority w:val="23"/>
    <w:semiHidden/>
    <w:rsid w:val="00144EBC"/>
    <w:pPr>
      <w:numPr>
        <w:ilvl w:val="2"/>
      </w:numPr>
    </w:pPr>
  </w:style>
  <w:style w:type="paragraph" w:customStyle="1" w:styleId="ECHRParaHanging">
    <w:name w:val="ECHR_Para_Hanging"/>
    <w:aliases w:val="_Hanging"/>
    <w:basedOn w:val="Normal"/>
    <w:uiPriority w:val="8"/>
    <w:semiHidden/>
    <w:qFormat/>
    <w:rsid w:val="00144EBC"/>
    <w:pPr>
      <w:ind w:left="567" w:hanging="567"/>
      <w:jc w:val="both"/>
    </w:pPr>
  </w:style>
  <w:style w:type="paragraph" w:customStyle="1" w:styleId="ECHRParaIndent">
    <w:name w:val="ECHR_Para_Indent"/>
    <w:aliases w:val="_Indent"/>
    <w:basedOn w:val="Normal"/>
    <w:uiPriority w:val="7"/>
    <w:semiHidden/>
    <w:qFormat/>
    <w:rsid w:val="00144EBC"/>
    <w:pPr>
      <w:spacing w:before="120" w:after="120"/>
      <w:ind w:left="284"/>
      <w:jc w:val="both"/>
    </w:pPr>
  </w:style>
  <w:style w:type="character" w:customStyle="1" w:styleId="ECHRRed">
    <w:name w:val="ECHR_Red"/>
    <w:aliases w:val="_Red"/>
    <w:basedOn w:val="DefaultParagraphFont"/>
    <w:uiPriority w:val="15"/>
    <w:semiHidden/>
    <w:qFormat/>
    <w:rsid w:val="00144EBC"/>
    <w:rPr>
      <w:color w:val="C00000" w:themeColor="accent2"/>
    </w:rPr>
  </w:style>
  <w:style w:type="paragraph" w:customStyle="1" w:styleId="DecList">
    <w:name w:val="Dec_List"/>
    <w:aliases w:val="_List"/>
    <w:basedOn w:val="JuList"/>
    <w:uiPriority w:val="22"/>
    <w:rsid w:val="00144EBC"/>
    <w:pPr>
      <w:numPr>
        <w:numId w:val="0"/>
      </w:numPr>
      <w:ind w:left="284"/>
    </w:pPr>
  </w:style>
  <w:style w:type="table" w:customStyle="1" w:styleId="ECHRTable">
    <w:name w:val="ECHR_Table"/>
    <w:basedOn w:val="TableNormal"/>
    <w:rsid w:val="00144E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44E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4E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4E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4E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44E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4EBC"/>
    <w:pPr>
      <w:outlineLvl w:val="0"/>
    </w:pPr>
  </w:style>
  <w:style w:type="paragraph" w:customStyle="1" w:styleId="ECHRTitleTOC1">
    <w:name w:val="ECHR_Title_TOC_1"/>
    <w:aliases w:val="_Title_L_TOC"/>
    <w:basedOn w:val="ECHRTitle1"/>
    <w:next w:val="Normal"/>
    <w:uiPriority w:val="27"/>
    <w:semiHidden/>
    <w:qFormat/>
    <w:rsid w:val="00144EBC"/>
    <w:pPr>
      <w:outlineLvl w:val="0"/>
    </w:pPr>
  </w:style>
  <w:style w:type="table" w:customStyle="1" w:styleId="LtrTableAddress">
    <w:name w:val="Ltr_Table_Address"/>
    <w:aliases w:val="ECHR_Ltr_Table_Address"/>
    <w:basedOn w:val="TableNormal"/>
    <w:uiPriority w:val="99"/>
    <w:rsid w:val="00144EBC"/>
    <w:rPr>
      <w:sz w:val="24"/>
      <w:szCs w:val="24"/>
    </w:rPr>
    <w:tblPr>
      <w:tblInd w:w="5103" w:type="dxa"/>
    </w:tblPr>
  </w:style>
  <w:style w:type="table" w:customStyle="1" w:styleId="PCFTableStyle">
    <w:name w:val="PCF_Table_Style"/>
    <w:aliases w:val="ECHR_PCF_Table_Style"/>
    <w:basedOn w:val="TableNormal"/>
    <w:uiPriority w:val="99"/>
    <w:rsid w:val="00144E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44E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4E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144EBC"/>
    <w:rPr>
      <w:color w:val="FFFFFF"/>
    </w:rPr>
  </w:style>
  <w:style w:type="paragraph" w:customStyle="1" w:styleId="ECHRSpacer">
    <w:name w:val="ECHR_Spacer"/>
    <w:aliases w:val="_Spacer"/>
    <w:basedOn w:val="Normal"/>
    <w:uiPriority w:val="45"/>
    <w:semiHidden/>
    <w:rsid w:val="00144EBC"/>
    <w:rPr>
      <w:sz w:val="4"/>
    </w:rPr>
  </w:style>
  <w:style w:type="table" w:customStyle="1" w:styleId="ECHRTableGrey">
    <w:name w:val="ECHR_Table_Grey"/>
    <w:basedOn w:val="TableNormal"/>
    <w:uiPriority w:val="99"/>
    <w:rsid w:val="00144EB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44EB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CB3BD9"/>
    <w:rPr>
      <w:color w:val="605E5C"/>
      <w:shd w:val="clear" w:color="auto" w:fill="E1DFDD"/>
    </w:rPr>
  </w:style>
  <w:style w:type="character" w:customStyle="1" w:styleId="JuParaChar">
    <w:name w:val="Ju_Para Char"/>
    <w:aliases w:val="_Para Char"/>
    <w:link w:val="JuPara"/>
    <w:uiPriority w:val="4"/>
    <w:rsid w:val="008D3C58"/>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1180</Words>
  <Characters>6660</Characters>
  <Application>Microsoft Office Word</Application>
  <DocSecurity>0</DocSecurity>
  <Lines>133</Lines>
  <Paragraphs>36</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2025-04-22T14:51:00Z</dcterms:created>
  <dcterms:modified xsi:type="dcterms:W3CDTF">2025-04-22T14:55:00Z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1855770</vt:lpwstr>
  </property>
  <property fmtid="{D5CDD505-2E9C-101B-9397-08002B2CF9AE}" pid="3" name="cstLanguage">
    <vt:i4>2057</vt:i4>
  </property>
  <property fmtid="{D5CDD505-2E9C-101B-9397-08002B2CF9AE}" pid="4" name="RegisteredNo">
    <vt:lpwstr>16505/23</vt:lpwstr>
  </property>
</Properties>
</file>