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31283" w:rsidR="004D042B" w:rsidP="00431283" w14:paraId="6769AE96" w14:textId="69C5E728">
      <w:pPr>
        <w:jc w:val="center"/>
      </w:pPr>
    </w:p>
    <w:p w:rsidRPr="00431283" w:rsidR="000C5149" w:rsidP="00431283" w14:paraId="5C5B956B" w14:textId="77777777">
      <w:pPr>
        <w:jc w:val="center"/>
      </w:pPr>
    </w:p>
    <w:p w:rsidRPr="00431283" w:rsidR="00606600" w:rsidP="00431283" w14:paraId="40801D69" w14:textId="43D32CE2">
      <w:pPr>
        <w:pStyle w:val="DecHTitle"/>
      </w:pPr>
      <w:r w:rsidRPr="00431283">
        <w:t>FIFTH SECTION</w:t>
      </w:r>
    </w:p>
    <w:p w:rsidRPr="00431283" w:rsidR="006D324D" w:rsidP="00431283" w14:paraId="0DF5226F" w14:textId="63AEB7FA">
      <w:pPr>
        <w:pStyle w:val="JuTitle"/>
      </w:pPr>
      <w:bookmarkStart w:name="To" w:id="0"/>
      <w:r w:rsidRPr="00431283">
        <w:rPr>
          <w:color w:val="000000" w:themeColor="text1"/>
        </w:rPr>
        <w:t xml:space="preserve">CASE OF </w:t>
      </w:r>
      <w:bookmarkEnd w:id="0"/>
      <w:r w:rsidRPr="00431283" w:rsidR="000D561B">
        <w:t>TYMOSHENKO v. UKRAINE</w:t>
      </w:r>
    </w:p>
    <w:p w:rsidRPr="00431283" w:rsidR="006D324D" w:rsidP="00431283" w14:paraId="1DD4F3B5" w14:textId="0D19D00C">
      <w:pPr>
        <w:pStyle w:val="ECHRCoverTitle4"/>
      </w:pPr>
      <w:r w:rsidRPr="00431283">
        <w:t>(</w:t>
      </w:r>
      <w:r w:rsidRPr="00431283" w:rsidR="000D561B">
        <w:t>Application no. 26951/23</w:t>
      </w:r>
      <w:r w:rsidRPr="00431283">
        <w:t>)</w:t>
      </w:r>
    </w:p>
    <w:p w:rsidRPr="00431283" w:rsidR="006D324D" w:rsidP="00431283" w14:paraId="0D961FDA" w14:textId="77777777">
      <w:pPr>
        <w:pStyle w:val="DecHCase"/>
      </w:pPr>
    </w:p>
    <w:p w:rsidRPr="00431283" w:rsidR="006D324D" w:rsidP="00431283" w14:paraId="5350B168" w14:textId="77777777">
      <w:pPr>
        <w:pStyle w:val="DecHCase"/>
      </w:pPr>
    </w:p>
    <w:p w:rsidRPr="00431283" w:rsidR="00606600" w:rsidP="00431283" w14:paraId="59B2B9FF" w14:textId="77777777">
      <w:pPr>
        <w:pStyle w:val="DecHCase"/>
      </w:pPr>
    </w:p>
    <w:p w:rsidRPr="00431283" w:rsidR="00606600" w:rsidP="00431283" w14:paraId="7A6C8E8A" w14:textId="77777777">
      <w:pPr>
        <w:pStyle w:val="DecHCase"/>
      </w:pPr>
    </w:p>
    <w:p w:rsidRPr="00431283" w:rsidR="00606600" w:rsidP="00431283" w14:paraId="31A52B9C" w14:textId="77777777">
      <w:pPr>
        <w:pStyle w:val="DecHCase"/>
      </w:pPr>
    </w:p>
    <w:p w:rsidRPr="00431283" w:rsidR="00606600" w:rsidP="00431283" w14:paraId="2886D3AB" w14:textId="77777777">
      <w:pPr>
        <w:pStyle w:val="DecHCase"/>
      </w:pPr>
      <w:r w:rsidRPr="00431283">
        <w:t>JUDGMENT</w:t>
      </w:r>
    </w:p>
    <w:p w:rsidRPr="00431283" w:rsidR="00606600" w:rsidP="00431283" w14:paraId="57731259" w14:textId="77777777">
      <w:pPr>
        <w:jc w:val="center"/>
        <w:rPr>
          <w:i/>
        </w:rPr>
      </w:pPr>
    </w:p>
    <w:p w:rsidRPr="00431283" w:rsidR="00606600" w:rsidP="00431283" w14:paraId="7493C841" w14:textId="77777777">
      <w:pPr>
        <w:pStyle w:val="DecHCase"/>
      </w:pPr>
      <w:r w:rsidRPr="00431283">
        <w:t>STRASBOURG</w:t>
      </w:r>
    </w:p>
    <w:p w:rsidRPr="00431283" w:rsidR="00606600" w:rsidP="00431283" w14:paraId="64766357" w14:textId="21443234">
      <w:pPr>
        <w:pStyle w:val="DecHCase"/>
      </w:pPr>
      <w:r w:rsidRPr="00431283">
        <w:t>20 March 2025</w:t>
      </w:r>
    </w:p>
    <w:p w:rsidRPr="00431283" w:rsidR="00606600" w:rsidP="00431283" w14:paraId="2CCDF904" w14:textId="77777777">
      <w:pPr>
        <w:jc w:val="center"/>
      </w:pPr>
    </w:p>
    <w:p w:rsidRPr="00431283" w:rsidR="00431283" w:rsidP="00431283" w14:paraId="46D18B9A" w14:textId="77777777">
      <w:pPr>
        <w:jc w:val="center"/>
      </w:pPr>
    </w:p>
    <w:p w:rsidRPr="00431283" w:rsidR="00431283" w:rsidP="00431283" w14:paraId="504BC407" w14:textId="77777777">
      <w:pPr>
        <w:jc w:val="center"/>
      </w:pPr>
    </w:p>
    <w:p w:rsidRPr="00431283" w:rsidR="00606600" w:rsidP="00431283" w14:paraId="74D6E451" w14:textId="77777777">
      <w:pPr>
        <w:rPr>
          <w:sz w:val="22"/>
          <w:szCs w:val="22"/>
        </w:rPr>
      </w:pPr>
      <w:r w:rsidRPr="00431283">
        <w:rPr>
          <w:i/>
          <w:sz w:val="22"/>
          <w:szCs w:val="22"/>
        </w:rPr>
        <w:t>This judgment is final but it may be subject to editorial revision.</w:t>
      </w:r>
    </w:p>
    <w:p w:rsidRPr="00431283" w:rsidR="00606600" w:rsidP="00431283" w14:paraId="3DA08A72" w14:textId="77777777">
      <w:pPr>
        <w:pStyle w:val="JuCase"/>
      </w:pPr>
    </w:p>
    <w:p w:rsidRPr="00431283" w:rsidR="00431283" w:rsidP="00431283" w14:paraId="7301FDC5" w14:textId="77777777">
      <w:pPr>
        <w:pStyle w:val="JuPara"/>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31283" w:rsidR="00606600" w:rsidP="00431283" w14:paraId="2E7162A2" w14:textId="46F1738E">
      <w:pPr>
        <w:pStyle w:val="JuCase"/>
        <w:rPr>
          <w:bCs/>
        </w:rPr>
      </w:pPr>
      <w:r w:rsidRPr="00431283">
        <w:t xml:space="preserve">In the case of </w:t>
      </w:r>
      <w:r w:rsidRPr="00431283" w:rsidR="000D561B">
        <w:t>Tymoshenko</w:t>
      </w:r>
      <w:r w:rsidRPr="00431283" w:rsidR="000D561B">
        <w:t xml:space="preserve"> v. Ukraine</w:t>
      </w:r>
      <w:r w:rsidRPr="00431283">
        <w:t>,</w:t>
      </w:r>
    </w:p>
    <w:p w:rsidRPr="00431283" w:rsidR="00606600" w:rsidP="00431283" w14:paraId="4EE1A243" w14:textId="5821A167">
      <w:pPr>
        <w:pStyle w:val="JuPara"/>
      </w:pPr>
      <w:r w:rsidRPr="00431283">
        <w:t>The European Court of Human Rights (</w:t>
      </w:r>
      <w:r w:rsidRPr="00431283" w:rsidR="000D561B">
        <w:t>Fifth Section</w:t>
      </w:r>
      <w:r w:rsidRPr="00431283">
        <w:t>), sitting as a Committee composed of:</w:t>
      </w:r>
    </w:p>
    <w:p w:rsidRPr="00431283" w:rsidR="002C5B23" w:rsidP="00431283" w14:paraId="411AD422" w14:textId="0BEC32F5">
      <w:pPr>
        <w:pStyle w:val="JuJudges"/>
      </w:pPr>
      <w:r w:rsidRPr="00431283">
        <w:tab/>
        <w:t xml:space="preserve">Diana </w:t>
      </w:r>
      <w:r w:rsidRPr="00431283">
        <w:t>Sârcu</w:t>
      </w:r>
      <w:r w:rsidRPr="00431283">
        <w:rPr>
          <w:i/>
        </w:rPr>
        <w:t>, President</w:t>
      </w:r>
      <w:r w:rsidRPr="00431283">
        <w:t>,</w:t>
      </w:r>
      <w:r w:rsidRPr="00431283">
        <w:br/>
      </w:r>
      <w:r w:rsidRPr="00431283">
        <w:tab/>
      </w:r>
      <w:r w:rsidRPr="00431283">
        <w:t>Kateřina</w:t>
      </w:r>
      <w:r w:rsidRPr="00431283">
        <w:t xml:space="preserve"> </w:t>
      </w:r>
      <w:r w:rsidRPr="00431283">
        <w:t>Šimáčková</w:t>
      </w:r>
      <w:r w:rsidRPr="00431283">
        <w:t>,</w:t>
      </w:r>
      <w:r w:rsidRPr="00431283">
        <w:br/>
      </w:r>
      <w:r w:rsidRPr="00431283">
        <w:tab/>
        <w:t>Mykola Gnatovskyy</w:t>
      </w:r>
      <w:r w:rsidRPr="00431283">
        <w:rPr>
          <w:i/>
        </w:rPr>
        <w:t>, judges</w:t>
      </w:r>
      <w:r w:rsidRPr="00431283">
        <w:t>,</w:t>
      </w:r>
    </w:p>
    <w:p w:rsidRPr="00431283" w:rsidR="00606600" w:rsidP="00431283" w14:paraId="3D48F67E" w14:textId="7824D5E4">
      <w:pPr>
        <w:pStyle w:val="JuJudges"/>
      </w:pPr>
      <w:r w:rsidRPr="00431283">
        <w:t xml:space="preserve">and </w:t>
      </w:r>
      <w:r w:rsidRPr="00431283" w:rsidR="000D561B">
        <w:t>Viktoriya</w:t>
      </w:r>
      <w:r w:rsidRPr="00431283">
        <w:t xml:space="preserve"> </w:t>
      </w:r>
      <w:r w:rsidRPr="00431283" w:rsidR="000D561B">
        <w:t>Maradudina</w:t>
      </w:r>
      <w:r w:rsidRPr="00431283" w:rsidR="00555A1D">
        <w:t>,</w:t>
      </w:r>
      <w:r w:rsidRPr="00431283" w:rsidR="00013B63">
        <w:t xml:space="preserve"> </w:t>
      </w:r>
      <w:r w:rsidRPr="00431283">
        <w:rPr>
          <w:i/>
        </w:rPr>
        <w:t>Acting</w:t>
      </w:r>
      <w:r w:rsidRPr="00431283">
        <w:t xml:space="preserve"> </w:t>
      </w:r>
      <w:r w:rsidRPr="00431283">
        <w:rPr>
          <w:rFonts w:cstheme="minorHAnsi"/>
          <w:i/>
        </w:rPr>
        <w:t>Deputy Section Registrar</w:t>
      </w:r>
      <w:r w:rsidRPr="00431283">
        <w:rPr>
          <w:i/>
        </w:rPr>
        <w:t>,</w:t>
      </w:r>
    </w:p>
    <w:p w:rsidRPr="00431283" w:rsidR="00606600" w:rsidP="00431283" w14:paraId="332506F5" w14:textId="1B019F4D">
      <w:pPr>
        <w:pStyle w:val="JuPara"/>
      </w:pPr>
      <w:r w:rsidRPr="00431283">
        <w:t xml:space="preserve">Having deliberated in private on </w:t>
      </w:r>
      <w:r w:rsidRPr="00431283" w:rsidR="00013B63">
        <w:t>27 February 2025</w:t>
      </w:r>
      <w:r w:rsidRPr="00431283">
        <w:t>,</w:t>
      </w:r>
    </w:p>
    <w:p w:rsidRPr="00431283" w:rsidR="00606600" w:rsidP="00431283" w14:paraId="2E88ADE9" w14:textId="77777777">
      <w:pPr>
        <w:pStyle w:val="JuPara"/>
      </w:pPr>
      <w:r w:rsidRPr="00431283">
        <w:t>Delivers the following judgment, which was adopted on that date:</w:t>
      </w:r>
    </w:p>
    <w:p w:rsidRPr="00431283" w:rsidR="000D561B" w:rsidP="00431283" w14:paraId="4C84935E" w14:textId="77777777">
      <w:pPr>
        <w:pStyle w:val="JuHHead"/>
      </w:pPr>
      <w:bookmarkStart w:name="ITMARKStartJudgment" w:id="1"/>
      <w:bookmarkEnd w:id="1"/>
      <w:r w:rsidRPr="00431283">
        <w:t>PROCEDURE</w:t>
      </w:r>
    </w:p>
    <w:p w:rsidRPr="00431283" w:rsidR="000D561B" w:rsidP="00431283" w14:paraId="1516612E" w14:textId="2933E2AD">
      <w:pPr>
        <w:pStyle w:val="JuPara"/>
      </w:pPr>
      <w:r w:rsidRPr="00431283">
        <w:fldChar w:fldCharType="begin"/>
      </w:r>
      <w:r w:rsidRPr="00431283">
        <w:instrText xml:space="preserve"> SEQ level0 \*arabic \* MERGEFORMAT </w:instrText>
      </w:r>
      <w:r w:rsidRPr="00431283">
        <w:fldChar w:fldCharType="separate"/>
      </w:r>
      <w:r w:rsidRPr="00431283">
        <w:rPr>
          <w:noProof/>
        </w:rPr>
        <w:t>1</w:t>
      </w:r>
      <w:r w:rsidRPr="00431283">
        <w:fldChar w:fldCharType="end"/>
      </w:r>
      <w:r w:rsidRPr="00431283">
        <w:t>.  The case originated in an application against Ukraine lodged with the Court under Article 34 of the Convention for the Protection of Human Rights and Fundamental Freedoms (“the Convention”) on 22 June 2023.</w:t>
      </w:r>
    </w:p>
    <w:p w:rsidRPr="00431283" w:rsidR="000D561B" w:rsidP="00431283" w14:paraId="169AE7FF" w14:textId="36FBCC6C">
      <w:pPr>
        <w:pStyle w:val="JuPara"/>
      </w:pPr>
      <w:r w:rsidRPr="00431283">
        <w:fldChar w:fldCharType="begin"/>
      </w:r>
      <w:r w:rsidRPr="00431283">
        <w:instrText xml:space="preserve"> SEQ l</w:instrText>
      </w:r>
      <w:r w:rsidRPr="00431283">
        <w:instrText xml:space="preserve">evel0 \*arabic \* MERGEFORMAT </w:instrText>
      </w:r>
      <w:r w:rsidRPr="00431283">
        <w:fldChar w:fldCharType="separate"/>
      </w:r>
      <w:r w:rsidRPr="00431283">
        <w:rPr>
          <w:noProof/>
        </w:rPr>
        <w:t>2</w:t>
      </w:r>
      <w:r w:rsidRPr="00431283">
        <w:fldChar w:fldCharType="end"/>
      </w:r>
      <w:r w:rsidRPr="00431283">
        <w:t>.  The Ukrainian Government (“the Government”) were given notice of the application.</w:t>
      </w:r>
    </w:p>
    <w:p w:rsidRPr="00431283" w:rsidR="000D561B" w:rsidP="00431283" w14:paraId="4FC2E3A6" w14:textId="77777777">
      <w:pPr>
        <w:pStyle w:val="JuHHead"/>
        <w:jc w:val="left"/>
      </w:pPr>
      <w:r w:rsidRPr="00431283">
        <w:t>THE FACTS</w:t>
      </w:r>
    </w:p>
    <w:p w:rsidRPr="00431283" w:rsidR="000D561B" w:rsidP="00431283" w14:paraId="02A4321F" w14:textId="1E4C0135">
      <w:pPr>
        <w:pStyle w:val="JuPara"/>
      </w:pPr>
      <w:r w:rsidRPr="00431283">
        <w:fldChar w:fldCharType="begin"/>
      </w:r>
      <w:r w:rsidRPr="00431283">
        <w:instrText xml:space="preserve"> SEQ level0 \*arabic \* MERGEFORMAT </w:instrText>
      </w:r>
      <w:r w:rsidRPr="00431283">
        <w:fldChar w:fldCharType="separate"/>
      </w:r>
      <w:r w:rsidRPr="00431283">
        <w:rPr>
          <w:noProof/>
        </w:rPr>
        <w:t>3</w:t>
      </w:r>
      <w:r w:rsidRPr="00431283">
        <w:fldChar w:fldCharType="end"/>
      </w:r>
      <w:r w:rsidRPr="00431283">
        <w:t>.  The applicant</w:t>
      </w:r>
      <w:r w:rsidRPr="00431283">
        <w:t>’</w:t>
      </w:r>
      <w:r w:rsidRPr="00431283">
        <w:t>s details and information relevant to the application are set out in the appended table.</w:t>
      </w:r>
    </w:p>
    <w:p w:rsidRPr="00431283" w:rsidR="000D561B" w:rsidP="00431283" w14:paraId="7023886E" w14:textId="77777777">
      <w:pPr>
        <w:pStyle w:val="JuHHead"/>
        <w:jc w:val="left"/>
      </w:pPr>
      <w:r w:rsidRPr="00431283">
        <w:t>THE LAW</w:t>
      </w:r>
    </w:p>
    <w:p w:rsidRPr="00431283" w:rsidR="000D561B" w:rsidP="00431283" w14:paraId="1B82FD04" w14:textId="77777777">
      <w:pPr>
        <w:pStyle w:val="JuHIRoman"/>
      </w:pPr>
      <w:r w:rsidRPr="00431283">
        <w:t xml:space="preserve">THE </w:t>
      </w:r>
      <w:r w:rsidRPr="00431283">
        <w:rPr>
          <w:i/>
          <w:iCs/>
        </w:rPr>
        <w:t>LOCUS STANDI</w:t>
      </w:r>
      <w:r w:rsidRPr="00431283">
        <w:t xml:space="preserve"> OF MR Oleksandr Pavlovych Tymoshenko</w:t>
      </w:r>
    </w:p>
    <w:p w:rsidRPr="00431283" w:rsidR="000D561B" w:rsidP="00431283" w14:paraId="1226430A" w14:textId="567491BF">
      <w:pPr>
        <w:pStyle w:val="JuPara"/>
      </w:pPr>
      <w:r w:rsidRPr="00431283">
        <w:fldChar w:fldCharType="begin"/>
      </w:r>
      <w:r w:rsidRPr="00431283">
        <w:instrText xml:space="preserve"> SEQ level0 \*arabic \* MERGEFORMAT </w:instrText>
      </w:r>
      <w:r w:rsidRPr="00431283">
        <w:fldChar w:fldCharType="separate"/>
      </w:r>
      <w:r w:rsidRPr="00431283">
        <w:rPr>
          <w:noProof/>
        </w:rPr>
        <w:t>4</w:t>
      </w:r>
      <w:r w:rsidRPr="00431283">
        <w:fldChar w:fldCharType="end"/>
      </w:r>
      <w:r w:rsidRPr="00431283">
        <w:t>.  The Court notes that the applicant died on 20 August 2023, while the case was pending before the Court. The applicant</w:t>
      </w:r>
      <w:r w:rsidRPr="00431283">
        <w:t>’</w:t>
      </w:r>
      <w:r w:rsidRPr="00431283">
        <w:t>s son, Mr Oleksandr</w:t>
      </w:r>
      <w:r w:rsidRPr="00431283" w:rsidR="00295C70">
        <w:t> </w:t>
      </w:r>
      <w:r w:rsidRPr="00431283">
        <w:t>Pavlovych</w:t>
      </w:r>
      <w:r w:rsidRPr="00431283">
        <w:t xml:space="preserve"> </w:t>
      </w:r>
      <w:r w:rsidRPr="00431283">
        <w:t>Tymoshenko</w:t>
      </w:r>
      <w:r w:rsidRPr="00431283">
        <w:t>, has requested to pursue the application on his father</w:t>
      </w:r>
      <w:r w:rsidRPr="00431283">
        <w:t>’</w:t>
      </w:r>
      <w:r w:rsidRPr="00431283">
        <w:t>s behalf. The Court normally permits the next of kin to pursue an application, provided they have a legitimate interest, where the original applicant died after lodging the application with the Court (see</w:t>
      </w:r>
      <w:r w:rsidRPr="00431283" w:rsidR="00295C70">
        <w:t> </w:t>
      </w:r>
      <w:r w:rsidRPr="00431283">
        <w:rPr>
          <w:i/>
          <w:iCs/>
        </w:rPr>
        <w:t xml:space="preserve">Murray v. the Netherlands </w:t>
      </w:r>
      <w:r w:rsidRPr="00431283">
        <w:t xml:space="preserve">[GC], no. 10511/10, § 79, 26 April 2016; </w:t>
      </w:r>
      <w:r w:rsidRPr="00431283">
        <w:rPr>
          <w:i/>
          <w:iCs/>
        </w:rPr>
        <w:t>Malhous</w:t>
      </w:r>
      <w:r w:rsidRPr="00431283">
        <w:rPr>
          <w:i/>
          <w:iCs/>
        </w:rPr>
        <w:t xml:space="preserve"> v. the Czech Republic</w:t>
      </w:r>
      <w:r w:rsidRPr="00431283">
        <w:t xml:space="preserve"> (dec.) [GC], no. 33071/96, ECHR</w:t>
      </w:r>
      <w:r w:rsidRPr="00431283">
        <w:noBreakHyphen/>
        <w:t xml:space="preserve">XII; and </w:t>
      </w:r>
      <w:r w:rsidRPr="00431283">
        <w:rPr>
          <w:i/>
          <w:iCs/>
        </w:rPr>
        <w:t>Larionovs</w:t>
      </w:r>
      <w:r w:rsidRPr="00431283">
        <w:rPr>
          <w:i/>
          <w:iCs/>
        </w:rPr>
        <w:t xml:space="preserve"> and Tess v. Latvia</w:t>
      </w:r>
      <w:r w:rsidRPr="00431283">
        <w:t xml:space="preserve"> (dec.), nos. 45520/04 and 19363/05, § 172, 25</w:t>
      </w:r>
      <w:r w:rsidRPr="00431283" w:rsidR="00295C70">
        <w:t> </w:t>
      </w:r>
      <w:r w:rsidRPr="00431283">
        <w:t xml:space="preserve">November 2014). The Court considers that Mr Oleksandr </w:t>
      </w:r>
      <w:r w:rsidRPr="00431283">
        <w:t>Tymoshenko</w:t>
      </w:r>
      <w:r w:rsidRPr="00431283">
        <w:t xml:space="preserve"> has a legitimate interest in pursuing the application on behalf of his late father and that respect for human rights as defined in the Convention and the</w:t>
      </w:r>
      <w:r w:rsidRPr="00431283" w:rsidR="00295C70">
        <w:t> </w:t>
      </w:r>
      <w:r w:rsidRPr="00431283">
        <w:t xml:space="preserve">Protocols thereto requires a continuation of the examination of the case (see, among other authorities, </w:t>
      </w:r>
      <w:bookmarkStart w:name="_cl31539" w:id="2"/>
      <w:r w:rsidRPr="00431283">
        <w:rPr>
          <w:i/>
          <w:iCs/>
        </w:rPr>
        <w:t>Maylenskiy</w:t>
      </w:r>
      <w:r w:rsidRPr="00431283">
        <w:rPr>
          <w:i/>
          <w:iCs/>
        </w:rPr>
        <w:t xml:space="preserve"> v. Russia</w:t>
      </w:r>
      <w:bookmarkEnd w:id="2"/>
      <w:r w:rsidRPr="00431283">
        <w:t>, no. 12646/15, 4</w:t>
      </w:r>
      <w:r w:rsidRPr="00431283" w:rsidR="00295C70">
        <w:t> </w:t>
      </w:r>
      <w:r w:rsidRPr="00431283">
        <w:t>October</w:t>
      </w:r>
      <w:r w:rsidRPr="00431283" w:rsidR="00295C70">
        <w:t> </w:t>
      </w:r>
      <w:r w:rsidRPr="00431283">
        <w:t>2016). However, reference will still be made to the applicant throughout the present text.</w:t>
      </w:r>
    </w:p>
    <w:p w:rsidRPr="00431283" w:rsidR="000D561B" w:rsidP="00431283" w14:paraId="60E698DE" w14:textId="77777777">
      <w:pPr>
        <w:pStyle w:val="JuHIRoman"/>
        <w:tabs>
          <w:tab w:val="clear" w:pos="454"/>
          <w:tab w:val="clear" w:pos="539"/>
          <w:tab w:val="clear" w:pos="624"/>
          <w:tab w:val="clear" w:pos="709"/>
          <w:tab w:val="clear" w:pos="794"/>
        </w:tabs>
        <w:ind w:left="357" w:hanging="357"/>
        <w:jc w:val="left"/>
        <w:rPr>
          <w:rFonts w:eastAsia="PMingLiU"/>
        </w:rPr>
      </w:pPr>
      <w:r w:rsidRPr="00431283">
        <w:t>ALLEGED VIOLATION OF ARTICLE 5 § 4</w:t>
      </w:r>
      <w:r w:rsidRPr="00431283">
        <w:rPr>
          <w:rFonts w:ascii="Times New Roman" w:hAnsi="Times New Roman" w:eastAsia="PMingLiU" w:cs="Times New Roman"/>
        </w:rPr>
        <w:t xml:space="preserve"> of the Convention</w:t>
      </w:r>
    </w:p>
    <w:p w:rsidRPr="00431283" w:rsidR="000D561B" w:rsidP="00431283" w14:paraId="09836C5F" w14:textId="24C422DA">
      <w:pPr>
        <w:pStyle w:val="JuPara"/>
      </w:pPr>
      <w:r w:rsidRPr="00431283">
        <w:fldChar w:fldCharType="begin"/>
      </w:r>
      <w:r w:rsidRPr="00431283">
        <w:instrText xml:space="preserve"> SEQ level0 \*arabic \* MERGEFORMAT </w:instrText>
      </w:r>
      <w:r w:rsidRPr="00431283">
        <w:fldChar w:fldCharType="separate"/>
      </w:r>
      <w:r w:rsidRPr="00431283">
        <w:rPr>
          <w:noProof/>
        </w:rPr>
        <w:t>5</w:t>
      </w:r>
      <w:r w:rsidRPr="00431283">
        <w:fldChar w:fldCharType="end"/>
      </w:r>
      <w:r w:rsidRPr="00431283">
        <w:t>.  The applicant complained of the deficiencies in proceedings for review of the lawfulness of detention</w:t>
      </w:r>
      <w:r w:rsidRPr="00431283">
        <w:rPr>
          <w:bCs/>
        </w:rPr>
        <w:t>.</w:t>
      </w:r>
      <w:r w:rsidRPr="00431283">
        <w:t xml:space="preserve"> He relied on Article 5 § 4</w:t>
      </w:r>
      <w:r w:rsidRPr="00431283">
        <w:rPr>
          <w:rFonts w:ascii="Times New Roman" w:hAnsi="Times New Roman" w:eastAsia="PMingLiU" w:cs="Times New Roman"/>
        </w:rPr>
        <w:t xml:space="preserve"> of the Convention</w:t>
      </w:r>
      <w:r w:rsidRPr="00431283">
        <w:t>.</w:t>
      </w:r>
    </w:p>
    <w:p w:rsidRPr="00431283" w:rsidR="000D561B" w:rsidP="00431283" w14:paraId="11E12552" w14:textId="17EDDDEE">
      <w:pPr>
        <w:pStyle w:val="JuPara"/>
      </w:pPr>
      <w:r w:rsidRPr="00431283">
        <w:fldChar w:fldCharType="begin"/>
      </w:r>
      <w:r w:rsidRPr="00431283">
        <w:instrText xml:space="preserve"> SEQ level0 \*arabic \* MERGEFORMAT </w:instrText>
      </w:r>
      <w:r w:rsidRPr="00431283">
        <w:fldChar w:fldCharType="separate"/>
      </w:r>
      <w:r w:rsidRPr="00431283">
        <w:rPr>
          <w:noProof/>
        </w:rPr>
        <w:t>6</w:t>
      </w:r>
      <w:r w:rsidRPr="00431283">
        <w:fldChar w:fldCharType="end"/>
      </w:r>
      <w:r w:rsidRPr="00431283">
        <w:t xml:space="preserve">.  The Court reiterates that under Article 5 § 4 of the Convention, arrested or detained persons are entitled to a review bearing upon the procedural and substantive conditions which are essential for the “lawfulness”, in the sense of the Convention, of their deprivation of liberty (see </w:t>
      </w:r>
      <w:r w:rsidRPr="00431283">
        <w:rPr>
          <w:i/>
          <w:iCs/>
        </w:rPr>
        <w:t>Lietzow</w:t>
      </w:r>
      <w:r w:rsidRPr="00431283">
        <w:rPr>
          <w:i/>
          <w:iCs/>
        </w:rPr>
        <w:t xml:space="preserve"> v. Germany</w:t>
      </w:r>
      <w:r w:rsidRPr="00431283">
        <w:t xml:space="preserve">, no. 24479/94, § 44, ECHR 2001-I). It is true that the provision in question does not compel the Contracting States to set up a second level of jurisdiction for the examination of the lawfulness of detention and for hearing applications for release. Nevertheless, a State which institutes such a system must in principle accord to the detainees the same guarantees on appeal as at first instance (see </w:t>
      </w:r>
      <w:r w:rsidRPr="00431283">
        <w:rPr>
          <w:i/>
          <w:iCs/>
        </w:rPr>
        <w:t>Fodale</w:t>
      </w:r>
      <w:r w:rsidRPr="00431283">
        <w:rPr>
          <w:i/>
          <w:iCs/>
        </w:rPr>
        <w:t xml:space="preserve"> v. Italy</w:t>
      </w:r>
      <w:r w:rsidRPr="00431283">
        <w:t>, no. 70148/01, § 39, ECHR 2006-VII).</w:t>
      </w:r>
    </w:p>
    <w:p w:rsidRPr="00431283" w:rsidR="000D561B" w:rsidP="00431283" w14:paraId="05618619" w14:textId="0457D2AE">
      <w:pPr>
        <w:pStyle w:val="JuPara"/>
      </w:pPr>
      <w:r w:rsidRPr="00431283">
        <w:fldChar w:fldCharType="begin"/>
      </w:r>
      <w:r w:rsidRPr="00431283">
        <w:instrText xml:space="preserve"> SEQ level0 \*arabic \* MERGEFORMAT </w:instrText>
      </w:r>
      <w:r w:rsidRPr="00431283">
        <w:fldChar w:fldCharType="separate"/>
      </w:r>
      <w:r w:rsidRPr="00431283">
        <w:rPr>
          <w:noProof/>
        </w:rPr>
        <w:t>7</w:t>
      </w:r>
      <w:r w:rsidRPr="00431283">
        <w:fldChar w:fldCharType="end"/>
      </w:r>
      <w:r w:rsidRPr="00431283">
        <w:t xml:space="preserve">.  In the leading case of </w:t>
      </w:r>
      <w:r w:rsidRPr="00431283">
        <w:rPr>
          <w:i/>
          <w:iCs/>
        </w:rPr>
        <w:t>Kharchenko</w:t>
      </w:r>
      <w:r w:rsidRPr="00431283">
        <w:rPr>
          <w:i/>
          <w:iCs/>
        </w:rPr>
        <w:t xml:space="preserve"> v. Ukraine</w:t>
      </w:r>
      <w:r w:rsidRPr="00431283">
        <w:t xml:space="preserve">, (no. 40107/02, §§ 84-87, 10 February 2011) </w:t>
      </w:r>
      <w:r w:rsidRPr="00431283">
        <w:rPr>
          <w:lang w:val="en-US"/>
        </w:rPr>
        <w:t>the</w:t>
      </w:r>
      <w:r w:rsidRPr="00431283">
        <w:t xml:space="preserve"> Court found a violation in respect of issues, similar to those in the present case (see the appended table).</w:t>
      </w:r>
    </w:p>
    <w:p w:rsidRPr="00431283" w:rsidR="000D561B" w:rsidP="00431283" w14:paraId="09620F41" w14:textId="2A620CA0">
      <w:pPr>
        <w:pStyle w:val="JuPara"/>
      </w:pPr>
      <w:r w:rsidRPr="00431283">
        <w:fldChar w:fldCharType="begin"/>
      </w:r>
      <w:r w:rsidRPr="00431283">
        <w:instrText xml:space="preserve"> SEQ level0 \*arabic </w:instrText>
      </w:r>
      <w:r w:rsidRPr="00431283">
        <w:fldChar w:fldCharType="separate"/>
      </w:r>
      <w:r w:rsidRPr="00431283" w:rsidR="00431283">
        <w:rPr>
          <w:noProof/>
        </w:rPr>
        <w:t>8</w:t>
      </w:r>
      <w:r w:rsidRPr="00431283">
        <w:fldChar w:fldCharType="end"/>
      </w:r>
      <w:r w:rsidRPr="00431283">
        <w:t>.  Having examined all the material submitted to it, the Court has not found any fact or argument capable of persuading it to reach a different conclusion on the admissibility and merits of these complaints.</w:t>
      </w:r>
    </w:p>
    <w:p w:rsidRPr="00431283" w:rsidR="000D561B" w:rsidP="00431283" w14:paraId="11EFDD80" w14:textId="0EF41DB2">
      <w:pPr>
        <w:pStyle w:val="JuPara"/>
      </w:pPr>
      <w:r w:rsidRPr="00431283">
        <w:fldChar w:fldCharType="begin"/>
      </w:r>
      <w:r w:rsidRPr="00431283">
        <w:instrText xml:space="preserve"> SEQ level0 \*arabic </w:instrText>
      </w:r>
      <w:r w:rsidRPr="00431283">
        <w:fldChar w:fldCharType="separate"/>
      </w:r>
      <w:r w:rsidRPr="00431283" w:rsidR="00431283">
        <w:rPr>
          <w:noProof/>
        </w:rPr>
        <w:t>9</w:t>
      </w:r>
      <w:r w:rsidRPr="00431283">
        <w:fldChar w:fldCharType="end"/>
      </w:r>
      <w:r w:rsidRPr="00431283">
        <w:t>.  The Court therefore concludes that there has been a breach of Article 5 § 4 of the Convention in the instant case.</w:t>
      </w:r>
    </w:p>
    <w:p w:rsidRPr="00431283" w:rsidR="000D561B" w:rsidP="00431283" w14:paraId="3A112369" w14:textId="77777777">
      <w:pPr>
        <w:pStyle w:val="JuHIRoman"/>
        <w:tabs>
          <w:tab w:val="clear" w:pos="454"/>
          <w:tab w:val="clear" w:pos="539"/>
          <w:tab w:val="clear" w:pos="624"/>
          <w:tab w:val="clear" w:pos="709"/>
          <w:tab w:val="clear" w:pos="794"/>
        </w:tabs>
        <w:ind w:left="357" w:hanging="357"/>
        <w:jc w:val="left"/>
      </w:pPr>
      <w:r w:rsidRPr="00431283">
        <w:t>APPLICATION OF ARTICLE 41 OF THE CONVENTION</w:t>
      </w:r>
    </w:p>
    <w:p w:rsidRPr="00431283" w:rsidR="000D561B" w:rsidP="00431283" w14:paraId="3E88378E" w14:textId="59BAA53F">
      <w:pPr>
        <w:pStyle w:val="JuPara"/>
      </w:pPr>
      <w:r w:rsidRPr="00431283">
        <w:fldChar w:fldCharType="begin"/>
      </w:r>
      <w:r w:rsidRPr="00431283">
        <w:instrText xml:space="preserve"> SEQ level0 \*arabic </w:instrText>
      </w:r>
      <w:r w:rsidRPr="00431283">
        <w:instrText xml:space="preserve">\* MERGEFORMAT </w:instrText>
      </w:r>
      <w:r w:rsidRPr="00431283">
        <w:fldChar w:fldCharType="separate"/>
      </w:r>
      <w:r w:rsidRPr="00431283">
        <w:rPr>
          <w:noProof/>
        </w:rPr>
        <w:t>10</w:t>
      </w:r>
      <w:r w:rsidRPr="00431283">
        <w:fldChar w:fldCharType="end"/>
      </w:r>
      <w:r w:rsidRPr="00431283">
        <w:t>.  Regard being had to the documents in its possession and to its case</w:t>
      </w:r>
      <w:r w:rsidRPr="00431283">
        <w:noBreakHyphen/>
        <w:t xml:space="preserve">law (see, in particular, </w:t>
      </w:r>
      <w:r w:rsidRPr="00431283">
        <w:rPr>
          <w:i/>
        </w:rPr>
        <w:t>Oravec</w:t>
      </w:r>
      <w:r w:rsidRPr="00431283">
        <w:rPr>
          <w:i/>
        </w:rPr>
        <w:t xml:space="preserve"> v. Croatia, </w:t>
      </w:r>
      <w:r w:rsidRPr="00431283">
        <w:t>no. 51249/11, §§ 78-80, 11 July 2017), the Court considers it reasonable to award the sums indicated in the appended table.</w:t>
      </w:r>
    </w:p>
    <w:p w:rsidRPr="00431283" w:rsidR="000D561B" w:rsidP="00431283" w14:paraId="0AC81636" w14:textId="77777777">
      <w:pPr>
        <w:pStyle w:val="JuHHead"/>
        <w:jc w:val="left"/>
      </w:pPr>
      <w:r w:rsidRPr="00431283">
        <w:t>FOR THESE REASONS, THE COURT, UNANIMOUSLY,</w:t>
      </w:r>
    </w:p>
    <w:p w:rsidRPr="00431283" w:rsidR="000D561B" w:rsidP="00431283" w14:paraId="3908BE01" w14:textId="401F9735">
      <w:pPr>
        <w:pStyle w:val="JuList"/>
        <w:keepNext/>
        <w:keepLines/>
      </w:pPr>
      <w:r w:rsidRPr="00431283">
        <w:rPr>
          <w:i/>
          <w:iCs/>
        </w:rPr>
        <w:t>Decides</w:t>
      </w:r>
      <w:r w:rsidRPr="00431283">
        <w:rPr>
          <w:i/>
        </w:rPr>
        <w:t> </w:t>
      </w:r>
      <w:r w:rsidRPr="00431283">
        <w:rPr>
          <w:iCs/>
        </w:rPr>
        <w:t>that the applicant</w:t>
      </w:r>
      <w:r w:rsidRPr="00431283" w:rsidR="00431283">
        <w:rPr>
          <w:iCs/>
        </w:rPr>
        <w:t>’</w:t>
      </w:r>
      <w:r w:rsidRPr="00431283">
        <w:rPr>
          <w:iCs/>
        </w:rPr>
        <w:t xml:space="preserve">s son, Mr </w:t>
      </w:r>
      <w:r w:rsidRPr="00431283">
        <w:rPr>
          <w:iCs/>
        </w:rPr>
        <w:t>Tymoshenko</w:t>
      </w:r>
      <w:r w:rsidRPr="00431283">
        <w:rPr>
          <w:iCs/>
        </w:rPr>
        <w:t>, has</w:t>
      </w:r>
      <w:r w:rsidRPr="00431283" w:rsidR="00431283">
        <w:rPr>
          <w:iCs/>
        </w:rPr>
        <w:t xml:space="preserve"> </w:t>
      </w:r>
      <w:r w:rsidRPr="00431283">
        <w:rPr>
          <w:i/>
        </w:rPr>
        <w:t>locus standi</w:t>
      </w:r>
      <w:r w:rsidRPr="00431283" w:rsidR="00431283">
        <w:rPr>
          <w:i/>
        </w:rPr>
        <w:t xml:space="preserve"> </w:t>
      </w:r>
      <w:r w:rsidRPr="00431283">
        <w:rPr>
          <w:iCs/>
        </w:rPr>
        <w:t>in the proceedings;</w:t>
      </w:r>
    </w:p>
    <w:p w:rsidRPr="00431283" w:rsidR="000D561B" w:rsidP="00431283" w14:paraId="1F6E0288" w14:textId="77777777">
      <w:pPr>
        <w:pStyle w:val="JuList"/>
        <w:keepNext/>
        <w:keepLines/>
      </w:pPr>
      <w:r w:rsidRPr="00431283">
        <w:rPr>
          <w:i/>
        </w:rPr>
        <w:t xml:space="preserve">Declares </w:t>
      </w:r>
      <w:r w:rsidRPr="00431283">
        <w:t>the application admissible;</w:t>
      </w:r>
    </w:p>
    <w:p w:rsidRPr="00431283" w:rsidR="000D561B" w:rsidP="00431283" w14:paraId="5A63F0E6" w14:textId="77777777">
      <w:pPr>
        <w:pStyle w:val="JuList"/>
        <w:rPr>
          <w:rFonts w:cstheme="minorHAnsi"/>
          <w:bCs/>
        </w:rPr>
      </w:pPr>
      <w:r w:rsidRPr="00431283">
        <w:rPr>
          <w:i/>
        </w:rPr>
        <w:t xml:space="preserve">Holds </w:t>
      </w:r>
      <w:r w:rsidRPr="00431283">
        <w:t>that this application discloses a breach of Article 5 § 4</w:t>
      </w:r>
      <w:r w:rsidRPr="00431283">
        <w:rPr>
          <w:rFonts w:ascii="Times New Roman" w:hAnsi="Times New Roman" w:eastAsia="PMingLiU" w:cs="Times New Roman"/>
        </w:rPr>
        <w:t xml:space="preserve"> of the Convention</w:t>
      </w:r>
      <w:r w:rsidRPr="00431283">
        <w:t xml:space="preserve"> concerning the </w:t>
      </w:r>
      <w:r w:rsidRPr="00431283">
        <w:rPr>
          <w:rFonts w:cstheme="minorHAnsi"/>
        </w:rPr>
        <w:t>deficiencies in proceedings for review of the lawfulness of detention</w:t>
      </w:r>
      <w:r w:rsidRPr="00431283">
        <w:rPr>
          <w:rFonts w:eastAsia="PMingLiU"/>
        </w:rPr>
        <w:t>;</w:t>
      </w:r>
    </w:p>
    <w:p w:rsidRPr="00431283" w:rsidR="000D561B" w:rsidP="00431283" w14:paraId="471D8B0F" w14:textId="77777777">
      <w:pPr>
        <w:pStyle w:val="JuList"/>
        <w:rPr>
          <w:rFonts w:cstheme="minorHAnsi"/>
          <w:bCs/>
        </w:rPr>
      </w:pPr>
      <w:r w:rsidRPr="00431283">
        <w:rPr>
          <w:i/>
        </w:rPr>
        <w:t>Holds</w:t>
      </w:r>
    </w:p>
    <w:p w:rsidRPr="00431283" w:rsidR="000D561B" w:rsidP="00431283" w14:paraId="536CA0AE" w14:textId="77777777">
      <w:pPr>
        <w:pStyle w:val="JuLista"/>
      </w:pPr>
      <w:r w:rsidRPr="00431283">
        <w:t>that the respondent State is to pay the applicant, within three months, the amount indicated in the appended table, to be converted into the currency of the respondent State at the rate applicable at the date of settlement;</w:t>
      </w:r>
    </w:p>
    <w:p w:rsidRPr="00431283" w:rsidR="00295C70" w:rsidP="00431283" w14:paraId="5000B3B1" w14:textId="4B047E6B">
      <w:pPr>
        <w:pStyle w:val="JuLista"/>
      </w:pPr>
      <w:r w:rsidRPr="00431283">
        <w:t xml:space="preserve"> that from the expiry of the above-mentioned three months until settlement simple interest shall be payable on the above amount at a rate equal to the marginal lending rate of the European Central Bank during the default period plus three percentage points.</w:t>
      </w:r>
    </w:p>
    <w:p w:rsidRPr="00431283" w:rsidR="00606600" w:rsidP="00431283" w14:paraId="528B14BB" w14:textId="4FC942C2">
      <w:pPr>
        <w:pStyle w:val="JuParaLast"/>
      </w:pPr>
      <w:r w:rsidRPr="00431283">
        <w:t xml:space="preserve">Done in English, and notified in writing on </w:t>
      </w:r>
      <w:r w:rsidRPr="00431283" w:rsidR="000D561B">
        <w:t>20 March 2025</w:t>
      </w:r>
      <w:r w:rsidRPr="00431283">
        <w:t>, pursuant to Rule 77 §§ 2 and 3 of the Rules of Court.</w:t>
      </w:r>
    </w:p>
    <w:p w:rsidRPr="00431283" w:rsidR="00656431" w:rsidP="00431283" w14:paraId="3CA71BC1" w14:textId="11B6A3F1">
      <w:pPr>
        <w:pStyle w:val="ECHRPlaceholder"/>
        <w:rPr>
          <w:szCs w:val="22"/>
        </w:rPr>
      </w:pPr>
      <w:r w:rsidRPr="00431283">
        <w:rPr>
          <w:rFonts w:eastAsia="PMingLiU"/>
        </w:rPr>
        <w:tab/>
      </w:r>
    </w:p>
    <w:p w:rsidRPr="00431283" w:rsidR="00606600" w:rsidP="00431283" w14:paraId="71E0A270" w14:textId="4C6AB31E">
      <w:pPr>
        <w:pStyle w:val="JuSigned"/>
        <w:rPr>
          <w:rFonts w:eastAsia="PMingLiU"/>
        </w:rPr>
      </w:pPr>
      <w:r w:rsidRPr="00431283">
        <w:rPr>
          <w:rFonts w:eastAsia="PMingLiU"/>
        </w:rPr>
        <w:tab/>
      </w:r>
      <w:r w:rsidRPr="00431283" w:rsidR="000D561B">
        <w:rPr>
          <w:rFonts w:eastAsia="PMingLiU"/>
        </w:rPr>
        <w:t>Viktoriya</w:t>
      </w:r>
      <w:r w:rsidRPr="00431283" w:rsidR="0048584C">
        <w:rPr>
          <w:rFonts w:eastAsia="PMingLiU"/>
        </w:rPr>
        <w:t xml:space="preserve"> </w:t>
      </w:r>
      <w:r w:rsidRPr="00431283" w:rsidR="000D561B">
        <w:rPr>
          <w:rFonts w:eastAsia="PMingLiU"/>
        </w:rPr>
        <w:t>Maradudina</w:t>
      </w:r>
      <w:r w:rsidRPr="00431283" w:rsidR="0048584C">
        <w:rPr>
          <w:rFonts w:eastAsia="PMingLiU"/>
        </w:rPr>
        <w:tab/>
      </w:r>
      <w:r w:rsidRPr="00431283" w:rsidR="000D561B">
        <w:rPr>
          <w:rFonts w:eastAsia="PMingLiU"/>
        </w:rPr>
        <w:t xml:space="preserve">Diana </w:t>
      </w:r>
      <w:r w:rsidRPr="00431283" w:rsidR="000D561B">
        <w:rPr>
          <w:rFonts w:eastAsia="PMingLiU"/>
        </w:rPr>
        <w:t>Sârcu</w:t>
      </w:r>
    </w:p>
    <w:p w:rsidRPr="00431283" w:rsidR="00B91668" w:rsidP="00431283" w14:paraId="51C48F08" w14:textId="78DBB2FC">
      <w:pPr>
        <w:pStyle w:val="JuSigned"/>
        <w:contextualSpacing/>
        <w:rPr>
          <w:rFonts w:eastAsia="PMingLiU"/>
        </w:rPr>
      </w:pPr>
      <w:r w:rsidRPr="00431283">
        <w:rPr>
          <w:rFonts w:eastAsia="PMingLiU"/>
        </w:rPr>
        <w:tab/>
        <w:t>Acting Deputy Registrar</w:t>
      </w:r>
      <w:r w:rsidRPr="00431283">
        <w:rPr>
          <w:rFonts w:eastAsia="PMingLiU"/>
        </w:rPr>
        <w:tab/>
        <w:t>President</w:t>
      </w:r>
    </w:p>
    <w:p w:rsidRPr="00431283" w:rsidR="00B91668" w:rsidP="00431283" w14:paraId="7CB018EB" w14:textId="77777777">
      <w:pPr>
        <w:rPr>
          <w:rFonts w:eastAsia="PMingLiU"/>
        </w:rPr>
      </w:pPr>
    </w:p>
    <w:p w:rsidRPr="00431283" w:rsidR="00606600" w:rsidP="00431283" w14:paraId="72C05840" w14:textId="5CD70404">
      <w:pPr>
        <w:pStyle w:val="JuSigned"/>
        <w:tabs>
          <w:tab w:val="left" w:pos="5115"/>
        </w:tabs>
        <w:contextualSpacing/>
        <w:rPr>
          <w:rFonts w:eastAsia="PMingLiU"/>
        </w:rPr>
      </w:pPr>
      <w:r w:rsidRPr="00431283">
        <w:rPr>
          <w:rFonts w:eastAsia="PMingLiU"/>
        </w:rPr>
        <w:tab/>
      </w:r>
    </w:p>
    <w:p w:rsidRPr="00431283" w:rsidR="00606600" w:rsidP="00431283" w14:paraId="58067633"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31283" w:rsidR="00606600" w:rsidP="00431283" w14:paraId="0AF1728C" w14:textId="77777777">
      <w:pPr>
        <w:pStyle w:val="DecHTitle"/>
      </w:pPr>
      <w:r w:rsidRPr="00431283">
        <w:t>APPENDIX</w:t>
      </w:r>
    </w:p>
    <w:p w:rsidRPr="00431283" w:rsidR="00606600" w:rsidP="00431283" w14:paraId="6BC42D8A" w14:textId="2299F270">
      <w:pPr>
        <w:pStyle w:val="DecHCase"/>
        <w:contextualSpacing/>
        <w:rPr>
          <w:b/>
          <w:i/>
          <w:color w:val="3E3E3E" w:themeColor="background2" w:themeShade="40"/>
        </w:rPr>
      </w:pPr>
      <w:r w:rsidRPr="00431283">
        <w:rPr>
          <w:color w:val="3E3E3E" w:themeColor="background2" w:themeShade="40"/>
        </w:rPr>
        <w:t>Application</w:t>
      </w:r>
      <w:r w:rsidRPr="00431283" w:rsidR="0048584C">
        <w:rPr>
          <w:color w:val="3E3E3E" w:themeColor="background2" w:themeShade="40"/>
        </w:rPr>
        <w:t xml:space="preserve"> raising complaints under Article</w:t>
      </w:r>
      <w:r w:rsidRPr="00431283">
        <w:rPr>
          <w:color w:val="3E3E3E" w:themeColor="background2" w:themeShade="40"/>
        </w:rPr>
        <w:t xml:space="preserve"> 5 § 4 of the Convention</w:t>
      </w:r>
    </w:p>
    <w:p w:rsidRPr="00431283" w:rsidR="00606600" w:rsidP="00431283" w14:paraId="6013E850" w14:textId="10C1A2BF">
      <w:pPr>
        <w:pStyle w:val="DecHCase"/>
        <w:contextualSpacing/>
        <w:rPr>
          <w:b/>
          <w:i/>
        </w:rPr>
      </w:pPr>
      <w:r w:rsidRPr="00431283">
        <w:rPr>
          <w:color w:val="3E3E3E" w:themeColor="background2" w:themeShade="40"/>
        </w:rPr>
        <w:t>(</w:t>
      </w:r>
      <w:r w:rsidRPr="00431283" w:rsidR="000D561B">
        <w:rPr>
          <w:color w:val="3E3E3E" w:themeColor="background2" w:themeShade="40"/>
        </w:rPr>
        <w:t>deficiencies in proceedings for review of the lawfulness of detention</w:t>
      </w:r>
      <w:r w:rsidRPr="00431283">
        <w:rPr>
          <w:color w:val="3E3E3E" w:themeColor="background2" w:themeShade="40"/>
        </w:rPr>
        <w:t>)</w:t>
      </w:r>
    </w:p>
    <w:tbl>
      <w:tblPr>
        <w:tblStyle w:val="ECHRListTable"/>
        <w:tblW w:w="13041" w:type="dxa"/>
        <w:jc w:val="center"/>
        <w:tblLook w:val="0420"/>
      </w:tblPr>
      <w:tblGrid>
        <w:gridCol w:w="1271"/>
        <w:gridCol w:w="1701"/>
        <w:gridCol w:w="1504"/>
        <w:gridCol w:w="1615"/>
        <w:gridCol w:w="2409"/>
        <w:gridCol w:w="3407"/>
        <w:gridCol w:w="1134"/>
      </w:tblGrid>
      <w:tr w:rsidTr="00827E32" w14:paraId="7BCAB566" w14:textId="77777777">
        <w:tblPrEx>
          <w:tblW w:w="13041" w:type="dxa"/>
          <w:jc w:val="center"/>
          <w:tblLook w:val="0420"/>
        </w:tblPrEx>
        <w:trPr>
          <w:jc w:val="center"/>
        </w:trPr>
        <w:tc>
          <w:tcPr>
            <w:tcW w:w="1271" w:type="dxa"/>
          </w:tcPr>
          <w:p w:rsidRPr="00431283" w:rsidR="00295C70" w:rsidP="00431283" w14:paraId="1FB3D612" w14:textId="77777777">
            <w:pPr>
              <w:jc w:val="center"/>
              <w:rPr>
                <w:sz w:val="16"/>
              </w:rPr>
            </w:pPr>
            <w:bookmarkStart w:name="WECLListStart" w:id="3"/>
            <w:bookmarkEnd w:id="3"/>
            <w:r w:rsidRPr="00431283">
              <w:rPr>
                <w:sz w:val="16"/>
              </w:rPr>
              <w:t>Application no.</w:t>
            </w:r>
          </w:p>
          <w:p w:rsidRPr="00431283" w:rsidR="00295C70" w:rsidP="00431283" w14:paraId="51282D4E" w14:textId="77777777">
            <w:pPr>
              <w:jc w:val="center"/>
              <w:rPr>
                <w:sz w:val="16"/>
              </w:rPr>
            </w:pPr>
            <w:r w:rsidRPr="00431283">
              <w:rPr>
                <w:sz w:val="16"/>
              </w:rPr>
              <w:t>Date of introduction</w:t>
            </w:r>
          </w:p>
        </w:tc>
        <w:tc>
          <w:tcPr>
            <w:tcW w:w="1701" w:type="dxa"/>
          </w:tcPr>
          <w:p w:rsidRPr="00431283" w:rsidR="00295C70" w:rsidP="00431283" w14:paraId="0D5EEF18" w14:textId="5E19A098">
            <w:pPr>
              <w:jc w:val="center"/>
              <w:rPr>
                <w:sz w:val="16"/>
              </w:rPr>
            </w:pPr>
            <w:r w:rsidRPr="00431283">
              <w:rPr>
                <w:sz w:val="16"/>
              </w:rPr>
              <w:t>Applicant</w:t>
            </w:r>
            <w:r w:rsidRPr="00431283" w:rsidR="00431283">
              <w:rPr>
                <w:sz w:val="16"/>
              </w:rPr>
              <w:t>’</w:t>
            </w:r>
            <w:r w:rsidRPr="00431283">
              <w:rPr>
                <w:sz w:val="16"/>
              </w:rPr>
              <w:t>s name</w:t>
            </w:r>
          </w:p>
          <w:p w:rsidRPr="00431283" w:rsidR="00295C70" w:rsidP="00431283" w14:paraId="0E071276" w14:textId="77777777">
            <w:pPr>
              <w:jc w:val="center"/>
              <w:rPr>
                <w:sz w:val="16"/>
              </w:rPr>
            </w:pPr>
            <w:r w:rsidRPr="00431283">
              <w:rPr>
                <w:sz w:val="16"/>
              </w:rPr>
              <w:t>Year of birth</w:t>
            </w:r>
          </w:p>
        </w:tc>
        <w:tc>
          <w:tcPr>
            <w:tcW w:w="1504" w:type="dxa"/>
          </w:tcPr>
          <w:p w:rsidRPr="00431283" w:rsidR="00295C70" w:rsidP="00431283" w14:paraId="405BE8D2" w14:textId="77777777">
            <w:pPr>
              <w:jc w:val="center"/>
              <w:rPr>
                <w:sz w:val="16"/>
              </w:rPr>
            </w:pPr>
            <w:r w:rsidRPr="00431283">
              <w:rPr>
                <w:sz w:val="16"/>
              </w:rPr>
              <w:t>Name of the first-instance court</w:t>
            </w:r>
          </w:p>
          <w:p w:rsidRPr="00431283" w:rsidR="00295C70" w:rsidP="00431283" w14:paraId="20FFA3B9" w14:textId="77777777">
            <w:pPr>
              <w:jc w:val="center"/>
              <w:rPr>
                <w:sz w:val="16"/>
              </w:rPr>
            </w:pPr>
            <w:r w:rsidRPr="00431283">
              <w:rPr>
                <w:sz w:val="16"/>
              </w:rPr>
              <w:t>Date of detention order</w:t>
            </w:r>
          </w:p>
        </w:tc>
        <w:tc>
          <w:tcPr>
            <w:tcW w:w="1615" w:type="dxa"/>
          </w:tcPr>
          <w:p w:rsidRPr="00431283" w:rsidR="00295C70" w:rsidP="00431283" w14:paraId="0A38A51C" w14:textId="77777777">
            <w:pPr>
              <w:jc w:val="center"/>
              <w:rPr>
                <w:sz w:val="16"/>
              </w:rPr>
            </w:pPr>
            <w:r w:rsidRPr="00431283">
              <w:rPr>
                <w:sz w:val="16"/>
              </w:rPr>
              <w:t>Other relevant dates</w:t>
            </w:r>
          </w:p>
        </w:tc>
        <w:tc>
          <w:tcPr>
            <w:tcW w:w="2409" w:type="dxa"/>
          </w:tcPr>
          <w:p w:rsidRPr="00431283" w:rsidR="00295C70" w:rsidP="00431283" w14:paraId="3A22DFCA" w14:textId="77777777">
            <w:pPr>
              <w:jc w:val="center"/>
              <w:rPr>
                <w:sz w:val="16"/>
              </w:rPr>
            </w:pPr>
            <w:r w:rsidRPr="00431283">
              <w:rPr>
                <w:sz w:val="16"/>
              </w:rPr>
              <w:t>Appellate court or court examining request for release</w:t>
            </w:r>
          </w:p>
          <w:p w:rsidRPr="00431283" w:rsidR="00295C70" w:rsidP="00431283" w14:paraId="66F02032" w14:textId="77777777">
            <w:pPr>
              <w:jc w:val="center"/>
              <w:rPr>
                <w:sz w:val="16"/>
              </w:rPr>
            </w:pPr>
            <w:r w:rsidRPr="00431283">
              <w:rPr>
                <w:sz w:val="16"/>
              </w:rPr>
              <w:t>Date of decision</w:t>
            </w:r>
          </w:p>
        </w:tc>
        <w:tc>
          <w:tcPr>
            <w:tcW w:w="3407" w:type="dxa"/>
          </w:tcPr>
          <w:p w:rsidRPr="00431283" w:rsidR="00295C70" w:rsidP="00431283" w14:paraId="251019DF" w14:textId="77777777">
            <w:pPr>
              <w:jc w:val="center"/>
              <w:rPr>
                <w:sz w:val="16"/>
              </w:rPr>
            </w:pPr>
            <w:r w:rsidRPr="00431283">
              <w:rPr>
                <w:sz w:val="16"/>
              </w:rPr>
              <w:t xml:space="preserve">Procedural deficiencies </w:t>
            </w:r>
          </w:p>
        </w:tc>
        <w:tc>
          <w:tcPr>
            <w:tcW w:w="1134" w:type="dxa"/>
          </w:tcPr>
          <w:p w:rsidRPr="00431283" w:rsidR="00295C70" w:rsidP="00431283" w14:paraId="2B05C5C4" w14:textId="77777777">
            <w:pPr>
              <w:jc w:val="center"/>
              <w:rPr>
                <w:sz w:val="16"/>
              </w:rPr>
            </w:pPr>
            <w:r w:rsidRPr="00431283">
              <w:rPr>
                <w:sz w:val="16"/>
              </w:rPr>
              <w:t>Amount awarded for non-pecuniary damage per applicant</w:t>
            </w:r>
          </w:p>
          <w:p w:rsidRPr="00431283" w:rsidR="00295C70" w:rsidP="00431283" w14:paraId="7B88F93C" w14:textId="0DA917E1">
            <w:pPr>
              <w:jc w:val="center"/>
              <w:rPr>
                <w:sz w:val="16"/>
              </w:rPr>
            </w:pPr>
            <w:r w:rsidRPr="00431283">
              <w:rPr>
                <w:sz w:val="16"/>
              </w:rPr>
              <w:t>(in euros)</w:t>
            </w:r>
            <w:r>
              <w:rPr>
                <w:rStyle w:val="FootnoteReference"/>
                <w:sz w:val="16"/>
              </w:rPr>
              <w:footnoteReference w:id="2"/>
            </w:r>
          </w:p>
        </w:tc>
      </w:tr>
      <w:tr w:rsidTr="00827E32" w14:paraId="1EAC2BDD" w14:textId="77777777">
        <w:tblPrEx>
          <w:tblW w:w="13041" w:type="dxa"/>
          <w:jc w:val="center"/>
          <w:tblLook w:val="0420"/>
        </w:tblPrEx>
        <w:trPr>
          <w:jc w:val="center"/>
        </w:trPr>
        <w:tc>
          <w:tcPr>
            <w:tcW w:w="1271" w:type="dxa"/>
          </w:tcPr>
          <w:p w:rsidRPr="00431283" w:rsidR="00295C70" w:rsidP="00431283" w14:paraId="2A9E1041" w14:textId="77777777">
            <w:pPr>
              <w:jc w:val="center"/>
              <w:rPr>
                <w:sz w:val="16"/>
              </w:rPr>
            </w:pPr>
            <w:r w:rsidRPr="00431283">
              <w:rPr>
                <w:sz w:val="16"/>
              </w:rPr>
              <w:t>26951/23</w:t>
            </w:r>
          </w:p>
          <w:p w:rsidRPr="00431283" w:rsidR="00295C70" w:rsidP="00431283" w14:paraId="0CE24D61" w14:textId="77777777">
            <w:pPr>
              <w:jc w:val="center"/>
              <w:rPr>
                <w:sz w:val="16"/>
              </w:rPr>
            </w:pPr>
            <w:r w:rsidRPr="00431283">
              <w:rPr>
                <w:sz w:val="16"/>
              </w:rPr>
              <w:t>22/06/2023</w:t>
            </w:r>
          </w:p>
        </w:tc>
        <w:tc>
          <w:tcPr>
            <w:tcW w:w="1701" w:type="dxa"/>
          </w:tcPr>
          <w:p w:rsidRPr="00431283" w:rsidR="00295C70" w:rsidP="00431283" w14:paraId="60BF4BD1" w14:textId="77777777">
            <w:pPr>
              <w:jc w:val="center"/>
              <w:rPr>
                <w:sz w:val="16"/>
              </w:rPr>
            </w:pPr>
            <w:r w:rsidRPr="00431283">
              <w:rPr>
                <w:b/>
                <w:sz w:val="16"/>
              </w:rPr>
              <w:t>Pavlo</w:t>
            </w:r>
            <w:r w:rsidRPr="00431283">
              <w:rPr>
                <w:b/>
                <w:sz w:val="16"/>
              </w:rPr>
              <w:t xml:space="preserve"> </w:t>
            </w:r>
            <w:r w:rsidRPr="00431283">
              <w:rPr>
                <w:b/>
                <w:sz w:val="16"/>
              </w:rPr>
              <w:t>Volodymyrovych</w:t>
            </w:r>
            <w:r w:rsidRPr="00431283">
              <w:rPr>
                <w:b/>
                <w:sz w:val="16"/>
              </w:rPr>
              <w:t xml:space="preserve"> TYMOSHENKO</w:t>
            </w:r>
          </w:p>
          <w:p w:rsidRPr="00431283" w:rsidR="00295C70" w:rsidP="00431283" w14:paraId="41164DB7" w14:textId="77777777">
            <w:pPr>
              <w:jc w:val="center"/>
              <w:rPr>
                <w:sz w:val="16"/>
              </w:rPr>
            </w:pPr>
            <w:r w:rsidRPr="00431283">
              <w:rPr>
                <w:sz w:val="16"/>
              </w:rPr>
              <w:t>1952</w:t>
            </w:r>
          </w:p>
          <w:p w:rsidRPr="00431283" w:rsidR="00295C70" w:rsidP="00431283" w14:paraId="304ADA4E" w14:textId="1780BE6E">
            <w:pPr>
              <w:jc w:val="center"/>
              <w:rPr>
                <w:sz w:val="16"/>
              </w:rPr>
            </w:pPr>
            <w:r w:rsidRPr="00431283">
              <w:rPr>
                <w:sz w:val="16"/>
              </w:rPr>
              <w:t>Died in 2023</w:t>
            </w:r>
          </w:p>
          <w:p w:rsidRPr="00431283" w:rsidR="00295C70" w:rsidP="00431283" w14:paraId="42A5ABFE" w14:textId="77777777">
            <w:pPr>
              <w:jc w:val="center"/>
              <w:rPr>
                <w:sz w:val="16"/>
              </w:rPr>
            </w:pPr>
          </w:p>
        </w:tc>
        <w:tc>
          <w:tcPr>
            <w:tcW w:w="1504" w:type="dxa"/>
          </w:tcPr>
          <w:p w:rsidRPr="00431283" w:rsidR="00295C70" w:rsidP="00431283" w14:paraId="75663662" w14:textId="77777777">
            <w:pPr>
              <w:jc w:val="center"/>
              <w:rPr>
                <w:sz w:val="16"/>
              </w:rPr>
            </w:pPr>
            <w:r w:rsidRPr="00431283">
              <w:rPr>
                <w:sz w:val="16"/>
              </w:rPr>
              <w:t>Vasylkiv Court,</w:t>
            </w:r>
          </w:p>
          <w:p w:rsidRPr="00431283" w:rsidR="00295C70" w:rsidP="00431283" w14:paraId="410C2CD3" w14:textId="0FB03176">
            <w:pPr>
              <w:jc w:val="center"/>
              <w:rPr>
                <w:sz w:val="16"/>
              </w:rPr>
            </w:pPr>
            <w:r w:rsidRPr="00431283">
              <w:rPr>
                <w:sz w:val="16"/>
              </w:rPr>
              <w:t>11/01/2023, 03/03/2023, 05/04/2023, 24/05/2023</w:t>
            </w:r>
          </w:p>
        </w:tc>
        <w:tc>
          <w:tcPr>
            <w:tcW w:w="1615" w:type="dxa"/>
          </w:tcPr>
          <w:p w:rsidRPr="00431283" w:rsidR="00295C70" w:rsidP="00431283" w14:paraId="0B2064AF" w14:textId="77777777">
            <w:pPr>
              <w:jc w:val="center"/>
              <w:rPr>
                <w:sz w:val="16"/>
              </w:rPr>
            </w:pPr>
            <w:r w:rsidRPr="00431283">
              <w:rPr>
                <w:sz w:val="16"/>
              </w:rPr>
              <w:t>Date of lodging appeal, 11/01/2023, 03/03/2023, 06/04/2023, 29/05/2023</w:t>
            </w:r>
          </w:p>
        </w:tc>
        <w:tc>
          <w:tcPr>
            <w:tcW w:w="2409" w:type="dxa"/>
          </w:tcPr>
          <w:p w:rsidRPr="00431283" w:rsidR="00295C70" w:rsidP="00431283" w14:paraId="74C352BB" w14:textId="77777777">
            <w:pPr>
              <w:jc w:val="center"/>
              <w:rPr>
                <w:sz w:val="16"/>
              </w:rPr>
            </w:pPr>
            <w:r w:rsidRPr="00431283">
              <w:rPr>
                <w:sz w:val="16"/>
              </w:rPr>
              <w:t>Kyiv Appellate Court, 15/03/2023, 19/04/2023, 26/04/2023, 12/07/2023</w:t>
            </w:r>
          </w:p>
        </w:tc>
        <w:tc>
          <w:tcPr>
            <w:tcW w:w="3407" w:type="dxa"/>
          </w:tcPr>
          <w:p w:rsidRPr="00431283" w:rsidR="00295C70" w:rsidP="00431283" w14:paraId="59FC460A" w14:textId="3A4939D4">
            <w:pPr>
              <w:jc w:val="center"/>
              <w:rPr>
                <w:sz w:val="16"/>
              </w:rPr>
            </w:pPr>
            <w:r w:rsidRPr="00431283">
              <w:rPr>
                <w:sz w:val="16"/>
              </w:rPr>
              <w:t>lack of speediness of review of detention (</w:t>
            </w:r>
            <w:r w:rsidRPr="00431283">
              <w:rPr>
                <w:i/>
                <w:iCs/>
                <w:sz w:val="16"/>
              </w:rPr>
              <w:t>Kharchenko</w:t>
            </w:r>
            <w:r w:rsidRPr="00431283" w:rsidR="00827E32">
              <w:rPr>
                <w:i/>
                <w:iCs/>
                <w:sz w:val="16"/>
              </w:rPr>
              <w:t xml:space="preserve"> </w:t>
            </w:r>
            <w:r w:rsidRPr="00431283">
              <w:rPr>
                <w:i/>
                <w:iCs/>
                <w:sz w:val="16"/>
              </w:rPr>
              <w:t>v. Ukraine</w:t>
            </w:r>
            <w:r w:rsidRPr="00431283">
              <w:rPr>
                <w:sz w:val="16"/>
              </w:rPr>
              <w:t>,</w:t>
            </w:r>
            <w:r w:rsidRPr="00431283" w:rsidR="00827E32">
              <w:rPr>
                <w:sz w:val="16"/>
              </w:rPr>
              <w:t xml:space="preserve"> </w:t>
            </w:r>
            <w:r w:rsidRPr="00431283">
              <w:rPr>
                <w:sz w:val="16"/>
              </w:rPr>
              <w:t>no. 40107/02,</w:t>
            </w:r>
            <w:r w:rsidRPr="00431283" w:rsidR="00827E32">
              <w:rPr>
                <w:sz w:val="16"/>
              </w:rPr>
              <w:t xml:space="preserve"> </w:t>
            </w:r>
            <w:r w:rsidRPr="00431283">
              <w:rPr>
                <w:sz w:val="16"/>
              </w:rPr>
              <w:t>§§ 86-87,</w:t>
            </w:r>
          </w:p>
          <w:p w:rsidRPr="00431283" w:rsidR="00295C70" w:rsidP="00431283" w14:paraId="22990871" w14:textId="619CDDF7">
            <w:pPr>
              <w:jc w:val="center"/>
              <w:rPr>
                <w:sz w:val="16"/>
              </w:rPr>
            </w:pPr>
            <w:r w:rsidRPr="00431283">
              <w:rPr>
                <w:sz w:val="16"/>
              </w:rPr>
              <w:t>10 February 2011)</w:t>
            </w:r>
          </w:p>
        </w:tc>
        <w:tc>
          <w:tcPr>
            <w:tcW w:w="1134" w:type="dxa"/>
          </w:tcPr>
          <w:p w:rsidRPr="00431283" w:rsidR="00295C70" w:rsidP="00431283" w14:paraId="63E5A593" w14:textId="77777777">
            <w:pPr>
              <w:jc w:val="center"/>
              <w:rPr>
                <w:sz w:val="16"/>
              </w:rPr>
            </w:pPr>
            <w:r w:rsidRPr="00431283">
              <w:rPr>
                <w:sz w:val="16"/>
              </w:rPr>
              <w:t>500</w:t>
            </w:r>
          </w:p>
        </w:tc>
      </w:tr>
    </w:tbl>
    <w:p w:rsidRPr="00431283" w:rsidR="00606600" w:rsidP="00431283" w14:paraId="60466E88"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8296BAC" w14:textId="06377557">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23DA92B" w14:textId="20AC7699">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7346CD2"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13FA26F"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D561B" w:rsidRPr="00611E1D" w:rsidP="00787E12" w14:paraId="6CC3A77D" w14:textId="77777777">
      <w:r w:rsidRPr="00611E1D">
        <w:separator/>
      </w:r>
    </w:p>
  </w:footnote>
  <w:footnote w:type="continuationSeparator" w:id="1">
    <w:p w:rsidR="000D561B" w:rsidRPr="00611E1D" w:rsidP="00787E12" w14:paraId="1CA6E32A" w14:textId="77777777">
      <w:r w:rsidRPr="00611E1D">
        <w:continuationSeparator/>
      </w:r>
    </w:p>
  </w:footnote>
  <w:footnote w:id="2">
    <w:p w:rsidR="00295C70" w:rsidRPr="00882510" w:rsidP="000D561B" w14:paraId="4E1B84FE" w14:textId="77777777">
      <w:pPr>
        <w:pStyle w:val="FootnoteText"/>
        <w:rPr>
          <w:sz w:val="16"/>
          <w:szCs w:val="16"/>
        </w:rPr>
      </w:pPr>
      <w:r w:rsidRPr="000D561B">
        <w:rPr>
          <w:rStyle w:val="FootnoteReference"/>
        </w:rPr>
        <w:footnoteRef/>
      </w:r>
      <w:r w:rsidRPr="000D561B">
        <w:rPr>
          <w:rStyle w:val="FootnoteReference"/>
        </w:rPr>
        <w:t xml:space="preserve"> </w:t>
      </w:r>
      <w:r w:rsidRPr="00882510">
        <w:rPr>
          <w:sz w:val="16"/>
          <w:szCs w:val="16"/>
        </w:rPr>
        <w:t>Plus any tax that may be chargeable to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61B" w14:paraId="52E9E8D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0DAFB570"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28D0542B" w14:textId="77777777">
    <w:pPr>
      <w:jc w:val="center"/>
      <w:rPr>
        <w:sz w:val="4"/>
        <w:szCs w:val="4"/>
      </w:rPr>
    </w:pPr>
  </w:p>
  <w:p w:rsidR="00606600" w:rsidRPr="00611E1D" w14:paraId="5B39BE3A"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61B" w:rsidRPr="00A45145" w:rsidP="00A45145" w14:paraId="1FEBD09F" w14:textId="58749AE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D9E3FC5" w14:textId="681A6A80">
    <w:pPr>
      <w:pStyle w:val="Header0"/>
    </w:pPr>
  </w:p>
  <w:p w:rsidR="00606600" w:rsidRPr="00611E1D" w:rsidP="00B64153" w14:paraId="1B015823"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8D859E5" w14:textId="396C6BBB">
    <w:pPr>
      <w:pStyle w:val="JuHeader"/>
    </w:pPr>
    <w:r>
      <w:t>TYMOSHENKO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5EE8FBC8" w14:textId="3DC2B471">
    <w:pPr>
      <w:pStyle w:val="JuHeader"/>
    </w:pPr>
    <w:r>
      <w:t>TYMOSHENKO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240A094A" w14:textId="150A1752">
    <w:pPr>
      <w:pStyle w:val="JuHeader"/>
    </w:pPr>
    <w:r>
      <w:t>TYMOSHENKO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743C274" w14:textId="43560960">
    <w:pPr>
      <w:pStyle w:val="JuHeader"/>
    </w:pPr>
    <w:r>
      <w:t>TYMOSHENKO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61B"/>
    <w:rsid w:val="00013B63"/>
    <w:rsid w:val="000318F7"/>
    <w:rsid w:val="000C5149"/>
    <w:rsid w:val="000D561B"/>
    <w:rsid w:val="00135384"/>
    <w:rsid w:val="00150BFA"/>
    <w:rsid w:val="00173A91"/>
    <w:rsid w:val="00177329"/>
    <w:rsid w:val="001A15B6"/>
    <w:rsid w:val="001A3C4A"/>
    <w:rsid w:val="001D7CD3"/>
    <w:rsid w:val="001F3812"/>
    <w:rsid w:val="002056B7"/>
    <w:rsid w:val="0020718E"/>
    <w:rsid w:val="0023364D"/>
    <w:rsid w:val="0029309A"/>
    <w:rsid w:val="00295C70"/>
    <w:rsid w:val="002C5B23"/>
    <w:rsid w:val="00337785"/>
    <w:rsid w:val="0037589C"/>
    <w:rsid w:val="003B3ECB"/>
    <w:rsid w:val="00431283"/>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43B2A"/>
    <w:rsid w:val="007A72B4"/>
    <w:rsid w:val="007F018A"/>
    <w:rsid w:val="00827E32"/>
    <w:rsid w:val="008522DD"/>
    <w:rsid w:val="00860732"/>
    <w:rsid w:val="00882510"/>
    <w:rsid w:val="008A0E2E"/>
    <w:rsid w:val="008D51B6"/>
    <w:rsid w:val="009522DD"/>
    <w:rsid w:val="00A329E0"/>
    <w:rsid w:val="00A34A54"/>
    <w:rsid w:val="00A44415"/>
    <w:rsid w:val="00A45145"/>
    <w:rsid w:val="00A6104A"/>
    <w:rsid w:val="00A94CA7"/>
    <w:rsid w:val="00AC03BB"/>
    <w:rsid w:val="00B216C1"/>
    <w:rsid w:val="00B64153"/>
    <w:rsid w:val="00B91668"/>
    <w:rsid w:val="00BD554D"/>
    <w:rsid w:val="00BE2415"/>
    <w:rsid w:val="00C20CC3"/>
    <w:rsid w:val="00C877A3"/>
    <w:rsid w:val="00DE7D3F"/>
    <w:rsid w:val="00E026EC"/>
    <w:rsid w:val="00E6230A"/>
    <w:rsid w:val="00ED7723"/>
    <w:rsid w:val="00F52CA1"/>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F1B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0D561B"/>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960</Words>
  <Characters>5188</Characters>
  <Application>Microsoft Office Word</Application>
  <DocSecurity>0</DocSecurity>
  <Lines>207</Lines>
  <Paragraphs>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2025-03-19T14:15:00Z</dcterms:created>
  <dcterms:modified xsi:type="dcterms:W3CDTF">2025-03-19T14:28:00Z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1886214</vt:lpwstr>
  </property>
  <property fmtid="{D5CDD505-2E9C-101B-9397-08002B2CF9AE}" pid="3" name="cstLanguage">
    <vt:i4>2057</vt:i4>
  </property>
  <property fmtid="{D5CDD505-2E9C-101B-9397-08002B2CF9AE}" pid="4" name="RegisteredNo">
    <vt:lpwstr>26951/23</vt:lpwstr>
  </property>
</Properties>
</file>