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345F3" w:rsidR="0098410D" w:rsidP="009345F3" w14:paraId="62D0369D" w14:textId="77777777">
      <w:pPr>
        <w:jc w:val="center"/>
      </w:pPr>
    </w:p>
    <w:p w:rsidRPr="009345F3" w:rsidR="0098410D" w:rsidP="009345F3" w14:paraId="68CC131A" w14:textId="1F0FAD4A">
      <w:pPr>
        <w:pStyle w:val="DecHTitle"/>
      </w:pPr>
      <w:r w:rsidRPr="009345F3">
        <w:t>SECOND SECTION</w:t>
      </w:r>
    </w:p>
    <w:p w:rsidRPr="009345F3" w:rsidR="008E6217" w:rsidP="009345F3" w14:paraId="7805C620" w14:textId="0818602D">
      <w:pPr>
        <w:pStyle w:val="JuTitle"/>
      </w:pPr>
      <w:r w:rsidRPr="009345F3">
        <w:rPr>
          <w:color w:val="000000" w:themeColor="text1"/>
        </w:rPr>
        <w:t xml:space="preserve">CASE OF </w:t>
      </w:r>
      <w:r w:rsidRPr="009345F3" w:rsidR="00373F2B">
        <w:t>TADIĆ v. CROATIA</w:t>
      </w:r>
    </w:p>
    <w:p w:rsidRPr="009345F3" w:rsidR="00D74888" w:rsidP="009345F3" w14:paraId="4E64CCCC" w14:textId="05C10391">
      <w:pPr>
        <w:pStyle w:val="ECHRCoverTitle4"/>
      </w:pPr>
      <w:r w:rsidRPr="009345F3">
        <w:t>(</w:t>
      </w:r>
      <w:r w:rsidRPr="009345F3" w:rsidR="00373F2B">
        <w:rPr>
          <w:noProof/>
        </w:rPr>
        <w:t>Application no.</w:t>
      </w:r>
      <w:r w:rsidRPr="009345F3">
        <w:t xml:space="preserve"> </w:t>
      </w:r>
      <w:r w:rsidRPr="009345F3" w:rsidR="00373F2B">
        <w:t>31038/20</w:t>
      </w:r>
      <w:r w:rsidRPr="009345F3">
        <w:t>)</w:t>
      </w:r>
    </w:p>
    <w:p w:rsidRPr="009345F3" w:rsidR="0098410D" w:rsidP="009345F3" w14:paraId="0C118913" w14:textId="77777777">
      <w:pPr>
        <w:pStyle w:val="DecHCase"/>
      </w:pPr>
    </w:p>
    <w:p w:rsidRPr="009345F3" w:rsidR="0054716E" w:rsidP="009345F3" w14:paraId="6463E606" w14:textId="77777777">
      <w:pPr>
        <w:pStyle w:val="DecHCase"/>
      </w:pPr>
    </w:p>
    <w:p w:rsidRPr="009345F3" w:rsidR="0098410D" w:rsidP="009345F3" w14:paraId="677C6E63" w14:textId="77777777">
      <w:pPr>
        <w:pStyle w:val="DecHCase"/>
      </w:pPr>
    </w:p>
    <w:p w:rsidRPr="009345F3" w:rsidR="00AC4CD4" w:rsidP="009345F3" w14:paraId="2BA3AF9F" w14:textId="77777777">
      <w:pPr>
        <w:pStyle w:val="DecHCase"/>
      </w:pPr>
    </w:p>
    <w:p w:rsidRPr="009345F3" w:rsidR="0098410D" w:rsidP="009345F3" w14:paraId="41953091" w14:textId="77777777">
      <w:pPr>
        <w:pStyle w:val="DecHCase"/>
      </w:pPr>
    </w:p>
    <w:p w:rsidRPr="009345F3" w:rsidR="009345F3" w:rsidP="009345F3" w14:paraId="4A2C3B3E" w14:textId="77777777">
      <w:pPr>
        <w:pStyle w:val="DecHCase"/>
      </w:pPr>
    </w:p>
    <w:p w:rsidRPr="009345F3" w:rsidR="0098410D" w:rsidP="009345F3" w14:paraId="1375014C" w14:textId="4B384E9A">
      <w:pPr>
        <w:pStyle w:val="DecHCase"/>
      </w:pPr>
      <w:r w:rsidRPr="009345F3">
        <w:t>JUDGMENT</w:t>
      </w:r>
      <w:r w:rsidRPr="009345F3" w:rsidR="00AC4CD4">
        <w:br/>
      </w:r>
    </w:p>
    <w:p w:rsidRPr="009345F3" w:rsidR="0098410D" w:rsidP="009345F3" w14:paraId="0ABF7331" w14:textId="77777777">
      <w:pPr>
        <w:pStyle w:val="DecHCase"/>
      </w:pPr>
      <w:r w:rsidRPr="009345F3">
        <w:t>STRASBOURG</w:t>
      </w:r>
    </w:p>
    <w:p w:rsidRPr="009345F3" w:rsidR="0098410D" w:rsidP="009345F3" w14:paraId="6DB2C337" w14:textId="4B9AA1B1">
      <w:pPr>
        <w:pStyle w:val="DecHCase"/>
      </w:pPr>
      <w:r w:rsidRPr="009345F3">
        <w:rPr>
          <w:rFonts w:ascii="Times New Roman" w:hAnsi="Times New Roman" w:cs="Times New Roman"/>
        </w:rPr>
        <w:t>18 March 2025</w:t>
      </w:r>
    </w:p>
    <w:p w:rsidRPr="009345F3" w:rsidR="00AC4CD4" w:rsidP="009345F3" w14:paraId="7DF7F975" w14:textId="77777777">
      <w:pPr>
        <w:pStyle w:val="JuPara"/>
      </w:pPr>
    </w:p>
    <w:p w:rsidRPr="009345F3" w:rsidR="002422B6" w:rsidP="009345F3" w14:paraId="2D29EDAC" w14:textId="61932A79">
      <w:pPr>
        <w:rPr>
          <w:i/>
          <w:sz w:val="22"/>
        </w:rPr>
      </w:pPr>
      <w:r w:rsidRPr="009345F3">
        <w:rPr>
          <w:i/>
          <w:sz w:val="22"/>
        </w:rPr>
        <w:t xml:space="preserve">This judgment </w:t>
      </w:r>
      <w:r w:rsidRPr="009345F3" w:rsidR="00373F2B">
        <w:rPr>
          <w:i/>
          <w:noProof/>
          <w:sz w:val="22"/>
        </w:rPr>
        <w:t>is final but it</w:t>
      </w:r>
      <w:r w:rsidRPr="009345F3">
        <w:rPr>
          <w:i/>
          <w:sz w:val="22"/>
        </w:rPr>
        <w:t xml:space="preserve"> may be subject to editorial revision.</w:t>
      </w:r>
    </w:p>
    <w:p w:rsidRPr="009345F3" w:rsidR="0098410D" w:rsidP="009345F3" w14:paraId="3C8FB62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345F3" w:rsidR="0098410D" w:rsidP="009345F3" w14:paraId="704CBC41" w14:textId="28CC1ACF">
      <w:pPr>
        <w:pStyle w:val="JuCase"/>
      </w:pPr>
      <w:r w:rsidRPr="009345F3">
        <w:t xml:space="preserve">In the case of </w:t>
      </w:r>
      <w:r w:rsidRPr="009345F3" w:rsidR="00373F2B">
        <w:t>Tadić v. Croatia</w:t>
      </w:r>
      <w:r w:rsidRPr="009345F3">
        <w:t>,</w:t>
      </w:r>
    </w:p>
    <w:p w:rsidRPr="009345F3" w:rsidR="009F4C8F" w:rsidP="009345F3" w14:paraId="4ADEF6A2" w14:textId="0716A75F">
      <w:pPr>
        <w:pStyle w:val="JuPara"/>
      </w:pPr>
      <w:r w:rsidRPr="009345F3">
        <w:t>The European Court of Human Rights (</w:t>
      </w:r>
      <w:r w:rsidRPr="009345F3" w:rsidR="00373F2B">
        <w:t>Second Section</w:t>
      </w:r>
      <w:r w:rsidRPr="009345F3">
        <w:t xml:space="preserve">), sitting as a </w:t>
      </w:r>
      <w:r w:rsidRPr="009345F3" w:rsidR="00373F2B">
        <w:rPr>
          <w:noProof/>
        </w:rPr>
        <w:t>Committee</w:t>
      </w:r>
      <w:r w:rsidRPr="009345F3">
        <w:t xml:space="preserve"> composed of:</w:t>
      </w:r>
    </w:p>
    <w:p w:rsidRPr="009345F3" w:rsidR="00A92625" w:rsidP="009345F3" w14:paraId="66A889C7" w14:textId="6F225F91">
      <w:pPr>
        <w:pStyle w:val="JuJudges"/>
      </w:pPr>
      <w:r w:rsidRPr="009345F3">
        <w:tab/>
        <w:t>Gediminas Sagatys</w:t>
      </w:r>
      <w:r w:rsidRPr="009345F3">
        <w:rPr>
          <w:i/>
        </w:rPr>
        <w:t>, President</w:t>
      </w:r>
      <w:r w:rsidRPr="009345F3">
        <w:t>,</w:t>
      </w:r>
      <w:r w:rsidRPr="009345F3">
        <w:br/>
      </w:r>
      <w:r w:rsidRPr="009345F3">
        <w:tab/>
        <w:t>Davor Derenčinović,</w:t>
      </w:r>
      <w:r w:rsidRPr="009345F3">
        <w:br/>
      </w:r>
      <w:r w:rsidRPr="009345F3">
        <w:tab/>
        <w:t>Juha Lavapuro</w:t>
      </w:r>
      <w:r w:rsidRPr="009345F3">
        <w:rPr>
          <w:i/>
        </w:rPr>
        <w:t>, judges</w:t>
      </w:r>
      <w:r w:rsidRPr="009345F3">
        <w:t>,</w:t>
      </w:r>
      <w:r w:rsidRPr="009345F3" w:rsidR="009F4C8F">
        <w:br/>
        <w:t>and</w:t>
      </w:r>
      <w:r w:rsidRPr="009345F3" w:rsidR="005C2C62">
        <w:t xml:space="preserve"> </w:t>
      </w:r>
      <w:r w:rsidRPr="009345F3" w:rsidR="00373F2B">
        <w:rPr>
          <w:rFonts w:eastAsia="PMingLiU"/>
          <w:noProof/>
        </w:rPr>
        <w:t>Dorothee von Arnim</w:t>
      </w:r>
      <w:r w:rsidRPr="009345F3">
        <w:t xml:space="preserve">, </w:t>
      </w:r>
      <w:r w:rsidRPr="009345F3" w:rsidR="00373F2B">
        <w:rPr>
          <w:i/>
          <w:iCs/>
          <w:noProof/>
        </w:rPr>
        <w:t xml:space="preserve">Deputy </w:t>
      </w:r>
      <w:r w:rsidRPr="009345F3" w:rsidR="00E744E0">
        <w:rPr>
          <w:i/>
        </w:rPr>
        <w:t xml:space="preserve">Section </w:t>
      </w:r>
      <w:r w:rsidRPr="009345F3" w:rsidR="00E744E0">
        <w:rPr>
          <w:i/>
          <w:iCs/>
        </w:rPr>
        <w:t>Registrar</w:t>
      </w:r>
      <w:r w:rsidRPr="009345F3" w:rsidR="008F2465">
        <w:rPr>
          <w:i/>
        </w:rPr>
        <w:t>,</w:t>
      </w:r>
    </w:p>
    <w:p w:rsidRPr="009345F3" w:rsidR="00373F2B" w:rsidP="009345F3" w14:paraId="6ABA8AD5" w14:textId="77777777">
      <w:pPr>
        <w:pStyle w:val="JuPara"/>
      </w:pPr>
      <w:r w:rsidRPr="009345F3">
        <w:t>Having regard to:</w:t>
      </w:r>
    </w:p>
    <w:p w:rsidRPr="009345F3" w:rsidR="00373F2B" w:rsidP="009345F3" w14:paraId="116CEAAB" w14:textId="77777777">
      <w:pPr>
        <w:pStyle w:val="JuPara"/>
      </w:pPr>
      <w:r w:rsidRPr="009345F3">
        <w:t>the application (no. 31038/20) against the Republic of Croatia lodged with the Court under Article 34 of the Convention for the Protection of Human Rights and Fundamental Freedoms (“the Convention”) on 15 July 2020 by a Croatian national, Mr Stipo Tadić (“the applicant”), who was born in 1959, lives in Štefanje and was represented by Ms A. Klarić Rajnović, a lawyer practising in Zagreb;</w:t>
      </w:r>
    </w:p>
    <w:p w:rsidRPr="009345F3" w:rsidR="00373F2B" w:rsidP="009345F3" w14:paraId="1A735B12" w14:textId="77777777">
      <w:pPr>
        <w:pStyle w:val="JuPara"/>
      </w:pPr>
      <w:r w:rsidRPr="009345F3">
        <w:t>the decision to give notice of the application to the Croatian Government (“the Government”), represented by their Agent, Ms Š. Stažnik;</w:t>
      </w:r>
    </w:p>
    <w:p w:rsidRPr="009345F3" w:rsidR="00373F2B" w:rsidP="009345F3" w14:paraId="567976D0" w14:textId="4748FC47">
      <w:pPr>
        <w:pStyle w:val="JuPara"/>
      </w:pPr>
      <w:r w:rsidRPr="009345F3">
        <w:t>the parties</w:t>
      </w:r>
      <w:r w:rsidRPr="009345F3" w:rsidR="009345F3">
        <w:t>’</w:t>
      </w:r>
      <w:r w:rsidRPr="009345F3">
        <w:t xml:space="preserve"> observations;</w:t>
      </w:r>
    </w:p>
    <w:p w:rsidRPr="009345F3" w:rsidR="009F4C8F" w:rsidP="009345F3" w14:paraId="1F2B4E65" w14:textId="5E6C6925">
      <w:pPr>
        <w:pStyle w:val="JuPara"/>
      </w:pPr>
      <w:r w:rsidRPr="009345F3">
        <w:t xml:space="preserve">Having deliberated in private on </w:t>
      </w:r>
      <w:r w:rsidRPr="009345F3" w:rsidR="00373F2B">
        <w:t>25 February 2025</w:t>
      </w:r>
      <w:r w:rsidRPr="009345F3">
        <w:t>,</w:t>
      </w:r>
    </w:p>
    <w:p w:rsidRPr="009345F3" w:rsidR="009F4C8F" w:rsidP="009345F3" w14:paraId="5B6B298B" w14:textId="77777777">
      <w:pPr>
        <w:pStyle w:val="JuPara"/>
      </w:pPr>
      <w:r w:rsidRPr="009345F3">
        <w:t>Delivers the following judgment, which was adopted on that date:</w:t>
      </w:r>
    </w:p>
    <w:p w:rsidRPr="009345F3" w:rsidR="00373F2B" w:rsidP="009345F3" w14:paraId="3925A3D2" w14:textId="783A68F7">
      <w:pPr>
        <w:pStyle w:val="JuHHead"/>
        <w:numPr>
          <w:ilvl w:val="0"/>
          <w:numId w:val="0"/>
        </w:numPr>
      </w:pPr>
      <w:r w:rsidRPr="009345F3">
        <w:t>SUBJECT MATTER OF THE CASE</w:t>
      </w:r>
    </w:p>
    <w:p w:rsidRPr="009345F3" w:rsidR="00373F2B" w:rsidP="009345F3" w14:paraId="740A7F76" w14:textId="2061A462">
      <w:pPr>
        <w:pStyle w:val="JuPara"/>
      </w:pPr>
      <w:r w:rsidRPr="009345F3">
        <w:fldChar w:fldCharType="begin"/>
      </w:r>
      <w:r w:rsidRPr="009345F3">
        <w:instrText xml:space="preserve"> SEQ level0 \*arabic \r1 </w:instrText>
      </w:r>
      <w:r w:rsidRPr="009345F3">
        <w:fldChar w:fldCharType="separate"/>
      </w:r>
      <w:r w:rsidRPr="009345F3" w:rsidR="009345F3">
        <w:rPr>
          <w:noProof/>
        </w:rPr>
        <w:t>1</w:t>
      </w:r>
      <w:r w:rsidRPr="009345F3">
        <w:fldChar w:fldCharType="end"/>
      </w:r>
      <w:r w:rsidRPr="009345F3">
        <w:t>.  The application concerns the inability of the applicant to judicially challenge the amount of compensation awarded to him for his squeeze-out from a company in which he was a minority shareholder.</w:t>
      </w:r>
    </w:p>
    <w:p w:rsidRPr="009345F3" w:rsidR="00373F2B" w:rsidP="009345F3" w14:paraId="51C8B958" w14:textId="77777777">
      <w:pPr>
        <w:pStyle w:val="JuHIRoman"/>
      </w:pPr>
      <w:r w:rsidRPr="009345F3">
        <w:t>BACKGROUND TO THE CASE</w:t>
      </w:r>
    </w:p>
    <w:bookmarkStart w:name="paragraph00002" w:id="0"/>
    <w:p w:rsidRPr="009345F3" w:rsidR="00373F2B" w:rsidP="009345F3" w14:paraId="1C7B38F7" w14:textId="0017254D">
      <w:pPr>
        <w:pStyle w:val="JuPara"/>
      </w:pPr>
      <w:r w:rsidRPr="009345F3">
        <w:fldChar w:fldCharType="begin"/>
      </w:r>
      <w:r w:rsidRPr="009345F3">
        <w:instrText xml:space="preserve"> SEQ level0 \*arabic \* MERGEFORMAT </w:instrText>
      </w:r>
      <w:r w:rsidRPr="009345F3">
        <w:fldChar w:fldCharType="separate"/>
      </w:r>
      <w:r w:rsidRPr="009345F3" w:rsidR="009345F3">
        <w:rPr>
          <w:noProof/>
        </w:rPr>
        <w:t>2</w:t>
      </w:r>
      <w:r w:rsidRPr="009345F3">
        <w:fldChar w:fldCharType="end"/>
      </w:r>
      <w:bookmarkEnd w:id="0"/>
      <w:r w:rsidRPr="009345F3">
        <w:t>.  The applicant was a minority shareholder of the S. company.</w:t>
      </w:r>
    </w:p>
    <w:bookmarkStart w:name="paragraph00003" w:id="1"/>
    <w:p w:rsidRPr="009345F3" w:rsidR="00373F2B" w:rsidP="009345F3" w14:paraId="3E4526F5" w14:textId="20E2C659">
      <w:pPr>
        <w:pStyle w:val="JuPara"/>
      </w:pPr>
      <w:r w:rsidRPr="009345F3">
        <w:fldChar w:fldCharType="begin"/>
      </w:r>
      <w:r w:rsidRPr="009345F3">
        <w:instrText xml:space="preserve"> SEQ level0 \*arabic \* MERGEFORMAT </w:instrText>
      </w:r>
      <w:r w:rsidRPr="009345F3">
        <w:fldChar w:fldCharType="separate"/>
      </w:r>
      <w:r w:rsidRPr="009345F3" w:rsidR="009345F3">
        <w:rPr>
          <w:noProof/>
        </w:rPr>
        <w:t>3</w:t>
      </w:r>
      <w:r w:rsidRPr="009345F3">
        <w:fldChar w:fldCharType="end"/>
      </w:r>
      <w:bookmarkEnd w:id="1"/>
      <w:r w:rsidRPr="009345F3">
        <w:t>.  On 4 February 2016 a certain Mr M.H. applied to the Croatian Financial Services Supervisory Agency (</w:t>
      </w:r>
      <w:r w:rsidRPr="009345F3">
        <w:rPr>
          <w:i/>
          <w:iCs/>
        </w:rPr>
        <w:t>Hrvatska agencija za nadzor financijskih usluga</w:t>
      </w:r>
      <w:r w:rsidRPr="009345F3">
        <w:t>; the “Agency”) for approval of the announcement of a voluntary takeover bid of the S. company. Since he was to become a holder of 96% of the company</w:t>
      </w:r>
      <w:r w:rsidRPr="009345F3" w:rsidR="009345F3">
        <w:t>’</w:t>
      </w:r>
      <w:r w:rsidRPr="009345F3">
        <w:t>s shares, in his takeover bid he undertook to pay to minority shareholders 16.50 Croatian kunas (HRK; approx. 2.20 euros (EUR)) per share. This price was determined as the shares</w:t>
      </w:r>
      <w:r w:rsidRPr="009345F3" w:rsidR="009345F3">
        <w:t>’</w:t>
      </w:r>
      <w:r w:rsidRPr="009345F3">
        <w:t xml:space="preserve"> fair value established on the basis of an expert report.</w:t>
      </w:r>
    </w:p>
    <w:bookmarkStart w:name="paragraph00004" w:id="2"/>
    <w:p w:rsidRPr="009345F3" w:rsidR="00373F2B" w:rsidP="009345F3" w14:paraId="7DF46CED" w14:textId="2374419B">
      <w:pPr>
        <w:pStyle w:val="JuPara"/>
      </w:pPr>
      <w:r w:rsidRPr="009345F3">
        <w:fldChar w:fldCharType="begin"/>
      </w:r>
      <w:r w:rsidRPr="009345F3">
        <w:instrText xml:space="preserve"> SEQ level0 \*arabic \* MERGEFORMAT </w:instrText>
      </w:r>
      <w:r w:rsidRPr="009345F3">
        <w:fldChar w:fldCharType="separate"/>
      </w:r>
      <w:r w:rsidRPr="009345F3" w:rsidR="009345F3">
        <w:rPr>
          <w:noProof/>
        </w:rPr>
        <w:t>4</w:t>
      </w:r>
      <w:r w:rsidRPr="009345F3">
        <w:fldChar w:fldCharType="end"/>
      </w:r>
      <w:bookmarkEnd w:id="2"/>
      <w:r w:rsidRPr="009345F3">
        <w:t>.  On 4 March 2016 the Agency gave its approval. It found that the price of the shares was determined in accordance with the relevant provisions of the Joint Stock Companies Takeover Act (the “Takeover Act”).</w:t>
      </w:r>
    </w:p>
    <w:p w:rsidRPr="009345F3" w:rsidR="00373F2B" w:rsidP="009345F3" w14:paraId="2503BDD4" w14:textId="38AA1659">
      <w:pPr>
        <w:pStyle w:val="JuPara"/>
      </w:pPr>
      <w:r>
        <w:fldChar w:fldCharType="begin"/>
      </w:r>
      <w:r>
        <w:instrText xml:space="preserve"> SEQ level0 \*arabic \* MERGEFORMAT </w:instrText>
      </w:r>
      <w:r>
        <w:fldChar w:fldCharType="separate"/>
      </w:r>
      <w:r w:rsidRPr="009345F3" w:rsidR="009345F3">
        <w:rPr>
          <w:noProof/>
        </w:rPr>
        <w:t>5</w:t>
      </w:r>
      <w:r w:rsidRPr="009345F3" w:rsidR="009345F3">
        <w:rPr>
          <w:noProof/>
        </w:rPr>
        <w:fldChar w:fldCharType="end"/>
      </w:r>
      <w:r w:rsidRPr="009345F3">
        <w:t>.  M.H. then published a takeover bid for the S. company and subsequently requested the Central Depository and Clearing Company (</w:t>
      </w:r>
      <w:r w:rsidRPr="009345F3">
        <w:rPr>
          <w:i/>
          <w:iCs/>
        </w:rPr>
        <w:t>Središnje klirinško depozitarno društvo</w:t>
      </w:r>
      <w:r w:rsidRPr="009345F3">
        <w:t xml:space="preserve">; the “CDCC”) to transfer the shares of the minority shareholders to him, in accordance with the Takeover Act. </w:t>
      </w:r>
      <w:r w:rsidRPr="009345F3">
        <w:t>The CDCC did so on 13 May 2016 and paid the minority shareholders</w:t>
      </w:r>
      <w:r w:rsidRPr="009345F3">
        <w:t xml:space="preserve"> </w:t>
      </w:r>
      <w:r w:rsidRPr="009345F3">
        <w:t>the compensation for their shares in the amount set out in the takeover bid (see</w:t>
      </w:r>
      <w:r w:rsidRPr="009345F3" w:rsidR="00804D7C">
        <w:t> </w:t>
      </w:r>
      <w:r w:rsidRPr="009345F3">
        <w:t xml:space="preserve">paragraph </w:t>
      </w:r>
      <w:r w:rsidRPr="009345F3">
        <w:fldChar w:fldCharType="begin"/>
      </w:r>
      <w:r w:rsidRPr="009345F3">
        <w:instrText xml:space="preserve">REF paragraph00003 \h \* CharFormat </w:instrText>
      </w:r>
      <w:r w:rsidRPr="009345F3">
        <w:fldChar w:fldCharType="separate"/>
      </w:r>
      <w:r w:rsidRPr="009345F3" w:rsidR="009345F3">
        <w:t>3</w:t>
      </w:r>
      <w:r w:rsidRPr="009345F3">
        <w:fldChar w:fldCharType="end"/>
      </w:r>
      <w:r w:rsidRPr="009345F3">
        <w:t xml:space="preserve"> above).</w:t>
      </w:r>
    </w:p>
    <w:p w:rsidRPr="009345F3" w:rsidR="00373F2B" w:rsidP="009345F3" w14:paraId="1B964011" w14:textId="77777777">
      <w:pPr>
        <w:pStyle w:val="JuHIRoman"/>
      </w:pPr>
      <w:r w:rsidRPr="009345F3">
        <w:t>proceedings instituted by the applicant</w:t>
      </w:r>
    </w:p>
    <w:p w:rsidRPr="009345F3" w:rsidR="00373F2B" w:rsidP="009345F3" w14:paraId="6E247BAE" w14:textId="77777777">
      <w:pPr>
        <w:pStyle w:val="JuHA"/>
      </w:pPr>
      <w:r w:rsidRPr="009345F3">
        <w:t>Proceedings before the commercial courts</w:t>
      </w:r>
    </w:p>
    <w:bookmarkStart w:name="paragraph00006" w:id="3"/>
    <w:p w:rsidRPr="009345F3" w:rsidR="00373F2B" w:rsidP="009345F3" w14:paraId="08A9A233" w14:textId="16DCB398">
      <w:pPr>
        <w:pStyle w:val="JuPara"/>
      </w:pPr>
      <w:r w:rsidRPr="009345F3">
        <w:fldChar w:fldCharType="begin"/>
      </w:r>
      <w:r w:rsidRPr="009345F3">
        <w:instrText xml:space="preserve"> SEQ level0 \*arabic \* MERGEFORMAT </w:instrText>
      </w:r>
      <w:r w:rsidRPr="009345F3">
        <w:fldChar w:fldCharType="separate"/>
      </w:r>
      <w:r w:rsidRPr="009345F3" w:rsidR="009345F3">
        <w:rPr>
          <w:noProof/>
        </w:rPr>
        <w:t>6</w:t>
      </w:r>
      <w:r w:rsidRPr="009345F3">
        <w:fldChar w:fldCharType="end"/>
      </w:r>
      <w:bookmarkEnd w:id="3"/>
      <w:r w:rsidRPr="009345F3">
        <w:t>.  On 19 June 2016 the applicant and a number of other former minority shareholders of the S. company instituted proceedings before the Zagreb Commercial Court asking it to determine the fair price of that company</w:t>
      </w:r>
      <w:r w:rsidRPr="009345F3" w:rsidR="009345F3">
        <w:t>’</w:t>
      </w:r>
      <w:r w:rsidRPr="009345F3">
        <w:t>s shares. The court then invited them to complete their request, but only one of them, D.S., did so. As the remaining petitioners, including the applicant, had failed to do so, the court, in a decision of 14 September 2016, found that their request had to be considered withdrawn. Neither the applicant nor the remaining petitioners appealed against that decision, which thus became final.</w:t>
      </w:r>
    </w:p>
    <w:bookmarkStart w:name="paragraph00007" w:id="4"/>
    <w:p w:rsidRPr="009345F3" w:rsidR="00373F2B" w:rsidP="009345F3" w14:paraId="6EC025DD" w14:textId="2A7F87E2">
      <w:pPr>
        <w:pStyle w:val="JuPara"/>
      </w:pPr>
      <w:r w:rsidRPr="009345F3">
        <w:fldChar w:fldCharType="begin"/>
      </w:r>
      <w:r w:rsidRPr="009345F3">
        <w:instrText xml:space="preserve"> SEQ level0 \*arabic \* MERGEFORMAT </w:instrText>
      </w:r>
      <w:r w:rsidRPr="009345F3">
        <w:fldChar w:fldCharType="separate"/>
      </w:r>
      <w:r w:rsidRPr="009345F3" w:rsidR="009345F3">
        <w:rPr>
          <w:noProof/>
        </w:rPr>
        <w:t>7</w:t>
      </w:r>
      <w:r w:rsidRPr="009345F3">
        <w:fldChar w:fldCharType="end"/>
      </w:r>
      <w:bookmarkEnd w:id="4"/>
      <w:r w:rsidRPr="009345F3">
        <w:t>.  On 16 September 2016 the Zagreb Commercial Court declared D.S.</w:t>
      </w:r>
      <w:r w:rsidRPr="009345F3" w:rsidR="009345F3">
        <w:t>’</w:t>
      </w:r>
      <w:r w:rsidRPr="009345F3">
        <w:t>s request inadmissible for lack of jurisdiction. That decision was upheld by the High Commercial Court on 16 November 2016. Those courts held that the case concerned a squeeze-out under the Takeover Act, in which the Agency, and not the courts, had jurisdiction to review whether the price of the shares was fair.</w:t>
      </w:r>
    </w:p>
    <w:p w:rsidRPr="009345F3" w:rsidR="00373F2B" w:rsidP="009345F3" w14:paraId="5C7976FC" w14:textId="77777777">
      <w:pPr>
        <w:pStyle w:val="JuHA"/>
      </w:pPr>
      <w:r w:rsidRPr="009345F3">
        <w:t>Proceedings before the administrative courts</w:t>
      </w:r>
    </w:p>
    <w:bookmarkStart w:name="paragraph00008" w:id="5"/>
    <w:p w:rsidRPr="009345F3" w:rsidR="00373F2B" w:rsidP="009345F3" w14:paraId="3AD68A5F" w14:textId="3F8C44BD">
      <w:pPr>
        <w:pStyle w:val="JuPara"/>
      </w:pPr>
      <w:r w:rsidRPr="009345F3">
        <w:fldChar w:fldCharType="begin"/>
      </w:r>
      <w:r w:rsidRPr="009345F3">
        <w:instrText xml:space="preserve"> SEQ level0 \*arabic \* MERGEFORMAT </w:instrText>
      </w:r>
      <w:r w:rsidRPr="009345F3">
        <w:fldChar w:fldCharType="separate"/>
      </w:r>
      <w:r w:rsidRPr="009345F3" w:rsidR="009345F3">
        <w:rPr>
          <w:noProof/>
        </w:rPr>
        <w:t>8</w:t>
      </w:r>
      <w:r w:rsidRPr="009345F3">
        <w:fldChar w:fldCharType="end"/>
      </w:r>
      <w:bookmarkEnd w:id="5"/>
      <w:r w:rsidRPr="009345F3">
        <w:t>.  Meanwhile, on 5 April 2016, the applicant instituted judicial review (administrative-dispute) proceedings contesting the Agency</w:t>
      </w:r>
      <w:r w:rsidRPr="009345F3" w:rsidR="009345F3">
        <w:t>’</w:t>
      </w:r>
      <w:r w:rsidRPr="009345F3">
        <w:t xml:space="preserve">s decision of 4 March 2016 (see paragraph </w:t>
      </w:r>
      <w:r w:rsidRPr="009345F3">
        <w:fldChar w:fldCharType="begin"/>
      </w:r>
      <w:r w:rsidRPr="009345F3">
        <w:instrText xml:space="preserve">REF paragraph00004 \h \* CharFormat </w:instrText>
      </w:r>
      <w:r w:rsidRPr="009345F3">
        <w:fldChar w:fldCharType="separate"/>
      </w:r>
      <w:r w:rsidRPr="009345F3" w:rsidR="009345F3">
        <w:t>4</w:t>
      </w:r>
      <w:r w:rsidRPr="009345F3">
        <w:fldChar w:fldCharType="end"/>
      </w:r>
      <w:r w:rsidRPr="009345F3">
        <w:t xml:space="preserve"> above) in the part approving the price per share set out in the takeover bid, arguing that it had been determined unlawfully.</w:t>
      </w:r>
    </w:p>
    <w:p w:rsidRPr="009345F3" w:rsidR="00373F2B" w:rsidP="009345F3" w14:paraId="53873CC5" w14:textId="46E689AB">
      <w:pPr>
        <w:pStyle w:val="JuPara"/>
      </w:pPr>
      <w:r>
        <w:fldChar w:fldCharType="begin"/>
      </w:r>
      <w:r>
        <w:instrText xml:space="preserve"> SEQ level0 \*arabic \* MERGEFORMAT </w:instrText>
      </w:r>
      <w:r>
        <w:fldChar w:fldCharType="separate"/>
      </w:r>
      <w:r w:rsidRPr="009345F3" w:rsidR="009345F3">
        <w:rPr>
          <w:noProof/>
        </w:rPr>
        <w:t>9</w:t>
      </w:r>
      <w:r w:rsidRPr="009345F3" w:rsidR="009345F3">
        <w:rPr>
          <w:noProof/>
        </w:rPr>
        <w:fldChar w:fldCharType="end"/>
      </w:r>
      <w:r w:rsidRPr="009345F3">
        <w:t>.  By a decision of 26 July 2016, the Zagreb Administrative Court declared the applicant</w:t>
      </w:r>
      <w:r w:rsidRPr="009345F3" w:rsidR="009345F3">
        <w:t>’</w:t>
      </w:r>
      <w:r w:rsidRPr="009345F3">
        <w:t>s action inadmissible for lack of legal interest. On</w:t>
      </w:r>
      <w:r w:rsidRPr="009345F3" w:rsidR="009345F3">
        <w:t xml:space="preserve"> </w:t>
      </w:r>
      <w:r w:rsidRPr="009345F3">
        <w:t>11 January 2017 the High Administrative Court dismissed an appeal by the applicant.</w:t>
      </w:r>
    </w:p>
    <w:p w:rsidRPr="009345F3" w:rsidR="00373F2B" w:rsidP="009345F3" w14:paraId="06333EBE" w14:textId="752CE6F4">
      <w:pPr>
        <w:pStyle w:val="JuPara"/>
      </w:pPr>
      <w:r>
        <w:fldChar w:fldCharType="begin"/>
      </w:r>
      <w:r>
        <w:instrText xml:space="preserve"> SEQ level0 \*arabic \* MERGEFORMAT </w:instrText>
      </w:r>
      <w:r>
        <w:fldChar w:fldCharType="separate"/>
      </w:r>
      <w:bookmarkStart w:name="paragraph00010" w:id="6"/>
      <w:r w:rsidRPr="009345F3" w:rsidR="009345F3">
        <w:rPr>
          <w:noProof/>
        </w:rPr>
        <w:t>10</w:t>
      </w:r>
      <w:bookmarkEnd w:id="6"/>
      <w:r>
        <w:fldChar w:fldCharType="end"/>
      </w:r>
      <w:r w:rsidRPr="009345F3">
        <w:t>.  The administrative courts held that the minority shareholders</w:t>
      </w:r>
      <w:r w:rsidRPr="009345F3" w:rsidR="009345F3">
        <w:t>’</w:t>
      </w:r>
      <w:r w:rsidRPr="009345F3">
        <w:t xml:space="preserve"> rights or obligations were not being decided in the proceedings before the Agency. Consequently, the Agency</w:t>
      </w:r>
      <w:r w:rsidRPr="009345F3" w:rsidR="009345F3">
        <w:t>’</w:t>
      </w:r>
      <w:r w:rsidRPr="009345F3">
        <w:t>s decision of 4 March 2016 had not violated any of the applicant</w:t>
      </w:r>
      <w:r w:rsidRPr="009345F3" w:rsidR="009345F3">
        <w:t>’</w:t>
      </w:r>
      <w:r w:rsidRPr="009345F3">
        <w:t>s rights or interests based in law. He was therefore not entitled to bring an action for judicial review against it. In holding so, those courts relied on the case-law of the High Administrative Court and the Constitutional Court.</w:t>
      </w:r>
    </w:p>
    <w:p w:rsidRPr="009345F3" w:rsidR="00373F2B" w:rsidP="009345F3" w14:paraId="76FAA516" w14:textId="2A05E327">
      <w:pPr>
        <w:pStyle w:val="JuPara"/>
      </w:pPr>
      <w:r>
        <w:fldChar w:fldCharType="begin"/>
      </w:r>
      <w:r>
        <w:instrText xml:space="preserve"> SEQ level0 \*arabic \* MERGEFORMAT </w:instrText>
      </w:r>
      <w:r>
        <w:fldChar w:fldCharType="separate"/>
      </w:r>
      <w:bookmarkStart w:name="paragraph00011" w:id="7"/>
      <w:r w:rsidRPr="009345F3" w:rsidR="009345F3">
        <w:rPr>
          <w:noProof/>
        </w:rPr>
        <w:t>11</w:t>
      </w:r>
      <w:bookmarkEnd w:id="7"/>
      <w:r>
        <w:fldChar w:fldCharType="end"/>
      </w:r>
      <w:r w:rsidRPr="009345F3">
        <w:t xml:space="preserve">.  In his subsequent constitutional complaint, the applicant complained that the decisions of the administrative courts had deprived him of his </w:t>
      </w:r>
      <w:r w:rsidRPr="009345F3">
        <w:t>constitutionally guaranteed right to judicial review of the Agency</w:t>
      </w:r>
      <w:r w:rsidRPr="009345F3" w:rsidR="009345F3">
        <w:t>’</w:t>
      </w:r>
      <w:r w:rsidRPr="009345F3">
        <w:t>s decision, and that he had been denied access to a court. He submitted that the commercial courts had declared D.S.</w:t>
      </w:r>
      <w:r w:rsidRPr="009345F3" w:rsidR="009345F3">
        <w:t>’</w:t>
      </w:r>
      <w:r w:rsidRPr="009345F3">
        <w:t>s request for the protection of the minority shareholders</w:t>
      </w:r>
      <w:r w:rsidRPr="009345F3" w:rsidR="009345F3">
        <w:t>’</w:t>
      </w:r>
      <w:r w:rsidRPr="009345F3">
        <w:t xml:space="preserve"> rights inadmissible for lack of jurisdiction (see</w:t>
      </w:r>
      <w:r w:rsidRPr="009345F3" w:rsidR="009345F3">
        <w:t xml:space="preserve"> </w:t>
      </w:r>
      <w:r w:rsidRPr="009345F3">
        <w:t xml:space="preserve">paragraph </w:t>
      </w:r>
      <w:r w:rsidRPr="009345F3">
        <w:fldChar w:fldCharType="begin"/>
      </w:r>
      <w:r w:rsidRPr="009345F3">
        <w:instrText xml:space="preserve">REF paragraph00007 \h \* CharFormat </w:instrText>
      </w:r>
      <w:r w:rsidRPr="009345F3">
        <w:fldChar w:fldCharType="separate"/>
      </w:r>
      <w:r w:rsidRPr="009345F3" w:rsidR="009345F3">
        <w:t>7</w:t>
      </w:r>
      <w:r w:rsidRPr="009345F3">
        <w:fldChar w:fldCharType="end"/>
      </w:r>
      <w:r w:rsidRPr="009345F3">
        <w:t xml:space="preserve"> above), and that those rights could thus have been protected only in the proceedings before the administrative courts.</w:t>
      </w:r>
    </w:p>
    <w:p w:rsidRPr="009345F3" w:rsidR="00373F2B" w:rsidP="009345F3" w14:paraId="089C2153" w14:textId="32B5078D">
      <w:pPr>
        <w:pStyle w:val="JuPara"/>
      </w:pPr>
      <w:r>
        <w:fldChar w:fldCharType="begin"/>
      </w:r>
      <w:r>
        <w:instrText xml:space="preserve"> SEQ level0 \*arabic \* MERGEFORMAT </w:instrText>
      </w:r>
      <w:r>
        <w:fldChar w:fldCharType="separate"/>
      </w:r>
      <w:bookmarkStart w:name="paragraph00012" w:id="8"/>
      <w:r w:rsidRPr="009345F3" w:rsidR="009345F3">
        <w:rPr>
          <w:noProof/>
        </w:rPr>
        <w:t>12</w:t>
      </w:r>
      <w:bookmarkEnd w:id="8"/>
      <w:r>
        <w:fldChar w:fldCharType="end"/>
      </w:r>
      <w:r w:rsidRPr="009345F3">
        <w:t>.  By a decision of 15 October 2019, notified on 5 November 2019, the Constitutional Court declared the applicant</w:t>
      </w:r>
      <w:r w:rsidRPr="009345F3" w:rsidR="009345F3">
        <w:t>’</w:t>
      </w:r>
      <w:r w:rsidRPr="009345F3">
        <w:t>s constitutional complaint inadmissible, noting that the administrative courts</w:t>
      </w:r>
      <w:r w:rsidRPr="009345F3" w:rsidR="009345F3">
        <w:t>’</w:t>
      </w:r>
      <w:r w:rsidRPr="009345F3">
        <w:t xml:space="preserve"> decision was in line with its own practice.</w:t>
      </w:r>
    </w:p>
    <w:p w:rsidRPr="009345F3" w:rsidR="00373F2B" w:rsidP="009345F3" w14:paraId="68B72905" w14:textId="77777777">
      <w:pPr>
        <w:pStyle w:val="JuHIRoman"/>
      </w:pPr>
      <w:r w:rsidRPr="009345F3">
        <w:t>THE COMPLAINT</w:t>
      </w:r>
    </w:p>
    <w:bookmarkStart w:name="paragraph00013" w:id="9"/>
    <w:p w:rsidRPr="009345F3" w:rsidR="00373F2B" w:rsidP="009345F3" w14:paraId="55AD83AD" w14:textId="1DCBF4C7">
      <w:pPr>
        <w:pStyle w:val="JuPara"/>
      </w:pPr>
      <w:r w:rsidRPr="009345F3">
        <w:fldChar w:fldCharType="begin"/>
      </w:r>
      <w:r w:rsidRPr="009345F3">
        <w:instrText xml:space="preserve"> SEQ level0 \*arabic \* MERGEFORMAT </w:instrText>
      </w:r>
      <w:r w:rsidRPr="009345F3">
        <w:fldChar w:fldCharType="separate"/>
      </w:r>
      <w:r w:rsidRPr="009345F3" w:rsidR="009345F3">
        <w:rPr>
          <w:noProof/>
        </w:rPr>
        <w:t>13</w:t>
      </w:r>
      <w:r w:rsidRPr="009345F3">
        <w:fldChar w:fldCharType="end"/>
      </w:r>
      <w:bookmarkEnd w:id="9"/>
      <w:r w:rsidRPr="009345F3">
        <w:t>.  Before the Court, the applicant complained under Article 6 § 1 of the Convention that he had been unable to challenge before a court the amount of compensation awarded to him for the compulsory transfer of his shares to the majority shareholder.</w:t>
      </w:r>
    </w:p>
    <w:p w:rsidRPr="009345F3" w:rsidR="00373F2B" w:rsidP="009345F3" w14:paraId="7CA15C09" w14:textId="318C5EC3">
      <w:pPr>
        <w:pStyle w:val="JuHHead"/>
      </w:pPr>
      <w:r w:rsidRPr="009345F3">
        <w:t>THE COURT</w:t>
      </w:r>
      <w:r w:rsidRPr="009345F3" w:rsidR="009345F3">
        <w:t>’</w:t>
      </w:r>
      <w:r w:rsidRPr="009345F3">
        <w:t>S ASSESSMENT</w:t>
      </w:r>
    </w:p>
    <w:p w:rsidRPr="009345F3" w:rsidR="00373F2B" w:rsidP="009345F3" w14:paraId="5554BD74" w14:textId="77777777">
      <w:pPr>
        <w:pStyle w:val="JuHIRoman"/>
      </w:pPr>
      <w:r w:rsidRPr="009345F3">
        <w:t>admissibility</w:t>
      </w:r>
    </w:p>
    <w:p w:rsidRPr="009345F3" w:rsidR="00373F2B" w:rsidP="009345F3" w14:paraId="2EF4F278" w14:textId="77777777">
      <w:pPr>
        <w:pStyle w:val="JuHA"/>
      </w:pPr>
      <w:r w:rsidRPr="009345F3">
        <w:t>Applicability of Article 6 § 1 of the Convention</w:t>
      </w:r>
    </w:p>
    <w:p w:rsidRPr="009345F3" w:rsidR="00373F2B" w:rsidP="009345F3" w14:paraId="0606AB95" w14:textId="2517055A">
      <w:pPr>
        <w:pStyle w:val="JuPara"/>
      </w:pPr>
      <w:r>
        <w:fldChar w:fldCharType="begin"/>
      </w:r>
      <w:r>
        <w:instrText xml:space="preserve"> SEQ level0 \*arabic \* MERGEFORMAT </w:instrText>
      </w:r>
      <w:r>
        <w:fldChar w:fldCharType="separate"/>
      </w:r>
      <w:r w:rsidRPr="009345F3" w:rsidR="009345F3">
        <w:rPr>
          <w:noProof/>
        </w:rPr>
        <w:t>14</w:t>
      </w:r>
      <w:r w:rsidRPr="009345F3" w:rsidR="009345F3">
        <w:rPr>
          <w:noProof/>
        </w:rPr>
        <w:fldChar w:fldCharType="end"/>
      </w:r>
      <w:r w:rsidRPr="009345F3">
        <w:t>.  The Government argued that the impugned proceedings before the Agency were one-party proceedings with no opposing parties. Article 6 § 1 of the Convention was therefore inapplicable because its applicability in civil matters depended on the existence of a “dispute” over a civil right recognised under domestic law.</w:t>
      </w:r>
    </w:p>
    <w:p w:rsidRPr="009345F3" w:rsidR="00373F2B" w:rsidP="009345F3" w14:paraId="48F11944" w14:textId="019ADA40">
      <w:pPr>
        <w:pStyle w:val="JuPara"/>
      </w:pPr>
      <w:r>
        <w:fldChar w:fldCharType="begin"/>
      </w:r>
      <w:r>
        <w:instrText xml:space="preserve"> SEQ level0 \*arabic \* MERGEFORMAT </w:instrText>
      </w:r>
      <w:r>
        <w:fldChar w:fldCharType="separate"/>
      </w:r>
      <w:r w:rsidRPr="009345F3" w:rsidR="009345F3">
        <w:rPr>
          <w:noProof/>
        </w:rPr>
        <w:t>15</w:t>
      </w:r>
      <w:r w:rsidRPr="009345F3" w:rsidR="009345F3">
        <w:rPr>
          <w:noProof/>
        </w:rPr>
        <w:fldChar w:fldCharType="end"/>
      </w:r>
      <w:r w:rsidRPr="009345F3">
        <w:t xml:space="preserve">.  The Court first notes that the proceedings complained of did not consist only of the administrative proceedings before the Agency but also of the ensuing judicial-review (administrative-dispute) proceedings and the proceedings before the Constitutional Court (see paragraphs </w:t>
      </w:r>
      <w:r w:rsidRPr="009345F3">
        <w:fldChar w:fldCharType="begin"/>
      </w:r>
      <w:r w:rsidRPr="009345F3">
        <w:instrText xml:space="preserve"> REF paragraph00008 \h  \* CharFormat </w:instrText>
      </w:r>
      <w:r w:rsidRPr="009345F3">
        <w:fldChar w:fldCharType="separate"/>
      </w:r>
      <w:r w:rsidRPr="009345F3" w:rsidR="009345F3">
        <w:t>8</w:t>
      </w:r>
      <w:r w:rsidRPr="009345F3">
        <w:fldChar w:fldCharType="end"/>
      </w:r>
      <w:r w:rsidRPr="009345F3">
        <w:t>-</w:t>
      </w:r>
      <w:r w:rsidRPr="009345F3">
        <w:fldChar w:fldCharType="begin"/>
      </w:r>
      <w:r w:rsidRPr="009345F3">
        <w:instrText xml:space="preserve"> REF paragraph00012 \h  \* CharFormat </w:instrText>
      </w:r>
      <w:r w:rsidRPr="009345F3">
        <w:fldChar w:fldCharType="separate"/>
      </w:r>
      <w:r w:rsidRPr="009345F3" w:rsidR="009345F3">
        <w:t>12</w:t>
      </w:r>
      <w:r w:rsidRPr="009345F3">
        <w:fldChar w:fldCharType="end"/>
      </w:r>
      <w:r w:rsidRPr="009345F3">
        <w:t xml:space="preserve"> above). In those proceedings a dispute arose between the applicant and the Agency when he brought his action for judicial review against its decision of 4 March 2016 (compare </w:t>
      </w:r>
      <w:r w:rsidRPr="009345F3">
        <w:rPr>
          <w:i/>
          <w:iCs/>
        </w:rPr>
        <w:t>Božić v. Croatia</w:t>
      </w:r>
      <w:r w:rsidRPr="009345F3">
        <w:t>, no. 22457/02, § 26, 29 June 2006).</w:t>
      </w:r>
    </w:p>
    <w:p w:rsidRPr="009345F3" w:rsidR="00373F2B" w:rsidP="009345F3" w14:paraId="64633100" w14:textId="5F47A474">
      <w:pPr>
        <w:pStyle w:val="JuPara"/>
      </w:pPr>
      <w:r>
        <w:fldChar w:fldCharType="begin"/>
      </w:r>
      <w:r>
        <w:instrText xml:space="preserve"> SEQ level0 \*arabic \* MERGEFORMAT </w:instrText>
      </w:r>
      <w:r>
        <w:fldChar w:fldCharType="separate"/>
      </w:r>
      <w:r w:rsidRPr="009345F3" w:rsidR="009345F3">
        <w:rPr>
          <w:noProof/>
        </w:rPr>
        <w:t>16</w:t>
      </w:r>
      <w:r w:rsidRPr="009345F3" w:rsidR="009345F3">
        <w:rPr>
          <w:noProof/>
        </w:rPr>
        <w:fldChar w:fldCharType="end"/>
      </w:r>
      <w:r w:rsidRPr="009345F3">
        <w:t>.  By that action the applicant sought to challenge the amount of compensation awarded to him for the compulsory transfer of his shares to the majority shareholder, arguing that it had been determined unlawfully (see</w:t>
      </w:r>
      <w:r w:rsidRPr="009345F3" w:rsidR="00215193">
        <w:t> </w:t>
      </w:r>
      <w:r w:rsidRPr="009345F3">
        <w:t xml:space="preserve">paragraph </w:t>
      </w:r>
      <w:r w:rsidRPr="009345F3">
        <w:fldChar w:fldCharType="begin"/>
      </w:r>
      <w:r w:rsidRPr="009345F3">
        <w:instrText xml:space="preserve">REF paragraph00008 \h \* CharFormat </w:instrText>
      </w:r>
      <w:r w:rsidRPr="009345F3">
        <w:fldChar w:fldCharType="separate"/>
      </w:r>
      <w:r w:rsidRPr="009345F3" w:rsidR="009345F3">
        <w:t>8</w:t>
      </w:r>
      <w:r w:rsidRPr="009345F3">
        <w:fldChar w:fldCharType="end"/>
      </w:r>
      <w:r w:rsidRPr="009345F3">
        <w:t xml:space="preserve"> above). The Government did not argue that, under the domestic law, the applicant had not had a right to such a compensation or that that right was not “civil” within the meaning of Article 6 § 1 of the Convention. Nor did they argue (unlike the administrative courts, see</w:t>
      </w:r>
      <w:r w:rsidRPr="009345F3" w:rsidR="00D66F43">
        <w:t> </w:t>
      </w:r>
      <w:r w:rsidRPr="009345F3">
        <w:t xml:space="preserve">paragraph </w:t>
      </w:r>
      <w:r w:rsidRPr="009345F3">
        <w:fldChar w:fldCharType="begin"/>
      </w:r>
      <w:r w:rsidRPr="009345F3">
        <w:instrText xml:space="preserve"> REF paragraph00010 \h  \* CharFormat </w:instrText>
      </w:r>
      <w:r w:rsidRPr="009345F3">
        <w:fldChar w:fldCharType="separate"/>
      </w:r>
      <w:r w:rsidRPr="009345F3" w:rsidR="009345F3">
        <w:t>10</w:t>
      </w:r>
      <w:r w:rsidRPr="009345F3">
        <w:fldChar w:fldCharType="end"/>
      </w:r>
      <w:r w:rsidRPr="009345F3">
        <w:t xml:space="preserve"> above) that the Agency</w:t>
      </w:r>
      <w:r w:rsidRPr="009345F3" w:rsidR="009345F3">
        <w:t>’</w:t>
      </w:r>
      <w:r w:rsidRPr="009345F3">
        <w:t xml:space="preserve">s decision did not entail the </w:t>
      </w:r>
      <w:r w:rsidRPr="009345F3">
        <w:t>determination of that right. Having regard to its case-law on the matter (see</w:t>
      </w:r>
      <w:r w:rsidRPr="009345F3" w:rsidR="00BA6B53">
        <w:t xml:space="preserve"> </w:t>
      </w:r>
      <w:r w:rsidRPr="009345F3">
        <w:rPr>
          <w:i/>
          <w:iCs/>
        </w:rPr>
        <w:t>Kohlhofer and Minarik v. the Czech Republic</w:t>
      </w:r>
      <w:r w:rsidRPr="009345F3">
        <w:t>, nos. 32921/03 and 2</w:t>
      </w:r>
      <w:r w:rsidRPr="009345F3" w:rsidR="00BA6B53">
        <w:t> </w:t>
      </w:r>
      <w:r w:rsidRPr="009345F3">
        <w:t>others, §</w:t>
      </w:r>
      <w:r w:rsidRPr="009345F3" w:rsidR="00BA6B53">
        <w:t> </w:t>
      </w:r>
      <w:r w:rsidRPr="009345F3">
        <w:t>81, 15 October 2009), the Court sees no reason to hold otherwise.</w:t>
      </w:r>
    </w:p>
    <w:p w:rsidRPr="009345F3" w:rsidR="00373F2B" w:rsidP="009345F3" w14:paraId="4C5BAB09" w14:textId="063468F5">
      <w:pPr>
        <w:pStyle w:val="JuPara"/>
      </w:pPr>
      <w:r>
        <w:fldChar w:fldCharType="begin"/>
      </w:r>
      <w:r>
        <w:instrText xml:space="preserve"> SEQ level0 \*arabic \* MERGEFORMAT </w:instrText>
      </w:r>
      <w:r>
        <w:fldChar w:fldCharType="separate"/>
      </w:r>
      <w:r w:rsidRPr="009345F3" w:rsidR="009345F3">
        <w:rPr>
          <w:noProof/>
        </w:rPr>
        <w:t>17</w:t>
      </w:r>
      <w:r w:rsidRPr="009345F3" w:rsidR="009345F3">
        <w:rPr>
          <w:noProof/>
        </w:rPr>
        <w:fldChar w:fldCharType="end"/>
      </w:r>
      <w:r w:rsidRPr="009345F3">
        <w:t>.  The Government</w:t>
      </w:r>
      <w:r w:rsidRPr="009345F3" w:rsidR="009345F3">
        <w:t>’</w:t>
      </w:r>
      <w:r w:rsidRPr="009345F3">
        <w:t>s objection as to the applicability of Article 6 § 1 of the Convention must therefore be rejected.</w:t>
      </w:r>
    </w:p>
    <w:p w:rsidRPr="009345F3" w:rsidR="00373F2B" w:rsidP="009345F3" w14:paraId="73BD5088" w14:textId="77777777">
      <w:pPr>
        <w:pStyle w:val="JuHA"/>
      </w:pPr>
      <w:r w:rsidRPr="009345F3">
        <w:t>Non-exhaustion of domestic remedies</w:t>
      </w:r>
    </w:p>
    <w:p w:rsidRPr="009345F3" w:rsidR="00373F2B" w:rsidP="009345F3" w14:paraId="40C7708F" w14:textId="16689175">
      <w:pPr>
        <w:pStyle w:val="JuPara"/>
      </w:pPr>
      <w:r>
        <w:fldChar w:fldCharType="begin"/>
      </w:r>
      <w:r>
        <w:instrText xml:space="preserve"> SEQ level0 \*arabic \* MERGEFORMAT </w:instrText>
      </w:r>
      <w:r>
        <w:fldChar w:fldCharType="separate"/>
      </w:r>
      <w:r w:rsidRPr="009345F3" w:rsidR="009345F3">
        <w:rPr>
          <w:noProof/>
        </w:rPr>
        <w:t>18</w:t>
      </w:r>
      <w:r w:rsidRPr="009345F3" w:rsidR="009345F3">
        <w:rPr>
          <w:noProof/>
        </w:rPr>
        <w:fldChar w:fldCharType="end"/>
      </w:r>
      <w:r w:rsidRPr="009345F3">
        <w:t>.  The Government argued, in the alternative, that the applicant had failed to properly exhaust domestic remedies, in that in his constitutional complaint he had merely alleged a violation of the right of access to a court, without advancing any specific arguments as to why that right had been violated.</w:t>
      </w:r>
    </w:p>
    <w:p w:rsidRPr="009345F3" w:rsidR="00373F2B" w:rsidP="009345F3" w14:paraId="3E36013B" w14:textId="5986E1B0">
      <w:pPr>
        <w:pStyle w:val="JuPara"/>
      </w:pPr>
      <w:r>
        <w:fldChar w:fldCharType="begin"/>
      </w:r>
      <w:r>
        <w:instrText xml:space="preserve"> SEQ level0 \*arabic \* MERGEFORMAT </w:instrText>
      </w:r>
      <w:r>
        <w:fldChar w:fldCharType="separate"/>
      </w:r>
      <w:r w:rsidRPr="009345F3" w:rsidR="009345F3">
        <w:rPr>
          <w:noProof/>
        </w:rPr>
        <w:t>19</w:t>
      </w:r>
      <w:r w:rsidRPr="009345F3" w:rsidR="009345F3">
        <w:rPr>
          <w:noProof/>
        </w:rPr>
        <w:fldChar w:fldCharType="end"/>
      </w:r>
      <w:r w:rsidRPr="009345F3">
        <w:t xml:space="preserve">.  Having regard to the way in which the applicant complained before the Constitutional Court and before the Court (see paragraphs </w:t>
      </w:r>
      <w:r w:rsidRPr="009345F3">
        <w:fldChar w:fldCharType="begin"/>
      </w:r>
      <w:r w:rsidRPr="009345F3">
        <w:instrText xml:space="preserve"> REF paragraph00011 \h  \* CharFormat </w:instrText>
      </w:r>
      <w:r w:rsidRPr="009345F3">
        <w:fldChar w:fldCharType="separate"/>
      </w:r>
      <w:r w:rsidRPr="009345F3" w:rsidR="009345F3">
        <w:t>11</w:t>
      </w:r>
      <w:r w:rsidRPr="009345F3">
        <w:fldChar w:fldCharType="end"/>
      </w:r>
      <w:r w:rsidRPr="009345F3">
        <w:t xml:space="preserve"> and </w:t>
      </w:r>
      <w:r w:rsidRPr="009345F3">
        <w:fldChar w:fldCharType="begin"/>
      </w:r>
      <w:r w:rsidRPr="009345F3">
        <w:instrText xml:space="preserve"> REF paragraph00013 \h  \* CharFormat </w:instrText>
      </w:r>
      <w:r w:rsidRPr="009345F3">
        <w:fldChar w:fldCharType="separate"/>
      </w:r>
      <w:r w:rsidRPr="009345F3" w:rsidR="009345F3">
        <w:t>13</w:t>
      </w:r>
      <w:r w:rsidRPr="009345F3">
        <w:fldChar w:fldCharType="end"/>
      </w:r>
      <w:r w:rsidRPr="009345F3">
        <w:t xml:space="preserve"> above), the Court considers that in his constitutional complaint the applicant complained of a violation of his right of access to a court with sufficient precision and in a manner which leaves no doubt that the same complaint was subsequently submitted to the Court (compare, </w:t>
      </w:r>
      <w:r w:rsidRPr="009345F3">
        <w:rPr>
          <w:i/>
          <w:iCs/>
        </w:rPr>
        <w:t>a fortiori</w:t>
      </w:r>
      <w:r w:rsidRPr="009345F3">
        <w:t xml:space="preserve">, </w:t>
      </w:r>
      <w:bookmarkStart w:name="_cl42513THECOURTSASSESSMENT" w:id="10"/>
      <w:r w:rsidRPr="009345F3">
        <w:rPr>
          <w:i/>
          <w:iCs/>
        </w:rPr>
        <w:t>Mesić v. Croatia (no. 2)</w:t>
      </w:r>
      <w:bookmarkEnd w:id="10"/>
      <w:r w:rsidRPr="009345F3">
        <w:t>, no. 45066/17, §§ 44-47, 30 May 2023). He thereby provided the national authorities with a sufficient opportunity of putting right the violation alleged.</w:t>
      </w:r>
    </w:p>
    <w:p w:rsidRPr="009345F3" w:rsidR="00373F2B" w:rsidP="009345F3" w14:paraId="38DA01C3" w14:textId="78243CB7">
      <w:pPr>
        <w:pStyle w:val="JuPara"/>
      </w:pPr>
      <w:r>
        <w:fldChar w:fldCharType="begin"/>
      </w:r>
      <w:r>
        <w:instrText xml:space="preserve"> SEQ level0 \*arabic \* MERGEFORMAT </w:instrText>
      </w:r>
      <w:r>
        <w:fldChar w:fldCharType="separate"/>
      </w:r>
      <w:r w:rsidRPr="009345F3" w:rsidR="009345F3">
        <w:rPr>
          <w:noProof/>
        </w:rPr>
        <w:t>20</w:t>
      </w:r>
      <w:r w:rsidRPr="009345F3" w:rsidR="009345F3">
        <w:rPr>
          <w:noProof/>
        </w:rPr>
        <w:fldChar w:fldCharType="end"/>
      </w:r>
      <w:r w:rsidRPr="009345F3">
        <w:t>.  The Government</w:t>
      </w:r>
      <w:r w:rsidRPr="009345F3" w:rsidR="009345F3">
        <w:t>’</w:t>
      </w:r>
      <w:r w:rsidRPr="009345F3">
        <w:t>s objection based on non-exhaustion of domestic remedies must therefore also be rejected.</w:t>
      </w:r>
    </w:p>
    <w:p w:rsidRPr="009345F3" w:rsidR="00373F2B" w:rsidP="009345F3" w14:paraId="1E825AB4" w14:textId="77777777">
      <w:pPr>
        <w:pStyle w:val="JuHA"/>
      </w:pPr>
      <w:r w:rsidRPr="009345F3">
        <w:t>Conclusion as to the admissibility</w:t>
      </w:r>
    </w:p>
    <w:p w:rsidRPr="009345F3" w:rsidR="00373F2B" w:rsidP="009345F3" w14:paraId="09DE5C19" w14:textId="1334EEA0">
      <w:pPr>
        <w:pStyle w:val="JuPara"/>
      </w:pPr>
      <w:r>
        <w:fldChar w:fldCharType="begin"/>
      </w:r>
      <w:r>
        <w:instrText xml:space="preserve"> SEQ level0 \*arabic \* MERGEFORMAT </w:instrText>
      </w:r>
      <w:r>
        <w:fldChar w:fldCharType="separate"/>
      </w:r>
      <w:r w:rsidRPr="009345F3" w:rsidR="009345F3">
        <w:rPr>
          <w:noProof/>
        </w:rPr>
        <w:t>21</w:t>
      </w:r>
      <w:r w:rsidRPr="009345F3" w:rsidR="009345F3">
        <w:rPr>
          <w:noProof/>
        </w:rPr>
        <w:fldChar w:fldCharType="end"/>
      </w:r>
      <w:r w:rsidRPr="009345F3">
        <w:t>.  The Court notes that the present application is not manifestly ill</w:t>
      </w:r>
      <w:r w:rsidRPr="009345F3" w:rsidR="000237DC">
        <w:noBreakHyphen/>
      </w:r>
      <w:r w:rsidRPr="009345F3">
        <w:t>founded within the meaning of Article 35 § 3 (a) of the Convention or inadmissible on any other grounds. It must therefore be declared admissible.</w:t>
      </w:r>
    </w:p>
    <w:p w:rsidRPr="009345F3" w:rsidR="00373F2B" w:rsidP="009345F3" w14:paraId="327FE11B" w14:textId="77777777">
      <w:pPr>
        <w:pStyle w:val="JuHIRoman"/>
      </w:pPr>
      <w:r w:rsidRPr="009345F3">
        <w:t>MERITS</w:t>
      </w:r>
    </w:p>
    <w:p w:rsidRPr="009345F3" w:rsidR="00373F2B" w:rsidP="009345F3" w14:paraId="6EEBA139" w14:textId="5FB6B9E2">
      <w:pPr>
        <w:pStyle w:val="JuPara"/>
      </w:pPr>
      <w:r>
        <w:fldChar w:fldCharType="begin"/>
      </w:r>
      <w:r>
        <w:instrText xml:space="preserve"> SEQ level0 \*arabic \* MERGEFORMAT </w:instrText>
      </w:r>
      <w:r>
        <w:fldChar w:fldCharType="separate"/>
      </w:r>
      <w:r w:rsidRPr="009345F3" w:rsidR="009345F3">
        <w:rPr>
          <w:noProof/>
        </w:rPr>
        <w:t>22</w:t>
      </w:r>
      <w:r w:rsidRPr="009345F3" w:rsidR="009345F3">
        <w:rPr>
          <w:noProof/>
        </w:rPr>
        <w:fldChar w:fldCharType="end"/>
      </w:r>
      <w:r w:rsidRPr="009345F3">
        <w:t>.  The general principles concerning the right of access to a court have been summarized in</w:t>
      </w:r>
      <w:bookmarkStart w:name="_cl40008THECOURTSASSESSMENT" w:id="11"/>
      <w:r w:rsidRPr="009345F3">
        <w:t xml:space="preserve"> </w:t>
      </w:r>
      <w:r w:rsidRPr="009345F3">
        <w:rPr>
          <w:i/>
          <w:iCs/>
        </w:rPr>
        <w:t>Zubac v. Croatia</w:t>
      </w:r>
      <w:bookmarkEnd w:id="11"/>
      <w:r w:rsidRPr="009345F3">
        <w:t xml:space="preserve"> [GC], no. 40160/12, §§ 76-79, 5 April 2018. In particular, Article 6 § 1 secures to everyone the right to have a claim relating to his civil rights and obligations brought before a court. That right is not absolute and may be subject to limitations. Nevertheless, the limitations applied must not restrict the access left to the individual in such a way or to such an extent that the very essence of the right is impaired (ibid., §§ 76 and</w:t>
      </w:r>
      <w:r w:rsidRPr="009345F3" w:rsidR="009345F3">
        <w:t> </w:t>
      </w:r>
      <w:r w:rsidRPr="009345F3">
        <w:t>78).</w:t>
      </w:r>
    </w:p>
    <w:p w:rsidRPr="009345F3" w:rsidR="00373F2B" w:rsidP="009345F3" w14:paraId="6094EE6F" w14:textId="460FED4F">
      <w:pPr>
        <w:pStyle w:val="JuPara"/>
      </w:pPr>
      <w:r>
        <w:fldChar w:fldCharType="begin"/>
      </w:r>
      <w:r>
        <w:instrText xml:space="preserve"> SEQ level0 \*arabic \* MERGEFORMAT </w:instrText>
      </w:r>
      <w:r>
        <w:fldChar w:fldCharType="separate"/>
      </w:r>
      <w:r w:rsidRPr="009345F3" w:rsidR="009345F3">
        <w:rPr>
          <w:noProof/>
        </w:rPr>
        <w:t>23</w:t>
      </w:r>
      <w:r w:rsidRPr="009345F3" w:rsidR="009345F3">
        <w:rPr>
          <w:noProof/>
        </w:rPr>
        <w:fldChar w:fldCharType="end"/>
      </w:r>
      <w:r w:rsidRPr="009345F3">
        <w:t xml:space="preserve">.  In the present case the applicant had no access to a court allowing him to challenge the amount of compensation awarded to him for the compulsory transfer of his shares (see paragraphs </w:t>
      </w:r>
      <w:r w:rsidRPr="009345F3">
        <w:fldChar w:fldCharType="begin"/>
      </w:r>
      <w:r w:rsidRPr="009345F3">
        <w:instrText xml:space="preserve"> REF paragraph00006 \h  \* CharFormat </w:instrText>
      </w:r>
      <w:r w:rsidRPr="009345F3">
        <w:fldChar w:fldCharType="separate"/>
      </w:r>
      <w:r w:rsidRPr="009345F3" w:rsidR="009345F3">
        <w:t>6</w:t>
      </w:r>
      <w:r w:rsidRPr="009345F3">
        <w:fldChar w:fldCharType="end"/>
      </w:r>
      <w:r w:rsidRPr="009345F3">
        <w:t>-</w:t>
      </w:r>
      <w:r w:rsidRPr="009345F3">
        <w:fldChar w:fldCharType="begin"/>
      </w:r>
      <w:r w:rsidRPr="009345F3">
        <w:instrText xml:space="preserve"> REF paragraph00012 \h  \* CharFormat </w:instrText>
      </w:r>
      <w:r w:rsidRPr="009345F3">
        <w:fldChar w:fldCharType="separate"/>
      </w:r>
      <w:r w:rsidRPr="009345F3" w:rsidR="009345F3">
        <w:t>12</w:t>
      </w:r>
      <w:r w:rsidRPr="009345F3">
        <w:fldChar w:fldCharType="end"/>
      </w:r>
      <w:r w:rsidRPr="009345F3">
        <w:t xml:space="preserve"> above). The Government did not </w:t>
      </w:r>
      <w:r w:rsidRPr="009345F3">
        <w:t>contest that but argued, instead, that this complete lack of access to a court was justified by the legitimate aim of guaranteeing the proper administration of justice and the protection of the rights of others.</w:t>
      </w:r>
    </w:p>
    <w:p w:rsidRPr="009345F3" w:rsidR="00373F2B" w:rsidP="009345F3" w14:paraId="4C8BF35D" w14:textId="5301D349">
      <w:pPr>
        <w:pStyle w:val="JuPara"/>
      </w:pPr>
      <w:r>
        <w:fldChar w:fldCharType="begin"/>
      </w:r>
      <w:r>
        <w:instrText xml:space="preserve"> SEQ level0 \*arabic \* MERGEFORMAT </w:instrText>
      </w:r>
      <w:r>
        <w:fldChar w:fldCharType="separate"/>
      </w:r>
      <w:r w:rsidRPr="009345F3" w:rsidR="009345F3">
        <w:rPr>
          <w:noProof/>
        </w:rPr>
        <w:t>24</w:t>
      </w:r>
      <w:r w:rsidRPr="009345F3" w:rsidR="009345F3">
        <w:rPr>
          <w:noProof/>
        </w:rPr>
        <w:fldChar w:fldCharType="end"/>
      </w:r>
      <w:r w:rsidRPr="009345F3">
        <w:t>.  In determining whether the exclusion of the applicant</w:t>
      </w:r>
      <w:r w:rsidRPr="009345F3" w:rsidR="009345F3">
        <w:t>’</w:t>
      </w:r>
      <w:r w:rsidRPr="009345F3">
        <w:t>s right of access to a court could be considered as proportionate in order to pursue these two aims, the Court takes note of the fact that the relevant provisions of the Takeover Act are based on and transpose into the Croatian legal system the Directive 2004/25/EC of the European Parliament and of the Council of 21 April 2004 on takeover bids (the “Directive”). Recital 8 of the Directive sets out that, in accordance with the right to a fair hearing, decisions of a supervisory authority – i.e. the authority supervising the aspects of bids that are governed by the Directive and ensuring that parties to takeover bids comply with the rules thereof – should in appropriate circumstances be susceptible to review by an independent court or tribunal.</w:t>
      </w:r>
    </w:p>
    <w:p w:rsidRPr="009345F3" w:rsidR="00373F2B" w:rsidP="009345F3" w14:paraId="300404DD" w14:textId="6FFE32C8">
      <w:pPr>
        <w:pStyle w:val="JuPara"/>
      </w:pPr>
      <w:r>
        <w:fldChar w:fldCharType="begin"/>
      </w:r>
      <w:r>
        <w:instrText xml:space="preserve"> SEQ level0 \*arabic \* MERGEFORMAT </w:instrText>
      </w:r>
      <w:r>
        <w:fldChar w:fldCharType="separate"/>
      </w:r>
      <w:r w:rsidRPr="009345F3" w:rsidR="009345F3">
        <w:rPr>
          <w:noProof/>
        </w:rPr>
        <w:t>25</w:t>
      </w:r>
      <w:r w:rsidRPr="009345F3" w:rsidR="009345F3">
        <w:rPr>
          <w:noProof/>
        </w:rPr>
        <w:fldChar w:fldCharType="end"/>
      </w:r>
      <w:r w:rsidRPr="009345F3">
        <w:t>.  More importantly, as the Court</w:t>
      </w:r>
      <w:r w:rsidRPr="009345F3" w:rsidR="009345F3">
        <w:t>’</w:t>
      </w:r>
      <w:r w:rsidRPr="009345F3">
        <w:t xml:space="preserve">s own case-law under Article 6 § 1 of the Convention bears out, in the cases concerning the compensation to be paid to minority shareholders who were deprived of their shares in favour of the majority shareholder, a complete denial of their right of access to a court cannot be justified (see, for example, </w:t>
      </w:r>
      <w:r w:rsidRPr="009345F3">
        <w:rPr>
          <w:i/>
          <w:iCs/>
        </w:rPr>
        <w:t>Suda v. the Czech Republic</w:t>
      </w:r>
      <w:r w:rsidRPr="009345F3">
        <w:t>, no. 1643/06, §§ 48-55, 28 October 2010, where the Court held that the applicant</w:t>
      </w:r>
      <w:r w:rsidRPr="009345F3" w:rsidR="009345F3">
        <w:t>’</w:t>
      </w:r>
      <w:r w:rsidRPr="009345F3">
        <w:t>s obligation to submit his pecuniary claim to arbitration bodies that did not meet the fundamental guarantees of Article 6 § 1, without his having waived those guarantees, amounted to a violation of his right to a court; compare also the judgment of the Court of Justice of the European Union of 9</w:t>
      </w:r>
      <w:r w:rsidRPr="009345F3" w:rsidR="00BA6B53">
        <w:t> </w:t>
      </w:r>
      <w:r w:rsidRPr="009345F3">
        <w:t xml:space="preserve">September 2021 in </w:t>
      </w:r>
      <w:r w:rsidRPr="009345F3">
        <w:rPr>
          <w:i/>
          <w:iCs/>
        </w:rPr>
        <w:t>Adler Real Estate and Others</w:t>
      </w:r>
      <w:r w:rsidRPr="009345F3">
        <w:t>, C-546/18, EU:C:2021:711, §§ 53 and 63-68, concerning the application of the Directive).</w:t>
      </w:r>
    </w:p>
    <w:p w:rsidRPr="009345F3" w:rsidR="00373F2B" w:rsidP="009345F3" w14:paraId="253B501A" w14:textId="40615788">
      <w:pPr>
        <w:pStyle w:val="JuPara"/>
      </w:pPr>
      <w:r>
        <w:fldChar w:fldCharType="begin"/>
      </w:r>
      <w:r>
        <w:instrText xml:space="preserve"> SEQ level0 \*arabic \* MERGEFORMAT </w:instrText>
      </w:r>
      <w:r>
        <w:fldChar w:fldCharType="separate"/>
      </w:r>
      <w:r w:rsidRPr="009345F3" w:rsidR="009345F3">
        <w:rPr>
          <w:noProof/>
        </w:rPr>
        <w:t>26</w:t>
      </w:r>
      <w:r w:rsidRPr="009345F3" w:rsidR="009345F3">
        <w:rPr>
          <w:noProof/>
        </w:rPr>
        <w:fldChar w:fldCharType="end"/>
      </w:r>
      <w:r w:rsidRPr="009345F3">
        <w:t>.  In light of the above, the Court finds that, in the present case, the complete denial of the applicant</w:t>
      </w:r>
      <w:r w:rsidRPr="009345F3" w:rsidR="009345F3">
        <w:t>’</w:t>
      </w:r>
      <w:r w:rsidRPr="009345F3">
        <w:t>s right of access to a court was not justified by the legitimate aim of guaranteeing the proper administration of justice and the protection of the rights of others.</w:t>
      </w:r>
    </w:p>
    <w:p w:rsidRPr="009345F3" w:rsidR="00373F2B" w:rsidP="009345F3" w14:paraId="6F7CC9AA" w14:textId="4664FA79">
      <w:pPr>
        <w:pStyle w:val="JuPara"/>
      </w:pPr>
      <w:r>
        <w:fldChar w:fldCharType="begin"/>
      </w:r>
      <w:r>
        <w:instrText xml:space="preserve"> SEQ level0 \*arabic \* MERGEFORMAT </w:instrText>
      </w:r>
      <w:r>
        <w:fldChar w:fldCharType="separate"/>
      </w:r>
      <w:r w:rsidRPr="009345F3" w:rsidR="009345F3">
        <w:rPr>
          <w:noProof/>
        </w:rPr>
        <w:t>27</w:t>
      </w:r>
      <w:r w:rsidRPr="009345F3" w:rsidR="009345F3">
        <w:rPr>
          <w:noProof/>
        </w:rPr>
        <w:fldChar w:fldCharType="end"/>
      </w:r>
      <w:r w:rsidRPr="009345F3">
        <w:t>.  There has accordingly been a violation of Article 6 § 1 of the Convention.</w:t>
      </w:r>
    </w:p>
    <w:p w:rsidRPr="009345F3" w:rsidR="00373F2B" w:rsidP="009345F3" w14:paraId="21515EE5" w14:textId="77777777">
      <w:pPr>
        <w:pStyle w:val="JuHHead"/>
      </w:pPr>
      <w:r w:rsidRPr="009345F3">
        <w:t>APPLICATION OF ARTICLE 41 OF THE CONVENTION</w:t>
      </w:r>
    </w:p>
    <w:p w:rsidRPr="009345F3" w:rsidR="00373F2B" w:rsidP="009345F3" w14:paraId="49B22C77" w14:textId="11A10EEF">
      <w:pPr>
        <w:pStyle w:val="JuPara"/>
      </w:pPr>
      <w:r>
        <w:fldChar w:fldCharType="begin"/>
      </w:r>
      <w:r>
        <w:instrText xml:space="preserve"> SEQ level0 \*arabic \* MERGEFORMAT </w:instrText>
      </w:r>
      <w:r>
        <w:fldChar w:fldCharType="separate"/>
      </w:r>
      <w:r w:rsidRPr="009345F3" w:rsidR="009345F3">
        <w:rPr>
          <w:noProof/>
        </w:rPr>
        <w:t>28</w:t>
      </w:r>
      <w:r w:rsidRPr="009345F3" w:rsidR="009345F3">
        <w:rPr>
          <w:noProof/>
        </w:rPr>
        <w:fldChar w:fldCharType="end"/>
      </w:r>
      <w:r w:rsidRPr="009345F3">
        <w:t>.  The applicant claimed pecuniary damage in the amount of EUR 19,500, corresponding to the difference in the amount of compensation paid and the amount of compensation calculated on the basis of the reassessed value of his shares, together with interest on that amount accrued since 13 May 2016. He also claimed non-pecuniary damage in the amount of EUR 6,000. Lastly, he claimed EUR 3,220 in total in respect of costs and expenses incurred before the domestic courts and the Court.</w:t>
      </w:r>
    </w:p>
    <w:p w:rsidRPr="009345F3" w:rsidR="00373F2B" w:rsidP="009345F3" w14:paraId="5360B0B0" w14:textId="13798221">
      <w:pPr>
        <w:pStyle w:val="JuPara"/>
      </w:pPr>
      <w:r>
        <w:fldChar w:fldCharType="begin"/>
      </w:r>
      <w:r>
        <w:instrText xml:space="preserve"> SEQ level0 \*arabic \* MERGEFORMAT </w:instrText>
      </w:r>
      <w:r>
        <w:fldChar w:fldCharType="separate"/>
      </w:r>
      <w:r w:rsidRPr="009345F3" w:rsidR="009345F3">
        <w:rPr>
          <w:noProof/>
        </w:rPr>
        <w:t>29</w:t>
      </w:r>
      <w:r w:rsidRPr="009345F3" w:rsidR="009345F3">
        <w:rPr>
          <w:noProof/>
        </w:rPr>
        <w:fldChar w:fldCharType="end"/>
      </w:r>
      <w:r w:rsidRPr="009345F3">
        <w:t>.  The Government contested these claims.</w:t>
      </w:r>
    </w:p>
    <w:p w:rsidRPr="009345F3" w:rsidR="00373F2B" w:rsidP="009345F3" w14:paraId="3F673983" w14:textId="3659AEA8">
      <w:pPr>
        <w:pStyle w:val="JuPara"/>
      </w:pPr>
      <w:r>
        <w:fldChar w:fldCharType="begin"/>
      </w:r>
      <w:r>
        <w:instrText xml:space="preserve"> SEQ level0 \*arabic \* MERGEFORMAT </w:instrText>
      </w:r>
      <w:r>
        <w:fldChar w:fldCharType="separate"/>
      </w:r>
      <w:r w:rsidRPr="009345F3" w:rsidR="009345F3">
        <w:rPr>
          <w:noProof/>
        </w:rPr>
        <w:t>30</w:t>
      </w:r>
      <w:r w:rsidRPr="009345F3" w:rsidR="009345F3">
        <w:rPr>
          <w:noProof/>
        </w:rPr>
        <w:fldChar w:fldCharType="end"/>
      </w:r>
      <w:r w:rsidRPr="009345F3">
        <w:t>.  Since in the present case the Court found a violation of Article 6 § 1 of the Convention on account of the lack of access to a court, it cannot speculate as to what the eventual result might have been if the applicant had been able to effectively challenge the amount of compensation awarded to him. Having regard to the possibility under domestic law for the applicant to seek the reopening of the judicial review proceedings, the Court rejects the applicant</w:t>
      </w:r>
      <w:r w:rsidRPr="009345F3" w:rsidR="009345F3">
        <w:t>’</w:t>
      </w:r>
      <w:r w:rsidRPr="009345F3">
        <w:t xml:space="preserve">s claim in respect of pecuniary damage (see, </w:t>
      </w:r>
      <w:r w:rsidRPr="009345F3">
        <w:rPr>
          <w:i/>
          <w:iCs/>
        </w:rPr>
        <w:t>mutatis mutandis</w:t>
      </w:r>
      <w:r w:rsidRPr="009345F3">
        <w:t xml:space="preserve">, </w:t>
      </w:r>
      <w:bookmarkStart w:name="_cl40162APPLICATIONOFARTICLE41OFTHECONVE" w:id="12"/>
      <w:r w:rsidRPr="009345F3">
        <w:rPr>
          <w:i/>
          <w:iCs/>
        </w:rPr>
        <w:t>Project-Trade d.o.o. v. Croatia</w:t>
      </w:r>
      <w:bookmarkEnd w:id="12"/>
      <w:r w:rsidRPr="009345F3">
        <w:t>, no. 1920/14, §§ 110-11, 19 November 2020).</w:t>
      </w:r>
    </w:p>
    <w:p w:rsidRPr="009345F3" w:rsidR="00373F2B" w:rsidP="009345F3" w14:paraId="76162DCE" w14:textId="50FE0C67">
      <w:pPr>
        <w:pStyle w:val="JuPara"/>
      </w:pPr>
      <w:r>
        <w:fldChar w:fldCharType="begin"/>
      </w:r>
      <w:r>
        <w:instrText xml:space="preserve"> SEQ level0 \*arabic \* MERGEFORMAT </w:instrText>
      </w:r>
      <w:r>
        <w:fldChar w:fldCharType="separate"/>
      </w:r>
      <w:r w:rsidRPr="009345F3" w:rsidR="009345F3">
        <w:rPr>
          <w:noProof/>
        </w:rPr>
        <w:t>31</w:t>
      </w:r>
      <w:r w:rsidRPr="009345F3" w:rsidR="009345F3">
        <w:rPr>
          <w:noProof/>
        </w:rPr>
        <w:fldChar w:fldCharType="end"/>
      </w:r>
      <w:r w:rsidRPr="009345F3">
        <w:t>.  On the other hand, the Court finds that the applicant must have sustained non-pecuniary damage. Making its assessment on an equitable basis, the Court awards the applicant EUR 4,000, plus any tax that may be chargeable.</w:t>
      </w:r>
    </w:p>
    <w:p w:rsidRPr="009345F3" w:rsidR="00373F2B" w:rsidP="009345F3" w14:paraId="4BE82229" w14:textId="58CB05F6">
      <w:pPr>
        <w:pStyle w:val="JuPara"/>
      </w:pPr>
      <w:r>
        <w:fldChar w:fldCharType="begin"/>
      </w:r>
      <w:r>
        <w:instrText xml:space="preserve"> SEQ level0 \*arabic \* MERGEFORMAT </w:instrText>
      </w:r>
      <w:r>
        <w:fldChar w:fldCharType="separate"/>
      </w:r>
      <w:r w:rsidRPr="009345F3" w:rsidR="009345F3">
        <w:rPr>
          <w:noProof/>
        </w:rPr>
        <w:t>32</w:t>
      </w:r>
      <w:r w:rsidRPr="009345F3" w:rsidR="009345F3">
        <w:rPr>
          <w:noProof/>
        </w:rPr>
        <w:fldChar w:fldCharType="end"/>
      </w:r>
      <w:r w:rsidRPr="009345F3">
        <w:t xml:space="preserve">.  Having regard to the documents in its possession, the Court considers it reasonable to award the applicant EUR 830 for costs and expenses incurred in the proceedings before the Constitutional Court, plus any tax that may be chargeable to him. The remainder of his claim for costs and expenses incurred before the domestic courts must be rejected, given that he will be able to have them reimbursed should the proceedings complained of be reopened (see, for example, </w:t>
      </w:r>
      <w:r w:rsidRPr="009345F3">
        <w:rPr>
          <w:i/>
          <w:iCs/>
        </w:rPr>
        <w:t>Stojanović v. Croatia</w:t>
      </w:r>
      <w:r w:rsidRPr="009345F3">
        <w:t>, no. 23160/09, § 84, 19 September 2013).</w:t>
      </w:r>
    </w:p>
    <w:p w:rsidRPr="009345F3" w:rsidR="00373F2B" w:rsidP="009345F3" w14:paraId="23734F25" w14:textId="1E224D44">
      <w:pPr>
        <w:pStyle w:val="JuPara"/>
      </w:pPr>
      <w:r>
        <w:fldChar w:fldCharType="begin"/>
      </w:r>
      <w:r>
        <w:instrText xml:space="preserve"> SEQ level0 \*arabic \* MERGEFORMAT </w:instrText>
      </w:r>
      <w:r>
        <w:fldChar w:fldCharType="separate"/>
      </w:r>
      <w:r w:rsidRPr="009345F3" w:rsidR="009345F3">
        <w:rPr>
          <w:noProof/>
        </w:rPr>
        <w:t>33</w:t>
      </w:r>
      <w:r w:rsidRPr="009345F3" w:rsidR="009345F3">
        <w:rPr>
          <w:noProof/>
        </w:rPr>
        <w:fldChar w:fldCharType="end"/>
      </w:r>
      <w:r w:rsidRPr="009345F3">
        <w:t>.  As regards the costs and expenses incurred before it, the Court considers it reasonable to award the applicant EUR 1,660, plus any tax that may be chargeable to him.</w:t>
      </w:r>
    </w:p>
    <w:p w:rsidRPr="009345F3" w:rsidR="00373F2B" w:rsidP="009345F3" w14:paraId="19B00686" w14:textId="520F61D4">
      <w:pPr>
        <w:pStyle w:val="JuHHead"/>
      </w:pPr>
      <w:r w:rsidRPr="009345F3">
        <w:t>FOR THESE REASONS, THE COURT, UNANIMOUSLY,</w:t>
      </w:r>
    </w:p>
    <w:p w:rsidRPr="009345F3" w:rsidR="00373F2B" w:rsidP="009345F3" w14:paraId="10F7127B" w14:textId="77777777">
      <w:pPr>
        <w:pStyle w:val="JuList"/>
      </w:pPr>
      <w:r w:rsidRPr="009345F3">
        <w:rPr>
          <w:i/>
        </w:rPr>
        <w:t>Declares</w:t>
      </w:r>
      <w:r w:rsidRPr="009345F3">
        <w:t xml:space="preserve"> the application admissible;</w:t>
      </w:r>
    </w:p>
    <w:p w:rsidRPr="009345F3" w:rsidR="00373F2B" w:rsidP="009345F3" w14:paraId="718CBD51" w14:textId="77777777">
      <w:pPr>
        <w:pStyle w:val="JuList"/>
      </w:pPr>
      <w:r w:rsidRPr="009345F3">
        <w:rPr>
          <w:i/>
        </w:rPr>
        <w:t>Holds</w:t>
      </w:r>
      <w:r w:rsidRPr="009345F3">
        <w:t xml:space="preserve"> that there has been a violation of Article 6 § 1 of the Convention;</w:t>
      </w:r>
    </w:p>
    <w:p w:rsidRPr="009345F3" w:rsidR="00373F2B" w:rsidP="009345F3" w14:paraId="3F47B4F3" w14:textId="315F9C18">
      <w:pPr>
        <w:pStyle w:val="JuList"/>
      </w:pPr>
      <w:r w:rsidRPr="009345F3">
        <w:rPr>
          <w:i/>
          <w:iCs/>
        </w:rPr>
        <w:t>Holds</w:t>
      </w:r>
      <w:r w:rsidRPr="009345F3" w:rsidR="008E1D35">
        <w:rPr>
          <w:i/>
          <w:iCs/>
        </w:rPr>
        <w:t>,</w:t>
      </w:r>
    </w:p>
    <w:p w:rsidRPr="009345F3" w:rsidR="00373F2B" w:rsidP="009345F3" w14:paraId="3CF5B71A" w14:textId="77777777">
      <w:pPr>
        <w:pStyle w:val="JuLista"/>
      </w:pPr>
      <w:r w:rsidRPr="009345F3">
        <w:t>that the respondent State is to pay the applicant, within three months, the following amounts:</w:t>
      </w:r>
    </w:p>
    <w:p w:rsidRPr="009345F3" w:rsidR="00373F2B" w:rsidP="009345F3" w14:paraId="397E3EB5" w14:textId="77777777">
      <w:pPr>
        <w:pStyle w:val="JuListi"/>
      </w:pPr>
      <w:r w:rsidRPr="009345F3">
        <w:t>EUR 4,000 (four thousand euros), plus any tax that may be chargeable, in respect of non-pecuniary damage;</w:t>
      </w:r>
    </w:p>
    <w:p w:rsidRPr="009345F3" w:rsidR="00373F2B" w:rsidP="009345F3" w14:paraId="3B386C90" w14:textId="77777777">
      <w:pPr>
        <w:pStyle w:val="JuListi"/>
      </w:pPr>
      <w:r w:rsidRPr="009345F3">
        <w:t>EUR 2,490 (two thousand four hundred ninety euros), plus any tax that may be chargeable to the applicant, in respect of costs and expenses;</w:t>
      </w:r>
    </w:p>
    <w:p w:rsidRPr="009345F3" w:rsidR="00373F2B" w:rsidP="009345F3" w14:paraId="7EA99CBC" w14:textId="77777777">
      <w:pPr>
        <w:pStyle w:val="JuLista"/>
      </w:pPr>
      <w:r w:rsidRPr="009345F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345F3" w:rsidR="004D0EC7" w:rsidP="009345F3" w14:paraId="4BEEE2FD" w14:textId="4F075C99">
      <w:pPr>
        <w:pStyle w:val="JuList"/>
      </w:pPr>
      <w:r w:rsidRPr="009345F3">
        <w:rPr>
          <w:i/>
        </w:rPr>
        <w:t xml:space="preserve">Dismisses </w:t>
      </w:r>
      <w:r w:rsidRPr="009345F3">
        <w:t>the remainder of the applicant</w:t>
      </w:r>
      <w:r w:rsidRPr="009345F3" w:rsidR="009345F3">
        <w:t>’</w:t>
      </w:r>
      <w:r w:rsidRPr="009345F3">
        <w:t>s claim for just satisfaction.</w:t>
      </w:r>
    </w:p>
    <w:p w:rsidRPr="009345F3" w:rsidR="008E3A08" w:rsidP="009345F3" w14:paraId="2686E625" w14:textId="341947C5">
      <w:pPr>
        <w:pStyle w:val="JuParaLast"/>
      </w:pPr>
      <w:r w:rsidRPr="009345F3">
        <w:t xml:space="preserve">Done in English, and notified in writing on </w:t>
      </w:r>
      <w:r w:rsidRPr="009345F3" w:rsidR="00373F2B">
        <w:rPr>
          <w:rFonts w:ascii="Times New Roman" w:hAnsi="Times New Roman" w:cs="Times New Roman"/>
        </w:rPr>
        <w:t>18 March 2025</w:t>
      </w:r>
      <w:r w:rsidRPr="009345F3">
        <w:t>, pursuant to Rule 77 §§ 2 and 3 of the Rules of Court.</w:t>
      </w:r>
    </w:p>
    <w:p w:rsidRPr="009345F3" w:rsidR="007E79A4" w:rsidP="009345F3" w14:paraId="187DBC61" w14:textId="496AB2EC">
      <w:pPr>
        <w:pStyle w:val="JuSigned"/>
      </w:pPr>
      <w:r w:rsidRPr="009345F3">
        <w:tab/>
      </w:r>
      <w:r w:rsidRPr="009345F3" w:rsidR="00373F2B">
        <w:rPr>
          <w:noProof/>
        </w:rPr>
        <w:t>Dorothee von Arnim</w:t>
      </w:r>
      <w:r w:rsidRPr="009345F3">
        <w:tab/>
      </w:r>
      <w:r w:rsidRPr="009345F3" w:rsidR="00373F2B">
        <w:rPr>
          <w:noProof/>
        </w:rPr>
        <w:t>Gediminas Sagatys</w:t>
      </w:r>
      <w:r w:rsidRPr="009345F3">
        <w:br/>
      </w:r>
      <w:r w:rsidRPr="009345F3">
        <w:tab/>
      </w:r>
      <w:r w:rsidRPr="009345F3" w:rsidR="00373F2B">
        <w:rPr>
          <w:noProof/>
        </w:rPr>
        <w:t>Deputy Registrar</w:t>
      </w:r>
      <w:r w:rsidRPr="009345F3">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F2B" w:rsidRPr="00150BFA" w:rsidP="0020718E" w14:paraId="2EC6D448" w14:textId="103E3F7E">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373F2B" w:rsidP="00AF12C5" w14:paraId="57D9664E" w14:textId="23EE83A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F2B" w:rsidRPr="00150BFA" w:rsidP="0020718E" w14:paraId="6EEF5C3B" w14:textId="08A53F1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373F2B" w:rsidP="009E7A6F" w14:paraId="17B44B55" w14:textId="1C8DD80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E1D6957" w14:textId="215F88C6">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E8BC6D0" w14:textId="7E754421">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F2B" w:rsidRPr="00A45145" w:rsidP="00A45145" w14:paraId="2493C8FF" w14:textId="28466C0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373F2B" w:rsidP="00B14793" w14:paraId="45608613" w14:textId="45CB6DF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3F2B" w:rsidRPr="00A45145" w:rsidP="00A45145" w14:paraId="4DD4A4B7" w14:textId="2A477D6E">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373F2B" w14:paraId="7343A54B" w14:textId="2748AD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1D61A60" w14:textId="4B5A5F7B">
    <w:pPr>
      <w:pStyle w:val="JuHeader"/>
    </w:pPr>
    <w:r>
      <w:t>TADIĆ v. CROATIA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7EDEC65" w14:textId="19424C04">
    <w:pPr>
      <w:pStyle w:val="JuHeader"/>
    </w:pPr>
    <w:r>
      <w:t>TADIĆ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868688600">
    <w:abstractNumId w:val="14"/>
  </w:num>
  <w:num w:numId="3" w16cid:durableId="1776247803">
    <w:abstractNumId w:val="12"/>
  </w:num>
  <w:num w:numId="4" w16cid:durableId="1536887615">
    <w:abstractNumId w:val="11"/>
  </w:num>
  <w:num w:numId="5" w16cid:durableId="365328867">
    <w:abstractNumId w:val="17"/>
  </w:num>
  <w:num w:numId="6" w16cid:durableId="1403526276">
    <w:abstractNumId w:val="7"/>
  </w:num>
  <w:num w:numId="7" w16cid:durableId="947197507">
    <w:abstractNumId w:val="6"/>
  </w:num>
  <w:num w:numId="8" w16cid:durableId="1091782285">
    <w:abstractNumId w:val="5"/>
  </w:num>
  <w:num w:numId="9" w16cid:durableId="1184132793">
    <w:abstractNumId w:val="4"/>
  </w:num>
  <w:num w:numId="10" w16cid:durableId="166944643">
    <w:abstractNumId w:val="8"/>
  </w:num>
  <w:num w:numId="11" w16cid:durableId="1827745335">
    <w:abstractNumId w:val="3"/>
  </w:num>
  <w:num w:numId="12" w16cid:durableId="1074595199">
    <w:abstractNumId w:val="2"/>
  </w:num>
  <w:num w:numId="13" w16cid:durableId="342783590">
    <w:abstractNumId w:val="1"/>
  </w:num>
  <w:num w:numId="14" w16cid:durableId="1762412338">
    <w:abstractNumId w:val="0"/>
  </w:num>
  <w:num w:numId="15" w16cid:durableId="351801217">
    <w:abstractNumId w:val="15"/>
  </w:num>
  <w:num w:numId="16" w16cid:durableId="190386657">
    <w:abstractNumId w:val="13"/>
  </w:num>
  <w:num w:numId="17" w16cid:durableId="609967594">
    <w:abstractNumId w:val="16"/>
  </w:num>
  <w:num w:numId="18" w16cid:durableId="1509128988">
    <w:abstractNumId w:val="15"/>
  </w:num>
  <w:num w:numId="19" w16cid:durableId="594165670">
    <w:abstractNumId w:val="16"/>
  </w:num>
  <w:num w:numId="20" w16cid:durableId="2012223089">
    <w:abstractNumId w:val="10"/>
  </w:num>
  <w:num w:numId="21" w16cid:durableId="130019164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2B"/>
    <w:rsid w:val="000041F8"/>
    <w:rsid w:val="000042A8"/>
    <w:rsid w:val="00004308"/>
    <w:rsid w:val="00005BF0"/>
    <w:rsid w:val="0000617D"/>
    <w:rsid w:val="00007154"/>
    <w:rsid w:val="000103AE"/>
    <w:rsid w:val="00011D69"/>
    <w:rsid w:val="00012AD3"/>
    <w:rsid w:val="00015C2D"/>
    <w:rsid w:val="00015F00"/>
    <w:rsid w:val="0001768D"/>
    <w:rsid w:val="00022C1D"/>
    <w:rsid w:val="000237DC"/>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5193"/>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3F2B"/>
    <w:rsid w:val="003750BE"/>
    <w:rsid w:val="00385A36"/>
    <w:rsid w:val="00385F3D"/>
    <w:rsid w:val="0038740C"/>
    <w:rsid w:val="00387B9D"/>
    <w:rsid w:val="00387C70"/>
    <w:rsid w:val="00390294"/>
    <w:rsid w:val="0039364F"/>
    <w:rsid w:val="00396686"/>
    <w:rsid w:val="00396A72"/>
    <w:rsid w:val="0039778E"/>
    <w:rsid w:val="003B24A9"/>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244"/>
    <w:rsid w:val="0049049B"/>
    <w:rsid w:val="004907F0"/>
    <w:rsid w:val="0049140B"/>
    <w:rsid w:val="004923A5"/>
    <w:rsid w:val="0049310E"/>
    <w:rsid w:val="004950E2"/>
    <w:rsid w:val="00496BFB"/>
    <w:rsid w:val="004A15C7"/>
    <w:rsid w:val="004A3201"/>
    <w:rsid w:val="004A3207"/>
    <w:rsid w:val="004A7044"/>
    <w:rsid w:val="004B013B"/>
    <w:rsid w:val="004B112B"/>
    <w:rsid w:val="004B444E"/>
    <w:rsid w:val="004B6BD1"/>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681"/>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4D7C"/>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1D35"/>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45F3"/>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6B53"/>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24C5"/>
    <w:rsid w:val="00C71424"/>
    <w:rsid w:val="00C74810"/>
    <w:rsid w:val="00C90D68"/>
    <w:rsid w:val="00C939FE"/>
    <w:rsid w:val="00CA4BDA"/>
    <w:rsid w:val="00CB13E3"/>
    <w:rsid w:val="00CB1F66"/>
    <w:rsid w:val="00CB232C"/>
    <w:rsid w:val="00CB2951"/>
    <w:rsid w:val="00CB4277"/>
    <w:rsid w:val="00CB6E36"/>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66F43"/>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0B5B"/>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D9E2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96A72"/>
    <w:rPr>
      <w:sz w:val="24"/>
      <w:szCs w:val="24"/>
      <w:lang w:val="en-GB"/>
    </w:rPr>
  </w:style>
  <w:style w:type="paragraph" w:styleId="Heading1">
    <w:name w:val="heading 1"/>
    <w:basedOn w:val="Normal"/>
    <w:next w:val="Normal"/>
    <w:link w:val="Heading1Char"/>
    <w:uiPriority w:val="98"/>
    <w:semiHidden/>
    <w:rsid w:val="00396A7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96A7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96A7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96A7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96A7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96A7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96A7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96A7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96A7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96A72"/>
    <w:rPr>
      <w:rFonts w:ascii="Tahoma" w:hAnsi="Tahoma" w:cs="Tahoma"/>
      <w:sz w:val="16"/>
      <w:szCs w:val="16"/>
    </w:rPr>
  </w:style>
  <w:style w:type="character" w:customStyle="1" w:styleId="BalloonTextChar">
    <w:name w:val="Balloon Text Char"/>
    <w:basedOn w:val="DefaultParagraphFont"/>
    <w:link w:val="BalloonText"/>
    <w:uiPriority w:val="98"/>
    <w:semiHidden/>
    <w:rsid w:val="00396A72"/>
    <w:rPr>
      <w:rFonts w:ascii="Tahoma" w:hAnsi="Tahoma" w:cs="Tahoma"/>
      <w:sz w:val="16"/>
      <w:szCs w:val="16"/>
      <w:lang w:val="en-GB"/>
    </w:rPr>
  </w:style>
  <w:style w:type="character" w:styleId="BookTitle">
    <w:name w:val="Book Title"/>
    <w:uiPriority w:val="98"/>
    <w:semiHidden/>
    <w:qFormat/>
    <w:rsid w:val="00396A72"/>
    <w:rPr>
      <w:i/>
      <w:iCs/>
      <w:smallCaps/>
      <w:spacing w:val="5"/>
    </w:rPr>
  </w:style>
  <w:style w:type="paragraph" w:customStyle="1" w:styleId="JuHeader">
    <w:name w:val="Ju_Header"/>
    <w:aliases w:val="_Header"/>
    <w:basedOn w:val="Header0"/>
    <w:uiPriority w:val="29"/>
    <w:qFormat/>
    <w:rsid w:val="00396A72"/>
    <w:pPr>
      <w:tabs>
        <w:tab w:val="clear" w:pos="4536"/>
        <w:tab w:val="clear" w:pos="9072"/>
      </w:tabs>
      <w:jc w:val="center"/>
    </w:pPr>
    <w:rPr>
      <w:sz w:val="18"/>
    </w:rPr>
  </w:style>
  <w:style w:type="paragraph" w:customStyle="1" w:styleId="NormalJustified">
    <w:name w:val="Normal_Justified"/>
    <w:basedOn w:val="Normal"/>
    <w:semiHidden/>
    <w:rsid w:val="00396A72"/>
    <w:pPr>
      <w:jc w:val="both"/>
    </w:pPr>
  </w:style>
  <w:style w:type="character" w:styleId="Strong">
    <w:name w:val="Strong"/>
    <w:uiPriority w:val="98"/>
    <w:semiHidden/>
    <w:qFormat/>
    <w:rsid w:val="00396A72"/>
    <w:rPr>
      <w:b/>
      <w:bCs/>
    </w:rPr>
  </w:style>
  <w:style w:type="paragraph" w:styleId="NoSpacing">
    <w:name w:val="No Spacing"/>
    <w:basedOn w:val="Normal"/>
    <w:link w:val="NoSpacingChar"/>
    <w:uiPriority w:val="98"/>
    <w:semiHidden/>
    <w:qFormat/>
    <w:rsid w:val="00396A72"/>
  </w:style>
  <w:style w:type="character" w:customStyle="1" w:styleId="NoSpacingChar">
    <w:name w:val="No Spacing Char"/>
    <w:basedOn w:val="DefaultParagraphFont"/>
    <w:link w:val="NoSpacing"/>
    <w:uiPriority w:val="98"/>
    <w:semiHidden/>
    <w:rsid w:val="00396A72"/>
    <w:rPr>
      <w:sz w:val="24"/>
      <w:szCs w:val="24"/>
      <w:lang w:val="en-GB"/>
    </w:rPr>
  </w:style>
  <w:style w:type="paragraph" w:customStyle="1" w:styleId="JuQuot">
    <w:name w:val="Ju_Quot"/>
    <w:aliases w:val="_Quote"/>
    <w:basedOn w:val="NormalJustified"/>
    <w:uiPriority w:val="20"/>
    <w:qFormat/>
    <w:rsid w:val="00396A72"/>
    <w:pPr>
      <w:spacing w:before="120" w:after="120"/>
      <w:ind w:left="425" w:firstLine="142"/>
    </w:pPr>
    <w:rPr>
      <w:sz w:val="20"/>
    </w:rPr>
  </w:style>
  <w:style w:type="paragraph" w:customStyle="1" w:styleId="DummyStyle">
    <w:name w:val="Dummy_Style"/>
    <w:aliases w:val="_Dummy"/>
    <w:basedOn w:val="Normal"/>
    <w:semiHidden/>
    <w:qFormat/>
    <w:rsid w:val="00396A72"/>
    <w:rPr>
      <w:color w:val="00B050"/>
      <w:sz w:val="22"/>
    </w:rPr>
  </w:style>
  <w:style w:type="paragraph" w:customStyle="1" w:styleId="JuList">
    <w:name w:val="Ju_List"/>
    <w:aliases w:val="_List_1"/>
    <w:basedOn w:val="NormalJustified"/>
    <w:uiPriority w:val="23"/>
    <w:qFormat/>
    <w:rsid w:val="00396A72"/>
    <w:pPr>
      <w:numPr>
        <w:numId w:val="21"/>
      </w:numPr>
      <w:spacing w:before="280" w:after="60"/>
    </w:pPr>
  </w:style>
  <w:style w:type="paragraph" w:customStyle="1" w:styleId="JuLista">
    <w:name w:val="Ju_List_a"/>
    <w:aliases w:val="_List_2"/>
    <w:basedOn w:val="NormalJustified"/>
    <w:uiPriority w:val="23"/>
    <w:rsid w:val="00396A72"/>
    <w:pPr>
      <w:numPr>
        <w:ilvl w:val="1"/>
        <w:numId w:val="21"/>
      </w:numPr>
    </w:pPr>
  </w:style>
  <w:style w:type="paragraph" w:customStyle="1" w:styleId="JuListi">
    <w:name w:val="Ju_List_i"/>
    <w:aliases w:val="_List_3"/>
    <w:basedOn w:val="NormalJustified"/>
    <w:uiPriority w:val="23"/>
    <w:rsid w:val="00396A72"/>
    <w:pPr>
      <w:numPr>
        <w:ilvl w:val="2"/>
        <w:numId w:val="21"/>
      </w:numPr>
    </w:pPr>
  </w:style>
  <w:style w:type="paragraph" w:customStyle="1" w:styleId="JuHArticle">
    <w:name w:val="Ju_H_Article"/>
    <w:aliases w:val="_Title_Quote"/>
    <w:basedOn w:val="Normal"/>
    <w:next w:val="JuQuot"/>
    <w:uiPriority w:val="19"/>
    <w:qFormat/>
    <w:rsid w:val="00396A7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96A7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96A7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96A72"/>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96A72"/>
    <w:pPr>
      <w:numPr>
        <w:numId w:val="15"/>
      </w:numPr>
    </w:pPr>
  </w:style>
  <w:style w:type="paragraph" w:customStyle="1" w:styleId="JuSigned">
    <w:name w:val="Ju_Signed"/>
    <w:aliases w:val="_Signature"/>
    <w:basedOn w:val="Normal"/>
    <w:next w:val="JuPara"/>
    <w:uiPriority w:val="31"/>
    <w:qFormat/>
    <w:rsid w:val="00396A72"/>
    <w:pPr>
      <w:tabs>
        <w:tab w:val="center" w:pos="1418"/>
        <w:tab w:val="center" w:pos="5954"/>
      </w:tabs>
      <w:spacing w:before="720"/>
    </w:pPr>
  </w:style>
  <w:style w:type="paragraph" w:styleId="Title">
    <w:name w:val="Title"/>
    <w:basedOn w:val="Normal"/>
    <w:next w:val="Normal"/>
    <w:link w:val="TitleChar"/>
    <w:uiPriority w:val="98"/>
    <w:semiHidden/>
    <w:qFormat/>
    <w:rsid w:val="00396A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96A7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96A72"/>
    <w:pPr>
      <w:numPr>
        <w:numId w:val="1"/>
      </w:numPr>
    </w:pPr>
  </w:style>
  <w:style w:type="numbering" w:customStyle="1" w:styleId="ECHRA1StyleNumberedList">
    <w:name w:val="ECHR_A1_Style_Numbered_List"/>
    <w:basedOn w:val="NoList"/>
    <w:rsid w:val="00396A72"/>
    <w:pPr>
      <w:numPr>
        <w:numId w:val="17"/>
      </w:numPr>
    </w:pPr>
  </w:style>
  <w:style w:type="table" w:customStyle="1" w:styleId="ECHRTable2019">
    <w:name w:val="ECHR_Table_2019"/>
    <w:basedOn w:val="TableNormal"/>
    <w:uiPriority w:val="99"/>
    <w:rsid w:val="00396A7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96A7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96A7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96A72"/>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96A72"/>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396A72"/>
    <w:pPr>
      <w:tabs>
        <w:tab w:val="center" w:pos="4536"/>
        <w:tab w:val="right" w:pos="9072"/>
      </w:tabs>
    </w:pPr>
  </w:style>
  <w:style w:type="character" w:customStyle="1" w:styleId="HeaderChar">
    <w:name w:val="Header Char"/>
    <w:basedOn w:val="DefaultParagraphFont"/>
    <w:link w:val="Header0"/>
    <w:uiPriority w:val="98"/>
    <w:semiHidden/>
    <w:rsid w:val="00396A72"/>
    <w:rPr>
      <w:sz w:val="24"/>
      <w:szCs w:val="24"/>
      <w:lang w:val="en-GB"/>
    </w:rPr>
  </w:style>
  <w:style w:type="character" w:customStyle="1" w:styleId="Heading1Char">
    <w:name w:val="Heading 1 Char"/>
    <w:basedOn w:val="DefaultParagraphFont"/>
    <w:link w:val="Heading1"/>
    <w:uiPriority w:val="98"/>
    <w:semiHidden/>
    <w:rsid w:val="00396A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96A72"/>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396A7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96A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96A72"/>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96A72"/>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396A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96A72"/>
    <w:pPr>
      <w:keepNext/>
      <w:keepLines/>
      <w:spacing w:before="240" w:after="240"/>
      <w:ind w:firstLine="284"/>
    </w:pPr>
  </w:style>
  <w:style w:type="paragraph" w:customStyle="1" w:styleId="JuJudges">
    <w:name w:val="Ju_Judges"/>
    <w:aliases w:val="_Judges"/>
    <w:basedOn w:val="Normal"/>
    <w:uiPriority w:val="32"/>
    <w:qFormat/>
    <w:rsid w:val="00396A72"/>
    <w:pPr>
      <w:tabs>
        <w:tab w:val="left" w:pos="567"/>
        <w:tab w:val="left" w:pos="1134"/>
      </w:tabs>
    </w:pPr>
  </w:style>
  <w:style w:type="character" w:customStyle="1" w:styleId="Heading4Char">
    <w:name w:val="Heading 4 Char"/>
    <w:basedOn w:val="DefaultParagraphFont"/>
    <w:link w:val="Heading4"/>
    <w:uiPriority w:val="98"/>
    <w:semiHidden/>
    <w:rsid w:val="00396A7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96A72"/>
    <w:pPr>
      <w:tabs>
        <w:tab w:val="center" w:pos="6407"/>
      </w:tabs>
      <w:spacing w:before="720"/>
      <w:jc w:val="right"/>
    </w:pPr>
  </w:style>
  <w:style w:type="character" w:customStyle="1" w:styleId="Heading5Char">
    <w:name w:val="Heading 5 Char"/>
    <w:basedOn w:val="DefaultParagraphFont"/>
    <w:link w:val="Heading5"/>
    <w:uiPriority w:val="98"/>
    <w:semiHidden/>
    <w:rsid w:val="00396A7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96A7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96A72"/>
    <w:rPr>
      <w:caps w:val="0"/>
      <w:smallCaps/>
    </w:rPr>
  </w:style>
  <w:style w:type="character" w:styleId="SubtleEmphasis">
    <w:name w:val="Subtle Emphasis"/>
    <w:uiPriority w:val="98"/>
    <w:semiHidden/>
    <w:qFormat/>
    <w:rsid w:val="00396A72"/>
    <w:rPr>
      <w:i/>
      <w:iCs/>
    </w:rPr>
  </w:style>
  <w:style w:type="table" w:customStyle="1" w:styleId="ECHRTable">
    <w:name w:val="ECHR_Table"/>
    <w:basedOn w:val="TableNormal"/>
    <w:rsid w:val="00396A7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6A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96A72"/>
    <w:rPr>
      <w:b/>
      <w:bCs/>
      <w:i/>
      <w:iCs/>
      <w:spacing w:val="10"/>
      <w:bdr w:val="none" w:sz="0" w:space="0" w:color="auto"/>
      <w:shd w:val="clear" w:color="auto" w:fill="auto"/>
    </w:rPr>
  </w:style>
  <w:style w:type="paragraph" w:styleId="Footer1">
    <w:name w:val="footer"/>
    <w:basedOn w:val="Normal"/>
    <w:link w:val="FooterChar"/>
    <w:uiPriority w:val="98"/>
    <w:semiHidden/>
    <w:rsid w:val="00396A72"/>
    <w:pPr>
      <w:tabs>
        <w:tab w:val="center" w:pos="3686"/>
        <w:tab w:val="right" w:pos="7371"/>
      </w:tabs>
    </w:pPr>
  </w:style>
  <w:style w:type="character" w:customStyle="1" w:styleId="FooterChar">
    <w:name w:val="Footer Char"/>
    <w:basedOn w:val="DefaultParagraphFont"/>
    <w:link w:val="Footer1"/>
    <w:uiPriority w:val="98"/>
    <w:semiHidden/>
    <w:rsid w:val="00396A72"/>
    <w:rPr>
      <w:sz w:val="24"/>
      <w:szCs w:val="24"/>
      <w:lang w:val="en-GB"/>
    </w:rPr>
  </w:style>
  <w:style w:type="character" w:styleId="FootnoteReference">
    <w:name w:val="footnote reference"/>
    <w:basedOn w:val="DefaultParagraphFont"/>
    <w:uiPriority w:val="98"/>
    <w:semiHidden/>
    <w:rsid w:val="00396A72"/>
    <w:rPr>
      <w:vertAlign w:val="superscript"/>
    </w:rPr>
  </w:style>
  <w:style w:type="paragraph" w:styleId="FootnoteText">
    <w:name w:val="footnote text"/>
    <w:basedOn w:val="NormalJustified"/>
    <w:link w:val="FootnoteTextChar"/>
    <w:uiPriority w:val="98"/>
    <w:semiHidden/>
    <w:rsid w:val="00396A72"/>
    <w:rPr>
      <w:sz w:val="20"/>
      <w:szCs w:val="20"/>
    </w:rPr>
  </w:style>
  <w:style w:type="character" w:customStyle="1" w:styleId="FootnoteTextChar">
    <w:name w:val="Footnote Text Char"/>
    <w:basedOn w:val="DefaultParagraphFont"/>
    <w:link w:val="FootnoteText"/>
    <w:uiPriority w:val="98"/>
    <w:semiHidden/>
    <w:rsid w:val="00396A72"/>
    <w:rPr>
      <w:sz w:val="20"/>
      <w:szCs w:val="20"/>
      <w:lang w:val="en-GB"/>
    </w:rPr>
  </w:style>
  <w:style w:type="character" w:customStyle="1" w:styleId="Heading6Char">
    <w:name w:val="Heading 6 Char"/>
    <w:basedOn w:val="DefaultParagraphFont"/>
    <w:link w:val="Heading6"/>
    <w:uiPriority w:val="98"/>
    <w:semiHidden/>
    <w:rsid w:val="00396A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96A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96A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96A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96A72"/>
    <w:rPr>
      <w:color w:val="0072BC" w:themeColor="hyperlink"/>
      <w:u w:val="single"/>
    </w:rPr>
  </w:style>
  <w:style w:type="character" w:styleId="IntenseEmphasis">
    <w:name w:val="Intense Emphasis"/>
    <w:uiPriority w:val="98"/>
    <w:semiHidden/>
    <w:qFormat/>
    <w:rsid w:val="00396A72"/>
    <w:rPr>
      <w:b/>
      <w:bCs/>
    </w:rPr>
  </w:style>
  <w:style w:type="paragraph" w:styleId="IntenseQuote">
    <w:name w:val="Intense Quote"/>
    <w:basedOn w:val="Normal"/>
    <w:next w:val="Normal"/>
    <w:link w:val="IntenseQuoteChar"/>
    <w:uiPriority w:val="98"/>
    <w:semiHidden/>
    <w:qFormat/>
    <w:rsid w:val="00396A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96A72"/>
    <w:rPr>
      <w:b/>
      <w:bCs/>
      <w:i/>
      <w:iCs/>
      <w:sz w:val="24"/>
      <w:szCs w:val="24"/>
      <w:lang w:val="en-GB" w:bidi="en-US"/>
    </w:rPr>
  </w:style>
  <w:style w:type="character" w:styleId="IntenseReference">
    <w:name w:val="Intense Reference"/>
    <w:uiPriority w:val="98"/>
    <w:semiHidden/>
    <w:qFormat/>
    <w:rsid w:val="00396A72"/>
    <w:rPr>
      <w:smallCaps/>
      <w:spacing w:val="5"/>
      <w:u w:val="single"/>
    </w:rPr>
  </w:style>
  <w:style w:type="paragraph" w:styleId="ListParagraph">
    <w:name w:val="List Paragraph"/>
    <w:basedOn w:val="Normal"/>
    <w:uiPriority w:val="98"/>
    <w:semiHidden/>
    <w:qFormat/>
    <w:rsid w:val="00396A72"/>
    <w:pPr>
      <w:ind w:left="720"/>
      <w:contextualSpacing/>
    </w:pPr>
  </w:style>
  <w:style w:type="table" w:customStyle="1" w:styleId="LtrTableAddress">
    <w:name w:val="Ltr_Table_Address"/>
    <w:aliases w:val="ECHR_Ltr_Table_Address"/>
    <w:basedOn w:val="TableNormal"/>
    <w:uiPriority w:val="99"/>
    <w:rsid w:val="00396A72"/>
    <w:rPr>
      <w:sz w:val="24"/>
      <w:szCs w:val="24"/>
    </w:rPr>
    <w:tblPr>
      <w:tblInd w:w="5103" w:type="dxa"/>
    </w:tblPr>
  </w:style>
  <w:style w:type="paragraph" w:styleId="Quote0">
    <w:name w:val="Quote"/>
    <w:basedOn w:val="Normal"/>
    <w:next w:val="Normal"/>
    <w:link w:val="QuoteChar"/>
    <w:uiPriority w:val="98"/>
    <w:semiHidden/>
    <w:qFormat/>
    <w:rsid w:val="00396A72"/>
    <w:pPr>
      <w:spacing w:before="200"/>
      <w:ind w:left="360" w:right="360"/>
    </w:pPr>
    <w:rPr>
      <w:i/>
      <w:iCs/>
      <w:lang w:bidi="en-US"/>
    </w:rPr>
  </w:style>
  <w:style w:type="character" w:customStyle="1" w:styleId="QuoteChar">
    <w:name w:val="Quote Char"/>
    <w:basedOn w:val="DefaultParagraphFont"/>
    <w:link w:val="Quote0"/>
    <w:uiPriority w:val="98"/>
    <w:semiHidden/>
    <w:rsid w:val="00396A72"/>
    <w:rPr>
      <w:i/>
      <w:iCs/>
      <w:sz w:val="24"/>
      <w:szCs w:val="24"/>
      <w:lang w:val="en-GB" w:bidi="en-US"/>
    </w:rPr>
  </w:style>
  <w:style w:type="character" w:styleId="SubtleReference">
    <w:name w:val="Subtle Reference"/>
    <w:uiPriority w:val="98"/>
    <w:semiHidden/>
    <w:qFormat/>
    <w:rsid w:val="00396A72"/>
    <w:rPr>
      <w:smallCaps/>
    </w:rPr>
  </w:style>
  <w:style w:type="table" w:styleId="TableGrid">
    <w:name w:val="Table Grid"/>
    <w:basedOn w:val="TableNormal"/>
    <w:uiPriority w:val="59"/>
    <w:semiHidden/>
    <w:rsid w:val="00396A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96A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96A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96A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96A7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96A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96A7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96A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96A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96A7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6A7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96A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96A7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96A7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96A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96A7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96A72"/>
    <w:pPr>
      <w:numPr>
        <w:numId w:val="2"/>
      </w:numPr>
    </w:pPr>
  </w:style>
  <w:style w:type="paragraph" w:customStyle="1" w:styleId="JuPara">
    <w:name w:val="Ju_Para"/>
    <w:aliases w:val="_Para"/>
    <w:basedOn w:val="NormalJustified"/>
    <w:link w:val="JuParaChar"/>
    <w:uiPriority w:val="4"/>
    <w:qFormat/>
    <w:rsid w:val="00396A72"/>
    <w:pPr>
      <w:ind w:firstLine="284"/>
    </w:pPr>
  </w:style>
  <w:style w:type="numbering" w:styleId="1ai">
    <w:name w:val="Outline List 1"/>
    <w:basedOn w:val="NoList"/>
    <w:uiPriority w:val="99"/>
    <w:semiHidden/>
    <w:unhideWhenUsed/>
    <w:rsid w:val="00396A72"/>
    <w:pPr>
      <w:numPr>
        <w:numId w:val="3"/>
      </w:numPr>
    </w:pPr>
  </w:style>
  <w:style w:type="table" w:customStyle="1" w:styleId="ECHRTableSimpleBox">
    <w:name w:val="ECHR_Table_Simple_Box"/>
    <w:basedOn w:val="TableNormal"/>
    <w:uiPriority w:val="99"/>
    <w:rsid w:val="00396A7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96A7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96A72"/>
    <w:pPr>
      <w:numPr>
        <w:numId w:val="4"/>
      </w:numPr>
    </w:pPr>
  </w:style>
  <w:style w:type="table" w:customStyle="1" w:styleId="ECHRTableForInternalUse">
    <w:name w:val="ECHR_Table_For_Internal_Use"/>
    <w:basedOn w:val="TableNormal"/>
    <w:uiPriority w:val="99"/>
    <w:rsid w:val="00396A7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96A7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96A72"/>
  </w:style>
  <w:style w:type="paragraph" w:styleId="BlockText">
    <w:name w:val="Block Text"/>
    <w:basedOn w:val="Normal"/>
    <w:uiPriority w:val="98"/>
    <w:semiHidden/>
    <w:rsid w:val="00396A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96A7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96A72"/>
    <w:pPr>
      <w:spacing w:after="120"/>
    </w:pPr>
  </w:style>
  <w:style w:type="character" w:customStyle="1" w:styleId="BodyTextChar">
    <w:name w:val="Body Text Char"/>
    <w:basedOn w:val="DefaultParagraphFont"/>
    <w:link w:val="BodyText"/>
    <w:uiPriority w:val="98"/>
    <w:semiHidden/>
    <w:rsid w:val="00396A72"/>
    <w:rPr>
      <w:sz w:val="24"/>
      <w:szCs w:val="24"/>
      <w:lang w:val="en-GB"/>
    </w:rPr>
  </w:style>
  <w:style w:type="table" w:customStyle="1" w:styleId="ECHRTableOddBanded">
    <w:name w:val="ECHR_Table_Odd_Banded"/>
    <w:basedOn w:val="TableNormal"/>
    <w:uiPriority w:val="99"/>
    <w:rsid w:val="00396A7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96A72"/>
    <w:pPr>
      <w:spacing w:after="120" w:line="480" w:lineRule="auto"/>
    </w:pPr>
  </w:style>
  <w:style w:type="table" w:customStyle="1" w:styleId="ECHRHeaderTableReduced">
    <w:name w:val="ECHR_Header_Table_Reduced"/>
    <w:basedOn w:val="TableNormal"/>
    <w:uiPriority w:val="99"/>
    <w:rsid w:val="00396A7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96A72"/>
    <w:pPr>
      <w:ind w:firstLine="284"/>
    </w:pPr>
    <w:rPr>
      <w:b/>
    </w:rPr>
  </w:style>
  <w:style w:type="character" w:styleId="PageNumber">
    <w:name w:val="page number"/>
    <w:uiPriority w:val="98"/>
    <w:semiHidden/>
    <w:rsid w:val="00396A72"/>
    <w:rPr>
      <w:sz w:val="18"/>
    </w:rPr>
  </w:style>
  <w:style w:type="paragraph" w:styleId="ListBullet">
    <w:name w:val="List Bullet"/>
    <w:basedOn w:val="Normal"/>
    <w:uiPriority w:val="98"/>
    <w:semiHidden/>
    <w:rsid w:val="00396A72"/>
    <w:pPr>
      <w:numPr>
        <w:numId w:val="5"/>
      </w:numPr>
    </w:pPr>
  </w:style>
  <w:style w:type="paragraph" w:styleId="ListBullet3">
    <w:name w:val="List Bullet 3"/>
    <w:basedOn w:val="Normal"/>
    <w:uiPriority w:val="98"/>
    <w:semiHidden/>
    <w:rsid w:val="00396A72"/>
    <w:pPr>
      <w:numPr>
        <w:numId w:val="7"/>
      </w:numPr>
      <w:contextualSpacing/>
    </w:pPr>
  </w:style>
  <w:style w:type="character" w:customStyle="1" w:styleId="BodyText2Char">
    <w:name w:val="Body Text 2 Char"/>
    <w:basedOn w:val="DefaultParagraphFont"/>
    <w:link w:val="BodyText2"/>
    <w:uiPriority w:val="98"/>
    <w:semiHidden/>
    <w:rsid w:val="00396A72"/>
    <w:rPr>
      <w:sz w:val="24"/>
      <w:szCs w:val="24"/>
      <w:lang w:val="en-GB"/>
    </w:rPr>
  </w:style>
  <w:style w:type="paragraph" w:styleId="BodyText3">
    <w:name w:val="Body Text 3"/>
    <w:basedOn w:val="Normal"/>
    <w:link w:val="BodyText3Char"/>
    <w:uiPriority w:val="98"/>
    <w:semiHidden/>
    <w:rsid w:val="00396A72"/>
    <w:pPr>
      <w:spacing w:after="120"/>
    </w:pPr>
    <w:rPr>
      <w:sz w:val="16"/>
      <w:szCs w:val="16"/>
    </w:rPr>
  </w:style>
  <w:style w:type="character" w:customStyle="1" w:styleId="BodyText3Char">
    <w:name w:val="Body Text 3 Char"/>
    <w:basedOn w:val="DefaultParagraphFont"/>
    <w:link w:val="BodyText3"/>
    <w:uiPriority w:val="98"/>
    <w:semiHidden/>
    <w:rsid w:val="00396A72"/>
    <w:rPr>
      <w:sz w:val="16"/>
      <w:szCs w:val="16"/>
      <w:lang w:val="en-GB"/>
    </w:rPr>
  </w:style>
  <w:style w:type="paragraph" w:styleId="BodyTextFirstIndent">
    <w:name w:val="Body Text First Indent"/>
    <w:basedOn w:val="BodyText"/>
    <w:link w:val="BodyTextFirstIndentChar"/>
    <w:uiPriority w:val="98"/>
    <w:semiHidden/>
    <w:rsid w:val="00396A72"/>
    <w:pPr>
      <w:spacing w:after="0"/>
      <w:ind w:firstLine="360"/>
    </w:pPr>
  </w:style>
  <w:style w:type="character" w:customStyle="1" w:styleId="BodyTextFirstIndentChar">
    <w:name w:val="Body Text First Indent Char"/>
    <w:basedOn w:val="BodyTextChar"/>
    <w:link w:val="BodyTextFirstIndent"/>
    <w:uiPriority w:val="98"/>
    <w:semiHidden/>
    <w:rsid w:val="00396A72"/>
    <w:rPr>
      <w:sz w:val="24"/>
      <w:szCs w:val="24"/>
      <w:lang w:val="en-GB"/>
    </w:rPr>
  </w:style>
  <w:style w:type="paragraph" w:styleId="BodyTextIndent">
    <w:name w:val="Body Text Indent"/>
    <w:basedOn w:val="Normal"/>
    <w:link w:val="BodyTextIndentChar"/>
    <w:uiPriority w:val="98"/>
    <w:semiHidden/>
    <w:rsid w:val="00396A72"/>
    <w:pPr>
      <w:spacing w:after="120"/>
      <w:ind w:left="283"/>
    </w:pPr>
  </w:style>
  <w:style w:type="character" w:customStyle="1" w:styleId="BodyTextIndentChar">
    <w:name w:val="Body Text Indent Char"/>
    <w:basedOn w:val="DefaultParagraphFont"/>
    <w:link w:val="BodyTextIndent"/>
    <w:uiPriority w:val="98"/>
    <w:semiHidden/>
    <w:rsid w:val="00396A72"/>
    <w:rPr>
      <w:sz w:val="24"/>
      <w:szCs w:val="24"/>
      <w:lang w:val="en-GB"/>
    </w:rPr>
  </w:style>
  <w:style w:type="paragraph" w:styleId="BodyTextFirstIndent2">
    <w:name w:val="Body Text First Indent 2"/>
    <w:basedOn w:val="BodyTextIndent"/>
    <w:link w:val="BodyTextFirstIndent2Char"/>
    <w:uiPriority w:val="98"/>
    <w:semiHidden/>
    <w:rsid w:val="00396A72"/>
    <w:pPr>
      <w:spacing w:after="0"/>
      <w:ind w:left="360" w:firstLine="360"/>
    </w:pPr>
  </w:style>
  <w:style w:type="character" w:customStyle="1" w:styleId="BodyTextFirstIndent2Char">
    <w:name w:val="Body Text First Indent 2 Char"/>
    <w:basedOn w:val="BodyTextIndentChar"/>
    <w:link w:val="BodyTextFirstIndent2"/>
    <w:uiPriority w:val="98"/>
    <w:semiHidden/>
    <w:rsid w:val="00396A72"/>
    <w:rPr>
      <w:sz w:val="24"/>
      <w:szCs w:val="24"/>
      <w:lang w:val="en-GB"/>
    </w:rPr>
  </w:style>
  <w:style w:type="paragraph" w:styleId="BodyTextIndent2">
    <w:name w:val="Body Text Indent 2"/>
    <w:basedOn w:val="Normal"/>
    <w:link w:val="BodyTextIndent2Char"/>
    <w:uiPriority w:val="98"/>
    <w:semiHidden/>
    <w:rsid w:val="00396A72"/>
    <w:pPr>
      <w:spacing w:after="120" w:line="480" w:lineRule="auto"/>
      <w:ind w:left="283"/>
    </w:pPr>
  </w:style>
  <w:style w:type="character" w:customStyle="1" w:styleId="BodyTextIndent2Char">
    <w:name w:val="Body Text Indent 2 Char"/>
    <w:basedOn w:val="DefaultParagraphFont"/>
    <w:link w:val="BodyTextIndent2"/>
    <w:uiPriority w:val="98"/>
    <w:semiHidden/>
    <w:rsid w:val="00396A72"/>
    <w:rPr>
      <w:sz w:val="24"/>
      <w:szCs w:val="24"/>
      <w:lang w:val="en-GB"/>
    </w:rPr>
  </w:style>
  <w:style w:type="paragraph" w:styleId="BodyTextIndent3">
    <w:name w:val="Body Text Indent 3"/>
    <w:basedOn w:val="Normal"/>
    <w:link w:val="BodyTextIndent3Char"/>
    <w:uiPriority w:val="98"/>
    <w:semiHidden/>
    <w:rsid w:val="00396A7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96A72"/>
    <w:rPr>
      <w:sz w:val="16"/>
      <w:szCs w:val="16"/>
      <w:lang w:val="en-GB"/>
    </w:rPr>
  </w:style>
  <w:style w:type="paragraph" w:styleId="Caption">
    <w:name w:val="caption"/>
    <w:basedOn w:val="Normal"/>
    <w:next w:val="Normal"/>
    <w:uiPriority w:val="98"/>
    <w:semiHidden/>
    <w:qFormat/>
    <w:rsid w:val="00396A72"/>
    <w:pPr>
      <w:spacing w:after="200"/>
    </w:pPr>
    <w:rPr>
      <w:b/>
      <w:bCs/>
      <w:color w:val="0072BC" w:themeColor="accent1"/>
      <w:sz w:val="18"/>
      <w:szCs w:val="18"/>
    </w:rPr>
  </w:style>
  <w:style w:type="paragraph" w:styleId="Closing">
    <w:name w:val="Closing"/>
    <w:basedOn w:val="Normal"/>
    <w:link w:val="ClosingChar"/>
    <w:uiPriority w:val="98"/>
    <w:semiHidden/>
    <w:rsid w:val="00396A72"/>
    <w:pPr>
      <w:ind w:left="4252"/>
    </w:pPr>
  </w:style>
  <w:style w:type="character" w:customStyle="1" w:styleId="ClosingChar">
    <w:name w:val="Closing Char"/>
    <w:basedOn w:val="DefaultParagraphFont"/>
    <w:link w:val="Closing"/>
    <w:uiPriority w:val="98"/>
    <w:semiHidden/>
    <w:rsid w:val="00396A72"/>
    <w:rPr>
      <w:sz w:val="24"/>
      <w:szCs w:val="24"/>
      <w:lang w:val="en-GB"/>
    </w:rPr>
  </w:style>
  <w:style w:type="table" w:styleId="ColorfulGrid">
    <w:name w:val="Colorful Grid"/>
    <w:basedOn w:val="TableNormal"/>
    <w:uiPriority w:val="73"/>
    <w:semiHidden/>
    <w:rsid w:val="00396A7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6A7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6A7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6A7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96A7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6A7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6A7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6A7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6A7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6A7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6A7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96A7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6A7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6A7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6A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6A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6A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6A7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96A7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6A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6A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96A72"/>
    <w:rPr>
      <w:sz w:val="16"/>
      <w:szCs w:val="16"/>
    </w:rPr>
  </w:style>
  <w:style w:type="paragraph" w:styleId="CommentText">
    <w:name w:val="annotation text"/>
    <w:basedOn w:val="Normal"/>
    <w:link w:val="CommentTextChar"/>
    <w:uiPriority w:val="98"/>
    <w:semiHidden/>
    <w:rsid w:val="00396A72"/>
    <w:rPr>
      <w:sz w:val="20"/>
      <w:szCs w:val="20"/>
    </w:rPr>
  </w:style>
  <w:style w:type="character" w:customStyle="1" w:styleId="CommentTextChar">
    <w:name w:val="Comment Text Char"/>
    <w:basedOn w:val="DefaultParagraphFont"/>
    <w:link w:val="CommentText"/>
    <w:uiPriority w:val="98"/>
    <w:semiHidden/>
    <w:rsid w:val="00396A72"/>
    <w:rPr>
      <w:sz w:val="20"/>
      <w:szCs w:val="20"/>
      <w:lang w:val="en-GB"/>
    </w:rPr>
  </w:style>
  <w:style w:type="paragraph" w:styleId="CommentSubject">
    <w:name w:val="annotation subject"/>
    <w:basedOn w:val="CommentText"/>
    <w:next w:val="CommentText"/>
    <w:link w:val="CommentSubjectChar"/>
    <w:uiPriority w:val="98"/>
    <w:semiHidden/>
    <w:rsid w:val="00396A72"/>
    <w:rPr>
      <w:b/>
      <w:bCs/>
    </w:rPr>
  </w:style>
  <w:style w:type="character" w:customStyle="1" w:styleId="CommentSubjectChar">
    <w:name w:val="Comment Subject Char"/>
    <w:basedOn w:val="CommentTextChar"/>
    <w:link w:val="CommentSubject"/>
    <w:uiPriority w:val="98"/>
    <w:semiHidden/>
    <w:rsid w:val="00396A72"/>
    <w:rPr>
      <w:b/>
      <w:bCs/>
      <w:sz w:val="20"/>
      <w:szCs w:val="20"/>
      <w:lang w:val="en-GB"/>
    </w:rPr>
  </w:style>
  <w:style w:type="table" w:styleId="DarkList">
    <w:name w:val="Dark List"/>
    <w:basedOn w:val="TableNormal"/>
    <w:uiPriority w:val="70"/>
    <w:semiHidden/>
    <w:rsid w:val="00396A7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6A7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6A7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6A7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96A7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6A7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6A7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96A72"/>
  </w:style>
  <w:style w:type="character" w:customStyle="1" w:styleId="DateChar">
    <w:name w:val="Date Char"/>
    <w:basedOn w:val="DefaultParagraphFont"/>
    <w:link w:val="Date"/>
    <w:uiPriority w:val="98"/>
    <w:semiHidden/>
    <w:rsid w:val="00396A72"/>
    <w:rPr>
      <w:sz w:val="24"/>
      <w:szCs w:val="24"/>
      <w:lang w:val="en-GB"/>
    </w:rPr>
  </w:style>
  <w:style w:type="paragraph" w:styleId="DocumentMap">
    <w:name w:val="Document Map"/>
    <w:basedOn w:val="Normal"/>
    <w:link w:val="DocumentMapChar"/>
    <w:uiPriority w:val="98"/>
    <w:semiHidden/>
    <w:rsid w:val="00396A72"/>
    <w:rPr>
      <w:rFonts w:ascii="Tahoma" w:hAnsi="Tahoma" w:cs="Tahoma"/>
      <w:sz w:val="16"/>
      <w:szCs w:val="16"/>
    </w:rPr>
  </w:style>
  <w:style w:type="character" w:customStyle="1" w:styleId="DocumentMapChar">
    <w:name w:val="Document Map Char"/>
    <w:basedOn w:val="DefaultParagraphFont"/>
    <w:link w:val="DocumentMap"/>
    <w:uiPriority w:val="98"/>
    <w:semiHidden/>
    <w:rsid w:val="00396A72"/>
    <w:rPr>
      <w:rFonts w:ascii="Tahoma" w:hAnsi="Tahoma" w:cs="Tahoma"/>
      <w:sz w:val="16"/>
      <w:szCs w:val="16"/>
      <w:lang w:val="en-GB"/>
    </w:rPr>
  </w:style>
  <w:style w:type="paragraph" w:styleId="E-mailSignature">
    <w:name w:val="E-mail Signature"/>
    <w:basedOn w:val="Normal"/>
    <w:link w:val="E-mailSignatureChar"/>
    <w:uiPriority w:val="98"/>
    <w:semiHidden/>
    <w:rsid w:val="00396A72"/>
  </w:style>
  <w:style w:type="character" w:customStyle="1" w:styleId="E-mailSignatureChar">
    <w:name w:val="E-mail Signature Char"/>
    <w:basedOn w:val="DefaultParagraphFont"/>
    <w:link w:val="E-mailSignature"/>
    <w:uiPriority w:val="98"/>
    <w:semiHidden/>
    <w:rsid w:val="00396A72"/>
    <w:rPr>
      <w:sz w:val="24"/>
      <w:szCs w:val="24"/>
      <w:lang w:val="en-GB"/>
    </w:rPr>
  </w:style>
  <w:style w:type="character" w:styleId="EndnoteReference">
    <w:name w:val="endnote reference"/>
    <w:basedOn w:val="DefaultParagraphFont"/>
    <w:uiPriority w:val="98"/>
    <w:semiHidden/>
    <w:rsid w:val="00396A72"/>
    <w:rPr>
      <w:vertAlign w:val="superscript"/>
    </w:rPr>
  </w:style>
  <w:style w:type="paragraph" w:styleId="EndnoteText">
    <w:name w:val="endnote text"/>
    <w:basedOn w:val="Normal"/>
    <w:link w:val="EndnoteTextChar"/>
    <w:uiPriority w:val="98"/>
    <w:semiHidden/>
    <w:rsid w:val="00396A72"/>
    <w:rPr>
      <w:sz w:val="20"/>
      <w:szCs w:val="20"/>
    </w:rPr>
  </w:style>
  <w:style w:type="character" w:customStyle="1" w:styleId="EndnoteTextChar">
    <w:name w:val="Endnote Text Char"/>
    <w:basedOn w:val="DefaultParagraphFont"/>
    <w:link w:val="EndnoteText"/>
    <w:uiPriority w:val="98"/>
    <w:semiHidden/>
    <w:rsid w:val="00396A72"/>
    <w:rPr>
      <w:sz w:val="20"/>
      <w:szCs w:val="20"/>
      <w:lang w:val="en-GB"/>
    </w:rPr>
  </w:style>
  <w:style w:type="paragraph" w:styleId="EnvelopeAddress">
    <w:name w:val="envelope address"/>
    <w:basedOn w:val="Normal"/>
    <w:uiPriority w:val="98"/>
    <w:semiHidden/>
    <w:rsid w:val="00396A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96A7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96A72"/>
    <w:rPr>
      <w:color w:val="7030A0" w:themeColor="followedHyperlink"/>
      <w:u w:val="single"/>
    </w:rPr>
  </w:style>
  <w:style w:type="character" w:styleId="HTMLAcronym">
    <w:name w:val="HTML Acronym"/>
    <w:basedOn w:val="DefaultParagraphFont"/>
    <w:uiPriority w:val="98"/>
    <w:semiHidden/>
    <w:rsid w:val="00396A72"/>
  </w:style>
  <w:style w:type="paragraph" w:styleId="HTMLAddress">
    <w:name w:val="HTML Address"/>
    <w:basedOn w:val="Normal"/>
    <w:link w:val="HTMLAddressChar"/>
    <w:uiPriority w:val="98"/>
    <w:semiHidden/>
    <w:rsid w:val="00396A72"/>
    <w:rPr>
      <w:i/>
      <w:iCs/>
    </w:rPr>
  </w:style>
  <w:style w:type="character" w:customStyle="1" w:styleId="HTMLAddressChar">
    <w:name w:val="HTML Address Char"/>
    <w:basedOn w:val="DefaultParagraphFont"/>
    <w:link w:val="HTMLAddress"/>
    <w:uiPriority w:val="98"/>
    <w:semiHidden/>
    <w:rsid w:val="00396A72"/>
    <w:rPr>
      <w:i/>
      <w:iCs/>
      <w:sz w:val="24"/>
      <w:szCs w:val="24"/>
      <w:lang w:val="en-GB"/>
    </w:rPr>
  </w:style>
  <w:style w:type="character" w:styleId="HTMLCite">
    <w:name w:val="HTML Cite"/>
    <w:basedOn w:val="DefaultParagraphFont"/>
    <w:uiPriority w:val="98"/>
    <w:semiHidden/>
    <w:rsid w:val="00396A72"/>
    <w:rPr>
      <w:i/>
      <w:iCs/>
    </w:rPr>
  </w:style>
  <w:style w:type="character" w:styleId="HTMLCode">
    <w:name w:val="HTML Code"/>
    <w:basedOn w:val="DefaultParagraphFont"/>
    <w:uiPriority w:val="98"/>
    <w:semiHidden/>
    <w:rsid w:val="00396A72"/>
    <w:rPr>
      <w:rFonts w:ascii="Consolas" w:hAnsi="Consolas" w:cs="Consolas"/>
      <w:sz w:val="20"/>
      <w:szCs w:val="20"/>
    </w:rPr>
  </w:style>
  <w:style w:type="character" w:styleId="HTMLDefinition">
    <w:name w:val="HTML Definition"/>
    <w:basedOn w:val="DefaultParagraphFont"/>
    <w:uiPriority w:val="98"/>
    <w:semiHidden/>
    <w:rsid w:val="00396A72"/>
    <w:rPr>
      <w:i/>
      <w:iCs/>
    </w:rPr>
  </w:style>
  <w:style w:type="character" w:styleId="HTMLKeyboard">
    <w:name w:val="HTML Keyboard"/>
    <w:basedOn w:val="DefaultParagraphFont"/>
    <w:uiPriority w:val="98"/>
    <w:semiHidden/>
    <w:rsid w:val="00396A72"/>
    <w:rPr>
      <w:rFonts w:ascii="Consolas" w:hAnsi="Consolas" w:cs="Consolas"/>
      <w:sz w:val="20"/>
      <w:szCs w:val="20"/>
    </w:rPr>
  </w:style>
  <w:style w:type="paragraph" w:styleId="HTMLPreformatted">
    <w:name w:val="HTML Preformatted"/>
    <w:basedOn w:val="Normal"/>
    <w:link w:val="HTMLPreformattedChar"/>
    <w:uiPriority w:val="98"/>
    <w:semiHidden/>
    <w:rsid w:val="00396A7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96A72"/>
    <w:rPr>
      <w:rFonts w:ascii="Consolas" w:hAnsi="Consolas" w:cs="Consolas"/>
      <w:sz w:val="20"/>
      <w:szCs w:val="20"/>
      <w:lang w:val="en-GB"/>
    </w:rPr>
  </w:style>
  <w:style w:type="character" w:styleId="HTMLSample">
    <w:name w:val="HTML Sample"/>
    <w:basedOn w:val="DefaultParagraphFont"/>
    <w:uiPriority w:val="98"/>
    <w:semiHidden/>
    <w:rsid w:val="00396A72"/>
    <w:rPr>
      <w:rFonts w:ascii="Consolas" w:hAnsi="Consolas" w:cs="Consolas"/>
      <w:sz w:val="24"/>
      <w:szCs w:val="24"/>
    </w:rPr>
  </w:style>
  <w:style w:type="character" w:styleId="HTMLTypewriter">
    <w:name w:val="HTML Typewriter"/>
    <w:basedOn w:val="DefaultParagraphFont"/>
    <w:uiPriority w:val="98"/>
    <w:semiHidden/>
    <w:rsid w:val="00396A72"/>
    <w:rPr>
      <w:rFonts w:ascii="Consolas" w:hAnsi="Consolas" w:cs="Consolas"/>
      <w:sz w:val="20"/>
      <w:szCs w:val="20"/>
    </w:rPr>
  </w:style>
  <w:style w:type="character" w:styleId="HTMLVariable">
    <w:name w:val="HTML Variable"/>
    <w:basedOn w:val="DefaultParagraphFont"/>
    <w:uiPriority w:val="98"/>
    <w:semiHidden/>
    <w:rsid w:val="00396A72"/>
    <w:rPr>
      <w:i/>
      <w:iCs/>
    </w:rPr>
  </w:style>
  <w:style w:type="paragraph" w:styleId="Index1">
    <w:name w:val="index 1"/>
    <w:basedOn w:val="Normal"/>
    <w:next w:val="Normal"/>
    <w:autoRedefine/>
    <w:uiPriority w:val="98"/>
    <w:semiHidden/>
    <w:rsid w:val="00396A72"/>
    <w:pPr>
      <w:ind w:left="240" w:hanging="240"/>
    </w:pPr>
  </w:style>
  <w:style w:type="paragraph" w:styleId="Index2">
    <w:name w:val="index 2"/>
    <w:basedOn w:val="Normal"/>
    <w:next w:val="Normal"/>
    <w:autoRedefine/>
    <w:uiPriority w:val="98"/>
    <w:semiHidden/>
    <w:rsid w:val="00396A72"/>
    <w:pPr>
      <w:ind w:left="480" w:hanging="240"/>
    </w:pPr>
  </w:style>
  <w:style w:type="paragraph" w:styleId="Index3">
    <w:name w:val="index 3"/>
    <w:basedOn w:val="Normal"/>
    <w:next w:val="Normal"/>
    <w:autoRedefine/>
    <w:uiPriority w:val="98"/>
    <w:semiHidden/>
    <w:rsid w:val="00396A72"/>
    <w:pPr>
      <w:ind w:left="720" w:hanging="240"/>
    </w:pPr>
  </w:style>
  <w:style w:type="paragraph" w:styleId="Index4">
    <w:name w:val="index 4"/>
    <w:basedOn w:val="Normal"/>
    <w:next w:val="Normal"/>
    <w:autoRedefine/>
    <w:uiPriority w:val="98"/>
    <w:semiHidden/>
    <w:rsid w:val="00396A72"/>
    <w:pPr>
      <w:ind w:left="960" w:hanging="240"/>
    </w:pPr>
  </w:style>
  <w:style w:type="paragraph" w:styleId="Index5">
    <w:name w:val="index 5"/>
    <w:basedOn w:val="Normal"/>
    <w:next w:val="Normal"/>
    <w:autoRedefine/>
    <w:uiPriority w:val="98"/>
    <w:semiHidden/>
    <w:rsid w:val="00396A72"/>
    <w:pPr>
      <w:ind w:left="1200" w:hanging="240"/>
    </w:pPr>
  </w:style>
  <w:style w:type="paragraph" w:styleId="Index6">
    <w:name w:val="index 6"/>
    <w:basedOn w:val="Normal"/>
    <w:next w:val="Normal"/>
    <w:autoRedefine/>
    <w:uiPriority w:val="98"/>
    <w:semiHidden/>
    <w:rsid w:val="00396A72"/>
    <w:pPr>
      <w:ind w:left="1440" w:hanging="240"/>
    </w:pPr>
  </w:style>
  <w:style w:type="paragraph" w:styleId="Index7">
    <w:name w:val="index 7"/>
    <w:basedOn w:val="Normal"/>
    <w:next w:val="Normal"/>
    <w:autoRedefine/>
    <w:uiPriority w:val="98"/>
    <w:semiHidden/>
    <w:rsid w:val="00396A72"/>
    <w:pPr>
      <w:ind w:left="1680" w:hanging="240"/>
    </w:pPr>
  </w:style>
  <w:style w:type="paragraph" w:styleId="Index8">
    <w:name w:val="index 8"/>
    <w:basedOn w:val="Normal"/>
    <w:next w:val="Normal"/>
    <w:autoRedefine/>
    <w:uiPriority w:val="98"/>
    <w:semiHidden/>
    <w:rsid w:val="00396A72"/>
    <w:pPr>
      <w:ind w:left="1920" w:hanging="240"/>
    </w:pPr>
  </w:style>
  <w:style w:type="paragraph" w:styleId="Index9">
    <w:name w:val="index 9"/>
    <w:basedOn w:val="Normal"/>
    <w:next w:val="Normal"/>
    <w:autoRedefine/>
    <w:uiPriority w:val="98"/>
    <w:semiHidden/>
    <w:rsid w:val="00396A72"/>
    <w:pPr>
      <w:ind w:left="2160" w:hanging="240"/>
    </w:pPr>
  </w:style>
  <w:style w:type="paragraph" w:styleId="IndexHeading">
    <w:name w:val="index heading"/>
    <w:basedOn w:val="Normal"/>
    <w:next w:val="Index1"/>
    <w:uiPriority w:val="98"/>
    <w:semiHidden/>
    <w:rsid w:val="00396A72"/>
    <w:rPr>
      <w:rFonts w:asciiTheme="majorHAnsi" w:eastAsiaTheme="majorEastAsia" w:hAnsiTheme="majorHAnsi" w:cstheme="majorBidi"/>
      <w:b/>
      <w:bCs/>
    </w:rPr>
  </w:style>
  <w:style w:type="table" w:styleId="LightGrid">
    <w:name w:val="Light Grid"/>
    <w:basedOn w:val="TableNormal"/>
    <w:uiPriority w:val="62"/>
    <w:semiHidden/>
    <w:rsid w:val="00396A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6A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6A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6A7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96A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6A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6A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6A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6A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6A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6A7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96A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6A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6A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6A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6A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6A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6A7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96A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6A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6A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96A72"/>
  </w:style>
  <w:style w:type="paragraph" w:styleId="List">
    <w:name w:val="List"/>
    <w:basedOn w:val="Normal"/>
    <w:uiPriority w:val="98"/>
    <w:semiHidden/>
    <w:rsid w:val="00396A72"/>
    <w:pPr>
      <w:ind w:left="283" w:hanging="283"/>
      <w:contextualSpacing/>
    </w:pPr>
  </w:style>
  <w:style w:type="paragraph" w:styleId="List20">
    <w:name w:val="List 2"/>
    <w:basedOn w:val="Normal"/>
    <w:uiPriority w:val="98"/>
    <w:semiHidden/>
    <w:rsid w:val="00396A72"/>
    <w:pPr>
      <w:ind w:left="566" w:hanging="283"/>
      <w:contextualSpacing/>
    </w:pPr>
  </w:style>
  <w:style w:type="paragraph" w:styleId="List30">
    <w:name w:val="List 3"/>
    <w:basedOn w:val="Normal"/>
    <w:uiPriority w:val="98"/>
    <w:semiHidden/>
    <w:rsid w:val="00396A72"/>
    <w:pPr>
      <w:ind w:left="849" w:hanging="283"/>
      <w:contextualSpacing/>
    </w:pPr>
  </w:style>
  <w:style w:type="paragraph" w:styleId="List4">
    <w:name w:val="List 4"/>
    <w:basedOn w:val="Normal"/>
    <w:uiPriority w:val="98"/>
    <w:semiHidden/>
    <w:rsid w:val="00396A72"/>
    <w:pPr>
      <w:ind w:left="1132" w:hanging="283"/>
      <w:contextualSpacing/>
    </w:pPr>
  </w:style>
  <w:style w:type="paragraph" w:styleId="List5">
    <w:name w:val="List 5"/>
    <w:basedOn w:val="Normal"/>
    <w:uiPriority w:val="98"/>
    <w:semiHidden/>
    <w:rsid w:val="00396A72"/>
    <w:pPr>
      <w:ind w:left="1415" w:hanging="283"/>
      <w:contextualSpacing/>
    </w:pPr>
  </w:style>
  <w:style w:type="paragraph" w:styleId="ListBullet2">
    <w:name w:val="List Bullet 2"/>
    <w:basedOn w:val="Normal"/>
    <w:uiPriority w:val="98"/>
    <w:semiHidden/>
    <w:rsid w:val="00396A72"/>
    <w:pPr>
      <w:numPr>
        <w:numId w:val="6"/>
      </w:numPr>
      <w:contextualSpacing/>
    </w:pPr>
  </w:style>
  <w:style w:type="paragraph" w:styleId="ListBullet4">
    <w:name w:val="List Bullet 4"/>
    <w:basedOn w:val="Normal"/>
    <w:uiPriority w:val="98"/>
    <w:semiHidden/>
    <w:rsid w:val="00396A72"/>
    <w:pPr>
      <w:numPr>
        <w:numId w:val="8"/>
      </w:numPr>
      <w:contextualSpacing/>
    </w:pPr>
  </w:style>
  <w:style w:type="paragraph" w:styleId="ListBullet5">
    <w:name w:val="List Bullet 5"/>
    <w:basedOn w:val="Normal"/>
    <w:uiPriority w:val="98"/>
    <w:semiHidden/>
    <w:rsid w:val="00396A72"/>
    <w:pPr>
      <w:numPr>
        <w:numId w:val="9"/>
      </w:numPr>
      <w:contextualSpacing/>
    </w:pPr>
  </w:style>
  <w:style w:type="paragraph" w:styleId="ListContinue">
    <w:name w:val="List Continue"/>
    <w:basedOn w:val="Normal"/>
    <w:uiPriority w:val="98"/>
    <w:semiHidden/>
    <w:rsid w:val="00396A72"/>
    <w:pPr>
      <w:spacing w:after="120"/>
      <w:ind w:left="283"/>
      <w:contextualSpacing/>
    </w:pPr>
  </w:style>
  <w:style w:type="paragraph" w:styleId="ListContinue2">
    <w:name w:val="List Continue 2"/>
    <w:basedOn w:val="Normal"/>
    <w:uiPriority w:val="98"/>
    <w:semiHidden/>
    <w:rsid w:val="00396A72"/>
    <w:pPr>
      <w:spacing w:after="120"/>
      <w:ind w:left="566"/>
      <w:contextualSpacing/>
    </w:pPr>
  </w:style>
  <w:style w:type="paragraph" w:styleId="ListContinue3">
    <w:name w:val="List Continue 3"/>
    <w:basedOn w:val="Normal"/>
    <w:uiPriority w:val="98"/>
    <w:semiHidden/>
    <w:rsid w:val="00396A72"/>
    <w:pPr>
      <w:spacing w:after="120"/>
      <w:ind w:left="849"/>
      <w:contextualSpacing/>
    </w:pPr>
  </w:style>
  <w:style w:type="paragraph" w:styleId="ListContinue4">
    <w:name w:val="List Continue 4"/>
    <w:basedOn w:val="Normal"/>
    <w:uiPriority w:val="98"/>
    <w:semiHidden/>
    <w:rsid w:val="00396A72"/>
    <w:pPr>
      <w:spacing w:after="120"/>
      <w:ind w:left="1132"/>
      <w:contextualSpacing/>
    </w:pPr>
  </w:style>
  <w:style w:type="paragraph" w:styleId="ListContinue5">
    <w:name w:val="List Continue 5"/>
    <w:basedOn w:val="Normal"/>
    <w:uiPriority w:val="98"/>
    <w:semiHidden/>
    <w:rsid w:val="00396A72"/>
    <w:pPr>
      <w:spacing w:after="120"/>
      <w:ind w:left="1415"/>
      <w:contextualSpacing/>
    </w:pPr>
  </w:style>
  <w:style w:type="paragraph" w:styleId="ListNumber">
    <w:name w:val="List Number"/>
    <w:basedOn w:val="Normal"/>
    <w:uiPriority w:val="98"/>
    <w:semiHidden/>
    <w:rsid w:val="00396A72"/>
    <w:pPr>
      <w:numPr>
        <w:numId w:val="10"/>
      </w:numPr>
      <w:contextualSpacing/>
    </w:pPr>
  </w:style>
  <w:style w:type="paragraph" w:styleId="ListNumber2">
    <w:name w:val="List Number 2"/>
    <w:basedOn w:val="Normal"/>
    <w:uiPriority w:val="98"/>
    <w:semiHidden/>
    <w:rsid w:val="00396A72"/>
    <w:pPr>
      <w:numPr>
        <w:numId w:val="11"/>
      </w:numPr>
      <w:contextualSpacing/>
    </w:pPr>
  </w:style>
  <w:style w:type="paragraph" w:styleId="ListNumber3">
    <w:name w:val="List Number 3"/>
    <w:basedOn w:val="Normal"/>
    <w:uiPriority w:val="98"/>
    <w:semiHidden/>
    <w:rsid w:val="00396A72"/>
    <w:pPr>
      <w:numPr>
        <w:numId w:val="12"/>
      </w:numPr>
      <w:contextualSpacing/>
    </w:pPr>
  </w:style>
  <w:style w:type="paragraph" w:styleId="ListNumber4">
    <w:name w:val="List Number 4"/>
    <w:basedOn w:val="Normal"/>
    <w:uiPriority w:val="98"/>
    <w:semiHidden/>
    <w:rsid w:val="00396A72"/>
    <w:pPr>
      <w:numPr>
        <w:numId w:val="13"/>
      </w:numPr>
      <w:contextualSpacing/>
    </w:pPr>
  </w:style>
  <w:style w:type="paragraph" w:styleId="ListNumber5">
    <w:name w:val="List Number 5"/>
    <w:basedOn w:val="Normal"/>
    <w:uiPriority w:val="98"/>
    <w:semiHidden/>
    <w:rsid w:val="00396A72"/>
    <w:pPr>
      <w:numPr>
        <w:numId w:val="14"/>
      </w:numPr>
      <w:contextualSpacing/>
    </w:pPr>
  </w:style>
  <w:style w:type="paragraph" w:styleId="Macro">
    <w:name w:val="macro"/>
    <w:link w:val="MacroTextChar"/>
    <w:uiPriority w:val="98"/>
    <w:semiHidden/>
    <w:rsid w:val="00396A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96A72"/>
    <w:rPr>
      <w:rFonts w:ascii="Consolas" w:hAnsi="Consolas" w:eastAsiaTheme="minorEastAsia" w:cs="Consolas"/>
      <w:sz w:val="20"/>
      <w:szCs w:val="20"/>
    </w:rPr>
  </w:style>
  <w:style w:type="table" w:styleId="MediumGrid1">
    <w:name w:val="Medium Grid 1"/>
    <w:basedOn w:val="TableNormal"/>
    <w:uiPriority w:val="67"/>
    <w:semiHidden/>
    <w:rsid w:val="00396A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6A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6A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6A7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96A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6A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6A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96A7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96A7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6A7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6A7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96A7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6A7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6A7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96A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6A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6A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6A7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96A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6A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6A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6A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96A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6A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6A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6A7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6A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6A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6A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6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6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6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6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6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6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6A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96A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96A7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96A72"/>
    <w:rPr>
      <w:rFonts w:ascii="Times New Roman" w:hAnsi="Times New Roman" w:cs="Times New Roman"/>
    </w:rPr>
  </w:style>
  <w:style w:type="paragraph" w:styleId="NormalIndent">
    <w:name w:val="Normal Indent"/>
    <w:basedOn w:val="Normal"/>
    <w:uiPriority w:val="98"/>
    <w:semiHidden/>
    <w:rsid w:val="00396A72"/>
    <w:pPr>
      <w:ind w:left="720"/>
    </w:pPr>
  </w:style>
  <w:style w:type="paragraph" w:styleId="NoteHeading">
    <w:name w:val="Note Heading"/>
    <w:basedOn w:val="Normal"/>
    <w:next w:val="Normal"/>
    <w:link w:val="NoteHeadingChar"/>
    <w:uiPriority w:val="98"/>
    <w:semiHidden/>
    <w:rsid w:val="00396A72"/>
  </w:style>
  <w:style w:type="character" w:customStyle="1" w:styleId="NoteHeadingChar">
    <w:name w:val="Note Heading Char"/>
    <w:basedOn w:val="DefaultParagraphFont"/>
    <w:link w:val="NoteHeading"/>
    <w:uiPriority w:val="98"/>
    <w:semiHidden/>
    <w:rsid w:val="00396A72"/>
    <w:rPr>
      <w:sz w:val="24"/>
      <w:szCs w:val="24"/>
      <w:lang w:val="en-GB"/>
    </w:rPr>
  </w:style>
  <w:style w:type="character" w:styleId="PlaceholderText">
    <w:name w:val="Placeholder Text"/>
    <w:basedOn w:val="DefaultParagraphFont"/>
    <w:uiPriority w:val="98"/>
    <w:semiHidden/>
    <w:rsid w:val="00396A7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96A72"/>
    <w:rPr>
      <w:rFonts w:ascii="Consolas" w:hAnsi="Consolas" w:cs="Consolas"/>
      <w:sz w:val="21"/>
      <w:szCs w:val="21"/>
    </w:rPr>
  </w:style>
  <w:style w:type="character" w:customStyle="1" w:styleId="PlainTextChar">
    <w:name w:val="Plain Text Char"/>
    <w:basedOn w:val="DefaultParagraphFont"/>
    <w:link w:val="PlainText"/>
    <w:uiPriority w:val="98"/>
    <w:semiHidden/>
    <w:rsid w:val="00396A72"/>
    <w:rPr>
      <w:rFonts w:ascii="Consolas" w:hAnsi="Consolas" w:cs="Consolas"/>
      <w:sz w:val="21"/>
      <w:szCs w:val="21"/>
      <w:lang w:val="en-GB"/>
    </w:rPr>
  </w:style>
  <w:style w:type="paragraph" w:styleId="Salutation">
    <w:name w:val="Salutation"/>
    <w:basedOn w:val="Normal"/>
    <w:next w:val="Normal"/>
    <w:link w:val="SalutationChar"/>
    <w:uiPriority w:val="98"/>
    <w:semiHidden/>
    <w:rsid w:val="00396A72"/>
  </w:style>
  <w:style w:type="character" w:customStyle="1" w:styleId="SalutationChar">
    <w:name w:val="Salutation Char"/>
    <w:basedOn w:val="DefaultParagraphFont"/>
    <w:link w:val="Salutation"/>
    <w:uiPriority w:val="98"/>
    <w:semiHidden/>
    <w:rsid w:val="00396A72"/>
    <w:rPr>
      <w:sz w:val="24"/>
      <w:szCs w:val="24"/>
      <w:lang w:val="en-GB"/>
    </w:rPr>
  </w:style>
  <w:style w:type="paragraph" w:styleId="Signature0">
    <w:name w:val="Signature"/>
    <w:basedOn w:val="Normal"/>
    <w:link w:val="SignatureChar"/>
    <w:uiPriority w:val="98"/>
    <w:semiHidden/>
    <w:rsid w:val="00396A72"/>
    <w:pPr>
      <w:ind w:left="4252"/>
    </w:pPr>
  </w:style>
  <w:style w:type="character" w:customStyle="1" w:styleId="SignatureChar">
    <w:name w:val="Signature Char"/>
    <w:basedOn w:val="DefaultParagraphFont"/>
    <w:link w:val="Signature0"/>
    <w:uiPriority w:val="98"/>
    <w:semiHidden/>
    <w:rsid w:val="00396A72"/>
    <w:rPr>
      <w:sz w:val="24"/>
      <w:szCs w:val="24"/>
      <w:lang w:val="en-GB"/>
    </w:rPr>
  </w:style>
  <w:style w:type="table" w:styleId="Table3Deffects1">
    <w:name w:val="Table 3D effects 1"/>
    <w:basedOn w:val="TableNormal"/>
    <w:uiPriority w:val="99"/>
    <w:semiHidden/>
    <w:unhideWhenUsed/>
    <w:rsid w:val="00396A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6A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6A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6A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6A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6A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6A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6A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6A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6A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6A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6A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6A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6A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6A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6A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6A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6A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6A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6A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6A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6A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6A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6A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6A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6A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6A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6A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6A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6A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6A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6A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6A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96A72"/>
    <w:pPr>
      <w:ind w:left="240" w:hanging="240"/>
    </w:pPr>
  </w:style>
  <w:style w:type="paragraph" w:styleId="TableofFigures">
    <w:name w:val="table of figures"/>
    <w:basedOn w:val="Normal"/>
    <w:next w:val="Normal"/>
    <w:uiPriority w:val="98"/>
    <w:semiHidden/>
    <w:rsid w:val="00396A72"/>
  </w:style>
  <w:style w:type="table" w:styleId="TableProfessional">
    <w:name w:val="Table Professional"/>
    <w:basedOn w:val="TableNormal"/>
    <w:uiPriority w:val="99"/>
    <w:semiHidden/>
    <w:unhideWhenUsed/>
    <w:rsid w:val="00396A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6A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6A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6A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6A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6A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6A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6A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6A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6A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96A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96A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96A72"/>
    <w:pPr>
      <w:spacing w:after="100"/>
      <w:ind w:left="1680"/>
    </w:pPr>
  </w:style>
  <w:style w:type="paragraph" w:styleId="TOC9">
    <w:name w:val="toc 9"/>
    <w:basedOn w:val="Normal"/>
    <w:next w:val="Normal"/>
    <w:autoRedefine/>
    <w:uiPriority w:val="98"/>
    <w:semiHidden/>
    <w:rsid w:val="00396A7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96A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96A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96A7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96A7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96A72"/>
    <w:pPr>
      <w:numPr>
        <w:numId w:val="18"/>
      </w:numPr>
      <w:spacing w:before="60" w:after="60"/>
    </w:pPr>
  </w:style>
  <w:style w:type="paragraph" w:customStyle="1" w:styleId="ECHRBullet2">
    <w:name w:val="ECHR_Bullet_2"/>
    <w:aliases w:val="_Bul_2"/>
    <w:basedOn w:val="ECHRBullet1"/>
    <w:uiPriority w:val="23"/>
    <w:semiHidden/>
    <w:rsid w:val="00396A72"/>
    <w:pPr>
      <w:numPr>
        <w:ilvl w:val="1"/>
      </w:numPr>
    </w:pPr>
  </w:style>
  <w:style w:type="paragraph" w:customStyle="1" w:styleId="ECHRBullet3">
    <w:name w:val="ECHR_Bullet_3"/>
    <w:aliases w:val="_Bul_3"/>
    <w:basedOn w:val="ECHRBullet2"/>
    <w:uiPriority w:val="23"/>
    <w:semiHidden/>
    <w:rsid w:val="00396A72"/>
    <w:pPr>
      <w:numPr>
        <w:ilvl w:val="2"/>
      </w:numPr>
    </w:pPr>
  </w:style>
  <w:style w:type="paragraph" w:customStyle="1" w:styleId="ECHRBullet4">
    <w:name w:val="ECHR_Bullet_4"/>
    <w:aliases w:val="_Bul_4"/>
    <w:basedOn w:val="ECHRBullet3"/>
    <w:uiPriority w:val="23"/>
    <w:semiHidden/>
    <w:rsid w:val="00396A72"/>
    <w:pPr>
      <w:numPr>
        <w:ilvl w:val="3"/>
      </w:numPr>
    </w:pPr>
  </w:style>
  <w:style w:type="paragraph" w:customStyle="1" w:styleId="ECHRConfidential">
    <w:name w:val="ECHR_Confidential"/>
    <w:aliases w:val="_Confidential"/>
    <w:basedOn w:val="Normal"/>
    <w:next w:val="Normal"/>
    <w:uiPriority w:val="42"/>
    <w:semiHidden/>
    <w:qFormat/>
    <w:rsid w:val="00396A72"/>
    <w:pPr>
      <w:jc w:val="right"/>
    </w:pPr>
    <w:rPr>
      <w:color w:val="C00000"/>
      <w:sz w:val="20"/>
    </w:rPr>
  </w:style>
  <w:style w:type="paragraph" w:customStyle="1" w:styleId="ECHRDecisionBody">
    <w:name w:val="ECHR_Decision_Body"/>
    <w:aliases w:val="_Decision_Body"/>
    <w:basedOn w:val="NormalJustified"/>
    <w:uiPriority w:val="54"/>
    <w:semiHidden/>
    <w:rsid w:val="00396A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96A7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96A7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96A7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96A72"/>
    <w:pPr>
      <w:jc w:val="right"/>
    </w:pPr>
    <w:rPr>
      <w:sz w:val="20"/>
    </w:rPr>
  </w:style>
  <w:style w:type="paragraph" w:customStyle="1" w:styleId="ECHRHeaderRefIt">
    <w:name w:val="ECHR_Header_Ref_It"/>
    <w:aliases w:val="_Ref_Ital"/>
    <w:basedOn w:val="Normal"/>
    <w:next w:val="ECHRHeaderDate"/>
    <w:uiPriority w:val="43"/>
    <w:semiHidden/>
    <w:qFormat/>
    <w:rsid w:val="00396A72"/>
    <w:pPr>
      <w:jc w:val="right"/>
    </w:pPr>
    <w:rPr>
      <w:i/>
      <w:sz w:val="20"/>
    </w:rPr>
  </w:style>
  <w:style w:type="paragraph" w:customStyle="1" w:styleId="ECHRHeading9">
    <w:name w:val="ECHR_Heading_9"/>
    <w:aliases w:val="_Head_9"/>
    <w:basedOn w:val="Heading9"/>
    <w:uiPriority w:val="17"/>
    <w:semiHidden/>
    <w:rsid w:val="00396A7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96A7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96A72"/>
    <w:pPr>
      <w:numPr>
        <w:numId w:val="19"/>
      </w:numPr>
      <w:spacing w:before="60" w:after="60"/>
    </w:pPr>
  </w:style>
  <w:style w:type="paragraph" w:customStyle="1" w:styleId="ECHRNumberedList2">
    <w:name w:val="ECHR_Numbered_List_2"/>
    <w:aliases w:val="_Num_2"/>
    <w:basedOn w:val="ECHRNumberedList1"/>
    <w:uiPriority w:val="23"/>
    <w:semiHidden/>
    <w:rsid w:val="00396A72"/>
    <w:pPr>
      <w:numPr>
        <w:ilvl w:val="1"/>
      </w:numPr>
    </w:pPr>
  </w:style>
  <w:style w:type="paragraph" w:customStyle="1" w:styleId="ECHRNumberedList3">
    <w:name w:val="ECHR_Numbered_List_3"/>
    <w:aliases w:val="_Num_3"/>
    <w:basedOn w:val="ECHRNumberedList2"/>
    <w:uiPriority w:val="23"/>
    <w:semiHidden/>
    <w:rsid w:val="00396A72"/>
    <w:pPr>
      <w:numPr>
        <w:ilvl w:val="2"/>
      </w:numPr>
    </w:pPr>
  </w:style>
  <w:style w:type="paragraph" w:customStyle="1" w:styleId="ECHRParaHanging">
    <w:name w:val="ECHR_Para_Hanging"/>
    <w:aliases w:val="_Hanging"/>
    <w:basedOn w:val="NormalJustified"/>
    <w:uiPriority w:val="8"/>
    <w:semiHidden/>
    <w:qFormat/>
    <w:rsid w:val="00396A72"/>
    <w:pPr>
      <w:ind w:left="567" w:hanging="567"/>
    </w:pPr>
  </w:style>
  <w:style w:type="paragraph" w:customStyle="1" w:styleId="ECHRParaIndent">
    <w:name w:val="ECHR_Para_Indent"/>
    <w:aliases w:val="_Indent"/>
    <w:basedOn w:val="NormalJustified"/>
    <w:uiPriority w:val="7"/>
    <w:semiHidden/>
    <w:qFormat/>
    <w:rsid w:val="00396A72"/>
    <w:pPr>
      <w:spacing w:before="120" w:after="120"/>
      <w:ind w:left="284"/>
    </w:pPr>
  </w:style>
  <w:style w:type="character" w:customStyle="1" w:styleId="ECHRRed">
    <w:name w:val="ECHR_Red"/>
    <w:aliases w:val="_Red"/>
    <w:basedOn w:val="DefaultParagraphFont"/>
    <w:uiPriority w:val="15"/>
    <w:semiHidden/>
    <w:qFormat/>
    <w:rsid w:val="00396A72"/>
    <w:rPr>
      <w:color w:val="C00000" w:themeColor="accent2"/>
    </w:rPr>
  </w:style>
  <w:style w:type="paragraph" w:customStyle="1" w:styleId="DecList">
    <w:name w:val="Dec_List"/>
    <w:aliases w:val="_List"/>
    <w:basedOn w:val="JuList"/>
    <w:uiPriority w:val="22"/>
    <w:rsid w:val="00396A72"/>
    <w:pPr>
      <w:numPr>
        <w:numId w:val="0"/>
      </w:numPr>
      <w:ind w:left="284"/>
    </w:pPr>
  </w:style>
  <w:style w:type="table" w:customStyle="1" w:styleId="ECHRTable2">
    <w:name w:val="ECHR_Table_2"/>
    <w:basedOn w:val="TableNormal"/>
    <w:uiPriority w:val="99"/>
    <w:rsid w:val="00396A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96A7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96A7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96A7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96A7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96A7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96A7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96A7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96A72"/>
    <w:pPr>
      <w:outlineLvl w:val="0"/>
    </w:pPr>
  </w:style>
  <w:style w:type="paragraph" w:customStyle="1" w:styleId="ECHRTitleTOC1">
    <w:name w:val="ECHR_Title_TOC_1"/>
    <w:aliases w:val="_Title_L_TOC"/>
    <w:basedOn w:val="ECHRTitle1"/>
    <w:next w:val="Normal"/>
    <w:uiPriority w:val="27"/>
    <w:semiHidden/>
    <w:qFormat/>
    <w:rsid w:val="00396A72"/>
    <w:pPr>
      <w:outlineLvl w:val="0"/>
    </w:pPr>
  </w:style>
  <w:style w:type="paragraph" w:customStyle="1" w:styleId="ECHRPlaceholder">
    <w:name w:val="ECHR_Placeholder"/>
    <w:aliases w:val="_Placeholder"/>
    <w:basedOn w:val="JuSigned"/>
    <w:uiPriority w:val="31"/>
    <w:rsid w:val="00396A72"/>
    <w:rPr>
      <w:color w:val="FFFFFF"/>
    </w:rPr>
  </w:style>
  <w:style w:type="paragraph" w:customStyle="1" w:styleId="ECHRSpacer">
    <w:name w:val="ECHR_Spacer"/>
    <w:aliases w:val="_Spacer"/>
    <w:basedOn w:val="Normal"/>
    <w:uiPriority w:val="45"/>
    <w:semiHidden/>
    <w:rsid w:val="00396A72"/>
    <w:rPr>
      <w:sz w:val="4"/>
    </w:rPr>
  </w:style>
  <w:style w:type="table" w:customStyle="1" w:styleId="ECHRTableGrey">
    <w:name w:val="ECHR_Table_Grey"/>
    <w:basedOn w:val="TableNormal"/>
    <w:uiPriority w:val="99"/>
    <w:rsid w:val="00396A7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96A72"/>
    <w:rPr>
      <w:color w:val="605E5C"/>
      <w:shd w:val="clear" w:color="auto" w:fill="E1DFDD"/>
    </w:rPr>
  </w:style>
  <w:style w:type="character" w:customStyle="1" w:styleId="JuParaChar">
    <w:name w:val="Ju_Para Char"/>
    <w:aliases w:val="_Para Char"/>
    <w:link w:val="JuPara"/>
    <w:uiPriority w:val="4"/>
    <w:rsid w:val="00373F2B"/>
    <w:rPr>
      <w:sz w:val="24"/>
      <w:szCs w:val="24"/>
      <w:lang w:val="en-GB"/>
    </w:rPr>
  </w:style>
  <w:style w:type="table" w:styleId="GridTable1Light">
    <w:name w:val="Grid Table 1 Light"/>
    <w:basedOn w:val="TableNormal"/>
    <w:uiPriority w:val="46"/>
    <w:semiHidden/>
    <w:rsid w:val="00396A7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96A7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96A7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96A7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96A7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96A7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96A7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96A7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96A7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96A7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96A7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96A7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96A7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96A7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96A7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96A7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96A7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96A7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96A7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96A7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96A7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96A7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96A7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96A7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96A7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96A7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96A7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96A7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96A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96A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96A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96A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96A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96A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96A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96A7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96A7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96A7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96A7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96A7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96A7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96A7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96A7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96A7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96A7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96A7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96A7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96A7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96A7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96A72"/>
    <w:rPr>
      <w:color w:val="2B579A"/>
      <w:shd w:val="clear" w:color="auto" w:fill="E1DFDD"/>
    </w:rPr>
  </w:style>
  <w:style w:type="table" w:styleId="ListTable1Light">
    <w:name w:val="List Table 1 Light"/>
    <w:basedOn w:val="TableNormal"/>
    <w:uiPriority w:val="46"/>
    <w:semiHidden/>
    <w:rsid w:val="00396A7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96A7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96A7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96A7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96A7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96A7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96A7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96A7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96A7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96A7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96A7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96A7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96A7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96A7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96A7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96A7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96A7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96A7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96A7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96A7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96A7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96A7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96A7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96A7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96A7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96A7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96A7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96A7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96A7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96A7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96A7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96A7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96A7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96A7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96A7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96A7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96A7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96A7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96A7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96A7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96A7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96A7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96A7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96A7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96A7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96A7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96A7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96A7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96A7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96A72"/>
    <w:rPr>
      <w:color w:val="2B579A"/>
      <w:shd w:val="clear" w:color="auto" w:fill="E1DFDD"/>
    </w:rPr>
  </w:style>
  <w:style w:type="table" w:styleId="PlainTable1">
    <w:name w:val="Plain Table 1"/>
    <w:basedOn w:val="TableNormal"/>
    <w:uiPriority w:val="41"/>
    <w:semiHidden/>
    <w:rsid w:val="00396A7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96A7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96A7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96A7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96A7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96A72"/>
    <w:rPr>
      <w:u w:val="dotted"/>
    </w:rPr>
  </w:style>
  <w:style w:type="character" w:styleId="SmartLink">
    <w:name w:val="Smart Link"/>
    <w:basedOn w:val="DefaultParagraphFont"/>
    <w:uiPriority w:val="99"/>
    <w:semiHidden/>
    <w:unhideWhenUsed/>
    <w:rsid w:val="00396A72"/>
    <w:rPr>
      <w:color w:val="0000FF"/>
      <w:u w:val="single"/>
      <w:shd w:val="clear" w:color="auto" w:fill="F3F2F1"/>
    </w:rPr>
  </w:style>
  <w:style w:type="table" w:styleId="GridTableLight">
    <w:name w:val="Grid Table Light"/>
    <w:basedOn w:val="TableNormal"/>
    <w:uiPriority w:val="40"/>
    <w:semiHidden/>
    <w:rsid w:val="00396A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2768</Words>
  <Characters>14091</Characters>
  <Application>Microsoft Office Word</Application>
  <DocSecurity>0</DocSecurity>
  <Lines>287</Lines>
  <Paragraphs>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2025-03-14T09:21:00Z</dcterms:created>
  <dcterms:modified xsi:type="dcterms:W3CDTF">2025-03-14T09:26:00Z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1554549</vt:lpwstr>
  </property>
  <property fmtid="{D5CDD505-2E9C-101B-9397-08002B2CF9AE}" pid="3" name="cstLanguage">
    <vt:i4>2057</vt:i4>
  </property>
  <property fmtid="{D5CDD505-2E9C-101B-9397-08002B2CF9AE}" pid="4" name="RegisteredNo">
    <vt:lpwstr>31038/20</vt:lpwstr>
  </property>
</Properties>
</file>