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F1BDF" w:rsidR="004D042B" w:rsidP="004F1BDF" w14:paraId="7A053837" w14:textId="37EB0756">
      <w:pPr>
        <w:jc w:val="center"/>
      </w:pPr>
    </w:p>
    <w:p w:rsidRPr="004F1BDF" w:rsidR="000C5149" w:rsidP="004F1BDF" w14:paraId="354A9E93" w14:textId="77777777">
      <w:pPr>
        <w:jc w:val="center"/>
      </w:pPr>
    </w:p>
    <w:p w:rsidRPr="004F1BDF" w:rsidR="00606600" w:rsidP="004F1BDF" w14:paraId="0AB24C57" w14:textId="66E6A4EF">
      <w:pPr>
        <w:pStyle w:val="DecHTitle"/>
      </w:pPr>
      <w:r w:rsidRPr="004F1BDF">
        <w:t>FIFTH SECTION</w:t>
      </w:r>
    </w:p>
    <w:p w:rsidRPr="004F1BDF" w:rsidR="006D324D" w:rsidP="004F1BDF" w14:paraId="75275E66" w14:textId="24A7E102">
      <w:pPr>
        <w:pStyle w:val="JuTitle"/>
      </w:pPr>
      <w:bookmarkStart w:name="To" w:id="0"/>
      <w:r w:rsidRPr="004F1BDF">
        <w:rPr>
          <w:color w:val="000000" w:themeColor="text1"/>
        </w:rPr>
        <w:t xml:space="preserve">CASE OF </w:t>
      </w:r>
      <w:bookmarkEnd w:id="0"/>
      <w:r w:rsidRPr="004F1BDF" w:rsidR="008F4C1C">
        <w:t>MKRTCHYAN AND OTHERS v. UKRAINE</w:t>
      </w:r>
    </w:p>
    <w:p w:rsidRPr="004F1BDF" w:rsidR="008F4C1C" w:rsidP="004F1BDF" w14:paraId="7B306AB3" w14:textId="06C72BD4">
      <w:pPr>
        <w:pStyle w:val="ECHRCoverTitle4"/>
      </w:pPr>
      <w:r w:rsidRPr="004F1BDF">
        <w:t>(</w:t>
      </w:r>
      <w:r w:rsidRPr="004F1BDF">
        <w:t>Application</w:t>
      </w:r>
      <w:r w:rsidRPr="004F1BDF" w:rsidR="0018202D">
        <w:t>s</w:t>
      </w:r>
      <w:r w:rsidRPr="004F1BDF">
        <w:t xml:space="preserve"> no</w:t>
      </w:r>
      <w:r w:rsidRPr="004F1BDF" w:rsidR="0018202D">
        <w:t>s</w:t>
      </w:r>
      <w:r w:rsidRPr="004F1BDF">
        <w:t>. 34801/23 and 2 others –</w:t>
      </w:r>
    </w:p>
    <w:p w:rsidRPr="004F1BDF" w:rsidR="006D324D" w:rsidP="004F1BDF" w14:paraId="53B05DAC" w14:textId="21E91C37">
      <w:pPr>
        <w:pStyle w:val="ECHRCoverTitle4"/>
      </w:pPr>
      <w:r w:rsidRPr="004F1BDF">
        <w:rPr>
          <w:iCs/>
        </w:rPr>
        <w:t>see appended list</w:t>
      </w:r>
      <w:r w:rsidRPr="004F1BDF">
        <w:t>)</w:t>
      </w:r>
    </w:p>
    <w:p w:rsidRPr="004F1BDF" w:rsidR="006D324D" w:rsidP="004F1BDF" w14:paraId="30067F48" w14:textId="77777777">
      <w:pPr>
        <w:pStyle w:val="DecHCase"/>
      </w:pPr>
    </w:p>
    <w:p w:rsidRPr="004F1BDF" w:rsidR="006D324D" w:rsidP="004F1BDF" w14:paraId="044DB7F0" w14:textId="77777777">
      <w:pPr>
        <w:pStyle w:val="DecHCase"/>
      </w:pPr>
    </w:p>
    <w:p w:rsidRPr="004F1BDF" w:rsidR="00606600" w:rsidP="004F1BDF" w14:paraId="3496304E" w14:textId="77777777">
      <w:pPr>
        <w:pStyle w:val="DecHCase"/>
      </w:pPr>
    </w:p>
    <w:p w:rsidRPr="004F1BDF" w:rsidR="00606600" w:rsidP="004F1BDF" w14:paraId="00C7EA12" w14:textId="77777777">
      <w:pPr>
        <w:pStyle w:val="DecHCase"/>
      </w:pPr>
    </w:p>
    <w:p w:rsidRPr="004F1BDF" w:rsidR="00606600" w:rsidP="004F1BDF" w14:paraId="106B5DD4" w14:textId="77777777">
      <w:pPr>
        <w:pStyle w:val="DecHCase"/>
      </w:pPr>
    </w:p>
    <w:p w:rsidRPr="004F1BDF" w:rsidR="00606600" w:rsidP="004F1BDF" w14:paraId="01FB44B8" w14:textId="77777777">
      <w:pPr>
        <w:pStyle w:val="DecHCase"/>
      </w:pPr>
    </w:p>
    <w:p w:rsidRPr="004F1BDF" w:rsidR="00606600" w:rsidP="004F1BDF" w14:paraId="1F87F663" w14:textId="77777777">
      <w:pPr>
        <w:pStyle w:val="DecHCase"/>
      </w:pPr>
      <w:r w:rsidRPr="004F1BDF">
        <w:t>JUDGMENT</w:t>
      </w:r>
    </w:p>
    <w:p w:rsidRPr="004F1BDF" w:rsidR="00606600" w:rsidP="004F1BDF" w14:paraId="3E040441" w14:textId="77777777">
      <w:pPr>
        <w:jc w:val="center"/>
        <w:rPr>
          <w:i/>
        </w:rPr>
      </w:pPr>
    </w:p>
    <w:p w:rsidRPr="004F1BDF" w:rsidR="00606600" w:rsidP="004F1BDF" w14:paraId="3B240100" w14:textId="77777777">
      <w:pPr>
        <w:pStyle w:val="DecHCase"/>
      </w:pPr>
      <w:r w:rsidRPr="004F1BDF">
        <w:t>STRASBOURG</w:t>
      </w:r>
    </w:p>
    <w:p w:rsidRPr="004F1BDF" w:rsidR="00606600" w:rsidP="004F1BDF" w14:paraId="6F4734D0" w14:textId="6DF79717">
      <w:pPr>
        <w:pStyle w:val="DecHCase"/>
      </w:pPr>
      <w:r w:rsidRPr="004F1BDF">
        <w:t>6 March 2025</w:t>
      </w:r>
    </w:p>
    <w:p w:rsidRPr="004F1BDF" w:rsidR="00606600" w:rsidP="004F1BDF" w14:paraId="19C20B46" w14:textId="77777777">
      <w:pPr>
        <w:jc w:val="center"/>
      </w:pPr>
    </w:p>
    <w:p w:rsidRPr="004F1BDF" w:rsidR="00606600" w:rsidP="004F1BDF" w14:paraId="44372BB6" w14:textId="77777777">
      <w:pPr>
        <w:rPr>
          <w:sz w:val="22"/>
          <w:szCs w:val="22"/>
        </w:rPr>
      </w:pPr>
      <w:r w:rsidRPr="004F1BDF">
        <w:rPr>
          <w:i/>
          <w:sz w:val="22"/>
          <w:szCs w:val="22"/>
        </w:rPr>
        <w:t xml:space="preserve">This judgment is </w:t>
      </w:r>
      <w:r w:rsidRPr="004F1BDF">
        <w:rPr>
          <w:i/>
          <w:sz w:val="22"/>
          <w:szCs w:val="22"/>
        </w:rPr>
        <w:t>final</w:t>
      </w:r>
      <w:r w:rsidRPr="004F1BDF">
        <w:rPr>
          <w:i/>
          <w:sz w:val="22"/>
          <w:szCs w:val="22"/>
        </w:rPr>
        <w:t xml:space="preserve"> but it may be subject to editorial revision.</w:t>
      </w:r>
    </w:p>
    <w:p w:rsidRPr="004F1BDF" w:rsidR="00606600" w:rsidP="004F1BDF" w14:paraId="1394B033"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F1BDF" w:rsidR="00606600" w:rsidP="004F1BDF" w14:paraId="4A384827" w14:textId="699960AA">
      <w:pPr>
        <w:pStyle w:val="JuCase"/>
        <w:rPr>
          <w:bCs/>
        </w:rPr>
      </w:pPr>
      <w:r w:rsidRPr="004F1BDF">
        <w:t xml:space="preserve">In the case of </w:t>
      </w:r>
      <w:r w:rsidRPr="004F1BDF" w:rsidR="008F4C1C">
        <w:t xml:space="preserve">Mkrtchyan and </w:t>
      </w:r>
      <w:r w:rsidRPr="004F1BDF" w:rsidR="009A52F7">
        <w:t>O</w:t>
      </w:r>
      <w:r w:rsidRPr="004F1BDF" w:rsidR="008F4C1C">
        <w:t>thers v. Ukraine</w:t>
      </w:r>
      <w:r w:rsidRPr="004F1BDF">
        <w:t>,</w:t>
      </w:r>
    </w:p>
    <w:p w:rsidRPr="004F1BDF" w:rsidR="00606600" w:rsidP="004F1BDF" w14:paraId="6C34DFC6" w14:textId="7014399E">
      <w:pPr>
        <w:pStyle w:val="JuPara"/>
      </w:pPr>
      <w:r w:rsidRPr="004F1BDF">
        <w:t>The European Court of Human Rights (</w:t>
      </w:r>
      <w:r w:rsidRPr="004F1BDF" w:rsidR="008F4C1C">
        <w:t>Fifth Section</w:t>
      </w:r>
      <w:r w:rsidRPr="004F1BDF">
        <w:t>), sitting as a Committee composed of:</w:t>
      </w:r>
    </w:p>
    <w:p w:rsidRPr="004F1BDF" w:rsidR="002C5B23" w:rsidP="004F1BDF" w14:paraId="4379A671" w14:textId="62214954">
      <w:pPr>
        <w:pStyle w:val="JuJudges"/>
      </w:pPr>
      <w:r w:rsidRPr="004F1BDF">
        <w:tab/>
        <w:t xml:space="preserve">Diana </w:t>
      </w:r>
      <w:r w:rsidRPr="004F1BDF">
        <w:t>Sârcu</w:t>
      </w:r>
      <w:r w:rsidRPr="004F1BDF">
        <w:rPr>
          <w:i/>
        </w:rPr>
        <w:t>, President</w:t>
      </w:r>
      <w:r w:rsidRPr="004F1BDF">
        <w:t>,</w:t>
      </w:r>
      <w:r w:rsidRPr="004F1BDF">
        <w:br/>
      </w:r>
      <w:r w:rsidRPr="004F1BDF">
        <w:tab/>
      </w:r>
      <w:r w:rsidRPr="004F1BDF">
        <w:t>Kateřina</w:t>
      </w:r>
      <w:r w:rsidRPr="004F1BDF">
        <w:t xml:space="preserve"> </w:t>
      </w:r>
      <w:r w:rsidRPr="004F1BDF">
        <w:t>Šimáčková</w:t>
      </w:r>
      <w:r w:rsidRPr="004F1BDF">
        <w:t>,</w:t>
      </w:r>
      <w:r w:rsidRPr="004F1BDF">
        <w:br/>
      </w:r>
      <w:r w:rsidRPr="004F1BDF">
        <w:tab/>
        <w:t>Mykola Gnatovskyy</w:t>
      </w:r>
      <w:r w:rsidRPr="004F1BDF">
        <w:rPr>
          <w:i/>
        </w:rPr>
        <w:t>, judges</w:t>
      </w:r>
      <w:r w:rsidRPr="004F1BDF">
        <w:t>,</w:t>
      </w:r>
    </w:p>
    <w:p w:rsidRPr="004F1BDF" w:rsidR="00606600" w:rsidP="004F1BDF" w14:paraId="2CF30C1A" w14:textId="3AEA8B6C">
      <w:pPr>
        <w:pStyle w:val="JuJudges"/>
      </w:pPr>
      <w:r w:rsidRPr="004F1BDF">
        <w:t xml:space="preserve">and </w:t>
      </w:r>
      <w:r w:rsidRPr="004F1BDF" w:rsidR="008F4C1C">
        <w:t>Viktoriya</w:t>
      </w:r>
      <w:r w:rsidRPr="004F1BDF">
        <w:t xml:space="preserve"> </w:t>
      </w:r>
      <w:r w:rsidRPr="004F1BDF" w:rsidR="008F4C1C">
        <w:t>Maradudina</w:t>
      </w:r>
      <w:r w:rsidRPr="004F1BDF" w:rsidR="00555A1D">
        <w:t>,</w:t>
      </w:r>
      <w:r w:rsidRPr="004F1BDF">
        <w:t xml:space="preserve"> </w:t>
      </w:r>
      <w:r w:rsidRPr="004F1BDF">
        <w:rPr>
          <w:i/>
        </w:rPr>
        <w:t>Acting</w:t>
      </w:r>
      <w:r w:rsidRPr="004F1BDF">
        <w:t xml:space="preserve"> </w:t>
      </w:r>
      <w:r w:rsidRPr="004F1BDF">
        <w:rPr>
          <w:rFonts w:cstheme="minorHAnsi"/>
          <w:i/>
        </w:rPr>
        <w:t>Deputy Section Registrar</w:t>
      </w:r>
      <w:r w:rsidRPr="004F1BDF">
        <w:rPr>
          <w:i/>
        </w:rPr>
        <w:t>,</w:t>
      </w:r>
    </w:p>
    <w:p w:rsidRPr="004F1BDF" w:rsidR="00606600" w:rsidP="004F1BDF" w14:paraId="03240D20" w14:textId="1B75237F">
      <w:pPr>
        <w:pStyle w:val="JuPara"/>
      </w:pPr>
      <w:r w:rsidRPr="004F1BDF">
        <w:t xml:space="preserve">Having deliberated in private on </w:t>
      </w:r>
      <w:r w:rsidRPr="004F1BDF" w:rsidR="0018202D">
        <w:t>6 February 2025</w:t>
      </w:r>
      <w:r w:rsidRPr="004F1BDF">
        <w:t>,</w:t>
      </w:r>
    </w:p>
    <w:p w:rsidRPr="004F1BDF" w:rsidR="00606600" w:rsidP="004F1BDF" w14:paraId="191849A3" w14:textId="77777777">
      <w:pPr>
        <w:pStyle w:val="JuPara"/>
      </w:pPr>
      <w:r w:rsidRPr="004F1BDF">
        <w:t>Delivers the following judgment, which was adopted on that date:</w:t>
      </w:r>
    </w:p>
    <w:p w:rsidRPr="004F1BDF" w:rsidR="008F4C1C" w:rsidP="004F1BDF" w14:paraId="53CDB0DB" w14:textId="77777777">
      <w:pPr>
        <w:pStyle w:val="JuHHead"/>
      </w:pPr>
      <w:bookmarkStart w:name="ITMARKStartJudgment" w:id="1"/>
      <w:bookmarkEnd w:id="1"/>
      <w:r w:rsidRPr="004F1BDF">
        <w:t>PROCEDURE</w:t>
      </w:r>
    </w:p>
    <w:p w:rsidRPr="004F1BDF" w:rsidR="008F4C1C" w:rsidP="004F1BDF" w14:paraId="1506ACB6" w14:textId="30C5DB17">
      <w:pPr>
        <w:pStyle w:val="JuPara"/>
      </w:pPr>
      <w:r w:rsidRPr="004F1BDF">
        <w:fldChar w:fldCharType="begin"/>
      </w:r>
      <w:r w:rsidRPr="004F1BDF">
        <w:instrText xml:space="preserve"> SEQ level0 \*arabic \* MERGEFORMAT </w:instrText>
      </w:r>
      <w:r w:rsidRPr="004F1BDF">
        <w:fldChar w:fldCharType="separate"/>
      </w:r>
      <w:r w:rsidRPr="004F1BDF">
        <w:rPr>
          <w:noProof/>
        </w:rPr>
        <w:t>1</w:t>
      </w:r>
      <w:r w:rsidRPr="004F1BDF">
        <w:fldChar w:fldCharType="end"/>
      </w:r>
      <w:r w:rsidRPr="004F1BDF">
        <w:t xml:space="preserve">.  The case originated in applications against Ukraine lodged with the Court under Article 34 of the Convention for the Protection of Human Rights and Fundamental Freedoms (“the Convention”) on </w:t>
      </w:r>
      <w:r w:rsidRPr="004F1BDF">
        <w:rPr>
          <w:rFonts w:eastAsia="PMingLiU"/>
        </w:rPr>
        <w:t>the various dates indicated in the appended table</w:t>
      </w:r>
      <w:r w:rsidRPr="004F1BDF">
        <w:t>.</w:t>
      </w:r>
    </w:p>
    <w:p w:rsidRPr="004F1BDF" w:rsidR="008F4C1C" w:rsidP="004F1BDF" w14:paraId="3C1C6BDA" w14:textId="0292841D">
      <w:pPr>
        <w:pStyle w:val="JuPara"/>
      </w:pPr>
      <w:r w:rsidRPr="004F1BDF">
        <w:rPr>
          <w:rFonts w:cs="Times New Roman"/>
        </w:rPr>
        <w:fldChar w:fldCharType="begin"/>
      </w:r>
      <w:r w:rsidRPr="004F1BDF">
        <w:rPr>
          <w:rFonts w:cs="Times New Roman"/>
        </w:rPr>
        <w:instrText xml:space="preserve"> SEQ level0 \*arabic \* MERGEFORMAT </w:instrText>
      </w:r>
      <w:r w:rsidRPr="004F1BDF">
        <w:rPr>
          <w:rFonts w:cs="Times New Roman"/>
        </w:rPr>
        <w:fldChar w:fldCharType="separate"/>
      </w:r>
      <w:r w:rsidRPr="004F1BDF" w:rsidR="004F1BDF">
        <w:rPr>
          <w:rFonts w:cs="Times New Roman"/>
          <w:noProof/>
        </w:rPr>
        <w:t>2</w:t>
      </w:r>
      <w:r w:rsidRPr="004F1BDF">
        <w:rPr>
          <w:rFonts w:cs="Times New Roman"/>
        </w:rPr>
        <w:fldChar w:fldCharType="end"/>
      </w:r>
      <w:r w:rsidRPr="004F1BDF">
        <w:rPr>
          <w:rFonts w:cs="Times New Roman"/>
        </w:rPr>
        <w:t>.  </w:t>
      </w:r>
      <w:r w:rsidRPr="004F1BDF">
        <w:t>The Ukrainian Government (“the Government”) were given notice of the applications.</w:t>
      </w:r>
    </w:p>
    <w:p w:rsidRPr="004F1BDF" w:rsidR="008F4C1C" w:rsidP="004F1BDF" w14:paraId="29626AB4" w14:textId="77777777">
      <w:pPr>
        <w:pStyle w:val="JuHHead"/>
      </w:pPr>
      <w:r w:rsidRPr="004F1BDF">
        <w:t>THE FACTS</w:t>
      </w:r>
    </w:p>
    <w:p w:rsidRPr="004F1BDF" w:rsidR="008F4C1C" w:rsidP="004F1BDF" w14:paraId="3FA4536F" w14:textId="3248A1E0">
      <w:pPr>
        <w:pStyle w:val="JuPara"/>
      </w:pPr>
      <w:r w:rsidRPr="004F1BDF">
        <w:fldChar w:fldCharType="begin"/>
      </w:r>
      <w:r w:rsidRPr="004F1BDF">
        <w:instrText xml:space="preserve"> SEQ level0 \*arabic \* MERGEFORMAT </w:instrText>
      </w:r>
      <w:r w:rsidRPr="004F1BDF">
        <w:fldChar w:fldCharType="separate"/>
      </w:r>
      <w:r w:rsidRPr="004F1BDF">
        <w:rPr>
          <w:noProof/>
        </w:rPr>
        <w:t>3</w:t>
      </w:r>
      <w:r w:rsidRPr="004F1BDF">
        <w:fldChar w:fldCharType="end"/>
      </w:r>
      <w:r w:rsidRPr="004F1BDF">
        <w:t>.  </w:t>
      </w:r>
      <w:r w:rsidRPr="004F1BDF">
        <w:rPr>
          <w:rFonts w:eastAsia="PMingLiU"/>
        </w:rPr>
        <w:t>The list of applicant</w:t>
      </w:r>
      <w:r w:rsidRPr="004F1BDF">
        <w:t>s and the relevant details of the applications are set out in the appended table.</w:t>
      </w:r>
    </w:p>
    <w:p w:rsidRPr="004F1BDF" w:rsidR="008F4C1C" w:rsidP="004F1BDF" w14:paraId="1E218D36" w14:textId="1A25A78D">
      <w:pPr>
        <w:pStyle w:val="JuPara"/>
        <w:rPr>
          <w:bCs/>
        </w:rPr>
      </w:pPr>
      <w:r w:rsidRPr="004F1BDF">
        <w:fldChar w:fldCharType="begin"/>
      </w:r>
      <w:r w:rsidRPr="004F1BDF">
        <w:instrText xml:space="preserve"> SEQ level0 \*arabic \* MERGEFORMAT </w:instrText>
      </w:r>
      <w:r w:rsidRPr="004F1BDF">
        <w:fldChar w:fldCharType="separate"/>
      </w:r>
      <w:r w:rsidRPr="004F1BDF">
        <w:rPr>
          <w:noProof/>
        </w:rPr>
        <w:t>4</w:t>
      </w:r>
      <w:r w:rsidRPr="004F1BDF">
        <w:fldChar w:fldCharType="end"/>
      </w:r>
      <w:r w:rsidRPr="004F1BDF">
        <w:t>.  </w:t>
      </w:r>
      <w:r w:rsidRPr="004F1BDF">
        <w:rPr>
          <w:bCs/>
        </w:rPr>
        <w:t>The applicant</w:t>
      </w:r>
      <w:r w:rsidRPr="004F1BDF">
        <w:rPr>
          <w:rFonts w:eastAsia="PMingLiU"/>
        </w:rPr>
        <w:t>s</w:t>
      </w:r>
      <w:r w:rsidRPr="004F1BDF">
        <w:rPr>
          <w:bCs/>
        </w:rPr>
        <w:t xml:space="preserve"> complained of the excessive length of </w:t>
      </w:r>
      <w:r w:rsidRPr="004F1BDF">
        <w:rPr>
          <w:rFonts w:eastAsia="PMingLiU"/>
        </w:rPr>
        <w:t>their</w:t>
      </w:r>
      <w:r w:rsidRPr="004F1BDF">
        <w:rPr>
          <w:bCs/>
        </w:rPr>
        <w:t xml:space="preserve"> pre-trial detention</w:t>
      </w:r>
      <w:r w:rsidRPr="004F1BDF">
        <w:rPr>
          <w:rFonts w:cstheme="minorHAnsi"/>
          <w:bCs/>
          <w:color w:val="000000"/>
        </w:rPr>
        <w:t>.</w:t>
      </w:r>
      <w:r w:rsidRPr="004F1BDF">
        <w:rPr>
          <w:rFonts w:cstheme="minorHAnsi"/>
        </w:rPr>
        <w:t xml:space="preserve"> </w:t>
      </w:r>
      <w:r w:rsidRPr="004F1BDF">
        <w:t>Some applicants also raised other complaints under the provisions of the Convention.</w:t>
      </w:r>
    </w:p>
    <w:p w:rsidRPr="004F1BDF" w:rsidR="008F4C1C" w:rsidP="004F1BDF" w14:paraId="083319D3" w14:textId="77777777">
      <w:pPr>
        <w:pStyle w:val="JuHHead"/>
      </w:pPr>
      <w:r w:rsidRPr="004F1BDF">
        <w:t>THE LAW</w:t>
      </w:r>
    </w:p>
    <w:p w:rsidRPr="004F1BDF" w:rsidR="008F4C1C" w:rsidP="004F1BDF" w14:paraId="2B7278E3" w14:textId="77777777">
      <w:pPr>
        <w:pStyle w:val="JuHIRoman"/>
      </w:pPr>
      <w:r w:rsidRPr="004F1BDF">
        <w:t>JOINDER OF THE APPLICATIONS</w:t>
      </w:r>
    </w:p>
    <w:p w:rsidRPr="004F1BDF" w:rsidR="008F4C1C" w:rsidP="004F1BDF" w14:paraId="61947002" w14:textId="60CF3923">
      <w:pPr>
        <w:pStyle w:val="JuPara"/>
      </w:pPr>
      <w:r w:rsidRPr="004F1BDF">
        <w:fldChar w:fldCharType="begin"/>
      </w:r>
      <w:r w:rsidRPr="004F1BDF">
        <w:instrText xml:space="preserve"> SEQ level0 \*arabic \* MERGEFORMAT </w:instrText>
      </w:r>
      <w:r w:rsidRPr="004F1BDF">
        <w:fldChar w:fldCharType="separate"/>
      </w:r>
      <w:r w:rsidRPr="004F1BDF">
        <w:rPr>
          <w:noProof/>
        </w:rPr>
        <w:t>5</w:t>
      </w:r>
      <w:r w:rsidRPr="004F1BDF">
        <w:fldChar w:fldCharType="end"/>
      </w:r>
      <w:r w:rsidRPr="004F1BDF">
        <w:t>.  Having regard to the similar subject matter of the applications, the Court finds it appropriate to examine them jointly in a single judgment.</w:t>
      </w:r>
    </w:p>
    <w:p w:rsidRPr="004F1BDF" w:rsidR="008F4C1C" w:rsidP="004F1BDF" w14:paraId="1699EAE0" w14:textId="77777777">
      <w:pPr>
        <w:pStyle w:val="JuHIRoman"/>
        <w:rPr>
          <w:rFonts w:eastAsia="PMingLiU"/>
        </w:rPr>
      </w:pPr>
      <w:r w:rsidRPr="004F1BDF">
        <w:t>ALLEGED VIOLATION OF ARTICLE</w:t>
      </w:r>
      <w:r w:rsidRPr="004F1BDF">
        <w:rPr>
          <w:rFonts w:eastAsia="PMingLiU"/>
        </w:rPr>
        <w:t xml:space="preserve"> 5 § 3 OF THE CONVENTION</w:t>
      </w:r>
    </w:p>
    <w:p w:rsidRPr="004F1BDF" w:rsidR="008F4C1C" w:rsidP="004F1BDF" w14:paraId="29D4474D" w14:textId="747F268B">
      <w:pPr>
        <w:pStyle w:val="JuPara"/>
      </w:pPr>
      <w:r w:rsidRPr="004F1BDF">
        <w:fldChar w:fldCharType="begin"/>
      </w:r>
      <w:r w:rsidRPr="004F1BDF">
        <w:instrText xml:space="preserve"> SEQ level0 \*arabic \* MERGEFORMAT </w:instrText>
      </w:r>
      <w:r w:rsidRPr="004F1BDF">
        <w:fldChar w:fldCharType="separate"/>
      </w:r>
      <w:r w:rsidRPr="004F1BDF">
        <w:rPr>
          <w:noProof/>
        </w:rPr>
        <w:t>6</w:t>
      </w:r>
      <w:r w:rsidRPr="004F1BDF">
        <w:fldChar w:fldCharType="end"/>
      </w:r>
      <w:r w:rsidRPr="004F1BDF">
        <w:t>.  The applicant</w:t>
      </w:r>
      <w:r w:rsidRPr="004F1BDF">
        <w:rPr>
          <w:rFonts w:eastAsia="PMingLiU"/>
        </w:rPr>
        <w:t>s</w:t>
      </w:r>
      <w:r w:rsidRPr="004F1BDF">
        <w:t xml:space="preserve"> complained</w:t>
      </w:r>
      <w:r w:rsidRPr="004F1BDF">
        <w:rPr>
          <w:rFonts w:cstheme="minorHAnsi"/>
          <w:bCs/>
        </w:rPr>
        <w:t xml:space="preserve"> principally</w:t>
      </w:r>
      <w:r w:rsidRPr="004F1BDF">
        <w:rPr>
          <w:bCs/>
        </w:rPr>
        <w:t xml:space="preserve"> that </w:t>
      </w:r>
      <w:r w:rsidRPr="004F1BDF">
        <w:rPr>
          <w:rFonts w:eastAsia="PMingLiU"/>
        </w:rPr>
        <w:t>their</w:t>
      </w:r>
      <w:r w:rsidRPr="004F1BDF">
        <w:rPr>
          <w:bCs/>
        </w:rPr>
        <w:t xml:space="preserve"> pre-trial detention had been unreasonably long</w:t>
      </w:r>
      <w:r w:rsidRPr="004F1BDF">
        <w:t>. They relied on Article</w:t>
      </w:r>
      <w:r w:rsidRPr="004F1BDF">
        <w:rPr>
          <w:rFonts w:eastAsia="PMingLiU"/>
        </w:rPr>
        <w:t> 5 § 3</w:t>
      </w:r>
      <w:r w:rsidRPr="004F1BDF">
        <w:t xml:space="preserve"> of the Convention.</w:t>
      </w:r>
    </w:p>
    <w:p w:rsidRPr="004F1BDF" w:rsidR="008F4C1C" w:rsidP="004F1BDF" w14:paraId="4FC02A17" w14:textId="7944A739">
      <w:pPr>
        <w:pStyle w:val="JuPara"/>
      </w:pPr>
      <w:r w:rsidRPr="004F1BDF">
        <w:fldChar w:fldCharType="begin"/>
      </w:r>
      <w:r w:rsidRPr="004F1BDF">
        <w:instrText xml:space="preserve"> SEQ level0 \*arabic \* MERGEFORMA</w:instrText>
      </w:r>
      <w:r w:rsidRPr="004F1BDF">
        <w:instrText xml:space="preserve">T </w:instrText>
      </w:r>
      <w:r w:rsidRPr="004F1BDF">
        <w:fldChar w:fldCharType="separate"/>
      </w:r>
      <w:r w:rsidRPr="004F1BDF">
        <w:rPr>
          <w:noProof/>
        </w:rPr>
        <w:t>7</w:t>
      </w:r>
      <w:r w:rsidRPr="004F1BDF">
        <w:fldChar w:fldCharType="end"/>
      </w:r>
      <w:r w:rsidRPr="004F1BDF">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r w:rsidRPr="004F1BDF">
        <w:rPr>
          <w:i/>
        </w:rPr>
        <w:t>Kudła</w:t>
      </w:r>
      <w:r w:rsidRPr="004F1BDF">
        <w:rPr>
          <w:i/>
        </w:rPr>
        <w:t xml:space="preserve"> v. Poland </w:t>
      </w:r>
      <w:r w:rsidRPr="004F1BDF">
        <w:t>[GC], no. 30210/96, § 110, ECHR 2000</w:t>
      </w:r>
      <w:r w:rsidRPr="004F1BDF">
        <w:noBreakHyphen/>
        <w:t xml:space="preserve">XI, and </w:t>
      </w:r>
      <w:r w:rsidRPr="004F1BDF">
        <w:rPr>
          <w:i/>
        </w:rPr>
        <w:t xml:space="preserve">McKay v. the United Kingdom </w:t>
      </w:r>
      <w:r w:rsidRPr="004F1BDF">
        <w:t>[GC], no. 543/03, §§ 41-44, ECHR 2006</w:t>
      </w:r>
      <w:r w:rsidRPr="004F1BDF">
        <w:noBreakHyphen/>
        <w:t>X, with further references).</w:t>
      </w:r>
    </w:p>
    <w:p w:rsidRPr="004F1BDF" w:rsidR="008F4C1C" w:rsidP="004F1BDF" w14:paraId="1A1B9B62" w14:textId="13EE0906">
      <w:pPr>
        <w:pStyle w:val="JuPara"/>
      </w:pPr>
      <w:r w:rsidRPr="004F1BDF">
        <w:fldChar w:fldCharType="begin"/>
      </w:r>
      <w:r w:rsidRPr="004F1BDF">
        <w:instrText xml:space="preserve"> SEQ level0 \*arabic \* MERGEFORMAT </w:instrText>
      </w:r>
      <w:r w:rsidRPr="004F1BDF">
        <w:fldChar w:fldCharType="separate"/>
      </w:r>
      <w:r w:rsidRPr="004F1BDF">
        <w:rPr>
          <w:noProof/>
        </w:rPr>
        <w:t>8</w:t>
      </w:r>
      <w:r w:rsidRPr="004F1BDF">
        <w:fldChar w:fldCharType="end"/>
      </w:r>
      <w:r w:rsidRPr="004F1BDF">
        <w:t xml:space="preserve">.  In the leading cases of </w:t>
      </w:r>
      <w:r w:rsidRPr="004F1BDF">
        <w:rPr>
          <w:i/>
        </w:rPr>
        <w:t>Kharchenko</w:t>
      </w:r>
      <w:r w:rsidRPr="004F1BDF">
        <w:rPr>
          <w:i/>
        </w:rPr>
        <w:t xml:space="preserve"> v. Ukraine </w:t>
      </w:r>
      <w:r w:rsidRPr="004F1BDF">
        <w:rPr>
          <w:iCs/>
        </w:rPr>
        <w:t>(</w:t>
      </w:r>
      <w:r w:rsidRPr="004F1BDF">
        <w:t>no.</w:t>
      </w:r>
      <w:r w:rsidRPr="004F1BDF" w:rsidR="0018202D">
        <w:t> </w:t>
      </w:r>
      <w:r w:rsidRPr="004F1BDF">
        <w:t xml:space="preserve">40107/02, 10 February 2011) and </w:t>
      </w:r>
      <w:r w:rsidRPr="004F1BDF">
        <w:rPr>
          <w:i/>
        </w:rPr>
        <w:t xml:space="preserve">Ignatov v. Ukraine </w:t>
      </w:r>
      <w:r w:rsidRPr="004F1BDF">
        <w:rPr>
          <w:iCs/>
        </w:rPr>
        <w:t>(</w:t>
      </w:r>
      <w:r w:rsidRPr="004F1BDF">
        <w:t>no. 40583/15, 15</w:t>
      </w:r>
      <w:r w:rsidRPr="004F1BDF" w:rsidR="0018202D">
        <w:t> </w:t>
      </w:r>
      <w:r w:rsidRPr="004F1BDF">
        <w:t xml:space="preserve">December 2016), the Court already found a violation in respect of issues </w:t>
      </w:r>
      <w:r w:rsidRPr="004F1BDF">
        <w:t>similar to</w:t>
      </w:r>
      <w:r w:rsidRPr="004F1BDF">
        <w:t xml:space="preserve"> those in the present case.</w:t>
      </w:r>
    </w:p>
    <w:p w:rsidRPr="004F1BDF" w:rsidR="008F4C1C" w:rsidP="004F1BDF" w14:paraId="3024CF13" w14:textId="717B4228">
      <w:pPr>
        <w:pStyle w:val="JuPara"/>
      </w:pPr>
      <w:r w:rsidRPr="004F1BDF">
        <w:fldChar w:fldCharType="begin"/>
      </w:r>
      <w:r w:rsidRPr="004F1BDF">
        <w:instrText xml:space="preserve"> SEQ level0 \*arabic \* MERGEFORMAT </w:instrText>
      </w:r>
      <w:r w:rsidRPr="004F1BDF">
        <w:fldChar w:fldCharType="separate"/>
      </w:r>
      <w:r w:rsidRPr="004F1BDF">
        <w:rPr>
          <w:noProof/>
        </w:rPr>
        <w:t>9</w:t>
      </w:r>
      <w:r w:rsidRPr="004F1BDF">
        <w:fldChar w:fldCharType="end"/>
      </w:r>
      <w:r w:rsidRPr="004F1BDF">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4F1BDF">
        <w:rPr>
          <w:rFonts w:eastAsia="PMingLiU"/>
        </w:rPr>
        <w:t>s</w:t>
      </w:r>
      <w:r w:rsidRPr="004F1BDF">
        <w:t>’</w:t>
      </w:r>
      <w:r w:rsidRPr="004F1BDF">
        <w:t xml:space="preserve"> pre-trial detention was excessive.</w:t>
      </w:r>
    </w:p>
    <w:p w:rsidRPr="004F1BDF" w:rsidR="008F4C1C" w:rsidP="004F1BDF" w14:paraId="0F28E8E4" w14:textId="1237CC46">
      <w:pPr>
        <w:pStyle w:val="JuPara"/>
      </w:pPr>
      <w:r w:rsidRPr="004F1BDF">
        <w:fldChar w:fldCharType="begin"/>
      </w:r>
      <w:r w:rsidRPr="004F1BDF">
        <w:instrText xml:space="preserve"> SEQ level0 \*arabic \* MERGEFORMAT </w:instrText>
      </w:r>
      <w:r w:rsidRPr="004F1BDF">
        <w:fldChar w:fldCharType="separate"/>
      </w:r>
      <w:r w:rsidRPr="004F1BDF">
        <w:rPr>
          <w:noProof/>
        </w:rPr>
        <w:t>10</w:t>
      </w:r>
      <w:r w:rsidRPr="004F1BDF">
        <w:fldChar w:fldCharType="end"/>
      </w:r>
      <w:r w:rsidRPr="004F1BDF">
        <w:t>.  These complaints are therefore admissible and disclose a breach of Article</w:t>
      </w:r>
      <w:r w:rsidRPr="004F1BDF">
        <w:rPr>
          <w:rFonts w:eastAsia="PMingLiU"/>
        </w:rPr>
        <w:t> 5</w:t>
      </w:r>
      <w:r w:rsidRPr="004F1BDF">
        <w:rPr>
          <w:rFonts w:eastAsia="PMingLiU"/>
        </w:rPr>
        <w:t xml:space="preserve"> </w:t>
      </w:r>
      <w:r w:rsidRPr="004F1BDF">
        <w:rPr>
          <w:rFonts w:eastAsia="PMingLiU"/>
        </w:rPr>
        <w:t>§ 3</w:t>
      </w:r>
      <w:r w:rsidRPr="004F1BDF">
        <w:t xml:space="preserve"> of the Convention.</w:t>
      </w:r>
    </w:p>
    <w:p w:rsidRPr="004F1BDF" w:rsidR="008F4C1C" w:rsidP="004F1BDF" w14:paraId="2F7B3644" w14:textId="77777777">
      <w:pPr>
        <w:pStyle w:val="JuHIRoman"/>
        <w:rPr>
          <w:rFonts w:eastAsia="PMingLiU"/>
          <w:lang w:eastAsia="en-GB"/>
        </w:rPr>
      </w:pPr>
      <w:r w:rsidRPr="004F1BDF">
        <w:t>OTHER ALLEGED VIOLATIONS UNDER WELL-ESTABLISHED CASE-LAW</w:t>
      </w:r>
    </w:p>
    <w:p w:rsidRPr="004F1BDF" w:rsidR="008F4C1C" w:rsidP="004F1BDF" w14:paraId="24DD9477" w14:textId="5A7DCC8E">
      <w:pPr>
        <w:pStyle w:val="JuPara"/>
        <w:rPr>
          <w:snapToGrid w:val="0"/>
        </w:rPr>
      </w:pPr>
      <w:r w:rsidRPr="004F1BDF">
        <w:fldChar w:fldCharType="begin"/>
      </w:r>
      <w:r w:rsidRPr="004F1BDF">
        <w:instrText xml:space="preserve"> SEQ level0 \*arabic \* MERGEFORMAT </w:instrText>
      </w:r>
      <w:r w:rsidRPr="004F1BDF">
        <w:fldChar w:fldCharType="separate"/>
      </w:r>
      <w:r w:rsidRPr="004F1BDF">
        <w:rPr>
          <w:noProof/>
        </w:rPr>
        <w:t>11</w:t>
      </w:r>
      <w:r w:rsidRPr="004F1BDF">
        <w:fldChar w:fldCharType="end"/>
      </w:r>
      <w:r w:rsidRPr="004F1BDF">
        <w:t>.  In application no. 34801/23, the applicant submitted other complaints which also raised issues under the Convention, given the relevant well</w:t>
      </w:r>
      <w:r w:rsidRPr="004F1BDF" w:rsidR="0018202D">
        <w:noBreakHyphen/>
      </w:r>
      <w:r w:rsidRPr="004F1BDF">
        <w:t>established case-law of the Court (see appended table). These complaints are not manifestly ill-founded within the meaning of Article 35</w:t>
      </w:r>
      <w:r w:rsidRPr="004F1BDF">
        <w:t xml:space="preserve"> </w:t>
      </w:r>
      <w:r w:rsidRPr="004F1BDF">
        <w:t>§ 3 (a) of the Convention, nor are they inadmissible on any other ground. Accordingly, they must be declared admissible. Having examined all the material before it, the Court concludes that they also disclose violations of the Convention in the light of its findings in the application listed in the appended table</w:t>
      </w:r>
      <w:r w:rsidRPr="004F1BDF">
        <w:rPr>
          <w:snapToGrid w:val="0"/>
        </w:rPr>
        <w:t>.</w:t>
      </w:r>
    </w:p>
    <w:p w:rsidRPr="004F1BDF" w:rsidR="008F4C1C" w:rsidP="004F1BDF" w14:paraId="639550D3" w14:textId="77777777">
      <w:pPr>
        <w:pStyle w:val="JuHIRoman"/>
      </w:pPr>
      <w:r w:rsidRPr="004F1BDF">
        <w:t>REMAINING COMPLAINTS</w:t>
      </w:r>
    </w:p>
    <w:p w:rsidRPr="004F1BDF" w:rsidR="008F4C1C" w:rsidP="004F1BDF" w14:paraId="724AA64F" w14:textId="0E38AC9D">
      <w:pPr>
        <w:pStyle w:val="JuPara"/>
      </w:pPr>
      <w:r w:rsidRPr="004F1BDF">
        <w:fldChar w:fldCharType="begin"/>
      </w:r>
      <w:r w:rsidRPr="004F1BDF">
        <w:instrText xml:space="preserve"> SEQ level0 \*arabic \* MERGEFORMAT </w:instrText>
      </w:r>
      <w:r w:rsidRPr="004F1BDF">
        <w:fldChar w:fldCharType="separate"/>
      </w:r>
      <w:r w:rsidRPr="004F1BDF">
        <w:rPr>
          <w:noProof/>
        </w:rPr>
        <w:t>12</w:t>
      </w:r>
      <w:r w:rsidRPr="004F1BDF">
        <w:fldChar w:fldCharType="end"/>
      </w:r>
      <w:r w:rsidRPr="004F1BDF">
        <w:t>.  In application no. 7240/24, the applicant made additional complaints under Article 5 of the Convention.</w:t>
      </w:r>
    </w:p>
    <w:p w:rsidRPr="004F1BDF" w:rsidR="008F4C1C" w:rsidP="004F1BDF" w14:paraId="34DB27F9" w14:textId="4191711E">
      <w:pPr>
        <w:pStyle w:val="JuPara"/>
      </w:pPr>
      <w:r w:rsidRPr="004F1BDF">
        <w:fldChar w:fldCharType="begin"/>
      </w:r>
      <w:r w:rsidRPr="004F1BDF">
        <w:instrText xml:space="preserve"> SEQ level0 \*arabic \* MERGEFORMAT </w:instrText>
      </w:r>
      <w:r w:rsidRPr="004F1BDF">
        <w:fldChar w:fldCharType="separate"/>
      </w:r>
      <w:r w:rsidRPr="004F1BDF">
        <w:rPr>
          <w:noProof/>
        </w:rPr>
        <w:t>13</w:t>
      </w:r>
      <w:r w:rsidRPr="004F1BDF">
        <w:fldChar w:fldCharType="end"/>
      </w:r>
      <w:r w:rsidRPr="004F1BDF">
        <w:t>.  The Court has examined the application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4F1BDF" w:rsidR="008F4C1C" w:rsidP="004F1BDF" w14:paraId="56995E49" w14:textId="77777777">
      <w:pPr>
        <w:pStyle w:val="JuPara"/>
      </w:pPr>
      <w:r w:rsidRPr="004F1BDF">
        <w:t>It follows that this part of the application must be rejected in accordance with Article 35 § 4 of the Convention.</w:t>
      </w:r>
    </w:p>
    <w:p w:rsidRPr="004F1BDF" w:rsidR="008F4C1C" w:rsidP="004F1BDF" w14:paraId="54C306C3" w14:textId="77777777">
      <w:pPr>
        <w:pStyle w:val="JuHIRoman"/>
      </w:pPr>
      <w:r w:rsidRPr="004F1BDF">
        <w:t>APPLICATION OF ARTICLE 41 OF THE CONVENTION</w:t>
      </w:r>
    </w:p>
    <w:p w:rsidRPr="004F1BDF" w:rsidR="008F4C1C" w:rsidP="004F1BDF" w14:paraId="58E7446D" w14:textId="2A9CC183">
      <w:pPr>
        <w:pStyle w:val="JuPara"/>
      </w:pPr>
      <w:r w:rsidRPr="004F1BDF">
        <w:fldChar w:fldCharType="begin"/>
      </w:r>
      <w:r w:rsidRPr="004F1BDF">
        <w:instrText xml:space="preserve"> SEQ level0 \*arabic \* MERGEFORMAT </w:instrText>
      </w:r>
      <w:r w:rsidRPr="004F1BDF">
        <w:fldChar w:fldCharType="separate"/>
      </w:r>
      <w:r w:rsidRPr="004F1BDF">
        <w:rPr>
          <w:noProof/>
        </w:rPr>
        <w:t>14</w:t>
      </w:r>
      <w:r w:rsidRPr="004F1BDF">
        <w:fldChar w:fldCharType="end"/>
      </w:r>
      <w:r w:rsidRPr="004F1BDF">
        <w:t>.  Regard being had to the documents in its possession and to its case</w:t>
      </w:r>
      <w:r w:rsidRPr="004F1BDF">
        <w:noBreakHyphen/>
        <w:t>law (see</w:t>
      </w:r>
      <w:r w:rsidRPr="004F1BDF">
        <w:t xml:space="preserve">, in particular, </w:t>
      </w:r>
      <w:r w:rsidRPr="004F1BDF">
        <w:rPr>
          <w:i/>
        </w:rPr>
        <w:t>Ignatov</w:t>
      </w:r>
      <w:r w:rsidRPr="004F1BDF">
        <w:rPr>
          <w:i/>
        </w:rPr>
        <w:t xml:space="preserve"> v. Ukraine, </w:t>
      </w:r>
      <w:r w:rsidRPr="004F1BDF">
        <w:t>no. 40583/15, 15</w:t>
      </w:r>
      <w:r w:rsidRPr="004F1BDF" w:rsidR="0018202D">
        <w:t> </w:t>
      </w:r>
      <w:r w:rsidRPr="004F1BDF">
        <w:t>December 2016), the Court considers it reasonable to award the sums indicated in the appended table.</w:t>
      </w:r>
    </w:p>
    <w:p w:rsidRPr="004F1BDF" w:rsidR="008F4C1C" w:rsidP="004F1BDF" w14:paraId="3B38DE6B" w14:textId="77777777">
      <w:pPr>
        <w:pStyle w:val="JuHHead"/>
      </w:pPr>
      <w:r w:rsidRPr="004F1BDF">
        <w:t>FOR THESE REASONS, THE COURT</w:t>
      </w:r>
      <w:r w:rsidRPr="004F1BDF">
        <w:rPr>
          <w:color w:val="000000"/>
        </w:rPr>
        <w:t>,</w:t>
      </w:r>
      <w:r w:rsidRPr="004F1BDF">
        <w:t xml:space="preserve"> UNANIMOUSLY,</w:t>
      </w:r>
    </w:p>
    <w:p w:rsidRPr="004F1BDF" w:rsidR="008F4C1C" w:rsidP="004F1BDF" w14:paraId="0FB97A07" w14:textId="77777777">
      <w:pPr>
        <w:pStyle w:val="JuList"/>
      </w:pPr>
      <w:r w:rsidRPr="004F1BDF">
        <w:rPr>
          <w:i/>
        </w:rPr>
        <w:t xml:space="preserve">Decides </w:t>
      </w:r>
      <w:r w:rsidRPr="004F1BDF">
        <w:t xml:space="preserve">to join the </w:t>
      </w:r>
      <w:r w:rsidRPr="004F1BDF">
        <w:t>applications;</w:t>
      </w:r>
    </w:p>
    <w:p w:rsidRPr="004F1BDF" w:rsidR="008F4C1C" w:rsidP="004F1BDF" w14:paraId="598B1923" w14:textId="77777777">
      <w:pPr>
        <w:pStyle w:val="JuList"/>
      </w:pPr>
      <w:r w:rsidRPr="004F1BDF">
        <w:rPr>
          <w:i/>
        </w:rPr>
        <w:t xml:space="preserve">Declares </w:t>
      </w:r>
      <w:r w:rsidRPr="004F1BDF">
        <w:t>the complaints concerning the excessive length of the pre-trial detention</w:t>
      </w:r>
      <w:r w:rsidRPr="004F1BDF">
        <w:rPr>
          <w:rFonts w:cstheme="minorHAnsi"/>
          <w:bCs/>
        </w:rPr>
        <w:t xml:space="preserve"> </w:t>
      </w:r>
      <w:r w:rsidRPr="004F1BDF">
        <w:rPr>
          <w:rFonts w:cstheme="minorHAnsi"/>
        </w:rPr>
        <w:t>and</w:t>
      </w:r>
      <w:r w:rsidRPr="004F1BDF">
        <w:t xml:space="preserve"> the other complaints under the well-established case-law of the Court, as set out in the appended table, admissible, and the remainder of application no. 7240/24 </w:t>
      </w:r>
      <w:r w:rsidRPr="004F1BDF">
        <w:t>inadmissible;</w:t>
      </w:r>
    </w:p>
    <w:p w:rsidRPr="004F1BDF" w:rsidR="008F4C1C" w:rsidP="004F1BDF" w14:paraId="48502F34" w14:textId="77777777">
      <w:pPr>
        <w:pStyle w:val="JuList"/>
      </w:pPr>
      <w:r w:rsidRPr="004F1BDF">
        <w:rPr>
          <w:i/>
        </w:rPr>
        <w:t xml:space="preserve">Holds </w:t>
      </w:r>
      <w:r w:rsidRPr="004F1BDF">
        <w:t xml:space="preserve">that </w:t>
      </w:r>
      <w:r w:rsidRPr="004F1BDF">
        <w:rPr>
          <w:rFonts w:eastAsia="PMingLiU"/>
        </w:rPr>
        <w:t>these applications</w:t>
      </w:r>
      <w:r w:rsidRPr="004F1BDF">
        <w:t xml:space="preserve"> disclose a breach of Article</w:t>
      </w:r>
      <w:r w:rsidRPr="004F1BDF">
        <w:rPr>
          <w:rFonts w:eastAsia="PMingLiU"/>
        </w:rPr>
        <w:t xml:space="preserve"> 5 § 3 </w:t>
      </w:r>
      <w:r w:rsidRPr="004F1BDF">
        <w:t xml:space="preserve">of the Convention concerning the excessive length of pre-trial </w:t>
      </w:r>
      <w:r w:rsidRPr="004F1BDF">
        <w:t>detention</w:t>
      </w:r>
      <w:r w:rsidRPr="004F1BDF">
        <w:rPr>
          <w:rFonts w:eastAsia="PMingLiU"/>
        </w:rPr>
        <w:t>;</w:t>
      </w:r>
    </w:p>
    <w:p w:rsidRPr="004F1BDF" w:rsidR="008F4C1C" w:rsidP="004F1BDF" w14:paraId="472FAF6A" w14:textId="77777777">
      <w:pPr>
        <w:pStyle w:val="JuList"/>
      </w:pPr>
      <w:r w:rsidRPr="004F1BDF">
        <w:rPr>
          <w:i/>
        </w:rPr>
        <w:t xml:space="preserve">Holds </w:t>
      </w:r>
      <w:r w:rsidRPr="004F1BDF">
        <w:t>that there has been a violation of the Convention as regards the other complaints raised under the well-established case-law of the Court (see appended table</w:t>
      </w:r>
      <w:r w:rsidRPr="004F1BDF">
        <w:t>);</w:t>
      </w:r>
    </w:p>
    <w:p w:rsidRPr="004F1BDF" w:rsidR="008F4C1C" w:rsidP="004F1BDF" w14:paraId="0B6940F7" w14:textId="77777777">
      <w:pPr>
        <w:pStyle w:val="JuList"/>
      </w:pPr>
      <w:r w:rsidRPr="004F1BDF">
        <w:rPr>
          <w:i/>
        </w:rPr>
        <w:t>Holds</w:t>
      </w:r>
    </w:p>
    <w:p w:rsidRPr="004F1BDF" w:rsidR="008F4C1C" w:rsidP="004F1BDF" w14:paraId="5FEDF3D5" w14:textId="77777777">
      <w:pPr>
        <w:pStyle w:val="JuLista"/>
      </w:pPr>
      <w:r w:rsidRPr="004F1BDF">
        <w:t xml:space="preserve">that the respondent State is to pay the applicants, within three months, the amounts indicated in the appended table, to be converted into the currency of the respondent State at the rate applicable at the date of </w:t>
      </w:r>
      <w:r w:rsidRPr="004F1BDF">
        <w:t>settlement;</w:t>
      </w:r>
    </w:p>
    <w:p w:rsidRPr="004F1BDF" w:rsidR="00606600" w:rsidP="004F1BDF" w14:paraId="46B023BF" w14:textId="77777777">
      <w:pPr>
        <w:pStyle w:val="JuLista"/>
      </w:pPr>
      <w:r w:rsidRPr="004F1BD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F1BDF" w:rsidR="00606600" w:rsidP="004F1BDF" w14:paraId="6E582968" w14:textId="576C95ED">
      <w:pPr>
        <w:pStyle w:val="JuParaLast"/>
      </w:pPr>
      <w:r w:rsidRPr="004F1BDF">
        <w:t xml:space="preserve">Done in English, and notified in writing on </w:t>
      </w:r>
      <w:r w:rsidRPr="004F1BDF" w:rsidR="008F4C1C">
        <w:t>6 March 2025</w:t>
      </w:r>
      <w:r w:rsidRPr="004F1BDF">
        <w:t>, pursuant to Rule 77 §§ 2 and 3 of the Rules of Court.</w:t>
      </w:r>
    </w:p>
    <w:p w:rsidRPr="004F1BDF" w:rsidR="00606600" w:rsidP="004F1BDF" w14:paraId="7EEB986F" w14:textId="25FC2A80">
      <w:pPr>
        <w:pStyle w:val="JuSigned"/>
        <w:rPr>
          <w:rFonts w:eastAsia="PMingLiU"/>
        </w:rPr>
      </w:pPr>
      <w:r w:rsidRPr="004F1BDF">
        <w:rPr>
          <w:rFonts w:eastAsia="PMingLiU"/>
        </w:rPr>
        <w:tab/>
      </w:r>
      <w:r w:rsidRPr="004F1BDF" w:rsidR="008F4C1C">
        <w:rPr>
          <w:rFonts w:eastAsia="PMingLiU"/>
        </w:rPr>
        <w:t>Viktoriya</w:t>
      </w:r>
      <w:r w:rsidRPr="004F1BDF" w:rsidR="0048584C">
        <w:rPr>
          <w:rFonts w:eastAsia="PMingLiU"/>
        </w:rPr>
        <w:t xml:space="preserve"> </w:t>
      </w:r>
      <w:r w:rsidRPr="004F1BDF" w:rsidR="008F4C1C">
        <w:rPr>
          <w:rFonts w:eastAsia="PMingLiU"/>
        </w:rPr>
        <w:t>Maradudina</w:t>
      </w:r>
      <w:r w:rsidRPr="004F1BDF" w:rsidR="0048584C">
        <w:rPr>
          <w:rFonts w:eastAsia="PMingLiU"/>
        </w:rPr>
        <w:tab/>
      </w:r>
      <w:r w:rsidRPr="004F1BDF" w:rsidR="008F4C1C">
        <w:rPr>
          <w:rFonts w:eastAsia="PMingLiU"/>
        </w:rPr>
        <w:t xml:space="preserve">Diana </w:t>
      </w:r>
      <w:r w:rsidRPr="004F1BDF" w:rsidR="008F4C1C">
        <w:rPr>
          <w:rFonts w:eastAsia="PMingLiU"/>
        </w:rPr>
        <w:t>Sârcu</w:t>
      </w:r>
    </w:p>
    <w:p w:rsidRPr="004F1BDF" w:rsidR="00B91668" w:rsidP="004F1BDF" w14:paraId="2F43DA27" w14:textId="48B0F6AA">
      <w:pPr>
        <w:pStyle w:val="JuSigned"/>
        <w:contextualSpacing/>
        <w:rPr>
          <w:rFonts w:eastAsia="PMingLiU"/>
        </w:rPr>
      </w:pPr>
      <w:r w:rsidRPr="004F1BDF">
        <w:rPr>
          <w:rFonts w:eastAsia="PMingLiU"/>
        </w:rPr>
        <w:tab/>
        <w:t>Acting Deputy Registrar</w:t>
      </w:r>
      <w:r w:rsidRPr="004F1BDF">
        <w:rPr>
          <w:rFonts w:eastAsia="PMingLiU"/>
        </w:rPr>
        <w:tab/>
        <w:t>President</w:t>
      </w:r>
    </w:p>
    <w:p w:rsidRPr="004F1BDF" w:rsidR="00B91668" w:rsidP="004F1BDF" w14:paraId="5914DF83" w14:textId="77777777">
      <w:pPr>
        <w:rPr>
          <w:rFonts w:eastAsia="PMingLiU"/>
        </w:rPr>
      </w:pPr>
    </w:p>
    <w:p w:rsidRPr="004F1BDF" w:rsidR="00BD554D" w:rsidP="004F1BDF" w14:paraId="10CF7A29" w14:textId="77777777">
      <w:pPr>
        <w:pStyle w:val="JuSigned"/>
        <w:tabs>
          <w:tab w:val="left" w:pos="5115"/>
        </w:tabs>
        <w:contextualSpacing/>
        <w:rPr>
          <w:rFonts w:eastAsia="PMingLiU"/>
        </w:rPr>
      </w:pPr>
      <w:r w:rsidRPr="004F1BDF">
        <w:rPr>
          <w:rFonts w:eastAsia="PMingLiU"/>
        </w:rPr>
        <w:tab/>
      </w:r>
    </w:p>
    <w:p w:rsidRPr="004F1BDF" w:rsidR="00606600" w:rsidP="004F1BDF" w14:paraId="028E3B02" w14:textId="77777777">
      <w:pPr>
        <w:pStyle w:val="JuSigned"/>
        <w:tabs>
          <w:tab w:val="center" w:pos="1134"/>
        </w:tabs>
        <w:contextualSpacing/>
        <w:rPr>
          <w:rFonts w:eastAsia="PMingLiU"/>
        </w:rPr>
      </w:pPr>
    </w:p>
    <w:p w:rsidRPr="004F1BDF" w:rsidR="00606600" w:rsidP="004F1BDF" w14:paraId="257A737A"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F1BDF" w:rsidR="00606600" w:rsidP="004F1BDF" w14:paraId="65ACC831" w14:textId="77777777">
      <w:pPr>
        <w:pStyle w:val="DecHTitle"/>
      </w:pPr>
      <w:r w:rsidRPr="004F1BDF">
        <w:t>APPENDIX</w:t>
      </w:r>
    </w:p>
    <w:p w:rsidRPr="004F1BDF" w:rsidR="00606600" w:rsidP="004F1BDF" w14:paraId="3088EB79" w14:textId="163D3E2B">
      <w:pPr>
        <w:pStyle w:val="DecHCase"/>
        <w:contextualSpacing/>
        <w:rPr>
          <w:b/>
          <w:i/>
          <w:color w:val="3E3E3E" w:themeColor="background2" w:themeShade="40"/>
        </w:rPr>
      </w:pPr>
      <w:r w:rsidRPr="004F1BDF">
        <w:rPr>
          <w:color w:val="3E3E3E" w:themeColor="background2" w:themeShade="40"/>
        </w:rPr>
        <w:t>List of applications</w:t>
      </w:r>
      <w:r w:rsidRPr="004F1BDF" w:rsidR="0048584C">
        <w:rPr>
          <w:color w:val="3E3E3E" w:themeColor="background2" w:themeShade="40"/>
        </w:rPr>
        <w:t xml:space="preserve"> raising complaints under Article</w:t>
      </w:r>
      <w:r w:rsidRPr="004F1BDF">
        <w:rPr>
          <w:color w:val="3E3E3E" w:themeColor="background2" w:themeShade="40"/>
        </w:rPr>
        <w:t xml:space="preserve"> 5 § 3 of the Convention</w:t>
      </w:r>
    </w:p>
    <w:p w:rsidRPr="004F1BDF" w:rsidR="00606600" w:rsidP="004F1BDF" w14:paraId="0FBE5B79" w14:textId="3FD6F1C6">
      <w:pPr>
        <w:pStyle w:val="DecHCase"/>
        <w:contextualSpacing/>
        <w:rPr>
          <w:b/>
          <w:i/>
        </w:rPr>
      </w:pPr>
      <w:r w:rsidRPr="004F1BDF">
        <w:rPr>
          <w:color w:val="3E3E3E" w:themeColor="background2" w:themeShade="40"/>
        </w:rPr>
        <w:t>(</w:t>
      </w:r>
      <w:r w:rsidRPr="004F1BDF" w:rsidR="008F4C1C">
        <w:rPr>
          <w:color w:val="3E3E3E" w:themeColor="background2" w:themeShade="40"/>
        </w:rPr>
        <w:t>excessive</w:t>
      </w:r>
      <w:r w:rsidRPr="004F1BDF" w:rsidR="008F4C1C">
        <w:rPr>
          <w:color w:val="3E3E3E" w:themeColor="background2" w:themeShade="40"/>
        </w:rPr>
        <w:t xml:space="preserve"> length of pre-trial detention</w:t>
      </w:r>
      <w:r w:rsidRPr="004F1BDF">
        <w:rPr>
          <w:color w:val="3E3E3E" w:themeColor="background2" w:themeShade="40"/>
        </w:rPr>
        <w:t>)</w:t>
      </w:r>
    </w:p>
    <w:tbl>
      <w:tblPr>
        <w:tblStyle w:val="ECHRListTable"/>
        <w:tblW w:w="14601" w:type="dxa"/>
        <w:jc w:val="center"/>
        <w:tblLayout w:type="fixed"/>
        <w:tblLook w:val="0420"/>
      </w:tblPr>
      <w:tblGrid>
        <w:gridCol w:w="562"/>
        <w:gridCol w:w="1134"/>
        <w:gridCol w:w="1418"/>
        <w:gridCol w:w="1417"/>
        <w:gridCol w:w="1276"/>
        <w:gridCol w:w="1281"/>
        <w:gridCol w:w="1979"/>
        <w:gridCol w:w="993"/>
        <w:gridCol w:w="2268"/>
        <w:gridCol w:w="1134"/>
        <w:gridCol w:w="1139"/>
      </w:tblGrid>
      <w:tr w:rsidTr="009A52F7" w14:paraId="052AE3B7" w14:textId="77777777">
        <w:tblPrEx>
          <w:tblW w:w="14601" w:type="dxa"/>
          <w:jc w:val="center"/>
          <w:tblLayout w:type="fixed"/>
          <w:tblLook w:val="0420"/>
        </w:tblPrEx>
        <w:trPr>
          <w:jc w:val="center"/>
        </w:trPr>
        <w:tc>
          <w:tcPr>
            <w:tcW w:w="562" w:type="dxa"/>
          </w:tcPr>
          <w:p w:rsidRPr="004F1BDF" w:rsidR="0018202D" w:rsidP="004F1BDF" w14:paraId="44B3FDEB" w14:textId="77777777">
            <w:pPr>
              <w:jc w:val="center"/>
              <w:rPr>
                <w:sz w:val="16"/>
              </w:rPr>
            </w:pPr>
            <w:bookmarkStart w:name="WECLListStart" w:id="2"/>
            <w:bookmarkEnd w:id="2"/>
            <w:r w:rsidRPr="004F1BDF">
              <w:rPr>
                <w:sz w:val="16"/>
              </w:rPr>
              <w:t>No.</w:t>
            </w:r>
          </w:p>
        </w:tc>
        <w:tc>
          <w:tcPr>
            <w:tcW w:w="1134" w:type="dxa"/>
          </w:tcPr>
          <w:p w:rsidRPr="004F1BDF" w:rsidR="0018202D" w:rsidP="004F1BDF" w14:paraId="48210227" w14:textId="77777777">
            <w:pPr>
              <w:jc w:val="center"/>
              <w:rPr>
                <w:sz w:val="16"/>
              </w:rPr>
            </w:pPr>
            <w:r w:rsidRPr="004F1BDF">
              <w:rPr>
                <w:sz w:val="16"/>
              </w:rPr>
              <w:t>Application no.</w:t>
            </w:r>
          </w:p>
          <w:p w:rsidRPr="004F1BDF" w:rsidR="0018202D" w:rsidP="004F1BDF" w14:paraId="355C6D95" w14:textId="77777777">
            <w:pPr>
              <w:jc w:val="center"/>
              <w:rPr>
                <w:sz w:val="16"/>
              </w:rPr>
            </w:pPr>
            <w:r w:rsidRPr="004F1BDF">
              <w:rPr>
                <w:sz w:val="16"/>
              </w:rPr>
              <w:t>Date of introduction</w:t>
            </w:r>
          </w:p>
        </w:tc>
        <w:tc>
          <w:tcPr>
            <w:tcW w:w="1418" w:type="dxa"/>
          </w:tcPr>
          <w:p w:rsidRPr="004F1BDF" w:rsidR="0018202D" w:rsidP="004F1BDF" w14:paraId="35E4B7AF" w14:textId="5250DBE4">
            <w:pPr>
              <w:jc w:val="center"/>
              <w:rPr>
                <w:sz w:val="16"/>
              </w:rPr>
            </w:pPr>
            <w:r w:rsidRPr="004F1BDF">
              <w:rPr>
                <w:sz w:val="16"/>
              </w:rPr>
              <w:t>Applicant</w:t>
            </w:r>
            <w:r w:rsidRPr="004F1BDF" w:rsidR="004F1BDF">
              <w:rPr>
                <w:sz w:val="16"/>
              </w:rPr>
              <w:t>’</w:t>
            </w:r>
            <w:r w:rsidRPr="004F1BDF">
              <w:rPr>
                <w:sz w:val="16"/>
              </w:rPr>
              <w:t>s name</w:t>
            </w:r>
          </w:p>
          <w:p w:rsidRPr="004F1BDF" w:rsidR="0018202D" w:rsidP="004F1BDF" w14:paraId="22678426" w14:textId="77777777">
            <w:pPr>
              <w:jc w:val="center"/>
              <w:rPr>
                <w:sz w:val="16"/>
              </w:rPr>
            </w:pPr>
            <w:r w:rsidRPr="004F1BDF">
              <w:rPr>
                <w:sz w:val="16"/>
              </w:rPr>
              <w:t>Year of birth</w:t>
            </w:r>
          </w:p>
        </w:tc>
        <w:tc>
          <w:tcPr>
            <w:tcW w:w="1417" w:type="dxa"/>
          </w:tcPr>
          <w:p w:rsidRPr="004F1BDF" w:rsidR="0018202D" w:rsidP="004F1BDF" w14:paraId="78457BE5" w14:textId="32000AA0">
            <w:pPr>
              <w:jc w:val="center"/>
              <w:rPr>
                <w:sz w:val="16"/>
              </w:rPr>
            </w:pPr>
            <w:r w:rsidRPr="004F1BDF">
              <w:rPr>
                <w:sz w:val="16"/>
              </w:rPr>
              <w:t>Representative</w:t>
            </w:r>
            <w:r w:rsidRPr="004F1BDF" w:rsidR="004F1BDF">
              <w:rPr>
                <w:sz w:val="16"/>
              </w:rPr>
              <w:t>’</w:t>
            </w:r>
            <w:r w:rsidRPr="004F1BDF">
              <w:rPr>
                <w:sz w:val="16"/>
              </w:rPr>
              <w:t>s name and location</w:t>
            </w:r>
          </w:p>
        </w:tc>
        <w:tc>
          <w:tcPr>
            <w:tcW w:w="1276" w:type="dxa"/>
          </w:tcPr>
          <w:p w:rsidRPr="004F1BDF" w:rsidR="0018202D" w:rsidP="004F1BDF" w14:paraId="1CAEF515" w14:textId="77777777">
            <w:pPr>
              <w:jc w:val="center"/>
              <w:rPr>
                <w:sz w:val="16"/>
              </w:rPr>
            </w:pPr>
            <w:r w:rsidRPr="004F1BDF">
              <w:rPr>
                <w:sz w:val="16"/>
              </w:rPr>
              <w:t>Period of detention</w:t>
            </w:r>
          </w:p>
        </w:tc>
        <w:tc>
          <w:tcPr>
            <w:tcW w:w="1281" w:type="dxa"/>
          </w:tcPr>
          <w:p w:rsidRPr="004F1BDF" w:rsidR="0018202D" w:rsidP="004F1BDF" w14:paraId="7EFCE7E3" w14:textId="77777777">
            <w:pPr>
              <w:jc w:val="center"/>
              <w:rPr>
                <w:sz w:val="16"/>
              </w:rPr>
            </w:pPr>
            <w:r w:rsidRPr="004F1BDF">
              <w:rPr>
                <w:sz w:val="16"/>
              </w:rPr>
              <w:t>Length of detention</w:t>
            </w:r>
          </w:p>
        </w:tc>
        <w:tc>
          <w:tcPr>
            <w:tcW w:w="1979" w:type="dxa"/>
          </w:tcPr>
          <w:p w:rsidRPr="004F1BDF" w:rsidR="0018202D" w:rsidP="004F1BDF" w14:paraId="4758F7AF" w14:textId="77777777">
            <w:pPr>
              <w:jc w:val="center"/>
              <w:rPr>
                <w:sz w:val="16"/>
              </w:rPr>
            </w:pPr>
            <w:r w:rsidRPr="004F1BDF">
              <w:rPr>
                <w:sz w:val="16"/>
              </w:rPr>
              <w:t>Specific defects</w:t>
            </w:r>
          </w:p>
        </w:tc>
        <w:tc>
          <w:tcPr>
            <w:tcW w:w="993" w:type="dxa"/>
          </w:tcPr>
          <w:p w:rsidRPr="004F1BDF" w:rsidR="0018202D" w:rsidP="004F1BDF" w14:paraId="3B22D71B" w14:textId="77777777">
            <w:pPr>
              <w:jc w:val="center"/>
              <w:rPr>
                <w:sz w:val="16"/>
              </w:rPr>
            </w:pPr>
            <w:r w:rsidRPr="004F1BDF">
              <w:rPr>
                <w:sz w:val="16"/>
              </w:rPr>
              <w:t>House arrest</w:t>
            </w:r>
          </w:p>
        </w:tc>
        <w:tc>
          <w:tcPr>
            <w:tcW w:w="2268" w:type="dxa"/>
          </w:tcPr>
          <w:p w:rsidRPr="004F1BDF" w:rsidR="0018202D" w:rsidP="004F1BDF" w14:paraId="42A2FB2E" w14:textId="77777777">
            <w:pPr>
              <w:jc w:val="center"/>
              <w:rPr>
                <w:sz w:val="16"/>
              </w:rPr>
            </w:pPr>
            <w:r w:rsidRPr="004F1BDF">
              <w:rPr>
                <w:sz w:val="16"/>
              </w:rPr>
              <w:t>Other complaints under well-established case-law</w:t>
            </w:r>
          </w:p>
        </w:tc>
        <w:tc>
          <w:tcPr>
            <w:tcW w:w="1134" w:type="dxa"/>
          </w:tcPr>
          <w:p w:rsidRPr="004F1BDF" w:rsidR="0018202D" w:rsidP="004F1BDF" w14:paraId="64E4BAAA" w14:textId="77777777">
            <w:pPr>
              <w:jc w:val="center"/>
              <w:rPr>
                <w:sz w:val="16"/>
              </w:rPr>
            </w:pPr>
            <w:r w:rsidRPr="004F1BDF">
              <w:rPr>
                <w:sz w:val="16"/>
              </w:rPr>
              <w:t xml:space="preserve">Amount awarded for pecuniary and non-pecuniary damage per </w:t>
            </w:r>
            <w:r w:rsidRPr="004F1BDF">
              <w:rPr>
                <w:sz w:val="16"/>
              </w:rPr>
              <w:t>applicant</w:t>
            </w:r>
          </w:p>
          <w:p w:rsidRPr="004F1BDF" w:rsidR="0018202D" w:rsidP="004F1BDF" w14:paraId="47106B31" w14:textId="64CE9987">
            <w:pPr>
              <w:jc w:val="center"/>
              <w:rPr>
                <w:sz w:val="16"/>
              </w:rPr>
            </w:pPr>
            <w:r w:rsidRPr="004F1BDF">
              <w:rPr>
                <w:sz w:val="16"/>
              </w:rPr>
              <w:t>(</w:t>
            </w:r>
            <w:r w:rsidRPr="004F1BDF">
              <w:rPr>
                <w:sz w:val="16"/>
              </w:rPr>
              <w:t>in</w:t>
            </w:r>
            <w:r w:rsidRPr="004F1BDF">
              <w:rPr>
                <w:sz w:val="16"/>
              </w:rPr>
              <w:t xml:space="preserve"> euros)</w:t>
            </w:r>
            <w:r>
              <w:rPr>
                <w:rStyle w:val="EndnoteReference"/>
                <w:sz w:val="16"/>
              </w:rPr>
              <w:endnoteReference w:id="2"/>
            </w:r>
          </w:p>
        </w:tc>
        <w:tc>
          <w:tcPr>
            <w:tcW w:w="1139" w:type="dxa"/>
          </w:tcPr>
          <w:p w:rsidRPr="004F1BDF" w:rsidR="0018202D" w:rsidP="004F1BDF" w14:paraId="5BED100A" w14:textId="77777777">
            <w:pPr>
              <w:jc w:val="center"/>
              <w:rPr>
                <w:sz w:val="16"/>
              </w:rPr>
            </w:pPr>
            <w:r w:rsidRPr="004F1BDF">
              <w:rPr>
                <w:sz w:val="16"/>
              </w:rPr>
              <w:t xml:space="preserve">Amount awarded for costs and expenses per </w:t>
            </w:r>
            <w:r w:rsidRPr="004F1BDF">
              <w:rPr>
                <w:sz w:val="16"/>
              </w:rPr>
              <w:t>application</w:t>
            </w:r>
          </w:p>
          <w:p w:rsidRPr="004F1BDF" w:rsidR="0018202D" w:rsidP="004F1BDF" w14:paraId="308D41C0" w14:textId="77777777">
            <w:pPr>
              <w:jc w:val="center"/>
              <w:rPr>
                <w:sz w:val="16"/>
              </w:rPr>
            </w:pPr>
            <w:r w:rsidRPr="004F1BDF">
              <w:rPr>
                <w:sz w:val="16"/>
              </w:rPr>
              <w:t>(</w:t>
            </w:r>
            <w:r w:rsidRPr="004F1BDF">
              <w:rPr>
                <w:sz w:val="16"/>
              </w:rPr>
              <w:t>in</w:t>
            </w:r>
            <w:r w:rsidRPr="004F1BDF">
              <w:rPr>
                <w:sz w:val="16"/>
              </w:rPr>
              <w:t xml:space="preserve"> euros)</w:t>
            </w:r>
            <w:r>
              <w:rPr>
                <w:rStyle w:val="EndnoteReference"/>
                <w:sz w:val="16"/>
              </w:rPr>
              <w:endnoteReference w:id="3"/>
            </w:r>
          </w:p>
        </w:tc>
      </w:tr>
      <w:tr w:rsidTr="009A52F7" w14:paraId="330312F9" w14:textId="77777777">
        <w:tblPrEx>
          <w:tblW w:w="14601" w:type="dxa"/>
          <w:jc w:val="center"/>
          <w:tblLayout w:type="fixed"/>
          <w:tblLook w:val="0420"/>
        </w:tblPrEx>
        <w:trPr>
          <w:jc w:val="center"/>
        </w:trPr>
        <w:tc>
          <w:tcPr>
            <w:tcW w:w="562" w:type="dxa"/>
          </w:tcPr>
          <w:p w:rsidRPr="004F1BDF" w:rsidR="0018202D" w:rsidP="004F1BDF" w14:paraId="596E971B"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4F1BDF" w:rsidR="0018202D" w:rsidP="004F1BDF" w14:paraId="02A7C66C" w14:textId="77777777">
            <w:pPr>
              <w:jc w:val="center"/>
              <w:rPr>
                <w:sz w:val="16"/>
              </w:rPr>
            </w:pPr>
            <w:r w:rsidRPr="004F1BDF">
              <w:rPr>
                <w:sz w:val="16"/>
              </w:rPr>
              <w:t>34801/23</w:t>
            </w:r>
          </w:p>
          <w:p w:rsidRPr="004F1BDF" w:rsidR="0018202D" w:rsidP="004F1BDF" w14:paraId="7973C804" w14:textId="77777777">
            <w:pPr>
              <w:jc w:val="center"/>
              <w:rPr>
                <w:sz w:val="16"/>
              </w:rPr>
            </w:pPr>
            <w:r w:rsidRPr="004F1BDF">
              <w:rPr>
                <w:sz w:val="16"/>
              </w:rPr>
              <w:t>07/08/2023</w:t>
            </w:r>
          </w:p>
        </w:tc>
        <w:tc>
          <w:tcPr>
            <w:tcW w:w="1418" w:type="dxa"/>
          </w:tcPr>
          <w:p w:rsidRPr="004F1BDF" w:rsidR="0018202D" w:rsidP="004F1BDF" w14:paraId="69CD36CA" w14:textId="77777777">
            <w:pPr>
              <w:jc w:val="center"/>
              <w:rPr>
                <w:sz w:val="16"/>
              </w:rPr>
            </w:pPr>
            <w:r w:rsidRPr="004F1BDF">
              <w:rPr>
                <w:b/>
                <w:sz w:val="16"/>
              </w:rPr>
              <w:t xml:space="preserve">Karen </w:t>
            </w:r>
            <w:r w:rsidRPr="004F1BDF">
              <w:rPr>
                <w:b/>
                <w:sz w:val="16"/>
              </w:rPr>
              <w:t>Ovikovych</w:t>
            </w:r>
            <w:r w:rsidRPr="004F1BDF">
              <w:rPr>
                <w:b/>
                <w:sz w:val="16"/>
              </w:rPr>
              <w:t xml:space="preserve"> MKRTCHYAN</w:t>
            </w:r>
          </w:p>
          <w:p w:rsidRPr="004F1BDF" w:rsidR="0018202D" w:rsidP="004F1BDF" w14:paraId="43617FCD" w14:textId="2CD7C22E">
            <w:pPr>
              <w:jc w:val="center"/>
              <w:rPr>
                <w:sz w:val="16"/>
              </w:rPr>
            </w:pPr>
            <w:r w:rsidRPr="004F1BDF">
              <w:rPr>
                <w:sz w:val="16"/>
              </w:rPr>
              <w:t>1980</w:t>
            </w:r>
          </w:p>
        </w:tc>
        <w:tc>
          <w:tcPr>
            <w:tcW w:w="1417" w:type="dxa"/>
          </w:tcPr>
          <w:p w:rsidRPr="004F1BDF" w:rsidR="004F1BDF" w:rsidP="004F1BDF" w14:paraId="2C3AA555" w14:textId="77777777">
            <w:pPr>
              <w:jc w:val="center"/>
              <w:rPr>
                <w:sz w:val="16"/>
              </w:rPr>
            </w:pPr>
            <w:r w:rsidRPr="004F1BDF">
              <w:rPr>
                <w:sz w:val="16"/>
              </w:rPr>
              <w:t>Kulbach</w:t>
            </w:r>
          </w:p>
          <w:p w:rsidRPr="004F1BDF" w:rsidR="0018202D" w:rsidP="004F1BDF" w14:paraId="0E70BCCF" w14:textId="46A4681B">
            <w:pPr>
              <w:jc w:val="center"/>
              <w:rPr>
                <w:sz w:val="16"/>
              </w:rPr>
            </w:pPr>
            <w:r w:rsidRPr="004F1BDF">
              <w:rPr>
                <w:sz w:val="16"/>
              </w:rPr>
              <w:t>Sergiy</w:t>
            </w:r>
            <w:r w:rsidRPr="004F1BDF">
              <w:rPr>
                <w:sz w:val="16"/>
              </w:rPr>
              <w:t xml:space="preserve"> </w:t>
            </w:r>
            <w:r w:rsidRPr="004F1BDF">
              <w:rPr>
                <w:sz w:val="16"/>
              </w:rPr>
              <w:t>Oleksandrovych</w:t>
            </w:r>
          </w:p>
          <w:p w:rsidRPr="004F1BDF" w:rsidR="0018202D" w:rsidP="004F1BDF" w14:paraId="16080E45" w14:textId="77777777">
            <w:pPr>
              <w:jc w:val="center"/>
              <w:rPr>
                <w:sz w:val="16"/>
              </w:rPr>
            </w:pPr>
            <w:r w:rsidRPr="004F1BDF">
              <w:rPr>
                <w:sz w:val="16"/>
              </w:rPr>
              <w:t>Limoges</w:t>
            </w:r>
          </w:p>
        </w:tc>
        <w:tc>
          <w:tcPr>
            <w:tcW w:w="1276" w:type="dxa"/>
          </w:tcPr>
          <w:p w:rsidRPr="004F1BDF" w:rsidR="004F1BDF" w:rsidP="004F1BDF" w14:paraId="5E6C8858" w14:textId="77777777">
            <w:pPr>
              <w:jc w:val="center"/>
              <w:rPr>
                <w:sz w:val="16"/>
              </w:rPr>
            </w:pPr>
            <w:r w:rsidRPr="004F1BDF">
              <w:rPr>
                <w:sz w:val="16"/>
              </w:rPr>
              <w:t>06/04/2020</w:t>
            </w:r>
          </w:p>
          <w:p w:rsidRPr="004F1BDF" w:rsidR="0018202D" w:rsidP="004F1BDF" w14:paraId="4E1821F7" w14:textId="60E57954">
            <w:pPr>
              <w:jc w:val="center"/>
              <w:rPr>
                <w:sz w:val="16"/>
              </w:rPr>
            </w:pPr>
            <w:r w:rsidRPr="004F1BDF">
              <w:rPr>
                <w:sz w:val="16"/>
              </w:rPr>
              <w:t>to</w:t>
            </w:r>
          </w:p>
          <w:p w:rsidRPr="004F1BDF" w:rsidR="0018202D" w:rsidP="004F1BDF" w14:paraId="0EDBE3B7" w14:textId="77777777">
            <w:pPr>
              <w:jc w:val="center"/>
              <w:rPr>
                <w:sz w:val="16"/>
              </w:rPr>
            </w:pPr>
            <w:r w:rsidRPr="004F1BDF">
              <w:rPr>
                <w:sz w:val="16"/>
              </w:rPr>
              <w:t>13/07/2023</w:t>
            </w:r>
          </w:p>
        </w:tc>
        <w:tc>
          <w:tcPr>
            <w:tcW w:w="1281" w:type="dxa"/>
          </w:tcPr>
          <w:p w:rsidRPr="004F1BDF" w:rsidR="004F1BDF" w:rsidP="004F1BDF" w14:paraId="101C7B44" w14:textId="77777777">
            <w:pPr>
              <w:jc w:val="center"/>
              <w:rPr>
                <w:sz w:val="16"/>
              </w:rPr>
            </w:pPr>
            <w:r w:rsidRPr="004F1BDF">
              <w:rPr>
                <w:sz w:val="16"/>
              </w:rPr>
              <w:t>3 year(s) and</w:t>
            </w:r>
          </w:p>
          <w:p w:rsidRPr="004F1BDF" w:rsidR="0018202D" w:rsidP="004F1BDF" w14:paraId="4B4D6A2B" w14:textId="04B78957">
            <w:pPr>
              <w:jc w:val="center"/>
              <w:rPr>
                <w:sz w:val="16"/>
              </w:rPr>
            </w:pPr>
            <w:r w:rsidRPr="004F1BDF">
              <w:rPr>
                <w:sz w:val="16"/>
              </w:rPr>
              <w:t>3 month(s) and 8 day(s)</w:t>
            </w:r>
          </w:p>
        </w:tc>
        <w:tc>
          <w:tcPr>
            <w:tcW w:w="1979" w:type="dxa"/>
          </w:tcPr>
          <w:p w:rsidRPr="004F1BDF" w:rsidR="0018202D" w:rsidP="004F1BDF" w14:paraId="73EEC930" w14:textId="77777777">
            <w:pPr>
              <w:jc w:val="center"/>
              <w:rPr>
                <w:sz w:val="16"/>
              </w:rPr>
            </w:pPr>
            <w:r w:rsidRPr="004F1BDF">
              <w:rPr>
                <w:sz w:val="16"/>
              </w:rPr>
              <w:t>fragility and repetitiveness of the reasoning employed by the courts as the case progressed</w:t>
            </w:r>
          </w:p>
        </w:tc>
        <w:tc>
          <w:tcPr>
            <w:tcW w:w="993" w:type="dxa"/>
          </w:tcPr>
          <w:p w:rsidRPr="004F1BDF" w:rsidR="0018202D" w:rsidP="004F1BDF" w14:paraId="2AA920EA" w14:textId="77777777">
            <w:pPr>
              <w:jc w:val="center"/>
              <w:rPr>
                <w:sz w:val="16"/>
              </w:rPr>
            </w:pPr>
            <w:r w:rsidRPr="004F1BDF">
              <w:rPr>
                <w:sz w:val="16"/>
              </w:rPr>
              <w:t>05/04/2023 - 13/07/2023</w:t>
            </w:r>
          </w:p>
        </w:tc>
        <w:tc>
          <w:tcPr>
            <w:tcW w:w="2268" w:type="dxa"/>
          </w:tcPr>
          <w:p w:rsidRPr="004F1BDF" w:rsidR="0018202D" w:rsidP="004F1BDF" w14:paraId="295960DD" w14:textId="77777777">
            <w:pPr>
              <w:jc w:val="center"/>
              <w:rPr>
                <w:sz w:val="16"/>
              </w:rPr>
            </w:pPr>
            <w:r w:rsidRPr="004F1BDF">
              <w:rPr>
                <w:sz w:val="16"/>
              </w:rPr>
              <w:t>Art. 6 (1) - excessive length of criminal proceedings - 11/02/2020 - pending before</w:t>
            </w:r>
          </w:p>
          <w:p w:rsidRPr="004F1BDF" w:rsidR="0018202D" w:rsidP="004F1BDF" w14:paraId="5CC441C9" w14:textId="77777777">
            <w:pPr>
              <w:jc w:val="center"/>
              <w:rPr>
                <w:sz w:val="16"/>
              </w:rPr>
            </w:pPr>
            <w:r w:rsidRPr="004F1BDF">
              <w:rPr>
                <w:sz w:val="16"/>
              </w:rPr>
              <w:t>1 level of jurisdiction</w:t>
            </w:r>
          </w:p>
          <w:p w:rsidRPr="004F1BDF" w:rsidR="0018202D" w:rsidP="004F1BDF" w14:paraId="4D32A2D0" w14:textId="10AC5D4B">
            <w:pPr>
              <w:jc w:val="center"/>
              <w:rPr>
                <w:sz w:val="16"/>
              </w:rPr>
            </w:pPr>
            <w:r w:rsidRPr="004F1BDF">
              <w:rPr>
                <w:sz w:val="16"/>
              </w:rPr>
              <w:t>(</w:t>
            </w:r>
            <w:r w:rsidRPr="004F1BDF">
              <w:rPr>
                <w:sz w:val="16"/>
              </w:rPr>
              <w:t>see</w:t>
            </w:r>
            <w:r w:rsidRPr="004F1BDF">
              <w:rPr>
                <w:sz w:val="16"/>
              </w:rPr>
              <w:t xml:space="preserve"> </w:t>
            </w:r>
            <w:r w:rsidRPr="004F1BDF">
              <w:rPr>
                <w:i/>
                <w:iCs/>
                <w:sz w:val="16"/>
              </w:rPr>
              <w:t>Nechay</w:t>
            </w:r>
            <w:r w:rsidRPr="004F1BDF" w:rsidR="009A52F7">
              <w:rPr>
                <w:i/>
                <w:iCs/>
                <w:sz w:val="16"/>
              </w:rPr>
              <w:t xml:space="preserve"> </w:t>
            </w:r>
            <w:r w:rsidRPr="004F1BDF">
              <w:rPr>
                <w:i/>
                <w:iCs/>
                <w:sz w:val="16"/>
              </w:rPr>
              <w:t>v. Ukraine</w:t>
            </w:r>
            <w:r w:rsidRPr="004F1BDF">
              <w:rPr>
                <w:sz w:val="16"/>
              </w:rPr>
              <w:t>,</w:t>
            </w:r>
          </w:p>
          <w:p w:rsidRPr="004F1BDF" w:rsidR="0018202D" w:rsidP="004F1BDF" w14:paraId="616C6A7B" w14:textId="77777777">
            <w:pPr>
              <w:jc w:val="center"/>
              <w:rPr>
                <w:sz w:val="16"/>
              </w:rPr>
            </w:pPr>
            <w:r w:rsidRPr="004F1BDF">
              <w:rPr>
                <w:sz w:val="16"/>
              </w:rPr>
              <w:t>no. 15360/10,</w:t>
            </w:r>
          </w:p>
          <w:p w:rsidRPr="004F1BDF" w:rsidR="0018202D" w:rsidP="004F1BDF" w14:paraId="40D73460" w14:textId="2A9CEE3D">
            <w:pPr>
              <w:jc w:val="center"/>
              <w:rPr>
                <w:sz w:val="16"/>
              </w:rPr>
            </w:pPr>
            <w:r w:rsidRPr="004F1BDF">
              <w:rPr>
                <w:sz w:val="16"/>
              </w:rPr>
              <w:t>§§ 67-79, 1 July 2021</w:t>
            </w:r>
            <w:r w:rsidRPr="004F1BDF">
              <w:rPr>
                <w:sz w:val="16"/>
              </w:rPr>
              <w:t>);</w:t>
            </w:r>
          </w:p>
          <w:p w:rsidRPr="004F1BDF" w:rsidR="0018202D" w:rsidP="004F1BDF" w14:paraId="1B012151" w14:textId="77777777">
            <w:pPr>
              <w:jc w:val="center"/>
              <w:rPr>
                <w:sz w:val="16"/>
              </w:rPr>
            </w:pPr>
          </w:p>
          <w:p w:rsidRPr="004F1BDF" w:rsidR="0018202D" w:rsidP="004F1BDF" w14:paraId="3CB118C3" w14:textId="77777777">
            <w:pPr>
              <w:jc w:val="center"/>
              <w:rPr>
                <w:sz w:val="16"/>
              </w:rPr>
            </w:pPr>
            <w:r w:rsidRPr="004F1BDF">
              <w:rPr>
                <w:sz w:val="16"/>
              </w:rPr>
              <w:t>Art. 13 - lack of any effective remedy in domestic law in respect of excessive length of criminal proceedings –</w:t>
            </w:r>
          </w:p>
          <w:p w:rsidRPr="004F1BDF" w:rsidR="0018202D" w:rsidP="004F1BDF" w14:paraId="025F08A3" w14:textId="3C0E3928">
            <w:pPr>
              <w:jc w:val="center"/>
              <w:rPr>
                <w:sz w:val="16"/>
              </w:rPr>
            </w:pPr>
            <w:r w:rsidRPr="004F1BDF">
              <w:rPr>
                <w:sz w:val="16"/>
              </w:rPr>
              <w:t>(</w:t>
            </w:r>
            <w:r w:rsidRPr="004F1BDF">
              <w:rPr>
                <w:sz w:val="16"/>
              </w:rPr>
              <w:t>see</w:t>
            </w:r>
            <w:r w:rsidRPr="004F1BDF">
              <w:rPr>
                <w:sz w:val="16"/>
              </w:rPr>
              <w:t xml:space="preserve"> </w:t>
            </w:r>
            <w:r w:rsidRPr="004F1BDF">
              <w:rPr>
                <w:i/>
                <w:iCs/>
                <w:sz w:val="16"/>
              </w:rPr>
              <w:t>Nechay</w:t>
            </w:r>
            <w:r w:rsidRPr="004F1BDF" w:rsidR="009A52F7">
              <w:rPr>
                <w:i/>
                <w:iCs/>
                <w:sz w:val="16"/>
              </w:rPr>
              <w:t xml:space="preserve"> </w:t>
            </w:r>
            <w:r w:rsidRPr="004F1BDF">
              <w:rPr>
                <w:i/>
                <w:iCs/>
                <w:sz w:val="16"/>
              </w:rPr>
              <w:t>v. Ukraine</w:t>
            </w:r>
            <w:r w:rsidRPr="004F1BDF">
              <w:rPr>
                <w:sz w:val="16"/>
              </w:rPr>
              <w:t>,</w:t>
            </w:r>
          </w:p>
          <w:p w:rsidRPr="004F1BDF" w:rsidR="0018202D" w:rsidP="004F1BDF" w14:paraId="767C3065" w14:textId="77777777">
            <w:pPr>
              <w:jc w:val="center"/>
              <w:rPr>
                <w:sz w:val="16"/>
              </w:rPr>
            </w:pPr>
            <w:r w:rsidRPr="004F1BDF">
              <w:rPr>
                <w:sz w:val="16"/>
              </w:rPr>
              <w:t>no. 15360/10,</w:t>
            </w:r>
          </w:p>
          <w:p w:rsidRPr="004F1BDF" w:rsidR="0018202D" w:rsidP="004F1BDF" w14:paraId="2801B9AD" w14:textId="12DAFF2E">
            <w:pPr>
              <w:jc w:val="center"/>
              <w:rPr>
                <w:sz w:val="16"/>
              </w:rPr>
            </w:pPr>
            <w:r w:rsidRPr="004F1BDF">
              <w:rPr>
                <w:sz w:val="16"/>
              </w:rPr>
              <w:t>§§ 67-79, 1 July 2021)</w:t>
            </w:r>
          </w:p>
        </w:tc>
        <w:tc>
          <w:tcPr>
            <w:tcW w:w="1134" w:type="dxa"/>
          </w:tcPr>
          <w:p w:rsidRPr="004F1BDF" w:rsidR="0018202D" w:rsidP="004F1BDF" w14:paraId="653CEB80" w14:textId="77777777">
            <w:pPr>
              <w:jc w:val="center"/>
              <w:rPr>
                <w:sz w:val="16"/>
              </w:rPr>
            </w:pPr>
            <w:r w:rsidRPr="004F1BDF">
              <w:rPr>
                <w:sz w:val="16"/>
              </w:rPr>
              <w:t>2,700</w:t>
            </w:r>
          </w:p>
        </w:tc>
        <w:tc>
          <w:tcPr>
            <w:tcW w:w="1139" w:type="dxa"/>
          </w:tcPr>
          <w:p w:rsidRPr="004F1BDF" w:rsidR="0018202D" w:rsidP="004F1BDF" w14:paraId="6D237C8B" w14:textId="77777777">
            <w:pPr>
              <w:jc w:val="center"/>
              <w:rPr>
                <w:sz w:val="16"/>
              </w:rPr>
            </w:pPr>
            <w:r w:rsidRPr="004F1BDF">
              <w:rPr>
                <w:sz w:val="16"/>
              </w:rPr>
              <w:t>250</w:t>
            </w:r>
          </w:p>
        </w:tc>
      </w:tr>
      <w:tr w:rsidTr="009A52F7" w14:paraId="31B8CC25" w14:textId="77777777">
        <w:tblPrEx>
          <w:tblW w:w="14601" w:type="dxa"/>
          <w:jc w:val="center"/>
          <w:tblLayout w:type="fixed"/>
          <w:tblLook w:val="0420"/>
        </w:tblPrEx>
        <w:trPr>
          <w:cantSplit/>
          <w:jc w:val="center"/>
        </w:trPr>
        <w:tc>
          <w:tcPr>
            <w:tcW w:w="562" w:type="dxa"/>
          </w:tcPr>
          <w:p w:rsidRPr="004F1BDF" w:rsidR="0018202D" w:rsidP="004F1BDF" w14:paraId="17FBAC6E"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4F1BDF" w:rsidR="0018202D" w:rsidP="004F1BDF" w14:paraId="2D12C6DD" w14:textId="77777777">
            <w:pPr>
              <w:jc w:val="center"/>
              <w:rPr>
                <w:sz w:val="16"/>
              </w:rPr>
            </w:pPr>
            <w:r w:rsidRPr="004F1BDF">
              <w:rPr>
                <w:sz w:val="16"/>
              </w:rPr>
              <w:t>7240/24</w:t>
            </w:r>
          </w:p>
          <w:p w:rsidRPr="004F1BDF" w:rsidR="0018202D" w:rsidP="004F1BDF" w14:paraId="4463CA07" w14:textId="77777777">
            <w:pPr>
              <w:jc w:val="center"/>
              <w:rPr>
                <w:sz w:val="16"/>
              </w:rPr>
            </w:pPr>
            <w:r w:rsidRPr="004F1BDF">
              <w:rPr>
                <w:sz w:val="16"/>
              </w:rPr>
              <w:t>16/02/2024</w:t>
            </w:r>
          </w:p>
        </w:tc>
        <w:tc>
          <w:tcPr>
            <w:tcW w:w="1418" w:type="dxa"/>
          </w:tcPr>
          <w:p w:rsidRPr="004F1BDF" w:rsidR="0018202D" w:rsidP="004F1BDF" w14:paraId="434A3BCB" w14:textId="77777777">
            <w:pPr>
              <w:jc w:val="center"/>
              <w:rPr>
                <w:sz w:val="16"/>
              </w:rPr>
            </w:pPr>
            <w:r w:rsidRPr="004F1BDF">
              <w:rPr>
                <w:b/>
                <w:sz w:val="16"/>
              </w:rPr>
              <w:t>Yuriy</w:t>
            </w:r>
            <w:r w:rsidRPr="004F1BDF">
              <w:rPr>
                <w:b/>
                <w:sz w:val="16"/>
              </w:rPr>
              <w:t xml:space="preserve"> </w:t>
            </w:r>
            <w:r w:rsidRPr="004F1BDF">
              <w:rPr>
                <w:b/>
                <w:sz w:val="16"/>
              </w:rPr>
              <w:t>Romanovych</w:t>
            </w:r>
            <w:r w:rsidRPr="004F1BDF">
              <w:rPr>
                <w:b/>
                <w:sz w:val="16"/>
              </w:rPr>
              <w:t xml:space="preserve"> KENTSALO</w:t>
            </w:r>
          </w:p>
          <w:p w:rsidRPr="004F1BDF" w:rsidR="0018202D" w:rsidP="004F1BDF" w14:paraId="0F803E31" w14:textId="04B35294">
            <w:pPr>
              <w:jc w:val="center"/>
              <w:rPr>
                <w:sz w:val="16"/>
              </w:rPr>
            </w:pPr>
            <w:r w:rsidRPr="004F1BDF">
              <w:rPr>
                <w:sz w:val="16"/>
              </w:rPr>
              <w:t>1982</w:t>
            </w:r>
          </w:p>
        </w:tc>
        <w:tc>
          <w:tcPr>
            <w:tcW w:w="1417" w:type="dxa"/>
          </w:tcPr>
          <w:p w:rsidRPr="004F1BDF" w:rsidR="0018202D" w:rsidP="004F1BDF" w14:paraId="06CB7EB8" w14:textId="77777777">
            <w:pPr>
              <w:jc w:val="center"/>
              <w:rPr>
                <w:sz w:val="16"/>
              </w:rPr>
            </w:pPr>
          </w:p>
        </w:tc>
        <w:tc>
          <w:tcPr>
            <w:tcW w:w="1276" w:type="dxa"/>
          </w:tcPr>
          <w:p w:rsidRPr="004F1BDF" w:rsidR="004F1BDF" w:rsidP="004F1BDF" w14:paraId="4BE38C50" w14:textId="77777777">
            <w:pPr>
              <w:jc w:val="center"/>
              <w:rPr>
                <w:sz w:val="16"/>
              </w:rPr>
            </w:pPr>
            <w:r w:rsidRPr="004F1BDF">
              <w:rPr>
                <w:sz w:val="16"/>
              </w:rPr>
              <w:t>14/09/2021</w:t>
            </w:r>
          </w:p>
          <w:p w:rsidRPr="004F1BDF" w:rsidR="0018202D" w:rsidP="004F1BDF" w14:paraId="47C90773" w14:textId="2FB19D12">
            <w:pPr>
              <w:jc w:val="center"/>
              <w:rPr>
                <w:sz w:val="16"/>
              </w:rPr>
            </w:pPr>
            <w:r w:rsidRPr="004F1BDF">
              <w:rPr>
                <w:sz w:val="16"/>
              </w:rPr>
              <w:t>to</w:t>
            </w:r>
          </w:p>
          <w:p w:rsidRPr="004F1BDF" w:rsidR="0018202D" w:rsidP="004F1BDF" w14:paraId="062F9FDF" w14:textId="77777777">
            <w:pPr>
              <w:jc w:val="center"/>
              <w:rPr>
                <w:sz w:val="16"/>
              </w:rPr>
            </w:pPr>
            <w:r w:rsidRPr="004F1BDF">
              <w:rPr>
                <w:sz w:val="16"/>
              </w:rPr>
              <w:t>16/12/2024</w:t>
            </w:r>
          </w:p>
        </w:tc>
        <w:tc>
          <w:tcPr>
            <w:tcW w:w="1281" w:type="dxa"/>
          </w:tcPr>
          <w:p w:rsidRPr="004F1BDF" w:rsidR="004F1BDF" w:rsidP="004F1BDF" w14:paraId="29E46644" w14:textId="77777777">
            <w:pPr>
              <w:jc w:val="center"/>
              <w:rPr>
                <w:sz w:val="16"/>
              </w:rPr>
            </w:pPr>
            <w:r w:rsidRPr="004F1BDF">
              <w:rPr>
                <w:sz w:val="16"/>
              </w:rPr>
              <w:t>3 year(s) and</w:t>
            </w:r>
          </w:p>
          <w:p w:rsidRPr="004F1BDF" w:rsidR="0018202D" w:rsidP="004F1BDF" w14:paraId="77F02C05" w14:textId="738AAB8E">
            <w:pPr>
              <w:jc w:val="center"/>
              <w:rPr>
                <w:sz w:val="16"/>
              </w:rPr>
            </w:pPr>
            <w:r w:rsidRPr="004F1BDF">
              <w:rPr>
                <w:sz w:val="16"/>
              </w:rPr>
              <w:t>3 month(s) and 3 day(s)</w:t>
            </w:r>
          </w:p>
        </w:tc>
        <w:tc>
          <w:tcPr>
            <w:tcW w:w="1979" w:type="dxa"/>
          </w:tcPr>
          <w:p w:rsidRPr="004F1BDF" w:rsidR="0018202D" w:rsidP="004F1BDF" w14:paraId="53D5ACBC" w14:textId="77777777">
            <w:pPr>
              <w:jc w:val="center"/>
              <w:rPr>
                <w:sz w:val="16"/>
              </w:rPr>
            </w:pPr>
            <w:r w:rsidRPr="004F1BDF">
              <w:rPr>
                <w:sz w:val="16"/>
              </w:rPr>
              <w:t xml:space="preserve">fragility and repetitiveness of the reasoning employed by the courts as the case </w:t>
            </w:r>
            <w:r w:rsidRPr="004F1BDF">
              <w:rPr>
                <w:sz w:val="16"/>
              </w:rPr>
              <w:t>progressed;</w:t>
            </w:r>
          </w:p>
          <w:p w:rsidRPr="004F1BDF" w:rsidR="0018202D" w:rsidP="004F1BDF" w14:paraId="475077F2" w14:textId="77777777">
            <w:pPr>
              <w:jc w:val="center"/>
              <w:rPr>
                <w:sz w:val="16"/>
              </w:rPr>
            </w:pPr>
            <w:r w:rsidRPr="004F1BDF">
              <w:rPr>
                <w:sz w:val="16"/>
              </w:rPr>
              <w:t xml:space="preserve">failure to examine the possibility, as the case progressed, of applying other measures to secure attendance at the </w:t>
            </w:r>
            <w:r w:rsidRPr="004F1BDF">
              <w:rPr>
                <w:sz w:val="16"/>
              </w:rPr>
              <w:t>trial;</w:t>
            </w:r>
          </w:p>
          <w:p w:rsidRPr="004F1BDF" w:rsidR="0018202D" w:rsidP="004F1BDF" w14:paraId="75D35039" w14:textId="7A86E3B7">
            <w:pPr>
              <w:jc w:val="center"/>
              <w:rPr>
                <w:sz w:val="16"/>
              </w:rPr>
            </w:pPr>
            <w:r w:rsidRPr="004F1BDF">
              <w:rPr>
                <w:sz w:val="16"/>
              </w:rPr>
              <w:t>use of assumptions, in the absence of any evidentiary basis, of the risks of absconding or obstructing justice, as the case progressed</w:t>
            </w:r>
          </w:p>
        </w:tc>
        <w:tc>
          <w:tcPr>
            <w:tcW w:w="993" w:type="dxa"/>
          </w:tcPr>
          <w:p w:rsidRPr="004F1BDF" w:rsidR="0018202D" w:rsidP="004F1BDF" w14:paraId="46B982C8" w14:textId="77777777">
            <w:pPr>
              <w:jc w:val="center"/>
              <w:rPr>
                <w:sz w:val="16"/>
              </w:rPr>
            </w:pPr>
          </w:p>
        </w:tc>
        <w:tc>
          <w:tcPr>
            <w:tcW w:w="2268" w:type="dxa"/>
          </w:tcPr>
          <w:p w:rsidRPr="004F1BDF" w:rsidR="0018202D" w:rsidP="004F1BDF" w14:paraId="55DB1809" w14:textId="77777777">
            <w:pPr>
              <w:jc w:val="center"/>
              <w:rPr>
                <w:sz w:val="16"/>
              </w:rPr>
            </w:pPr>
          </w:p>
        </w:tc>
        <w:tc>
          <w:tcPr>
            <w:tcW w:w="1134" w:type="dxa"/>
          </w:tcPr>
          <w:p w:rsidRPr="004F1BDF" w:rsidR="0018202D" w:rsidP="004F1BDF" w14:paraId="5135E1E4" w14:textId="77777777">
            <w:pPr>
              <w:jc w:val="center"/>
              <w:rPr>
                <w:sz w:val="16"/>
              </w:rPr>
            </w:pPr>
            <w:r w:rsidRPr="004F1BDF">
              <w:rPr>
                <w:sz w:val="16"/>
              </w:rPr>
              <w:t>2,000</w:t>
            </w:r>
          </w:p>
        </w:tc>
        <w:tc>
          <w:tcPr>
            <w:tcW w:w="1139" w:type="dxa"/>
          </w:tcPr>
          <w:p w:rsidRPr="004F1BDF" w:rsidR="0018202D" w:rsidP="004F1BDF" w14:paraId="1B27D2C1" w14:textId="77777777">
            <w:pPr>
              <w:jc w:val="center"/>
              <w:rPr>
                <w:sz w:val="16"/>
              </w:rPr>
            </w:pPr>
            <w:r w:rsidRPr="004F1BDF">
              <w:rPr>
                <w:sz w:val="16"/>
              </w:rPr>
              <w:t>-</w:t>
            </w:r>
          </w:p>
        </w:tc>
      </w:tr>
      <w:tr w:rsidTr="009A52F7" w14:paraId="0A9CDB9D" w14:textId="77777777">
        <w:tblPrEx>
          <w:tblW w:w="14601" w:type="dxa"/>
          <w:jc w:val="center"/>
          <w:tblLayout w:type="fixed"/>
          <w:tblLook w:val="0420"/>
        </w:tblPrEx>
        <w:trPr>
          <w:jc w:val="center"/>
        </w:trPr>
        <w:tc>
          <w:tcPr>
            <w:tcW w:w="562" w:type="dxa"/>
          </w:tcPr>
          <w:p w:rsidRPr="004F1BDF" w:rsidR="0018202D" w:rsidP="004F1BDF" w14:paraId="197C7897"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4F1BDF" w:rsidR="0018202D" w:rsidP="004F1BDF" w14:paraId="572B07D4" w14:textId="77777777">
            <w:pPr>
              <w:jc w:val="center"/>
              <w:rPr>
                <w:sz w:val="16"/>
              </w:rPr>
            </w:pPr>
            <w:r w:rsidRPr="004F1BDF">
              <w:rPr>
                <w:sz w:val="16"/>
              </w:rPr>
              <w:t>10337/24</w:t>
            </w:r>
          </w:p>
          <w:p w:rsidRPr="004F1BDF" w:rsidR="0018202D" w:rsidP="004F1BDF" w14:paraId="28D83B17" w14:textId="77777777">
            <w:pPr>
              <w:jc w:val="center"/>
              <w:rPr>
                <w:sz w:val="16"/>
              </w:rPr>
            </w:pPr>
            <w:r w:rsidRPr="004F1BDF">
              <w:rPr>
                <w:sz w:val="16"/>
              </w:rPr>
              <w:t>14/03/2024</w:t>
            </w:r>
          </w:p>
        </w:tc>
        <w:tc>
          <w:tcPr>
            <w:tcW w:w="1418" w:type="dxa"/>
          </w:tcPr>
          <w:p w:rsidRPr="004F1BDF" w:rsidR="0018202D" w:rsidP="004F1BDF" w14:paraId="0A5FAA7D" w14:textId="77777777">
            <w:pPr>
              <w:jc w:val="center"/>
              <w:rPr>
                <w:sz w:val="16"/>
              </w:rPr>
            </w:pPr>
            <w:r w:rsidRPr="004F1BDF">
              <w:rPr>
                <w:b/>
                <w:sz w:val="16"/>
              </w:rPr>
              <w:t>Valeriy</w:t>
            </w:r>
            <w:r w:rsidRPr="004F1BDF">
              <w:rPr>
                <w:b/>
                <w:sz w:val="16"/>
              </w:rPr>
              <w:t xml:space="preserve"> </w:t>
            </w:r>
            <w:r w:rsidRPr="004F1BDF">
              <w:rPr>
                <w:b/>
                <w:sz w:val="16"/>
              </w:rPr>
              <w:t>Viktorovych</w:t>
            </w:r>
            <w:r w:rsidRPr="004F1BDF">
              <w:rPr>
                <w:b/>
                <w:sz w:val="16"/>
              </w:rPr>
              <w:t xml:space="preserve"> KOLDUNOV</w:t>
            </w:r>
          </w:p>
          <w:p w:rsidRPr="004F1BDF" w:rsidR="0018202D" w:rsidP="004F1BDF" w14:paraId="3D2A3384" w14:textId="63C59A7E">
            <w:pPr>
              <w:jc w:val="center"/>
              <w:rPr>
                <w:sz w:val="16"/>
              </w:rPr>
            </w:pPr>
            <w:r w:rsidRPr="004F1BDF">
              <w:rPr>
                <w:sz w:val="16"/>
              </w:rPr>
              <w:t>1986</w:t>
            </w:r>
          </w:p>
        </w:tc>
        <w:tc>
          <w:tcPr>
            <w:tcW w:w="1417" w:type="dxa"/>
          </w:tcPr>
          <w:p w:rsidRPr="004F1BDF" w:rsidR="004F1BDF" w:rsidP="004F1BDF" w14:paraId="78D57E3D" w14:textId="77777777">
            <w:pPr>
              <w:jc w:val="center"/>
              <w:rPr>
                <w:sz w:val="16"/>
              </w:rPr>
            </w:pPr>
            <w:r w:rsidRPr="004F1BDF">
              <w:rPr>
                <w:sz w:val="16"/>
              </w:rPr>
              <w:t>Mykhayluk</w:t>
            </w:r>
          </w:p>
          <w:p w:rsidRPr="004F1BDF" w:rsidR="0018202D" w:rsidP="004F1BDF" w14:paraId="1707165D" w14:textId="3A3405F6">
            <w:pPr>
              <w:jc w:val="center"/>
              <w:rPr>
                <w:sz w:val="16"/>
              </w:rPr>
            </w:pPr>
            <w:r w:rsidRPr="004F1BDF">
              <w:rPr>
                <w:sz w:val="16"/>
              </w:rPr>
              <w:t xml:space="preserve">Bogdan </w:t>
            </w:r>
            <w:r w:rsidRPr="004F1BDF">
              <w:rPr>
                <w:sz w:val="16"/>
              </w:rPr>
              <w:t>Leonidovych</w:t>
            </w:r>
          </w:p>
          <w:p w:rsidRPr="004F1BDF" w:rsidR="0018202D" w:rsidP="004F1BDF" w14:paraId="05F1A53C" w14:textId="77777777">
            <w:pPr>
              <w:jc w:val="center"/>
              <w:rPr>
                <w:sz w:val="16"/>
              </w:rPr>
            </w:pPr>
            <w:r w:rsidRPr="004F1BDF">
              <w:rPr>
                <w:sz w:val="16"/>
              </w:rPr>
              <w:t>Pavlograd</w:t>
            </w:r>
            <w:r w:rsidRPr="004F1BDF">
              <w:rPr>
                <w:sz w:val="16"/>
              </w:rPr>
              <w:t xml:space="preserve"> Dnipropetrovsk region</w:t>
            </w:r>
          </w:p>
        </w:tc>
        <w:tc>
          <w:tcPr>
            <w:tcW w:w="1276" w:type="dxa"/>
          </w:tcPr>
          <w:p w:rsidRPr="004F1BDF" w:rsidR="0018202D" w:rsidP="004F1BDF" w14:paraId="225CB229" w14:textId="77777777">
            <w:pPr>
              <w:jc w:val="center"/>
              <w:rPr>
                <w:sz w:val="16"/>
              </w:rPr>
            </w:pPr>
            <w:r w:rsidRPr="004F1BDF">
              <w:rPr>
                <w:sz w:val="16"/>
              </w:rPr>
              <w:t>01/03/2021</w:t>
            </w:r>
          </w:p>
          <w:p w:rsidRPr="004F1BDF" w:rsidR="0018202D" w:rsidP="004F1BDF" w14:paraId="592B8DAF" w14:textId="77777777">
            <w:pPr>
              <w:jc w:val="center"/>
              <w:rPr>
                <w:sz w:val="16"/>
              </w:rPr>
            </w:pPr>
            <w:r w:rsidRPr="004F1BDF">
              <w:rPr>
                <w:sz w:val="16"/>
              </w:rPr>
              <w:t>pending</w:t>
            </w:r>
          </w:p>
        </w:tc>
        <w:tc>
          <w:tcPr>
            <w:tcW w:w="1281" w:type="dxa"/>
          </w:tcPr>
          <w:p w:rsidRPr="004F1BDF" w:rsidR="0018202D" w:rsidP="004F1BDF" w14:paraId="470D2777" w14:textId="77777777">
            <w:pPr>
              <w:jc w:val="center"/>
              <w:rPr>
                <w:sz w:val="16"/>
              </w:rPr>
            </w:pPr>
            <w:r w:rsidRPr="004F1BDF">
              <w:rPr>
                <w:sz w:val="16"/>
              </w:rPr>
              <w:t>More than</w:t>
            </w:r>
          </w:p>
          <w:p w:rsidRPr="004F1BDF" w:rsidR="004F1BDF" w:rsidP="004F1BDF" w14:paraId="39019C1B" w14:textId="77777777">
            <w:pPr>
              <w:jc w:val="center"/>
              <w:rPr>
                <w:sz w:val="16"/>
              </w:rPr>
            </w:pPr>
            <w:r w:rsidRPr="004F1BDF">
              <w:rPr>
                <w:sz w:val="16"/>
              </w:rPr>
              <w:t>3 year(s) and</w:t>
            </w:r>
          </w:p>
          <w:p w:rsidRPr="004F1BDF" w:rsidR="0018202D" w:rsidP="004F1BDF" w14:paraId="6C314E12" w14:textId="3158DC21">
            <w:pPr>
              <w:jc w:val="center"/>
              <w:rPr>
                <w:sz w:val="16"/>
              </w:rPr>
            </w:pPr>
            <w:r w:rsidRPr="004F1BDF">
              <w:rPr>
                <w:sz w:val="16"/>
              </w:rPr>
              <w:t>10 month(s) and 21 day(s)</w:t>
            </w:r>
          </w:p>
        </w:tc>
        <w:tc>
          <w:tcPr>
            <w:tcW w:w="1979" w:type="dxa"/>
          </w:tcPr>
          <w:p w:rsidRPr="004F1BDF" w:rsidR="0018202D" w:rsidP="004F1BDF" w14:paraId="3A8CFFFA" w14:textId="77777777">
            <w:pPr>
              <w:jc w:val="center"/>
              <w:rPr>
                <w:sz w:val="16"/>
              </w:rPr>
            </w:pPr>
            <w:r w:rsidRPr="004F1BDF">
              <w:rPr>
                <w:sz w:val="16"/>
              </w:rPr>
              <w:t xml:space="preserve">fragility of the reasons employed by the </w:t>
            </w:r>
            <w:r w:rsidRPr="004F1BDF">
              <w:rPr>
                <w:sz w:val="16"/>
              </w:rPr>
              <w:t>courts;</w:t>
            </w:r>
          </w:p>
          <w:p w:rsidRPr="004F1BDF" w:rsidR="0018202D" w:rsidP="004F1BDF" w14:paraId="4E44E1FA" w14:textId="77777777">
            <w:pPr>
              <w:jc w:val="center"/>
              <w:rPr>
                <w:sz w:val="16"/>
              </w:rPr>
            </w:pPr>
            <w:r w:rsidRPr="004F1BDF">
              <w:rPr>
                <w:sz w:val="16"/>
              </w:rPr>
              <w:t xml:space="preserve">collective detention </w:t>
            </w:r>
            <w:r w:rsidRPr="004F1BDF">
              <w:rPr>
                <w:sz w:val="16"/>
              </w:rPr>
              <w:t>orders;</w:t>
            </w:r>
          </w:p>
          <w:p w:rsidRPr="004F1BDF" w:rsidR="0018202D" w:rsidP="004F1BDF" w14:paraId="439E0A96" w14:textId="77777777">
            <w:pPr>
              <w:jc w:val="center"/>
              <w:rPr>
                <w:sz w:val="16"/>
              </w:rPr>
            </w:pPr>
            <w:r w:rsidRPr="004F1BDF">
              <w:rPr>
                <w:sz w:val="16"/>
              </w:rPr>
              <w:t>failure to examine the possibility of applying other measures of restraint</w:t>
            </w:r>
          </w:p>
        </w:tc>
        <w:tc>
          <w:tcPr>
            <w:tcW w:w="993" w:type="dxa"/>
          </w:tcPr>
          <w:p w:rsidRPr="004F1BDF" w:rsidR="0018202D" w:rsidP="004F1BDF" w14:paraId="2109035F" w14:textId="77777777">
            <w:pPr>
              <w:jc w:val="center"/>
              <w:rPr>
                <w:sz w:val="16"/>
              </w:rPr>
            </w:pPr>
            <w:r w:rsidRPr="004F1BDF">
              <w:rPr>
                <w:sz w:val="16"/>
              </w:rPr>
              <w:t>23/09/2024</w:t>
            </w:r>
          </w:p>
          <w:p w:rsidRPr="004F1BDF" w:rsidR="0018202D" w:rsidP="004F1BDF" w14:paraId="71D3160C" w14:textId="77777777">
            <w:pPr>
              <w:jc w:val="center"/>
              <w:rPr>
                <w:sz w:val="16"/>
              </w:rPr>
            </w:pPr>
            <w:r w:rsidRPr="004F1BDF">
              <w:rPr>
                <w:sz w:val="16"/>
              </w:rPr>
              <w:t>pending</w:t>
            </w:r>
          </w:p>
        </w:tc>
        <w:tc>
          <w:tcPr>
            <w:tcW w:w="2268" w:type="dxa"/>
          </w:tcPr>
          <w:p w:rsidRPr="004F1BDF" w:rsidR="0018202D" w:rsidP="004F1BDF" w14:paraId="4A01AF96" w14:textId="77777777">
            <w:pPr>
              <w:jc w:val="center"/>
              <w:rPr>
                <w:sz w:val="16"/>
              </w:rPr>
            </w:pPr>
          </w:p>
        </w:tc>
        <w:tc>
          <w:tcPr>
            <w:tcW w:w="1134" w:type="dxa"/>
          </w:tcPr>
          <w:p w:rsidRPr="004F1BDF" w:rsidR="0018202D" w:rsidP="004F1BDF" w14:paraId="3DB9F69E" w14:textId="77777777">
            <w:pPr>
              <w:jc w:val="center"/>
              <w:rPr>
                <w:sz w:val="16"/>
              </w:rPr>
            </w:pPr>
            <w:r w:rsidRPr="004F1BDF">
              <w:rPr>
                <w:sz w:val="16"/>
              </w:rPr>
              <w:t>2,500</w:t>
            </w:r>
          </w:p>
        </w:tc>
        <w:tc>
          <w:tcPr>
            <w:tcW w:w="1139" w:type="dxa"/>
          </w:tcPr>
          <w:p w:rsidRPr="004F1BDF" w:rsidR="0018202D" w:rsidP="004F1BDF" w14:paraId="2236DF2C" w14:textId="77777777">
            <w:pPr>
              <w:jc w:val="center"/>
              <w:rPr>
                <w:sz w:val="16"/>
              </w:rPr>
            </w:pPr>
            <w:r w:rsidRPr="004F1BDF">
              <w:rPr>
                <w:sz w:val="16"/>
              </w:rPr>
              <w:t>-</w:t>
            </w:r>
          </w:p>
        </w:tc>
      </w:tr>
    </w:tbl>
    <w:p w:rsidRPr="004F1BDF" w:rsidR="00606600" w:rsidP="004F1BDF" w14:paraId="56002C10" w14:textId="77777777">
      <w:pPr>
        <w:rPr>
          <w:sz w:val="16"/>
          <w:szCs w:val="16"/>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8F4C1C" w:rsidRPr="00611E1D" w14:paraId="0CC13A7C" w14:textId="77777777">
      <w:r w:rsidRPr="00611E1D">
        <w:separator/>
      </w:r>
    </w:p>
  </w:endnote>
  <w:endnote w:type="continuationSeparator" w:id="1">
    <w:p w:rsidR="008F4C1C" w:rsidRPr="00611E1D" w14:paraId="0D9C6280" w14:textId="77777777">
      <w:r w:rsidRPr="00611E1D">
        <w:continuationSeparator/>
      </w:r>
    </w:p>
  </w:endnote>
  <w:endnote w:id="2">
    <w:p w:rsidR="0018202D" w:rsidRPr="00CB0844" w:rsidP="008F4C1C" w14:paraId="3EA1CF0E" w14:textId="77777777">
      <w:pPr>
        <w:pStyle w:val="EndnoteText"/>
        <w:rPr>
          <w:sz w:val="16"/>
          <w:szCs w:val="16"/>
        </w:rPr>
      </w:pPr>
      <w:r w:rsidRPr="00CB0844">
        <w:rPr>
          <w:rStyle w:val="EndnoteReference"/>
          <w:sz w:val="16"/>
          <w:szCs w:val="16"/>
        </w:rPr>
        <w:endnoteRef/>
      </w:r>
      <w:r w:rsidRPr="00CB0844">
        <w:rPr>
          <w:sz w:val="16"/>
          <w:szCs w:val="16"/>
        </w:rPr>
        <w:t xml:space="preserve"> Plus any tax that may be chargeable to the applicants.</w:t>
      </w:r>
    </w:p>
  </w:endnote>
  <w:endnote w:id="3">
    <w:p w:rsidR="0018202D" w:rsidRPr="00277194" w:rsidP="008F4C1C" w14:paraId="60912EB1" w14:textId="77777777">
      <w:pPr>
        <w:pStyle w:val="EndnoteText"/>
      </w:pPr>
      <w:r w:rsidRPr="00CB0844">
        <w:rPr>
          <w:rStyle w:val="EndnoteReference"/>
          <w:sz w:val="16"/>
          <w:szCs w:val="16"/>
        </w:rPr>
        <w:endnoteRef/>
      </w:r>
      <w:r w:rsidRPr="00CB0844">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05DC932" w14:textId="5B3A3127">
    <w:pPr>
      <w:pStyle w:val="JuHeader"/>
    </w:pPr>
    <w:r>
      <w:fldChar w:fldCharType="begin"/>
    </w:r>
    <w:r>
      <w:instrText xml:space="preserve"> PAGE  \* MERGEFORMAT </w:instrText>
    </w:r>
    <w:r>
      <w:fldChar w:fldCharType="separate"/>
    </w:r>
    <w:r>
      <w:rPr>
        <w:noProof/>
      </w:rP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6ACF98E4" w14:textId="6AEA474C">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809B854"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27F1631B"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25E825A"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2EBBB759" w14:textId="77777777">
    <w:pPr>
      <w:jc w:val="center"/>
      <w:rPr>
        <w:sz w:val="4"/>
        <w:szCs w:val="4"/>
      </w:rPr>
    </w:pPr>
  </w:p>
  <w:p w:rsidR="00606600" w:rsidRPr="00611E1D" w14:paraId="7275A68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C1C" w:rsidRPr="00A45145" w:rsidP="00A45145" w14:paraId="0BAD55E0" w14:textId="56B469CD">
    <w:pPr>
      <w:jc w:val="center"/>
    </w:pPr>
    <w:r>
      <w:rPr>
        <w:noProof/>
        <w:lang w:val="en-US"/>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083C4AEF" w14:textId="687B212B">
    <w:pPr>
      <w:pStyle w:val="Header0"/>
    </w:pPr>
  </w:p>
  <w:p w:rsidR="00606600" w:rsidRPr="00611E1D" w:rsidP="00B64153" w14:paraId="0C13664E"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FC8364A" w14:textId="21B65D56">
    <w:pPr>
      <w:pStyle w:val="JuHeader"/>
    </w:pPr>
    <w:r>
      <w:t>MKRTCHYAN AND OTHERS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F9F1477" w14:textId="219DE670">
    <w:pPr>
      <w:pStyle w:val="JuHeader"/>
    </w:pPr>
    <w:r>
      <w:t>MKRTCHYAN AND OTHERS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2FCA0AD" w14:textId="61A6CCCC">
    <w:pPr>
      <w:pStyle w:val="JuHeader"/>
    </w:pPr>
    <w:r>
      <w:t>MKRTCHYAN AND OTHERS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8D2094B" w14:textId="7124FC03">
    <w:pPr>
      <w:pStyle w:val="JuHeader"/>
    </w:pPr>
    <w:r>
      <w:t>MKRTCHYAN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69725C6"/>
    <w:multiLevelType w:val="hybridMultilevel"/>
    <w:tmpl w:val="C0E224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C1C"/>
    <w:rsid w:val="000318F7"/>
    <w:rsid w:val="000C5149"/>
    <w:rsid w:val="00135384"/>
    <w:rsid w:val="00150BFA"/>
    <w:rsid w:val="00173A91"/>
    <w:rsid w:val="00177329"/>
    <w:rsid w:val="0018202D"/>
    <w:rsid w:val="001A15B6"/>
    <w:rsid w:val="001A3C4A"/>
    <w:rsid w:val="001D7CD3"/>
    <w:rsid w:val="001F3812"/>
    <w:rsid w:val="002056B7"/>
    <w:rsid w:val="0020718E"/>
    <w:rsid w:val="00216F9D"/>
    <w:rsid w:val="0023364D"/>
    <w:rsid w:val="00277194"/>
    <w:rsid w:val="0029309A"/>
    <w:rsid w:val="002C5B23"/>
    <w:rsid w:val="00337785"/>
    <w:rsid w:val="0037589C"/>
    <w:rsid w:val="003B3ECB"/>
    <w:rsid w:val="0048584C"/>
    <w:rsid w:val="00497FF8"/>
    <w:rsid w:val="004B0B4E"/>
    <w:rsid w:val="004D042B"/>
    <w:rsid w:val="004D0EC7"/>
    <w:rsid w:val="004F1BDF"/>
    <w:rsid w:val="004F56E2"/>
    <w:rsid w:val="00531598"/>
    <w:rsid w:val="00555A1D"/>
    <w:rsid w:val="00573202"/>
    <w:rsid w:val="005B102C"/>
    <w:rsid w:val="005B16C1"/>
    <w:rsid w:val="005C3A15"/>
    <w:rsid w:val="005F60F9"/>
    <w:rsid w:val="00606600"/>
    <w:rsid w:val="00611E1D"/>
    <w:rsid w:val="006372F5"/>
    <w:rsid w:val="00656431"/>
    <w:rsid w:val="006D324D"/>
    <w:rsid w:val="007152CD"/>
    <w:rsid w:val="00743B2A"/>
    <w:rsid w:val="007A72B4"/>
    <w:rsid w:val="007F018A"/>
    <w:rsid w:val="008522DD"/>
    <w:rsid w:val="00860732"/>
    <w:rsid w:val="008A0E2E"/>
    <w:rsid w:val="008D51B6"/>
    <w:rsid w:val="008F4C1C"/>
    <w:rsid w:val="009522DD"/>
    <w:rsid w:val="009A52F7"/>
    <w:rsid w:val="00A329E0"/>
    <w:rsid w:val="00A34A54"/>
    <w:rsid w:val="00A44415"/>
    <w:rsid w:val="00A45145"/>
    <w:rsid w:val="00A6104A"/>
    <w:rsid w:val="00A94CA7"/>
    <w:rsid w:val="00AC03BB"/>
    <w:rsid w:val="00B216C1"/>
    <w:rsid w:val="00B64153"/>
    <w:rsid w:val="00B91668"/>
    <w:rsid w:val="00BC1097"/>
    <w:rsid w:val="00BD554D"/>
    <w:rsid w:val="00BE2415"/>
    <w:rsid w:val="00C20CC3"/>
    <w:rsid w:val="00C877A3"/>
    <w:rsid w:val="00CB0844"/>
    <w:rsid w:val="00DE7D3F"/>
    <w:rsid w:val="00E026EC"/>
    <w:rsid w:val="00E6230A"/>
    <w:rsid w:val="00ED7723"/>
    <w:rsid w:val="00FB16F8"/>
  </w:rsids>
  <w:docVars>
    <w:docVar w:name="ApplicationsApp" w:val="2"/>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7FDF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1304</Words>
  <Characters>6901</Characters>
  <Application>Microsoft Office Word</Application>
  <DocSecurity>0</DocSecurity>
  <Lines>287</Lines>
  <Paragraphs>160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2025-03-04T10:40:00Z</dcterms:created>
  <dcterms:modified xsi:type="dcterms:W3CDTF">2025-03-04T10:43:00Z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1924054</vt:lpwstr>
  </property>
  <property fmtid="{D5CDD505-2E9C-101B-9397-08002B2CF9AE}" pid="3" name="cstLanguage">
    <vt:i4>2057</vt:i4>
  </property>
  <property fmtid="{D5CDD505-2E9C-101B-9397-08002B2CF9AE}" pid="4" name="RegisteredNo">
    <vt:lpwstr>34801/23</vt:lpwstr>
  </property>
</Properties>
</file>