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8276C" w:rsidR="008D51B6" w:rsidP="0008276C" w14:paraId="213C6914" w14:textId="77777777">
      <w:pPr>
        <w:jc w:val="center"/>
      </w:pPr>
    </w:p>
    <w:p w:rsidRPr="0008276C" w:rsidR="004D042B" w:rsidP="0008276C" w14:paraId="2597D918" w14:textId="279C7B9B">
      <w:pPr>
        <w:jc w:val="center"/>
      </w:pPr>
    </w:p>
    <w:p w:rsidRPr="0008276C" w:rsidR="000C5149" w:rsidP="0008276C" w14:paraId="4D70235E" w14:textId="77777777">
      <w:pPr>
        <w:jc w:val="center"/>
      </w:pPr>
    </w:p>
    <w:p w:rsidRPr="0008276C" w:rsidR="00606600" w:rsidP="0008276C" w14:paraId="6209A915" w14:textId="37A35C8C">
      <w:pPr>
        <w:pStyle w:val="DecHTitle"/>
      </w:pPr>
      <w:r w:rsidRPr="0008276C">
        <w:t>FIFTH SECTION</w:t>
      </w:r>
    </w:p>
    <w:p w:rsidRPr="0008276C" w:rsidR="006D324D" w:rsidP="0008276C" w14:paraId="27A885F6" w14:textId="6869B819">
      <w:pPr>
        <w:pStyle w:val="JuTitle"/>
      </w:pPr>
      <w:bookmarkStart w:name="To" w:id="0"/>
      <w:r w:rsidRPr="0008276C">
        <w:rPr>
          <w:color w:val="000000" w:themeColor="text1"/>
        </w:rPr>
        <w:t xml:space="preserve">CASE OF </w:t>
      </w:r>
      <w:bookmarkEnd w:id="0"/>
      <w:r w:rsidRPr="0008276C" w:rsidR="007F114B">
        <w:t>GNEZDOV v. UKRAINE</w:t>
      </w:r>
    </w:p>
    <w:p w:rsidRPr="0008276C" w:rsidR="006D324D" w:rsidP="0008276C" w14:paraId="25B2EC39" w14:textId="568A336F">
      <w:pPr>
        <w:pStyle w:val="ECHRCoverTitle4"/>
      </w:pPr>
      <w:r w:rsidRPr="0008276C">
        <w:t>(</w:t>
      </w:r>
      <w:r w:rsidRPr="0008276C" w:rsidR="007F114B">
        <w:t>Application no. 68596/11</w:t>
      </w:r>
      <w:r w:rsidRPr="0008276C">
        <w:t>)</w:t>
      </w:r>
    </w:p>
    <w:p w:rsidRPr="0008276C" w:rsidR="006D324D" w:rsidP="0008276C" w14:paraId="5C1CFC94" w14:textId="77777777">
      <w:pPr>
        <w:pStyle w:val="DecHCase"/>
      </w:pPr>
    </w:p>
    <w:p w:rsidRPr="0008276C" w:rsidR="006D324D" w:rsidP="0008276C" w14:paraId="5F12AA9B" w14:textId="77777777">
      <w:pPr>
        <w:pStyle w:val="DecHCase"/>
      </w:pPr>
    </w:p>
    <w:p w:rsidRPr="0008276C" w:rsidR="00606600" w:rsidP="0008276C" w14:paraId="6A27EB46" w14:textId="77777777">
      <w:pPr>
        <w:pStyle w:val="DecHCase"/>
      </w:pPr>
    </w:p>
    <w:p w:rsidRPr="0008276C" w:rsidR="00606600" w:rsidP="0008276C" w14:paraId="1879DD02" w14:textId="77777777">
      <w:pPr>
        <w:pStyle w:val="DecHCase"/>
      </w:pPr>
    </w:p>
    <w:p w:rsidRPr="0008276C" w:rsidR="00606600" w:rsidP="0008276C" w14:paraId="162063E1" w14:textId="77777777">
      <w:pPr>
        <w:pStyle w:val="DecHCase"/>
      </w:pPr>
    </w:p>
    <w:p w:rsidRPr="0008276C" w:rsidR="00606600" w:rsidP="0008276C" w14:paraId="73A47385" w14:textId="77777777">
      <w:pPr>
        <w:pStyle w:val="DecHCase"/>
      </w:pPr>
    </w:p>
    <w:p w:rsidRPr="0008276C" w:rsidR="00606600" w:rsidP="0008276C" w14:paraId="06F0ABC8" w14:textId="77777777">
      <w:pPr>
        <w:pStyle w:val="DecHCase"/>
      </w:pPr>
      <w:r w:rsidRPr="0008276C">
        <w:t>JUDGMENT</w:t>
      </w:r>
    </w:p>
    <w:p w:rsidRPr="0008276C" w:rsidR="00606600" w:rsidP="0008276C" w14:paraId="59FAD1E0" w14:textId="77777777">
      <w:pPr>
        <w:jc w:val="center"/>
        <w:rPr>
          <w:i/>
        </w:rPr>
      </w:pPr>
    </w:p>
    <w:p w:rsidRPr="0008276C" w:rsidR="00606600" w:rsidP="0008276C" w14:paraId="06525D63" w14:textId="77777777">
      <w:pPr>
        <w:pStyle w:val="DecHCase"/>
      </w:pPr>
      <w:r w:rsidRPr="0008276C">
        <w:t>STRASBOURG</w:t>
      </w:r>
    </w:p>
    <w:p w:rsidRPr="0008276C" w:rsidR="00606600" w:rsidP="0008276C" w14:paraId="20D55EBB" w14:textId="5C90D179">
      <w:pPr>
        <w:pStyle w:val="DecHCase"/>
      </w:pPr>
      <w:r w:rsidRPr="0008276C">
        <w:t>6 March 2025</w:t>
      </w:r>
    </w:p>
    <w:p w:rsidRPr="0008276C" w:rsidR="00606600" w:rsidP="0008276C" w14:paraId="349FF584" w14:textId="77777777">
      <w:pPr>
        <w:jc w:val="center"/>
      </w:pPr>
    </w:p>
    <w:p w:rsidRPr="0008276C" w:rsidR="00606600" w:rsidP="0008276C" w14:paraId="779A8AAA" w14:textId="77777777">
      <w:pPr>
        <w:rPr>
          <w:sz w:val="22"/>
          <w:szCs w:val="22"/>
        </w:rPr>
      </w:pPr>
      <w:r w:rsidRPr="0008276C">
        <w:rPr>
          <w:i/>
          <w:sz w:val="22"/>
          <w:szCs w:val="22"/>
        </w:rPr>
        <w:t xml:space="preserve">This judgment is </w:t>
      </w:r>
      <w:r w:rsidRPr="0008276C">
        <w:rPr>
          <w:i/>
          <w:sz w:val="22"/>
          <w:szCs w:val="22"/>
        </w:rPr>
        <w:t>final</w:t>
      </w:r>
      <w:r w:rsidRPr="0008276C">
        <w:rPr>
          <w:i/>
          <w:sz w:val="22"/>
          <w:szCs w:val="22"/>
        </w:rPr>
        <w:t xml:space="preserve"> but it may be subject to editorial revision.</w:t>
      </w:r>
    </w:p>
    <w:p w:rsidRPr="0008276C" w:rsidR="00606600" w:rsidP="0008276C" w14:paraId="7EC6810F"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08276C" w:rsidR="00606600" w:rsidP="0008276C" w14:paraId="20520C78" w14:textId="15620F47">
      <w:pPr>
        <w:pStyle w:val="JuCase"/>
        <w:rPr>
          <w:bCs/>
        </w:rPr>
      </w:pPr>
      <w:r w:rsidRPr="0008276C">
        <w:t xml:space="preserve">In the case of </w:t>
      </w:r>
      <w:r w:rsidRPr="0008276C" w:rsidR="007F114B">
        <w:t>Gnezdov</w:t>
      </w:r>
      <w:r w:rsidRPr="0008276C" w:rsidR="007F114B">
        <w:t xml:space="preserve"> v. Ukraine</w:t>
      </w:r>
      <w:r w:rsidRPr="0008276C">
        <w:t>,</w:t>
      </w:r>
    </w:p>
    <w:p w:rsidRPr="0008276C" w:rsidR="00606600" w:rsidP="0008276C" w14:paraId="06B5205A" w14:textId="1AE1A9E4">
      <w:pPr>
        <w:pStyle w:val="JuPara"/>
      </w:pPr>
      <w:r w:rsidRPr="0008276C">
        <w:t>The European Court of Human Rights (</w:t>
      </w:r>
      <w:r w:rsidRPr="0008276C" w:rsidR="007F114B">
        <w:t>Fifth Section</w:t>
      </w:r>
      <w:r w:rsidRPr="0008276C">
        <w:t>), sitting as a Committee composed of:</w:t>
      </w:r>
    </w:p>
    <w:p w:rsidRPr="0008276C" w:rsidR="002C5B23" w:rsidP="0008276C" w14:paraId="6DA6DE7B" w14:textId="05386AA5">
      <w:pPr>
        <w:pStyle w:val="JuJudges"/>
      </w:pPr>
      <w:r w:rsidRPr="0008276C">
        <w:tab/>
        <w:t xml:space="preserve">Diana </w:t>
      </w:r>
      <w:r w:rsidRPr="0008276C">
        <w:t>Sârcu</w:t>
      </w:r>
      <w:r w:rsidRPr="0008276C">
        <w:rPr>
          <w:i/>
        </w:rPr>
        <w:t>, President</w:t>
      </w:r>
      <w:r w:rsidRPr="0008276C">
        <w:t>,</w:t>
      </w:r>
      <w:r w:rsidRPr="0008276C">
        <w:br/>
      </w:r>
      <w:r w:rsidRPr="0008276C">
        <w:tab/>
      </w:r>
      <w:r w:rsidRPr="0008276C">
        <w:t>Kateřina</w:t>
      </w:r>
      <w:r w:rsidRPr="0008276C">
        <w:t xml:space="preserve"> </w:t>
      </w:r>
      <w:r w:rsidRPr="0008276C">
        <w:t>Šimáčková</w:t>
      </w:r>
      <w:r w:rsidRPr="0008276C">
        <w:t>,</w:t>
      </w:r>
      <w:r w:rsidRPr="0008276C">
        <w:br/>
      </w:r>
      <w:r w:rsidRPr="0008276C">
        <w:tab/>
        <w:t xml:space="preserve">Mykola </w:t>
      </w:r>
      <w:r w:rsidRPr="0008276C">
        <w:t>Gnatovskyy</w:t>
      </w:r>
      <w:r w:rsidRPr="0008276C">
        <w:rPr>
          <w:i/>
        </w:rPr>
        <w:t>, judges</w:t>
      </w:r>
      <w:r w:rsidRPr="0008276C">
        <w:t>,</w:t>
      </w:r>
    </w:p>
    <w:p w:rsidRPr="0008276C" w:rsidR="00606600" w:rsidP="0008276C" w14:paraId="35B200F5" w14:textId="7E854281">
      <w:pPr>
        <w:pStyle w:val="JuJudges"/>
      </w:pPr>
      <w:r w:rsidRPr="0008276C">
        <w:t xml:space="preserve">and </w:t>
      </w:r>
      <w:r w:rsidRPr="0008276C" w:rsidR="007F114B">
        <w:t>Viktoriya</w:t>
      </w:r>
      <w:r w:rsidRPr="0008276C">
        <w:t xml:space="preserve"> </w:t>
      </w:r>
      <w:r w:rsidRPr="0008276C" w:rsidR="007F114B">
        <w:t>Maradudina</w:t>
      </w:r>
      <w:r w:rsidRPr="0008276C" w:rsidR="00555A1D">
        <w:t>,</w:t>
      </w:r>
      <w:r w:rsidRPr="0008276C">
        <w:t xml:space="preserve"> </w:t>
      </w:r>
      <w:r w:rsidRPr="0008276C">
        <w:rPr>
          <w:i/>
        </w:rPr>
        <w:t>Acting</w:t>
      </w:r>
      <w:r w:rsidRPr="0008276C">
        <w:t xml:space="preserve"> </w:t>
      </w:r>
      <w:r w:rsidRPr="0008276C">
        <w:rPr>
          <w:rFonts w:cstheme="minorHAnsi"/>
          <w:i/>
        </w:rPr>
        <w:t>Deputy Section Registrar</w:t>
      </w:r>
      <w:r w:rsidRPr="0008276C">
        <w:rPr>
          <w:i/>
        </w:rPr>
        <w:t>,</w:t>
      </w:r>
    </w:p>
    <w:p w:rsidRPr="0008276C" w:rsidR="00606600" w:rsidP="0008276C" w14:paraId="08DB7C9E" w14:textId="4E4F146F">
      <w:pPr>
        <w:pStyle w:val="JuPara"/>
      </w:pPr>
      <w:r w:rsidRPr="0008276C">
        <w:t xml:space="preserve">Having deliberated in private on </w:t>
      </w:r>
      <w:r w:rsidRPr="0008276C" w:rsidR="00B94C9A">
        <w:t>6 February 2025</w:t>
      </w:r>
      <w:r w:rsidRPr="0008276C">
        <w:t>,</w:t>
      </w:r>
    </w:p>
    <w:p w:rsidRPr="0008276C" w:rsidR="00606600" w:rsidP="0008276C" w14:paraId="6748630E" w14:textId="77777777">
      <w:pPr>
        <w:pStyle w:val="JuPara"/>
      </w:pPr>
      <w:r w:rsidRPr="0008276C">
        <w:t>Delivers the following judgment, which was adopted on that date:</w:t>
      </w:r>
    </w:p>
    <w:p w:rsidRPr="0008276C" w:rsidR="007F114B" w:rsidP="0008276C" w14:paraId="5F0D0FFD" w14:textId="77777777">
      <w:pPr>
        <w:pStyle w:val="JuHHead"/>
      </w:pPr>
      <w:bookmarkStart w:name="ITMARKStartJudgment" w:id="1"/>
      <w:bookmarkEnd w:id="1"/>
      <w:r w:rsidRPr="0008276C">
        <w:t>PROCEDURE</w:t>
      </w:r>
    </w:p>
    <w:p w:rsidRPr="0008276C" w:rsidR="007F114B" w:rsidP="0008276C" w14:paraId="132B3913" w14:textId="7F6C0576">
      <w:pPr>
        <w:pStyle w:val="JuPara"/>
      </w:pPr>
      <w:r w:rsidRPr="0008276C">
        <w:fldChar w:fldCharType="begin"/>
      </w:r>
      <w:r w:rsidRPr="0008276C">
        <w:instrText xml:space="preserve"> SEQ level0 \*arabic \* MERGEFORMAT </w:instrText>
      </w:r>
      <w:r w:rsidRPr="0008276C">
        <w:fldChar w:fldCharType="separate"/>
      </w:r>
      <w:r w:rsidRPr="0008276C">
        <w:rPr>
          <w:noProof/>
        </w:rPr>
        <w:t>1</w:t>
      </w:r>
      <w:r w:rsidRPr="0008276C">
        <w:fldChar w:fldCharType="end"/>
      </w:r>
      <w:r w:rsidRPr="0008276C">
        <w:t>.  The case originated in an application against Ukraine lodged with the Court under Article 34 of the Convention for the Protection of Human Rights and Fundamental Freedoms (“the Convention”) on 26</w:t>
      </w:r>
      <w:r w:rsidRPr="0008276C" w:rsidR="00812580">
        <w:t> </w:t>
      </w:r>
      <w:r w:rsidRPr="0008276C">
        <w:t>October 2011.</w:t>
      </w:r>
    </w:p>
    <w:p w:rsidRPr="0008276C" w:rsidR="007F114B" w:rsidP="0008276C" w14:paraId="7C395169" w14:textId="47D559C5">
      <w:pPr>
        <w:pStyle w:val="JuPara"/>
      </w:pPr>
      <w:r w:rsidRPr="0008276C">
        <w:fldChar w:fldCharType="begin"/>
      </w:r>
      <w:r w:rsidRPr="0008276C">
        <w:instrText xml:space="preserve"> SE</w:instrText>
      </w:r>
      <w:r w:rsidRPr="0008276C">
        <w:instrText xml:space="preserve">Q level0 \*arabic \* MERGEFORMAT </w:instrText>
      </w:r>
      <w:r w:rsidRPr="0008276C">
        <w:fldChar w:fldCharType="separate"/>
      </w:r>
      <w:r w:rsidRPr="0008276C">
        <w:rPr>
          <w:noProof/>
        </w:rPr>
        <w:t>2</w:t>
      </w:r>
      <w:r w:rsidRPr="0008276C">
        <w:fldChar w:fldCharType="end"/>
      </w:r>
      <w:r w:rsidRPr="0008276C">
        <w:t>.  The applicant complained under Article</w:t>
      </w:r>
      <w:r w:rsidRPr="0008276C" w:rsidR="00812580">
        <w:t> </w:t>
      </w:r>
      <w:r w:rsidRPr="0008276C">
        <w:t>5 of the Convention about his allegedly unlawful detention in view of the irregularities described in the appended table. He also raised other complaints under the Convention. The</w:t>
      </w:r>
      <w:r w:rsidRPr="0008276C" w:rsidR="00B94C9A">
        <w:t> </w:t>
      </w:r>
      <w:r w:rsidRPr="0008276C">
        <w:t>Ukrainian Government (“the Government”) were given notice of the application.</w:t>
      </w:r>
    </w:p>
    <w:p w:rsidRPr="0008276C" w:rsidR="007F114B" w:rsidP="0008276C" w14:paraId="3DF51C3C" w14:textId="0844297E">
      <w:pPr>
        <w:pStyle w:val="JuPara"/>
      </w:pPr>
      <w:r w:rsidRPr="0008276C">
        <w:fldChar w:fldCharType="begin"/>
      </w:r>
      <w:r w:rsidRPr="0008276C">
        <w:instrText xml:space="preserve"> SEQ level0 \*arabic \* MERGEFORMAT </w:instrText>
      </w:r>
      <w:r w:rsidRPr="0008276C">
        <w:fldChar w:fldCharType="separate"/>
      </w:r>
      <w:r w:rsidRPr="0008276C">
        <w:rPr>
          <w:noProof/>
        </w:rPr>
        <w:t>3</w:t>
      </w:r>
      <w:r w:rsidRPr="0008276C">
        <w:fldChar w:fldCharType="end"/>
      </w:r>
      <w:r w:rsidRPr="0008276C">
        <w:t xml:space="preserve">.  The Government objected to the examination of the application by a </w:t>
      </w:r>
      <w:r w:rsidRPr="0008276C">
        <w:t>Committee</w:t>
      </w:r>
      <w:r w:rsidRPr="0008276C">
        <w:t xml:space="preserve">. </w:t>
      </w:r>
      <w:r w:rsidRPr="0008276C">
        <w:rPr>
          <w:lang w:val="fr-FR"/>
        </w:rPr>
        <w:t>H</w:t>
      </w:r>
      <w:r w:rsidRPr="0008276C">
        <w:t>aving</w:t>
      </w:r>
      <w:r w:rsidRPr="0008276C">
        <w:t xml:space="preserve"> considered the Government</w:t>
      </w:r>
      <w:r w:rsidRPr="0008276C">
        <w:t>’</w:t>
      </w:r>
      <w:r w:rsidRPr="0008276C">
        <w:t>s objection, the Court rejects it.</w:t>
      </w:r>
    </w:p>
    <w:p w:rsidRPr="0008276C" w:rsidR="007F114B" w:rsidP="0008276C" w14:paraId="7F4903A2" w14:textId="77777777">
      <w:pPr>
        <w:pStyle w:val="JuHHead"/>
        <w:jc w:val="left"/>
      </w:pPr>
      <w:r w:rsidRPr="0008276C">
        <w:t>THE FACTS</w:t>
      </w:r>
    </w:p>
    <w:p w:rsidRPr="0008276C" w:rsidR="007F114B" w:rsidP="0008276C" w14:paraId="2F1D55E3" w14:textId="0F8A577D">
      <w:pPr>
        <w:pStyle w:val="JuPara"/>
      </w:pPr>
      <w:r w:rsidRPr="0008276C">
        <w:fldChar w:fldCharType="begin"/>
      </w:r>
      <w:r w:rsidRPr="0008276C">
        <w:instrText xml:space="preserve"> SEQ level0 \*arabic \* MERGEFORMAT </w:instrText>
      </w:r>
      <w:r w:rsidRPr="0008276C">
        <w:fldChar w:fldCharType="separate"/>
      </w:r>
      <w:r w:rsidRPr="0008276C">
        <w:rPr>
          <w:noProof/>
        </w:rPr>
        <w:t>4</w:t>
      </w:r>
      <w:r w:rsidRPr="0008276C">
        <w:fldChar w:fldCharType="end"/>
      </w:r>
      <w:r w:rsidRPr="0008276C">
        <w:t>.  The applicant</w:t>
      </w:r>
      <w:r w:rsidRPr="0008276C">
        <w:t>’</w:t>
      </w:r>
      <w:r w:rsidRPr="0008276C">
        <w:t>s details and information relevant to the application are set out in the appended table.</w:t>
      </w:r>
    </w:p>
    <w:p w:rsidRPr="0008276C" w:rsidR="007F114B" w:rsidP="0008276C" w14:paraId="1374BF02" w14:textId="77777777">
      <w:pPr>
        <w:pStyle w:val="JuHHead"/>
        <w:jc w:val="left"/>
      </w:pPr>
      <w:r w:rsidRPr="0008276C">
        <w:t>THE LAW</w:t>
      </w:r>
    </w:p>
    <w:p w:rsidRPr="0008276C" w:rsidR="007F114B" w:rsidP="0008276C" w14:paraId="00D06587" w14:textId="77777777">
      <w:pPr>
        <w:pStyle w:val="JuHIRoman"/>
        <w:tabs>
          <w:tab w:val="clear" w:pos="454"/>
          <w:tab w:val="clear" w:pos="539"/>
          <w:tab w:val="clear" w:pos="624"/>
          <w:tab w:val="clear" w:pos="709"/>
          <w:tab w:val="clear" w:pos="794"/>
        </w:tabs>
        <w:ind w:left="357" w:hanging="357"/>
        <w:jc w:val="left"/>
        <w:rPr>
          <w:rFonts w:eastAsia="PMingLiU"/>
        </w:rPr>
      </w:pPr>
      <w:r w:rsidRPr="0008276C">
        <w:t>ALLEGED VIOLATION OF ARTICLE 5 § 1</w:t>
      </w:r>
      <w:r w:rsidRPr="0008276C">
        <w:rPr>
          <w:rFonts w:ascii="Times New Roman" w:hAnsi="Times New Roman" w:eastAsia="PMingLiU" w:cs="Times New Roman"/>
        </w:rPr>
        <w:t xml:space="preserve"> of the Convention</w:t>
      </w:r>
    </w:p>
    <w:p w:rsidRPr="0008276C" w:rsidR="007F114B" w:rsidP="0008276C" w14:paraId="55D3AF8D" w14:textId="416B5EAC">
      <w:pPr>
        <w:pStyle w:val="JuPara"/>
      </w:pPr>
      <w:r w:rsidRPr="0008276C">
        <w:fldChar w:fldCharType="begin"/>
      </w:r>
      <w:r w:rsidRPr="0008276C">
        <w:instrText xml:space="preserve"> SEQ level0 \*arabic \* </w:instrText>
      </w:r>
      <w:r w:rsidRPr="0008276C">
        <w:instrText xml:space="preserve">MERGEFORMAT </w:instrText>
      </w:r>
      <w:r w:rsidRPr="0008276C">
        <w:fldChar w:fldCharType="separate"/>
      </w:r>
      <w:r w:rsidRPr="0008276C">
        <w:rPr>
          <w:noProof/>
        </w:rPr>
        <w:t>5</w:t>
      </w:r>
      <w:r w:rsidRPr="0008276C">
        <w:fldChar w:fldCharType="end"/>
      </w:r>
      <w:r w:rsidRPr="0008276C">
        <w:t>.  The applicant complained of the unlawful detention in view of the events described in the appended table</w:t>
      </w:r>
      <w:r w:rsidRPr="0008276C">
        <w:rPr>
          <w:bCs/>
        </w:rPr>
        <w:t>.</w:t>
      </w:r>
      <w:r w:rsidRPr="0008276C">
        <w:t xml:space="preserve"> He relied, expressly or in substance, on Article</w:t>
      </w:r>
      <w:r w:rsidRPr="0008276C" w:rsidR="00812580">
        <w:t> </w:t>
      </w:r>
      <w:r w:rsidRPr="0008276C">
        <w:t>5</w:t>
      </w:r>
      <w:r w:rsidRPr="0008276C" w:rsidR="00812580">
        <w:t> </w:t>
      </w:r>
      <w:r w:rsidRPr="0008276C">
        <w:t>§</w:t>
      </w:r>
      <w:r w:rsidRPr="0008276C" w:rsidR="00812580">
        <w:t> </w:t>
      </w:r>
      <w:r w:rsidRPr="0008276C">
        <w:t>1</w:t>
      </w:r>
      <w:r w:rsidRPr="0008276C">
        <w:rPr>
          <w:rFonts w:ascii="Times New Roman" w:hAnsi="Times New Roman" w:eastAsia="PMingLiU" w:cs="Times New Roman"/>
        </w:rPr>
        <w:t xml:space="preserve"> of the Convention</w:t>
      </w:r>
      <w:r w:rsidRPr="0008276C">
        <w:t>.</w:t>
      </w:r>
    </w:p>
    <w:p w:rsidRPr="0008276C" w:rsidR="007F114B" w:rsidP="0008276C" w14:paraId="3502A751" w14:textId="32E8DF27">
      <w:pPr>
        <w:pStyle w:val="JuPara"/>
      </w:pPr>
      <w:r w:rsidRPr="0008276C">
        <w:fldChar w:fldCharType="begin"/>
      </w:r>
      <w:r w:rsidRPr="0008276C">
        <w:instrText xml:space="preserve"> SEQ level0 \*arabic \* MERGEFORMAT </w:instrText>
      </w:r>
      <w:r w:rsidRPr="0008276C">
        <w:fldChar w:fldCharType="separate"/>
      </w:r>
      <w:r w:rsidRPr="0008276C">
        <w:rPr>
          <w:noProof/>
        </w:rPr>
        <w:t>6</w:t>
      </w:r>
      <w:r w:rsidRPr="0008276C">
        <w:fldChar w:fldCharType="end"/>
      </w:r>
      <w:r w:rsidRPr="0008276C">
        <w:t>.  The Court reiterates that Article</w:t>
      </w:r>
      <w:r w:rsidRPr="0008276C" w:rsidR="00812580">
        <w:t> </w:t>
      </w:r>
      <w:r w:rsidRPr="0008276C">
        <w:t>5 of the Convention is, together with Articles</w:t>
      </w:r>
      <w:r w:rsidRPr="0008276C" w:rsidR="00812580">
        <w:t> </w:t>
      </w:r>
      <w:r w:rsidRPr="0008276C">
        <w:t>2,</w:t>
      </w:r>
      <w:r w:rsidRPr="0008276C" w:rsidR="00812580">
        <w:t> </w:t>
      </w:r>
      <w:r w:rsidRPr="0008276C">
        <w:t>3 and</w:t>
      </w:r>
      <w:r w:rsidRPr="0008276C" w:rsidR="00812580">
        <w:t> </w:t>
      </w:r>
      <w:r w:rsidRPr="0008276C">
        <w:t xml:space="preserve">4, in the first rank of the fundamental rights that protect the physical security of the individual, and as such its importance is paramount. Its key purpose is to prevent arbitrary or unjustified deprivations of liberty (see </w:t>
      </w:r>
      <w:r w:rsidRPr="0008276C">
        <w:rPr>
          <w:i/>
          <w:iCs/>
        </w:rPr>
        <w:t>Buzadji</w:t>
      </w:r>
      <w:r w:rsidRPr="0008276C">
        <w:rPr>
          <w:i/>
          <w:iCs/>
        </w:rPr>
        <w:t xml:space="preserve"> v. the Republic of Moldova </w:t>
      </w:r>
      <w:r w:rsidRPr="0008276C">
        <w:t>[GC], no.</w:t>
      </w:r>
      <w:r w:rsidRPr="0008276C" w:rsidR="00812580">
        <w:t> </w:t>
      </w:r>
      <w:r w:rsidRPr="0008276C">
        <w:t>23755/07, §</w:t>
      </w:r>
      <w:r w:rsidRPr="0008276C" w:rsidR="00812580">
        <w:t> </w:t>
      </w:r>
      <w:r w:rsidRPr="0008276C">
        <w:t>84, ECHR 2016 (extracts), with further references).</w:t>
      </w:r>
    </w:p>
    <w:p w:rsidRPr="0008276C" w:rsidR="007F114B" w:rsidP="0008276C" w14:paraId="41D98D5E" w14:textId="1690486C">
      <w:pPr>
        <w:pStyle w:val="JuPara"/>
      </w:pPr>
      <w:r w:rsidRPr="0008276C">
        <w:fldChar w:fldCharType="begin"/>
      </w:r>
      <w:r w:rsidRPr="0008276C">
        <w:instrText xml:space="preserve"> SEQ level0 \*arabic </w:instrText>
      </w:r>
      <w:r w:rsidRPr="0008276C">
        <w:fldChar w:fldCharType="separate"/>
      </w:r>
      <w:r w:rsidRPr="0008276C" w:rsidR="0008276C">
        <w:rPr>
          <w:noProof/>
        </w:rPr>
        <w:t>7</w:t>
      </w:r>
      <w:r w:rsidRPr="0008276C">
        <w:fldChar w:fldCharType="end"/>
      </w:r>
      <w:r w:rsidRPr="0008276C">
        <w:t xml:space="preserve">.  Where the “lawfulness” of detention is in issue, including the question whether “a procedure prescribed by law” has been followed, the Convention </w:t>
      </w:r>
      <w:r w:rsidRPr="0008276C">
        <w:t xml:space="preserve">refers essentially to national law and lays down the obligation to conform to the substantive and procedural rules thereof. Compliance with national law is not, however, sufficient: Article 5 § 1 requires in addition that any deprivation of liberty should be in keeping with the purpose of protecting the individual from arbitrariness (see </w:t>
      </w:r>
      <w:r w:rsidRPr="0008276C">
        <w:rPr>
          <w:i/>
          <w:iCs/>
        </w:rPr>
        <w:t xml:space="preserve">S., </w:t>
      </w:r>
      <w:r w:rsidRPr="0008276C">
        <w:rPr>
          <w:i/>
          <w:iCs/>
        </w:rPr>
        <w:t>V.</w:t>
      </w:r>
      <w:r w:rsidRPr="0008276C">
        <w:rPr>
          <w:i/>
          <w:iCs/>
        </w:rPr>
        <w:t xml:space="preserve"> and A. v. Denmark </w:t>
      </w:r>
      <w:r w:rsidRPr="0008276C">
        <w:t>[GC], nos.</w:t>
      </w:r>
      <w:r w:rsidRPr="0008276C" w:rsidR="0008276C">
        <w:t> </w:t>
      </w:r>
      <w:r w:rsidRPr="0008276C">
        <w:t>35553/12, 36678/12 and 36711/12, § 74, 22</w:t>
      </w:r>
      <w:r w:rsidRPr="0008276C" w:rsidR="0008276C">
        <w:t> </w:t>
      </w:r>
      <w:r w:rsidRPr="0008276C">
        <w:t>October 2018, with further references).</w:t>
      </w:r>
    </w:p>
    <w:p w:rsidRPr="0008276C" w:rsidR="007F114B" w:rsidP="0008276C" w14:paraId="521118CD" w14:textId="1CD40669">
      <w:pPr>
        <w:pStyle w:val="JuPara"/>
      </w:pPr>
      <w:r w:rsidRPr="0008276C">
        <w:fldChar w:fldCharType="begin"/>
      </w:r>
      <w:r w:rsidRPr="0008276C">
        <w:instrText xml:space="preserve"> SEQ level0 \*arabic </w:instrText>
      </w:r>
      <w:r w:rsidRPr="0008276C">
        <w:fldChar w:fldCharType="separate"/>
      </w:r>
      <w:r w:rsidRPr="0008276C" w:rsidR="0008276C">
        <w:rPr>
          <w:noProof/>
        </w:rPr>
        <w:t>8</w:t>
      </w:r>
      <w:r w:rsidRPr="0008276C">
        <w:fldChar w:fldCharType="end"/>
      </w:r>
      <w:r w:rsidRPr="0008276C">
        <w:t xml:space="preserve">.  The Court found a violation in respect of issues </w:t>
      </w:r>
      <w:r w:rsidRPr="0008276C">
        <w:t>similar to</w:t>
      </w:r>
      <w:r w:rsidRPr="0008276C">
        <w:t xml:space="preserve"> those in the present case in the leading cases set out in the appended table.</w:t>
      </w:r>
    </w:p>
    <w:p w:rsidRPr="0008276C" w:rsidR="007F114B" w:rsidP="0008276C" w14:paraId="74F15F83" w14:textId="61F77668">
      <w:pPr>
        <w:pStyle w:val="JuPara"/>
      </w:pPr>
      <w:r w:rsidRPr="0008276C">
        <w:fldChar w:fldCharType="begin"/>
      </w:r>
      <w:r w:rsidRPr="0008276C">
        <w:instrText xml:space="preserve"> SEQ level0 \*arabic </w:instrText>
      </w:r>
      <w:r w:rsidRPr="0008276C">
        <w:fldChar w:fldCharType="separate"/>
      </w:r>
      <w:r w:rsidRPr="0008276C" w:rsidR="0008276C">
        <w:rPr>
          <w:noProof/>
        </w:rPr>
        <w:t>9</w:t>
      </w:r>
      <w:r w:rsidRPr="0008276C">
        <w:fldChar w:fldCharType="end"/>
      </w:r>
      <w:r w:rsidRPr="0008276C">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08276C" w:rsidR="0008276C">
        <w:t>’</w:t>
      </w:r>
      <w:r w:rsidRPr="0008276C">
        <w:t>s detention in the circumstances described in the appended table was not in accordance with Article</w:t>
      </w:r>
      <w:r w:rsidRPr="0008276C" w:rsidR="0008276C">
        <w:t> </w:t>
      </w:r>
      <w:r w:rsidRPr="0008276C">
        <w:t>5</w:t>
      </w:r>
      <w:r w:rsidRPr="0008276C" w:rsidR="0008276C">
        <w:t> </w:t>
      </w:r>
      <w:r w:rsidRPr="0008276C">
        <w:t>§</w:t>
      </w:r>
      <w:r w:rsidRPr="0008276C" w:rsidR="0008276C">
        <w:t> </w:t>
      </w:r>
      <w:r w:rsidRPr="0008276C">
        <w:t>1 of the Convention.</w:t>
      </w:r>
    </w:p>
    <w:p w:rsidRPr="0008276C" w:rsidR="007F114B" w:rsidP="0008276C" w14:paraId="6AEA2C22" w14:textId="571FBE9E">
      <w:pPr>
        <w:pStyle w:val="JuPara"/>
      </w:pPr>
      <w:r w:rsidRPr="0008276C">
        <w:fldChar w:fldCharType="begin"/>
      </w:r>
      <w:r w:rsidRPr="0008276C">
        <w:instrText xml:space="preserve"> SEQ level0 \*arabic </w:instrText>
      </w:r>
      <w:r w:rsidRPr="0008276C">
        <w:fldChar w:fldCharType="separate"/>
      </w:r>
      <w:r w:rsidRPr="0008276C" w:rsidR="0008276C">
        <w:rPr>
          <w:noProof/>
        </w:rPr>
        <w:t>10</w:t>
      </w:r>
      <w:r w:rsidRPr="0008276C">
        <w:fldChar w:fldCharType="end"/>
      </w:r>
      <w:r w:rsidRPr="0008276C">
        <w:t>.  It follows that the applicant</w:t>
      </w:r>
      <w:r w:rsidRPr="0008276C" w:rsidR="0008276C">
        <w:t>’</w:t>
      </w:r>
      <w:r w:rsidRPr="0008276C">
        <w:t>s complaints are admissible and disclose a violation of Article</w:t>
      </w:r>
      <w:r w:rsidRPr="0008276C" w:rsidR="0008276C">
        <w:t> </w:t>
      </w:r>
      <w:r w:rsidRPr="0008276C">
        <w:t>5</w:t>
      </w:r>
      <w:r w:rsidRPr="0008276C" w:rsidR="0008276C">
        <w:t> </w:t>
      </w:r>
      <w:r w:rsidRPr="0008276C">
        <w:t>§</w:t>
      </w:r>
      <w:r w:rsidRPr="0008276C" w:rsidR="0008276C">
        <w:t> </w:t>
      </w:r>
      <w:r w:rsidRPr="0008276C">
        <w:t>1 of the Convention.</w:t>
      </w:r>
    </w:p>
    <w:p w:rsidRPr="0008276C" w:rsidR="007F114B" w:rsidP="0008276C" w14:paraId="34AC04D2" w14:textId="77777777">
      <w:pPr>
        <w:pStyle w:val="JuHIRoman"/>
        <w:tabs>
          <w:tab w:val="clear" w:pos="454"/>
          <w:tab w:val="clear" w:pos="539"/>
          <w:tab w:val="clear" w:pos="624"/>
          <w:tab w:val="clear" w:pos="709"/>
          <w:tab w:val="clear" w:pos="794"/>
        </w:tabs>
        <w:ind w:left="357" w:hanging="357"/>
        <w:jc w:val="left"/>
      </w:pPr>
      <w:r w:rsidRPr="0008276C">
        <w:t>REMAINING COMPLAINTS</w:t>
      </w:r>
    </w:p>
    <w:p w:rsidRPr="0008276C" w:rsidR="007F114B" w:rsidP="0008276C" w14:paraId="4641B87E" w14:textId="4AFF0B60">
      <w:pPr>
        <w:pStyle w:val="JuPara"/>
      </w:pPr>
      <w:r w:rsidRPr="0008276C">
        <w:fldChar w:fldCharType="begin"/>
      </w:r>
      <w:r w:rsidRPr="0008276C">
        <w:instrText xml:space="preserve"> SEQ level0 \*arabic \* MERGEFORMAT </w:instrText>
      </w:r>
      <w:r w:rsidRPr="0008276C">
        <w:fldChar w:fldCharType="separate"/>
      </w:r>
      <w:r w:rsidRPr="0008276C">
        <w:rPr>
          <w:noProof/>
        </w:rPr>
        <w:t>11</w:t>
      </w:r>
      <w:r w:rsidRPr="0008276C">
        <w:fldChar w:fldCharType="end"/>
      </w:r>
      <w:r w:rsidRPr="0008276C">
        <w:t>.  The applicant also complained under Article</w:t>
      </w:r>
      <w:r w:rsidRPr="0008276C">
        <w:t> </w:t>
      </w:r>
      <w:r w:rsidRPr="0008276C">
        <w:t>3 of the Convention.</w:t>
      </w:r>
    </w:p>
    <w:p w:rsidRPr="0008276C" w:rsidR="007F114B" w:rsidP="0008276C" w14:paraId="624F8932" w14:textId="568B7B5F">
      <w:pPr>
        <w:pStyle w:val="JuPara"/>
      </w:pPr>
      <w:r w:rsidRPr="0008276C">
        <w:fldChar w:fldCharType="begin"/>
      </w:r>
      <w:r w:rsidRPr="0008276C">
        <w:instrText xml:space="preserve"> SEQ level0 \*arabic \* M</w:instrText>
      </w:r>
      <w:r w:rsidRPr="0008276C">
        <w:instrText xml:space="preserve">ERGEFORMAT </w:instrText>
      </w:r>
      <w:r w:rsidRPr="0008276C">
        <w:fldChar w:fldCharType="separate"/>
      </w:r>
      <w:r w:rsidRPr="0008276C">
        <w:rPr>
          <w:noProof/>
        </w:rPr>
        <w:t>12</w:t>
      </w:r>
      <w:r w:rsidRPr="0008276C">
        <w:fldChar w:fldCharType="end"/>
      </w:r>
      <w:r w:rsidRPr="0008276C">
        <w:t>.  The Court has examined the application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08276C" w:rsidR="007F114B" w:rsidP="0008276C" w14:paraId="204F31B0" w14:textId="77777777">
      <w:pPr>
        <w:pStyle w:val="JuPara"/>
      </w:pPr>
      <w:r w:rsidRPr="0008276C">
        <w:t>It follows that this part of the application must be rejected in accordance with Article 35 § 4 of the Convention.</w:t>
      </w:r>
    </w:p>
    <w:p w:rsidRPr="0008276C" w:rsidR="007F114B" w:rsidP="0008276C" w14:paraId="1931DD58" w14:textId="77777777">
      <w:pPr>
        <w:pStyle w:val="JuHIRoman"/>
        <w:tabs>
          <w:tab w:val="clear" w:pos="454"/>
          <w:tab w:val="clear" w:pos="539"/>
          <w:tab w:val="clear" w:pos="624"/>
          <w:tab w:val="clear" w:pos="709"/>
          <w:tab w:val="clear" w:pos="794"/>
        </w:tabs>
        <w:ind w:left="357" w:hanging="357"/>
        <w:jc w:val="left"/>
      </w:pPr>
      <w:r w:rsidRPr="0008276C">
        <w:t>APPLICATION OF ARTICLE 41 OF THE CONVENTION</w:t>
      </w:r>
    </w:p>
    <w:p w:rsidRPr="0008276C" w:rsidR="007F114B" w:rsidP="0008276C" w14:paraId="2905397C" w14:textId="0CE7D159">
      <w:pPr>
        <w:pStyle w:val="JuPara"/>
        <w:rPr>
          <w:rFonts w:ascii="TimesNewRomanPSMT" w:hAnsi="TimesNewRomanPSMT" w:cs="TimesNewRomanPSMT"/>
        </w:rPr>
      </w:pPr>
      <w:r w:rsidRPr="0008276C">
        <w:fldChar w:fldCharType="begin"/>
      </w:r>
      <w:r w:rsidRPr="0008276C">
        <w:instrText xml:space="preserve"> SEQ level0 \*arabic \* MERGEFORMAT </w:instrText>
      </w:r>
      <w:r w:rsidRPr="0008276C">
        <w:fldChar w:fldCharType="separate"/>
      </w:r>
      <w:r w:rsidRPr="0008276C">
        <w:rPr>
          <w:noProof/>
        </w:rPr>
        <w:t>13</w:t>
      </w:r>
      <w:r w:rsidRPr="0008276C">
        <w:fldChar w:fldCharType="end"/>
      </w:r>
      <w:r w:rsidRPr="0008276C">
        <w:t>.  Regard being had to the documents in its possession and to its case</w:t>
      </w:r>
      <w:r w:rsidRPr="0008276C">
        <w:noBreakHyphen/>
        <w:t>law</w:t>
      </w:r>
      <w:r w:rsidRPr="0008276C">
        <w:t xml:space="preserve"> </w:t>
      </w:r>
      <w:r w:rsidRPr="0008276C">
        <w:t>(see</w:t>
      </w:r>
      <w:r w:rsidRPr="0008276C">
        <w:t>,</w:t>
      </w:r>
      <w:r w:rsidRPr="0008276C">
        <w:t xml:space="preserve"> </w:t>
      </w:r>
      <w:r w:rsidRPr="0008276C">
        <w:t xml:space="preserve">in particular, </w:t>
      </w:r>
      <w:r w:rsidRPr="0008276C">
        <w:rPr>
          <w:i/>
        </w:rPr>
        <w:t>Malyk</w:t>
      </w:r>
      <w:r w:rsidRPr="0008276C">
        <w:rPr>
          <w:i/>
        </w:rPr>
        <w:t xml:space="preserve"> v. Ukraine, </w:t>
      </w:r>
      <w:r w:rsidRPr="0008276C">
        <w:t>no.</w:t>
      </w:r>
      <w:r w:rsidRPr="0008276C">
        <w:t> </w:t>
      </w:r>
      <w:r w:rsidRPr="0008276C">
        <w:t>37198/10, 29</w:t>
      </w:r>
      <w:r w:rsidRPr="0008276C" w:rsidR="00111556">
        <w:t> </w:t>
      </w:r>
      <w:r w:rsidRPr="0008276C">
        <w:t>January</w:t>
      </w:r>
      <w:r w:rsidRPr="0008276C">
        <w:t xml:space="preserve"> </w:t>
      </w:r>
      <w:r w:rsidRPr="0008276C">
        <w:t xml:space="preserve">2015), the Court considers it reasonable to award the sum indicated in the appended table </w:t>
      </w:r>
      <w:r w:rsidRPr="0008276C">
        <w:rPr>
          <w:rFonts w:ascii="TimesNewRomanPSMT" w:hAnsi="TimesNewRomanPSMT" w:cs="TimesNewRomanPSMT"/>
        </w:rPr>
        <w:t>and rejects any additional claims for just satisfaction raised by the applicant</w:t>
      </w:r>
      <w:r w:rsidRPr="0008276C">
        <w:t>.</w:t>
      </w:r>
    </w:p>
    <w:p w:rsidRPr="0008276C" w:rsidR="007F114B" w:rsidP="0008276C" w14:paraId="487B0C95" w14:textId="77777777">
      <w:pPr>
        <w:pStyle w:val="JuHHead"/>
        <w:jc w:val="left"/>
      </w:pPr>
      <w:r w:rsidRPr="0008276C">
        <w:t>FOR THESE REASONS, THE COURT, UNANIMOUSLY,</w:t>
      </w:r>
    </w:p>
    <w:p w:rsidRPr="0008276C" w:rsidR="007F114B" w:rsidP="0008276C" w14:paraId="339E955C" w14:textId="77777777">
      <w:pPr>
        <w:pStyle w:val="JuList"/>
        <w:keepNext/>
        <w:keepLines/>
      </w:pPr>
      <w:r w:rsidRPr="0008276C">
        <w:rPr>
          <w:i/>
        </w:rPr>
        <w:t xml:space="preserve">Declares </w:t>
      </w:r>
      <w:r w:rsidRPr="0008276C">
        <w:t>the complaints concerning the unlawful detention</w:t>
      </w:r>
      <w:r w:rsidRPr="0008276C">
        <w:rPr>
          <w:rFonts w:cstheme="minorHAnsi"/>
        </w:rPr>
        <w:t xml:space="preserve"> </w:t>
      </w:r>
      <w:r w:rsidRPr="0008276C">
        <w:t xml:space="preserve">admissible, and the remainder of the application </w:t>
      </w:r>
      <w:r w:rsidRPr="0008276C">
        <w:t>inadmissible;</w:t>
      </w:r>
    </w:p>
    <w:p w:rsidRPr="0008276C" w:rsidR="007F114B" w:rsidP="0008276C" w14:paraId="65D4AD1B" w14:textId="139651DE">
      <w:pPr>
        <w:pStyle w:val="JuList"/>
        <w:rPr>
          <w:rFonts w:cstheme="minorHAnsi"/>
          <w:bCs/>
        </w:rPr>
      </w:pPr>
      <w:r w:rsidRPr="0008276C">
        <w:rPr>
          <w:i/>
        </w:rPr>
        <w:t xml:space="preserve">Holds </w:t>
      </w:r>
      <w:r w:rsidRPr="0008276C">
        <w:t xml:space="preserve">that </w:t>
      </w:r>
      <w:r w:rsidRPr="0008276C">
        <w:rPr>
          <w:rFonts w:eastAsia="PMingLiU"/>
        </w:rPr>
        <w:t>these complaints</w:t>
      </w:r>
      <w:r w:rsidRPr="0008276C">
        <w:t xml:space="preserve"> disclose a breach of Article</w:t>
      </w:r>
      <w:r w:rsidRPr="0008276C" w:rsidR="0008276C">
        <w:t> </w:t>
      </w:r>
      <w:r w:rsidRPr="0008276C">
        <w:t>5</w:t>
      </w:r>
      <w:r w:rsidRPr="0008276C" w:rsidR="0008276C">
        <w:t> </w:t>
      </w:r>
      <w:r w:rsidRPr="0008276C">
        <w:t>§</w:t>
      </w:r>
      <w:r w:rsidRPr="0008276C" w:rsidR="0008276C">
        <w:t> </w:t>
      </w:r>
      <w:r w:rsidRPr="0008276C">
        <w:t>1</w:t>
      </w:r>
      <w:r w:rsidRPr="0008276C">
        <w:rPr>
          <w:rFonts w:ascii="Times New Roman" w:hAnsi="Times New Roman" w:eastAsia="PMingLiU" w:cs="Times New Roman"/>
        </w:rPr>
        <w:t xml:space="preserve"> of the Convention</w:t>
      </w:r>
      <w:r w:rsidRPr="0008276C">
        <w:t xml:space="preserve"> concerning the </w:t>
      </w:r>
      <w:r w:rsidRPr="0008276C">
        <w:rPr>
          <w:rFonts w:cstheme="minorHAnsi"/>
        </w:rPr>
        <w:t xml:space="preserve">unlawful </w:t>
      </w:r>
      <w:r w:rsidRPr="0008276C">
        <w:rPr>
          <w:rFonts w:cstheme="minorHAnsi"/>
        </w:rPr>
        <w:t>detention</w:t>
      </w:r>
      <w:r w:rsidRPr="0008276C">
        <w:rPr>
          <w:rFonts w:eastAsia="PMingLiU"/>
        </w:rPr>
        <w:t>;</w:t>
      </w:r>
    </w:p>
    <w:p w:rsidRPr="0008276C" w:rsidR="007F114B" w:rsidP="0008276C" w14:paraId="2B01D7FA" w14:textId="77777777">
      <w:pPr>
        <w:pStyle w:val="JuList"/>
        <w:rPr>
          <w:rFonts w:cstheme="minorHAnsi"/>
          <w:bCs/>
        </w:rPr>
      </w:pPr>
      <w:r w:rsidRPr="0008276C">
        <w:rPr>
          <w:i/>
        </w:rPr>
        <w:t>Holds</w:t>
      </w:r>
    </w:p>
    <w:p w:rsidRPr="0008276C" w:rsidR="007F114B" w:rsidP="0008276C" w14:paraId="00C74C45" w14:textId="77777777">
      <w:pPr>
        <w:pStyle w:val="JuLista"/>
      </w:pPr>
      <w:r w:rsidRPr="0008276C">
        <w:t xml:space="preserve">that the respondent State is to pay the applicant, within three months, the amount indicated in the appended table, to be converted into the currency of the respondent State at the rate applicable at the date of </w:t>
      </w:r>
      <w:r w:rsidRPr="0008276C">
        <w:t>settlement;</w:t>
      </w:r>
    </w:p>
    <w:p w:rsidRPr="0008276C" w:rsidR="007F114B" w:rsidP="0008276C" w14:paraId="78C59A40" w14:textId="77777777">
      <w:pPr>
        <w:pStyle w:val="JuLista"/>
      </w:pPr>
      <w:r w:rsidRPr="0008276C">
        <w:t>that from the expiry of the above-mentioned three months until settlement simple interest shall be payable on the above amount at a rate equal to the marginal lending rate of the European Central Bank during the default period plus three percentage points.</w:t>
      </w:r>
    </w:p>
    <w:p w:rsidRPr="0008276C" w:rsidR="00B94C9A" w:rsidP="0008276C" w14:paraId="1FDADF0F" w14:textId="7FD30995">
      <w:pPr>
        <w:pStyle w:val="JuList"/>
      </w:pPr>
      <w:r w:rsidRPr="0008276C">
        <w:rPr>
          <w:i/>
          <w:spacing w:val="-2"/>
        </w:rPr>
        <w:t>Dismisses</w:t>
      </w:r>
      <w:r w:rsidRPr="0008276C">
        <w:rPr>
          <w:spacing w:val="-2"/>
        </w:rPr>
        <w:t xml:space="preserve"> the remainder of the applicant</w:t>
      </w:r>
      <w:r w:rsidRPr="0008276C" w:rsidR="0008276C">
        <w:t>’</w:t>
      </w:r>
      <w:r w:rsidRPr="0008276C">
        <w:t>s</w:t>
      </w:r>
      <w:r w:rsidRPr="0008276C">
        <w:rPr>
          <w:spacing w:val="-2"/>
        </w:rPr>
        <w:t xml:space="preserve"> claims for just satisfaction.</w:t>
      </w:r>
    </w:p>
    <w:p w:rsidRPr="0008276C" w:rsidR="00606600" w:rsidP="0008276C" w14:paraId="6892247B" w14:textId="4E4EB488">
      <w:pPr>
        <w:pStyle w:val="JuParaLast"/>
      </w:pPr>
      <w:r w:rsidRPr="0008276C">
        <w:t xml:space="preserve">Done in English, and notified in writing on </w:t>
      </w:r>
      <w:r w:rsidRPr="0008276C" w:rsidR="007F114B">
        <w:t>6 March 2025</w:t>
      </w:r>
      <w:r w:rsidRPr="0008276C">
        <w:t>, pursuant to Rule 77 §§ 2 and 3 of the Rules of Court.</w:t>
      </w:r>
    </w:p>
    <w:p w:rsidRPr="0008276C" w:rsidR="00606600" w:rsidP="0008276C" w14:paraId="75E4EDD2" w14:textId="76152F3A">
      <w:pPr>
        <w:pStyle w:val="JuSigned"/>
        <w:rPr>
          <w:rFonts w:eastAsia="PMingLiU"/>
        </w:rPr>
      </w:pPr>
      <w:r w:rsidRPr="0008276C">
        <w:rPr>
          <w:rFonts w:eastAsia="PMingLiU"/>
        </w:rPr>
        <w:tab/>
      </w:r>
      <w:r w:rsidRPr="0008276C" w:rsidR="007F114B">
        <w:rPr>
          <w:rFonts w:eastAsia="PMingLiU"/>
        </w:rPr>
        <w:t>Viktoriya</w:t>
      </w:r>
      <w:r w:rsidRPr="0008276C" w:rsidR="0048584C">
        <w:rPr>
          <w:rFonts w:eastAsia="PMingLiU"/>
        </w:rPr>
        <w:t xml:space="preserve"> </w:t>
      </w:r>
      <w:r w:rsidRPr="0008276C" w:rsidR="007F114B">
        <w:rPr>
          <w:rFonts w:eastAsia="PMingLiU"/>
        </w:rPr>
        <w:t>Maradudina</w:t>
      </w:r>
      <w:r w:rsidRPr="0008276C" w:rsidR="0048584C">
        <w:rPr>
          <w:rFonts w:eastAsia="PMingLiU"/>
        </w:rPr>
        <w:tab/>
      </w:r>
      <w:r w:rsidRPr="0008276C" w:rsidR="007F114B">
        <w:rPr>
          <w:rFonts w:eastAsia="PMingLiU"/>
        </w:rPr>
        <w:t xml:space="preserve">Diana </w:t>
      </w:r>
      <w:r w:rsidRPr="0008276C" w:rsidR="007F114B">
        <w:rPr>
          <w:rFonts w:eastAsia="PMingLiU"/>
        </w:rPr>
        <w:t>Sârcu</w:t>
      </w:r>
    </w:p>
    <w:p w:rsidRPr="0008276C" w:rsidR="00B91668" w:rsidP="0008276C" w14:paraId="6A849A41" w14:textId="0A98D403">
      <w:pPr>
        <w:pStyle w:val="JuSigned"/>
        <w:contextualSpacing/>
        <w:rPr>
          <w:rFonts w:eastAsia="PMingLiU"/>
        </w:rPr>
      </w:pPr>
      <w:r w:rsidRPr="0008276C">
        <w:rPr>
          <w:rFonts w:eastAsia="PMingLiU"/>
        </w:rPr>
        <w:tab/>
        <w:t>Acting Deputy Registrar</w:t>
      </w:r>
      <w:r w:rsidRPr="0008276C">
        <w:rPr>
          <w:rFonts w:eastAsia="PMingLiU"/>
        </w:rPr>
        <w:tab/>
        <w:t>President</w:t>
      </w:r>
    </w:p>
    <w:p w:rsidRPr="0008276C" w:rsidR="00B91668" w:rsidP="0008276C" w14:paraId="7C1EB150" w14:textId="77777777">
      <w:pPr>
        <w:rPr>
          <w:rFonts w:eastAsia="PMingLiU"/>
        </w:rPr>
      </w:pPr>
    </w:p>
    <w:p w:rsidRPr="0008276C" w:rsidR="00BD554D" w:rsidP="0008276C" w14:paraId="40853403" w14:textId="77777777">
      <w:pPr>
        <w:pStyle w:val="JuSigned"/>
        <w:tabs>
          <w:tab w:val="left" w:pos="5115"/>
        </w:tabs>
        <w:contextualSpacing/>
        <w:rPr>
          <w:rFonts w:eastAsia="PMingLiU"/>
        </w:rPr>
      </w:pPr>
      <w:r w:rsidRPr="0008276C">
        <w:rPr>
          <w:rFonts w:eastAsia="PMingLiU"/>
        </w:rPr>
        <w:tab/>
      </w:r>
    </w:p>
    <w:p w:rsidRPr="0008276C" w:rsidR="00606600" w:rsidP="0008276C" w14:paraId="51292AEF" w14:textId="77777777">
      <w:pPr>
        <w:pStyle w:val="JuSigned"/>
        <w:tabs>
          <w:tab w:val="center" w:pos="1134"/>
        </w:tabs>
        <w:contextualSpacing/>
        <w:rPr>
          <w:rFonts w:eastAsia="PMingLiU"/>
        </w:rPr>
      </w:pPr>
    </w:p>
    <w:p w:rsidRPr="0008276C" w:rsidR="00606600" w:rsidP="0008276C" w14:paraId="3360F67B"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08276C" w:rsidR="00606600" w:rsidP="0008276C" w14:paraId="29DC967D" w14:textId="77777777">
      <w:pPr>
        <w:pStyle w:val="DecHTitle"/>
      </w:pPr>
      <w:r w:rsidRPr="0008276C">
        <w:t>APPENDIX</w:t>
      </w:r>
    </w:p>
    <w:p w:rsidRPr="0008276C" w:rsidR="00606600" w:rsidP="0008276C" w14:paraId="0E861008" w14:textId="7570ABF3">
      <w:pPr>
        <w:pStyle w:val="DecHCase"/>
        <w:contextualSpacing/>
        <w:rPr>
          <w:b/>
          <w:i/>
          <w:color w:val="3E3E3E" w:themeColor="background2" w:themeShade="40"/>
        </w:rPr>
      </w:pPr>
      <w:r w:rsidRPr="0008276C">
        <w:rPr>
          <w:color w:val="3E3E3E" w:themeColor="background2" w:themeShade="40"/>
        </w:rPr>
        <w:t>Application</w:t>
      </w:r>
      <w:r w:rsidRPr="0008276C" w:rsidR="0048584C">
        <w:rPr>
          <w:color w:val="3E3E3E" w:themeColor="background2" w:themeShade="40"/>
        </w:rPr>
        <w:t xml:space="preserve"> raising complaints under Article</w:t>
      </w:r>
      <w:r w:rsidRPr="0008276C">
        <w:rPr>
          <w:color w:val="3E3E3E" w:themeColor="background2" w:themeShade="40"/>
        </w:rPr>
        <w:t xml:space="preserve"> 5 § 1 of the </w:t>
      </w:r>
      <w:r w:rsidRPr="0008276C">
        <w:rPr>
          <w:color w:val="3E3E3E" w:themeColor="background2" w:themeShade="40"/>
        </w:rPr>
        <w:t>Convention</w:t>
      </w:r>
    </w:p>
    <w:p w:rsidRPr="0008276C" w:rsidR="00606600" w:rsidP="0008276C" w14:paraId="4821B57C" w14:textId="6506BCC9">
      <w:pPr>
        <w:pStyle w:val="DecHCase"/>
        <w:contextualSpacing/>
        <w:rPr>
          <w:b/>
          <w:i/>
        </w:rPr>
      </w:pPr>
      <w:r w:rsidRPr="0008276C">
        <w:rPr>
          <w:color w:val="3E3E3E" w:themeColor="background2" w:themeShade="40"/>
        </w:rPr>
        <w:t>(</w:t>
      </w:r>
      <w:r w:rsidRPr="0008276C" w:rsidR="007F114B">
        <w:rPr>
          <w:color w:val="3E3E3E" w:themeColor="background2" w:themeShade="40"/>
        </w:rPr>
        <w:t>unlawful</w:t>
      </w:r>
      <w:r w:rsidRPr="0008276C" w:rsidR="007F114B">
        <w:rPr>
          <w:color w:val="3E3E3E" w:themeColor="background2" w:themeShade="40"/>
        </w:rPr>
        <w:t xml:space="preserve"> detention</w:t>
      </w:r>
      <w:r w:rsidRPr="0008276C">
        <w:rPr>
          <w:color w:val="3E3E3E" w:themeColor="background2" w:themeShade="40"/>
        </w:rPr>
        <w:t>)</w:t>
      </w:r>
    </w:p>
    <w:tbl>
      <w:tblPr>
        <w:tblStyle w:val="ECHRListTable"/>
        <w:tblW w:w="14029" w:type="dxa"/>
        <w:jc w:val="center"/>
        <w:tblLook w:val="0420"/>
      </w:tblPr>
      <w:tblGrid>
        <w:gridCol w:w="1271"/>
        <w:gridCol w:w="1701"/>
        <w:gridCol w:w="1701"/>
        <w:gridCol w:w="5103"/>
        <w:gridCol w:w="2693"/>
        <w:gridCol w:w="1560"/>
      </w:tblGrid>
      <w:tr w:rsidTr="00193934" w14:paraId="10770424" w14:textId="77777777">
        <w:tblPrEx>
          <w:tblW w:w="14029" w:type="dxa"/>
          <w:jc w:val="center"/>
          <w:tblLook w:val="0420"/>
        </w:tblPrEx>
        <w:trPr>
          <w:jc w:val="center"/>
        </w:trPr>
        <w:tc>
          <w:tcPr>
            <w:tcW w:w="1271" w:type="dxa"/>
          </w:tcPr>
          <w:p w:rsidRPr="0008276C" w:rsidR="00647F2F" w:rsidP="0008276C" w14:paraId="0E2723FF" w14:textId="77777777">
            <w:pPr>
              <w:jc w:val="center"/>
              <w:rPr>
                <w:sz w:val="16"/>
              </w:rPr>
            </w:pPr>
            <w:bookmarkStart w:name="WECLListStart" w:id="2"/>
            <w:bookmarkEnd w:id="2"/>
            <w:r w:rsidRPr="0008276C">
              <w:rPr>
                <w:sz w:val="16"/>
              </w:rPr>
              <w:t>Application no.</w:t>
            </w:r>
          </w:p>
          <w:p w:rsidRPr="0008276C" w:rsidR="00647F2F" w:rsidP="0008276C" w14:paraId="0E9CAE9A" w14:textId="77777777">
            <w:pPr>
              <w:jc w:val="center"/>
              <w:rPr>
                <w:sz w:val="16"/>
              </w:rPr>
            </w:pPr>
            <w:r w:rsidRPr="0008276C">
              <w:rPr>
                <w:sz w:val="16"/>
              </w:rPr>
              <w:t>Date of introduction</w:t>
            </w:r>
          </w:p>
        </w:tc>
        <w:tc>
          <w:tcPr>
            <w:tcW w:w="1701" w:type="dxa"/>
          </w:tcPr>
          <w:p w:rsidRPr="0008276C" w:rsidR="00647F2F" w:rsidP="0008276C" w14:paraId="2BE30FEE" w14:textId="170EA002">
            <w:pPr>
              <w:jc w:val="center"/>
              <w:rPr>
                <w:sz w:val="16"/>
              </w:rPr>
            </w:pPr>
            <w:r w:rsidRPr="0008276C">
              <w:rPr>
                <w:sz w:val="16"/>
              </w:rPr>
              <w:t>Applicant</w:t>
            </w:r>
            <w:r w:rsidRPr="0008276C" w:rsidR="0008276C">
              <w:rPr>
                <w:sz w:val="16"/>
              </w:rPr>
              <w:t>’</w:t>
            </w:r>
            <w:r w:rsidRPr="0008276C">
              <w:rPr>
                <w:sz w:val="16"/>
              </w:rPr>
              <w:t>s name</w:t>
            </w:r>
          </w:p>
          <w:p w:rsidRPr="0008276C" w:rsidR="00647F2F" w:rsidP="0008276C" w14:paraId="40E6E9F7" w14:textId="77777777">
            <w:pPr>
              <w:jc w:val="center"/>
              <w:rPr>
                <w:sz w:val="16"/>
              </w:rPr>
            </w:pPr>
            <w:r w:rsidRPr="0008276C">
              <w:rPr>
                <w:sz w:val="16"/>
              </w:rPr>
              <w:t>Year of birth</w:t>
            </w:r>
          </w:p>
        </w:tc>
        <w:tc>
          <w:tcPr>
            <w:tcW w:w="1701" w:type="dxa"/>
          </w:tcPr>
          <w:p w:rsidRPr="0008276C" w:rsidR="00647F2F" w:rsidP="0008276C" w14:paraId="75AA6DA9" w14:textId="77777777">
            <w:pPr>
              <w:jc w:val="center"/>
              <w:rPr>
                <w:sz w:val="16"/>
              </w:rPr>
            </w:pPr>
            <w:r w:rsidRPr="0008276C">
              <w:rPr>
                <w:sz w:val="16"/>
              </w:rPr>
              <w:t>Period of unlawful detention</w:t>
            </w:r>
          </w:p>
        </w:tc>
        <w:tc>
          <w:tcPr>
            <w:tcW w:w="5103" w:type="dxa"/>
          </w:tcPr>
          <w:p w:rsidRPr="0008276C" w:rsidR="00647F2F" w:rsidP="0008276C" w14:paraId="263DF0CB" w14:textId="77777777">
            <w:pPr>
              <w:jc w:val="center"/>
              <w:rPr>
                <w:sz w:val="16"/>
              </w:rPr>
            </w:pPr>
            <w:r w:rsidRPr="0008276C">
              <w:rPr>
                <w:sz w:val="16"/>
              </w:rPr>
              <w:t>Specific defects</w:t>
            </w:r>
          </w:p>
        </w:tc>
        <w:tc>
          <w:tcPr>
            <w:tcW w:w="2693" w:type="dxa"/>
          </w:tcPr>
          <w:p w:rsidRPr="0008276C" w:rsidR="00647F2F" w:rsidP="0008276C" w14:paraId="314B7416" w14:textId="77777777">
            <w:pPr>
              <w:jc w:val="center"/>
              <w:rPr>
                <w:sz w:val="16"/>
              </w:rPr>
            </w:pPr>
            <w:r w:rsidRPr="0008276C">
              <w:rPr>
                <w:sz w:val="16"/>
              </w:rPr>
              <w:t>Relevant domestic decision</w:t>
            </w:r>
          </w:p>
        </w:tc>
        <w:tc>
          <w:tcPr>
            <w:tcW w:w="1560" w:type="dxa"/>
          </w:tcPr>
          <w:p w:rsidRPr="0008276C" w:rsidR="00647F2F" w:rsidP="0008276C" w14:paraId="00AC64C9" w14:textId="77777777">
            <w:pPr>
              <w:jc w:val="center"/>
              <w:rPr>
                <w:sz w:val="16"/>
              </w:rPr>
            </w:pPr>
            <w:r w:rsidRPr="0008276C">
              <w:rPr>
                <w:sz w:val="16"/>
              </w:rPr>
              <w:t xml:space="preserve">Amount awarded for non-pecuniary damage per </w:t>
            </w:r>
            <w:r w:rsidRPr="0008276C">
              <w:rPr>
                <w:sz w:val="16"/>
              </w:rPr>
              <w:t>applicant</w:t>
            </w:r>
          </w:p>
          <w:p w:rsidRPr="0008276C" w:rsidR="00647F2F" w:rsidP="0008276C" w14:paraId="4B4D57D5" w14:textId="677B4FAC">
            <w:pPr>
              <w:jc w:val="center"/>
              <w:rPr>
                <w:sz w:val="16"/>
              </w:rPr>
            </w:pPr>
            <w:r w:rsidRPr="0008276C">
              <w:rPr>
                <w:sz w:val="16"/>
              </w:rPr>
              <w:t>(</w:t>
            </w:r>
            <w:r w:rsidRPr="0008276C">
              <w:rPr>
                <w:sz w:val="16"/>
              </w:rPr>
              <w:t>in</w:t>
            </w:r>
            <w:r w:rsidRPr="0008276C">
              <w:rPr>
                <w:sz w:val="16"/>
              </w:rPr>
              <w:t xml:space="preserve"> euros)</w:t>
            </w:r>
            <w:r>
              <w:rPr>
                <w:rStyle w:val="EndnoteReference"/>
                <w:sz w:val="16"/>
              </w:rPr>
              <w:endnoteReference w:id="2"/>
            </w:r>
          </w:p>
        </w:tc>
      </w:tr>
      <w:tr w:rsidTr="00193934" w14:paraId="4FA19E21" w14:textId="77777777">
        <w:tblPrEx>
          <w:tblW w:w="14029" w:type="dxa"/>
          <w:jc w:val="center"/>
          <w:tblLook w:val="0420"/>
        </w:tblPrEx>
        <w:trPr>
          <w:jc w:val="center"/>
        </w:trPr>
        <w:tc>
          <w:tcPr>
            <w:tcW w:w="1271" w:type="dxa"/>
          </w:tcPr>
          <w:p w:rsidRPr="0008276C" w:rsidR="00647F2F" w:rsidP="0008276C" w14:paraId="40E6A402" w14:textId="77777777">
            <w:pPr>
              <w:jc w:val="center"/>
              <w:rPr>
                <w:sz w:val="16"/>
              </w:rPr>
            </w:pPr>
            <w:r w:rsidRPr="0008276C">
              <w:rPr>
                <w:sz w:val="16"/>
              </w:rPr>
              <w:t>68596/11</w:t>
            </w:r>
          </w:p>
          <w:p w:rsidRPr="0008276C" w:rsidR="00647F2F" w:rsidP="0008276C" w14:paraId="6B2EACC7" w14:textId="77777777">
            <w:pPr>
              <w:jc w:val="center"/>
              <w:rPr>
                <w:sz w:val="16"/>
              </w:rPr>
            </w:pPr>
            <w:r w:rsidRPr="0008276C">
              <w:rPr>
                <w:sz w:val="16"/>
              </w:rPr>
              <w:t>26/10/2011</w:t>
            </w:r>
          </w:p>
        </w:tc>
        <w:tc>
          <w:tcPr>
            <w:tcW w:w="1701" w:type="dxa"/>
          </w:tcPr>
          <w:p w:rsidRPr="0008276C" w:rsidR="00647F2F" w:rsidP="0008276C" w14:paraId="78A73624" w14:textId="77777777">
            <w:pPr>
              <w:jc w:val="center"/>
              <w:rPr>
                <w:sz w:val="16"/>
              </w:rPr>
            </w:pPr>
            <w:r w:rsidRPr="0008276C">
              <w:rPr>
                <w:b/>
                <w:sz w:val="16"/>
              </w:rPr>
              <w:t xml:space="preserve">Aleksandr </w:t>
            </w:r>
            <w:r w:rsidRPr="0008276C">
              <w:rPr>
                <w:b/>
                <w:sz w:val="16"/>
              </w:rPr>
              <w:t>Vsevolodovich</w:t>
            </w:r>
            <w:r w:rsidRPr="0008276C">
              <w:rPr>
                <w:b/>
                <w:sz w:val="16"/>
              </w:rPr>
              <w:t xml:space="preserve"> GNEZDOV</w:t>
            </w:r>
          </w:p>
          <w:p w:rsidRPr="0008276C" w:rsidR="00647F2F" w:rsidP="0008276C" w14:paraId="3EA9A091" w14:textId="77777777">
            <w:pPr>
              <w:jc w:val="center"/>
              <w:rPr>
                <w:sz w:val="16"/>
              </w:rPr>
            </w:pPr>
            <w:r w:rsidRPr="0008276C">
              <w:rPr>
                <w:sz w:val="16"/>
              </w:rPr>
              <w:t>1961</w:t>
            </w:r>
          </w:p>
          <w:p w:rsidRPr="0008276C" w:rsidR="00647F2F" w:rsidP="0008276C" w14:paraId="228742F1" w14:textId="70A32AB0">
            <w:pPr>
              <w:jc w:val="center"/>
              <w:rPr>
                <w:sz w:val="16"/>
              </w:rPr>
            </w:pPr>
          </w:p>
        </w:tc>
        <w:tc>
          <w:tcPr>
            <w:tcW w:w="1701" w:type="dxa"/>
          </w:tcPr>
          <w:p w:rsidRPr="0008276C" w:rsidR="00812580" w:rsidP="0008276C" w14:paraId="52449367" w14:textId="77777777">
            <w:pPr>
              <w:jc w:val="center"/>
              <w:rPr>
                <w:sz w:val="16"/>
              </w:rPr>
            </w:pPr>
            <w:r w:rsidRPr="0008276C">
              <w:rPr>
                <w:sz w:val="16"/>
              </w:rPr>
              <w:t>26/02/2011</w:t>
            </w:r>
            <w:r w:rsidRPr="0008276C" w:rsidR="00193934">
              <w:rPr>
                <w:sz w:val="16"/>
              </w:rPr>
              <w:t xml:space="preserve"> –</w:t>
            </w:r>
          </w:p>
          <w:p w:rsidRPr="0008276C" w:rsidR="00647F2F" w:rsidP="0008276C" w14:paraId="3A1FDDD6" w14:textId="2E10B6E1">
            <w:pPr>
              <w:jc w:val="center"/>
              <w:rPr>
                <w:sz w:val="16"/>
              </w:rPr>
            </w:pPr>
            <w:r w:rsidRPr="0008276C">
              <w:rPr>
                <w:sz w:val="16"/>
              </w:rPr>
              <w:t>24/04/2011</w:t>
            </w:r>
          </w:p>
          <w:p w:rsidRPr="0008276C" w:rsidR="00647F2F" w:rsidP="0008276C" w14:paraId="738E1CC0" w14:textId="77777777">
            <w:pPr>
              <w:jc w:val="center"/>
              <w:rPr>
                <w:sz w:val="16"/>
              </w:rPr>
            </w:pPr>
          </w:p>
          <w:p w:rsidRPr="0008276C" w:rsidR="00647F2F" w:rsidP="0008276C" w14:paraId="19F94810" w14:textId="77777777">
            <w:pPr>
              <w:jc w:val="center"/>
              <w:rPr>
                <w:sz w:val="16"/>
              </w:rPr>
            </w:pPr>
          </w:p>
          <w:p w:rsidRPr="0008276C" w:rsidR="00473BC4" w:rsidP="0008276C" w14:paraId="242AEC83" w14:textId="77777777">
            <w:pPr>
              <w:jc w:val="center"/>
              <w:rPr>
                <w:sz w:val="16"/>
              </w:rPr>
            </w:pPr>
          </w:p>
          <w:p w:rsidRPr="0008276C" w:rsidR="00193934" w:rsidP="0008276C" w14:paraId="6AE59603" w14:textId="77777777">
            <w:pPr>
              <w:jc w:val="center"/>
              <w:rPr>
                <w:sz w:val="16"/>
              </w:rPr>
            </w:pPr>
          </w:p>
          <w:p w:rsidRPr="0008276C" w:rsidR="00812580" w:rsidP="0008276C" w14:paraId="0F632531" w14:textId="77777777">
            <w:pPr>
              <w:jc w:val="center"/>
              <w:rPr>
                <w:sz w:val="16"/>
              </w:rPr>
            </w:pPr>
            <w:r w:rsidRPr="0008276C">
              <w:rPr>
                <w:sz w:val="16"/>
              </w:rPr>
              <w:t>24/04/2011 –</w:t>
            </w:r>
          </w:p>
          <w:p w:rsidRPr="0008276C" w:rsidR="00647F2F" w:rsidP="0008276C" w14:paraId="26DFD0F2" w14:textId="2BD7C311">
            <w:pPr>
              <w:jc w:val="center"/>
              <w:rPr>
                <w:sz w:val="16"/>
              </w:rPr>
            </w:pPr>
            <w:r w:rsidRPr="0008276C">
              <w:rPr>
                <w:sz w:val="16"/>
              </w:rPr>
              <w:t xml:space="preserve">26/04/2011 </w:t>
            </w:r>
          </w:p>
        </w:tc>
        <w:tc>
          <w:tcPr>
            <w:tcW w:w="5103" w:type="dxa"/>
          </w:tcPr>
          <w:p w:rsidRPr="0008276C" w:rsidR="00647F2F" w:rsidP="0008276C" w14:paraId="3044BE91" w14:textId="2457D1D5">
            <w:pPr>
              <w:jc w:val="center"/>
              <w:rPr>
                <w:i/>
                <w:iCs/>
                <w:sz w:val="16"/>
              </w:rPr>
            </w:pPr>
            <w:r w:rsidRPr="0008276C">
              <w:rPr>
                <w:sz w:val="16"/>
              </w:rPr>
              <w:t>arbitrary detention in view of the domestic court</w:t>
            </w:r>
            <w:r w:rsidRPr="0008276C" w:rsidR="0008276C">
              <w:rPr>
                <w:sz w:val="16"/>
              </w:rPr>
              <w:t>’</w:t>
            </w:r>
            <w:r w:rsidRPr="0008276C">
              <w:rPr>
                <w:sz w:val="16"/>
              </w:rPr>
              <w:t>s failure to set the time-limit for detention and to provide proper justification for it (</w:t>
            </w:r>
            <w:r w:rsidRPr="0008276C">
              <w:rPr>
                <w:i/>
                <w:iCs/>
                <w:sz w:val="16"/>
              </w:rPr>
              <w:t>Ladent</w:t>
            </w:r>
            <w:r w:rsidRPr="0008276C">
              <w:rPr>
                <w:i/>
                <w:iCs/>
                <w:sz w:val="16"/>
              </w:rPr>
              <w:t> v. Poland</w:t>
            </w:r>
            <w:r w:rsidRPr="0008276C">
              <w:rPr>
                <w:sz w:val="16"/>
              </w:rPr>
              <w:t>,</w:t>
            </w:r>
            <w:r w:rsidRPr="0008276C" w:rsidR="00193934">
              <w:rPr>
                <w:sz w:val="16"/>
              </w:rPr>
              <w:t xml:space="preserve"> </w:t>
            </w:r>
            <w:r w:rsidRPr="0008276C">
              <w:rPr>
                <w:sz w:val="16"/>
              </w:rPr>
              <w:t xml:space="preserve">no. 11036/03, §§ 55-56, 18 March 2008; </w:t>
            </w:r>
            <w:r w:rsidRPr="0008276C">
              <w:rPr>
                <w:i/>
                <w:iCs/>
                <w:sz w:val="16"/>
              </w:rPr>
              <w:t>Khayredinov</w:t>
            </w:r>
          </w:p>
          <w:p w:rsidRPr="0008276C" w:rsidR="00647F2F" w:rsidP="0008276C" w14:paraId="60298B6D" w14:textId="7AEEA534">
            <w:pPr>
              <w:jc w:val="center"/>
              <w:rPr>
                <w:sz w:val="16"/>
              </w:rPr>
            </w:pPr>
            <w:r w:rsidRPr="0008276C">
              <w:rPr>
                <w:i/>
                <w:iCs/>
                <w:sz w:val="16"/>
              </w:rPr>
              <w:t>v. Ukraine</w:t>
            </w:r>
            <w:r w:rsidRPr="0008276C">
              <w:rPr>
                <w:sz w:val="16"/>
              </w:rPr>
              <w:t>, no. 38717/04, §§ 28 30, 14 October 2010)</w:t>
            </w:r>
          </w:p>
          <w:p w:rsidRPr="0008276C" w:rsidR="00647F2F" w:rsidP="0008276C" w14:paraId="1469FE77" w14:textId="77777777">
            <w:pPr>
              <w:jc w:val="center"/>
              <w:rPr>
                <w:sz w:val="16"/>
              </w:rPr>
            </w:pPr>
          </w:p>
          <w:p w:rsidRPr="0008276C" w:rsidR="00193934" w:rsidP="0008276C" w14:paraId="6E4E8617" w14:textId="77777777">
            <w:pPr>
              <w:jc w:val="center"/>
              <w:rPr>
                <w:sz w:val="16"/>
              </w:rPr>
            </w:pPr>
          </w:p>
          <w:p w:rsidRPr="0008276C" w:rsidR="00647F2F" w:rsidP="0008276C" w14:paraId="7FA59A1B" w14:textId="77777777">
            <w:pPr>
              <w:jc w:val="center"/>
              <w:rPr>
                <w:i/>
                <w:iCs/>
                <w:sz w:val="16"/>
              </w:rPr>
            </w:pPr>
            <w:r w:rsidRPr="0008276C">
              <w:rPr>
                <w:sz w:val="16"/>
              </w:rPr>
              <w:t>Delayed release (</w:t>
            </w:r>
            <w:r w:rsidRPr="0008276C">
              <w:rPr>
                <w:i/>
                <w:iCs/>
                <w:sz w:val="16"/>
              </w:rPr>
              <w:t>Ruslan Yakovenko</w:t>
            </w:r>
          </w:p>
          <w:p w:rsidRPr="0008276C" w:rsidR="00647F2F" w:rsidP="0008276C" w14:paraId="46C08C57" w14:textId="584F921F">
            <w:pPr>
              <w:jc w:val="center"/>
              <w:rPr>
                <w:sz w:val="16"/>
              </w:rPr>
            </w:pPr>
            <w:r w:rsidRPr="0008276C">
              <w:rPr>
                <w:i/>
                <w:iCs/>
                <w:sz w:val="16"/>
              </w:rPr>
              <w:t>v. Ukraine</w:t>
            </w:r>
            <w:r w:rsidRPr="0008276C">
              <w:rPr>
                <w:sz w:val="16"/>
              </w:rPr>
              <w:t>,</w:t>
            </w:r>
          </w:p>
          <w:p w:rsidRPr="0008276C" w:rsidR="00647F2F" w:rsidP="0008276C" w14:paraId="7428C56D" w14:textId="1D783D08">
            <w:pPr>
              <w:jc w:val="center"/>
              <w:rPr>
                <w:sz w:val="16"/>
              </w:rPr>
            </w:pPr>
            <w:r w:rsidRPr="0008276C">
              <w:rPr>
                <w:sz w:val="16"/>
              </w:rPr>
              <w:t>no. 5425/11, §§ 68-70, ECHR 2015)</w:t>
            </w:r>
          </w:p>
        </w:tc>
        <w:tc>
          <w:tcPr>
            <w:tcW w:w="2693" w:type="dxa"/>
          </w:tcPr>
          <w:p w:rsidRPr="0008276C" w:rsidR="00647F2F" w:rsidP="0008276C" w14:paraId="5B2AEB72" w14:textId="146098D0">
            <w:pPr>
              <w:jc w:val="center"/>
              <w:rPr>
                <w:sz w:val="16"/>
              </w:rPr>
            </w:pPr>
            <w:r w:rsidRPr="0008276C">
              <w:rPr>
                <w:sz w:val="16"/>
              </w:rPr>
              <w:t xml:space="preserve">The Crimea </w:t>
            </w:r>
            <w:r w:rsidRPr="0008276C">
              <w:rPr>
                <w:sz w:val="16"/>
              </w:rPr>
              <w:t>Tsentralnyy</w:t>
            </w:r>
            <w:r w:rsidRPr="0008276C">
              <w:rPr>
                <w:sz w:val="16"/>
              </w:rPr>
              <w:t xml:space="preserve"> District Court of Simferopol of 26/02/2011 ordering detention until 24/04/2011</w:t>
            </w:r>
          </w:p>
          <w:p w:rsidRPr="0008276C" w:rsidR="00647F2F" w:rsidP="0008276C" w14:paraId="341F3779" w14:textId="77777777">
            <w:pPr>
              <w:jc w:val="center"/>
              <w:rPr>
                <w:sz w:val="16"/>
              </w:rPr>
            </w:pPr>
          </w:p>
        </w:tc>
        <w:tc>
          <w:tcPr>
            <w:tcW w:w="1560" w:type="dxa"/>
          </w:tcPr>
          <w:p w:rsidRPr="0008276C" w:rsidR="00647F2F" w:rsidP="0008276C" w14:paraId="2C9FDDFF" w14:textId="37697250">
            <w:pPr>
              <w:jc w:val="center"/>
              <w:rPr>
                <w:sz w:val="16"/>
              </w:rPr>
            </w:pPr>
            <w:r w:rsidRPr="0008276C">
              <w:rPr>
                <w:sz w:val="16"/>
              </w:rPr>
              <w:t>2,600</w:t>
            </w:r>
          </w:p>
        </w:tc>
      </w:tr>
    </w:tbl>
    <w:p w:rsidRPr="0008276C" w:rsidR="00606600" w:rsidP="0008276C" w14:paraId="2DC42322"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7F114B" w:rsidRPr="00611E1D" w14:paraId="0127CE2D" w14:textId="77777777">
      <w:r w:rsidRPr="00611E1D">
        <w:separator/>
      </w:r>
    </w:p>
  </w:endnote>
  <w:endnote w:type="continuationSeparator" w:id="1">
    <w:p w:rsidR="007F114B" w:rsidRPr="00611E1D" w14:paraId="5067C630" w14:textId="77777777">
      <w:r w:rsidRPr="00611E1D">
        <w:continuationSeparator/>
      </w:r>
    </w:p>
  </w:endnote>
  <w:endnote w:id="2">
    <w:p w:rsidR="00647F2F" w:rsidRPr="00F95F7A" w:rsidP="007F114B" w14:paraId="063C4A1C" w14:textId="77777777">
      <w:pPr>
        <w:pStyle w:val="EndnoteText"/>
        <w:rPr>
          <w:sz w:val="16"/>
          <w:szCs w:val="16"/>
        </w:rPr>
      </w:pPr>
      <w:r w:rsidRPr="00F95F7A">
        <w:rPr>
          <w:rStyle w:val="EndnoteReference"/>
          <w:sz w:val="16"/>
          <w:szCs w:val="16"/>
        </w:rPr>
        <w:endnoteRef/>
      </w:r>
      <w:r w:rsidRPr="00F95F7A">
        <w:rPr>
          <w:sz w:val="16"/>
          <w:szCs w:val="16"/>
        </w:rPr>
        <w:t xml:space="preserve"> Plus any tax that may be chargeable to the applicant.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160B0C5" w14:textId="05D5C67B">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4AF9CEE" w14:textId="61656012">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344687DB"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10D6B367"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276C" w14:paraId="4D6D2779"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6575D5C5"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7496DF20" w14:textId="77777777">
    <w:pPr>
      <w:jc w:val="center"/>
      <w:rPr>
        <w:sz w:val="4"/>
        <w:szCs w:val="4"/>
      </w:rPr>
    </w:pPr>
  </w:p>
  <w:p w:rsidR="00606600" w:rsidRPr="00611E1D" w14:paraId="5AFAB26E"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114B" w:rsidRPr="00A45145" w:rsidP="00A45145" w14:paraId="30AFA19B" w14:textId="471E4C16">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74218EF0" w14:textId="2BE9E5B6">
    <w:pPr>
      <w:pStyle w:val="Header0"/>
    </w:pPr>
  </w:p>
  <w:p w:rsidR="00606600" w:rsidRPr="00611E1D" w:rsidP="00B64153" w14:paraId="467590C0"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6C2C8555" w14:textId="411BC4DE">
    <w:pPr>
      <w:pStyle w:val="JuHeader"/>
    </w:pPr>
    <w:r>
      <w:t>GNEZDOV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49A09B36" w14:textId="4C5691E2">
    <w:pPr>
      <w:pStyle w:val="JuHeader"/>
    </w:pPr>
    <w:r>
      <w:t>GNEZDOV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14BDC909" w14:textId="0260255A">
    <w:pPr>
      <w:pStyle w:val="JuHeader"/>
    </w:pPr>
    <w:r>
      <w:t>GNEZDOV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625C9F17" w14:textId="3CECA3A6">
    <w:pPr>
      <w:pStyle w:val="JuHeader"/>
    </w:pPr>
    <w:r>
      <w:t>GNEZDOV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14"/>
  </w:num>
  <w:num w:numId="23">
    <w:abstractNumId w:val="12"/>
  </w:num>
  <w:num w:numId="24">
    <w:abstractNumId w:val="11"/>
  </w:num>
  <w:num w:numId="25">
    <w:abstractNumId w:val="17"/>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 w:numId="36">
    <w:abstractNumId w:val="13"/>
  </w:num>
  <w:num w:numId="37">
    <w:abstractNumId w:val="16"/>
  </w:num>
  <w:num w:numId="38">
    <w:abstractNumId w:val="15"/>
  </w:num>
  <w:num w:numId="39">
    <w:abstractNumId w:val="15"/>
  </w:num>
  <w:num w:numId="40">
    <w:abstractNumId w:val="15"/>
  </w:num>
  <w:num w:numId="41">
    <w:abstractNumId w:val="15"/>
  </w:num>
  <w:num w:numId="42">
    <w:abstractNumId w:val="10"/>
  </w:num>
  <w:num w:numId="43">
    <w:abstractNumId w:val="16"/>
  </w:num>
  <w:num w:numId="44">
    <w:abstractNumId w:val="16"/>
  </w:num>
  <w:num w:numId="45">
    <w:abstractNumId w:val="16"/>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9"/>
  </w:num>
  <w:num w:numId="55">
    <w:abstractNumId w:val="9"/>
  </w:num>
  <w:num w:numId="56">
    <w:abstractNumId w:val="9"/>
  </w:num>
  <w:num w:numId="57">
    <w:abstractNumId w:val="14"/>
  </w:num>
  <w:num w:numId="58">
    <w:abstractNumId w:val="12"/>
  </w:num>
  <w:num w:numId="59">
    <w:abstractNumId w:val="11"/>
  </w:num>
  <w:num w:numId="60">
    <w:abstractNumId w:val="17"/>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5"/>
  </w:num>
  <w:num w:numId="71">
    <w:abstractNumId w:val="13"/>
  </w:num>
  <w:num w:numId="72">
    <w:abstractNumId w:val="16"/>
  </w:num>
  <w:num w:numId="73">
    <w:abstractNumId w:val="15"/>
  </w:num>
  <w:num w:numId="74">
    <w:abstractNumId w:val="15"/>
  </w:num>
  <w:num w:numId="75">
    <w:abstractNumId w:val="15"/>
  </w:num>
  <w:num w:numId="76">
    <w:abstractNumId w:val="15"/>
  </w:num>
  <w:num w:numId="77">
    <w:abstractNumId w:val="10"/>
  </w:num>
  <w:num w:numId="78">
    <w:abstractNumId w:val="16"/>
  </w:num>
  <w:num w:numId="79">
    <w:abstractNumId w:val="16"/>
  </w:num>
  <w:num w:numId="80">
    <w:abstractNumId w:val="16"/>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9"/>
  </w:num>
  <w:num w:numId="90">
    <w:abstractNumId w:val="9"/>
  </w:num>
  <w:num w:numId="91">
    <w:abstractNumId w:val="9"/>
  </w:num>
  <w:num w:numId="92">
    <w:abstractNumId w:val="14"/>
  </w:num>
  <w:num w:numId="93">
    <w:abstractNumId w:val="12"/>
  </w:num>
  <w:num w:numId="94">
    <w:abstractNumId w:val="11"/>
  </w:num>
  <w:num w:numId="95">
    <w:abstractNumId w:val="17"/>
  </w:num>
  <w:num w:numId="96">
    <w:abstractNumId w:val="7"/>
  </w:num>
  <w:num w:numId="97">
    <w:abstractNumId w:val="6"/>
  </w:num>
  <w:num w:numId="98">
    <w:abstractNumId w:val="5"/>
  </w:num>
  <w:num w:numId="99">
    <w:abstractNumId w:val="4"/>
  </w:num>
  <w:num w:numId="100">
    <w:abstractNumId w:val="8"/>
  </w:num>
  <w:num w:numId="101">
    <w:abstractNumId w:val="3"/>
  </w:num>
  <w:num w:numId="102">
    <w:abstractNumId w:val="2"/>
  </w:num>
  <w:num w:numId="103">
    <w:abstractNumId w:val="1"/>
  </w:num>
  <w:num w:numId="104">
    <w:abstractNumId w:val="0"/>
  </w:num>
  <w:num w:numId="105">
    <w:abstractNumId w:val="15"/>
  </w:num>
  <w:num w:numId="106">
    <w:abstractNumId w:val="13"/>
  </w:num>
  <w:num w:numId="107">
    <w:abstractNumId w:val="16"/>
  </w:num>
  <w:num w:numId="108">
    <w:abstractNumId w:val="15"/>
  </w:num>
  <w:num w:numId="109">
    <w:abstractNumId w:val="15"/>
  </w:num>
  <w:num w:numId="110">
    <w:abstractNumId w:val="15"/>
  </w:num>
  <w:num w:numId="111">
    <w:abstractNumId w:val="15"/>
  </w:num>
  <w:num w:numId="112">
    <w:abstractNumId w:val="10"/>
  </w:num>
  <w:num w:numId="113">
    <w:abstractNumId w:val="16"/>
  </w:num>
  <w:num w:numId="114">
    <w:abstractNumId w:val="16"/>
  </w:num>
  <w:num w:numId="115">
    <w:abstractNumId w:val="16"/>
  </w:num>
  <w:num w:numId="116">
    <w:abstractNumId w:val="10"/>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9"/>
  </w:num>
  <w:num w:numId="125">
    <w:abstractNumId w:val="9"/>
  </w:num>
  <w:num w:numId="12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14B"/>
    <w:rsid w:val="000318F7"/>
    <w:rsid w:val="0008276C"/>
    <w:rsid w:val="000C5149"/>
    <w:rsid w:val="00111556"/>
    <w:rsid w:val="00135384"/>
    <w:rsid w:val="00150BFA"/>
    <w:rsid w:val="00173A91"/>
    <w:rsid w:val="00177329"/>
    <w:rsid w:val="00193934"/>
    <w:rsid w:val="001A15B6"/>
    <w:rsid w:val="001A3C4A"/>
    <w:rsid w:val="001D7CD3"/>
    <w:rsid w:val="001F3812"/>
    <w:rsid w:val="002056B7"/>
    <w:rsid w:val="0020718E"/>
    <w:rsid w:val="0023364D"/>
    <w:rsid w:val="0029309A"/>
    <w:rsid w:val="002C5B23"/>
    <w:rsid w:val="00337785"/>
    <w:rsid w:val="0037589C"/>
    <w:rsid w:val="003B3ECB"/>
    <w:rsid w:val="003E488E"/>
    <w:rsid w:val="00473BC4"/>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47F2F"/>
    <w:rsid w:val="00656431"/>
    <w:rsid w:val="006D324D"/>
    <w:rsid w:val="00743B2A"/>
    <w:rsid w:val="00796CE2"/>
    <w:rsid w:val="007A72B4"/>
    <w:rsid w:val="007B62AE"/>
    <w:rsid w:val="007F018A"/>
    <w:rsid w:val="007F114B"/>
    <w:rsid w:val="00812580"/>
    <w:rsid w:val="008522DD"/>
    <w:rsid w:val="00860732"/>
    <w:rsid w:val="008A0E2E"/>
    <w:rsid w:val="008D51B6"/>
    <w:rsid w:val="009522DD"/>
    <w:rsid w:val="00A329E0"/>
    <w:rsid w:val="00A34A54"/>
    <w:rsid w:val="00A44415"/>
    <w:rsid w:val="00A45145"/>
    <w:rsid w:val="00A6104A"/>
    <w:rsid w:val="00A94CA7"/>
    <w:rsid w:val="00AC03BB"/>
    <w:rsid w:val="00B216C1"/>
    <w:rsid w:val="00B64153"/>
    <w:rsid w:val="00B91668"/>
    <w:rsid w:val="00B94C9A"/>
    <w:rsid w:val="00BD554D"/>
    <w:rsid w:val="00BE2415"/>
    <w:rsid w:val="00C20CC3"/>
    <w:rsid w:val="00C877A3"/>
    <w:rsid w:val="00DE7D3F"/>
    <w:rsid w:val="00E026EC"/>
    <w:rsid w:val="00E6230A"/>
    <w:rsid w:val="00ED7723"/>
    <w:rsid w:val="00F95F7A"/>
    <w:rsid w:val="00FB16F8"/>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7A2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08276C"/>
    <w:rPr>
      <w:sz w:val="24"/>
      <w:szCs w:val="24"/>
      <w:lang w:val="en-GB"/>
    </w:rPr>
  </w:style>
  <w:style w:type="paragraph" w:styleId="Heading1">
    <w:name w:val="heading 1"/>
    <w:basedOn w:val="Normal"/>
    <w:next w:val="Normal"/>
    <w:link w:val="Heading1Char"/>
    <w:uiPriority w:val="98"/>
    <w:semiHidden/>
    <w:rsid w:val="0008276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8276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8276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8276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8276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8276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8276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8276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8276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082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76C"/>
  </w:style>
  <w:style w:type="paragraph" w:styleId="BalloonText">
    <w:name w:val="Balloon Text"/>
    <w:basedOn w:val="Normal"/>
    <w:link w:val="BalloonTextChar"/>
    <w:uiPriority w:val="98"/>
    <w:semiHidden/>
    <w:rsid w:val="0008276C"/>
    <w:rPr>
      <w:rFonts w:ascii="Tahoma" w:hAnsi="Tahoma" w:cs="Tahoma"/>
      <w:sz w:val="16"/>
      <w:szCs w:val="16"/>
    </w:rPr>
  </w:style>
  <w:style w:type="character" w:customStyle="1" w:styleId="BalloonTextChar">
    <w:name w:val="Balloon Text Char"/>
    <w:basedOn w:val="DefaultParagraphFont"/>
    <w:link w:val="BalloonText"/>
    <w:uiPriority w:val="98"/>
    <w:semiHidden/>
    <w:rsid w:val="0008276C"/>
    <w:rPr>
      <w:rFonts w:ascii="Tahoma" w:hAnsi="Tahoma" w:cs="Tahoma"/>
      <w:sz w:val="16"/>
      <w:szCs w:val="16"/>
      <w:lang w:val="en-GB"/>
    </w:rPr>
  </w:style>
  <w:style w:type="character" w:styleId="BookTitle">
    <w:name w:val="Book Title"/>
    <w:uiPriority w:val="98"/>
    <w:semiHidden/>
    <w:qFormat/>
    <w:rsid w:val="0008276C"/>
    <w:rPr>
      <w:i/>
      <w:iCs/>
      <w:smallCaps/>
      <w:spacing w:val="5"/>
    </w:rPr>
  </w:style>
  <w:style w:type="paragraph" w:customStyle="1" w:styleId="JuHeader">
    <w:name w:val="Ju_Header"/>
    <w:aliases w:val="_Header"/>
    <w:basedOn w:val="Header0"/>
    <w:uiPriority w:val="29"/>
    <w:qFormat/>
    <w:rsid w:val="0008276C"/>
    <w:pPr>
      <w:tabs>
        <w:tab w:val="clear" w:pos="4536"/>
        <w:tab w:val="clear" w:pos="9072"/>
      </w:tabs>
      <w:jc w:val="center"/>
    </w:pPr>
    <w:rPr>
      <w:sz w:val="18"/>
    </w:rPr>
  </w:style>
  <w:style w:type="paragraph" w:customStyle="1" w:styleId="DummyStyle">
    <w:name w:val="Dummy_Style"/>
    <w:aliases w:val="_Dummy"/>
    <w:basedOn w:val="Normal"/>
    <w:semiHidden/>
    <w:qFormat/>
    <w:rsid w:val="0008276C"/>
    <w:rPr>
      <w:color w:val="00B050"/>
      <w:sz w:val="22"/>
    </w:rPr>
  </w:style>
  <w:style w:type="character" w:styleId="Strong">
    <w:name w:val="Strong"/>
    <w:uiPriority w:val="98"/>
    <w:semiHidden/>
    <w:qFormat/>
    <w:rsid w:val="0008276C"/>
    <w:rPr>
      <w:b/>
      <w:bCs/>
    </w:rPr>
  </w:style>
  <w:style w:type="paragraph" w:styleId="NoSpacing">
    <w:name w:val="No Spacing"/>
    <w:basedOn w:val="Normal"/>
    <w:link w:val="NoSpacingChar"/>
    <w:uiPriority w:val="98"/>
    <w:semiHidden/>
    <w:qFormat/>
    <w:rsid w:val="0008276C"/>
  </w:style>
  <w:style w:type="character" w:customStyle="1" w:styleId="NoSpacingChar">
    <w:name w:val="No Spacing Char"/>
    <w:basedOn w:val="DefaultParagraphFont"/>
    <w:link w:val="NoSpacing"/>
    <w:uiPriority w:val="98"/>
    <w:semiHidden/>
    <w:rsid w:val="0008276C"/>
    <w:rPr>
      <w:sz w:val="24"/>
      <w:szCs w:val="24"/>
      <w:lang w:val="en-GB"/>
    </w:rPr>
  </w:style>
  <w:style w:type="paragraph" w:customStyle="1" w:styleId="JuQuot">
    <w:name w:val="Ju_Quot"/>
    <w:aliases w:val="_Quote"/>
    <w:basedOn w:val="NormalJustified"/>
    <w:uiPriority w:val="20"/>
    <w:qFormat/>
    <w:rsid w:val="0008276C"/>
    <w:pPr>
      <w:spacing w:before="120" w:after="120"/>
      <w:ind w:left="425" w:firstLine="142"/>
    </w:pPr>
    <w:rPr>
      <w:sz w:val="20"/>
    </w:rPr>
  </w:style>
  <w:style w:type="paragraph" w:customStyle="1" w:styleId="JuList">
    <w:name w:val="Ju_List"/>
    <w:aliases w:val="_List_1"/>
    <w:basedOn w:val="NormalJustified"/>
    <w:link w:val="JuListChar"/>
    <w:uiPriority w:val="23"/>
    <w:qFormat/>
    <w:rsid w:val="0008276C"/>
    <w:pPr>
      <w:numPr>
        <w:numId w:val="126"/>
      </w:numPr>
      <w:spacing w:before="280" w:after="60"/>
    </w:pPr>
  </w:style>
  <w:style w:type="paragraph" w:customStyle="1" w:styleId="JuListi">
    <w:name w:val="Ju_List_i"/>
    <w:aliases w:val="_List_3"/>
    <w:basedOn w:val="NormalJustified"/>
    <w:uiPriority w:val="23"/>
    <w:rsid w:val="0008276C"/>
    <w:pPr>
      <w:numPr>
        <w:ilvl w:val="2"/>
        <w:numId w:val="126"/>
      </w:numPr>
    </w:pPr>
  </w:style>
  <w:style w:type="paragraph" w:customStyle="1" w:styleId="JuTitle">
    <w:name w:val="Ju_Title"/>
    <w:aliases w:val="_Title_2"/>
    <w:basedOn w:val="Normal"/>
    <w:next w:val="JuPara"/>
    <w:uiPriority w:val="38"/>
    <w:qFormat/>
    <w:rsid w:val="0008276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08276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08276C"/>
    <w:pPr>
      <w:keepNext/>
      <w:spacing w:before="100" w:beforeAutospacing="1" w:after="120"/>
      <w:contextualSpacing/>
      <w:jc w:val="center"/>
    </w:pPr>
    <w:rPr>
      <w:b/>
      <w:sz w:val="20"/>
    </w:rPr>
  </w:style>
  <w:style w:type="numbering" w:customStyle="1" w:styleId="ECHRA1StyleBulletedSquare">
    <w:name w:val="ECHR_A1_Style_Bulleted_Square"/>
    <w:basedOn w:val="NoList"/>
    <w:rsid w:val="0008276C"/>
    <w:pPr>
      <w:numPr>
        <w:numId w:val="105"/>
      </w:numPr>
    </w:pPr>
  </w:style>
  <w:style w:type="numbering" w:customStyle="1" w:styleId="ECHRA1StyleList">
    <w:name w:val="ECHR_A1_Style_List"/>
    <w:basedOn w:val="NoList"/>
    <w:uiPriority w:val="99"/>
    <w:rsid w:val="0008276C"/>
    <w:pPr>
      <w:numPr>
        <w:numId w:val="106"/>
      </w:numPr>
    </w:pPr>
  </w:style>
  <w:style w:type="paragraph" w:customStyle="1" w:styleId="JuHHead">
    <w:name w:val="Ju_H_Head"/>
    <w:aliases w:val="_Head_1"/>
    <w:basedOn w:val="Heading1"/>
    <w:next w:val="JuPara"/>
    <w:uiPriority w:val="17"/>
    <w:qFormat/>
    <w:rsid w:val="0008276C"/>
    <w:pPr>
      <w:keepNext/>
      <w:keepLines/>
      <w:numPr>
        <w:numId w:val="123"/>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08276C"/>
    <w:pPr>
      <w:numPr>
        <w:numId w:val="107"/>
      </w:numPr>
    </w:pPr>
  </w:style>
  <w:style w:type="table" w:customStyle="1" w:styleId="ECHRTable2019">
    <w:name w:val="ECHR_Table_2019"/>
    <w:basedOn w:val="TableNormal"/>
    <w:uiPriority w:val="99"/>
    <w:rsid w:val="0008276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08276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8276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08276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8276C"/>
    <w:pPr>
      <w:tabs>
        <w:tab w:val="center" w:pos="6407"/>
      </w:tabs>
      <w:spacing w:before="720"/>
      <w:jc w:val="right"/>
    </w:pPr>
  </w:style>
  <w:style w:type="character" w:customStyle="1" w:styleId="JuITMark">
    <w:name w:val="Ju_ITMark"/>
    <w:aliases w:val="_ITMark"/>
    <w:basedOn w:val="DefaultParagraphFont"/>
    <w:uiPriority w:val="54"/>
    <w:semiHidden/>
    <w:qFormat/>
    <w:rsid w:val="0008276C"/>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08276C"/>
    <w:pPr>
      <w:keepNext/>
      <w:keepLines/>
      <w:numPr>
        <w:ilvl w:val="1"/>
        <w:numId w:val="1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8276C"/>
    <w:pPr>
      <w:keepNext/>
      <w:keepLines/>
      <w:numPr>
        <w:ilvl w:val="2"/>
        <w:numId w:val="1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8276C"/>
    <w:pPr>
      <w:keepNext/>
      <w:keepLines/>
      <w:numPr>
        <w:ilvl w:val="3"/>
        <w:numId w:val="123"/>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08276C"/>
    <w:pPr>
      <w:keepNext/>
      <w:keepLines/>
      <w:numPr>
        <w:ilvl w:val="4"/>
        <w:numId w:val="123"/>
      </w:numPr>
      <w:spacing w:before="100" w:beforeAutospacing="1" w:after="120"/>
      <w:jc w:val="both"/>
    </w:pPr>
    <w:rPr>
      <w:color w:val="auto"/>
      <w:sz w:val="20"/>
    </w:rPr>
  </w:style>
  <w:style w:type="paragraph" w:styleId="Header0">
    <w:name w:val="header"/>
    <w:basedOn w:val="Normal"/>
    <w:link w:val="HeaderChar"/>
    <w:uiPriority w:val="98"/>
    <w:semiHidden/>
    <w:rsid w:val="0008276C"/>
    <w:pPr>
      <w:tabs>
        <w:tab w:val="center" w:pos="4536"/>
        <w:tab w:val="right" w:pos="9072"/>
      </w:tabs>
    </w:pPr>
  </w:style>
  <w:style w:type="character" w:customStyle="1" w:styleId="HeaderChar">
    <w:name w:val="Header Char"/>
    <w:basedOn w:val="DefaultParagraphFont"/>
    <w:link w:val="Header0"/>
    <w:uiPriority w:val="98"/>
    <w:semiHidden/>
    <w:rsid w:val="0008276C"/>
    <w:rPr>
      <w:sz w:val="24"/>
      <w:szCs w:val="24"/>
      <w:lang w:val="en-GB"/>
    </w:rPr>
  </w:style>
  <w:style w:type="character" w:customStyle="1" w:styleId="Heading1Char">
    <w:name w:val="Heading 1 Char"/>
    <w:basedOn w:val="DefaultParagraphFont"/>
    <w:link w:val="Heading1"/>
    <w:uiPriority w:val="98"/>
    <w:semiHidden/>
    <w:rsid w:val="0008276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08276C"/>
    <w:pPr>
      <w:keepNext/>
      <w:keepLines/>
      <w:numPr>
        <w:ilvl w:val="5"/>
        <w:numId w:val="123"/>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08276C"/>
    <w:pPr>
      <w:keepNext/>
      <w:keepLines/>
      <w:numPr>
        <w:ilvl w:val="6"/>
        <w:numId w:val="123"/>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08276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08276C"/>
    <w:pPr>
      <w:keepNext/>
      <w:keepLines/>
      <w:numPr>
        <w:ilvl w:val="7"/>
        <w:numId w:val="123"/>
      </w:numPr>
      <w:spacing w:before="100" w:beforeAutospacing="1" w:after="120"/>
      <w:jc w:val="both"/>
    </w:pPr>
    <w:rPr>
      <w:i/>
    </w:rPr>
  </w:style>
  <w:style w:type="character" w:customStyle="1" w:styleId="JUNAMES">
    <w:name w:val="JU_NAMES"/>
    <w:aliases w:val="_Ju_Names"/>
    <w:uiPriority w:val="33"/>
    <w:qFormat/>
    <w:rsid w:val="0008276C"/>
    <w:rPr>
      <w:caps w:val="0"/>
      <w:smallCaps/>
    </w:rPr>
  </w:style>
  <w:style w:type="character" w:customStyle="1" w:styleId="Heading3Char">
    <w:name w:val="Heading 3 Char"/>
    <w:basedOn w:val="DefaultParagraphFont"/>
    <w:link w:val="Heading3"/>
    <w:uiPriority w:val="98"/>
    <w:semiHidden/>
    <w:rsid w:val="0008276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08276C"/>
    <w:pPr>
      <w:numPr>
        <w:ilvl w:val="1"/>
        <w:numId w:val="126"/>
      </w:numPr>
    </w:pPr>
  </w:style>
  <w:style w:type="paragraph" w:customStyle="1" w:styleId="NormalJustified">
    <w:name w:val="Normal_Justified"/>
    <w:basedOn w:val="Normal"/>
    <w:semiHidden/>
    <w:rsid w:val="0008276C"/>
    <w:pPr>
      <w:jc w:val="both"/>
    </w:pPr>
  </w:style>
  <w:style w:type="character" w:customStyle="1" w:styleId="Heading4Char">
    <w:name w:val="Heading 4 Char"/>
    <w:basedOn w:val="DefaultParagraphFont"/>
    <w:link w:val="Heading4"/>
    <w:uiPriority w:val="98"/>
    <w:semiHidden/>
    <w:rsid w:val="0008276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08276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08276C"/>
    <w:rPr>
      <w:i/>
      <w:iCs/>
    </w:rPr>
  </w:style>
  <w:style w:type="table" w:customStyle="1" w:styleId="ECHRTable">
    <w:name w:val="ECHR_Table"/>
    <w:basedOn w:val="TableNormal"/>
    <w:rsid w:val="0008276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827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08276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8276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08276C"/>
    <w:pPr>
      <w:keepNext/>
      <w:keepLines/>
      <w:spacing w:after="280"/>
      <w:ind w:firstLine="0"/>
      <w:jc w:val="center"/>
    </w:pPr>
    <w:rPr>
      <w:rFonts w:asciiTheme="majorHAnsi" w:hAnsiTheme="majorHAnsi"/>
    </w:rPr>
  </w:style>
  <w:style w:type="character" w:styleId="Emphasis">
    <w:name w:val="Emphasis"/>
    <w:uiPriority w:val="98"/>
    <w:semiHidden/>
    <w:qFormat/>
    <w:rsid w:val="0008276C"/>
    <w:rPr>
      <w:b/>
      <w:bCs/>
      <w:i/>
      <w:iCs/>
      <w:spacing w:val="10"/>
      <w:bdr w:val="none" w:sz="0" w:space="0" w:color="auto"/>
      <w:shd w:val="clear" w:color="auto" w:fill="auto"/>
    </w:rPr>
  </w:style>
  <w:style w:type="paragraph" w:styleId="Footer1">
    <w:name w:val="footer"/>
    <w:basedOn w:val="Normal"/>
    <w:link w:val="FooterChar"/>
    <w:uiPriority w:val="98"/>
    <w:semiHidden/>
    <w:rsid w:val="0008276C"/>
    <w:pPr>
      <w:tabs>
        <w:tab w:val="center" w:pos="3686"/>
        <w:tab w:val="right" w:pos="7371"/>
      </w:tabs>
    </w:pPr>
  </w:style>
  <w:style w:type="character" w:customStyle="1" w:styleId="FooterChar">
    <w:name w:val="Footer Char"/>
    <w:basedOn w:val="DefaultParagraphFont"/>
    <w:link w:val="Footer1"/>
    <w:uiPriority w:val="98"/>
    <w:semiHidden/>
    <w:rsid w:val="0008276C"/>
    <w:rPr>
      <w:sz w:val="24"/>
      <w:szCs w:val="24"/>
      <w:lang w:val="en-GB"/>
    </w:rPr>
  </w:style>
  <w:style w:type="character" w:styleId="FootnoteReference">
    <w:name w:val="footnote reference"/>
    <w:basedOn w:val="DefaultParagraphFont"/>
    <w:uiPriority w:val="98"/>
    <w:semiHidden/>
    <w:rsid w:val="0008276C"/>
    <w:rPr>
      <w:vertAlign w:val="superscript"/>
    </w:rPr>
  </w:style>
  <w:style w:type="paragraph" w:styleId="FootnoteText">
    <w:name w:val="footnote text"/>
    <w:basedOn w:val="NormalJustified"/>
    <w:link w:val="FootnoteTextChar"/>
    <w:uiPriority w:val="98"/>
    <w:semiHidden/>
    <w:rsid w:val="0008276C"/>
    <w:rPr>
      <w:sz w:val="20"/>
      <w:szCs w:val="20"/>
    </w:rPr>
  </w:style>
  <w:style w:type="character" w:customStyle="1" w:styleId="FootnoteTextChar">
    <w:name w:val="Footnote Text Char"/>
    <w:basedOn w:val="DefaultParagraphFont"/>
    <w:link w:val="FootnoteText"/>
    <w:uiPriority w:val="98"/>
    <w:semiHidden/>
    <w:rsid w:val="0008276C"/>
    <w:rPr>
      <w:sz w:val="20"/>
      <w:szCs w:val="20"/>
      <w:lang w:val="en-GB"/>
    </w:rPr>
  </w:style>
  <w:style w:type="character" w:customStyle="1" w:styleId="Heading6Char">
    <w:name w:val="Heading 6 Char"/>
    <w:basedOn w:val="DefaultParagraphFont"/>
    <w:link w:val="Heading6"/>
    <w:uiPriority w:val="98"/>
    <w:semiHidden/>
    <w:rsid w:val="0008276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8276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8276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8276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08276C"/>
    <w:rPr>
      <w:b/>
      <w:bCs/>
    </w:rPr>
  </w:style>
  <w:style w:type="paragraph" w:styleId="IntenseQuote">
    <w:name w:val="Intense Quote"/>
    <w:basedOn w:val="Normal"/>
    <w:next w:val="Normal"/>
    <w:link w:val="IntenseQuoteChar"/>
    <w:uiPriority w:val="98"/>
    <w:semiHidden/>
    <w:qFormat/>
    <w:rsid w:val="0008276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8276C"/>
    <w:rPr>
      <w:b/>
      <w:bCs/>
      <w:i/>
      <w:iCs/>
      <w:sz w:val="24"/>
      <w:szCs w:val="24"/>
      <w:lang w:val="en-GB" w:bidi="en-US"/>
    </w:rPr>
  </w:style>
  <w:style w:type="character" w:styleId="IntenseReference">
    <w:name w:val="Intense Reference"/>
    <w:uiPriority w:val="98"/>
    <w:semiHidden/>
    <w:qFormat/>
    <w:rsid w:val="0008276C"/>
    <w:rPr>
      <w:smallCaps/>
      <w:spacing w:val="5"/>
      <w:u w:val="single"/>
    </w:rPr>
  </w:style>
  <w:style w:type="paragraph" w:styleId="ListParagraph">
    <w:name w:val="List Paragraph"/>
    <w:basedOn w:val="Normal"/>
    <w:uiPriority w:val="98"/>
    <w:semiHidden/>
    <w:qFormat/>
    <w:rsid w:val="0008276C"/>
    <w:pPr>
      <w:ind w:left="720"/>
      <w:contextualSpacing/>
    </w:pPr>
  </w:style>
  <w:style w:type="table" w:customStyle="1" w:styleId="LtrTableAddress">
    <w:name w:val="Ltr_Table_Address"/>
    <w:aliases w:val="ECHR_Ltr_Table_Address"/>
    <w:basedOn w:val="TableNormal"/>
    <w:uiPriority w:val="99"/>
    <w:rsid w:val="0008276C"/>
    <w:rPr>
      <w:sz w:val="24"/>
      <w:szCs w:val="24"/>
    </w:rPr>
    <w:tblPr>
      <w:tblInd w:w="5103" w:type="dxa"/>
    </w:tblPr>
  </w:style>
  <w:style w:type="paragraph" w:styleId="Quote0">
    <w:name w:val="Quote"/>
    <w:basedOn w:val="Normal"/>
    <w:next w:val="Normal"/>
    <w:link w:val="QuoteChar"/>
    <w:uiPriority w:val="98"/>
    <w:semiHidden/>
    <w:qFormat/>
    <w:rsid w:val="0008276C"/>
    <w:pPr>
      <w:spacing w:before="200"/>
      <w:ind w:left="360" w:right="360"/>
    </w:pPr>
    <w:rPr>
      <w:i/>
      <w:iCs/>
      <w:lang w:bidi="en-US"/>
    </w:rPr>
  </w:style>
  <w:style w:type="character" w:customStyle="1" w:styleId="QuoteChar">
    <w:name w:val="Quote Char"/>
    <w:basedOn w:val="DefaultParagraphFont"/>
    <w:link w:val="Quote0"/>
    <w:uiPriority w:val="98"/>
    <w:semiHidden/>
    <w:rsid w:val="0008276C"/>
    <w:rPr>
      <w:i/>
      <w:iCs/>
      <w:sz w:val="24"/>
      <w:szCs w:val="24"/>
      <w:lang w:val="en-GB" w:bidi="en-US"/>
    </w:rPr>
  </w:style>
  <w:style w:type="character" w:styleId="SubtleReference">
    <w:name w:val="Subtle Reference"/>
    <w:uiPriority w:val="98"/>
    <w:semiHidden/>
    <w:qFormat/>
    <w:rsid w:val="0008276C"/>
    <w:rPr>
      <w:smallCaps/>
    </w:rPr>
  </w:style>
  <w:style w:type="table" w:styleId="TableGrid">
    <w:name w:val="Table Grid"/>
    <w:basedOn w:val="TableNormal"/>
    <w:uiPriority w:val="59"/>
    <w:semiHidden/>
    <w:rsid w:val="0008276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8276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8276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8276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8276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8276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8276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8276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8276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8276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8276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8276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8276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8276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08276C"/>
    <w:pPr>
      <w:numPr>
        <w:numId w:val="92"/>
      </w:numPr>
    </w:pPr>
  </w:style>
  <w:style w:type="numbering" w:styleId="1ai">
    <w:name w:val="Outline List 1"/>
    <w:basedOn w:val="NoList"/>
    <w:uiPriority w:val="99"/>
    <w:semiHidden/>
    <w:unhideWhenUsed/>
    <w:rsid w:val="0008276C"/>
    <w:pPr>
      <w:numPr>
        <w:numId w:val="93"/>
      </w:numPr>
    </w:pPr>
  </w:style>
  <w:style w:type="paragraph" w:styleId="Bibliography">
    <w:name w:val="Bibliography"/>
    <w:basedOn w:val="Normal"/>
    <w:next w:val="Normal"/>
    <w:uiPriority w:val="98"/>
    <w:semiHidden/>
    <w:rsid w:val="0008276C"/>
  </w:style>
  <w:style w:type="paragraph" w:customStyle="1" w:styleId="JuPara">
    <w:name w:val="Ju_Para"/>
    <w:aliases w:val="_Para"/>
    <w:basedOn w:val="NormalJustified"/>
    <w:link w:val="JuParaChar"/>
    <w:uiPriority w:val="4"/>
    <w:qFormat/>
    <w:rsid w:val="0008276C"/>
    <w:pPr>
      <w:ind w:firstLine="284"/>
    </w:pPr>
  </w:style>
  <w:style w:type="paragraph" w:styleId="BlockText">
    <w:name w:val="Block Text"/>
    <w:basedOn w:val="Normal"/>
    <w:uiPriority w:val="98"/>
    <w:semiHidden/>
    <w:rsid w:val="0008276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08276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8276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08276C"/>
    <w:pPr>
      <w:spacing w:after="120"/>
    </w:pPr>
  </w:style>
  <w:style w:type="table" w:customStyle="1" w:styleId="ECHRTableForInternalUse">
    <w:name w:val="ECHR_Table_For_Internal_Use"/>
    <w:basedOn w:val="TableNormal"/>
    <w:uiPriority w:val="99"/>
    <w:rsid w:val="0008276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8276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08276C"/>
    <w:rPr>
      <w:sz w:val="24"/>
      <w:szCs w:val="24"/>
      <w:lang w:val="en-GB"/>
    </w:rPr>
  </w:style>
  <w:style w:type="paragraph" w:styleId="BodyText2">
    <w:name w:val="Body Text 2"/>
    <w:basedOn w:val="Normal"/>
    <w:link w:val="BodyText2Char"/>
    <w:uiPriority w:val="98"/>
    <w:semiHidden/>
    <w:rsid w:val="0008276C"/>
    <w:pPr>
      <w:spacing w:after="120" w:line="480" w:lineRule="auto"/>
    </w:pPr>
  </w:style>
  <w:style w:type="table" w:customStyle="1" w:styleId="ECHRHeaderTable">
    <w:name w:val="ECHR_Header_Table"/>
    <w:basedOn w:val="TableNormal"/>
    <w:uiPriority w:val="99"/>
    <w:rsid w:val="0008276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08276C"/>
    <w:rPr>
      <w:sz w:val="24"/>
      <w:szCs w:val="24"/>
      <w:lang w:val="en-GB"/>
    </w:rPr>
  </w:style>
  <w:style w:type="paragraph" w:styleId="BodyText3">
    <w:name w:val="Body Text 3"/>
    <w:basedOn w:val="Normal"/>
    <w:link w:val="BodyText3Char"/>
    <w:uiPriority w:val="98"/>
    <w:semiHidden/>
    <w:rsid w:val="0008276C"/>
    <w:pPr>
      <w:spacing w:after="120"/>
    </w:pPr>
    <w:rPr>
      <w:sz w:val="16"/>
      <w:szCs w:val="16"/>
    </w:rPr>
  </w:style>
  <w:style w:type="table" w:customStyle="1" w:styleId="ECHRTableOddBanded">
    <w:name w:val="ECHR_Table_Odd_Banded"/>
    <w:basedOn w:val="TableNormal"/>
    <w:uiPriority w:val="99"/>
    <w:rsid w:val="0008276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08276C"/>
    <w:pPr>
      <w:tabs>
        <w:tab w:val="left" w:pos="567"/>
        <w:tab w:val="left" w:pos="1134"/>
      </w:tabs>
    </w:pPr>
  </w:style>
  <w:style w:type="table" w:customStyle="1" w:styleId="ECHRHeaderTableReduced">
    <w:name w:val="ECHR_Header_Table_Reduced"/>
    <w:basedOn w:val="TableNormal"/>
    <w:uiPriority w:val="99"/>
    <w:rsid w:val="0008276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08276C"/>
    <w:rPr>
      <w:sz w:val="16"/>
      <w:szCs w:val="16"/>
      <w:lang w:val="en-GB"/>
    </w:rPr>
  </w:style>
  <w:style w:type="paragraph" w:styleId="BodyTextFirstIndent">
    <w:name w:val="Body Text First Indent"/>
    <w:basedOn w:val="BodyText"/>
    <w:link w:val="BodyTextFirstIndentChar"/>
    <w:uiPriority w:val="98"/>
    <w:semiHidden/>
    <w:rsid w:val="0008276C"/>
    <w:pPr>
      <w:spacing w:after="0"/>
      <w:ind w:firstLine="360"/>
    </w:pPr>
  </w:style>
  <w:style w:type="character" w:customStyle="1" w:styleId="BodyTextFirstIndentChar">
    <w:name w:val="Body Text First Indent Char"/>
    <w:basedOn w:val="BodyTextChar"/>
    <w:link w:val="BodyTextFirstIndent"/>
    <w:uiPriority w:val="98"/>
    <w:semiHidden/>
    <w:rsid w:val="0008276C"/>
    <w:rPr>
      <w:sz w:val="24"/>
      <w:szCs w:val="24"/>
      <w:lang w:val="en-GB"/>
    </w:rPr>
  </w:style>
  <w:style w:type="character" w:styleId="PlaceholderText">
    <w:name w:val="Placeholder Text"/>
    <w:basedOn w:val="DefaultParagraphFont"/>
    <w:uiPriority w:val="98"/>
    <w:semiHidden/>
    <w:rsid w:val="0008276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08276C"/>
    <w:pPr>
      <w:tabs>
        <w:tab w:val="center" w:pos="1418"/>
        <w:tab w:val="center" w:pos="5954"/>
      </w:tabs>
      <w:spacing w:before="720"/>
    </w:pPr>
  </w:style>
  <w:style w:type="character" w:styleId="PageNumber">
    <w:name w:val="page number"/>
    <w:uiPriority w:val="98"/>
    <w:semiHidden/>
    <w:rsid w:val="0008276C"/>
    <w:rPr>
      <w:sz w:val="18"/>
    </w:rPr>
  </w:style>
  <w:style w:type="character" w:styleId="CommentReference">
    <w:name w:val="annotation reference"/>
    <w:basedOn w:val="DefaultParagraphFont"/>
    <w:uiPriority w:val="98"/>
    <w:semiHidden/>
    <w:rsid w:val="0008276C"/>
    <w:rPr>
      <w:sz w:val="16"/>
      <w:szCs w:val="16"/>
    </w:rPr>
  </w:style>
  <w:style w:type="paragraph" w:styleId="CommentText">
    <w:name w:val="annotation text"/>
    <w:basedOn w:val="Normal"/>
    <w:link w:val="CommentTextChar"/>
    <w:uiPriority w:val="98"/>
    <w:semiHidden/>
    <w:rsid w:val="0008276C"/>
    <w:rPr>
      <w:sz w:val="20"/>
      <w:szCs w:val="20"/>
    </w:rPr>
  </w:style>
  <w:style w:type="character" w:customStyle="1" w:styleId="CommentTextChar">
    <w:name w:val="Comment Text Char"/>
    <w:basedOn w:val="DefaultParagraphFont"/>
    <w:link w:val="CommentText"/>
    <w:uiPriority w:val="98"/>
    <w:semiHidden/>
    <w:rsid w:val="0008276C"/>
    <w:rPr>
      <w:sz w:val="20"/>
      <w:szCs w:val="20"/>
      <w:lang w:val="en-GB"/>
    </w:rPr>
  </w:style>
  <w:style w:type="paragraph" w:customStyle="1" w:styleId="DecHTitle">
    <w:name w:val="Dec_H_Title"/>
    <w:aliases w:val="_Title_1"/>
    <w:basedOn w:val="JuPara"/>
    <w:next w:val="JuPara"/>
    <w:uiPriority w:val="38"/>
    <w:qFormat/>
    <w:rsid w:val="0008276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08276C"/>
    <w:pPr>
      <w:keepNext/>
      <w:keepLines/>
      <w:spacing w:before="240" w:after="240"/>
      <w:ind w:firstLine="284"/>
    </w:pPr>
  </w:style>
  <w:style w:type="numbering" w:styleId="ArticleSection">
    <w:name w:val="Outline List 3"/>
    <w:basedOn w:val="NoList"/>
    <w:uiPriority w:val="99"/>
    <w:semiHidden/>
    <w:unhideWhenUsed/>
    <w:rsid w:val="0008276C"/>
    <w:pPr>
      <w:numPr>
        <w:numId w:val="94"/>
      </w:numPr>
    </w:pPr>
  </w:style>
  <w:style w:type="paragraph" w:styleId="ListBullet">
    <w:name w:val="List Bullet"/>
    <w:basedOn w:val="Normal"/>
    <w:uiPriority w:val="98"/>
    <w:semiHidden/>
    <w:rsid w:val="0008276C"/>
    <w:pPr>
      <w:numPr>
        <w:numId w:val="9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08276C"/>
    <w:pPr>
      <w:ind w:firstLine="284"/>
    </w:pPr>
    <w:rPr>
      <w:b/>
    </w:rPr>
  </w:style>
  <w:style w:type="paragraph" w:styleId="BodyTextIndent">
    <w:name w:val="Body Text Indent"/>
    <w:basedOn w:val="Normal"/>
    <w:link w:val="BodyTextIndentChar"/>
    <w:uiPriority w:val="98"/>
    <w:semiHidden/>
    <w:rsid w:val="0008276C"/>
    <w:pPr>
      <w:spacing w:after="120"/>
      <w:ind w:left="283"/>
    </w:pPr>
  </w:style>
  <w:style w:type="character" w:customStyle="1" w:styleId="BodyTextIndentChar">
    <w:name w:val="Body Text Indent Char"/>
    <w:basedOn w:val="DefaultParagraphFont"/>
    <w:link w:val="BodyTextIndent"/>
    <w:uiPriority w:val="98"/>
    <w:semiHidden/>
    <w:rsid w:val="0008276C"/>
    <w:rPr>
      <w:sz w:val="24"/>
      <w:szCs w:val="24"/>
      <w:lang w:val="en-GB"/>
    </w:rPr>
  </w:style>
  <w:style w:type="paragraph" w:styleId="BodyTextFirstIndent2">
    <w:name w:val="Body Text First Indent 2"/>
    <w:basedOn w:val="BodyTextIndent"/>
    <w:link w:val="BodyTextFirstIndent2Char"/>
    <w:uiPriority w:val="98"/>
    <w:semiHidden/>
    <w:rsid w:val="0008276C"/>
    <w:pPr>
      <w:spacing w:after="0"/>
      <w:ind w:left="360" w:firstLine="360"/>
    </w:pPr>
  </w:style>
  <w:style w:type="character" w:customStyle="1" w:styleId="BodyTextFirstIndent2Char">
    <w:name w:val="Body Text First Indent 2 Char"/>
    <w:basedOn w:val="BodyTextIndentChar"/>
    <w:link w:val="BodyTextFirstIndent2"/>
    <w:uiPriority w:val="98"/>
    <w:semiHidden/>
    <w:rsid w:val="0008276C"/>
    <w:rPr>
      <w:sz w:val="24"/>
      <w:szCs w:val="24"/>
      <w:lang w:val="en-GB"/>
    </w:rPr>
  </w:style>
  <w:style w:type="paragraph" w:styleId="BodyTextIndent2">
    <w:name w:val="Body Text Indent 2"/>
    <w:basedOn w:val="Normal"/>
    <w:link w:val="BodyTextIndent2Char"/>
    <w:uiPriority w:val="98"/>
    <w:semiHidden/>
    <w:rsid w:val="0008276C"/>
    <w:pPr>
      <w:spacing w:after="120" w:line="480" w:lineRule="auto"/>
      <w:ind w:left="283"/>
    </w:pPr>
  </w:style>
  <w:style w:type="character" w:customStyle="1" w:styleId="BodyTextIndent2Char">
    <w:name w:val="Body Text Indent 2 Char"/>
    <w:basedOn w:val="DefaultParagraphFont"/>
    <w:link w:val="BodyTextIndent2"/>
    <w:uiPriority w:val="98"/>
    <w:semiHidden/>
    <w:rsid w:val="0008276C"/>
    <w:rPr>
      <w:sz w:val="24"/>
      <w:szCs w:val="24"/>
      <w:lang w:val="en-GB"/>
    </w:rPr>
  </w:style>
  <w:style w:type="paragraph" w:styleId="BodyTextIndent3">
    <w:name w:val="Body Text Indent 3"/>
    <w:basedOn w:val="Normal"/>
    <w:link w:val="BodyTextIndent3Char"/>
    <w:uiPriority w:val="98"/>
    <w:semiHidden/>
    <w:rsid w:val="0008276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8276C"/>
    <w:rPr>
      <w:sz w:val="16"/>
      <w:szCs w:val="16"/>
      <w:lang w:val="en-GB"/>
    </w:rPr>
  </w:style>
  <w:style w:type="paragraph" w:styleId="Caption">
    <w:name w:val="caption"/>
    <w:basedOn w:val="Normal"/>
    <w:next w:val="Normal"/>
    <w:uiPriority w:val="98"/>
    <w:semiHidden/>
    <w:qFormat/>
    <w:rsid w:val="0008276C"/>
    <w:pPr>
      <w:spacing w:after="200"/>
    </w:pPr>
    <w:rPr>
      <w:b/>
      <w:bCs/>
      <w:color w:val="0072BC" w:themeColor="accent1"/>
      <w:sz w:val="18"/>
      <w:szCs w:val="18"/>
    </w:rPr>
  </w:style>
  <w:style w:type="paragraph" w:styleId="Closing">
    <w:name w:val="Closing"/>
    <w:basedOn w:val="Normal"/>
    <w:link w:val="ClosingChar"/>
    <w:uiPriority w:val="98"/>
    <w:semiHidden/>
    <w:rsid w:val="0008276C"/>
    <w:pPr>
      <w:ind w:left="4252"/>
    </w:pPr>
  </w:style>
  <w:style w:type="character" w:customStyle="1" w:styleId="ClosingChar">
    <w:name w:val="Closing Char"/>
    <w:basedOn w:val="DefaultParagraphFont"/>
    <w:link w:val="Closing"/>
    <w:uiPriority w:val="98"/>
    <w:semiHidden/>
    <w:rsid w:val="0008276C"/>
    <w:rPr>
      <w:sz w:val="24"/>
      <w:szCs w:val="24"/>
      <w:lang w:val="en-GB"/>
    </w:rPr>
  </w:style>
  <w:style w:type="table" w:styleId="ColorfulGrid">
    <w:name w:val="Colorful Grid"/>
    <w:basedOn w:val="TableNormal"/>
    <w:uiPriority w:val="73"/>
    <w:semiHidden/>
    <w:rsid w:val="0008276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8276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8276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8276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8276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8276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8276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8276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8276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8276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8276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8276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8276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8276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8276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8276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8276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8276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8276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8276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8276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08276C"/>
    <w:rPr>
      <w:b/>
      <w:bCs/>
    </w:rPr>
  </w:style>
  <w:style w:type="character" w:customStyle="1" w:styleId="CommentSubjectChar">
    <w:name w:val="Comment Subject Char"/>
    <w:basedOn w:val="CommentTextChar"/>
    <w:link w:val="CommentSubject"/>
    <w:uiPriority w:val="98"/>
    <w:semiHidden/>
    <w:rsid w:val="0008276C"/>
    <w:rPr>
      <w:b/>
      <w:bCs/>
      <w:sz w:val="20"/>
      <w:szCs w:val="20"/>
      <w:lang w:val="en-GB"/>
    </w:rPr>
  </w:style>
  <w:style w:type="table" w:styleId="DarkList">
    <w:name w:val="Dark List"/>
    <w:basedOn w:val="TableNormal"/>
    <w:uiPriority w:val="70"/>
    <w:semiHidden/>
    <w:rsid w:val="0008276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8276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8276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8276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8276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8276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8276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8276C"/>
  </w:style>
  <w:style w:type="character" w:customStyle="1" w:styleId="DateChar">
    <w:name w:val="Date Char"/>
    <w:basedOn w:val="DefaultParagraphFont"/>
    <w:link w:val="Date"/>
    <w:uiPriority w:val="98"/>
    <w:semiHidden/>
    <w:rsid w:val="0008276C"/>
    <w:rPr>
      <w:sz w:val="24"/>
      <w:szCs w:val="24"/>
      <w:lang w:val="en-GB"/>
    </w:rPr>
  </w:style>
  <w:style w:type="paragraph" w:styleId="DocumentMap">
    <w:name w:val="Document Map"/>
    <w:basedOn w:val="Normal"/>
    <w:link w:val="DocumentMapChar"/>
    <w:uiPriority w:val="98"/>
    <w:semiHidden/>
    <w:rsid w:val="0008276C"/>
    <w:rPr>
      <w:rFonts w:ascii="Tahoma" w:hAnsi="Tahoma" w:cs="Tahoma"/>
      <w:sz w:val="16"/>
      <w:szCs w:val="16"/>
    </w:rPr>
  </w:style>
  <w:style w:type="character" w:customStyle="1" w:styleId="DocumentMapChar">
    <w:name w:val="Document Map Char"/>
    <w:basedOn w:val="DefaultParagraphFont"/>
    <w:link w:val="DocumentMap"/>
    <w:uiPriority w:val="98"/>
    <w:semiHidden/>
    <w:rsid w:val="0008276C"/>
    <w:rPr>
      <w:rFonts w:ascii="Tahoma" w:hAnsi="Tahoma" w:cs="Tahoma"/>
      <w:sz w:val="16"/>
      <w:szCs w:val="16"/>
      <w:lang w:val="en-GB"/>
    </w:rPr>
  </w:style>
  <w:style w:type="paragraph" w:styleId="E-mailSignature">
    <w:name w:val="E-mail Signature"/>
    <w:basedOn w:val="Normal"/>
    <w:link w:val="E-mailSignatureChar"/>
    <w:uiPriority w:val="98"/>
    <w:semiHidden/>
    <w:rsid w:val="0008276C"/>
  </w:style>
  <w:style w:type="character" w:customStyle="1" w:styleId="E-mailSignatureChar">
    <w:name w:val="E-mail Signature Char"/>
    <w:basedOn w:val="DefaultParagraphFont"/>
    <w:link w:val="E-mailSignature"/>
    <w:uiPriority w:val="98"/>
    <w:semiHidden/>
    <w:rsid w:val="0008276C"/>
    <w:rPr>
      <w:sz w:val="24"/>
      <w:szCs w:val="24"/>
      <w:lang w:val="en-GB"/>
    </w:rPr>
  </w:style>
  <w:style w:type="character" w:styleId="EndnoteReference">
    <w:name w:val="endnote reference"/>
    <w:basedOn w:val="DefaultParagraphFont"/>
    <w:uiPriority w:val="98"/>
    <w:semiHidden/>
    <w:rsid w:val="0008276C"/>
    <w:rPr>
      <w:vertAlign w:val="superscript"/>
    </w:rPr>
  </w:style>
  <w:style w:type="paragraph" w:styleId="EndnoteText">
    <w:name w:val="endnote text"/>
    <w:basedOn w:val="Normal"/>
    <w:link w:val="EndnoteTextChar"/>
    <w:uiPriority w:val="98"/>
    <w:semiHidden/>
    <w:rsid w:val="0008276C"/>
    <w:rPr>
      <w:sz w:val="20"/>
      <w:szCs w:val="20"/>
    </w:rPr>
  </w:style>
  <w:style w:type="character" w:customStyle="1" w:styleId="EndnoteTextChar">
    <w:name w:val="Endnote Text Char"/>
    <w:basedOn w:val="DefaultParagraphFont"/>
    <w:link w:val="EndnoteText"/>
    <w:uiPriority w:val="98"/>
    <w:semiHidden/>
    <w:rsid w:val="0008276C"/>
    <w:rPr>
      <w:sz w:val="20"/>
      <w:szCs w:val="20"/>
      <w:lang w:val="en-GB"/>
    </w:rPr>
  </w:style>
  <w:style w:type="paragraph" w:styleId="EnvelopeAddress">
    <w:name w:val="envelope address"/>
    <w:basedOn w:val="Normal"/>
    <w:uiPriority w:val="98"/>
    <w:semiHidden/>
    <w:rsid w:val="0008276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8276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8276C"/>
    <w:rPr>
      <w:color w:val="7030A0" w:themeColor="followedHyperlink"/>
      <w:u w:val="single"/>
    </w:rPr>
  </w:style>
  <w:style w:type="character" w:styleId="HTMLAcronym">
    <w:name w:val="HTML Acronym"/>
    <w:basedOn w:val="DefaultParagraphFont"/>
    <w:uiPriority w:val="98"/>
    <w:semiHidden/>
    <w:rsid w:val="0008276C"/>
  </w:style>
  <w:style w:type="paragraph" w:styleId="HTMLAddress">
    <w:name w:val="HTML Address"/>
    <w:basedOn w:val="Normal"/>
    <w:link w:val="HTMLAddressChar"/>
    <w:uiPriority w:val="98"/>
    <w:semiHidden/>
    <w:rsid w:val="0008276C"/>
    <w:rPr>
      <w:i/>
      <w:iCs/>
    </w:rPr>
  </w:style>
  <w:style w:type="character" w:customStyle="1" w:styleId="HTMLAddressChar">
    <w:name w:val="HTML Address Char"/>
    <w:basedOn w:val="DefaultParagraphFont"/>
    <w:link w:val="HTMLAddress"/>
    <w:uiPriority w:val="98"/>
    <w:semiHidden/>
    <w:rsid w:val="0008276C"/>
    <w:rPr>
      <w:i/>
      <w:iCs/>
      <w:sz w:val="24"/>
      <w:szCs w:val="24"/>
      <w:lang w:val="en-GB"/>
    </w:rPr>
  </w:style>
  <w:style w:type="character" w:styleId="HTMLCite">
    <w:name w:val="HTML Cite"/>
    <w:basedOn w:val="DefaultParagraphFont"/>
    <w:uiPriority w:val="98"/>
    <w:semiHidden/>
    <w:rsid w:val="0008276C"/>
    <w:rPr>
      <w:i/>
      <w:iCs/>
    </w:rPr>
  </w:style>
  <w:style w:type="character" w:styleId="HTMLCode">
    <w:name w:val="HTML Code"/>
    <w:basedOn w:val="DefaultParagraphFont"/>
    <w:uiPriority w:val="98"/>
    <w:semiHidden/>
    <w:rsid w:val="0008276C"/>
    <w:rPr>
      <w:rFonts w:ascii="Consolas" w:hAnsi="Consolas" w:cs="Consolas"/>
      <w:sz w:val="20"/>
      <w:szCs w:val="20"/>
    </w:rPr>
  </w:style>
  <w:style w:type="character" w:styleId="HTMLDefinition">
    <w:name w:val="HTML Definition"/>
    <w:basedOn w:val="DefaultParagraphFont"/>
    <w:uiPriority w:val="98"/>
    <w:semiHidden/>
    <w:rsid w:val="0008276C"/>
    <w:rPr>
      <w:i/>
      <w:iCs/>
    </w:rPr>
  </w:style>
  <w:style w:type="character" w:styleId="HTMLKeyboard">
    <w:name w:val="HTML Keyboard"/>
    <w:basedOn w:val="DefaultParagraphFont"/>
    <w:uiPriority w:val="98"/>
    <w:semiHidden/>
    <w:rsid w:val="0008276C"/>
    <w:rPr>
      <w:rFonts w:ascii="Consolas" w:hAnsi="Consolas" w:cs="Consolas"/>
      <w:sz w:val="20"/>
      <w:szCs w:val="20"/>
    </w:rPr>
  </w:style>
  <w:style w:type="paragraph" w:styleId="HTMLPreformatted">
    <w:name w:val="HTML Preformatted"/>
    <w:basedOn w:val="Normal"/>
    <w:link w:val="HTMLPreformattedChar"/>
    <w:uiPriority w:val="98"/>
    <w:semiHidden/>
    <w:rsid w:val="0008276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8276C"/>
    <w:rPr>
      <w:rFonts w:ascii="Consolas" w:hAnsi="Consolas" w:cs="Consolas"/>
      <w:sz w:val="20"/>
      <w:szCs w:val="20"/>
      <w:lang w:val="en-GB"/>
    </w:rPr>
  </w:style>
  <w:style w:type="character" w:styleId="HTMLSample">
    <w:name w:val="HTML Sample"/>
    <w:basedOn w:val="DefaultParagraphFont"/>
    <w:uiPriority w:val="98"/>
    <w:semiHidden/>
    <w:rsid w:val="0008276C"/>
    <w:rPr>
      <w:rFonts w:ascii="Consolas" w:hAnsi="Consolas" w:cs="Consolas"/>
      <w:sz w:val="24"/>
      <w:szCs w:val="24"/>
    </w:rPr>
  </w:style>
  <w:style w:type="character" w:styleId="HTMLTypewriter">
    <w:name w:val="HTML Typewriter"/>
    <w:basedOn w:val="DefaultParagraphFont"/>
    <w:uiPriority w:val="98"/>
    <w:semiHidden/>
    <w:rsid w:val="0008276C"/>
    <w:rPr>
      <w:rFonts w:ascii="Consolas" w:hAnsi="Consolas" w:cs="Consolas"/>
      <w:sz w:val="20"/>
      <w:szCs w:val="20"/>
    </w:rPr>
  </w:style>
  <w:style w:type="character" w:styleId="HTMLVariable">
    <w:name w:val="HTML Variable"/>
    <w:basedOn w:val="DefaultParagraphFont"/>
    <w:uiPriority w:val="98"/>
    <w:semiHidden/>
    <w:rsid w:val="0008276C"/>
    <w:rPr>
      <w:i/>
      <w:iCs/>
    </w:rPr>
  </w:style>
  <w:style w:type="paragraph" w:styleId="Index1">
    <w:name w:val="index 1"/>
    <w:basedOn w:val="Normal"/>
    <w:next w:val="Normal"/>
    <w:autoRedefine/>
    <w:uiPriority w:val="98"/>
    <w:semiHidden/>
    <w:rsid w:val="0008276C"/>
    <w:pPr>
      <w:ind w:left="240" w:hanging="240"/>
    </w:pPr>
  </w:style>
  <w:style w:type="paragraph" w:styleId="Index2">
    <w:name w:val="index 2"/>
    <w:basedOn w:val="Normal"/>
    <w:next w:val="Normal"/>
    <w:autoRedefine/>
    <w:uiPriority w:val="98"/>
    <w:semiHidden/>
    <w:rsid w:val="0008276C"/>
    <w:pPr>
      <w:ind w:left="480" w:hanging="240"/>
    </w:pPr>
  </w:style>
  <w:style w:type="paragraph" w:styleId="Index3">
    <w:name w:val="index 3"/>
    <w:basedOn w:val="Normal"/>
    <w:next w:val="Normal"/>
    <w:autoRedefine/>
    <w:uiPriority w:val="98"/>
    <w:semiHidden/>
    <w:rsid w:val="0008276C"/>
    <w:pPr>
      <w:ind w:left="720" w:hanging="240"/>
    </w:pPr>
  </w:style>
  <w:style w:type="paragraph" w:styleId="Index4">
    <w:name w:val="index 4"/>
    <w:basedOn w:val="Normal"/>
    <w:next w:val="Normal"/>
    <w:autoRedefine/>
    <w:uiPriority w:val="98"/>
    <w:semiHidden/>
    <w:rsid w:val="0008276C"/>
    <w:pPr>
      <w:ind w:left="960" w:hanging="240"/>
    </w:pPr>
  </w:style>
  <w:style w:type="paragraph" w:styleId="Index5">
    <w:name w:val="index 5"/>
    <w:basedOn w:val="Normal"/>
    <w:next w:val="Normal"/>
    <w:autoRedefine/>
    <w:uiPriority w:val="98"/>
    <w:semiHidden/>
    <w:rsid w:val="0008276C"/>
    <w:pPr>
      <w:ind w:left="1200" w:hanging="240"/>
    </w:pPr>
  </w:style>
  <w:style w:type="paragraph" w:styleId="Index6">
    <w:name w:val="index 6"/>
    <w:basedOn w:val="Normal"/>
    <w:next w:val="Normal"/>
    <w:autoRedefine/>
    <w:uiPriority w:val="98"/>
    <w:semiHidden/>
    <w:rsid w:val="0008276C"/>
    <w:pPr>
      <w:ind w:left="1440" w:hanging="240"/>
    </w:pPr>
  </w:style>
  <w:style w:type="paragraph" w:styleId="Index7">
    <w:name w:val="index 7"/>
    <w:basedOn w:val="Normal"/>
    <w:next w:val="Normal"/>
    <w:autoRedefine/>
    <w:uiPriority w:val="98"/>
    <w:semiHidden/>
    <w:rsid w:val="0008276C"/>
    <w:pPr>
      <w:ind w:left="1680" w:hanging="240"/>
    </w:pPr>
  </w:style>
  <w:style w:type="paragraph" w:styleId="Index8">
    <w:name w:val="index 8"/>
    <w:basedOn w:val="Normal"/>
    <w:next w:val="Normal"/>
    <w:autoRedefine/>
    <w:uiPriority w:val="98"/>
    <w:semiHidden/>
    <w:rsid w:val="0008276C"/>
    <w:pPr>
      <w:ind w:left="1920" w:hanging="240"/>
    </w:pPr>
  </w:style>
  <w:style w:type="paragraph" w:styleId="Index9">
    <w:name w:val="index 9"/>
    <w:basedOn w:val="Normal"/>
    <w:next w:val="Normal"/>
    <w:autoRedefine/>
    <w:uiPriority w:val="98"/>
    <w:semiHidden/>
    <w:rsid w:val="0008276C"/>
    <w:pPr>
      <w:ind w:left="2160" w:hanging="240"/>
    </w:pPr>
  </w:style>
  <w:style w:type="paragraph" w:styleId="IndexHeading">
    <w:name w:val="index heading"/>
    <w:basedOn w:val="Normal"/>
    <w:next w:val="Index1"/>
    <w:uiPriority w:val="98"/>
    <w:semiHidden/>
    <w:rsid w:val="0008276C"/>
    <w:rPr>
      <w:rFonts w:asciiTheme="majorHAnsi" w:eastAsiaTheme="majorEastAsia" w:hAnsiTheme="majorHAnsi" w:cstheme="majorBidi"/>
      <w:b/>
      <w:bCs/>
    </w:rPr>
  </w:style>
  <w:style w:type="table" w:styleId="LightGrid">
    <w:name w:val="Light Grid"/>
    <w:basedOn w:val="TableNormal"/>
    <w:uiPriority w:val="62"/>
    <w:semiHidden/>
    <w:rsid w:val="0008276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8276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8276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8276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8276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8276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8276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8276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8276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8276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8276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8276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8276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8276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8276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8276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8276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8276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8276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8276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8276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8276C"/>
  </w:style>
  <w:style w:type="paragraph" w:styleId="List">
    <w:name w:val="List"/>
    <w:basedOn w:val="Normal"/>
    <w:uiPriority w:val="98"/>
    <w:semiHidden/>
    <w:rsid w:val="0008276C"/>
    <w:pPr>
      <w:ind w:left="283" w:hanging="283"/>
      <w:contextualSpacing/>
    </w:pPr>
  </w:style>
  <w:style w:type="paragraph" w:styleId="List20">
    <w:name w:val="List 2"/>
    <w:basedOn w:val="Normal"/>
    <w:uiPriority w:val="98"/>
    <w:semiHidden/>
    <w:rsid w:val="0008276C"/>
    <w:pPr>
      <w:ind w:left="566" w:hanging="283"/>
      <w:contextualSpacing/>
    </w:pPr>
  </w:style>
  <w:style w:type="paragraph" w:styleId="List30">
    <w:name w:val="List 3"/>
    <w:basedOn w:val="Normal"/>
    <w:uiPriority w:val="98"/>
    <w:semiHidden/>
    <w:rsid w:val="0008276C"/>
    <w:pPr>
      <w:ind w:left="849" w:hanging="283"/>
      <w:contextualSpacing/>
    </w:pPr>
  </w:style>
  <w:style w:type="paragraph" w:styleId="List4">
    <w:name w:val="List 4"/>
    <w:basedOn w:val="Normal"/>
    <w:uiPriority w:val="98"/>
    <w:semiHidden/>
    <w:rsid w:val="0008276C"/>
    <w:pPr>
      <w:ind w:left="1132" w:hanging="283"/>
      <w:contextualSpacing/>
    </w:pPr>
  </w:style>
  <w:style w:type="paragraph" w:styleId="List5">
    <w:name w:val="List 5"/>
    <w:basedOn w:val="Normal"/>
    <w:uiPriority w:val="98"/>
    <w:semiHidden/>
    <w:rsid w:val="0008276C"/>
    <w:pPr>
      <w:ind w:left="1415" w:hanging="283"/>
      <w:contextualSpacing/>
    </w:pPr>
  </w:style>
  <w:style w:type="paragraph" w:styleId="ListBullet2">
    <w:name w:val="List Bullet 2"/>
    <w:basedOn w:val="Normal"/>
    <w:uiPriority w:val="98"/>
    <w:semiHidden/>
    <w:rsid w:val="0008276C"/>
    <w:pPr>
      <w:numPr>
        <w:numId w:val="96"/>
      </w:numPr>
      <w:contextualSpacing/>
    </w:pPr>
  </w:style>
  <w:style w:type="paragraph" w:styleId="ListBullet3">
    <w:name w:val="List Bullet 3"/>
    <w:basedOn w:val="Normal"/>
    <w:uiPriority w:val="98"/>
    <w:semiHidden/>
    <w:rsid w:val="0008276C"/>
    <w:pPr>
      <w:numPr>
        <w:numId w:val="97"/>
      </w:numPr>
      <w:contextualSpacing/>
    </w:pPr>
  </w:style>
  <w:style w:type="paragraph" w:styleId="ListBullet4">
    <w:name w:val="List Bullet 4"/>
    <w:basedOn w:val="Normal"/>
    <w:uiPriority w:val="98"/>
    <w:semiHidden/>
    <w:rsid w:val="0008276C"/>
    <w:pPr>
      <w:numPr>
        <w:numId w:val="98"/>
      </w:numPr>
      <w:contextualSpacing/>
    </w:pPr>
  </w:style>
  <w:style w:type="paragraph" w:styleId="ListBullet5">
    <w:name w:val="List Bullet 5"/>
    <w:basedOn w:val="Normal"/>
    <w:uiPriority w:val="98"/>
    <w:semiHidden/>
    <w:rsid w:val="0008276C"/>
    <w:pPr>
      <w:numPr>
        <w:numId w:val="99"/>
      </w:numPr>
      <w:contextualSpacing/>
    </w:pPr>
  </w:style>
  <w:style w:type="paragraph" w:styleId="ListContinue">
    <w:name w:val="List Continue"/>
    <w:basedOn w:val="Normal"/>
    <w:uiPriority w:val="98"/>
    <w:semiHidden/>
    <w:rsid w:val="0008276C"/>
    <w:pPr>
      <w:spacing w:after="120"/>
      <w:ind w:left="283"/>
      <w:contextualSpacing/>
    </w:pPr>
  </w:style>
  <w:style w:type="paragraph" w:styleId="ListContinue2">
    <w:name w:val="List Continue 2"/>
    <w:basedOn w:val="Normal"/>
    <w:uiPriority w:val="98"/>
    <w:semiHidden/>
    <w:rsid w:val="0008276C"/>
    <w:pPr>
      <w:spacing w:after="120"/>
      <w:ind w:left="566"/>
      <w:contextualSpacing/>
    </w:pPr>
  </w:style>
  <w:style w:type="paragraph" w:styleId="ListContinue3">
    <w:name w:val="List Continue 3"/>
    <w:basedOn w:val="Normal"/>
    <w:uiPriority w:val="98"/>
    <w:semiHidden/>
    <w:rsid w:val="0008276C"/>
    <w:pPr>
      <w:spacing w:after="120"/>
      <w:ind w:left="849"/>
      <w:contextualSpacing/>
    </w:pPr>
  </w:style>
  <w:style w:type="paragraph" w:styleId="ListContinue4">
    <w:name w:val="List Continue 4"/>
    <w:basedOn w:val="Normal"/>
    <w:uiPriority w:val="98"/>
    <w:semiHidden/>
    <w:rsid w:val="0008276C"/>
    <w:pPr>
      <w:spacing w:after="120"/>
      <w:ind w:left="1132"/>
      <w:contextualSpacing/>
    </w:pPr>
  </w:style>
  <w:style w:type="paragraph" w:styleId="ListContinue5">
    <w:name w:val="List Continue 5"/>
    <w:basedOn w:val="Normal"/>
    <w:uiPriority w:val="98"/>
    <w:semiHidden/>
    <w:rsid w:val="0008276C"/>
    <w:pPr>
      <w:spacing w:after="120"/>
      <w:ind w:left="1415"/>
      <w:contextualSpacing/>
    </w:pPr>
  </w:style>
  <w:style w:type="paragraph" w:styleId="ListNumber">
    <w:name w:val="List Number"/>
    <w:basedOn w:val="Normal"/>
    <w:uiPriority w:val="98"/>
    <w:semiHidden/>
    <w:rsid w:val="0008276C"/>
    <w:pPr>
      <w:numPr>
        <w:numId w:val="100"/>
      </w:numPr>
      <w:contextualSpacing/>
    </w:pPr>
  </w:style>
  <w:style w:type="paragraph" w:styleId="ListNumber2">
    <w:name w:val="List Number 2"/>
    <w:basedOn w:val="Normal"/>
    <w:uiPriority w:val="98"/>
    <w:semiHidden/>
    <w:rsid w:val="0008276C"/>
    <w:pPr>
      <w:numPr>
        <w:numId w:val="101"/>
      </w:numPr>
      <w:contextualSpacing/>
    </w:pPr>
  </w:style>
  <w:style w:type="paragraph" w:styleId="ListNumber3">
    <w:name w:val="List Number 3"/>
    <w:basedOn w:val="Normal"/>
    <w:uiPriority w:val="98"/>
    <w:semiHidden/>
    <w:rsid w:val="0008276C"/>
    <w:pPr>
      <w:numPr>
        <w:numId w:val="102"/>
      </w:numPr>
      <w:contextualSpacing/>
    </w:pPr>
  </w:style>
  <w:style w:type="paragraph" w:styleId="ListNumber4">
    <w:name w:val="List Number 4"/>
    <w:basedOn w:val="Normal"/>
    <w:uiPriority w:val="98"/>
    <w:semiHidden/>
    <w:rsid w:val="0008276C"/>
    <w:pPr>
      <w:numPr>
        <w:numId w:val="103"/>
      </w:numPr>
      <w:contextualSpacing/>
    </w:pPr>
  </w:style>
  <w:style w:type="paragraph" w:styleId="ListNumber5">
    <w:name w:val="List Number 5"/>
    <w:basedOn w:val="Normal"/>
    <w:uiPriority w:val="98"/>
    <w:semiHidden/>
    <w:rsid w:val="0008276C"/>
    <w:pPr>
      <w:numPr>
        <w:numId w:val="104"/>
      </w:numPr>
      <w:contextualSpacing/>
    </w:pPr>
  </w:style>
  <w:style w:type="paragraph" w:styleId="Macro">
    <w:name w:val="macro"/>
    <w:link w:val="MacroTextChar"/>
    <w:uiPriority w:val="98"/>
    <w:semiHidden/>
    <w:rsid w:val="0008276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8276C"/>
    <w:rPr>
      <w:rFonts w:ascii="Consolas" w:hAnsi="Consolas" w:eastAsiaTheme="minorEastAsia" w:cs="Consolas"/>
      <w:sz w:val="20"/>
      <w:szCs w:val="20"/>
    </w:rPr>
  </w:style>
  <w:style w:type="table" w:styleId="MediumGrid1">
    <w:name w:val="Medium Grid 1"/>
    <w:basedOn w:val="TableNormal"/>
    <w:uiPriority w:val="67"/>
    <w:semiHidden/>
    <w:rsid w:val="0008276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8276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8276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8276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8276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8276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8276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827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827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827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827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827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827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827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8276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8276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8276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8276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8276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8276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8276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8276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8276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8276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8276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8276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8276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8276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8276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827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827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827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827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827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827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827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8276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8276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8276C"/>
    <w:rPr>
      <w:rFonts w:ascii="Times New Roman" w:hAnsi="Times New Roman" w:cs="Times New Roman"/>
    </w:rPr>
  </w:style>
  <w:style w:type="paragraph" w:styleId="NormalIndent">
    <w:name w:val="Normal Indent"/>
    <w:basedOn w:val="Normal"/>
    <w:uiPriority w:val="98"/>
    <w:semiHidden/>
    <w:rsid w:val="0008276C"/>
    <w:pPr>
      <w:ind w:left="720"/>
    </w:pPr>
  </w:style>
  <w:style w:type="paragraph" w:customStyle="1" w:styleId="ECHRHeaderLandscape">
    <w:name w:val="ECHR_Header_Landscape"/>
    <w:aliases w:val="_Header_Landscape"/>
    <w:basedOn w:val="JuHeader"/>
    <w:uiPriority w:val="29"/>
    <w:semiHidden/>
    <w:rsid w:val="0008276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08276C"/>
    <w:rPr>
      <w:sz w:val="24"/>
      <w:szCs w:val="24"/>
      <w:lang w:val="en-GB"/>
    </w:rPr>
  </w:style>
  <w:style w:type="paragraph" w:styleId="PlainText">
    <w:name w:val="Plain Text"/>
    <w:basedOn w:val="Normal"/>
    <w:link w:val="PlainTextChar"/>
    <w:uiPriority w:val="98"/>
    <w:semiHidden/>
    <w:rsid w:val="0008276C"/>
    <w:rPr>
      <w:rFonts w:ascii="Consolas" w:hAnsi="Consolas" w:cs="Consolas"/>
      <w:sz w:val="21"/>
      <w:szCs w:val="21"/>
    </w:rPr>
  </w:style>
  <w:style w:type="character" w:customStyle="1" w:styleId="PlainTextChar">
    <w:name w:val="Plain Text Char"/>
    <w:basedOn w:val="DefaultParagraphFont"/>
    <w:link w:val="PlainText"/>
    <w:uiPriority w:val="98"/>
    <w:semiHidden/>
    <w:rsid w:val="0008276C"/>
    <w:rPr>
      <w:rFonts w:ascii="Consolas" w:hAnsi="Consolas" w:cs="Consolas"/>
      <w:sz w:val="21"/>
      <w:szCs w:val="21"/>
      <w:lang w:val="en-GB"/>
    </w:rPr>
  </w:style>
  <w:style w:type="paragraph" w:styleId="Salutation">
    <w:name w:val="Salutation"/>
    <w:basedOn w:val="Normal"/>
    <w:next w:val="Normal"/>
    <w:link w:val="SalutationChar"/>
    <w:uiPriority w:val="98"/>
    <w:semiHidden/>
    <w:rsid w:val="0008276C"/>
  </w:style>
  <w:style w:type="character" w:customStyle="1" w:styleId="SalutationChar">
    <w:name w:val="Salutation Char"/>
    <w:basedOn w:val="DefaultParagraphFont"/>
    <w:link w:val="Salutation"/>
    <w:uiPriority w:val="98"/>
    <w:semiHidden/>
    <w:rsid w:val="0008276C"/>
    <w:rPr>
      <w:sz w:val="24"/>
      <w:szCs w:val="24"/>
      <w:lang w:val="en-GB"/>
    </w:rPr>
  </w:style>
  <w:style w:type="paragraph" w:styleId="Signature0">
    <w:name w:val="Signature"/>
    <w:basedOn w:val="Normal"/>
    <w:link w:val="SignatureChar"/>
    <w:uiPriority w:val="98"/>
    <w:semiHidden/>
    <w:rsid w:val="0008276C"/>
    <w:pPr>
      <w:ind w:left="4252"/>
    </w:pPr>
  </w:style>
  <w:style w:type="character" w:customStyle="1" w:styleId="SignatureChar">
    <w:name w:val="Signature Char"/>
    <w:basedOn w:val="DefaultParagraphFont"/>
    <w:link w:val="Signature0"/>
    <w:uiPriority w:val="98"/>
    <w:semiHidden/>
    <w:rsid w:val="0008276C"/>
    <w:rPr>
      <w:sz w:val="24"/>
      <w:szCs w:val="24"/>
      <w:lang w:val="en-GB"/>
    </w:rPr>
  </w:style>
  <w:style w:type="table" w:styleId="Table3Deffects1">
    <w:name w:val="Table 3D effects 1"/>
    <w:basedOn w:val="TableNormal"/>
    <w:uiPriority w:val="99"/>
    <w:semiHidden/>
    <w:unhideWhenUsed/>
    <w:rsid w:val="0008276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8276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8276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8276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8276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8276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8276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8276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8276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8276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8276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8276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8276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8276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276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276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8276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27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8276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8276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8276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8276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8276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8276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8276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8276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8276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8276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8276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27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8276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8276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8276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8276C"/>
    <w:pPr>
      <w:ind w:left="240" w:hanging="240"/>
    </w:pPr>
  </w:style>
  <w:style w:type="paragraph" w:styleId="TableofFigures">
    <w:name w:val="table of figures"/>
    <w:basedOn w:val="Normal"/>
    <w:next w:val="Normal"/>
    <w:uiPriority w:val="98"/>
    <w:semiHidden/>
    <w:rsid w:val="0008276C"/>
  </w:style>
  <w:style w:type="table" w:styleId="TableProfessional">
    <w:name w:val="Table Professional"/>
    <w:basedOn w:val="TableNormal"/>
    <w:uiPriority w:val="99"/>
    <w:semiHidden/>
    <w:unhideWhenUsed/>
    <w:rsid w:val="000827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276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8276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8276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276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8276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8276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276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276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276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8276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8276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8276C"/>
    <w:pPr>
      <w:spacing w:after="100"/>
      <w:ind w:left="1680"/>
    </w:pPr>
  </w:style>
  <w:style w:type="paragraph" w:styleId="TOC9">
    <w:name w:val="toc 9"/>
    <w:basedOn w:val="Normal"/>
    <w:next w:val="Normal"/>
    <w:autoRedefine/>
    <w:uiPriority w:val="98"/>
    <w:semiHidden/>
    <w:rsid w:val="0008276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08276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08276C"/>
    <w:rPr>
      <w:color w:val="0072BC" w:themeColor="hyperlink"/>
      <w:u w:val="single"/>
    </w:rPr>
  </w:style>
  <w:style w:type="paragraph" w:styleId="NoteHeading">
    <w:name w:val="Note Heading"/>
    <w:basedOn w:val="Normal"/>
    <w:next w:val="Normal"/>
    <w:link w:val="NoteHeadingChar"/>
    <w:uiPriority w:val="98"/>
    <w:semiHidden/>
    <w:rsid w:val="0008276C"/>
  </w:style>
  <w:style w:type="paragraph" w:customStyle="1" w:styleId="DecList">
    <w:name w:val="Dec_List"/>
    <w:aliases w:val="_List"/>
    <w:basedOn w:val="JuList"/>
    <w:uiPriority w:val="22"/>
    <w:rsid w:val="0008276C"/>
    <w:pPr>
      <w:numPr>
        <w:numId w:val="0"/>
      </w:numPr>
      <w:ind w:left="284"/>
    </w:pPr>
  </w:style>
  <w:style w:type="paragraph" w:customStyle="1" w:styleId="ECHRPlaceholder">
    <w:name w:val="ECHR_Placeholder"/>
    <w:aliases w:val="_Placeholder"/>
    <w:basedOn w:val="JuSigned"/>
    <w:uiPriority w:val="31"/>
    <w:rsid w:val="0008276C"/>
    <w:rPr>
      <w:color w:val="FFFFFF"/>
    </w:rPr>
  </w:style>
  <w:style w:type="paragraph" w:customStyle="1" w:styleId="ECHRBullet1">
    <w:name w:val="ECHR_Bullet_1"/>
    <w:aliases w:val="_Bul_1"/>
    <w:basedOn w:val="NormalJustified"/>
    <w:uiPriority w:val="23"/>
    <w:semiHidden/>
    <w:qFormat/>
    <w:rsid w:val="0008276C"/>
    <w:pPr>
      <w:numPr>
        <w:numId w:val="111"/>
      </w:numPr>
      <w:spacing w:before="60" w:after="60"/>
    </w:pPr>
  </w:style>
  <w:style w:type="paragraph" w:customStyle="1" w:styleId="ECHRBullet2">
    <w:name w:val="ECHR_Bullet_2"/>
    <w:aliases w:val="_Bul_2"/>
    <w:basedOn w:val="ECHRBullet1"/>
    <w:uiPriority w:val="23"/>
    <w:semiHidden/>
    <w:rsid w:val="0008276C"/>
    <w:pPr>
      <w:numPr>
        <w:ilvl w:val="1"/>
      </w:numPr>
    </w:pPr>
  </w:style>
  <w:style w:type="paragraph" w:customStyle="1" w:styleId="ECHRBullet3">
    <w:name w:val="ECHR_Bullet_3"/>
    <w:aliases w:val="_Bul_3"/>
    <w:basedOn w:val="ECHRBullet2"/>
    <w:uiPriority w:val="23"/>
    <w:semiHidden/>
    <w:rsid w:val="0008276C"/>
    <w:pPr>
      <w:numPr>
        <w:ilvl w:val="2"/>
      </w:numPr>
    </w:pPr>
  </w:style>
  <w:style w:type="paragraph" w:customStyle="1" w:styleId="ECHRBullet4">
    <w:name w:val="ECHR_Bullet_4"/>
    <w:aliases w:val="_Bul_4"/>
    <w:basedOn w:val="ECHRBullet3"/>
    <w:uiPriority w:val="23"/>
    <w:semiHidden/>
    <w:rsid w:val="0008276C"/>
    <w:pPr>
      <w:numPr>
        <w:ilvl w:val="3"/>
      </w:numPr>
    </w:pPr>
  </w:style>
  <w:style w:type="paragraph" w:customStyle="1" w:styleId="ECHRConfidential">
    <w:name w:val="ECHR_Confidential"/>
    <w:aliases w:val="_Confidential"/>
    <w:basedOn w:val="Normal"/>
    <w:next w:val="Normal"/>
    <w:uiPriority w:val="42"/>
    <w:semiHidden/>
    <w:qFormat/>
    <w:rsid w:val="0008276C"/>
    <w:pPr>
      <w:jc w:val="right"/>
    </w:pPr>
    <w:rPr>
      <w:color w:val="C00000"/>
      <w:sz w:val="20"/>
    </w:rPr>
  </w:style>
  <w:style w:type="paragraph" w:customStyle="1" w:styleId="ECHRDecisionBody">
    <w:name w:val="ECHR_Decision_Body"/>
    <w:aliases w:val="_Decision_Body"/>
    <w:basedOn w:val="NormalJustified"/>
    <w:uiPriority w:val="54"/>
    <w:semiHidden/>
    <w:rsid w:val="0008276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8276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8276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8276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8276C"/>
    <w:pPr>
      <w:jc w:val="right"/>
    </w:pPr>
    <w:rPr>
      <w:sz w:val="20"/>
    </w:rPr>
  </w:style>
  <w:style w:type="paragraph" w:customStyle="1" w:styleId="ECHRHeaderRefIt">
    <w:name w:val="ECHR_Header_Ref_It"/>
    <w:aliases w:val="_Ref_Ital"/>
    <w:basedOn w:val="Normal"/>
    <w:next w:val="ECHRHeaderDate"/>
    <w:uiPriority w:val="43"/>
    <w:semiHidden/>
    <w:qFormat/>
    <w:rsid w:val="0008276C"/>
    <w:pPr>
      <w:jc w:val="right"/>
    </w:pPr>
    <w:rPr>
      <w:i/>
      <w:sz w:val="20"/>
    </w:rPr>
  </w:style>
  <w:style w:type="paragraph" w:customStyle="1" w:styleId="ECHRHeading9">
    <w:name w:val="ECHR_Heading_9"/>
    <w:aliases w:val="_Head_9"/>
    <w:basedOn w:val="Heading9"/>
    <w:uiPriority w:val="17"/>
    <w:semiHidden/>
    <w:rsid w:val="0008276C"/>
    <w:pPr>
      <w:keepNext/>
      <w:keepLines/>
      <w:numPr>
        <w:ilvl w:val="8"/>
        <w:numId w:val="1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8276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8276C"/>
    <w:pPr>
      <w:numPr>
        <w:numId w:val="115"/>
      </w:numPr>
      <w:spacing w:before="60" w:after="60"/>
    </w:pPr>
  </w:style>
  <w:style w:type="paragraph" w:customStyle="1" w:styleId="ECHRNumberedList2">
    <w:name w:val="ECHR_Numbered_List_2"/>
    <w:aliases w:val="_Num_2"/>
    <w:basedOn w:val="ECHRNumberedList1"/>
    <w:uiPriority w:val="23"/>
    <w:semiHidden/>
    <w:rsid w:val="0008276C"/>
    <w:pPr>
      <w:numPr>
        <w:ilvl w:val="1"/>
      </w:numPr>
    </w:pPr>
  </w:style>
  <w:style w:type="paragraph" w:customStyle="1" w:styleId="ECHRNumberedList3">
    <w:name w:val="ECHR_Numbered_List_3"/>
    <w:aliases w:val="_Num_3"/>
    <w:basedOn w:val="ECHRNumberedList2"/>
    <w:uiPriority w:val="23"/>
    <w:semiHidden/>
    <w:rsid w:val="0008276C"/>
    <w:pPr>
      <w:numPr>
        <w:ilvl w:val="2"/>
      </w:numPr>
    </w:pPr>
  </w:style>
  <w:style w:type="paragraph" w:customStyle="1" w:styleId="ECHRParaHanging">
    <w:name w:val="ECHR_Para_Hanging"/>
    <w:aliases w:val="_Hanging"/>
    <w:basedOn w:val="NormalJustified"/>
    <w:uiPriority w:val="8"/>
    <w:semiHidden/>
    <w:qFormat/>
    <w:rsid w:val="0008276C"/>
    <w:pPr>
      <w:ind w:left="567" w:hanging="567"/>
    </w:pPr>
  </w:style>
  <w:style w:type="paragraph" w:customStyle="1" w:styleId="ECHRParaIndent">
    <w:name w:val="ECHR_Para_Indent"/>
    <w:aliases w:val="_Indent"/>
    <w:basedOn w:val="NormalJustified"/>
    <w:uiPriority w:val="7"/>
    <w:semiHidden/>
    <w:qFormat/>
    <w:rsid w:val="0008276C"/>
    <w:pPr>
      <w:spacing w:before="120" w:after="120"/>
      <w:ind w:left="284"/>
    </w:pPr>
  </w:style>
  <w:style w:type="character" w:customStyle="1" w:styleId="ECHRRed">
    <w:name w:val="ECHR_Red"/>
    <w:aliases w:val="_Red"/>
    <w:basedOn w:val="DefaultParagraphFont"/>
    <w:uiPriority w:val="15"/>
    <w:semiHidden/>
    <w:qFormat/>
    <w:rsid w:val="0008276C"/>
    <w:rPr>
      <w:color w:val="C00000" w:themeColor="accent2"/>
    </w:rPr>
  </w:style>
  <w:style w:type="paragraph" w:customStyle="1" w:styleId="ECHRSpacer">
    <w:name w:val="ECHR_Spacer"/>
    <w:aliases w:val="_Spacer"/>
    <w:basedOn w:val="Normal"/>
    <w:uiPriority w:val="45"/>
    <w:semiHidden/>
    <w:rsid w:val="0008276C"/>
    <w:rPr>
      <w:sz w:val="4"/>
    </w:rPr>
  </w:style>
  <w:style w:type="table" w:customStyle="1" w:styleId="ECHRTable2">
    <w:name w:val="ECHR_Table_2"/>
    <w:basedOn w:val="TableNormal"/>
    <w:uiPriority w:val="99"/>
    <w:rsid w:val="0008276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8276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8276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8276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8276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8276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8276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8276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8276C"/>
    <w:pPr>
      <w:outlineLvl w:val="0"/>
    </w:pPr>
  </w:style>
  <w:style w:type="paragraph" w:customStyle="1" w:styleId="ECHRTitleTOC1">
    <w:name w:val="ECHR_Title_TOC_1"/>
    <w:aliases w:val="_Title_L_TOC"/>
    <w:basedOn w:val="ECHRTitle1"/>
    <w:next w:val="Normal"/>
    <w:uiPriority w:val="27"/>
    <w:semiHidden/>
    <w:qFormat/>
    <w:rsid w:val="0008276C"/>
    <w:pPr>
      <w:outlineLvl w:val="0"/>
    </w:pPr>
  </w:style>
  <w:style w:type="table" w:customStyle="1" w:styleId="ECHRTableGrey">
    <w:name w:val="ECHR_Table_Grey"/>
    <w:basedOn w:val="TableNormal"/>
    <w:uiPriority w:val="99"/>
    <w:rsid w:val="0008276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08276C"/>
    <w:rPr>
      <w:color w:val="605E5C"/>
      <w:shd w:val="clear" w:color="auto" w:fill="E1DFDD"/>
    </w:rPr>
  </w:style>
  <w:style w:type="character" w:customStyle="1" w:styleId="JuListChar">
    <w:name w:val="Ju_List Char"/>
    <w:basedOn w:val="DefaultParagraphFont"/>
    <w:link w:val="JuList"/>
    <w:uiPriority w:val="23"/>
    <w:locked/>
    <w:rsid w:val="007F114B"/>
    <w:rPr>
      <w:sz w:val="24"/>
      <w:szCs w:val="24"/>
      <w:lang w:val="en-GB"/>
    </w:rPr>
  </w:style>
  <w:style w:type="table" w:styleId="GridTable1Light">
    <w:name w:val="Grid Table 1 Light"/>
    <w:basedOn w:val="TableNormal"/>
    <w:uiPriority w:val="46"/>
    <w:semiHidden/>
    <w:rsid w:val="0081258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1258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1258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1258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1258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1258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1258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1258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1258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1258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1258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1258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1258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1258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1258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1258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1258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1258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1258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1258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1258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1258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1258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1258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1258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1258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1258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1258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125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125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125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125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125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125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1258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1258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1258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1258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1258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1258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1258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1258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1258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1258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1258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1258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1258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1258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1258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12580"/>
    <w:rPr>
      <w:color w:val="2B579A"/>
      <w:shd w:val="clear" w:color="auto" w:fill="E1DFDD"/>
    </w:rPr>
  </w:style>
  <w:style w:type="table" w:styleId="ListTable1Light">
    <w:name w:val="List Table 1 Light"/>
    <w:basedOn w:val="TableNormal"/>
    <w:uiPriority w:val="46"/>
    <w:semiHidden/>
    <w:rsid w:val="0081258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1258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1258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1258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1258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1258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1258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1258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1258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1258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1258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1258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1258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1258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1258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1258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1258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1258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1258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1258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1258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1258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1258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1258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1258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1258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1258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1258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1258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1258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1258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1258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1258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1258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1258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1258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1258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1258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1258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1258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1258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1258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1258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1258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1258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1258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1258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1258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1258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12580"/>
    <w:rPr>
      <w:color w:val="2B579A"/>
      <w:shd w:val="clear" w:color="auto" w:fill="E1DFDD"/>
    </w:rPr>
  </w:style>
  <w:style w:type="table" w:styleId="PlainTable1">
    <w:name w:val="Plain Table 1"/>
    <w:basedOn w:val="TableNormal"/>
    <w:uiPriority w:val="41"/>
    <w:semiHidden/>
    <w:rsid w:val="0081258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1258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1258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1258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1258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12580"/>
    <w:rPr>
      <w:u w:val="dotted"/>
    </w:rPr>
  </w:style>
  <w:style w:type="character" w:styleId="SmartLink">
    <w:name w:val="Smart Link"/>
    <w:basedOn w:val="DefaultParagraphFont"/>
    <w:uiPriority w:val="99"/>
    <w:semiHidden/>
    <w:unhideWhenUsed/>
    <w:rsid w:val="00812580"/>
    <w:rPr>
      <w:color w:val="0000FF"/>
      <w:u w:val="single"/>
      <w:shd w:val="clear" w:color="auto" w:fill="F3F2F1"/>
    </w:rPr>
  </w:style>
  <w:style w:type="table" w:styleId="GridTableLight">
    <w:name w:val="Grid Table Light"/>
    <w:basedOn w:val="TableNormal"/>
    <w:uiPriority w:val="40"/>
    <w:semiHidden/>
    <w:rsid w:val="0081258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1068</Words>
  <Characters>5597</Characters>
  <Application>Microsoft Office Word</Application>
  <DocSecurity>0</DocSecurity>
  <Lines>169</Lines>
  <Paragraphs>88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2025-03-03T10:56:00Z</dcterms:created>
  <dcterms:modified xsi:type="dcterms:W3CDTF">2025-03-03T11:14:00Z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758170</vt:lpwstr>
  </property>
  <property fmtid="{D5CDD505-2E9C-101B-9397-08002B2CF9AE}" pid="3" name="cstLanguage">
    <vt:i4>2057</vt:i4>
  </property>
  <property fmtid="{D5CDD505-2E9C-101B-9397-08002B2CF9AE}" pid="4" name="RegisteredNo">
    <vt:lpwstr>68596/11</vt:lpwstr>
  </property>
</Properties>
</file>