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A41674" w:rsidR="00E44CB3" w:rsidP="006C24A0" w14:paraId="1B1149E5" w14:textId="77777777">
      <w:pPr>
        <w:jc w:val="center"/>
        <w:rPr>
          <w:rFonts w:ascii="Times New Roman" w:hAnsi="Times New Roman" w:cs="Times New Roman"/>
          <w:noProof/>
        </w:rPr>
      </w:pPr>
    </w:p>
    <w:p w:rsidRPr="00A41674" w:rsidR="0098410D" w:rsidP="006C24A0" w14:paraId="7EC340CF" w14:textId="77777777">
      <w:pPr>
        <w:jc w:val="center"/>
      </w:pPr>
    </w:p>
    <w:p w:rsidRPr="00A41674" w:rsidR="0098410D" w:rsidP="006C24A0" w14:paraId="239A3C43" w14:textId="1950512A">
      <w:pPr>
        <w:pStyle w:val="DecHTitle"/>
      </w:pPr>
      <w:r w:rsidRPr="00A41674">
        <w:t>FOURTH SECTION</w:t>
      </w:r>
    </w:p>
    <w:p w:rsidRPr="00A41674" w:rsidR="008E6217" w:rsidP="006C24A0" w14:paraId="6F06A1F1" w14:textId="6245E76D">
      <w:pPr>
        <w:pStyle w:val="JuTitle"/>
      </w:pPr>
      <w:r w:rsidRPr="00A41674">
        <w:rPr>
          <w:color w:val="000000" w:themeColor="text1"/>
        </w:rPr>
        <w:t xml:space="preserve">CASE OF </w:t>
      </w:r>
      <w:r w:rsidRPr="00A41674" w:rsidR="00E44CB3">
        <w:t>GLONTI AND OTHERS v. GEORGIA</w:t>
      </w:r>
    </w:p>
    <w:p w:rsidRPr="00A41674" w:rsidR="00D74888" w:rsidP="006C24A0" w14:paraId="72363FC3" w14:textId="38CA4BC4">
      <w:pPr>
        <w:pStyle w:val="ECHRCoverTitle4"/>
      </w:pPr>
      <w:r w:rsidRPr="00A41674">
        <w:t>(</w:t>
      </w:r>
      <w:r w:rsidRPr="00A41674" w:rsidR="00E44CB3">
        <w:rPr>
          <w:noProof/>
        </w:rPr>
        <w:t>Application no.</w:t>
      </w:r>
      <w:r w:rsidRPr="00A41674">
        <w:t xml:space="preserve"> </w:t>
      </w:r>
      <w:r w:rsidRPr="00A41674" w:rsidR="00E44CB3">
        <w:t>13708/18</w:t>
      </w:r>
      <w:r w:rsidRPr="00A41674">
        <w:t>)</w:t>
      </w:r>
    </w:p>
    <w:p w:rsidRPr="00A41674" w:rsidR="0098410D" w:rsidP="006C24A0" w14:paraId="2639160D" w14:textId="77777777">
      <w:pPr>
        <w:pStyle w:val="DecHCase"/>
      </w:pPr>
    </w:p>
    <w:p w:rsidRPr="00A41674" w:rsidR="0054716E" w:rsidP="006C24A0" w14:paraId="770FAE16" w14:textId="77777777">
      <w:pPr>
        <w:pStyle w:val="DecHCase"/>
      </w:pPr>
    </w:p>
    <w:p w:rsidRPr="00A41674" w:rsidR="0054716E" w:rsidP="006C24A0" w14:paraId="2F967921" w14:textId="77777777">
      <w:pPr>
        <w:pStyle w:val="DecHCase"/>
      </w:pPr>
    </w:p>
    <w:p w:rsidRPr="00A41674" w:rsidR="0098410D" w:rsidP="006C24A0" w14:paraId="3AB1B9A3" w14:textId="77777777">
      <w:pPr>
        <w:pStyle w:val="DecHCase"/>
      </w:pPr>
    </w:p>
    <w:p w:rsidRPr="00A41674" w:rsidR="00AC4CD4" w:rsidP="006C24A0" w14:paraId="4F2B631A" w14:textId="77777777">
      <w:pPr>
        <w:pStyle w:val="DecHCase"/>
      </w:pPr>
    </w:p>
    <w:p w:rsidRPr="00A41674" w:rsidR="0098410D" w:rsidP="006C24A0" w14:paraId="4E85C1D3" w14:textId="77777777">
      <w:pPr>
        <w:pStyle w:val="DecHCase"/>
      </w:pPr>
    </w:p>
    <w:p w:rsidRPr="00A41674" w:rsidR="0098410D" w:rsidP="006C24A0" w14:paraId="7C698C46" w14:textId="70C6FD54">
      <w:pPr>
        <w:pStyle w:val="DecHCase"/>
      </w:pPr>
      <w:r w:rsidRPr="00A41674">
        <w:t>JUDGMENT</w:t>
      </w:r>
      <w:r w:rsidRPr="00A41674" w:rsidR="00AC4CD4">
        <w:br/>
      </w:r>
    </w:p>
    <w:p w:rsidRPr="00A41674" w:rsidR="0098410D" w:rsidP="006C24A0" w14:paraId="78374459" w14:textId="77777777">
      <w:pPr>
        <w:pStyle w:val="DecHCase"/>
      </w:pPr>
      <w:r w:rsidRPr="00A41674">
        <w:t>STRASBOURG</w:t>
      </w:r>
    </w:p>
    <w:p w:rsidRPr="00A41674" w:rsidR="0098410D" w:rsidP="006C24A0" w14:paraId="7B461253" w14:textId="77F14542">
      <w:pPr>
        <w:pStyle w:val="DecHCase"/>
      </w:pPr>
      <w:r w:rsidRPr="00A41674">
        <w:rPr>
          <w:rFonts w:ascii="Times New Roman" w:hAnsi="Times New Roman" w:cs="Times New Roman"/>
        </w:rPr>
        <w:t>11 February 2025</w:t>
      </w:r>
    </w:p>
    <w:p w:rsidRPr="00A41674" w:rsidR="00AC4CD4" w:rsidP="006C24A0" w14:paraId="4A39EE11" w14:textId="77777777">
      <w:pPr>
        <w:pStyle w:val="JuPara"/>
      </w:pPr>
    </w:p>
    <w:p w:rsidRPr="00A41674" w:rsidR="002422B6" w:rsidP="006C24A0" w14:paraId="2B6EDC04" w14:textId="33340A18">
      <w:pPr>
        <w:rPr>
          <w:i/>
          <w:sz w:val="22"/>
        </w:rPr>
      </w:pPr>
      <w:r w:rsidRPr="00A41674">
        <w:rPr>
          <w:i/>
          <w:sz w:val="22"/>
        </w:rPr>
        <w:t xml:space="preserve">This judgment </w:t>
      </w:r>
      <w:r w:rsidRPr="00A41674" w:rsidR="00E44CB3">
        <w:rPr>
          <w:i/>
          <w:noProof/>
          <w:sz w:val="22"/>
        </w:rPr>
        <w:t>is final but it</w:t>
      </w:r>
      <w:r w:rsidRPr="00A41674">
        <w:rPr>
          <w:i/>
          <w:sz w:val="22"/>
        </w:rPr>
        <w:t xml:space="preserve"> may be subject to editorial revision.</w:t>
      </w:r>
    </w:p>
    <w:p w:rsidRPr="00A41674" w:rsidR="0098410D" w:rsidP="006C24A0" w14:paraId="56FB5720"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A41674" w:rsidR="0098410D" w:rsidP="006C24A0" w14:paraId="034A4005" w14:textId="724071EB">
      <w:pPr>
        <w:pStyle w:val="JuCase"/>
      </w:pPr>
      <w:r w:rsidRPr="00A41674">
        <w:t xml:space="preserve">In the case of </w:t>
      </w:r>
      <w:r w:rsidRPr="00A41674" w:rsidR="00E44CB3">
        <w:t>Glonti and Others v. Georgia</w:t>
      </w:r>
      <w:r w:rsidRPr="00A41674">
        <w:t>,</w:t>
      </w:r>
    </w:p>
    <w:p w:rsidRPr="00A41674" w:rsidR="009F4C8F" w:rsidP="006C24A0" w14:paraId="5286A7AD" w14:textId="066764BD">
      <w:pPr>
        <w:pStyle w:val="JuPara"/>
      </w:pPr>
      <w:r w:rsidRPr="00A41674">
        <w:t>The European Court of Human Rights (</w:t>
      </w:r>
      <w:r w:rsidRPr="00A41674" w:rsidR="00E44CB3">
        <w:t>Fourth Section</w:t>
      </w:r>
      <w:r w:rsidRPr="00A41674">
        <w:t xml:space="preserve">), sitting as a </w:t>
      </w:r>
      <w:r w:rsidRPr="00A41674" w:rsidR="00E44CB3">
        <w:rPr>
          <w:noProof/>
        </w:rPr>
        <w:t>Committee</w:t>
      </w:r>
      <w:r w:rsidRPr="00A41674">
        <w:t xml:space="preserve"> composed of:</w:t>
      </w:r>
    </w:p>
    <w:p w:rsidRPr="00A41674" w:rsidR="00A92625" w:rsidP="006C24A0" w14:paraId="12DB89F8" w14:textId="23BE0957">
      <w:pPr>
        <w:pStyle w:val="JuJudges"/>
      </w:pPr>
      <w:r w:rsidRPr="00A41674">
        <w:rPr>
          <w:bCs/>
        </w:rPr>
        <w:tab/>
        <w:t>Jolien Schukking</w:t>
      </w:r>
      <w:r w:rsidRPr="00A41674">
        <w:rPr>
          <w:i/>
        </w:rPr>
        <w:t>, President</w:t>
      </w:r>
      <w:r w:rsidRPr="00A41674">
        <w:t>,</w:t>
      </w:r>
      <w:r w:rsidRPr="00A41674">
        <w:br/>
      </w:r>
      <w:r w:rsidRPr="00A41674">
        <w:tab/>
        <w:t>Faris Vehabović,</w:t>
      </w:r>
      <w:r w:rsidRPr="00A41674">
        <w:br/>
      </w:r>
      <w:r w:rsidRPr="00A41674">
        <w:tab/>
        <w:t>Lorraine Schembri Orland</w:t>
      </w:r>
      <w:r w:rsidRPr="00A41674">
        <w:rPr>
          <w:i/>
        </w:rPr>
        <w:t>, judges</w:t>
      </w:r>
      <w:r w:rsidRPr="00A41674">
        <w:t>,</w:t>
      </w:r>
      <w:r w:rsidRPr="00A41674" w:rsidR="009F4C8F">
        <w:br/>
        <w:t>and</w:t>
      </w:r>
      <w:r w:rsidRPr="00A41674" w:rsidR="005C2C62">
        <w:t xml:space="preserve"> </w:t>
      </w:r>
      <w:r w:rsidRPr="00A41674" w:rsidR="00E44CB3">
        <w:rPr>
          <w:rFonts w:eastAsia="PMingLiU"/>
          <w:noProof/>
        </w:rPr>
        <w:t>Simeon Petrovski</w:t>
      </w:r>
      <w:r w:rsidRPr="00A41674">
        <w:t xml:space="preserve">, </w:t>
      </w:r>
      <w:r w:rsidRPr="00A41674" w:rsidR="00E44CB3">
        <w:rPr>
          <w:i/>
          <w:iCs/>
          <w:noProof/>
        </w:rPr>
        <w:t xml:space="preserve">Deputy </w:t>
      </w:r>
      <w:r w:rsidRPr="00A41674" w:rsidR="00E744E0">
        <w:rPr>
          <w:i/>
        </w:rPr>
        <w:t xml:space="preserve">Section </w:t>
      </w:r>
      <w:r w:rsidRPr="00A41674" w:rsidR="00E744E0">
        <w:rPr>
          <w:i/>
          <w:iCs/>
        </w:rPr>
        <w:t>Registrar</w:t>
      </w:r>
      <w:r w:rsidRPr="00A41674" w:rsidR="008F2465">
        <w:rPr>
          <w:i/>
        </w:rPr>
        <w:t>,</w:t>
      </w:r>
    </w:p>
    <w:p w:rsidRPr="00A41674" w:rsidR="00E44CB3" w:rsidP="006C24A0" w14:paraId="0B48ABB7" w14:textId="77777777">
      <w:pPr>
        <w:pStyle w:val="JuPara"/>
      </w:pPr>
      <w:r w:rsidRPr="00A41674">
        <w:t>Having regard to:</w:t>
      </w:r>
    </w:p>
    <w:p w:rsidRPr="00A41674" w:rsidR="00E44CB3" w:rsidP="006C24A0" w14:paraId="7DF03CEE" w14:textId="04FCA63E">
      <w:pPr>
        <w:pStyle w:val="JuPara"/>
      </w:pPr>
      <w:r w:rsidRPr="00A41674">
        <w:t>the application (no. 13708/18) against Georgia lodged with the Court under Article 34 of the Convention for the Protection of Human Rights and Fundamental Freedoms (“the Convention”) on 14</w:t>
      </w:r>
      <w:r w:rsidRPr="00A41674" w:rsidR="00E64EDC">
        <w:t> </w:t>
      </w:r>
      <w:r w:rsidRPr="00A41674">
        <w:t>March 2018 by five Georgian nationals (“the applicants”), whose relevant details are listed in the appended table and who were represented by Ms N. Jomarjidze, a lawyer practising in Tbilisi;</w:t>
      </w:r>
    </w:p>
    <w:p w:rsidRPr="00A41674" w:rsidR="00E44CB3" w:rsidP="006C24A0" w14:paraId="045E722C" w14:textId="3DED6962">
      <w:pPr>
        <w:pStyle w:val="JuPara"/>
      </w:pPr>
      <w:r w:rsidRPr="00A41674">
        <w:t xml:space="preserve">the decision to give notice of the complaints under Article 6 </w:t>
      </w:r>
      <w:r w:rsidRPr="00A41674">
        <w:rPr>
          <w:rFonts w:cstheme="minorHAnsi"/>
        </w:rPr>
        <w:t>§§</w:t>
      </w:r>
      <w:r w:rsidRPr="00A41674">
        <w:t xml:space="preserve"> 1 and 3</w:t>
      </w:r>
      <w:r w:rsidRPr="00A41674" w:rsidR="00493140">
        <w:rPr>
          <w:rFonts w:ascii="Sylfaen" w:hAnsi="Sylfaen"/>
          <w:lang w:val="ka-GE"/>
        </w:rPr>
        <w:t> </w:t>
      </w:r>
      <w:r w:rsidRPr="00A41674">
        <w:t>(a) and (b) of the Convention to the Georgian Government (“the Government”), represented by their Agent, Mr B. Dzamashvili</w:t>
      </w:r>
      <w:r w:rsidRPr="00A41674" w:rsidR="008E4A08">
        <w:rPr>
          <w:rFonts w:ascii="Sylfaen" w:hAnsi="Sylfaen"/>
          <w:lang w:val="ka-GE"/>
        </w:rPr>
        <w:t>,</w:t>
      </w:r>
      <w:r w:rsidRPr="00A41674">
        <w:t xml:space="preserve"> of the Ministry of Justice, and to declare the remainder of the application inadmissible;</w:t>
      </w:r>
    </w:p>
    <w:p w:rsidRPr="00A41674" w:rsidR="00E44CB3" w:rsidP="006C24A0" w14:paraId="364EB144" w14:textId="4ADE1E11">
      <w:pPr>
        <w:pStyle w:val="JuPara"/>
      </w:pPr>
      <w:r w:rsidRPr="00A41674">
        <w:t>the parties</w:t>
      </w:r>
      <w:r w:rsidRPr="00A41674" w:rsidR="006C24A0">
        <w:t>’</w:t>
      </w:r>
      <w:r w:rsidRPr="00A41674">
        <w:t xml:space="preserve"> observations;</w:t>
      </w:r>
    </w:p>
    <w:p w:rsidRPr="00A41674" w:rsidR="00E44CB3" w:rsidP="006C24A0" w14:paraId="03F348C9" w14:textId="5F4987A4">
      <w:pPr>
        <w:pStyle w:val="JuPara"/>
      </w:pPr>
      <w:r w:rsidRPr="00A41674">
        <w:t>the decision to reject the Government</w:t>
      </w:r>
      <w:r w:rsidRPr="00A41674" w:rsidR="006C24A0">
        <w:t>’</w:t>
      </w:r>
      <w:r w:rsidRPr="00A41674">
        <w:t>s objection to the examination of the application by a Committee;</w:t>
      </w:r>
    </w:p>
    <w:p w:rsidRPr="00A41674" w:rsidR="009F4C8F" w:rsidP="006C24A0" w14:paraId="430B6B8D" w14:textId="460995C7">
      <w:pPr>
        <w:pStyle w:val="JuPara"/>
      </w:pPr>
      <w:r w:rsidRPr="00A41674">
        <w:t xml:space="preserve">Having deliberated in private on </w:t>
      </w:r>
      <w:r w:rsidRPr="00A41674" w:rsidR="00E44CB3">
        <w:t>21</w:t>
      </w:r>
      <w:r w:rsidRPr="00A41674" w:rsidR="00E64EDC">
        <w:t> </w:t>
      </w:r>
      <w:r w:rsidRPr="00A41674" w:rsidR="00E44CB3">
        <w:t>January</w:t>
      </w:r>
      <w:r w:rsidRPr="00A41674" w:rsidR="00493140">
        <w:rPr>
          <w:rFonts w:ascii="Sylfaen" w:hAnsi="Sylfaen"/>
          <w:lang w:val="ka-GE"/>
        </w:rPr>
        <w:t> </w:t>
      </w:r>
      <w:r w:rsidRPr="00A41674" w:rsidR="00E44CB3">
        <w:t>2025</w:t>
      </w:r>
      <w:r w:rsidRPr="00A41674">
        <w:t>,</w:t>
      </w:r>
    </w:p>
    <w:p w:rsidRPr="00A41674" w:rsidR="009F4C8F" w:rsidP="006C24A0" w14:paraId="2829D15F" w14:textId="77777777">
      <w:pPr>
        <w:pStyle w:val="JuPara"/>
      </w:pPr>
      <w:r w:rsidRPr="00A41674">
        <w:t>Delivers the following judgment, which was adopted on that date:</w:t>
      </w:r>
    </w:p>
    <w:p w:rsidRPr="00A41674" w:rsidR="00E44CB3" w:rsidP="006C24A0" w14:paraId="6751F87C" w14:textId="72BBDE17">
      <w:pPr>
        <w:pStyle w:val="JuHHead"/>
        <w:numPr>
          <w:ilvl w:val="0"/>
          <w:numId w:val="0"/>
        </w:numPr>
      </w:pPr>
      <w:r w:rsidRPr="00A41674">
        <w:t>SUBJECT MATTER OF THE CASE</w:t>
      </w:r>
    </w:p>
    <w:p w:rsidRPr="00A41674" w:rsidR="00E44CB3" w:rsidP="006C24A0" w14:paraId="4EB6981E" w14:textId="6CE31C42">
      <w:pPr>
        <w:pStyle w:val="JuPara"/>
      </w:pPr>
      <w:r w:rsidRPr="00A41674">
        <w:fldChar w:fldCharType="begin"/>
      </w:r>
      <w:r w:rsidRPr="00A41674">
        <w:instrText xml:space="preserve"> SEQ level0 </w:instrText>
      </w:r>
      <w:r w:rsidRPr="00A41674">
        <w:instrText xml:space="preserve">\*arabic \* MERGEFORMAT </w:instrText>
      </w:r>
      <w:r w:rsidRPr="00A41674">
        <w:fldChar w:fldCharType="separate"/>
      </w:r>
      <w:r w:rsidRPr="00A41674" w:rsidR="006C24A0">
        <w:rPr>
          <w:noProof/>
        </w:rPr>
        <w:t>1</w:t>
      </w:r>
      <w:r w:rsidRPr="00A41674">
        <w:rPr>
          <w:noProof/>
        </w:rPr>
        <w:fldChar w:fldCharType="end"/>
      </w:r>
      <w:r w:rsidRPr="00A41674">
        <w:t>.  The application concerns the alleged unfairness of criminal proceedings against the applicants in view of the reclassification of the offence by a court at the last stage of the appeal proceedings, and the non</w:t>
      </w:r>
      <w:r w:rsidRPr="00A41674" w:rsidR="00493140">
        <w:noBreakHyphen/>
      </w:r>
      <w:r w:rsidRPr="00A41674">
        <w:t>disclosure of certain documents and information on which an important piece of prosecution evidence was allegedly based. The applicants relied on Article</w:t>
      </w:r>
      <w:r w:rsidRPr="00A41674" w:rsidR="00D54EF1">
        <w:t> </w:t>
      </w:r>
      <w:r w:rsidRPr="00A41674">
        <w:t>6</w:t>
      </w:r>
      <w:r w:rsidRPr="00A41674" w:rsidR="00D54EF1">
        <w:rPr>
          <w:rFonts w:ascii="Sylfaen" w:hAnsi="Sylfaen"/>
        </w:rPr>
        <w:t xml:space="preserve"> </w:t>
      </w:r>
      <w:r w:rsidRPr="00A41674">
        <w:rPr>
          <w:rFonts w:cstheme="minorHAnsi"/>
        </w:rPr>
        <w:t>§§</w:t>
      </w:r>
      <w:r w:rsidRPr="00A41674">
        <w:t xml:space="preserve"> 1 and 3 (a) and (b) of the Convention.</w:t>
      </w:r>
    </w:p>
    <w:p w:rsidRPr="00A41674" w:rsidR="00E44CB3" w:rsidP="006C24A0" w14:paraId="4DF6A664" w14:textId="7B4557FA">
      <w:pPr>
        <w:pStyle w:val="JuHIRoman"/>
      </w:pPr>
      <w:r w:rsidRPr="00A41674">
        <w:rPr>
          <w:rFonts w:ascii="Sylfaen" w:hAnsi="Sylfaen"/>
        </w:rPr>
        <w:t>CRIMINAL PROCEEDINGS AGAINS</w:t>
      </w:r>
      <w:r w:rsidRPr="00A41674" w:rsidR="000C21C5">
        <w:rPr>
          <w:rFonts w:ascii="Sylfaen" w:hAnsi="Sylfaen"/>
        </w:rPr>
        <w:t>T</w:t>
      </w:r>
      <w:r w:rsidRPr="00A41674">
        <w:rPr>
          <w:rFonts w:ascii="Sylfaen" w:hAnsi="Sylfaen"/>
        </w:rPr>
        <w:t xml:space="preserve"> THE APPLICANTS</w:t>
      </w:r>
    </w:p>
    <w:bookmarkStart w:name="Facts_charges" w:id="0"/>
    <w:p w:rsidRPr="00A41674" w:rsidR="00E44CB3" w:rsidP="006C24A0" w14:paraId="6DCD6148" w14:textId="50AC9C87">
      <w:pPr>
        <w:pStyle w:val="JuPara"/>
        <w:rPr>
          <w:rFonts w:cstheme="minorHAnsi"/>
        </w:rPr>
      </w:pPr>
      <w:r w:rsidRPr="00A41674">
        <w:fldChar w:fldCharType="begin"/>
      </w:r>
      <w:r w:rsidRPr="00A41674">
        <w:instrText xml:space="preserve"> SEQ level0 \*arabic \* MERGEFORMAT </w:instrText>
      </w:r>
      <w:r w:rsidRPr="00A41674">
        <w:fldChar w:fldCharType="separate"/>
      </w:r>
      <w:r w:rsidRPr="00A41674" w:rsidR="006C24A0">
        <w:rPr>
          <w:noProof/>
        </w:rPr>
        <w:t>2</w:t>
      </w:r>
      <w:r w:rsidRPr="00A41674">
        <w:fldChar w:fldCharType="end"/>
      </w:r>
      <w:bookmarkEnd w:id="0"/>
      <w:r w:rsidRPr="00A41674">
        <w:t>.  On 20</w:t>
      </w:r>
      <w:r w:rsidRPr="00A41674" w:rsidR="00E85D52">
        <w:t xml:space="preserve"> </w:t>
      </w:r>
      <w:r w:rsidRPr="00A41674">
        <w:t>June 2014 a criminal investigation was initiated under Article</w:t>
      </w:r>
      <w:r w:rsidRPr="00A41674" w:rsidR="00E64EDC">
        <w:t> </w:t>
      </w:r>
      <w:r w:rsidRPr="00A41674">
        <w:t>332 of the Criminal Code (offence of abuse of office, cited in paragraph</w:t>
      </w:r>
      <w:r w:rsidRPr="00A41674" w:rsidR="00D54EF1">
        <w:t> </w:t>
      </w:r>
      <w:r w:rsidRPr="00A41674">
        <w:fldChar w:fldCharType="begin"/>
      </w:r>
      <w:r w:rsidRPr="00A41674">
        <w:instrText xml:space="preserve"> REF Legislation_Criminal_Code \h  \* MERGEFORMAT </w:instrText>
      </w:r>
      <w:r w:rsidRPr="00A41674">
        <w:fldChar w:fldCharType="separate"/>
      </w:r>
      <w:r w:rsidRPr="00A41674" w:rsidR="006C24A0">
        <w:t>8</w:t>
      </w:r>
      <w:r w:rsidRPr="00A41674">
        <w:fldChar w:fldCharType="end"/>
      </w:r>
      <w:r w:rsidRPr="00A41674">
        <w:t xml:space="preserve"> below) in connection with the circumstances of a major procurement call launched earlier by the Ministry of the Defence. On 22</w:t>
      </w:r>
      <w:r w:rsidRPr="00A41674" w:rsidR="00E85D52">
        <w:t> </w:t>
      </w:r>
      <w:r w:rsidRPr="00A41674">
        <w:t>October 2014 the offence was reclassified to embezzlement (offence under Article</w:t>
      </w:r>
      <w:r w:rsidRPr="00A41674" w:rsidR="00D54EF1">
        <w:t> </w:t>
      </w:r>
      <w:r w:rsidRPr="00A41674">
        <w:t>182 of the Criminal Code, see ibid.). On 29</w:t>
      </w:r>
      <w:r w:rsidRPr="00A41674" w:rsidR="00E85D52">
        <w:t xml:space="preserve"> </w:t>
      </w:r>
      <w:r w:rsidRPr="00A41674">
        <w:t>October 2014 the applicants,</w:t>
      </w:r>
      <w:r w:rsidRPr="00A41674">
        <w:rPr>
          <w:rFonts w:cstheme="minorHAnsi"/>
        </w:rPr>
        <w:t xml:space="preserve"> who had held various positions in the Ministry of the Defence </w:t>
      </w:r>
      <w:r w:rsidRPr="00A41674">
        <w:t xml:space="preserve">at the material time, were charged with aggravated embezzlement </w:t>
      </w:r>
      <w:r w:rsidRPr="00A41674">
        <w:rPr>
          <w:rFonts w:cstheme="minorHAnsi"/>
        </w:rPr>
        <w:t xml:space="preserve">committed by a group in large amount through the abuse of power, an offence under </w:t>
      </w:r>
      <w:r w:rsidRPr="00A41674">
        <w:rPr>
          <w:rFonts w:cstheme="minorHAnsi"/>
        </w:rPr>
        <w:t>Article</w:t>
      </w:r>
      <w:r w:rsidRPr="00A41674" w:rsidR="00D54EF1">
        <w:rPr>
          <w:rFonts w:cstheme="minorHAnsi"/>
        </w:rPr>
        <w:t> </w:t>
      </w:r>
      <w:r w:rsidRPr="00A41674">
        <w:rPr>
          <w:rFonts w:cstheme="minorHAnsi"/>
        </w:rPr>
        <w:t>182</w:t>
      </w:r>
      <w:r w:rsidRPr="00A41674" w:rsidR="00D54EF1">
        <w:rPr>
          <w:rFonts w:ascii="Sylfaen" w:hAnsi="Sylfaen" w:cstheme="minorHAnsi"/>
        </w:rPr>
        <w:t xml:space="preserve"> </w:t>
      </w:r>
      <w:r w:rsidRPr="00A41674">
        <w:rPr>
          <w:rFonts w:cstheme="minorHAnsi"/>
        </w:rPr>
        <w:t>§§ 2 (a) and (d) and 3 (b) of the Criminal Code (see ibid.) and were placed in pre-trial detention.</w:t>
      </w:r>
    </w:p>
    <w:p w:rsidRPr="00A41674" w:rsidR="00E44CB3" w:rsidP="006C24A0" w14:paraId="40C844AC" w14:textId="50B83915">
      <w:pPr>
        <w:pStyle w:val="JuPara"/>
      </w:pPr>
      <w:r w:rsidRPr="00A41674">
        <w:fldChar w:fldCharType="begin"/>
      </w:r>
      <w:r w:rsidRPr="00A41674">
        <w:instrText xml:space="preserve"> SEQ level0 \*arabic \* MERGEFORMAT </w:instrText>
      </w:r>
      <w:r w:rsidRPr="00A41674">
        <w:fldChar w:fldCharType="separate"/>
      </w:r>
      <w:r w:rsidRPr="00A41674" w:rsidR="006C24A0">
        <w:rPr>
          <w:noProof/>
        </w:rPr>
        <w:t>3</w:t>
      </w:r>
      <w:r w:rsidRPr="00A41674">
        <w:rPr>
          <w:noProof/>
        </w:rPr>
        <w:fldChar w:fldCharType="end"/>
      </w:r>
      <w:r w:rsidRPr="00A41674">
        <w:t>.  On 19</w:t>
      </w:r>
      <w:r w:rsidRPr="00A41674" w:rsidR="00E85D52">
        <w:t xml:space="preserve"> </w:t>
      </w:r>
      <w:r w:rsidRPr="00A41674">
        <w:t>June 2015 the applicants were released on bail. On 16</w:t>
      </w:r>
      <w:r w:rsidRPr="00A41674" w:rsidR="00E64EDC">
        <w:t> </w:t>
      </w:r>
      <w:r w:rsidRPr="00A41674">
        <w:t>May</w:t>
      </w:r>
      <w:r w:rsidRPr="00A41674" w:rsidR="00493140">
        <w:rPr>
          <w:rFonts w:ascii="Sylfaen" w:hAnsi="Sylfaen"/>
          <w:lang w:val="ka-GE"/>
        </w:rPr>
        <w:t> </w:t>
      </w:r>
      <w:r w:rsidRPr="00A41674">
        <w:t xml:space="preserve">2016 </w:t>
      </w:r>
      <w:r w:rsidRPr="00A41674">
        <w:rPr>
          <w:rFonts w:cstheme="minorHAnsi"/>
        </w:rPr>
        <w:t>the Tbilisi City Court found the applicants guilty as charged. They</w:t>
      </w:r>
      <w:r w:rsidRPr="00A41674">
        <w:t xml:space="preserve"> were immediately taken back into custody</w:t>
      </w:r>
      <w:r w:rsidRPr="00A41674">
        <w:rPr>
          <w:rFonts w:cstheme="minorHAnsi"/>
        </w:rPr>
        <w:t xml:space="preserve">. The court established that the applicants </w:t>
      </w:r>
      <w:r w:rsidRPr="00A41674">
        <w:t xml:space="preserve">had been in a charge of organising a call for tenders during </w:t>
      </w:r>
      <w:r w:rsidRPr="00A41674">
        <w:rPr>
          <w:rFonts w:asciiTheme="majorHAnsi" w:hAnsiTheme="majorHAnsi" w:cstheme="majorHAnsi"/>
        </w:rPr>
        <w:t>which they had embezzled 4,102,872.60 Georgian laris (GEL). Among other evidence, the court relied on</w:t>
      </w:r>
      <w:r w:rsidRPr="00A41674">
        <w:rPr>
          <w:rFonts w:asciiTheme="majorHAnsi" w:hAnsiTheme="majorHAnsi" w:eastAsiaTheme="majorEastAsia" w:cstheme="majorHAnsi"/>
        </w:rPr>
        <w:t xml:space="preserve"> a multi-disciplinary forensic examination report no.</w:t>
      </w:r>
      <w:r w:rsidRPr="00A41674" w:rsidR="00493140">
        <w:rPr>
          <w:rFonts w:ascii="Sylfaen" w:hAnsi="Sylfaen" w:eastAsiaTheme="majorEastAsia" w:cstheme="majorHAnsi"/>
          <w:lang w:val="ka-GE"/>
        </w:rPr>
        <w:t> </w:t>
      </w:r>
      <w:r w:rsidRPr="00A41674">
        <w:rPr>
          <w:rFonts w:asciiTheme="majorHAnsi" w:hAnsiTheme="majorHAnsi" w:eastAsiaTheme="majorEastAsia" w:cstheme="majorHAnsi"/>
        </w:rPr>
        <w:t>01/348</w:t>
      </w:r>
      <w:r w:rsidRPr="00A41674">
        <w:rPr>
          <w:rFonts w:asciiTheme="majorHAnsi" w:hAnsiTheme="majorHAnsi" w:cstheme="majorHAnsi"/>
        </w:rPr>
        <w:t>, which aimed at establishing the difference between the market value of the assets delivered by the successful company following the completion of the project and the amount the Ministry of the Defence had agreed with the company to pay for the project. Despite the defence</w:t>
      </w:r>
      <w:r w:rsidRPr="00A41674" w:rsidR="006C24A0">
        <w:rPr>
          <w:rFonts w:asciiTheme="majorHAnsi" w:hAnsiTheme="majorHAnsi" w:cstheme="majorHAnsi"/>
        </w:rPr>
        <w:t>’</w:t>
      </w:r>
      <w:r w:rsidRPr="00A41674">
        <w:rPr>
          <w:rFonts w:asciiTheme="majorHAnsi" w:hAnsiTheme="majorHAnsi" w:cstheme="majorHAnsi"/>
        </w:rPr>
        <w:t xml:space="preserve">s requests, several documents on the basis of which the above-mentioned forensic report was prepared were not disclosed to the defence. </w:t>
      </w:r>
      <w:r w:rsidRPr="00A41674">
        <w:t>The Tbilisi City Court sentenced the applicants to seven years</w:t>
      </w:r>
      <w:r w:rsidRPr="00A41674" w:rsidR="006C24A0">
        <w:t>’</w:t>
      </w:r>
      <w:r w:rsidRPr="00A41674">
        <w:t xml:space="preserve"> imprisonment each.</w:t>
      </w:r>
    </w:p>
    <w:bookmarkStart w:name="Facts_appeal_court" w:id="1"/>
    <w:p w:rsidRPr="00A41674" w:rsidR="00E44CB3" w:rsidP="006C24A0" w14:paraId="2D8B4959" w14:textId="4614BF21">
      <w:pPr>
        <w:pStyle w:val="JuPara"/>
        <w:rPr>
          <w:rFonts w:asciiTheme="majorHAnsi" w:hAnsiTheme="majorHAnsi" w:cstheme="majorHAnsi"/>
        </w:rPr>
      </w:pPr>
      <w:r w:rsidRPr="00A41674">
        <w:fldChar w:fldCharType="begin"/>
      </w:r>
      <w:r w:rsidRPr="00A41674">
        <w:instrText xml:space="preserve"> SEQ level0 \*arabic \* MERGEFORMAT </w:instrText>
      </w:r>
      <w:r w:rsidRPr="00A41674">
        <w:fldChar w:fldCharType="separate"/>
      </w:r>
      <w:r w:rsidRPr="00A41674" w:rsidR="006C24A0">
        <w:rPr>
          <w:noProof/>
        </w:rPr>
        <w:t>4</w:t>
      </w:r>
      <w:r w:rsidRPr="00A41674">
        <w:fldChar w:fldCharType="end"/>
      </w:r>
      <w:bookmarkEnd w:id="1"/>
      <w:r w:rsidRPr="00A41674">
        <w:t>.  On 26</w:t>
      </w:r>
      <w:r w:rsidRPr="00A41674" w:rsidR="00E85D52">
        <w:t xml:space="preserve"> </w:t>
      </w:r>
      <w:r w:rsidRPr="00A41674">
        <w:t xml:space="preserve">January 2017 the Tbilisi Court of Appeal modified, of its own motion, without allowing for further argument, the conviction on appeal, reclassifying the offence of embezzlement into abuse of office. The court </w:t>
      </w:r>
      <w:r w:rsidRPr="00A41674">
        <w:rPr>
          <w:rFonts w:asciiTheme="majorHAnsi" w:hAnsiTheme="majorHAnsi" w:cstheme="majorHAnsi"/>
        </w:rPr>
        <w:t>concluded that the prosecution evidence did not support one of the constituent elements of the crime of embezzlement – control over the assets to be embezzled – and that, therefore, the conviction under Article 182 of the Criminal Code could not be upheld. As regards the fact that the applicants were not given an opportunity to defend themselves against the new legal classification of the offence, the court of appeal held that the reclassification did not prejudice the fairness of the proceedings given that the reformulation of the charges had not introduced any new element of fact on which the applicants had not had an opportunity to argue before the trial and appeal courts. In addition, the appeal court noted that the applicants would have an opportunity to appeal against the judgment with the Supreme Court. The court reduced their sentence to a year and six months in prison.</w:t>
      </w:r>
    </w:p>
    <w:bookmarkStart w:name="Facts_Supreme_court" w:id="2"/>
    <w:p w:rsidRPr="00A41674" w:rsidR="00E44CB3" w:rsidP="006C24A0" w14:paraId="682B7401" w14:textId="3970F20B">
      <w:pPr>
        <w:pStyle w:val="JuPara"/>
        <w:rPr>
          <w:rFonts w:asciiTheme="majorHAnsi" w:hAnsiTheme="majorHAnsi" w:cstheme="majorHAnsi"/>
        </w:rPr>
      </w:pPr>
      <w:r w:rsidRPr="00A41674">
        <w:rPr>
          <w:rFonts w:asciiTheme="majorHAnsi" w:hAnsiTheme="majorHAnsi" w:cstheme="majorHAnsi"/>
        </w:rPr>
        <w:fldChar w:fldCharType="begin"/>
      </w:r>
      <w:r w:rsidRPr="00A41674">
        <w:rPr>
          <w:rFonts w:asciiTheme="majorHAnsi" w:hAnsiTheme="majorHAnsi" w:cstheme="majorHAnsi"/>
        </w:rPr>
        <w:instrText xml:space="preserve"> SEQ level0 \*arabic \* MERGEFORMAT </w:instrText>
      </w:r>
      <w:r w:rsidRPr="00A41674">
        <w:rPr>
          <w:rFonts w:asciiTheme="majorHAnsi" w:hAnsiTheme="majorHAnsi" w:cstheme="majorHAnsi"/>
        </w:rPr>
        <w:fldChar w:fldCharType="separate"/>
      </w:r>
      <w:r w:rsidRPr="00A41674" w:rsidR="006C24A0">
        <w:rPr>
          <w:rFonts w:asciiTheme="majorHAnsi" w:hAnsiTheme="majorHAnsi" w:cstheme="majorHAnsi"/>
          <w:noProof/>
        </w:rPr>
        <w:t>5</w:t>
      </w:r>
      <w:r w:rsidRPr="00A41674">
        <w:rPr>
          <w:rFonts w:asciiTheme="majorHAnsi" w:hAnsiTheme="majorHAnsi" w:cstheme="majorHAnsi"/>
        </w:rPr>
        <w:fldChar w:fldCharType="end"/>
      </w:r>
      <w:bookmarkEnd w:id="2"/>
      <w:r w:rsidRPr="00A41674">
        <w:rPr>
          <w:rFonts w:asciiTheme="majorHAnsi" w:hAnsiTheme="majorHAnsi" w:cstheme="majorHAnsi"/>
        </w:rPr>
        <w:t>.  On 24</w:t>
      </w:r>
      <w:r w:rsidRPr="00A41674" w:rsidR="00E85D52">
        <w:rPr>
          <w:rFonts w:asciiTheme="majorHAnsi" w:hAnsiTheme="majorHAnsi" w:cstheme="majorHAnsi"/>
        </w:rPr>
        <w:t xml:space="preserve"> </w:t>
      </w:r>
      <w:r w:rsidRPr="00A41674">
        <w:rPr>
          <w:rFonts w:asciiTheme="majorHAnsi" w:hAnsiTheme="majorHAnsi" w:cstheme="majorHAnsi"/>
        </w:rPr>
        <w:t>February 2017 the applicants lodged an appeal on points of law with the Supreme Court. In their appeal they argued,</w:t>
      </w:r>
      <w:r w:rsidRPr="00A41674">
        <w:rPr>
          <w:rFonts w:asciiTheme="majorHAnsi" w:hAnsiTheme="majorHAnsi" w:cstheme="majorHAnsi"/>
          <w:i/>
        </w:rPr>
        <w:t xml:space="preserve"> inter alia</w:t>
      </w:r>
      <w:r w:rsidRPr="00A41674">
        <w:rPr>
          <w:rFonts w:asciiTheme="majorHAnsi" w:hAnsiTheme="majorHAnsi" w:cstheme="majorHAnsi"/>
          <w:iCs/>
        </w:rPr>
        <w:t>,</w:t>
      </w:r>
      <w:r w:rsidRPr="00A41674">
        <w:rPr>
          <w:rFonts w:asciiTheme="majorHAnsi" w:hAnsiTheme="majorHAnsi" w:cstheme="majorHAnsi"/>
          <w:i/>
        </w:rPr>
        <w:t xml:space="preserve"> </w:t>
      </w:r>
      <w:r w:rsidRPr="00A41674">
        <w:rPr>
          <w:rFonts w:asciiTheme="majorHAnsi" w:hAnsiTheme="majorHAnsi" w:cstheme="majorHAnsi"/>
        </w:rPr>
        <w:t>that the reclassification of the offence by the court of appeal and the non-disclosure of the documents on which the key forensic report was based had prevented them from properly exercising their defence rights.  On 14</w:t>
      </w:r>
      <w:r w:rsidRPr="00A41674" w:rsidR="00E64EDC">
        <w:rPr>
          <w:rFonts w:asciiTheme="majorHAnsi" w:hAnsiTheme="majorHAnsi" w:cstheme="majorHAnsi"/>
        </w:rPr>
        <w:t> </w:t>
      </w:r>
      <w:r w:rsidRPr="00A41674">
        <w:rPr>
          <w:rFonts w:asciiTheme="majorHAnsi" w:hAnsiTheme="majorHAnsi" w:cstheme="majorHAnsi"/>
        </w:rPr>
        <w:t>September 2017 the Supreme Court of Georgia refused to grant leave to their appeal on points of law. As to the reclassification of the offence, the court observed that the factual basis for both offences was similar and that the Tbilisi Court of Appeal had change</w:t>
      </w:r>
      <w:r w:rsidRPr="00A41674">
        <w:rPr>
          <w:rFonts w:ascii="Times New Roman" w:hAnsi="Times New Roman" w:cs="Times New Roman"/>
        </w:rPr>
        <w:t>d</w:t>
      </w:r>
      <w:r w:rsidRPr="00A41674">
        <w:rPr>
          <w:rFonts w:asciiTheme="majorHAnsi" w:hAnsiTheme="majorHAnsi" w:cstheme="majorHAnsi"/>
        </w:rPr>
        <w:t xml:space="preserve"> the legal classification of the applicants</w:t>
      </w:r>
      <w:r w:rsidRPr="00A41674" w:rsidR="006C24A0">
        <w:rPr>
          <w:rFonts w:asciiTheme="majorHAnsi" w:hAnsiTheme="majorHAnsi" w:cstheme="majorHAnsi"/>
        </w:rPr>
        <w:t>’</w:t>
      </w:r>
      <w:r w:rsidRPr="00A41674">
        <w:rPr>
          <w:rFonts w:asciiTheme="majorHAnsi" w:hAnsiTheme="majorHAnsi" w:cstheme="majorHAnsi"/>
        </w:rPr>
        <w:t xml:space="preserve"> initial charge without introducing any new element of fact. In such circumstances, and inasmuch as the change had been effected in favour of the applicants, the Supreme Court was not expected to allow the parties to discuss the new legal classification of the crime.</w:t>
      </w:r>
    </w:p>
    <w:p w:rsidRPr="00A41674" w:rsidR="00E44CB3" w:rsidP="006C24A0" w14:paraId="48505EE7" w14:textId="31A7B7D7">
      <w:pPr>
        <w:pStyle w:val="JuPara"/>
        <w:rPr>
          <w:rFonts w:cstheme="minorHAnsi"/>
        </w:rPr>
      </w:pPr>
      <w:r w:rsidRPr="00A41674">
        <w:rPr>
          <w:rFonts w:asciiTheme="majorHAnsi" w:hAnsiTheme="majorHAnsi" w:cstheme="majorHAnsi"/>
        </w:rPr>
        <w:fldChar w:fldCharType="begin"/>
      </w:r>
      <w:r w:rsidRPr="00A41674">
        <w:rPr>
          <w:rFonts w:asciiTheme="majorHAnsi" w:hAnsiTheme="majorHAnsi" w:cstheme="majorHAnsi"/>
        </w:rPr>
        <w:instrText xml:space="preserve"> SEQ level0 \*arabic </w:instrText>
      </w:r>
      <w:r w:rsidRPr="00A41674">
        <w:rPr>
          <w:rFonts w:asciiTheme="majorHAnsi" w:hAnsiTheme="majorHAnsi" w:cstheme="majorHAnsi"/>
        </w:rPr>
        <w:fldChar w:fldCharType="separate"/>
      </w:r>
      <w:r w:rsidRPr="00A41674" w:rsidR="006C24A0">
        <w:rPr>
          <w:rFonts w:asciiTheme="majorHAnsi" w:hAnsiTheme="majorHAnsi" w:cstheme="majorHAnsi"/>
          <w:noProof/>
        </w:rPr>
        <w:t>6</w:t>
      </w:r>
      <w:r w:rsidRPr="00A41674">
        <w:rPr>
          <w:rFonts w:asciiTheme="majorHAnsi" w:hAnsiTheme="majorHAnsi" w:cstheme="majorHAnsi"/>
        </w:rPr>
        <w:fldChar w:fldCharType="end"/>
      </w:r>
      <w:r w:rsidRPr="00A41674">
        <w:rPr>
          <w:rFonts w:asciiTheme="majorHAnsi" w:hAnsiTheme="majorHAnsi" w:cstheme="majorHAnsi"/>
        </w:rPr>
        <w:t>.  On 27</w:t>
      </w:r>
      <w:r w:rsidRPr="00A41674" w:rsidR="00E85D52">
        <w:rPr>
          <w:rFonts w:asciiTheme="majorHAnsi" w:hAnsiTheme="majorHAnsi" w:cstheme="majorHAnsi"/>
        </w:rPr>
        <w:t xml:space="preserve"> </w:t>
      </w:r>
      <w:r w:rsidRPr="00A41674">
        <w:rPr>
          <w:rFonts w:asciiTheme="majorHAnsi" w:hAnsiTheme="majorHAnsi" w:cstheme="majorHAnsi"/>
        </w:rPr>
        <w:t>January 2017 the President of Georgia granted a pardon to all of the applicants, which included the commutation of their sentence and the expungement of their convictions.</w:t>
      </w:r>
      <w:r w:rsidRPr="00A41674">
        <w:rPr>
          <w:rFonts w:cstheme="minorHAnsi"/>
        </w:rPr>
        <w:t xml:space="preserve"> The applicants were released from prison on the same day.</w:t>
      </w:r>
    </w:p>
    <w:p w:rsidRPr="00A41674" w:rsidR="00E44CB3" w:rsidP="006C24A0" w14:paraId="5F1EA757" w14:textId="43A177FF">
      <w:pPr>
        <w:pStyle w:val="JuPara"/>
      </w:pPr>
      <w:r w:rsidRPr="00A41674">
        <w:fldChar w:fldCharType="begin"/>
      </w:r>
      <w:r w:rsidRPr="00A41674">
        <w:instrText xml:space="preserve"> SEQ level0 \*arabic \* MERGEFORMAT </w:instrText>
      </w:r>
      <w:r w:rsidRPr="00A41674">
        <w:fldChar w:fldCharType="separate"/>
      </w:r>
      <w:r w:rsidRPr="00A41674" w:rsidR="006C24A0">
        <w:rPr>
          <w:noProof/>
        </w:rPr>
        <w:t>7</w:t>
      </w:r>
      <w:r w:rsidRPr="00A41674">
        <w:rPr>
          <w:noProof/>
        </w:rPr>
        <w:fldChar w:fldCharType="end"/>
      </w:r>
      <w:r w:rsidRPr="00A41674">
        <w:t xml:space="preserve">.  Relying on Article 6 </w:t>
      </w:r>
      <w:r w:rsidRPr="00A41674">
        <w:rPr>
          <w:rFonts w:cstheme="minorHAnsi"/>
        </w:rPr>
        <w:t>§§</w:t>
      </w:r>
      <w:r w:rsidRPr="00A41674">
        <w:t xml:space="preserve"> 1 and 3 (a) and (b) of the Convention, the applicants complained that the reclassification of the offence by the court of appeal and the non-disclosure of important prosecution evidence to the defence had rendered their trial unfair.</w:t>
      </w:r>
    </w:p>
    <w:p w:rsidRPr="00A41674" w:rsidR="00E44CB3" w:rsidP="006C24A0" w14:paraId="360696B0" w14:textId="5C25C8D5">
      <w:pPr>
        <w:pStyle w:val="JuHIRoman"/>
      </w:pPr>
      <w:r w:rsidRPr="00A41674">
        <w:t>RELEVANT DOMESTIC LAW</w:t>
      </w:r>
    </w:p>
    <w:bookmarkStart w:name="Legislation" w:id="3"/>
    <w:bookmarkStart w:name="Legislation_Criminal_Code" w:id="4"/>
    <w:p w:rsidRPr="00A41674" w:rsidR="00E44CB3" w:rsidP="006C24A0" w14:paraId="35CFAEDC" w14:textId="195D9F98">
      <w:pPr>
        <w:pStyle w:val="JuPara"/>
      </w:pPr>
      <w:r w:rsidRPr="00A41674">
        <w:fldChar w:fldCharType="begin"/>
      </w:r>
      <w:r w:rsidRPr="00A41674">
        <w:instrText xml:space="preserve"> SEQ level0 \*arabic \* MERGEFORMAT </w:instrText>
      </w:r>
      <w:r w:rsidRPr="00A41674">
        <w:fldChar w:fldCharType="separate"/>
      </w:r>
      <w:r w:rsidRPr="00A41674" w:rsidR="006C24A0">
        <w:rPr>
          <w:noProof/>
        </w:rPr>
        <w:t>8</w:t>
      </w:r>
      <w:r w:rsidRPr="00A41674">
        <w:fldChar w:fldCharType="end"/>
      </w:r>
      <w:bookmarkEnd w:id="3"/>
      <w:bookmarkEnd w:id="4"/>
      <w:r w:rsidRPr="00A41674">
        <w:t>.  The relevant Articles of the Criminal Code read as follows:</w:t>
      </w:r>
    </w:p>
    <w:p w:rsidRPr="00A41674" w:rsidR="00E44CB3" w:rsidP="006C24A0" w14:paraId="7B740E5A" w14:textId="77777777">
      <w:pPr>
        <w:pStyle w:val="JuQuot"/>
        <w:jc w:val="center"/>
        <w:rPr>
          <w:b/>
        </w:rPr>
      </w:pPr>
      <w:r w:rsidRPr="00A41674">
        <w:rPr>
          <w:b/>
        </w:rPr>
        <w:t>Article 182. Misappropriation and embezzlement</w:t>
      </w:r>
    </w:p>
    <w:p w:rsidRPr="00A41674" w:rsidR="00E44CB3" w:rsidP="006C24A0" w14:paraId="2E578A22" w14:textId="1E86A0BB">
      <w:pPr>
        <w:pStyle w:val="JuQuot"/>
      </w:pPr>
      <w:r w:rsidRPr="00A41674">
        <w:t>“1. Misappropriation or embezzlement of another person</w:t>
      </w:r>
      <w:r w:rsidRPr="00A41674" w:rsidR="006C24A0">
        <w:t>’</w:t>
      </w:r>
      <w:r w:rsidRPr="00A41674">
        <w:t>s property or property rights by a person who had that property or property rights in his lawful possession or control ...</w:t>
      </w:r>
    </w:p>
    <w:p w:rsidRPr="00A41674" w:rsidR="00E44CB3" w:rsidP="006C24A0" w14:paraId="6F5B0281" w14:textId="77777777">
      <w:pPr>
        <w:pStyle w:val="JuQuot"/>
      </w:pPr>
      <w:r w:rsidRPr="00A41674">
        <w:t>2. Any such acts committed</w:t>
      </w:r>
    </w:p>
    <w:p w:rsidRPr="00A41674" w:rsidR="00E44CB3" w:rsidP="006C24A0" w14:paraId="117C0BFF" w14:textId="77777777">
      <w:pPr>
        <w:pStyle w:val="JuQuot"/>
      </w:pPr>
      <w:r w:rsidRPr="00A41674">
        <w:t>a. by a group of persons [acting] upon their prior conspiracy ...</w:t>
      </w:r>
    </w:p>
    <w:p w:rsidRPr="00A41674" w:rsidR="00E44CB3" w:rsidP="006C24A0" w14:paraId="5EE4F64C" w14:textId="77777777">
      <w:pPr>
        <w:pStyle w:val="JuQuot"/>
      </w:pPr>
      <w:r w:rsidRPr="00A41674">
        <w:t>d. through the abuse of office ...</w:t>
      </w:r>
    </w:p>
    <w:p w:rsidRPr="00A41674" w:rsidR="00E44CB3" w:rsidP="006C24A0" w14:paraId="10C9B873" w14:textId="77777777">
      <w:pPr>
        <w:pStyle w:val="JuQuot"/>
      </w:pPr>
      <w:r w:rsidRPr="00A41674">
        <w:t>3. Any such actions governed by paragraphs 1 and 2 of this Article ...</w:t>
      </w:r>
    </w:p>
    <w:p w:rsidRPr="00A41674" w:rsidR="00E44CB3" w:rsidP="006C24A0" w14:paraId="25B5CA67" w14:textId="77777777">
      <w:pPr>
        <w:pStyle w:val="JuQuot"/>
      </w:pPr>
      <w:r w:rsidRPr="00A41674">
        <w:t>b) if committed in respect of a large amount ...</w:t>
      </w:r>
    </w:p>
    <w:p w:rsidRPr="00A41674" w:rsidR="00E44CB3" w:rsidP="006C24A0" w14:paraId="4A2294DA" w14:textId="77777777">
      <w:pPr>
        <w:pStyle w:val="JuQuot"/>
      </w:pPr>
      <w:r w:rsidRPr="00A41674">
        <w:t>... shall be punishable by imprisonment for a term from seven to eleven years, and a bar on holding public office or engaging in professional activities for a period of up to three years.”</w:t>
      </w:r>
    </w:p>
    <w:p w:rsidRPr="00A41674" w:rsidR="00E44CB3" w:rsidP="006C24A0" w14:paraId="2BB55B52" w14:textId="77777777">
      <w:pPr>
        <w:pStyle w:val="JuQuot"/>
        <w:jc w:val="center"/>
        <w:rPr>
          <w:b/>
          <w:bCs/>
        </w:rPr>
      </w:pPr>
      <w:r w:rsidRPr="00A41674">
        <w:rPr>
          <w:b/>
          <w:bCs/>
        </w:rPr>
        <w:t>Article 332. Abuse of office</w:t>
      </w:r>
    </w:p>
    <w:p w:rsidRPr="00A41674" w:rsidR="00E44CB3" w:rsidP="006C24A0" w14:paraId="677D1062" w14:textId="413F96A9">
      <w:pPr>
        <w:pStyle w:val="JuQuot"/>
      </w:pPr>
      <w:r w:rsidRPr="00A41674">
        <w:t>“1. Abuse of office by an official or person of equivalent status, to the detriment of public interests and in order to gain any personal benefit or privilege, or any benefit or privilege for another person, which has substantially affected the rights of a natural or legal person, or the legal interests of society or the State, shall be punishable by a fine or a term of up to three years</w:t>
      </w:r>
      <w:r w:rsidRPr="00A41674" w:rsidR="006C24A0">
        <w:t>’</w:t>
      </w:r>
      <w:r w:rsidRPr="00A41674">
        <w:t xml:space="preserve"> imprisonment, and a bar on holding public office or engaging in professional activities for a period of up to three years.</w:t>
      </w:r>
    </w:p>
    <w:p w:rsidRPr="00A41674" w:rsidR="00E44CB3" w:rsidP="006C24A0" w14:paraId="43EA7743" w14:textId="77777777">
      <w:pPr>
        <w:pStyle w:val="JuQuot"/>
        <w:rPr>
          <w:bCs/>
        </w:rPr>
      </w:pPr>
      <w:r w:rsidRPr="00A41674">
        <w:rPr>
          <w:bCs/>
        </w:rPr>
        <w:t>...”</w:t>
      </w:r>
    </w:p>
    <w:p w:rsidRPr="00A41674" w:rsidR="00E44CB3" w:rsidP="006C24A0" w14:paraId="14EE2241" w14:textId="38ABF5B6">
      <w:pPr>
        <w:pStyle w:val="JuHHead"/>
      </w:pPr>
      <w:r w:rsidRPr="00A41674">
        <w:t>THE COURT</w:t>
      </w:r>
      <w:r w:rsidRPr="00A41674" w:rsidR="006C24A0">
        <w:t>’</w:t>
      </w:r>
      <w:r w:rsidRPr="00A41674">
        <w:t>S ASSESSMENT</w:t>
      </w:r>
    </w:p>
    <w:p w:rsidRPr="00A41674" w:rsidR="00E44CB3" w:rsidP="006C24A0" w14:paraId="0EA4D415" w14:textId="3E74072B">
      <w:pPr>
        <w:pStyle w:val="JuHIRoman"/>
        <w:numPr>
          <w:ilvl w:val="0"/>
          <w:numId w:val="0"/>
        </w:numPr>
        <w:ind w:left="284"/>
      </w:pPr>
      <w:r w:rsidRPr="00A41674">
        <w:t xml:space="preserve">ALLEGED VIOLATION OF ARTICLE 6 </w:t>
      </w:r>
      <w:r w:rsidRPr="00A41674">
        <w:rPr>
          <w:rFonts w:cstheme="minorHAnsi"/>
        </w:rPr>
        <w:t>§§</w:t>
      </w:r>
      <w:r w:rsidRPr="00A41674">
        <w:t xml:space="preserve"> 1 and 3 (</w:t>
      </w:r>
      <w:r w:rsidRPr="00A41674" w:rsidR="000C21C5">
        <w:rPr>
          <w:caps w:val="0"/>
        </w:rPr>
        <w:t>a</w:t>
      </w:r>
      <w:r w:rsidRPr="00A41674">
        <w:t>) and (</w:t>
      </w:r>
      <w:r w:rsidRPr="00A41674" w:rsidR="000C21C5">
        <w:t xml:space="preserve"> </w:t>
      </w:r>
      <w:r w:rsidRPr="00A41674" w:rsidR="000C21C5">
        <w:rPr>
          <w:caps w:val="0"/>
        </w:rPr>
        <w:t>b</w:t>
      </w:r>
      <w:r w:rsidRPr="00A41674">
        <w:t>) OF THE CONVENTION</w:t>
      </w:r>
    </w:p>
    <w:p w:rsidRPr="00A41674" w:rsidR="00E44CB3" w:rsidP="006C24A0" w14:paraId="6468F382" w14:textId="37A2A51A">
      <w:pPr>
        <w:pStyle w:val="JuPara"/>
      </w:pPr>
      <w:r w:rsidRPr="00A41674">
        <w:fldChar w:fldCharType="begin"/>
      </w:r>
      <w:r w:rsidRPr="00A41674">
        <w:instrText xml:space="preserve"> SEQ level0 \*arabic \* MERGEFORMAT </w:instrText>
      </w:r>
      <w:r w:rsidRPr="00A41674">
        <w:fldChar w:fldCharType="separate"/>
      </w:r>
      <w:r w:rsidRPr="00A41674" w:rsidR="006C24A0">
        <w:rPr>
          <w:noProof/>
        </w:rPr>
        <w:t>9</w:t>
      </w:r>
      <w:r w:rsidRPr="00A41674">
        <w:rPr>
          <w:noProof/>
        </w:rPr>
        <w:fldChar w:fldCharType="end"/>
      </w:r>
      <w:r w:rsidRPr="00A41674">
        <w:t>.  The Court notes that these complaints are not manifestly ill-founded within the meaning of Article 35 § 3 (a) of the Convention or inadmissible on any other grounds. They must therefore be declared admissible.</w:t>
      </w:r>
    </w:p>
    <w:p w:rsidRPr="00A41674" w:rsidR="00E44CB3" w:rsidP="006C24A0" w14:paraId="29529FD0" w14:textId="13B3EEC3">
      <w:pPr>
        <w:pStyle w:val="JuPara"/>
      </w:pPr>
      <w:r w:rsidRPr="00A41674">
        <w:fldChar w:fldCharType="begin"/>
      </w:r>
      <w:r w:rsidRPr="00A41674">
        <w:instrText xml:space="preserve"> SE</w:instrText>
      </w:r>
      <w:r w:rsidRPr="00A41674">
        <w:instrText xml:space="preserve">Q level0 \*arabic \* MERGEFORMAT </w:instrText>
      </w:r>
      <w:r w:rsidRPr="00A41674">
        <w:fldChar w:fldCharType="separate"/>
      </w:r>
      <w:r w:rsidRPr="00A41674" w:rsidR="006C24A0">
        <w:rPr>
          <w:noProof/>
        </w:rPr>
        <w:t>10</w:t>
      </w:r>
      <w:r w:rsidRPr="00A41674">
        <w:rPr>
          <w:noProof/>
        </w:rPr>
        <w:fldChar w:fldCharType="end"/>
      </w:r>
      <w:r w:rsidRPr="00A41674">
        <w:t xml:space="preserve">.  The applicants pointed out that they had never defended themselves against a charge of abuse of office because they had not been indicted on such </w:t>
      </w:r>
      <w:r w:rsidRPr="00A41674">
        <w:t>a charge. They further submitted that the major findings of the forensic report, on which their conviction had heavily relied, were based on undisclosed materials and information, undermining the completeness and reliability of the report itself.</w:t>
      </w:r>
    </w:p>
    <w:p w:rsidRPr="00A41674" w:rsidR="00E44CB3" w:rsidP="006C24A0" w14:paraId="61C9C361" w14:textId="2B48E86B">
      <w:pPr>
        <w:pStyle w:val="JuPara"/>
      </w:pPr>
      <w:r w:rsidRPr="00A41674">
        <w:fldChar w:fldCharType="begin"/>
      </w:r>
      <w:r w:rsidRPr="00A41674">
        <w:instrText xml:space="preserve"> SEQ level0 \*arabic \* MERGEFORMAT </w:instrText>
      </w:r>
      <w:r w:rsidRPr="00A41674">
        <w:fldChar w:fldCharType="separate"/>
      </w:r>
      <w:r w:rsidRPr="00A41674" w:rsidR="006C24A0">
        <w:rPr>
          <w:noProof/>
        </w:rPr>
        <w:t>11</w:t>
      </w:r>
      <w:r w:rsidRPr="00A41674">
        <w:rPr>
          <w:noProof/>
        </w:rPr>
        <w:fldChar w:fldCharType="end"/>
      </w:r>
      <w:r w:rsidRPr="00A41674">
        <w:t>.  The Government submitted that at the very outset the investigation had started under Article 332 of the Criminal Code into the criminal offence of abuse of office. Thus, the potential alternative legal characterisation of the impugned facts had been known to the applicants. They also pointed out that the fact that the applicants had been charged and convicted at first instance with aggravated embezzlement committed through the abuse of power, rendered their offence very similar to that of abuse of office. As regards the forensic report, the Government argued, among others, that it was by no means the decisive evidence for establishing the applicants</w:t>
      </w:r>
      <w:r w:rsidRPr="00A41674" w:rsidR="006C24A0">
        <w:t>’</w:t>
      </w:r>
      <w:r w:rsidRPr="00A41674">
        <w:t xml:space="preserve"> guilt.</w:t>
      </w:r>
    </w:p>
    <w:p w:rsidRPr="00A41674" w:rsidR="006C24A0" w:rsidP="006C24A0" w14:paraId="0D327E3D" w14:textId="0026E9A3">
      <w:pPr>
        <w:pStyle w:val="JuPara"/>
      </w:pPr>
      <w:r w:rsidRPr="00A41674">
        <w:fldChar w:fldCharType="begin"/>
      </w:r>
      <w:r w:rsidRPr="00A41674">
        <w:instrText xml:space="preserve"> SEQ level0 \*arabic </w:instrText>
      </w:r>
      <w:r w:rsidRPr="00A41674">
        <w:fldChar w:fldCharType="separate"/>
      </w:r>
      <w:r w:rsidRPr="00A41674">
        <w:rPr>
          <w:noProof/>
        </w:rPr>
        <w:t>12</w:t>
      </w:r>
      <w:r w:rsidRPr="00A41674">
        <w:fldChar w:fldCharType="end"/>
      </w:r>
      <w:r w:rsidRPr="00A41674">
        <w:t>.  Starting with the first limb of the applicants</w:t>
      </w:r>
      <w:r w:rsidRPr="00A41674">
        <w:t>’</w:t>
      </w:r>
      <w:r w:rsidRPr="00A41674">
        <w:t xml:space="preserve"> complaint concerning the reclassification of the offence, the general principles concerning the right to be informed of the nature and the cause of an accusation, including its legal characterisation, and the accused</w:t>
      </w:r>
      <w:r w:rsidRPr="00A41674">
        <w:t>’</w:t>
      </w:r>
      <w:r w:rsidRPr="00A41674">
        <w:t>s right to prepare his or her defence have been summarised in</w:t>
      </w:r>
      <w:bookmarkStart w:name="_cl33946" w:id="5"/>
      <w:r w:rsidRPr="00A41674">
        <w:t xml:space="preserve"> </w:t>
      </w:r>
      <w:bookmarkStart w:name="_cl33927" w:id="6"/>
      <w:r w:rsidRPr="00A41674">
        <w:rPr>
          <w:i/>
          <w:iCs/>
        </w:rPr>
        <w:t>Pélissier and Sassi v. France</w:t>
      </w:r>
      <w:bookmarkEnd w:id="6"/>
      <w:r w:rsidRPr="00A41674">
        <w:t xml:space="preserve"> ([GC], no.</w:t>
      </w:r>
      <w:r w:rsidRPr="00A41674" w:rsidR="00493140">
        <w:t> </w:t>
      </w:r>
      <w:r w:rsidRPr="00A41674">
        <w:t>25444/94, §§ 51</w:t>
      </w:r>
      <w:r w:rsidRPr="00A41674">
        <w:noBreakHyphen/>
        <w:t xml:space="preserve">54, ECHR 1999-II) and </w:t>
      </w:r>
      <w:r w:rsidRPr="00A41674">
        <w:rPr>
          <w:i/>
          <w:iCs/>
        </w:rPr>
        <w:t>Penev v. Bulgaria</w:t>
      </w:r>
      <w:bookmarkEnd w:id="5"/>
      <w:r w:rsidRPr="00A41674">
        <w:t xml:space="preserve"> (no. 20494/04, §§</w:t>
      </w:r>
      <w:r w:rsidRPr="00A41674" w:rsidR="00E64EDC">
        <w:t> </w:t>
      </w:r>
      <w:r w:rsidRPr="00A41674">
        <w:t>33-34 and</w:t>
      </w:r>
      <w:r w:rsidRPr="00A41674" w:rsidR="00493140">
        <w:t> </w:t>
      </w:r>
      <w:r w:rsidRPr="00A41674">
        <w:t>42, 7</w:t>
      </w:r>
      <w:r w:rsidRPr="00A41674" w:rsidR="00E85D52">
        <w:t xml:space="preserve"> </w:t>
      </w:r>
      <w:r w:rsidRPr="00A41674">
        <w:t xml:space="preserve">January 2010; see also </w:t>
      </w:r>
      <w:bookmarkStart w:name="_cl27739" w:id="7"/>
      <w:r w:rsidRPr="00A41674">
        <w:rPr>
          <w:i/>
          <w:iCs/>
        </w:rPr>
        <w:t>I.H. and Others v. Austria</w:t>
      </w:r>
      <w:bookmarkEnd w:id="7"/>
      <w:r w:rsidRPr="00A41674">
        <w:t>, no.</w:t>
      </w:r>
      <w:r w:rsidRPr="00A41674" w:rsidR="00493140">
        <w:t> </w:t>
      </w:r>
      <w:bookmarkStart w:name="_cl27739THECOURTSASSESSMENT" w:id="8"/>
      <w:r w:rsidRPr="00A41674">
        <w:t>42780/98, §</w:t>
      </w:r>
      <w:r w:rsidRPr="00A41674" w:rsidR="00E64EDC">
        <w:t> </w:t>
      </w:r>
      <w:r w:rsidRPr="00A41674">
        <w:t>34, 20 April 2</w:t>
      </w:r>
      <w:bookmarkEnd w:id="8"/>
      <w:r w:rsidRPr="00A41674">
        <w:t>006).</w:t>
      </w:r>
    </w:p>
    <w:p w:rsidRPr="00A41674" w:rsidR="00E44CB3" w:rsidP="006C24A0" w14:paraId="41A23A12" w14:textId="61EC646C">
      <w:pPr>
        <w:pStyle w:val="JuPara"/>
      </w:pPr>
      <w:r w:rsidRPr="00A41674">
        <w:fldChar w:fldCharType="begin"/>
      </w:r>
      <w:r w:rsidRPr="00A41674">
        <w:instrText xml:space="preserve"> SEQ level0 \*arabic \* MERGEFORMAT </w:instrText>
      </w:r>
      <w:r w:rsidRPr="00A41674">
        <w:fldChar w:fldCharType="separate"/>
      </w:r>
      <w:r w:rsidRPr="00A41674" w:rsidR="006C24A0">
        <w:rPr>
          <w:noProof/>
        </w:rPr>
        <w:t>13</w:t>
      </w:r>
      <w:r w:rsidRPr="00A41674">
        <w:rPr>
          <w:noProof/>
        </w:rPr>
        <w:fldChar w:fldCharType="end"/>
      </w:r>
      <w:r w:rsidRPr="00A41674">
        <w:t>.  The Court notes that the indictment, setting out the factual and legal basis of the charges against the defendant, plays a central role in criminal proceedings (see </w:t>
      </w:r>
      <w:r w:rsidRPr="00A41674">
        <w:rPr>
          <w:i/>
          <w:iCs/>
        </w:rPr>
        <w:t>Kamasinski v. Austria</w:t>
      </w:r>
      <w:r w:rsidRPr="00A41674">
        <w:t>, 19</w:t>
      </w:r>
      <w:r w:rsidRPr="00A41674" w:rsidR="00E85D52">
        <w:t xml:space="preserve"> </w:t>
      </w:r>
      <w:r w:rsidRPr="00A41674">
        <w:t>December 1989, §</w:t>
      </w:r>
      <w:r w:rsidRPr="00A41674" w:rsidR="00E64EDC">
        <w:t> </w:t>
      </w:r>
      <w:r w:rsidRPr="00A41674">
        <w:t>79, Series A no.</w:t>
      </w:r>
      <w:r w:rsidRPr="00A41674" w:rsidR="00D54EF1">
        <w:t> </w:t>
      </w:r>
      <w:r w:rsidRPr="00A41674">
        <w:t>168, and</w:t>
      </w:r>
      <w:r w:rsidRPr="00A41674" w:rsidR="00E64EDC">
        <w:t xml:space="preserve"> </w:t>
      </w:r>
      <w:r w:rsidRPr="00A41674">
        <w:rPr>
          <w:i/>
          <w:iCs/>
        </w:rPr>
        <w:t>Varela Geis v. Spain</w:t>
      </w:r>
      <w:r w:rsidRPr="00A41674">
        <w:t>, no. </w:t>
      </w:r>
      <w:hyperlink w:tgtFrame="_blank" w:history="1" w:anchor="{%22appno%22:[%2261005/09%22]}" r:id="rId9">
        <w:r w:rsidRPr="00A41674">
          <w:t>61005/09</w:t>
        </w:r>
      </w:hyperlink>
      <w:r w:rsidRPr="00A41674">
        <w:t>, §</w:t>
      </w:r>
      <w:r w:rsidRPr="00A41674" w:rsidR="00E64EDC">
        <w:t> </w:t>
      </w:r>
      <w:r w:rsidRPr="00A41674">
        <w:t>51, 5</w:t>
      </w:r>
      <w:r w:rsidRPr="00A41674" w:rsidR="00E64EDC">
        <w:t> </w:t>
      </w:r>
      <w:r w:rsidRPr="00A41674">
        <w:t xml:space="preserve">March 2013). In the present case, the applicants were charged with aggravated embezzlement only (see paragraph </w:t>
      </w:r>
      <w:r w:rsidRPr="00A41674">
        <w:fldChar w:fldCharType="begin"/>
      </w:r>
      <w:r w:rsidRPr="00A41674">
        <w:instrText xml:space="preserve"> REF Facts_charges \h </w:instrText>
      </w:r>
      <w:r w:rsidRPr="00A41674">
        <w:fldChar w:fldCharType="separate"/>
      </w:r>
      <w:r w:rsidRPr="00A41674" w:rsidR="006C24A0">
        <w:rPr>
          <w:noProof/>
        </w:rPr>
        <w:t>2</w:t>
      </w:r>
      <w:r w:rsidRPr="00A41674">
        <w:fldChar w:fldCharType="end"/>
      </w:r>
      <w:r w:rsidRPr="00A41674">
        <w:t xml:space="preserve"> above). </w:t>
      </w:r>
      <w:r w:rsidRPr="00A41674">
        <w:rPr>
          <w:rFonts w:cstheme="minorHAnsi"/>
          <w:color w:val="000000"/>
        </w:rPr>
        <w:t xml:space="preserve">Embezzlement and abuse of office are different offences under Georgian criminal law and the elements which have to be proven to secure a conviction differ (see paragraph </w:t>
      </w:r>
      <w:r w:rsidRPr="00A41674">
        <w:rPr>
          <w:rFonts w:cstheme="minorHAnsi"/>
          <w:color w:val="000000"/>
        </w:rPr>
        <w:fldChar w:fldCharType="begin"/>
      </w:r>
      <w:r w:rsidRPr="00A41674">
        <w:rPr>
          <w:rFonts w:cstheme="minorHAnsi"/>
          <w:color w:val="000000"/>
        </w:rPr>
        <w:instrText xml:space="preserve"> REF Legislation_Criminal_Code \h  \* MERGEFORMAT </w:instrText>
      </w:r>
      <w:r w:rsidRPr="00A41674">
        <w:rPr>
          <w:rFonts w:cstheme="minorHAnsi"/>
          <w:color w:val="000000"/>
        </w:rPr>
        <w:fldChar w:fldCharType="separate"/>
      </w:r>
      <w:r w:rsidRPr="00A41674" w:rsidR="006C24A0">
        <w:t>8</w:t>
      </w:r>
      <w:r w:rsidRPr="00A41674">
        <w:rPr>
          <w:rFonts w:cstheme="minorHAnsi"/>
          <w:color w:val="000000"/>
        </w:rPr>
        <w:fldChar w:fldCharType="end"/>
      </w:r>
      <w:r w:rsidRPr="00A41674">
        <w:rPr>
          <w:rFonts w:cstheme="minorHAnsi"/>
          <w:color w:val="000000"/>
        </w:rPr>
        <w:t xml:space="preserve"> above)</w:t>
      </w:r>
      <w:r w:rsidRPr="00A41674" w:rsidR="000C21C5">
        <w:rPr>
          <w:rFonts w:cstheme="minorHAnsi"/>
          <w:color w:val="000000"/>
        </w:rPr>
        <w:t>.</w:t>
      </w:r>
      <w:r w:rsidRPr="00A41674">
        <w:rPr>
          <w:rFonts w:cstheme="minorHAnsi"/>
          <w:color w:val="000000"/>
        </w:rPr>
        <w:t xml:space="preserve"> </w:t>
      </w:r>
      <w:r w:rsidRPr="00A41674">
        <w:t xml:space="preserve">Thus, in case of abuse of office one of the constituent elements of the offence is the intent “to gain any personal benefit or privilege, or any benefit or privilege for another person”, whereas such an element is not inherently part of the offence of embezzlement (see, </w:t>
      </w:r>
      <w:r w:rsidRPr="00A41674">
        <w:rPr>
          <w:i/>
          <w:iCs/>
        </w:rPr>
        <w:t>mutatis mutandis,</w:t>
      </w:r>
      <w:r w:rsidRPr="00A41674">
        <w:t xml:space="preserve"> </w:t>
      </w:r>
      <w:bookmarkStart w:name="_cl20308" w:id="9"/>
      <w:r w:rsidRPr="00A41674">
        <w:rPr>
          <w:i/>
          <w:iCs/>
        </w:rPr>
        <w:t>Adrian Constantin v.</w:t>
      </w:r>
      <w:r w:rsidRPr="00A41674" w:rsidR="00D54EF1">
        <w:rPr>
          <w:i/>
          <w:iCs/>
        </w:rPr>
        <w:t> </w:t>
      </w:r>
      <w:r w:rsidRPr="00A41674">
        <w:rPr>
          <w:i/>
          <w:iCs/>
        </w:rPr>
        <w:t>Romania</w:t>
      </w:r>
      <w:bookmarkEnd w:id="9"/>
      <w:r w:rsidRPr="00A41674">
        <w:t>, no.</w:t>
      </w:r>
      <w:r w:rsidRPr="00A41674" w:rsidR="00E64EDC">
        <w:t> </w:t>
      </w:r>
      <w:r w:rsidRPr="00A41674">
        <w:t>21175/03, §</w:t>
      </w:r>
      <w:r w:rsidRPr="00A41674" w:rsidR="000649CB">
        <w:t> </w:t>
      </w:r>
      <w:r w:rsidRPr="00A41674">
        <w:t>23, 12</w:t>
      </w:r>
      <w:r w:rsidRPr="00A41674" w:rsidR="00E85D52">
        <w:t xml:space="preserve"> </w:t>
      </w:r>
      <w:r w:rsidRPr="00A41674">
        <w:t>April 2011</w:t>
      </w:r>
      <w:r w:rsidRPr="00A41674">
        <w:rPr>
          <w:rFonts w:cstheme="minorHAnsi"/>
        </w:rPr>
        <w:t xml:space="preserve">, and </w:t>
      </w:r>
      <w:bookmarkStart w:name="_cl26312THECOURTSASSESSMENT" w:id="10"/>
      <w:r w:rsidRPr="00A41674">
        <w:rPr>
          <w:rFonts w:cstheme="minorHAnsi"/>
          <w:i/>
          <w:iCs/>
        </w:rPr>
        <w:t>Gelenidze v. Georgia</w:t>
      </w:r>
      <w:bookmarkEnd w:id="10"/>
      <w:r w:rsidRPr="00A41674">
        <w:rPr>
          <w:rFonts w:cstheme="minorHAnsi"/>
        </w:rPr>
        <w:t>, no.</w:t>
      </w:r>
      <w:r w:rsidRPr="00A41674" w:rsidR="00493140">
        <w:rPr>
          <w:rFonts w:cstheme="minorHAnsi"/>
        </w:rPr>
        <w:t> </w:t>
      </w:r>
      <w:r w:rsidRPr="00A41674">
        <w:rPr>
          <w:rFonts w:cstheme="minorHAnsi"/>
        </w:rPr>
        <w:t>72916/10, §</w:t>
      </w:r>
      <w:r w:rsidRPr="00A41674" w:rsidR="000649CB">
        <w:rPr>
          <w:rFonts w:cstheme="minorHAnsi"/>
        </w:rPr>
        <w:t> </w:t>
      </w:r>
      <w:r w:rsidRPr="00A41674">
        <w:rPr>
          <w:rFonts w:cstheme="minorHAnsi"/>
        </w:rPr>
        <w:t>33, 7</w:t>
      </w:r>
      <w:r w:rsidRPr="00A41674" w:rsidR="00E85D52">
        <w:rPr>
          <w:rFonts w:cstheme="minorHAnsi"/>
        </w:rPr>
        <w:t xml:space="preserve"> </w:t>
      </w:r>
      <w:r w:rsidRPr="00A41674">
        <w:rPr>
          <w:rFonts w:cstheme="minorHAnsi"/>
        </w:rPr>
        <w:t>November 2019</w:t>
      </w:r>
      <w:r w:rsidRPr="00A41674">
        <w:t>). In this connection, t</w:t>
      </w:r>
      <w:r w:rsidRPr="00A41674">
        <w:rPr>
          <w:rFonts w:cstheme="minorHAnsi"/>
        </w:rPr>
        <w:t>he Court does not accept the Government</w:t>
      </w:r>
      <w:r w:rsidRPr="00A41674" w:rsidR="006C24A0">
        <w:rPr>
          <w:rFonts w:cstheme="minorHAnsi"/>
        </w:rPr>
        <w:t>’</w:t>
      </w:r>
      <w:r w:rsidRPr="00A41674">
        <w:rPr>
          <w:rFonts w:cstheme="minorHAnsi"/>
        </w:rPr>
        <w:t>s contention, relied on by the national courts (see paragraphs</w:t>
      </w:r>
      <w:r w:rsidRPr="00A41674" w:rsidR="00D54EF1">
        <w:rPr>
          <w:rFonts w:cstheme="minorHAnsi"/>
        </w:rPr>
        <w:t> </w:t>
      </w:r>
      <w:r w:rsidRPr="00A41674">
        <w:rPr>
          <w:rFonts w:cstheme="minorHAnsi"/>
        </w:rPr>
        <w:fldChar w:fldCharType="begin"/>
      </w:r>
      <w:r w:rsidRPr="00A41674">
        <w:rPr>
          <w:rFonts w:cstheme="minorHAnsi"/>
        </w:rPr>
        <w:instrText xml:space="preserve"> REF Facts_appeal_court \h  \* MERGEFORMAT </w:instrText>
      </w:r>
      <w:r w:rsidRPr="00A41674">
        <w:rPr>
          <w:rFonts w:cstheme="minorHAnsi"/>
        </w:rPr>
        <w:fldChar w:fldCharType="separate"/>
      </w:r>
      <w:r w:rsidRPr="00A41674" w:rsidR="006C24A0">
        <w:t>4</w:t>
      </w:r>
      <w:r w:rsidRPr="00A41674">
        <w:rPr>
          <w:rFonts w:cstheme="minorHAnsi"/>
        </w:rPr>
        <w:fldChar w:fldCharType="end"/>
      </w:r>
      <w:r w:rsidRPr="00A41674" w:rsidR="00493140">
        <w:rPr>
          <w:rFonts w:cstheme="minorHAnsi"/>
        </w:rPr>
        <w:noBreakHyphen/>
      </w:r>
      <w:r w:rsidRPr="00A41674">
        <w:rPr>
          <w:rFonts w:cstheme="minorHAnsi"/>
        </w:rPr>
        <w:fldChar w:fldCharType="begin"/>
      </w:r>
      <w:r w:rsidRPr="00A41674">
        <w:rPr>
          <w:rFonts w:cstheme="minorHAnsi"/>
        </w:rPr>
        <w:instrText xml:space="preserve"> REF Facts_Supreme_court \h  \* MERGEFORMAT </w:instrText>
      </w:r>
      <w:r w:rsidRPr="00A41674">
        <w:rPr>
          <w:rFonts w:cstheme="minorHAnsi"/>
        </w:rPr>
        <w:fldChar w:fldCharType="separate"/>
      </w:r>
      <w:r w:rsidRPr="00A41674" w:rsidR="006C24A0">
        <w:rPr>
          <w:rFonts w:asciiTheme="majorHAnsi" w:hAnsiTheme="majorHAnsi" w:cstheme="majorHAnsi"/>
        </w:rPr>
        <w:t>5</w:t>
      </w:r>
      <w:r w:rsidRPr="00A41674">
        <w:rPr>
          <w:rFonts w:cstheme="minorHAnsi"/>
        </w:rPr>
        <w:fldChar w:fldCharType="end"/>
      </w:r>
      <w:r w:rsidRPr="00A41674">
        <w:rPr>
          <w:rFonts w:cstheme="minorHAnsi"/>
        </w:rPr>
        <w:t xml:space="preserve"> above) that the legal characterisation of the offence was of little importance as long as the amended conviction was based on the same facts. </w:t>
      </w:r>
      <w:r w:rsidRPr="00A41674">
        <w:rPr>
          <w:rFonts w:cstheme="minorHAnsi"/>
          <w:color w:val="000000"/>
        </w:rPr>
        <w:t xml:space="preserve">It reiterates that the Convention requires that the accused be informed in detail not only of the acts he or she is alleged to have committed, that is, of the facts underlying the charges, but also of the legal characterisation given to them (see </w:t>
      </w:r>
      <w:bookmarkStart w:name="_cl33946THECOURTSASSESSMENT" w:id="11"/>
      <w:r w:rsidRPr="00A41674">
        <w:rPr>
          <w:i/>
          <w:iCs/>
        </w:rPr>
        <w:t xml:space="preserve">Penev, </w:t>
      </w:r>
      <w:r w:rsidRPr="00A41674">
        <w:t xml:space="preserve">cited above, </w:t>
      </w:r>
      <w:bookmarkEnd w:id="11"/>
      <w:r w:rsidRPr="00A41674">
        <w:t>§</w:t>
      </w:r>
      <w:r w:rsidRPr="00A41674" w:rsidR="000649CB">
        <w:t> </w:t>
      </w:r>
      <w:r w:rsidRPr="00A41674">
        <w:t xml:space="preserve">42, and </w:t>
      </w:r>
      <w:bookmarkStart w:name="_cl24631THECOURTSASSESSMENT" w:id="12"/>
      <w:r w:rsidRPr="00A41674">
        <w:rPr>
          <w:i/>
          <w:iCs/>
        </w:rPr>
        <w:t>D.M.T. and D.K.I. v.</w:t>
      </w:r>
      <w:r w:rsidRPr="00A41674" w:rsidR="00D54EF1">
        <w:rPr>
          <w:i/>
          <w:iCs/>
        </w:rPr>
        <w:t> </w:t>
      </w:r>
      <w:r w:rsidRPr="00A41674">
        <w:rPr>
          <w:i/>
          <w:iCs/>
        </w:rPr>
        <w:t>Bulgaria</w:t>
      </w:r>
      <w:bookmarkEnd w:id="12"/>
      <w:r w:rsidRPr="00A41674">
        <w:t>, no.</w:t>
      </w:r>
      <w:r w:rsidRPr="00A41674" w:rsidR="004F5784">
        <w:t> </w:t>
      </w:r>
      <w:r w:rsidRPr="00A41674">
        <w:t>29476/06, §</w:t>
      </w:r>
      <w:r w:rsidRPr="00A41674" w:rsidR="000649CB">
        <w:t> </w:t>
      </w:r>
      <w:r w:rsidRPr="00A41674">
        <w:t>80, 24</w:t>
      </w:r>
      <w:r w:rsidRPr="00A41674" w:rsidR="00E85D52">
        <w:t xml:space="preserve"> </w:t>
      </w:r>
      <w:r w:rsidRPr="00A41674">
        <w:t xml:space="preserve">July 2012). </w:t>
      </w:r>
      <w:r w:rsidRPr="00A41674">
        <w:rPr>
          <w:rFonts w:cstheme="minorHAnsi"/>
          <w:color w:val="000000"/>
        </w:rPr>
        <w:t xml:space="preserve">Throughout their trial, the applicants defended themselves against the charge of embezzlement only. Ultimately, </w:t>
      </w:r>
      <w:r w:rsidRPr="00A41674">
        <w:rPr>
          <w:rFonts w:cstheme="minorHAnsi"/>
          <w:color w:val="000000"/>
        </w:rPr>
        <w:t xml:space="preserve">the Tbilisi Court of Appeal found that charge unproved, since one of the constituent elements of the crime – control over the assets to be embezzled – was missing (see paragraph </w:t>
      </w:r>
      <w:r w:rsidRPr="00A41674">
        <w:rPr>
          <w:rFonts w:cstheme="minorHAnsi"/>
          <w:color w:val="000000"/>
        </w:rPr>
        <w:fldChar w:fldCharType="begin"/>
      </w:r>
      <w:r w:rsidRPr="00A41674">
        <w:rPr>
          <w:rFonts w:cstheme="minorHAnsi"/>
          <w:color w:val="000000"/>
        </w:rPr>
        <w:instrText xml:space="preserve"> REF Facts_appeal_court \h </w:instrText>
      </w:r>
      <w:r w:rsidRPr="00A41674">
        <w:rPr>
          <w:rFonts w:cstheme="minorHAnsi"/>
          <w:color w:val="000000"/>
        </w:rPr>
        <w:fldChar w:fldCharType="separate"/>
      </w:r>
      <w:r w:rsidRPr="00A41674" w:rsidR="006C24A0">
        <w:rPr>
          <w:noProof/>
        </w:rPr>
        <w:t>4</w:t>
      </w:r>
      <w:r w:rsidRPr="00A41674">
        <w:rPr>
          <w:rFonts w:cstheme="minorHAnsi"/>
          <w:color w:val="000000"/>
        </w:rPr>
        <w:fldChar w:fldCharType="end"/>
      </w:r>
      <w:r w:rsidRPr="00A41674">
        <w:rPr>
          <w:rFonts w:cstheme="minorHAnsi"/>
          <w:color w:val="000000"/>
        </w:rPr>
        <w:t xml:space="preserve"> above). </w:t>
      </w:r>
      <w:r w:rsidRPr="00A41674">
        <w:t xml:space="preserve">Prior to rendering a new judgment, the Tbilisi Court of Appeal did not warn the applicants that their offence could be requalified (see paragraph </w:t>
      </w:r>
      <w:r w:rsidRPr="00A41674">
        <w:fldChar w:fldCharType="begin"/>
      </w:r>
      <w:r w:rsidRPr="00A41674">
        <w:instrText xml:space="preserve"> REF Facts_appeal_court \h  \* MERGEFORMAT </w:instrText>
      </w:r>
      <w:r w:rsidRPr="00A41674">
        <w:fldChar w:fldCharType="separate"/>
      </w:r>
      <w:r w:rsidRPr="00A41674" w:rsidR="006C24A0">
        <w:t>4</w:t>
      </w:r>
      <w:r w:rsidRPr="00A41674">
        <w:fldChar w:fldCharType="end"/>
      </w:r>
      <w:r w:rsidRPr="00A41674">
        <w:t xml:space="preserve"> above). The hearing was not adjourned for further argument and the elements of the new offence were not debated in court (see </w:t>
      </w:r>
      <w:bookmarkStart w:name="_cl26312" w:id="13"/>
      <w:r w:rsidRPr="00A41674">
        <w:rPr>
          <w:i/>
          <w:iCs/>
        </w:rPr>
        <w:t xml:space="preserve">Gelenidze, </w:t>
      </w:r>
      <w:r w:rsidRPr="00A41674">
        <w:t xml:space="preserve">cited above, </w:t>
      </w:r>
      <w:bookmarkEnd w:id="13"/>
      <w:r w:rsidRPr="00A41674">
        <w:t>§</w:t>
      </w:r>
      <w:r w:rsidRPr="00A41674" w:rsidR="00E85D52">
        <w:t> </w:t>
      </w:r>
      <w:r w:rsidRPr="00A41674">
        <w:t xml:space="preserve">35; see also </w:t>
      </w:r>
      <w:r w:rsidRPr="00A41674">
        <w:rPr>
          <w:i/>
          <w:iCs/>
        </w:rPr>
        <w:t xml:space="preserve">Penev, </w:t>
      </w:r>
      <w:r w:rsidRPr="00A41674">
        <w:t xml:space="preserve">cited above, </w:t>
      </w:r>
      <w:r w:rsidRPr="00A41674">
        <w:rPr>
          <w:rFonts w:cstheme="minorHAnsi"/>
        </w:rPr>
        <w:t>§</w:t>
      </w:r>
      <w:r w:rsidRPr="00A41674" w:rsidR="000649CB">
        <w:rPr>
          <w:rFonts w:cstheme="minorHAnsi"/>
        </w:rPr>
        <w:t> </w:t>
      </w:r>
      <w:r w:rsidRPr="00A41674">
        <w:rPr>
          <w:rFonts w:cstheme="minorHAnsi"/>
        </w:rPr>
        <w:t>43</w:t>
      </w:r>
      <w:r w:rsidRPr="00A41674">
        <w:t>). The applicants only learned of the new legal characterisation of the facts in the appellate court</w:t>
      </w:r>
      <w:r w:rsidRPr="00A41674" w:rsidR="006C24A0">
        <w:t>’</w:t>
      </w:r>
      <w:r w:rsidRPr="00A41674">
        <w:t>s judgment. In such circumstances, while the Court accepts that the appeal court had jurisdiction to reclassify the offence, it should have afforded the applicants the possibility of exercising their defence rights on that issue in a practical and effective manner and, in particular, in good time.</w:t>
      </w:r>
    </w:p>
    <w:p w:rsidRPr="00A41674" w:rsidR="00E44CB3" w:rsidP="006C24A0" w14:paraId="079AA008" w14:textId="327D2D12">
      <w:pPr>
        <w:pStyle w:val="JuPara"/>
        <w:rPr>
          <w:rFonts w:cstheme="minorHAnsi"/>
        </w:rPr>
      </w:pPr>
      <w:r w:rsidRPr="00A41674">
        <w:fldChar w:fldCharType="begin"/>
      </w:r>
      <w:r w:rsidRPr="00A41674">
        <w:instrText xml:space="preserve"> SEQ level0 \*arabic \* MERGEFORMAT </w:instrText>
      </w:r>
      <w:r w:rsidRPr="00A41674">
        <w:fldChar w:fldCharType="separate"/>
      </w:r>
      <w:r w:rsidRPr="00A41674" w:rsidR="006C24A0">
        <w:rPr>
          <w:noProof/>
        </w:rPr>
        <w:t>14</w:t>
      </w:r>
      <w:r w:rsidRPr="00A41674">
        <w:rPr>
          <w:noProof/>
        </w:rPr>
        <w:fldChar w:fldCharType="end"/>
      </w:r>
      <w:r w:rsidRPr="00A41674">
        <w:t xml:space="preserve">.  The Court cannot speculate as to the merits of the defence the applicants could have relied on had they had an opportunity to make targeted submissions on the offence of abuse of office of which they were eventually found guilty. </w:t>
      </w:r>
      <w:r w:rsidRPr="00A41674">
        <w:rPr>
          <w:rFonts w:cstheme="minorHAnsi"/>
        </w:rPr>
        <w:t>However, they should have been afforded an opportunity to do so.</w:t>
      </w:r>
    </w:p>
    <w:p w:rsidRPr="00A41674" w:rsidR="00E44CB3" w:rsidP="006C24A0" w14:paraId="51F9FE10" w14:textId="4CE9BF53">
      <w:pPr>
        <w:pStyle w:val="JuPara"/>
        <w:rPr>
          <w:rFonts w:cstheme="minorHAnsi"/>
          <w:color w:val="000000"/>
        </w:rPr>
      </w:pPr>
      <w:r w:rsidRPr="00A41674">
        <w:rPr>
          <w:rFonts w:cstheme="minorHAnsi"/>
          <w:color w:val="000000"/>
        </w:rPr>
        <w:fldChar w:fldCharType="begin"/>
      </w:r>
      <w:r w:rsidRPr="00A41674">
        <w:rPr>
          <w:rFonts w:cstheme="minorHAnsi"/>
          <w:color w:val="000000"/>
        </w:rPr>
        <w:instrText xml:space="preserve"> SEQ level0 \*arabic \* MERGEFORMAT </w:instrText>
      </w:r>
      <w:r w:rsidRPr="00A41674">
        <w:rPr>
          <w:rFonts w:cstheme="minorHAnsi"/>
          <w:color w:val="000000"/>
        </w:rPr>
        <w:fldChar w:fldCharType="separate"/>
      </w:r>
      <w:r w:rsidRPr="00A41674" w:rsidR="006C24A0">
        <w:rPr>
          <w:rFonts w:cstheme="minorHAnsi"/>
          <w:noProof/>
          <w:color w:val="000000"/>
        </w:rPr>
        <w:t>15</w:t>
      </w:r>
      <w:r w:rsidRPr="00A41674">
        <w:rPr>
          <w:rFonts w:cstheme="minorHAnsi"/>
          <w:color w:val="000000"/>
        </w:rPr>
        <w:fldChar w:fldCharType="end"/>
      </w:r>
      <w:r w:rsidRPr="00A41674">
        <w:rPr>
          <w:rFonts w:cstheme="minorHAnsi"/>
          <w:color w:val="000000"/>
        </w:rPr>
        <w:t>.  Accordingly, the Tbilisi Court of Appeal did not afford the applicants the possibility of adjusting their defence to the new charge. As for the Supreme Court, which could have reviewed the case in full, it failed to remedy the defects of the appeal proceedings by rejecting the applicants</w:t>
      </w:r>
      <w:r w:rsidRPr="00A41674" w:rsidR="006C24A0">
        <w:rPr>
          <w:rFonts w:cstheme="minorHAnsi"/>
          <w:color w:val="000000"/>
        </w:rPr>
        <w:t>’</w:t>
      </w:r>
      <w:r w:rsidRPr="00A41674">
        <w:rPr>
          <w:rFonts w:cstheme="minorHAnsi"/>
          <w:color w:val="000000"/>
        </w:rPr>
        <w:t xml:space="preserve"> appeal on points of law as inadmissible (see </w:t>
      </w:r>
      <w:bookmarkStart w:name="_cl28450THECOURTSASSESSMENT" w:id="14"/>
      <w:r w:rsidRPr="00A41674">
        <w:rPr>
          <w:rFonts w:cstheme="minorHAnsi"/>
          <w:i/>
          <w:iCs/>
          <w:color w:val="000000"/>
        </w:rPr>
        <w:t>Juha Nuutinen v.</w:t>
      </w:r>
      <w:r w:rsidRPr="00A41674" w:rsidR="00D54EF1">
        <w:rPr>
          <w:rFonts w:cstheme="minorHAnsi"/>
          <w:i/>
          <w:iCs/>
          <w:color w:val="000000"/>
        </w:rPr>
        <w:t> </w:t>
      </w:r>
      <w:r w:rsidRPr="00A41674">
        <w:rPr>
          <w:rFonts w:cstheme="minorHAnsi"/>
          <w:i/>
          <w:iCs/>
          <w:color w:val="000000"/>
        </w:rPr>
        <w:t>Finland</w:t>
      </w:r>
      <w:bookmarkEnd w:id="14"/>
      <w:r w:rsidRPr="00A41674">
        <w:rPr>
          <w:rFonts w:cstheme="minorHAnsi"/>
          <w:color w:val="000000"/>
        </w:rPr>
        <w:t>, no.</w:t>
      </w:r>
      <w:r w:rsidRPr="00A41674" w:rsidR="00493140">
        <w:rPr>
          <w:rFonts w:cstheme="minorHAnsi"/>
          <w:color w:val="000000"/>
        </w:rPr>
        <w:t> </w:t>
      </w:r>
      <w:r w:rsidRPr="00A41674">
        <w:rPr>
          <w:rFonts w:cstheme="minorHAnsi"/>
          <w:color w:val="000000"/>
        </w:rPr>
        <w:t>45830/99, §</w:t>
      </w:r>
      <w:r w:rsidRPr="00A41674" w:rsidR="000649CB">
        <w:rPr>
          <w:rFonts w:cstheme="minorHAnsi"/>
          <w:color w:val="000000"/>
        </w:rPr>
        <w:t> </w:t>
      </w:r>
      <w:r w:rsidRPr="00A41674">
        <w:rPr>
          <w:rFonts w:cstheme="minorHAnsi"/>
          <w:color w:val="000000"/>
        </w:rPr>
        <w:t xml:space="preserve">33, 24 April 2007; contrast </w:t>
      </w:r>
      <w:bookmarkStart w:name="_cl24090THECOURTSASSESSMENT" w:id="15"/>
      <w:r w:rsidRPr="00A41674">
        <w:rPr>
          <w:rFonts w:cstheme="minorHAnsi"/>
          <w:i/>
          <w:iCs/>
          <w:color w:val="000000"/>
        </w:rPr>
        <w:t>Dallos v. Hungary</w:t>
      </w:r>
      <w:bookmarkEnd w:id="15"/>
      <w:r w:rsidRPr="00A41674">
        <w:rPr>
          <w:rFonts w:cstheme="minorHAnsi"/>
          <w:color w:val="000000"/>
        </w:rPr>
        <w:t>, no.</w:t>
      </w:r>
      <w:r w:rsidRPr="00A41674" w:rsidR="00493140">
        <w:rPr>
          <w:rFonts w:cstheme="minorHAnsi"/>
          <w:color w:val="000000"/>
        </w:rPr>
        <w:t> </w:t>
      </w:r>
      <w:r w:rsidRPr="00A41674">
        <w:rPr>
          <w:rFonts w:cstheme="minorHAnsi"/>
          <w:color w:val="000000"/>
        </w:rPr>
        <w:t>29082/95, §§</w:t>
      </w:r>
      <w:r w:rsidRPr="00A41674" w:rsidR="00C002CF">
        <w:rPr>
          <w:rFonts w:cstheme="minorHAnsi"/>
          <w:color w:val="000000"/>
        </w:rPr>
        <w:t> </w:t>
      </w:r>
      <w:r w:rsidRPr="00A41674">
        <w:rPr>
          <w:rFonts w:cstheme="minorHAnsi"/>
          <w:color w:val="000000"/>
        </w:rPr>
        <w:t xml:space="preserve">50-52, ECHR 2001-II, and </w:t>
      </w:r>
      <w:bookmarkStart w:name="_cl36590THECOURTSASSESSMENT" w:id="16"/>
      <w:r w:rsidRPr="00A41674">
        <w:rPr>
          <w:rFonts w:cstheme="minorHAnsi"/>
          <w:i/>
          <w:iCs/>
          <w:color w:val="000000"/>
        </w:rPr>
        <w:t>Sipavičius v. Lithuania</w:t>
      </w:r>
      <w:bookmarkEnd w:id="16"/>
      <w:r w:rsidRPr="00A41674">
        <w:rPr>
          <w:rFonts w:cstheme="minorHAnsi"/>
          <w:color w:val="000000"/>
        </w:rPr>
        <w:t>, no.</w:t>
      </w:r>
      <w:r w:rsidRPr="00A41674" w:rsidR="00493140">
        <w:rPr>
          <w:rFonts w:cstheme="minorHAnsi"/>
          <w:color w:val="000000"/>
        </w:rPr>
        <w:t> </w:t>
      </w:r>
      <w:r w:rsidRPr="00A41674">
        <w:rPr>
          <w:rFonts w:cstheme="minorHAnsi"/>
          <w:color w:val="000000"/>
        </w:rPr>
        <w:t>49093/99, §§</w:t>
      </w:r>
      <w:r w:rsidRPr="00A41674" w:rsidR="00C002CF">
        <w:rPr>
          <w:rFonts w:cstheme="minorHAnsi"/>
          <w:color w:val="000000"/>
        </w:rPr>
        <w:t> </w:t>
      </w:r>
      <w:r w:rsidRPr="00A41674">
        <w:rPr>
          <w:rFonts w:cstheme="minorHAnsi"/>
          <w:color w:val="000000"/>
        </w:rPr>
        <w:t>31</w:t>
      </w:r>
      <w:r w:rsidRPr="00A41674" w:rsidR="00C002CF">
        <w:noBreakHyphen/>
      </w:r>
      <w:r w:rsidRPr="00A41674">
        <w:rPr>
          <w:rFonts w:cstheme="minorHAnsi"/>
          <w:color w:val="000000"/>
        </w:rPr>
        <w:t>32, 21</w:t>
      </w:r>
      <w:r w:rsidRPr="00A41674" w:rsidR="00EE52DE">
        <w:rPr>
          <w:rFonts w:cstheme="minorHAnsi"/>
          <w:color w:val="000000"/>
        </w:rPr>
        <w:t> </w:t>
      </w:r>
      <w:r w:rsidRPr="00A41674">
        <w:rPr>
          <w:rFonts w:cstheme="minorHAnsi"/>
          <w:color w:val="000000"/>
        </w:rPr>
        <w:t>February 2002</w:t>
      </w:r>
      <w:r w:rsidRPr="00A41674">
        <w:t>).</w:t>
      </w:r>
    </w:p>
    <w:p w:rsidRPr="00A41674" w:rsidR="00E44CB3" w:rsidP="006C24A0" w14:paraId="7E949DA0" w14:textId="2E2676E4">
      <w:pPr>
        <w:pStyle w:val="JuPara"/>
      </w:pPr>
      <w:r w:rsidRPr="00A41674">
        <w:fldChar w:fldCharType="begin"/>
      </w:r>
      <w:r w:rsidRPr="00A41674">
        <w:instrText xml:space="preserve"> SEQ level0 \*arabic \* MERGEFORMAT </w:instrText>
      </w:r>
      <w:r w:rsidRPr="00A41674">
        <w:fldChar w:fldCharType="separate"/>
      </w:r>
      <w:r w:rsidRPr="00A41674" w:rsidR="006C24A0">
        <w:rPr>
          <w:noProof/>
        </w:rPr>
        <w:t>16</w:t>
      </w:r>
      <w:r w:rsidRPr="00A41674">
        <w:rPr>
          <w:noProof/>
        </w:rPr>
        <w:fldChar w:fldCharType="end"/>
      </w:r>
      <w:r w:rsidRPr="00A41674">
        <w:t>.  In view of the above findings, the Court concludes that the applicants</w:t>
      </w:r>
      <w:r w:rsidRPr="00A41674" w:rsidR="006C24A0">
        <w:t>’</w:t>
      </w:r>
      <w:r w:rsidRPr="00A41674">
        <w:t xml:space="preserve"> right to be informed in detail of the nature and cause of the accusation against them and their right to have adequate time and facilities for the preparation of their defence were infringed. There has accordingly been a violation of Article 6 </w:t>
      </w:r>
      <w:r w:rsidRPr="00A41674">
        <w:rPr>
          <w:rFonts w:cstheme="minorHAnsi"/>
        </w:rPr>
        <w:t>§§</w:t>
      </w:r>
      <w:r w:rsidRPr="00A41674" w:rsidR="00D54EF1">
        <w:t> </w:t>
      </w:r>
      <w:r w:rsidRPr="00A41674">
        <w:t>1 and 3 (a) and (b) of the Convention in that respect.</w:t>
      </w:r>
    </w:p>
    <w:p w:rsidRPr="00A41674" w:rsidR="00E44CB3" w:rsidP="006C24A0" w14:paraId="266FFFF5" w14:textId="1E88A9CD">
      <w:pPr>
        <w:pStyle w:val="JuPara"/>
        <w:rPr>
          <w:rFonts w:cstheme="minorHAnsi"/>
          <w:color w:val="000000"/>
        </w:rPr>
      </w:pPr>
      <w:r w:rsidRPr="00A41674">
        <w:fldChar w:fldCharType="begin"/>
      </w:r>
      <w:r w:rsidRPr="00A41674">
        <w:instrText xml:space="preserve"> SEQ level0 \*arabic \* MERGEFORMAT </w:instrText>
      </w:r>
      <w:r w:rsidRPr="00A41674">
        <w:fldChar w:fldCharType="separate"/>
      </w:r>
      <w:r w:rsidRPr="00A41674" w:rsidR="006C24A0">
        <w:rPr>
          <w:noProof/>
        </w:rPr>
        <w:t>17</w:t>
      </w:r>
      <w:r w:rsidRPr="00A41674">
        <w:rPr>
          <w:noProof/>
        </w:rPr>
        <w:fldChar w:fldCharType="end"/>
      </w:r>
      <w:r w:rsidRPr="00A41674">
        <w:t>.  As to the second limb of the applicants</w:t>
      </w:r>
      <w:r w:rsidRPr="00A41674" w:rsidR="006C24A0">
        <w:t>’</w:t>
      </w:r>
      <w:r w:rsidRPr="00A41674">
        <w:t xml:space="preserve"> complaint, which concerned the alleged non-disclosure of important prosecution evidence to the defence, the Court considers that it has examined the main legal question raised in the present application and that there is no need to give a separate ruling on the merits of that complaint </w:t>
      </w:r>
      <w:r w:rsidRPr="00A41674">
        <w:rPr>
          <w:rFonts w:cstheme="minorHAnsi"/>
          <w:color w:val="000000"/>
        </w:rPr>
        <w:t>(see</w:t>
      </w:r>
      <w:r w:rsidRPr="00A41674" w:rsidR="00493140">
        <w:rPr>
          <w:rFonts w:cstheme="minorHAnsi"/>
          <w:color w:val="000000"/>
        </w:rPr>
        <w:t xml:space="preserve"> </w:t>
      </w:r>
      <w:r w:rsidRPr="00A41674">
        <w:rPr>
          <w:rFonts w:cstheme="minorHAnsi"/>
          <w:i/>
          <w:iCs/>
          <w:color w:val="000000"/>
        </w:rPr>
        <w:t>Centre for Legal Resources on behalf</w:t>
      </w:r>
      <w:r w:rsidRPr="00A41674" w:rsidR="00493140">
        <w:rPr>
          <w:rFonts w:cstheme="minorHAnsi"/>
          <w:color w:val="000000"/>
        </w:rPr>
        <w:t xml:space="preserve"> </w:t>
      </w:r>
      <w:r w:rsidRPr="00A41674">
        <w:rPr>
          <w:rFonts w:cstheme="minorHAnsi"/>
          <w:i/>
          <w:iCs/>
          <w:color w:val="000000"/>
        </w:rPr>
        <w:t>of</w:t>
      </w:r>
      <w:r w:rsidRPr="00A41674" w:rsidR="00493140">
        <w:rPr>
          <w:rFonts w:cstheme="minorHAnsi"/>
          <w:i/>
          <w:iCs/>
          <w:color w:val="000000"/>
        </w:rPr>
        <w:t xml:space="preserve"> </w:t>
      </w:r>
      <w:r w:rsidRPr="00A41674">
        <w:rPr>
          <w:rFonts w:cstheme="minorHAnsi"/>
          <w:i/>
          <w:iCs/>
          <w:color w:val="000000"/>
        </w:rPr>
        <w:t>Valentin</w:t>
      </w:r>
      <w:r w:rsidRPr="00A41674" w:rsidR="00493140">
        <w:rPr>
          <w:rFonts w:cstheme="minorHAnsi"/>
          <w:i/>
          <w:iCs/>
          <w:color w:val="000000"/>
        </w:rPr>
        <w:t xml:space="preserve"> </w:t>
      </w:r>
      <w:r w:rsidRPr="00A41674">
        <w:rPr>
          <w:i/>
          <w:iCs/>
        </w:rPr>
        <w:t>Câmpeanu</w:t>
      </w:r>
      <w:r w:rsidRPr="00A41674" w:rsidR="00493140">
        <w:rPr>
          <w:rFonts w:cstheme="minorHAnsi"/>
          <w:i/>
          <w:iCs/>
          <w:color w:val="000000"/>
        </w:rPr>
        <w:t xml:space="preserve"> </w:t>
      </w:r>
      <w:r w:rsidRPr="00A41674">
        <w:rPr>
          <w:rFonts w:cstheme="minorHAnsi"/>
          <w:i/>
          <w:iCs/>
          <w:color w:val="000000"/>
        </w:rPr>
        <w:t>v. Romania</w:t>
      </w:r>
      <w:r w:rsidRPr="00A41674">
        <w:rPr>
          <w:rFonts w:cstheme="minorHAnsi"/>
          <w:color w:val="000000"/>
        </w:rPr>
        <w:t> [GC], no. 47848/08, §</w:t>
      </w:r>
      <w:r w:rsidRPr="00A41674" w:rsidR="000649CB">
        <w:rPr>
          <w:rFonts w:cstheme="minorHAnsi"/>
          <w:color w:val="000000"/>
        </w:rPr>
        <w:t> </w:t>
      </w:r>
      <w:r w:rsidRPr="00A41674">
        <w:rPr>
          <w:rFonts w:cstheme="minorHAnsi"/>
          <w:color w:val="000000"/>
        </w:rPr>
        <w:t>156, ECHR</w:t>
      </w:r>
      <w:r w:rsidRPr="00A41674" w:rsidR="00493140">
        <w:rPr>
          <w:rFonts w:cstheme="minorHAnsi"/>
          <w:color w:val="000000"/>
        </w:rPr>
        <w:t> </w:t>
      </w:r>
      <w:r w:rsidRPr="00A41674">
        <w:rPr>
          <w:rFonts w:cstheme="minorHAnsi"/>
          <w:color w:val="000000"/>
        </w:rPr>
        <w:t>2014).</w:t>
      </w:r>
    </w:p>
    <w:p w:rsidRPr="00A41674" w:rsidR="00E44CB3" w:rsidP="006C24A0" w14:paraId="31BB2528" w14:textId="77777777">
      <w:pPr>
        <w:pStyle w:val="JuHHead"/>
      </w:pPr>
      <w:r w:rsidRPr="00A41674">
        <w:rPr>
          <w:caps w:val="0"/>
        </w:rPr>
        <w:t>APPLICATION OF ARTICLE 41 OF THE CONVENTION</w:t>
      </w:r>
    </w:p>
    <w:p w:rsidRPr="00A41674" w:rsidR="00E44CB3" w:rsidP="006C24A0" w14:paraId="738D507C" w14:textId="43ADAF70">
      <w:pPr>
        <w:pStyle w:val="JuPara"/>
      </w:pPr>
      <w:r w:rsidRPr="00A41674">
        <w:fldChar w:fldCharType="begin"/>
      </w:r>
      <w:r w:rsidRPr="00A41674">
        <w:instrText xml:space="preserve"> SEQ level0 \*arabic \* MERGEFORMAT </w:instrText>
      </w:r>
      <w:r w:rsidRPr="00A41674">
        <w:fldChar w:fldCharType="separate"/>
      </w:r>
      <w:r w:rsidRPr="00A41674" w:rsidR="006C24A0">
        <w:rPr>
          <w:noProof/>
        </w:rPr>
        <w:t>18</w:t>
      </w:r>
      <w:r w:rsidRPr="00A41674">
        <w:rPr>
          <w:noProof/>
        </w:rPr>
        <w:fldChar w:fldCharType="end"/>
      </w:r>
      <w:r w:rsidRPr="00A41674">
        <w:t>.  The applicants did not submit a claim for just satisfaction. Accordingly, the Court considers that there is no call to award them any sum on that account.</w:t>
      </w:r>
    </w:p>
    <w:p w:rsidRPr="00A41674" w:rsidR="00E44CB3" w:rsidP="006C24A0" w14:paraId="0F55A6E7" w14:textId="10AB8622">
      <w:pPr>
        <w:pStyle w:val="JuHHead"/>
      </w:pPr>
      <w:r w:rsidRPr="00A41674">
        <w:t>FOR THESE REASONS, THE COURT, UNANIMOUSLY,</w:t>
      </w:r>
    </w:p>
    <w:p w:rsidRPr="00A41674" w:rsidR="00E44CB3" w:rsidP="006C24A0" w14:paraId="63F09726" w14:textId="2C9ED7FF">
      <w:pPr>
        <w:pStyle w:val="JuList"/>
      </w:pPr>
      <w:r w:rsidRPr="00A41674">
        <w:rPr>
          <w:i/>
        </w:rPr>
        <w:t>Declares</w:t>
      </w:r>
      <w:r w:rsidRPr="00A41674">
        <w:t xml:space="preserve"> the application admissible;</w:t>
      </w:r>
    </w:p>
    <w:p w:rsidRPr="00A41674" w:rsidR="00E44CB3" w:rsidP="006C24A0" w14:paraId="1FE38597" w14:textId="77777777">
      <w:pPr>
        <w:pStyle w:val="JuList"/>
      </w:pPr>
      <w:r w:rsidRPr="00A41674">
        <w:rPr>
          <w:i/>
        </w:rPr>
        <w:t>Holds</w:t>
      </w:r>
      <w:r w:rsidRPr="00A41674">
        <w:rPr>
          <w:rFonts w:ascii="Times New Roman" w:hAnsi="Times New Roman" w:cs="Times New Roman"/>
          <w:color w:val="000000"/>
        </w:rPr>
        <w:t xml:space="preserve"> that there has been a violation of Article 6 §§ 1 and 3 (a) and (b) of the Convention on account of the reclassification of the offence;</w:t>
      </w:r>
    </w:p>
    <w:p w:rsidRPr="00A41674" w:rsidR="004D0EC7" w:rsidP="006C24A0" w14:paraId="7688C433" w14:textId="77777777">
      <w:pPr>
        <w:pStyle w:val="JuList"/>
      </w:pPr>
      <w:r w:rsidRPr="00A41674">
        <w:rPr>
          <w:i/>
        </w:rPr>
        <w:t>Holds</w:t>
      </w:r>
      <w:r w:rsidRPr="00A41674">
        <w:rPr>
          <w:rFonts w:ascii="Times New Roman" w:hAnsi="Times New Roman" w:cs="Times New Roman"/>
          <w:color w:val="000000"/>
        </w:rPr>
        <w:t xml:space="preserve"> that there is no need to examine the merits of the remaining complaint under Article 6 §§ 1 and 3 (b) of the Convention.</w:t>
      </w:r>
    </w:p>
    <w:p w:rsidRPr="00A41674" w:rsidR="008E3A08" w:rsidP="006C24A0" w14:paraId="77DBCA44" w14:textId="682B91A2">
      <w:pPr>
        <w:pStyle w:val="JuParaLast"/>
      </w:pPr>
      <w:r w:rsidRPr="00A41674">
        <w:t xml:space="preserve">Done in English, and notified in writing on </w:t>
      </w:r>
      <w:r w:rsidRPr="00A41674" w:rsidR="00E44CB3">
        <w:rPr>
          <w:rFonts w:ascii="Times New Roman" w:hAnsi="Times New Roman" w:cs="Times New Roman"/>
        </w:rPr>
        <w:t>11</w:t>
      </w:r>
      <w:r w:rsidRPr="00A41674" w:rsidR="00E85D52">
        <w:rPr>
          <w:rFonts w:ascii="Times New Roman" w:hAnsi="Times New Roman" w:cs="Times New Roman"/>
        </w:rPr>
        <w:t xml:space="preserve"> </w:t>
      </w:r>
      <w:r w:rsidRPr="00A41674" w:rsidR="00E44CB3">
        <w:rPr>
          <w:rFonts w:ascii="Times New Roman" w:hAnsi="Times New Roman" w:cs="Times New Roman"/>
        </w:rPr>
        <w:t>February 2025</w:t>
      </w:r>
      <w:r w:rsidRPr="00A41674">
        <w:t>, pursuant to Rule 77 §§ 2 and 3 of the Rules of Court.</w:t>
      </w:r>
    </w:p>
    <w:p w:rsidRPr="00A41674" w:rsidR="007E79A4" w:rsidP="006C24A0" w14:paraId="45EB88B7" w14:textId="0BBE197D">
      <w:pPr>
        <w:pStyle w:val="ECHRPlaceholder"/>
        <w:rPr>
          <w:color w:val="auto"/>
          <w:szCs w:val="22"/>
          <w:highlight w:val="yellow"/>
        </w:rPr>
      </w:pPr>
    </w:p>
    <w:p w:rsidRPr="00A41674" w:rsidR="007E79A4" w:rsidP="006C24A0" w14:paraId="77E8B19D" w14:textId="4D24086D">
      <w:pPr>
        <w:pStyle w:val="JuSigned"/>
      </w:pPr>
      <w:r w:rsidRPr="00A41674">
        <w:tab/>
      </w:r>
      <w:r w:rsidRPr="00A41674" w:rsidR="00E44CB3">
        <w:rPr>
          <w:noProof/>
        </w:rPr>
        <w:t>Simeon Petrovski</w:t>
      </w:r>
      <w:r w:rsidRPr="00A41674">
        <w:tab/>
      </w:r>
      <w:r w:rsidRPr="00A41674" w:rsidR="00E44CB3">
        <w:rPr>
          <w:noProof/>
        </w:rPr>
        <w:t>Jolien Schukking</w:t>
      </w:r>
      <w:r w:rsidRPr="00A41674">
        <w:br/>
      </w:r>
      <w:r w:rsidRPr="00A41674">
        <w:tab/>
      </w:r>
      <w:r w:rsidRPr="00A41674" w:rsidR="00E44CB3">
        <w:rPr>
          <w:noProof/>
        </w:rPr>
        <w:t>Deputy Registrar</w:t>
      </w:r>
      <w:r w:rsidRPr="00A41674">
        <w:tab/>
        <w:t>President</w:t>
      </w:r>
    </w:p>
    <w:p w:rsidRPr="00A41674" w:rsidR="00675AF2" w:rsidP="006C24A0" w14:paraId="34F2CBC6" w14:textId="77777777">
      <w:pPr>
        <w:pStyle w:val="JuPara"/>
      </w:pPr>
    </w:p>
    <w:p w:rsidRPr="00A41674" w:rsidR="00E44CB3" w:rsidP="006C24A0" w14:paraId="35269755" w14:textId="2E7A12B8">
      <w:pPr>
        <w:rPr>
          <w:noProof/>
          <w:color w:val="000000"/>
        </w:rPr>
      </w:pPr>
    </w:p>
    <w:p w:rsidRPr="00A41674" w:rsidR="00E44CB3" w:rsidP="006C24A0" w14:paraId="24885CBD" w14:textId="77777777">
      <w:pPr>
        <w:rPr>
          <w:noProof/>
          <w:color w:val="000000"/>
        </w:rPr>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pPr>
    </w:p>
    <w:p w:rsidRPr="00A41674" w:rsidR="00E44CB3" w:rsidP="006C24A0" w14:paraId="1E5A95BB" w14:textId="77777777">
      <w:pPr>
        <w:pStyle w:val="DecHTitle"/>
        <w:rPr>
          <w:noProof/>
        </w:rPr>
      </w:pPr>
      <w:r w:rsidRPr="00A41674">
        <w:rPr>
          <w:noProof/>
        </w:rPr>
        <w:t>APPENDIX</w:t>
      </w:r>
    </w:p>
    <w:p w:rsidRPr="00A41674" w:rsidR="00E44CB3" w:rsidP="006C24A0" w14:paraId="7865E832" w14:textId="77777777">
      <w:pPr>
        <w:pStyle w:val="DecHCase"/>
        <w:keepNext w:val="0"/>
        <w:keepLines w:val="0"/>
        <w:jc w:val="left"/>
        <w:rPr>
          <w:rFonts w:ascii="Times New Roman" w:hAnsi="Times New Roman" w:cs="Times New Roman"/>
        </w:rPr>
      </w:pPr>
      <w:r w:rsidRPr="00A41674">
        <w:rPr>
          <w:rFonts w:ascii="Times New Roman" w:hAnsi="Times New Roman" w:cs="Times New Roman"/>
        </w:rPr>
        <w:t>List of applicants:</w:t>
      </w:r>
    </w:p>
    <w:p w:rsidRPr="00A41674" w:rsidR="00E44CB3" w:rsidP="006C24A0" w14:paraId="7889BCD9" w14:textId="77777777">
      <w:pPr>
        <w:pStyle w:val="JuPara"/>
        <w:ind w:firstLine="0"/>
        <w:rPr>
          <w:rFonts w:ascii="Times New Roman" w:hAnsi="Times New Roman" w:eastAsia="Times New Roman" w:cs="Times New Roman"/>
        </w:rPr>
      </w:pPr>
      <w:r w:rsidRPr="00A41674">
        <w:rPr>
          <w:rFonts w:ascii="Times New Roman" w:hAnsi="Times New Roman" w:eastAsia="Times New Roman" w:cs="Times New Roman"/>
        </w:rPr>
        <w:t>Application no. 13708/18</w:t>
      </w:r>
    </w:p>
    <w:p w:rsidRPr="00A41674" w:rsidR="000C21C5" w:rsidP="006C24A0" w14:paraId="10C86281" w14:textId="77777777">
      <w:pPr>
        <w:pStyle w:val="JuPara"/>
        <w:ind w:firstLine="0"/>
        <w:rPr>
          <w:rFonts w:ascii="Times New Roman" w:hAnsi="Times New Roman" w:eastAsia="Times New Roman" w:cs="Times New Roman"/>
        </w:rPr>
      </w:pPr>
    </w:p>
    <w:tbl>
      <w:tblPr>
        <w:tblStyle w:val="ECHRListTable"/>
        <w:tblW w:w="5000" w:type="pct"/>
        <w:tblLook w:val="0420"/>
      </w:tblPr>
      <w:tblGrid>
        <w:gridCol w:w="570"/>
        <w:gridCol w:w="2798"/>
        <w:gridCol w:w="1106"/>
        <w:gridCol w:w="1363"/>
        <w:gridCol w:w="1511"/>
      </w:tblGrid>
      <w:tr w:rsidTr="00616F5B" w14:paraId="509F4B2D" w14:textId="77777777">
        <w:tblPrEx>
          <w:tblW w:w="5000" w:type="pct"/>
          <w:tblLook w:val="0420"/>
        </w:tblPrEx>
        <w:tc>
          <w:tcPr>
            <w:tcW w:w="388" w:type="pct"/>
          </w:tcPr>
          <w:p w:rsidRPr="00A41674" w:rsidR="00E44CB3" w:rsidP="006C24A0" w14:paraId="571EC63E" w14:textId="77777777">
            <w:pPr>
              <w:rPr>
                <w:rFonts w:eastAsia="Times New Roman"/>
              </w:rPr>
            </w:pPr>
            <w:r w:rsidRPr="00A41674">
              <w:rPr>
                <w:rFonts w:eastAsia="Times New Roman"/>
              </w:rPr>
              <w:t>No.</w:t>
            </w:r>
          </w:p>
        </w:tc>
        <w:tc>
          <w:tcPr>
            <w:tcW w:w="1924" w:type="pct"/>
          </w:tcPr>
          <w:p w:rsidRPr="00A41674" w:rsidR="00E44CB3" w:rsidP="006C24A0" w14:paraId="52A82AA3" w14:textId="606691E6">
            <w:pPr>
              <w:rPr>
                <w:rFonts w:eastAsia="Times New Roman"/>
              </w:rPr>
            </w:pPr>
            <w:r w:rsidRPr="00A41674">
              <w:rPr>
                <w:rFonts w:eastAsia="Times New Roman"/>
              </w:rPr>
              <w:t>Applicant</w:t>
            </w:r>
            <w:r w:rsidRPr="00A41674" w:rsidR="006C24A0">
              <w:rPr>
                <w:rFonts w:eastAsia="Times New Roman"/>
              </w:rPr>
              <w:t>’</w:t>
            </w:r>
            <w:r w:rsidRPr="00A41674">
              <w:rPr>
                <w:rFonts w:eastAsia="Times New Roman"/>
              </w:rPr>
              <w:t>s name</w:t>
            </w:r>
          </w:p>
        </w:tc>
        <w:tc>
          <w:tcPr>
            <w:tcW w:w="772" w:type="pct"/>
          </w:tcPr>
          <w:p w:rsidRPr="00A41674" w:rsidR="00E44CB3" w:rsidP="006C24A0" w14:paraId="1878A18F" w14:textId="77777777">
            <w:pPr>
              <w:rPr>
                <w:rFonts w:eastAsia="Times New Roman"/>
              </w:rPr>
            </w:pPr>
            <w:r w:rsidRPr="00A41674">
              <w:rPr>
                <w:rFonts w:eastAsia="Times New Roman"/>
              </w:rPr>
              <w:t>Year of birth</w:t>
            </w:r>
          </w:p>
        </w:tc>
        <w:tc>
          <w:tcPr>
            <w:tcW w:w="868" w:type="pct"/>
          </w:tcPr>
          <w:p w:rsidRPr="00A41674" w:rsidR="00E44CB3" w:rsidP="006C24A0" w14:paraId="66DAA577" w14:textId="77777777">
            <w:pPr>
              <w:rPr>
                <w:rFonts w:eastAsia="Times New Roman"/>
              </w:rPr>
            </w:pPr>
            <w:r w:rsidRPr="00A41674">
              <w:rPr>
                <w:rFonts w:eastAsia="Times New Roman"/>
              </w:rPr>
              <w:t>Nationality</w:t>
            </w:r>
          </w:p>
        </w:tc>
        <w:tc>
          <w:tcPr>
            <w:tcW w:w="1049" w:type="pct"/>
          </w:tcPr>
          <w:p w:rsidRPr="00A41674" w:rsidR="00E44CB3" w:rsidP="006C24A0" w14:paraId="6D0AC11C" w14:textId="77777777">
            <w:pPr>
              <w:rPr>
                <w:rFonts w:eastAsia="Times New Roman"/>
              </w:rPr>
            </w:pPr>
            <w:r w:rsidRPr="00A41674">
              <w:rPr>
                <w:rFonts w:eastAsia="Times New Roman"/>
              </w:rPr>
              <w:t>Place of residence</w:t>
            </w:r>
          </w:p>
        </w:tc>
      </w:tr>
      <w:tr w:rsidTr="00616F5B" w14:paraId="149C0E58" w14:textId="77777777">
        <w:tblPrEx>
          <w:tblW w:w="5000" w:type="pct"/>
          <w:tblLook w:val="0420"/>
        </w:tblPrEx>
        <w:tc>
          <w:tcPr>
            <w:tcW w:w="388" w:type="pct"/>
          </w:tcPr>
          <w:p w:rsidRPr="00A41674" w:rsidR="00E44CB3" w:rsidP="006C24A0" w14:paraId="0A13EEDE" w14:textId="77777777">
            <w:pPr>
              <w:rPr>
                <w:rFonts w:eastAsia="Times New Roman"/>
              </w:rPr>
            </w:pPr>
            <w:r w:rsidRPr="00A41674">
              <w:rPr>
                <w:rFonts w:eastAsia="Times New Roman"/>
              </w:rPr>
              <w:t>1.</w:t>
            </w:r>
          </w:p>
        </w:tc>
        <w:tc>
          <w:tcPr>
            <w:tcW w:w="1924" w:type="pct"/>
          </w:tcPr>
          <w:p w:rsidRPr="00A41674" w:rsidR="00E44CB3" w:rsidP="006C24A0" w14:paraId="39BF753E" w14:textId="77777777">
            <w:pPr>
              <w:rPr>
                <w:rFonts w:eastAsia="Times New Roman"/>
              </w:rPr>
            </w:pPr>
            <w:r w:rsidRPr="00A41674">
              <w:rPr>
                <w:rFonts w:eastAsia="Times New Roman"/>
              </w:rPr>
              <w:t>Gizo GLONTI</w:t>
            </w:r>
          </w:p>
        </w:tc>
        <w:tc>
          <w:tcPr>
            <w:tcW w:w="772" w:type="pct"/>
          </w:tcPr>
          <w:p w:rsidRPr="00A41674" w:rsidR="00E44CB3" w:rsidP="006C24A0" w14:paraId="0101A704" w14:textId="77777777">
            <w:pPr>
              <w:rPr>
                <w:rFonts w:eastAsia="Times New Roman"/>
              </w:rPr>
            </w:pPr>
            <w:r w:rsidRPr="00A41674">
              <w:rPr>
                <w:rFonts w:eastAsia="Times New Roman"/>
              </w:rPr>
              <w:t>1965</w:t>
            </w:r>
          </w:p>
        </w:tc>
        <w:tc>
          <w:tcPr>
            <w:tcW w:w="868" w:type="pct"/>
          </w:tcPr>
          <w:p w:rsidRPr="00A41674" w:rsidR="00E44CB3" w:rsidP="006C24A0" w14:paraId="3770EF9D" w14:textId="77777777">
            <w:pPr>
              <w:rPr>
                <w:rFonts w:eastAsia="Times New Roman"/>
              </w:rPr>
            </w:pPr>
            <w:r w:rsidRPr="00A41674">
              <w:rPr>
                <w:rFonts w:eastAsia="Times New Roman"/>
              </w:rPr>
              <w:t>Georgian</w:t>
            </w:r>
          </w:p>
        </w:tc>
        <w:tc>
          <w:tcPr>
            <w:tcW w:w="1049" w:type="pct"/>
          </w:tcPr>
          <w:p w:rsidRPr="00A41674" w:rsidR="00E44CB3" w:rsidP="006C24A0" w14:paraId="02A5257E" w14:textId="77777777">
            <w:pPr>
              <w:rPr>
                <w:rFonts w:eastAsia="Times New Roman"/>
              </w:rPr>
            </w:pPr>
            <w:r w:rsidRPr="00A41674">
              <w:rPr>
                <w:rFonts w:eastAsia="Times New Roman"/>
              </w:rPr>
              <w:t>Tbilisi</w:t>
            </w:r>
          </w:p>
        </w:tc>
      </w:tr>
      <w:tr w:rsidTr="00616F5B" w14:paraId="1306FB76" w14:textId="77777777">
        <w:tblPrEx>
          <w:tblW w:w="5000" w:type="pct"/>
          <w:tblLook w:val="0420"/>
        </w:tblPrEx>
        <w:tc>
          <w:tcPr>
            <w:tcW w:w="388" w:type="pct"/>
          </w:tcPr>
          <w:p w:rsidRPr="00A41674" w:rsidR="00E44CB3" w:rsidP="006C24A0" w14:paraId="41DF08F5" w14:textId="77777777">
            <w:pPr>
              <w:rPr>
                <w:rFonts w:eastAsia="Times New Roman"/>
              </w:rPr>
            </w:pPr>
            <w:r w:rsidRPr="00A41674">
              <w:rPr>
                <w:rFonts w:eastAsia="Times New Roman"/>
              </w:rPr>
              <w:t>2.</w:t>
            </w:r>
          </w:p>
        </w:tc>
        <w:tc>
          <w:tcPr>
            <w:tcW w:w="1924" w:type="pct"/>
          </w:tcPr>
          <w:p w:rsidRPr="00A41674" w:rsidR="00E44CB3" w:rsidP="006C24A0" w14:paraId="24677852" w14:textId="77777777">
            <w:pPr>
              <w:rPr>
                <w:rFonts w:eastAsia="Times New Roman"/>
              </w:rPr>
            </w:pPr>
            <w:r w:rsidRPr="00A41674">
              <w:rPr>
                <w:rFonts w:eastAsia="Times New Roman"/>
              </w:rPr>
              <w:t>Giorgi LOBZHANIDZE</w:t>
            </w:r>
          </w:p>
        </w:tc>
        <w:tc>
          <w:tcPr>
            <w:tcW w:w="772" w:type="pct"/>
          </w:tcPr>
          <w:p w:rsidRPr="00A41674" w:rsidR="00E44CB3" w:rsidP="006C24A0" w14:paraId="307FA90C" w14:textId="77777777">
            <w:pPr>
              <w:rPr>
                <w:rFonts w:eastAsia="Times New Roman"/>
              </w:rPr>
            </w:pPr>
            <w:r w:rsidRPr="00A41674">
              <w:rPr>
                <w:rFonts w:eastAsia="Times New Roman"/>
              </w:rPr>
              <w:t>1981</w:t>
            </w:r>
          </w:p>
        </w:tc>
        <w:tc>
          <w:tcPr>
            <w:tcW w:w="868" w:type="pct"/>
          </w:tcPr>
          <w:p w:rsidRPr="00A41674" w:rsidR="00E44CB3" w:rsidP="006C24A0" w14:paraId="2C85013C" w14:textId="77777777">
            <w:pPr>
              <w:rPr>
                <w:rFonts w:eastAsia="Times New Roman"/>
              </w:rPr>
            </w:pPr>
            <w:r w:rsidRPr="00A41674">
              <w:rPr>
                <w:rFonts w:eastAsia="Times New Roman"/>
              </w:rPr>
              <w:t>Georgian</w:t>
            </w:r>
          </w:p>
        </w:tc>
        <w:tc>
          <w:tcPr>
            <w:tcW w:w="1049" w:type="pct"/>
          </w:tcPr>
          <w:p w:rsidRPr="00A41674" w:rsidR="00E44CB3" w:rsidP="006C24A0" w14:paraId="058D2667" w14:textId="77777777">
            <w:pPr>
              <w:rPr>
                <w:rFonts w:eastAsia="Times New Roman"/>
              </w:rPr>
            </w:pPr>
            <w:r w:rsidRPr="00A41674">
              <w:rPr>
                <w:rFonts w:eastAsia="Times New Roman"/>
              </w:rPr>
              <w:t>Tbilisi</w:t>
            </w:r>
          </w:p>
        </w:tc>
      </w:tr>
      <w:tr w:rsidTr="00616F5B" w14:paraId="18A17464" w14:textId="77777777">
        <w:tblPrEx>
          <w:tblW w:w="5000" w:type="pct"/>
          <w:tblLook w:val="0420"/>
        </w:tblPrEx>
        <w:tc>
          <w:tcPr>
            <w:tcW w:w="388" w:type="pct"/>
          </w:tcPr>
          <w:p w:rsidRPr="00A41674" w:rsidR="00E44CB3" w:rsidP="006C24A0" w14:paraId="0DE9A0A2" w14:textId="77777777">
            <w:pPr>
              <w:rPr>
                <w:rFonts w:eastAsia="Times New Roman"/>
              </w:rPr>
            </w:pPr>
            <w:r w:rsidRPr="00A41674">
              <w:rPr>
                <w:rFonts w:eastAsia="Times New Roman"/>
              </w:rPr>
              <w:t>3.</w:t>
            </w:r>
          </w:p>
        </w:tc>
        <w:tc>
          <w:tcPr>
            <w:tcW w:w="1924" w:type="pct"/>
          </w:tcPr>
          <w:p w:rsidRPr="00A41674" w:rsidR="00E44CB3" w:rsidP="006C24A0" w14:paraId="56C41442" w14:textId="77777777">
            <w:pPr>
              <w:rPr>
                <w:rFonts w:eastAsia="Times New Roman"/>
              </w:rPr>
            </w:pPr>
            <w:r w:rsidRPr="00A41674">
              <w:rPr>
                <w:rFonts w:eastAsia="Times New Roman"/>
              </w:rPr>
              <w:t>Davit TSIPURIA</w:t>
            </w:r>
          </w:p>
        </w:tc>
        <w:tc>
          <w:tcPr>
            <w:tcW w:w="772" w:type="pct"/>
          </w:tcPr>
          <w:p w:rsidRPr="00A41674" w:rsidR="00E44CB3" w:rsidP="006C24A0" w14:paraId="3B4A04AA" w14:textId="77777777">
            <w:pPr>
              <w:rPr>
                <w:rFonts w:eastAsia="Times New Roman"/>
              </w:rPr>
            </w:pPr>
            <w:r w:rsidRPr="00A41674">
              <w:rPr>
                <w:rFonts w:eastAsia="Times New Roman"/>
              </w:rPr>
              <w:t>1972</w:t>
            </w:r>
          </w:p>
        </w:tc>
        <w:tc>
          <w:tcPr>
            <w:tcW w:w="868" w:type="pct"/>
          </w:tcPr>
          <w:p w:rsidRPr="00A41674" w:rsidR="00E44CB3" w:rsidP="006C24A0" w14:paraId="21A1BBAF" w14:textId="77777777">
            <w:pPr>
              <w:rPr>
                <w:rFonts w:eastAsia="Times New Roman"/>
              </w:rPr>
            </w:pPr>
            <w:r w:rsidRPr="00A41674">
              <w:rPr>
                <w:rFonts w:eastAsia="Times New Roman"/>
              </w:rPr>
              <w:t>Georgian</w:t>
            </w:r>
          </w:p>
        </w:tc>
        <w:tc>
          <w:tcPr>
            <w:tcW w:w="1049" w:type="pct"/>
          </w:tcPr>
          <w:p w:rsidRPr="00A41674" w:rsidR="00E44CB3" w:rsidP="006C24A0" w14:paraId="54A9FED1" w14:textId="77777777">
            <w:pPr>
              <w:rPr>
                <w:rFonts w:eastAsia="Times New Roman"/>
              </w:rPr>
            </w:pPr>
            <w:r w:rsidRPr="00A41674">
              <w:rPr>
                <w:rFonts w:eastAsia="Times New Roman"/>
              </w:rPr>
              <w:t>Tbilisi</w:t>
            </w:r>
          </w:p>
        </w:tc>
      </w:tr>
      <w:tr w:rsidTr="00616F5B" w14:paraId="5EB0A9CA" w14:textId="77777777">
        <w:tblPrEx>
          <w:tblW w:w="5000" w:type="pct"/>
          <w:tblLook w:val="0420"/>
        </w:tblPrEx>
        <w:tc>
          <w:tcPr>
            <w:tcW w:w="388" w:type="pct"/>
          </w:tcPr>
          <w:p w:rsidRPr="00A41674" w:rsidR="00E44CB3" w:rsidP="006C24A0" w14:paraId="04FAD95A" w14:textId="77777777">
            <w:pPr>
              <w:rPr>
                <w:rFonts w:eastAsia="Times New Roman"/>
              </w:rPr>
            </w:pPr>
            <w:r w:rsidRPr="00A41674">
              <w:rPr>
                <w:rFonts w:eastAsia="Times New Roman"/>
              </w:rPr>
              <w:t>4.</w:t>
            </w:r>
          </w:p>
        </w:tc>
        <w:tc>
          <w:tcPr>
            <w:tcW w:w="1924" w:type="pct"/>
          </w:tcPr>
          <w:p w:rsidRPr="00A41674" w:rsidR="00E44CB3" w:rsidP="006C24A0" w14:paraId="26710DF1" w14:textId="77777777">
            <w:pPr>
              <w:rPr>
                <w:rFonts w:eastAsia="Times New Roman"/>
              </w:rPr>
            </w:pPr>
            <w:r w:rsidRPr="00A41674">
              <w:rPr>
                <w:rFonts w:eastAsia="Times New Roman"/>
              </w:rPr>
              <w:t>Archil ALAVIDZE</w:t>
            </w:r>
          </w:p>
        </w:tc>
        <w:tc>
          <w:tcPr>
            <w:tcW w:w="772" w:type="pct"/>
          </w:tcPr>
          <w:p w:rsidRPr="00A41674" w:rsidR="00E44CB3" w:rsidP="006C24A0" w14:paraId="5A308B86" w14:textId="77777777">
            <w:pPr>
              <w:rPr>
                <w:rFonts w:eastAsia="Times New Roman"/>
              </w:rPr>
            </w:pPr>
            <w:r w:rsidRPr="00A41674">
              <w:rPr>
                <w:rFonts w:eastAsia="Times New Roman"/>
              </w:rPr>
              <w:t>1968</w:t>
            </w:r>
          </w:p>
        </w:tc>
        <w:tc>
          <w:tcPr>
            <w:tcW w:w="868" w:type="pct"/>
          </w:tcPr>
          <w:p w:rsidRPr="00A41674" w:rsidR="00E44CB3" w:rsidP="006C24A0" w14:paraId="13657DA2" w14:textId="77777777">
            <w:pPr>
              <w:rPr>
                <w:rFonts w:eastAsia="Times New Roman"/>
              </w:rPr>
            </w:pPr>
            <w:r w:rsidRPr="00A41674">
              <w:rPr>
                <w:rFonts w:eastAsia="Times New Roman"/>
              </w:rPr>
              <w:t>Georgian</w:t>
            </w:r>
          </w:p>
        </w:tc>
        <w:tc>
          <w:tcPr>
            <w:tcW w:w="1049" w:type="pct"/>
          </w:tcPr>
          <w:p w:rsidRPr="00A41674" w:rsidR="00E44CB3" w:rsidP="006C24A0" w14:paraId="37915D2F" w14:textId="77777777">
            <w:pPr>
              <w:rPr>
                <w:rFonts w:eastAsia="Times New Roman"/>
              </w:rPr>
            </w:pPr>
            <w:r w:rsidRPr="00A41674">
              <w:rPr>
                <w:rFonts w:eastAsia="Times New Roman"/>
              </w:rPr>
              <w:t>Tbilisi</w:t>
            </w:r>
          </w:p>
        </w:tc>
      </w:tr>
      <w:tr w:rsidTr="00616F5B" w14:paraId="597EDB9A" w14:textId="77777777">
        <w:tblPrEx>
          <w:tblW w:w="5000" w:type="pct"/>
          <w:tblLook w:val="0420"/>
        </w:tblPrEx>
        <w:tc>
          <w:tcPr>
            <w:tcW w:w="388" w:type="pct"/>
          </w:tcPr>
          <w:p w:rsidRPr="00A41674" w:rsidR="00E44CB3" w:rsidP="006C24A0" w14:paraId="3A6EA2CB" w14:textId="77777777">
            <w:pPr>
              <w:rPr>
                <w:rFonts w:eastAsia="Times New Roman"/>
              </w:rPr>
            </w:pPr>
            <w:r w:rsidRPr="00A41674">
              <w:rPr>
                <w:rFonts w:eastAsia="Times New Roman"/>
              </w:rPr>
              <w:t>5.</w:t>
            </w:r>
          </w:p>
        </w:tc>
        <w:tc>
          <w:tcPr>
            <w:tcW w:w="1924" w:type="pct"/>
          </w:tcPr>
          <w:p w:rsidRPr="00A41674" w:rsidR="00E44CB3" w:rsidP="006C24A0" w14:paraId="41681B9D" w14:textId="77777777">
            <w:pPr>
              <w:rPr>
                <w:rFonts w:eastAsia="Times New Roman"/>
              </w:rPr>
            </w:pPr>
            <w:r w:rsidRPr="00A41674">
              <w:rPr>
                <w:rFonts w:eastAsia="Times New Roman"/>
              </w:rPr>
              <w:t>Nugzar KAISHAURI</w:t>
            </w:r>
          </w:p>
        </w:tc>
        <w:tc>
          <w:tcPr>
            <w:tcW w:w="772" w:type="pct"/>
          </w:tcPr>
          <w:p w:rsidRPr="00A41674" w:rsidR="00E44CB3" w:rsidP="006C24A0" w14:paraId="51F83604" w14:textId="77777777">
            <w:pPr>
              <w:rPr>
                <w:rFonts w:eastAsia="Times New Roman"/>
              </w:rPr>
            </w:pPr>
            <w:r w:rsidRPr="00A41674">
              <w:rPr>
                <w:rFonts w:eastAsia="Times New Roman"/>
              </w:rPr>
              <w:t>1965</w:t>
            </w:r>
          </w:p>
        </w:tc>
        <w:tc>
          <w:tcPr>
            <w:tcW w:w="868" w:type="pct"/>
          </w:tcPr>
          <w:p w:rsidRPr="00A41674" w:rsidR="00E44CB3" w:rsidP="006C24A0" w14:paraId="3A3D2B71" w14:textId="77777777">
            <w:pPr>
              <w:rPr>
                <w:rFonts w:eastAsia="Times New Roman"/>
              </w:rPr>
            </w:pPr>
            <w:r w:rsidRPr="00A41674">
              <w:rPr>
                <w:rFonts w:eastAsia="Times New Roman"/>
              </w:rPr>
              <w:t>Georgian</w:t>
            </w:r>
          </w:p>
        </w:tc>
        <w:tc>
          <w:tcPr>
            <w:tcW w:w="1049" w:type="pct"/>
          </w:tcPr>
          <w:p w:rsidRPr="00A41674" w:rsidR="00E44CB3" w:rsidP="006C24A0" w14:paraId="57B86EC8" w14:textId="77777777">
            <w:pPr>
              <w:rPr>
                <w:rFonts w:eastAsia="Times New Roman"/>
              </w:rPr>
            </w:pPr>
            <w:r w:rsidRPr="00A41674">
              <w:rPr>
                <w:rFonts w:eastAsia="Times New Roman"/>
              </w:rPr>
              <w:t>Tbilisi</w:t>
            </w:r>
          </w:p>
        </w:tc>
      </w:tr>
    </w:tbl>
    <w:p w:rsidRPr="00A41674" w:rsidR="00182EBA" w:rsidP="006C24A0" w14:paraId="05B1AF36" w14:textId="6A3FD923">
      <w:pPr>
        <w:rPr>
          <w:highlight w:val="yellow"/>
        </w:rPr>
      </w:pPr>
    </w:p>
    <w:sectPr w:rsidSect="007D3701">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4CB3" w:rsidRPr="00150BFA" w:rsidP="0020718E" w14:paraId="04083DC0" w14:textId="4F3C82FD">
    <w:pPr>
      <w:jc w:val="center"/>
    </w:pPr>
    <w:r>
      <w:rPr>
        <w:noProof/>
        <w:lang w:val="en-US"/>
      </w:rPr>
      <w:drawing>
        <wp:inline distT="0" distB="0" distL="0" distR="0">
          <wp:extent cx="771525" cy="619125"/>
          <wp:effectExtent l="0" t="0" r="9525" b="9525"/>
          <wp:docPr id="11" name="Picture 1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44CB3" w:rsidP="00AF12C5" w14:paraId="1FD13282" w14:textId="15BEAE9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4CB3" w:rsidRPr="00150BFA" w:rsidP="0020718E" w14:paraId="4088C10E" w14:textId="3A0C0ECE">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44CB3" w:rsidP="009E7A6F" w14:paraId="43EC4D59" w14:textId="06A3193E">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4CB3" w:rsidP="009A115C" w14:paraId="2F19E6C6" w14:textId="3D968C90">
    <w:pPr>
      <w:pStyle w:val="JuHeader"/>
    </w:pPr>
    <w:r>
      <w:fldChar w:fldCharType="begin"/>
    </w:r>
    <w:r>
      <w:instrText xml:space="preserve"> PAGE  \* MERGEFORMAT </w:instrText>
    </w:r>
    <w:r>
      <w:fldChar w:fldCharType="separate"/>
    </w:r>
    <w:r>
      <w:rPr>
        <w:noProof/>
      </w:rPr>
      <w:t>10</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4CB3" w:rsidRPr="000B7195" w:rsidP="007D3701" w14:paraId="7B5C16CF" w14:textId="33014E1B">
    <w:pPr>
      <w:pStyle w:val="JuHeader"/>
    </w:pPr>
    <w:r>
      <w:fldChar w:fldCharType="begin"/>
    </w:r>
    <w:r>
      <w:instrText xml:space="preserve"> PAGE  \* MERGEFORMAT </w:instrText>
    </w:r>
    <w:r>
      <w:fldChar w:fldCharType="separate"/>
    </w:r>
    <w:r>
      <w:rPr>
        <w:noProof/>
      </w:rPr>
      <w:t>10</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0A307932" w14:textId="166ADF80">
    <w:pPr>
      <w:pStyle w:val="JuHeader"/>
    </w:pPr>
    <w:r>
      <w:fldChar w:fldCharType="begin"/>
    </w:r>
    <w:r>
      <w:instrText xml:space="preserve"> PAGE  \* MERGEFORMAT </w:instrText>
    </w:r>
    <w:r>
      <w:fldChar w:fldCharType="separate"/>
    </w:r>
    <w:r>
      <w:rPr>
        <w:noProof/>
      </w:rPr>
      <w:t>10</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12665" w:rsidP="007D3701" w14:paraId="005BFC4F" w14:textId="737BF4BB">
    <w:pPr>
      <w:pStyle w:val="JuHeader"/>
      <w:rPr>
        <w:lang w:val="fr-FR"/>
      </w:rPr>
    </w:pPr>
    <w:r>
      <w:rPr>
        <w:lang w:val="fr-FR"/>
      </w:rPr>
      <w:t>7</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4CB3" w:rsidRPr="00A45145" w:rsidP="00A45145" w14:paraId="76F793F7" w14:textId="7773A54B">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44CB3" w:rsidP="00B14793" w14:paraId="05656BD1" w14:textId="41305D2F">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4CB3" w:rsidRPr="00A45145" w:rsidP="00A45145" w14:paraId="013AA4C5" w14:textId="3B17ACC0">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44CB3" w14:paraId="7F132FCB" w14:textId="10D4499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4CB3" w:rsidRPr="004D0EC7" w:rsidP="004D0EC7" w14:paraId="64DF7B6B" w14:textId="2858664F">
    <w:pPr>
      <w:pStyle w:val="JuHeader"/>
    </w:pPr>
    <w:r>
      <w:t>GLONTI AND OTHERS v. GEORGIA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4CB3" w:rsidRPr="00882CD5" w:rsidP="007D3701" w14:paraId="36672E8C" w14:textId="24A3C65F">
    <w:pPr>
      <w:pStyle w:val="JuHeader"/>
    </w:pPr>
    <w:r>
      <w:t>GLONTI AND OTHERS v. GEORGIA</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0F66B165" w14:textId="17A986D9">
    <w:pPr>
      <w:pStyle w:val="JuHeader"/>
    </w:pPr>
    <w:r>
      <w:t>GLONTI AND OTHERS v. GEORGIA</w:t>
    </w:r>
    <w:r w:rsidRPr="004D0EC7">
      <w:t xml:space="preserve"> </w:t>
    </w:r>
    <w:r>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0D95568C" w14:textId="369405BA">
    <w:pPr>
      <w:pStyle w:val="JuHeader"/>
    </w:pPr>
    <w:r>
      <w:t>GLONTI AND OTHERS v. GEORGIA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255632741">
    <w:abstractNumId w:val="14"/>
  </w:num>
  <w:num w:numId="2" w16cid:durableId="1141768859">
    <w:abstractNumId w:val="12"/>
  </w:num>
  <w:num w:numId="3" w16cid:durableId="658272681">
    <w:abstractNumId w:val="11"/>
  </w:num>
  <w:num w:numId="4" w16cid:durableId="498498295">
    <w:abstractNumId w:val="17"/>
  </w:num>
  <w:num w:numId="5" w16cid:durableId="662663067">
    <w:abstractNumId w:val="7"/>
  </w:num>
  <w:num w:numId="6" w16cid:durableId="1461193963">
    <w:abstractNumId w:val="6"/>
  </w:num>
  <w:num w:numId="7" w16cid:durableId="1186989506">
    <w:abstractNumId w:val="5"/>
  </w:num>
  <w:num w:numId="8" w16cid:durableId="468517322">
    <w:abstractNumId w:val="4"/>
  </w:num>
  <w:num w:numId="9" w16cid:durableId="1521966986">
    <w:abstractNumId w:val="8"/>
  </w:num>
  <w:num w:numId="10" w16cid:durableId="74674349">
    <w:abstractNumId w:val="3"/>
  </w:num>
  <w:num w:numId="11" w16cid:durableId="2014719067">
    <w:abstractNumId w:val="2"/>
  </w:num>
  <w:num w:numId="12" w16cid:durableId="1470050246">
    <w:abstractNumId w:val="1"/>
  </w:num>
  <w:num w:numId="13" w16cid:durableId="1998877408">
    <w:abstractNumId w:val="0"/>
  </w:num>
  <w:num w:numId="14" w16cid:durableId="1051734234">
    <w:abstractNumId w:val="15"/>
  </w:num>
  <w:num w:numId="15" w16cid:durableId="1312908499">
    <w:abstractNumId w:val="13"/>
  </w:num>
  <w:num w:numId="16" w16cid:durableId="1088305174">
    <w:abstractNumId w:val="16"/>
  </w:num>
  <w:num w:numId="17" w16cid:durableId="1104769949">
    <w:abstractNumId w:val="15"/>
  </w:num>
  <w:num w:numId="18" w16cid:durableId="509834088">
    <w:abstractNumId w:val="16"/>
  </w:num>
  <w:num w:numId="19" w16cid:durableId="1971009731">
    <w:abstractNumId w:val="10"/>
  </w:num>
  <w:num w:numId="20" w16cid:durableId="562524060">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CB3"/>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649CB"/>
    <w:rsid w:val="000712E3"/>
    <w:rsid w:val="0007780A"/>
    <w:rsid w:val="00085457"/>
    <w:rsid w:val="000925AD"/>
    <w:rsid w:val="00096FE1"/>
    <w:rsid w:val="00097A62"/>
    <w:rsid w:val="000A24EB"/>
    <w:rsid w:val="000B1858"/>
    <w:rsid w:val="000B686A"/>
    <w:rsid w:val="000B6923"/>
    <w:rsid w:val="000B7195"/>
    <w:rsid w:val="000C21C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9AF"/>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2665"/>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3140"/>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5784"/>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16F5B"/>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24A0"/>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4A08"/>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674"/>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02CF"/>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14E7"/>
    <w:rsid w:val="00D343E2"/>
    <w:rsid w:val="00D361A2"/>
    <w:rsid w:val="00D37272"/>
    <w:rsid w:val="00D44C2E"/>
    <w:rsid w:val="00D45414"/>
    <w:rsid w:val="00D50A0A"/>
    <w:rsid w:val="00D53548"/>
    <w:rsid w:val="00D54EF1"/>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75E"/>
    <w:rsid w:val="00E42A06"/>
    <w:rsid w:val="00E44CB3"/>
    <w:rsid w:val="00E459C6"/>
    <w:rsid w:val="00E47589"/>
    <w:rsid w:val="00E557AA"/>
    <w:rsid w:val="00E63EC7"/>
    <w:rsid w:val="00E64915"/>
    <w:rsid w:val="00E64D3A"/>
    <w:rsid w:val="00E64EDC"/>
    <w:rsid w:val="00E661D4"/>
    <w:rsid w:val="00E67565"/>
    <w:rsid w:val="00E70091"/>
    <w:rsid w:val="00E70D2E"/>
    <w:rsid w:val="00E720F5"/>
    <w:rsid w:val="00E744E0"/>
    <w:rsid w:val="00E76D47"/>
    <w:rsid w:val="00E827BC"/>
    <w:rsid w:val="00E838A6"/>
    <w:rsid w:val="00E849F7"/>
    <w:rsid w:val="00E85D52"/>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2DE"/>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3"/>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287C8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A41674"/>
    <w:rPr>
      <w:sz w:val="24"/>
      <w:szCs w:val="24"/>
      <w:lang w:val="en-GB"/>
    </w:rPr>
  </w:style>
  <w:style w:type="paragraph" w:styleId="Heading1">
    <w:name w:val="heading 1"/>
    <w:basedOn w:val="Normal"/>
    <w:next w:val="Normal"/>
    <w:link w:val="Heading1Char"/>
    <w:uiPriority w:val="98"/>
    <w:semiHidden/>
    <w:rsid w:val="00A4167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A4167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A4167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A4167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A4167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A4167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A4167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A4167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4167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A416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1674"/>
  </w:style>
  <w:style w:type="paragraph" w:styleId="BalloonText">
    <w:name w:val="Balloon Text"/>
    <w:basedOn w:val="Normal"/>
    <w:link w:val="BalloonTextChar"/>
    <w:uiPriority w:val="98"/>
    <w:semiHidden/>
    <w:rsid w:val="00A41674"/>
    <w:rPr>
      <w:rFonts w:ascii="Tahoma" w:hAnsi="Tahoma" w:cs="Tahoma"/>
      <w:sz w:val="16"/>
      <w:szCs w:val="16"/>
    </w:rPr>
  </w:style>
  <w:style w:type="character" w:customStyle="1" w:styleId="BalloonTextChar">
    <w:name w:val="Balloon Text Char"/>
    <w:basedOn w:val="DefaultParagraphFont"/>
    <w:link w:val="BalloonText"/>
    <w:uiPriority w:val="98"/>
    <w:semiHidden/>
    <w:rsid w:val="00A41674"/>
    <w:rPr>
      <w:rFonts w:ascii="Tahoma" w:hAnsi="Tahoma" w:cs="Tahoma"/>
      <w:sz w:val="16"/>
      <w:szCs w:val="16"/>
      <w:lang w:val="en-GB"/>
    </w:rPr>
  </w:style>
  <w:style w:type="character" w:styleId="BookTitle">
    <w:name w:val="Book Title"/>
    <w:uiPriority w:val="98"/>
    <w:semiHidden/>
    <w:qFormat/>
    <w:rsid w:val="00A41674"/>
    <w:rPr>
      <w:i/>
      <w:iCs/>
      <w:smallCaps/>
      <w:spacing w:val="5"/>
    </w:rPr>
  </w:style>
  <w:style w:type="paragraph" w:customStyle="1" w:styleId="JuHeader">
    <w:name w:val="Ju_Header"/>
    <w:aliases w:val="_Header"/>
    <w:basedOn w:val="Header0"/>
    <w:uiPriority w:val="29"/>
    <w:qFormat/>
    <w:rsid w:val="00A41674"/>
    <w:pPr>
      <w:tabs>
        <w:tab w:val="clear" w:pos="4536"/>
        <w:tab w:val="clear" w:pos="9072"/>
      </w:tabs>
      <w:jc w:val="center"/>
    </w:pPr>
    <w:rPr>
      <w:sz w:val="18"/>
    </w:rPr>
  </w:style>
  <w:style w:type="paragraph" w:customStyle="1" w:styleId="NormalJustified">
    <w:name w:val="Normal_Justified"/>
    <w:basedOn w:val="Normal"/>
    <w:semiHidden/>
    <w:rsid w:val="00A41674"/>
    <w:pPr>
      <w:jc w:val="both"/>
    </w:pPr>
  </w:style>
  <w:style w:type="character" w:styleId="Strong">
    <w:name w:val="Strong"/>
    <w:uiPriority w:val="98"/>
    <w:semiHidden/>
    <w:qFormat/>
    <w:rsid w:val="00A41674"/>
    <w:rPr>
      <w:b/>
      <w:bCs/>
    </w:rPr>
  </w:style>
  <w:style w:type="paragraph" w:styleId="NoSpacing">
    <w:name w:val="No Spacing"/>
    <w:basedOn w:val="Normal"/>
    <w:link w:val="NoSpacingChar"/>
    <w:uiPriority w:val="98"/>
    <w:semiHidden/>
    <w:qFormat/>
    <w:rsid w:val="00A41674"/>
  </w:style>
  <w:style w:type="character" w:customStyle="1" w:styleId="NoSpacingChar">
    <w:name w:val="No Spacing Char"/>
    <w:basedOn w:val="DefaultParagraphFont"/>
    <w:link w:val="NoSpacing"/>
    <w:uiPriority w:val="98"/>
    <w:semiHidden/>
    <w:rsid w:val="00A41674"/>
    <w:rPr>
      <w:sz w:val="24"/>
      <w:szCs w:val="24"/>
      <w:lang w:val="en-GB"/>
    </w:rPr>
  </w:style>
  <w:style w:type="paragraph" w:customStyle="1" w:styleId="JuQuot">
    <w:name w:val="Ju_Quot"/>
    <w:aliases w:val="_Quote"/>
    <w:basedOn w:val="NormalJustified"/>
    <w:uiPriority w:val="20"/>
    <w:qFormat/>
    <w:rsid w:val="00A41674"/>
    <w:pPr>
      <w:spacing w:before="120" w:after="120"/>
      <w:ind w:left="425" w:firstLine="142"/>
    </w:pPr>
    <w:rPr>
      <w:sz w:val="20"/>
    </w:rPr>
  </w:style>
  <w:style w:type="paragraph" w:customStyle="1" w:styleId="DummyStyle">
    <w:name w:val="Dummy_Style"/>
    <w:aliases w:val="_Dummy"/>
    <w:basedOn w:val="Normal"/>
    <w:semiHidden/>
    <w:qFormat/>
    <w:rsid w:val="00A41674"/>
    <w:rPr>
      <w:color w:val="00B050"/>
      <w:sz w:val="22"/>
    </w:rPr>
  </w:style>
  <w:style w:type="paragraph" w:customStyle="1" w:styleId="JuList">
    <w:name w:val="Ju_List"/>
    <w:aliases w:val="_List_1"/>
    <w:basedOn w:val="NormalJustified"/>
    <w:uiPriority w:val="23"/>
    <w:qFormat/>
    <w:rsid w:val="00A41674"/>
    <w:pPr>
      <w:numPr>
        <w:numId w:val="20"/>
      </w:numPr>
      <w:spacing w:before="280" w:after="60"/>
    </w:pPr>
  </w:style>
  <w:style w:type="paragraph" w:customStyle="1" w:styleId="JuLista">
    <w:name w:val="Ju_List_a"/>
    <w:aliases w:val="_List_2"/>
    <w:basedOn w:val="NormalJustified"/>
    <w:uiPriority w:val="23"/>
    <w:rsid w:val="00A41674"/>
    <w:pPr>
      <w:numPr>
        <w:ilvl w:val="1"/>
        <w:numId w:val="20"/>
      </w:numPr>
    </w:pPr>
  </w:style>
  <w:style w:type="paragraph" w:customStyle="1" w:styleId="JuListi">
    <w:name w:val="Ju_List_i"/>
    <w:aliases w:val="_List_3"/>
    <w:basedOn w:val="NormalJustified"/>
    <w:uiPriority w:val="23"/>
    <w:rsid w:val="00A41674"/>
    <w:pPr>
      <w:numPr>
        <w:ilvl w:val="2"/>
        <w:numId w:val="20"/>
      </w:numPr>
    </w:pPr>
  </w:style>
  <w:style w:type="paragraph" w:customStyle="1" w:styleId="JuHArticle">
    <w:name w:val="Ju_H_Article"/>
    <w:aliases w:val="_Title_Quote"/>
    <w:basedOn w:val="Normal"/>
    <w:next w:val="JuQuot"/>
    <w:uiPriority w:val="19"/>
    <w:qFormat/>
    <w:rsid w:val="00A41674"/>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A41674"/>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A41674"/>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A41674"/>
    <w:pPr>
      <w:keepNext/>
      <w:keepLines/>
      <w:numPr>
        <w:numId w:val="1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A41674"/>
    <w:pPr>
      <w:numPr>
        <w:numId w:val="14"/>
      </w:numPr>
    </w:pPr>
  </w:style>
  <w:style w:type="paragraph" w:customStyle="1" w:styleId="JuSigned">
    <w:name w:val="Ju_Signed"/>
    <w:aliases w:val="_Signature"/>
    <w:basedOn w:val="Normal"/>
    <w:next w:val="JuPara"/>
    <w:uiPriority w:val="31"/>
    <w:qFormat/>
    <w:rsid w:val="00A41674"/>
    <w:pPr>
      <w:tabs>
        <w:tab w:val="center" w:pos="1418"/>
        <w:tab w:val="center" w:pos="5954"/>
      </w:tabs>
      <w:spacing w:before="720"/>
    </w:pPr>
  </w:style>
  <w:style w:type="paragraph" w:styleId="Title">
    <w:name w:val="Title"/>
    <w:basedOn w:val="Normal"/>
    <w:next w:val="Normal"/>
    <w:link w:val="TitleChar"/>
    <w:uiPriority w:val="98"/>
    <w:semiHidden/>
    <w:qFormat/>
    <w:rsid w:val="00A4167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A41674"/>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A41674"/>
    <w:pPr>
      <w:numPr>
        <w:numId w:val="15"/>
      </w:numPr>
    </w:pPr>
  </w:style>
  <w:style w:type="numbering" w:customStyle="1" w:styleId="ECHRA1StyleNumberedList">
    <w:name w:val="ECHR_A1_Style_Numbered_List"/>
    <w:basedOn w:val="NoList"/>
    <w:rsid w:val="00A41674"/>
    <w:pPr>
      <w:numPr>
        <w:numId w:val="16"/>
      </w:numPr>
    </w:pPr>
  </w:style>
  <w:style w:type="table" w:customStyle="1" w:styleId="ECHRTable2019">
    <w:name w:val="ECHR_Table_2019"/>
    <w:basedOn w:val="TableNormal"/>
    <w:uiPriority w:val="99"/>
    <w:rsid w:val="00A41674"/>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A41674"/>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A41674"/>
    <w:pPr>
      <w:keepNext/>
      <w:keepLines/>
      <w:numPr>
        <w:ilvl w:val="1"/>
        <w:numId w:val="1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A41674"/>
    <w:pPr>
      <w:keepNext/>
      <w:keepLines/>
      <w:numPr>
        <w:ilvl w:val="2"/>
        <w:numId w:val="1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A41674"/>
    <w:pPr>
      <w:keepNext/>
      <w:keepLines/>
      <w:numPr>
        <w:ilvl w:val="3"/>
        <w:numId w:val="19"/>
      </w:numPr>
      <w:spacing w:before="100" w:beforeAutospacing="1" w:after="120"/>
      <w:jc w:val="both"/>
    </w:pPr>
    <w:rPr>
      <w:b w:val="0"/>
      <w:color w:val="auto"/>
      <w:sz w:val="24"/>
    </w:rPr>
  </w:style>
  <w:style w:type="paragraph" w:styleId="Header0">
    <w:name w:val="header"/>
    <w:basedOn w:val="Normal"/>
    <w:link w:val="HeaderChar"/>
    <w:uiPriority w:val="98"/>
    <w:semiHidden/>
    <w:rsid w:val="00A41674"/>
    <w:pPr>
      <w:tabs>
        <w:tab w:val="center" w:pos="4536"/>
        <w:tab w:val="right" w:pos="9072"/>
      </w:tabs>
    </w:pPr>
  </w:style>
  <w:style w:type="character" w:customStyle="1" w:styleId="HeaderChar">
    <w:name w:val="Header Char"/>
    <w:basedOn w:val="DefaultParagraphFont"/>
    <w:link w:val="Header0"/>
    <w:uiPriority w:val="98"/>
    <w:semiHidden/>
    <w:rsid w:val="00A41674"/>
    <w:rPr>
      <w:sz w:val="24"/>
      <w:szCs w:val="24"/>
      <w:lang w:val="en-GB"/>
    </w:rPr>
  </w:style>
  <w:style w:type="character" w:customStyle="1" w:styleId="Heading1Char">
    <w:name w:val="Heading 1 Char"/>
    <w:basedOn w:val="DefaultParagraphFont"/>
    <w:link w:val="Heading1"/>
    <w:uiPriority w:val="98"/>
    <w:semiHidden/>
    <w:rsid w:val="00A41674"/>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A41674"/>
    <w:pPr>
      <w:keepNext/>
      <w:keepLines/>
      <w:numPr>
        <w:ilvl w:val="4"/>
        <w:numId w:val="19"/>
      </w:numPr>
      <w:spacing w:before="100" w:beforeAutospacing="1" w:after="120"/>
      <w:jc w:val="both"/>
    </w:pPr>
    <w:rPr>
      <w:color w:val="auto"/>
      <w:sz w:val="20"/>
    </w:rPr>
  </w:style>
  <w:style w:type="paragraph" w:customStyle="1" w:styleId="JuHi">
    <w:name w:val="Ju_H_i"/>
    <w:aliases w:val="_Head_6"/>
    <w:basedOn w:val="Heading6"/>
    <w:next w:val="JuPara"/>
    <w:uiPriority w:val="17"/>
    <w:rsid w:val="00A41674"/>
    <w:pPr>
      <w:keepNext/>
      <w:keepLines/>
      <w:numPr>
        <w:ilvl w:val="5"/>
        <w:numId w:val="1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A41674"/>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A41674"/>
    <w:pPr>
      <w:keepNext/>
      <w:keepLines/>
      <w:numPr>
        <w:ilvl w:val="6"/>
        <w:numId w:val="1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A41674"/>
    <w:pPr>
      <w:keepNext/>
      <w:keepLines/>
      <w:numPr>
        <w:ilvl w:val="7"/>
        <w:numId w:val="19"/>
      </w:numPr>
      <w:spacing w:before="100" w:beforeAutospacing="1" w:after="120"/>
      <w:jc w:val="both"/>
    </w:pPr>
    <w:rPr>
      <w:i/>
    </w:rPr>
  </w:style>
  <w:style w:type="character" w:customStyle="1" w:styleId="Heading3Char">
    <w:name w:val="Heading 3 Char"/>
    <w:basedOn w:val="DefaultParagraphFont"/>
    <w:link w:val="Heading3"/>
    <w:uiPriority w:val="98"/>
    <w:semiHidden/>
    <w:rsid w:val="00A41674"/>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A41674"/>
    <w:pPr>
      <w:keepNext/>
      <w:keepLines/>
      <w:spacing w:before="240" w:after="240"/>
      <w:ind w:firstLine="284"/>
    </w:pPr>
  </w:style>
  <w:style w:type="paragraph" w:customStyle="1" w:styleId="JuJudges">
    <w:name w:val="Ju_Judges"/>
    <w:aliases w:val="_Judges"/>
    <w:basedOn w:val="Normal"/>
    <w:uiPriority w:val="32"/>
    <w:qFormat/>
    <w:rsid w:val="00A41674"/>
    <w:pPr>
      <w:tabs>
        <w:tab w:val="left" w:pos="567"/>
        <w:tab w:val="left" w:pos="1134"/>
      </w:tabs>
    </w:pPr>
  </w:style>
  <w:style w:type="character" w:customStyle="1" w:styleId="Heading4Char">
    <w:name w:val="Heading 4 Char"/>
    <w:basedOn w:val="DefaultParagraphFont"/>
    <w:link w:val="Heading4"/>
    <w:uiPriority w:val="98"/>
    <w:semiHidden/>
    <w:rsid w:val="00A41674"/>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A41674"/>
    <w:pPr>
      <w:tabs>
        <w:tab w:val="center" w:pos="6407"/>
      </w:tabs>
      <w:spacing w:before="720"/>
      <w:jc w:val="right"/>
    </w:pPr>
  </w:style>
  <w:style w:type="character" w:customStyle="1" w:styleId="Heading5Char">
    <w:name w:val="Heading 5 Char"/>
    <w:basedOn w:val="DefaultParagraphFont"/>
    <w:link w:val="Heading5"/>
    <w:uiPriority w:val="98"/>
    <w:semiHidden/>
    <w:rsid w:val="00A41674"/>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A41674"/>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A41674"/>
    <w:rPr>
      <w:caps w:val="0"/>
      <w:smallCaps/>
    </w:rPr>
  </w:style>
  <w:style w:type="character" w:styleId="SubtleEmphasis">
    <w:name w:val="Subtle Emphasis"/>
    <w:uiPriority w:val="98"/>
    <w:semiHidden/>
    <w:qFormat/>
    <w:rsid w:val="00A41674"/>
    <w:rPr>
      <w:i/>
      <w:iCs/>
    </w:rPr>
  </w:style>
  <w:style w:type="table" w:customStyle="1" w:styleId="ECHRTable">
    <w:name w:val="ECHR_Table"/>
    <w:basedOn w:val="TableNormal"/>
    <w:rsid w:val="00A41674"/>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4167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A41674"/>
    <w:rPr>
      <w:b/>
      <w:bCs/>
      <w:i/>
      <w:iCs/>
      <w:spacing w:val="10"/>
      <w:bdr w:val="none" w:sz="0" w:space="0" w:color="auto"/>
      <w:shd w:val="clear" w:color="auto" w:fill="auto"/>
    </w:rPr>
  </w:style>
  <w:style w:type="paragraph" w:styleId="Footer1">
    <w:name w:val="footer"/>
    <w:basedOn w:val="Normal"/>
    <w:link w:val="FooterChar"/>
    <w:uiPriority w:val="98"/>
    <w:semiHidden/>
    <w:rsid w:val="00A41674"/>
    <w:pPr>
      <w:tabs>
        <w:tab w:val="center" w:pos="3686"/>
        <w:tab w:val="right" w:pos="7371"/>
      </w:tabs>
    </w:pPr>
  </w:style>
  <w:style w:type="character" w:customStyle="1" w:styleId="FooterChar">
    <w:name w:val="Footer Char"/>
    <w:basedOn w:val="DefaultParagraphFont"/>
    <w:link w:val="Footer1"/>
    <w:uiPriority w:val="98"/>
    <w:semiHidden/>
    <w:rsid w:val="00A41674"/>
    <w:rPr>
      <w:sz w:val="24"/>
      <w:szCs w:val="24"/>
      <w:lang w:val="en-GB"/>
    </w:rPr>
  </w:style>
  <w:style w:type="character" w:styleId="FootnoteReference">
    <w:name w:val="footnote reference"/>
    <w:basedOn w:val="DefaultParagraphFont"/>
    <w:uiPriority w:val="98"/>
    <w:semiHidden/>
    <w:rsid w:val="00A41674"/>
    <w:rPr>
      <w:vertAlign w:val="superscript"/>
    </w:rPr>
  </w:style>
  <w:style w:type="paragraph" w:styleId="FootnoteText">
    <w:name w:val="footnote text"/>
    <w:basedOn w:val="NormalJustified"/>
    <w:link w:val="FootnoteTextChar"/>
    <w:uiPriority w:val="98"/>
    <w:semiHidden/>
    <w:rsid w:val="00A41674"/>
    <w:rPr>
      <w:sz w:val="20"/>
      <w:szCs w:val="20"/>
    </w:rPr>
  </w:style>
  <w:style w:type="character" w:customStyle="1" w:styleId="FootnoteTextChar">
    <w:name w:val="Footnote Text Char"/>
    <w:basedOn w:val="DefaultParagraphFont"/>
    <w:link w:val="FootnoteText"/>
    <w:uiPriority w:val="98"/>
    <w:semiHidden/>
    <w:rsid w:val="00A41674"/>
    <w:rPr>
      <w:sz w:val="20"/>
      <w:szCs w:val="20"/>
      <w:lang w:val="en-GB"/>
    </w:rPr>
  </w:style>
  <w:style w:type="character" w:customStyle="1" w:styleId="Heading6Char">
    <w:name w:val="Heading 6 Char"/>
    <w:basedOn w:val="DefaultParagraphFont"/>
    <w:link w:val="Heading6"/>
    <w:uiPriority w:val="98"/>
    <w:semiHidden/>
    <w:rsid w:val="00A41674"/>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A41674"/>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A41674"/>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A41674"/>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A41674"/>
    <w:rPr>
      <w:color w:val="0072BC" w:themeColor="hyperlink"/>
      <w:u w:val="single"/>
    </w:rPr>
  </w:style>
  <w:style w:type="character" w:styleId="IntenseEmphasis">
    <w:name w:val="Intense Emphasis"/>
    <w:uiPriority w:val="98"/>
    <w:semiHidden/>
    <w:qFormat/>
    <w:rsid w:val="00A41674"/>
    <w:rPr>
      <w:b/>
      <w:bCs/>
    </w:rPr>
  </w:style>
  <w:style w:type="paragraph" w:styleId="IntenseQuote">
    <w:name w:val="Intense Quote"/>
    <w:basedOn w:val="Normal"/>
    <w:next w:val="Normal"/>
    <w:link w:val="IntenseQuoteChar"/>
    <w:uiPriority w:val="98"/>
    <w:semiHidden/>
    <w:qFormat/>
    <w:rsid w:val="00A4167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A41674"/>
    <w:rPr>
      <w:b/>
      <w:bCs/>
      <w:i/>
      <w:iCs/>
      <w:sz w:val="24"/>
      <w:szCs w:val="24"/>
      <w:lang w:val="en-GB" w:bidi="en-US"/>
    </w:rPr>
  </w:style>
  <w:style w:type="character" w:styleId="IntenseReference">
    <w:name w:val="Intense Reference"/>
    <w:uiPriority w:val="98"/>
    <w:semiHidden/>
    <w:qFormat/>
    <w:rsid w:val="00A41674"/>
    <w:rPr>
      <w:smallCaps/>
      <w:spacing w:val="5"/>
      <w:u w:val="single"/>
    </w:rPr>
  </w:style>
  <w:style w:type="paragraph" w:styleId="ListParagraph">
    <w:name w:val="List Paragraph"/>
    <w:basedOn w:val="Normal"/>
    <w:uiPriority w:val="98"/>
    <w:semiHidden/>
    <w:qFormat/>
    <w:rsid w:val="00A41674"/>
    <w:pPr>
      <w:ind w:left="720"/>
      <w:contextualSpacing/>
    </w:pPr>
  </w:style>
  <w:style w:type="table" w:customStyle="1" w:styleId="LtrTableAddress">
    <w:name w:val="Ltr_Table_Address"/>
    <w:aliases w:val="ECHR_Ltr_Table_Address"/>
    <w:basedOn w:val="TableNormal"/>
    <w:uiPriority w:val="99"/>
    <w:rsid w:val="00A41674"/>
    <w:rPr>
      <w:sz w:val="24"/>
      <w:szCs w:val="24"/>
    </w:rPr>
    <w:tblPr>
      <w:tblInd w:w="5103" w:type="dxa"/>
    </w:tblPr>
  </w:style>
  <w:style w:type="paragraph" w:styleId="Quote0">
    <w:name w:val="Quote"/>
    <w:basedOn w:val="Normal"/>
    <w:next w:val="Normal"/>
    <w:link w:val="QuoteChar"/>
    <w:uiPriority w:val="98"/>
    <w:semiHidden/>
    <w:qFormat/>
    <w:rsid w:val="00A41674"/>
    <w:pPr>
      <w:spacing w:before="200"/>
      <w:ind w:left="360" w:right="360"/>
    </w:pPr>
    <w:rPr>
      <w:i/>
      <w:iCs/>
      <w:lang w:bidi="en-US"/>
    </w:rPr>
  </w:style>
  <w:style w:type="character" w:customStyle="1" w:styleId="QuoteChar">
    <w:name w:val="Quote Char"/>
    <w:basedOn w:val="DefaultParagraphFont"/>
    <w:link w:val="Quote0"/>
    <w:uiPriority w:val="98"/>
    <w:semiHidden/>
    <w:rsid w:val="00A41674"/>
    <w:rPr>
      <w:i/>
      <w:iCs/>
      <w:sz w:val="24"/>
      <w:szCs w:val="24"/>
      <w:lang w:val="en-GB" w:bidi="en-US"/>
    </w:rPr>
  </w:style>
  <w:style w:type="character" w:styleId="SubtleReference">
    <w:name w:val="Subtle Reference"/>
    <w:uiPriority w:val="98"/>
    <w:semiHidden/>
    <w:qFormat/>
    <w:rsid w:val="00A41674"/>
    <w:rPr>
      <w:smallCaps/>
    </w:rPr>
  </w:style>
  <w:style w:type="table" w:styleId="TableGrid">
    <w:name w:val="Table Grid"/>
    <w:basedOn w:val="TableNormal"/>
    <w:uiPriority w:val="59"/>
    <w:semiHidden/>
    <w:rsid w:val="00A4167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4167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4167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4167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41674"/>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4167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41674"/>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A4167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4167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41674"/>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41674"/>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A4167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41674"/>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41674"/>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A4167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A41674"/>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A41674"/>
    <w:pPr>
      <w:numPr>
        <w:numId w:val="1"/>
      </w:numPr>
    </w:pPr>
  </w:style>
  <w:style w:type="paragraph" w:customStyle="1" w:styleId="JuPara">
    <w:name w:val="Ju_Para"/>
    <w:aliases w:val="_Para"/>
    <w:basedOn w:val="NormalJustified"/>
    <w:link w:val="JuParaChar"/>
    <w:uiPriority w:val="4"/>
    <w:qFormat/>
    <w:rsid w:val="00A41674"/>
    <w:pPr>
      <w:ind w:firstLine="284"/>
    </w:pPr>
  </w:style>
  <w:style w:type="numbering" w:styleId="1ai">
    <w:name w:val="Outline List 1"/>
    <w:basedOn w:val="NoList"/>
    <w:uiPriority w:val="99"/>
    <w:semiHidden/>
    <w:unhideWhenUsed/>
    <w:rsid w:val="00A41674"/>
    <w:pPr>
      <w:numPr>
        <w:numId w:val="2"/>
      </w:numPr>
    </w:pPr>
  </w:style>
  <w:style w:type="table" w:customStyle="1" w:styleId="ECHRTableSimpleBox">
    <w:name w:val="ECHR_Table_Simple_Box"/>
    <w:basedOn w:val="TableNormal"/>
    <w:uiPriority w:val="99"/>
    <w:rsid w:val="00A41674"/>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A41674"/>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A41674"/>
    <w:pPr>
      <w:numPr>
        <w:numId w:val="3"/>
      </w:numPr>
    </w:pPr>
  </w:style>
  <w:style w:type="table" w:customStyle="1" w:styleId="ECHRTableForInternalUse">
    <w:name w:val="ECHR_Table_For_Internal_Use"/>
    <w:basedOn w:val="TableNormal"/>
    <w:uiPriority w:val="99"/>
    <w:rsid w:val="00A41674"/>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A41674"/>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A41674"/>
  </w:style>
  <w:style w:type="paragraph" w:styleId="BlockText">
    <w:name w:val="Block Text"/>
    <w:basedOn w:val="Normal"/>
    <w:uiPriority w:val="98"/>
    <w:semiHidden/>
    <w:rsid w:val="00A4167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41674"/>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A41674"/>
    <w:pPr>
      <w:spacing w:after="120"/>
    </w:pPr>
  </w:style>
  <w:style w:type="character" w:customStyle="1" w:styleId="BodyTextChar">
    <w:name w:val="Body Text Char"/>
    <w:basedOn w:val="DefaultParagraphFont"/>
    <w:link w:val="BodyText"/>
    <w:uiPriority w:val="98"/>
    <w:semiHidden/>
    <w:rsid w:val="00A41674"/>
    <w:rPr>
      <w:sz w:val="24"/>
      <w:szCs w:val="24"/>
      <w:lang w:val="en-GB"/>
    </w:rPr>
  </w:style>
  <w:style w:type="table" w:customStyle="1" w:styleId="ECHRTableOddBanded">
    <w:name w:val="ECHR_Table_Odd_Banded"/>
    <w:basedOn w:val="TableNormal"/>
    <w:uiPriority w:val="99"/>
    <w:rsid w:val="00A41674"/>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A41674"/>
    <w:pPr>
      <w:spacing w:after="120" w:line="480" w:lineRule="auto"/>
    </w:pPr>
  </w:style>
  <w:style w:type="table" w:customStyle="1" w:styleId="ECHRHeaderTableReduced">
    <w:name w:val="ECHR_Header_Table_Reduced"/>
    <w:basedOn w:val="TableNormal"/>
    <w:uiPriority w:val="99"/>
    <w:rsid w:val="00A4167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A41674"/>
    <w:pPr>
      <w:ind w:firstLine="284"/>
    </w:pPr>
    <w:rPr>
      <w:b/>
    </w:rPr>
  </w:style>
  <w:style w:type="character" w:styleId="PageNumber">
    <w:name w:val="page number"/>
    <w:uiPriority w:val="98"/>
    <w:semiHidden/>
    <w:rsid w:val="00A41674"/>
    <w:rPr>
      <w:sz w:val="18"/>
    </w:rPr>
  </w:style>
  <w:style w:type="paragraph" w:styleId="ListBullet">
    <w:name w:val="List Bullet"/>
    <w:basedOn w:val="Normal"/>
    <w:uiPriority w:val="98"/>
    <w:semiHidden/>
    <w:rsid w:val="00A41674"/>
    <w:pPr>
      <w:numPr>
        <w:numId w:val="4"/>
      </w:numPr>
    </w:pPr>
  </w:style>
  <w:style w:type="paragraph" w:styleId="ListBullet3">
    <w:name w:val="List Bullet 3"/>
    <w:basedOn w:val="Normal"/>
    <w:uiPriority w:val="98"/>
    <w:semiHidden/>
    <w:rsid w:val="00A41674"/>
    <w:pPr>
      <w:numPr>
        <w:numId w:val="6"/>
      </w:numPr>
      <w:contextualSpacing/>
    </w:pPr>
  </w:style>
  <w:style w:type="character" w:customStyle="1" w:styleId="BodyText2Char">
    <w:name w:val="Body Text 2 Char"/>
    <w:basedOn w:val="DefaultParagraphFont"/>
    <w:link w:val="BodyText2"/>
    <w:uiPriority w:val="98"/>
    <w:semiHidden/>
    <w:rsid w:val="00A41674"/>
    <w:rPr>
      <w:sz w:val="24"/>
      <w:szCs w:val="24"/>
      <w:lang w:val="en-GB"/>
    </w:rPr>
  </w:style>
  <w:style w:type="paragraph" w:styleId="BodyText3">
    <w:name w:val="Body Text 3"/>
    <w:basedOn w:val="Normal"/>
    <w:link w:val="BodyText3Char"/>
    <w:uiPriority w:val="98"/>
    <w:semiHidden/>
    <w:rsid w:val="00A41674"/>
    <w:pPr>
      <w:spacing w:after="120"/>
    </w:pPr>
    <w:rPr>
      <w:sz w:val="16"/>
      <w:szCs w:val="16"/>
    </w:rPr>
  </w:style>
  <w:style w:type="character" w:customStyle="1" w:styleId="BodyText3Char">
    <w:name w:val="Body Text 3 Char"/>
    <w:basedOn w:val="DefaultParagraphFont"/>
    <w:link w:val="BodyText3"/>
    <w:uiPriority w:val="98"/>
    <w:semiHidden/>
    <w:rsid w:val="00A41674"/>
    <w:rPr>
      <w:sz w:val="16"/>
      <w:szCs w:val="16"/>
      <w:lang w:val="en-GB"/>
    </w:rPr>
  </w:style>
  <w:style w:type="paragraph" w:styleId="BodyTextFirstIndent">
    <w:name w:val="Body Text First Indent"/>
    <w:basedOn w:val="BodyText"/>
    <w:link w:val="BodyTextFirstIndentChar"/>
    <w:uiPriority w:val="98"/>
    <w:semiHidden/>
    <w:rsid w:val="00A41674"/>
    <w:pPr>
      <w:spacing w:after="0"/>
      <w:ind w:firstLine="360"/>
    </w:pPr>
  </w:style>
  <w:style w:type="character" w:customStyle="1" w:styleId="BodyTextFirstIndentChar">
    <w:name w:val="Body Text First Indent Char"/>
    <w:basedOn w:val="BodyTextChar"/>
    <w:link w:val="BodyTextFirstIndent"/>
    <w:uiPriority w:val="98"/>
    <w:semiHidden/>
    <w:rsid w:val="00A41674"/>
    <w:rPr>
      <w:sz w:val="24"/>
      <w:szCs w:val="24"/>
      <w:lang w:val="en-GB"/>
    </w:rPr>
  </w:style>
  <w:style w:type="paragraph" w:styleId="BodyTextIndent">
    <w:name w:val="Body Text Indent"/>
    <w:basedOn w:val="Normal"/>
    <w:link w:val="BodyTextIndentChar"/>
    <w:uiPriority w:val="98"/>
    <w:semiHidden/>
    <w:rsid w:val="00A41674"/>
    <w:pPr>
      <w:spacing w:after="120"/>
      <w:ind w:left="283"/>
    </w:pPr>
  </w:style>
  <w:style w:type="character" w:customStyle="1" w:styleId="BodyTextIndentChar">
    <w:name w:val="Body Text Indent Char"/>
    <w:basedOn w:val="DefaultParagraphFont"/>
    <w:link w:val="BodyTextIndent"/>
    <w:uiPriority w:val="98"/>
    <w:semiHidden/>
    <w:rsid w:val="00A41674"/>
    <w:rPr>
      <w:sz w:val="24"/>
      <w:szCs w:val="24"/>
      <w:lang w:val="en-GB"/>
    </w:rPr>
  </w:style>
  <w:style w:type="paragraph" w:styleId="BodyTextFirstIndent2">
    <w:name w:val="Body Text First Indent 2"/>
    <w:basedOn w:val="BodyTextIndent"/>
    <w:link w:val="BodyTextFirstIndent2Char"/>
    <w:uiPriority w:val="98"/>
    <w:semiHidden/>
    <w:rsid w:val="00A41674"/>
    <w:pPr>
      <w:spacing w:after="0"/>
      <w:ind w:left="360" w:firstLine="360"/>
    </w:pPr>
  </w:style>
  <w:style w:type="character" w:customStyle="1" w:styleId="BodyTextFirstIndent2Char">
    <w:name w:val="Body Text First Indent 2 Char"/>
    <w:basedOn w:val="BodyTextIndentChar"/>
    <w:link w:val="BodyTextFirstIndent2"/>
    <w:uiPriority w:val="98"/>
    <w:semiHidden/>
    <w:rsid w:val="00A41674"/>
    <w:rPr>
      <w:sz w:val="24"/>
      <w:szCs w:val="24"/>
      <w:lang w:val="en-GB"/>
    </w:rPr>
  </w:style>
  <w:style w:type="paragraph" w:styleId="BodyTextIndent2">
    <w:name w:val="Body Text Indent 2"/>
    <w:basedOn w:val="Normal"/>
    <w:link w:val="BodyTextIndent2Char"/>
    <w:uiPriority w:val="98"/>
    <w:semiHidden/>
    <w:rsid w:val="00A41674"/>
    <w:pPr>
      <w:spacing w:after="120" w:line="480" w:lineRule="auto"/>
      <w:ind w:left="283"/>
    </w:pPr>
  </w:style>
  <w:style w:type="character" w:customStyle="1" w:styleId="BodyTextIndent2Char">
    <w:name w:val="Body Text Indent 2 Char"/>
    <w:basedOn w:val="DefaultParagraphFont"/>
    <w:link w:val="BodyTextIndent2"/>
    <w:uiPriority w:val="98"/>
    <w:semiHidden/>
    <w:rsid w:val="00A41674"/>
    <w:rPr>
      <w:sz w:val="24"/>
      <w:szCs w:val="24"/>
      <w:lang w:val="en-GB"/>
    </w:rPr>
  </w:style>
  <w:style w:type="paragraph" w:styleId="BodyTextIndent3">
    <w:name w:val="Body Text Indent 3"/>
    <w:basedOn w:val="Normal"/>
    <w:link w:val="BodyTextIndent3Char"/>
    <w:uiPriority w:val="98"/>
    <w:semiHidden/>
    <w:rsid w:val="00A4167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41674"/>
    <w:rPr>
      <w:sz w:val="16"/>
      <w:szCs w:val="16"/>
      <w:lang w:val="en-GB"/>
    </w:rPr>
  </w:style>
  <w:style w:type="paragraph" w:styleId="Caption">
    <w:name w:val="caption"/>
    <w:basedOn w:val="Normal"/>
    <w:next w:val="Normal"/>
    <w:uiPriority w:val="98"/>
    <w:semiHidden/>
    <w:qFormat/>
    <w:rsid w:val="00A41674"/>
    <w:pPr>
      <w:spacing w:after="200"/>
    </w:pPr>
    <w:rPr>
      <w:b/>
      <w:bCs/>
      <w:color w:val="0072BC" w:themeColor="accent1"/>
      <w:sz w:val="18"/>
      <w:szCs w:val="18"/>
    </w:rPr>
  </w:style>
  <w:style w:type="paragraph" w:styleId="Closing">
    <w:name w:val="Closing"/>
    <w:basedOn w:val="Normal"/>
    <w:link w:val="ClosingChar"/>
    <w:uiPriority w:val="98"/>
    <w:semiHidden/>
    <w:rsid w:val="00A41674"/>
    <w:pPr>
      <w:ind w:left="4252"/>
    </w:pPr>
  </w:style>
  <w:style w:type="character" w:customStyle="1" w:styleId="ClosingChar">
    <w:name w:val="Closing Char"/>
    <w:basedOn w:val="DefaultParagraphFont"/>
    <w:link w:val="Closing"/>
    <w:uiPriority w:val="98"/>
    <w:semiHidden/>
    <w:rsid w:val="00A41674"/>
    <w:rPr>
      <w:sz w:val="24"/>
      <w:szCs w:val="24"/>
      <w:lang w:val="en-GB"/>
    </w:rPr>
  </w:style>
  <w:style w:type="table" w:styleId="ColorfulGrid">
    <w:name w:val="Colorful Grid"/>
    <w:basedOn w:val="TableNormal"/>
    <w:uiPriority w:val="73"/>
    <w:semiHidden/>
    <w:rsid w:val="00A41674"/>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41674"/>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41674"/>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41674"/>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A41674"/>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41674"/>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41674"/>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41674"/>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41674"/>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41674"/>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41674"/>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A41674"/>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41674"/>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41674"/>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4167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4167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4167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41674"/>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A41674"/>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4167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4167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A41674"/>
    <w:rPr>
      <w:sz w:val="16"/>
      <w:szCs w:val="16"/>
    </w:rPr>
  </w:style>
  <w:style w:type="paragraph" w:styleId="CommentText">
    <w:name w:val="annotation text"/>
    <w:basedOn w:val="Normal"/>
    <w:link w:val="CommentTextChar"/>
    <w:uiPriority w:val="98"/>
    <w:semiHidden/>
    <w:rsid w:val="00A41674"/>
    <w:rPr>
      <w:sz w:val="20"/>
      <w:szCs w:val="20"/>
    </w:rPr>
  </w:style>
  <w:style w:type="character" w:customStyle="1" w:styleId="CommentTextChar">
    <w:name w:val="Comment Text Char"/>
    <w:basedOn w:val="DefaultParagraphFont"/>
    <w:link w:val="CommentText"/>
    <w:uiPriority w:val="98"/>
    <w:semiHidden/>
    <w:rsid w:val="00A41674"/>
    <w:rPr>
      <w:sz w:val="20"/>
      <w:szCs w:val="20"/>
      <w:lang w:val="en-GB"/>
    </w:rPr>
  </w:style>
  <w:style w:type="paragraph" w:styleId="CommentSubject">
    <w:name w:val="annotation subject"/>
    <w:basedOn w:val="CommentText"/>
    <w:next w:val="CommentText"/>
    <w:link w:val="CommentSubjectChar"/>
    <w:uiPriority w:val="98"/>
    <w:semiHidden/>
    <w:rsid w:val="00A41674"/>
    <w:rPr>
      <w:b/>
      <w:bCs/>
    </w:rPr>
  </w:style>
  <w:style w:type="character" w:customStyle="1" w:styleId="CommentSubjectChar">
    <w:name w:val="Comment Subject Char"/>
    <w:basedOn w:val="CommentTextChar"/>
    <w:link w:val="CommentSubject"/>
    <w:uiPriority w:val="98"/>
    <w:semiHidden/>
    <w:rsid w:val="00A41674"/>
    <w:rPr>
      <w:b/>
      <w:bCs/>
      <w:sz w:val="20"/>
      <w:szCs w:val="20"/>
      <w:lang w:val="en-GB"/>
    </w:rPr>
  </w:style>
  <w:style w:type="table" w:styleId="DarkList">
    <w:name w:val="Dark List"/>
    <w:basedOn w:val="TableNormal"/>
    <w:uiPriority w:val="70"/>
    <w:semiHidden/>
    <w:rsid w:val="00A41674"/>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41674"/>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41674"/>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41674"/>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A41674"/>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41674"/>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41674"/>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41674"/>
  </w:style>
  <w:style w:type="character" w:customStyle="1" w:styleId="DateChar">
    <w:name w:val="Date Char"/>
    <w:basedOn w:val="DefaultParagraphFont"/>
    <w:link w:val="Date"/>
    <w:uiPriority w:val="98"/>
    <w:semiHidden/>
    <w:rsid w:val="00A41674"/>
    <w:rPr>
      <w:sz w:val="24"/>
      <w:szCs w:val="24"/>
      <w:lang w:val="en-GB"/>
    </w:rPr>
  </w:style>
  <w:style w:type="paragraph" w:styleId="DocumentMap">
    <w:name w:val="Document Map"/>
    <w:basedOn w:val="Normal"/>
    <w:link w:val="DocumentMapChar"/>
    <w:uiPriority w:val="98"/>
    <w:semiHidden/>
    <w:rsid w:val="00A41674"/>
    <w:rPr>
      <w:rFonts w:ascii="Tahoma" w:hAnsi="Tahoma" w:cs="Tahoma"/>
      <w:sz w:val="16"/>
      <w:szCs w:val="16"/>
    </w:rPr>
  </w:style>
  <w:style w:type="character" w:customStyle="1" w:styleId="DocumentMapChar">
    <w:name w:val="Document Map Char"/>
    <w:basedOn w:val="DefaultParagraphFont"/>
    <w:link w:val="DocumentMap"/>
    <w:uiPriority w:val="98"/>
    <w:semiHidden/>
    <w:rsid w:val="00A41674"/>
    <w:rPr>
      <w:rFonts w:ascii="Tahoma" w:hAnsi="Tahoma" w:cs="Tahoma"/>
      <w:sz w:val="16"/>
      <w:szCs w:val="16"/>
      <w:lang w:val="en-GB"/>
    </w:rPr>
  </w:style>
  <w:style w:type="paragraph" w:styleId="E-mailSignature">
    <w:name w:val="E-mail Signature"/>
    <w:basedOn w:val="Normal"/>
    <w:link w:val="E-mailSignatureChar"/>
    <w:uiPriority w:val="98"/>
    <w:semiHidden/>
    <w:rsid w:val="00A41674"/>
  </w:style>
  <w:style w:type="character" w:customStyle="1" w:styleId="E-mailSignatureChar">
    <w:name w:val="E-mail Signature Char"/>
    <w:basedOn w:val="DefaultParagraphFont"/>
    <w:link w:val="E-mailSignature"/>
    <w:uiPriority w:val="98"/>
    <w:semiHidden/>
    <w:rsid w:val="00A41674"/>
    <w:rPr>
      <w:sz w:val="24"/>
      <w:szCs w:val="24"/>
      <w:lang w:val="en-GB"/>
    </w:rPr>
  </w:style>
  <w:style w:type="character" w:styleId="EndnoteReference">
    <w:name w:val="endnote reference"/>
    <w:basedOn w:val="DefaultParagraphFont"/>
    <w:uiPriority w:val="98"/>
    <w:semiHidden/>
    <w:rsid w:val="00A41674"/>
    <w:rPr>
      <w:vertAlign w:val="superscript"/>
    </w:rPr>
  </w:style>
  <w:style w:type="paragraph" w:styleId="EndnoteText">
    <w:name w:val="endnote text"/>
    <w:basedOn w:val="Normal"/>
    <w:link w:val="EndnoteTextChar"/>
    <w:uiPriority w:val="98"/>
    <w:semiHidden/>
    <w:rsid w:val="00A41674"/>
    <w:rPr>
      <w:sz w:val="20"/>
      <w:szCs w:val="20"/>
    </w:rPr>
  </w:style>
  <w:style w:type="character" w:customStyle="1" w:styleId="EndnoteTextChar">
    <w:name w:val="Endnote Text Char"/>
    <w:basedOn w:val="DefaultParagraphFont"/>
    <w:link w:val="EndnoteText"/>
    <w:uiPriority w:val="98"/>
    <w:semiHidden/>
    <w:rsid w:val="00A41674"/>
    <w:rPr>
      <w:sz w:val="20"/>
      <w:szCs w:val="20"/>
      <w:lang w:val="en-GB"/>
    </w:rPr>
  </w:style>
  <w:style w:type="paragraph" w:styleId="EnvelopeAddress">
    <w:name w:val="envelope address"/>
    <w:basedOn w:val="Normal"/>
    <w:uiPriority w:val="98"/>
    <w:semiHidden/>
    <w:rsid w:val="00A4167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4167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41674"/>
    <w:rPr>
      <w:color w:val="7030A0" w:themeColor="followedHyperlink"/>
      <w:u w:val="single"/>
    </w:rPr>
  </w:style>
  <w:style w:type="character" w:styleId="HTMLAcronym">
    <w:name w:val="HTML Acronym"/>
    <w:basedOn w:val="DefaultParagraphFont"/>
    <w:uiPriority w:val="98"/>
    <w:semiHidden/>
    <w:rsid w:val="00A41674"/>
  </w:style>
  <w:style w:type="paragraph" w:styleId="HTMLAddress">
    <w:name w:val="HTML Address"/>
    <w:basedOn w:val="Normal"/>
    <w:link w:val="HTMLAddressChar"/>
    <w:uiPriority w:val="98"/>
    <w:semiHidden/>
    <w:rsid w:val="00A41674"/>
    <w:rPr>
      <w:i/>
      <w:iCs/>
    </w:rPr>
  </w:style>
  <w:style w:type="character" w:customStyle="1" w:styleId="HTMLAddressChar">
    <w:name w:val="HTML Address Char"/>
    <w:basedOn w:val="DefaultParagraphFont"/>
    <w:link w:val="HTMLAddress"/>
    <w:uiPriority w:val="98"/>
    <w:semiHidden/>
    <w:rsid w:val="00A41674"/>
    <w:rPr>
      <w:i/>
      <w:iCs/>
      <w:sz w:val="24"/>
      <w:szCs w:val="24"/>
      <w:lang w:val="en-GB"/>
    </w:rPr>
  </w:style>
  <w:style w:type="character" w:styleId="HTMLCite">
    <w:name w:val="HTML Cite"/>
    <w:basedOn w:val="DefaultParagraphFont"/>
    <w:uiPriority w:val="98"/>
    <w:semiHidden/>
    <w:rsid w:val="00A41674"/>
    <w:rPr>
      <w:i/>
      <w:iCs/>
    </w:rPr>
  </w:style>
  <w:style w:type="character" w:styleId="HTMLCode">
    <w:name w:val="HTML Code"/>
    <w:basedOn w:val="DefaultParagraphFont"/>
    <w:uiPriority w:val="98"/>
    <w:semiHidden/>
    <w:rsid w:val="00A41674"/>
    <w:rPr>
      <w:rFonts w:ascii="Consolas" w:hAnsi="Consolas" w:cs="Consolas"/>
      <w:sz w:val="20"/>
      <w:szCs w:val="20"/>
    </w:rPr>
  </w:style>
  <w:style w:type="character" w:styleId="HTMLDefinition">
    <w:name w:val="HTML Definition"/>
    <w:basedOn w:val="DefaultParagraphFont"/>
    <w:uiPriority w:val="98"/>
    <w:semiHidden/>
    <w:rsid w:val="00A41674"/>
    <w:rPr>
      <w:i/>
      <w:iCs/>
    </w:rPr>
  </w:style>
  <w:style w:type="character" w:styleId="HTMLKeyboard">
    <w:name w:val="HTML Keyboard"/>
    <w:basedOn w:val="DefaultParagraphFont"/>
    <w:uiPriority w:val="98"/>
    <w:semiHidden/>
    <w:rsid w:val="00A41674"/>
    <w:rPr>
      <w:rFonts w:ascii="Consolas" w:hAnsi="Consolas" w:cs="Consolas"/>
      <w:sz w:val="20"/>
      <w:szCs w:val="20"/>
    </w:rPr>
  </w:style>
  <w:style w:type="paragraph" w:styleId="HTMLPreformatted">
    <w:name w:val="HTML Preformatted"/>
    <w:basedOn w:val="Normal"/>
    <w:link w:val="HTMLPreformattedChar"/>
    <w:uiPriority w:val="98"/>
    <w:semiHidden/>
    <w:rsid w:val="00A4167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41674"/>
    <w:rPr>
      <w:rFonts w:ascii="Consolas" w:hAnsi="Consolas" w:cs="Consolas"/>
      <w:sz w:val="20"/>
      <w:szCs w:val="20"/>
      <w:lang w:val="en-GB"/>
    </w:rPr>
  </w:style>
  <w:style w:type="character" w:styleId="HTMLSample">
    <w:name w:val="HTML Sample"/>
    <w:basedOn w:val="DefaultParagraphFont"/>
    <w:uiPriority w:val="98"/>
    <w:semiHidden/>
    <w:rsid w:val="00A41674"/>
    <w:rPr>
      <w:rFonts w:ascii="Consolas" w:hAnsi="Consolas" w:cs="Consolas"/>
      <w:sz w:val="24"/>
      <w:szCs w:val="24"/>
    </w:rPr>
  </w:style>
  <w:style w:type="character" w:styleId="HTMLTypewriter">
    <w:name w:val="HTML Typewriter"/>
    <w:basedOn w:val="DefaultParagraphFont"/>
    <w:uiPriority w:val="98"/>
    <w:semiHidden/>
    <w:rsid w:val="00A41674"/>
    <w:rPr>
      <w:rFonts w:ascii="Consolas" w:hAnsi="Consolas" w:cs="Consolas"/>
      <w:sz w:val="20"/>
      <w:szCs w:val="20"/>
    </w:rPr>
  </w:style>
  <w:style w:type="character" w:styleId="HTMLVariable">
    <w:name w:val="HTML Variable"/>
    <w:basedOn w:val="DefaultParagraphFont"/>
    <w:uiPriority w:val="98"/>
    <w:semiHidden/>
    <w:rsid w:val="00A41674"/>
    <w:rPr>
      <w:i/>
      <w:iCs/>
    </w:rPr>
  </w:style>
  <w:style w:type="paragraph" w:styleId="Index1">
    <w:name w:val="index 1"/>
    <w:basedOn w:val="Normal"/>
    <w:next w:val="Normal"/>
    <w:autoRedefine/>
    <w:uiPriority w:val="98"/>
    <w:semiHidden/>
    <w:rsid w:val="00A41674"/>
    <w:pPr>
      <w:ind w:left="240" w:hanging="240"/>
    </w:pPr>
  </w:style>
  <w:style w:type="paragraph" w:styleId="Index2">
    <w:name w:val="index 2"/>
    <w:basedOn w:val="Normal"/>
    <w:next w:val="Normal"/>
    <w:autoRedefine/>
    <w:uiPriority w:val="98"/>
    <w:semiHidden/>
    <w:rsid w:val="00A41674"/>
    <w:pPr>
      <w:ind w:left="480" w:hanging="240"/>
    </w:pPr>
  </w:style>
  <w:style w:type="paragraph" w:styleId="Index3">
    <w:name w:val="index 3"/>
    <w:basedOn w:val="Normal"/>
    <w:next w:val="Normal"/>
    <w:autoRedefine/>
    <w:uiPriority w:val="98"/>
    <w:semiHidden/>
    <w:rsid w:val="00A41674"/>
    <w:pPr>
      <w:ind w:left="720" w:hanging="240"/>
    </w:pPr>
  </w:style>
  <w:style w:type="paragraph" w:styleId="Index4">
    <w:name w:val="index 4"/>
    <w:basedOn w:val="Normal"/>
    <w:next w:val="Normal"/>
    <w:autoRedefine/>
    <w:uiPriority w:val="98"/>
    <w:semiHidden/>
    <w:rsid w:val="00A41674"/>
    <w:pPr>
      <w:ind w:left="960" w:hanging="240"/>
    </w:pPr>
  </w:style>
  <w:style w:type="paragraph" w:styleId="Index5">
    <w:name w:val="index 5"/>
    <w:basedOn w:val="Normal"/>
    <w:next w:val="Normal"/>
    <w:autoRedefine/>
    <w:uiPriority w:val="98"/>
    <w:semiHidden/>
    <w:rsid w:val="00A41674"/>
    <w:pPr>
      <w:ind w:left="1200" w:hanging="240"/>
    </w:pPr>
  </w:style>
  <w:style w:type="paragraph" w:styleId="Index6">
    <w:name w:val="index 6"/>
    <w:basedOn w:val="Normal"/>
    <w:next w:val="Normal"/>
    <w:autoRedefine/>
    <w:uiPriority w:val="98"/>
    <w:semiHidden/>
    <w:rsid w:val="00A41674"/>
    <w:pPr>
      <w:ind w:left="1440" w:hanging="240"/>
    </w:pPr>
  </w:style>
  <w:style w:type="paragraph" w:styleId="Index7">
    <w:name w:val="index 7"/>
    <w:basedOn w:val="Normal"/>
    <w:next w:val="Normal"/>
    <w:autoRedefine/>
    <w:uiPriority w:val="98"/>
    <w:semiHidden/>
    <w:rsid w:val="00A41674"/>
    <w:pPr>
      <w:ind w:left="1680" w:hanging="240"/>
    </w:pPr>
  </w:style>
  <w:style w:type="paragraph" w:styleId="Index8">
    <w:name w:val="index 8"/>
    <w:basedOn w:val="Normal"/>
    <w:next w:val="Normal"/>
    <w:autoRedefine/>
    <w:uiPriority w:val="98"/>
    <w:semiHidden/>
    <w:rsid w:val="00A41674"/>
    <w:pPr>
      <w:ind w:left="1920" w:hanging="240"/>
    </w:pPr>
  </w:style>
  <w:style w:type="paragraph" w:styleId="Index9">
    <w:name w:val="index 9"/>
    <w:basedOn w:val="Normal"/>
    <w:next w:val="Normal"/>
    <w:autoRedefine/>
    <w:uiPriority w:val="98"/>
    <w:semiHidden/>
    <w:rsid w:val="00A41674"/>
    <w:pPr>
      <w:ind w:left="2160" w:hanging="240"/>
    </w:pPr>
  </w:style>
  <w:style w:type="paragraph" w:styleId="IndexHeading">
    <w:name w:val="index heading"/>
    <w:basedOn w:val="Normal"/>
    <w:next w:val="Index1"/>
    <w:uiPriority w:val="98"/>
    <w:semiHidden/>
    <w:rsid w:val="00A41674"/>
    <w:rPr>
      <w:rFonts w:asciiTheme="majorHAnsi" w:eastAsiaTheme="majorEastAsia" w:hAnsiTheme="majorHAnsi" w:cstheme="majorBidi"/>
      <w:b/>
      <w:bCs/>
    </w:rPr>
  </w:style>
  <w:style w:type="table" w:styleId="LightGrid">
    <w:name w:val="Light Grid"/>
    <w:basedOn w:val="TableNormal"/>
    <w:uiPriority w:val="62"/>
    <w:semiHidden/>
    <w:rsid w:val="00A4167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4167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4167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41674"/>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A4167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4167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4167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4167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4167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4167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41674"/>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A4167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4167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4167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4167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4167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4167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41674"/>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A4167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4167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4167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41674"/>
  </w:style>
  <w:style w:type="paragraph" w:styleId="List">
    <w:name w:val="List"/>
    <w:basedOn w:val="Normal"/>
    <w:uiPriority w:val="98"/>
    <w:semiHidden/>
    <w:rsid w:val="00A41674"/>
    <w:pPr>
      <w:ind w:left="283" w:hanging="283"/>
      <w:contextualSpacing/>
    </w:pPr>
  </w:style>
  <w:style w:type="paragraph" w:styleId="List20">
    <w:name w:val="List 2"/>
    <w:basedOn w:val="Normal"/>
    <w:uiPriority w:val="98"/>
    <w:semiHidden/>
    <w:rsid w:val="00A41674"/>
    <w:pPr>
      <w:ind w:left="566" w:hanging="283"/>
      <w:contextualSpacing/>
    </w:pPr>
  </w:style>
  <w:style w:type="paragraph" w:styleId="List30">
    <w:name w:val="List 3"/>
    <w:basedOn w:val="Normal"/>
    <w:uiPriority w:val="98"/>
    <w:semiHidden/>
    <w:rsid w:val="00A41674"/>
    <w:pPr>
      <w:ind w:left="849" w:hanging="283"/>
      <w:contextualSpacing/>
    </w:pPr>
  </w:style>
  <w:style w:type="paragraph" w:styleId="List4">
    <w:name w:val="List 4"/>
    <w:basedOn w:val="Normal"/>
    <w:uiPriority w:val="98"/>
    <w:semiHidden/>
    <w:rsid w:val="00A41674"/>
    <w:pPr>
      <w:ind w:left="1132" w:hanging="283"/>
      <w:contextualSpacing/>
    </w:pPr>
  </w:style>
  <w:style w:type="paragraph" w:styleId="List5">
    <w:name w:val="List 5"/>
    <w:basedOn w:val="Normal"/>
    <w:uiPriority w:val="98"/>
    <w:semiHidden/>
    <w:rsid w:val="00A41674"/>
    <w:pPr>
      <w:ind w:left="1415" w:hanging="283"/>
      <w:contextualSpacing/>
    </w:pPr>
  </w:style>
  <w:style w:type="paragraph" w:styleId="ListBullet2">
    <w:name w:val="List Bullet 2"/>
    <w:basedOn w:val="Normal"/>
    <w:uiPriority w:val="98"/>
    <w:semiHidden/>
    <w:rsid w:val="00A41674"/>
    <w:pPr>
      <w:numPr>
        <w:numId w:val="5"/>
      </w:numPr>
      <w:contextualSpacing/>
    </w:pPr>
  </w:style>
  <w:style w:type="paragraph" w:styleId="ListBullet4">
    <w:name w:val="List Bullet 4"/>
    <w:basedOn w:val="Normal"/>
    <w:uiPriority w:val="98"/>
    <w:semiHidden/>
    <w:rsid w:val="00A41674"/>
    <w:pPr>
      <w:numPr>
        <w:numId w:val="7"/>
      </w:numPr>
      <w:contextualSpacing/>
    </w:pPr>
  </w:style>
  <w:style w:type="paragraph" w:styleId="ListBullet5">
    <w:name w:val="List Bullet 5"/>
    <w:basedOn w:val="Normal"/>
    <w:uiPriority w:val="98"/>
    <w:semiHidden/>
    <w:rsid w:val="00A41674"/>
    <w:pPr>
      <w:numPr>
        <w:numId w:val="8"/>
      </w:numPr>
      <w:contextualSpacing/>
    </w:pPr>
  </w:style>
  <w:style w:type="paragraph" w:styleId="ListContinue">
    <w:name w:val="List Continue"/>
    <w:basedOn w:val="Normal"/>
    <w:uiPriority w:val="98"/>
    <w:semiHidden/>
    <w:rsid w:val="00A41674"/>
    <w:pPr>
      <w:spacing w:after="120"/>
      <w:ind w:left="283"/>
      <w:contextualSpacing/>
    </w:pPr>
  </w:style>
  <w:style w:type="paragraph" w:styleId="ListContinue2">
    <w:name w:val="List Continue 2"/>
    <w:basedOn w:val="Normal"/>
    <w:uiPriority w:val="98"/>
    <w:semiHidden/>
    <w:rsid w:val="00A41674"/>
    <w:pPr>
      <w:spacing w:after="120"/>
      <w:ind w:left="566"/>
      <w:contextualSpacing/>
    </w:pPr>
  </w:style>
  <w:style w:type="paragraph" w:styleId="ListContinue3">
    <w:name w:val="List Continue 3"/>
    <w:basedOn w:val="Normal"/>
    <w:uiPriority w:val="98"/>
    <w:semiHidden/>
    <w:rsid w:val="00A41674"/>
    <w:pPr>
      <w:spacing w:after="120"/>
      <w:ind w:left="849"/>
      <w:contextualSpacing/>
    </w:pPr>
  </w:style>
  <w:style w:type="paragraph" w:styleId="ListContinue4">
    <w:name w:val="List Continue 4"/>
    <w:basedOn w:val="Normal"/>
    <w:uiPriority w:val="98"/>
    <w:semiHidden/>
    <w:rsid w:val="00A41674"/>
    <w:pPr>
      <w:spacing w:after="120"/>
      <w:ind w:left="1132"/>
      <w:contextualSpacing/>
    </w:pPr>
  </w:style>
  <w:style w:type="paragraph" w:styleId="ListContinue5">
    <w:name w:val="List Continue 5"/>
    <w:basedOn w:val="Normal"/>
    <w:uiPriority w:val="98"/>
    <w:semiHidden/>
    <w:rsid w:val="00A41674"/>
    <w:pPr>
      <w:spacing w:after="120"/>
      <w:ind w:left="1415"/>
      <w:contextualSpacing/>
    </w:pPr>
  </w:style>
  <w:style w:type="paragraph" w:styleId="ListNumber">
    <w:name w:val="List Number"/>
    <w:basedOn w:val="Normal"/>
    <w:uiPriority w:val="98"/>
    <w:semiHidden/>
    <w:rsid w:val="00A41674"/>
    <w:pPr>
      <w:numPr>
        <w:numId w:val="9"/>
      </w:numPr>
      <w:contextualSpacing/>
    </w:pPr>
  </w:style>
  <w:style w:type="paragraph" w:styleId="ListNumber2">
    <w:name w:val="List Number 2"/>
    <w:basedOn w:val="Normal"/>
    <w:uiPriority w:val="98"/>
    <w:semiHidden/>
    <w:rsid w:val="00A41674"/>
    <w:pPr>
      <w:numPr>
        <w:numId w:val="10"/>
      </w:numPr>
      <w:contextualSpacing/>
    </w:pPr>
  </w:style>
  <w:style w:type="paragraph" w:styleId="ListNumber3">
    <w:name w:val="List Number 3"/>
    <w:basedOn w:val="Normal"/>
    <w:uiPriority w:val="98"/>
    <w:semiHidden/>
    <w:rsid w:val="00A41674"/>
    <w:pPr>
      <w:numPr>
        <w:numId w:val="11"/>
      </w:numPr>
      <w:contextualSpacing/>
    </w:pPr>
  </w:style>
  <w:style w:type="paragraph" w:styleId="ListNumber4">
    <w:name w:val="List Number 4"/>
    <w:basedOn w:val="Normal"/>
    <w:uiPriority w:val="98"/>
    <w:semiHidden/>
    <w:rsid w:val="00A41674"/>
    <w:pPr>
      <w:numPr>
        <w:numId w:val="12"/>
      </w:numPr>
      <w:contextualSpacing/>
    </w:pPr>
  </w:style>
  <w:style w:type="paragraph" w:styleId="ListNumber5">
    <w:name w:val="List Number 5"/>
    <w:basedOn w:val="Normal"/>
    <w:uiPriority w:val="98"/>
    <w:semiHidden/>
    <w:rsid w:val="00A41674"/>
    <w:pPr>
      <w:numPr>
        <w:numId w:val="13"/>
      </w:numPr>
      <w:contextualSpacing/>
    </w:pPr>
  </w:style>
  <w:style w:type="paragraph" w:styleId="Macro">
    <w:name w:val="macro"/>
    <w:link w:val="MacroTextChar"/>
    <w:uiPriority w:val="98"/>
    <w:semiHidden/>
    <w:rsid w:val="00A41674"/>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A41674"/>
    <w:rPr>
      <w:rFonts w:ascii="Consolas" w:hAnsi="Consolas" w:eastAsiaTheme="minorEastAsia" w:cs="Consolas"/>
      <w:sz w:val="20"/>
      <w:szCs w:val="20"/>
    </w:rPr>
  </w:style>
  <w:style w:type="table" w:styleId="MediumGrid1">
    <w:name w:val="Medium Grid 1"/>
    <w:basedOn w:val="TableNormal"/>
    <w:uiPriority w:val="67"/>
    <w:semiHidden/>
    <w:rsid w:val="00A4167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4167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4167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41674"/>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A4167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4167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4167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4167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A4167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A4167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A41674"/>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A4167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A4167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A4167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A4167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A4167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4167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4167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A4167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4167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4167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A4167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4167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4167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41674"/>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A4167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4167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4167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4167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4167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4167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41674"/>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4167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4167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4167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A4167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4167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4167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41674"/>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4167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4167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4167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4167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4167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4167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4167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4167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4167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4167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4167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41674"/>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A41674"/>
    <w:rPr>
      <w:rFonts w:ascii="Times New Roman" w:hAnsi="Times New Roman" w:cs="Times New Roman"/>
    </w:rPr>
  </w:style>
  <w:style w:type="paragraph" w:styleId="NormalIndent">
    <w:name w:val="Normal Indent"/>
    <w:basedOn w:val="Normal"/>
    <w:uiPriority w:val="98"/>
    <w:semiHidden/>
    <w:rsid w:val="00A41674"/>
    <w:pPr>
      <w:ind w:left="720"/>
    </w:pPr>
  </w:style>
  <w:style w:type="paragraph" w:styleId="NoteHeading">
    <w:name w:val="Note Heading"/>
    <w:basedOn w:val="Normal"/>
    <w:next w:val="Normal"/>
    <w:link w:val="NoteHeadingChar"/>
    <w:uiPriority w:val="98"/>
    <w:semiHidden/>
    <w:rsid w:val="00A41674"/>
  </w:style>
  <w:style w:type="character" w:customStyle="1" w:styleId="NoteHeadingChar">
    <w:name w:val="Note Heading Char"/>
    <w:basedOn w:val="DefaultParagraphFont"/>
    <w:link w:val="NoteHeading"/>
    <w:uiPriority w:val="98"/>
    <w:semiHidden/>
    <w:rsid w:val="00A41674"/>
    <w:rPr>
      <w:sz w:val="24"/>
      <w:szCs w:val="24"/>
      <w:lang w:val="en-GB"/>
    </w:rPr>
  </w:style>
  <w:style w:type="character" w:styleId="PlaceholderText">
    <w:name w:val="Placeholder Text"/>
    <w:basedOn w:val="DefaultParagraphFont"/>
    <w:uiPriority w:val="98"/>
    <w:semiHidden/>
    <w:rsid w:val="00A4167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41674"/>
    <w:rPr>
      <w:rFonts w:ascii="Consolas" w:hAnsi="Consolas" w:cs="Consolas"/>
      <w:sz w:val="21"/>
      <w:szCs w:val="21"/>
    </w:rPr>
  </w:style>
  <w:style w:type="character" w:customStyle="1" w:styleId="PlainTextChar">
    <w:name w:val="Plain Text Char"/>
    <w:basedOn w:val="DefaultParagraphFont"/>
    <w:link w:val="PlainText"/>
    <w:uiPriority w:val="98"/>
    <w:semiHidden/>
    <w:rsid w:val="00A41674"/>
    <w:rPr>
      <w:rFonts w:ascii="Consolas" w:hAnsi="Consolas" w:cs="Consolas"/>
      <w:sz w:val="21"/>
      <w:szCs w:val="21"/>
      <w:lang w:val="en-GB"/>
    </w:rPr>
  </w:style>
  <w:style w:type="paragraph" w:styleId="Salutation">
    <w:name w:val="Salutation"/>
    <w:basedOn w:val="Normal"/>
    <w:next w:val="Normal"/>
    <w:link w:val="SalutationChar"/>
    <w:uiPriority w:val="98"/>
    <w:semiHidden/>
    <w:rsid w:val="00A41674"/>
  </w:style>
  <w:style w:type="character" w:customStyle="1" w:styleId="SalutationChar">
    <w:name w:val="Salutation Char"/>
    <w:basedOn w:val="DefaultParagraphFont"/>
    <w:link w:val="Salutation"/>
    <w:uiPriority w:val="98"/>
    <w:semiHidden/>
    <w:rsid w:val="00A41674"/>
    <w:rPr>
      <w:sz w:val="24"/>
      <w:szCs w:val="24"/>
      <w:lang w:val="en-GB"/>
    </w:rPr>
  </w:style>
  <w:style w:type="paragraph" w:styleId="Signature0">
    <w:name w:val="Signature"/>
    <w:basedOn w:val="Normal"/>
    <w:link w:val="SignatureChar"/>
    <w:uiPriority w:val="98"/>
    <w:semiHidden/>
    <w:rsid w:val="00A41674"/>
    <w:pPr>
      <w:ind w:left="4252"/>
    </w:pPr>
  </w:style>
  <w:style w:type="character" w:customStyle="1" w:styleId="SignatureChar">
    <w:name w:val="Signature Char"/>
    <w:basedOn w:val="DefaultParagraphFont"/>
    <w:link w:val="Signature0"/>
    <w:uiPriority w:val="98"/>
    <w:semiHidden/>
    <w:rsid w:val="00A41674"/>
    <w:rPr>
      <w:sz w:val="24"/>
      <w:szCs w:val="24"/>
      <w:lang w:val="en-GB"/>
    </w:rPr>
  </w:style>
  <w:style w:type="table" w:styleId="Table3Deffects1">
    <w:name w:val="Table 3D effects 1"/>
    <w:basedOn w:val="TableNormal"/>
    <w:uiPriority w:val="99"/>
    <w:semiHidden/>
    <w:unhideWhenUsed/>
    <w:rsid w:val="00A4167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167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167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167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167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167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167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167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167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167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167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167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167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167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167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167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167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4167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167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167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167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167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167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167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167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4167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167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167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167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167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167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167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167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41674"/>
    <w:pPr>
      <w:ind w:left="240" w:hanging="240"/>
    </w:pPr>
  </w:style>
  <w:style w:type="paragraph" w:styleId="TableofFigures">
    <w:name w:val="table of figures"/>
    <w:basedOn w:val="Normal"/>
    <w:next w:val="Normal"/>
    <w:uiPriority w:val="98"/>
    <w:semiHidden/>
    <w:rsid w:val="00A41674"/>
  </w:style>
  <w:style w:type="table" w:styleId="TableProfessional">
    <w:name w:val="Table Professional"/>
    <w:basedOn w:val="TableNormal"/>
    <w:uiPriority w:val="99"/>
    <w:semiHidden/>
    <w:unhideWhenUsed/>
    <w:rsid w:val="00A4167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167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167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167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167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167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167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167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167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167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4167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4167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41674"/>
    <w:pPr>
      <w:spacing w:after="100"/>
      <w:ind w:left="1680"/>
    </w:pPr>
  </w:style>
  <w:style w:type="paragraph" w:styleId="TOC9">
    <w:name w:val="toc 9"/>
    <w:basedOn w:val="Normal"/>
    <w:next w:val="Normal"/>
    <w:autoRedefine/>
    <w:uiPriority w:val="98"/>
    <w:semiHidden/>
    <w:rsid w:val="00A41674"/>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A41674"/>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A41674"/>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A41674"/>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A41674"/>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A41674"/>
    <w:pPr>
      <w:numPr>
        <w:numId w:val="17"/>
      </w:numPr>
      <w:spacing w:before="60" w:after="60"/>
    </w:pPr>
  </w:style>
  <w:style w:type="paragraph" w:customStyle="1" w:styleId="ECHRBullet2">
    <w:name w:val="ECHR_Bullet_2"/>
    <w:aliases w:val="_Bul_2"/>
    <w:basedOn w:val="ECHRBullet1"/>
    <w:uiPriority w:val="23"/>
    <w:semiHidden/>
    <w:rsid w:val="00A41674"/>
    <w:pPr>
      <w:numPr>
        <w:ilvl w:val="1"/>
      </w:numPr>
    </w:pPr>
  </w:style>
  <w:style w:type="paragraph" w:customStyle="1" w:styleId="ECHRBullet3">
    <w:name w:val="ECHR_Bullet_3"/>
    <w:aliases w:val="_Bul_3"/>
    <w:basedOn w:val="ECHRBullet2"/>
    <w:uiPriority w:val="23"/>
    <w:semiHidden/>
    <w:rsid w:val="00A41674"/>
    <w:pPr>
      <w:numPr>
        <w:ilvl w:val="2"/>
      </w:numPr>
    </w:pPr>
  </w:style>
  <w:style w:type="paragraph" w:customStyle="1" w:styleId="ECHRBullet4">
    <w:name w:val="ECHR_Bullet_4"/>
    <w:aliases w:val="_Bul_4"/>
    <w:basedOn w:val="ECHRBullet3"/>
    <w:uiPriority w:val="23"/>
    <w:semiHidden/>
    <w:rsid w:val="00A41674"/>
    <w:pPr>
      <w:numPr>
        <w:ilvl w:val="3"/>
      </w:numPr>
    </w:pPr>
  </w:style>
  <w:style w:type="paragraph" w:customStyle="1" w:styleId="ECHRConfidential">
    <w:name w:val="ECHR_Confidential"/>
    <w:aliases w:val="_Confidential"/>
    <w:basedOn w:val="Normal"/>
    <w:next w:val="Normal"/>
    <w:uiPriority w:val="42"/>
    <w:semiHidden/>
    <w:qFormat/>
    <w:rsid w:val="00A41674"/>
    <w:pPr>
      <w:jc w:val="right"/>
    </w:pPr>
    <w:rPr>
      <w:color w:val="C00000"/>
      <w:sz w:val="20"/>
    </w:rPr>
  </w:style>
  <w:style w:type="paragraph" w:customStyle="1" w:styleId="ECHRDecisionBody">
    <w:name w:val="ECHR_Decision_Body"/>
    <w:aliases w:val="_Decision_Body"/>
    <w:basedOn w:val="NormalJustified"/>
    <w:uiPriority w:val="54"/>
    <w:semiHidden/>
    <w:rsid w:val="00A4167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4167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A41674"/>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A41674"/>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A41674"/>
    <w:pPr>
      <w:jc w:val="right"/>
    </w:pPr>
    <w:rPr>
      <w:sz w:val="20"/>
    </w:rPr>
  </w:style>
  <w:style w:type="paragraph" w:customStyle="1" w:styleId="ECHRHeaderRefIt">
    <w:name w:val="ECHR_Header_Ref_It"/>
    <w:aliases w:val="_Ref_Ital"/>
    <w:basedOn w:val="Normal"/>
    <w:next w:val="ECHRHeaderDate"/>
    <w:uiPriority w:val="43"/>
    <w:semiHidden/>
    <w:qFormat/>
    <w:rsid w:val="00A41674"/>
    <w:pPr>
      <w:jc w:val="right"/>
    </w:pPr>
    <w:rPr>
      <w:i/>
      <w:sz w:val="20"/>
    </w:rPr>
  </w:style>
  <w:style w:type="paragraph" w:customStyle="1" w:styleId="ECHRHeading9">
    <w:name w:val="ECHR_Heading_9"/>
    <w:aliases w:val="_Head_9"/>
    <w:basedOn w:val="Heading9"/>
    <w:uiPriority w:val="17"/>
    <w:semiHidden/>
    <w:rsid w:val="00A41674"/>
    <w:pPr>
      <w:keepNext/>
      <w:keepLines/>
      <w:numPr>
        <w:ilvl w:val="8"/>
        <w:numId w:val="1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A41674"/>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A41674"/>
    <w:pPr>
      <w:numPr>
        <w:numId w:val="18"/>
      </w:numPr>
      <w:spacing w:before="60" w:after="60"/>
    </w:pPr>
  </w:style>
  <w:style w:type="paragraph" w:customStyle="1" w:styleId="ECHRNumberedList2">
    <w:name w:val="ECHR_Numbered_List_2"/>
    <w:aliases w:val="_Num_2"/>
    <w:basedOn w:val="ECHRNumberedList1"/>
    <w:uiPriority w:val="23"/>
    <w:semiHidden/>
    <w:rsid w:val="00A41674"/>
    <w:pPr>
      <w:numPr>
        <w:ilvl w:val="1"/>
      </w:numPr>
    </w:pPr>
  </w:style>
  <w:style w:type="paragraph" w:customStyle="1" w:styleId="ECHRNumberedList3">
    <w:name w:val="ECHR_Numbered_List_3"/>
    <w:aliases w:val="_Num_3"/>
    <w:basedOn w:val="ECHRNumberedList2"/>
    <w:uiPriority w:val="23"/>
    <w:semiHidden/>
    <w:rsid w:val="00A41674"/>
    <w:pPr>
      <w:numPr>
        <w:ilvl w:val="2"/>
      </w:numPr>
    </w:pPr>
  </w:style>
  <w:style w:type="paragraph" w:customStyle="1" w:styleId="ECHRParaHanging">
    <w:name w:val="ECHR_Para_Hanging"/>
    <w:aliases w:val="_Hanging"/>
    <w:basedOn w:val="NormalJustified"/>
    <w:uiPriority w:val="8"/>
    <w:semiHidden/>
    <w:qFormat/>
    <w:rsid w:val="00A41674"/>
    <w:pPr>
      <w:ind w:left="567" w:hanging="567"/>
    </w:pPr>
  </w:style>
  <w:style w:type="paragraph" w:customStyle="1" w:styleId="ECHRParaIndent">
    <w:name w:val="ECHR_Para_Indent"/>
    <w:aliases w:val="_Indent"/>
    <w:basedOn w:val="NormalJustified"/>
    <w:uiPriority w:val="7"/>
    <w:semiHidden/>
    <w:qFormat/>
    <w:rsid w:val="00A41674"/>
    <w:pPr>
      <w:spacing w:before="120" w:after="120"/>
      <w:ind w:left="284"/>
    </w:pPr>
  </w:style>
  <w:style w:type="character" w:customStyle="1" w:styleId="ECHRRed">
    <w:name w:val="ECHR_Red"/>
    <w:aliases w:val="_Red"/>
    <w:basedOn w:val="DefaultParagraphFont"/>
    <w:uiPriority w:val="15"/>
    <w:semiHidden/>
    <w:qFormat/>
    <w:rsid w:val="00A41674"/>
    <w:rPr>
      <w:color w:val="C00000" w:themeColor="accent2"/>
    </w:rPr>
  </w:style>
  <w:style w:type="paragraph" w:customStyle="1" w:styleId="DecList">
    <w:name w:val="Dec_List"/>
    <w:aliases w:val="_List"/>
    <w:basedOn w:val="JuList"/>
    <w:uiPriority w:val="22"/>
    <w:rsid w:val="00A41674"/>
    <w:pPr>
      <w:numPr>
        <w:numId w:val="0"/>
      </w:numPr>
      <w:ind w:left="284"/>
    </w:pPr>
  </w:style>
  <w:style w:type="table" w:customStyle="1" w:styleId="ECHRTable2">
    <w:name w:val="ECHR_Table_2"/>
    <w:basedOn w:val="TableNormal"/>
    <w:uiPriority w:val="99"/>
    <w:rsid w:val="00A4167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41674"/>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A41674"/>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A41674"/>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A41674"/>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A41674"/>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A41674"/>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A41674"/>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A41674"/>
    <w:pPr>
      <w:outlineLvl w:val="0"/>
    </w:pPr>
  </w:style>
  <w:style w:type="paragraph" w:customStyle="1" w:styleId="ECHRTitleTOC1">
    <w:name w:val="ECHR_Title_TOC_1"/>
    <w:aliases w:val="_Title_L_TOC"/>
    <w:basedOn w:val="ECHRTitle1"/>
    <w:next w:val="Normal"/>
    <w:uiPriority w:val="27"/>
    <w:semiHidden/>
    <w:qFormat/>
    <w:rsid w:val="00A41674"/>
    <w:pPr>
      <w:outlineLvl w:val="0"/>
    </w:pPr>
  </w:style>
  <w:style w:type="paragraph" w:customStyle="1" w:styleId="ECHRPlaceholder">
    <w:name w:val="ECHR_Placeholder"/>
    <w:aliases w:val="_Placeholder"/>
    <w:basedOn w:val="JuSigned"/>
    <w:uiPriority w:val="31"/>
    <w:rsid w:val="00A41674"/>
    <w:rPr>
      <w:color w:val="FFFFFF"/>
    </w:rPr>
  </w:style>
  <w:style w:type="paragraph" w:customStyle="1" w:styleId="ECHRSpacer">
    <w:name w:val="ECHR_Spacer"/>
    <w:aliases w:val="_Spacer"/>
    <w:basedOn w:val="Normal"/>
    <w:uiPriority w:val="45"/>
    <w:semiHidden/>
    <w:rsid w:val="00A41674"/>
    <w:rPr>
      <w:sz w:val="4"/>
    </w:rPr>
  </w:style>
  <w:style w:type="table" w:customStyle="1" w:styleId="ECHRTableGrey">
    <w:name w:val="ECHR_Table_Grey"/>
    <w:basedOn w:val="TableNormal"/>
    <w:uiPriority w:val="99"/>
    <w:rsid w:val="00A41674"/>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A41674"/>
    <w:rPr>
      <w:color w:val="605E5C"/>
      <w:shd w:val="clear" w:color="auto" w:fill="E1DFDD"/>
    </w:rPr>
  </w:style>
  <w:style w:type="character" w:customStyle="1" w:styleId="JuParaChar">
    <w:name w:val="Ju_Para Char"/>
    <w:aliases w:val="_Para Char"/>
    <w:link w:val="JuPara"/>
    <w:uiPriority w:val="4"/>
    <w:rsid w:val="00E44CB3"/>
    <w:rPr>
      <w:sz w:val="24"/>
      <w:szCs w:val="24"/>
      <w:lang w:val="en-GB"/>
    </w:rPr>
  </w:style>
  <w:style w:type="table" w:styleId="GridTable1Light">
    <w:name w:val="Grid Table 1 Light"/>
    <w:basedOn w:val="TableNormal"/>
    <w:uiPriority w:val="46"/>
    <w:semiHidden/>
    <w:rsid w:val="00A4167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A41674"/>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A41674"/>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A41674"/>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A41674"/>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A41674"/>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A41674"/>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A4167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A41674"/>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A41674"/>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A41674"/>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A41674"/>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A41674"/>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A41674"/>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A4167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A4167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A4167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A41674"/>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A4167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A4167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A4167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A4167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A4167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A4167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A41674"/>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A4167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A4167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A4167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A4167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A4167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A4167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A4167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A4167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A4167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A4167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A4167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A4167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A4167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A41674"/>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A4167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A4167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A4167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A4167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A4167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A4167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A41674"/>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A4167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A4167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A4167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A41674"/>
    <w:rPr>
      <w:color w:val="2B579A"/>
      <w:shd w:val="clear" w:color="auto" w:fill="E1DFDD"/>
    </w:rPr>
  </w:style>
  <w:style w:type="table" w:styleId="ListTable1Light">
    <w:name w:val="List Table 1 Light"/>
    <w:basedOn w:val="TableNormal"/>
    <w:uiPriority w:val="46"/>
    <w:semiHidden/>
    <w:rsid w:val="00A41674"/>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A41674"/>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A41674"/>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A41674"/>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A41674"/>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A41674"/>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A41674"/>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A41674"/>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A41674"/>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A41674"/>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A41674"/>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A41674"/>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A41674"/>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A41674"/>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A4167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A41674"/>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A41674"/>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A41674"/>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A41674"/>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A41674"/>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A41674"/>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A4167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A4167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A4167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A41674"/>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A4167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A4167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A4167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A41674"/>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A41674"/>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A41674"/>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A41674"/>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A41674"/>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A41674"/>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A41674"/>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A41674"/>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A41674"/>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A41674"/>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A41674"/>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A41674"/>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A41674"/>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A41674"/>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A41674"/>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A41674"/>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A41674"/>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A41674"/>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A41674"/>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A41674"/>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A41674"/>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A41674"/>
    <w:rPr>
      <w:color w:val="2B579A"/>
      <w:shd w:val="clear" w:color="auto" w:fill="E1DFDD"/>
    </w:rPr>
  </w:style>
  <w:style w:type="table" w:styleId="PlainTable1">
    <w:name w:val="Plain Table 1"/>
    <w:basedOn w:val="TableNormal"/>
    <w:uiPriority w:val="41"/>
    <w:semiHidden/>
    <w:rsid w:val="00A4167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A4167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A4167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A4167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A4167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A41674"/>
    <w:rPr>
      <w:u w:val="dotted"/>
    </w:rPr>
  </w:style>
  <w:style w:type="character" w:styleId="SmartLink">
    <w:name w:val="Smart Link"/>
    <w:basedOn w:val="DefaultParagraphFont"/>
    <w:uiPriority w:val="99"/>
    <w:semiHidden/>
    <w:unhideWhenUsed/>
    <w:rsid w:val="00A41674"/>
    <w:rPr>
      <w:color w:val="0000FF"/>
      <w:u w:val="single"/>
      <w:shd w:val="clear" w:color="auto" w:fill="F3F2F1"/>
    </w:rPr>
  </w:style>
  <w:style w:type="table" w:styleId="GridTableLight">
    <w:name w:val="Grid Table Light"/>
    <w:basedOn w:val="TableNormal"/>
    <w:uiPriority w:val="40"/>
    <w:semiHidden/>
    <w:rsid w:val="00A4167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yperlink" Target="https://hudoc.echr.coe.int/eng" TargetMode="Externa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2435</Words>
  <Characters>13360</Characters>
  <Application>Microsoft Office Word</Application>
  <DocSecurity>0</DocSecurity>
  <Lines>303</Lines>
  <Paragraphs>116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2025-02-07T15:22:00Z</dcterms:created>
  <dcterms:modified xsi:type="dcterms:W3CDTF">2025-02-11T08:22:00Z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1371744</vt:lpwstr>
  </property>
  <property fmtid="{D5CDD505-2E9C-101B-9397-08002B2CF9AE}" pid="3" name="cstLanguage">
    <vt:i4>2057</vt:i4>
  </property>
  <property fmtid="{D5CDD505-2E9C-101B-9397-08002B2CF9AE}" pid="4" name="eDOCS AutoSave">
    <vt:lpwstr>20250211091130544</vt:lpwstr>
  </property>
  <property fmtid="{D5CDD505-2E9C-101B-9397-08002B2CF9AE}" pid="5" name="RegisteredNo">
    <vt:lpwstr>13708/18</vt:lpwstr>
  </property>
</Properties>
</file>