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D5CD5" w:rsidR="00E3456E" w:rsidP="001D5CD5" w14:paraId="1308F557" w14:textId="77777777">
      <w:pPr>
        <w:jc w:val="center"/>
        <w:rPr>
          <w:rFonts w:ascii="Times New Roman" w:hAnsi="Times New Roman" w:cs="Times New Roman"/>
          <w:noProof/>
        </w:rPr>
      </w:pPr>
    </w:p>
    <w:p w:rsidRPr="001D5CD5" w:rsidR="0098410D" w:rsidP="001D5CD5" w14:paraId="5B8C1FE3" w14:textId="77777777">
      <w:pPr>
        <w:jc w:val="center"/>
      </w:pPr>
    </w:p>
    <w:p w:rsidRPr="001D5CD5" w:rsidR="0098410D" w:rsidP="001D5CD5" w14:paraId="29B040C7" w14:textId="734324AD">
      <w:pPr>
        <w:pStyle w:val="DecHTitle"/>
      </w:pPr>
      <w:r w:rsidRPr="001D5CD5">
        <w:t>THIRD SECTION</w:t>
      </w:r>
    </w:p>
    <w:p w:rsidRPr="001D5CD5" w:rsidR="008E6217" w:rsidP="001D5CD5" w14:paraId="69B1C8B0" w14:textId="295C278C">
      <w:pPr>
        <w:pStyle w:val="JuTitle"/>
      </w:pPr>
      <w:r w:rsidRPr="001D5CD5">
        <w:rPr>
          <w:color w:val="000000" w:themeColor="text1"/>
        </w:rPr>
        <w:t xml:space="preserve">CASE OF </w:t>
      </w:r>
      <w:r w:rsidRPr="001D5CD5" w:rsidR="00E3456E">
        <w:t>VASILEV v. SERBIA</w:t>
      </w:r>
    </w:p>
    <w:p w:rsidRPr="001D5CD5" w:rsidR="00D74888" w:rsidP="001D5CD5" w14:paraId="646D0331" w14:textId="3E21C102">
      <w:pPr>
        <w:pStyle w:val="ECHRCoverTitle4"/>
      </w:pPr>
      <w:r w:rsidRPr="001D5CD5">
        <w:t>(</w:t>
      </w:r>
      <w:r w:rsidRPr="001D5CD5" w:rsidR="00E3456E">
        <w:rPr>
          <w:noProof/>
        </w:rPr>
        <w:t>Application no.</w:t>
      </w:r>
      <w:r w:rsidRPr="001D5CD5">
        <w:t xml:space="preserve"> </w:t>
      </w:r>
      <w:r w:rsidRPr="001D5CD5" w:rsidR="00E3456E">
        <w:t>48150/18</w:t>
      </w:r>
      <w:r w:rsidRPr="001D5CD5">
        <w:t>)</w:t>
      </w:r>
    </w:p>
    <w:p w:rsidRPr="001D5CD5" w:rsidR="0098410D" w:rsidP="001D5CD5" w14:paraId="45206749" w14:textId="77777777">
      <w:pPr>
        <w:pStyle w:val="DecHCase"/>
      </w:pPr>
    </w:p>
    <w:p w:rsidRPr="001D5CD5" w:rsidR="0054716E" w:rsidP="001D5CD5" w14:paraId="0727385C" w14:textId="77777777">
      <w:pPr>
        <w:pStyle w:val="DecHCase"/>
      </w:pPr>
    </w:p>
    <w:p w:rsidRPr="001D5CD5" w:rsidR="0054716E" w:rsidP="001D5CD5" w14:paraId="06A9D6ED" w14:textId="77777777">
      <w:pPr>
        <w:pStyle w:val="DecHCase"/>
      </w:pPr>
    </w:p>
    <w:p w:rsidRPr="001D5CD5" w:rsidR="0098410D" w:rsidP="001D5CD5" w14:paraId="3CA6E9BC" w14:textId="77777777">
      <w:pPr>
        <w:pStyle w:val="DecHCase"/>
      </w:pPr>
    </w:p>
    <w:p w:rsidRPr="001D5CD5" w:rsidR="00AC4CD4" w:rsidP="001D5CD5" w14:paraId="6A61AE81" w14:textId="77777777">
      <w:pPr>
        <w:pStyle w:val="DecHCase"/>
      </w:pPr>
    </w:p>
    <w:p w:rsidRPr="001D5CD5" w:rsidR="0098410D" w:rsidP="001D5CD5" w14:paraId="40708991" w14:textId="77777777">
      <w:pPr>
        <w:pStyle w:val="DecHCase"/>
      </w:pPr>
    </w:p>
    <w:p w:rsidRPr="001D5CD5" w:rsidR="0098410D" w:rsidP="001D5CD5" w14:paraId="385A5F6F" w14:textId="7A097E89">
      <w:pPr>
        <w:pStyle w:val="DecHCase"/>
      </w:pPr>
      <w:r w:rsidRPr="001D5CD5">
        <w:t>JUDGMENT</w:t>
      </w:r>
      <w:r w:rsidRPr="001D5CD5" w:rsidR="00AC4CD4">
        <w:br/>
      </w:r>
    </w:p>
    <w:p w:rsidRPr="001D5CD5" w:rsidR="0098410D" w:rsidP="001D5CD5" w14:paraId="7E0C0468" w14:textId="77777777">
      <w:pPr>
        <w:pStyle w:val="DecHCase"/>
      </w:pPr>
      <w:r w:rsidRPr="001D5CD5">
        <w:t>STRASBOURG</w:t>
      </w:r>
    </w:p>
    <w:p w:rsidRPr="001D5CD5" w:rsidR="0098410D" w:rsidP="001D5CD5" w14:paraId="2E11F6E1" w14:textId="45180450">
      <w:pPr>
        <w:pStyle w:val="DecHCase"/>
      </w:pPr>
      <w:r w:rsidRPr="001D5CD5">
        <w:rPr>
          <w:rFonts w:ascii="Times New Roman" w:hAnsi="Times New Roman" w:cs="Times New Roman"/>
        </w:rPr>
        <w:t>14 January 2025</w:t>
      </w:r>
    </w:p>
    <w:p w:rsidRPr="001D5CD5" w:rsidR="00AC4CD4" w:rsidP="001D5CD5" w14:paraId="0238DB33" w14:textId="77777777">
      <w:pPr>
        <w:pStyle w:val="JuPara"/>
      </w:pPr>
    </w:p>
    <w:p w:rsidRPr="001D5CD5" w:rsidR="002422B6" w:rsidP="001D5CD5" w14:paraId="5A3DF59D" w14:textId="14AEE595">
      <w:pPr>
        <w:rPr>
          <w:i/>
          <w:sz w:val="22"/>
        </w:rPr>
      </w:pPr>
      <w:r w:rsidRPr="001D5CD5">
        <w:rPr>
          <w:i/>
          <w:sz w:val="22"/>
        </w:rPr>
        <w:t xml:space="preserve">This judgment </w:t>
      </w:r>
      <w:r w:rsidRPr="001D5CD5" w:rsidR="00E3456E">
        <w:rPr>
          <w:i/>
          <w:noProof/>
          <w:sz w:val="22"/>
        </w:rPr>
        <w:t>is final but it</w:t>
      </w:r>
      <w:r w:rsidRPr="001D5CD5">
        <w:rPr>
          <w:i/>
          <w:sz w:val="22"/>
        </w:rPr>
        <w:t xml:space="preserve"> may be subject to editorial revision.</w:t>
      </w:r>
    </w:p>
    <w:p w:rsidRPr="001D5CD5" w:rsidR="0098410D" w:rsidP="001D5CD5" w14:paraId="160469D2"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D5CD5" w:rsidR="0098410D" w:rsidP="001D5CD5" w14:paraId="425C6957" w14:textId="60C34A0F">
      <w:pPr>
        <w:pStyle w:val="JuCase"/>
      </w:pPr>
      <w:r w:rsidRPr="001D5CD5">
        <w:t xml:space="preserve">In the case of </w:t>
      </w:r>
      <w:r w:rsidRPr="001D5CD5" w:rsidR="00E3456E">
        <w:t>Vasilev</w:t>
      </w:r>
      <w:r w:rsidRPr="001D5CD5" w:rsidR="00E3456E">
        <w:t xml:space="preserve"> v. Serbia</w:t>
      </w:r>
      <w:r w:rsidRPr="001D5CD5">
        <w:t>,</w:t>
      </w:r>
    </w:p>
    <w:p w:rsidRPr="001D5CD5" w:rsidR="009F4C8F" w:rsidP="001D5CD5" w14:paraId="6E421674" w14:textId="27667604">
      <w:pPr>
        <w:pStyle w:val="JuPara"/>
      </w:pPr>
      <w:r w:rsidRPr="001D5CD5">
        <w:t>The European Court of Human Rights (</w:t>
      </w:r>
      <w:r w:rsidRPr="001D5CD5" w:rsidR="00E3456E">
        <w:t>Third Section</w:t>
      </w:r>
      <w:r w:rsidRPr="001D5CD5">
        <w:t xml:space="preserve">), sitting as a </w:t>
      </w:r>
      <w:r w:rsidRPr="001D5CD5" w:rsidR="00E3456E">
        <w:rPr>
          <w:noProof/>
        </w:rPr>
        <w:t>Committee</w:t>
      </w:r>
      <w:r w:rsidRPr="001D5CD5">
        <w:t xml:space="preserve"> composed of:</w:t>
      </w:r>
    </w:p>
    <w:p w:rsidRPr="001D5CD5" w:rsidR="00A92625" w:rsidP="001D5CD5" w14:paraId="786456E6" w14:textId="7D1CC40A">
      <w:pPr>
        <w:pStyle w:val="JuJudges"/>
      </w:pPr>
      <w:r w:rsidRPr="001D5CD5">
        <w:tab/>
      </w:r>
      <w:r w:rsidRPr="001D5CD5">
        <w:t>Peeter</w:t>
      </w:r>
      <w:r w:rsidRPr="001D5CD5">
        <w:t xml:space="preserve"> </w:t>
      </w:r>
      <w:r w:rsidRPr="001D5CD5">
        <w:t>Roosma</w:t>
      </w:r>
      <w:r w:rsidRPr="001D5CD5">
        <w:rPr>
          <w:i/>
        </w:rPr>
        <w:t>, President</w:t>
      </w:r>
      <w:r w:rsidRPr="001D5CD5">
        <w:t>,</w:t>
      </w:r>
      <w:r w:rsidRPr="001D5CD5">
        <w:br/>
      </w:r>
      <w:r w:rsidRPr="001D5CD5">
        <w:tab/>
        <w:t xml:space="preserve">Diana </w:t>
      </w:r>
      <w:r w:rsidRPr="001D5CD5">
        <w:t>Kovatcheva</w:t>
      </w:r>
      <w:r w:rsidRPr="001D5CD5">
        <w:t>,</w:t>
      </w:r>
      <w:r w:rsidRPr="001D5CD5">
        <w:br/>
      </w:r>
      <w:r w:rsidRPr="001D5CD5">
        <w:tab/>
        <w:t xml:space="preserve">Mateja </w:t>
      </w:r>
      <w:r w:rsidRPr="001D5CD5">
        <w:t>Đurović</w:t>
      </w:r>
      <w:r w:rsidRPr="001D5CD5">
        <w:rPr>
          <w:i/>
        </w:rPr>
        <w:t>, judges</w:t>
      </w:r>
      <w:r w:rsidRPr="001D5CD5">
        <w:t>,</w:t>
      </w:r>
      <w:r w:rsidRPr="001D5CD5" w:rsidR="009F4C8F">
        <w:br/>
        <w:t>and</w:t>
      </w:r>
      <w:r w:rsidRPr="001D5CD5" w:rsidR="005C2C62">
        <w:t xml:space="preserve"> </w:t>
      </w:r>
      <w:r w:rsidRPr="001D5CD5" w:rsidR="00E3456E">
        <w:rPr>
          <w:rFonts w:eastAsia="PMingLiU"/>
          <w:noProof/>
        </w:rPr>
        <w:t>Olga Chernishova</w:t>
      </w:r>
      <w:r w:rsidRPr="001D5CD5">
        <w:t xml:space="preserve">, </w:t>
      </w:r>
      <w:r w:rsidRPr="001D5CD5" w:rsidR="00E3456E">
        <w:rPr>
          <w:i/>
          <w:iCs/>
          <w:noProof/>
        </w:rPr>
        <w:t xml:space="preserve">Deputy </w:t>
      </w:r>
      <w:r w:rsidRPr="001D5CD5" w:rsidR="00E744E0">
        <w:rPr>
          <w:i/>
        </w:rPr>
        <w:t xml:space="preserve">Section </w:t>
      </w:r>
      <w:r w:rsidRPr="001D5CD5" w:rsidR="00E744E0">
        <w:rPr>
          <w:i/>
          <w:iCs/>
        </w:rPr>
        <w:t>Registrar</w:t>
      </w:r>
      <w:r w:rsidRPr="001D5CD5" w:rsidR="008F2465">
        <w:rPr>
          <w:i/>
        </w:rPr>
        <w:t>,</w:t>
      </w:r>
    </w:p>
    <w:p w:rsidRPr="001D5CD5" w:rsidR="00E3456E" w:rsidP="001D5CD5" w14:paraId="3C66B203" w14:textId="77777777">
      <w:pPr>
        <w:pStyle w:val="JuPara"/>
      </w:pPr>
      <w:r w:rsidRPr="001D5CD5">
        <w:t>Having regard to:</w:t>
      </w:r>
    </w:p>
    <w:p w:rsidRPr="001D5CD5" w:rsidR="00E3456E" w:rsidP="001D5CD5" w14:paraId="4AC7EBB0" w14:textId="77777777">
      <w:pPr>
        <w:pStyle w:val="JuPara"/>
      </w:pPr>
      <w:r w:rsidRPr="001D5CD5">
        <w:t xml:space="preserve">the application (no. 48150/18) against Serbia lodged with the Court under Article 34 of the Convention for the Protection of Human Rights and Fundamental Freedoms (“the Convention”) on 29 September 2018 by a Serbian national, Mr </w:t>
      </w:r>
      <w:r w:rsidRPr="001D5CD5">
        <w:t>Saša</w:t>
      </w:r>
      <w:r w:rsidRPr="001D5CD5">
        <w:t xml:space="preserve"> </w:t>
      </w:r>
      <w:r w:rsidRPr="001D5CD5">
        <w:t>Vasilev</w:t>
      </w:r>
      <w:r w:rsidRPr="001D5CD5">
        <w:t xml:space="preserve"> (“the applicant”), who was born in 1979, lives in </w:t>
      </w:r>
      <w:r w:rsidRPr="001D5CD5">
        <w:t>Bosilegrad</w:t>
      </w:r>
      <w:r w:rsidRPr="001D5CD5">
        <w:t xml:space="preserve"> and was represented by Mr N. </w:t>
      </w:r>
      <w:r w:rsidRPr="001D5CD5">
        <w:t>Novković</w:t>
      </w:r>
      <w:r w:rsidRPr="001D5CD5">
        <w:t xml:space="preserve">, a lawyer practising in </w:t>
      </w:r>
      <w:r w:rsidRPr="001D5CD5">
        <w:t>Vranje</w:t>
      </w:r>
      <w:r w:rsidRPr="001D5CD5">
        <w:t>;</w:t>
      </w:r>
    </w:p>
    <w:p w:rsidRPr="001D5CD5" w:rsidR="00E3456E" w:rsidP="001D5CD5" w14:paraId="72A9AD87" w14:textId="14F7D1A0">
      <w:pPr>
        <w:pStyle w:val="JuPara"/>
      </w:pPr>
      <w:r w:rsidRPr="001D5CD5">
        <w:t>the decision to give notice of the complaint concerning the applicant</w:t>
      </w:r>
      <w:r w:rsidR="001D5CD5">
        <w:t>’</w:t>
      </w:r>
      <w:r w:rsidRPr="001D5CD5">
        <w:t xml:space="preserve">s right to a fair hearing to the Serbian Government (“the Government”), represented by their Agent, Ms Z. </w:t>
      </w:r>
      <w:r w:rsidRPr="001D5CD5">
        <w:t>Jadrijević</w:t>
      </w:r>
      <w:r w:rsidRPr="001D5CD5">
        <w:t xml:space="preserve"> </w:t>
      </w:r>
      <w:r w:rsidRPr="001D5CD5">
        <w:t>Mladar</w:t>
      </w:r>
      <w:r w:rsidRPr="001D5CD5">
        <w:t xml:space="preserve">, and to </w:t>
      </w:r>
      <w:r w:rsidRPr="001D5CD5">
        <w:rPr>
          <w:rFonts w:asciiTheme="majorHAnsi" w:hAnsiTheme="majorHAnsi" w:cstheme="majorHAnsi"/>
        </w:rPr>
        <w:t xml:space="preserve">declare the remainder of the application </w:t>
      </w:r>
      <w:r w:rsidRPr="001D5CD5">
        <w:rPr>
          <w:rFonts w:asciiTheme="majorHAnsi" w:hAnsiTheme="majorHAnsi" w:cstheme="majorHAnsi"/>
        </w:rPr>
        <w:t>inadmissible</w:t>
      </w:r>
      <w:r w:rsidRPr="001D5CD5">
        <w:t>;</w:t>
      </w:r>
    </w:p>
    <w:p w:rsidRPr="001D5CD5" w:rsidR="00E3456E" w:rsidP="001D5CD5" w14:paraId="72731824" w14:textId="4657DCD9">
      <w:pPr>
        <w:pStyle w:val="JuPara"/>
      </w:pPr>
      <w:r w:rsidRPr="001D5CD5">
        <w:t>the parties</w:t>
      </w:r>
      <w:r w:rsidR="001D5CD5">
        <w:t>’</w:t>
      </w:r>
      <w:r w:rsidRPr="001D5CD5">
        <w:t xml:space="preserve"> </w:t>
      </w:r>
      <w:r w:rsidRPr="001D5CD5">
        <w:t>observations;</w:t>
      </w:r>
    </w:p>
    <w:p w:rsidRPr="001D5CD5" w:rsidR="009F4C8F" w:rsidP="001D5CD5" w14:paraId="64735799" w14:textId="693D76DF">
      <w:pPr>
        <w:pStyle w:val="JuPara"/>
      </w:pPr>
      <w:r w:rsidRPr="001D5CD5">
        <w:t xml:space="preserve">Having deliberated in private on </w:t>
      </w:r>
      <w:r w:rsidRPr="001D5CD5" w:rsidR="00E3456E">
        <w:t>3</w:t>
      </w:r>
      <w:r w:rsidRPr="001D5CD5" w:rsidR="00584635">
        <w:t> </w:t>
      </w:r>
      <w:r w:rsidRPr="001D5CD5" w:rsidR="00E3456E">
        <w:t>December 2024</w:t>
      </w:r>
      <w:r w:rsidRPr="001D5CD5">
        <w:t>,</w:t>
      </w:r>
    </w:p>
    <w:p w:rsidRPr="001D5CD5" w:rsidR="009F4C8F" w:rsidP="001D5CD5" w14:paraId="37F46D23" w14:textId="77777777">
      <w:pPr>
        <w:pStyle w:val="JuPara"/>
      </w:pPr>
      <w:r w:rsidRPr="001D5CD5">
        <w:t>Delivers the following judgment, which was adopted on that date:</w:t>
      </w:r>
    </w:p>
    <w:p w:rsidRPr="001D5CD5" w:rsidR="00E3456E" w:rsidP="001D5CD5" w14:paraId="370BA86A" w14:textId="598CA740">
      <w:pPr>
        <w:pStyle w:val="JuHHead"/>
        <w:numPr>
          <w:ilvl w:val="0"/>
          <w:numId w:val="0"/>
        </w:numPr>
      </w:pPr>
      <w:r w:rsidRPr="001D5CD5">
        <w:t>SUBJECT MATTER OF THE CASE</w:t>
      </w:r>
    </w:p>
    <w:p w:rsidRPr="001D5CD5" w:rsidR="00E3456E" w:rsidP="001D5CD5" w14:paraId="5548B609" w14:textId="71908195">
      <w:pPr>
        <w:pStyle w:val="JuPara"/>
      </w:pPr>
      <w:r>
        <w:fldChar w:fldCharType="begin"/>
      </w:r>
      <w:r>
        <w:instrText xml:space="preserve"> SEQ level0 \*arabic \* MERGEFORMAT </w:instrText>
      </w:r>
      <w:r>
        <w:fldChar w:fldCharType="separate"/>
      </w:r>
      <w:r w:rsidR="001D5CD5">
        <w:rPr>
          <w:noProof/>
        </w:rPr>
        <w:t>1</w:t>
      </w:r>
      <w:r w:rsidR="001D5CD5">
        <w:rPr>
          <w:noProof/>
        </w:rPr>
        <w:fldChar w:fldCharType="end"/>
      </w:r>
      <w:r w:rsidRPr="001D5CD5">
        <w:t>.  The application concerns the alleged breach of the principles of an adversarial trial and the equality of arms under Article</w:t>
      </w:r>
      <w:r w:rsidRPr="001D5CD5" w:rsidR="00584635">
        <w:t xml:space="preserve"> </w:t>
      </w:r>
      <w:r w:rsidRPr="001D5CD5">
        <w:t>6</w:t>
      </w:r>
      <w:r w:rsidRPr="001D5CD5" w:rsidR="00584635">
        <w:t xml:space="preserve"> </w:t>
      </w:r>
      <w:r w:rsidRPr="001D5CD5">
        <w:t>§</w:t>
      </w:r>
      <w:r w:rsidRPr="001D5CD5" w:rsidR="00584635">
        <w:t xml:space="preserve"> </w:t>
      </w:r>
      <w:r w:rsidRPr="001D5CD5">
        <w:t>1 of the Convention in the context of an administrative dispute, where the applicant</w:t>
      </w:r>
      <w:r w:rsidR="001D5CD5">
        <w:t>’</w:t>
      </w:r>
      <w:r w:rsidRPr="001D5CD5">
        <w:t>s firearm licence was revoked by the police based on undisclosed confidential information.</w:t>
      </w:r>
    </w:p>
    <w:bookmarkStart w:name="paragraph00002" w:id="0"/>
    <w:p w:rsidRPr="001D5CD5" w:rsidR="00E3456E" w:rsidP="001D5CD5" w14:paraId="617C54B4" w14:textId="4A9E43B7">
      <w:pPr>
        <w:pStyle w:val="JuPara"/>
      </w:pPr>
      <w:r w:rsidRPr="001D5CD5">
        <w:fldChar w:fldCharType="begin"/>
      </w:r>
      <w:r w:rsidRPr="001D5CD5">
        <w:instrText xml:space="preserve"> SEQ level0 \*arabic \* MERGEFORMAT </w:instrText>
      </w:r>
      <w:r w:rsidRPr="001D5CD5">
        <w:fldChar w:fldCharType="separate"/>
      </w:r>
      <w:r w:rsidR="001D5CD5">
        <w:rPr>
          <w:noProof/>
        </w:rPr>
        <w:t>2</w:t>
      </w:r>
      <w:r w:rsidRPr="001D5CD5">
        <w:fldChar w:fldCharType="end"/>
      </w:r>
      <w:bookmarkEnd w:id="0"/>
      <w:r w:rsidRPr="001D5CD5">
        <w:t>.  On 1</w:t>
      </w:r>
      <w:r w:rsidRPr="001D5CD5" w:rsidR="00584635">
        <w:t> </w:t>
      </w:r>
      <w:r w:rsidRPr="001D5CD5">
        <w:t xml:space="preserve">July 2015 the </w:t>
      </w:r>
      <w:r w:rsidRPr="001D5CD5">
        <w:t>Bosilegrad</w:t>
      </w:r>
      <w:r w:rsidRPr="001D5CD5">
        <w:t xml:space="preserve"> Police Station revoked the applicant</w:t>
      </w:r>
      <w:r w:rsidR="001D5CD5">
        <w:t>’</w:t>
      </w:r>
      <w:r w:rsidRPr="001D5CD5">
        <w:t>s licence for a hunting rifle, citing the necessity to protect the “personal and material security of other persons.” This decision was based on a background check conducted by the police.</w:t>
      </w:r>
    </w:p>
    <w:p w:rsidRPr="001D5CD5" w:rsidR="00E3456E" w:rsidP="001D5CD5" w14:paraId="48F8FBA6" w14:textId="608CE54B">
      <w:pPr>
        <w:pStyle w:val="JuPara"/>
      </w:pPr>
      <w:r>
        <w:fldChar w:fldCharType="begin"/>
      </w:r>
      <w:r>
        <w:instrText xml:space="preserve"> SEQ level0 \*arabic \* MERGEFORMAT </w:instrText>
      </w:r>
      <w:r>
        <w:fldChar w:fldCharType="separate"/>
      </w:r>
      <w:r w:rsidR="001D5CD5">
        <w:rPr>
          <w:noProof/>
        </w:rPr>
        <w:t>3</w:t>
      </w:r>
      <w:r w:rsidR="001D5CD5">
        <w:rPr>
          <w:noProof/>
        </w:rPr>
        <w:fldChar w:fldCharType="end"/>
      </w:r>
      <w:r w:rsidRPr="001D5CD5">
        <w:t>.  On 5</w:t>
      </w:r>
      <w:r w:rsidRPr="001D5CD5" w:rsidR="00584635">
        <w:t> </w:t>
      </w:r>
      <w:r w:rsidRPr="001D5CD5">
        <w:t>October 2015 the Ministry of Internal Affairs dismissed the applicant</w:t>
      </w:r>
      <w:r w:rsidR="001D5CD5">
        <w:t>’</w:t>
      </w:r>
      <w:r w:rsidRPr="001D5CD5">
        <w:t>s appeal against that decision, deeming it unfounded. The Ministry further asserted that it was not required to disclose the operational reports and sources of information upon which the decision relied.</w:t>
      </w:r>
    </w:p>
    <w:p w:rsidRPr="001D5CD5" w:rsidR="00E3456E" w:rsidP="001D5CD5" w14:paraId="7165F6AC" w14:textId="1F7CC8BF">
      <w:pPr>
        <w:pStyle w:val="JuPara"/>
      </w:pPr>
      <w:r>
        <w:fldChar w:fldCharType="begin"/>
      </w:r>
      <w:r>
        <w:instrText xml:space="preserve"> SEQ level0 \*arabic \* MERGEFORMAT </w:instrText>
      </w:r>
      <w:r>
        <w:fldChar w:fldCharType="separate"/>
      </w:r>
      <w:r w:rsidR="001D5CD5">
        <w:rPr>
          <w:noProof/>
        </w:rPr>
        <w:t>4</w:t>
      </w:r>
      <w:r w:rsidR="001D5CD5">
        <w:rPr>
          <w:noProof/>
        </w:rPr>
        <w:fldChar w:fldCharType="end"/>
      </w:r>
      <w:r w:rsidRPr="001D5CD5">
        <w:t>.  On 28</w:t>
      </w:r>
      <w:r w:rsidRPr="001D5CD5" w:rsidR="00584635">
        <w:t> </w:t>
      </w:r>
      <w:r w:rsidRPr="001D5CD5">
        <w:t>November 2015 the applicant sought judicial review before the Administrative Court, arguing that the decision to revoke his licence lacked adequate reasoning. He contended that he was prevented from effectively participating in the proceedings, as he was unable to challenge the facts underlying the decision or submit evidence to refute the stated reasons.</w:t>
      </w:r>
    </w:p>
    <w:p w:rsidRPr="001D5CD5" w:rsidR="00E3456E" w:rsidP="001D5CD5" w14:paraId="255BBAF5" w14:textId="10A3077D">
      <w:pPr>
        <w:pStyle w:val="JuPara"/>
      </w:pPr>
      <w:r>
        <w:fldChar w:fldCharType="begin"/>
      </w:r>
      <w:r>
        <w:instrText xml:space="preserve"> SEQ level0 \*arabic \* MERGEFORMAT </w:instrText>
      </w:r>
      <w:r>
        <w:fldChar w:fldCharType="separate"/>
      </w:r>
      <w:r w:rsidR="001D5CD5">
        <w:rPr>
          <w:noProof/>
        </w:rPr>
        <w:t>5</w:t>
      </w:r>
      <w:r w:rsidR="001D5CD5">
        <w:rPr>
          <w:noProof/>
        </w:rPr>
        <w:fldChar w:fldCharType="end"/>
      </w:r>
      <w:r w:rsidRPr="001D5CD5">
        <w:t xml:space="preserve">.  In response to the appeal, the Ministry of Internal Affairs submitted a statement to the court, accompanied by a confidential file containing </w:t>
      </w:r>
      <w:r w:rsidRPr="001D5CD5">
        <w:t xml:space="preserve">information regarding the background check. The court reviewed this file without the presence of the </w:t>
      </w:r>
      <w:r w:rsidRPr="001D5CD5">
        <w:t>parties, and</w:t>
      </w:r>
      <w:r w:rsidRPr="001D5CD5">
        <w:t xml:space="preserve"> did not disclose its contents to the applicant.</w:t>
      </w:r>
    </w:p>
    <w:p w:rsidRPr="001D5CD5" w:rsidR="00E3456E" w:rsidP="001D5CD5" w14:paraId="4B200C24" w14:textId="0A2ECE60">
      <w:pPr>
        <w:pStyle w:val="JuPara"/>
      </w:pPr>
      <w:r>
        <w:fldChar w:fldCharType="begin"/>
      </w:r>
      <w:r>
        <w:instrText xml:space="preserve"> SEQ level0 \*arabic \* MERGEFORMAT </w:instrText>
      </w:r>
      <w:r>
        <w:fldChar w:fldCharType="separate"/>
      </w:r>
      <w:r w:rsidR="001D5CD5">
        <w:rPr>
          <w:noProof/>
        </w:rPr>
        <w:t>6</w:t>
      </w:r>
      <w:r w:rsidR="001D5CD5">
        <w:rPr>
          <w:noProof/>
        </w:rPr>
        <w:fldChar w:fldCharType="end"/>
      </w:r>
      <w:r w:rsidRPr="001D5CD5">
        <w:t>.  On 8</w:t>
      </w:r>
      <w:r w:rsidRPr="001D5CD5" w:rsidR="00584635">
        <w:t> </w:t>
      </w:r>
      <w:r w:rsidRPr="001D5CD5">
        <w:t>September 2016 the Administrative Court dismissed the applicant</w:t>
      </w:r>
      <w:r w:rsidR="001D5CD5">
        <w:t>’</w:t>
      </w:r>
      <w:r w:rsidRPr="001D5CD5">
        <w:t>s claim without having held a public hearing. It opined that the “nature of the dispute did not necessitate an in-person hearing or the special determination of facts”. The court also dismissed the applicant</w:t>
      </w:r>
      <w:r w:rsidR="001D5CD5">
        <w:t>’</w:t>
      </w:r>
      <w:r w:rsidRPr="001D5CD5">
        <w:t>s claims of being unable to participate effectively in the proceedings, citing legal restrictions that barred it from disclosing or discussing confidential information in its judgment.</w:t>
      </w:r>
    </w:p>
    <w:p w:rsidRPr="001D5CD5" w:rsidR="00E3456E" w:rsidP="001D5CD5" w14:paraId="13B1E13C" w14:textId="37C32D9A">
      <w:pPr>
        <w:pStyle w:val="JuPara"/>
      </w:pPr>
      <w:r>
        <w:fldChar w:fldCharType="begin"/>
      </w:r>
      <w:r>
        <w:instrText xml:space="preserve"> SEQ level0 \*arabic \* MERGEFORMAT </w:instrText>
      </w:r>
      <w:r>
        <w:fldChar w:fldCharType="separate"/>
      </w:r>
      <w:r w:rsidR="001D5CD5">
        <w:rPr>
          <w:noProof/>
        </w:rPr>
        <w:t>7</w:t>
      </w:r>
      <w:r w:rsidR="001D5CD5">
        <w:rPr>
          <w:noProof/>
        </w:rPr>
        <w:fldChar w:fldCharType="end"/>
      </w:r>
      <w:r w:rsidRPr="001D5CD5">
        <w:t>.  On 1</w:t>
      </w:r>
      <w:r w:rsidRPr="001D5CD5" w:rsidR="00584635">
        <w:t> </w:t>
      </w:r>
      <w:r w:rsidRPr="001D5CD5">
        <w:t>March 2018 the Constitutional Court rejected the applicant</w:t>
      </w:r>
      <w:r w:rsidR="001D5CD5">
        <w:t>’</w:t>
      </w:r>
      <w:r w:rsidRPr="001D5CD5">
        <w:t>s constitutional appeal.</w:t>
      </w:r>
    </w:p>
    <w:p w:rsidRPr="001D5CD5" w:rsidR="00E3456E" w:rsidP="001D5CD5" w14:paraId="3D9A0B99" w14:textId="3DFD544A">
      <w:pPr>
        <w:pStyle w:val="JuHHead"/>
      </w:pPr>
      <w:r w:rsidRPr="001D5CD5">
        <w:t>THE COURT</w:t>
      </w:r>
      <w:r w:rsidR="001D5CD5">
        <w:t>’</w:t>
      </w:r>
      <w:r w:rsidRPr="001D5CD5">
        <w:t>S ASSESSMENT</w:t>
      </w:r>
    </w:p>
    <w:p w:rsidRPr="001D5CD5" w:rsidR="00E3456E" w:rsidP="001D5CD5" w14:paraId="59BBBC61" w14:textId="34C673B6">
      <w:pPr>
        <w:pStyle w:val="JuPara"/>
      </w:pPr>
      <w:r>
        <w:fldChar w:fldCharType="begin"/>
      </w:r>
      <w:r>
        <w:instrText xml:space="preserve"> SEQ level0 \*arabic \* MERGEFORMAT </w:instrText>
      </w:r>
      <w:r>
        <w:fldChar w:fldCharType="separate"/>
      </w:r>
      <w:r w:rsidR="001D5CD5">
        <w:rPr>
          <w:noProof/>
        </w:rPr>
        <w:t>8</w:t>
      </w:r>
      <w:r w:rsidR="001D5CD5">
        <w:rPr>
          <w:noProof/>
        </w:rPr>
        <w:fldChar w:fldCharType="end"/>
      </w:r>
      <w:r w:rsidRPr="001D5CD5">
        <w:t>.  The Government maintained that the applicant had not suffered a significant disadvantage within the meaning of Article 35 § 3 (b) of the Convention, as he could have sold the rifle in question, which, in any event, had low market value, or alternatively, have disabled it and kept it as a trophy weapon. Furthermore, the applicant</w:t>
      </w:r>
      <w:r w:rsidR="001D5CD5">
        <w:t>’</w:t>
      </w:r>
      <w:r w:rsidRPr="001D5CD5">
        <w:t>s licence would have been revoked anyway upon the entry into force of new relevant legislation. Lastly, the Government asserted that the confiscation of the rifle only impacted the applicant</w:t>
      </w:r>
      <w:r w:rsidR="001D5CD5">
        <w:t>’</w:t>
      </w:r>
      <w:r w:rsidRPr="001D5CD5">
        <w:t>s ability to hunt, and therefore did not have a serious effect on his professional or family life.</w:t>
      </w:r>
    </w:p>
    <w:p w:rsidRPr="001D5CD5" w:rsidR="00E3456E" w:rsidP="001D5CD5" w14:paraId="566F1DC9" w14:textId="2D44149C">
      <w:pPr>
        <w:pStyle w:val="JuPara"/>
      </w:pPr>
      <w:r>
        <w:fldChar w:fldCharType="begin"/>
      </w:r>
      <w:r>
        <w:instrText xml:space="preserve"> SEQ level0 \*arabic \* MERGEFORMAT </w:instrText>
      </w:r>
      <w:r>
        <w:fldChar w:fldCharType="separate"/>
      </w:r>
      <w:r w:rsidR="001D5CD5">
        <w:rPr>
          <w:noProof/>
        </w:rPr>
        <w:t>9</w:t>
      </w:r>
      <w:r w:rsidR="001D5CD5">
        <w:rPr>
          <w:noProof/>
        </w:rPr>
        <w:fldChar w:fldCharType="end"/>
      </w:r>
      <w:r w:rsidRPr="001D5CD5">
        <w:t>.  The applicant contested this objection and emphasised that hunting was a significant part of his life. The inability to hunt deprived him not only of his favourite pastime but also of the friendships he had cultivated through hunting. Furthermore, the applicant noted that, being from a small town, news of his hunting licence being revoked by the police – due to allegations that he posed a danger to others and their property – spread quickly. This led to a shift in the community</w:t>
      </w:r>
      <w:r w:rsidR="001D5CD5">
        <w:t>’</w:t>
      </w:r>
      <w:r w:rsidRPr="001D5CD5">
        <w:t>s attitude towards him, ultimately forcing him to relocate to another town.</w:t>
      </w:r>
    </w:p>
    <w:p w:rsidRPr="001D5CD5" w:rsidR="00E3456E" w:rsidP="001D5CD5" w14:paraId="5979A652" w14:textId="47CC7AA9">
      <w:pPr>
        <w:pStyle w:val="JuPara"/>
      </w:pPr>
      <w:r>
        <w:fldChar w:fldCharType="begin"/>
      </w:r>
      <w:r>
        <w:instrText xml:space="preserve"> SEQ level0 \*arabic \* MERGEFORMAT </w:instrText>
      </w:r>
      <w:r>
        <w:fldChar w:fldCharType="separate"/>
      </w:r>
      <w:r w:rsidR="001D5CD5">
        <w:rPr>
          <w:noProof/>
        </w:rPr>
        <w:t>10</w:t>
      </w:r>
      <w:r w:rsidR="001D5CD5">
        <w:rPr>
          <w:noProof/>
        </w:rPr>
        <w:fldChar w:fldCharType="end"/>
      </w:r>
      <w:r w:rsidRPr="001D5CD5">
        <w:t xml:space="preserve">.  The relevant principles as regards the criterion of no significant disadvantage, within the meaning of Article 35 § 3 (b) of the Convention, have been recently summarised, </w:t>
      </w:r>
      <w:r w:rsidRPr="001D5CD5">
        <w:rPr>
          <w:i/>
          <w:iCs/>
        </w:rPr>
        <w:t>inter alia</w:t>
      </w:r>
      <w:r w:rsidRPr="001D5CD5">
        <w:t xml:space="preserve">, in </w:t>
      </w:r>
      <w:bookmarkStart w:name="_cl42576" w:id="1"/>
      <w:r w:rsidRPr="001D5CD5">
        <w:rPr>
          <w:i/>
          <w:iCs/>
        </w:rPr>
        <w:t>X and others v. Ireland</w:t>
      </w:r>
      <w:bookmarkEnd w:id="1"/>
      <w:r w:rsidRPr="001D5CD5">
        <w:t xml:space="preserve"> (nos. 23851/20 and 24360/20, </w:t>
      </w:r>
      <w:r w:rsidRPr="001D5CD5">
        <w:rPr>
          <w:rFonts w:cstheme="minorHAnsi"/>
        </w:rPr>
        <w:t>§§</w:t>
      </w:r>
      <w:r w:rsidRPr="001D5CD5" w:rsidR="00584635">
        <w:t> </w:t>
      </w:r>
      <w:r w:rsidRPr="001D5CD5">
        <w:t>63-65, 22</w:t>
      </w:r>
      <w:r w:rsidRPr="001D5CD5" w:rsidR="00584635">
        <w:t> </w:t>
      </w:r>
      <w:r w:rsidRPr="001D5CD5">
        <w:t>June 2023).</w:t>
      </w:r>
    </w:p>
    <w:p w:rsidRPr="001D5CD5" w:rsidR="00E3456E" w:rsidP="001D5CD5" w14:paraId="6529509B" w14:textId="0CEA29A2">
      <w:pPr>
        <w:pStyle w:val="JuPara"/>
        <w:rPr>
          <w:rFonts w:ascii="Times New Roman" w:hAnsi="Times New Roman" w:cs="Times New Roman"/>
          <w:color w:val="000000"/>
        </w:rPr>
      </w:pPr>
      <w:r>
        <w:fldChar w:fldCharType="begin"/>
      </w:r>
      <w:r>
        <w:instrText xml:space="preserve"> SEQ level0 \*arabic \* MERGEFORMAT </w:instrText>
      </w:r>
      <w:r>
        <w:fldChar w:fldCharType="separate"/>
      </w:r>
      <w:r w:rsidR="001D5CD5">
        <w:rPr>
          <w:noProof/>
        </w:rPr>
        <w:t>11</w:t>
      </w:r>
      <w:r w:rsidR="001D5CD5">
        <w:rPr>
          <w:noProof/>
        </w:rPr>
        <w:fldChar w:fldCharType="end"/>
      </w:r>
      <w:r w:rsidRPr="001D5CD5">
        <w:t xml:space="preserve">.  Turning to the present case and quite apart from the </w:t>
      </w:r>
      <w:r w:rsidRPr="001D5CD5">
        <w:rPr>
          <w:rFonts w:ascii="Times New Roman" w:hAnsi="Times New Roman" w:cs="Times New Roman"/>
          <w:color w:val="000000"/>
        </w:rPr>
        <w:t>pecuniary and lifestyle-related aspects of the limitation imposed on the applicant, the Government</w:t>
      </w:r>
      <w:r w:rsidR="001D5CD5">
        <w:rPr>
          <w:rFonts w:ascii="Times New Roman" w:hAnsi="Times New Roman" w:cs="Times New Roman"/>
          <w:color w:val="000000"/>
        </w:rPr>
        <w:t>’</w:t>
      </w:r>
      <w:r w:rsidRPr="001D5CD5">
        <w:rPr>
          <w:rFonts w:ascii="Times New Roman" w:hAnsi="Times New Roman" w:cs="Times New Roman"/>
          <w:color w:val="000000"/>
        </w:rPr>
        <w:t xml:space="preserve">s objection cannot be accepted since the right to an </w:t>
      </w:r>
      <w:r w:rsidRPr="001D5CD5">
        <w:t>adversarial trial and the principle of equality of arms</w:t>
      </w:r>
      <w:r w:rsidRPr="001D5CD5">
        <w:rPr>
          <w:rFonts w:ascii="Times New Roman" w:hAnsi="Times New Roman" w:cs="Times New Roman"/>
          <w:color w:val="000000"/>
        </w:rPr>
        <w:t xml:space="preserve">, are by their very nature, of particular significance for the proper functioning and fairness of a given justice system. There is hence an issue of general interest which cannot be considered trivial, or, consequently, something that does not deserve an </w:t>
      </w:r>
      <w:r w:rsidRPr="001D5CD5">
        <w:rPr>
          <w:rFonts w:ascii="Times New Roman" w:hAnsi="Times New Roman" w:cs="Times New Roman"/>
          <w:color w:val="000000"/>
        </w:rPr>
        <w:t xml:space="preserve">examination on the merits (see, </w:t>
      </w:r>
      <w:r w:rsidRPr="001D5CD5">
        <w:rPr>
          <w:rFonts w:ascii="Times New Roman" w:hAnsi="Times New Roman" w:cs="Times New Roman"/>
          <w:i/>
          <w:iCs/>
          <w:color w:val="000000"/>
        </w:rPr>
        <w:t>mutatis mutandis</w:t>
      </w:r>
      <w:r w:rsidRPr="001D5CD5">
        <w:t xml:space="preserve">, </w:t>
      </w:r>
      <w:bookmarkStart w:name="_cl28451" w:id="2"/>
      <w:r w:rsidRPr="001D5CD5">
        <w:rPr>
          <w:i/>
          <w:iCs/>
        </w:rPr>
        <w:t>Juhas</w:t>
      </w:r>
      <w:r w:rsidRPr="001D5CD5">
        <w:rPr>
          <w:i/>
          <w:iCs/>
        </w:rPr>
        <w:t xml:space="preserve"> </w:t>
      </w:r>
      <w:r w:rsidRPr="001D5CD5">
        <w:rPr>
          <w:i/>
          <w:iCs/>
        </w:rPr>
        <w:t>Đurić</w:t>
      </w:r>
      <w:r w:rsidRPr="001D5CD5">
        <w:rPr>
          <w:i/>
          <w:iCs/>
        </w:rPr>
        <w:t xml:space="preserve"> v. Serbia</w:t>
      </w:r>
      <w:r w:rsidRPr="001D5CD5">
        <w:t>, no. 48155/06, § 56, 7</w:t>
      </w:r>
      <w:r w:rsidRPr="001D5CD5" w:rsidR="00584635">
        <w:t> </w:t>
      </w:r>
      <w:r w:rsidRPr="001D5CD5">
        <w:t>June 2011</w:t>
      </w:r>
      <w:bookmarkEnd w:id="2"/>
      <w:r w:rsidRPr="001D5CD5">
        <w:rPr>
          <w:rFonts w:ascii="Times New Roman" w:hAnsi="Times New Roman" w:cs="Times New Roman"/>
          <w:color w:val="000000"/>
        </w:rPr>
        <w:t>).</w:t>
      </w:r>
    </w:p>
    <w:p w:rsidRPr="001D5CD5" w:rsidR="00E3456E" w:rsidP="001D5CD5" w14:paraId="1AC6056D" w14:textId="10B4E054">
      <w:pPr>
        <w:pStyle w:val="JuPara"/>
      </w:pPr>
      <w:r>
        <w:fldChar w:fldCharType="begin"/>
      </w:r>
      <w:r>
        <w:instrText xml:space="preserve"> SEQ level0 \*arabic \* MERGEFORMAT </w:instrText>
      </w:r>
      <w:r>
        <w:fldChar w:fldCharType="separate"/>
      </w:r>
      <w:r w:rsidR="001D5CD5">
        <w:rPr>
          <w:noProof/>
        </w:rPr>
        <w:t>12</w:t>
      </w:r>
      <w:r w:rsidR="001D5CD5">
        <w:rPr>
          <w:noProof/>
        </w:rPr>
        <w:fldChar w:fldCharType="end"/>
      </w:r>
      <w:r w:rsidRPr="001D5CD5">
        <w:t>.  Having regard to the foregoing, the Court considers that the requirement of Article 35 § 3 (b) of the Convention, namely the lack of any significant disadvantage for the applicant, has not been satisfied and that the Government</w:t>
      </w:r>
      <w:r w:rsidR="001D5CD5">
        <w:t>’</w:t>
      </w:r>
      <w:r w:rsidRPr="001D5CD5">
        <w:t>s objection should therefore be dismissed.</w:t>
      </w:r>
    </w:p>
    <w:p w:rsidRPr="001D5CD5" w:rsidR="00E3456E" w:rsidP="001D5CD5" w14:paraId="39CAF187" w14:textId="7B688945">
      <w:pPr>
        <w:pStyle w:val="JuPara"/>
      </w:pPr>
      <w:r>
        <w:fldChar w:fldCharType="begin"/>
      </w:r>
      <w:r>
        <w:instrText xml:space="preserve"> SEQ level0 \*arabic \* MERGEFORMAT </w:instrText>
      </w:r>
      <w:r>
        <w:fldChar w:fldCharType="separate"/>
      </w:r>
      <w:r w:rsidR="001D5CD5">
        <w:rPr>
          <w:noProof/>
        </w:rPr>
        <w:t>13</w:t>
      </w:r>
      <w:r w:rsidR="001D5CD5">
        <w:rPr>
          <w:noProof/>
        </w:rPr>
        <w:fldChar w:fldCharType="end"/>
      </w:r>
      <w:r w:rsidRPr="001D5CD5">
        <w:t>.  The Court notes that the applicant</w:t>
      </w:r>
      <w:r w:rsidR="001D5CD5">
        <w:t>’</w:t>
      </w:r>
      <w:r w:rsidRPr="001D5CD5">
        <w:t>s complaint is not manifestly ill-founded within the meaning of Article 35 § 3 (a) of the Convention or inadmissible on any other grounds. It must therefore be declared admissible.</w:t>
      </w:r>
    </w:p>
    <w:p w:rsidRPr="001D5CD5" w:rsidR="00E3456E" w:rsidP="001D5CD5" w14:paraId="39A09419" w14:textId="324159FD">
      <w:pPr>
        <w:pStyle w:val="JuPara"/>
      </w:pPr>
      <w:r>
        <w:fldChar w:fldCharType="begin"/>
      </w:r>
      <w:r>
        <w:instrText xml:space="preserve"> SEQ level0 \*arabic \* MERGEFORMAT </w:instrText>
      </w:r>
      <w:r>
        <w:fldChar w:fldCharType="separate"/>
      </w:r>
      <w:r w:rsidR="001D5CD5">
        <w:rPr>
          <w:noProof/>
        </w:rPr>
        <w:t>14</w:t>
      </w:r>
      <w:r w:rsidR="001D5CD5">
        <w:rPr>
          <w:noProof/>
        </w:rPr>
        <w:fldChar w:fldCharType="end"/>
      </w:r>
      <w:r w:rsidRPr="001D5CD5">
        <w:t>.  The general principles emerging from the Court</w:t>
      </w:r>
      <w:r w:rsidR="001D5CD5">
        <w:t>’</w:t>
      </w:r>
      <w:r w:rsidRPr="001D5CD5">
        <w:t xml:space="preserve">s case-law concerning the right to the disclosure of relevant evidence in the context of a right to a fair trial, in circumstances comparable to the present case, have been summarised in </w:t>
      </w:r>
      <w:bookmarkStart w:name="_cl34927" w:id="3"/>
      <w:r w:rsidRPr="001D5CD5">
        <w:rPr>
          <w:i/>
          <w:iCs/>
        </w:rPr>
        <w:t>Regner</w:t>
      </w:r>
      <w:r w:rsidRPr="001D5CD5">
        <w:rPr>
          <w:i/>
          <w:iCs/>
        </w:rPr>
        <w:t xml:space="preserve"> v. the Czech Republic</w:t>
      </w:r>
      <w:bookmarkEnd w:id="3"/>
      <w:r w:rsidRPr="001D5CD5">
        <w:t xml:space="preserve"> [GC], no. 35289/11, §§ 146-49, 19</w:t>
      </w:r>
      <w:r w:rsidRPr="001D5CD5" w:rsidR="00584635">
        <w:t> </w:t>
      </w:r>
      <w:r w:rsidRPr="001D5CD5">
        <w:t xml:space="preserve">September 2017) and </w:t>
      </w:r>
      <w:r w:rsidRPr="001D5CD5">
        <w:rPr>
          <w:i/>
          <w:iCs/>
        </w:rPr>
        <w:t>T.G. v. Croatia</w:t>
      </w:r>
      <w:r w:rsidRPr="001D5CD5">
        <w:t xml:space="preserve"> (no. 39701/14, §§ 48-54, 11 July 2017).</w:t>
      </w:r>
    </w:p>
    <w:p w:rsidRPr="001D5CD5" w:rsidR="00E3456E" w:rsidP="001D5CD5" w14:paraId="605E4491" w14:textId="4F6C8032">
      <w:pPr>
        <w:pStyle w:val="JuPara"/>
      </w:pPr>
      <w:r>
        <w:fldChar w:fldCharType="begin"/>
      </w:r>
      <w:r>
        <w:instrText xml:space="preserve"> SEQ level0 \*arabic \* MERGEFORMAT </w:instrText>
      </w:r>
      <w:r>
        <w:fldChar w:fldCharType="separate"/>
      </w:r>
      <w:bookmarkStart w:name="paragraph00016" w:id="4"/>
      <w:r w:rsidR="001D5CD5">
        <w:rPr>
          <w:noProof/>
        </w:rPr>
        <w:t>15</w:t>
      </w:r>
      <w:bookmarkEnd w:id="4"/>
      <w:r>
        <w:fldChar w:fldCharType="end"/>
      </w:r>
      <w:r w:rsidRPr="001D5CD5">
        <w:t>.  Turning to the present case, the statement of reasons for which the police considered that the applicant</w:t>
      </w:r>
      <w:r w:rsidR="001D5CD5">
        <w:t>’</w:t>
      </w:r>
      <w:r w:rsidRPr="001D5CD5">
        <w:t>s hunting licence should be revoked was set out only in the vaguest of terms, that is without any specifics relating to the applicant</w:t>
      </w:r>
      <w:r w:rsidR="001D5CD5">
        <w:t>’</w:t>
      </w:r>
      <w:r w:rsidRPr="001D5CD5">
        <w:t xml:space="preserve">s personal situation having been offered (see paragraph </w:t>
      </w:r>
      <w:r w:rsidRPr="001D5CD5">
        <w:fldChar w:fldCharType="begin"/>
      </w:r>
      <w:r w:rsidRPr="001D5CD5">
        <w:instrText xml:space="preserve"> REF paragraph00002 \h  \* CharFormat </w:instrText>
      </w:r>
      <w:r w:rsidRPr="001D5CD5">
        <w:fldChar w:fldCharType="separate"/>
      </w:r>
      <w:r w:rsidR="001D5CD5">
        <w:t>2</w:t>
      </w:r>
      <w:r w:rsidRPr="001D5CD5">
        <w:fldChar w:fldCharType="end"/>
      </w:r>
      <w:r w:rsidRPr="001D5CD5">
        <w:t xml:space="preserve"> above). It cannot therefore be said that the applicant was appraised, let alone sufficiently appraised, of the allegations against him which would have allowed him to effectively challenge them – factually or legally (see, </w:t>
      </w:r>
      <w:r w:rsidRPr="001D5CD5">
        <w:rPr>
          <w:i/>
          <w:iCs/>
        </w:rPr>
        <w:t>mutatis mutandis</w:t>
      </w:r>
      <w:r w:rsidRPr="001D5CD5">
        <w:t xml:space="preserve">, </w:t>
      </w:r>
      <w:bookmarkStart w:name="_cl38448" w:id="5"/>
      <w:r w:rsidRPr="001D5CD5">
        <w:rPr>
          <w:i/>
          <w:iCs/>
        </w:rPr>
        <w:t>Užukauskas</w:t>
      </w:r>
      <w:r w:rsidRPr="001D5CD5">
        <w:rPr>
          <w:i/>
          <w:iCs/>
        </w:rPr>
        <w:t xml:space="preserve"> v. Lithuania</w:t>
      </w:r>
      <w:bookmarkEnd w:id="5"/>
      <w:r w:rsidRPr="001D5CD5">
        <w:t>, no. 16965/04, § 50, 6 July 2010).</w:t>
      </w:r>
    </w:p>
    <w:p w:rsidRPr="001D5CD5" w:rsidR="00E3456E" w:rsidP="001D5CD5" w14:paraId="73D2E75D" w14:textId="4E0BBA25">
      <w:pPr>
        <w:pStyle w:val="JuPara"/>
      </w:pPr>
      <w:r>
        <w:fldChar w:fldCharType="begin"/>
      </w:r>
      <w:r>
        <w:instrText xml:space="preserve"> SEQ level0 \*arabic \* MERGEFORMAT </w:instrText>
      </w:r>
      <w:r>
        <w:fldChar w:fldCharType="separate"/>
      </w:r>
      <w:r w:rsidR="001D5CD5">
        <w:rPr>
          <w:noProof/>
        </w:rPr>
        <w:t>16</w:t>
      </w:r>
      <w:r w:rsidR="001D5CD5">
        <w:rPr>
          <w:noProof/>
        </w:rPr>
        <w:fldChar w:fldCharType="end"/>
      </w:r>
      <w:r w:rsidRPr="001D5CD5">
        <w:t xml:space="preserve">.  Moreover, in these circumstances, the Administrative Court should have taken particular care and attention </w:t>
      </w:r>
      <w:r w:rsidRPr="001D5CD5">
        <w:t>in the course of</w:t>
      </w:r>
      <w:r w:rsidRPr="001D5CD5">
        <w:t xml:space="preserve"> its own review of the matter so as to ensure that its decision-making was, as far as possible, in compliance with the requirement of adversarial proceedings and the principle of equality of arms (see </w:t>
      </w:r>
      <w:r w:rsidRPr="001D5CD5">
        <w:rPr>
          <w:i/>
          <w:iCs/>
        </w:rPr>
        <w:t>T.G. v. Croatia</w:t>
      </w:r>
      <w:r w:rsidRPr="001D5CD5">
        <w:t>, cited above, § 52). However, the said court upheld the Ministry</w:t>
      </w:r>
      <w:r w:rsidR="001D5CD5">
        <w:t>’</w:t>
      </w:r>
      <w:r w:rsidRPr="001D5CD5">
        <w:t xml:space="preserve">s decision, and there is nothing to indicate that in doing so, it conducted its own independent assessment of the confidential information that was withheld from the applicant (contrast with </w:t>
      </w:r>
      <w:r w:rsidRPr="001D5CD5">
        <w:rPr>
          <w:i/>
          <w:iCs/>
        </w:rPr>
        <w:t>Regner</w:t>
      </w:r>
      <w:r w:rsidRPr="001D5CD5">
        <w:t>, cited above, §</w:t>
      </w:r>
      <w:r w:rsidRPr="001D5CD5" w:rsidR="001D5CD5">
        <w:t> </w:t>
      </w:r>
      <w:r w:rsidRPr="001D5CD5">
        <w:t xml:space="preserve">20, </w:t>
      </w:r>
      <w:r w:rsidRPr="001D5CD5">
        <w:rPr>
          <w:i/>
          <w:iCs/>
        </w:rPr>
        <w:t>in fine</w:t>
      </w:r>
      <w:r w:rsidRPr="001D5CD5">
        <w:t xml:space="preserve">). Nor did the Administrative Court provide any justification as to why it did not, if only summarily, indicate the accusations against the applicant (see </w:t>
      </w:r>
      <w:r w:rsidRPr="001D5CD5">
        <w:rPr>
          <w:i/>
          <w:iCs/>
        </w:rPr>
        <w:t>Regner</w:t>
      </w:r>
      <w:r w:rsidRPr="001D5CD5">
        <w:t>, cited above, §</w:t>
      </w:r>
      <w:r w:rsidRPr="001D5CD5" w:rsidR="001D5CD5">
        <w:t> </w:t>
      </w:r>
      <w:r w:rsidRPr="001D5CD5">
        <w:t xml:space="preserve">160). Furthermore, neither the police nor the domestic courts have claimed that the withholding of relevant information was justified by considerations such as national security, the protection of witnesses at risk of reprisal, or the need to safeguard confidential police investigation methods (contrast with </w:t>
      </w:r>
      <w:r w:rsidRPr="001D5CD5">
        <w:rPr>
          <w:i/>
          <w:iCs/>
        </w:rPr>
        <w:t>Regner</w:t>
      </w:r>
      <w:r w:rsidRPr="001D5CD5">
        <w:t>, cited above, §§ 20 and 148). No effort was made to mitigate the restrictions on the applicant</w:t>
      </w:r>
      <w:r w:rsidR="001D5CD5">
        <w:t>’</w:t>
      </w:r>
      <w:r w:rsidRPr="001D5CD5">
        <w:t xml:space="preserve">s right to equality of arms, such as by offering an opportunity to refute specific allegations arising from the background check or by holding a public hearing (contrast with </w:t>
      </w:r>
      <w:r w:rsidRPr="001D5CD5">
        <w:rPr>
          <w:i/>
          <w:iCs/>
        </w:rPr>
        <w:t>Regner</w:t>
      </w:r>
      <w:r w:rsidRPr="001D5CD5">
        <w:t>, cited above, §</w:t>
      </w:r>
      <w:r w:rsidRPr="001D5CD5" w:rsidR="001D5CD5">
        <w:t> </w:t>
      </w:r>
      <w:r w:rsidRPr="001D5CD5">
        <w:t>18).</w:t>
      </w:r>
    </w:p>
    <w:p w:rsidRPr="001D5CD5" w:rsidR="00E3456E" w:rsidP="001D5CD5" w14:paraId="1B354FB5" w14:textId="0008501E">
      <w:pPr>
        <w:pStyle w:val="JuPara"/>
      </w:pPr>
      <w:r>
        <w:fldChar w:fldCharType="begin"/>
      </w:r>
      <w:r>
        <w:instrText xml:space="preserve"> SEQ level0 \*arabic \* MERGEFORMAT </w:instrText>
      </w:r>
      <w:r>
        <w:fldChar w:fldCharType="separate"/>
      </w:r>
      <w:r w:rsidR="001D5CD5">
        <w:rPr>
          <w:noProof/>
        </w:rPr>
        <w:t>17</w:t>
      </w:r>
      <w:r w:rsidR="001D5CD5">
        <w:rPr>
          <w:noProof/>
        </w:rPr>
        <w:fldChar w:fldCharType="end"/>
      </w:r>
      <w:r w:rsidRPr="001D5CD5">
        <w:t xml:space="preserve">.  In view of the above, the Court finds that the procedure before the Administrative Court did not incorporate adequate safeguards to protect the </w:t>
      </w:r>
      <w:r w:rsidRPr="001D5CD5">
        <w:t>interests of the applicant and ensure the that he received a fair trial as guaranteed under Article 6 § 1 of the Convention.</w:t>
      </w:r>
    </w:p>
    <w:p w:rsidRPr="001D5CD5" w:rsidR="00E3456E" w:rsidP="001D5CD5" w14:paraId="673F9A4F" w14:textId="1E9896D1">
      <w:pPr>
        <w:pStyle w:val="JuPara"/>
      </w:pPr>
      <w:r>
        <w:fldChar w:fldCharType="begin"/>
      </w:r>
      <w:r>
        <w:instrText xml:space="preserve"> SEQ level0 \*arabic \* MERGEFORMAT </w:instrText>
      </w:r>
      <w:r>
        <w:fldChar w:fldCharType="separate"/>
      </w:r>
      <w:r w:rsidR="001D5CD5">
        <w:rPr>
          <w:noProof/>
        </w:rPr>
        <w:t>18</w:t>
      </w:r>
      <w:r w:rsidR="001D5CD5">
        <w:rPr>
          <w:noProof/>
        </w:rPr>
        <w:fldChar w:fldCharType="end"/>
      </w:r>
      <w:r w:rsidRPr="001D5CD5">
        <w:t>.  There has accordingly been a violation of this provision.</w:t>
      </w:r>
    </w:p>
    <w:p w:rsidRPr="001D5CD5" w:rsidR="00E3456E" w:rsidP="001D5CD5" w14:paraId="0E0FB473" w14:textId="77777777">
      <w:pPr>
        <w:pStyle w:val="JuHHead"/>
      </w:pPr>
      <w:r w:rsidRPr="001D5CD5">
        <w:t>APPLICATION OF ARTICLE 41 OF THE CONVENTION</w:t>
      </w:r>
    </w:p>
    <w:p w:rsidRPr="001D5CD5" w:rsidR="00E3456E" w:rsidP="001D5CD5" w14:paraId="0B8A5AE6" w14:textId="10916AB7">
      <w:pPr>
        <w:pStyle w:val="JuPara"/>
      </w:pPr>
      <w:r>
        <w:fldChar w:fldCharType="begin"/>
      </w:r>
      <w:r>
        <w:instrText xml:space="preserve"> SEQ level0 \*arabic \* MERGEFORMAT </w:instrText>
      </w:r>
      <w:r>
        <w:fldChar w:fldCharType="separate"/>
      </w:r>
      <w:r w:rsidR="001D5CD5">
        <w:rPr>
          <w:noProof/>
        </w:rPr>
        <w:t>19</w:t>
      </w:r>
      <w:r w:rsidR="001D5CD5">
        <w:rPr>
          <w:noProof/>
        </w:rPr>
        <w:fldChar w:fldCharType="end"/>
      </w:r>
      <w:r w:rsidRPr="001D5CD5">
        <w:t>.  The applicant claimed 5,000 euros (EUR) in respect of non-pecuniary damage and EUR 2,628</w:t>
      </w:r>
      <w:r w:rsidRPr="001D5CD5">
        <w:rPr>
          <w:b/>
          <w:bCs/>
        </w:rPr>
        <w:t xml:space="preserve"> </w:t>
      </w:r>
      <w:r w:rsidRPr="001D5CD5">
        <w:t>euros in respect of the costs and expenses incurred domestically and those incurred before the Court itself.</w:t>
      </w:r>
    </w:p>
    <w:p w:rsidRPr="001D5CD5" w:rsidR="00E3456E" w:rsidP="001D5CD5" w14:paraId="55CDE918" w14:textId="74EA5E78">
      <w:pPr>
        <w:pStyle w:val="JuPara"/>
      </w:pPr>
      <w:r>
        <w:fldChar w:fldCharType="begin"/>
      </w:r>
      <w:r>
        <w:instrText xml:space="preserve"> SEQ level0 \*arabic \* MERGEFORMAT </w:instrText>
      </w:r>
      <w:r>
        <w:fldChar w:fldCharType="separate"/>
      </w:r>
      <w:r w:rsidR="001D5CD5">
        <w:rPr>
          <w:noProof/>
        </w:rPr>
        <w:t>20</w:t>
      </w:r>
      <w:r w:rsidR="001D5CD5">
        <w:rPr>
          <w:noProof/>
        </w:rPr>
        <w:fldChar w:fldCharType="end"/>
      </w:r>
      <w:r w:rsidRPr="001D5CD5">
        <w:t>.  The Government contested these claims.</w:t>
      </w:r>
    </w:p>
    <w:p w:rsidRPr="001D5CD5" w:rsidR="00E3456E" w:rsidP="001D5CD5" w14:paraId="577418C1" w14:textId="34B59FEA">
      <w:pPr>
        <w:pStyle w:val="JuPara"/>
      </w:pPr>
      <w:r>
        <w:fldChar w:fldCharType="begin"/>
      </w:r>
      <w:r>
        <w:instrText xml:space="preserve"> SEQ level0 \*arabic \* MERGEFORMAT </w:instrText>
      </w:r>
      <w:r>
        <w:fldChar w:fldCharType="separate"/>
      </w:r>
      <w:r w:rsidR="001D5CD5">
        <w:rPr>
          <w:noProof/>
        </w:rPr>
        <w:t>21</w:t>
      </w:r>
      <w:r w:rsidR="001D5CD5">
        <w:rPr>
          <w:noProof/>
        </w:rPr>
        <w:fldChar w:fldCharType="end"/>
      </w:r>
      <w:r w:rsidRPr="001D5CD5">
        <w:t xml:space="preserve">.  The Court refers to its settled case-law to the effect that when an applicant has suffered an infringement of the rights guaranteed by Article 6 of the Convention, he or she should, as far as possible, be put in the position in which he or she would have been had the requirements of that provision not been disregarded, and that the most appropriate form of redress would, in principle, be the reopening of the proceedings if requested (see, for example and most recently, </w:t>
      </w:r>
      <w:bookmarkStart w:name="_cl43990" w:id="6"/>
      <w:r w:rsidRPr="001D5CD5">
        <w:rPr>
          <w:i/>
          <w:iCs/>
        </w:rPr>
        <w:t>Đurić</w:t>
      </w:r>
      <w:r w:rsidRPr="001D5CD5">
        <w:rPr>
          <w:i/>
          <w:iCs/>
        </w:rPr>
        <w:t xml:space="preserve"> v. Serbia</w:t>
      </w:r>
      <w:bookmarkEnd w:id="6"/>
      <w:r w:rsidRPr="001D5CD5">
        <w:t>, no. 24989/17, §</w:t>
      </w:r>
      <w:r w:rsidRPr="001D5CD5" w:rsidR="001D5CD5">
        <w:t> </w:t>
      </w:r>
      <w:r w:rsidRPr="001D5CD5">
        <w:t>91, 6</w:t>
      </w:r>
      <w:r w:rsidRPr="001D5CD5" w:rsidR="001D5CD5">
        <w:t> </w:t>
      </w:r>
      <w:r w:rsidRPr="001D5CD5">
        <w:t>February 2024).</w:t>
      </w:r>
    </w:p>
    <w:p w:rsidRPr="001D5CD5" w:rsidR="00E3456E" w:rsidP="001D5CD5" w14:paraId="71C5EB96" w14:textId="57FD182C">
      <w:pPr>
        <w:pStyle w:val="JuPara"/>
      </w:pPr>
      <w:r>
        <w:fldChar w:fldCharType="begin"/>
      </w:r>
      <w:r>
        <w:instrText xml:space="preserve"> SEQ level0 \*arabic \* MERGEFORMAT </w:instrText>
      </w:r>
      <w:r>
        <w:fldChar w:fldCharType="separate"/>
      </w:r>
      <w:r w:rsidR="001D5CD5">
        <w:rPr>
          <w:noProof/>
        </w:rPr>
        <w:t>22</w:t>
      </w:r>
      <w:r w:rsidR="001D5CD5">
        <w:rPr>
          <w:noProof/>
        </w:rPr>
        <w:fldChar w:fldCharType="end"/>
      </w:r>
      <w:r w:rsidRPr="001D5CD5">
        <w:t>.  As regards the present case, however, the Court would note that Article</w:t>
      </w:r>
      <w:r w:rsidRPr="001D5CD5" w:rsidR="001D5CD5">
        <w:t> </w:t>
      </w:r>
      <w:r w:rsidRPr="001D5CD5">
        <w:t xml:space="preserve">56 of the 2009 Administrative Disputes Act provides, </w:t>
      </w:r>
      <w:r w:rsidRPr="001D5CD5">
        <w:rPr>
          <w:i/>
          <w:iCs/>
        </w:rPr>
        <w:t>inter alia</w:t>
      </w:r>
      <w:r w:rsidRPr="001D5CD5">
        <w:t>, that a judicial review “procedure finished by means of a final judgment or court decision will be reopened” upon the party</w:t>
      </w:r>
      <w:r w:rsidR="001D5CD5">
        <w:t>’</w:t>
      </w:r>
      <w:r w:rsidRPr="001D5CD5">
        <w:t>s request if the view expressed in the subsequently adopted judgment of the European Court of Human Rights, concerning the same matter, “may have an impact” on the lawfulness of the proceedings in question. Article</w:t>
      </w:r>
      <w:r w:rsidRPr="001D5CD5" w:rsidR="001D5CD5">
        <w:t> </w:t>
      </w:r>
      <w:r w:rsidRPr="001D5CD5">
        <w:t xml:space="preserve">57 of the same piece of legislation furthermore states, </w:t>
      </w:r>
      <w:r w:rsidRPr="001D5CD5">
        <w:rPr>
          <w:i/>
          <w:iCs/>
        </w:rPr>
        <w:t>inter alia</w:t>
      </w:r>
      <w:r w:rsidRPr="001D5CD5">
        <w:t>, that the reopening may be requested within six months from the date of publication of the decision of the European Court of Human Rights in the Official Gazette of the Republic of Serbia, but that after five years have passed since “the finality of the court</w:t>
      </w:r>
      <w:r w:rsidR="001D5CD5">
        <w:t>’</w:t>
      </w:r>
      <w:r w:rsidRPr="001D5CD5">
        <w:t>s decision” a reopening of the proceedings can no longer be requested (ibid., § 92).</w:t>
      </w:r>
    </w:p>
    <w:p w:rsidRPr="001D5CD5" w:rsidR="00E3456E" w:rsidP="001D5CD5" w14:paraId="78773D66" w14:textId="679E9454">
      <w:pPr>
        <w:pStyle w:val="JuPara"/>
      </w:pPr>
      <w:r>
        <w:fldChar w:fldCharType="begin"/>
      </w:r>
      <w:r>
        <w:instrText xml:space="preserve"> SEQ level0 \*arabic \* MERGEFORMAT </w:instrText>
      </w:r>
      <w:r>
        <w:fldChar w:fldCharType="separate"/>
      </w:r>
      <w:r w:rsidR="001D5CD5">
        <w:rPr>
          <w:noProof/>
        </w:rPr>
        <w:t>23</w:t>
      </w:r>
      <w:r w:rsidR="001D5CD5">
        <w:rPr>
          <w:noProof/>
        </w:rPr>
        <w:fldChar w:fldCharType="end"/>
      </w:r>
      <w:r w:rsidRPr="001D5CD5">
        <w:t xml:space="preserve">.  Having regard to the above and </w:t>
      </w:r>
      <w:r w:rsidRPr="001D5CD5">
        <w:t>in particular the</w:t>
      </w:r>
      <w:r w:rsidRPr="001D5CD5">
        <w:t xml:space="preserve"> temporal aspect of whether the said reopening could still be granted if requested by the applicant, the Court considers that, in the specific circumstances of the present case, the finding of a violation of the Convention cannot constitute in itself sufficient just satisfaction for any non-pecuniary damage sustained by the applicant (ibid., § 93).</w:t>
      </w:r>
    </w:p>
    <w:p w:rsidRPr="001D5CD5" w:rsidR="00E3456E" w:rsidP="001D5CD5" w14:paraId="117B6CA4" w14:textId="0E3CF1B6">
      <w:pPr>
        <w:pStyle w:val="JuPara"/>
      </w:pPr>
      <w:r>
        <w:fldChar w:fldCharType="begin"/>
      </w:r>
      <w:r>
        <w:instrText xml:space="preserve"> SEQ level0 \*arabic \* MERGEFORMAT </w:instrText>
      </w:r>
      <w:r>
        <w:fldChar w:fldCharType="separate"/>
      </w:r>
      <w:r w:rsidR="001D5CD5">
        <w:rPr>
          <w:noProof/>
        </w:rPr>
        <w:t>24</w:t>
      </w:r>
      <w:r w:rsidR="001D5CD5">
        <w:rPr>
          <w:noProof/>
        </w:rPr>
        <w:fldChar w:fldCharType="end"/>
      </w:r>
      <w:r w:rsidRPr="001D5CD5">
        <w:t>.  The Court is also of the opinion that, in any event, the applicant has certainly suffered some non-pecuniary damage. Given the nature of the violation found in the present case and making its assessment on an equitable basis, as required by Article</w:t>
      </w:r>
      <w:r w:rsidRPr="001D5CD5" w:rsidR="001D5CD5">
        <w:t> </w:t>
      </w:r>
      <w:r w:rsidRPr="001D5CD5">
        <w:t>41 of the Convention, the Court awards the applicant the amount of EUR 3,600 in this connection, plus any tax that may be chargeable.</w:t>
      </w:r>
    </w:p>
    <w:p w:rsidRPr="001D5CD5" w:rsidR="00E3456E" w:rsidP="001D5CD5" w14:paraId="47038959" w14:textId="2DA3079E">
      <w:pPr>
        <w:pStyle w:val="JuPara"/>
      </w:pPr>
      <w:r>
        <w:fldChar w:fldCharType="begin"/>
      </w:r>
      <w:r>
        <w:instrText xml:space="preserve"> SEQ level0 \*arabic \* MERGEFORMAT </w:instrText>
      </w:r>
      <w:r>
        <w:fldChar w:fldCharType="separate"/>
      </w:r>
      <w:r w:rsidR="001D5CD5">
        <w:rPr>
          <w:noProof/>
        </w:rPr>
        <w:t>25</w:t>
      </w:r>
      <w:r w:rsidR="001D5CD5">
        <w:rPr>
          <w:noProof/>
        </w:rPr>
        <w:fldChar w:fldCharType="end"/>
      </w:r>
      <w:r w:rsidRPr="001D5CD5">
        <w:t>.  As to the applicant</w:t>
      </w:r>
      <w:r w:rsidR="001D5CD5">
        <w:t>’</w:t>
      </w:r>
      <w:r w:rsidRPr="001D5CD5">
        <w:t xml:space="preserve">s claim for costs and expenses, the Court reiterates that an applicant is entitled to the reimbursement of costs and expenses only in so far as it has been shown that these were actually and necessarily incurred </w:t>
      </w:r>
      <w:r w:rsidRPr="001D5CD5">
        <w:t xml:space="preserve">and were also reasonable as to their quantum (see </w:t>
      </w:r>
      <w:r w:rsidRPr="001D5CD5">
        <w:rPr>
          <w:i/>
          <w:iCs/>
        </w:rPr>
        <w:t>Đurić</w:t>
      </w:r>
      <w:r w:rsidRPr="001D5CD5">
        <w:t>, cited above, §</w:t>
      </w:r>
      <w:r w:rsidRPr="001D5CD5" w:rsidR="00584635">
        <w:t> </w:t>
      </w:r>
      <w:r w:rsidRPr="001D5CD5">
        <w:t>95). In the present case, regard being had to the documents in its possession and the above criteria, the Court considers it reasonable to award the sum of EUR</w:t>
      </w:r>
      <w:r w:rsidRPr="001D5CD5" w:rsidR="009B4C65">
        <w:t> </w:t>
      </w:r>
      <w:r w:rsidRPr="001D5CD5">
        <w:t>2,000, covering costs and expenses under all heads, plus any tax that may be chargeable to the applicant.</w:t>
      </w:r>
    </w:p>
    <w:p w:rsidRPr="001D5CD5" w:rsidR="00E3456E" w:rsidP="001D5CD5" w14:paraId="6DB8F6E4" w14:textId="1E75100E">
      <w:pPr>
        <w:pStyle w:val="JuHHead"/>
      </w:pPr>
      <w:r w:rsidRPr="001D5CD5">
        <w:t>FOR THESE REASONS, THE COURT, UNANIMOUSLY,</w:t>
      </w:r>
    </w:p>
    <w:p w:rsidRPr="001D5CD5" w:rsidR="00E3456E" w:rsidP="001D5CD5" w14:paraId="6BE487AE" w14:textId="77777777">
      <w:pPr>
        <w:pStyle w:val="JuList"/>
      </w:pPr>
      <w:r w:rsidRPr="001D5CD5">
        <w:rPr>
          <w:i/>
        </w:rPr>
        <w:t>Declares</w:t>
      </w:r>
      <w:r w:rsidRPr="001D5CD5">
        <w:t xml:space="preserve"> the application </w:t>
      </w:r>
      <w:r w:rsidRPr="001D5CD5">
        <w:t>admissible;</w:t>
      </w:r>
    </w:p>
    <w:p w:rsidRPr="001D5CD5" w:rsidR="00E3456E" w:rsidP="001D5CD5" w14:paraId="39360BFB" w14:textId="77777777">
      <w:pPr>
        <w:pStyle w:val="JuList"/>
      </w:pPr>
      <w:r w:rsidRPr="001D5CD5">
        <w:rPr>
          <w:i/>
        </w:rPr>
        <w:t>Holds</w:t>
      </w:r>
      <w:r w:rsidRPr="001D5CD5">
        <w:t xml:space="preserve"> that there has been a violation of Article 6 </w:t>
      </w:r>
      <w:r w:rsidRPr="001D5CD5">
        <w:rPr>
          <w:rFonts w:cstheme="minorHAnsi"/>
        </w:rPr>
        <w:t>§</w:t>
      </w:r>
      <w:r w:rsidRPr="001D5CD5">
        <w:t xml:space="preserve"> 1 of the </w:t>
      </w:r>
      <w:r w:rsidRPr="001D5CD5">
        <w:t>Convention;</w:t>
      </w:r>
    </w:p>
    <w:p w:rsidRPr="001D5CD5" w:rsidR="00E3456E" w:rsidP="001D5CD5" w14:paraId="69767A11" w14:textId="77777777">
      <w:pPr>
        <w:pStyle w:val="JuList"/>
      </w:pPr>
      <w:r w:rsidRPr="001D5CD5">
        <w:rPr>
          <w:i/>
          <w:iCs/>
        </w:rPr>
        <w:t>Holds</w:t>
      </w:r>
    </w:p>
    <w:p w:rsidRPr="001D5CD5" w:rsidR="00E3456E" w:rsidP="001D5CD5" w14:paraId="0135CEDF" w14:textId="77777777">
      <w:pPr>
        <w:pStyle w:val="JuLista"/>
        <w:numPr>
          <w:ilvl w:val="1"/>
          <w:numId w:val="21"/>
        </w:numPr>
      </w:pPr>
      <w:r w:rsidRPr="001D5CD5">
        <w:t>that the respondent State is to pay the applicant, within three months, the following amounts, which are to be converted into the currency of the respondent State at the rate applicable at the date of settlement:</w:t>
      </w:r>
    </w:p>
    <w:p w:rsidRPr="001D5CD5" w:rsidR="00E3456E" w:rsidP="001D5CD5" w14:paraId="084DFBAF" w14:textId="77777777">
      <w:pPr>
        <w:pStyle w:val="JuListi"/>
        <w:numPr>
          <w:ilvl w:val="2"/>
          <w:numId w:val="5"/>
        </w:numPr>
      </w:pPr>
      <w:r w:rsidRPr="001D5CD5">
        <w:t xml:space="preserve">EUR 3,600 (three thousand six hundred euros), plus any tax that may be chargeable, in respect of non-pecuniary </w:t>
      </w:r>
      <w:r w:rsidRPr="001D5CD5">
        <w:t>damage;</w:t>
      </w:r>
    </w:p>
    <w:p w:rsidRPr="001D5CD5" w:rsidR="00E3456E" w:rsidP="001D5CD5" w14:paraId="32BD24AB" w14:textId="77777777">
      <w:pPr>
        <w:pStyle w:val="JuListi"/>
        <w:numPr>
          <w:ilvl w:val="2"/>
          <w:numId w:val="5"/>
        </w:numPr>
      </w:pPr>
      <w:r w:rsidRPr="001D5CD5">
        <w:t xml:space="preserve">EUR 2,000 (two thousand euros), plus any tax that may be chargeable to the applicant, in respect of costs and </w:t>
      </w:r>
      <w:r w:rsidRPr="001D5CD5">
        <w:t>expenses;</w:t>
      </w:r>
    </w:p>
    <w:p w:rsidRPr="001D5CD5" w:rsidR="00E3456E" w:rsidP="001D5CD5" w14:paraId="1D348D07" w14:textId="77777777">
      <w:pPr>
        <w:pStyle w:val="JuLista"/>
        <w:numPr>
          <w:ilvl w:val="1"/>
          <w:numId w:val="5"/>
        </w:numPr>
      </w:pPr>
      <w:r w:rsidRPr="001D5CD5">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1D5CD5">
        <w:t>points;</w:t>
      </w:r>
    </w:p>
    <w:p w:rsidRPr="001D5CD5" w:rsidR="004D0EC7" w:rsidP="001D5CD5" w14:paraId="0412F9A9" w14:textId="4B461A37">
      <w:pPr>
        <w:pStyle w:val="JuList"/>
      </w:pPr>
      <w:r w:rsidRPr="001D5CD5">
        <w:rPr>
          <w:i/>
        </w:rPr>
        <w:t xml:space="preserve">Dismisses </w:t>
      </w:r>
      <w:r w:rsidRPr="001D5CD5">
        <w:t>the remainder of the applicant</w:t>
      </w:r>
      <w:r w:rsidR="001D5CD5">
        <w:t>’</w:t>
      </w:r>
      <w:r w:rsidRPr="001D5CD5">
        <w:t>s claim for just satisfaction.</w:t>
      </w:r>
    </w:p>
    <w:p w:rsidRPr="001D5CD5" w:rsidR="008E3A08" w:rsidP="001D5CD5" w14:paraId="67007563" w14:textId="0A8E763D">
      <w:pPr>
        <w:pStyle w:val="JuParaLast"/>
      </w:pPr>
      <w:r w:rsidRPr="001D5CD5">
        <w:t xml:space="preserve">Done in English, and notified in writing on </w:t>
      </w:r>
      <w:r w:rsidRPr="001D5CD5" w:rsidR="00E3456E">
        <w:rPr>
          <w:rFonts w:ascii="Times New Roman" w:hAnsi="Times New Roman" w:cs="Times New Roman"/>
        </w:rPr>
        <w:t>14</w:t>
      </w:r>
      <w:r w:rsidRPr="001D5CD5" w:rsidR="001D5CD5">
        <w:rPr>
          <w:rFonts w:ascii="Times New Roman" w:hAnsi="Times New Roman" w:cs="Times New Roman"/>
        </w:rPr>
        <w:t> </w:t>
      </w:r>
      <w:r w:rsidRPr="001D5CD5" w:rsidR="00E3456E">
        <w:rPr>
          <w:rFonts w:ascii="Times New Roman" w:hAnsi="Times New Roman" w:cs="Times New Roman"/>
        </w:rPr>
        <w:t>January 2025</w:t>
      </w:r>
      <w:r w:rsidRPr="001D5CD5">
        <w:t>, pursuant to Rule 77 §§ 2 and 3 of the Rules of Court.</w:t>
      </w:r>
    </w:p>
    <w:p w:rsidRPr="001D5CD5" w:rsidR="007E79A4" w:rsidP="001D5CD5" w14:paraId="143FAA63" w14:textId="77C8B8C4">
      <w:pPr>
        <w:pStyle w:val="JuSigned"/>
      </w:pPr>
      <w:r w:rsidRPr="001D5CD5">
        <w:tab/>
      </w:r>
      <w:r w:rsidRPr="001D5CD5" w:rsidR="00E3456E">
        <w:rPr>
          <w:noProof/>
        </w:rPr>
        <w:t>Olga Chernishova</w:t>
      </w:r>
      <w:r w:rsidRPr="001D5CD5">
        <w:tab/>
      </w:r>
      <w:r w:rsidRPr="001D5CD5" w:rsidR="00E3456E">
        <w:rPr>
          <w:noProof/>
        </w:rPr>
        <w:t>Peeter Roosma</w:t>
      </w:r>
      <w:r w:rsidRPr="001D5CD5">
        <w:br/>
      </w:r>
      <w:r w:rsidRPr="001D5CD5">
        <w:tab/>
      </w:r>
      <w:r w:rsidRPr="001D5CD5" w:rsidR="00E3456E">
        <w:rPr>
          <w:noProof/>
        </w:rPr>
        <w:t>Deputy Registrar</w:t>
      </w:r>
      <w:r w:rsidRPr="001D5CD5">
        <w:tab/>
        <w:t>President</w:t>
      </w:r>
    </w:p>
    <w:p w:rsidRPr="001D5CD5" w:rsidR="00675AF2" w:rsidP="001D5CD5" w14:paraId="6978557B" w14:textId="77777777">
      <w:pPr>
        <w:pStyle w:val="JuPara"/>
      </w:pPr>
    </w:p>
    <w:p w:rsidRPr="001D5CD5" w:rsidR="00182EBA" w:rsidP="001D5CD5" w14:paraId="58B51865" w14:textId="06BEC3C0">
      <w:pPr>
        <w:rPr>
          <w:highlight w:val="yellow"/>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5CD5" w14:paraId="6DFB5EF1"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56E" w:rsidRPr="00150BFA" w:rsidP="0020718E" w14:paraId="0DFC503A" w14:textId="44931AFF">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3456E" w:rsidP="00AF12C5" w14:paraId="1F2654CF" w14:textId="5B75784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56E" w:rsidRPr="00150BFA" w:rsidP="0020718E" w14:paraId="6594CAD4" w14:textId="645D030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3456E" w:rsidP="009E7A6F" w14:paraId="71EF0963" w14:textId="4E9C7C65">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9C8109E" w14:textId="2260AD4A">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8B089A6" w14:textId="2BE44957">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5CD5" w14:paraId="2B80E3D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56E" w:rsidRPr="00A45145" w:rsidP="00A45145" w14:paraId="0A69F45C" w14:textId="09426F6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3456E" w:rsidP="00B14793" w14:paraId="5BCAB04F" w14:textId="04E611B8">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56E" w:rsidRPr="00A45145" w:rsidP="00A45145" w14:paraId="653DD176" w14:textId="256B9CAD">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3456E" w14:paraId="79360C8E" w14:textId="462F736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53BA25E" w14:textId="7D267FD7">
    <w:pPr>
      <w:pStyle w:val="JuHeader"/>
    </w:pPr>
    <w:r>
      <w:t>VASILEV v. SERBIA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0F38257" w14:textId="717B21DC">
    <w:pPr>
      <w:pStyle w:val="JuHeader"/>
    </w:pPr>
    <w:r>
      <w:t>VASILEV v. SERBIA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788885774">
    <w:abstractNumId w:val="9"/>
    <w:lvlOverride w:ilvl="0">
      <w:lvl w:ilvl="0">
        <w:start w:val="1"/>
        <w:numFmt w:val="decimal"/>
        <w:pStyle w:val="JuList"/>
        <w:lvlText w:val="%1."/>
        <w:lvlJc w:val="left"/>
        <w:pPr>
          <w:tabs>
            <w:tab w:val="num" w:pos="340"/>
          </w:tabs>
          <w:ind w:left="340" w:hanging="340"/>
        </w:pPr>
        <w:rPr>
          <w:rFonts w:hint="default"/>
        </w:rPr>
      </w:lvl>
    </w:lvlOverride>
    <w:lvlOverride w:ilvl="1">
      <w:lvl w:ilvl="1">
        <w:start w:val="1"/>
        <w:numFmt w:val="lowerLetter"/>
        <w:pStyle w:val="JuLista"/>
        <w:lvlText w:val="(%2)"/>
        <w:lvlJc w:val="left"/>
        <w:pPr>
          <w:tabs>
            <w:tab w:val="num" w:pos="680"/>
          </w:tabs>
          <w:ind w:left="680" w:hanging="340"/>
        </w:pPr>
        <w:rPr>
          <w:rFonts w:hint="default"/>
          <w:i w:val="0"/>
          <w:iCs/>
        </w:rPr>
      </w:lvl>
    </w:lvlOverride>
  </w:num>
  <w:num w:numId="22" w16cid:durableId="1339036657">
    <w:abstractNumId w:val="14"/>
  </w:num>
  <w:num w:numId="23" w16cid:durableId="1188567039">
    <w:abstractNumId w:val="12"/>
  </w:num>
  <w:num w:numId="24" w16cid:durableId="1285694027">
    <w:abstractNumId w:val="11"/>
  </w:num>
  <w:num w:numId="25" w16cid:durableId="1027829719">
    <w:abstractNumId w:val="17"/>
  </w:num>
  <w:num w:numId="26" w16cid:durableId="1598366701">
    <w:abstractNumId w:val="7"/>
  </w:num>
  <w:num w:numId="27" w16cid:durableId="1914850667">
    <w:abstractNumId w:val="6"/>
  </w:num>
  <w:num w:numId="28" w16cid:durableId="1480805805">
    <w:abstractNumId w:val="5"/>
  </w:num>
  <w:num w:numId="29" w16cid:durableId="1041829479">
    <w:abstractNumId w:val="4"/>
  </w:num>
  <w:num w:numId="30" w16cid:durableId="1099790668">
    <w:abstractNumId w:val="8"/>
  </w:num>
  <w:num w:numId="31" w16cid:durableId="415715290">
    <w:abstractNumId w:val="3"/>
  </w:num>
  <w:num w:numId="32" w16cid:durableId="718895335">
    <w:abstractNumId w:val="2"/>
  </w:num>
  <w:num w:numId="33" w16cid:durableId="2010675829">
    <w:abstractNumId w:val="1"/>
  </w:num>
  <w:num w:numId="34" w16cid:durableId="620041829">
    <w:abstractNumId w:val="0"/>
  </w:num>
  <w:num w:numId="35" w16cid:durableId="1636183742">
    <w:abstractNumId w:val="15"/>
  </w:num>
  <w:num w:numId="36" w16cid:durableId="1526671948">
    <w:abstractNumId w:val="13"/>
  </w:num>
  <w:num w:numId="37" w16cid:durableId="1882129811">
    <w:abstractNumId w:val="16"/>
  </w:num>
  <w:num w:numId="38" w16cid:durableId="2029669962">
    <w:abstractNumId w:val="15"/>
  </w:num>
  <w:num w:numId="39" w16cid:durableId="884096933">
    <w:abstractNumId w:val="15"/>
  </w:num>
  <w:num w:numId="40" w16cid:durableId="1605991073">
    <w:abstractNumId w:val="15"/>
  </w:num>
  <w:num w:numId="41" w16cid:durableId="982076136">
    <w:abstractNumId w:val="15"/>
  </w:num>
  <w:num w:numId="42" w16cid:durableId="1661998907">
    <w:abstractNumId w:val="10"/>
  </w:num>
  <w:num w:numId="43" w16cid:durableId="1529684507">
    <w:abstractNumId w:val="16"/>
  </w:num>
  <w:num w:numId="44" w16cid:durableId="193277668">
    <w:abstractNumId w:val="16"/>
  </w:num>
  <w:num w:numId="45" w16cid:durableId="743911588">
    <w:abstractNumId w:val="16"/>
  </w:num>
  <w:num w:numId="46" w16cid:durableId="881140056">
    <w:abstractNumId w:val="10"/>
  </w:num>
  <w:num w:numId="47" w16cid:durableId="1801338218">
    <w:abstractNumId w:val="10"/>
  </w:num>
  <w:num w:numId="48" w16cid:durableId="1240208847">
    <w:abstractNumId w:val="10"/>
  </w:num>
  <w:num w:numId="49" w16cid:durableId="1478524619">
    <w:abstractNumId w:val="10"/>
  </w:num>
  <w:num w:numId="50" w16cid:durableId="421073531">
    <w:abstractNumId w:val="10"/>
  </w:num>
  <w:num w:numId="51" w16cid:durableId="431702510">
    <w:abstractNumId w:val="10"/>
  </w:num>
  <w:num w:numId="52" w16cid:durableId="18551532">
    <w:abstractNumId w:val="10"/>
  </w:num>
  <w:num w:numId="53" w16cid:durableId="571085356">
    <w:abstractNumId w:val="10"/>
  </w:num>
  <w:num w:numId="54" w16cid:durableId="1196188556">
    <w:abstractNumId w:val="9"/>
  </w:num>
  <w:num w:numId="55" w16cid:durableId="1307971884">
    <w:abstractNumId w:val="9"/>
  </w:num>
  <w:num w:numId="56" w16cid:durableId="1810130586">
    <w:abstractNumId w:val="9"/>
  </w:num>
  <w:num w:numId="57" w16cid:durableId="381759616">
    <w:abstractNumId w:val="14"/>
  </w:num>
  <w:num w:numId="58" w16cid:durableId="1818692070">
    <w:abstractNumId w:val="12"/>
  </w:num>
  <w:num w:numId="59" w16cid:durableId="1677032180">
    <w:abstractNumId w:val="11"/>
  </w:num>
  <w:num w:numId="60" w16cid:durableId="778987296">
    <w:abstractNumId w:val="17"/>
  </w:num>
  <w:num w:numId="61" w16cid:durableId="152529171">
    <w:abstractNumId w:val="7"/>
  </w:num>
  <w:num w:numId="62" w16cid:durableId="1061103140">
    <w:abstractNumId w:val="6"/>
  </w:num>
  <w:num w:numId="63" w16cid:durableId="1518040794">
    <w:abstractNumId w:val="5"/>
  </w:num>
  <w:num w:numId="64" w16cid:durableId="1400208251">
    <w:abstractNumId w:val="4"/>
  </w:num>
  <w:num w:numId="65" w16cid:durableId="2018650460">
    <w:abstractNumId w:val="8"/>
  </w:num>
  <w:num w:numId="66" w16cid:durableId="1865635223">
    <w:abstractNumId w:val="3"/>
  </w:num>
  <w:num w:numId="67" w16cid:durableId="1408528855">
    <w:abstractNumId w:val="2"/>
  </w:num>
  <w:num w:numId="68" w16cid:durableId="421682930">
    <w:abstractNumId w:val="1"/>
  </w:num>
  <w:num w:numId="69" w16cid:durableId="714736199">
    <w:abstractNumId w:val="0"/>
  </w:num>
  <w:num w:numId="70" w16cid:durableId="359667917">
    <w:abstractNumId w:val="15"/>
  </w:num>
  <w:num w:numId="71" w16cid:durableId="868685825">
    <w:abstractNumId w:val="13"/>
  </w:num>
  <w:num w:numId="72" w16cid:durableId="292831001">
    <w:abstractNumId w:val="16"/>
  </w:num>
  <w:num w:numId="73" w16cid:durableId="1441995237">
    <w:abstractNumId w:val="15"/>
  </w:num>
  <w:num w:numId="74" w16cid:durableId="371273436">
    <w:abstractNumId w:val="15"/>
  </w:num>
  <w:num w:numId="75" w16cid:durableId="2095741977">
    <w:abstractNumId w:val="15"/>
  </w:num>
  <w:num w:numId="76" w16cid:durableId="204408703">
    <w:abstractNumId w:val="15"/>
  </w:num>
  <w:num w:numId="77" w16cid:durableId="1386946840">
    <w:abstractNumId w:val="10"/>
  </w:num>
  <w:num w:numId="78" w16cid:durableId="1404645383">
    <w:abstractNumId w:val="16"/>
  </w:num>
  <w:num w:numId="79" w16cid:durableId="658119457">
    <w:abstractNumId w:val="16"/>
  </w:num>
  <w:num w:numId="80" w16cid:durableId="1984654892">
    <w:abstractNumId w:val="16"/>
  </w:num>
  <w:num w:numId="81" w16cid:durableId="1691952429">
    <w:abstractNumId w:val="10"/>
  </w:num>
  <w:num w:numId="82" w16cid:durableId="1541017216">
    <w:abstractNumId w:val="10"/>
  </w:num>
  <w:num w:numId="83" w16cid:durableId="44304903">
    <w:abstractNumId w:val="10"/>
  </w:num>
  <w:num w:numId="84" w16cid:durableId="1794056644">
    <w:abstractNumId w:val="10"/>
  </w:num>
  <w:num w:numId="85" w16cid:durableId="575943828">
    <w:abstractNumId w:val="10"/>
  </w:num>
  <w:num w:numId="86" w16cid:durableId="1052584853">
    <w:abstractNumId w:val="10"/>
  </w:num>
  <w:num w:numId="87" w16cid:durableId="1031109266">
    <w:abstractNumId w:val="10"/>
  </w:num>
  <w:num w:numId="88" w16cid:durableId="173738098">
    <w:abstractNumId w:val="10"/>
  </w:num>
  <w:num w:numId="89" w16cid:durableId="824009265">
    <w:abstractNumId w:val="9"/>
  </w:num>
  <w:num w:numId="90" w16cid:durableId="1306660090">
    <w:abstractNumId w:val="9"/>
  </w:num>
  <w:num w:numId="91" w16cid:durableId="210779776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56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5CD5"/>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463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4C65"/>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522A"/>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456E"/>
    <w:rsid w:val="00E36C71"/>
    <w:rsid w:val="00E40404"/>
    <w:rsid w:val="00E4126A"/>
    <w:rsid w:val="00E42A06"/>
    <w:rsid w:val="00E459C6"/>
    <w:rsid w:val="00E47589"/>
    <w:rsid w:val="00E557AA"/>
    <w:rsid w:val="00E63EC7"/>
    <w:rsid w:val="00E64915"/>
    <w:rsid w:val="00E64D3A"/>
    <w:rsid w:val="00E661D4"/>
    <w:rsid w:val="00E66E23"/>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327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D5CD5"/>
    <w:rPr>
      <w:sz w:val="24"/>
      <w:szCs w:val="24"/>
      <w:lang w:val="en-GB"/>
    </w:rPr>
  </w:style>
  <w:style w:type="paragraph" w:styleId="Heading1">
    <w:name w:val="heading 1"/>
    <w:basedOn w:val="Normal"/>
    <w:next w:val="Normal"/>
    <w:link w:val="Heading1Char"/>
    <w:uiPriority w:val="98"/>
    <w:semiHidden/>
    <w:rsid w:val="001D5CD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D5CD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D5CD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D5CD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D5CD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D5CD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D5CD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D5CD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D5CD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1D5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CD5"/>
  </w:style>
  <w:style w:type="paragraph" w:styleId="BalloonText">
    <w:name w:val="Balloon Text"/>
    <w:basedOn w:val="Normal"/>
    <w:link w:val="BalloonTextChar"/>
    <w:uiPriority w:val="98"/>
    <w:semiHidden/>
    <w:rsid w:val="001D5CD5"/>
    <w:rPr>
      <w:rFonts w:ascii="Tahoma" w:hAnsi="Tahoma" w:cs="Tahoma"/>
      <w:sz w:val="16"/>
      <w:szCs w:val="16"/>
    </w:rPr>
  </w:style>
  <w:style w:type="character" w:customStyle="1" w:styleId="BalloonTextChar">
    <w:name w:val="Balloon Text Char"/>
    <w:basedOn w:val="DefaultParagraphFont"/>
    <w:link w:val="BalloonText"/>
    <w:uiPriority w:val="98"/>
    <w:semiHidden/>
    <w:rsid w:val="001D5CD5"/>
    <w:rPr>
      <w:rFonts w:ascii="Tahoma" w:hAnsi="Tahoma" w:cs="Tahoma"/>
      <w:sz w:val="16"/>
      <w:szCs w:val="16"/>
      <w:lang w:val="en-GB"/>
    </w:rPr>
  </w:style>
  <w:style w:type="character" w:styleId="BookTitle">
    <w:name w:val="Book Title"/>
    <w:uiPriority w:val="98"/>
    <w:semiHidden/>
    <w:qFormat/>
    <w:rsid w:val="001D5CD5"/>
    <w:rPr>
      <w:i/>
      <w:iCs/>
      <w:smallCaps/>
      <w:spacing w:val="5"/>
    </w:rPr>
  </w:style>
  <w:style w:type="paragraph" w:customStyle="1" w:styleId="JuHeader">
    <w:name w:val="Ju_Header"/>
    <w:aliases w:val="_Header"/>
    <w:basedOn w:val="Header0"/>
    <w:uiPriority w:val="29"/>
    <w:qFormat/>
    <w:rsid w:val="001D5CD5"/>
    <w:pPr>
      <w:tabs>
        <w:tab w:val="clear" w:pos="4536"/>
        <w:tab w:val="clear" w:pos="9072"/>
      </w:tabs>
      <w:jc w:val="center"/>
    </w:pPr>
    <w:rPr>
      <w:sz w:val="18"/>
    </w:rPr>
  </w:style>
  <w:style w:type="paragraph" w:customStyle="1" w:styleId="NormalJustified">
    <w:name w:val="Normal_Justified"/>
    <w:basedOn w:val="Normal"/>
    <w:semiHidden/>
    <w:rsid w:val="001D5CD5"/>
    <w:pPr>
      <w:jc w:val="both"/>
    </w:pPr>
  </w:style>
  <w:style w:type="character" w:styleId="Strong">
    <w:name w:val="Strong"/>
    <w:uiPriority w:val="98"/>
    <w:semiHidden/>
    <w:qFormat/>
    <w:rsid w:val="001D5CD5"/>
    <w:rPr>
      <w:b/>
      <w:bCs/>
    </w:rPr>
  </w:style>
  <w:style w:type="paragraph" w:styleId="NoSpacing">
    <w:name w:val="No Spacing"/>
    <w:basedOn w:val="Normal"/>
    <w:link w:val="NoSpacingChar"/>
    <w:uiPriority w:val="98"/>
    <w:semiHidden/>
    <w:qFormat/>
    <w:rsid w:val="001D5CD5"/>
  </w:style>
  <w:style w:type="character" w:customStyle="1" w:styleId="NoSpacingChar">
    <w:name w:val="No Spacing Char"/>
    <w:basedOn w:val="DefaultParagraphFont"/>
    <w:link w:val="NoSpacing"/>
    <w:uiPriority w:val="98"/>
    <w:semiHidden/>
    <w:rsid w:val="001D5CD5"/>
    <w:rPr>
      <w:sz w:val="24"/>
      <w:szCs w:val="24"/>
      <w:lang w:val="en-GB"/>
    </w:rPr>
  </w:style>
  <w:style w:type="paragraph" w:customStyle="1" w:styleId="JuQuot">
    <w:name w:val="Ju_Quot"/>
    <w:aliases w:val="_Quote"/>
    <w:basedOn w:val="NormalJustified"/>
    <w:uiPriority w:val="20"/>
    <w:qFormat/>
    <w:rsid w:val="001D5CD5"/>
    <w:pPr>
      <w:spacing w:before="120" w:after="120"/>
      <w:ind w:left="425" w:firstLine="142"/>
    </w:pPr>
    <w:rPr>
      <w:sz w:val="20"/>
    </w:rPr>
  </w:style>
  <w:style w:type="paragraph" w:customStyle="1" w:styleId="DummyStyle">
    <w:name w:val="Dummy_Style"/>
    <w:aliases w:val="_Dummy"/>
    <w:basedOn w:val="Normal"/>
    <w:semiHidden/>
    <w:qFormat/>
    <w:rsid w:val="001D5CD5"/>
    <w:rPr>
      <w:color w:val="00B050"/>
      <w:sz w:val="22"/>
    </w:rPr>
  </w:style>
  <w:style w:type="paragraph" w:customStyle="1" w:styleId="JuList">
    <w:name w:val="Ju_List"/>
    <w:aliases w:val="_List_1"/>
    <w:basedOn w:val="NormalJustified"/>
    <w:uiPriority w:val="23"/>
    <w:qFormat/>
    <w:rsid w:val="001D5CD5"/>
    <w:pPr>
      <w:numPr>
        <w:numId w:val="91"/>
      </w:numPr>
      <w:spacing w:before="280" w:after="60"/>
    </w:pPr>
  </w:style>
  <w:style w:type="paragraph" w:customStyle="1" w:styleId="JuLista">
    <w:name w:val="Ju_List_a"/>
    <w:aliases w:val="_List_2"/>
    <w:basedOn w:val="NormalJustified"/>
    <w:uiPriority w:val="23"/>
    <w:rsid w:val="001D5CD5"/>
    <w:pPr>
      <w:numPr>
        <w:ilvl w:val="1"/>
        <w:numId w:val="91"/>
      </w:numPr>
    </w:pPr>
  </w:style>
  <w:style w:type="paragraph" w:customStyle="1" w:styleId="JuListi">
    <w:name w:val="Ju_List_i"/>
    <w:aliases w:val="_List_3"/>
    <w:basedOn w:val="NormalJustified"/>
    <w:uiPriority w:val="23"/>
    <w:rsid w:val="001D5CD5"/>
    <w:pPr>
      <w:numPr>
        <w:ilvl w:val="2"/>
        <w:numId w:val="91"/>
      </w:numPr>
    </w:pPr>
  </w:style>
  <w:style w:type="paragraph" w:customStyle="1" w:styleId="JuHArticle">
    <w:name w:val="Ju_H_Article"/>
    <w:aliases w:val="_Title_Quote"/>
    <w:basedOn w:val="Normal"/>
    <w:next w:val="JuQuot"/>
    <w:uiPriority w:val="19"/>
    <w:qFormat/>
    <w:rsid w:val="001D5CD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D5CD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D5CD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D5CD5"/>
    <w:pPr>
      <w:keepNext/>
      <w:keepLines/>
      <w:numPr>
        <w:numId w:val="88"/>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D5CD5"/>
    <w:pPr>
      <w:numPr>
        <w:numId w:val="70"/>
      </w:numPr>
    </w:pPr>
  </w:style>
  <w:style w:type="paragraph" w:customStyle="1" w:styleId="JuSigned">
    <w:name w:val="Ju_Signed"/>
    <w:aliases w:val="_Signature"/>
    <w:basedOn w:val="Normal"/>
    <w:next w:val="JuPara"/>
    <w:uiPriority w:val="31"/>
    <w:qFormat/>
    <w:rsid w:val="001D5CD5"/>
    <w:pPr>
      <w:tabs>
        <w:tab w:val="center" w:pos="1418"/>
        <w:tab w:val="center" w:pos="5954"/>
      </w:tabs>
      <w:spacing w:before="720"/>
    </w:pPr>
  </w:style>
  <w:style w:type="paragraph" w:styleId="Title">
    <w:name w:val="Title"/>
    <w:basedOn w:val="Normal"/>
    <w:next w:val="Normal"/>
    <w:link w:val="TitleChar"/>
    <w:uiPriority w:val="98"/>
    <w:semiHidden/>
    <w:qFormat/>
    <w:rsid w:val="001D5CD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D5CD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D5CD5"/>
    <w:pPr>
      <w:numPr>
        <w:numId w:val="71"/>
      </w:numPr>
    </w:pPr>
  </w:style>
  <w:style w:type="numbering" w:customStyle="1" w:styleId="ECHRA1StyleNumberedList">
    <w:name w:val="ECHR_A1_Style_Numbered_List"/>
    <w:basedOn w:val="NoList"/>
    <w:rsid w:val="001D5CD5"/>
    <w:pPr>
      <w:numPr>
        <w:numId w:val="72"/>
      </w:numPr>
    </w:pPr>
  </w:style>
  <w:style w:type="table" w:customStyle="1" w:styleId="ECHRTable2019">
    <w:name w:val="ECHR_Table_2019"/>
    <w:basedOn w:val="TableNormal"/>
    <w:uiPriority w:val="99"/>
    <w:rsid w:val="001D5CD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D5CD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D5CD5"/>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D5CD5"/>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D5CD5"/>
    <w:pPr>
      <w:keepNext/>
      <w:keepLines/>
      <w:numPr>
        <w:ilvl w:val="3"/>
        <w:numId w:val="88"/>
      </w:numPr>
      <w:spacing w:before="100" w:beforeAutospacing="1" w:after="120"/>
      <w:jc w:val="both"/>
    </w:pPr>
    <w:rPr>
      <w:b w:val="0"/>
      <w:color w:val="auto"/>
      <w:sz w:val="24"/>
    </w:rPr>
  </w:style>
  <w:style w:type="paragraph" w:styleId="Header0">
    <w:name w:val="header"/>
    <w:basedOn w:val="Normal"/>
    <w:link w:val="HeaderChar"/>
    <w:uiPriority w:val="98"/>
    <w:semiHidden/>
    <w:rsid w:val="001D5CD5"/>
    <w:pPr>
      <w:tabs>
        <w:tab w:val="center" w:pos="4536"/>
        <w:tab w:val="right" w:pos="9072"/>
      </w:tabs>
    </w:pPr>
  </w:style>
  <w:style w:type="character" w:customStyle="1" w:styleId="HeaderChar">
    <w:name w:val="Header Char"/>
    <w:basedOn w:val="DefaultParagraphFont"/>
    <w:link w:val="Header0"/>
    <w:uiPriority w:val="98"/>
    <w:semiHidden/>
    <w:rsid w:val="001D5CD5"/>
    <w:rPr>
      <w:sz w:val="24"/>
      <w:szCs w:val="24"/>
      <w:lang w:val="en-GB"/>
    </w:rPr>
  </w:style>
  <w:style w:type="character" w:customStyle="1" w:styleId="Heading1Char">
    <w:name w:val="Heading 1 Char"/>
    <w:basedOn w:val="DefaultParagraphFont"/>
    <w:link w:val="Heading1"/>
    <w:uiPriority w:val="98"/>
    <w:semiHidden/>
    <w:rsid w:val="001D5CD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D5CD5"/>
    <w:pPr>
      <w:keepNext/>
      <w:keepLines/>
      <w:numPr>
        <w:ilvl w:val="4"/>
        <w:numId w:val="88"/>
      </w:numPr>
      <w:spacing w:before="100" w:beforeAutospacing="1" w:after="120"/>
      <w:jc w:val="both"/>
    </w:pPr>
    <w:rPr>
      <w:color w:val="auto"/>
      <w:sz w:val="20"/>
    </w:rPr>
  </w:style>
  <w:style w:type="paragraph" w:customStyle="1" w:styleId="JuHi">
    <w:name w:val="Ju_H_i"/>
    <w:aliases w:val="_Head_6"/>
    <w:basedOn w:val="Heading6"/>
    <w:next w:val="JuPara"/>
    <w:uiPriority w:val="17"/>
    <w:rsid w:val="001D5CD5"/>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D5CD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D5CD5"/>
    <w:pPr>
      <w:keepNext/>
      <w:keepLines/>
      <w:numPr>
        <w:ilvl w:val="6"/>
        <w:numId w:val="88"/>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D5CD5"/>
    <w:pPr>
      <w:keepNext/>
      <w:keepLines/>
      <w:numPr>
        <w:ilvl w:val="7"/>
        <w:numId w:val="88"/>
      </w:numPr>
      <w:spacing w:before="100" w:beforeAutospacing="1" w:after="120"/>
      <w:jc w:val="both"/>
    </w:pPr>
    <w:rPr>
      <w:i/>
    </w:rPr>
  </w:style>
  <w:style w:type="character" w:customStyle="1" w:styleId="Heading3Char">
    <w:name w:val="Heading 3 Char"/>
    <w:basedOn w:val="DefaultParagraphFont"/>
    <w:link w:val="Heading3"/>
    <w:uiPriority w:val="98"/>
    <w:semiHidden/>
    <w:rsid w:val="001D5CD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D5CD5"/>
    <w:pPr>
      <w:keepNext/>
      <w:keepLines/>
      <w:spacing w:before="240" w:after="240"/>
      <w:ind w:firstLine="284"/>
    </w:pPr>
  </w:style>
  <w:style w:type="paragraph" w:customStyle="1" w:styleId="JuJudges">
    <w:name w:val="Ju_Judges"/>
    <w:aliases w:val="_Judges"/>
    <w:basedOn w:val="Normal"/>
    <w:uiPriority w:val="32"/>
    <w:qFormat/>
    <w:rsid w:val="001D5CD5"/>
    <w:pPr>
      <w:tabs>
        <w:tab w:val="left" w:pos="567"/>
        <w:tab w:val="left" w:pos="1134"/>
      </w:tabs>
    </w:pPr>
  </w:style>
  <w:style w:type="character" w:customStyle="1" w:styleId="Heading4Char">
    <w:name w:val="Heading 4 Char"/>
    <w:basedOn w:val="DefaultParagraphFont"/>
    <w:link w:val="Heading4"/>
    <w:uiPriority w:val="98"/>
    <w:semiHidden/>
    <w:rsid w:val="001D5CD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D5CD5"/>
    <w:pPr>
      <w:tabs>
        <w:tab w:val="center" w:pos="6407"/>
      </w:tabs>
      <w:spacing w:before="720"/>
      <w:jc w:val="right"/>
    </w:pPr>
  </w:style>
  <w:style w:type="character" w:customStyle="1" w:styleId="Heading5Char">
    <w:name w:val="Heading 5 Char"/>
    <w:basedOn w:val="DefaultParagraphFont"/>
    <w:link w:val="Heading5"/>
    <w:uiPriority w:val="98"/>
    <w:semiHidden/>
    <w:rsid w:val="001D5CD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D5CD5"/>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D5CD5"/>
    <w:rPr>
      <w:caps w:val="0"/>
      <w:smallCaps/>
    </w:rPr>
  </w:style>
  <w:style w:type="character" w:styleId="SubtleEmphasis">
    <w:name w:val="Subtle Emphasis"/>
    <w:uiPriority w:val="98"/>
    <w:semiHidden/>
    <w:qFormat/>
    <w:rsid w:val="001D5CD5"/>
    <w:rPr>
      <w:i/>
      <w:iCs/>
    </w:rPr>
  </w:style>
  <w:style w:type="table" w:customStyle="1" w:styleId="ECHRTable">
    <w:name w:val="ECHR_Table"/>
    <w:basedOn w:val="TableNormal"/>
    <w:rsid w:val="001D5CD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D5CD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D5CD5"/>
    <w:rPr>
      <w:b/>
      <w:bCs/>
      <w:i/>
      <w:iCs/>
      <w:spacing w:val="10"/>
      <w:bdr w:val="none" w:sz="0" w:space="0" w:color="auto"/>
      <w:shd w:val="clear" w:color="auto" w:fill="auto"/>
    </w:rPr>
  </w:style>
  <w:style w:type="paragraph" w:styleId="Footer1">
    <w:name w:val="footer"/>
    <w:basedOn w:val="Normal"/>
    <w:link w:val="FooterChar"/>
    <w:uiPriority w:val="98"/>
    <w:semiHidden/>
    <w:rsid w:val="001D5CD5"/>
    <w:pPr>
      <w:tabs>
        <w:tab w:val="center" w:pos="3686"/>
        <w:tab w:val="right" w:pos="7371"/>
      </w:tabs>
    </w:pPr>
  </w:style>
  <w:style w:type="character" w:customStyle="1" w:styleId="FooterChar">
    <w:name w:val="Footer Char"/>
    <w:basedOn w:val="DefaultParagraphFont"/>
    <w:link w:val="Footer1"/>
    <w:uiPriority w:val="98"/>
    <w:semiHidden/>
    <w:rsid w:val="001D5CD5"/>
    <w:rPr>
      <w:sz w:val="24"/>
      <w:szCs w:val="24"/>
      <w:lang w:val="en-GB"/>
    </w:rPr>
  </w:style>
  <w:style w:type="character" w:styleId="FootnoteReference">
    <w:name w:val="footnote reference"/>
    <w:basedOn w:val="DefaultParagraphFont"/>
    <w:uiPriority w:val="98"/>
    <w:semiHidden/>
    <w:rsid w:val="001D5CD5"/>
    <w:rPr>
      <w:vertAlign w:val="superscript"/>
    </w:rPr>
  </w:style>
  <w:style w:type="paragraph" w:styleId="FootnoteText">
    <w:name w:val="footnote text"/>
    <w:basedOn w:val="NormalJustified"/>
    <w:link w:val="FootnoteTextChar"/>
    <w:uiPriority w:val="98"/>
    <w:semiHidden/>
    <w:rsid w:val="001D5CD5"/>
    <w:rPr>
      <w:sz w:val="20"/>
      <w:szCs w:val="20"/>
    </w:rPr>
  </w:style>
  <w:style w:type="character" w:customStyle="1" w:styleId="FootnoteTextChar">
    <w:name w:val="Footnote Text Char"/>
    <w:basedOn w:val="DefaultParagraphFont"/>
    <w:link w:val="FootnoteText"/>
    <w:uiPriority w:val="98"/>
    <w:semiHidden/>
    <w:rsid w:val="001D5CD5"/>
    <w:rPr>
      <w:sz w:val="20"/>
      <w:szCs w:val="20"/>
      <w:lang w:val="en-GB"/>
    </w:rPr>
  </w:style>
  <w:style w:type="character" w:customStyle="1" w:styleId="Heading6Char">
    <w:name w:val="Heading 6 Char"/>
    <w:basedOn w:val="DefaultParagraphFont"/>
    <w:link w:val="Heading6"/>
    <w:uiPriority w:val="98"/>
    <w:semiHidden/>
    <w:rsid w:val="001D5CD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D5CD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D5CD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D5CD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D5CD5"/>
    <w:rPr>
      <w:color w:val="0072BC" w:themeColor="hyperlink"/>
      <w:u w:val="single"/>
    </w:rPr>
  </w:style>
  <w:style w:type="character" w:styleId="IntenseEmphasis">
    <w:name w:val="Intense Emphasis"/>
    <w:uiPriority w:val="98"/>
    <w:semiHidden/>
    <w:qFormat/>
    <w:rsid w:val="001D5CD5"/>
    <w:rPr>
      <w:b/>
      <w:bCs/>
    </w:rPr>
  </w:style>
  <w:style w:type="paragraph" w:styleId="IntenseQuote">
    <w:name w:val="Intense Quote"/>
    <w:basedOn w:val="Normal"/>
    <w:next w:val="Normal"/>
    <w:link w:val="IntenseQuoteChar"/>
    <w:uiPriority w:val="98"/>
    <w:semiHidden/>
    <w:qFormat/>
    <w:rsid w:val="001D5CD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D5CD5"/>
    <w:rPr>
      <w:b/>
      <w:bCs/>
      <w:i/>
      <w:iCs/>
      <w:sz w:val="24"/>
      <w:szCs w:val="24"/>
      <w:lang w:val="en-GB" w:bidi="en-US"/>
    </w:rPr>
  </w:style>
  <w:style w:type="character" w:styleId="IntenseReference">
    <w:name w:val="Intense Reference"/>
    <w:uiPriority w:val="98"/>
    <w:semiHidden/>
    <w:qFormat/>
    <w:rsid w:val="001D5CD5"/>
    <w:rPr>
      <w:smallCaps/>
      <w:spacing w:val="5"/>
      <w:u w:val="single"/>
    </w:rPr>
  </w:style>
  <w:style w:type="paragraph" w:styleId="ListParagraph">
    <w:name w:val="List Paragraph"/>
    <w:basedOn w:val="Normal"/>
    <w:uiPriority w:val="98"/>
    <w:semiHidden/>
    <w:qFormat/>
    <w:rsid w:val="001D5CD5"/>
    <w:pPr>
      <w:ind w:left="720"/>
      <w:contextualSpacing/>
    </w:pPr>
  </w:style>
  <w:style w:type="table" w:customStyle="1" w:styleId="LtrTableAddress">
    <w:name w:val="Ltr_Table_Address"/>
    <w:aliases w:val="ECHR_Ltr_Table_Address"/>
    <w:basedOn w:val="TableNormal"/>
    <w:uiPriority w:val="99"/>
    <w:rsid w:val="001D5CD5"/>
    <w:rPr>
      <w:sz w:val="24"/>
      <w:szCs w:val="24"/>
    </w:rPr>
    <w:tblPr>
      <w:tblInd w:w="5103" w:type="dxa"/>
    </w:tblPr>
  </w:style>
  <w:style w:type="paragraph" w:styleId="Quote0">
    <w:name w:val="Quote"/>
    <w:basedOn w:val="Normal"/>
    <w:next w:val="Normal"/>
    <w:link w:val="QuoteChar"/>
    <w:uiPriority w:val="98"/>
    <w:semiHidden/>
    <w:qFormat/>
    <w:rsid w:val="001D5CD5"/>
    <w:pPr>
      <w:spacing w:before="200"/>
      <w:ind w:left="360" w:right="360"/>
    </w:pPr>
    <w:rPr>
      <w:i/>
      <w:iCs/>
      <w:lang w:bidi="en-US"/>
    </w:rPr>
  </w:style>
  <w:style w:type="character" w:customStyle="1" w:styleId="QuoteChar">
    <w:name w:val="Quote Char"/>
    <w:basedOn w:val="DefaultParagraphFont"/>
    <w:link w:val="Quote0"/>
    <w:uiPriority w:val="98"/>
    <w:semiHidden/>
    <w:rsid w:val="001D5CD5"/>
    <w:rPr>
      <w:i/>
      <w:iCs/>
      <w:sz w:val="24"/>
      <w:szCs w:val="24"/>
      <w:lang w:val="en-GB" w:bidi="en-US"/>
    </w:rPr>
  </w:style>
  <w:style w:type="character" w:styleId="SubtleReference">
    <w:name w:val="Subtle Reference"/>
    <w:uiPriority w:val="98"/>
    <w:semiHidden/>
    <w:qFormat/>
    <w:rsid w:val="001D5CD5"/>
    <w:rPr>
      <w:smallCaps/>
    </w:rPr>
  </w:style>
  <w:style w:type="table" w:styleId="TableGrid">
    <w:name w:val="Table Grid"/>
    <w:basedOn w:val="TableNormal"/>
    <w:uiPriority w:val="59"/>
    <w:semiHidden/>
    <w:rsid w:val="001D5CD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D5CD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D5CD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D5CD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D5CD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D5CD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D5CD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D5CD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D5CD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D5CD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D5CD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D5CD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D5CD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D5CD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D5CD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D5CD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D5CD5"/>
    <w:pPr>
      <w:numPr>
        <w:numId w:val="57"/>
      </w:numPr>
    </w:pPr>
  </w:style>
  <w:style w:type="paragraph" w:customStyle="1" w:styleId="JuPara">
    <w:name w:val="Ju_Para"/>
    <w:aliases w:val="_Para"/>
    <w:basedOn w:val="NormalJustified"/>
    <w:link w:val="JuParaChar"/>
    <w:uiPriority w:val="4"/>
    <w:qFormat/>
    <w:rsid w:val="001D5CD5"/>
    <w:pPr>
      <w:ind w:firstLine="284"/>
    </w:pPr>
  </w:style>
  <w:style w:type="numbering" w:styleId="1ai">
    <w:name w:val="Outline List 1"/>
    <w:basedOn w:val="NoList"/>
    <w:uiPriority w:val="99"/>
    <w:semiHidden/>
    <w:unhideWhenUsed/>
    <w:rsid w:val="001D5CD5"/>
    <w:pPr>
      <w:numPr>
        <w:numId w:val="58"/>
      </w:numPr>
    </w:pPr>
  </w:style>
  <w:style w:type="table" w:customStyle="1" w:styleId="ECHRTableSimpleBox">
    <w:name w:val="ECHR_Table_Simple_Box"/>
    <w:basedOn w:val="TableNormal"/>
    <w:uiPriority w:val="99"/>
    <w:rsid w:val="001D5CD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D5CD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D5CD5"/>
    <w:pPr>
      <w:numPr>
        <w:numId w:val="59"/>
      </w:numPr>
    </w:pPr>
  </w:style>
  <w:style w:type="table" w:customStyle="1" w:styleId="ECHRTableForInternalUse">
    <w:name w:val="ECHR_Table_For_Internal_Use"/>
    <w:basedOn w:val="TableNormal"/>
    <w:uiPriority w:val="99"/>
    <w:rsid w:val="001D5CD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D5CD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D5CD5"/>
  </w:style>
  <w:style w:type="paragraph" w:styleId="BlockText">
    <w:name w:val="Block Text"/>
    <w:basedOn w:val="Normal"/>
    <w:uiPriority w:val="98"/>
    <w:semiHidden/>
    <w:rsid w:val="001D5CD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D5CD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D5CD5"/>
    <w:pPr>
      <w:spacing w:after="120"/>
    </w:pPr>
  </w:style>
  <w:style w:type="character" w:customStyle="1" w:styleId="BodyTextChar">
    <w:name w:val="Body Text Char"/>
    <w:basedOn w:val="DefaultParagraphFont"/>
    <w:link w:val="BodyText"/>
    <w:uiPriority w:val="98"/>
    <w:semiHidden/>
    <w:rsid w:val="001D5CD5"/>
    <w:rPr>
      <w:sz w:val="24"/>
      <w:szCs w:val="24"/>
      <w:lang w:val="en-GB"/>
    </w:rPr>
  </w:style>
  <w:style w:type="table" w:customStyle="1" w:styleId="ECHRTableOddBanded">
    <w:name w:val="ECHR_Table_Odd_Banded"/>
    <w:basedOn w:val="TableNormal"/>
    <w:uiPriority w:val="99"/>
    <w:rsid w:val="001D5CD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D5CD5"/>
    <w:pPr>
      <w:spacing w:after="120" w:line="480" w:lineRule="auto"/>
    </w:pPr>
  </w:style>
  <w:style w:type="table" w:customStyle="1" w:styleId="ECHRHeaderTableReduced">
    <w:name w:val="ECHR_Header_Table_Reduced"/>
    <w:basedOn w:val="TableNormal"/>
    <w:uiPriority w:val="99"/>
    <w:rsid w:val="001D5CD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D5CD5"/>
    <w:pPr>
      <w:ind w:firstLine="284"/>
    </w:pPr>
    <w:rPr>
      <w:b/>
    </w:rPr>
  </w:style>
  <w:style w:type="character" w:styleId="PageNumber">
    <w:name w:val="page number"/>
    <w:uiPriority w:val="98"/>
    <w:semiHidden/>
    <w:rsid w:val="001D5CD5"/>
    <w:rPr>
      <w:sz w:val="18"/>
    </w:rPr>
  </w:style>
  <w:style w:type="paragraph" w:styleId="ListBullet">
    <w:name w:val="List Bullet"/>
    <w:basedOn w:val="Normal"/>
    <w:uiPriority w:val="98"/>
    <w:semiHidden/>
    <w:rsid w:val="001D5CD5"/>
    <w:pPr>
      <w:numPr>
        <w:numId w:val="60"/>
      </w:numPr>
    </w:pPr>
  </w:style>
  <w:style w:type="paragraph" w:styleId="ListBullet3">
    <w:name w:val="List Bullet 3"/>
    <w:basedOn w:val="Normal"/>
    <w:uiPriority w:val="98"/>
    <w:semiHidden/>
    <w:rsid w:val="001D5CD5"/>
    <w:pPr>
      <w:numPr>
        <w:numId w:val="62"/>
      </w:numPr>
      <w:contextualSpacing/>
    </w:pPr>
  </w:style>
  <w:style w:type="character" w:customStyle="1" w:styleId="BodyText2Char">
    <w:name w:val="Body Text 2 Char"/>
    <w:basedOn w:val="DefaultParagraphFont"/>
    <w:link w:val="BodyText2"/>
    <w:uiPriority w:val="98"/>
    <w:semiHidden/>
    <w:rsid w:val="001D5CD5"/>
    <w:rPr>
      <w:sz w:val="24"/>
      <w:szCs w:val="24"/>
      <w:lang w:val="en-GB"/>
    </w:rPr>
  </w:style>
  <w:style w:type="paragraph" w:styleId="BodyText3">
    <w:name w:val="Body Text 3"/>
    <w:basedOn w:val="Normal"/>
    <w:link w:val="BodyText3Char"/>
    <w:uiPriority w:val="98"/>
    <w:semiHidden/>
    <w:rsid w:val="001D5CD5"/>
    <w:pPr>
      <w:spacing w:after="120"/>
    </w:pPr>
    <w:rPr>
      <w:sz w:val="16"/>
      <w:szCs w:val="16"/>
    </w:rPr>
  </w:style>
  <w:style w:type="character" w:customStyle="1" w:styleId="BodyText3Char">
    <w:name w:val="Body Text 3 Char"/>
    <w:basedOn w:val="DefaultParagraphFont"/>
    <w:link w:val="BodyText3"/>
    <w:uiPriority w:val="98"/>
    <w:semiHidden/>
    <w:rsid w:val="001D5CD5"/>
    <w:rPr>
      <w:sz w:val="16"/>
      <w:szCs w:val="16"/>
      <w:lang w:val="en-GB"/>
    </w:rPr>
  </w:style>
  <w:style w:type="paragraph" w:styleId="BodyTextFirstIndent">
    <w:name w:val="Body Text First Indent"/>
    <w:basedOn w:val="BodyText"/>
    <w:link w:val="BodyTextFirstIndentChar"/>
    <w:uiPriority w:val="98"/>
    <w:semiHidden/>
    <w:rsid w:val="001D5CD5"/>
    <w:pPr>
      <w:spacing w:after="0"/>
      <w:ind w:firstLine="360"/>
    </w:pPr>
  </w:style>
  <w:style w:type="character" w:customStyle="1" w:styleId="BodyTextFirstIndentChar">
    <w:name w:val="Body Text First Indent Char"/>
    <w:basedOn w:val="BodyTextChar"/>
    <w:link w:val="BodyTextFirstIndent"/>
    <w:uiPriority w:val="98"/>
    <w:semiHidden/>
    <w:rsid w:val="001D5CD5"/>
    <w:rPr>
      <w:sz w:val="24"/>
      <w:szCs w:val="24"/>
      <w:lang w:val="en-GB"/>
    </w:rPr>
  </w:style>
  <w:style w:type="paragraph" w:styleId="BodyTextIndent">
    <w:name w:val="Body Text Indent"/>
    <w:basedOn w:val="Normal"/>
    <w:link w:val="BodyTextIndentChar"/>
    <w:uiPriority w:val="98"/>
    <w:semiHidden/>
    <w:rsid w:val="001D5CD5"/>
    <w:pPr>
      <w:spacing w:after="120"/>
      <w:ind w:left="283"/>
    </w:pPr>
  </w:style>
  <w:style w:type="character" w:customStyle="1" w:styleId="BodyTextIndentChar">
    <w:name w:val="Body Text Indent Char"/>
    <w:basedOn w:val="DefaultParagraphFont"/>
    <w:link w:val="BodyTextIndent"/>
    <w:uiPriority w:val="98"/>
    <w:semiHidden/>
    <w:rsid w:val="001D5CD5"/>
    <w:rPr>
      <w:sz w:val="24"/>
      <w:szCs w:val="24"/>
      <w:lang w:val="en-GB"/>
    </w:rPr>
  </w:style>
  <w:style w:type="paragraph" w:styleId="BodyTextFirstIndent2">
    <w:name w:val="Body Text First Indent 2"/>
    <w:basedOn w:val="BodyTextIndent"/>
    <w:link w:val="BodyTextFirstIndent2Char"/>
    <w:uiPriority w:val="98"/>
    <w:semiHidden/>
    <w:rsid w:val="001D5CD5"/>
    <w:pPr>
      <w:spacing w:after="0"/>
      <w:ind w:left="360" w:firstLine="360"/>
    </w:pPr>
  </w:style>
  <w:style w:type="character" w:customStyle="1" w:styleId="BodyTextFirstIndent2Char">
    <w:name w:val="Body Text First Indent 2 Char"/>
    <w:basedOn w:val="BodyTextIndentChar"/>
    <w:link w:val="BodyTextFirstIndent2"/>
    <w:uiPriority w:val="98"/>
    <w:semiHidden/>
    <w:rsid w:val="001D5CD5"/>
    <w:rPr>
      <w:sz w:val="24"/>
      <w:szCs w:val="24"/>
      <w:lang w:val="en-GB"/>
    </w:rPr>
  </w:style>
  <w:style w:type="paragraph" w:styleId="BodyTextIndent2">
    <w:name w:val="Body Text Indent 2"/>
    <w:basedOn w:val="Normal"/>
    <w:link w:val="BodyTextIndent2Char"/>
    <w:uiPriority w:val="98"/>
    <w:semiHidden/>
    <w:rsid w:val="001D5CD5"/>
    <w:pPr>
      <w:spacing w:after="120" w:line="480" w:lineRule="auto"/>
      <w:ind w:left="283"/>
    </w:pPr>
  </w:style>
  <w:style w:type="character" w:customStyle="1" w:styleId="BodyTextIndent2Char">
    <w:name w:val="Body Text Indent 2 Char"/>
    <w:basedOn w:val="DefaultParagraphFont"/>
    <w:link w:val="BodyTextIndent2"/>
    <w:uiPriority w:val="98"/>
    <w:semiHidden/>
    <w:rsid w:val="001D5CD5"/>
    <w:rPr>
      <w:sz w:val="24"/>
      <w:szCs w:val="24"/>
      <w:lang w:val="en-GB"/>
    </w:rPr>
  </w:style>
  <w:style w:type="paragraph" w:styleId="BodyTextIndent3">
    <w:name w:val="Body Text Indent 3"/>
    <w:basedOn w:val="Normal"/>
    <w:link w:val="BodyTextIndent3Char"/>
    <w:uiPriority w:val="98"/>
    <w:semiHidden/>
    <w:rsid w:val="001D5CD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D5CD5"/>
    <w:rPr>
      <w:sz w:val="16"/>
      <w:szCs w:val="16"/>
      <w:lang w:val="en-GB"/>
    </w:rPr>
  </w:style>
  <w:style w:type="paragraph" w:styleId="Caption">
    <w:name w:val="caption"/>
    <w:basedOn w:val="Normal"/>
    <w:next w:val="Normal"/>
    <w:uiPriority w:val="98"/>
    <w:semiHidden/>
    <w:qFormat/>
    <w:rsid w:val="001D5CD5"/>
    <w:pPr>
      <w:spacing w:after="200"/>
    </w:pPr>
    <w:rPr>
      <w:b/>
      <w:bCs/>
      <w:color w:val="0072BC" w:themeColor="accent1"/>
      <w:sz w:val="18"/>
      <w:szCs w:val="18"/>
    </w:rPr>
  </w:style>
  <w:style w:type="paragraph" w:styleId="Closing">
    <w:name w:val="Closing"/>
    <w:basedOn w:val="Normal"/>
    <w:link w:val="ClosingChar"/>
    <w:uiPriority w:val="98"/>
    <w:semiHidden/>
    <w:rsid w:val="001D5CD5"/>
    <w:pPr>
      <w:ind w:left="4252"/>
    </w:pPr>
  </w:style>
  <w:style w:type="character" w:customStyle="1" w:styleId="ClosingChar">
    <w:name w:val="Closing Char"/>
    <w:basedOn w:val="DefaultParagraphFont"/>
    <w:link w:val="Closing"/>
    <w:uiPriority w:val="98"/>
    <w:semiHidden/>
    <w:rsid w:val="001D5CD5"/>
    <w:rPr>
      <w:sz w:val="24"/>
      <w:szCs w:val="24"/>
      <w:lang w:val="en-GB"/>
    </w:rPr>
  </w:style>
  <w:style w:type="table" w:styleId="ColorfulGrid">
    <w:name w:val="Colorful Grid"/>
    <w:basedOn w:val="TableNormal"/>
    <w:uiPriority w:val="73"/>
    <w:semiHidden/>
    <w:rsid w:val="001D5CD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D5CD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D5CD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D5CD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D5CD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D5CD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D5CD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D5CD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D5CD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D5CD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D5CD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D5CD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D5CD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D5CD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D5CD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D5CD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D5CD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D5CD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D5CD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D5CD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D5CD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D5CD5"/>
    <w:rPr>
      <w:sz w:val="16"/>
      <w:szCs w:val="16"/>
    </w:rPr>
  </w:style>
  <w:style w:type="paragraph" w:styleId="CommentText">
    <w:name w:val="annotation text"/>
    <w:basedOn w:val="Normal"/>
    <w:link w:val="CommentTextChar"/>
    <w:uiPriority w:val="98"/>
    <w:semiHidden/>
    <w:rsid w:val="001D5CD5"/>
    <w:rPr>
      <w:sz w:val="20"/>
      <w:szCs w:val="20"/>
    </w:rPr>
  </w:style>
  <w:style w:type="character" w:customStyle="1" w:styleId="CommentTextChar">
    <w:name w:val="Comment Text Char"/>
    <w:basedOn w:val="DefaultParagraphFont"/>
    <w:link w:val="CommentText"/>
    <w:uiPriority w:val="98"/>
    <w:semiHidden/>
    <w:rsid w:val="001D5CD5"/>
    <w:rPr>
      <w:sz w:val="20"/>
      <w:szCs w:val="20"/>
      <w:lang w:val="en-GB"/>
    </w:rPr>
  </w:style>
  <w:style w:type="paragraph" w:styleId="CommentSubject">
    <w:name w:val="annotation subject"/>
    <w:basedOn w:val="CommentText"/>
    <w:next w:val="CommentText"/>
    <w:link w:val="CommentSubjectChar"/>
    <w:uiPriority w:val="98"/>
    <w:semiHidden/>
    <w:rsid w:val="001D5CD5"/>
    <w:rPr>
      <w:b/>
      <w:bCs/>
    </w:rPr>
  </w:style>
  <w:style w:type="character" w:customStyle="1" w:styleId="CommentSubjectChar">
    <w:name w:val="Comment Subject Char"/>
    <w:basedOn w:val="CommentTextChar"/>
    <w:link w:val="CommentSubject"/>
    <w:uiPriority w:val="98"/>
    <w:semiHidden/>
    <w:rsid w:val="001D5CD5"/>
    <w:rPr>
      <w:b/>
      <w:bCs/>
      <w:sz w:val="20"/>
      <w:szCs w:val="20"/>
      <w:lang w:val="en-GB"/>
    </w:rPr>
  </w:style>
  <w:style w:type="table" w:styleId="DarkList">
    <w:name w:val="Dark List"/>
    <w:basedOn w:val="TableNormal"/>
    <w:uiPriority w:val="70"/>
    <w:semiHidden/>
    <w:rsid w:val="001D5CD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D5CD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D5CD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D5CD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D5CD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D5CD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D5CD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D5CD5"/>
  </w:style>
  <w:style w:type="character" w:customStyle="1" w:styleId="DateChar">
    <w:name w:val="Date Char"/>
    <w:basedOn w:val="DefaultParagraphFont"/>
    <w:link w:val="Date"/>
    <w:uiPriority w:val="98"/>
    <w:semiHidden/>
    <w:rsid w:val="001D5CD5"/>
    <w:rPr>
      <w:sz w:val="24"/>
      <w:szCs w:val="24"/>
      <w:lang w:val="en-GB"/>
    </w:rPr>
  </w:style>
  <w:style w:type="paragraph" w:styleId="DocumentMap">
    <w:name w:val="Document Map"/>
    <w:basedOn w:val="Normal"/>
    <w:link w:val="DocumentMapChar"/>
    <w:uiPriority w:val="98"/>
    <w:semiHidden/>
    <w:rsid w:val="001D5CD5"/>
    <w:rPr>
      <w:rFonts w:ascii="Tahoma" w:hAnsi="Tahoma" w:cs="Tahoma"/>
      <w:sz w:val="16"/>
      <w:szCs w:val="16"/>
    </w:rPr>
  </w:style>
  <w:style w:type="character" w:customStyle="1" w:styleId="DocumentMapChar">
    <w:name w:val="Document Map Char"/>
    <w:basedOn w:val="DefaultParagraphFont"/>
    <w:link w:val="DocumentMap"/>
    <w:uiPriority w:val="98"/>
    <w:semiHidden/>
    <w:rsid w:val="001D5CD5"/>
    <w:rPr>
      <w:rFonts w:ascii="Tahoma" w:hAnsi="Tahoma" w:cs="Tahoma"/>
      <w:sz w:val="16"/>
      <w:szCs w:val="16"/>
      <w:lang w:val="en-GB"/>
    </w:rPr>
  </w:style>
  <w:style w:type="paragraph" w:styleId="E-mailSignature">
    <w:name w:val="E-mail Signature"/>
    <w:basedOn w:val="Normal"/>
    <w:link w:val="E-mailSignatureChar"/>
    <w:uiPriority w:val="98"/>
    <w:semiHidden/>
    <w:rsid w:val="001D5CD5"/>
  </w:style>
  <w:style w:type="character" w:customStyle="1" w:styleId="E-mailSignatureChar">
    <w:name w:val="E-mail Signature Char"/>
    <w:basedOn w:val="DefaultParagraphFont"/>
    <w:link w:val="E-mailSignature"/>
    <w:uiPriority w:val="98"/>
    <w:semiHidden/>
    <w:rsid w:val="001D5CD5"/>
    <w:rPr>
      <w:sz w:val="24"/>
      <w:szCs w:val="24"/>
      <w:lang w:val="en-GB"/>
    </w:rPr>
  </w:style>
  <w:style w:type="character" w:styleId="EndnoteReference">
    <w:name w:val="endnote reference"/>
    <w:basedOn w:val="DefaultParagraphFont"/>
    <w:uiPriority w:val="98"/>
    <w:semiHidden/>
    <w:rsid w:val="001D5CD5"/>
    <w:rPr>
      <w:vertAlign w:val="superscript"/>
    </w:rPr>
  </w:style>
  <w:style w:type="paragraph" w:styleId="EndnoteText">
    <w:name w:val="endnote text"/>
    <w:basedOn w:val="Normal"/>
    <w:link w:val="EndnoteTextChar"/>
    <w:uiPriority w:val="98"/>
    <w:semiHidden/>
    <w:rsid w:val="001D5CD5"/>
    <w:rPr>
      <w:sz w:val="20"/>
      <w:szCs w:val="20"/>
    </w:rPr>
  </w:style>
  <w:style w:type="character" w:customStyle="1" w:styleId="EndnoteTextChar">
    <w:name w:val="Endnote Text Char"/>
    <w:basedOn w:val="DefaultParagraphFont"/>
    <w:link w:val="EndnoteText"/>
    <w:uiPriority w:val="98"/>
    <w:semiHidden/>
    <w:rsid w:val="001D5CD5"/>
    <w:rPr>
      <w:sz w:val="20"/>
      <w:szCs w:val="20"/>
      <w:lang w:val="en-GB"/>
    </w:rPr>
  </w:style>
  <w:style w:type="paragraph" w:styleId="EnvelopeAddress">
    <w:name w:val="envelope address"/>
    <w:basedOn w:val="Normal"/>
    <w:uiPriority w:val="98"/>
    <w:semiHidden/>
    <w:rsid w:val="001D5CD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D5CD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D5CD5"/>
    <w:rPr>
      <w:color w:val="7030A0" w:themeColor="followedHyperlink"/>
      <w:u w:val="single"/>
    </w:rPr>
  </w:style>
  <w:style w:type="character" w:styleId="HTMLAcronym">
    <w:name w:val="HTML Acronym"/>
    <w:basedOn w:val="DefaultParagraphFont"/>
    <w:uiPriority w:val="98"/>
    <w:semiHidden/>
    <w:rsid w:val="001D5CD5"/>
  </w:style>
  <w:style w:type="paragraph" w:styleId="HTMLAddress">
    <w:name w:val="HTML Address"/>
    <w:basedOn w:val="Normal"/>
    <w:link w:val="HTMLAddressChar"/>
    <w:uiPriority w:val="98"/>
    <w:semiHidden/>
    <w:rsid w:val="001D5CD5"/>
    <w:rPr>
      <w:i/>
      <w:iCs/>
    </w:rPr>
  </w:style>
  <w:style w:type="character" w:customStyle="1" w:styleId="HTMLAddressChar">
    <w:name w:val="HTML Address Char"/>
    <w:basedOn w:val="DefaultParagraphFont"/>
    <w:link w:val="HTMLAddress"/>
    <w:uiPriority w:val="98"/>
    <w:semiHidden/>
    <w:rsid w:val="001D5CD5"/>
    <w:rPr>
      <w:i/>
      <w:iCs/>
      <w:sz w:val="24"/>
      <w:szCs w:val="24"/>
      <w:lang w:val="en-GB"/>
    </w:rPr>
  </w:style>
  <w:style w:type="character" w:styleId="HTMLCite">
    <w:name w:val="HTML Cite"/>
    <w:basedOn w:val="DefaultParagraphFont"/>
    <w:uiPriority w:val="98"/>
    <w:semiHidden/>
    <w:rsid w:val="001D5CD5"/>
    <w:rPr>
      <w:i/>
      <w:iCs/>
    </w:rPr>
  </w:style>
  <w:style w:type="character" w:styleId="HTMLCode">
    <w:name w:val="HTML Code"/>
    <w:basedOn w:val="DefaultParagraphFont"/>
    <w:uiPriority w:val="98"/>
    <w:semiHidden/>
    <w:rsid w:val="001D5CD5"/>
    <w:rPr>
      <w:rFonts w:ascii="Consolas" w:hAnsi="Consolas" w:cs="Consolas"/>
      <w:sz w:val="20"/>
      <w:szCs w:val="20"/>
    </w:rPr>
  </w:style>
  <w:style w:type="character" w:styleId="HTMLDefinition">
    <w:name w:val="HTML Definition"/>
    <w:basedOn w:val="DefaultParagraphFont"/>
    <w:uiPriority w:val="98"/>
    <w:semiHidden/>
    <w:rsid w:val="001D5CD5"/>
    <w:rPr>
      <w:i/>
      <w:iCs/>
    </w:rPr>
  </w:style>
  <w:style w:type="character" w:styleId="HTMLKeyboard">
    <w:name w:val="HTML Keyboard"/>
    <w:basedOn w:val="DefaultParagraphFont"/>
    <w:uiPriority w:val="98"/>
    <w:semiHidden/>
    <w:rsid w:val="001D5CD5"/>
    <w:rPr>
      <w:rFonts w:ascii="Consolas" w:hAnsi="Consolas" w:cs="Consolas"/>
      <w:sz w:val="20"/>
      <w:szCs w:val="20"/>
    </w:rPr>
  </w:style>
  <w:style w:type="paragraph" w:styleId="HTMLPreformatted">
    <w:name w:val="HTML Preformatted"/>
    <w:basedOn w:val="Normal"/>
    <w:link w:val="HTMLPreformattedChar"/>
    <w:uiPriority w:val="98"/>
    <w:semiHidden/>
    <w:rsid w:val="001D5CD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D5CD5"/>
    <w:rPr>
      <w:rFonts w:ascii="Consolas" w:hAnsi="Consolas" w:cs="Consolas"/>
      <w:sz w:val="20"/>
      <w:szCs w:val="20"/>
      <w:lang w:val="en-GB"/>
    </w:rPr>
  </w:style>
  <w:style w:type="character" w:styleId="HTMLSample">
    <w:name w:val="HTML Sample"/>
    <w:basedOn w:val="DefaultParagraphFont"/>
    <w:uiPriority w:val="98"/>
    <w:semiHidden/>
    <w:rsid w:val="001D5CD5"/>
    <w:rPr>
      <w:rFonts w:ascii="Consolas" w:hAnsi="Consolas" w:cs="Consolas"/>
      <w:sz w:val="24"/>
      <w:szCs w:val="24"/>
    </w:rPr>
  </w:style>
  <w:style w:type="character" w:styleId="HTMLTypewriter">
    <w:name w:val="HTML Typewriter"/>
    <w:basedOn w:val="DefaultParagraphFont"/>
    <w:uiPriority w:val="98"/>
    <w:semiHidden/>
    <w:rsid w:val="001D5CD5"/>
    <w:rPr>
      <w:rFonts w:ascii="Consolas" w:hAnsi="Consolas" w:cs="Consolas"/>
      <w:sz w:val="20"/>
      <w:szCs w:val="20"/>
    </w:rPr>
  </w:style>
  <w:style w:type="character" w:styleId="HTMLVariable">
    <w:name w:val="HTML Variable"/>
    <w:basedOn w:val="DefaultParagraphFont"/>
    <w:uiPriority w:val="98"/>
    <w:semiHidden/>
    <w:rsid w:val="001D5CD5"/>
    <w:rPr>
      <w:i/>
      <w:iCs/>
    </w:rPr>
  </w:style>
  <w:style w:type="paragraph" w:styleId="Index1">
    <w:name w:val="index 1"/>
    <w:basedOn w:val="Normal"/>
    <w:next w:val="Normal"/>
    <w:autoRedefine/>
    <w:uiPriority w:val="98"/>
    <w:semiHidden/>
    <w:rsid w:val="001D5CD5"/>
    <w:pPr>
      <w:ind w:left="240" w:hanging="240"/>
    </w:pPr>
  </w:style>
  <w:style w:type="paragraph" w:styleId="Index2">
    <w:name w:val="index 2"/>
    <w:basedOn w:val="Normal"/>
    <w:next w:val="Normal"/>
    <w:autoRedefine/>
    <w:uiPriority w:val="98"/>
    <w:semiHidden/>
    <w:rsid w:val="001D5CD5"/>
    <w:pPr>
      <w:ind w:left="480" w:hanging="240"/>
    </w:pPr>
  </w:style>
  <w:style w:type="paragraph" w:styleId="Index3">
    <w:name w:val="index 3"/>
    <w:basedOn w:val="Normal"/>
    <w:next w:val="Normal"/>
    <w:autoRedefine/>
    <w:uiPriority w:val="98"/>
    <w:semiHidden/>
    <w:rsid w:val="001D5CD5"/>
    <w:pPr>
      <w:ind w:left="720" w:hanging="240"/>
    </w:pPr>
  </w:style>
  <w:style w:type="paragraph" w:styleId="Index4">
    <w:name w:val="index 4"/>
    <w:basedOn w:val="Normal"/>
    <w:next w:val="Normal"/>
    <w:autoRedefine/>
    <w:uiPriority w:val="98"/>
    <w:semiHidden/>
    <w:rsid w:val="001D5CD5"/>
    <w:pPr>
      <w:ind w:left="960" w:hanging="240"/>
    </w:pPr>
  </w:style>
  <w:style w:type="paragraph" w:styleId="Index5">
    <w:name w:val="index 5"/>
    <w:basedOn w:val="Normal"/>
    <w:next w:val="Normal"/>
    <w:autoRedefine/>
    <w:uiPriority w:val="98"/>
    <w:semiHidden/>
    <w:rsid w:val="001D5CD5"/>
    <w:pPr>
      <w:ind w:left="1200" w:hanging="240"/>
    </w:pPr>
  </w:style>
  <w:style w:type="paragraph" w:styleId="Index6">
    <w:name w:val="index 6"/>
    <w:basedOn w:val="Normal"/>
    <w:next w:val="Normal"/>
    <w:autoRedefine/>
    <w:uiPriority w:val="98"/>
    <w:semiHidden/>
    <w:rsid w:val="001D5CD5"/>
    <w:pPr>
      <w:ind w:left="1440" w:hanging="240"/>
    </w:pPr>
  </w:style>
  <w:style w:type="paragraph" w:styleId="Index7">
    <w:name w:val="index 7"/>
    <w:basedOn w:val="Normal"/>
    <w:next w:val="Normal"/>
    <w:autoRedefine/>
    <w:uiPriority w:val="98"/>
    <w:semiHidden/>
    <w:rsid w:val="001D5CD5"/>
    <w:pPr>
      <w:ind w:left="1680" w:hanging="240"/>
    </w:pPr>
  </w:style>
  <w:style w:type="paragraph" w:styleId="Index8">
    <w:name w:val="index 8"/>
    <w:basedOn w:val="Normal"/>
    <w:next w:val="Normal"/>
    <w:autoRedefine/>
    <w:uiPriority w:val="98"/>
    <w:semiHidden/>
    <w:rsid w:val="001D5CD5"/>
    <w:pPr>
      <w:ind w:left="1920" w:hanging="240"/>
    </w:pPr>
  </w:style>
  <w:style w:type="paragraph" w:styleId="Index9">
    <w:name w:val="index 9"/>
    <w:basedOn w:val="Normal"/>
    <w:next w:val="Normal"/>
    <w:autoRedefine/>
    <w:uiPriority w:val="98"/>
    <w:semiHidden/>
    <w:rsid w:val="001D5CD5"/>
    <w:pPr>
      <w:ind w:left="2160" w:hanging="240"/>
    </w:pPr>
  </w:style>
  <w:style w:type="paragraph" w:styleId="IndexHeading">
    <w:name w:val="index heading"/>
    <w:basedOn w:val="Normal"/>
    <w:next w:val="Index1"/>
    <w:uiPriority w:val="98"/>
    <w:semiHidden/>
    <w:rsid w:val="001D5CD5"/>
    <w:rPr>
      <w:rFonts w:asciiTheme="majorHAnsi" w:eastAsiaTheme="majorEastAsia" w:hAnsiTheme="majorHAnsi" w:cstheme="majorBidi"/>
      <w:b/>
      <w:bCs/>
    </w:rPr>
  </w:style>
  <w:style w:type="table" w:styleId="LightGrid">
    <w:name w:val="Light Grid"/>
    <w:basedOn w:val="TableNormal"/>
    <w:uiPriority w:val="62"/>
    <w:semiHidden/>
    <w:rsid w:val="001D5CD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D5CD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D5CD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D5CD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D5CD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D5CD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D5CD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D5CD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D5CD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D5CD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D5CD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D5CD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D5CD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D5CD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D5CD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D5CD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D5CD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D5CD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D5CD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D5CD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D5CD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D5CD5"/>
  </w:style>
  <w:style w:type="paragraph" w:styleId="List">
    <w:name w:val="List"/>
    <w:basedOn w:val="Normal"/>
    <w:uiPriority w:val="98"/>
    <w:semiHidden/>
    <w:rsid w:val="001D5CD5"/>
    <w:pPr>
      <w:ind w:left="283" w:hanging="283"/>
      <w:contextualSpacing/>
    </w:pPr>
  </w:style>
  <w:style w:type="paragraph" w:styleId="List20">
    <w:name w:val="List 2"/>
    <w:basedOn w:val="Normal"/>
    <w:uiPriority w:val="98"/>
    <w:semiHidden/>
    <w:rsid w:val="001D5CD5"/>
    <w:pPr>
      <w:ind w:left="566" w:hanging="283"/>
      <w:contextualSpacing/>
    </w:pPr>
  </w:style>
  <w:style w:type="paragraph" w:styleId="List30">
    <w:name w:val="List 3"/>
    <w:basedOn w:val="Normal"/>
    <w:uiPriority w:val="98"/>
    <w:semiHidden/>
    <w:rsid w:val="001D5CD5"/>
    <w:pPr>
      <w:ind w:left="849" w:hanging="283"/>
      <w:contextualSpacing/>
    </w:pPr>
  </w:style>
  <w:style w:type="paragraph" w:styleId="List4">
    <w:name w:val="List 4"/>
    <w:basedOn w:val="Normal"/>
    <w:uiPriority w:val="98"/>
    <w:semiHidden/>
    <w:rsid w:val="001D5CD5"/>
    <w:pPr>
      <w:ind w:left="1132" w:hanging="283"/>
      <w:contextualSpacing/>
    </w:pPr>
  </w:style>
  <w:style w:type="paragraph" w:styleId="List5">
    <w:name w:val="List 5"/>
    <w:basedOn w:val="Normal"/>
    <w:uiPriority w:val="98"/>
    <w:semiHidden/>
    <w:rsid w:val="001D5CD5"/>
    <w:pPr>
      <w:ind w:left="1415" w:hanging="283"/>
      <w:contextualSpacing/>
    </w:pPr>
  </w:style>
  <w:style w:type="paragraph" w:styleId="ListBullet2">
    <w:name w:val="List Bullet 2"/>
    <w:basedOn w:val="Normal"/>
    <w:uiPriority w:val="98"/>
    <w:semiHidden/>
    <w:rsid w:val="001D5CD5"/>
    <w:pPr>
      <w:numPr>
        <w:numId w:val="61"/>
      </w:numPr>
      <w:contextualSpacing/>
    </w:pPr>
  </w:style>
  <w:style w:type="paragraph" w:styleId="ListBullet4">
    <w:name w:val="List Bullet 4"/>
    <w:basedOn w:val="Normal"/>
    <w:uiPriority w:val="98"/>
    <w:semiHidden/>
    <w:rsid w:val="001D5CD5"/>
    <w:pPr>
      <w:numPr>
        <w:numId w:val="63"/>
      </w:numPr>
      <w:contextualSpacing/>
    </w:pPr>
  </w:style>
  <w:style w:type="paragraph" w:styleId="ListBullet5">
    <w:name w:val="List Bullet 5"/>
    <w:basedOn w:val="Normal"/>
    <w:uiPriority w:val="98"/>
    <w:semiHidden/>
    <w:rsid w:val="001D5CD5"/>
    <w:pPr>
      <w:numPr>
        <w:numId w:val="64"/>
      </w:numPr>
      <w:contextualSpacing/>
    </w:pPr>
  </w:style>
  <w:style w:type="paragraph" w:styleId="ListContinue">
    <w:name w:val="List Continue"/>
    <w:basedOn w:val="Normal"/>
    <w:uiPriority w:val="98"/>
    <w:semiHidden/>
    <w:rsid w:val="001D5CD5"/>
    <w:pPr>
      <w:spacing w:after="120"/>
      <w:ind w:left="283"/>
      <w:contextualSpacing/>
    </w:pPr>
  </w:style>
  <w:style w:type="paragraph" w:styleId="ListContinue2">
    <w:name w:val="List Continue 2"/>
    <w:basedOn w:val="Normal"/>
    <w:uiPriority w:val="98"/>
    <w:semiHidden/>
    <w:rsid w:val="001D5CD5"/>
    <w:pPr>
      <w:spacing w:after="120"/>
      <w:ind w:left="566"/>
      <w:contextualSpacing/>
    </w:pPr>
  </w:style>
  <w:style w:type="paragraph" w:styleId="ListContinue3">
    <w:name w:val="List Continue 3"/>
    <w:basedOn w:val="Normal"/>
    <w:uiPriority w:val="98"/>
    <w:semiHidden/>
    <w:rsid w:val="001D5CD5"/>
    <w:pPr>
      <w:spacing w:after="120"/>
      <w:ind w:left="849"/>
      <w:contextualSpacing/>
    </w:pPr>
  </w:style>
  <w:style w:type="paragraph" w:styleId="ListContinue4">
    <w:name w:val="List Continue 4"/>
    <w:basedOn w:val="Normal"/>
    <w:uiPriority w:val="98"/>
    <w:semiHidden/>
    <w:rsid w:val="001D5CD5"/>
    <w:pPr>
      <w:spacing w:after="120"/>
      <w:ind w:left="1132"/>
      <w:contextualSpacing/>
    </w:pPr>
  </w:style>
  <w:style w:type="paragraph" w:styleId="ListContinue5">
    <w:name w:val="List Continue 5"/>
    <w:basedOn w:val="Normal"/>
    <w:uiPriority w:val="98"/>
    <w:semiHidden/>
    <w:rsid w:val="001D5CD5"/>
    <w:pPr>
      <w:spacing w:after="120"/>
      <w:ind w:left="1415"/>
      <w:contextualSpacing/>
    </w:pPr>
  </w:style>
  <w:style w:type="paragraph" w:styleId="ListNumber">
    <w:name w:val="List Number"/>
    <w:basedOn w:val="Normal"/>
    <w:uiPriority w:val="98"/>
    <w:semiHidden/>
    <w:rsid w:val="001D5CD5"/>
    <w:pPr>
      <w:numPr>
        <w:numId w:val="65"/>
      </w:numPr>
      <w:contextualSpacing/>
    </w:pPr>
  </w:style>
  <w:style w:type="paragraph" w:styleId="ListNumber2">
    <w:name w:val="List Number 2"/>
    <w:basedOn w:val="Normal"/>
    <w:uiPriority w:val="98"/>
    <w:semiHidden/>
    <w:rsid w:val="001D5CD5"/>
    <w:pPr>
      <w:numPr>
        <w:numId w:val="66"/>
      </w:numPr>
      <w:contextualSpacing/>
    </w:pPr>
  </w:style>
  <w:style w:type="paragraph" w:styleId="ListNumber3">
    <w:name w:val="List Number 3"/>
    <w:basedOn w:val="Normal"/>
    <w:uiPriority w:val="98"/>
    <w:semiHidden/>
    <w:rsid w:val="001D5CD5"/>
    <w:pPr>
      <w:numPr>
        <w:numId w:val="67"/>
      </w:numPr>
      <w:contextualSpacing/>
    </w:pPr>
  </w:style>
  <w:style w:type="paragraph" w:styleId="ListNumber4">
    <w:name w:val="List Number 4"/>
    <w:basedOn w:val="Normal"/>
    <w:uiPriority w:val="98"/>
    <w:semiHidden/>
    <w:rsid w:val="001D5CD5"/>
    <w:pPr>
      <w:numPr>
        <w:numId w:val="68"/>
      </w:numPr>
      <w:contextualSpacing/>
    </w:pPr>
  </w:style>
  <w:style w:type="paragraph" w:styleId="ListNumber5">
    <w:name w:val="List Number 5"/>
    <w:basedOn w:val="Normal"/>
    <w:uiPriority w:val="98"/>
    <w:semiHidden/>
    <w:rsid w:val="001D5CD5"/>
    <w:pPr>
      <w:numPr>
        <w:numId w:val="69"/>
      </w:numPr>
      <w:contextualSpacing/>
    </w:pPr>
  </w:style>
  <w:style w:type="paragraph" w:styleId="Macro">
    <w:name w:val="macro"/>
    <w:link w:val="MacroTextChar"/>
    <w:uiPriority w:val="98"/>
    <w:semiHidden/>
    <w:rsid w:val="001D5CD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D5CD5"/>
    <w:rPr>
      <w:rFonts w:ascii="Consolas" w:hAnsi="Consolas" w:eastAsiaTheme="minorEastAsia" w:cs="Consolas"/>
      <w:sz w:val="20"/>
      <w:szCs w:val="20"/>
    </w:rPr>
  </w:style>
  <w:style w:type="table" w:styleId="MediumGrid1">
    <w:name w:val="Medium Grid 1"/>
    <w:basedOn w:val="TableNormal"/>
    <w:uiPriority w:val="67"/>
    <w:semiHidden/>
    <w:rsid w:val="001D5CD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D5CD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D5CD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D5CD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D5CD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D5CD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D5CD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D5CD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D5CD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D5CD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D5CD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D5CD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D5CD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D5CD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D5CD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D5CD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D5CD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D5CD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D5CD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D5CD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D5CD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D5CD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D5CD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D5CD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D5CD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D5CD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D5CD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D5CD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D5CD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D5CD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D5CD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D5CD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D5CD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D5CD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D5CD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D5CD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D5CD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D5CD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D5CD5"/>
    <w:rPr>
      <w:rFonts w:ascii="Times New Roman" w:hAnsi="Times New Roman" w:cs="Times New Roman"/>
    </w:rPr>
  </w:style>
  <w:style w:type="paragraph" w:styleId="NormalIndent">
    <w:name w:val="Normal Indent"/>
    <w:basedOn w:val="Normal"/>
    <w:uiPriority w:val="98"/>
    <w:semiHidden/>
    <w:rsid w:val="001D5CD5"/>
    <w:pPr>
      <w:ind w:left="720"/>
    </w:pPr>
  </w:style>
  <w:style w:type="paragraph" w:styleId="NoteHeading">
    <w:name w:val="Note Heading"/>
    <w:basedOn w:val="Normal"/>
    <w:next w:val="Normal"/>
    <w:link w:val="NoteHeadingChar"/>
    <w:uiPriority w:val="98"/>
    <w:semiHidden/>
    <w:rsid w:val="001D5CD5"/>
  </w:style>
  <w:style w:type="character" w:customStyle="1" w:styleId="NoteHeadingChar">
    <w:name w:val="Note Heading Char"/>
    <w:basedOn w:val="DefaultParagraphFont"/>
    <w:link w:val="NoteHeading"/>
    <w:uiPriority w:val="98"/>
    <w:semiHidden/>
    <w:rsid w:val="001D5CD5"/>
    <w:rPr>
      <w:sz w:val="24"/>
      <w:szCs w:val="24"/>
      <w:lang w:val="en-GB"/>
    </w:rPr>
  </w:style>
  <w:style w:type="character" w:styleId="PlaceholderText">
    <w:name w:val="Placeholder Text"/>
    <w:basedOn w:val="DefaultParagraphFont"/>
    <w:uiPriority w:val="98"/>
    <w:semiHidden/>
    <w:rsid w:val="001D5CD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D5CD5"/>
    <w:rPr>
      <w:rFonts w:ascii="Consolas" w:hAnsi="Consolas" w:cs="Consolas"/>
      <w:sz w:val="21"/>
      <w:szCs w:val="21"/>
    </w:rPr>
  </w:style>
  <w:style w:type="character" w:customStyle="1" w:styleId="PlainTextChar">
    <w:name w:val="Plain Text Char"/>
    <w:basedOn w:val="DefaultParagraphFont"/>
    <w:link w:val="PlainText"/>
    <w:uiPriority w:val="98"/>
    <w:semiHidden/>
    <w:rsid w:val="001D5CD5"/>
    <w:rPr>
      <w:rFonts w:ascii="Consolas" w:hAnsi="Consolas" w:cs="Consolas"/>
      <w:sz w:val="21"/>
      <w:szCs w:val="21"/>
      <w:lang w:val="en-GB"/>
    </w:rPr>
  </w:style>
  <w:style w:type="paragraph" w:styleId="Salutation">
    <w:name w:val="Salutation"/>
    <w:basedOn w:val="Normal"/>
    <w:next w:val="Normal"/>
    <w:link w:val="SalutationChar"/>
    <w:uiPriority w:val="98"/>
    <w:semiHidden/>
    <w:rsid w:val="001D5CD5"/>
  </w:style>
  <w:style w:type="character" w:customStyle="1" w:styleId="SalutationChar">
    <w:name w:val="Salutation Char"/>
    <w:basedOn w:val="DefaultParagraphFont"/>
    <w:link w:val="Salutation"/>
    <w:uiPriority w:val="98"/>
    <w:semiHidden/>
    <w:rsid w:val="001D5CD5"/>
    <w:rPr>
      <w:sz w:val="24"/>
      <w:szCs w:val="24"/>
      <w:lang w:val="en-GB"/>
    </w:rPr>
  </w:style>
  <w:style w:type="paragraph" w:styleId="Signature0">
    <w:name w:val="Signature"/>
    <w:basedOn w:val="Normal"/>
    <w:link w:val="SignatureChar"/>
    <w:uiPriority w:val="98"/>
    <w:semiHidden/>
    <w:rsid w:val="001D5CD5"/>
    <w:pPr>
      <w:ind w:left="4252"/>
    </w:pPr>
  </w:style>
  <w:style w:type="character" w:customStyle="1" w:styleId="SignatureChar">
    <w:name w:val="Signature Char"/>
    <w:basedOn w:val="DefaultParagraphFont"/>
    <w:link w:val="Signature0"/>
    <w:uiPriority w:val="98"/>
    <w:semiHidden/>
    <w:rsid w:val="001D5CD5"/>
    <w:rPr>
      <w:sz w:val="24"/>
      <w:szCs w:val="24"/>
      <w:lang w:val="en-GB"/>
    </w:rPr>
  </w:style>
  <w:style w:type="table" w:styleId="Table3Deffects1">
    <w:name w:val="Table 3D effects 1"/>
    <w:basedOn w:val="TableNormal"/>
    <w:uiPriority w:val="99"/>
    <w:semiHidden/>
    <w:unhideWhenUsed/>
    <w:rsid w:val="001D5CD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D5CD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D5CD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D5CD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D5CD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D5CD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D5CD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D5CD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D5CD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D5CD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D5CD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D5CD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D5CD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D5CD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D5CD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D5CD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D5CD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D5CD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D5CD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D5CD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D5CD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D5CD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D5CD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D5CD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D5CD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D5CD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D5CD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D5CD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D5CD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D5CD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D5CD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D5CD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D5CD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D5CD5"/>
    <w:pPr>
      <w:ind w:left="240" w:hanging="240"/>
    </w:pPr>
  </w:style>
  <w:style w:type="paragraph" w:styleId="TableofFigures">
    <w:name w:val="table of figures"/>
    <w:basedOn w:val="Normal"/>
    <w:next w:val="Normal"/>
    <w:uiPriority w:val="98"/>
    <w:semiHidden/>
    <w:rsid w:val="001D5CD5"/>
  </w:style>
  <w:style w:type="table" w:styleId="TableProfessional">
    <w:name w:val="Table Professional"/>
    <w:basedOn w:val="TableNormal"/>
    <w:uiPriority w:val="99"/>
    <w:semiHidden/>
    <w:unhideWhenUsed/>
    <w:rsid w:val="001D5CD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D5CD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D5CD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D5CD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D5CD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D5CD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D5CD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D5CD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D5CD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D5CD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D5CD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D5CD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D5CD5"/>
    <w:pPr>
      <w:spacing w:after="100"/>
      <w:ind w:left="1680"/>
    </w:pPr>
  </w:style>
  <w:style w:type="paragraph" w:styleId="TOC9">
    <w:name w:val="toc 9"/>
    <w:basedOn w:val="Normal"/>
    <w:next w:val="Normal"/>
    <w:autoRedefine/>
    <w:uiPriority w:val="98"/>
    <w:semiHidden/>
    <w:rsid w:val="001D5CD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D5CD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D5CD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D5CD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1D5CD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D5CD5"/>
    <w:pPr>
      <w:numPr>
        <w:numId w:val="76"/>
      </w:numPr>
      <w:spacing w:before="60" w:after="60"/>
    </w:pPr>
  </w:style>
  <w:style w:type="paragraph" w:customStyle="1" w:styleId="ECHRBullet2">
    <w:name w:val="ECHR_Bullet_2"/>
    <w:aliases w:val="_Bul_2"/>
    <w:basedOn w:val="ECHRBullet1"/>
    <w:uiPriority w:val="23"/>
    <w:semiHidden/>
    <w:rsid w:val="001D5CD5"/>
    <w:pPr>
      <w:numPr>
        <w:ilvl w:val="1"/>
      </w:numPr>
    </w:pPr>
  </w:style>
  <w:style w:type="paragraph" w:customStyle="1" w:styleId="ECHRBullet3">
    <w:name w:val="ECHR_Bullet_3"/>
    <w:aliases w:val="_Bul_3"/>
    <w:basedOn w:val="ECHRBullet2"/>
    <w:uiPriority w:val="23"/>
    <w:semiHidden/>
    <w:rsid w:val="001D5CD5"/>
    <w:pPr>
      <w:numPr>
        <w:ilvl w:val="2"/>
      </w:numPr>
    </w:pPr>
  </w:style>
  <w:style w:type="paragraph" w:customStyle="1" w:styleId="ECHRBullet4">
    <w:name w:val="ECHR_Bullet_4"/>
    <w:aliases w:val="_Bul_4"/>
    <w:basedOn w:val="ECHRBullet3"/>
    <w:uiPriority w:val="23"/>
    <w:semiHidden/>
    <w:rsid w:val="001D5CD5"/>
    <w:pPr>
      <w:numPr>
        <w:ilvl w:val="3"/>
      </w:numPr>
    </w:pPr>
  </w:style>
  <w:style w:type="paragraph" w:customStyle="1" w:styleId="ECHRConfidential">
    <w:name w:val="ECHR_Confidential"/>
    <w:aliases w:val="_Confidential"/>
    <w:basedOn w:val="Normal"/>
    <w:next w:val="Normal"/>
    <w:uiPriority w:val="42"/>
    <w:semiHidden/>
    <w:qFormat/>
    <w:rsid w:val="001D5CD5"/>
    <w:pPr>
      <w:jc w:val="right"/>
    </w:pPr>
    <w:rPr>
      <w:color w:val="C00000"/>
      <w:sz w:val="20"/>
    </w:rPr>
  </w:style>
  <w:style w:type="paragraph" w:customStyle="1" w:styleId="ECHRDecisionBody">
    <w:name w:val="ECHR_Decision_Body"/>
    <w:aliases w:val="_Decision_Body"/>
    <w:basedOn w:val="NormalJustified"/>
    <w:uiPriority w:val="54"/>
    <w:semiHidden/>
    <w:rsid w:val="001D5CD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D5CD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D5CD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D5CD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D5CD5"/>
    <w:pPr>
      <w:jc w:val="right"/>
    </w:pPr>
    <w:rPr>
      <w:sz w:val="20"/>
    </w:rPr>
  </w:style>
  <w:style w:type="paragraph" w:customStyle="1" w:styleId="ECHRHeaderRefIt">
    <w:name w:val="ECHR_Header_Ref_It"/>
    <w:aliases w:val="_Ref_Ital"/>
    <w:basedOn w:val="Normal"/>
    <w:next w:val="ECHRHeaderDate"/>
    <w:uiPriority w:val="43"/>
    <w:semiHidden/>
    <w:qFormat/>
    <w:rsid w:val="001D5CD5"/>
    <w:pPr>
      <w:jc w:val="right"/>
    </w:pPr>
    <w:rPr>
      <w:i/>
      <w:sz w:val="20"/>
    </w:rPr>
  </w:style>
  <w:style w:type="paragraph" w:customStyle="1" w:styleId="ECHRHeading9">
    <w:name w:val="ECHR_Heading_9"/>
    <w:aliases w:val="_Head_9"/>
    <w:basedOn w:val="Heading9"/>
    <w:uiPriority w:val="17"/>
    <w:semiHidden/>
    <w:rsid w:val="001D5CD5"/>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D5CD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D5CD5"/>
    <w:pPr>
      <w:numPr>
        <w:numId w:val="80"/>
      </w:numPr>
      <w:spacing w:before="60" w:after="60"/>
    </w:pPr>
  </w:style>
  <w:style w:type="paragraph" w:customStyle="1" w:styleId="ECHRNumberedList2">
    <w:name w:val="ECHR_Numbered_List_2"/>
    <w:aliases w:val="_Num_2"/>
    <w:basedOn w:val="ECHRNumberedList1"/>
    <w:uiPriority w:val="23"/>
    <w:semiHidden/>
    <w:rsid w:val="001D5CD5"/>
    <w:pPr>
      <w:numPr>
        <w:ilvl w:val="1"/>
      </w:numPr>
    </w:pPr>
  </w:style>
  <w:style w:type="paragraph" w:customStyle="1" w:styleId="ECHRNumberedList3">
    <w:name w:val="ECHR_Numbered_List_3"/>
    <w:aliases w:val="_Num_3"/>
    <w:basedOn w:val="ECHRNumberedList2"/>
    <w:uiPriority w:val="23"/>
    <w:semiHidden/>
    <w:rsid w:val="001D5CD5"/>
    <w:pPr>
      <w:numPr>
        <w:ilvl w:val="2"/>
      </w:numPr>
    </w:pPr>
  </w:style>
  <w:style w:type="paragraph" w:customStyle="1" w:styleId="ECHRParaHanging">
    <w:name w:val="ECHR_Para_Hanging"/>
    <w:aliases w:val="_Hanging"/>
    <w:basedOn w:val="NormalJustified"/>
    <w:uiPriority w:val="8"/>
    <w:semiHidden/>
    <w:qFormat/>
    <w:rsid w:val="001D5CD5"/>
    <w:pPr>
      <w:ind w:left="567" w:hanging="567"/>
    </w:pPr>
  </w:style>
  <w:style w:type="paragraph" w:customStyle="1" w:styleId="ECHRParaIndent">
    <w:name w:val="ECHR_Para_Indent"/>
    <w:aliases w:val="_Indent"/>
    <w:basedOn w:val="NormalJustified"/>
    <w:uiPriority w:val="7"/>
    <w:semiHidden/>
    <w:qFormat/>
    <w:rsid w:val="001D5CD5"/>
    <w:pPr>
      <w:spacing w:before="120" w:after="120"/>
      <w:ind w:left="284"/>
    </w:pPr>
  </w:style>
  <w:style w:type="character" w:customStyle="1" w:styleId="ECHRRed">
    <w:name w:val="ECHR_Red"/>
    <w:aliases w:val="_Red"/>
    <w:basedOn w:val="DefaultParagraphFont"/>
    <w:uiPriority w:val="15"/>
    <w:semiHidden/>
    <w:qFormat/>
    <w:rsid w:val="001D5CD5"/>
    <w:rPr>
      <w:color w:val="C00000" w:themeColor="accent2"/>
    </w:rPr>
  </w:style>
  <w:style w:type="paragraph" w:customStyle="1" w:styleId="DecList">
    <w:name w:val="Dec_List"/>
    <w:aliases w:val="_List"/>
    <w:basedOn w:val="JuList"/>
    <w:uiPriority w:val="22"/>
    <w:rsid w:val="001D5CD5"/>
    <w:pPr>
      <w:numPr>
        <w:numId w:val="0"/>
      </w:numPr>
      <w:ind w:left="284"/>
    </w:pPr>
  </w:style>
  <w:style w:type="table" w:customStyle="1" w:styleId="ECHRTable2">
    <w:name w:val="ECHR_Table_2"/>
    <w:basedOn w:val="TableNormal"/>
    <w:uiPriority w:val="99"/>
    <w:rsid w:val="001D5CD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D5CD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D5CD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D5CD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D5CD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D5CD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D5CD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D5CD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D5CD5"/>
    <w:pPr>
      <w:outlineLvl w:val="0"/>
    </w:pPr>
  </w:style>
  <w:style w:type="paragraph" w:customStyle="1" w:styleId="ECHRTitleTOC1">
    <w:name w:val="ECHR_Title_TOC_1"/>
    <w:aliases w:val="_Title_L_TOC"/>
    <w:basedOn w:val="ECHRTitle1"/>
    <w:next w:val="Normal"/>
    <w:uiPriority w:val="27"/>
    <w:semiHidden/>
    <w:qFormat/>
    <w:rsid w:val="001D5CD5"/>
    <w:pPr>
      <w:outlineLvl w:val="0"/>
    </w:pPr>
  </w:style>
  <w:style w:type="paragraph" w:customStyle="1" w:styleId="ECHRPlaceholder">
    <w:name w:val="ECHR_Placeholder"/>
    <w:aliases w:val="_Placeholder"/>
    <w:basedOn w:val="JuSigned"/>
    <w:uiPriority w:val="31"/>
    <w:rsid w:val="001D5CD5"/>
    <w:rPr>
      <w:color w:val="FFFFFF"/>
    </w:rPr>
  </w:style>
  <w:style w:type="paragraph" w:customStyle="1" w:styleId="ECHRSpacer">
    <w:name w:val="ECHR_Spacer"/>
    <w:aliases w:val="_Spacer"/>
    <w:basedOn w:val="Normal"/>
    <w:uiPriority w:val="45"/>
    <w:semiHidden/>
    <w:rsid w:val="001D5CD5"/>
    <w:rPr>
      <w:sz w:val="4"/>
    </w:rPr>
  </w:style>
  <w:style w:type="table" w:customStyle="1" w:styleId="ECHRTableGrey">
    <w:name w:val="ECHR_Table_Grey"/>
    <w:basedOn w:val="TableNormal"/>
    <w:uiPriority w:val="99"/>
    <w:rsid w:val="001D5CD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D5CD5"/>
    <w:rPr>
      <w:color w:val="605E5C"/>
      <w:shd w:val="clear" w:color="auto" w:fill="E1DFDD"/>
    </w:rPr>
  </w:style>
  <w:style w:type="character" w:customStyle="1" w:styleId="JuParaChar">
    <w:name w:val="Ju_Para Char"/>
    <w:aliases w:val="_Para Char"/>
    <w:link w:val="JuPara"/>
    <w:uiPriority w:val="4"/>
    <w:rsid w:val="00E3456E"/>
    <w:rPr>
      <w:sz w:val="24"/>
      <w:szCs w:val="24"/>
      <w:lang w:val="en-GB"/>
    </w:rPr>
  </w:style>
  <w:style w:type="table" w:styleId="GridTable1Light">
    <w:name w:val="Grid Table 1 Light"/>
    <w:basedOn w:val="TableNormal"/>
    <w:uiPriority w:val="46"/>
    <w:semiHidden/>
    <w:rsid w:val="001D5CD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1D5CD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D5CD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D5CD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D5CD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D5CD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D5CD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D5CD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D5CD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D5CD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D5CD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D5CD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D5CD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D5CD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D5CD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D5CD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D5CD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D5CD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D5CD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D5CD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D5CD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D5CD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D5CD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D5CD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D5CD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D5CD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D5CD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D5CD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D5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D5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D5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D5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D5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D5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D5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D5CD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D5CD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D5CD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D5CD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D5CD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D5CD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D5CD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D5CD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D5CD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D5CD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D5CD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D5CD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D5CD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D5CD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D5CD5"/>
    <w:rPr>
      <w:color w:val="2B579A"/>
      <w:shd w:val="clear" w:color="auto" w:fill="E1DFDD"/>
    </w:rPr>
  </w:style>
  <w:style w:type="table" w:styleId="ListTable1Light">
    <w:name w:val="List Table 1 Light"/>
    <w:basedOn w:val="TableNormal"/>
    <w:uiPriority w:val="46"/>
    <w:semiHidden/>
    <w:rsid w:val="001D5CD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D5CD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D5CD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D5CD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D5CD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D5CD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D5CD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D5CD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D5CD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D5CD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D5CD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D5CD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D5CD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D5CD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D5C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D5CD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D5CD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D5CD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D5CD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D5CD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D5CD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D5CD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D5CD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D5CD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D5CD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D5CD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D5CD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D5CD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D5CD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D5CD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D5CD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D5CD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D5CD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D5CD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D5CD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D5CD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D5CD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D5CD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D5CD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D5CD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D5CD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D5CD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D5CD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D5CD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D5CD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D5CD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D5CD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D5CD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D5CD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D5CD5"/>
    <w:rPr>
      <w:color w:val="2B579A"/>
      <w:shd w:val="clear" w:color="auto" w:fill="E1DFDD"/>
    </w:rPr>
  </w:style>
  <w:style w:type="table" w:styleId="PlainTable1">
    <w:name w:val="Plain Table 1"/>
    <w:basedOn w:val="TableNormal"/>
    <w:uiPriority w:val="41"/>
    <w:semiHidden/>
    <w:rsid w:val="001D5C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D5C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D5C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D5CD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D5CD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D5CD5"/>
    <w:rPr>
      <w:u w:val="dotted"/>
    </w:rPr>
  </w:style>
  <w:style w:type="character" w:styleId="SmartLink">
    <w:name w:val="Smart Link"/>
    <w:basedOn w:val="DefaultParagraphFont"/>
    <w:uiPriority w:val="99"/>
    <w:semiHidden/>
    <w:unhideWhenUsed/>
    <w:rsid w:val="001D5CD5"/>
    <w:rPr>
      <w:color w:val="0000FF"/>
      <w:u w:val="single"/>
      <w:shd w:val="clear" w:color="auto" w:fill="F3F2F1"/>
    </w:rPr>
  </w:style>
  <w:style w:type="table" w:styleId="GridTableLight">
    <w:name w:val="Grid Table Light"/>
    <w:basedOn w:val="TableNormal"/>
    <w:uiPriority w:val="40"/>
    <w:semiHidden/>
    <w:rsid w:val="001D5C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2087</Words>
  <Characters>11810</Characters>
  <Application>Microsoft Office Word</Application>
  <DocSecurity>0</DocSecurity>
  <Lines>236</Lines>
  <Paragraphs>70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2025-01-10T09:00:00Z</dcterms:created>
  <dcterms:modified xsi:type="dcterms:W3CDTF">2025-01-10T09:32:00Z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1406186</vt:lpwstr>
  </property>
  <property fmtid="{D5CDD505-2E9C-101B-9397-08002B2CF9AE}" pid="3" name="cstLanguage">
    <vt:i4>2057</vt:i4>
  </property>
  <property fmtid="{D5CDD505-2E9C-101B-9397-08002B2CF9AE}" pid="4" name="RegisteredNo">
    <vt:lpwstr>48150/18</vt:lpwstr>
  </property>
</Properties>
</file>