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E2689" w:rsidR="008433D2" w:rsidP="006E2689" w14:paraId="20DA100E" w14:textId="34792586">
      <w:pPr>
        <w:jc w:val="center"/>
      </w:pPr>
    </w:p>
    <w:p w:rsidRPr="006E2689" w:rsidR="008433D2" w:rsidP="006E2689" w14:paraId="68A6B0B7" w14:textId="5BC0CE54">
      <w:pPr>
        <w:jc w:val="center"/>
        <w:rPr>
          <w:sz w:val="4"/>
          <w:szCs w:val="4"/>
        </w:rPr>
      </w:pPr>
    </w:p>
    <w:p w:rsidRPr="006E2689" w:rsidR="008433D2" w:rsidP="006E2689" w14:paraId="5DD64F32" w14:textId="4F97F569">
      <w:pPr>
        <w:pStyle w:val="DecHTitle"/>
      </w:pPr>
      <w:r w:rsidRPr="006E2689">
        <w:t>FIFTH SECTION</w:t>
      </w:r>
    </w:p>
    <w:p w:rsidRPr="006E2689" w:rsidR="008433D2" w:rsidP="006E2689" w14:paraId="01A90E87" w14:textId="77777777">
      <w:pPr>
        <w:pStyle w:val="DecHTitle"/>
      </w:pPr>
      <w:r w:rsidRPr="006E2689">
        <w:t>DECISION</w:t>
      </w:r>
    </w:p>
    <w:p w:rsidRPr="006E2689" w:rsidR="008433D2" w:rsidP="006E2689" w14:paraId="4D9F10F5" w14:textId="2B8E278F">
      <w:pPr>
        <w:pStyle w:val="DecHCase"/>
        <w:rPr>
          <w:i/>
        </w:rPr>
      </w:pPr>
      <w:r w:rsidRPr="006E2689">
        <w:rPr>
          <w:noProof/>
        </w:rPr>
        <w:t>Application no.</w:t>
      </w:r>
      <w:r w:rsidRPr="006E2689" w:rsidR="006267D3">
        <w:t xml:space="preserve"> </w:t>
      </w:r>
      <w:r w:rsidRPr="006E2689">
        <w:t>53825/15</w:t>
      </w:r>
      <w:r w:rsidRPr="006E2689" w:rsidR="006267D3">
        <w:br/>
      </w:r>
      <w:r w:rsidRPr="006E2689">
        <w:rPr>
          <w:noProof/>
        </w:rPr>
        <w:t>Natalya Kostyantynivna SHAPTALA</w:t>
      </w:r>
      <w:r w:rsidRPr="006E2689">
        <w:rPr>
          <w:noProof/>
        </w:rPr>
        <w:br/>
      </w:r>
      <w:r w:rsidRPr="006E2689" w:rsidR="006267D3">
        <w:t xml:space="preserve">against </w:t>
      </w:r>
      <w:r w:rsidRPr="006E2689">
        <w:t>Ukraine</w:t>
      </w:r>
    </w:p>
    <w:p w:rsidRPr="006E2689" w:rsidR="008433D2" w:rsidP="006E2689" w14:paraId="6A5A5E85" w14:textId="2550F986">
      <w:pPr>
        <w:rPr>
          <w:sz w:val="2"/>
          <w:szCs w:val="2"/>
        </w:rPr>
      </w:pPr>
    </w:p>
    <w:p w:rsidRPr="006E2689" w:rsidR="003D75BA" w:rsidP="006E2689" w14:paraId="169BCA36" w14:textId="73111497">
      <w:pPr>
        <w:pStyle w:val="JuPara"/>
      </w:pPr>
      <w:r w:rsidRPr="006E2689">
        <w:t xml:space="preserve">The European Court of Human Rights (Fifth Section), sitting on </w:t>
      </w:r>
      <w:r w:rsidRPr="006E2689" w:rsidR="008433D2">
        <w:t>7 November 2024</w:t>
      </w:r>
      <w:r w:rsidRPr="006E2689">
        <w:t xml:space="preserve"> as a Committee composed of:</w:t>
      </w:r>
    </w:p>
    <w:p w:rsidRPr="006E2689" w:rsidR="003D75BA" w:rsidP="006E2689" w14:paraId="71A927D8" w14:textId="60422F61">
      <w:pPr>
        <w:pStyle w:val="JuJudges"/>
        <w:rPr>
          <w:iCs/>
        </w:rPr>
      </w:pPr>
      <w:r w:rsidRPr="006E2689">
        <w:tab/>
        <w:t xml:space="preserve">Andreas </w:t>
      </w:r>
      <w:r w:rsidRPr="006E2689">
        <w:t>Zünd</w:t>
      </w:r>
      <w:r w:rsidRPr="006E2689">
        <w:rPr>
          <w:i/>
        </w:rPr>
        <w:t>, President</w:t>
      </w:r>
      <w:r w:rsidRPr="006E2689">
        <w:t>,</w:t>
      </w:r>
      <w:r w:rsidRPr="006E2689">
        <w:br/>
      </w:r>
      <w:r w:rsidRPr="006E2689">
        <w:tab/>
      </w:r>
      <w:r w:rsidRPr="006E2689">
        <w:t>Kateřina</w:t>
      </w:r>
      <w:r w:rsidRPr="006E2689">
        <w:t xml:space="preserve"> </w:t>
      </w:r>
      <w:r w:rsidRPr="006E2689">
        <w:t>Šimáčková</w:t>
      </w:r>
      <w:r w:rsidRPr="006E2689">
        <w:t>,</w:t>
      </w:r>
      <w:r w:rsidRPr="006E2689">
        <w:br/>
      </w:r>
      <w:r w:rsidRPr="006E2689">
        <w:tab/>
        <w:t>Mykola Gnatovskyy</w:t>
      </w:r>
      <w:r w:rsidRPr="006E2689">
        <w:rPr>
          <w:i/>
        </w:rPr>
        <w:t>, judges</w:t>
      </w:r>
      <w:r w:rsidRPr="006E2689">
        <w:t>,</w:t>
      </w:r>
      <w:r w:rsidRPr="006E2689">
        <w:br/>
        <w:t xml:space="preserve">and Martina Keller, </w:t>
      </w:r>
      <w:r w:rsidRPr="006E2689">
        <w:rPr>
          <w:i/>
        </w:rPr>
        <w:t>Deputy</w:t>
      </w:r>
      <w:r w:rsidRPr="006E2689">
        <w:t xml:space="preserve"> </w:t>
      </w:r>
      <w:r w:rsidRPr="006E2689">
        <w:rPr>
          <w:i/>
          <w:iCs/>
        </w:rPr>
        <w:t>Section Registrar</w:t>
      </w:r>
      <w:r w:rsidRPr="006E2689">
        <w:rPr>
          <w:i/>
        </w:rPr>
        <w:t>,</w:t>
      </w:r>
    </w:p>
    <w:p w:rsidRPr="006E2689" w:rsidR="003D75BA" w:rsidP="006E2689" w14:paraId="016A8C73" w14:textId="77777777">
      <w:pPr>
        <w:pStyle w:val="JuPara"/>
      </w:pPr>
      <w:r w:rsidRPr="006E2689">
        <w:t>Having regard to:</w:t>
      </w:r>
    </w:p>
    <w:p w:rsidRPr="006E2689" w:rsidR="003D75BA" w:rsidP="006E2689" w14:paraId="6F9AB85E" w14:textId="6FC88044">
      <w:pPr>
        <w:pStyle w:val="JuPara"/>
      </w:pPr>
      <w:r w:rsidRPr="006E2689">
        <w:t xml:space="preserve">the application (no. 53825/15) against Ukraine lodged with the Court under Article 34 of the Convention for the Protection of Human Rights and Fundamental Freedoms (“the Convention”) on 26 October 2015 by a Ukrainian national, Ms Natalya </w:t>
      </w:r>
      <w:r w:rsidRPr="006E2689">
        <w:t>Kostyantynivna</w:t>
      </w:r>
      <w:r w:rsidRPr="006E2689">
        <w:t xml:space="preserve"> Shaptala (“the applicant”), who was born in 1959, lives in Kyiv and was represented by the late Ms</w:t>
      </w:r>
      <w:r w:rsidRPr="006E2689" w:rsidR="00701724">
        <w:t> </w:t>
      </w:r>
      <w:r w:rsidRPr="006E2689">
        <w:t>O.Y.</w:t>
      </w:r>
      <w:r w:rsidRPr="006E2689" w:rsidR="00701724">
        <w:t> </w:t>
      </w:r>
      <w:r w:rsidRPr="006E2689">
        <w:t>Lyoshenko</w:t>
      </w:r>
      <w:r w:rsidRPr="006E2689">
        <w:t>, a lawyer who practised in Kyiv;</w:t>
      </w:r>
    </w:p>
    <w:p w:rsidRPr="006E2689" w:rsidR="003D75BA" w:rsidP="006E2689" w14:paraId="1D9FEEE1" w14:textId="77777777">
      <w:pPr>
        <w:pStyle w:val="JuPara"/>
      </w:pPr>
      <w:r w:rsidRPr="006E2689">
        <w:t>Having deliberated, decides as follows:</w:t>
      </w:r>
    </w:p>
    <w:p w:rsidRPr="006E2689" w:rsidR="003D75BA" w:rsidP="006E2689" w14:paraId="1B9BEF01" w14:textId="3B8339CB">
      <w:pPr>
        <w:pStyle w:val="JuHHead"/>
        <w:numPr>
          <w:ilvl w:val="0"/>
          <w:numId w:val="0"/>
        </w:numPr>
      </w:pPr>
      <w:r w:rsidRPr="006E2689">
        <w:t>SUBJECT MATTER OF THE CASE</w:t>
      </w:r>
    </w:p>
    <w:p w:rsidRPr="006E2689" w:rsidR="003D75BA" w:rsidP="006E2689" w14:paraId="482CB4DB" w14:textId="49E92621">
      <w:pPr>
        <w:pStyle w:val="JuPara"/>
      </w:pPr>
      <w:r w:rsidRPr="006E2689">
        <w:fldChar w:fldCharType="begin"/>
      </w:r>
      <w:r w:rsidRPr="006E2689">
        <w:instrText xml:space="preserve"> SEQ level0 \*arabic \* MERGEFORMAT </w:instrText>
      </w:r>
      <w:r w:rsidRPr="006E2689">
        <w:fldChar w:fldCharType="separate"/>
      </w:r>
      <w:r w:rsidRPr="006E2689">
        <w:rPr>
          <w:noProof/>
        </w:rPr>
        <w:t>1</w:t>
      </w:r>
      <w:r w:rsidRPr="006E2689">
        <w:rPr>
          <w:noProof/>
        </w:rPr>
        <w:fldChar w:fldCharType="end"/>
      </w:r>
      <w:r w:rsidRPr="006E2689">
        <w:t>.  The present case concerns Parliament</w:t>
      </w:r>
      <w:r w:rsidRPr="006E2689">
        <w:t>’</w:t>
      </w:r>
      <w:r w:rsidRPr="006E2689">
        <w:t>s proposal to dismiss the applicant from her post as judge of the Constitutional Court of Ukraine (“the Constitutional Court”) for “breach of oath”, allegedly in breach of Articles 6, 8, 10 and 18 of the Convention.</w:t>
      </w:r>
    </w:p>
    <w:p w:rsidRPr="006E2689" w:rsidR="003D75BA" w:rsidP="006E2689" w14:paraId="762317F0" w14:textId="0E952771">
      <w:pPr>
        <w:pStyle w:val="JuPara"/>
      </w:pPr>
      <w:r w:rsidRPr="006E2689">
        <w:fldChar w:fldCharType="begin"/>
      </w:r>
      <w:r w:rsidRPr="006E2689">
        <w:instrText xml:space="preserve"> SEQ level0 \*arabic \* MERGEFORMAT </w:instrText>
      </w:r>
      <w:r w:rsidRPr="006E2689">
        <w:fldChar w:fldCharType="separate"/>
      </w:r>
      <w:bookmarkStart w:name="paragraph00002" w:id="0"/>
      <w:r w:rsidRPr="006E2689">
        <w:rPr>
          <w:noProof/>
        </w:rPr>
        <w:t>2</w:t>
      </w:r>
      <w:bookmarkEnd w:id="0"/>
      <w:r w:rsidRPr="006E2689">
        <w:rPr>
          <w:noProof/>
        </w:rPr>
        <w:fldChar w:fldCharType="end"/>
      </w:r>
      <w:r w:rsidRPr="006E2689">
        <w:t>.  In September 2010 the Congress of Judges (“the Congress”) appointed the applicant to the post of judge of the Constitutional Court for a non-renewable term of nine years.</w:t>
      </w:r>
    </w:p>
    <w:p w:rsidRPr="006E2689" w:rsidR="003D75BA" w:rsidP="006E2689" w14:paraId="3B5A3EFC" w14:textId="2EEBB0C0">
      <w:pPr>
        <w:pStyle w:val="JuPara"/>
      </w:pPr>
      <w:r w:rsidRPr="006E2689">
        <w:fldChar w:fldCharType="begin"/>
      </w:r>
      <w:r w:rsidRPr="006E2689">
        <w:instrText xml:space="preserve"> SEQ level0 \*arabic \* MERGEFORMAT </w:instrText>
      </w:r>
      <w:r w:rsidRPr="006E2689">
        <w:fldChar w:fldCharType="separate"/>
      </w:r>
      <w:bookmarkStart w:name="paragraph00003" w:id="1"/>
      <w:r w:rsidRPr="006E2689">
        <w:rPr>
          <w:noProof/>
        </w:rPr>
        <w:t>3</w:t>
      </w:r>
      <w:bookmarkEnd w:id="1"/>
      <w:r w:rsidRPr="006E2689">
        <w:rPr>
          <w:noProof/>
        </w:rPr>
        <w:fldChar w:fldCharType="end"/>
      </w:r>
      <w:r w:rsidRPr="006E2689">
        <w:t xml:space="preserve">.  On 24 February 2014 Parliament adopted a resolution on “Responding to the “breach of oath” by judges of the Constitutional Court of Ukraine” (“the Resolution”), which stated that the judges of the Constitutional Court who had adopted its judgment of 30 September 2010 declaring unconstitutional the 2004 amendments to the Constitution had breached their </w:t>
      </w:r>
      <w:r w:rsidRPr="006E2689">
        <w:t xml:space="preserve">judicial oath. By that resolution, Parliament dismissed the judges of the Constitutional Court who had been appointed by Parliament (see </w:t>
      </w:r>
      <w:r w:rsidRPr="006E2689">
        <w:rPr>
          <w:i/>
          <w:iCs/>
        </w:rPr>
        <w:t>Ovcharenko</w:t>
      </w:r>
      <w:r w:rsidRPr="006E2689">
        <w:rPr>
          <w:i/>
          <w:iCs/>
        </w:rPr>
        <w:t xml:space="preserve"> and Kolos v. Ukraine</w:t>
      </w:r>
      <w:r w:rsidRPr="006E2689">
        <w:t xml:space="preserve">, nos. 27276/15 and 33692/15, §§ 5-20, 12 January 2023, and </w:t>
      </w:r>
      <w:r w:rsidRPr="006E2689">
        <w:rPr>
          <w:i/>
          <w:iCs/>
        </w:rPr>
        <w:t>Golovin v. Ukraine</w:t>
      </w:r>
      <w:r w:rsidRPr="006E2689">
        <w:t>, no. 47052/18, § 6, 13 July 2023). It also invited the President and the Congress to take measures to dismiss the judges of the Constitutional Court, including the applicant,</w:t>
      </w:r>
      <w:r w:rsidRPr="006E2689">
        <w:rPr>
          <w:rFonts w:ascii="Times New Roman" w:hAnsi="Times New Roman" w:eastAsia="Calibri" w:cs="Times New Roman"/>
        </w:rPr>
        <w:t xml:space="preserve"> </w:t>
      </w:r>
      <w:r w:rsidRPr="006E2689">
        <w:t xml:space="preserve">who had been appointed by the President and the Congress. Lastly, Parliament asked the Office of the Prosecutor General (“the OPG”) to launch a criminal investigation into the circumstances in which the Constitutional Court had delivered the </w:t>
      </w:r>
      <w:r w:rsidRPr="006E2689" w:rsidR="004474D0">
        <w:t>above-mentioned</w:t>
      </w:r>
      <w:r w:rsidRPr="006E2689">
        <w:t xml:space="preserve"> judgment.</w:t>
      </w:r>
    </w:p>
    <w:p w:rsidRPr="006E2689" w:rsidR="003D75BA" w:rsidP="006E2689" w14:paraId="102F1980" w14:textId="500344BA">
      <w:pPr>
        <w:pStyle w:val="JuPara"/>
      </w:pPr>
      <w:r w:rsidRPr="006E2689">
        <w:fldChar w:fldCharType="begin"/>
      </w:r>
      <w:r w:rsidRPr="006E2689">
        <w:instrText xml:space="preserve"> SEQ level0 \*arabic \* MERGEFORMAT </w:instrText>
      </w:r>
      <w:r w:rsidRPr="006E2689">
        <w:fldChar w:fldCharType="separate"/>
      </w:r>
      <w:bookmarkStart w:name="paragraph00004" w:id="2"/>
      <w:r w:rsidRPr="006E2689">
        <w:rPr>
          <w:noProof/>
        </w:rPr>
        <w:t>4</w:t>
      </w:r>
      <w:bookmarkEnd w:id="2"/>
      <w:r w:rsidRPr="006E2689">
        <w:rPr>
          <w:noProof/>
        </w:rPr>
        <w:fldChar w:fldCharType="end"/>
      </w:r>
      <w:r w:rsidRPr="006E2689">
        <w:t>.  In March 2014 the applicant challenged the Resolution in the national courts. In a final decision, on 28 April 2015 the Supreme Court of Ukraine (“the Supreme Court”) dismissed the applicant</w:t>
      </w:r>
      <w:r w:rsidRPr="006E2689">
        <w:t>’</w:t>
      </w:r>
      <w:r w:rsidRPr="006E2689">
        <w:t>s claim. It held that Parliament had been empowered to assess the Constitutional Court</w:t>
      </w:r>
      <w:r w:rsidRPr="006E2689">
        <w:t>’</w:t>
      </w:r>
      <w:r w:rsidRPr="006E2689">
        <w:t>s judgment of 30 September 2010 because amending the Constitution and appointing or dismissing one-third of the judges of the Constitutional Court fell within Parliament</w:t>
      </w:r>
      <w:r w:rsidRPr="006E2689">
        <w:t>’</w:t>
      </w:r>
      <w:r w:rsidRPr="006E2689">
        <w:t>s competence. The Supreme Court emphasised that Parliament had not examined the question of the applicant</w:t>
      </w:r>
      <w:r w:rsidRPr="006E2689">
        <w:t>’</w:t>
      </w:r>
      <w:r w:rsidRPr="006E2689">
        <w:t>s dismissal but had only submitted a proposal for such an examination to the Congress, which had appointed her to the judicial post. The Supreme Court also observed that Parliament had acted within its powers when asking the OPG to investigate a possible criminal offence in connection with the delivery of the Constitutional Court</w:t>
      </w:r>
      <w:r w:rsidRPr="006E2689">
        <w:t>’</w:t>
      </w:r>
      <w:r w:rsidRPr="006E2689">
        <w:t>s judgment of 30 September 2010.</w:t>
      </w:r>
    </w:p>
    <w:p w:rsidRPr="006E2689" w:rsidR="003D75BA" w:rsidP="006E2689" w14:paraId="79F1EFB4" w14:textId="7CE59E05">
      <w:pPr>
        <w:pStyle w:val="JuPara"/>
        <w:rPr>
          <w:rFonts w:ascii="Times New Roman" w:hAnsi="Times New Roman" w:cs="Times New Roman"/>
        </w:rPr>
      </w:pPr>
      <w:r w:rsidRPr="006E2689">
        <w:fldChar w:fldCharType="begin"/>
      </w:r>
      <w:r w:rsidRPr="006E2689">
        <w:instrText xml:space="preserve"> SEQ level0 \*arabic \* MERGEFORMAT </w:instrText>
      </w:r>
      <w:r w:rsidRPr="006E2689">
        <w:fldChar w:fldCharType="separate"/>
      </w:r>
      <w:r w:rsidRPr="006E2689">
        <w:rPr>
          <w:noProof/>
        </w:rPr>
        <w:t>5</w:t>
      </w:r>
      <w:r w:rsidRPr="006E2689">
        <w:rPr>
          <w:noProof/>
        </w:rPr>
        <w:fldChar w:fldCharType="end"/>
      </w:r>
      <w:r w:rsidRPr="006E2689">
        <w:t>.  The applicant has not informed the Court about subsequent developments in her case following the Supreme Court</w:t>
      </w:r>
      <w:r w:rsidRPr="006E2689">
        <w:t>’</w:t>
      </w:r>
      <w:r w:rsidRPr="006E2689">
        <w:t>s decision of 28 April 2015, but publicly available sources of information reveal the following.</w:t>
      </w:r>
    </w:p>
    <w:p w:rsidRPr="006E2689" w:rsidR="003D75BA" w:rsidP="006E2689" w14:paraId="5185D309" w14:textId="65A1E16A">
      <w:pPr>
        <w:pStyle w:val="JuPara"/>
      </w:pPr>
      <w:r w:rsidRPr="006E2689">
        <w:fldChar w:fldCharType="begin"/>
      </w:r>
      <w:r w:rsidRPr="006E2689">
        <w:instrText xml:space="preserve"> SEQ level0 \*arabic \* MERGEFORMAT </w:instrText>
      </w:r>
      <w:r w:rsidRPr="006E2689">
        <w:fldChar w:fldCharType="separate"/>
      </w:r>
      <w:bookmarkStart w:name="paragraph00008" w:id="3"/>
      <w:r w:rsidRPr="006E2689">
        <w:rPr>
          <w:noProof/>
        </w:rPr>
        <w:t>6</w:t>
      </w:r>
      <w:bookmarkEnd w:id="3"/>
      <w:r w:rsidRPr="006E2689">
        <w:rPr>
          <w:noProof/>
        </w:rPr>
        <w:fldChar w:fldCharType="end"/>
      </w:r>
      <w:r w:rsidRPr="006E2689">
        <w:t>.  On 14 May 2019 the applicant was elected as President of the Constitutional Court by her peers.</w:t>
      </w:r>
    </w:p>
    <w:p w:rsidRPr="006E2689" w:rsidR="003D75BA" w:rsidP="006E2689" w14:paraId="15FDE9D9" w14:textId="5F8C5FFA">
      <w:pPr>
        <w:pStyle w:val="JuPara"/>
      </w:pPr>
      <w:r w:rsidRPr="006E2689">
        <w:fldChar w:fldCharType="begin"/>
      </w:r>
      <w:r w:rsidRPr="006E2689">
        <w:instrText xml:space="preserve"> SEQ level0 \*arabic \* MERGEFORMAT </w:instrText>
      </w:r>
      <w:r w:rsidRPr="006E2689">
        <w:fldChar w:fldCharType="separate"/>
      </w:r>
      <w:bookmarkStart w:name="paragraph00009" w:id="4"/>
      <w:r w:rsidRPr="006E2689">
        <w:rPr>
          <w:noProof/>
        </w:rPr>
        <w:t>7</w:t>
      </w:r>
      <w:bookmarkEnd w:id="4"/>
      <w:r w:rsidRPr="006E2689">
        <w:rPr>
          <w:noProof/>
        </w:rPr>
        <w:fldChar w:fldCharType="end"/>
      </w:r>
      <w:r w:rsidRPr="006E2689">
        <w:t>.  On 20 May 2019 the applicant, as President of the Constitutional Court, swore in the newly elected President of Ukraine.</w:t>
      </w:r>
    </w:p>
    <w:p w:rsidRPr="006E2689" w:rsidR="003D75BA" w:rsidP="006E2689" w14:paraId="4900DAAF" w14:textId="3B2EF155">
      <w:pPr>
        <w:pStyle w:val="JuPara"/>
      </w:pPr>
      <w:r w:rsidRPr="006E2689">
        <w:fldChar w:fldCharType="begin"/>
      </w:r>
      <w:r w:rsidRPr="006E2689">
        <w:instrText xml:space="preserve"> SEQ level0 \*arabic \* MERGEFORMAT </w:instrText>
      </w:r>
      <w:r w:rsidRPr="006E2689">
        <w:fldChar w:fldCharType="separate"/>
      </w:r>
      <w:bookmarkStart w:name="paragraph00010" w:id="5"/>
      <w:r w:rsidRPr="006E2689">
        <w:rPr>
          <w:noProof/>
        </w:rPr>
        <w:t>8</w:t>
      </w:r>
      <w:bookmarkEnd w:id="5"/>
      <w:r w:rsidRPr="006E2689">
        <w:rPr>
          <w:noProof/>
        </w:rPr>
        <w:fldChar w:fldCharType="end"/>
      </w:r>
      <w:r w:rsidRPr="006E2689">
        <w:t>.  On 17 September 2019 the applicant resigned from her position as a judge of the Constitutional Court at the end of her nine-year term.</w:t>
      </w:r>
    </w:p>
    <w:p w:rsidRPr="006E2689" w:rsidR="003D75BA" w:rsidP="006E2689" w14:paraId="40D255E6" w14:textId="1B47E7B0">
      <w:pPr>
        <w:pStyle w:val="JuPara"/>
      </w:pPr>
      <w:r w:rsidRPr="006E2689">
        <w:fldChar w:fldCharType="begin"/>
      </w:r>
      <w:r w:rsidRPr="006E2689">
        <w:instrText xml:space="preserve"> SEQ level0 \*arabic \* MERGEFORMAT </w:instrText>
      </w:r>
      <w:r w:rsidRPr="006E2689">
        <w:fldChar w:fldCharType="separate"/>
      </w:r>
      <w:bookmarkStart w:name="paragraph00011" w:id="6"/>
      <w:r w:rsidRPr="006E2689">
        <w:rPr>
          <w:noProof/>
        </w:rPr>
        <w:t>9</w:t>
      </w:r>
      <w:bookmarkEnd w:id="6"/>
      <w:r w:rsidRPr="006E2689">
        <w:rPr>
          <w:noProof/>
        </w:rPr>
        <w:fldChar w:fldCharType="end"/>
      </w:r>
      <w:r w:rsidRPr="006E2689">
        <w:t>.  On 8 October 2020 the President of Ukraine awarded the applicant the honorary title of “Honoured Lawyer of Ukraine”.</w:t>
      </w:r>
    </w:p>
    <w:p w:rsidRPr="006E2689" w:rsidR="003D75BA" w:rsidP="006E2689" w14:paraId="603628BA" w14:textId="77777777">
      <w:pPr>
        <w:pStyle w:val="JuHHead"/>
        <w:keepNext w:val="0"/>
        <w:keepLines w:val="0"/>
        <w:numPr>
          <w:ilvl w:val="0"/>
          <w:numId w:val="1"/>
        </w:numPr>
        <w:ind w:left="360" w:hanging="360"/>
      </w:pPr>
      <w:r w:rsidRPr="006E2689">
        <w:t>RELEVANT LEGAL FRAMEWORK AND PRACTICE</w:t>
      </w:r>
    </w:p>
    <w:p w:rsidRPr="006E2689" w:rsidR="003D75BA" w:rsidP="006E2689" w14:paraId="18C54F0D" w14:textId="5D9DE909">
      <w:pPr>
        <w:pStyle w:val="JuPara"/>
      </w:pPr>
      <w:r w:rsidRPr="006E2689">
        <w:fldChar w:fldCharType="begin"/>
      </w:r>
      <w:r w:rsidRPr="006E2689">
        <w:instrText xml:space="preserve"> SEQ level0 \*arabic \*</w:instrText>
      </w:r>
      <w:r w:rsidRPr="006E2689">
        <w:instrText xml:space="preserve"> MERGEFORMAT </w:instrText>
      </w:r>
      <w:r w:rsidRPr="006E2689">
        <w:fldChar w:fldCharType="separate"/>
      </w:r>
      <w:r w:rsidRPr="006E2689">
        <w:rPr>
          <w:noProof/>
        </w:rPr>
        <w:t>10</w:t>
      </w:r>
      <w:r w:rsidRPr="006E2689">
        <w:rPr>
          <w:noProof/>
        </w:rPr>
        <w:fldChar w:fldCharType="end"/>
      </w:r>
      <w:r w:rsidRPr="006E2689">
        <w:t xml:space="preserve">.  The relevant material can be found in </w:t>
      </w:r>
      <w:r w:rsidRPr="006E2689">
        <w:rPr>
          <w:i/>
          <w:iCs/>
        </w:rPr>
        <w:t>Ovcharenko</w:t>
      </w:r>
      <w:r w:rsidRPr="006E2689">
        <w:rPr>
          <w:i/>
          <w:iCs/>
        </w:rPr>
        <w:t xml:space="preserve"> and Kolos</w:t>
      </w:r>
      <w:r w:rsidRPr="006E2689">
        <w:t xml:space="preserve"> (cited above, §§ 33-73).</w:t>
      </w:r>
    </w:p>
    <w:p w:rsidRPr="006E2689" w:rsidR="003D75BA" w:rsidP="006E2689" w14:paraId="64765347" w14:textId="6FA9B483">
      <w:pPr>
        <w:pStyle w:val="JuHHead"/>
        <w:keepNext w:val="0"/>
        <w:keepLines w:val="0"/>
        <w:numPr>
          <w:ilvl w:val="0"/>
          <w:numId w:val="1"/>
        </w:numPr>
        <w:ind w:left="360" w:hanging="360"/>
      </w:pPr>
      <w:r w:rsidRPr="006E2689">
        <w:t>THE COURT</w:t>
      </w:r>
      <w:r w:rsidRPr="006E2689" w:rsidR="006E2689">
        <w:t>’</w:t>
      </w:r>
      <w:r w:rsidRPr="006E2689">
        <w:t>S ASSESSMENT</w:t>
      </w:r>
    </w:p>
    <w:p w:rsidRPr="006E2689" w:rsidR="003D75BA" w:rsidP="006E2689" w14:paraId="2A65B56B" w14:textId="152D52A1">
      <w:pPr>
        <w:pStyle w:val="JuPara"/>
      </w:pPr>
      <w:r w:rsidRPr="006E2689">
        <w:fldChar w:fldCharType="begin"/>
      </w:r>
      <w:r w:rsidRPr="006E2689">
        <w:instrText xml:space="preserve"> SEQ level0 \*arabic \* MERGEFORMAT </w:instrText>
      </w:r>
      <w:r w:rsidRPr="006E2689">
        <w:fldChar w:fldCharType="separate"/>
      </w:r>
      <w:r w:rsidRPr="006E2689">
        <w:rPr>
          <w:noProof/>
        </w:rPr>
        <w:t>11</w:t>
      </w:r>
      <w:r w:rsidRPr="006E2689">
        <w:rPr>
          <w:noProof/>
        </w:rPr>
        <w:fldChar w:fldCharType="end"/>
      </w:r>
      <w:r w:rsidRPr="006E2689">
        <w:t>.  The applicant complained under Article 6 of the Convention (under both its criminal and civil limbs) that (</w:t>
      </w:r>
      <w:r w:rsidRPr="006E2689">
        <w:t>i</w:t>
      </w:r>
      <w:r w:rsidRPr="006E2689">
        <w:t xml:space="preserve">) her case had not been examined by </w:t>
      </w:r>
      <w:r w:rsidRPr="006E2689">
        <w:t>an “independent and impartial tribunal established by law”; (ii) she had been denied the procedural guarantees of a fair hearing; (iii) the right to a reasoned court decision had not been respected; and (iv) the principle of legal certainty had not been observed given that no time-limits existed for imposing liability for “breach of oath”.</w:t>
      </w:r>
    </w:p>
    <w:p w:rsidRPr="006E2689" w:rsidR="003D75BA" w:rsidP="006E2689" w14:paraId="1AED8F8F" w14:textId="52B4296D">
      <w:pPr>
        <w:pStyle w:val="JuPara"/>
      </w:pPr>
      <w:r w:rsidRPr="006E2689">
        <w:fldChar w:fldCharType="begin"/>
      </w:r>
      <w:r w:rsidRPr="006E2689">
        <w:instrText xml:space="preserve"> SEQ level0 \*arabic \* MERGEFORMAT </w:instrText>
      </w:r>
      <w:r w:rsidRPr="006E2689">
        <w:fldChar w:fldCharType="separate"/>
      </w:r>
      <w:r w:rsidRPr="006E2689">
        <w:rPr>
          <w:noProof/>
        </w:rPr>
        <w:t>12</w:t>
      </w:r>
      <w:r w:rsidRPr="006E2689">
        <w:rPr>
          <w:noProof/>
        </w:rPr>
        <w:fldChar w:fldCharType="end"/>
      </w:r>
      <w:r w:rsidRPr="006E2689">
        <w:t>.  Regarding the criminal limb of Article 6 of the Convention, the Court considers that the facts of the present case do not give grounds for a conclusion that the applicant</w:t>
      </w:r>
      <w:r w:rsidRPr="006E2689">
        <w:t>’</w:t>
      </w:r>
      <w:r w:rsidRPr="006E2689">
        <w:t xml:space="preserve">s case related to the determination of a criminal charge (see </w:t>
      </w:r>
      <w:r w:rsidRPr="006E2689">
        <w:rPr>
          <w:i/>
          <w:iCs/>
        </w:rPr>
        <w:t>Oleksandr Volkov v. Ukraine</w:t>
      </w:r>
      <w:r w:rsidRPr="006E2689">
        <w:t>, no. 21722/11, §§ 93-95, ECHR 2013). The Court proceeds on the basis that it was Parliament that invited the OPG to launch a criminal investigation into the circumstances of the delivery of the Constitutional Court</w:t>
      </w:r>
      <w:r w:rsidRPr="006E2689">
        <w:t>’</w:t>
      </w:r>
      <w:r w:rsidRPr="006E2689">
        <w:t>s judgment of 30 September 2010 (see paragraph </w:t>
      </w:r>
      <w:r w:rsidRPr="006E2689">
        <w:fldChar w:fldCharType="begin"/>
      </w:r>
      <w:r w:rsidRPr="006E2689">
        <w:instrText xml:space="preserve"> REF paragraph00003 \h  \* CharFormat </w:instrText>
      </w:r>
      <w:r w:rsidRPr="006E2689">
        <w:fldChar w:fldCharType="separate"/>
      </w:r>
      <w:r w:rsidRPr="006E2689">
        <w:t>3</w:t>
      </w:r>
      <w:r w:rsidRPr="006E2689">
        <w:fldChar w:fldCharType="end"/>
      </w:r>
      <w:r w:rsidRPr="006E2689">
        <w:t xml:space="preserve"> above). There is no indication that the applicant had ever been formally suspected of, or charged with, any criminal offence in relation to her participation in the delivery of the above-mentioned judgment. Accordingly, Article 6 of the Convention is inapplicable under its criminal limb.</w:t>
      </w:r>
    </w:p>
    <w:p w:rsidRPr="006E2689" w:rsidR="003D75BA" w:rsidP="006E2689" w14:paraId="26A91194" w14:textId="57DE1DAD">
      <w:pPr>
        <w:pStyle w:val="JuPara"/>
      </w:pPr>
      <w:r w:rsidRPr="006E2689">
        <w:fldChar w:fldCharType="begin"/>
      </w:r>
      <w:r w:rsidRPr="006E2689">
        <w:instrText xml:space="preserve"> SEQ level0 \*arabic \* MERGEFORMAT </w:instrText>
      </w:r>
      <w:r w:rsidRPr="006E2689">
        <w:fldChar w:fldCharType="separate"/>
      </w:r>
      <w:r w:rsidRPr="006E2689">
        <w:rPr>
          <w:noProof/>
        </w:rPr>
        <w:t>13</w:t>
      </w:r>
      <w:r w:rsidRPr="006E2689">
        <w:rPr>
          <w:noProof/>
        </w:rPr>
        <w:fldChar w:fldCharType="end"/>
      </w:r>
      <w:r w:rsidRPr="006E2689">
        <w:t>.  As to the applicability of Article 6 of the Convention under its civil limb, the Court has emphasised on many occasions that there must be a “dispute” (“</w:t>
      </w:r>
      <w:r w:rsidRPr="006E2689">
        <w:rPr>
          <w:i/>
          <w:iCs/>
        </w:rPr>
        <w:t>contestation</w:t>
      </w:r>
      <w:r w:rsidRPr="006E2689">
        <w:t xml:space="preserve">” in French) over a “civil” right which can be said, at least on arguable grounds, to be recognised under domestic law, irrespective of whether that right is protected under the Convention. The dispute must be genuine and serious and the result of the proceedings must be directly decisive for the right in question, mere tenuous connections or remote consequences not being sufficient to bring Article 6 of the Convention into play (see, among many other authorities, </w:t>
      </w:r>
      <w:r w:rsidRPr="006E2689">
        <w:rPr>
          <w:i/>
          <w:iCs/>
        </w:rPr>
        <w:t>Grzęda</w:t>
      </w:r>
      <w:r w:rsidRPr="006E2689">
        <w:rPr>
          <w:i/>
          <w:iCs/>
        </w:rPr>
        <w:t xml:space="preserve"> v. Poland</w:t>
      </w:r>
      <w:r w:rsidRPr="006E2689">
        <w:t xml:space="preserve"> [GC], no. 43572/18, § 257, 15 March 2022).</w:t>
      </w:r>
    </w:p>
    <w:p w:rsidRPr="006E2689" w:rsidR="003D75BA" w:rsidP="006E2689" w14:paraId="3F14302F" w14:textId="5282BA35">
      <w:pPr>
        <w:pStyle w:val="JuPara"/>
      </w:pPr>
      <w:r w:rsidRPr="006E2689">
        <w:fldChar w:fldCharType="begin"/>
      </w:r>
      <w:r w:rsidRPr="006E2689">
        <w:instrText xml:space="preserve"> SEQ level0 \*arabic \* MERGEFORMAT </w:instrText>
      </w:r>
      <w:r w:rsidRPr="006E2689">
        <w:fldChar w:fldCharType="separate"/>
      </w:r>
      <w:r w:rsidRPr="006E2689">
        <w:rPr>
          <w:noProof/>
        </w:rPr>
        <w:t>14</w:t>
      </w:r>
      <w:r w:rsidRPr="006E2689">
        <w:rPr>
          <w:noProof/>
        </w:rPr>
        <w:fldChar w:fldCharType="end"/>
      </w:r>
      <w:r w:rsidRPr="006E2689">
        <w:t xml:space="preserve">.  Turning to the present case, the Court notes that Ukrainian legislation did not preclude the applicant from challenging the Resolution in the national courts which, in turn, considered her claim on the merits (see paragraph </w:t>
      </w:r>
      <w:r w:rsidRPr="006E2689">
        <w:fldChar w:fldCharType="begin"/>
      </w:r>
      <w:r w:rsidRPr="006E2689">
        <w:instrText xml:space="preserve"> REF paragraph00004 \h  \* CharFormat </w:instrText>
      </w:r>
      <w:r w:rsidRPr="006E2689">
        <w:fldChar w:fldCharType="separate"/>
      </w:r>
      <w:r w:rsidRPr="006E2689">
        <w:t>4</w:t>
      </w:r>
      <w:r w:rsidRPr="006E2689">
        <w:fldChar w:fldCharType="end"/>
      </w:r>
      <w:r w:rsidRPr="006E2689">
        <w:t xml:space="preserve"> above). It follows that there was a “dispute” over the applicant</w:t>
      </w:r>
      <w:r w:rsidRPr="006E2689">
        <w:t>’</w:t>
      </w:r>
      <w:r w:rsidRPr="006E2689">
        <w:t>s right to contest Parliament</w:t>
      </w:r>
      <w:r w:rsidRPr="006E2689">
        <w:t>’</w:t>
      </w:r>
      <w:r w:rsidRPr="006E2689">
        <w:t>s conclusion that there had been a “breach of oath”, so such a right can be said to be recognised in domestic law. Nevertheless, the concept of “civil rights and obligations” is an autonomous concept deriving from the Convention which cannot be interpreted solely by reference to the respondent State</w:t>
      </w:r>
      <w:r w:rsidRPr="006E2689">
        <w:t>’</w:t>
      </w:r>
      <w:r w:rsidRPr="006E2689">
        <w:t>s domestic law (see, among many other examples,</w:t>
      </w:r>
      <w:r w:rsidRPr="006E2689">
        <w:rPr>
          <w:i/>
          <w:iCs/>
        </w:rPr>
        <w:t xml:space="preserve"> </w:t>
      </w:r>
      <w:r w:rsidRPr="006E2689">
        <w:rPr>
          <w:i/>
          <w:iCs/>
        </w:rPr>
        <w:t>Grzęda</w:t>
      </w:r>
      <w:r w:rsidRPr="006E2689">
        <w:t>, cited above, § 287).</w:t>
      </w:r>
    </w:p>
    <w:p w:rsidRPr="006E2689" w:rsidR="003D75BA" w:rsidP="006E2689" w14:paraId="0489579D" w14:textId="29FFC9F2">
      <w:pPr>
        <w:pStyle w:val="JuPara"/>
      </w:pPr>
      <w:r w:rsidRPr="006E2689">
        <w:fldChar w:fldCharType="begin"/>
      </w:r>
      <w:r w:rsidRPr="006E2689">
        <w:instrText xml:space="preserve"> SEQ level0 \*arabic \* MERGEFORMAT </w:instrText>
      </w:r>
      <w:r w:rsidRPr="006E2689">
        <w:fldChar w:fldCharType="separate"/>
      </w:r>
      <w:r w:rsidRPr="006E2689">
        <w:rPr>
          <w:noProof/>
        </w:rPr>
        <w:t>15</w:t>
      </w:r>
      <w:r w:rsidRPr="006E2689">
        <w:rPr>
          <w:noProof/>
        </w:rPr>
        <w:fldChar w:fldCharType="end"/>
      </w:r>
      <w:r w:rsidRPr="006E2689">
        <w:t xml:space="preserve">.  The Court has already gone some way in recognising the existence of a “right” under the civil limb of Article 6 of the Convention by developing a wider approach, according to which the “civil” limb has covered cases which might not initially appear to concern a civil right but which may have direct and significant repercussions on a private pecuniary or non-pecuniary right belonging to an individual (see </w:t>
      </w:r>
      <w:r w:rsidRPr="006E2689">
        <w:rPr>
          <w:i/>
          <w:iCs/>
        </w:rPr>
        <w:t>Denisov v. Ukraine</w:t>
      </w:r>
      <w:r w:rsidRPr="006E2689">
        <w:t xml:space="preserve"> [GC], no. 76639/11, § 51, 25 September 2018). It follows that for Article 6 of the Convention in its civil </w:t>
      </w:r>
      <w:r w:rsidRPr="006E2689">
        <w:t>limb to be applicable to the present case, the dispute must be “genuine”, “serious” and “directly decisive” for the right at issue.</w:t>
      </w:r>
    </w:p>
    <w:p w:rsidRPr="006E2689" w:rsidR="003D75BA" w:rsidP="006E2689" w14:paraId="23F2E207" w14:textId="3CAD2A90">
      <w:pPr>
        <w:pStyle w:val="JuPara"/>
      </w:pPr>
      <w:r w:rsidRPr="006E2689">
        <w:fldChar w:fldCharType="begin"/>
      </w:r>
      <w:r w:rsidRPr="006E2689">
        <w:instrText xml:space="preserve"> SEQ level0 \*arabic \* MERGEFORMAT </w:instrText>
      </w:r>
      <w:r w:rsidRPr="006E2689">
        <w:fldChar w:fldCharType="separate"/>
      </w:r>
      <w:r w:rsidRPr="006E2689">
        <w:rPr>
          <w:noProof/>
        </w:rPr>
        <w:t>16</w:t>
      </w:r>
      <w:r w:rsidRPr="006E2689">
        <w:rPr>
          <w:noProof/>
        </w:rPr>
        <w:fldChar w:fldCharType="end"/>
      </w:r>
      <w:r w:rsidRPr="006E2689">
        <w:t xml:space="preserve">.  The Court observes at the outset that, unlike the applicants in </w:t>
      </w:r>
      <w:r w:rsidRPr="006E2689">
        <w:rPr>
          <w:i/>
          <w:iCs/>
        </w:rPr>
        <w:t>Ovcharenko</w:t>
      </w:r>
      <w:r w:rsidRPr="006E2689">
        <w:rPr>
          <w:i/>
          <w:iCs/>
        </w:rPr>
        <w:t xml:space="preserve"> and Kolos</w:t>
      </w:r>
      <w:r w:rsidRPr="006E2689">
        <w:t xml:space="preserve"> and </w:t>
      </w:r>
      <w:r w:rsidRPr="006E2689">
        <w:rPr>
          <w:i/>
          <w:iCs/>
        </w:rPr>
        <w:t>Golovin</w:t>
      </w:r>
      <w:r w:rsidRPr="006E2689">
        <w:t xml:space="preserve"> (cited above), Parliament did not dismiss the applicant from her position as a judge of the Constitutional Court as it was not competent to impose such a disciplinary sanction. Instead, Parliament invited other competent authorities to examine that question (see paragraph </w:t>
      </w:r>
      <w:r w:rsidRPr="006E2689">
        <w:fldChar w:fldCharType="begin"/>
      </w:r>
      <w:r w:rsidRPr="006E2689">
        <w:instrText xml:space="preserve"> REF paragraph00003 \h  \* CharFormat </w:instrText>
      </w:r>
      <w:r w:rsidRPr="006E2689">
        <w:fldChar w:fldCharType="separate"/>
      </w:r>
      <w:r w:rsidRPr="006E2689">
        <w:t>3</w:t>
      </w:r>
      <w:r w:rsidRPr="006E2689">
        <w:fldChar w:fldCharType="end"/>
      </w:r>
      <w:r w:rsidRPr="006E2689">
        <w:t xml:space="preserve"> above). In the applicant</w:t>
      </w:r>
      <w:r w:rsidRPr="006E2689">
        <w:t>’</w:t>
      </w:r>
      <w:r w:rsidRPr="006E2689">
        <w:t xml:space="preserve">s case, only the Congress, which had appointed her to the post of judge of the Constitutional Court (see paragraph </w:t>
      </w:r>
      <w:r w:rsidRPr="006E2689">
        <w:fldChar w:fldCharType="begin"/>
      </w:r>
      <w:r w:rsidRPr="006E2689">
        <w:instrText xml:space="preserve"> REF paragraph00002 \h  \* CharFormat </w:instrText>
      </w:r>
      <w:r w:rsidRPr="006E2689">
        <w:fldChar w:fldCharType="separate"/>
      </w:r>
      <w:r w:rsidRPr="006E2689">
        <w:t>2</w:t>
      </w:r>
      <w:r w:rsidRPr="006E2689">
        <w:fldChar w:fldCharType="end"/>
      </w:r>
      <w:r w:rsidRPr="006E2689">
        <w:t xml:space="preserve"> above), was empowered to issue a dismissal order. However, the Congress did not follow Parliament</w:t>
      </w:r>
      <w:r w:rsidRPr="006E2689">
        <w:t>’</w:t>
      </w:r>
      <w:r w:rsidRPr="006E2689">
        <w:t xml:space="preserve">s proposal and the applicant remained in her post as a judge of the Constitutional Court until her resignation at the end of the maximum term of office (see paragraph </w:t>
      </w:r>
      <w:r w:rsidRPr="006E2689">
        <w:fldChar w:fldCharType="begin"/>
      </w:r>
      <w:r w:rsidRPr="006E2689">
        <w:instrText xml:space="preserve"> REF paragraph00010 \h  \* CharFormat </w:instrText>
      </w:r>
      <w:r w:rsidRPr="006E2689">
        <w:fldChar w:fldCharType="separate"/>
      </w:r>
      <w:r w:rsidRPr="006E2689">
        <w:t>8</w:t>
      </w:r>
      <w:r w:rsidRPr="006E2689">
        <w:fldChar w:fldCharType="end"/>
      </w:r>
      <w:r w:rsidRPr="006E2689">
        <w:t xml:space="preserve"> above).</w:t>
      </w:r>
    </w:p>
    <w:p w:rsidRPr="006E2689" w:rsidR="003D75BA" w:rsidP="006E2689" w14:paraId="37D5DEAA" w14:textId="4B62DAFC">
      <w:pPr>
        <w:pStyle w:val="JuPara"/>
      </w:pPr>
      <w:r w:rsidRPr="006E2689">
        <w:fldChar w:fldCharType="begin"/>
      </w:r>
      <w:r w:rsidRPr="006E2689">
        <w:instrText xml:space="preserve"> SEQ level0 \*arabic \* MERGEFORMAT </w:instrText>
      </w:r>
      <w:r w:rsidRPr="006E2689">
        <w:fldChar w:fldCharType="separate"/>
      </w:r>
      <w:bookmarkStart w:name="paragraph00019" w:id="7"/>
      <w:r w:rsidRPr="006E2689">
        <w:rPr>
          <w:noProof/>
        </w:rPr>
        <w:t>17</w:t>
      </w:r>
      <w:bookmarkEnd w:id="7"/>
      <w:r w:rsidRPr="006E2689">
        <w:rPr>
          <w:noProof/>
        </w:rPr>
        <w:fldChar w:fldCharType="end"/>
      </w:r>
      <w:r w:rsidRPr="006E2689">
        <w:t>.  The Court further stresses that there was inevitably a political element in the adoption of the Resolution in which Parliament assessed the Constitutional Court</w:t>
      </w:r>
      <w:r w:rsidRPr="006E2689">
        <w:t>’</w:t>
      </w:r>
      <w:r w:rsidRPr="006E2689">
        <w:t>s judgment of 30 September 2010. The Supreme Court held that such an assessment was lawful because of Parliament</w:t>
      </w:r>
      <w:r w:rsidRPr="006E2689">
        <w:t>’</w:t>
      </w:r>
      <w:r w:rsidRPr="006E2689">
        <w:t xml:space="preserve">s competence to amend the Constitution and to appoint and/or dismiss one-third of the judges of the Constitutional Court (see paragraph </w:t>
      </w:r>
      <w:r w:rsidRPr="006E2689">
        <w:fldChar w:fldCharType="begin"/>
      </w:r>
      <w:r w:rsidRPr="006E2689">
        <w:instrText xml:space="preserve"> REF paragraph00004 \h  \* CharFormat </w:instrText>
      </w:r>
      <w:r w:rsidRPr="006E2689">
        <w:fldChar w:fldCharType="separate"/>
      </w:r>
      <w:r w:rsidRPr="006E2689">
        <w:t>4</w:t>
      </w:r>
      <w:r w:rsidRPr="006E2689">
        <w:fldChar w:fldCharType="end"/>
      </w:r>
      <w:r w:rsidRPr="006E2689">
        <w:t xml:space="preserve"> above). The Court sees no reason to cast doubt on that interpretation of Parliament</w:t>
      </w:r>
      <w:r w:rsidRPr="006E2689">
        <w:t>’</w:t>
      </w:r>
      <w:r w:rsidRPr="006E2689">
        <w:t>s powers in the applicant</w:t>
      </w:r>
      <w:r w:rsidRPr="006E2689">
        <w:t>’</w:t>
      </w:r>
      <w:r w:rsidRPr="006E2689">
        <w:t>s case because of the absence of any “direct and significant repercussions” on her private pecuniary or non-pecuniary rights. Hence, there is no indication that the Resolution had any impact on the applicant</w:t>
      </w:r>
      <w:r w:rsidRPr="006E2689">
        <w:t>’</w:t>
      </w:r>
      <w:r w:rsidRPr="006E2689">
        <w:t>s remuneration as a judge of the Constitutional Court, so she did not suffer any pecuniary consequences. As regards non-pecuniary rights, it cannot be said that the Resolution had any effect on the applicant</w:t>
      </w:r>
      <w:r w:rsidRPr="006E2689">
        <w:t>’</w:t>
      </w:r>
      <w:r w:rsidRPr="006E2689">
        <w:t xml:space="preserve">s professional and social reputation given her subsequent election as President of the Constitutional Court, her role in swearing in the President of Ukraine, and the honorary title awarded to her (see paragraphs </w:t>
      </w:r>
      <w:r w:rsidRPr="006E2689">
        <w:fldChar w:fldCharType="begin"/>
      </w:r>
      <w:r w:rsidRPr="006E2689">
        <w:instrText xml:space="preserve"> REF paragraph00008 \h  \* CharFormat </w:instrText>
      </w:r>
      <w:r w:rsidRPr="006E2689">
        <w:fldChar w:fldCharType="separate"/>
      </w:r>
      <w:r w:rsidRPr="006E2689">
        <w:t>6</w:t>
      </w:r>
      <w:r w:rsidRPr="006E2689">
        <w:fldChar w:fldCharType="end"/>
      </w:r>
      <w:r w:rsidRPr="006E2689">
        <w:t xml:space="preserve">, </w:t>
      </w:r>
      <w:r w:rsidRPr="006E2689">
        <w:fldChar w:fldCharType="begin"/>
      </w:r>
      <w:r w:rsidRPr="006E2689">
        <w:instrText xml:space="preserve"> REF paragraph00009 \h  \* CharFormat </w:instrText>
      </w:r>
      <w:r w:rsidRPr="006E2689">
        <w:fldChar w:fldCharType="separate"/>
      </w:r>
      <w:r w:rsidRPr="006E2689">
        <w:t>7</w:t>
      </w:r>
      <w:r w:rsidRPr="006E2689">
        <w:fldChar w:fldCharType="end"/>
      </w:r>
      <w:r w:rsidRPr="006E2689">
        <w:t xml:space="preserve"> and </w:t>
      </w:r>
      <w:r w:rsidRPr="006E2689">
        <w:fldChar w:fldCharType="begin"/>
      </w:r>
      <w:r w:rsidRPr="006E2689">
        <w:instrText xml:space="preserve"> REF paragraph00011 \h  \* CharFormat </w:instrText>
      </w:r>
      <w:r w:rsidRPr="006E2689">
        <w:fldChar w:fldCharType="separate"/>
      </w:r>
      <w:r w:rsidRPr="006E2689">
        <w:t>9</w:t>
      </w:r>
      <w:r w:rsidRPr="006E2689">
        <w:fldChar w:fldCharType="end"/>
      </w:r>
      <w:r w:rsidRPr="006E2689">
        <w:t xml:space="preserve"> above).</w:t>
      </w:r>
    </w:p>
    <w:p w:rsidRPr="006E2689" w:rsidR="003D75BA" w:rsidP="006E2689" w14:paraId="22CBFB79" w14:textId="5005CA07">
      <w:pPr>
        <w:pStyle w:val="JuPara"/>
      </w:pPr>
      <w:r w:rsidRPr="006E2689">
        <w:fldChar w:fldCharType="begin"/>
      </w:r>
      <w:r w:rsidRPr="006E2689">
        <w:instrText xml:space="preserve"> SEQ level0 \*arabic \* MERGEFORMAT </w:instrText>
      </w:r>
      <w:r w:rsidRPr="006E2689">
        <w:fldChar w:fldCharType="separate"/>
      </w:r>
      <w:r w:rsidRPr="006E2689">
        <w:rPr>
          <w:noProof/>
        </w:rPr>
        <w:t>18</w:t>
      </w:r>
      <w:r w:rsidRPr="006E2689">
        <w:rPr>
          <w:noProof/>
        </w:rPr>
        <w:fldChar w:fldCharType="end"/>
      </w:r>
      <w:r w:rsidRPr="006E2689">
        <w:t>.  The foregoing considerations are sufficient for the Court to conclude that the applicant</w:t>
      </w:r>
      <w:r w:rsidRPr="006E2689">
        <w:t>’</w:t>
      </w:r>
      <w:r w:rsidRPr="006E2689">
        <w:t>s dispute was not “genuine”, “serious” and “directly decisive” for her right recognised under domestic law, such as to bring the civil limb of Article 6 of the Convention into play.</w:t>
      </w:r>
    </w:p>
    <w:p w:rsidRPr="006E2689" w:rsidR="003D75BA" w:rsidP="006E2689" w14:paraId="067B1106" w14:textId="4EA95867">
      <w:pPr>
        <w:pStyle w:val="JuPara"/>
      </w:pPr>
      <w:r w:rsidRPr="006E2689">
        <w:fldChar w:fldCharType="begin"/>
      </w:r>
      <w:r w:rsidRPr="006E2689">
        <w:instrText xml:space="preserve"> SEQ level0 \*arabic \* MERGEFORMAT </w:instrText>
      </w:r>
      <w:r w:rsidRPr="006E2689">
        <w:fldChar w:fldCharType="separate"/>
      </w:r>
      <w:r w:rsidRPr="006E2689">
        <w:rPr>
          <w:noProof/>
        </w:rPr>
        <w:t>19</w:t>
      </w:r>
      <w:r w:rsidRPr="006E2689">
        <w:rPr>
          <w:noProof/>
        </w:rPr>
        <w:fldChar w:fldCharType="end"/>
      </w:r>
      <w:r w:rsidRPr="006E2689">
        <w:t>.  It follows that the applicant</w:t>
      </w:r>
      <w:r w:rsidRPr="006E2689">
        <w:t>’</w:t>
      </w:r>
      <w:r w:rsidRPr="006E2689">
        <w:t xml:space="preserve">s complaints under Article 6 of the Convention must be rejected as incompatible </w:t>
      </w:r>
      <w:r w:rsidRPr="006E2689">
        <w:rPr>
          <w:i/>
          <w:iCs/>
        </w:rPr>
        <w:t>ratione</w:t>
      </w:r>
      <w:r w:rsidRPr="006E2689">
        <w:rPr>
          <w:i/>
          <w:iCs/>
        </w:rPr>
        <w:t xml:space="preserve"> </w:t>
      </w:r>
      <w:r w:rsidRPr="006E2689">
        <w:rPr>
          <w:i/>
          <w:iCs/>
        </w:rPr>
        <w:t>materiae</w:t>
      </w:r>
      <w:r w:rsidRPr="006E2689">
        <w:t xml:space="preserve"> with the provisions of the Convention pursuant to Article 35 §§ 3 (a) and 4.</w:t>
      </w:r>
    </w:p>
    <w:p w:rsidRPr="006E2689" w:rsidR="003D75BA" w:rsidP="006E2689" w14:paraId="3A48D245" w14:textId="1B548DCB">
      <w:pPr>
        <w:pStyle w:val="JuPara"/>
      </w:pPr>
      <w:r w:rsidRPr="006E2689">
        <w:fldChar w:fldCharType="begin"/>
      </w:r>
      <w:r w:rsidRPr="006E2689">
        <w:instrText xml:space="preserve"> SEQ level0 \*arabic \* MERGEFORMAT </w:instrText>
      </w:r>
      <w:r w:rsidRPr="006E2689">
        <w:fldChar w:fldCharType="separate"/>
      </w:r>
      <w:r w:rsidRPr="006E2689">
        <w:rPr>
          <w:noProof/>
        </w:rPr>
        <w:t>20</w:t>
      </w:r>
      <w:r w:rsidRPr="006E2689">
        <w:rPr>
          <w:noProof/>
        </w:rPr>
        <w:fldChar w:fldCharType="end"/>
      </w:r>
      <w:r w:rsidRPr="006E2689">
        <w:t>.  The applicant further complained under Article 8 of the Convention that the Resolution had violated her right to respect for her private life since Parliament</w:t>
      </w:r>
      <w:r w:rsidRPr="006E2689">
        <w:t>’</w:t>
      </w:r>
      <w:r w:rsidRPr="006E2689">
        <w:t>s conclusion that there had been a “breach of oath” had infringed her reputation.</w:t>
      </w:r>
    </w:p>
    <w:p w:rsidRPr="006E2689" w:rsidR="003D75BA" w:rsidP="006E2689" w14:paraId="16B778A9" w14:textId="30BF5599">
      <w:pPr>
        <w:pStyle w:val="JuPara"/>
      </w:pPr>
      <w:r w:rsidRPr="006E2689">
        <w:fldChar w:fldCharType="begin"/>
      </w:r>
      <w:r w:rsidRPr="006E2689">
        <w:instrText xml:space="preserve"> SEQ level0 \*arabic \* MERGEFORMAT </w:instrText>
      </w:r>
      <w:r w:rsidRPr="006E2689">
        <w:fldChar w:fldCharType="separate"/>
      </w:r>
      <w:r w:rsidRPr="006E2689">
        <w:rPr>
          <w:noProof/>
        </w:rPr>
        <w:t>21</w:t>
      </w:r>
      <w:r w:rsidRPr="006E2689">
        <w:rPr>
          <w:noProof/>
        </w:rPr>
        <w:fldChar w:fldCharType="end"/>
      </w:r>
      <w:r w:rsidRPr="006E2689">
        <w:t xml:space="preserve">.  The relevant case-law concerning this matter was restated in </w:t>
      </w:r>
      <w:r w:rsidRPr="006E2689">
        <w:rPr>
          <w:i/>
          <w:iCs/>
        </w:rPr>
        <w:t xml:space="preserve">Denisov </w:t>
      </w:r>
      <w:r w:rsidRPr="006E2689">
        <w:t xml:space="preserve">(cited above, §§ 115-17). In particular, the Court held that employment-related disputes were not </w:t>
      </w:r>
      <w:r w:rsidRPr="006E2689">
        <w:rPr>
          <w:i/>
          <w:iCs/>
        </w:rPr>
        <w:t>per se</w:t>
      </w:r>
      <w:r w:rsidRPr="006E2689">
        <w:t xml:space="preserve"> excluded from the scope of “private life” within the meaning of Article 8 of the Convention. There are some typical </w:t>
      </w:r>
      <w:r w:rsidRPr="006E2689">
        <w:t>aspects of private life which may be affected in such disputes by dismissal, demotion, non-admission to a profession or other similarly unfavourable measures. These aspects include: (</w:t>
      </w:r>
      <w:r w:rsidRPr="006E2689">
        <w:t>i</w:t>
      </w:r>
      <w:r w:rsidRPr="006E2689">
        <w:t>) the applicant</w:t>
      </w:r>
      <w:r w:rsidRPr="006E2689">
        <w:t>’</w:t>
      </w:r>
      <w:r w:rsidRPr="006E2689">
        <w:t>s “inner circle”; (ii) the applicant</w:t>
      </w:r>
      <w:r w:rsidRPr="006E2689">
        <w:t>’</w:t>
      </w:r>
      <w:r w:rsidRPr="006E2689">
        <w:t>s opportunity to establish and develop relationships with others; and (iii) the applicant</w:t>
      </w:r>
      <w:r w:rsidRPr="006E2689">
        <w:t>’</w:t>
      </w:r>
      <w:r w:rsidRPr="006E2689">
        <w:t>s social and professional reputation. There are two ways in which a private-life issue would usually arise in such a dispute: either because of the underlying reasons for the impugned measure (reason-based approach) or – in certain cases – because of the consequences for private life (consequence-based approach). If the latter approach is at stake, the threshold of severity with respect to all the above-mentioned aspects assumes crucial importance. It is for the applicant to show convincingly that the threshold was attained in his or her case. The applicant must present evidence substantiating the consequences of the impugned measure. The Court will only accept that Article 8 of the Convention is applicable where these consequences are very serious and affect his or her private life to a very significant degree. The Court has established criteria for assessing the severity or seriousness of alleged violations in different regulatory contexts. An applicant</w:t>
      </w:r>
      <w:r w:rsidRPr="006E2689">
        <w:t>’</w:t>
      </w:r>
      <w:r w:rsidRPr="006E2689">
        <w:t>s suffering is to be assessed by comparing his or her life before and after the measure in question. The Court has also considered that in determining the seriousness of the consequences in employment-related cases, it is appropriate to assess the subjective perceptions claimed by the applicant against the background of the objective circumstances existing in the particular case. This analysis would have to cover both the material and the non-material impact of the alleged measure. However, it remains for the applicant to define and substantiate the nature and extent of his or her suffering, which should have a causal connection with the impugned measure.</w:t>
      </w:r>
    </w:p>
    <w:bookmarkStart w:name="A1_A8_applicable" w:id="8"/>
    <w:p w:rsidRPr="006E2689" w:rsidR="003D75BA" w:rsidP="006E2689" w14:paraId="179CABD6" w14:textId="39A1571C">
      <w:pPr>
        <w:pStyle w:val="JuPara"/>
      </w:pPr>
      <w:r w:rsidRPr="006E2689">
        <w:fldChar w:fldCharType="begin"/>
      </w:r>
      <w:r w:rsidRPr="006E2689">
        <w:instrText xml:space="preserve"> SEQ level0 \*arabic \* MERGEFORMAT </w:instrText>
      </w:r>
      <w:r w:rsidRPr="006E2689">
        <w:fldChar w:fldCharType="separate"/>
      </w:r>
      <w:r w:rsidRPr="006E2689" w:rsidR="006E2689">
        <w:rPr>
          <w:noProof/>
        </w:rPr>
        <w:t>22</w:t>
      </w:r>
      <w:r w:rsidRPr="006E2689">
        <w:fldChar w:fldCharType="end"/>
      </w:r>
      <w:r w:rsidRPr="006E2689">
        <w:t>.  In the present case, there is no indication that any “private life” issue was the reason for Parliament</w:t>
      </w:r>
      <w:r w:rsidRPr="006E2689" w:rsidR="006E2689">
        <w:t>’</w:t>
      </w:r>
      <w:r w:rsidRPr="006E2689">
        <w:t xml:space="preserve">s conclusion that the applicant had breached her judicial oath. That conclusion was strictly limited to the assessment of her exercise of judicial functions and even the applicant viewed the events complained of as an arbitrary and politically motivated attack on the Constitutional Court as an institution – a matter unrelated to her private life (see, for a similar approach, </w:t>
      </w:r>
      <w:r w:rsidRPr="006E2689">
        <w:rPr>
          <w:i/>
          <w:iCs/>
        </w:rPr>
        <w:t>Ovcharenko</w:t>
      </w:r>
      <w:r w:rsidRPr="006E2689">
        <w:rPr>
          <w:i/>
          <w:iCs/>
        </w:rPr>
        <w:t xml:space="preserve"> and Kolos</w:t>
      </w:r>
      <w:r w:rsidRPr="006E2689">
        <w:t>, cited above, § 86). However, the applicant submitted that the Resolution which contained that conclusion had had a significantly detrimental effect on her reputation. Therefore, the Court considers it appropriate to follow the consequence-based approach and to examine whether the Resolution had sufficiently serious negative consequences for the applicant</w:t>
      </w:r>
      <w:r w:rsidRPr="006E2689" w:rsidR="006E2689">
        <w:t>’</w:t>
      </w:r>
      <w:r w:rsidRPr="006E2689">
        <w:t xml:space="preserve">s private life, in particular as regards her “inner circle”, her opportunities to establish and develop relationships with others and her reputation (see, for a similar approach, </w:t>
      </w:r>
      <w:r w:rsidRPr="006E2689">
        <w:rPr>
          <w:i/>
          <w:iCs/>
        </w:rPr>
        <w:t>Gyulumyan</w:t>
      </w:r>
      <w:r w:rsidRPr="006E2689">
        <w:rPr>
          <w:i/>
          <w:iCs/>
        </w:rPr>
        <w:t xml:space="preserve"> and Others v. Armenia</w:t>
      </w:r>
      <w:r w:rsidRPr="006E2689">
        <w:t xml:space="preserve"> (dec.), no. 25240/20, § 89, 21 November 2023).</w:t>
      </w:r>
    </w:p>
    <w:p w:rsidRPr="006E2689" w:rsidR="003D75BA" w:rsidP="006E2689" w14:paraId="7078EC4F" w14:textId="3F535FBA">
      <w:pPr>
        <w:pStyle w:val="JuPara"/>
      </w:pPr>
      <w:r w:rsidRPr="006E2689">
        <w:fldChar w:fldCharType="begin"/>
      </w:r>
      <w:r w:rsidRPr="006E2689">
        <w:instrText xml:space="preserve"> SEQ level0 \*arabi</w:instrText>
      </w:r>
      <w:r w:rsidRPr="006E2689">
        <w:instrText xml:space="preserve">c \* MERGEFORMAT </w:instrText>
      </w:r>
      <w:r w:rsidRPr="006E2689">
        <w:fldChar w:fldCharType="separate"/>
      </w:r>
      <w:r w:rsidRPr="006E2689">
        <w:rPr>
          <w:noProof/>
        </w:rPr>
        <w:t>23</w:t>
      </w:r>
      <w:r w:rsidRPr="006E2689">
        <w:rPr>
          <w:noProof/>
        </w:rPr>
        <w:fldChar w:fldCharType="end"/>
      </w:r>
      <w:r w:rsidRPr="006E2689">
        <w:t>.  At the outset, there are no signs that the Resolution resulted in a reduction of the applicant</w:t>
      </w:r>
      <w:r w:rsidRPr="006E2689">
        <w:t>’</w:t>
      </w:r>
      <w:r w:rsidRPr="006E2689">
        <w:t xml:space="preserve">s income. In addition, there are no other indications that the “inner circle” of her private life was affected by the impugned </w:t>
      </w:r>
      <w:r w:rsidRPr="006E2689">
        <w:t xml:space="preserve">measure (see, for instance, </w:t>
      </w:r>
      <w:r w:rsidRPr="006E2689">
        <w:rPr>
          <w:i/>
          <w:iCs/>
        </w:rPr>
        <w:t>J.B. and Others v. Hungary</w:t>
      </w:r>
      <w:r w:rsidRPr="006E2689">
        <w:t xml:space="preserve"> (dec.), no. 45434/12, § 132, 27 November 2018).</w:t>
      </w:r>
    </w:p>
    <w:p w:rsidRPr="006E2689" w:rsidR="003D75BA" w:rsidP="006E2689" w14:paraId="6A0E7C0C" w14:textId="29136F8B">
      <w:pPr>
        <w:pStyle w:val="JuPara"/>
      </w:pPr>
      <w:r w:rsidRPr="006E2689">
        <w:fldChar w:fldCharType="begin"/>
      </w:r>
      <w:r w:rsidRPr="006E2689">
        <w:instrText xml:space="preserve"> SEQ level0 \*arabic \* MERGEFORMAT </w:instrText>
      </w:r>
      <w:r w:rsidRPr="006E2689">
        <w:fldChar w:fldCharType="separate"/>
      </w:r>
      <w:r w:rsidRPr="006E2689">
        <w:rPr>
          <w:noProof/>
        </w:rPr>
        <w:t>24</w:t>
      </w:r>
      <w:r w:rsidRPr="006E2689">
        <w:rPr>
          <w:noProof/>
        </w:rPr>
        <w:fldChar w:fldCharType="end"/>
      </w:r>
      <w:r w:rsidRPr="006E2689">
        <w:t>.  Turning to the question of establishing and maintaining relationships with others, the Resolution did not lead to the applicant</w:t>
      </w:r>
      <w:r w:rsidRPr="006E2689">
        <w:t>’</w:t>
      </w:r>
      <w:r w:rsidRPr="006E2689">
        <w:t xml:space="preserve">s dismissal from her position as a judge of the Constitutional Court – she remained in judicial office until her resignation at the end of her nine-year term (see paragraph </w:t>
      </w:r>
      <w:r w:rsidRPr="006E2689">
        <w:fldChar w:fldCharType="begin"/>
      </w:r>
      <w:r w:rsidRPr="006E2689">
        <w:instrText xml:space="preserve"> REF paragraph00010 \h  \* CharFormat </w:instrText>
      </w:r>
      <w:r w:rsidRPr="006E2689">
        <w:fldChar w:fldCharType="separate"/>
      </w:r>
      <w:r w:rsidRPr="006E2689">
        <w:t>8</w:t>
      </w:r>
      <w:r w:rsidRPr="006E2689">
        <w:fldChar w:fldCharType="end"/>
      </w:r>
      <w:r w:rsidRPr="006E2689">
        <w:t xml:space="preserve"> above).</w:t>
      </w:r>
    </w:p>
    <w:p w:rsidRPr="006E2689" w:rsidR="003D75BA" w:rsidP="006E2689" w14:paraId="48B9C12F" w14:textId="6367B655">
      <w:pPr>
        <w:pStyle w:val="JuPara"/>
      </w:pPr>
      <w:r w:rsidRPr="006E2689">
        <w:fldChar w:fldCharType="begin"/>
      </w:r>
      <w:r w:rsidRPr="006E2689">
        <w:instrText xml:space="preserve"> SEQ level0 \*arabic \* MERGEFORMAT </w:instrText>
      </w:r>
      <w:r w:rsidRPr="006E2689">
        <w:fldChar w:fldCharType="separate"/>
      </w:r>
      <w:r w:rsidRPr="006E2689">
        <w:rPr>
          <w:noProof/>
        </w:rPr>
        <w:t>25</w:t>
      </w:r>
      <w:r w:rsidRPr="006E2689">
        <w:rPr>
          <w:noProof/>
        </w:rPr>
        <w:fldChar w:fldCharType="end"/>
      </w:r>
      <w:r w:rsidRPr="006E2689">
        <w:t>.  It remains to be examined whether the Resolution encroached upon the applicant</w:t>
      </w:r>
      <w:r w:rsidRPr="006E2689">
        <w:t>’</w:t>
      </w:r>
      <w:r w:rsidRPr="006E2689">
        <w:t xml:space="preserve">s reputation in such a way that it seriously affected the esteem in which she was held by others, with the result that it had a serious impact on her interaction with society (see </w:t>
      </w:r>
      <w:r w:rsidRPr="006E2689">
        <w:rPr>
          <w:i/>
          <w:iCs/>
        </w:rPr>
        <w:t>Gyulumyan</w:t>
      </w:r>
      <w:r w:rsidRPr="006E2689">
        <w:rPr>
          <w:i/>
          <w:iCs/>
        </w:rPr>
        <w:t xml:space="preserve"> and Others</w:t>
      </w:r>
      <w:r w:rsidRPr="006E2689">
        <w:t>, cited above, § 92). However, the Resolution could not have affected the applicant</w:t>
      </w:r>
      <w:r w:rsidRPr="006E2689">
        <w:t>’</w:t>
      </w:r>
      <w:r w:rsidRPr="006E2689">
        <w:t xml:space="preserve">s private life to a very significant degree given the lack of consequences for her professional and social reputation (see paragraph </w:t>
      </w:r>
      <w:r w:rsidRPr="006E2689">
        <w:fldChar w:fldCharType="begin"/>
      </w:r>
      <w:r w:rsidRPr="006E2689">
        <w:instrText xml:space="preserve"> REF paragraph00019 \h  \* CharFormat </w:instrText>
      </w:r>
      <w:r w:rsidRPr="006E2689">
        <w:fldChar w:fldCharType="separate"/>
      </w:r>
      <w:r w:rsidRPr="006E2689">
        <w:t>17</w:t>
      </w:r>
      <w:r w:rsidRPr="006E2689">
        <w:fldChar w:fldCharType="end"/>
      </w:r>
      <w:r w:rsidRPr="006E2689">
        <w:t xml:space="preserve"> above).</w:t>
      </w:r>
    </w:p>
    <w:p w:rsidRPr="006E2689" w:rsidR="003D75BA" w:rsidP="006E2689" w14:paraId="19350656" w14:textId="189A55ED">
      <w:pPr>
        <w:pStyle w:val="JuPara"/>
      </w:pPr>
      <w:r w:rsidRPr="006E2689">
        <w:fldChar w:fldCharType="begin"/>
      </w:r>
      <w:r w:rsidRPr="006E2689">
        <w:instrText xml:space="preserve"> SEQ level0 \*arabic \* MERGEFORMAT </w:instrText>
      </w:r>
      <w:r w:rsidRPr="006E2689">
        <w:fldChar w:fldCharType="separate"/>
      </w:r>
      <w:r w:rsidRPr="006E2689">
        <w:rPr>
          <w:noProof/>
        </w:rPr>
        <w:t>26</w:t>
      </w:r>
      <w:r w:rsidRPr="006E2689">
        <w:rPr>
          <w:noProof/>
        </w:rPr>
        <w:fldChar w:fldCharType="end"/>
      </w:r>
      <w:r w:rsidRPr="006E2689">
        <w:t>.  Accordingly, the Court cannot but conclude that the negative effects which the contested measure had on the applicant</w:t>
      </w:r>
      <w:r w:rsidRPr="006E2689">
        <w:t>’</w:t>
      </w:r>
      <w:r w:rsidRPr="006E2689">
        <w:t>s private life did not cross the threshold of seriousness for Article 8 of the Convention to be engaged. It follows that this Article is not applicable to the present case and that the applicant</w:t>
      </w:r>
      <w:r w:rsidRPr="006E2689">
        <w:t>’</w:t>
      </w:r>
      <w:r w:rsidRPr="006E2689">
        <w:t xml:space="preserve">s complaint must be rejected as incompatible </w:t>
      </w:r>
      <w:r w:rsidRPr="006E2689">
        <w:rPr>
          <w:i/>
          <w:iCs/>
        </w:rPr>
        <w:t>ratione</w:t>
      </w:r>
      <w:r w:rsidRPr="006E2689">
        <w:rPr>
          <w:i/>
          <w:iCs/>
        </w:rPr>
        <w:t xml:space="preserve"> </w:t>
      </w:r>
      <w:r w:rsidRPr="006E2689">
        <w:rPr>
          <w:i/>
          <w:iCs/>
        </w:rPr>
        <w:t>materiae</w:t>
      </w:r>
      <w:r w:rsidRPr="006E2689">
        <w:t xml:space="preserve"> with the provisions of the Convention pursuant to Article 35 §§ 3 (a) and 4.</w:t>
      </w:r>
    </w:p>
    <w:bookmarkEnd w:id="8"/>
    <w:p w:rsidRPr="006E2689" w:rsidR="003D75BA" w:rsidP="006E2689" w14:paraId="2240D80D" w14:textId="662F8F90">
      <w:pPr>
        <w:pStyle w:val="JuPara"/>
      </w:pPr>
      <w:r w:rsidRPr="006E2689">
        <w:fldChar w:fldCharType="begin"/>
      </w:r>
      <w:r w:rsidRPr="006E2689">
        <w:instrText xml:space="preserve"> SEQ level0 \*arabic \* MERGEFORMAT </w:instrText>
      </w:r>
      <w:r w:rsidRPr="006E2689">
        <w:fldChar w:fldCharType="separate"/>
      </w:r>
      <w:r w:rsidRPr="006E2689" w:rsidR="006E2689">
        <w:rPr>
          <w:noProof/>
        </w:rPr>
        <w:t>27</w:t>
      </w:r>
      <w:r w:rsidRPr="006E2689">
        <w:fldChar w:fldCharType="end"/>
      </w:r>
      <w:r w:rsidRPr="006E2689">
        <w:t>.  The applicant also raised other complaints under Articles 10 and 18 of</w:t>
      </w:r>
      <w:r w:rsidRPr="006E2689" w:rsidR="00C042EA">
        <w:t xml:space="preserve"> the</w:t>
      </w:r>
      <w:r w:rsidRPr="006E2689">
        <w:t xml:space="preserve"> Convention.</w:t>
      </w:r>
    </w:p>
    <w:p w:rsidRPr="006E2689" w:rsidR="003D75BA" w:rsidP="006E2689" w14:paraId="2CAD3727" w14:textId="6F8D6A6E">
      <w:pPr>
        <w:pStyle w:val="JuPara"/>
      </w:pPr>
      <w:r w:rsidRPr="006E2689">
        <w:fldChar w:fldCharType="begin"/>
      </w:r>
      <w:r w:rsidRPr="006E2689">
        <w:instrText xml:space="preserve"> SEQ level0 \*arabic \* MERGEFORMAT </w:instrText>
      </w:r>
      <w:r w:rsidRPr="006E2689">
        <w:fldChar w:fldCharType="separate"/>
      </w:r>
      <w:r w:rsidRPr="006E2689">
        <w:rPr>
          <w:noProof/>
        </w:rPr>
        <w:t>28</w:t>
      </w:r>
      <w:r w:rsidRPr="006E2689">
        <w:rPr>
          <w:noProof/>
        </w:rPr>
        <w:fldChar w:fldCharType="end"/>
      </w:r>
      <w:r w:rsidRPr="006E2689">
        <w:t>.  The Court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6E2689" w:rsidR="003D75BA" w:rsidP="006E2689" w14:paraId="0C299123" w14:textId="04EA0FE4">
      <w:pPr>
        <w:pStyle w:val="JuPara"/>
      </w:pPr>
      <w:r w:rsidRPr="006E2689">
        <w:fldChar w:fldCharType="begin"/>
      </w:r>
      <w:r w:rsidRPr="006E2689">
        <w:instrText xml:space="preserve"> SEQ level0 \*arabic \* MERGEFORMAT </w:instrText>
      </w:r>
      <w:r w:rsidRPr="006E2689">
        <w:fldChar w:fldCharType="separate"/>
      </w:r>
      <w:r w:rsidRPr="006E2689">
        <w:rPr>
          <w:noProof/>
        </w:rPr>
        <w:t>29</w:t>
      </w:r>
      <w:r w:rsidRPr="006E2689">
        <w:rPr>
          <w:noProof/>
        </w:rPr>
        <w:fldChar w:fldCharType="end"/>
      </w:r>
      <w:r w:rsidRPr="006E2689">
        <w:t>.  It follows that the application must be dismissed in accordance with Article 35 § 4 of the Convention.</w:t>
      </w:r>
    </w:p>
    <w:p w:rsidRPr="006E2689" w:rsidR="003D75BA" w:rsidP="006E2689" w14:paraId="0773FE1F" w14:textId="00263818">
      <w:pPr>
        <w:pStyle w:val="JuParaLast"/>
      </w:pPr>
      <w:r w:rsidRPr="006E2689">
        <w:t>For these reasons, the Court, unanimously,</w:t>
      </w:r>
    </w:p>
    <w:p w:rsidRPr="006E2689" w:rsidR="003D75BA" w:rsidP="006E2689" w14:paraId="07E8A137" w14:textId="77777777">
      <w:pPr>
        <w:pStyle w:val="DecList"/>
      </w:pPr>
      <w:r w:rsidRPr="006E2689">
        <w:rPr>
          <w:i/>
        </w:rPr>
        <w:t>Declares</w:t>
      </w:r>
      <w:r w:rsidRPr="006E2689">
        <w:t xml:space="preserve"> the application inadmissible.</w:t>
      </w:r>
    </w:p>
    <w:p w:rsidRPr="006E2689" w:rsidR="00BD1692" w:rsidP="006E2689" w14:paraId="27E8FF9E" w14:textId="09855047">
      <w:pPr>
        <w:pStyle w:val="JuParaLast"/>
        <w:rPr>
          <w:sz w:val="14"/>
        </w:rPr>
      </w:pPr>
      <w:r w:rsidRPr="006E2689">
        <w:t xml:space="preserve">Done in English and notified in writing on </w:t>
      </w:r>
      <w:r w:rsidRPr="006E2689" w:rsidR="003D75BA">
        <w:rPr>
          <w:noProof/>
        </w:rPr>
        <w:t>28 November 2024</w:t>
      </w:r>
      <w:r w:rsidRPr="006E2689">
        <w:t>.</w:t>
      </w:r>
    </w:p>
    <w:p w:rsidRPr="006E2689" w:rsidR="00BD1692" w:rsidP="006E2689" w14:paraId="30A30812" w14:textId="51C7052D">
      <w:pPr>
        <w:pStyle w:val="ECHRPlaceholder"/>
      </w:pPr>
      <w:r w:rsidRPr="006E2689">
        <w:tab/>
      </w:r>
    </w:p>
    <w:p w:rsidRPr="006E2689" w:rsidR="00CB3BD9" w:rsidP="006E2689" w14:paraId="12F3EF17" w14:textId="79F10322">
      <w:pPr>
        <w:pStyle w:val="JuSigned"/>
      </w:pPr>
      <w:r w:rsidRPr="006E2689">
        <w:tab/>
      </w:r>
      <w:r w:rsidRPr="006E2689" w:rsidR="003D75BA">
        <w:rPr>
          <w:rFonts w:eastAsia="PMingLiU"/>
          <w:noProof/>
        </w:rPr>
        <w:t>Martina Keller</w:t>
      </w:r>
      <w:r w:rsidRPr="006E2689" w:rsidR="001D1233">
        <w:tab/>
      </w:r>
      <w:r w:rsidRPr="006E2689" w:rsidR="003D75BA">
        <w:rPr>
          <w:noProof/>
        </w:rPr>
        <w:t>Andreas Zünd</w:t>
      </w:r>
      <w:r w:rsidRPr="006E2689" w:rsidR="001D1233">
        <w:br/>
      </w:r>
      <w:r w:rsidRPr="006E2689" w:rsidR="001D1233">
        <w:tab/>
      </w:r>
      <w:r w:rsidRPr="006E2689" w:rsidR="003D75BA">
        <w:rPr>
          <w:noProof/>
        </w:rPr>
        <w:t>Deputy Registrar</w:t>
      </w:r>
      <w:r w:rsidRPr="006E2689"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33D2" w:rsidRPr="003D75BA" w:rsidP="000D61E7" w14:paraId="789A0A9E" w14:textId="0667F13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33D2" w:rsidRPr="003D75BA" w:rsidP="000D61E7" w14:paraId="486A64D9" w14:textId="59CF7722">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75BA" w:rsidRPr="00150BFA" w:rsidP="0020718E" w14:paraId="4C465437" w14:textId="02A7681C">
    <w:pPr>
      <w:jc w:val="center"/>
    </w:pPr>
    <w:r w:rsidRPr="003D75BA">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433D2" w:rsidRPr="003D75BA" w:rsidP="002E2C77" w14:paraId="13287C6D" w14:textId="53CD3642">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33D2" w:rsidRPr="003D75BA" w:rsidP="0076040F" w14:paraId="2740BB1A" w14:textId="46C19B27">
    <w:pPr>
      <w:pStyle w:val="JuHeader"/>
    </w:pPr>
    <w:r>
      <w:t>SHAPTALA v. UKRAINE</w:t>
    </w:r>
    <w:r w:rsidRPr="003D75BA"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33D2" w:rsidRPr="003D75BA" w:rsidP="000D61E7" w14:paraId="0D633874" w14:textId="4DEF8319">
    <w:pPr>
      <w:pStyle w:val="JuHeader"/>
    </w:pPr>
    <w:r>
      <w:t>SHAPTALA v. UKRAINE</w:t>
    </w:r>
    <w:r w:rsidRPr="003D75BA"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75BA" w:rsidRPr="00A45145" w:rsidP="00A45145" w14:paraId="2E193273" w14:textId="549D1B4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433D2" w:rsidRPr="003D75BA" w:rsidP="00EA1004" w14:paraId="218F7CF2" w14:textId="1F27CAD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6197295">
    <w:abstractNumId w:val="17"/>
  </w:num>
  <w:num w:numId="2" w16cid:durableId="104925777">
    <w:abstractNumId w:val="14"/>
  </w:num>
  <w:num w:numId="3" w16cid:durableId="1956013503">
    <w:abstractNumId w:val="12"/>
  </w:num>
  <w:num w:numId="4" w16cid:durableId="346947942">
    <w:abstractNumId w:val="11"/>
  </w:num>
  <w:num w:numId="5" w16cid:durableId="1332485720">
    <w:abstractNumId w:val="18"/>
  </w:num>
  <w:num w:numId="6" w16cid:durableId="1210192099">
    <w:abstractNumId w:val="7"/>
  </w:num>
  <w:num w:numId="7" w16cid:durableId="2107191545">
    <w:abstractNumId w:val="6"/>
  </w:num>
  <w:num w:numId="8" w16cid:durableId="143932708">
    <w:abstractNumId w:val="5"/>
  </w:num>
  <w:num w:numId="9" w16cid:durableId="1188367573">
    <w:abstractNumId w:val="4"/>
  </w:num>
  <w:num w:numId="10" w16cid:durableId="177424840">
    <w:abstractNumId w:val="8"/>
  </w:num>
  <w:num w:numId="11" w16cid:durableId="1102605527">
    <w:abstractNumId w:val="3"/>
  </w:num>
  <w:num w:numId="12" w16cid:durableId="1129906573">
    <w:abstractNumId w:val="2"/>
  </w:num>
  <w:num w:numId="13" w16cid:durableId="596255997">
    <w:abstractNumId w:val="1"/>
  </w:num>
  <w:num w:numId="14" w16cid:durableId="686641609">
    <w:abstractNumId w:val="0"/>
  </w:num>
  <w:num w:numId="15" w16cid:durableId="1292053685">
    <w:abstractNumId w:val="15"/>
  </w:num>
  <w:num w:numId="16" w16cid:durableId="1574271243">
    <w:abstractNumId w:val="13"/>
  </w:num>
  <w:num w:numId="17" w16cid:durableId="1917938567">
    <w:abstractNumId w:val="16"/>
  </w:num>
  <w:num w:numId="18" w16cid:durableId="551582222">
    <w:abstractNumId w:val="15"/>
  </w:num>
  <w:num w:numId="19" w16cid:durableId="691340472">
    <w:abstractNumId w:val="16"/>
  </w:num>
  <w:num w:numId="20" w16cid:durableId="486938707">
    <w:abstractNumId w:val="10"/>
  </w:num>
  <w:num w:numId="21" w16cid:durableId="207908411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5BA"/>
    <w:rsid w:val="00095FD8"/>
    <w:rsid w:val="000B1FA9"/>
    <w:rsid w:val="000D61E7"/>
    <w:rsid w:val="000E3A89"/>
    <w:rsid w:val="00132029"/>
    <w:rsid w:val="00144EBC"/>
    <w:rsid w:val="00150BFA"/>
    <w:rsid w:val="001D1233"/>
    <w:rsid w:val="0020718E"/>
    <w:rsid w:val="00223591"/>
    <w:rsid w:val="002A7443"/>
    <w:rsid w:val="002E2C77"/>
    <w:rsid w:val="003B50D7"/>
    <w:rsid w:val="003D75BA"/>
    <w:rsid w:val="003E3C60"/>
    <w:rsid w:val="004474D0"/>
    <w:rsid w:val="00452087"/>
    <w:rsid w:val="00464268"/>
    <w:rsid w:val="004A4C71"/>
    <w:rsid w:val="004B4E73"/>
    <w:rsid w:val="0056487C"/>
    <w:rsid w:val="005E56C2"/>
    <w:rsid w:val="005F11CB"/>
    <w:rsid w:val="006262FA"/>
    <w:rsid w:val="006267D3"/>
    <w:rsid w:val="006300E9"/>
    <w:rsid w:val="00653EF4"/>
    <w:rsid w:val="00656B81"/>
    <w:rsid w:val="006D4D63"/>
    <w:rsid w:val="006E123B"/>
    <w:rsid w:val="006E2689"/>
    <w:rsid w:val="00701724"/>
    <w:rsid w:val="0076040F"/>
    <w:rsid w:val="007907C0"/>
    <w:rsid w:val="007A74FC"/>
    <w:rsid w:val="007B2364"/>
    <w:rsid w:val="00812D10"/>
    <w:rsid w:val="008433D2"/>
    <w:rsid w:val="008D10E4"/>
    <w:rsid w:val="008F0A92"/>
    <w:rsid w:val="008F7189"/>
    <w:rsid w:val="00956B2A"/>
    <w:rsid w:val="0096293E"/>
    <w:rsid w:val="009656DE"/>
    <w:rsid w:val="009B6F49"/>
    <w:rsid w:val="009C21E8"/>
    <w:rsid w:val="009E01FB"/>
    <w:rsid w:val="00A45145"/>
    <w:rsid w:val="00AA3552"/>
    <w:rsid w:val="00AA5AEE"/>
    <w:rsid w:val="00AC58E5"/>
    <w:rsid w:val="00B140D3"/>
    <w:rsid w:val="00BD1692"/>
    <w:rsid w:val="00C042EA"/>
    <w:rsid w:val="00C318A5"/>
    <w:rsid w:val="00C42C12"/>
    <w:rsid w:val="00C8038F"/>
    <w:rsid w:val="00CB3BD9"/>
    <w:rsid w:val="00D415D6"/>
    <w:rsid w:val="00DB6354"/>
    <w:rsid w:val="00E5464B"/>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32C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318A5"/>
    <w:rPr>
      <w:sz w:val="24"/>
      <w:szCs w:val="24"/>
      <w:lang w:val="en-GB"/>
    </w:rPr>
  </w:style>
  <w:style w:type="paragraph" w:styleId="Heading1">
    <w:name w:val="heading 1"/>
    <w:basedOn w:val="Normal"/>
    <w:next w:val="Normal"/>
    <w:link w:val="Heading1Char"/>
    <w:uiPriority w:val="98"/>
    <w:semiHidden/>
    <w:rsid w:val="00C318A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318A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318A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318A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318A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318A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318A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318A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318A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C318A5"/>
    <w:pPr>
      <w:tabs>
        <w:tab w:val="center" w:pos="1418"/>
        <w:tab w:val="center" w:pos="5954"/>
      </w:tabs>
      <w:spacing w:before="720"/>
    </w:pPr>
  </w:style>
  <w:style w:type="paragraph" w:customStyle="1" w:styleId="JuPara">
    <w:name w:val="Ju_Para"/>
    <w:aliases w:val="_Para"/>
    <w:basedOn w:val="NormalJustified"/>
    <w:link w:val="JuParaChar"/>
    <w:uiPriority w:val="4"/>
    <w:qFormat/>
    <w:rsid w:val="00C318A5"/>
    <w:pPr>
      <w:ind w:firstLine="284"/>
    </w:pPr>
  </w:style>
  <w:style w:type="character" w:styleId="PageNumber">
    <w:name w:val="page number"/>
    <w:uiPriority w:val="98"/>
    <w:semiHidden/>
    <w:rsid w:val="00C318A5"/>
    <w:rPr>
      <w:sz w:val="18"/>
    </w:rPr>
  </w:style>
  <w:style w:type="character" w:styleId="CommentReference">
    <w:name w:val="annotation reference"/>
    <w:basedOn w:val="DefaultParagraphFont"/>
    <w:uiPriority w:val="98"/>
    <w:semiHidden/>
    <w:rsid w:val="00C318A5"/>
    <w:rPr>
      <w:sz w:val="16"/>
      <w:szCs w:val="16"/>
    </w:rPr>
  </w:style>
  <w:style w:type="paragraph" w:styleId="CommentText">
    <w:name w:val="annotation text"/>
    <w:basedOn w:val="Normal"/>
    <w:link w:val="CommentTextChar"/>
    <w:uiPriority w:val="98"/>
    <w:semiHidden/>
    <w:rsid w:val="00C318A5"/>
    <w:rPr>
      <w:sz w:val="20"/>
      <w:szCs w:val="20"/>
    </w:rPr>
  </w:style>
  <w:style w:type="character" w:customStyle="1" w:styleId="CommentTextChar">
    <w:name w:val="Comment Text Char"/>
    <w:basedOn w:val="DefaultParagraphFont"/>
    <w:link w:val="CommentText"/>
    <w:uiPriority w:val="98"/>
    <w:semiHidden/>
    <w:rsid w:val="00C318A5"/>
    <w:rPr>
      <w:sz w:val="20"/>
      <w:szCs w:val="20"/>
      <w:lang w:val="en-GB"/>
    </w:rPr>
  </w:style>
  <w:style w:type="paragraph" w:customStyle="1" w:styleId="DecHTitle">
    <w:name w:val="Dec_H_Title"/>
    <w:aliases w:val="_Title_1"/>
    <w:basedOn w:val="JuPara"/>
    <w:next w:val="JuPara"/>
    <w:uiPriority w:val="38"/>
    <w:qFormat/>
    <w:rsid w:val="00C318A5"/>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C318A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318A5"/>
    <w:pPr>
      <w:keepNext/>
      <w:keepLines/>
      <w:spacing w:before="1320" w:after="280"/>
      <w:contextualSpacing/>
      <w:jc w:val="center"/>
    </w:pPr>
    <w:rPr>
      <w:b/>
    </w:rPr>
  </w:style>
  <w:style w:type="paragraph" w:customStyle="1" w:styleId="JuHeader">
    <w:name w:val="Ju_Header"/>
    <w:aliases w:val="_Header"/>
    <w:basedOn w:val="Header0"/>
    <w:uiPriority w:val="29"/>
    <w:qFormat/>
    <w:rsid w:val="00C318A5"/>
    <w:pPr>
      <w:tabs>
        <w:tab w:val="clear" w:pos="4536"/>
        <w:tab w:val="clear" w:pos="9072"/>
      </w:tabs>
      <w:jc w:val="center"/>
    </w:pPr>
    <w:rPr>
      <w:sz w:val="18"/>
    </w:rPr>
  </w:style>
  <w:style w:type="paragraph" w:styleId="Header0">
    <w:name w:val="header"/>
    <w:basedOn w:val="Normal"/>
    <w:link w:val="HeaderChar"/>
    <w:uiPriority w:val="98"/>
    <w:semiHidden/>
    <w:rsid w:val="00C318A5"/>
    <w:pPr>
      <w:tabs>
        <w:tab w:val="center" w:pos="4536"/>
        <w:tab w:val="right" w:pos="9072"/>
      </w:tabs>
    </w:pPr>
  </w:style>
  <w:style w:type="character" w:customStyle="1" w:styleId="HeaderChar">
    <w:name w:val="Header Char"/>
    <w:basedOn w:val="DefaultParagraphFont"/>
    <w:link w:val="Header0"/>
    <w:uiPriority w:val="98"/>
    <w:semiHidden/>
    <w:rsid w:val="00C318A5"/>
    <w:rPr>
      <w:sz w:val="24"/>
      <w:szCs w:val="24"/>
      <w:lang w:val="en-GB"/>
    </w:rPr>
  </w:style>
  <w:style w:type="paragraph" w:styleId="BalloonText">
    <w:name w:val="Balloon Text"/>
    <w:basedOn w:val="Normal"/>
    <w:link w:val="BalloonTextChar"/>
    <w:uiPriority w:val="98"/>
    <w:semiHidden/>
    <w:rsid w:val="00C318A5"/>
    <w:rPr>
      <w:rFonts w:ascii="Tahoma" w:hAnsi="Tahoma" w:cs="Tahoma"/>
      <w:sz w:val="16"/>
      <w:szCs w:val="16"/>
    </w:rPr>
  </w:style>
  <w:style w:type="character" w:customStyle="1" w:styleId="BalloonTextChar">
    <w:name w:val="Balloon Text Char"/>
    <w:basedOn w:val="DefaultParagraphFont"/>
    <w:link w:val="BalloonText"/>
    <w:uiPriority w:val="98"/>
    <w:semiHidden/>
    <w:rsid w:val="00C318A5"/>
    <w:rPr>
      <w:rFonts w:ascii="Tahoma" w:hAnsi="Tahoma" w:cs="Tahoma"/>
      <w:sz w:val="16"/>
      <w:szCs w:val="16"/>
      <w:lang w:val="en-GB"/>
    </w:rPr>
  </w:style>
  <w:style w:type="paragraph" w:customStyle="1" w:styleId="DummyStyle">
    <w:name w:val="Dummy_Style"/>
    <w:aliases w:val="_Dummy"/>
    <w:basedOn w:val="Normal"/>
    <w:semiHidden/>
    <w:qFormat/>
    <w:rsid w:val="00C318A5"/>
    <w:rPr>
      <w:color w:val="00B050"/>
      <w:sz w:val="22"/>
    </w:rPr>
  </w:style>
  <w:style w:type="paragraph" w:customStyle="1" w:styleId="NormalJustified">
    <w:name w:val="Normal_Justified"/>
    <w:basedOn w:val="Normal"/>
    <w:semiHidden/>
    <w:rsid w:val="00C318A5"/>
    <w:pPr>
      <w:jc w:val="both"/>
    </w:pPr>
  </w:style>
  <w:style w:type="paragraph" w:customStyle="1" w:styleId="JuQuot">
    <w:name w:val="Ju_Quot"/>
    <w:aliases w:val="_Quote"/>
    <w:basedOn w:val="NormalJustified"/>
    <w:uiPriority w:val="20"/>
    <w:qFormat/>
    <w:rsid w:val="00C318A5"/>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C318A5"/>
    <w:pPr>
      <w:keepNext/>
      <w:keepLines/>
      <w:tabs>
        <w:tab w:val="right" w:pos="7938"/>
      </w:tabs>
      <w:ind w:firstLine="0"/>
      <w:jc w:val="center"/>
    </w:pPr>
    <w:rPr>
      <w:i/>
    </w:rPr>
  </w:style>
  <w:style w:type="table" w:customStyle="1" w:styleId="ECHRDNTable">
    <w:name w:val="ECHR_DN_Table"/>
    <w:basedOn w:val="TableNormal"/>
    <w:uiPriority w:val="99"/>
    <w:rsid w:val="00C318A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C318A5"/>
    <w:pPr>
      <w:numPr>
        <w:numId w:val="15"/>
      </w:numPr>
    </w:pPr>
  </w:style>
  <w:style w:type="numbering" w:customStyle="1" w:styleId="ECHRA1StyleList">
    <w:name w:val="ECHR_A1_Style_List"/>
    <w:basedOn w:val="NoList"/>
    <w:uiPriority w:val="99"/>
    <w:rsid w:val="00C318A5"/>
    <w:pPr>
      <w:numPr>
        <w:numId w:val="16"/>
      </w:numPr>
    </w:pPr>
  </w:style>
  <w:style w:type="paragraph" w:customStyle="1" w:styleId="JuHArticle">
    <w:name w:val="Ju_H_Article"/>
    <w:aliases w:val="_Title_Quote"/>
    <w:basedOn w:val="Normal"/>
    <w:next w:val="JuQuot"/>
    <w:uiPriority w:val="19"/>
    <w:qFormat/>
    <w:rsid w:val="00C318A5"/>
    <w:pPr>
      <w:keepNext/>
      <w:spacing w:before="100" w:beforeAutospacing="1" w:after="120"/>
      <w:contextualSpacing/>
      <w:jc w:val="center"/>
    </w:pPr>
    <w:rPr>
      <w:b/>
      <w:sz w:val="20"/>
    </w:rPr>
  </w:style>
  <w:style w:type="numbering" w:customStyle="1" w:styleId="ECHRA1StyleNumberedList">
    <w:name w:val="ECHR_A1_Style_Numbered_List"/>
    <w:basedOn w:val="NoList"/>
    <w:rsid w:val="00C318A5"/>
    <w:pPr>
      <w:numPr>
        <w:numId w:val="17"/>
      </w:numPr>
    </w:pPr>
  </w:style>
  <w:style w:type="table" w:customStyle="1" w:styleId="ECHRHeaderTable">
    <w:name w:val="ECHR_Header_Table"/>
    <w:basedOn w:val="TableNormal"/>
    <w:uiPriority w:val="99"/>
    <w:rsid w:val="00C318A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C318A5"/>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C318A5"/>
    <w:pPr>
      <w:tabs>
        <w:tab w:val="center" w:pos="6407"/>
      </w:tabs>
      <w:spacing w:before="720"/>
      <w:jc w:val="right"/>
    </w:pPr>
  </w:style>
  <w:style w:type="table" w:customStyle="1" w:styleId="ECHRHeaderTableReduced">
    <w:name w:val="ECHR_Header_Table_Reduced"/>
    <w:basedOn w:val="TableNormal"/>
    <w:uiPriority w:val="99"/>
    <w:rsid w:val="00C318A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C318A5"/>
    <w:rPr>
      <w:caps w:val="0"/>
      <w:smallCaps/>
    </w:rPr>
  </w:style>
  <w:style w:type="character" w:customStyle="1" w:styleId="JuITMark">
    <w:name w:val="Ju_ITMark"/>
    <w:aliases w:val="_ITMark"/>
    <w:basedOn w:val="DefaultParagraphFont"/>
    <w:uiPriority w:val="54"/>
    <w:qFormat/>
    <w:rsid w:val="00C318A5"/>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C318A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C318A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318A5"/>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C318A5"/>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C318A5"/>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C318A5"/>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C318A5"/>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C318A5"/>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C318A5"/>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C318A5"/>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C318A5"/>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C318A5"/>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C318A5"/>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C318A5"/>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C318A5"/>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C318A5"/>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C318A5"/>
    <w:pPr>
      <w:keepNext/>
      <w:keepLines/>
      <w:spacing w:before="240" w:after="240"/>
      <w:ind w:firstLine="284"/>
    </w:pPr>
  </w:style>
  <w:style w:type="table" w:customStyle="1" w:styleId="ECHRTableBoxHeader">
    <w:name w:val="ECHR_Table_Box_Header"/>
    <w:basedOn w:val="TableNormal"/>
    <w:rsid w:val="00C318A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C318A5"/>
    <w:pPr>
      <w:tabs>
        <w:tab w:val="left" w:pos="567"/>
        <w:tab w:val="left" w:pos="1134"/>
      </w:tabs>
    </w:pPr>
  </w:style>
  <w:style w:type="paragraph" w:customStyle="1" w:styleId="JuList">
    <w:name w:val="Ju_List"/>
    <w:aliases w:val="_List_1"/>
    <w:basedOn w:val="NormalJustified"/>
    <w:uiPriority w:val="23"/>
    <w:qFormat/>
    <w:rsid w:val="00C318A5"/>
    <w:pPr>
      <w:numPr>
        <w:numId w:val="21"/>
      </w:numPr>
      <w:spacing w:before="280" w:after="60"/>
    </w:pPr>
  </w:style>
  <w:style w:type="paragraph" w:customStyle="1" w:styleId="JuLista">
    <w:name w:val="Ju_List_a"/>
    <w:aliases w:val="_List_2"/>
    <w:basedOn w:val="NormalJustified"/>
    <w:uiPriority w:val="23"/>
    <w:rsid w:val="00C318A5"/>
    <w:pPr>
      <w:numPr>
        <w:ilvl w:val="1"/>
        <w:numId w:val="21"/>
      </w:numPr>
    </w:pPr>
  </w:style>
  <w:style w:type="paragraph" w:customStyle="1" w:styleId="JuListi">
    <w:name w:val="Ju_List_i"/>
    <w:aliases w:val="_List_3"/>
    <w:basedOn w:val="NormalJustified"/>
    <w:uiPriority w:val="23"/>
    <w:rsid w:val="00C318A5"/>
    <w:pPr>
      <w:numPr>
        <w:ilvl w:val="2"/>
        <w:numId w:val="21"/>
      </w:numPr>
    </w:pPr>
  </w:style>
  <w:style w:type="table" w:customStyle="1" w:styleId="ECHRTableFax">
    <w:name w:val="ECHR_Table_Fax"/>
    <w:basedOn w:val="TableNormal"/>
    <w:uiPriority w:val="99"/>
    <w:rsid w:val="00C318A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C318A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C318A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C318A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318A5"/>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C318A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318A5"/>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C318A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318A5"/>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C318A5"/>
    <w:rPr>
      <w:b/>
      <w:bCs/>
    </w:rPr>
  </w:style>
  <w:style w:type="character" w:styleId="Emphasis">
    <w:name w:val="Emphasis"/>
    <w:uiPriority w:val="98"/>
    <w:semiHidden/>
    <w:qFormat/>
    <w:rsid w:val="00C318A5"/>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C318A5"/>
  </w:style>
  <w:style w:type="character" w:customStyle="1" w:styleId="NoSpacingChar">
    <w:name w:val="No Spacing Char"/>
    <w:basedOn w:val="DefaultParagraphFont"/>
    <w:link w:val="NoSpacing"/>
    <w:uiPriority w:val="98"/>
    <w:semiHidden/>
    <w:rsid w:val="00C318A5"/>
    <w:rPr>
      <w:sz w:val="24"/>
      <w:szCs w:val="24"/>
      <w:lang w:val="en-GB"/>
    </w:rPr>
  </w:style>
  <w:style w:type="paragraph" w:styleId="ListParagraph">
    <w:name w:val="List Paragraph"/>
    <w:basedOn w:val="Normal"/>
    <w:uiPriority w:val="98"/>
    <w:semiHidden/>
    <w:qFormat/>
    <w:rsid w:val="00C318A5"/>
    <w:pPr>
      <w:ind w:left="720"/>
      <w:contextualSpacing/>
    </w:pPr>
  </w:style>
  <w:style w:type="paragraph" w:styleId="Quote0">
    <w:name w:val="Quote"/>
    <w:basedOn w:val="Normal"/>
    <w:next w:val="Normal"/>
    <w:link w:val="QuoteChar"/>
    <w:uiPriority w:val="98"/>
    <w:semiHidden/>
    <w:qFormat/>
    <w:rsid w:val="00C318A5"/>
    <w:pPr>
      <w:spacing w:before="200"/>
      <w:ind w:left="360" w:right="360"/>
    </w:pPr>
    <w:rPr>
      <w:i/>
      <w:iCs/>
      <w:lang w:bidi="en-US"/>
    </w:rPr>
  </w:style>
  <w:style w:type="character" w:customStyle="1" w:styleId="QuoteChar">
    <w:name w:val="Quote Char"/>
    <w:basedOn w:val="DefaultParagraphFont"/>
    <w:link w:val="Quote0"/>
    <w:uiPriority w:val="98"/>
    <w:semiHidden/>
    <w:rsid w:val="00C318A5"/>
    <w:rPr>
      <w:i/>
      <w:iCs/>
      <w:sz w:val="24"/>
      <w:szCs w:val="24"/>
      <w:lang w:val="en-GB" w:bidi="en-US"/>
    </w:rPr>
  </w:style>
  <w:style w:type="paragraph" w:styleId="IntenseQuote">
    <w:name w:val="Intense Quote"/>
    <w:basedOn w:val="Normal"/>
    <w:next w:val="Normal"/>
    <w:link w:val="IntenseQuoteChar"/>
    <w:uiPriority w:val="98"/>
    <w:semiHidden/>
    <w:qFormat/>
    <w:rsid w:val="00C318A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318A5"/>
    <w:rPr>
      <w:b/>
      <w:bCs/>
      <w:i/>
      <w:iCs/>
      <w:sz w:val="24"/>
      <w:szCs w:val="24"/>
      <w:lang w:val="en-GB" w:bidi="en-US"/>
    </w:rPr>
  </w:style>
  <w:style w:type="character" w:styleId="SubtleEmphasis">
    <w:name w:val="Subtle Emphasis"/>
    <w:uiPriority w:val="98"/>
    <w:semiHidden/>
    <w:qFormat/>
    <w:rsid w:val="00C318A5"/>
    <w:rPr>
      <w:i/>
      <w:iCs/>
    </w:rPr>
  </w:style>
  <w:style w:type="character" w:styleId="IntenseEmphasis">
    <w:name w:val="Intense Emphasis"/>
    <w:uiPriority w:val="98"/>
    <w:semiHidden/>
    <w:qFormat/>
    <w:rsid w:val="00C318A5"/>
    <w:rPr>
      <w:b/>
      <w:bCs/>
    </w:rPr>
  </w:style>
  <w:style w:type="character" w:styleId="SubtleReference">
    <w:name w:val="Subtle Reference"/>
    <w:uiPriority w:val="98"/>
    <w:semiHidden/>
    <w:qFormat/>
    <w:rsid w:val="00C318A5"/>
    <w:rPr>
      <w:smallCaps/>
    </w:rPr>
  </w:style>
  <w:style w:type="character" w:styleId="IntenseReference">
    <w:name w:val="Intense Reference"/>
    <w:uiPriority w:val="98"/>
    <w:semiHidden/>
    <w:qFormat/>
    <w:rsid w:val="00C318A5"/>
    <w:rPr>
      <w:smallCaps/>
      <w:spacing w:val="5"/>
      <w:u w:val="single"/>
    </w:rPr>
  </w:style>
  <w:style w:type="character" w:styleId="BookTitle">
    <w:name w:val="Book Title"/>
    <w:uiPriority w:val="98"/>
    <w:semiHidden/>
    <w:qFormat/>
    <w:rsid w:val="00C318A5"/>
    <w:rPr>
      <w:i/>
      <w:iCs/>
      <w:smallCaps/>
      <w:spacing w:val="5"/>
    </w:rPr>
  </w:style>
  <w:style w:type="paragraph" w:styleId="TOCHeading">
    <w:name w:val="TOC Heading"/>
    <w:basedOn w:val="Normal"/>
    <w:next w:val="Normal"/>
    <w:uiPriority w:val="98"/>
    <w:semiHidden/>
    <w:qFormat/>
    <w:rsid w:val="00C318A5"/>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C318A5"/>
    <w:pPr>
      <w:numPr>
        <w:numId w:val="2"/>
      </w:numPr>
    </w:pPr>
  </w:style>
  <w:style w:type="numbering" w:styleId="1ai">
    <w:name w:val="Outline List 1"/>
    <w:basedOn w:val="NoList"/>
    <w:uiPriority w:val="99"/>
    <w:semiHidden/>
    <w:unhideWhenUsed/>
    <w:rsid w:val="00C318A5"/>
    <w:pPr>
      <w:numPr>
        <w:numId w:val="3"/>
      </w:numPr>
    </w:pPr>
  </w:style>
  <w:style w:type="numbering" w:styleId="ArticleSection">
    <w:name w:val="Outline List 3"/>
    <w:basedOn w:val="NoList"/>
    <w:uiPriority w:val="99"/>
    <w:semiHidden/>
    <w:unhideWhenUsed/>
    <w:rsid w:val="00C318A5"/>
    <w:pPr>
      <w:numPr>
        <w:numId w:val="4"/>
      </w:numPr>
    </w:pPr>
  </w:style>
  <w:style w:type="paragraph" w:styleId="Bibliography">
    <w:name w:val="Bibliography"/>
    <w:basedOn w:val="Normal"/>
    <w:next w:val="Normal"/>
    <w:uiPriority w:val="98"/>
    <w:semiHidden/>
    <w:rsid w:val="00C318A5"/>
  </w:style>
  <w:style w:type="paragraph" w:styleId="BlockText">
    <w:name w:val="Block Text"/>
    <w:basedOn w:val="Normal"/>
    <w:uiPriority w:val="98"/>
    <w:semiHidden/>
    <w:rsid w:val="00C318A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318A5"/>
    <w:pPr>
      <w:spacing w:after="120"/>
    </w:pPr>
  </w:style>
  <w:style w:type="character" w:customStyle="1" w:styleId="BodyTextChar">
    <w:name w:val="Body Text Char"/>
    <w:basedOn w:val="DefaultParagraphFont"/>
    <w:link w:val="BodyText"/>
    <w:uiPriority w:val="98"/>
    <w:semiHidden/>
    <w:rsid w:val="00C318A5"/>
    <w:rPr>
      <w:sz w:val="24"/>
      <w:szCs w:val="24"/>
      <w:lang w:val="en-GB"/>
    </w:rPr>
  </w:style>
  <w:style w:type="paragraph" w:styleId="BodyText2">
    <w:name w:val="Body Text 2"/>
    <w:basedOn w:val="Normal"/>
    <w:link w:val="BodyText2Char"/>
    <w:uiPriority w:val="98"/>
    <w:semiHidden/>
    <w:rsid w:val="00C318A5"/>
    <w:pPr>
      <w:spacing w:after="120" w:line="480" w:lineRule="auto"/>
    </w:pPr>
  </w:style>
  <w:style w:type="character" w:customStyle="1" w:styleId="BodyText2Char">
    <w:name w:val="Body Text 2 Char"/>
    <w:basedOn w:val="DefaultParagraphFont"/>
    <w:link w:val="BodyText2"/>
    <w:uiPriority w:val="98"/>
    <w:semiHidden/>
    <w:rsid w:val="00C318A5"/>
    <w:rPr>
      <w:sz w:val="24"/>
      <w:szCs w:val="24"/>
      <w:lang w:val="en-GB"/>
    </w:rPr>
  </w:style>
  <w:style w:type="paragraph" w:styleId="BodyText3">
    <w:name w:val="Body Text 3"/>
    <w:basedOn w:val="Normal"/>
    <w:link w:val="BodyText3Char"/>
    <w:uiPriority w:val="98"/>
    <w:semiHidden/>
    <w:rsid w:val="00C318A5"/>
    <w:pPr>
      <w:spacing w:after="120"/>
    </w:pPr>
    <w:rPr>
      <w:sz w:val="16"/>
      <w:szCs w:val="16"/>
    </w:rPr>
  </w:style>
  <w:style w:type="character" w:customStyle="1" w:styleId="BodyText3Char">
    <w:name w:val="Body Text 3 Char"/>
    <w:basedOn w:val="DefaultParagraphFont"/>
    <w:link w:val="BodyText3"/>
    <w:uiPriority w:val="98"/>
    <w:semiHidden/>
    <w:rsid w:val="00C318A5"/>
    <w:rPr>
      <w:sz w:val="16"/>
      <w:szCs w:val="16"/>
      <w:lang w:val="en-GB"/>
    </w:rPr>
  </w:style>
  <w:style w:type="paragraph" w:styleId="BodyTextFirstIndent">
    <w:name w:val="Body Text First Indent"/>
    <w:basedOn w:val="BodyText"/>
    <w:link w:val="BodyTextFirstIndentChar"/>
    <w:uiPriority w:val="98"/>
    <w:semiHidden/>
    <w:rsid w:val="00C318A5"/>
    <w:pPr>
      <w:spacing w:after="0"/>
      <w:ind w:firstLine="360"/>
    </w:pPr>
  </w:style>
  <w:style w:type="character" w:customStyle="1" w:styleId="BodyTextFirstIndentChar">
    <w:name w:val="Body Text First Indent Char"/>
    <w:basedOn w:val="BodyTextChar"/>
    <w:link w:val="BodyTextFirstIndent"/>
    <w:uiPriority w:val="98"/>
    <w:semiHidden/>
    <w:rsid w:val="00C318A5"/>
    <w:rPr>
      <w:sz w:val="24"/>
      <w:szCs w:val="24"/>
      <w:lang w:val="en-GB"/>
    </w:rPr>
  </w:style>
  <w:style w:type="paragraph" w:styleId="BodyTextIndent">
    <w:name w:val="Body Text Indent"/>
    <w:basedOn w:val="Normal"/>
    <w:link w:val="BodyTextIndentChar"/>
    <w:uiPriority w:val="98"/>
    <w:semiHidden/>
    <w:rsid w:val="00C318A5"/>
    <w:pPr>
      <w:spacing w:after="120"/>
      <w:ind w:left="283"/>
    </w:pPr>
  </w:style>
  <w:style w:type="character" w:customStyle="1" w:styleId="BodyTextIndentChar">
    <w:name w:val="Body Text Indent Char"/>
    <w:basedOn w:val="DefaultParagraphFont"/>
    <w:link w:val="BodyTextIndent"/>
    <w:uiPriority w:val="98"/>
    <w:semiHidden/>
    <w:rsid w:val="00C318A5"/>
    <w:rPr>
      <w:sz w:val="24"/>
      <w:szCs w:val="24"/>
      <w:lang w:val="en-GB"/>
    </w:rPr>
  </w:style>
  <w:style w:type="paragraph" w:styleId="BodyTextFirstIndent2">
    <w:name w:val="Body Text First Indent 2"/>
    <w:basedOn w:val="BodyTextIndent"/>
    <w:link w:val="BodyTextFirstIndent2Char"/>
    <w:uiPriority w:val="98"/>
    <w:semiHidden/>
    <w:rsid w:val="00C318A5"/>
    <w:pPr>
      <w:spacing w:after="0"/>
      <w:ind w:left="360" w:firstLine="360"/>
    </w:pPr>
  </w:style>
  <w:style w:type="character" w:customStyle="1" w:styleId="BodyTextFirstIndent2Char">
    <w:name w:val="Body Text First Indent 2 Char"/>
    <w:basedOn w:val="BodyTextIndentChar"/>
    <w:link w:val="BodyTextFirstIndent2"/>
    <w:uiPriority w:val="98"/>
    <w:semiHidden/>
    <w:rsid w:val="00C318A5"/>
    <w:rPr>
      <w:sz w:val="24"/>
      <w:szCs w:val="24"/>
      <w:lang w:val="en-GB"/>
    </w:rPr>
  </w:style>
  <w:style w:type="paragraph" w:styleId="BodyTextIndent2">
    <w:name w:val="Body Text Indent 2"/>
    <w:basedOn w:val="Normal"/>
    <w:link w:val="BodyTextIndent2Char"/>
    <w:uiPriority w:val="98"/>
    <w:semiHidden/>
    <w:rsid w:val="00C318A5"/>
    <w:pPr>
      <w:spacing w:after="120" w:line="480" w:lineRule="auto"/>
      <w:ind w:left="283"/>
    </w:pPr>
  </w:style>
  <w:style w:type="character" w:customStyle="1" w:styleId="BodyTextIndent2Char">
    <w:name w:val="Body Text Indent 2 Char"/>
    <w:basedOn w:val="DefaultParagraphFont"/>
    <w:link w:val="BodyTextIndent2"/>
    <w:uiPriority w:val="98"/>
    <w:semiHidden/>
    <w:rsid w:val="00C318A5"/>
    <w:rPr>
      <w:sz w:val="24"/>
      <w:szCs w:val="24"/>
      <w:lang w:val="en-GB"/>
    </w:rPr>
  </w:style>
  <w:style w:type="paragraph" w:styleId="BodyTextIndent3">
    <w:name w:val="Body Text Indent 3"/>
    <w:basedOn w:val="Normal"/>
    <w:link w:val="BodyTextIndent3Char"/>
    <w:uiPriority w:val="98"/>
    <w:semiHidden/>
    <w:rsid w:val="00C318A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318A5"/>
    <w:rPr>
      <w:sz w:val="16"/>
      <w:szCs w:val="16"/>
      <w:lang w:val="en-GB"/>
    </w:rPr>
  </w:style>
  <w:style w:type="paragraph" w:styleId="Caption">
    <w:name w:val="caption"/>
    <w:basedOn w:val="Normal"/>
    <w:next w:val="Normal"/>
    <w:uiPriority w:val="98"/>
    <w:semiHidden/>
    <w:qFormat/>
    <w:rsid w:val="00C318A5"/>
    <w:pPr>
      <w:spacing w:after="200"/>
    </w:pPr>
    <w:rPr>
      <w:b/>
      <w:bCs/>
      <w:color w:val="0072BC" w:themeColor="accent1"/>
      <w:sz w:val="18"/>
      <w:szCs w:val="18"/>
    </w:rPr>
  </w:style>
  <w:style w:type="paragraph" w:styleId="Closing">
    <w:name w:val="Closing"/>
    <w:basedOn w:val="Normal"/>
    <w:link w:val="ClosingChar"/>
    <w:uiPriority w:val="98"/>
    <w:semiHidden/>
    <w:rsid w:val="00C318A5"/>
    <w:pPr>
      <w:ind w:left="4252"/>
    </w:pPr>
  </w:style>
  <w:style w:type="character" w:customStyle="1" w:styleId="ClosingChar">
    <w:name w:val="Closing Char"/>
    <w:basedOn w:val="DefaultParagraphFont"/>
    <w:link w:val="Closing"/>
    <w:uiPriority w:val="98"/>
    <w:semiHidden/>
    <w:rsid w:val="00C318A5"/>
    <w:rPr>
      <w:sz w:val="24"/>
      <w:szCs w:val="24"/>
      <w:lang w:val="en-GB"/>
    </w:rPr>
  </w:style>
  <w:style w:type="table" w:styleId="ColorfulGrid">
    <w:name w:val="Colorful Grid"/>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318A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318A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318A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318A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318A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318A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318A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318A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318A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318A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318A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318A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318A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318A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318A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318A5"/>
    <w:rPr>
      <w:b/>
      <w:bCs/>
    </w:rPr>
  </w:style>
  <w:style w:type="character" w:customStyle="1" w:styleId="CommentSubjectChar">
    <w:name w:val="Comment Subject Char"/>
    <w:basedOn w:val="CommentTextChar"/>
    <w:link w:val="CommentSubject"/>
    <w:uiPriority w:val="98"/>
    <w:semiHidden/>
    <w:rsid w:val="00C318A5"/>
    <w:rPr>
      <w:b/>
      <w:bCs/>
      <w:sz w:val="20"/>
      <w:szCs w:val="20"/>
      <w:lang w:val="en-GB"/>
    </w:rPr>
  </w:style>
  <w:style w:type="table" w:styleId="DarkList">
    <w:name w:val="Dark List"/>
    <w:basedOn w:val="TableNormal"/>
    <w:uiPriority w:val="70"/>
    <w:semiHidden/>
    <w:rsid w:val="00C318A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318A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318A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318A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318A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318A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318A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318A5"/>
  </w:style>
  <w:style w:type="character" w:customStyle="1" w:styleId="DateChar">
    <w:name w:val="Date Char"/>
    <w:basedOn w:val="DefaultParagraphFont"/>
    <w:link w:val="Date"/>
    <w:uiPriority w:val="98"/>
    <w:semiHidden/>
    <w:rsid w:val="00C318A5"/>
    <w:rPr>
      <w:sz w:val="24"/>
      <w:szCs w:val="24"/>
      <w:lang w:val="en-GB"/>
    </w:rPr>
  </w:style>
  <w:style w:type="paragraph" w:styleId="DocumentMap">
    <w:name w:val="Document Map"/>
    <w:basedOn w:val="Normal"/>
    <w:link w:val="DocumentMapChar"/>
    <w:uiPriority w:val="98"/>
    <w:semiHidden/>
    <w:rsid w:val="00C318A5"/>
    <w:rPr>
      <w:rFonts w:ascii="Tahoma" w:hAnsi="Tahoma" w:cs="Tahoma"/>
      <w:sz w:val="16"/>
      <w:szCs w:val="16"/>
    </w:rPr>
  </w:style>
  <w:style w:type="character" w:customStyle="1" w:styleId="DocumentMapChar">
    <w:name w:val="Document Map Char"/>
    <w:basedOn w:val="DefaultParagraphFont"/>
    <w:link w:val="DocumentMap"/>
    <w:uiPriority w:val="98"/>
    <w:semiHidden/>
    <w:rsid w:val="00C318A5"/>
    <w:rPr>
      <w:rFonts w:ascii="Tahoma" w:hAnsi="Tahoma" w:cs="Tahoma"/>
      <w:sz w:val="16"/>
      <w:szCs w:val="16"/>
      <w:lang w:val="en-GB"/>
    </w:rPr>
  </w:style>
  <w:style w:type="paragraph" w:styleId="E-mailSignature">
    <w:name w:val="E-mail Signature"/>
    <w:basedOn w:val="Normal"/>
    <w:link w:val="E-mailSignatureChar"/>
    <w:uiPriority w:val="98"/>
    <w:semiHidden/>
    <w:rsid w:val="00C318A5"/>
  </w:style>
  <w:style w:type="character" w:customStyle="1" w:styleId="E-mailSignatureChar">
    <w:name w:val="E-mail Signature Char"/>
    <w:basedOn w:val="DefaultParagraphFont"/>
    <w:link w:val="E-mailSignature"/>
    <w:uiPriority w:val="98"/>
    <w:semiHidden/>
    <w:rsid w:val="00C318A5"/>
    <w:rPr>
      <w:sz w:val="24"/>
      <w:szCs w:val="24"/>
      <w:lang w:val="en-GB"/>
    </w:rPr>
  </w:style>
  <w:style w:type="character" w:styleId="EndnoteReference">
    <w:name w:val="endnote reference"/>
    <w:basedOn w:val="DefaultParagraphFont"/>
    <w:uiPriority w:val="98"/>
    <w:semiHidden/>
    <w:rsid w:val="00C318A5"/>
    <w:rPr>
      <w:vertAlign w:val="superscript"/>
    </w:rPr>
  </w:style>
  <w:style w:type="paragraph" w:styleId="EndnoteText">
    <w:name w:val="endnote text"/>
    <w:basedOn w:val="Normal"/>
    <w:link w:val="EndnoteTextChar"/>
    <w:uiPriority w:val="98"/>
    <w:semiHidden/>
    <w:rsid w:val="00C318A5"/>
    <w:rPr>
      <w:sz w:val="20"/>
      <w:szCs w:val="20"/>
    </w:rPr>
  </w:style>
  <w:style w:type="character" w:customStyle="1" w:styleId="EndnoteTextChar">
    <w:name w:val="Endnote Text Char"/>
    <w:basedOn w:val="DefaultParagraphFont"/>
    <w:link w:val="EndnoteText"/>
    <w:uiPriority w:val="98"/>
    <w:semiHidden/>
    <w:rsid w:val="00C318A5"/>
    <w:rPr>
      <w:sz w:val="20"/>
      <w:szCs w:val="20"/>
      <w:lang w:val="en-GB"/>
    </w:rPr>
  </w:style>
  <w:style w:type="paragraph" w:styleId="EnvelopeAddress">
    <w:name w:val="envelope address"/>
    <w:basedOn w:val="Normal"/>
    <w:uiPriority w:val="98"/>
    <w:semiHidden/>
    <w:rsid w:val="00C318A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318A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318A5"/>
    <w:rPr>
      <w:color w:val="7030A0" w:themeColor="followedHyperlink"/>
      <w:u w:val="single"/>
    </w:rPr>
  </w:style>
  <w:style w:type="character" w:styleId="FootnoteReference">
    <w:name w:val="footnote reference"/>
    <w:basedOn w:val="DefaultParagraphFont"/>
    <w:uiPriority w:val="98"/>
    <w:semiHidden/>
    <w:rsid w:val="00C318A5"/>
    <w:rPr>
      <w:vertAlign w:val="superscript"/>
    </w:rPr>
  </w:style>
  <w:style w:type="paragraph" w:styleId="FootnoteText">
    <w:name w:val="footnote text"/>
    <w:basedOn w:val="NormalJustified"/>
    <w:link w:val="FootnoteTextChar"/>
    <w:uiPriority w:val="98"/>
    <w:semiHidden/>
    <w:rsid w:val="00C318A5"/>
    <w:rPr>
      <w:sz w:val="20"/>
      <w:szCs w:val="20"/>
    </w:rPr>
  </w:style>
  <w:style w:type="character" w:customStyle="1" w:styleId="FootnoteTextChar">
    <w:name w:val="Footnote Text Char"/>
    <w:basedOn w:val="DefaultParagraphFont"/>
    <w:link w:val="FootnoteText"/>
    <w:uiPriority w:val="98"/>
    <w:semiHidden/>
    <w:rsid w:val="00C318A5"/>
    <w:rPr>
      <w:sz w:val="20"/>
      <w:szCs w:val="20"/>
      <w:lang w:val="en-GB"/>
    </w:rPr>
  </w:style>
  <w:style w:type="character" w:styleId="HTMLAcronym">
    <w:name w:val="HTML Acronym"/>
    <w:basedOn w:val="DefaultParagraphFont"/>
    <w:uiPriority w:val="98"/>
    <w:semiHidden/>
    <w:rsid w:val="00C318A5"/>
  </w:style>
  <w:style w:type="paragraph" w:styleId="HTMLAddress">
    <w:name w:val="HTML Address"/>
    <w:basedOn w:val="Normal"/>
    <w:link w:val="HTMLAddressChar"/>
    <w:uiPriority w:val="98"/>
    <w:semiHidden/>
    <w:rsid w:val="00C318A5"/>
    <w:rPr>
      <w:i/>
      <w:iCs/>
    </w:rPr>
  </w:style>
  <w:style w:type="character" w:customStyle="1" w:styleId="HTMLAddressChar">
    <w:name w:val="HTML Address Char"/>
    <w:basedOn w:val="DefaultParagraphFont"/>
    <w:link w:val="HTMLAddress"/>
    <w:uiPriority w:val="98"/>
    <w:semiHidden/>
    <w:rsid w:val="00C318A5"/>
    <w:rPr>
      <w:i/>
      <w:iCs/>
      <w:sz w:val="24"/>
      <w:szCs w:val="24"/>
      <w:lang w:val="en-GB"/>
    </w:rPr>
  </w:style>
  <w:style w:type="character" w:styleId="HTMLCite">
    <w:name w:val="HTML Cite"/>
    <w:basedOn w:val="DefaultParagraphFont"/>
    <w:uiPriority w:val="98"/>
    <w:semiHidden/>
    <w:rsid w:val="00C318A5"/>
    <w:rPr>
      <w:i/>
      <w:iCs/>
    </w:rPr>
  </w:style>
  <w:style w:type="character" w:styleId="HTMLCode">
    <w:name w:val="HTML Code"/>
    <w:basedOn w:val="DefaultParagraphFont"/>
    <w:uiPriority w:val="98"/>
    <w:semiHidden/>
    <w:rsid w:val="00C318A5"/>
    <w:rPr>
      <w:rFonts w:ascii="Consolas" w:hAnsi="Consolas" w:cs="Consolas"/>
      <w:sz w:val="20"/>
      <w:szCs w:val="20"/>
    </w:rPr>
  </w:style>
  <w:style w:type="character" w:styleId="HTMLDefinition">
    <w:name w:val="HTML Definition"/>
    <w:basedOn w:val="DefaultParagraphFont"/>
    <w:uiPriority w:val="98"/>
    <w:semiHidden/>
    <w:rsid w:val="00C318A5"/>
    <w:rPr>
      <w:i/>
      <w:iCs/>
    </w:rPr>
  </w:style>
  <w:style w:type="character" w:styleId="HTMLKeyboard">
    <w:name w:val="HTML Keyboard"/>
    <w:basedOn w:val="DefaultParagraphFont"/>
    <w:uiPriority w:val="98"/>
    <w:semiHidden/>
    <w:rsid w:val="00C318A5"/>
    <w:rPr>
      <w:rFonts w:ascii="Consolas" w:hAnsi="Consolas" w:cs="Consolas"/>
      <w:sz w:val="20"/>
      <w:szCs w:val="20"/>
    </w:rPr>
  </w:style>
  <w:style w:type="paragraph" w:styleId="HTMLPreformatted">
    <w:name w:val="HTML Preformatted"/>
    <w:basedOn w:val="Normal"/>
    <w:link w:val="HTMLPreformattedChar"/>
    <w:uiPriority w:val="98"/>
    <w:semiHidden/>
    <w:rsid w:val="00C318A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318A5"/>
    <w:rPr>
      <w:rFonts w:ascii="Consolas" w:hAnsi="Consolas" w:cs="Consolas"/>
      <w:sz w:val="20"/>
      <w:szCs w:val="20"/>
      <w:lang w:val="en-GB"/>
    </w:rPr>
  </w:style>
  <w:style w:type="character" w:styleId="HTMLSample">
    <w:name w:val="HTML Sample"/>
    <w:basedOn w:val="DefaultParagraphFont"/>
    <w:uiPriority w:val="98"/>
    <w:semiHidden/>
    <w:rsid w:val="00C318A5"/>
    <w:rPr>
      <w:rFonts w:ascii="Consolas" w:hAnsi="Consolas" w:cs="Consolas"/>
      <w:sz w:val="24"/>
      <w:szCs w:val="24"/>
    </w:rPr>
  </w:style>
  <w:style w:type="character" w:styleId="HTMLTypewriter">
    <w:name w:val="HTML Typewriter"/>
    <w:basedOn w:val="DefaultParagraphFont"/>
    <w:uiPriority w:val="98"/>
    <w:semiHidden/>
    <w:rsid w:val="00C318A5"/>
    <w:rPr>
      <w:rFonts w:ascii="Consolas" w:hAnsi="Consolas" w:cs="Consolas"/>
      <w:sz w:val="20"/>
      <w:szCs w:val="20"/>
    </w:rPr>
  </w:style>
  <w:style w:type="character" w:styleId="HTMLVariable">
    <w:name w:val="HTML Variable"/>
    <w:basedOn w:val="DefaultParagraphFont"/>
    <w:uiPriority w:val="98"/>
    <w:semiHidden/>
    <w:rsid w:val="00C318A5"/>
    <w:rPr>
      <w:i/>
      <w:iCs/>
    </w:rPr>
  </w:style>
  <w:style w:type="character" w:styleId="Hyperlink">
    <w:name w:val="Hyperlink"/>
    <w:basedOn w:val="DefaultParagraphFont"/>
    <w:uiPriority w:val="98"/>
    <w:semiHidden/>
    <w:rsid w:val="00C318A5"/>
    <w:rPr>
      <w:color w:val="0072BC" w:themeColor="hyperlink"/>
      <w:u w:val="single"/>
    </w:rPr>
  </w:style>
  <w:style w:type="paragraph" w:styleId="Index1">
    <w:name w:val="index 1"/>
    <w:basedOn w:val="Normal"/>
    <w:next w:val="Normal"/>
    <w:autoRedefine/>
    <w:uiPriority w:val="98"/>
    <w:semiHidden/>
    <w:rsid w:val="00C318A5"/>
    <w:pPr>
      <w:ind w:left="240" w:hanging="240"/>
    </w:pPr>
  </w:style>
  <w:style w:type="paragraph" w:styleId="Index2">
    <w:name w:val="index 2"/>
    <w:basedOn w:val="Normal"/>
    <w:next w:val="Normal"/>
    <w:autoRedefine/>
    <w:uiPriority w:val="98"/>
    <w:semiHidden/>
    <w:rsid w:val="00C318A5"/>
    <w:pPr>
      <w:ind w:left="480" w:hanging="240"/>
    </w:pPr>
  </w:style>
  <w:style w:type="paragraph" w:styleId="Index3">
    <w:name w:val="index 3"/>
    <w:basedOn w:val="Normal"/>
    <w:next w:val="Normal"/>
    <w:autoRedefine/>
    <w:uiPriority w:val="98"/>
    <w:semiHidden/>
    <w:rsid w:val="00C318A5"/>
    <w:pPr>
      <w:ind w:left="720" w:hanging="240"/>
    </w:pPr>
  </w:style>
  <w:style w:type="paragraph" w:styleId="Index4">
    <w:name w:val="index 4"/>
    <w:basedOn w:val="Normal"/>
    <w:next w:val="Normal"/>
    <w:autoRedefine/>
    <w:uiPriority w:val="98"/>
    <w:semiHidden/>
    <w:rsid w:val="00C318A5"/>
    <w:pPr>
      <w:ind w:left="960" w:hanging="240"/>
    </w:pPr>
  </w:style>
  <w:style w:type="paragraph" w:styleId="Index5">
    <w:name w:val="index 5"/>
    <w:basedOn w:val="Normal"/>
    <w:next w:val="Normal"/>
    <w:autoRedefine/>
    <w:uiPriority w:val="98"/>
    <w:semiHidden/>
    <w:rsid w:val="00C318A5"/>
    <w:pPr>
      <w:ind w:left="1200" w:hanging="240"/>
    </w:pPr>
  </w:style>
  <w:style w:type="paragraph" w:styleId="Index6">
    <w:name w:val="index 6"/>
    <w:basedOn w:val="Normal"/>
    <w:next w:val="Normal"/>
    <w:autoRedefine/>
    <w:uiPriority w:val="98"/>
    <w:semiHidden/>
    <w:rsid w:val="00C318A5"/>
    <w:pPr>
      <w:ind w:left="1440" w:hanging="240"/>
    </w:pPr>
  </w:style>
  <w:style w:type="paragraph" w:styleId="Index7">
    <w:name w:val="index 7"/>
    <w:basedOn w:val="Normal"/>
    <w:next w:val="Normal"/>
    <w:autoRedefine/>
    <w:uiPriority w:val="98"/>
    <w:semiHidden/>
    <w:rsid w:val="00C318A5"/>
    <w:pPr>
      <w:ind w:left="1680" w:hanging="240"/>
    </w:pPr>
  </w:style>
  <w:style w:type="paragraph" w:styleId="Index8">
    <w:name w:val="index 8"/>
    <w:basedOn w:val="Normal"/>
    <w:next w:val="Normal"/>
    <w:autoRedefine/>
    <w:uiPriority w:val="98"/>
    <w:semiHidden/>
    <w:rsid w:val="00C318A5"/>
    <w:pPr>
      <w:ind w:left="1920" w:hanging="240"/>
    </w:pPr>
  </w:style>
  <w:style w:type="paragraph" w:styleId="Index9">
    <w:name w:val="index 9"/>
    <w:basedOn w:val="Normal"/>
    <w:next w:val="Normal"/>
    <w:autoRedefine/>
    <w:uiPriority w:val="98"/>
    <w:semiHidden/>
    <w:rsid w:val="00C318A5"/>
    <w:pPr>
      <w:ind w:left="2160" w:hanging="240"/>
    </w:pPr>
  </w:style>
  <w:style w:type="paragraph" w:styleId="IndexHeading">
    <w:name w:val="index heading"/>
    <w:basedOn w:val="Normal"/>
    <w:next w:val="Index1"/>
    <w:uiPriority w:val="98"/>
    <w:semiHidden/>
    <w:rsid w:val="00C318A5"/>
    <w:rPr>
      <w:rFonts w:asciiTheme="majorHAnsi" w:eastAsiaTheme="majorEastAsia" w:hAnsiTheme="majorHAnsi" w:cstheme="majorBidi"/>
      <w:b/>
      <w:bCs/>
    </w:rPr>
  </w:style>
  <w:style w:type="table" w:styleId="LightGrid">
    <w:name w:val="Light Grid"/>
    <w:basedOn w:val="TableNormal"/>
    <w:uiPriority w:val="62"/>
    <w:semiHidden/>
    <w:rsid w:val="00C318A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318A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318A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318A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318A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318A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318A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318A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318A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318A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318A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318A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318A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318A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318A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318A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318A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318A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318A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318A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318A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318A5"/>
  </w:style>
  <w:style w:type="paragraph" w:styleId="List">
    <w:name w:val="List"/>
    <w:basedOn w:val="Normal"/>
    <w:uiPriority w:val="98"/>
    <w:semiHidden/>
    <w:rsid w:val="00C318A5"/>
    <w:pPr>
      <w:ind w:left="283" w:hanging="283"/>
      <w:contextualSpacing/>
    </w:pPr>
  </w:style>
  <w:style w:type="paragraph" w:styleId="List20">
    <w:name w:val="List 2"/>
    <w:basedOn w:val="Normal"/>
    <w:uiPriority w:val="98"/>
    <w:semiHidden/>
    <w:rsid w:val="00C318A5"/>
    <w:pPr>
      <w:ind w:left="566" w:hanging="283"/>
      <w:contextualSpacing/>
    </w:pPr>
  </w:style>
  <w:style w:type="paragraph" w:styleId="List30">
    <w:name w:val="List 3"/>
    <w:basedOn w:val="Normal"/>
    <w:uiPriority w:val="98"/>
    <w:semiHidden/>
    <w:rsid w:val="00C318A5"/>
    <w:pPr>
      <w:ind w:left="849" w:hanging="283"/>
      <w:contextualSpacing/>
    </w:pPr>
  </w:style>
  <w:style w:type="paragraph" w:styleId="List4">
    <w:name w:val="List 4"/>
    <w:basedOn w:val="Normal"/>
    <w:uiPriority w:val="98"/>
    <w:semiHidden/>
    <w:rsid w:val="00C318A5"/>
    <w:pPr>
      <w:ind w:left="1132" w:hanging="283"/>
      <w:contextualSpacing/>
    </w:pPr>
  </w:style>
  <w:style w:type="paragraph" w:styleId="List5">
    <w:name w:val="List 5"/>
    <w:basedOn w:val="Normal"/>
    <w:uiPriority w:val="98"/>
    <w:semiHidden/>
    <w:rsid w:val="00C318A5"/>
    <w:pPr>
      <w:ind w:left="1415" w:hanging="283"/>
      <w:contextualSpacing/>
    </w:pPr>
  </w:style>
  <w:style w:type="paragraph" w:styleId="ListBullet">
    <w:name w:val="List Bullet"/>
    <w:basedOn w:val="Normal"/>
    <w:uiPriority w:val="98"/>
    <w:semiHidden/>
    <w:rsid w:val="00C318A5"/>
    <w:pPr>
      <w:numPr>
        <w:numId w:val="5"/>
      </w:numPr>
    </w:pPr>
  </w:style>
  <w:style w:type="paragraph" w:styleId="ListBullet2">
    <w:name w:val="List Bullet 2"/>
    <w:basedOn w:val="Normal"/>
    <w:uiPriority w:val="98"/>
    <w:semiHidden/>
    <w:rsid w:val="00C318A5"/>
    <w:pPr>
      <w:numPr>
        <w:numId w:val="6"/>
      </w:numPr>
      <w:contextualSpacing/>
    </w:pPr>
  </w:style>
  <w:style w:type="paragraph" w:styleId="ListBullet3">
    <w:name w:val="List Bullet 3"/>
    <w:basedOn w:val="Normal"/>
    <w:uiPriority w:val="98"/>
    <w:semiHidden/>
    <w:rsid w:val="00C318A5"/>
    <w:pPr>
      <w:numPr>
        <w:numId w:val="7"/>
      </w:numPr>
      <w:contextualSpacing/>
    </w:pPr>
  </w:style>
  <w:style w:type="paragraph" w:styleId="ListBullet4">
    <w:name w:val="List Bullet 4"/>
    <w:basedOn w:val="Normal"/>
    <w:uiPriority w:val="98"/>
    <w:semiHidden/>
    <w:rsid w:val="00C318A5"/>
    <w:pPr>
      <w:numPr>
        <w:numId w:val="8"/>
      </w:numPr>
      <w:contextualSpacing/>
    </w:pPr>
  </w:style>
  <w:style w:type="paragraph" w:styleId="ListBullet5">
    <w:name w:val="List Bullet 5"/>
    <w:basedOn w:val="Normal"/>
    <w:uiPriority w:val="98"/>
    <w:semiHidden/>
    <w:rsid w:val="00C318A5"/>
    <w:pPr>
      <w:numPr>
        <w:numId w:val="9"/>
      </w:numPr>
      <w:contextualSpacing/>
    </w:pPr>
  </w:style>
  <w:style w:type="paragraph" w:styleId="ListContinue">
    <w:name w:val="List Continue"/>
    <w:basedOn w:val="Normal"/>
    <w:uiPriority w:val="98"/>
    <w:semiHidden/>
    <w:rsid w:val="00C318A5"/>
    <w:pPr>
      <w:spacing w:after="120"/>
      <w:ind w:left="283"/>
      <w:contextualSpacing/>
    </w:pPr>
  </w:style>
  <w:style w:type="paragraph" w:styleId="ListContinue2">
    <w:name w:val="List Continue 2"/>
    <w:basedOn w:val="Normal"/>
    <w:uiPriority w:val="98"/>
    <w:semiHidden/>
    <w:rsid w:val="00C318A5"/>
    <w:pPr>
      <w:spacing w:after="120"/>
      <w:ind w:left="566"/>
      <w:contextualSpacing/>
    </w:pPr>
  </w:style>
  <w:style w:type="paragraph" w:styleId="ListContinue3">
    <w:name w:val="List Continue 3"/>
    <w:basedOn w:val="Normal"/>
    <w:uiPriority w:val="98"/>
    <w:semiHidden/>
    <w:rsid w:val="00C318A5"/>
    <w:pPr>
      <w:spacing w:after="120"/>
      <w:ind w:left="849"/>
      <w:contextualSpacing/>
    </w:pPr>
  </w:style>
  <w:style w:type="paragraph" w:styleId="ListContinue4">
    <w:name w:val="List Continue 4"/>
    <w:basedOn w:val="Normal"/>
    <w:uiPriority w:val="98"/>
    <w:semiHidden/>
    <w:rsid w:val="00C318A5"/>
    <w:pPr>
      <w:spacing w:after="120"/>
      <w:ind w:left="1132"/>
      <w:contextualSpacing/>
    </w:pPr>
  </w:style>
  <w:style w:type="paragraph" w:styleId="ListContinue5">
    <w:name w:val="List Continue 5"/>
    <w:basedOn w:val="Normal"/>
    <w:uiPriority w:val="98"/>
    <w:semiHidden/>
    <w:rsid w:val="00C318A5"/>
    <w:pPr>
      <w:spacing w:after="120"/>
      <w:ind w:left="1415"/>
      <w:contextualSpacing/>
    </w:pPr>
  </w:style>
  <w:style w:type="paragraph" w:styleId="ListNumber">
    <w:name w:val="List Number"/>
    <w:basedOn w:val="Normal"/>
    <w:uiPriority w:val="98"/>
    <w:semiHidden/>
    <w:rsid w:val="00C318A5"/>
    <w:pPr>
      <w:numPr>
        <w:numId w:val="10"/>
      </w:numPr>
      <w:contextualSpacing/>
    </w:pPr>
  </w:style>
  <w:style w:type="paragraph" w:styleId="ListNumber2">
    <w:name w:val="List Number 2"/>
    <w:basedOn w:val="Normal"/>
    <w:uiPriority w:val="98"/>
    <w:semiHidden/>
    <w:rsid w:val="00C318A5"/>
    <w:pPr>
      <w:numPr>
        <w:numId w:val="11"/>
      </w:numPr>
      <w:contextualSpacing/>
    </w:pPr>
  </w:style>
  <w:style w:type="paragraph" w:styleId="ListNumber3">
    <w:name w:val="List Number 3"/>
    <w:basedOn w:val="Normal"/>
    <w:uiPriority w:val="98"/>
    <w:semiHidden/>
    <w:rsid w:val="00C318A5"/>
    <w:pPr>
      <w:numPr>
        <w:numId w:val="12"/>
      </w:numPr>
      <w:contextualSpacing/>
    </w:pPr>
  </w:style>
  <w:style w:type="paragraph" w:styleId="ListNumber4">
    <w:name w:val="List Number 4"/>
    <w:basedOn w:val="Normal"/>
    <w:uiPriority w:val="98"/>
    <w:semiHidden/>
    <w:rsid w:val="00C318A5"/>
    <w:pPr>
      <w:numPr>
        <w:numId w:val="13"/>
      </w:numPr>
      <w:contextualSpacing/>
    </w:pPr>
  </w:style>
  <w:style w:type="paragraph" w:styleId="ListNumber5">
    <w:name w:val="List Number 5"/>
    <w:basedOn w:val="Normal"/>
    <w:uiPriority w:val="98"/>
    <w:semiHidden/>
    <w:rsid w:val="00C318A5"/>
    <w:pPr>
      <w:numPr>
        <w:numId w:val="14"/>
      </w:numPr>
      <w:contextualSpacing/>
    </w:pPr>
  </w:style>
  <w:style w:type="paragraph" w:styleId="Macro">
    <w:name w:val="macro"/>
    <w:link w:val="MacroTextChar"/>
    <w:uiPriority w:val="98"/>
    <w:semiHidden/>
    <w:rsid w:val="00C318A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318A5"/>
    <w:rPr>
      <w:rFonts w:ascii="Consolas" w:hAnsi="Consolas" w:eastAsiaTheme="minorEastAsia" w:cs="Consolas"/>
      <w:sz w:val="20"/>
      <w:szCs w:val="20"/>
    </w:rPr>
  </w:style>
  <w:style w:type="table" w:styleId="MediumGrid1">
    <w:name w:val="Medium Grid 1"/>
    <w:basedOn w:val="TableNormal"/>
    <w:uiPriority w:val="67"/>
    <w:semiHidden/>
    <w:rsid w:val="00C318A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318A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318A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318A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318A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318A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318A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318A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318A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318A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318A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318A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318A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318A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318A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318A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318A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318A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318A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318A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318A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318A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318A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318A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318A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318A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318A5"/>
    <w:rPr>
      <w:rFonts w:ascii="Times New Roman" w:hAnsi="Times New Roman" w:cs="Times New Roman"/>
    </w:rPr>
  </w:style>
  <w:style w:type="paragraph" w:styleId="NormalIndent">
    <w:name w:val="Normal Indent"/>
    <w:basedOn w:val="Normal"/>
    <w:uiPriority w:val="98"/>
    <w:semiHidden/>
    <w:rsid w:val="00C318A5"/>
    <w:pPr>
      <w:ind w:left="720"/>
    </w:pPr>
  </w:style>
  <w:style w:type="table" w:customStyle="1" w:styleId="ECHRTableNoLines">
    <w:name w:val="ECHR_Table_No_Lines"/>
    <w:basedOn w:val="TableNormal"/>
    <w:uiPriority w:val="99"/>
    <w:rsid w:val="00C318A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C318A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C318A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318A5"/>
    <w:rPr>
      <w:rFonts w:ascii="Consolas" w:hAnsi="Consolas" w:cs="Consolas"/>
      <w:sz w:val="21"/>
      <w:szCs w:val="21"/>
    </w:rPr>
  </w:style>
  <w:style w:type="character" w:customStyle="1" w:styleId="PlainTextChar">
    <w:name w:val="Plain Text Char"/>
    <w:basedOn w:val="DefaultParagraphFont"/>
    <w:link w:val="PlainText"/>
    <w:uiPriority w:val="98"/>
    <w:semiHidden/>
    <w:rsid w:val="00C318A5"/>
    <w:rPr>
      <w:rFonts w:ascii="Consolas" w:hAnsi="Consolas" w:cs="Consolas"/>
      <w:sz w:val="21"/>
      <w:szCs w:val="21"/>
      <w:lang w:val="en-GB"/>
    </w:rPr>
  </w:style>
  <w:style w:type="paragraph" w:styleId="Salutation">
    <w:name w:val="Salutation"/>
    <w:basedOn w:val="Normal"/>
    <w:next w:val="Normal"/>
    <w:link w:val="SalutationChar"/>
    <w:uiPriority w:val="98"/>
    <w:semiHidden/>
    <w:rsid w:val="00C318A5"/>
  </w:style>
  <w:style w:type="character" w:customStyle="1" w:styleId="SalutationChar">
    <w:name w:val="Salutation Char"/>
    <w:basedOn w:val="DefaultParagraphFont"/>
    <w:link w:val="Salutation"/>
    <w:uiPriority w:val="98"/>
    <w:semiHidden/>
    <w:rsid w:val="00C318A5"/>
    <w:rPr>
      <w:sz w:val="24"/>
      <w:szCs w:val="24"/>
      <w:lang w:val="en-GB"/>
    </w:rPr>
  </w:style>
  <w:style w:type="paragraph" w:styleId="Signature0">
    <w:name w:val="Signature"/>
    <w:basedOn w:val="Normal"/>
    <w:link w:val="SignatureChar"/>
    <w:uiPriority w:val="98"/>
    <w:semiHidden/>
    <w:rsid w:val="00C318A5"/>
    <w:pPr>
      <w:ind w:left="4252"/>
    </w:pPr>
  </w:style>
  <w:style w:type="character" w:customStyle="1" w:styleId="SignatureChar">
    <w:name w:val="Signature Char"/>
    <w:basedOn w:val="DefaultParagraphFont"/>
    <w:link w:val="Signature0"/>
    <w:uiPriority w:val="98"/>
    <w:semiHidden/>
    <w:rsid w:val="00C318A5"/>
    <w:rPr>
      <w:sz w:val="24"/>
      <w:szCs w:val="24"/>
      <w:lang w:val="en-GB"/>
    </w:rPr>
  </w:style>
  <w:style w:type="table" w:styleId="Table3Deffects1">
    <w:name w:val="Table 3D effects 1"/>
    <w:basedOn w:val="TableNormal"/>
    <w:uiPriority w:val="99"/>
    <w:semiHidden/>
    <w:unhideWhenUsed/>
    <w:rsid w:val="00C318A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18A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18A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18A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18A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18A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18A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18A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18A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18A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18A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18A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18A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18A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18A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18A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18A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C318A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318A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18A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18A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18A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18A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18A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18A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18A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318A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18A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18A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18A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18A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18A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18A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18A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318A5"/>
    <w:pPr>
      <w:ind w:left="240" w:hanging="240"/>
    </w:pPr>
  </w:style>
  <w:style w:type="paragraph" w:styleId="TableofFigures">
    <w:name w:val="table of figures"/>
    <w:basedOn w:val="Normal"/>
    <w:next w:val="Normal"/>
    <w:uiPriority w:val="98"/>
    <w:semiHidden/>
    <w:rsid w:val="00C318A5"/>
  </w:style>
  <w:style w:type="table" w:styleId="TableProfessional">
    <w:name w:val="Table Professional"/>
    <w:basedOn w:val="TableNormal"/>
    <w:uiPriority w:val="99"/>
    <w:semiHidden/>
    <w:unhideWhenUsed/>
    <w:rsid w:val="00C318A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18A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18A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18A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18A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18A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18A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18A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18A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18A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C318A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C318A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318A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318A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318A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318A5"/>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C318A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318A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318A5"/>
    <w:pPr>
      <w:spacing w:after="100"/>
      <w:ind w:left="1680"/>
    </w:pPr>
  </w:style>
  <w:style w:type="paragraph" w:styleId="TOC9">
    <w:name w:val="toc 9"/>
    <w:basedOn w:val="Normal"/>
    <w:next w:val="Normal"/>
    <w:autoRedefine/>
    <w:uiPriority w:val="98"/>
    <w:semiHidden/>
    <w:rsid w:val="00C318A5"/>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C318A5"/>
    <w:pPr>
      <w:tabs>
        <w:tab w:val="center" w:pos="3686"/>
        <w:tab w:val="right" w:pos="7371"/>
      </w:tabs>
    </w:pPr>
  </w:style>
  <w:style w:type="character" w:customStyle="1" w:styleId="FooterChar">
    <w:name w:val="Footer Char"/>
    <w:basedOn w:val="DefaultParagraphFont"/>
    <w:link w:val="Footer1"/>
    <w:uiPriority w:val="98"/>
    <w:semiHidden/>
    <w:rsid w:val="00C318A5"/>
    <w:rPr>
      <w:sz w:val="24"/>
      <w:szCs w:val="24"/>
      <w:lang w:val="en-GB"/>
    </w:rPr>
  </w:style>
  <w:style w:type="paragraph" w:customStyle="1" w:styleId="ECHRFooterLine">
    <w:name w:val="ECHR_Footer_Line"/>
    <w:aliases w:val="_Footer_Line"/>
    <w:basedOn w:val="Normal"/>
    <w:next w:val="Normal"/>
    <w:uiPriority w:val="30"/>
    <w:semiHidden/>
    <w:rsid w:val="00C318A5"/>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C318A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C318A5"/>
    <w:pPr>
      <w:ind w:firstLine="284"/>
    </w:pPr>
    <w:rPr>
      <w:b/>
    </w:rPr>
  </w:style>
  <w:style w:type="paragraph" w:styleId="NoteHeading">
    <w:name w:val="Note Heading"/>
    <w:basedOn w:val="Normal"/>
    <w:next w:val="Normal"/>
    <w:link w:val="NoteHeadingChar"/>
    <w:uiPriority w:val="98"/>
    <w:semiHidden/>
    <w:rsid w:val="00C318A5"/>
  </w:style>
  <w:style w:type="character" w:customStyle="1" w:styleId="NoteHeadingChar">
    <w:name w:val="Note Heading Char"/>
    <w:basedOn w:val="DefaultParagraphFont"/>
    <w:link w:val="NoteHeading"/>
    <w:uiPriority w:val="98"/>
    <w:semiHidden/>
    <w:rsid w:val="00C318A5"/>
    <w:rPr>
      <w:sz w:val="24"/>
      <w:szCs w:val="24"/>
      <w:lang w:val="en-GB"/>
    </w:rPr>
  </w:style>
  <w:style w:type="paragraph" w:customStyle="1" w:styleId="ECHRHeaderLandscape">
    <w:name w:val="ECHR_Header_Landscape"/>
    <w:aliases w:val="_Header_Landscape"/>
    <w:basedOn w:val="JuHeader"/>
    <w:uiPriority w:val="29"/>
    <w:semiHidden/>
    <w:rsid w:val="00C318A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318A5"/>
    <w:pPr>
      <w:numPr>
        <w:numId w:val="18"/>
      </w:numPr>
      <w:spacing w:before="60" w:after="60"/>
    </w:pPr>
  </w:style>
  <w:style w:type="paragraph" w:customStyle="1" w:styleId="ECHRBullet2">
    <w:name w:val="ECHR_Bullet_2"/>
    <w:aliases w:val="_Bul_2"/>
    <w:basedOn w:val="ECHRBullet1"/>
    <w:uiPriority w:val="23"/>
    <w:semiHidden/>
    <w:rsid w:val="00C318A5"/>
    <w:pPr>
      <w:numPr>
        <w:ilvl w:val="1"/>
      </w:numPr>
    </w:pPr>
  </w:style>
  <w:style w:type="paragraph" w:customStyle="1" w:styleId="ECHRBullet3">
    <w:name w:val="ECHR_Bullet_3"/>
    <w:aliases w:val="_Bul_3"/>
    <w:basedOn w:val="ECHRBullet2"/>
    <w:uiPriority w:val="23"/>
    <w:semiHidden/>
    <w:rsid w:val="00C318A5"/>
    <w:pPr>
      <w:numPr>
        <w:ilvl w:val="2"/>
      </w:numPr>
    </w:pPr>
  </w:style>
  <w:style w:type="paragraph" w:customStyle="1" w:styleId="ECHRBullet4">
    <w:name w:val="ECHR_Bullet_4"/>
    <w:aliases w:val="_Bul_4"/>
    <w:basedOn w:val="ECHRBullet3"/>
    <w:uiPriority w:val="23"/>
    <w:semiHidden/>
    <w:rsid w:val="00C318A5"/>
    <w:pPr>
      <w:numPr>
        <w:ilvl w:val="3"/>
      </w:numPr>
    </w:pPr>
  </w:style>
  <w:style w:type="paragraph" w:customStyle="1" w:styleId="ECHRConfidential">
    <w:name w:val="ECHR_Confidential"/>
    <w:aliases w:val="_Confidential"/>
    <w:basedOn w:val="Normal"/>
    <w:next w:val="Normal"/>
    <w:uiPriority w:val="42"/>
    <w:semiHidden/>
    <w:qFormat/>
    <w:rsid w:val="00C318A5"/>
    <w:pPr>
      <w:jc w:val="right"/>
    </w:pPr>
    <w:rPr>
      <w:color w:val="C00000"/>
      <w:sz w:val="20"/>
    </w:rPr>
  </w:style>
  <w:style w:type="paragraph" w:customStyle="1" w:styleId="ECHRDecisionBody">
    <w:name w:val="ECHR_Decision_Body"/>
    <w:aliases w:val="_Decision_Body"/>
    <w:basedOn w:val="NormalJustified"/>
    <w:uiPriority w:val="54"/>
    <w:semiHidden/>
    <w:rsid w:val="00C318A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318A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318A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318A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318A5"/>
    <w:pPr>
      <w:jc w:val="right"/>
    </w:pPr>
    <w:rPr>
      <w:sz w:val="20"/>
    </w:rPr>
  </w:style>
  <w:style w:type="paragraph" w:customStyle="1" w:styleId="ECHRHeaderRefIt">
    <w:name w:val="ECHR_Header_Ref_It"/>
    <w:aliases w:val="_Ref_Ital"/>
    <w:basedOn w:val="Normal"/>
    <w:next w:val="ECHRHeaderDate"/>
    <w:uiPriority w:val="43"/>
    <w:semiHidden/>
    <w:qFormat/>
    <w:rsid w:val="00C318A5"/>
    <w:pPr>
      <w:jc w:val="right"/>
    </w:pPr>
    <w:rPr>
      <w:i/>
      <w:sz w:val="20"/>
    </w:rPr>
  </w:style>
  <w:style w:type="paragraph" w:customStyle="1" w:styleId="ECHRHeading9">
    <w:name w:val="ECHR_Heading_9"/>
    <w:aliases w:val="_Head_9"/>
    <w:basedOn w:val="Heading9"/>
    <w:uiPriority w:val="17"/>
    <w:semiHidden/>
    <w:rsid w:val="00C318A5"/>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318A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318A5"/>
    <w:pPr>
      <w:numPr>
        <w:numId w:val="19"/>
      </w:numPr>
      <w:spacing w:before="60" w:after="60"/>
    </w:pPr>
  </w:style>
  <w:style w:type="paragraph" w:customStyle="1" w:styleId="ECHRNumberedList2">
    <w:name w:val="ECHR_Numbered_List_2"/>
    <w:aliases w:val="_Num_2"/>
    <w:basedOn w:val="ECHRNumberedList1"/>
    <w:uiPriority w:val="23"/>
    <w:semiHidden/>
    <w:rsid w:val="00C318A5"/>
    <w:pPr>
      <w:numPr>
        <w:ilvl w:val="1"/>
      </w:numPr>
    </w:pPr>
  </w:style>
  <w:style w:type="paragraph" w:customStyle="1" w:styleId="ECHRNumberedList3">
    <w:name w:val="ECHR_Numbered_List_3"/>
    <w:aliases w:val="_Num_3"/>
    <w:basedOn w:val="ECHRNumberedList2"/>
    <w:uiPriority w:val="23"/>
    <w:semiHidden/>
    <w:rsid w:val="00C318A5"/>
    <w:pPr>
      <w:numPr>
        <w:ilvl w:val="2"/>
      </w:numPr>
    </w:pPr>
  </w:style>
  <w:style w:type="paragraph" w:customStyle="1" w:styleId="ECHRParaHanging">
    <w:name w:val="ECHR_Para_Hanging"/>
    <w:aliases w:val="_Hanging"/>
    <w:basedOn w:val="NormalJustified"/>
    <w:uiPriority w:val="8"/>
    <w:semiHidden/>
    <w:qFormat/>
    <w:rsid w:val="00C318A5"/>
    <w:pPr>
      <w:ind w:left="567" w:hanging="567"/>
    </w:pPr>
  </w:style>
  <w:style w:type="paragraph" w:customStyle="1" w:styleId="ECHRParaIndent">
    <w:name w:val="ECHR_Para_Indent"/>
    <w:aliases w:val="_Indent"/>
    <w:basedOn w:val="NormalJustified"/>
    <w:uiPriority w:val="7"/>
    <w:semiHidden/>
    <w:qFormat/>
    <w:rsid w:val="00C318A5"/>
    <w:pPr>
      <w:spacing w:before="120" w:after="120"/>
      <w:ind w:left="284"/>
    </w:pPr>
  </w:style>
  <w:style w:type="character" w:customStyle="1" w:styleId="ECHRRed">
    <w:name w:val="ECHR_Red"/>
    <w:aliases w:val="_Red"/>
    <w:basedOn w:val="DefaultParagraphFont"/>
    <w:uiPriority w:val="15"/>
    <w:semiHidden/>
    <w:qFormat/>
    <w:rsid w:val="00C318A5"/>
    <w:rPr>
      <w:color w:val="C00000" w:themeColor="accent2"/>
    </w:rPr>
  </w:style>
  <w:style w:type="paragraph" w:customStyle="1" w:styleId="DecList">
    <w:name w:val="Dec_List"/>
    <w:aliases w:val="_List"/>
    <w:basedOn w:val="JuList"/>
    <w:uiPriority w:val="22"/>
    <w:rsid w:val="00C318A5"/>
    <w:pPr>
      <w:numPr>
        <w:numId w:val="0"/>
      </w:numPr>
      <w:ind w:left="284"/>
    </w:pPr>
  </w:style>
  <w:style w:type="table" w:customStyle="1" w:styleId="ECHRTable">
    <w:name w:val="ECHR_Table"/>
    <w:basedOn w:val="TableNormal"/>
    <w:rsid w:val="00C318A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C318A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318A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318A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318A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318A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318A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318A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318A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318A5"/>
    <w:pPr>
      <w:outlineLvl w:val="0"/>
    </w:pPr>
  </w:style>
  <w:style w:type="paragraph" w:customStyle="1" w:styleId="ECHRTitleTOC1">
    <w:name w:val="ECHR_Title_TOC_1"/>
    <w:aliases w:val="_Title_L_TOC"/>
    <w:basedOn w:val="ECHRTitle1"/>
    <w:next w:val="Normal"/>
    <w:uiPriority w:val="27"/>
    <w:semiHidden/>
    <w:qFormat/>
    <w:rsid w:val="00C318A5"/>
    <w:pPr>
      <w:outlineLvl w:val="0"/>
    </w:pPr>
  </w:style>
  <w:style w:type="table" w:customStyle="1" w:styleId="LtrTableAddress">
    <w:name w:val="Ltr_Table_Address"/>
    <w:aliases w:val="ECHR_Ltr_Table_Address"/>
    <w:basedOn w:val="TableNormal"/>
    <w:uiPriority w:val="99"/>
    <w:rsid w:val="00C318A5"/>
    <w:rPr>
      <w:sz w:val="24"/>
      <w:szCs w:val="24"/>
    </w:rPr>
    <w:tblPr>
      <w:tblInd w:w="5103" w:type="dxa"/>
    </w:tblPr>
  </w:style>
  <w:style w:type="table" w:customStyle="1" w:styleId="PCFTableStyle">
    <w:name w:val="PCF_Table_Style"/>
    <w:aliases w:val="ECHR_PCF_Table_Style"/>
    <w:basedOn w:val="TableNormal"/>
    <w:uiPriority w:val="99"/>
    <w:rsid w:val="00C318A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C318A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318A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C318A5"/>
    <w:rPr>
      <w:color w:val="FFFFFF"/>
    </w:rPr>
  </w:style>
  <w:style w:type="paragraph" w:customStyle="1" w:styleId="ECHRSpacer">
    <w:name w:val="ECHR_Spacer"/>
    <w:aliases w:val="_Spacer"/>
    <w:basedOn w:val="Normal"/>
    <w:uiPriority w:val="45"/>
    <w:semiHidden/>
    <w:rsid w:val="00C318A5"/>
    <w:rPr>
      <w:sz w:val="4"/>
    </w:rPr>
  </w:style>
  <w:style w:type="table" w:customStyle="1" w:styleId="ECHRTableGrey">
    <w:name w:val="ECHR_Table_Grey"/>
    <w:basedOn w:val="TableNormal"/>
    <w:uiPriority w:val="99"/>
    <w:rsid w:val="00C318A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C318A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318A5"/>
    <w:rPr>
      <w:color w:val="605E5C"/>
      <w:shd w:val="clear" w:color="auto" w:fill="E1DFDD"/>
    </w:rPr>
  </w:style>
  <w:style w:type="character" w:customStyle="1" w:styleId="JuParaChar">
    <w:name w:val="Ju_Para Char"/>
    <w:aliases w:val="_Para Char"/>
    <w:link w:val="JuPara"/>
    <w:uiPriority w:val="4"/>
    <w:rsid w:val="003D75BA"/>
    <w:rPr>
      <w:sz w:val="24"/>
      <w:szCs w:val="24"/>
      <w:lang w:val="en-GB"/>
    </w:rPr>
  </w:style>
  <w:style w:type="table" w:styleId="GridTable1Light">
    <w:name w:val="Grid Table 1 Light"/>
    <w:basedOn w:val="TableNormal"/>
    <w:uiPriority w:val="46"/>
    <w:semiHidden/>
    <w:rsid w:val="00C318A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318A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318A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318A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318A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318A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318A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318A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318A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318A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318A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318A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318A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318A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318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318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318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318A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318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318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318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318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318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318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318A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318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318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318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318A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318A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318A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318A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318A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318A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318A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318A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318A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318A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318A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318A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318A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318A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318A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318A5"/>
    <w:rPr>
      <w:color w:val="2B579A"/>
      <w:shd w:val="clear" w:color="auto" w:fill="E1DFDD"/>
    </w:rPr>
  </w:style>
  <w:style w:type="table" w:styleId="ListTable1Light">
    <w:name w:val="List Table 1 Light"/>
    <w:basedOn w:val="TableNormal"/>
    <w:uiPriority w:val="46"/>
    <w:semiHidden/>
    <w:rsid w:val="00C318A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318A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318A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318A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318A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318A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318A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318A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318A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318A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318A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318A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318A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318A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318A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318A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318A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318A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318A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318A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318A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318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318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318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318A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318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318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318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318A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318A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318A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318A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318A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318A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318A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318A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318A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318A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318A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318A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318A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318A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318A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318A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318A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318A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318A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318A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318A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318A5"/>
    <w:rPr>
      <w:color w:val="2B579A"/>
      <w:shd w:val="clear" w:color="auto" w:fill="E1DFDD"/>
    </w:rPr>
  </w:style>
  <w:style w:type="table" w:styleId="PlainTable1">
    <w:name w:val="Plain Table 1"/>
    <w:basedOn w:val="TableNormal"/>
    <w:uiPriority w:val="41"/>
    <w:semiHidden/>
    <w:rsid w:val="00C318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318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318A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318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318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318A5"/>
    <w:rPr>
      <w:u w:val="dotted"/>
    </w:rPr>
  </w:style>
  <w:style w:type="character" w:styleId="SmartLink">
    <w:name w:val="Smart Link"/>
    <w:basedOn w:val="DefaultParagraphFont"/>
    <w:uiPriority w:val="99"/>
    <w:semiHidden/>
    <w:unhideWhenUsed/>
    <w:rsid w:val="00C318A5"/>
    <w:rPr>
      <w:color w:val="0000FF"/>
      <w:u w:val="single"/>
      <w:shd w:val="clear" w:color="auto" w:fill="F3F2F1"/>
    </w:rPr>
  </w:style>
  <w:style w:type="table" w:styleId="GridTableLight">
    <w:name w:val="Grid Table Light"/>
    <w:basedOn w:val="TableNormal"/>
    <w:uiPriority w:val="40"/>
    <w:semiHidden/>
    <w:rsid w:val="00C318A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2529</Words>
  <Characters>15000</Characters>
  <Application>Microsoft Office Word</Application>
  <DocSecurity>0</DocSecurity>
  <Lines>272</Lines>
  <Paragraphs>58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2024-11-27T10:36:00Z</dcterms:created>
  <dcterms:modified xsi:type="dcterms:W3CDTF">2024-11-27T10:39:00Z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1164183</vt:lpwstr>
  </property>
  <property fmtid="{D5CDD505-2E9C-101B-9397-08002B2CF9AE}" pid="3" name="cstLanguage">
    <vt:i4>2057</vt:i4>
  </property>
  <property fmtid="{D5CDD505-2E9C-101B-9397-08002B2CF9AE}" pid="4" name="RegisteredNo">
    <vt:lpwstr>53825/15</vt:lpwstr>
  </property>
</Properties>
</file>