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03A30" w:rsidR="00BF3B7A" w:rsidP="00903A30" w14:paraId="1BCD5C6F" w14:textId="605B7BD2">
      <w:pPr>
        <w:jc w:val="center"/>
      </w:pPr>
    </w:p>
    <w:p w:rsidRPr="00903A30" w:rsidR="00BF3B7A" w:rsidP="00903A30" w14:paraId="305FD0C9" w14:textId="69FBB6A2">
      <w:pPr>
        <w:jc w:val="center"/>
        <w:rPr>
          <w:sz w:val="4"/>
          <w:szCs w:val="4"/>
        </w:rPr>
      </w:pPr>
    </w:p>
    <w:p w:rsidRPr="00903A30" w:rsidR="00BF3B7A" w:rsidP="00903A30" w14:paraId="66D98D47" w14:textId="5215EA72">
      <w:pPr>
        <w:pStyle w:val="DecHTitle"/>
      </w:pPr>
      <w:r w:rsidRPr="00903A30">
        <w:t>FIFTH SECTION</w:t>
      </w:r>
    </w:p>
    <w:p w:rsidRPr="00903A30" w:rsidR="00BF3B7A" w:rsidP="00903A30" w14:paraId="430DC9F7" w14:textId="77777777">
      <w:pPr>
        <w:pStyle w:val="DecHTitle"/>
      </w:pPr>
      <w:r w:rsidRPr="00903A30">
        <w:t>DECISION</w:t>
      </w:r>
    </w:p>
    <w:p w:rsidRPr="00903A30" w:rsidR="00BF3B7A" w:rsidP="00903A30" w14:paraId="0309D529" w14:textId="3A6050DB">
      <w:pPr>
        <w:pStyle w:val="DecHCase"/>
        <w:rPr>
          <w:i/>
        </w:rPr>
      </w:pPr>
      <w:r w:rsidRPr="00903A30">
        <w:rPr>
          <w:noProof/>
        </w:rPr>
        <w:t>Application no.</w:t>
      </w:r>
      <w:r w:rsidRPr="00903A30" w:rsidR="006267D3">
        <w:t xml:space="preserve"> </w:t>
      </w:r>
      <w:r w:rsidRPr="00903A30">
        <w:t>20786/14</w:t>
      </w:r>
      <w:r w:rsidRPr="00903A30" w:rsidR="006267D3">
        <w:br/>
      </w:r>
      <w:r w:rsidRPr="00903A30">
        <w:rPr>
          <w:noProof/>
        </w:rPr>
        <w:t>Igors IVANOVS</w:t>
      </w:r>
      <w:r w:rsidRPr="00903A30">
        <w:rPr>
          <w:noProof/>
        </w:rPr>
        <w:br/>
      </w:r>
      <w:r w:rsidRPr="00903A30" w:rsidR="006267D3">
        <w:t xml:space="preserve">against </w:t>
      </w:r>
      <w:r w:rsidRPr="00903A30">
        <w:t>Latvia</w:t>
      </w:r>
    </w:p>
    <w:p w:rsidRPr="00903A30" w:rsidR="00BF3B7A" w:rsidP="00903A30" w14:paraId="2B4343DD" w14:textId="629441AF">
      <w:pPr>
        <w:rPr>
          <w:sz w:val="2"/>
          <w:szCs w:val="2"/>
        </w:rPr>
      </w:pPr>
    </w:p>
    <w:p w:rsidRPr="00903A30" w:rsidR="004D1477" w:rsidP="00903A30" w14:paraId="6B07D3B0" w14:textId="0F3FAAF9">
      <w:pPr>
        <w:pStyle w:val="JuPara"/>
      </w:pPr>
      <w:r w:rsidRPr="00903A30">
        <w:t xml:space="preserve">The European Court of Human Rights (Fifth Section), sitting on </w:t>
      </w:r>
      <w:r w:rsidRPr="00903A30" w:rsidR="008164FE">
        <w:t xml:space="preserve">3 October 2024 </w:t>
      </w:r>
      <w:r w:rsidRPr="00903A30">
        <w:t>as a Committee composed of:</w:t>
      </w:r>
    </w:p>
    <w:p w:rsidRPr="00903A30" w:rsidR="004D1477" w:rsidP="00903A30" w14:paraId="2651050B" w14:textId="14F3D1A4">
      <w:pPr>
        <w:pStyle w:val="JuJudges"/>
        <w:rPr>
          <w:iCs/>
        </w:rPr>
      </w:pPr>
      <w:r w:rsidRPr="00903A30">
        <w:tab/>
        <w:t xml:space="preserve">Stéphanie </w:t>
      </w:r>
      <w:r w:rsidRPr="00903A30">
        <w:t>Mourou-Vikström</w:t>
      </w:r>
      <w:r w:rsidRPr="00903A30">
        <w:rPr>
          <w:i/>
        </w:rPr>
        <w:t>, President</w:t>
      </w:r>
      <w:r w:rsidRPr="00903A30">
        <w:t>,</w:t>
      </w:r>
      <w:r w:rsidRPr="00903A30">
        <w:br/>
      </w:r>
      <w:r w:rsidRPr="00903A30">
        <w:tab/>
        <w:t xml:space="preserve">María </w:t>
      </w:r>
      <w:r w:rsidRPr="00903A30">
        <w:t>Elósegui</w:t>
      </w:r>
      <w:r w:rsidRPr="00903A30">
        <w:t>,</w:t>
      </w:r>
      <w:r w:rsidRPr="00903A30">
        <w:br/>
      </w:r>
      <w:r w:rsidRPr="00903A30">
        <w:tab/>
      </w:r>
      <w:r w:rsidRPr="00903A30">
        <w:t>Artūrs</w:t>
      </w:r>
      <w:r w:rsidRPr="00903A30">
        <w:t xml:space="preserve"> </w:t>
      </w:r>
      <w:r w:rsidRPr="00903A30">
        <w:t>Kučs</w:t>
      </w:r>
      <w:r w:rsidRPr="00903A30">
        <w:rPr>
          <w:i/>
        </w:rPr>
        <w:t>, judges</w:t>
      </w:r>
      <w:r w:rsidRPr="00903A30">
        <w:t>,</w:t>
      </w:r>
      <w:r w:rsidRPr="00903A30">
        <w:br/>
        <w:t xml:space="preserve">and Martina Keller, </w:t>
      </w:r>
      <w:r w:rsidRPr="00903A30">
        <w:rPr>
          <w:i/>
        </w:rPr>
        <w:t>Deputy</w:t>
      </w:r>
      <w:r w:rsidRPr="00903A30">
        <w:t xml:space="preserve"> </w:t>
      </w:r>
      <w:r w:rsidRPr="00903A30">
        <w:rPr>
          <w:i/>
          <w:iCs/>
        </w:rPr>
        <w:t>Section Registrar</w:t>
      </w:r>
      <w:r w:rsidRPr="00903A30">
        <w:rPr>
          <w:i/>
        </w:rPr>
        <w:t>,</w:t>
      </w:r>
    </w:p>
    <w:p w:rsidRPr="00903A30" w:rsidR="004D1477" w:rsidP="00903A30" w14:paraId="0D3B4573" w14:textId="77777777">
      <w:pPr>
        <w:pStyle w:val="JuPara"/>
      </w:pPr>
      <w:r w:rsidRPr="00903A30">
        <w:t>Having regard to:</w:t>
      </w:r>
    </w:p>
    <w:p w:rsidRPr="00903A30" w:rsidR="004D1477" w:rsidP="00903A30" w14:paraId="35E40713" w14:textId="77777777">
      <w:pPr>
        <w:pStyle w:val="JuPara"/>
      </w:pPr>
      <w:r w:rsidRPr="00903A30">
        <w:t xml:space="preserve">the application (no. 20786/14) against the Republic of Latvia lodged with the Court under Article 34 of the Convention for the Protection of Human Rights and Fundamental Freedoms (“the Convention”) on 7 March 2014 by a Latvian national, Mr </w:t>
      </w:r>
      <w:r w:rsidRPr="00903A30">
        <w:t>Igors</w:t>
      </w:r>
      <w:r w:rsidRPr="00903A30">
        <w:t xml:space="preserve"> </w:t>
      </w:r>
      <w:r w:rsidRPr="00903A30">
        <w:t>Ivanovs</w:t>
      </w:r>
      <w:r w:rsidRPr="00903A30">
        <w:t xml:space="preserve"> (“the applicant”), who was born in 1958, is detained in Riga and was represented by Mr O. </w:t>
      </w:r>
      <w:r w:rsidRPr="00903A30">
        <w:t>Ovchinnykov</w:t>
      </w:r>
      <w:r w:rsidRPr="00903A30">
        <w:t>, a lawyer practising in Strasbourg;</w:t>
      </w:r>
    </w:p>
    <w:p w:rsidRPr="00903A30" w:rsidR="004D1477" w:rsidP="00903A30" w14:paraId="07F02385" w14:textId="77777777">
      <w:pPr>
        <w:pStyle w:val="JuPara"/>
      </w:pPr>
      <w:r w:rsidRPr="00903A30">
        <w:t>the decision to give notice of the complaint concerning the alleged breach of the right to silence and the privilege against self-incrimination to the Latvian Government (“the Government”), and to declare inadmissible the remainder of the application;</w:t>
      </w:r>
    </w:p>
    <w:p w:rsidRPr="00903A30" w:rsidR="004D1477" w:rsidP="00903A30" w14:paraId="228F60F6" w14:textId="599C5427">
      <w:pPr>
        <w:pStyle w:val="JuPara"/>
      </w:pPr>
      <w:r w:rsidRPr="00903A30">
        <w:t>the parties</w:t>
      </w:r>
      <w:r w:rsidRPr="00903A30" w:rsidR="00903A30">
        <w:t>’</w:t>
      </w:r>
      <w:r w:rsidRPr="00903A30">
        <w:t xml:space="preserve"> observations;</w:t>
      </w:r>
    </w:p>
    <w:p w:rsidRPr="00903A30" w:rsidR="004D1477" w:rsidP="00903A30" w14:paraId="71878752" w14:textId="77777777">
      <w:pPr>
        <w:pStyle w:val="JuPara"/>
      </w:pPr>
      <w:r w:rsidRPr="00903A30">
        <w:t>Having deliberated, decides as follows:</w:t>
      </w:r>
    </w:p>
    <w:p w:rsidRPr="00903A30" w:rsidR="004D1477" w:rsidP="00903A30" w14:paraId="775F3957" w14:textId="4D9D80C1">
      <w:pPr>
        <w:pStyle w:val="JuHHead"/>
        <w:numPr>
          <w:ilvl w:val="0"/>
          <w:numId w:val="0"/>
        </w:numPr>
      </w:pPr>
      <w:r w:rsidRPr="00903A30">
        <w:t>SUBJECT MATTER OF THE CASE</w:t>
      </w:r>
    </w:p>
    <w:p w:rsidRPr="00903A30" w:rsidR="004D1477" w:rsidP="00903A30" w14:paraId="1B27B5D2" w14:textId="713678BA">
      <w:pPr>
        <w:pStyle w:val="JuPara"/>
      </w:pPr>
      <w:r>
        <w:fldChar w:fldCharType="begin"/>
      </w:r>
      <w:r>
        <w:instrText xml:space="preserve"> SEQ level0 \*arabic \* MERGEFORMAT </w:instrText>
      </w:r>
      <w:r>
        <w:fldChar w:fldCharType="separate"/>
      </w:r>
      <w:r w:rsidRPr="00903A30" w:rsidR="00903A30">
        <w:rPr>
          <w:noProof/>
        </w:rPr>
        <w:t>1</w:t>
      </w:r>
      <w:r w:rsidRPr="00903A30" w:rsidR="00903A30">
        <w:rPr>
          <w:noProof/>
        </w:rPr>
        <w:fldChar w:fldCharType="end"/>
      </w:r>
      <w:r w:rsidRPr="00903A30">
        <w:t>.  The case concerns the alleged unfairness of criminal proceedings against the applicant on account of the use of inadmissible evidence obtained through an undercover operation/covertly by a police officer (Article 6 § 1 of the Convention).</w:t>
      </w:r>
    </w:p>
    <w:p w:rsidRPr="00903A30" w:rsidR="004D1477" w:rsidP="00903A30" w14:paraId="5D76EC77" w14:textId="2C86A270">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 MERGEFORMAT </w:instrText>
      </w:r>
      <w:r w:rsidRPr="00903A30">
        <w:rPr>
          <w:rFonts w:eastAsiaTheme="minorEastAsia"/>
        </w:rPr>
        <w:fldChar w:fldCharType="separate"/>
      </w:r>
      <w:r w:rsidRPr="00903A30" w:rsidR="00903A30">
        <w:rPr>
          <w:rFonts w:eastAsiaTheme="minorEastAsia"/>
          <w:noProof/>
        </w:rPr>
        <w:t>2</w:t>
      </w:r>
      <w:r w:rsidRPr="00903A30">
        <w:rPr>
          <w:rFonts w:eastAsiaTheme="minorEastAsia"/>
        </w:rPr>
        <w:fldChar w:fldCharType="end"/>
      </w:r>
      <w:r w:rsidRPr="00903A30">
        <w:rPr>
          <w:rFonts w:eastAsiaTheme="minorEastAsia"/>
        </w:rPr>
        <w:t>.  On the night of 7 January 2008, the applicant</w:t>
      </w:r>
      <w:r w:rsidRPr="00903A30" w:rsidR="00903A30">
        <w:rPr>
          <w:rFonts w:eastAsiaTheme="minorEastAsia"/>
        </w:rPr>
        <w:t>’</w:t>
      </w:r>
      <w:r w:rsidRPr="00903A30">
        <w:rPr>
          <w:rFonts w:eastAsiaTheme="minorEastAsia"/>
        </w:rPr>
        <w:t>s wife, E.I., was shot dead outside the family home, shortly after having returned from holidays with their two daughters.</w:t>
      </w:r>
    </w:p>
    <w:p w:rsidRPr="00903A30" w:rsidR="004D1477" w:rsidP="00903A30" w14:paraId="365A6D65" w14:textId="77BD7CB0">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w:instrText>
      </w:r>
      <w:r w:rsidRPr="00903A30">
        <w:rPr>
          <w:rFonts w:eastAsiaTheme="minorEastAsia"/>
        </w:rPr>
        <w:fldChar w:fldCharType="separate"/>
      </w:r>
      <w:r w:rsidRPr="00903A30" w:rsidR="00903A30">
        <w:rPr>
          <w:rFonts w:eastAsiaTheme="minorEastAsia"/>
          <w:noProof/>
        </w:rPr>
        <w:t>3</w:t>
      </w:r>
      <w:r w:rsidRPr="00903A30">
        <w:rPr>
          <w:rFonts w:eastAsiaTheme="minorEastAsia"/>
        </w:rPr>
        <w:fldChar w:fldCharType="end"/>
      </w:r>
      <w:r w:rsidRPr="00903A30">
        <w:rPr>
          <w:rFonts w:eastAsiaTheme="minorEastAsia"/>
        </w:rPr>
        <w:t>.  On 5 March 2008 the applicant was arrested and subsequently detained in connection</w:t>
      </w:r>
      <w:r w:rsidRPr="00903A30">
        <w:t xml:space="preserve"> </w:t>
      </w:r>
      <w:r w:rsidRPr="00903A30">
        <w:rPr>
          <w:rFonts w:eastAsiaTheme="minorEastAsia"/>
        </w:rPr>
        <w:t>with the murder of his wife.</w:t>
      </w:r>
    </w:p>
    <w:p w:rsidRPr="00903A30" w:rsidR="004D1477" w:rsidP="00903A30" w14:paraId="46237F34" w14:textId="108003EA">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w:instrText>
      </w:r>
      <w:r w:rsidRPr="00903A30">
        <w:rPr>
          <w:rFonts w:eastAsiaTheme="minorEastAsia"/>
        </w:rPr>
        <w:fldChar w:fldCharType="separate"/>
      </w:r>
      <w:bookmarkStart w:name="paragraph00004" w:id="0"/>
      <w:r w:rsidRPr="00903A30" w:rsidR="00903A30">
        <w:rPr>
          <w:rFonts w:eastAsiaTheme="minorEastAsia"/>
          <w:noProof/>
        </w:rPr>
        <w:t>4</w:t>
      </w:r>
      <w:bookmarkEnd w:id="0"/>
      <w:r w:rsidRPr="00903A30">
        <w:rPr>
          <w:rFonts w:eastAsiaTheme="minorEastAsia"/>
        </w:rPr>
        <w:fldChar w:fldCharType="end"/>
      </w:r>
      <w:r w:rsidRPr="00903A30">
        <w:rPr>
          <w:rFonts w:eastAsiaTheme="minorEastAsia"/>
        </w:rPr>
        <w:t>.  On 7 April 2008 a police officer, G.N., met with the applicant in detention, upon the latter</w:t>
      </w:r>
      <w:r w:rsidRPr="00903A30" w:rsidR="00903A30">
        <w:rPr>
          <w:rFonts w:eastAsiaTheme="minorEastAsia"/>
        </w:rPr>
        <w:t>’</w:t>
      </w:r>
      <w:r w:rsidRPr="00903A30">
        <w:rPr>
          <w:rFonts w:eastAsiaTheme="minorEastAsia"/>
        </w:rPr>
        <w:t xml:space="preserve">s request. He recorded their conversation and reported it to his superiors. A prosecutor then authorised an undercover operation. On 15 April, 8 </w:t>
      </w:r>
      <w:r w:rsidRPr="00903A30">
        <w:rPr>
          <w:rFonts w:eastAsiaTheme="minorEastAsia"/>
        </w:rPr>
        <w:t>May</w:t>
      </w:r>
      <w:r w:rsidRPr="00903A30">
        <w:rPr>
          <w:rFonts w:eastAsiaTheme="minorEastAsia"/>
        </w:rPr>
        <w:t xml:space="preserve"> and 14 May 2008 G.N. visited the applicant again. They spoke about how G.N. could ensure that the criminal proceedings against the applicant were terminated if he paid him a bribe. The applicant also spoke to G.N. with regard to the murder in the same context.</w:t>
      </w:r>
    </w:p>
    <w:p w:rsidRPr="00903A30" w:rsidR="004D1477" w:rsidP="00903A30" w14:paraId="5AD3BA9E" w14:textId="45877E83">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 MERGEFORMAT </w:instrText>
      </w:r>
      <w:r w:rsidRPr="00903A30">
        <w:rPr>
          <w:rFonts w:eastAsiaTheme="minorEastAsia"/>
        </w:rPr>
        <w:fldChar w:fldCharType="separate"/>
      </w:r>
      <w:r w:rsidRPr="00903A30" w:rsidR="00903A30">
        <w:rPr>
          <w:rFonts w:eastAsiaTheme="minorEastAsia"/>
          <w:noProof/>
        </w:rPr>
        <w:t>5</w:t>
      </w:r>
      <w:r w:rsidRPr="00903A30">
        <w:rPr>
          <w:rFonts w:eastAsiaTheme="minorEastAsia"/>
        </w:rPr>
        <w:fldChar w:fldCharType="end"/>
      </w:r>
      <w:r w:rsidRPr="00903A30">
        <w:rPr>
          <w:rFonts w:eastAsiaTheme="minorEastAsia"/>
        </w:rPr>
        <w:t>.  On 14 May 2008 the applicant</w:t>
      </w:r>
      <w:r w:rsidRPr="00903A30" w:rsidR="00903A30">
        <w:rPr>
          <w:rFonts w:eastAsiaTheme="minorEastAsia"/>
        </w:rPr>
        <w:t>’</w:t>
      </w:r>
      <w:r w:rsidRPr="00903A30">
        <w:rPr>
          <w:rFonts w:eastAsiaTheme="minorEastAsia"/>
        </w:rPr>
        <w:t>s defence reported that G.N. had attempted to extort a bribe from him to the amount of one million USD. On 26 May 2008 the applicant lodged a similar application stating that G.N. had threatened him and requested a bribe.</w:t>
      </w:r>
    </w:p>
    <w:p w:rsidRPr="00903A30" w:rsidR="004D1477" w:rsidP="00903A30" w14:paraId="07AB193E" w14:textId="2035ECC7">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 MERGEFORMAT </w:instrText>
      </w:r>
      <w:r w:rsidRPr="00903A30">
        <w:rPr>
          <w:rFonts w:eastAsiaTheme="minorEastAsia"/>
        </w:rPr>
        <w:fldChar w:fldCharType="separate"/>
      </w:r>
      <w:r w:rsidRPr="00903A30" w:rsidR="00903A30">
        <w:rPr>
          <w:rFonts w:eastAsiaTheme="minorEastAsia"/>
          <w:noProof/>
        </w:rPr>
        <w:t>6</w:t>
      </w:r>
      <w:r w:rsidRPr="00903A30">
        <w:rPr>
          <w:rFonts w:eastAsiaTheme="minorEastAsia"/>
        </w:rPr>
        <w:fldChar w:fldCharType="end"/>
      </w:r>
      <w:r w:rsidRPr="00903A30">
        <w:rPr>
          <w:rFonts w:eastAsiaTheme="minorEastAsia"/>
        </w:rPr>
        <w:t>.  On 5 June 2008 the investigative authorities initiated criminal proceedings against the applicant on suspicion of filing a false crime report. On the same date, they refused to initiate criminal proceedings against G.N. concerning the alleged extortion of a bribe.</w:t>
      </w:r>
    </w:p>
    <w:p w:rsidRPr="00903A30" w:rsidR="004D1477" w:rsidP="00903A30" w14:paraId="49F40AD5" w14:textId="6B43173B">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 MERGEFORMAT </w:instrText>
      </w:r>
      <w:r w:rsidRPr="00903A30">
        <w:rPr>
          <w:rFonts w:eastAsiaTheme="minorEastAsia"/>
        </w:rPr>
        <w:fldChar w:fldCharType="separate"/>
      </w:r>
      <w:r w:rsidRPr="00903A30" w:rsidR="00903A30">
        <w:rPr>
          <w:rFonts w:eastAsiaTheme="minorEastAsia"/>
          <w:noProof/>
        </w:rPr>
        <w:t>7</w:t>
      </w:r>
      <w:r w:rsidRPr="00903A30">
        <w:rPr>
          <w:rFonts w:eastAsiaTheme="minorEastAsia"/>
        </w:rPr>
        <w:fldChar w:fldCharType="end"/>
      </w:r>
      <w:r w:rsidRPr="00903A30">
        <w:rPr>
          <w:rFonts w:eastAsiaTheme="minorEastAsia"/>
        </w:rPr>
        <w:t>.  On 10 February 2009 the public prosecutor decided to merge the criminal proceedings concerning E.I.</w:t>
      </w:r>
      <w:r w:rsidRPr="00903A30" w:rsidR="00903A30">
        <w:rPr>
          <w:rFonts w:eastAsiaTheme="minorEastAsia"/>
        </w:rPr>
        <w:t>’</w:t>
      </w:r>
      <w:r w:rsidRPr="00903A30">
        <w:rPr>
          <w:rFonts w:eastAsiaTheme="minorEastAsia"/>
        </w:rPr>
        <w:t>s murder and the criminal proceedings concerning the filing of a false crime report.</w:t>
      </w:r>
    </w:p>
    <w:p w:rsidRPr="00903A30" w:rsidR="004D1477" w:rsidP="00903A30" w14:paraId="325066C5" w14:textId="04DA917F">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w:instrText>
      </w:r>
      <w:r w:rsidRPr="00903A30">
        <w:rPr>
          <w:rFonts w:eastAsiaTheme="minorEastAsia"/>
        </w:rPr>
        <w:fldChar w:fldCharType="separate"/>
      </w:r>
      <w:r w:rsidRPr="00903A30" w:rsidR="00903A30">
        <w:rPr>
          <w:rFonts w:eastAsiaTheme="minorEastAsia"/>
          <w:noProof/>
        </w:rPr>
        <w:t>8</w:t>
      </w:r>
      <w:r w:rsidRPr="00903A30">
        <w:rPr>
          <w:rFonts w:eastAsiaTheme="minorEastAsia"/>
        </w:rPr>
        <w:fldChar w:fldCharType="end"/>
      </w:r>
      <w:r w:rsidRPr="00903A30">
        <w:rPr>
          <w:rFonts w:eastAsiaTheme="minorEastAsia"/>
        </w:rPr>
        <w:t>.  Having been officially indicted on 9 March 2009, the applicant pleaded not guilty at the ensuing trial.</w:t>
      </w:r>
    </w:p>
    <w:p w:rsidRPr="00903A30" w:rsidR="004D1477" w:rsidP="00903A30" w14:paraId="518361CA" w14:textId="17EE713E">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 MERGEFORMAT </w:instrText>
      </w:r>
      <w:r w:rsidRPr="00903A30">
        <w:rPr>
          <w:rFonts w:eastAsiaTheme="minorEastAsia"/>
        </w:rPr>
        <w:fldChar w:fldCharType="separate"/>
      </w:r>
      <w:r w:rsidRPr="00903A30" w:rsidR="00903A30">
        <w:rPr>
          <w:rFonts w:eastAsiaTheme="minorEastAsia"/>
          <w:noProof/>
        </w:rPr>
        <w:t>9</w:t>
      </w:r>
      <w:r w:rsidRPr="00903A30">
        <w:rPr>
          <w:rFonts w:eastAsiaTheme="minorEastAsia"/>
        </w:rPr>
        <w:fldChar w:fldCharType="end"/>
      </w:r>
      <w:r w:rsidRPr="00903A30">
        <w:rPr>
          <w:rFonts w:eastAsiaTheme="minorEastAsia"/>
        </w:rPr>
        <w:t>.  On 30 December 2009 the Riga Regional Court established that the applicant had incited V.M. to organise the murder and had aided in its commission. It also established that L.A. had shot E.I. It sentenced the applicant to thirteen years</w:t>
      </w:r>
      <w:r w:rsidRPr="00903A30" w:rsidR="00903A30">
        <w:rPr>
          <w:rFonts w:eastAsiaTheme="minorEastAsia"/>
        </w:rPr>
        <w:t>’</w:t>
      </w:r>
      <w:r w:rsidRPr="00903A30">
        <w:rPr>
          <w:rFonts w:eastAsiaTheme="minorEastAsia"/>
        </w:rPr>
        <w:t xml:space="preserve"> imprisonment, followed by a three-year period of police supervision. The court acquitted the applicant of the criminal charge concerning the filing of a false crime report.</w:t>
      </w:r>
    </w:p>
    <w:p w:rsidRPr="00903A30" w:rsidR="004D1477" w:rsidP="00903A30" w14:paraId="384B7480" w14:textId="58A3EDB2">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w:instrText>
      </w:r>
      <w:r w:rsidRPr="00903A30">
        <w:rPr>
          <w:rFonts w:eastAsiaTheme="minorEastAsia"/>
        </w:rPr>
        <w:fldChar w:fldCharType="separate"/>
      </w:r>
      <w:bookmarkStart w:name="paragraph00007" w:id="1"/>
      <w:r w:rsidRPr="00903A30" w:rsidR="00903A30">
        <w:rPr>
          <w:rFonts w:eastAsiaTheme="minorEastAsia"/>
          <w:noProof/>
        </w:rPr>
        <w:t>10</w:t>
      </w:r>
      <w:bookmarkEnd w:id="1"/>
      <w:r w:rsidRPr="00903A30">
        <w:rPr>
          <w:rFonts w:eastAsiaTheme="minorEastAsia"/>
        </w:rPr>
        <w:fldChar w:fldCharType="end"/>
      </w:r>
      <w:r w:rsidRPr="00903A30">
        <w:rPr>
          <w:rFonts w:eastAsiaTheme="minorEastAsia"/>
        </w:rPr>
        <w:t>.  As regards the motive for the murder, the court established that the applicant had learnt that E.I. and O.G. had been having a relationship. The court relied on indirect evidence, mainly consisting of an extensive amount of witness statements, to establish the relevant circumstances of the case and to prove the applicant</w:t>
      </w:r>
      <w:r w:rsidRPr="00903A30" w:rsidR="00903A30">
        <w:rPr>
          <w:rFonts w:eastAsiaTheme="minorEastAsia"/>
        </w:rPr>
        <w:t>’</w:t>
      </w:r>
      <w:r w:rsidRPr="00903A30">
        <w:rPr>
          <w:rFonts w:eastAsiaTheme="minorEastAsia"/>
        </w:rPr>
        <w:t>s guilt. He had known exactly when E.I. would arrive home on 6 January 2008; he had also known that, once home, E.I. would let their dogs out of the garage and into the yard. He had therefore locked the door leading from the house to the garage so that E.I. had had to exit the house in order to let the dogs out. L.A. had been able to shoot her there. He had also known the organiser of the murder, V.M. Furthermore, he had previously assaulted E.I. and had threatened O.G. by handing him a bullet. There was evidence that they had been afraid of the applicant.</w:t>
      </w:r>
    </w:p>
    <w:p w:rsidRPr="00903A30" w:rsidR="004D1477" w:rsidP="00903A30" w14:paraId="41C11E7A" w14:textId="4B07A743">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w:instrText>
      </w:r>
      <w:r w:rsidRPr="00903A30">
        <w:rPr>
          <w:rFonts w:eastAsiaTheme="minorEastAsia"/>
        </w:rPr>
        <w:fldChar w:fldCharType="separate"/>
      </w:r>
      <w:bookmarkStart w:name="paragraph00008" w:id="2"/>
      <w:r w:rsidRPr="00903A30" w:rsidR="00903A30">
        <w:rPr>
          <w:rFonts w:eastAsiaTheme="minorEastAsia"/>
          <w:noProof/>
        </w:rPr>
        <w:t>11</w:t>
      </w:r>
      <w:bookmarkEnd w:id="2"/>
      <w:r w:rsidRPr="00903A30">
        <w:rPr>
          <w:rFonts w:eastAsiaTheme="minorEastAsia"/>
        </w:rPr>
        <w:fldChar w:fldCharType="end"/>
      </w:r>
      <w:r w:rsidRPr="00903A30">
        <w:rPr>
          <w:rFonts w:eastAsiaTheme="minorEastAsia"/>
        </w:rPr>
        <w:t xml:space="preserve">.  The court also referred to a transcript of a conversation between the applicant and G.N. in May 2008 (see paragraph </w:t>
      </w:r>
      <w:r w:rsidRPr="00903A30">
        <w:rPr>
          <w:rFonts w:eastAsiaTheme="minorEastAsia"/>
        </w:rPr>
        <w:fldChar w:fldCharType="begin"/>
      </w:r>
      <w:r w:rsidRPr="00903A30">
        <w:rPr>
          <w:rFonts w:eastAsiaTheme="minorEastAsia"/>
        </w:rPr>
        <w:instrText xml:space="preserve"> REF paragraph00004 \h  \* CharFormat  \* MERGEFORMAT </w:instrText>
      </w:r>
      <w:r w:rsidRPr="00903A30">
        <w:rPr>
          <w:rFonts w:eastAsiaTheme="minorEastAsia"/>
        </w:rPr>
        <w:fldChar w:fldCharType="separate"/>
      </w:r>
      <w:r w:rsidRPr="00903A30" w:rsidR="00903A30">
        <w:rPr>
          <w:rFonts w:eastAsiaTheme="minorEastAsia"/>
        </w:rPr>
        <w:t>4</w:t>
      </w:r>
      <w:r w:rsidRPr="00903A30">
        <w:rPr>
          <w:rFonts w:eastAsiaTheme="minorEastAsia"/>
        </w:rPr>
        <w:fldChar w:fldCharType="end"/>
      </w:r>
      <w:r w:rsidRPr="00903A30">
        <w:rPr>
          <w:rFonts w:eastAsiaTheme="minorEastAsia"/>
        </w:rPr>
        <w:t xml:space="preserve"> above), containing the applicant</w:t>
      </w:r>
      <w:r w:rsidRPr="00903A30" w:rsidR="00903A30">
        <w:rPr>
          <w:rFonts w:eastAsiaTheme="minorEastAsia"/>
        </w:rPr>
        <w:t>’</w:t>
      </w:r>
      <w:r w:rsidRPr="00903A30">
        <w:rPr>
          <w:rFonts w:eastAsiaTheme="minorEastAsia"/>
        </w:rPr>
        <w:t>s following statements:</w:t>
      </w:r>
    </w:p>
    <w:p w:rsidRPr="00903A30" w:rsidR="004D1477" w:rsidP="00903A30" w14:paraId="28BB0F34" w14:textId="77777777">
      <w:pPr>
        <w:pStyle w:val="JuQuot"/>
        <w:rPr>
          <w:rFonts w:eastAsiaTheme="minorEastAsia"/>
        </w:rPr>
      </w:pPr>
      <w:r w:rsidRPr="00903A30">
        <w:rPr>
          <w:rFonts w:eastAsiaTheme="minorEastAsia"/>
        </w:rPr>
        <w:t>“Tell me, do you ... believe that I incited him to do something?”</w:t>
      </w:r>
    </w:p>
    <w:p w:rsidRPr="00903A30" w:rsidR="004D1477" w:rsidP="00903A30" w14:paraId="2B431269" w14:textId="11377DFF">
      <w:pPr>
        <w:pStyle w:val="JuQuot"/>
        <w:rPr>
          <w:rFonts w:eastAsiaTheme="minorEastAsia"/>
        </w:rPr>
      </w:pPr>
      <w:r w:rsidRPr="00903A30">
        <w:rPr>
          <w:rFonts w:eastAsiaTheme="minorEastAsia"/>
        </w:rPr>
        <w:t>“Gypsy</w:t>
      </w:r>
      <w:r w:rsidRPr="00903A30" w:rsidR="00903A30">
        <w:rPr>
          <w:rFonts w:eastAsiaTheme="minorEastAsia"/>
        </w:rPr>
        <w:t>’</w:t>
      </w:r>
      <w:r w:rsidRPr="00903A30">
        <w:rPr>
          <w:rFonts w:eastAsiaTheme="minorEastAsia"/>
        </w:rPr>
        <w:t xml:space="preserve">s an idiot ... straight away, on his own initiative, </w:t>
      </w:r>
      <w:r w:rsidRPr="00903A30" w:rsidR="00903A30">
        <w:rPr>
          <w:rFonts w:eastAsiaTheme="minorEastAsia"/>
        </w:rPr>
        <w:t>‘</w:t>
      </w:r>
      <w:r w:rsidRPr="00903A30">
        <w:rPr>
          <w:rFonts w:eastAsiaTheme="minorEastAsia"/>
        </w:rPr>
        <w:t>[V.], I</w:t>
      </w:r>
      <w:r w:rsidRPr="00903A30" w:rsidR="00903A30">
        <w:rPr>
          <w:rFonts w:eastAsiaTheme="minorEastAsia"/>
        </w:rPr>
        <w:t>’</w:t>
      </w:r>
      <w:r w:rsidRPr="00903A30">
        <w:rPr>
          <w:rFonts w:eastAsiaTheme="minorEastAsia"/>
        </w:rPr>
        <w:t>ll do anything you want</w:t>
      </w:r>
      <w:r w:rsidRPr="00903A30" w:rsidR="00903A30">
        <w:rPr>
          <w:rFonts w:eastAsiaTheme="minorEastAsia"/>
        </w:rPr>
        <w:t>’</w:t>
      </w:r>
      <w:r w:rsidRPr="00903A30">
        <w:rPr>
          <w:rFonts w:eastAsiaTheme="minorEastAsia"/>
        </w:rPr>
        <w:t>. I didn</w:t>
      </w:r>
      <w:r w:rsidRPr="00903A30" w:rsidR="00903A30">
        <w:rPr>
          <w:rFonts w:eastAsiaTheme="minorEastAsia"/>
        </w:rPr>
        <w:t>’</w:t>
      </w:r>
      <w:r w:rsidRPr="00903A30">
        <w:rPr>
          <w:rFonts w:eastAsiaTheme="minorEastAsia"/>
        </w:rPr>
        <w:t>t ask him for anything ... the first time I saw him was on television. So, on his initiative ... in Moscow, they organised everything themselves there. Where I did something, bitten on the tail ... They found out, wanted to destroy me ... The information came from [O.G.]. She lost her mind ... It was not on my initiative...”</w:t>
      </w:r>
    </w:p>
    <w:p w:rsidRPr="00903A30" w:rsidR="004D1477" w:rsidP="00903A30" w14:paraId="47261BCA" w14:textId="4D736B2F">
      <w:pPr>
        <w:pStyle w:val="JuPara"/>
        <w:rPr>
          <w:rFonts w:eastAsiaTheme="minorEastAsia"/>
        </w:rPr>
      </w:pPr>
      <w:r w:rsidRPr="00903A30">
        <w:rPr>
          <w:rFonts w:eastAsiaTheme="minorEastAsia"/>
        </w:rPr>
        <w:t>The court stated that the phrases used indicated the applicant</w:t>
      </w:r>
      <w:r w:rsidRPr="00903A30" w:rsidR="00903A30">
        <w:rPr>
          <w:rFonts w:eastAsiaTheme="minorEastAsia"/>
        </w:rPr>
        <w:t>’</w:t>
      </w:r>
      <w:r w:rsidRPr="00903A30">
        <w:rPr>
          <w:rFonts w:eastAsiaTheme="minorEastAsia"/>
        </w:rPr>
        <w:t>s involvement in the murder. At the same time, it found that the applicant had not known that G.N. had been acting undercover.</w:t>
      </w:r>
    </w:p>
    <w:p w:rsidRPr="00903A30" w:rsidR="004D1477" w:rsidP="00903A30" w14:paraId="1C04DF77" w14:textId="06D215E1">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 MERGEFORMAT </w:instrText>
      </w:r>
      <w:r w:rsidRPr="00903A30">
        <w:rPr>
          <w:rFonts w:eastAsiaTheme="minorEastAsia"/>
        </w:rPr>
        <w:fldChar w:fldCharType="separate"/>
      </w:r>
      <w:r w:rsidRPr="00903A30" w:rsidR="00903A30">
        <w:rPr>
          <w:rFonts w:eastAsiaTheme="minorEastAsia"/>
          <w:noProof/>
        </w:rPr>
        <w:t>12</w:t>
      </w:r>
      <w:r w:rsidRPr="00903A30">
        <w:rPr>
          <w:rFonts w:eastAsiaTheme="minorEastAsia"/>
        </w:rPr>
        <w:fldChar w:fldCharType="end"/>
      </w:r>
      <w:r w:rsidRPr="00903A30">
        <w:rPr>
          <w:rFonts w:eastAsiaTheme="minorEastAsia"/>
        </w:rPr>
        <w:t>.  The applicant appealed to the Criminal Chamber of the Supreme Court, arguing that the Regional Court, in the absence of any evidence proving his guilt, had based its findings on assumptions, and that it should not have used the transcript as evidence.</w:t>
      </w:r>
    </w:p>
    <w:p w:rsidRPr="00903A30" w:rsidR="004D1477" w:rsidP="00903A30" w14:paraId="01FD8BDC" w14:textId="6CD0F59B">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w:instrText>
      </w:r>
      <w:r w:rsidRPr="00903A30">
        <w:rPr>
          <w:rFonts w:eastAsiaTheme="minorEastAsia"/>
        </w:rPr>
        <w:fldChar w:fldCharType="separate"/>
      </w:r>
      <w:bookmarkStart w:name="paragraph00010" w:id="3"/>
      <w:r w:rsidRPr="00903A30" w:rsidR="00903A30">
        <w:rPr>
          <w:rFonts w:eastAsiaTheme="minorEastAsia"/>
          <w:noProof/>
        </w:rPr>
        <w:t>13</w:t>
      </w:r>
      <w:bookmarkEnd w:id="3"/>
      <w:r w:rsidRPr="00903A30">
        <w:rPr>
          <w:rFonts w:eastAsiaTheme="minorEastAsia"/>
        </w:rPr>
        <w:fldChar w:fldCharType="end"/>
      </w:r>
      <w:r w:rsidRPr="00903A30">
        <w:rPr>
          <w:rFonts w:eastAsiaTheme="minorEastAsia"/>
        </w:rPr>
        <w:t>.  On 14 December 2012 the Criminal Chamber upheld the applicant</w:t>
      </w:r>
      <w:r w:rsidRPr="00903A30" w:rsidR="00903A30">
        <w:rPr>
          <w:rFonts w:eastAsiaTheme="minorEastAsia"/>
        </w:rPr>
        <w:t>’</w:t>
      </w:r>
      <w:r w:rsidRPr="00903A30">
        <w:rPr>
          <w:rFonts w:eastAsiaTheme="minorEastAsia"/>
        </w:rPr>
        <w:t>s conviction relying, like the Regional Court, on the strength of indirect evidence, in particular an extensive amount of witness statements, to prove his guilt. It also confirmed the Regional Court</w:t>
      </w:r>
      <w:r w:rsidRPr="00903A30" w:rsidR="00903A30">
        <w:rPr>
          <w:rFonts w:eastAsiaTheme="minorEastAsia"/>
        </w:rPr>
        <w:t>’</w:t>
      </w:r>
      <w:r w:rsidRPr="00903A30">
        <w:rPr>
          <w:rFonts w:eastAsiaTheme="minorEastAsia"/>
        </w:rPr>
        <w:t>s opinion that the content of the conversations between G.N. and the applicant proved the latter</w:t>
      </w:r>
      <w:r w:rsidRPr="00903A30" w:rsidR="00903A30">
        <w:rPr>
          <w:rFonts w:eastAsiaTheme="minorEastAsia"/>
        </w:rPr>
        <w:t>’</w:t>
      </w:r>
      <w:r w:rsidRPr="00903A30">
        <w:rPr>
          <w:rFonts w:eastAsiaTheme="minorEastAsia"/>
        </w:rPr>
        <w:t>s involvement in the murder. At the same time, in the context of the applicant</w:t>
      </w:r>
      <w:r w:rsidRPr="00903A30" w:rsidR="00903A30">
        <w:rPr>
          <w:rFonts w:eastAsiaTheme="minorEastAsia"/>
        </w:rPr>
        <w:t>’</w:t>
      </w:r>
      <w:r w:rsidRPr="00903A30">
        <w:rPr>
          <w:rFonts w:eastAsiaTheme="minorEastAsia"/>
        </w:rPr>
        <w:t>s acquittal of the charge concerning the filing of a false crime report, the Criminal Chamber declared that the transcript of the first conversation of 7 April 2008 should be considered as inadmissible evidence and that the subsequent undercover operation could not have been authorised because nothing in the first conversation indicated that the applicant had had any intention of bribing G.N. and that there was no evidence that he had wanted to see him again.</w:t>
      </w:r>
    </w:p>
    <w:p w:rsidRPr="00903A30" w:rsidR="004D1477" w:rsidP="00903A30" w14:paraId="76EB302A" w14:textId="1D99CEA5">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 MERGEFORMAT </w:instrText>
      </w:r>
      <w:r w:rsidRPr="00903A30">
        <w:rPr>
          <w:rFonts w:eastAsiaTheme="minorEastAsia"/>
        </w:rPr>
        <w:fldChar w:fldCharType="separate"/>
      </w:r>
      <w:r w:rsidRPr="00903A30" w:rsidR="00903A30">
        <w:rPr>
          <w:rFonts w:eastAsiaTheme="minorEastAsia"/>
          <w:noProof/>
        </w:rPr>
        <w:t>14</w:t>
      </w:r>
      <w:r w:rsidRPr="00903A30">
        <w:rPr>
          <w:rFonts w:eastAsiaTheme="minorEastAsia"/>
        </w:rPr>
        <w:fldChar w:fldCharType="end"/>
      </w:r>
      <w:r w:rsidRPr="00903A30">
        <w:rPr>
          <w:rFonts w:eastAsiaTheme="minorEastAsia"/>
        </w:rPr>
        <w:t>.  The applicant appealed on points of law. He argued that there was no evidence that he had incited V.M. to organise the murder and that the Criminal Chamber had upheld his conviction on the basis of indirect evidence. Furthermore, it should have declared the whole transcript to be inadmissible evidence, given its findings as regards the authorisation for the relevant undercover operation.</w:t>
      </w:r>
    </w:p>
    <w:p w:rsidRPr="00903A30" w:rsidR="004D1477" w:rsidP="00903A30" w14:paraId="37A3B2C6" w14:textId="5DB25E0D">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w:instrText>
      </w:r>
      <w:r w:rsidRPr="00903A30">
        <w:rPr>
          <w:rFonts w:eastAsiaTheme="minorEastAsia"/>
        </w:rPr>
        <w:fldChar w:fldCharType="separate"/>
      </w:r>
      <w:bookmarkStart w:name="paragraph00015" w:id="4"/>
      <w:r w:rsidRPr="00903A30" w:rsidR="00903A30">
        <w:rPr>
          <w:rFonts w:eastAsiaTheme="minorEastAsia"/>
          <w:noProof/>
        </w:rPr>
        <w:t>15</w:t>
      </w:r>
      <w:bookmarkEnd w:id="4"/>
      <w:r w:rsidRPr="00903A30">
        <w:rPr>
          <w:rFonts w:eastAsiaTheme="minorEastAsia"/>
        </w:rPr>
        <w:fldChar w:fldCharType="end"/>
      </w:r>
      <w:r w:rsidRPr="00903A30">
        <w:rPr>
          <w:rFonts w:eastAsiaTheme="minorEastAsia"/>
        </w:rPr>
        <w:t>.  On 27 September 2013 the Senate of the Supreme Court upheld the applicant</w:t>
      </w:r>
      <w:r w:rsidRPr="00903A30" w:rsidR="00903A30">
        <w:rPr>
          <w:rFonts w:eastAsiaTheme="minorEastAsia"/>
        </w:rPr>
        <w:t>’</w:t>
      </w:r>
      <w:r w:rsidRPr="00903A30">
        <w:rPr>
          <w:rFonts w:eastAsiaTheme="minorEastAsia"/>
        </w:rPr>
        <w:t>s conviction, reducing his sentence to twelve and a half years</w:t>
      </w:r>
      <w:r w:rsidRPr="00903A30" w:rsidR="00903A30">
        <w:rPr>
          <w:rFonts w:eastAsiaTheme="minorEastAsia"/>
        </w:rPr>
        <w:t>’</w:t>
      </w:r>
      <w:r w:rsidRPr="00903A30">
        <w:rPr>
          <w:rFonts w:eastAsiaTheme="minorEastAsia"/>
        </w:rPr>
        <w:t xml:space="preserve"> imprisonment, followed by a three-year period of police supervision. With regard to the transcript, the Senate held as follows:</w:t>
      </w:r>
    </w:p>
    <w:p w:rsidRPr="00903A30" w:rsidR="004D1477" w:rsidP="00903A30" w14:paraId="1E0E158C" w14:textId="1FF6864B">
      <w:pPr>
        <w:pStyle w:val="JuQuot"/>
        <w:rPr>
          <w:rFonts w:eastAsiaTheme="minorEastAsia"/>
        </w:rPr>
      </w:pPr>
      <w:r w:rsidRPr="00903A30">
        <w:rPr>
          <w:rFonts w:eastAsiaTheme="minorEastAsia"/>
        </w:rPr>
        <w:t>“It follows from the appellate court</w:t>
      </w:r>
      <w:r w:rsidRPr="00903A30" w:rsidR="00903A30">
        <w:rPr>
          <w:rFonts w:eastAsiaTheme="minorEastAsia"/>
        </w:rPr>
        <w:t>’</w:t>
      </w:r>
      <w:r w:rsidRPr="00903A30">
        <w:rPr>
          <w:rFonts w:eastAsiaTheme="minorEastAsia"/>
        </w:rPr>
        <w:t>s judgment that the court ... held that the information about the facts included in the expert</w:t>
      </w:r>
      <w:r w:rsidRPr="00903A30" w:rsidR="00903A30">
        <w:rPr>
          <w:rFonts w:eastAsiaTheme="minorEastAsia"/>
        </w:rPr>
        <w:t>’</w:t>
      </w:r>
      <w:r w:rsidRPr="00903A30">
        <w:rPr>
          <w:rFonts w:eastAsiaTheme="minorEastAsia"/>
        </w:rPr>
        <w:t>s report was inadmissible and could not be used as evidence. The appellate court in its judgment presented the information – the content of the recorded conversation – but it was not used as evidence to prove the applicant</w:t>
      </w:r>
      <w:r w:rsidRPr="00903A30" w:rsidR="00903A30">
        <w:rPr>
          <w:rFonts w:eastAsiaTheme="minorEastAsia"/>
        </w:rPr>
        <w:t>’</w:t>
      </w:r>
      <w:r w:rsidRPr="00903A30">
        <w:rPr>
          <w:rFonts w:eastAsiaTheme="minorEastAsia"/>
        </w:rPr>
        <w:t>s guilt.”</w:t>
      </w:r>
    </w:p>
    <w:p w:rsidRPr="00903A30" w:rsidR="004D1477" w:rsidP="00903A30" w14:paraId="1D5D5781" w14:textId="2CB42BAF">
      <w:pPr>
        <w:pStyle w:val="JuPara"/>
        <w:rPr>
          <w:rFonts w:eastAsiaTheme="minorEastAsia"/>
        </w:rPr>
      </w:pPr>
      <w:r w:rsidRPr="00903A30">
        <w:rPr>
          <w:rFonts w:eastAsiaTheme="minorEastAsia"/>
        </w:rPr>
        <w:fldChar w:fldCharType="begin"/>
      </w:r>
      <w:r w:rsidRPr="00903A30">
        <w:rPr>
          <w:rFonts w:eastAsiaTheme="minorEastAsia"/>
        </w:rPr>
        <w:instrText xml:space="preserve"> SEQ level0 \*arabic \* MERGEFORMAT </w:instrText>
      </w:r>
      <w:r w:rsidRPr="00903A30">
        <w:rPr>
          <w:rFonts w:eastAsiaTheme="minorEastAsia"/>
        </w:rPr>
        <w:fldChar w:fldCharType="separate"/>
      </w:r>
      <w:r w:rsidRPr="00903A30" w:rsidR="00903A30">
        <w:rPr>
          <w:rFonts w:eastAsiaTheme="minorEastAsia"/>
          <w:noProof/>
        </w:rPr>
        <w:t>16</w:t>
      </w:r>
      <w:r w:rsidRPr="00903A30">
        <w:rPr>
          <w:rFonts w:eastAsiaTheme="minorEastAsia"/>
        </w:rPr>
        <w:fldChar w:fldCharType="end"/>
      </w:r>
      <w:r w:rsidRPr="00903A30">
        <w:rPr>
          <w:rFonts w:eastAsiaTheme="minorEastAsia"/>
        </w:rPr>
        <w:t xml:space="preserve">.  The applicant complained under Article 6 of the Convention of the breach of his right to </w:t>
      </w:r>
      <w:r w:rsidRPr="00903A30">
        <w:rPr>
          <w:rFonts w:ascii="Times New Roman" w:hAnsi="Times New Roman" w:eastAsia="Times New Roman" w:cs="Times New Roman"/>
          <w:color w:val="000000"/>
        </w:rPr>
        <w:t>silence and privilege against self-incrimination</w:t>
      </w:r>
      <w:r w:rsidRPr="00903A30">
        <w:rPr>
          <w:rFonts w:eastAsiaTheme="minorEastAsia"/>
        </w:rPr>
        <w:t xml:space="preserve"> in that the domestic courts used the evidence, obtained from him through the undercover operation and subsequently recognised as inadmissible evidence.</w:t>
      </w:r>
    </w:p>
    <w:p w:rsidRPr="00903A30" w:rsidR="004D1477" w:rsidP="00903A30" w14:paraId="20F2B9D2" w14:textId="1661F514">
      <w:pPr>
        <w:pStyle w:val="JuHHead"/>
      </w:pPr>
      <w:r w:rsidRPr="00903A30">
        <w:t>The court</w:t>
      </w:r>
      <w:r w:rsidRPr="00903A30" w:rsidR="00903A30">
        <w:t>’</w:t>
      </w:r>
      <w:r w:rsidRPr="00903A30">
        <w:t>s assessment</w:t>
      </w:r>
    </w:p>
    <w:p w:rsidRPr="00903A30" w:rsidR="004D1477" w:rsidP="00903A30" w14:paraId="1ACF6B7B" w14:textId="30EF405F">
      <w:pPr>
        <w:pStyle w:val="JuPara"/>
      </w:pPr>
      <w:r>
        <w:fldChar w:fldCharType="begin"/>
      </w:r>
      <w:r>
        <w:instrText xml:space="preserve"> SEQ level0 \*arabic \* MERGEFORMAT </w:instrText>
      </w:r>
      <w:r>
        <w:fldChar w:fldCharType="separate"/>
      </w:r>
      <w:r w:rsidRPr="00903A30" w:rsidR="00903A30">
        <w:rPr>
          <w:noProof/>
        </w:rPr>
        <w:t>17</w:t>
      </w:r>
      <w:r w:rsidRPr="00903A30" w:rsidR="00903A30">
        <w:rPr>
          <w:noProof/>
        </w:rPr>
        <w:fldChar w:fldCharType="end"/>
      </w:r>
      <w:r w:rsidRPr="00903A30">
        <w:t>.  The Government objected, at the outset, that the applicant</w:t>
      </w:r>
      <w:r w:rsidRPr="00903A30" w:rsidR="00B8196F">
        <w:t>:</w:t>
      </w:r>
      <w:r w:rsidRPr="00903A30">
        <w:t xml:space="preserve"> (</w:t>
      </w:r>
      <w:r w:rsidRPr="00903A30">
        <w:t>i</w:t>
      </w:r>
      <w:r w:rsidRPr="00903A30">
        <w:t>) had abused the right of individual application, and (ii) could not claim to be a victim of a violation of Article 6 § 1 of the Convention concerning the aspects of the privilege against self-incrimination and the right to silence. They further submitted that his complaints under Article 6 § 1 of the Convention are manifestly ill-founded.</w:t>
      </w:r>
    </w:p>
    <w:p w:rsidRPr="00903A30" w:rsidR="004D1477" w:rsidP="00903A30" w14:paraId="225B1E62" w14:textId="6C9C038B">
      <w:pPr>
        <w:pStyle w:val="JuPara"/>
      </w:pPr>
      <w:r>
        <w:fldChar w:fldCharType="begin"/>
      </w:r>
      <w:r>
        <w:instrText xml:space="preserve"> SEQ level0 \*arabic \* MERGEFORMAT </w:instrText>
      </w:r>
      <w:r>
        <w:fldChar w:fldCharType="separate"/>
      </w:r>
      <w:r w:rsidRPr="00903A30" w:rsidR="00903A30">
        <w:rPr>
          <w:noProof/>
        </w:rPr>
        <w:t>18</w:t>
      </w:r>
      <w:r w:rsidRPr="00903A30" w:rsidR="00903A30">
        <w:rPr>
          <w:noProof/>
        </w:rPr>
        <w:fldChar w:fldCharType="end"/>
      </w:r>
      <w:r w:rsidRPr="00903A30">
        <w:t>.  The applicant disagreed and maintained his complaints.</w:t>
      </w:r>
    </w:p>
    <w:p w:rsidRPr="00903A30" w:rsidR="004D1477" w:rsidP="00903A30" w14:paraId="2FC03624" w14:textId="49110E72">
      <w:pPr>
        <w:pStyle w:val="JuPara"/>
      </w:pPr>
      <w:r>
        <w:fldChar w:fldCharType="begin"/>
      </w:r>
      <w:r>
        <w:instrText xml:space="preserve"> SEQ level0 \*arabic \* MERGEFORMAT </w:instrText>
      </w:r>
      <w:r>
        <w:fldChar w:fldCharType="separate"/>
      </w:r>
      <w:r w:rsidRPr="00903A30" w:rsidR="00903A30">
        <w:rPr>
          <w:noProof/>
        </w:rPr>
        <w:t>19</w:t>
      </w:r>
      <w:r w:rsidRPr="00903A30" w:rsidR="00903A30">
        <w:rPr>
          <w:noProof/>
        </w:rPr>
        <w:fldChar w:fldCharType="end"/>
      </w:r>
      <w:r w:rsidRPr="00903A30">
        <w:t>.  The Court reiterates that while Article 6 guarantees the right to a fair hearing, it does not lay down any rules on the admissibility of evidence as such, which is primarily a matter for regulation under national law. It is therefore not the role of the Court to determine, as a matter of principle, whether particular types of evidence – for example, evidence obtained unlawfully in terms of domestic law – may be admissible or, indeed, whether the applicant was guilty or not. The question which must be answered is whether the proceedings as a whole, including the way in which the evidence was obtained, were fair. In this respect, regard must also be had to whether the rights of the defence were respected. It must be examined in particular whether the applicant was given the opportunity of challenging the authenticity of the evidence and of opposing its use. In addition, the quality of the evidence must be taken into consideration, including whether the circumstances in which it was obtained cast doubt on its reliability or accuracy.</w:t>
      </w:r>
    </w:p>
    <w:p w:rsidRPr="00903A30" w:rsidR="004D1477" w:rsidP="00903A30" w14:paraId="29000C6D" w14:textId="1D1C032A">
      <w:pPr>
        <w:pStyle w:val="JuPara"/>
      </w:pPr>
      <w:r>
        <w:fldChar w:fldCharType="begin"/>
      </w:r>
      <w:r>
        <w:instrText xml:space="preserve"> SEQ level0 \*arabic \* MERGEFORMAT </w:instrText>
      </w:r>
      <w:r>
        <w:fldChar w:fldCharType="separate"/>
      </w:r>
      <w:r w:rsidRPr="00903A30" w:rsidR="00903A30">
        <w:rPr>
          <w:noProof/>
        </w:rPr>
        <w:t>20</w:t>
      </w:r>
      <w:r w:rsidRPr="00903A30" w:rsidR="00903A30">
        <w:rPr>
          <w:noProof/>
        </w:rPr>
        <w:fldChar w:fldCharType="end"/>
      </w:r>
      <w:r w:rsidRPr="00903A30">
        <w:t xml:space="preserve">.  The Court also attaches weight to whether the evidence in question was or was not decisive for the outcome of the criminal proceedings. Where the reliability of evidence is in dispute, the existence of fair procedures to examine the admissibility of the evidence takes on an even greater importance (see </w:t>
      </w:r>
      <w:r w:rsidRPr="00903A30">
        <w:rPr>
          <w:i/>
          <w:iCs/>
        </w:rPr>
        <w:t>Dursun</w:t>
      </w:r>
      <w:r w:rsidRPr="00903A30">
        <w:rPr>
          <w:i/>
          <w:iCs/>
        </w:rPr>
        <w:t xml:space="preserve"> Aliyev v. Azerbaijan</w:t>
      </w:r>
      <w:r w:rsidRPr="00903A30">
        <w:t>, no. 20216/14, §§ 115-18 with further references, 27 April 2023).</w:t>
      </w:r>
    </w:p>
    <w:p w:rsidRPr="00903A30" w:rsidR="004D1477" w:rsidP="00903A30" w14:paraId="01E9787C" w14:textId="58B197AA">
      <w:pPr>
        <w:pStyle w:val="JuPara"/>
      </w:pPr>
      <w:r>
        <w:fldChar w:fldCharType="begin"/>
      </w:r>
      <w:r>
        <w:instrText xml:space="preserve"> SEQ level0 \*arabic \* MERGEFORMAT </w:instrText>
      </w:r>
      <w:r>
        <w:fldChar w:fldCharType="separate"/>
      </w:r>
      <w:r w:rsidRPr="00903A30" w:rsidR="00903A30">
        <w:rPr>
          <w:noProof/>
        </w:rPr>
        <w:t>21</w:t>
      </w:r>
      <w:r w:rsidRPr="00903A30" w:rsidR="00903A30">
        <w:rPr>
          <w:noProof/>
        </w:rPr>
        <w:fldChar w:fldCharType="end"/>
      </w:r>
      <w:r w:rsidRPr="00903A30">
        <w:t xml:space="preserve">.  The Court further recalls that the privilege against self-incrimination does not protect against the making of an incriminating statement </w:t>
      </w:r>
      <w:r w:rsidRPr="00903A30">
        <w:rPr>
          <w:i/>
          <w:iCs/>
        </w:rPr>
        <w:t>per se</w:t>
      </w:r>
      <w:r w:rsidRPr="00903A30">
        <w:t xml:space="preserve"> but against the obtaining of evidence by coercion or oppression. It is the existence of compulsion that gives rise to concerns as to whether the privilege against self</w:t>
      </w:r>
      <w:r w:rsidRPr="00903A30">
        <w:noBreakHyphen/>
        <w:t xml:space="preserve">incrimination has been respected (see </w:t>
      </w:r>
      <w:r w:rsidRPr="00903A30">
        <w:rPr>
          <w:i/>
          <w:iCs/>
        </w:rPr>
        <w:t>Ibrahim and Others v. the United Kingdom</w:t>
      </w:r>
      <w:r w:rsidRPr="00903A30">
        <w:t xml:space="preserve"> [GC], no. 50541/08 and 3 others, §§ 266-69, 13 September 2016).</w:t>
      </w:r>
    </w:p>
    <w:p w:rsidRPr="00903A30" w:rsidR="004D1477" w:rsidP="00903A30" w14:paraId="74BFDA13" w14:textId="7D2BD00D">
      <w:pPr>
        <w:pStyle w:val="JuPara"/>
      </w:pPr>
      <w:r>
        <w:fldChar w:fldCharType="begin"/>
      </w:r>
      <w:r>
        <w:instrText xml:space="preserve"> SEQ level0 \*arabic \* MERGEFORMAT </w:instrText>
      </w:r>
      <w:r>
        <w:fldChar w:fldCharType="separate"/>
      </w:r>
      <w:r w:rsidRPr="00903A30" w:rsidR="00903A30">
        <w:rPr>
          <w:noProof/>
        </w:rPr>
        <w:t>22</w:t>
      </w:r>
      <w:r w:rsidRPr="00903A30" w:rsidR="00903A30">
        <w:rPr>
          <w:noProof/>
        </w:rPr>
        <w:fldChar w:fldCharType="end"/>
      </w:r>
      <w:r w:rsidRPr="00903A30">
        <w:t>.  Turning to the circumstances of the present case, the Court notes that indeed, the Regional Court relied on the transcript of the applicant</w:t>
      </w:r>
      <w:r w:rsidRPr="00903A30" w:rsidR="00903A30">
        <w:t>’</w:t>
      </w:r>
      <w:r w:rsidRPr="00903A30">
        <w:t>s conversations with G.N., carried out, except for the first conversation, as an undercover operation during the period when the applicant was held in pre</w:t>
      </w:r>
      <w:r w:rsidRPr="00903A30">
        <w:noBreakHyphen/>
        <w:t xml:space="preserve">trial detention (see paragraph </w:t>
      </w:r>
      <w:r w:rsidRPr="00903A30">
        <w:fldChar w:fldCharType="begin"/>
      </w:r>
      <w:r w:rsidRPr="00903A30">
        <w:instrText xml:space="preserve"> REF paragraph00008 \h  \* CharFormat </w:instrText>
      </w:r>
      <w:r w:rsidRPr="00903A30">
        <w:fldChar w:fldCharType="separate"/>
      </w:r>
      <w:r w:rsidRPr="00903A30" w:rsidR="00903A30">
        <w:t>11</w:t>
      </w:r>
      <w:r w:rsidRPr="00903A30">
        <w:fldChar w:fldCharType="end"/>
      </w:r>
      <w:r w:rsidRPr="00903A30">
        <w:t xml:space="preserve"> above). Admittedly, the Criminal Chamber, upon the applicant</w:t>
      </w:r>
      <w:r w:rsidRPr="00903A30" w:rsidR="00903A30">
        <w:t>’</w:t>
      </w:r>
      <w:r w:rsidRPr="00903A30">
        <w:t>s appeal, declared the</w:t>
      </w:r>
      <w:r w:rsidRPr="00903A30">
        <w:rPr>
          <w:rFonts w:eastAsiaTheme="minorEastAsia"/>
          <w:szCs w:val="22"/>
        </w:rPr>
        <w:t xml:space="preserve"> transcript of the first conversation to be inadmissible evidence and held that the subsequent undercover operation was not justified. However, it confirmed the Regional </w:t>
      </w:r>
      <w:r w:rsidRPr="00903A30">
        <w:rPr>
          <w:rFonts w:eastAsiaTheme="minorEastAsia"/>
          <w:szCs w:val="22"/>
        </w:rPr>
        <w:t>Court</w:t>
      </w:r>
      <w:r w:rsidRPr="00903A30" w:rsidR="00903A30">
        <w:rPr>
          <w:rFonts w:eastAsiaTheme="minorEastAsia"/>
          <w:szCs w:val="22"/>
        </w:rPr>
        <w:t>’</w:t>
      </w:r>
      <w:r w:rsidRPr="00903A30">
        <w:rPr>
          <w:rFonts w:eastAsiaTheme="minorEastAsia"/>
          <w:szCs w:val="22"/>
        </w:rPr>
        <w:t>s opinion that the content of the conversations between G.N. and the applicant showed the latter</w:t>
      </w:r>
      <w:r w:rsidRPr="00903A30" w:rsidR="00903A30">
        <w:rPr>
          <w:rFonts w:eastAsiaTheme="minorEastAsia"/>
          <w:szCs w:val="22"/>
        </w:rPr>
        <w:t>’</w:t>
      </w:r>
      <w:r w:rsidRPr="00903A30">
        <w:rPr>
          <w:rFonts w:eastAsiaTheme="minorEastAsia"/>
          <w:szCs w:val="22"/>
        </w:rPr>
        <w:t>s involvement in the murder</w:t>
      </w:r>
      <w:r w:rsidRPr="00903A30">
        <w:t xml:space="preserve"> (see paragraph </w:t>
      </w:r>
      <w:r w:rsidRPr="00903A30">
        <w:fldChar w:fldCharType="begin"/>
      </w:r>
      <w:r w:rsidRPr="00903A30">
        <w:instrText xml:space="preserve"> REF paragraph00010 \h  \* CharFormat </w:instrText>
      </w:r>
      <w:r w:rsidRPr="00903A30">
        <w:fldChar w:fldCharType="separate"/>
      </w:r>
      <w:r w:rsidRPr="00903A30" w:rsidR="00903A30">
        <w:t>13</w:t>
      </w:r>
      <w:r w:rsidRPr="00903A30">
        <w:fldChar w:fldCharType="end"/>
      </w:r>
      <w:r w:rsidRPr="00903A30">
        <w:t xml:space="preserve"> above).</w:t>
      </w:r>
    </w:p>
    <w:p w:rsidRPr="00903A30" w:rsidR="004D1477" w:rsidP="00903A30" w14:paraId="7F1E1179" w14:textId="42E0E7FE">
      <w:pPr>
        <w:pStyle w:val="JuPara"/>
      </w:pPr>
      <w:r>
        <w:fldChar w:fldCharType="begin"/>
      </w:r>
      <w:r>
        <w:instrText xml:space="preserve"> SEQ level0 \*arabic \* MERGEFORMAT </w:instrText>
      </w:r>
      <w:r>
        <w:fldChar w:fldCharType="separate"/>
      </w:r>
      <w:r w:rsidRPr="00903A30" w:rsidR="00903A30">
        <w:rPr>
          <w:noProof/>
        </w:rPr>
        <w:t>23</w:t>
      </w:r>
      <w:r w:rsidRPr="00903A30" w:rsidR="00903A30">
        <w:rPr>
          <w:noProof/>
        </w:rPr>
        <w:fldChar w:fldCharType="end"/>
      </w:r>
      <w:r w:rsidRPr="00903A30">
        <w:t>.  Therefore, the applicant</w:t>
      </w:r>
      <w:r w:rsidRPr="00903A30" w:rsidR="00903A30">
        <w:t>’</w:t>
      </w:r>
      <w:r w:rsidRPr="00903A30">
        <w:t>s allegation that the domestic courts used the evidence obtained from him through the undercover operation and subsequently recognised it as inadmissible evidence appears to be substantiated. The Court observes, however, that irrespective of the fact whether it served as evidence to prove the applicant</w:t>
      </w:r>
      <w:r w:rsidRPr="00903A30" w:rsidR="00903A30">
        <w:t>’</w:t>
      </w:r>
      <w:r w:rsidRPr="00903A30">
        <w:t xml:space="preserve">s guilt or not (see paragraph </w:t>
      </w:r>
      <w:r w:rsidRPr="00903A30">
        <w:fldChar w:fldCharType="begin"/>
      </w:r>
      <w:r w:rsidRPr="00903A30">
        <w:instrText xml:space="preserve"> REF paragraph00015 \h  \* CharFormat </w:instrText>
      </w:r>
      <w:r w:rsidRPr="00903A30">
        <w:fldChar w:fldCharType="separate"/>
      </w:r>
      <w:r w:rsidRPr="00903A30" w:rsidR="00903A30">
        <w:t>15</w:t>
      </w:r>
      <w:r w:rsidRPr="00903A30">
        <w:fldChar w:fldCharType="end"/>
      </w:r>
      <w:r w:rsidRPr="00903A30">
        <w:t xml:space="preserve"> above), it played only a subsidiary role in the reasoning of both the Regional Court and the Criminal Chamber. Both courts established the relevant circumstances of the criminal case on the strength of a number of other incriminating elements on which the applicant</w:t>
      </w:r>
      <w:r w:rsidRPr="00903A30" w:rsidR="00903A30">
        <w:t>’</w:t>
      </w:r>
      <w:r w:rsidRPr="00903A30">
        <w:t xml:space="preserve">s conviction was based, namely the detailed statements and testimony of a high number of witnesses (see paragraphs </w:t>
      </w:r>
      <w:r w:rsidRPr="00903A30">
        <w:fldChar w:fldCharType="begin"/>
      </w:r>
      <w:r w:rsidRPr="00903A30">
        <w:instrText xml:space="preserve"> REF paragraph00007 \h  \* CharFormat </w:instrText>
      </w:r>
      <w:r w:rsidRPr="00903A30">
        <w:fldChar w:fldCharType="separate"/>
      </w:r>
      <w:r w:rsidRPr="00903A30" w:rsidR="00903A30">
        <w:t>10</w:t>
      </w:r>
      <w:r w:rsidRPr="00903A30">
        <w:fldChar w:fldCharType="end"/>
      </w:r>
      <w:r w:rsidRPr="00903A30">
        <w:t xml:space="preserve"> and </w:t>
      </w:r>
      <w:r w:rsidRPr="00903A30">
        <w:fldChar w:fldCharType="begin"/>
      </w:r>
      <w:r w:rsidRPr="00903A30">
        <w:instrText xml:space="preserve"> REF paragraph00010 \h  \* CharFormat </w:instrText>
      </w:r>
      <w:r w:rsidRPr="00903A30">
        <w:fldChar w:fldCharType="separate"/>
      </w:r>
      <w:r w:rsidRPr="00903A30" w:rsidR="00903A30">
        <w:t>13</w:t>
      </w:r>
      <w:r w:rsidRPr="00903A30">
        <w:fldChar w:fldCharType="end"/>
      </w:r>
      <w:r w:rsidRPr="00903A30">
        <w:t xml:space="preserve"> above). In this connection, the Court places emphasis on the fact that the applicant, who was legally represented throughout the whole court proceedings, availed himself of the opportunity to challenge the authenticity and use of all the evidence including these witness statements.</w:t>
      </w:r>
    </w:p>
    <w:p w:rsidRPr="00903A30" w:rsidR="004D1477" w:rsidP="00903A30" w14:paraId="3F914891" w14:textId="2AC5588B">
      <w:pPr>
        <w:pStyle w:val="JuPara"/>
      </w:pPr>
      <w:r>
        <w:fldChar w:fldCharType="begin"/>
      </w:r>
      <w:r>
        <w:instrText xml:space="preserve"> SEQ level0 \*arabic \* MERGEFORMAT </w:instrText>
      </w:r>
      <w:r>
        <w:fldChar w:fldCharType="separate"/>
      </w:r>
      <w:r w:rsidRPr="00903A30" w:rsidR="00903A30">
        <w:rPr>
          <w:noProof/>
        </w:rPr>
        <w:t>24</w:t>
      </w:r>
      <w:r w:rsidRPr="00903A30" w:rsidR="00903A30">
        <w:rPr>
          <w:noProof/>
        </w:rPr>
        <w:fldChar w:fldCharType="end"/>
      </w:r>
      <w:r w:rsidRPr="00903A30">
        <w:t>.  The Court further observes that the first conversation with G.N., whom the applicant did know beforehand, took place at the applicant</w:t>
      </w:r>
      <w:r w:rsidRPr="00903A30" w:rsidR="00903A30">
        <w:t>’</w:t>
      </w:r>
      <w:r w:rsidRPr="00903A30">
        <w:t>s initiative and that even if the subsequent conversations were carried out in the context of an undercover operation, there is no indication that any method of coercion or oppression in defiance of the will of the applicant was used against him which would impair the privilege of against self-incrimination and the right to silence, as interpreted in the Court</w:t>
      </w:r>
      <w:r w:rsidRPr="00903A30" w:rsidR="00903A30">
        <w:t>’</w:t>
      </w:r>
      <w:r w:rsidRPr="00903A30">
        <w:t>s well-established case</w:t>
      </w:r>
      <w:r w:rsidRPr="00903A30">
        <w:noBreakHyphen/>
        <w:t>law.</w:t>
      </w:r>
    </w:p>
    <w:p w:rsidRPr="00903A30" w:rsidR="004D1477" w:rsidP="00903A30" w14:paraId="4399B506" w14:textId="357CAC46">
      <w:pPr>
        <w:pStyle w:val="JuPara"/>
      </w:pPr>
      <w:r>
        <w:fldChar w:fldCharType="begin"/>
      </w:r>
      <w:r>
        <w:instrText xml:space="preserve"> SEQ level0 \*arabic \* MERGEFORMAT </w:instrText>
      </w:r>
      <w:r>
        <w:fldChar w:fldCharType="separate"/>
      </w:r>
      <w:r w:rsidRPr="00903A30" w:rsidR="00903A30">
        <w:rPr>
          <w:noProof/>
        </w:rPr>
        <w:t>25</w:t>
      </w:r>
      <w:r w:rsidRPr="00903A30" w:rsidR="00903A30">
        <w:rPr>
          <w:noProof/>
        </w:rPr>
        <w:fldChar w:fldCharType="end"/>
      </w:r>
      <w:r w:rsidRPr="00903A30">
        <w:t>.  Against this background, the Court finds that the overall fairness of the applicant</w:t>
      </w:r>
      <w:r w:rsidRPr="00903A30" w:rsidR="00903A30">
        <w:t>’</w:t>
      </w:r>
      <w:r w:rsidRPr="00903A30">
        <w:t>s trial was not irretrievably prejudiced and that the present case does not disclose any appearance of any manifest deficiencies in the protection of the applicant</w:t>
      </w:r>
      <w:r w:rsidRPr="00903A30" w:rsidR="00903A30">
        <w:t>’</w:t>
      </w:r>
      <w:r w:rsidRPr="00903A30">
        <w:t>s Convention rights by the domestic courts. It follows that the present application is manifestly ill-founded and must be rejected under Article 35 §§ 3 (a) and 4 of the Convention.</w:t>
      </w:r>
    </w:p>
    <w:p w:rsidRPr="00903A30" w:rsidR="004D1477" w:rsidP="00903A30" w14:paraId="7AC2728E" w14:textId="48B3C038">
      <w:pPr>
        <w:pStyle w:val="JuPara"/>
      </w:pPr>
      <w:r>
        <w:fldChar w:fldCharType="begin"/>
      </w:r>
      <w:r>
        <w:instrText xml:space="preserve"> SEQ level0 \*arabic \* MERGEFORMAT </w:instrText>
      </w:r>
      <w:r>
        <w:fldChar w:fldCharType="separate"/>
      </w:r>
      <w:r w:rsidRPr="00903A30" w:rsidR="00903A30">
        <w:rPr>
          <w:noProof/>
        </w:rPr>
        <w:t>26</w:t>
      </w:r>
      <w:r w:rsidRPr="00903A30" w:rsidR="00903A30">
        <w:rPr>
          <w:noProof/>
        </w:rPr>
        <w:fldChar w:fldCharType="end"/>
      </w:r>
      <w:r w:rsidRPr="00903A30">
        <w:t>.  In view of this conclusion, the Court does not find it necessary to examine the Government</w:t>
      </w:r>
      <w:r w:rsidRPr="00903A30" w:rsidR="00903A30">
        <w:t>’</w:t>
      </w:r>
      <w:r w:rsidRPr="00903A30">
        <w:t>s preliminary objections relating to the abuse of the right of individual application and the lack of victim status within the meaning of Article 34 of the Convention.</w:t>
      </w:r>
    </w:p>
    <w:p w:rsidRPr="00903A30" w:rsidR="004D1477" w:rsidP="00903A30" w14:paraId="10B1A774" w14:textId="6FA39092">
      <w:pPr>
        <w:pStyle w:val="JuParaLast"/>
      </w:pPr>
      <w:r w:rsidRPr="00903A30">
        <w:t>For these reasons, the Court, unanimously,</w:t>
      </w:r>
    </w:p>
    <w:p w:rsidRPr="00903A30" w:rsidR="004D1477" w:rsidP="00903A30" w14:paraId="0A71B5FB" w14:textId="77777777">
      <w:pPr>
        <w:pStyle w:val="DecList"/>
      </w:pPr>
      <w:r w:rsidRPr="00903A30">
        <w:rPr>
          <w:i/>
        </w:rPr>
        <w:t>Declares</w:t>
      </w:r>
      <w:r w:rsidRPr="00903A30">
        <w:t xml:space="preserve"> the application inadmissible.</w:t>
      </w:r>
    </w:p>
    <w:p w:rsidRPr="00903A30" w:rsidR="00BD1692" w:rsidP="00903A30" w14:paraId="4E8F3114" w14:textId="4BDCF1CD">
      <w:pPr>
        <w:pStyle w:val="JuParaLast"/>
        <w:rPr>
          <w:sz w:val="14"/>
        </w:rPr>
      </w:pPr>
      <w:r w:rsidRPr="00903A30">
        <w:t xml:space="preserve">Done in English and notified in writing on </w:t>
      </w:r>
      <w:r w:rsidRPr="00903A30" w:rsidR="004D1477">
        <w:rPr>
          <w:noProof/>
        </w:rPr>
        <w:t>24 October 2024</w:t>
      </w:r>
      <w:r w:rsidRPr="00903A30">
        <w:t>.</w:t>
      </w:r>
    </w:p>
    <w:p w:rsidRPr="00903A30" w:rsidR="00BD1692" w:rsidP="00903A30" w14:paraId="665ABB28" w14:textId="064BDE57">
      <w:pPr>
        <w:pStyle w:val="ECHRPlaceholder"/>
      </w:pPr>
      <w:r w:rsidRPr="00903A30">
        <w:tab/>
      </w:r>
    </w:p>
    <w:p w:rsidRPr="00903A30" w:rsidR="00BF3B7A" w:rsidP="00903A30" w14:paraId="41CAE724" w14:textId="008E2C7A">
      <w:pPr>
        <w:pStyle w:val="JuSigned"/>
      </w:pPr>
      <w:r w:rsidRPr="00903A30">
        <w:tab/>
      </w:r>
      <w:r w:rsidRPr="00903A30" w:rsidR="004D1477">
        <w:rPr>
          <w:rFonts w:eastAsia="PMingLiU"/>
          <w:noProof/>
        </w:rPr>
        <w:t>Martina Keller</w:t>
      </w:r>
      <w:r w:rsidRPr="00903A30" w:rsidR="001D1233">
        <w:tab/>
      </w:r>
      <w:r w:rsidRPr="00903A30" w:rsidR="004D1477">
        <w:rPr>
          <w:noProof/>
        </w:rPr>
        <w:t>Stéphanie Mourou-Vikström</w:t>
      </w:r>
      <w:r w:rsidRPr="00903A30" w:rsidR="001D1233">
        <w:br/>
      </w:r>
      <w:r w:rsidRPr="00903A30" w:rsidR="001D1233">
        <w:tab/>
      </w:r>
      <w:r w:rsidRPr="00903A30" w:rsidR="004D1477">
        <w:rPr>
          <w:noProof/>
        </w:rPr>
        <w:t>Deputy Registrar</w:t>
      </w:r>
      <w:r w:rsidRPr="00903A30" w:rsidR="006267D3">
        <w:tab/>
        <w:t>President</w:t>
      </w:r>
    </w:p>
    <w:p w:rsidRPr="00903A30" w:rsidR="00CB3BD9" w:rsidP="00903A30" w14:paraId="0E15D939" w14:textId="77777777">
      <w:pPr>
        <w:pStyle w:val="JuPara"/>
        <w:ind w:firstLine="0"/>
        <w:rPr>
          <w:noProof/>
        </w:rPr>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3B7A" w:rsidRPr="004D1477" w:rsidP="000D61E7" w14:paraId="48882AB5" w14:textId="1A3C5F41">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3B7A" w:rsidRPr="004D1477" w:rsidP="000D61E7" w14:paraId="36A6F21C" w14:textId="683AA792">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477" w:rsidRPr="00150BFA" w:rsidP="0020718E" w14:paraId="348814E3" w14:textId="4A98D687">
    <w:pPr>
      <w:jc w:val="center"/>
    </w:pPr>
    <w:r w:rsidRPr="004D1477">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F3B7A" w:rsidRPr="004D1477" w:rsidP="002E2C77" w14:paraId="7F799BF2" w14:textId="1D01013A">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3B7A" w:rsidRPr="004D1477" w:rsidP="0076040F" w14:paraId="7A9B7D41" w14:textId="2A928092">
    <w:pPr>
      <w:pStyle w:val="JuHeader"/>
    </w:pPr>
    <w:r>
      <w:t>IVANOVS v. LATVIA</w:t>
    </w:r>
    <w:r w:rsidRPr="004D1477"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3B7A" w:rsidRPr="004D1477" w:rsidP="000D61E7" w14:paraId="2495F4C7" w14:textId="418D1403">
    <w:pPr>
      <w:pStyle w:val="JuHeader"/>
    </w:pPr>
    <w:r>
      <w:t>IVANOVS v. LATVIA</w:t>
    </w:r>
    <w:r w:rsidRPr="004D1477"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477" w:rsidRPr="00A45145" w:rsidP="00A45145" w14:paraId="652DE3CB" w14:textId="1EA1472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F3B7A" w:rsidRPr="004D1477" w:rsidP="00EA1004" w14:paraId="45A7A7A4" w14:textId="12A3528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764376817">
    <w:abstractNumId w:val="14"/>
  </w:num>
  <w:num w:numId="2" w16cid:durableId="1582369007">
    <w:abstractNumId w:val="12"/>
  </w:num>
  <w:num w:numId="3" w16cid:durableId="1519731112">
    <w:abstractNumId w:val="11"/>
  </w:num>
  <w:num w:numId="4" w16cid:durableId="508956401">
    <w:abstractNumId w:val="17"/>
  </w:num>
  <w:num w:numId="5" w16cid:durableId="1579750845">
    <w:abstractNumId w:val="7"/>
  </w:num>
  <w:num w:numId="6" w16cid:durableId="374424790">
    <w:abstractNumId w:val="6"/>
  </w:num>
  <w:num w:numId="7" w16cid:durableId="22680116">
    <w:abstractNumId w:val="5"/>
  </w:num>
  <w:num w:numId="8" w16cid:durableId="368654701">
    <w:abstractNumId w:val="4"/>
  </w:num>
  <w:num w:numId="9" w16cid:durableId="1256785297">
    <w:abstractNumId w:val="8"/>
  </w:num>
  <w:num w:numId="10" w16cid:durableId="930894664">
    <w:abstractNumId w:val="3"/>
  </w:num>
  <w:num w:numId="11" w16cid:durableId="1031759688">
    <w:abstractNumId w:val="2"/>
  </w:num>
  <w:num w:numId="12" w16cid:durableId="185950137">
    <w:abstractNumId w:val="1"/>
  </w:num>
  <w:num w:numId="13" w16cid:durableId="262305269">
    <w:abstractNumId w:val="0"/>
  </w:num>
  <w:num w:numId="14" w16cid:durableId="411513871">
    <w:abstractNumId w:val="15"/>
  </w:num>
  <w:num w:numId="15" w16cid:durableId="1742483449">
    <w:abstractNumId w:val="13"/>
  </w:num>
  <w:num w:numId="16" w16cid:durableId="393166536">
    <w:abstractNumId w:val="16"/>
  </w:num>
  <w:num w:numId="17" w16cid:durableId="1027373498">
    <w:abstractNumId w:val="15"/>
  </w:num>
  <w:num w:numId="18" w16cid:durableId="816918127">
    <w:abstractNumId w:val="16"/>
  </w:num>
  <w:num w:numId="19" w16cid:durableId="830027097">
    <w:abstractNumId w:val="10"/>
  </w:num>
  <w:num w:numId="20" w16cid:durableId="107875166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477"/>
    <w:rsid w:val="00095FD8"/>
    <w:rsid w:val="000B1FA9"/>
    <w:rsid w:val="000D61E7"/>
    <w:rsid w:val="000E3A89"/>
    <w:rsid w:val="00132029"/>
    <w:rsid w:val="00144EBC"/>
    <w:rsid w:val="00150BFA"/>
    <w:rsid w:val="001D1233"/>
    <w:rsid w:val="0020718E"/>
    <w:rsid w:val="00223591"/>
    <w:rsid w:val="002A7443"/>
    <w:rsid w:val="002E2C77"/>
    <w:rsid w:val="003B50D7"/>
    <w:rsid w:val="003E3C60"/>
    <w:rsid w:val="00452087"/>
    <w:rsid w:val="00464268"/>
    <w:rsid w:val="004A4C71"/>
    <w:rsid w:val="004B4E73"/>
    <w:rsid w:val="004D1477"/>
    <w:rsid w:val="004E3451"/>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164FE"/>
    <w:rsid w:val="008D10E4"/>
    <w:rsid w:val="008F0A92"/>
    <w:rsid w:val="008F7189"/>
    <w:rsid w:val="00903A30"/>
    <w:rsid w:val="00956B2A"/>
    <w:rsid w:val="0096293E"/>
    <w:rsid w:val="009656DE"/>
    <w:rsid w:val="009B6F49"/>
    <w:rsid w:val="009C21E8"/>
    <w:rsid w:val="009E01FB"/>
    <w:rsid w:val="00A142DF"/>
    <w:rsid w:val="00A45145"/>
    <w:rsid w:val="00AA5AEE"/>
    <w:rsid w:val="00AC58E5"/>
    <w:rsid w:val="00B140D3"/>
    <w:rsid w:val="00B8196F"/>
    <w:rsid w:val="00BD1692"/>
    <w:rsid w:val="00BF3B7A"/>
    <w:rsid w:val="00C42C12"/>
    <w:rsid w:val="00C8038F"/>
    <w:rsid w:val="00CB3BD9"/>
    <w:rsid w:val="00D415D6"/>
    <w:rsid w:val="00DB6354"/>
    <w:rsid w:val="00E5464B"/>
    <w:rsid w:val="00EA1004"/>
    <w:rsid w:val="00EB27A7"/>
    <w:rsid w:val="00EE38CA"/>
    <w:rsid w:val="00F0534F"/>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72C9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164FE"/>
    <w:rPr>
      <w:sz w:val="24"/>
      <w:szCs w:val="24"/>
      <w:lang w:val="en-GB"/>
    </w:rPr>
  </w:style>
  <w:style w:type="paragraph" w:styleId="Heading1">
    <w:name w:val="heading 1"/>
    <w:basedOn w:val="Normal"/>
    <w:next w:val="Normal"/>
    <w:link w:val="Heading1Char"/>
    <w:uiPriority w:val="98"/>
    <w:semiHidden/>
    <w:rsid w:val="008164F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164F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164F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164F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164F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164F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164F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164F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164F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8164FE"/>
    <w:pPr>
      <w:tabs>
        <w:tab w:val="center" w:pos="1418"/>
        <w:tab w:val="center" w:pos="5954"/>
      </w:tabs>
      <w:spacing w:before="720"/>
    </w:pPr>
  </w:style>
  <w:style w:type="paragraph" w:customStyle="1" w:styleId="JuPara">
    <w:name w:val="Ju_Para"/>
    <w:aliases w:val="_Para"/>
    <w:basedOn w:val="NormalJustified"/>
    <w:link w:val="JuParaChar"/>
    <w:uiPriority w:val="4"/>
    <w:qFormat/>
    <w:rsid w:val="008164FE"/>
    <w:pPr>
      <w:ind w:firstLine="284"/>
    </w:pPr>
  </w:style>
  <w:style w:type="character" w:styleId="PageNumber">
    <w:name w:val="page number"/>
    <w:uiPriority w:val="98"/>
    <w:semiHidden/>
    <w:rsid w:val="008164FE"/>
    <w:rPr>
      <w:sz w:val="18"/>
    </w:rPr>
  </w:style>
  <w:style w:type="character" w:styleId="CommentReference">
    <w:name w:val="annotation reference"/>
    <w:basedOn w:val="DefaultParagraphFont"/>
    <w:uiPriority w:val="98"/>
    <w:semiHidden/>
    <w:rsid w:val="008164FE"/>
    <w:rPr>
      <w:sz w:val="16"/>
      <w:szCs w:val="16"/>
    </w:rPr>
  </w:style>
  <w:style w:type="paragraph" w:styleId="CommentText">
    <w:name w:val="annotation text"/>
    <w:basedOn w:val="Normal"/>
    <w:link w:val="CommentTextChar"/>
    <w:uiPriority w:val="98"/>
    <w:semiHidden/>
    <w:rsid w:val="008164FE"/>
    <w:rPr>
      <w:sz w:val="20"/>
      <w:szCs w:val="20"/>
    </w:rPr>
  </w:style>
  <w:style w:type="character" w:customStyle="1" w:styleId="CommentTextChar">
    <w:name w:val="Comment Text Char"/>
    <w:basedOn w:val="DefaultParagraphFont"/>
    <w:link w:val="CommentText"/>
    <w:uiPriority w:val="98"/>
    <w:semiHidden/>
    <w:rsid w:val="008164FE"/>
    <w:rPr>
      <w:sz w:val="20"/>
      <w:szCs w:val="20"/>
      <w:lang w:val="en-GB"/>
    </w:rPr>
  </w:style>
  <w:style w:type="paragraph" w:customStyle="1" w:styleId="DecHTitle">
    <w:name w:val="Dec_H_Title"/>
    <w:aliases w:val="_Title_1"/>
    <w:basedOn w:val="JuPara"/>
    <w:next w:val="JuPara"/>
    <w:uiPriority w:val="38"/>
    <w:qFormat/>
    <w:rsid w:val="008164FE"/>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8164F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164FE"/>
    <w:pPr>
      <w:keepNext/>
      <w:keepLines/>
      <w:spacing w:before="1320" w:after="280"/>
      <w:contextualSpacing/>
      <w:jc w:val="center"/>
    </w:pPr>
    <w:rPr>
      <w:b/>
    </w:rPr>
  </w:style>
  <w:style w:type="paragraph" w:customStyle="1" w:styleId="JuHeader">
    <w:name w:val="Ju_Header"/>
    <w:aliases w:val="_Header"/>
    <w:basedOn w:val="Header0"/>
    <w:uiPriority w:val="29"/>
    <w:qFormat/>
    <w:rsid w:val="008164FE"/>
    <w:pPr>
      <w:tabs>
        <w:tab w:val="clear" w:pos="4536"/>
        <w:tab w:val="clear" w:pos="9072"/>
      </w:tabs>
      <w:jc w:val="center"/>
    </w:pPr>
    <w:rPr>
      <w:sz w:val="18"/>
    </w:rPr>
  </w:style>
  <w:style w:type="paragraph" w:styleId="Header0">
    <w:name w:val="header"/>
    <w:basedOn w:val="Normal"/>
    <w:link w:val="HeaderChar"/>
    <w:uiPriority w:val="98"/>
    <w:semiHidden/>
    <w:rsid w:val="008164FE"/>
    <w:pPr>
      <w:tabs>
        <w:tab w:val="center" w:pos="4536"/>
        <w:tab w:val="right" w:pos="9072"/>
      </w:tabs>
    </w:pPr>
  </w:style>
  <w:style w:type="character" w:customStyle="1" w:styleId="HeaderChar">
    <w:name w:val="Header Char"/>
    <w:basedOn w:val="DefaultParagraphFont"/>
    <w:link w:val="Header0"/>
    <w:uiPriority w:val="98"/>
    <w:semiHidden/>
    <w:rsid w:val="008164FE"/>
    <w:rPr>
      <w:sz w:val="24"/>
      <w:szCs w:val="24"/>
      <w:lang w:val="en-GB"/>
    </w:rPr>
  </w:style>
  <w:style w:type="paragraph" w:styleId="BalloonText">
    <w:name w:val="Balloon Text"/>
    <w:basedOn w:val="Normal"/>
    <w:link w:val="BalloonTextChar"/>
    <w:uiPriority w:val="98"/>
    <w:semiHidden/>
    <w:rsid w:val="008164FE"/>
    <w:rPr>
      <w:rFonts w:ascii="Tahoma" w:hAnsi="Tahoma" w:cs="Tahoma"/>
      <w:sz w:val="16"/>
      <w:szCs w:val="16"/>
    </w:rPr>
  </w:style>
  <w:style w:type="character" w:customStyle="1" w:styleId="BalloonTextChar">
    <w:name w:val="Balloon Text Char"/>
    <w:basedOn w:val="DefaultParagraphFont"/>
    <w:link w:val="BalloonText"/>
    <w:uiPriority w:val="98"/>
    <w:semiHidden/>
    <w:rsid w:val="008164FE"/>
    <w:rPr>
      <w:rFonts w:ascii="Tahoma" w:hAnsi="Tahoma" w:cs="Tahoma"/>
      <w:sz w:val="16"/>
      <w:szCs w:val="16"/>
      <w:lang w:val="en-GB"/>
    </w:rPr>
  </w:style>
  <w:style w:type="paragraph" w:customStyle="1" w:styleId="DummyStyle">
    <w:name w:val="Dummy_Style"/>
    <w:aliases w:val="_Dummy"/>
    <w:basedOn w:val="Normal"/>
    <w:semiHidden/>
    <w:qFormat/>
    <w:rsid w:val="008164FE"/>
    <w:rPr>
      <w:color w:val="00B050"/>
      <w:sz w:val="22"/>
    </w:rPr>
  </w:style>
  <w:style w:type="paragraph" w:customStyle="1" w:styleId="NormalJustified">
    <w:name w:val="Normal_Justified"/>
    <w:basedOn w:val="Normal"/>
    <w:semiHidden/>
    <w:rsid w:val="008164FE"/>
    <w:pPr>
      <w:jc w:val="both"/>
    </w:pPr>
  </w:style>
  <w:style w:type="paragraph" w:customStyle="1" w:styleId="JuQuot">
    <w:name w:val="Ju_Quot"/>
    <w:aliases w:val="_Quote"/>
    <w:basedOn w:val="NormalJustified"/>
    <w:uiPriority w:val="20"/>
    <w:qFormat/>
    <w:rsid w:val="008164FE"/>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8164FE"/>
    <w:pPr>
      <w:keepNext/>
      <w:keepLines/>
      <w:tabs>
        <w:tab w:val="right" w:pos="7938"/>
      </w:tabs>
      <w:ind w:firstLine="0"/>
      <w:jc w:val="center"/>
    </w:pPr>
    <w:rPr>
      <w:i/>
    </w:rPr>
  </w:style>
  <w:style w:type="table" w:customStyle="1" w:styleId="ECHRDNTable">
    <w:name w:val="ECHR_DN_Table"/>
    <w:basedOn w:val="TableNormal"/>
    <w:uiPriority w:val="99"/>
    <w:rsid w:val="008164F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8164FE"/>
    <w:pPr>
      <w:numPr>
        <w:numId w:val="14"/>
      </w:numPr>
    </w:pPr>
  </w:style>
  <w:style w:type="numbering" w:customStyle="1" w:styleId="ECHRA1StyleList">
    <w:name w:val="ECHR_A1_Style_List"/>
    <w:basedOn w:val="NoList"/>
    <w:uiPriority w:val="99"/>
    <w:rsid w:val="008164FE"/>
    <w:pPr>
      <w:numPr>
        <w:numId w:val="15"/>
      </w:numPr>
    </w:pPr>
  </w:style>
  <w:style w:type="paragraph" w:customStyle="1" w:styleId="JuHArticle">
    <w:name w:val="Ju_H_Article"/>
    <w:aliases w:val="_Title_Quote"/>
    <w:basedOn w:val="Normal"/>
    <w:next w:val="JuQuot"/>
    <w:uiPriority w:val="19"/>
    <w:qFormat/>
    <w:rsid w:val="008164FE"/>
    <w:pPr>
      <w:keepNext/>
      <w:spacing w:before="100" w:beforeAutospacing="1" w:after="120"/>
      <w:contextualSpacing/>
      <w:jc w:val="center"/>
    </w:pPr>
    <w:rPr>
      <w:b/>
      <w:sz w:val="20"/>
    </w:rPr>
  </w:style>
  <w:style w:type="numbering" w:customStyle="1" w:styleId="ECHRA1StyleNumberedList">
    <w:name w:val="ECHR_A1_Style_Numbered_List"/>
    <w:basedOn w:val="NoList"/>
    <w:rsid w:val="008164FE"/>
    <w:pPr>
      <w:numPr>
        <w:numId w:val="16"/>
      </w:numPr>
    </w:pPr>
  </w:style>
  <w:style w:type="table" w:customStyle="1" w:styleId="ECHRHeaderTable">
    <w:name w:val="ECHR_Header_Table"/>
    <w:basedOn w:val="TableNormal"/>
    <w:uiPriority w:val="99"/>
    <w:rsid w:val="008164F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8164FE"/>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8164FE"/>
    <w:pPr>
      <w:tabs>
        <w:tab w:val="center" w:pos="6407"/>
      </w:tabs>
      <w:spacing w:before="720"/>
      <w:jc w:val="right"/>
    </w:pPr>
  </w:style>
  <w:style w:type="table" w:customStyle="1" w:styleId="ECHRHeaderTableReduced">
    <w:name w:val="ECHR_Header_Table_Reduced"/>
    <w:basedOn w:val="TableNormal"/>
    <w:uiPriority w:val="99"/>
    <w:rsid w:val="008164F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8164FE"/>
    <w:rPr>
      <w:caps w:val="0"/>
      <w:smallCaps/>
    </w:rPr>
  </w:style>
  <w:style w:type="character" w:customStyle="1" w:styleId="JuITMark">
    <w:name w:val="Ju_ITMark"/>
    <w:aliases w:val="_ITMark"/>
    <w:basedOn w:val="DefaultParagraphFont"/>
    <w:uiPriority w:val="54"/>
    <w:qFormat/>
    <w:rsid w:val="008164FE"/>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8164F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8164F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164FE"/>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8164FE"/>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8164FE"/>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8164FE"/>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8164FE"/>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8164FE"/>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8164FE"/>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8164FE"/>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8164FE"/>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8164FE"/>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8164FE"/>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8164FE"/>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8164FE"/>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8164FE"/>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8164FE"/>
    <w:pPr>
      <w:keepNext/>
      <w:keepLines/>
      <w:spacing w:before="240" w:after="240"/>
      <w:ind w:firstLine="284"/>
    </w:pPr>
  </w:style>
  <w:style w:type="table" w:customStyle="1" w:styleId="ECHRTableBoxHeader">
    <w:name w:val="ECHR_Table_Box_Header"/>
    <w:basedOn w:val="TableNormal"/>
    <w:rsid w:val="008164F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8164FE"/>
    <w:pPr>
      <w:tabs>
        <w:tab w:val="left" w:pos="567"/>
        <w:tab w:val="left" w:pos="1134"/>
      </w:tabs>
    </w:pPr>
  </w:style>
  <w:style w:type="paragraph" w:customStyle="1" w:styleId="JuList">
    <w:name w:val="Ju_List"/>
    <w:aliases w:val="_List_1"/>
    <w:basedOn w:val="NormalJustified"/>
    <w:uiPriority w:val="23"/>
    <w:qFormat/>
    <w:rsid w:val="008164FE"/>
    <w:pPr>
      <w:numPr>
        <w:numId w:val="20"/>
      </w:numPr>
      <w:spacing w:before="280" w:after="60"/>
    </w:pPr>
  </w:style>
  <w:style w:type="paragraph" w:customStyle="1" w:styleId="JuLista">
    <w:name w:val="Ju_List_a"/>
    <w:aliases w:val="_List_2"/>
    <w:basedOn w:val="NormalJustified"/>
    <w:uiPriority w:val="23"/>
    <w:rsid w:val="008164FE"/>
    <w:pPr>
      <w:numPr>
        <w:ilvl w:val="1"/>
        <w:numId w:val="20"/>
      </w:numPr>
    </w:pPr>
  </w:style>
  <w:style w:type="paragraph" w:customStyle="1" w:styleId="JuListi">
    <w:name w:val="Ju_List_i"/>
    <w:aliases w:val="_List_3"/>
    <w:basedOn w:val="NormalJustified"/>
    <w:uiPriority w:val="23"/>
    <w:rsid w:val="008164FE"/>
    <w:pPr>
      <w:numPr>
        <w:ilvl w:val="2"/>
        <w:numId w:val="20"/>
      </w:numPr>
    </w:pPr>
  </w:style>
  <w:style w:type="table" w:customStyle="1" w:styleId="ECHRTableFax">
    <w:name w:val="ECHR_Table_Fax"/>
    <w:basedOn w:val="TableNormal"/>
    <w:uiPriority w:val="99"/>
    <w:rsid w:val="008164F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8164F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8164F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8164F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164FE"/>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8164F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164FE"/>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8164F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164FE"/>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8164FE"/>
    <w:rPr>
      <w:b/>
      <w:bCs/>
    </w:rPr>
  </w:style>
  <w:style w:type="character" w:styleId="Emphasis">
    <w:name w:val="Emphasis"/>
    <w:uiPriority w:val="98"/>
    <w:semiHidden/>
    <w:qFormat/>
    <w:rsid w:val="008164FE"/>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8164FE"/>
  </w:style>
  <w:style w:type="character" w:customStyle="1" w:styleId="NoSpacingChar">
    <w:name w:val="No Spacing Char"/>
    <w:basedOn w:val="DefaultParagraphFont"/>
    <w:link w:val="NoSpacing"/>
    <w:uiPriority w:val="98"/>
    <w:semiHidden/>
    <w:rsid w:val="008164FE"/>
    <w:rPr>
      <w:sz w:val="24"/>
      <w:szCs w:val="24"/>
      <w:lang w:val="en-GB"/>
    </w:rPr>
  </w:style>
  <w:style w:type="paragraph" w:styleId="ListParagraph">
    <w:name w:val="List Paragraph"/>
    <w:basedOn w:val="Normal"/>
    <w:uiPriority w:val="98"/>
    <w:semiHidden/>
    <w:qFormat/>
    <w:rsid w:val="008164FE"/>
    <w:pPr>
      <w:ind w:left="720"/>
      <w:contextualSpacing/>
    </w:pPr>
  </w:style>
  <w:style w:type="paragraph" w:styleId="Quote0">
    <w:name w:val="Quote"/>
    <w:basedOn w:val="Normal"/>
    <w:next w:val="Normal"/>
    <w:link w:val="QuoteChar"/>
    <w:uiPriority w:val="98"/>
    <w:semiHidden/>
    <w:qFormat/>
    <w:rsid w:val="008164FE"/>
    <w:pPr>
      <w:spacing w:before="200"/>
      <w:ind w:left="360" w:right="360"/>
    </w:pPr>
    <w:rPr>
      <w:i/>
      <w:iCs/>
      <w:lang w:bidi="en-US"/>
    </w:rPr>
  </w:style>
  <w:style w:type="character" w:customStyle="1" w:styleId="QuoteChar">
    <w:name w:val="Quote Char"/>
    <w:basedOn w:val="DefaultParagraphFont"/>
    <w:link w:val="Quote0"/>
    <w:uiPriority w:val="98"/>
    <w:semiHidden/>
    <w:rsid w:val="008164FE"/>
    <w:rPr>
      <w:i/>
      <w:iCs/>
      <w:sz w:val="24"/>
      <w:szCs w:val="24"/>
      <w:lang w:val="en-GB" w:bidi="en-US"/>
    </w:rPr>
  </w:style>
  <w:style w:type="paragraph" w:styleId="IntenseQuote">
    <w:name w:val="Intense Quote"/>
    <w:basedOn w:val="Normal"/>
    <w:next w:val="Normal"/>
    <w:link w:val="IntenseQuoteChar"/>
    <w:uiPriority w:val="98"/>
    <w:semiHidden/>
    <w:qFormat/>
    <w:rsid w:val="008164F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164FE"/>
    <w:rPr>
      <w:b/>
      <w:bCs/>
      <w:i/>
      <w:iCs/>
      <w:sz w:val="24"/>
      <w:szCs w:val="24"/>
      <w:lang w:val="en-GB" w:bidi="en-US"/>
    </w:rPr>
  </w:style>
  <w:style w:type="character" w:styleId="SubtleEmphasis">
    <w:name w:val="Subtle Emphasis"/>
    <w:uiPriority w:val="98"/>
    <w:semiHidden/>
    <w:qFormat/>
    <w:rsid w:val="008164FE"/>
    <w:rPr>
      <w:i/>
      <w:iCs/>
    </w:rPr>
  </w:style>
  <w:style w:type="character" w:styleId="IntenseEmphasis">
    <w:name w:val="Intense Emphasis"/>
    <w:uiPriority w:val="98"/>
    <w:semiHidden/>
    <w:qFormat/>
    <w:rsid w:val="008164FE"/>
    <w:rPr>
      <w:b/>
      <w:bCs/>
    </w:rPr>
  </w:style>
  <w:style w:type="character" w:styleId="SubtleReference">
    <w:name w:val="Subtle Reference"/>
    <w:uiPriority w:val="98"/>
    <w:semiHidden/>
    <w:qFormat/>
    <w:rsid w:val="008164FE"/>
    <w:rPr>
      <w:smallCaps/>
    </w:rPr>
  </w:style>
  <w:style w:type="character" w:styleId="IntenseReference">
    <w:name w:val="Intense Reference"/>
    <w:uiPriority w:val="98"/>
    <w:semiHidden/>
    <w:qFormat/>
    <w:rsid w:val="008164FE"/>
    <w:rPr>
      <w:smallCaps/>
      <w:spacing w:val="5"/>
      <w:u w:val="single"/>
    </w:rPr>
  </w:style>
  <w:style w:type="character" w:styleId="BookTitle">
    <w:name w:val="Book Title"/>
    <w:uiPriority w:val="98"/>
    <w:semiHidden/>
    <w:qFormat/>
    <w:rsid w:val="008164FE"/>
    <w:rPr>
      <w:i/>
      <w:iCs/>
      <w:smallCaps/>
      <w:spacing w:val="5"/>
    </w:rPr>
  </w:style>
  <w:style w:type="paragraph" w:styleId="TOCHeading">
    <w:name w:val="TOC Heading"/>
    <w:basedOn w:val="Normal"/>
    <w:next w:val="Normal"/>
    <w:uiPriority w:val="98"/>
    <w:semiHidden/>
    <w:qFormat/>
    <w:rsid w:val="008164FE"/>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8164FE"/>
    <w:pPr>
      <w:numPr>
        <w:numId w:val="1"/>
      </w:numPr>
    </w:pPr>
  </w:style>
  <w:style w:type="numbering" w:styleId="1ai">
    <w:name w:val="Outline List 1"/>
    <w:basedOn w:val="NoList"/>
    <w:uiPriority w:val="99"/>
    <w:semiHidden/>
    <w:unhideWhenUsed/>
    <w:rsid w:val="008164FE"/>
    <w:pPr>
      <w:numPr>
        <w:numId w:val="2"/>
      </w:numPr>
    </w:pPr>
  </w:style>
  <w:style w:type="numbering" w:styleId="ArticleSection">
    <w:name w:val="Outline List 3"/>
    <w:basedOn w:val="NoList"/>
    <w:uiPriority w:val="99"/>
    <w:semiHidden/>
    <w:unhideWhenUsed/>
    <w:rsid w:val="008164FE"/>
    <w:pPr>
      <w:numPr>
        <w:numId w:val="3"/>
      </w:numPr>
    </w:pPr>
  </w:style>
  <w:style w:type="paragraph" w:styleId="Bibliography">
    <w:name w:val="Bibliography"/>
    <w:basedOn w:val="Normal"/>
    <w:next w:val="Normal"/>
    <w:uiPriority w:val="98"/>
    <w:semiHidden/>
    <w:rsid w:val="008164FE"/>
  </w:style>
  <w:style w:type="paragraph" w:styleId="BlockText">
    <w:name w:val="Block Text"/>
    <w:basedOn w:val="Normal"/>
    <w:uiPriority w:val="98"/>
    <w:semiHidden/>
    <w:rsid w:val="008164F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8164FE"/>
    <w:pPr>
      <w:spacing w:after="120"/>
    </w:pPr>
  </w:style>
  <w:style w:type="character" w:customStyle="1" w:styleId="BodyTextChar">
    <w:name w:val="Body Text Char"/>
    <w:basedOn w:val="DefaultParagraphFont"/>
    <w:link w:val="BodyText"/>
    <w:uiPriority w:val="98"/>
    <w:semiHidden/>
    <w:rsid w:val="008164FE"/>
    <w:rPr>
      <w:sz w:val="24"/>
      <w:szCs w:val="24"/>
      <w:lang w:val="en-GB"/>
    </w:rPr>
  </w:style>
  <w:style w:type="paragraph" w:styleId="BodyText2">
    <w:name w:val="Body Text 2"/>
    <w:basedOn w:val="Normal"/>
    <w:link w:val="BodyText2Char"/>
    <w:uiPriority w:val="98"/>
    <w:semiHidden/>
    <w:rsid w:val="008164FE"/>
    <w:pPr>
      <w:spacing w:after="120" w:line="480" w:lineRule="auto"/>
    </w:pPr>
  </w:style>
  <w:style w:type="character" w:customStyle="1" w:styleId="BodyText2Char">
    <w:name w:val="Body Text 2 Char"/>
    <w:basedOn w:val="DefaultParagraphFont"/>
    <w:link w:val="BodyText2"/>
    <w:uiPriority w:val="98"/>
    <w:semiHidden/>
    <w:rsid w:val="008164FE"/>
    <w:rPr>
      <w:sz w:val="24"/>
      <w:szCs w:val="24"/>
      <w:lang w:val="en-GB"/>
    </w:rPr>
  </w:style>
  <w:style w:type="paragraph" w:styleId="BodyText3">
    <w:name w:val="Body Text 3"/>
    <w:basedOn w:val="Normal"/>
    <w:link w:val="BodyText3Char"/>
    <w:uiPriority w:val="98"/>
    <w:semiHidden/>
    <w:rsid w:val="008164FE"/>
    <w:pPr>
      <w:spacing w:after="120"/>
    </w:pPr>
    <w:rPr>
      <w:sz w:val="16"/>
      <w:szCs w:val="16"/>
    </w:rPr>
  </w:style>
  <w:style w:type="character" w:customStyle="1" w:styleId="BodyText3Char">
    <w:name w:val="Body Text 3 Char"/>
    <w:basedOn w:val="DefaultParagraphFont"/>
    <w:link w:val="BodyText3"/>
    <w:uiPriority w:val="98"/>
    <w:semiHidden/>
    <w:rsid w:val="008164FE"/>
    <w:rPr>
      <w:sz w:val="16"/>
      <w:szCs w:val="16"/>
      <w:lang w:val="en-GB"/>
    </w:rPr>
  </w:style>
  <w:style w:type="paragraph" w:styleId="BodyTextFirstIndent">
    <w:name w:val="Body Text First Indent"/>
    <w:basedOn w:val="BodyText"/>
    <w:link w:val="BodyTextFirstIndentChar"/>
    <w:uiPriority w:val="98"/>
    <w:semiHidden/>
    <w:rsid w:val="008164FE"/>
    <w:pPr>
      <w:spacing w:after="0"/>
      <w:ind w:firstLine="360"/>
    </w:pPr>
  </w:style>
  <w:style w:type="character" w:customStyle="1" w:styleId="BodyTextFirstIndentChar">
    <w:name w:val="Body Text First Indent Char"/>
    <w:basedOn w:val="BodyTextChar"/>
    <w:link w:val="BodyTextFirstIndent"/>
    <w:uiPriority w:val="98"/>
    <w:semiHidden/>
    <w:rsid w:val="008164FE"/>
    <w:rPr>
      <w:sz w:val="24"/>
      <w:szCs w:val="24"/>
      <w:lang w:val="en-GB"/>
    </w:rPr>
  </w:style>
  <w:style w:type="paragraph" w:styleId="BodyTextIndent">
    <w:name w:val="Body Text Indent"/>
    <w:basedOn w:val="Normal"/>
    <w:link w:val="BodyTextIndentChar"/>
    <w:uiPriority w:val="98"/>
    <w:semiHidden/>
    <w:rsid w:val="008164FE"/>
    <w:pPr>
      <w:spacing w:after="120"/>
      <w:ind w:left="283"/>
    </w:pPr>
  </w:style>
  <w:style w:type="character" w:customStyle="1" w:styleId="BodyTextIndentChar">
    <w:name w:val="Body Text Indent Char"/>
    <w:basedOn w:val="DefaultParagraphFont"/>
    <w:link w:val="BodyTextIndent"/>
    <w:uiPriority w:val="98"/>
    <w:semiHidden/>
    <w:rsid w:val="008164FE"/>
    <w:rPr>
      <w:sz w:val="24"/>
      <w:szCs w:val="24"/>
      <w:lang w:val="en-GB"/>
    </w:rPr>
  </w:style>
  <w:style w:type="paragraph" w:styleId="BodyTextFirstIndent2">
    <w:name w:val="Body Text First Indent 2"/>
    <w:basedOn w:val="BodyTextIndent"/>
    <w:link w:val="BodyTextFirstIndent2Char"/>
    <w:uiPriority w:val="98"/>
    <w:semiHidden/>
    <w:rsid w:val="008164FE"/>
    <w:pPr>
      <w:spacing w:after="0"/>
      <w:ind w:left="360" w:firstLine="360"/>
    </w:pPr>
  </w:style>
  <w:style w:type="character" w:customStyle="1" w:styleId="BodyTextFirstIndent2Char">
    <w:name w:val="Body Text First Indent 2 Char"/>
    <w:basedOn w:val="BodyTextIndentChar"/>
    <w:link w:val="BodyTextFirstIndent2"/>
    <w:uiPriority w:val="98"/>
    <w:semiHidden/>
    <w:rsid w:val="008164FE"/>
    <w:rPr>
      <w:sz w:val="24"/>
      <w:szCs w:val="24"/>
      <w:lang w:val="en-GB"/>
    </w:rPr>
  </w:style>
  <w:style w:type="paragraph" w:styleId="BodyTextIndent2">
    <w:name w:val="Body Text Indent 2"/>
    <w:basedOn w:val="Normal"/>
    <w:link w:val="BodyTextIndent2Char"/>
    <w:uiPriority w:val="98"/>
    <w:semiHidden/>
    <w:rsid w:val="008164FE"/>
    <w:pPr>
      <w:spacing w:after="120" w:line="480" w:lineRule="auto"/>
      <w:ind w:left="283"/>
    </w:pPr>
  </w:style>
  <w:style w:type="character" w:customStyle="1" w:styleId="BodyTextIndent2Char">
    <w:name w:val="Body Text Indent 2 Char"/>
    <w:basedOn w:val="DefaultParagraphFont"/>
    <w:link w:val="BodyTextIndent2"/>
    <w:uiPriority w:val="98"/>
    <w:semiHidden/>
    <w:rsid w:val="008164FE"/>
    <w:rPr>
      <w:sz w:val="24"/>
      <w:szCs w:val="24"/>
      <w:lang w:val="en-GB"/>
    </w:rPr>
  </w:style>
  <w:style w:type="paragraph" w:styleId="BodyTextIndent3">
    <w:name w:val="Body Text Indent 3"/>
    <w:basedOn w:val="Normal"/>
    <w:link w:val="BodyTextIndent3Char"/>
    <w:uiPriority w:val="98"/>
    <w:semiHidden/>
    <w:rsid w:val="008164F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164FE"/>
    <w:rPr>
      <w:sz w:val="16"/>
      <w:szCs w:val="16"/>
      <w:lang w:val="en-GB"/>
    </w:rPr>
  </w:style>
  <w:style w:type="paragraph" w:styleId="Caption">
    <w:name w:val="caption"/>
    <w:basedOn w:val="Normal"/>
    <w:next w:val="Normal"/>
    <w:uiPriority w:val="98"/>
    <w:semiHidden/>
    <w:qFormat/>
    <w:rsid w:val="008164FE"/>
    <w:pPr>
      <w:spacing w:after="200"/>
    </w:pPr>
    <w:rPr>
      <w:b/>
      <w:bCs/>
      <w:color w:val="0072BC" w:themeColor="accent1"/>
      <w:sz w:val="18"/>
      <w:szCs w:val="18"/>
    </w:rPr>
  </w:style>
  <w:style w:type="paragraph" w:styleId="Closing">
    <w:name w:val="Closing"/>
    <w:basedOn w:val="Normal"/>
    <w:link w:val="ClosingChar"/>
    <w:uiPriority w:val="98"/>
    <w:semiHidden/>
    <w:rsid w:val="008164FE"/>
    <w:pPr>
      <w:ind w:left="4252"/>
    </w:pPr>
  </w:style>
  <w:style w:type="character" w:customStyle="1" w:styleId="ClosingChar">
    <w:name w:val="Closing Char"/>
    <w:basedOn w:val="DefaultParagraphFont"/>
    <w:link w:val="Closing"/>
    <w:uiPriority w:val="98"/>
    <w:semiHidden/>
    <w:rsid w:val="008164FE"/>
    <w:rPr>
      <w:sz w:val="24"/>
      <w:szCs w:val="24"/>
      <w:lang w:val="en-GB"/>
    </w:rPr>
  </w:style>
  <w:style w:type="table" w:styleId="ColorfulGrid">
    <w:name w:val="Colorful Grid"/>
    <w:basedOn w:val="TableNormal"/>
    <w:uiPriority w:val="73"/>
    <w:semiHidden/>
    <w:rsid w:val="008164F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164F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164F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164F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164F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164F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164F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164F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164F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164F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164F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164F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164F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164F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164F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164F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164F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164F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164F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164F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164F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164FE"/>
    <w:rPr>
      <w:b/>
      <w:bCs/>
    </w:rPr>
  </w:style>
  <w:style w:type="character" w:customStyle="1" w:styleId="CommentSubjectChar">
    <w:name w:val="Comment Subject Char"/>
    <w:basedOn w:val="CommentTextChar"/>
    <w:link w:val="CommentSubject"/>
    <w:uiPriority w:val="98"/>
    <w:semiHidden/>
    <w:rsid w:val="008164FE"/>
    <w:rPr>
      <w:b/>
      <w:bCs/>
      <w:sz w:val="20"/>
      <w:szCs w:val="20"/>
      <w:lang w:val="en-GB"/>
    </w:rPr>
  </w:style>
  <w:style w:type="table" w:styleId="DarkList">
    <w:name w:val="Dark List"/>
    <w:basedOn w:val="TableNormal"/>
    <w:uiPriority w:val="70"/>
    <w:semiHidden/>
    <w:rsid w:val="008164F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164F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164F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164F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164F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164F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164F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164FE"/>
  </w:style>
  <w:style w:type="character" w:customStyle="1" w:styleId="DateChar">
    <w:name w:val="Date Char"/>
    <w:basedOn w:val="DefaultParagraphFont"/>
    <w:link w:val="Date"/>
    <w:uiPriority w:val="98"/>
    <w:semiHidden/>
    <w:rsid w:val="008164FE"/>
    <w:rPr>
      <w:sz w:val="24"/>
      <w:szCs w:val="24"/>
      <w:lang w:val="en-GB"/>
    </w:rPr>
  </w:style>
  <w:style w:type="paragraph" w:styleId="DocumentMap">
    <w:name w:val="Document Map"/>
    <w:basedOn w:val="Normal"/>
    <w:link w:val="DocumentMapChar"/>
    <w:uiPriority w:val="98"/>
    <w:semiHidden/>
    <w:rsid w:val="008164FE"/>
    <w:rPr>
      <w:rFonts w:ascii="Tahoma" w:hAnsi="Tahoma" w:cs="Tahoma"/>
      <w:sz w:val="16"/>
      <w:szCs w:val="16"/>
    </w:rPr>
  </w:style>
  <w:style w:type="character" w:customStyle="1" w:styleId="DocumentMapChar">
    <w:name w:val="Document Map Char"/>
    <w:basedOn w:val="DefaultParagraphFont"/>
    <w:link w:val="DocumentMap"/>
    <w:uiPriority w:val="98"/>
    <w:semiHidden/>
    <w:rsid w:val="008164FE"/>
    <w:rPr>
      <w:rFonts w:ascii="Tahoma" w:hAnsi="Tahoma" w:cs="Tahoma"/>
      <w:sz w:val="16"/>
      <w:szCs w:val="16"/>
      <w:lang w:val="en-GB"/>
    </w:rPr>
  </w:style>
  <w:style w:type="paragraph" w:styleId="E-mailSignature">
    <w:name w:val="E-mail Signature"/>
    <w:basedOn w:val="Normal"/>
    <w:link w:val="E-mailSignatureChar"/>
    <w:uiPriority w:val="98"/>
    <w:semiHidden/>
    <w:rsid w:val="008164FE"/>
  </w:style>
  <w:style w:type="character" w:customStyle="1" w:styleId="E-mailSignatureChar">
    <w:name w:val="E-mail Signature Char"/>
    <w:basedOn w:val="DefaultParagraphFont"/>
    <w:link w:val="E-mailSignature"/>
    <w:uiPriority w:val="98"/>
    <w:semiHidden/>
    <w:rsid w:val="008164FE"/>
    <w:rPr>
      <w:sz w:val="24"/>
      <w:szCs w:val="24"/>
      <w:lang w:val="en-GB"/>
    </w:rPr>
  </w:style>
  <w:style w:type="character" w:styleId="EndnoteReference">
    <w:name w:val="endnote reference"/>
    <w:basedOn w:val="DefaultParagraphFont"/>
    <w:uiPriority w:val="98"/>
    <w:semiHidden/>
    <w:rsid w:val="008164FE"/>
    <w:rPr>
      <w:vertAlign w:val="superscript"/>
    </w:rPr>
  </w:style>
  <w:style w:type="paragraph" w:styleId="EndnoteText">
    <w:name w:val="endnote text"/>
    <w:basedOn w:val="Normal"/>
    <w:link w:val="EndnoteTextChar"/>
    <w:uiPriority w:val="98"/>
    <w:semiHidden/>
    <w:rsid w:val="008164FE"/>
    <w:rPr>
      <w:sz w:val="20"/>
      <w:szCs w:val="20"/>
    </w:rPr>
  </w:style>
  <w:style w:type="character" w:customStyle="1" w:styleId="EndnoteTextChar">
    <w:name w:val="Endnote Text Char"/>
    <w:basedOn w:val="DefaultParagraphFont"/>
    <w:link w:val="EndnoteText"/>
    <w:uiPriority w:val="98"/>
    <w:semiHidden/>
    <w:rsid w:val="008164FE"/>
    <w:rPr>
      <w:sz w:val="20"/>
      <w:szCs w:val="20"/>
      <w:lang w:val="en-GB"/>
    </w:rPr>
  </w:style>
  <w:style w:type="paragraph" w:styleId="EnvelopeAddress">
    <w:name w:val="envelope address"/>
    <w:basedOn w:val="Normal"/>
    <w:uiPriority w:val="98"/>
    <w:semiHidden/>
    <w:rsid w:val="008164F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164F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164FE"/>
    <w:rPr>
      <w:color w:val="7030A0" w:themeColor="followedHyperlink"/>
      <w:u w:val="single"/>
    </w:rPr>
  </w:style>
  <w:style w:type="character" w:styleId="FootnoteReference">
    <w:name w:val="footnote reference"/>
    <w:basedOn w:val="DefaultParagraphFont"/>
    <w:uiPriority w:val="98"/>
    <w:semiHidden/>
    <w:rsid w:val="008164FE"/>
    <w:rPr>
      <w:vertAlign w:val="superscript"/>
    </w:rPr>
  </w:style>
  <w:style w:type="paragraph" w:styleId="FootnoteText">
    <w:name w:val="footnote text"/>
    <w:basedOn w:val="NormalJustified"/>
    <w:link w:val="FootnoteTextChar"/>
    <w:uiPriority w:val="98"/>
    <w:semiHidden/>
    <w:rsid w:val="008164FE"/>
    <w:rPr>
      <w:sz w:val="20"/>
      <w:szCs w:val="20"/>
    </w:rPr>
  </w:style>
  <w:style w:type="character" w:customStyle="1" w:styleId="FootnoteTextChar">
    <w:name w:val="Footnote Text Char"/>
    <w:basedOn w:val="DefaultParagraphFont"/>
    <w:link w:val="FootnoteText"/>
    <w:uiPriority w:val="98"/>
    <w:semiHidden/>
    <w:rsid w:val="008164FE"/>
    <w:rPr>
      <w:sz w:val="20"/>
      <w:szCs w:val="20"/>
      <w:lang w:val="en-GB"/>
    </w:rPr>
  </w:style>
  <w:style w:type="character" w:styleId="HTMLAcronym">
    <w:name w:val="HTML Acronym"/>
    <w:basedOn w:val="DefaultParagraphFont"/>
    <w:uiPriority w:val="98"/>
    <w:semiHidden/>
    <w:rsid w:val="008164FE"/>
  </w:style>
  <w:style w:type="paragraph" w:styleId="HTMLAddress">
    <w:name w:val="HTML Address"/>
    <w:basedOn w:val="Normal"/>
    <w:link w:val="HTMLAddressChar"/>
    <w:uiPriority w:val="98"/>
    <w:semiHidden/>
    <w:rsid w:val="008164FE"/>
    <w:rPr>
      <w:i/>
      <w:iCs/>
    </w:rPr>
  </w:style>
  <w:style w:type="character" w:customStyle="1" w:styleId="HTMLAddressChar">
    <w:name w:val="HTML Address Char"/>
    <w:basedOn w:val="DefaultParagraphFont"/>
    <w:link w:val="HTMLAddress"/>
    <w:uiPriority w:val="98"/>
    <w:semiHidden/>
    <w:rsid w:val="008164FE"/>
    <w:rPr>
      <w:i/>
      <w:iCs/>
      <w:sz w:val="24"/>
      <w:szCs w:val="24"/>
      <w:lang w:val="en-GB"/>
    </w:rPr>
  </w:style>
  <w:style w:type="character" w:styleId="HTMLCite">
    <w:name w:val="HTML Cite"/>
    <w:basedOn w:val="DefaultParagraphFont"/>
    <w:uiPriority w:val="98"/>
    <w:semiHidden/>
    <w:rsid w:val="008164FE"/>
    <w:rPr>
      <w:i/>
      <w:iCs/>
    </w:rPr>
  </w:style>
  <w:style w:type="character" w:styleId="HTMLCode">
    <w:name w:val="HTML Code"/>
    <w:basedOn w:val="DefaultParagraphFont"/>
    <w:uiPriority w:val="98"/>
    <w:semiHidden/>
    <w:rsid w:val="008164FE"/>
    <w:rPr>
      <w:rFonts w:ascii="Consolas" w:hAnsi="Consolas" w:cs="Consolas"/>
      <w:sz w:val="20"/>
      <w:szCs w:val="20"/>
    </w:rPr>
  </w:style>
  <w:style w:type="character" w:styleId="HTMLDefinition">
    <w:name w:val="HTML Definition"/>
    <w:basedOn w:val="DefaultParagraphFont"/>
    <w:uiPriority w:val="98"/>
    <w:semiHidden/>
    <w:rsid w:val="008164FE"/>
    <w:rPr>
      <w:i/>
      <w:iCs/>
    </w:rPr>
  </w:style>
  <w:style w:type="character" w:styleId="HTMLKeyboard">
    <w:name w:val="HTML Keyboard"/>
    <w:basedOn w:val="DefaultParagraphFont"/>
    <w:uiPriority w:val="98"/>
    <w:semiHidden/>
    <w:rsid w:val="008164FE"/>
    <w:rPr>
      <w:rFonts w:ascii="Consolas" w:hAnsi="Consolas" w:cs="Consolas"/>
      <w:sz w:val="20"/>
      <w:szCs w:val="20"/>
    </w:rPr>
  </w:style>
  <w:style w:type="paragraph" w:styleId="HTMLPreformatted">
    <w:name w:val="HTML Preformatted"/>
    <w:basedOn w:val="Normal"/>
    <w:link w:val="HTMLPreformattedChar"/>
    <w:uiPriority w:val="98"/>
    <w:semiHidden/>
    <w:rsid w:val="008164F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164FE"/>
    <w:rPr>
      <w:rFonts w:ascii="Consolas" w:hAnsi="Consolas" w:cs="Consolas"/>
      <w:sz w:val="20"/>
      <w:szCs w:val="20"/>
      <w:lang w:val="en-GB"/>
    </w:rPr>
  </w:style>
  <w:style w:type="character" w:styleId="HTMLSample">
    <w:name w:val="HTML Sample"/>
    <w:basedOn w:val="DefaultParagraphFont"/>
    <w:uiPriority w:val="98"/>
    <w:semiHidden/>
    <w:rsid w:val="008164FE"/>
    <w:rPr>
      <w:rFonts w:ascii="Consolas" w:hAnsi="Consolas" w:cs="Consolas"/>
      <w:sz w:val="24"/>
      <w:szCs w:val="24"/>
    </w:rPr>
  </w:style>
  <w:style w:type="character" w:styleId="HTMLTypewriter">
    <w:name w:val="HTML Typewriter"/>
    <w:basedOn w:val="DefaultParagraphFont"/>
    <w:uiPriority w:val="98"/>
    <w:semiHidden/>
    <w:rsid w:val="008164FE"/>
    <w:rPr>
      <w:rFonts w:ascii="Consolas" w:hAnsi="Consolas" w:cs="Consolas"/>
      <w:sz w:val="20"/>
      <w:szCs w:val="20"/>
    </w:rPr>
  </w:style>
  <w:style w:type="character" w:styleId="HTMLVariable">
    <w:name w:val="HTML Variable"/>
    <w:basedOn w:val="DefaultParagraphFont"/>
    <w:uiPriority w:val="98"/>
    <w:semiHidden/>
    <w:rsid w:val="008164FE"/>
    <w:rPr>
      <w:i/>
      <w:iCs/>
    </w:rPr>
  </w:style>
  <w:style w:type="character" w:styleId="Hyperlink">
    <w:name w:val="Hyperlink"/>
    <w:basedOn w:val="DefaultParagraphFont"/>
    <w:uiPriority w:val="98"/>
    <w:semiHidden/>
    <w:rsid w:val="008164FE"/>
    <w:rPr>
      <w:color w:val="0072BC" w:themeColor="hyperlink"/>
      <w:u w:val="single"/>
    </w:rPr>
  </w:style>
  <w:style w:type="paragraph" w:styleId="Index1">
    <w:name w:val="index 1"/>
    <w:basedOn w:val="Normal"/>
    <w:next w:val="Normal"/>
    <w:autoRedefine/>
    <w:uiPriority w:val="98"/>
    <w:semiHidden/>
    <w:rsid w:val="008164FE"/>
    <w:pPr>
      <w:ind w:left="240" w:hanging="240"/>
    </w:pPr>
  </w:style>
  <w:style w:type="paragraph" w:styleId="Index2">
    <w:name w:val="index 2"/>
    <w:basedOn w:val="Normal"/>
    <w:next w:val="Normal"/>
    <w:autoRedefine/>
    <w:uiPriority w:val="98"/>
    <w:semiHidden/>
    <w:rsid w:val="008164FE"/>
    <w:pPr>
      <w:ind w:left="480" w:hanging="240"/>
    </w:pPr>
  </w:style>
  <w:style w:type="paragraph" w:styleId="Index3">
    <w:name w:val="index 3"/>
    <w:basedOn w:val="Normal"/>
    <w:next w:val="Normal"/>
    <w:autoRedefine/>
    <w:uiPriority w:val="98"/>
    <w:semiHidden/>
    <w:rsid w:val="008164FE"/>
    <w:pPr>
      <w:ind w:left="720" w:hanging="240"/>
    </w:pPr>
  </w:style>
  <w:style w:type="paragraph" w:styleId="Index4">
    <w:name w:val="index 4"/>
    <w:basedOn w:val="Normal"/>
    <w:next w:val="Normal"/>
    <w:autoRedefine/>
    <w:uiPriority w:val="98"/>
    <w:semiHidden/>
    <w:rsid w:val="008164FE"/>
    <w:pPr>
      <w:ind w:left="960" w:hanging="240"/>
    </w:pPr>
  </w:style>
  <w:style w:type="paragraph" w:styleId="Index5">
    <w:name w:val="index 5"/>
    <w:basedOn w:val="Normal"/>
    <w:next w:val="Normal"/>
    <w:autoRedefine/>
    <w:uiPriority w:val="98"/>
    <w:semiHidden/>
    <w:rsid w:val="008164FE"/>
    <w:pPr>
      <w:ind w:left="1200" w:hanging="240"/>
    </w:pPr>
  </w:style>
  <w:style w:type="paragraph" w:styleId="Index6">
    <w:name w:val="index 6"/>
    <w:basedOn w:val="Normal"/>
    <w:next w:val="Normal"/>
    <w:autoRedefine/>
    <w:uiPriority w:val="98"/>
    <w:semiHidden/>
    <w:rsid w:val="008164FE"/>
    <w:pPr>
      <w:ind w:left="1440" w:hanging="240"/>
    </w:pPr>
  </w:style>
  <w:style w:type="paragraph" w:styleId="Index7">
    <w:name w:val="index 7"/>
    <w:basedOn w:val="Normal"/>
    <w:next w:val="Normal"/>
    <w:autoRedefine/>
    <w:uiPriority w:val="98"/>
    <w:semiHidden/>
    <w:rsid w:val="008164FE"/>
    <w:pPr>
      <w:ind w:left="1680" w:hanging="240"/>
    </w:pPr>
  </w:style>
  <w:style w:type="paragraph" w:styleId="Index8">
    <w:name w:val="index 8"/>
    <w:basedOn w:val="Normal"/>
    <w:next w:val="Normal"/>
    <w:autoRedefine/>
    <w:uiPriority w:val="98"/>
    <w:semiHidden/>
    <w:rsid w:val="008164FE"/>
    <w:pPr>
      <w:ind w:left="1920" w:hanging="240"/>
    </w:pPr>
  </w:style>
  <w:style w:type="paragraph" w:styleId="Index9">
    <w:name w:val="index 9"/>
    <w:basedOn w:val="Normal"/>
    <w:next w:val="Normal"/>
    <w:autoRedefine/>
    <w:uiPriority w:val="98"/>
    <w:semiHidden/>
    <w:rsid w:val="008164FE"/>
    <w:pPr>
      <w:ind w:left="2160" w:hanging="240"/>
    </w:pPr>
  </w:style>
  <w:style w:type="paragraph" w:styleId="IndexHeading">
    <w:name w:val="index heading"/>
    <w:basedOn w:val="Normal"/>
    <w:next w:val="Index1"/>
    <w:uiPriority w:val="98"/>
    <w:semiHidden/>
    <w:rsid w:val="008164FE"/>
    <w:rPr>
      <w:rFonts w:asciiTheme="majorHAnsi" w:eastAsiaTheme="majorEastAsia" w:hAnsiTheme="majorHAnsi" w:cstheme="majorBidi"/>
      <w:b/>
      <w:bCs/>
    </w:rPr>
  </w:style>
  <w:style w:type="table" w:styleId="LightGrid">
    <w:name w:val="Light Grid"/>
    <w:basedOn w:val="TableNormal"/>
    <w:uiPriority w:val="62"/>
    <w:semiHidden/>
    <w:rsid w:val="008164F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164F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164F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164F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164F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164F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164F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164F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164F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164F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164F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164F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164F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164F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164F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164F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164F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164F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164F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164F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164F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164FE"/>
  </w:style>
  <w:style w:type="paragraph" w:styleId="List">
    <w:name w:val="List"/>
    <w:basedOn w:val="Normal"/>
    <w:uiPriority w:val="98"/>
    <w:semiHidden/>
    <w:rsid w:val="008164FE"/>
    <w:pPr>
      <w:ind w:left="283" w:hanging="283"/>
      <w:contextualSpacing/>
    </w:pPr>
  </w:style>
  <w:style w:type="paragraph" w:styleId="List20">
    <w:name w:val="List 2"/>
    <w:basedOn w:val="Normal"/>
    <w:uiPriority w:val="98"/>
    <w:semiHidden/>
    <w:rsid w:val="008164FE"/>
    <w:pPr>
      <w:ind w:left="566" w:hanging="283"/>
      <w:contextualSpacing/>
    </w:pPr>
  </w:style>
  <w:style w:type="paragraph" w:styleId="List30">
    <w:name w:val="List 3"/>
    <w:basedOn w:val="Normal"/>
    <w:uiPriority w:val="98"/>
    <w:semiHidden/>
    <w:rsid w:val="008164FE"/>
    <w:pPr>
      <w:ind w:left="849" w:hanging="283"/>
      <w:contextualSpacing/>
    </w:pPr>
  </w:style>
  <w:style w:type="paragraph" w:styleId="List4">
    <w:name w:val="List 4"/>
    <w:basedOn w:val="Normal"/>
    <w:uiPriority w:val="98"/>
    <w:semiHidden/>
    <w:rsid w:val="008164FE"/>
    <w:pPr>
      <w:ind w:left="1132" w:hanging="283"/>
      <w:contextualSpacing/>
    </w:pPr>
  </w:style>
  <w:style w:type="paragraph" w:styleId="List5">
    <w:name w:val="List 5"/>
    <w:basedOn w:val="Normal"/>
    <w:uiPriority w:val="98"/>
    <w:semiHidden/>
    <w:rsid w:val="008164FE"/>
    <w:pPr>
      <w:ind w:left="1415" w:hanging="283"/>
      <w:contextualSpacing/>
    </w:pPr>
  </w:style>
  <w:style w:type="paragraph" w:styleId="ListBullet">
    <w:name w:val="List Bullet"/>
    <w:basedOn w:val="Normal"/>
    <w:uiPriority w:val="98"/>
    <w:semiHidden/>
    <w:rsid w:val="008164FE"/>
    <w:pPr>
      <w:numPr>
        <w:numId w:val="4"/>
      </w:numPr>
    </w:pPr>
  </w:style>
  <w:style w:type="paragraph" w:styleId="ListBullet2">
    <w:name w:val="List Bullet 2"/>
    <w:basedOn w:val="Normal"/>
    <w:uiPriority w:val="98"/>
    <w:semiHidden/>
    <w:rsid w:val="008164FE"/>
    <w:pPr>
      <w:numPr>
        <w:numId w:val="5"/>
      </w:numPr>
      <w:contextualSpacing/>
    </w:pPr>
  </w:style>
  <w:style w:type="paragraph" w:styleId="ListBullet3">
    <w:name w:val="List Bullet 3"/>
    <w:basedOn w:val="Normal"/>
    <w:uiPriority w:val="98"/>
    <w:semiHidden/>
    <w:rsid w:val="008164FE"/>
    <w:pPr>
      <w:numPr>
        <w:numId w:val="6"/>
      </w:numPr>
      <w:contextualSpacing/>
    </w:pPr>
  </w:style>
  <w:style w:type="paragraph" w:styleId="ListBullet4">
    <w:name w:val="List Bullet 4"/>
    <w:basedOn w:val="Normal"/>
    <w:uiPriority w:val="98"/>
    <w:semiHidden/>
    <w:rsid w:val="008164FE"/>
    <w:pPr>
      <w:numPr>
        <w:numId w:val="7"/>
      </w:numPr>
      <w:contextualSpacing/>
    </w:pPr>
  </w:style>
  <w:style w:type="paragraph" w:styleId="ListBullet5">
    <w:name w:val="List Bullet 5"/>
    <w:basedOn w:val="Normal"/>
    <w:uiPriority w:val="98"/>
    <w:semiHidden/>
    <w:rsid w:val="008164FE"/>
    <w:pPr>
      <w:numPr>
        <w:numId w:val="8"/>
      </w:numPr>
      <w:contextualSpacing/>
    </w:pPr>
  </w:style>
  <w:style w:type="paragraph" w:styleId="ListContinue">
    <w:name w:val="List Continue"/>
    <w:basedOn w:val="Normal"/>
    <w:uiPriority w:val="98"/>
    <w:semiHidden/>
    <w:rsid w:val="008164FE"/>
    <w:pPr>
      <w:spacing w:after="120"/>
      <w:ind w:left="283"/>
      <w:contextualSpacing/>
    </w:pPr>
  </w:style>
  <w:style w:type="paragraph" w:styleId="ListContinue2">
    <w:name w:val="List Continue 2"/>
    <w:basedOn w:val="Normal"/>
    <w:uiPriority w:val="98"/>
    <w:semiHidden/>
    <w:rsid w:val="008164FE"/>
    <w:pPr>
      <w:spacing w:after="120"/>
      <w:ind w:left="566"/>
      <w:contextualSpacing/>
    </w:pPr>
  </w:style>
  <w:style w:type="paragraph" w:styleId="ListContinue3">
    <w:name w:val="List Continue 3"/>
    <w:basedOn w:val="Normal"/>
    <w:uiPriority w:val="98"/>
    <w:semiHidden/>
    <w:rsid w:val="008164FE"/>
    <w:pPr>
      <w:spacing w:after="120"/>
      <w:ind w:left="849"/>
      <w:contextualSpacing/>
    </w:pPr>
  </w:style>
  <w:style w:type="paragraph" w:styleId="ListContinue4">
    <w:name w:val="List Continue 4"/>
    <w:basedOn w:val="Normal"/>
    <w:uiPriority w:val="98"/>
    <w:semiHidden/>
    <w:rsid w:val="008164FE"/>
    <w:pPr>
      <w:spacing w:after="120"/>
      <w:ind w:left="1132"/>
      <w:contextualSpacing/>
    </w:pPr>
  </w:style>
  <w:style w:type="paragraph" w:styleId="ListContinue5">
    <w:name w:val="List Continue 5"/>
    <w:basedOn w:val="Normal"/>
    <w:uiPriority w:val="98"/>
    <w:semiHidden/>
    <w:rsid w:val="008164FE"/>
    <w:pPr>
      <w:spacing w:after="120"/>
      <w:ind w:left="1415"/>
      <w:contextualSpacing/>
    </w:pPr>
  </w:style>
  <w:style w:type="paragraph" w:styleId="ListNumber">
    <w:name w:val="List Number"/>
    <w:basedOn w:val="Normal"/>
    <w:uiPriority w:val="98"/>
    <w:semiHidden/>
    <w:rsid w:val="008164FE"/>
    <w:pPr>
      <w:numPr>
        <w:numId w:val="9"/>
      </w:numPr>
      <w:contextualSpacing/>
    </w:pPr>
  </w:style>
  <w:style w:type="paragraph" w:styleId="ListNumber2">
    <w:name w:val="List Number 2"/>
    <w:basedOn w:val="Normal"/>
    <w:uiPriority w:val="98"/>
    <w:semiHidden/>
    <w:rsid w:val="008164FE"/>
    <w:pPr>
      <w:numPr>
        <w:numId w:val="10"/>
      </w:numPr>
      <w:contextualSpacing/>
    </w:pPr>
  </w:style>
  <w:style w:type="paragraph" w:styleId="ListNumber3">
    <w:name w:val="List Number 3"/>
    <w:basedOn w:val="Normal"/>
    <w:uiPriority w:val="98"/>
    <w:semiHidden/>
    <w:rsid w:val="008164FE"/>
    <w:pPr>
      <w:numPr>
        <w:numId w:val="11"/>
      </w:numPr>
      <w:contextualSpacing/>
    </w:pPr>
  </w:style>
  <w:style w:type="paragraph" w:styleId="ListNumber4">
    <w:name w:val="List Number 4"/>
    <w:basedOn w:val="Normal"/>
    <w:uiPriority w:val="98"/>
    <w:semiHidden/>
    <w:rsid w:val="008164FE"/>
    <w:pPr>
      <w:numPr>
        <w:numId w:val="12"/>
      </w:numPr>
      <w:contextualSpacing/>
    </w:pPr>
  </w:style>
  <w:style w:type="paragraph" w:styleId="ListNumber5">
    <w:name w:val="List Number 5"/>
    <w:basedOn w:val="Normal"/>
    <w:uiPriority w:val="98"/>
    <w:semiHidden/>
    <w:rsid w:val="008164FE"/>
    <w:pPr>
      <w:numPr>
        <w:numId w:val="13"/>
      </w:numPr>
      <w:contextualSpacing/>
    </w:pPr>
  </w:style>
  <w:style w:type="paragraph" w:styleId="Macro">
    <w:name w:val="macro"/>
    <w:link w:val="MacroTextChar"/>
    <w:uiPriority w:val="98"/>
    <w:semiHidden/>
    <w:rsid w:val="008164F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164FE"/>
    <w:rPr>
      <w:rFonts w:ascii="Consolas" w:hAnsi="Consolas" w:eastAsiaTheme="minorEastAsia" w:cs="Consolas"/>
      <w:sz w:val="20"/>
      <w:szCs w:val="20"/>
    </w:rPr>
  </w:style>
  <w:style w:type="table" w:styleId="MediumGrid1">
    <w:name w:val="Medium Grid 1"/>
    <w:basedOn w:val="TableNormal"/>
    <w:uiPriority w:val="67"/>
    <w:semiHidden/>
    <w:rsid w:val="008164F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164F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164F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164F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164F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164F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164F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64F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164F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164F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164F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164F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164F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164F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164F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164F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164F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164F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164F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164F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164F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64F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64F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64F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64F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64F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64F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64F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64F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64F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64F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64F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64F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64F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64F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64F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164F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164F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164FE"/>
    <w:rPr>
      <w:rFonts w:ascii="Times New Roman" w:hAnsi="Times New Roman" w:cs="Times New Roman"/>
    </w:rPr>
  </w:style>
  <w:style w:type="paragraph" w:styleId="NormalIndent">
    <w:name w:val="Normal Indent"/>
    <w:basedOn w:val="Normal"/>
    <w:uiPriority w:val="98"/>
    <w:semiHidden/>
    <w:rsid w:val="008164FE"/>
    <w:pPr>
      <w:ind w:left="720"/>
    </w:pPr>
  </w:style>
  <w:style w:type="table" w:customStyle="1" w:styleId="ECHRTableNoLines">
    <w:name w:val="ECHR_Table_No_Lines"/>
    <w:basedOn w:val="TableNormal"/>
    <w:uiPriority w:val="99"/>
    <w:rsid w:val="008164F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8164F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8164F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164FE"/>
    <w:rPr>
      <w:rFonts w:ascii="Consolas" w:hAnsi="Consolas" w:cs="Consolas"/>
      <w:sz w:val="21"/>
      <w:szCs w:val="21"/>
    </w:rPr>
  </w:style>
  <w:style w:type="character" w:customStyle="1" w:styleId="PlainTextChar">
    <w:name w:val="Plain Text Char"/>
    <w:basedOn w:val="DefaultParagraphFont"/>
    <w:link w:val="PlainText"/>
    <w:uiPriority w:val="98"/>
    <w:semiHidden/>
    <w:rsid w:val="008164FE"/>
    <w:rPr>
      <w:rFonts w:ascii="Consolas" w:hAnsi="Consolas" w:cs="Consolas"/>
      <w:sz w:val="21"/>
      <w:szCs w:val="21"/>
      <w:lang w:val="en-GB"/>
    </w:rPr>
  </w:style>
  <w:style w:type="paragraph" w:styleId="Salutation">
    <w:name w:val="Salutation"/>
    <w:basedOn w:val="Normal"/>
    <w:next w:val="Normal"/>
    <w:link w:val="SalutationChar"/>
    <w:uiPriority w:val="98"/>
    <w:semiHidden/>
    <w:rsid w:val="008164FE"/>
  </w:style>
  <w:style w:type="character" w:customStyle="1" w:styleId="SalutationChar">
    <w:name w:val="Salutation Char"/>
    <w:basedOn w:val="DefaultParagraphFont"/>
    <w:link w:val="Salutation"/>
    <w:uiPriority w:val="98"/>
    <w:semiHidden/>
    <w:rsid w:val="008164FE"/>
    <w:rPr>
      <w:sz w:val="24"/>
      <w:szCs w:val="24"/>
      <w:lang w:val="en-GB"/>
    </w:rPr>
  </w:style>
  <w:style w:type="paragraph" w:styleId="Signature0">
    <w:name w:val="Signature"/>
    <w:basedOn w:val="Normal"/>
    <w:link w:val="SignatureChar"/>
    <w:uiPriority w:val="98"/>
    <w:semiHidden/>
    <w:rsid w:val="008164FE"/>
    <w:pPr>
      <w:ind w:left="4252"/>
    </w:pPr>
  </w:style>
  <w:style w:type="character" w:customStyle="1" w:styleId="SignatureChar">
    <w:name w:val="Signature Char"/>
    <w:basedOn w:val="DefaultParagraphFont"/>
    <w:link w:val="Signature0"/>
    <w:uiPriority w:val="98"/>
    <w:semiHidden/>
    <w:rsid w:val="008164FE"/>
    <w:rPr>
      <w:sz w:val="24"/>
      <w:szCs w:val="24"/>
      <w:lang w:val="en-GB"/>
    </w:rPr>
  </w:style>
  <w:style w:type="table" w:styleId="Table3Deffects1">
    <w:name w:val="Table 3D effects 1"/>
    <w:basedOn w:val="TableNormal"/>
    <w:uiPriority w:val="99"/>
    <w:semiHidden/>
    <w:unhideWhenUsed/>
    <w:rsid w:val="008164F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64F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64F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64F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64F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64F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64F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64F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64F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64F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64F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64F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64F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64F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64F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64F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64F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8164F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8164F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64F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64F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64F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64F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64F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64F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64F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64F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64F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64F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64F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64F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64F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64F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64F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164FE"/>
    <w:pPr>
      <w:ind w:left="240" w:hanging="240"/>
    </w:pPr>
  </w:style>
  <w:style w:type="paragraph" w:styleId="TableofFigures">
    <w:name w:val="table of figures"/>
    <w:basedOn w:val="Normal"/>
    <w:next w:val="Normal"/>
    <w:uiPriority w:val="98"/>
    <w:semiHidden/>
    <w:rsid w:val="008164FE"/>
  </w:style>
  <w:style w:type="table" w:styleId="TableProfessional">
    <w:name w:val="Table Professional"/>
    <w:basedOn w:val="TableNormal"/>
    <w:uiPriority w:val="99"/>
    <w:semiHidden/>
    <w:unhideWhenUsed/>
    <w:rsid w:val="008164F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64F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64F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64F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64F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64F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64F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64F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64F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64F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8164F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8164F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164F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164F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164F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164FE"/>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8164F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164F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164FE"/>
    <w:pPr>
      <w:spacing w:after="100"/>
      <w:ind w:left="1680"/>
    </w:pPr>
  </w:style>
  <w:style w:type="paragraph" w:styleId="TOC9">
    <w:name w:val="toc 9"/>
    <w:basedOn w:val="Normal"/>
    <w:next w:val="Normal"/>
    <w:autoRedefine/>
    <w:uiPriority w:val="98"/>
    <w:semiHidden/>
    <w:rsid w:val="008164FE"/>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8164FE"/>
    <w:pPr>
      <w:tabs>
        <w:tab w:val="center" w:pos="3686"/>
        <w:tab w:val="right" w:pos="7371"/>
      </w:tabs>
    </w:pPr>
  </w:style>
  <w:style w:type="character" w:customStyle="1" w:styleId="FooterChar">
    <w:name w:val="Footer Char"/>
    <w:basedOn w:val="DefaultParagraphFont"/>
    <w:link w:val="Footer1"/>
    <w:uiPriority w:val="98"/>
    <w:semiHidden/>
    <w:rsid w:val="008164FE"/>
    <w:rPr>
      <w:sz w:val="24"/>
      <w:szCs w:val="24"/>
      <w:lang w:val="en-GB"/>
    </w:rPr>
  </w:style>
  <w:style w:type="paragraph" w:customStyle="1" w:styleId="ECHRFooterLine">
    <w:name w:val="ECHR_Footer_Line"/>
    <w:aliases w:val="_Footer_Line"/>
    <w:basedOn w:val="Normal"/>
    <w:next w:val="Normal"/>
    <w:uiPriority w:val="30"/>
    <w:semiHidden/>
    <w:rsid w:val="008164FE"/>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8164F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8164FE"/>
    <w:pPr>
      <w:ind w:firstLine="284"/>
    </w:pPr>
    <w:rPr>
      <w:b/>
    </w:rPr>
  </w:style>
  <w:style w:type="paragraph" w:styleId="NoteHeading">
    <w:name w:val="Note Heading"/>
    <w:basedOn w:val="Normal"/>
    <w:next w:val="Normal"/>
    <w:link w:val="NoteHeadingChar"/>
    <w:uiPriority w:val="98"/>
    <w:semiHidden/>
    <w:rsid w:val="008164FE"/>
  </w:style>
  <w:style w:type="character" w:customStyle="1" w:styleId="NoteHeadingChar">
    <w:name w:val="Note Heading Char"/>
    <w:basedOn w:val="DefaultParagraphFont"/>
    <w:link w:val="NoteHeading"/>
    <w:uiPriority w:val="98"/>
    <w:semiHidden/>
    <w:rsid w:val="008164FE"/>
    <w:rPr>
      <w:sz w:val="24"/>
      <w:szCs w:val="24"/>
      <w:lang w:val="en-GB"/>
    </w:rPr>
  </w:style>
  <w:style w:type="paragraph" w:customStyle="1" w:styleId="ECHRHeaderLandscape">
    <w:name w:val="ECHR_Header_Landscape"/>
    <w:aliases w:val="_Header_Landscape"/>
    <w:basedOn w:val="JuHeader"/>
    <w:uiPriority w:val="29"/>
    <w:semiHidden/>
    <w:rsid w:val="008164F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164FE"/>
    <w:pPr>
      <w:numPr>
        <w:numId w:val="17"/>
      </w:numPr>
      <w:spacing w:before="60" w:after="60"/>
    </w:pPr>
  </w:style>
  <w:style w:type="paragraph" w:customStyle="1" w:styleId="ECHRBullet2">
    <w:name w:val="ECHR_Bullet_2"/>
    <w:aliases w:val="_Bul_2"/>
    <w:basedOn w:val="ECHRBullet1"/>
    <w:uiPriority w:val="23"/>
    <w:semiHidden/>
    <w:rsid w:val="008164FE"/>
    <w:pPr>
      <w:numPr>
        <w:ilvl w:val="1"/>
      </w:numPr>
    </w:pPr>
  </w:style>
  <w:style w:type="paragraph" w:customStyle="1" w:styleId="ECHRBullet3">
    <w:name w:val="ECHR_Bullet_3"/>
    <w:aliases w:val="_Bul_3"/>
    <w:basedOn w:val="ECHRBullet2"/>
    <w:uiPriority w:val="23"/>
    <w:semiHidden/>
    <w:rsid w:val="008164FE"/>
    <w:pPr>
      <w:numPr>
        <w:ilvl w:val="2"/>
      </w:numPr>
    </w:pPr>
  </w:style>
  <w:style w:type="paragraph" w:customStyle="1" w:styleId="ECHRBullet4">
    <w:name w:val="ECHR_Bullet_4"/>
    <w:aliases w:val="_Bul_4"/>
    <w:basedOn w:val="ECHRBullet3"/>
    <w:uiPriority w:val="23"/>
    <w:semiHidden/>
    <w:rsid w:val="008164FE"/>
    <w:pPr>
      <w:numPr>
        <w:ilvl w:val="3"/>
      </w:numPr>
    </w:pPr>
  </w:style>
  <w:style w:type="paragraph" w:customStyle="1" w:styleId="ECHRConfidential">
    <w:name w:val="ECHR_Confidential"/>
    <w:aliases w:val="_Confidential"/>
    <w:basedOn w:val="Normal"/>
    <w:next w:val="Normal"/>
    <w:uiPriority w:val="42"/>
    <w:semiHidden/>
    <w:qFormat/>
    <w:rsid w:val="008164FE"/>
    <w:pPr>
      <w:jc w:val="right"/>
    </w:pPr>
    <w:rPr>
      <w:color w:val="C00000"/>
      <w:sz w:val="20"/>
    </w:rPr>
  </w:style>
  <w:style w:type="paragraph" w:customStyle="1" w:styleId="ECHRDecisionBody">
    <w:name w:val="ECHR_Decision_Body"/>
    <w:aliases w:val="_Decision_Body"/>
    <w:basedOn w:val="NormalJustified"/>
    <w:uiPriority w:val="54"/>
    <w:semiHidden/>
    <w:rsid w:val="008164F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164F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164F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164F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164FE"/>
    <w:pPr>
      <w:jc w:val="right"/>
    </w:pPr>
    <w:rPr>
      <w:sz w:val="20"/>
    </w:rPr>
  </w:style>
  <w:style w:type="paragraph" w:customStyle="1" w:styleId="ECHRHeaderRefIt">
    <w:name w:val="ECHR_Header_Ref_It"/>
    <w:aliases w:val="_Ref_Ital"/>
    <w:basedOn w:val="Normal"/>
    <w:next w:val="ECHRHeaderDate"/>
    <w:uiPriority w:val="43"/>
    <w:semiHidden/>
    <w:qFormat/>
    <w:rsid w:val="008164FE"/>
    <w:pPr>
      <w:jc w:val="right"/>
    </w:pPr>
    <w:rPr>
      <w:i/>
      <w:sz w:val="20"/>
    </w:rPr>
  </w:style>
  <w:style w:type="paragraph" w:customStyle="1" w:styleId="ECHRHeading9">
    <w:name w:val="ECHR_Heading_9"/>
    <w:aliases w:val="_Head_9"/>
    <w:basedOn w:val="Heading9"/>
    <w:uiPriority w:val="17"/>
    <w:semiHidden/>
    <w:rsid w:val="008164FE"/>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164F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164FE"/>
    <w:pPr>
      <w:numPr>
        <w:numId w:val="18"/>
      </w:numPr>
      <w:spacing w:before="60" w:after="60"/>
    </w:pPr>
  </w:style>
  <w:style w:type="paragraph" w:customStyle="1" w:styleId="ECHRNumberedList2">
    <w:name w:val="ECHR_Numbered_List_2"/>
    <w:aliases w:val="_Num_2"/>
    <w:basedOn w:val="ECHRNumberedList1"/>
    <w:uiPriority w:val="23"/>
    <w:semiHidden/>
    <w:rsid w:val="008164FE"/>
    <w:pPr>
      <w:numPr>
        <w:ilvl w:val="1"/>
      </w:numPr>
    </w:pPr>
  </w:style>
  <w:style w:type="paragraph" w:customStyle="1" w:styleId="ECHRNumberedList3">
    <w:name w:val="ECHR_Numbered_List_3"/>
    <w:aliases w:val="_Num_3"/>
    <w:basedOn w:val="ECHRNumberedList2"/>
    <w:uiPriority w:val="23"/>
    <w:semiHidden/>
    <w:rsid w:val="008164FE"/>
    <w:pPr>
      <w:numPr>
        <w:ilvl w:val="2"/>
      </w:numPr>
    </w:pPr>
  </w:style>
  <w:style w:type="paragraph" w:customStyle="1" w:styleId="ECHRParaHanging">
    <w:name w:val="ECHR_Para_Hanging"/>
    <w:aliases w:val="_Hanging"/>
    <w:basedOn w:val="NormalJustified"/>
    <w:uiPriority w:val="8"/>
    <w:semiHidden/>
    <w:qFormat/>
    <w:rsid w:val="008164FE"/>
    <w:pPr>
      <w:ind w:left="567" w:hanging="567"/>
    </w:pPr>
  </w:style>
  <w:style w:type="paragraph" w:customStyle="1" w:styleId="ECHRParaIndent">
    <w:name w:val="ECHR_Para_Indent"/>
    <w:aliases w:val="_Indent"/>
    <w:basedOn w:val="NormalJustified"/>
    <w:uiPriority w:val="7"/>
    <w:semiHidden/>
    <w:qFormat/>
    <w:rsid w:val="008164FE"/>
    <w:pPr>
      <w:spacing w:before="120" w:after="120"/>
      <w:ind w:left="284"/>
    </w:pPr>
  </w:style>
  <w:style w:type="character" w:customStyle="1" w:styleId="ECHRRed">
    <w:name w:val="ECHR_Red"/>
    <w:aliases w:val="_Red"/>
    <w:basedOn w:val="DefaultParagraphFont"/>
    <w:uiPriority w:val="15"/>
    <w:semiHidden/>
    <w:qFormat/>
    <w:rsid w:val="008164FE"/>
    <w:rPr>
      <w:color w:val="C00000" w:themeColor="accent2"/>
    </w:rPr>
  </w:style>
  <w:style w:type="paragraph" w:customStyle="1" w:styleId="DecList">
    <w:name w:val="Dec_List"/>
    <w:aliases w:val="_List"/>
    <w:basedOn w:val="JuList"/>
    <w:uiPriority w:val="22"/>
    <w:rsid w:val="008164FE"/>
    <w:pPr>
      <w:numPr>
        <w:numId w:val="0"/>
      </w:numPr>
      <w:ind w:left="284"/>
    </w:pPr>
  </w:style>
  <w:style w:type="table" w:customStyle="1" w:styleId="ECHRTable">
    <w:name w:val="ECHR_Table"/>
    <w:basedOn w:val="TableNormal"/>
    <w:rsid w:val="008164F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8164F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164F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164F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164F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164F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164F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164F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164F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164FE"/>
    <w:pPr>
      <w:outlineLvl w:val="0"/>
    </w:pPr>
  </w:style>
  <w:style w:type="paragraph" w:customStyle="1" w:styleId="ECHRTitleTOC1">
    <w:name w:val="ECHR_Title_TOC_1"/>
    <w:aliases w:val="_Title_L_TOC"/>
    <w:basedOn w:val="ECHRTitle1"/>
    <w:next w:val="Normal"/>
    <w:uiPriority w:val="27"/>
    <w:semiHidden/>
    <w:qFormat/>
    <w:rsid w:val="008164FE"/>
    <w:pPr>
      <w:outlineLvl w:val="0"/>
    </w:pPr>
  </w:style>
  <w:style w:type="table" w:customStyle="1" w:styleId="LtrTableAddress">
    <w:name w:val="Ltr_Table_Address"/>
    <w:aliases w:val="ECHR_Ltr_Table_Address"/>
    <w:basedOn w:val="TableNormal"/>
    <w:uiPriority w:val="99"/>
    <w:rsid w:val="008164FE"/>
    <w:rPr>
      <w:sz w:val="24"/>
      <w:szCs w:val="24"/>
    </w:rPr>
    <w:tblPr>
      <w:tblInd w:w="5103" w:type="dxa"/>
    </w:tblPr>
  </w:style>
  <w:style w:type="table" w:customStyle="1" w:styleId="PCFTableStyle">
    <w:name w:val="PCF_Table_Style"/>
    <w:aliases w:val="ECHR_PCF_Table_Style"/>
    <w:basedOn w:val="TableNormal"/>
    <w:uiPriority w:val="99"/>
    <w:rsid w:val="008164F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8164F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164F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8164FE"/>
    <w:rPr>
      <w:color w:val="FFFFFF"/>
    </w:rPr>
  </w:style>
  <w:style w:type="paragraph" w:customStyle="1" w:styleId="ECHRSpacer">
    <w:name w:val="ECHR_Spacer"/>
    <w:aliases w:val="_Spacer"/>
    <w:basedOn w:val="Normal"/>
    <w:uiPriority w:val="45"/>
    <w:semiHidden/>
    <w:rsid w:val="008164FE"/>
    <w:rPr>
      <w:sz w:val="4"/>
    </w:rPr>
  </w:style>
  <w:style w:type="table" w:customStyle="1" w:styleId="ECHRTableGrey">
    <w:name w:val="ECHR_Table_Grey"/>
    <w:basedOn w:val="TableNormal"/>
    <w:uiPriority w:val="99"/>
    <w:rsid w:val="008164F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8164F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8164FE"/>
    <w:rPr>
      <w:color w:val="605E5C"/>
      <w:shd w:val="clear" w:color="auto" w:fill="E1DFDD"/>
    </w:rPr>
  </w:style>
  <w:style w:type="character" w:customStyle="1" w:styleId="JuParaChar">
    <w:name w:val="Ju_Para Char"/>
    <w:aliases w:val="_Para Char"/>
    <w:link w:val="JuPara"/>
    <w:uiPriority w:val="4"/>
    <w:rsid w:val="004D1477"/>
    <w:rPr>
      <w:sz w:val="24"/>
      <w:szCs w:val="24"/>
      <w:lang w:val="en-GB"/>
    </w:rPr>
  </w:style>
  <w:style w:type="table" w:styleId="GridTable1Light">
    <w:name w:val="Grid Table 1 Light"/>
    <w:basedOn w:val="TableNormal"/>
    <w:uiPriority w:val="46"/>
    <w:semiHidden/>
    <w:rsid w:val="008164F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164F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164F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164F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164F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164F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164F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164F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164F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164F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164F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164F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164F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164F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164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164F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164F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164F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164F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164F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164F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164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164F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164F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164F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164F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164F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164F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164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164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164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164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164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164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164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164F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164F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164F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164F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164F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164F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164F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164F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164F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164F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164F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164F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164F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164F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164FE"/>
    <w:rPr>
      <w:color w:val="2B579A"/>
      <w:shd w:val="clear" w:color="auto" w:fill="E1DFDD"/>
    </w:rPr>
  </w:style>
  <w:style w:type="table" w:styleId="ListTable1Light">
    <w:name w:val="List Table 1 Light"/>
    <w:basedOn w:val="TableNormal"/>
    <w:uiPriority w:val="46"/>
    <w:semiHidden/>
    <w:rsid w:val="008164F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164F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164F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164F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164F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164F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164F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164F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164F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164F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164F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164F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164F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164F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164F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164F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164F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164F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164F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164F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164F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164F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164F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164F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164F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164F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164F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164F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164F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164F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164F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164F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164F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164F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164F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164F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164F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164F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164F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164F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164F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164F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164F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164F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164F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164F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164F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164F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164F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164FE"/>
    <w:rPr>
      <w:color w:val="2B579A"/>
      <w:shd w:val="clear" w:color="auto" w:fill="E1DFDD"/>
    </w:rPr>
  </w:style>
  <w:style w:type="table" w:styleId="PlainTable1">
    <w:name w:val="Plain Table 1"/>
    <w:basedOn w:val="TableNormal"/>
    <w:uiPriority w:val="41"/>
    <w:semiHidden/>
    <w:rsid w:val="008164F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164F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164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164F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164F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164FE"/>
    <w:rPr>
      <w:u w:val="dotted"/>
    </w:rPr>
  </w:style>
  <w:style w:type="character" w:styleId="SmartLink">
    <w:name w:val="Smart Link"/>
    <w:basedOn w:val="DefaultParagraphFont"/>
    <w:uiPriority w:val="99"/>
    <w:semiHidden/>
    <w:unhideWhenUsed/>
    <w:rsid w:val="008164FE"/>
    <w:rPr>
      <w:color w:val="0000FF"/>
      <w:u w:val="single"/>
      <w:shd w:val="clear" w:color="auto" w:fill="F3F2F1"/>
    </w:rPr>
  </w:style>
  <w:style w:type="table" w:styleId="GridTableLight">
    <w:name w:val="Grid Table Light"/>
    <w:basedOn w:val="TableNormal"/>
    <w:uiPriority w:val="40"/>
    <w:semiHidden/>
    <w:rsid w:val="008164F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2125</Words>
  <Characters>12277</Characters>
  <Application>Microsoft Office Word</Application>
  <DocSecurity>0</DocSecurity>
  <Lines>231</Lines>
  <Paragraphs>59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2024-10-23T08:14:00Z</dcterms:created>
  <dcterms:modified xsi:type="dcterms:W3CDTF">2024-10-23T08:17:00Z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982523</vt:lpwstr>
  </property>
  <property fmtid="{D5CDD505-2E9C-101B-9397-08002B2CF9AE}" pid="3" name="cstLanguage">
    <vt:i4>2057</vt:i4>
  </property>
  <property fmtid="{D5CDD505-2E9C-101B-9397-08002B2CF9AE}" pid="4" name="RegisteredNo">
    <vt:lpwstr>20786/14</vt:lpwstr>
  </property>
</Properties>
</file>