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BE6DFD" w:rsidR="00E61329" w:rsidP="00BE6DFD" w14:paraId="069D1753" w14:textId="6D0B5832">
      <w:pPr>
        <w:jc w:val="center"/>
      </w:pPr>
    </w:p>
    <w:p w:rsidRPr="00BE6DFD" w:rsidR="00E61329" w:rsidP="00BE6DFD" w14:paraId="53947F87" w14:textId="727B81A7">
      <w:pPr>
        <w:jc w:val="center"/>
        <w:rPr>
          <w:sz w:val="4"/>
          <w:szCs w:val="4"/>
        </w:rPr>
      </w:pPr>
    </w:p>
    <w:p w:rsidRPr="00BE6DFD" w:rsidR="00E61329" w:rsidP="00BE6DFD" w14:paraId="02ED369D" w14:textId="6A5A5350">
      <w:pPr>
        <w:pStyle w:val="DecHTitle"/>
      </w:pPr>
      <w:r w:rsidRPr="00BE6DFD">
        <w:t>FOURTH SECTION</w:t>
      </w:r>
    </w:p>
    <w:p w:rsidRPr="00BE6DFD" w:rsidR="00E61329" w:rsidP="00BE6DFD" w14:paraId="6154CCF8" w14:textId="77777777">
      <w:pPr>
        <w:pStyle w:val="DecHTitle"/>
      </w:pPr>
      <w:r w:rsidRPr="00BE6DFD">
        <w:t>DECISION</w:t>
      </w:r>
    </w:p>
    <w:p w:rsidRPr="00BE6DFD" w:rsidR="00E61329" w:rsidP="00BE6DFD" w14:paraId="0D483F2F" w14:textId="304C683B">
      <w:pPr>
        <w:pStyle w:val="DecHCase"/>
        <w:rPr>
          <w:i/>
        </w:rPr>
      </w:pPr>
      <w:r w:rsidRPr="00BE6DFD">
        <w:rPr>
          <w:noProof/>
        </w:rPr>
        <w:t>Application no.</w:t>
      </w:r>
      <w:r w:rsidRPr="00BE6DFD" w:rsidR="006267D3">
        <w:t xml:space="preserve"> </w:t>
      </w:r>
      <w:r w:rsidRPr="00BE6DFD">
        <w:t>4976/23</w:t>
      </w:r>
      <w:r w:rsidRPr="00BE6DFD" w:rsidR="006267D3">
        <w:br/>
      </w:r>
      <w:r w:rsidRPr="00BE6DFD">
        <w:rPr>
          <w:noProof/>
        </w:rPr>
        <w:t>Rogério Paulo DE JESUS LOURENÇO JÓIA</w:t>
      </w:r>
      <w:r w:rsidRPr="00BE6DFD">
        <w:rPr>
          <w:noProof/>
        </w:rPr>
        <w:br/>
      </w:r>
      <w:r w:rsidRPr="00BE6DFD" w:rsidR="006267D3">
        <w:t xml:space="preserve">against </w:t>
      </w:r>
      <w:r w:rsidRPr="00BE6DFD">
        <w:t>Portugal</w:t>
      </w:r>
    </w:p>
    <w:p w:rsidRPr="00BE6DFD" w:rsidR="00E61329" w:rsidP="00BE6DFD" w14:paraId="27ACA692" w14:textId="02567BBD">
      <w:pPr>
        <w:rPr>
          <w:sz w:val="2"/>
          <w:szCs w:val="2"/>
        </w:rPr>
      </w:pPr>
    </w:p>
    <w:p w:rsidRPr="00BE6DFD" w:rsidR="00E61329" w:rsidP="00BE6DFD" w14:paraId="5AB36D75" w14:textId="3071556D">
      <w:pPr>
        <w:pStyle w:val="JuPara"/>
      </w:pPr>
      <w:r w:rsidRPr="00BE6DFD">
        <w:t xml:space="preserve">The European Court of Human Rights (Fourth Section), sitting on </w:t>
      </w:r>
      <w:r w:rsidRPr="00BE6DFD" w:rsidR="00F33935">
        <w:t>3</w:t>
      </w:r>
      <w:r w:rsidRPr="00BE6DFD" w:rsidR="000A0374">
        <w:t> </w:t>
      </w:r>
      <w:r w:rsidRPr="00BE6DFD" w:rsidR="00F33935">
        <w:t>September 2024</w:t>
      </w:r>
      <w:r w:rsidRPr="00BE6DFD">
        <w:t xml:space="preserve"> as a Committee composed of:</w:t>
      </w:r>
    </w:p>
    <w:p w:rsidRPr="00BE6DFD" w:rsidR="00E61329" w:rsidP="00BE6DFD" w14:paraId="307AF6B3" w14:textId="08E1C75B">
      <w:pPr>
        <w:pStyle w:val="JuJudges"/>
        <w:rPr>
          <w:iCs/>
        </w:rPr>
      </w:pPr>
      <w:r w:rsidRPr="00BE6DFD">
        <w:tab/>
        <w:t>Tim Eicke</w:t>
      </w:r>
      <w:r w:rsidRPr="00BE6DFD">
        <w:rPr>
          <w:i/>
        </w:rPr>
        <w:t>, President</w:t>
      </w:r>
      <w:r w:rsidRPr="00BE6DFD">
        <w:t>,</w:t>
      </w:r>
      <w:r w:rsidRPr="00BE6DFD">
        <w:br/>
      </w:r>
      <w:r w:rsidRPr="00BE6DFD">
        <w:tab/>
        <w:t>Armen Harutyunyan,</w:t>
      </w:r>
      <w:r w:rsidRPr="00BE6DFD">
        <w:br/>
      </w:r>
      <w:r w:rsidRPr="00BE6DFD">
        <w:tab/>
        <w:t>Ana Maria Guerra Martins</w:t>
      </w:r>
      <w:r w:rsidRPr="00BE6DFD">
        <w:rPr>
          <w:i/>
        </w:rPr>
        <w:t>, judges</w:t>
      </w:r>
      <w:r w:rsidRPr="00BE6DFD">
        <w:t>,</w:t>
      </w:r>
      <w:r w:rsidRPr="00BE6DFD">
        <w:br/>
        <w:t xml:space="preserve">and Simeon Petrovski, </w:t>
      </w:r>
      <w:r w:rsidRPr="00BE6DFD">
        <w:rPr>
          <w:i/>
        </w:rPr>
        <w:t>Deputy</w:t>
      </w:r>
      <w:r w:rsidRPr="00BE6DFD">
        <w:t xml:space="preserve"> </w:t>
      </w:r>
      <w:r w:rsidRPr="00BE6DFD">
        <w:rPr>
          <w:i/>
          <w:iCs/>
        </w:rPr>
        <w:t>Section Registrar</w:t>
      </w:r>
      <w:r w:rsidRPr="00BE6DFD">
        <w:rPr>
          <w:i/>
        </w:rPr>
        <w:t>,</w:t>
      </w:r>
    </w:p>
    <w:p w:rsidRPr="00BE6DFD" w:rsidR="00E61329" w:rsidP="00BE6DFD" w14:paraId="7856F8A8" w14:textId="77777777">
      <w:pPr>
        <w:pStyle w:val="JuPara"/>
      </w:pPr>
      <w:r w:rsidRPr="00BE6DFD">
        <w:t>Having regard to:</w:t>
      </w:r>
    </w:p>
    <w:p w:rsidRPr="00BE6DFD" w:rsidR="00E61329" w:rsidP="00BE6DFD" w14:paraId="3B8E37BF" w14:textId="77777777">
      <w:pPr>
        <w:pStyle w:val="JuPara"/>
      </w:pPr>
      <w:r w:rsidRPr="00BE6DFD">
        <w:t xml:space="preserve">the application (no. 4976/23) against the Portuguese Republic lodged with the Court under Article 34 of the Convention for the Protection of Human Rights and Fundamental Freedoms (“the Convention”) on 23 January 2023 by a Portuguese national, Mr </w:t>
      </w:r>
      <w:r w:rsidRPr="00BE6DFD">
        <w:t>Rogério</w:t>
      </w:r>
      <w:r w:rsidRPr="00BE6DFD">
        <w:t xml:space="preserve"> Paulo de Jesus Lourenço </w:t>
      </w:r>
      <w:r w:rsidRPr="00BE6DFD">
        <w:t>Jóia</w:t>
      </w:r>
      <w:r w:rsidRPr="00BE6DFD">
        <w:t xml:space="preserve">, who was born in 1966, lives in </w:t>
      </w:r>
      <w:r w:rsidRPr="00BE6DFD">
        <w:t>Póvoa</w:t>
      </w:r>
      <w:r w:rsidRPr="00BE6DFD">
        <w:t xml:space="preserve"> de Santa </w:t>
      </w:r>
      <w:r w:rsidRPr="00BE6DFD">
        <w:t>Iria</w:t>
      </w:r>
      <w:r w:rsidRPr="00BE6DFD">
        <w:t xml:space="preserve"> (“the applicant”) and was represented by Ms V. Costa Ramos and Ms M. </w:t>
      </w:r>
      <w:r w:rsidRPr="00BE6DFD">
        <w:t>Bulhosa</w:t>
      </w:r>
      <w:r w:rsidRPr="00BE6DFD">
        <w:t>, lawyers practising in Lisbon;</w:t>
      </w:r>
    </w:p>
    <w:p w:rsidRPr="00BE6DFD" w:rsidR="00E61329" w:rsidP="00BE6DFD" w14:paraId="59FD77D2" w14:textId="77777777">
      <w:pPr>
        <w:pStyle w:val="JuPara"/>
      </w:pPr>
      <w:r w:rsidRPr="00BE6DFD">
        <w:t>Having deliberated, decides as follows:</w:t>
      </w:r>
    </w:p>
    <w:p w:rsidRPr="00BE6DFD" w:rsidR="00E61329" w:rsidP="00BE6DFD" w14:paraId="6BEAA088" w14:textId="696C3CA4">
      <w:pPr>
        <w:pStyle w:val="JuHHead"/>
        <w:numPr>
          <w:ilvl w:val="0"/>
          <w:numId w:val="0"/>
        </w:numPr>
      </w:pPr>
      <w:r w:rsidRPr="00BE6DFD">
        <w:t>SUBJECT MATTER OF THE CASE</w:t>
      </w:r>
    </w:p>
    <w:p w:rsidRPr="00BE6DFD" w:rsidR="00E61329" w:rsidP="00BE6DFD" w14:paraId="231D7B2B" w14:textId="19587E05">
      <w:pPr>
        <w:pStyle w:val="JuPara"/>
      </w:pPr>
      <w:r w:rsidRPr="00BE6DFD">
        <w:fldChar w:fldCharType="begin"/>
      </w:r>
      <w:r w:rsidRPr="00BE6DFD">
        <w:instrText xml:space="preserve"> SEQ level0 \*arabic \* MERGEFORMAT </w:instrText>
      </w:r>
      <w:r w:rsidRPr="00BE6DFD">
        <w:fldChar w:fldCharType="separate"/>
      </w:r>
      <w:r w:rsidRPr="00BE6DFD">
        <w:rPr>
          <w:noProof/>
        </w:rPr>
        <w:t>1</w:t>
      </w:r>
      <w:r w:rsidRPr="00BE6DFD">
        <w:rPr>
          <w:noProof/>
        </w:rPr>
        <w:fldChar w:fldCharType="end"/>
      </w:r>
      <w:r w:rsidRPr="00BE6DFD">
        <w:t>.  The case concerns the refusal by the authorities to grant the applicant (a trainee at the Portuguese criminal investigation police office (</w:t>
      </w:r>
      <w:r w:rsidRPr="00BE6DFD">
        <w:rPr>
          <w:i/>
          <w:iCs/>
        </w:rPr>
        <w:t xml:space="preserve">Polícia </w:t>
      </w:r>
      <w:r w:rsidRPr="00BE6DFD">
        <w:rPr>
          <w:i/>
          <w:iCs/>
        </w:rPr>
        <w:t>Judiciária</w:t>
      </w:r>
      <w:r w:rsidRPr="00BE6DFD">
        <w:t>)) the status of military disabled person (</w:t>
      </w:r>
      <w:r w:rsidRPr="00BE6DFD">
        <w:rPr>
          <w:i/>
          <w:iCs/>
        </w:rPr>
        <w:t>estatuto</w:t>
      </w:r>
      <w:r w:rsidRPr="00BE6DFD">
        <w:rPr>
          <w:i/>
          <w:iCs/>
        </w:rPr>
        <w:t xml:space="preserve"> de </w:t>
      </w:r>
      <w:r w:rsidRPr="00BE6DFD">
        <w:rPr>
          <w:i/>
          <w:iCs/>
        </w:rPr>
        <w:t>deficiente</w:t>
      </w:r>
      <w:r w:rsidRPr="00BE6DFD">
        <w:rPr>
          <w:i/>
          <w:iCs/>
        </w:rPr>
        <w:t xml:space="preserve"> das </w:t>
      </w:r>
      <w:r w:rsidRPr="00BE6DFD">
        <w:rPr>
          <w:i/>
          <w:iCs/>
        </w:rPr>
        <w:t>forças</w:t>
      </w:r>
      <w:r w:rsidRPr="00BE6DFD">
        <w:rPr>
          <w:i/>
          <w:iCs/>
        </w:rPr>
        <w:t xml:space="preserve"> armadas</w:t>
      </w:r>
      <w:r w:rsidRPr="00BE6DFD">
        <w:t>). He relied on Article 14 of the Convention and on Article</w:t>
      </w:r>
      <w:r w:rsidRPr="00BE6DFD" w:rsidR="00F33935">
        <w:t> </w:t>
      </w:r>
      <w:r w:rsidRPr="00BE6DFD">
        <w:t>1 of Protocol No. 12 to the Convention.</w:t>
      </w:r>
    </w:p>
    <w:p w:rsidRPr="00BE6DFD" w:rsidR="00E61329" w:rsidP="00BE6DFD" w14:paraId="3D0ADA8B" w14:textId="1499BB8B">
      <w:pPr>
        <w:pStyle w:val="JuPara"/>
      </w:pPr>
      <w:r w:rsidRPr="00BE6DFD">
        <w:fldChar w:fldCharType="begin"/>
      </w:r>
      <w:r w:rsidRPr="00BE6DFD">
        <w:instrText xml:space="preserve"> SEQ level0 \*arabic \* MERGEFORMAT </w:instrText>
      </w:r>
      <w:r w:rsidRPr="00BE6DFD">
        <w:fldChar w:fldCharType="separate"/>
      </w:r>
      <w:r w:rsidRPr="00BE6DFD">
        <w:rPr>
          <w:noProof/>
        </w:rPr>
        <w:t>2</w:t>
      </w:r>
      <w:r w:rsidRPr="00BE6DFD">
        <w:rPr>
          <w:noProof/>
        </w:rPr>
        <w:fldChar w:fldCharType="end"/>
      </w:r>
      <w:r w:rsidRPr="00BE6DFD">
        <w:t xml:space="preserve">.  On 9 October 1998 the applicant intervened in order to settle a violent dispute between two people involved in a traffic incident. In this context, the applicant was punched and kicked in the head, </w:t>
      </w:r>
      <w:r w:rsidRPr="00BE6DFD">
        <w:t>spine</w:t>
      </w:r>
      <w:r w:rsidRPr="00BE6DFD">
        <w:t xml:space="preserve"> and perineal area, causing him serious bodily injuries leading to a permanent partial disability set at 23,5% in 2009 and at 37,8% in 2017.  The Portuguese criminal investigation police office qualified the incident as an accident while on duty.</w:t>
      </w:r>
    </w:p>
    <w:p w:rsidRPr="00BE6DFD" w:rsidR="00E61329" w:rsidP="00BE6DFD" w14:paraId="646EC9A1" w14:textId="6DD2F7AD">
      <w:pPr>
        <w:pStyle w:val="JuPara"/>
      </w:pPr>
      <w:r w:rsidRPr="00BE6DFD">
        <w:fldChar w:fldCharType="begin"/>
      </w:r>
      <w:r w:rsidRPr="00BE6DFD">
        <w:instrText xml:space="preserve"> SEQ level0 \*arabic \* MERGEFORMAT </w:instrText>
      </w:r>
      <w:r w:rsidRPr="00BE6DFD">
        <w:fldChar w:fldCharType="separate"/>
      </w:r>
      <w:bookmarkStart w:name="paragraph00006" w:id="0"/>
      <w:r w:rsidRPr="00BE6DFD">
        <w:rPr>
          <w:noProof/>
        </w:rPr>
        <w:t>3</w:t>
      </w:r>
      <w:bookmarkEnd w:id="0"/>
      <w:r w:rsidRPr="00BE6DFD">
        <w:rPr>
          <w:noProof/>
        </w:rPr>
        <w:fldChar w:fldCharType="end"/>
      </w:r>
      <w:r w:rsidRPr="00BE6DFD">
        <w:t>.  In July 2017 the applicant requested that the General Director of the Portuguese criminal investigation police grant him the status of a military disabled person in view of Decree no. 43/76 of 20 January 1976 that provided for certain social welfare benefits in case of reduced mental or physical capacity while carrying out military service or defending the national interests in dangerous circumstances. In particular, that Decree envisaged the recognition of that status if an accident occurred (a) during field service or in circumstances directly related to it or as a prisoner of war; (b) while maintaining the public order; (c) in humanitarian action; or (d) in the exercise of military duties of an aggravated risk. He also referred to Decree no. 275</w:t>
      </w:r>
      <w:r w:rsidRPr="00BE6DFD" w:rsidR="00D95010">
        <w:noBreakHyphen/>
      </w:r>
      <w:r w:rsidRPr="00BE6DFD">
        <w:t>A/2000 of 9 November 2000 according to which such a status could be, likewise, granted to criminal investigation police agents.</w:t>
      </w:r>
    </w:p>
    <w:p w:rsidRPr="00BE6DFD" w:rsidR="00E61329" w:rsidP="00BE6DFD" w14:paraId="093A1C1A" w14:textId="706E2E75">
      <w:pPr>
        <w:pStyle w:val="JuPara"/>
      </w:pPr>
      <w:r w:rsidRPr="00BE6DFD">
        <w:fldChar w:fldCharType="begin"/>
      </w:r>
      <w:r w:rsidRPr="00BE6DFD">
        <w:instrText xml:space="preserve"> SEQ level0 \*arabic \* MERGEFORMAT </w:instrText>
      </w:r>
      <w:r w:rsidRPr="00BE6DFD">
        <w:fldChar w:fldCharType="separate"/>
      </w:r>
      <w:bookmarkStart w:name="paragraph00004" w:id="1"/>
      <w:r w:rsidRPr="00BE6DFD">
        <w:rPr>
          <w:noProof/>
        </w:rPr>
        <w:t>4</w:t>
      </w:r>
      <w:bookmarkEnd w:id="1"/>
      <w:r w:rsidRPr="00BE6DFD">
        <w:rPr>
          <w:noProof/>
        </w:rPr>
        <w:fldChar w:fldCharType="end"/>
      </w:r>
      <w:r w:rsidRPr="00BE6DFD">
        <w:t xml:space="preserve">.  In the absence of any decision regarding his request, the applicant lodged an administrative action and a request for injunction with the Lisbon Administrative Court (see paragraph </w:t>
      </w:r>
      <w:r w:rsidRPr="00BE6DFD">
        <w:fldChar w:fldCharType="begin"/>
      </w:r>
      <w:r w:rsidRPr="00BE6DFD">
        <w:instrText xml:space="preserve"> REF paragraph00006 \h  \* CharFormat </w:instrText>
      </w:r>
      <w:r w:rsidRPr="00BE6DFD">
        <w:fldChar w:fldCharType="separate"/>
      </w:r>
      <w:r w:rsidRPr="00BE6DFD">
        <w:t>3</w:t>
      </w:r>
      <w:r w:rsidRPr="00BE6DFD">
        <w:fldChar w:fldCharType="end"/>
      </w:r>
      <w:r w:rsidRPr="00BE6DFD">
        <w:t xml:space="preserve"> above). He claimed that on one hand his partial disability could further deteriorate his health, while the status sough would allow him to benefit from a special retirement, on the other hand.</w:t>
      </w:r>
    </w:p>
    <w:p w:rsidRPr="00BE6DFD" w:rsidR="00E61329" w:rsidP="00BE6DFD" w14:paraId="1554D987" w14:textId="164CAEDC">
      <w:pPr>
        <w:pStyle w:val="JuPara"/>
      </w:pPr>
      <w:r w:rsidRPr="00BE6DFD">
        <w:fldChar w:fldCharType="begin"/>
      </w:r>
      <w:r w:rsidRPr="00BE6DFD">
        <w:instrText xml:space="preserve"> SEQ level0 \*arabic \* MERGEFORMAT </w:instrText>
      </w:r>
      <w:r w:rsidRPr="00BE6DFD">
        <w:fldChar w:fldCharType="separate"/>
      </w:r>
      <w:bookmarkStart w:name="paragraph00011" w:id="2"/>
      <w:r w:rsidRPr="00BE6DFD">
        <w:rPr>
          <w:noProof/>
        </w:rPr>
        <w:t>5</w:t>
      </w:r>
      <w:bookmarkEnd w:id="2"/>
      <w:r w:rsidRPr="00BE6DFD">
        <w:rPr>
          <w:noProof/>
        </w:rPr>
        <w:fldChar w:fldCharType="end"/>
      </w:r>
      <w:r w:rsidRPr="00BE6DFD">
        <w:t>.  With judgments of September 2019 the Lisbon Administrative Court dismissed the applicant</w:t>
      </w:r>
      <w:r w:rsidRPr="00BE6DFD">
        <w:t>’</w:t>
      </w:r>
      <w:r w:rsidRPr="00BE6DFD">
        <w:t xml:space="preserve">s claims holding that although he had been injured while performing his professional duties, the accident at issue did not involve an “aggravated risk” exceeding the general risk related to any police activity, as required by Decree no. 43/76 (see paragraph </w:t>
      </w:r>
      <w:r w:rsidRPr="00BE6DFD">
        <w:fldChar w:fldCharType="begin"/>
      </w:r>
      <w:r w:rsidRPr="00BE6DFD">
        <w:instrText xml:space="preserve"> REF paragraph00006 \h  \* CharFormat </w:instrText>
      </w:r>
      <w:r w:rsidRPr="00BE6DFD">
        <w:fldChar w:fldCharType="separate"/>
      </w:r>
      <w:r w:rsidRPr="00BE6DFD">
        <w:t>3</w:t>
      </w:r>
      <w:r w:rsidRPr="00BE6DFD">
        <w:fldChar w:fldCharType="end"/>
      </w:r>
      <w:r w:rsidRPr="00BE6DFD">
        <w:t xml:space="preserve"> above).</w:t>
      </w:r>
    </w:p>
    <w:p w:rsidRPr="00BE6DFD" w:rsidR="00E61329" w:rsidP="00BE6DFD" w14:paraId="7329DFD7" w14:textId="4CEDE54C">
      <w:pPr>
        <w:pStyle w:val="JuPara"/>
      </w:pPr>
      <w:r w:rsidRPr="00BE6DFD">
        <w:fldChar w:fldCharType="begin"/>
      </w:r>
      <w:r w:rsidRPr="00BE6DFD">
        <w:instrText xml:space="preserve"> SEQ level0 \*arabic \* MERGEFORMAT </w:instrText>
      </w:r>
      <w:r w:rsidRPr="00BE6DFD">
        <w:fldChar w:fldCharType="separate"/>
      </w:r>
      <w:bookmarkStart w:name="paragraph00012" w:id="3"/>
      <w:r w:rsidRPr="00BE6DFD">
        <w:rPr>
          <w:noProof/>
        </w:rPr>
        <w:t>6</w:t>
      </w:r>
      <w:bookmarkEnd w:id="3"/>
      <w:r w:rsidRPr="00BE6DFD">
        <w:rPr>
          <w:noProof/>
        </w:rPr>
        <w:fldChar w:fldCharType="end"/>
      </w:r>
      <w:r w:rsidRPr="00BE6DFD">
        <w:t>.  The applicant appealed against those judgments and challenged the interpretation provided by the Lisbon Administrative Court. In particular, he argued that the requirement of “aggravated risk” was not applicable in the present case. He also identified a colleague (V.P.) who had been recognised as a disabled person under the Decrees invoked, alleging that both had sustained injuries while “maintaining public order”.</w:t>
      </w:r>
    </w:p>
    <w:p w:rsidRPr="00BE6DFD" w:rsidR="00E61329" w:rsidP="00BE6DFD" w14:paraId="287D261B" w14:textId="583EF8BB">
      <w:pPr>
        <w:pStyle w:val="JuPara"/>
      </w:pPr>
      <w:r w:rsidRPr="00BE6DFD">
        <w:fldChar w:fldCharType="begin"/>
      </w:r>
      <w:r w:rsidRPr="00BE6DFD">
        <w:instrText xml:space="preserve"> SEQ level0 \*arabic \* MERGEFORMAT </w:instrText>
      </w:r>
      <w:r w:rsidRPr="00BE6DFD">
        <w:fldChar w:fldCharType="separate"/>
      </w:r>
      <w:bookmarkStart w:name="paragraph00013" w:id="4"/>
      <w:r w:rsidRPr="00BE6DFD">
        <w:rPr>
          <w:noProof/>
        </w:rPr>
        <w:t>7</w:t>
      </w:r>
      <w:bookmarkEnd w:id="4"/>
      <w:r w:rsidRPr="00BE6DFD">
        <w:rPr>
          <w:noProof/>
        </w:rPr>
        <w:fldChar w:fldCharType="end"/>
      </w:r>
      <w:r w:rsidRPr="00BE6DFD">
        <w:t xml:space="preserve">.  With a judgment of 6 May 2021 the </w:t>
      </w:r>
      <w:r w:rsidRPr="00BE6DFD">
        <w:t>South Central</w:t>
      </w:r>
      <w:r w:rsidRPr="00BE6DFD">
        <w:t xml:space="preserve"> Administrative Court upheld the lower court</w:t>
      </w:r>
      <w:r w:rsidRPr="00BE6DFD">
        <w:t>’</w:t>
      </w:r>
      <w:r w:rsidRPr="00BE6DFD">
        <w:t>s judgment and dismissed the applicant</w:t>
      </w:r>
      <w:r w:rsidRPr="00BE6DFD">
        <w:t>’</w:t>
      </w:r>
      <w:r w:rsidRPr="00BE6DFD">
        <w:t>s interpretation of Decree no. 43/76 according to which any accident during regular police activity without an aggravated risk, such as patrolling, would entail the recognition of military disability status to the victim,</w:t>
      </w:r>
      <w:r w:rsidRPr="00BE6DFD">
        <w:t xml:space="preserve"> </w:t>
      </w:r>
      <w:r w:rsidRPr="00BE6DFD">
        <w:t>as contrary to the aim of that legislation.</w:t>
      </w:r>
    </w:p>
    <w:p w:rsidRPr="00BE6DFD" w:rsidR="00E61329" w:rsidP="00BE6DFD" w14:paraId="642B9BF8" w14:textId="71F89D43">
      <w:pPr>
        <w:pStyle w:val="JuPara"/>
      </w:pPr>
      <w:r w:rsidRPr="00BE6DFD">
        <w:fldChar w:fldCharType="begin"/>
      </w:r>
      <w:r w:rsidRPr="00BE6DFD">
        <w:instrText xml:space="preserve"> SEQ level0 \*arabic \* MERGEFORMAT </w:instrText>
      </w:r>
      <w:r w:rsidRPr="00BE6DFD">
        <w:fldChar w:fldCharType="separate"/>
      </w:r>
      <w:bookmarkStart w:name="paragraph00015" w:id="5"/>
      <w:r w:rsidRPr="00BE6DFD">
        <w:rPr>
          <w:noProof/>
        </w:rPr>
        <w:t>8</w:t>
      </w:r>
      <w:bookmarkEnd w:id="5"/>
      <w:r w:rsidRPr="00BE6DFD">
        <w:rPr>
          <w:noProof/>
        </w:rPr>
        <w:fldChar w:fldCharType="end"/>
      </w:r>
      <w:r w:rsidRPr="00BE6DFD">
        <w:t xml:space="preserve">.  With a judgment of 22 September 2022 (served on the applicant on 26 September 2022) the Administrative Supreme Court finally confirmed that the requirement of an “aggravated risk” was to be applied to all grounds enumerated in Decree no. 43/76 (see paragraph </w:t>
      </w:r>
      <w:r w:rsidRPr="00BE6DFD">
        <w:fldChar w:fldCharType="begin"/>
      </w:r>
      <w:r w:rsidRPr="00BE6DFD">
        <w:instrText xml:space="preserve"> REF paragraph00006 \h  \* CharFormat </w:instrText>
      </w:r>
      <w:r w:rsidRPr="00BE6DFD">
        <w:fldChar w:fldCharType="separate"/>
      </w:r>
      <w:r w:rsidRPr="00BE6DFD">
        <w:t>3</w:t>
      </w:r>
      <w:r w:rsidRPr="00BE6DFD">
        <w:fldChar w:fldCharType="end"/>
      </w:r>
      <w:r w:rsidRPr="00BE6DFD">
        <w:t xml:space="preserve"> above). In reaching this conclusion both the </w:t>
      </w:r>
      <w:r w:rsidRPr="00BE6DFD">
        <w:t>South Central</w:t>
      </w:r>
      <w:r w:rsidRPr="00BE6DFD">
        <w:t xml:space="preserve"> Administrative Court and the Administrative Supreme Court relied on established domestic practice. Their assessment was confined to the points of law related to the interpretation of Decree no. 43/76 and not on the alleged inconsistent application which the applicant had brought, for the first time, before them.</w:t>
      </w:r>
    </w:p>
    <w:p w:rsidRPr="00BE6DFD" w:rsidR="00E61329" w:rsidP="00BE6DFD" w14:paraId="18F5330A" w14:textId="22C194A0">
      <w:pPr>
        <w:pStyle w:val="JuPara"/>
      </w:pPr>
      <w:r w:rsidRPr="00BE6DFD">
        <w:fldChar w:fldCharType="begin"/>
      </w:r>
      <w:r w:rsidRPr="00BE6DFD">
        <w:instrText xml:space="preserve"> SEQ level0 \*arabic \* MERGEFORMAT </w:instrText>
      </w:r>
      <w:r w:rsidRPr="00BE6DFD">
        <w:fldChar w:fldCharType="separate"/>
      </w:r>
      <w:bookmarkStart w:name="paragraph00016" w:id="6"/>
      <w:r w:rsidRPr="00BE6DFD">
        <w:rPr>
          <w:noProof/>
        </w:rPr>
        <w:t>9</w:t>
      </w:r>
      <w:bookmarkEnd w:id="6"/>
      <w:r w:rsidRPr="00BE6DFD">
        <w:rPr>
          <w:noProof/>
        </w:rPr>
        <w:fldChar w:fldCharType="end"/>
      </w:r>
      <w:r w:rsidRPr="00BE6DFD">
        <w:t>.  Relying on Article 14 of the Convention and on Article 1 of Protocol</w:t>
      </w:r>
      <w:r w:rsidRPr="00BE6DFD" w:rsidR="00F037A5">
        <w:t> </w:t>
      </w:r>
      <w:r w:rsidRPr="00BE6DFD">
        <w:t xml:space="preserve">No. 12 to the Convention, the applicant complained about the refusal by the domestic authorities to recognise him as military disabled person, unlike V.P., who had been granted such a status for injuries he had sustained in the performance of his duty entailing a permanent partial disability of 30% (see paragraph </w:t>
      </w:r>
      <w:r w:rsidRPr="00BE6DFD">
        <w:fldChar w:fldCharType="begin"/>
      </w:r>
      <w:r w:rsidRPr="00BE6DFD">
        <w:instrText xml:space="preserve"> REF paragraph00012 \h  \* CharFormat </w:instrText>
      </w:r>
      <w:r w:rsidRPr="00BE6DFD">
        <w:fldChar w:fldCharType="separate"/>
      </w:r>
      <w:r w:rsidRPr="00BE6DFD">
        <w:t>6</w:t>
      </w:r>
      <w:r w:rsidRPr="00BE6DFD">
        <w:fldChar w:fldCharType="end"/>
      </w:r>
      <w:r w:rsidRPr="00BE6DFD">
        <w:t xml:space="preserve"> above). The applicant argued that he had to continue performing his duties that had deteriorated his health. The status sought would have allowed him to retire and obtain a full pension.</w:t>
      </w:r>
    </w:p>
    <w:p w:rsidRPr="00BE6DFD" w:rsidR="00E61329" w:rsidP="00BE6DFD" w14:paraId="67B572C2" w14:textId="595B5074">
      <w:pPr>
        <w:pStyle w:val="JuHHead"/>
        <w:keepNext w:val="0"/>
        <w:keepLines w:val="0"/>
        <w:numPr>
          <w:ilvl w:val="0"/>
          <w:numId w:val="21"/>
        </w:numPr>
      </w:pPr>
      <w:r w:rsidRPr="00BE6DFD">
        <w:t>THE COURT</w:t>
      </w:r>
      <w:r w:rsidRPr="00BE6DFD" w:rsidR="00BE6DFD">
        <w:t>’</w:t>
      </w:r>
      <w:r w:rsidRPr="00BE6DFD">
        <w:t>S ASSESSMENT</w:t>
      </w:r>
    </w:p>
    <w:p w:rsidRPr="00BE6DFD" w:rsidR="00E61329" w:rsidP="00BE6DFD" w14:paraId="37006DD8" w14:textId="31ABB50C">
      <w:pPr>
        <w:pStyle w:val="JuPara"/>
      </w:pPr>
      <w:r w:rsidRPr="00BE6DFD">
        <w:fldChar w:fldCharType="begin"/>
      </w:r>
      <w:r w:rsidRPr="00BE6DFD">
        <w:instrText xml:space="preserve"> SEQ level0 \*arabic \* ME</w:instrText>
      </w:r>
      <w:r w:rsidRPr="00BE6DFD">
        <w:instrText xml:space="preserve">RGEFORMAT </w:instrText>
      </w:r>
      <w:r w:rsidRPr="00BE6DFD">
        <w:fldChar w:fldCharType="separate"/>
      </w:r>
      <w:r w:rsidRPr="00BE6DFD">
        <w:rPr>
          <w:noProof/>
        </w:rPr>
        <w:t>10</w:t>
      </w:r>
      <w:r w:rsidRPr="00BE6DFD">
        <w:rPr>
          <w:noProof/>
        </w:rPr>
        <w:fldChar w:fldCharType="end"/>
      </w:r>
      <w:r w:rsidRPr="00BE6DFD">
        <w:t xml:space="preserve">.  The Court, being the master of the characterisation to be given in law to the facts of the case (see </w:t>
      </w:r>
      <w:r w:rsidRPr="00BE6DFD">
        <w:rPr>
          <w:i/>
          <w:iCs/>
        </w:rPr>
        <w:t>Radomilja</w:t>
      </w:r>
      <w:r w:rsidRPr="00BE6DFD">
        <w:rPr>
          <w:i/>
          <w:iCs/>
        </w:rPr>
        <w:t xml:space="preserve"> and Others v. Croatia</w:t>
      </w:r>
      <w:r w:rsidRPr="00BE6DFD">
        <w:t xml:space="preserve"> [GC], nos. 37685/10 and 22768/12, §§ 114 and 126, 20 March 2018), will first examine the complaint raised by the applicant from the standpoint of Article</w:t>
      </w:r>
      <w:r w:rsidRPr="00BE6DFD" w:rsidR="00F037A5">
        <w:t> </w:t>
      </w:r>
      <w:r w:rsidRPr="00BE6DFD">
        <w:t>14 of the Convention read in conjunction with Article 1 of Protocol</w:t>
      </w:r>
      <w:r w:rsidRPr="00BE6DFD" w:rsidR="00F037A5">
        <w:t> </w:t>
      </w:r>
      <w:r w:rsidRPr="00BE6DFD">
        <w:t xml:space="preserve">No. 1 to the Convention and with Article 8 of the Convention (see </w:t>
      </w:r>
      <w:bookmarkStart w:name="_cl42051" w:id="7"/>
      <w:r w:rsidRPr="00BE6DFD">
        <w:rPr>
          <w:i/>
          <w:iCs/>
        </w:rPr>
        <w:t>Beeler v. Switzerland</w:t>
      </w:r>
      <w:bookmarkEnd w:id="7"/>
      <w:r w:rsidRPr="00BE6DFD">
        <w:t xml:space="preserve"> [GC], no. 78630/12, §§ 47-72, 20 October 2020 and the cases cited therein).</w:t>
      </w:r>
    </w:p>
    <w:p w:rsidRPr="00BE6DFD" w:rsidR="00E61329" w:rsidP="00BE6DFD" w14:paraId="2682CA7E" w14:textId="38671C6D">
      <w:pPr>
        <w:pStyle w:val="JuPara"/>
      </w:pPr>
      <w:r w:rsidRPr="00BE6DFD">
        <w:fldChar w:fldCharType="begin"/>
      </w:r>
      <w:r w:rsidRPr="00BE6DFD">
        <w:instrText xml:space="preserve"> SEQ level0 \*arabic \* MERGEFORMAT </w:instrText>
      </w:r>
      <w:r w:rsidRPr="00BE6DFD">
        <w:fldChar w:fldCharType="separate"/>
      </w:r>
      <w:r w:rsidRPr="00BE6DFD">
        <w:rPr>
          <w:noProof/>
        </w:rPr>
        <w:t>11</w:t>
      </w:r>
      <w:r w:rsidRPr="00BE6DFD">
        <w:rPr>
          <w:noProof/>
        </w:rPr>
        <w:fldChar w:fldCharType="end"/>
      </w:r>
      <w:r w:rsidRPr="00BE6DFD">
        <w:t xml:space="preserve">.  The Court must first determine whether Article 1 of Protocol No. 1 is applicable in the instant case. In this connection it reiterates that in certain circumstances, a claim may be regarded as an “asset” and enjoy the protection of Article 1 of Protocol No. 1 to the Convention only where it has a sufficient basis in national law, for example where there is settled case-law of the domestic courts confirming its existence (see </w:t>
      </w:r>
      <w:r w:rsidRPr="00BE6DFD">
        <w:rPr>
          <w:i/>
          <w:iCs/>
        </w:rPr>
        <w:t>Kopecký</w:t>
      </w:r>
      <w:r w:rsidRPr="00BE6DFD">
        <w:rPr>
          <w:i/>
          <w:iCs/>
        </w:rPr>
        <w:t xml:space="preserve"> v. Slovakia</w:t>
      </w:r>
      <w:r w:rsidRPr="00BE6DFD">
        <w:t xml:space="preserve"> [GC], no. 44912/98, § 52, ECHR 2004-IX; </w:t>
      </w:r>
      <w:r w:rsidRPr="00BE6DFD">
        <w:rPr>
          <w:i/>
          <w:iCs/>
        </w:rPr>
        <w:t xml:space="preserve">Anheuser-Busch Inc. v. Portugal </w:t>
      </w:r>
      <w:r w:rsidRPr="00BE6DFD">
        <w:t xml:space="preserve">[GC], no. 73049/01, § 65, ECHR 2007-I; and </w:t>
      </w:r>
      <w:bookmarkStart w:name="_cl35833" w:id="8"/>
      <w:r w:rsidRPr="00BE6DFD">
        <w:rPr>
          <w:i/>
          <w:iCs/>
        </w:rPr>
        <w:t>Saumier</w:t>
      </w:r>
      <w:r w:rsidRPr="00BE6DFD">
        <w:rPr>
          <w:i/>
          <w:iCs/>
        </w:rPr>
        <w:t xml:space="preserve"> v. France</w:t>
      </w:r>
      <w:bookmarkEnd w:id="8"/>
      <w:r w:rsidRPr="00BE6DFD">
        <w:t>, no. 74734/14, § 45, 12 January 2017).</w:t>
      </w:r>
    </w:p>
    <w:p w:rsidRPr="00BE6DFD" w:rsidR="00E61329" w:rsidP="00BE6DFD" w14:paraId="029F0125" w14:textId="7CD1928F">
      <w:pPr>
        <w:pStyle w:val="JuPara"/>
      </w:pPr>
      <w:r w:rsidRPr="00BE6DFD">
        <w:fldChar w:fldCharType="begin"/>
      </w:r>
      <w:r w:rsidRPr="00BE6DFD">
        <w:instrText xml:space="preserve"> SEQ level0 \*arabic \* MERGEFORMAT </w:instrText>
      </w:r>
      <w:r w:rsidRPr="00BE6DFD">
        <w:fldChar w:fldCharType="separate"/>
      </w:r>
      <w:r w:rsidRPr="00BE6DFD">
        <w:rPr>
          <w:noProof/>
        </w:rPr>
        <w:t>12</w:t>
      </w:r>
      <w:r w:rsidRPr="00BE6DFD">
        <w:rPr>
          <w:noProof/>
        </w:rPr>
        <w:fldChar w:fldCharType="end"/>
      </w:r>
      <w:r w:rsidRPr="00BE6DFD">
        <w:t>.  </w:t>
      </w:r>
      <w:bookmarkStart w:name="_cl20940" w:id="9"/>
      <w:r w:rsidRPr="00BE6DFD">
        <w:t>However, no legitimate expectation can be said to arise where there is a dispute as to the correct interpretation and application of domestic law and the applicant</w:t>
      </w:r>
      <w:r w:rsidRPr="00BE6DFD">
        <w:t>’</w:t>
      </w:r>
      <w:r w:rsidRPr="00BE6DFD">
        <w:t xml:space="preserve">s submissions are subsequently rejected by the national courts (see </w:t>
      </w:r>
      <w:r w:rsidRPr="00BE6DFD">
        <w:rPr>
          <w:i/>
          <w:iCs/>
        </w:rPr>
        <w:t>Kopecký</w:t>
      </w:r>
      <w:r w:rsidRPr="00BE6DFD">
        <w:t xml:space="preserve">, cited above, § 50; </w:t>
      </w:r>
      <w:r w:rsidRPr="00BE6DFD">
        <w:rPr>
          <w:i/>
          <w:iCs/>
        </w:rPr>
        <w:t>Anheuser-Busch Inc</w:t>
      </w:r>
      <w:r w:rsidRPr="00BE6DFD">
        <w:t xml:space="preserve">, cited above, § 65; </w:t>
      </w:r>
      <w:r w:rsidRPr="00BE6DFD">
        <w:rPr>
          <w:i/>
          <w:iCs/>
        </w:rPr>
        <w:t xml:space="preserve">Domenech </w:t>
      </w:r>
      <w:r w:rsidRPr="00BE6DFD">
        <w:rPr>
          <w:i/>
          <w:iCs/>
        </w:rPr>
        <w:t>Aradilla</w:t>
      </w:r>
      <w:r w:rsidRPr="00BE6DFD">
        <w:rPr>
          <w:i/>
          <w:iCs/>
        </w:rPr>
        <w:t xml:space="preserve"> and Rodríguez González</w:t>
      </w:r>
      <w:r w:rsidRPr="00BE6DFD">
        <w:t xml:space="preserve"> </w:t>
      </w:r>
      <w:r w:rsidRPr="00BE6DFD">
        <w:rPr>
          <w:i/>
          <w:iCs/>
        </w:rPr>
        <w:t>v. Spain</w:t>
      </w:r>
      <w:r w:rsidRPr="00BE6DFD">
        <w:t>, nos. 32667/19 and 30807/20,</w:t>
      </w:r>
      <w:r w:rsidRPr="00BE6DFD" w:rsidR="00CC6B82">
        <w:t xml:space="preserve"> </w:t>
      </w:r>
      <w:r w:rsidRPr="00BE6DFD">
        <w:t xml:space="preserve">§ 81, 19 January 2023; and </w:t>
      </w:r>
      <w:r w:rsidRPr="00BE6DFD">
        <w:rPr>
          <w:i/>
          <w:iCs/>
        </w:rPr>
        <w:t xml:space="preserve">Valverde </w:t>
      </w:r>
      <w:r w:rsidRPr="00BE6DFD">
        <w:rPr>
          <w:i/>
          <w:iCs/>
        </w:rPr>
        <w:t>Digon</w:t>
      </w:r>
      <w:r w:rsidRPr="00BE6DFD">
        <w:t xml:space="preserve"> </w:t>
      </w:r>
      <w:r w:rsidRPr="00BE6DFD">
        <w:rPr>
          <w:i/>
          <w:iCs/>
        </w:rPr>
        <w:t>v. Spain</w:t>
      </w:r>
      <w:r w:rsidRPr="00BE6DFD">
        <w:t xml:space="preserve"> no. 22386/19, §</w:t>
      </w:r>
      <w:r w:rsidRPr="00BE6DFD" w:rsidR="00F037A5">
        <w:t> </w:t>
      </w:r>
      <w:r w:rsidRPr="00BE6DFD">
        <w:t>49, 26 January 2023).</w:t>
      </w:r>
    </w:p>
    <w:bookmarkEnd w:id="9"/>
    <w:p w:rsidRPr="00BE6DFD" w:rsidR="00E61329" w:rsidP="00BE6DFD" w14:paraId="28FB92DA" w14:textId="694E285A">
      <w:pPr>
        <w:pStyle w:val="JuPara"/>
      </w:pPr>
      <w:r w:rsidRPr="00BE6DFD">
        <w:fldChar w:fldCharType="begin"/>
      </w:r>
      <w:r w:rsidRPr="00BE6DFD">
        <w:instrText xml:space="preserve"> SEQ level0 \*arabic \* MERGEFORMAT </w:instrText>
      </w:r>
      <w:r w:rsidRPr="00BE6DFD">
        <w:fldChar w:fldCharType="separate"/>
      </w:r>
      <w:r w:rsidRPr="00BE6DFD" w:rsidR="00BE6DFD">
        <w:rPr>
          <w:noProof/>
        </w:rPr>
        <w:t>13</w:t>
      </w:r>
      <w:r w:rsidRPr="00BE6DFD">
        <w:fldChar w:fldCharType="end"/>
      </w:r>
      <w:r w:rsidRPr="00BE6DFD">
        <w:t xml:space="preserve">.  In the present case, the domestic courts, including the Administrative Supreme Court, as the court of final jurisdiction, consistently held that the circumstances related to the accident at issue did not satisfy the requirement of an “aggravated risk”, which was to be applied to all grounds specified in the applicable rules. Accordingly, they held that the applicant did not meet the legal criteria for military disability (see paragraphs </w:t>
      </w:r>
      <w:r w:rsidRPr="00BE6DFD">
        <w:fldChar w:fldCharType="begin"/>
      </w:r>
      <w:r w:rsidRPr="00BE6DFD">
        <w:instrText xml:space="preserve"> REF paragraph00011 \h  \* CharFormat  \* MERGEFORMAT </w:instrText>
      </w:r>
      <w:r w:rsidRPr="00BE6DFD">
        <w:fldChar w:fldCharType="separate"/>
      </w:r>
      <w:r w:rsidRPr="00BE6DFD" w:rsidR="00BE6DFD">
        <w:t>5</w:t>
      </w:r>
      <w:r w:rsidRPr="00BE6DFD">
        <w:fldChar w:fldCharType="end"/>
      </w:r>
      <w:r w:rsidRPr="00BE6DFD">
        <w:t xml:space="preserve">, </w:t>
      </w:r>
      <w:r w:rsidRPr="00BE6DFD">
        <w:fldChar w:fldCharType="begin"/>
      </w:r>
      <w:r w:rsidRPr="00BE6DFD">
        <w:instrText xml:space="preserve"> REF paragraph00013 \h  \* CharFormat  \* MERGEFORMAT </w:instrText>
      </w:r>
      <w:r w:rsidRPr="00BE6DFD">
        <w:fldChar w:fldCharType="separate"/>
      </w:r>
      <w:r w:rsidRPr="00BE6DFD" w:rsidR="00BE6DFD">
        <w:t>7</w:t>
      </w:r>
      <w:r w:rsidRPr="00BE6DFD">
        <w:fldChar w:fldCharType="end"/>
      </w:r>
      <w:r w:rsidRPr="00BE6DFD">
        <w:t xml:space="preserve"> and </w:t>
      </w:r>
      <w:r w:rsidRPr="00BE6DFD">
        <w:fldChar w:fldCharType="begin"/>
      </w:r>
      <w:r w:rsidRPr="00BE6DFD">
        <w:instrText xml:space="preserve"> REF paragraph00015 \h  \* CharFormat  \* MERGEFORMAT </w:instrText>
      </w:r>
      <w:r w:rsidRPr="00BE6DFD">
        <w:fldChar w:fldCharType="separate"/>
      </w:r>
      <w:r w:rsidRPr="00BE6DFD" w:rsidR="00BE6DFD">
        <w:t>8</w:t>
      </w:r>
      <w:r w:rsidRPr="00BE6DFD">
        <w:fldChar w:fldCharType="end"/>
      </w:r>
      <w:r w:rsidRPr="00BE6DFD">
        <w:t xml:space="preserve"> above).</w:t>
      </w:r>
    </w:p>
    <w:p w:rsidRPr="00BE6DFD" w:rsidR="00E61329" w:rsidP="00BE6DFD" w14:paraId="347CAB96" w14:textId="285DF79C">
      <w:pPr>
        <w:pStyle w:val="JuPara"/>
      </w:pPr>
      <w:r w:rsidRPr="00BE6DFD">
        <w:fldChar w:fldCharType="begin"/>
      </w:r>
      <w:r w:rsidRPr="00BE6DFD">
        <w:instrText xml:space="preserve"> SEQ level0 \*arabic \* MERGEFORMAT </w:instrText>
      </w:r>
      <w:r w:rsidRPr="00BE6DFD">
        <w:fldChar w:fldCharType="separate"/>
      </w:r>
      <w:r w:rsidRPr="00BE6DFD">
        <w:rPr>
          <w:noProof/>
        </w:rPr>
        <w:t>14</w:t>
      </w:r>
      <w:r w:rsidRPr="00BE6DFD">
        <w:rPr>
          <w:noProof/>
        </w:rPr>
        <w:fldChar w:fldCharType="end"/>
      </w:r>
      <w:r w:rsidRPr="00BE6DFD">
        <w:t>.  The Court reiterates that the interpretation of domestic law is a matter for the domestic courts, which are the best placed to interpret and apply domestic law. The Court</w:t>
      </w:r>
      <w:r w:rsidRPr="00BE6DFD">
        <w:t>’</w:t>
      </w:r>
      <w:r w:rsidRPr="00BE6DFD">
        <w:t>s supervisory jurisdiction </w:t>
      </w:r>
      <w:r w:rsidRPr="00BE6DFD">
        <w:t xml:space="preserve"> </w:t>
      </w:r>
      <w:r w:rsidRPr="00BE6DFD">
        <w:t xml:space="preserve">is limited to ensuring that </w:t>
      </w:r>
      <w:r w:rsidRPr="00BE6DFD">
        <w:t xml:space="preserve">that application and interpretation are compatible with the requirements of the Convention (see, </w:t>
      </w:r>
      <w:bookmarkStart w:name="_cl34250" w:id="10"/>
      <w:r w:rsidRPr="00BE6DFD">
        <w:rPr>
          <w:i/>
          <w:iCs/>
        </w:rPr>
        <w:t>García Ruiz v. Spain</w:t>
      </w:r>
      <w:r w:rsidRPr="00BE6DFD">
        <w:t xml:space="preserve"> [GC], no. 30544/96, §§</w:t>
      </w:r>
      <w:r w:rsidRPr="00BE6DFD" w:rsidR="00615DE6">
        <w:t> </w:t>
      </w:r>
      <w:r w:rsidRPr="00BE6DFD">
        <w:t>28</w:t>
      </w:r>
      <w:r w:rsidRPr="00BE6DFD" w:rsidR="00615DE6">
        <w:noBreakHyphen/>
      </w:r>
      <w:r w:rsidRPr="00BE6DFD">
        <w:t xml:space="preserve">29, ECHR 1999-I, and </w:t>
      </w:r>
      <w:r w:rsidRPr="00BE6DFD">
        <w:rPr>
          <w:i/>
          <w:iCs/>
        </w:rPr>
        <w:t xml:space="preserve">Pla and </w:t>
      </w:r>
      <w:r w:rsidRPr="00BE6DFD">
        <w:rPr>
          <w:i/>
          <w:iCs/>
        </w:rPr>
        <w:t>Puncernau</w:t>
      </w:r>
      <w:r w:rsidRPr="00BE6DFD">
        <w:rPr>
          <w:i/>
          <w:iCs/>
        </w:rPr>
        <w:t xml:space="preserve"> v. Andorra</w:t>
      </w:r>
      <w:bookmarkEnd w:id="10"/>
      <w:r w:rsidRPr="00BE6DFD">
        <w:t>, no. 69498/01, §</w:t>
      </w:r>
      <w:r w:rsidRPr="00BE6DFD" w:rsidR="00615DE6">
        <w:t> </w:t>
      </w:r>
      <w:r w:rsidRPr="00BE6DFD">
        <w:t>46, 13 July 2004). In the present case it does not find that the interpretation made by the domestic courts, based on established domestic practice, is unreasonable, arbitrary, or blatantly inconsistent with the principles underlying the Convention (</w:t>
      </w:r>
      <w:bookmarkStart w:name="_cl26614THECOURTSASSESSMENT" w:id="11"/>
      <w:r w:rsidRPr="00BE6DFD">
        <w:t xml:space="preserve">see, </w:t>
      </w:r>
      <w:r w:rsidRPr="00BE6DFD">
        <w:rPr>
          <w:i/>
          <w:iCs/>
        </w:rPr>
        <w:t xml:space="preserve">a </w:t>
      </w:r>
      <w:r w:rsidRPr="00BE6DFD">
        <w:rPr>
          <w:i/>
          <w:iCs/>
        </w:rPr>
        <w:t>contrario</w:t>
      </w:r>
      <w:r w:rsidRPr="00BE6DFD">
        <w:t xml:space="preserve">, </w:t>
      </w:r>
      <w:r w:rsidRPr="00BE6DFD">
        <w:rPr>
          <w:i/>
          <w:iCs/>
        </w:rPr>
        <w:t>Glor</w:t>
      </w:r>
      <w:r w:rsidRPr="00BE6DFD">
        <w:rPr>
          <w:i/>
          <w:iCs/>
        </w:rPr>
        <w:t xml:space="preserve"> v. Switzerland</w:t>
      </w:r>
      <w:bookmarkEnd w:id="11"/>
      <w:r w:rsidRPr="00BE6DFD">
        <w:t>, no.</w:t>
      </w:r>
      <w:r w:rsidRPr="00BE6DFD" w:rsidR="00F037A5">
        <w:t> </w:t>
      </w:r>
      <w:r w:rsidRPr="00BE6DFD">
        <w:t>13444/04, § 91, ECHR 2009).</w:t>
      </w:r>
    </w:p>
    <w:p w:rsidRPr="00BE6DFD" w:rsidR="00E61329" w:rsidP="00BE6DFD" w14:paraId="097D0195" w14:textId="4A83946B">
      <w:pPr>
        <w:pStyle w:val="JuPara"/>
      </w:pPr>
      <w:r w:rsidRPr="00BE6DFD">
        <w:fldChar w:fldCharType="begin"/>
      </w:r>
      <w:r w:rsidRPr="00BE6DFD">
        <w:instrText xml:space="preserve"> SEQ level0 \*arabic \* MERGEFORMAT </w:instrText>
      </w:r>
      <w:r w:rsidRPr="00BE6DFD">
        <w:fldChar w:fldCharType="separate"/>
      </w:r>
      <w:r w:rsidRPr="00BE6DFD">
        <w:rPr>
          <w:noProof/>
        </w:rPr>
        <w:t>15</w:t>
      </w:r>
      <w:r w:rsidRPr="00BE6DFD">
        <w:rPr>
          <w:noProof/>
        </w:rPr>
        <w:fldChar w:fldCharType="end"/>
      </w:r>
      <w:r w:rsidRPr="00BE6DFD">
        <w:t>.  In view of the foregoing, the Court concludes that the applicant did not have a “legitimate expectation” within the meaning of Article 1 of Protocol No. 1 to be granted the above-mentioned status. Accordingly, the facts of the case do not fall within the ambit of this provision.</w:t>
      </w:r>
    </w:p>
    <w:p w:rsidRPr="00BE6DFD" w:rsidR="00E61329" w:rsidP="00BE6DFD" w14:paraId="2FF86EF4" w14:textId="6BBE8177">
      <w:pPr>
        <w:pStyle w:val="JuPara"/>
      </w:pPr>
      <w:r w:rsidRPr="00BE6DFD">
        <w:fldChar w:fldCharType="begin"/>
      </w:r>
      <w:r w:rsidRPr="00BE6DFD">
        <w:instrText xml:space="preserve"> SEQ level0 \*arabic \* MERGEFORMAT </w:instrText>
      </w:r>
      <w:r w:rsidRPr="00BE6DFD">
        <w:fldChar w:fldCharType="separate"/>
      </w:r>
      <w:r w:rsidRPr="00BE6DFD">
        <w:rPr>
          <w:noProof/>
        </w:rPr>
        <w:t>16</w:t>
      </w:r>
      <w:r w:rsidRPr="00BE6DFD">
        <w:rPr>
          <w:noProof/>
        </w:rPr>
        <w:fldChar w:fldCharType="end"/>
      </w:r>
      <w:r w:rsidRPr="00BE6DFD">
        <w:t>. In view of this conclusion and noting that Article 14 of the Convention has no independent existence, the Court considers that Article 14 cannot apply in the instant case, in so far as Article 1 of Protocol No. 1 is concerned.</w:t>
      </w:r>
    </w:p>
    <w:p w:rsidRPr="00BE6DFD" w:rsidR="00E61329" w:rsidP="00BE6DFD" w14:paraId="68C55756" w14:textId="67F7B462">
      <w:pPr>
        <w:pStyle w:val="JuPara"/>
      </w:pPr>
      <w:r w:rsidRPr="00BE6DFD">
        <w:fldChar w:fldCharType="begin"/>
      </w:r>
      <w:r w:rsidRPr="00BE6DFD">
        <w:instrText xml:space="preserve"> SEQ level0 \*arabic \* MERGEFORMAT </w:instrText>
      </w:r>
      <w:r w:rsidRPr="00BE6DFD">
        <w:fldChar w:fldCharType="separate"/>
      </w:r>
      <w:r w:rsidRPr="00BE6DFD">
        <w:rPr>
          <w:noProof/>
        </w:rPr>
        <w:t>17</w:t>
      </w:r>
      <w:r w:rsidRPr="00BE6DFD">
        <w:rPr>
          <w:noProof/>
        </w:rPr>
        <w:fldChar w:fldCharType="end"/>
      </w:r>
      <w:r w:rsidRPr="00BE6DFD">
        <w:t xml:space="preserve">.  It follows that the complaint under Article 14 taken in conjunction with Article 1 of Protocol No. 1 to the Convention, assuming to have been properly raised before the domestic courts, is incompatible </w:t>
      </w:r>
      <w:r w:rsidRPr="00BE6DFD">
        <w:rPr>
          <w:i/>
          <w:iCs/>
        </w:rPr>
        <w:t>ratione</w:t>
      </w:r>
      <w:r w:rsidRPr="00BE6DFD">
        <w:rPr>
          <w:i/>
          <w:iCs/>
        </w:rPr>
        <w:t xml:space="preserve"> </w:t>
      </w:r>
      <w:r w:rsidRPr="00BE6DFD">
        <w:rPr>
          <w:i/>
          <w:iCs/>
        </w:rPr>
        <w:t>materiae</w:t>
      </w:r>
      <w:r w:rsidRPr="00BE6DFD">
        <w:t xml:space="preserve"> with the provisions of the Convention, within the meaning of Article 35 §</w:t>
      </w:r>
      <w:r w:rsidRPr="00BE6DFD" w:rsidR="00615DE6">
        <w:t> </w:t>
      </w:r>
      <w:r w:rsidRPr="00BE6DFD">
        <w:t xml:space="preserve">3 (a) and must be rejected, pursuant to Article 35 § 4 of the Convention (see </w:t>
      </w:r>
      <w:r w:rsidRPr="00BE6DFD">
        <w:rPr>
          <w:i/>
          <w:iCs/>
        </w:rPr>
        <w:t>Gratzinger</w:t>
      </w:r>
      <w:r w:rsidRPr="00BE6DFD">
        <w:rPr>
          <w:i/>
          <w:iCs/>
        </w:rPr>
        <w:t xml:space="preserve"> and </w:t>
      </w:r>
      <w:r w:rsidRPr="00BE6DFD">
        <w:rPr>
          <w:i/>
          <w:iCs/>
        </w:rPr>
        <w:t>Gratzingerova</w:t>
      </w:r>
      <w:r w:rsidRPr="00BE6DFD">
        <w:t xml:space="preserve"> </w:t>
      </w:r>
      <w:r w:rsidRPr="00BE6DFD">
        <w:rPr>
          <w:i/>
          <w:iCs/>
        </w:rPr>
        <w:t>v. the Czech Republic</w:t>
      </w:r>
      <w:r w:rsidRPr="00BE6DFD">
        <w:t xml:space="preserve"> (dec.), no. 39794/98, §§</w:t>
      </w:r>
      <w:r w:rsidRPr="00BE6DFD" w:rsidR="00F037A5">
        <w:t> </w:t>
      </w:r>
      <w:r w:rsidRPr="00BE6DFD">
        <w:t xml:space="preserve">68 et 76, ECHR 2002 VII, and </w:t>
      </w:r>
      <w:r w:rsidRPr="00BE6DFD">
        <w:rPr>
          <w:i/>
          <w:iCs/>
        </w:rPr>
        <w:t>Dobrowolski and Others v. Poland</w:t>
      </w:r>
      <w:r w:rsidRPr="00BE6DFD">
        <w:t xml:space="preserve"> (dec.) nos. 45651/11, 68650/11 and others, § 31, 13 March 2018).</w:t>
      </w:r>
    </w:p>
    <w:p w:rsidRPr="00BE6DFD" w:rsidR="00E61329" w:rsidP="00BE6DFD" w14:paraId="75B47021" w14:textId="16FED639">
      <w:pPr>
        <w:pStyle w:val="JuPara"/>
        <w:rPr>
          <w:i/>
          <w:iCs/>
        </w:rPr>
      </w:pPr>
      <w:r w:rsidRPr="00BE6DFD">
        <w:fldChar w:fldCharType="begin"/>
      </w:r>
      <w:r w:rsidRPr="00BE6DFD">
        <w:instrText xml:space="preserve"> SEQ level0 \*arabic \* MERGEFORMAT </w:instrText>
      </w:r>
      <w:r w:rsidRPr="00BE6DFD">
        <w:fldChar w:fldCharType="separate"/>
      </w:r>
      <w:r w:rsidRPr="00BE6DFD">
        <w:rPr>
          <w:noProof/>
        </w:rPr>
        <w:t>18</w:t>
      </w:r>
      <w:r w:rsidRPr="00BE6DFD">
        <w:rPr>
          <w:noProof/>
        </w:rPr>
        <w:fldChar w:fldCharType="end"/>
      </w:r>
      <w:r w:rsidRPr="00BE6DFD">
        <w:t>.  As regards the applicant</w:t>
      </w:r>
      <w:r w:rsidRPr="00BE6DFD">
        <w:t>’</w:t>
      </w:r>
      <w:r w:rsidRPr="00BE6DFD">
        <w:t xml:space="preserve">s complaint concerning the deterioration of his health in view of the performance of his tasks after the accident (see paragraph </w:t>
      </w:r>
      <w:r w:rsidRPr="00BE6DFD">
        <w:fldChar w:fldCharType="begin"/>
      </w:r>
      <w:r w:rsidRPr="00BE6DFD">
        <w:instrText xml:space="preserve"> REF paragraph00016 \h  \* CharFormat  \* MERGEFORMAT </w:instrText>
      </w:r>
      <w:r w:rsidRPr="00BE6DFD">
        <w:fldChar w:fldCharType="separate"/>
      </w:r>
      <w:r w:rsidRPr="00BE6DFD">
        <w:t>9</w:t>
      </w:r>
      <w:r w:rsidRPr="00BE6DFD">
        <w:fldChar w:fldCharType="end"/>
      </w:r>
      <w:r w:rsidRPr="00BE6DFD">
        <w:t xml:space="preserve"> above), the Court has previously held that private life includes a person</w:t>
      </w:r>
      <w:r w:rsidRPr="00BE6DFD">
        <w:t>’</w:t>
      </w:r>
      <w:r w:rsidRPr="00BE6DFD">
        <w:t xml:space="preserve">s physical and psychological integrity (see, </w:t>
      </w:r>
      <w:r w:rsidRPr="00BE6DFD">
        <w:rPr>
          <w:i/>
          <w:iCs/>
        </w:rPr>
        <w:t>mutatis mutandis</w:t>
      </w:r>
      <w:r w:rsidRPr="00BE6DFD">
        <w:t>,</w:t>
      </w:r>
      <w:r w:rsidRPr="00BE6DFD">
        <w:rPr>
          <w:i/>
          <w:iCs/>
        </w:rPr>
        <w:t xml:space="preserve"> </w:t>
      </w:r>
      <w:bookmarkStart w:name="_cl40604" w:id="12"/>
      <w:r w:rsidRPr="00BE6DFD">
        <w:rPr>
          <w:i/>
          <w:iCs/>
        </w:rPr>
        <w:t>Vavřička</w:t>
      </w:r>
      <w:r w:rsidRPr="00BE6DFD">
        <w:rPr>
          <w:i/>
          <w:iCs/>
        </w:rPr>
        <w:t xml:space="preserve"> and Others v. the Czech Republic</w:t>
      </w:r>
      <w:bookmarkEnd w:id="12"/>
      <w:r w:rsidRPr="00BE6DFD">
        <w:rPr>
          <w:i/>
          <w:iCs/>
        </w:rPr>
        <w:t xml:space="preserve"> </w:t>
      </w:r>
      <w:r w:rsidRPr="00BE6DFD">
        <w:t>[GC], nos. 47621/13 and 5 others, §</w:t>
      </w:r>
      <w:r w:rsidRPr="00BE6DFD" w:rsidR="00F037A5">
        <w:t> </w:t>
      </w:r>
      <w:r w:rsidRPr="00BE6DFD">
        <w:t>261, 8 April 2021).</w:t>
      </w:r>
    </w:p>
    <w:p w:rsidRPr="00BE6DFD" w:rsidR="00E61329" w:rsidP="00BE6DFD" w14:paraId="263EA5CA" w14:textId="5466E0CA">
      <w:pPr>
        <w:pStyle w:val="JuPara"/>
      </w:pPr>
      <w:r w:rsidRPr="00BE6DFD">
        <w:fldChar w:fldCharType="begin"/>
      </w:r>
      <w:r w:rsidRPr="00BE6DFD">
        <w:instrText xml:space="preserve"> SEQ level0 \*arabic </w:instrText>
      </w:r>
      <w:r w:rsidRPr="00BE6DFD">
        <w:instrText xml:space="preserve">\* MERGEFORMAT </w:instrText>
      </w:r>
      <w:r w:rsidRPr="00BE6DFD">
        <w:fldChar w:fldCharType="separate"/>
      </w:r>
      <w:r w:rsidRPr="00BE6DFD">
        <w:rPr>
          <w:noProof/>
        </w:rPr>
        <w:t>19</w:t>
      </w:r>
      <w:r w:rsidRPr="00BE6DFD">
        <w:rPr>
          <w:noProof/>
        </w:rPr>
        <w:fldChar w:fldCharType="end"/>
      </w:r>
      <w:r w:rsidRPr="00BE6DFD">
        <w:t xml:space="preserve">.  In the present case, notwithstanding the difficulties encountered by the applicant, the Court notes that he did not provide any relevant documents establishing a causal link between the performance of his duties after the accident and the alleged deterioration of his health. Accordingly, the facts of the case do not fall within the ambit of Article 8 of the Convention (see </w:t>
      </w:r>
      <w:r w:rsidRPr="00BE6DFD">
        <w:rPr>
          <w:i/>
          <w:iCs/>
        </w:rPr>
        <w:t>Beeler</w:t>
      </w:r>
      <w:r w:rsidRPr="00BE6DFD">
        <w:t>, cited above, §§ 47-72).</w:t>
      </w:r>
    </w:p>
    <w:p w:rsidRPr="00BE6DFD" w:rsidR="00E61329" w:rsidP="00BE6DFD" w14:paraId="4C6AFD57" w14:textId="22C68D81">
      <w:pPr>
        <w:pStyle w:val="JuPara"/>
      </w:pPr>
      <w:r w:rsidRPr="00BE6DFD">
        <w:fldChar w:fldCharType="begin"/>
      </w:r>
      <w:r w:rsidRPr="00BE6DFD">
        <w:instrText xml:space="preserve"> SEQ level0 \*arabic \* MERGEFORMAT </w:instrText>
      </w:r>
      <w:r w:rsidRPr="00BE6DFD">
        <w:fldChar w:fldCharType="separate"/>
      </w:r>
      <w:r w:rsidRPr="00BE6DFD">
        <w:rPr>
          <w:noProof/>
        </w:rPr>
        <w:t>20</w:t>
      </w:r>
      <w:r w:rsidRPr="00BE6DFD">
        <w:rPr>
          <w:noProof/>
        </w:rPr>
        <w:fldChar w:fldCharType="end"/>
      </w:r>
      <w:r w:rsidRPr="00BE6DFD">
        <w:t xml:space="preserve">.  It follows that the complaint under Article 14 taken in conjunction with Article 8 of the Convention is incompatible </w:t>
      </w:r>
      <w:r w:rsidRPr="00BE6DFD">
        <w:rPr>
          <w:i/>
          <w:iCs/>
        </w:rPr>
        <w:t>ratione</w:t>
      </w:r>
      <w:r w:rsidRPr="00BE6DFD">
        <w:rPr>
          <w:i/>
          <w:iCs/>
        </w:rPr>
        <w:t xml:space="preserve"> </w:t>
      </w:r>
      <w:r w:rsidRPr="00BE6DFD">
        <w:rPr>
          <w:i/>
          <w:iCs/>
        </w:rPr>
        <w:t>materiae</w:t>
      </w:r>
      <w:r w:rsidRPr="00BE6DFD">
        <w:t xml:space="preserve"> with the provisions of the Convention, within the meaning of Article 35 § 3 (a) and must be rejected, pursuant to Article 35 § 4 of the Convention.</w:t>
      </w:r>
    </w:p>
    <w:p w:rsidRPr="00BE6DFD" w:rsidR="00E61329" w:rsidP="00BE6DFD" w14:paraId="3F85CCF8" w14:textId="74A34DC9">
      <w:pPr>
        <w:pStyle w:val="JuPara"/>
      </w:pPr>
      <w:r w:rsidRPr="00BE6DFD">
        <w:fldChar w:fldCharType="begin"/>
      </w:r>
      <w:r w:rsidRPr="00BE6DFD">
        <w:instrText xml:space="preserve"> SEQ level0</w:instrText>
      </w:r>
      <w:r w:rsidRPr="00BE6DFD">
        <w:instrText xml:space="preserve"> \*arabic \* MERGEFORMAT </w:instrText>
      </w:r>
      <w:r w:rsidRPr="00BE6DFD">
        <w:fldChar w:fldCharType="separate"/>
      </w:r>
      <w:r w:rsidRPr="00BE6DFD">
        <w:rPr>
          <w:noProof/>
        </w:rPr>
        <w:t>21</w:t>
      </w:r>
      <w:r w:rsidRPr="00BE6DFD">
        <w:rPr>
          <w:noProof/>
        </w:rPr>
        <w:fldChar w:fldCharType="end"/>
      </w:r>
      <w:r w:rsidRPr="00BE6DFD">
        <w:t>.  Regarding the applicant</w:t>
      </w:r>
      <w:r w:rsidRPr="00BE6DFD">
        <w:t>’</w:t>
      </w:r>
      <w:r w:rsidRPr="00BE6DFD">
        <w:t xml:space="preserve">s complaint under Article 1 of Protocol No. 12 to the Convention (see paragraph </w:t>
      </w:r>
      <w:r w:rsidRPr="00BE6DFD">
        <w:fldChar w:fldCharType="begin"/>
      </w:r>
      <w:r w:rsidRPr="00BE6DFD">
        <w:instrText xml:space="preserve"> REF paragraph00016 \h  \* CharFormat  \* MERGEFORMAT </w:instrText>
      </w:r>
      <w:r w:rsidRPr="00BE6DFD">
        <w:fldChar w:fldCharType="separate"/>
      </w:r>
      <w:r w:rsidRPr="00BE6DFD">
        <w:t>9</w:t>
      </w:r>
      <w:r w:rsidRPr="00BE6DFD">
        <w:fldChar w:fldCharType="end"/>
      </w:r>
      <w:r w:rsidRPr="00BE6DFD">
        <w:t xml:space="preserve"> above), according to the Explanatory Report, this provision applies to, </w:t>
      </w:r>
      <w:r w:rsidRPr="00BE6DFD">
        <w:rPr>
          <w:i/>
          <w:iCs/>
        </w:rPr>
        <w:t>inter alia, </w:t>
      </w:r>
      <w:r w:rsidRPr="00BE6DFD">
        <w:t xml:space="preserve">discrimination by a public authority in the exercise of discretionary power (see </w:t>
      </w:r>
      <w:bookmarkStart w:name="_cl35847" w:id="13"/>
      <w:r w:rsidRPr="00BE6DFD">
        <w:rPr>
          <w:i/>
          <w:iCs/>
        </w:rPr>
        <w:t>Savez</w:t>
      </w:r>
      <w:r w:rsidRPr="00BE6DFD">
        <w:rPr>
          <w:i/>
          <w:iCs/>
        </w:rPr>
        <w:t xml:space="preserve"> </w:t>
      </w:r>
      <w:r w:rsidRPr="00BE6DFD">
        <w:rPr>
          <w:i/>
          <w:iCs/>
        </w:rPr>
        <w:t>crkava</w:t>
      </w:r>
      <w:r w:rsidRPr="00BE6DFD">
        <w:rPr>
          <w:i/>
          <w:iCs/>
        </w:rPr>
        <w:t xml:space="preserve"> “</w:t>
      </w:r>
      <w:r w:rsidRPr="00BE6DFD">
        <w:rPr>
          <w:i/>
          <w:iCs/>
        </w:rPr>
        <w:t>Riječ</w:t>
      </w:r>
      <w:r w:rsidRPr="00BE6DFD">
        <w:rPr>
          <w:i/>
          <w:iCs/>
        </w:rPr>
        <w:t xml:space="preserve"> </w:t>
      </w:r>
      <w:r w:rsidRPr="00BE6DFD">
        <w:rPr>
          <w:i/>
          <w:iCs/>
        </w:rPr>
        <w:t>života</w:t>
      </w:r>
      <w:r w:rsidRPr="00BE6DFD">
        <w:rPr>
          <w:i/>
          <w:iCs/>
        </w:rPr>
        <w:t>” and Others v. Croatia</w:t>
      </w:r>
      <w:bookmarkEnd w:id="13"/>
      <w:r w:rsidRPr="00BE6DFD">
        <w:t xml:space="preserve">, no. 7798/08, §§ 103-04, 9 December </w:t>
      </w:r>
      <w:r w:rsidRPr="00BE6DFD">
        <w:t xml:space="preserve">2010). The applicant complained about the refusal by the domestic authorities to grant him the status of a military disabled person, unlike V.P. (see paragraphs </w:t>
      </w:r>
      <w:r w:rsidRPr="00BE6DFD">
        <w:fldChar w:fldCharType="begin"/>
      </w:r>
      <w:r w:rsidRPr="00BE6DFD">
        <w:instrText xml:space="preserve"> REF paragraph00012 \h  \* CharFormat  \* MERGEFORMAT </w:instrText>
      </w:r>
      <w:r w:rsidRPr="00BE6DFD">
        <w:fldChar w:fldCharType="separate"/>
      </w:r>
      <w:r w:rsidRPr="00BE6DFD">
        <w:t>6</w:t>
      </w:r>
      <w:r w:rsidRPr="00BE6DFD">
        <w:fldChar w:fldCharType="end"/>
      </w:r>
      <w:r w:rsidRPr="00BE6DFD">
        <w:t xml:space="preserve"> and </w:t>
      </w:r>
      <w:r w:rsidRPr="00BE6DFD">
        <w:fldChar w:fldCharType="begin"/>
      </w:r>
      <w:r w:rsidRPr="00BE6DFD">
        <w:instrText xml:space="preserve"> REF paragraph00016 \h  \* CharFormat  \* MERGEFORMAT </w:instrText>
      </w:r>
      <w:r w:rsidRPr="00BE6DFD">
        <w:fldChar w:fldCharType="separate"/>
      </w:r>
      <w:r w:rsidRPr="00BE6DFD">
        <w:t>9</w:t>
      </w:r>
      <w:r w:rsidRPr="00BE6DFD">
        <w:fldChar w:fldCharType="end"/>
      </w:r>
      <w:r w:rsidRPr="00BE6DFD">
        <w:t xml:space="preserve"> above), and the Court is prepared to accept that such a distinction could fall within the scope of Article 1 of Protocol No. 12.</w:t>
      </w:r>
    </w:p>
    <w:p w:rsidRPr="00BE6DFD" w:rsidR="00E61329" w:rsidP="00BE6DFD" w14:paraId="0B15222F" w14:textId="0C5E931A">
      <w:pPr>
        <w:pStyle w:val="JuPara"/>
      </w:pPr>
      <w:r w:rsidRPr="00BE6DFD">
        <w:fldChar w:fldCharType="begin"/>
      </w:r>
      <w:r w:rsidRPr="00BE6DFD">
        <w:instrText xml:space="preserve"> SEQ level0 \*arabic \* MERGEFORMAT </w:instrText>
      </w:r>
      <w:r w:rsidRPr="00BE6DFD">
        <w:fldChar w:fldCharType="separate"/>
      </w:r>
      <w:r w:rsidRPr="00BE6DFD">
        <w:rPr>
          <w:noProof/>
        </w:rPr>
        <w:t>22</w:t>
      </w:r>
      <w:r w:rsidRPr="00BE6DFD">
        <w:rPr>
          <w:noProof/>
        </w:rPr>
        <w:fldChar w:fldCharType="end"/>
      </w:r>
      <w:r w:rsidRPr="00BE6DFD">
        <w:t>.  Nevertheless, assuming that the applicant</w:t>
      </w:r>
      <w:r w:rsidRPr="00BE6DFD">
        <w:t>’</w:t>
      </w:r>
      <w:r w:rsidRPr="00BE6DFD">
        <w:t xml:space="preserve">s complaint was properly raised before the domestic courts (see paragraphs </w:t>
      </w:r>
      <w:r w:rsidRPr="00BE6DFD">
        <w:fldChar w:fldCharType="begin"/>
      </w:r>
      <w:r w:rsidRPr="00BE6DFD">
        <w:instrText xml:space="preserve"> REF paragraph00012 \h  \* CharFormat  \* MERGEFORMAT </w:instrText>
      </w:r>
      <w:r w:rsidRPr="00BE6DFD">
        <w:fldChar w:fldCharType="separate"/>
      </w:r>
      <w:r w:rsidRPr="00BE6DFD">
        <w:t>6</w:t>
      </w:r>
      <w:r w:rsidRPr="00BE6DFD">
        <w:fldChar w:fldCharType="end"/>
      </w:r>
      <w:r w:rsidRPr="00BE6DFD">
        <w:t xml:space="preserve"> and </w:t>
      </w:r>
      <w:r w:rsidRPr="00BE6DFD">
        <w:fldChar w:fldCharType="begin"/>
      </w:r>
      <w:r w:rsidRPr="00BE6DFD">
        <w:instrText xml:space="preserve"> REF paragraph00015 \h  \* CharFormat  \* MERGEFORMAT </w:instrText>
      </w:r>
      <w:r w:rsidRPr="00BE6DFD">
        <w:fldChar w:fldCharType="separate"/>
      </w:r>
      <w:r w:rsidRPr="00BE6DFD">
        <w:t>8</w:t>
      </w:r>
      <w:r w:rsidRPr="00BE6DFD">
        <w:fldChar w:fldCharType="end"/>
      </w:r>
      <w:r w:rsidRPr="00BE6DFD">
        <w:t xml:space="preserve"> above), the applicant had to demonstrate that, having regard to the particular nature of his complaint, he was in a relevantly similar situation to V.P. (see </w:t>
      </w:r>
      <w:r w:rsidRPr="00BE6DFD">
        <w:rPr>
          <w:i/>
          <w:iCs/>
        </w:rPr>
        <w:t>Clift v. the United Kingdom</w:t>
      </w:r>
      <w:r w:rsidRPr="00BE6DFD">
        <w:t>, no. 7205/07, § 66, 13 July 2010). However, the mere fact that V.P. had been granted such a status for injuries he had sustained while “maintaining the public order” is not sufficient for the Court to conclude that the applicant had been discriminated. Indeed, the applicant did not show whether the relevant requirement of an “aggravated risk” was applied in V.P.</w:t>
      </w:r>
      <w:r w:rsidRPr="00BE6DFD">
        <w:t>’</w:t>
      </w:r>
      <w:r w:rsidRPr="00BE6DFD">
        <w:t xml:space="preserve">s case (see paragraphs </w:t>
      </w:r>
      <w:r w:rsidRPr="00BE6DFD">
        <w:fldChar w:fldCharType="begin"/>
      </w:r>
      <w:r w:rsidRPr="00BE6DFD">
        <w:instrText xml:space="preserve"> REF paragraph00011 \h  \* CharFormat  \* MERGEFORMAT </w:instrText>
      </w:r>
      <w:r w:rsidRPr="00BE6DFD">
        <w:fldChar w:fldCharType="separate"/>
      </w:r>
      <w:r w:rsidRPr="00BE6DFD">
        <w:t>5</w:t>
      </w:r>
      <w:r w:rsidRPr="00BE6DFD">
        <w:fldChar w:fldCharType="end"/>
      </w:r>
      <w:r w:rsidRPr="00BE6DFD">
        <w:t xml:space="preserve"> to </w:t>
      </w:r>
      <w:r w:rsidRPr="00BE6DFD">
        <w:fldChar w:fldCharType="begin"/>
      </w:r>
      <w:r w:rsidRPr="00BE6DFD">
        <w:instrText xml:space="preserve"> REF paragraph00015 \h  \* CharFormat  \* MERGEFORMAT </w:instrText>
      </w:r>
      <w:r w:rsidRPr="00BE6DFD">
        <w:fldChar w:fldCharType="separate"/>
      </w:r>
      <w:r w:rsidRPr="00BE6DFD">
        <w:t>8</w:t>
      </w:r>
      <w:r w:rsidRPr="00BE6DFD">
        <w:fldChar w:fldCharType="end"/>
      </w:r>
      <w:r w:rsidRPr="00BE6DFD">
        <w:t xml:space="preserve"> above). In sum, the applicant has not succeeded in showing that there had been another person in a relevantly similar or analogous position and who had been treated differently compared to him.</w:t>
      </w:r>
    </w:p>
    <w:p w:rsidRPr="00BE6DFD" w:rsidR="00E61329" w:rsidP="00BE6DFD" w14:paraId="44CD219E" w14:textId="7CB4A48A">
      <w:pPr>
        <w:pStyle w:val="JuPara"/>
      </w:pPr>
      <w:r w:rsidRPr="00BE6DFD">
        <w:fldChar w:fldCharType="begin"/>
      </w:r>
      <w:r w:rsidRPr="00BE6DFD">
        <w:instrText xml:space="preserve"> SEQ level0 \*arabic \* MERGEFORMAT </w:instrText>
      </w:r>
      <w:r w:rsidRPr="00BE6DFD">
        <w:fldChar w:fldCharType="separate"/>
      </w:r>
      <w:r w:rsidRPr="00BE6DFD">
        <w:rPr>
          <w:noProof/>
        </w:rPr>
        <w:t>23</w:t>
      </w:r>
      <w:r w:rsidRPr="00BE6DFD">
        <w:rPr>
          <w:noProof/>
        </w:rPr>
        <w:fldChar w:fldCharType="end"/>
      </w:r>
      <w:r w:rsidRPr="00BE6DFD">
        <w:t>.  It follows that this complaint is manifestly ill-founded within the meaning of Article 35 § 3 and has to be rejected pursuant to Article 35 § 4 of the Convention.</w:t>
      </w:r>
    </w:p>
    <w:p w:rsidRPr="00BE6DFD" w:rsidR="00E61329" w:rsidP="00BE6DFD" w14:paraId="7777F959" w14:textId="42AE257D">
      <w:pPr>
        <w:pStyle w:val="JuParaLast"/>
      </w:pPr>
      <w:r w:rsidRPr="00BE6DFD">
        <w:t>For these reasons, the Court, unanimously,</w:t>
      </w:r>
    </w:p>
    <w:p w:rsidRPr="00BE6DFD" w:rsidR="00E61329" w:rsidP="00BE6DFD" w14:paraId="50A5C6E3" w14:textId="77777777">
      <w:pPr>
        <w:pStyle w:val="DecList"/>
      </w:pPr>
      <w:r w:rsidRPr="00BE6DFD">
        <w:rPr>
          <w:i/>
        </w:rPr>
        <w:t>Declares</w:t>
      </w:r>
      <w:r w:rsidRPr="00BE6DFD">
        <w:t xml:space="preserve"> the application inadmissible.</w:t>
      </w:r>
    </w:p>
    <w:p w:rsidRPr="00BE6DFD" w:rsidR="00BD1692" w:rsidP="00BE6DFD" w14:paraId="257F073B" w14:textId="6D92CC9F">
      <w:pPr>
        <w:pStyle w:val="JuParaLast"/>
        <w:rPr>
          <w:sz w:val="14"/>
        </w:rPr>
      </w:pPr>
      <w:r w:rsidRPr="00BE6DFD">
        <w:t xml:space="preserve">Done in English and notified in writing on </w:t>
      </w:r>
      <w:r w:rsidRPr="00BE6DFD" w:rsidR="00E61329">
        <w:rPr>
          <w:noProof/>
        </w:rPr>
        <w:t>26 September 2024</w:t>
      </w:r>
      <w:r w:rsidRPr="00BE6DFD">
        <w:t>.</w:t>
      </w:r>
    </w:p>
    <w:p w:rsidRPr="00BE6DFD" w:rsidR="00BD1692" w:rsidP="00BE6DFD" w14:paraId="15453442" w14:textId="1AA168A7">
      <w:pPr>
        <w:pStyle w:val="ECHRPlaceholder"/>
      </w:pPr>
      <w:r w:rsidRPr="00BE6DFD">
        <w:tab/>
      </w:r>
    </w:p>
    <w:p w:rsidRPr="00BE6DFD" w:rsidR="00E61329" w:rsidP="00BE6DFD" w14:paraId="4FA0A95D" w14:textId="167804D7">
      <w:pPr>
        <w:pStyle w:val="JuSigned"/>
      </w:pPr>
      <w:r w:rsidRPr="00BE6DFD">
        <w:tab/>
      </w:r>
      <w:r w:rsidRPr="00BE6DFD">
        <w:rPr>
          <w:rFonts w:eastAsia="PMingLiU"/>
          <w:noProof/>
        </w:rPr>
        <w:t>Simeon Petrovski</w:t>
      </w:r>
      <w:r w:rsidRPr="00BE6DFD" w:rsidR="001D1233">
        <w:tab/>
      </w:r>
      <w:r w:rsidRPr="00BE6DFD">
        <w:rPr>
          <w:noProof/>
        </w:rPr>
        <w:t>Tim Eicke</w:t>
      </w:r>
      <w:r w:rsidRPr="00BE6DFD" w:rsidR="001D1233">
        <w:br/>
      </w:r>
      <w:r w:rsidRPr="00BE6DFD" w:rsidR="001D1233">
        <w:tab/>
      </w:r>
      <w:r w:rsidRPr="00BE6DFD">
        <w:rPr>
          <w:noProof/>
        </w:rPr>
        <w:t>Deputy Registrar</w:t>
      </w:r>
      <w:r w:rsidRPr="00BE6DFD" w:rsidR="006267D3">
        <w:tab/>
        <w:t>President</w:t>
      </w:r>
    </w:p>
    <w:sectPr w:rsidSect="0076040F">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1329" w:rsidRPr="00E61329" w:rsidP="000D61E7" w14:paraId="16D6C34A" w14:textId="585BD48F">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1329" w:rsidRPr="00E61329" w:rsidP="000D61E7" w14:paraId="77703423" w14:textId="32073A3B">
    <w:pPr>
      <w:pStyle w:val="JuHeader"/>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1329" w:rsidRPr="00150BFA" w:rsidP="0020718E" w14:paraId="13CB5714" w14:textId="200956EA">
    <w:pPr>
      <w:jc w:val="center"/>
    </w:pPr>
    <w:r w:rsidRPr="00E61329">
      <w:rPr>
        <w:noProof/>
      </w:rPr>
      <w:drawing>
        <wp:inline distT="0" distB="0" distL="0" distR="0">
          <wp:extent cx="771525" cy="619125"/>
          <wp:effectExtent l="0" t="0" r="9525" b="9525"/>
          <wp:docPr id="13" name="Picture 1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E61329" w:rsidRPr="00E61329" w:rsidP="002E2C77" w14:paraId="3A956DF2" w14:textId="5B5D2961">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1329" w:rsidRPr="00E61329" w:rsidP="0076040F" w14:paraId="7333E31A" w14:textId="608628EB">
    <w:pPr>
      <w:pStyle w:val="JuHeader"/>
      <w:rPr>
        <w:lang w:val="pt-PT"/>
      </w:rPr>
    </w:pPr>
    <w:r w:rsidRPr="00E61329">
      <w:rPr>
        <w:lang w:val="pt-PT"/>
      </w:rPr>
      <w:t>DE JESUS LOURENÇO JÓIA v. PORTUGAL</w:t>
    </w:r>
    <w:r w:rsidRPr="00E61329" w:rsidR="006267D3">
      <w:rPr>
        <w:lang w:val="pt-PT"/>
      </w:rPr>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1329" w:rsidRPr="00E61329" w:rsidP="000D61E7" w14:paraId="11DD3B28" w14:textId="2360F02F">
    <w:pPr>
      <w:pStyle w:val="JuHeader"/>
      <w:rPr>
        <w:lang w:val="pt-PT"/>
      </w:rPr>
    </w:pPr>
    <w:r w:rsidRPr="00E61329">
      <w:rPr>
        <w:lang w:val="pt-PT"/>
      </w:rPr>
      <w:t>DE JESUS LOURENÇO JÓIA v. PORTUGAL</w:t>
    </w:r>
    <w:r w:rsidRPr="00E61329" w:rsidR="006267D3">
      <w:rPr>
        <w:lang w:val="pt-PT"/>
      </w:rPr>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1329" w:rsidRPr="00A45145" w:rsidP="00A45145" w14:paraId="3B65D2EC" w14:textId="43C7B5DD">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E61329" w:rsidRPr="00E61329" w:rsidP="00EA1004" w14:paraId="035ECF43" w14:textId="78147489">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861744197">
    <w:abstractNumId w:val="14"/>
  </w:num>
  <w:num w:numId="2" w16cid:durableId="626619393">
    <w:abstractNumId w:val="12"/>
  </w:num>
  <w:num w:numId="3" w16cid:durableId="997925390">
    <w:abstractNumId w:val="11"/>
  </w:num>
  <w:num w:numId="4" w16cid:durableId="1506552584">
    <w:abstractNumId w:val="15"/>
  </w:num>
  <w:num w:numId="5" w16cid:durableId="239146388">
    <w:abstractNumId w:val="13"/>
  </w:num>
  <w:num w:numId="6" w16cid:durableId="303506205">
    <w:abstractNumId w:val="16"/>
  </w:num>
  <w:num w:numId="7" w16cid:durableId="200292701">
    <w:abstractNumId w:val="15"/>
  </w:num>
  <w:num w:numId="8" w16cid:durableId="1718627201">
    <w:abstractNumId w:val="16"/>
  </w:num>
  <w:num w:numId="9" w16cid:durableId="1418360032">
    <w:abstractNumId w:val="10"/>
  </w:num>
  <w:num w:numId="10" w16cid:durableId="21327767">
    <w:abstractNumId w:val="9"/>
  </w:num>
  <w:num w:numId="11" w16cid:durableId="557202849">
    <w:abstractNumId w:val="18"/>
  </w:num>
  <w:num w:numId="12" w16cid:durableId="454955696">
    <w:abstractNumId w:val="7"/>
  </w:num>
  <w:num w:numId="13" w16cid:durableId="1450933568">
    <w:abstractNumId w:val="6"/>
  </w:num>
  <w:num w:numId="14" w16cid:durableId="1448815882">
    <w:abstractNumId w:val="5"/>
  </w:num>
  <w:num w:numId="15" w16cid:durableId="1230189908">
    <w:abstractNumId w:val="4"/>
  </w:num>
  <w:num w:numId="16" w16cid:durableId="330910769">
    <w:abstractNumId w:val="8"/>
  </w:num>
  <w:num w:numId="17" w16cid:durableId="1017656031">
    <w:abstractNumId w:val="3"/>
  </w:num>
  <w:num w:numId="18" w16cid:durableId="1244297543">
    <w:abstractNumId w:val="2"/>
  </w:num>
  <w:num w:numId="19" w16cid:durableId="613367586">
    <w:abstractNumId w:val="1"/>
  </w:num>
  <w:num w:numId="20" w16cid:durableId="450628891">
    <w:abstractNumId w:val="0"/>
  </w:num>
  <w:num w:numId="21" w16cid:durableId="35660234">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329"/>
    <w:rsid w:val="00095FD8"/>
    <w:rsid w:val="000A0374"/>
    <w:rsid w:val="000B1FA9"/>
    <w:rsid w:val="000D61E7"/>
    <w:rsid w:val="000E3A89"/>
    <w:rsid w:val="00132029"/>
    <w:rsid w:val="00144EBC"/>
    <w:rsid w:val="001502CA"/>
    <w:rsid w:val="00150BFA"/>
    <w:rsid w:val="001D1233"/>
    <w:rsid w:val="0020718E"/>
    <w:rsid w:val="00223591"/>
    <w:rsid w:val="002A7443"/>
    <w:rsid w:val="002E2C77"/>
    <w:rsid w:val="003B50D7"/>
    <w:rsid w:val="003E3C60"/>
    <w:rsid w:val="00452087"/>
    <w:rsid w:val="00464268"/>
    <w:rsid w:val="004A4C71"/>
    <w:rsid w:val="004B4E73"/>
    <w:rsid w:val="005E56C2"/>
    <w:rsid w:val="005F11CB"/>
    <w:rsid w:val="00615DE6"/>
    <w:rsid w:val="006262FA"/>
    <w:rsid w:val="006267D3"/>
    <w:rsid w:val="006300E9"/>
    <w:rsid w:val="00653EF4"/>
    <w:rsid w:val="00656B81"/>
    <w:rsid w:val="006D4D63"/>
    <w:rsid w:val="006E123B"/>
    <w:rsid w:val="0076040F"/>
    <w:rsid w:val="007907C0"/>
    <w:rsid w:val="007A74FC"/>
    <w:rsid w:val="007B2364"/>
    <w:rsid w:val="007D2955"/>
    <w:rsid w:val="00812D10"/>
    <w:rsid w:val="008D10E4"/>
    <w:rsid w:val="008F0A92"/>
    <w:rsid w:val="008F7189"/>
    <w:rsid w:val="00956B2A"/>
    <w:rsid w:val="0096293E"/>
    <w:rsid w:val="009656DE"/>
    <w:rsid w:val="009B6F49"/>
    <w:rsid w:val="009C21E8"/>
    <w:rsid w:val="009E01FB"/>
    <w:rsid w:val="00A45145"/>
    <w:rsid w:val="00AA5AEE"/>
    <w:rsid w:val="00AC58E5"/>
    <w:rsid w:val="00B140D3"/>
    <w:rsid w:val="00BD1692"/>
    <w:rsid w:val="00BE6DFD"/>
    <w:rsid w:val="00C42C12"/>
    <w:rsid w:val="00C8038F"/>
    <w:rsid w:val="00CB3BD9"/>
    <w:rsid w:val="00CC6B82"/>
    <w:rsid w:val="00D415D6"/>
    <w:rsid w:val="00D95010"/>
    <w:rsid w:val="00DB6354"/>
    <w:rsid w:val="00E5464B"/>
    <w:rsid w:val="00E61329"/>
    <w:rsid w:val="00EA1004"/>
    <w:rsid w:val="00EE38CA"/>
    <w:rsid w:val="00F037A5"/>
    <w:rsid w:val="00F0534F"/>
    <w:rsid w:val="00F24AB9"/>
    <w:rsid w:val="00F33935"/>
    <w:rsid w:val="00FC2655"/>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bidi="ne-NP"/>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096DB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144EBC"/>
    <w:rPr>
      <w:sz w:val="24"/>
      <w:szCs w:val="24"/>
      <w:lang w:val="en-GB"/>
    </w:rPr>
  </w:style>
  <w:style w:type="paragraph" w:styleId="Heading1">
    <w:name w:val="heading 1"/>
    <w:basedOn w:val="Normal"/>
    <w:next w:val="Normal"/>
    <w:link w:val="Heading1Char"/>
    <w:uiPriority w:val="98"/>
    <w:semiHidden/>
    <w:rsid w:val="00144EB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44EB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44EB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44EB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44EB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44EB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44EB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44EB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44EB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144EBC"/>
    <w:pPr>
      <w:tabs>
        <w:tab w:val="center" w:pos="1418"/>
        <w:tab w:val="center" w:pos="5954"/>
      </w:tabs>
      <w:spacing w:before="720"/>
    </w:pPr>
  </w:style>
  <w:style w:type="paragraph" w:customStyle="1" w:styleId="JuPara">
    <w:name w:val="Ju_Para"/>
    <w:aliases w:val="_Para,ECHR_Para,Left,First line:  0 cm"/>
    <w:basedOn w:val="NormalJustified"/>
    <w:link w:val="JuParaChar"/>
    <w:uiPriority w:val="4"/>
    <w:qFormat/>
    <w:rsid w:val="00144EBC"/>
    <w:pPr>
      <w:ind w:firstLine="284"/>
    </w:pPr>
  </w:style>
  <w:style w:type="character" w:styleId="PageNumber">
    <w:name w:val="page number"/>
    <w:uiPriority w:val="98"/>
    <w:semiHidden/>
    <w:rsid w:val="00144EBC"/>
    <w:rPr>
      <w:sz w:val="18"/>
    </w:rPr>
  </w:style>
  <w:style w:type="character" w:styleId="CommentReference">
    <w:name w:val="annotation reference"/>
    <w:basedOn w:val="DefaultParagraphFont"/>
    <w:uiPriority w:val="98"/>
    <w:semiHidden/>
    <w:rsid w:val="00144EBC"/>
    <w:rPr>
      <w:sz w:val="16"/>
      <w:szCs w:val="16"/>
    </w:rPr>
  </w:style>
  <w:style w:type="paragraph" w:styleId="CommentText">
    <w:name w:val="annotation text"/>
    <w:basedOn w:val="Normal"/>
    <w:link w:val="CommentTextChar"/>
    <w:uiPriority w:val="98"/>
    <w:semiHidden/>
    <w:rsid w:val="00144EBC"/>
    <w:rPr>
      <w:sz w:val="20"/>
      <w:szCs w:val="20"/>
    </w:rPr>
  </w:style>
  <w:style w:type="character" w:customStyle="1" w:styleId="CommentTextChar">
    <w:name w:val="Comment Text Char"/>
    <w:basedOn w:val="DefaultParagraphFont"/>
    <w:link w:val="CommentText"/>
    <w:uiPriority w:val="98"/>
    <w:semiHidden/>
    <w:rsid w:val="00144EBC"/>
    <w:rPr>
      <w:sz w:val="20"/>
      <w:szCs w:val="20"/>
      <w:lang w:val="en-GB"/>
    </w:rPr>
  </w:style>
  <w:style w:type="paragraph" w:customStyle="1" w:styleId="DecHTitle">
    <w:name w:val="Dec_H_Title"/>
    <w:aliases w:val="_Title_1"/>
    <w:basedOn w:val="JuPara"/>
    <w:next w:val="JuPara"/>
    <w:uiPriority w:val="38"/>
    <w:qFormat/>
    <w:rsid w:val="00144EBC"/>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144EB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44EBC"/>
    <w:pPr>
      <w:keepNext/>
      <w:keepLines/>
      <w:spacing w:before="1320" w:after="280"/>
      <w:contextualSpacing/>
      <w:jc w:val="center"/>
    </w:pPr>
    <w:rPr>
      <w:b/>
    </w:rPr>
  </w:style>
  <w:style w:type="paragraph" w:customStyle="1" w:styleId="JuHeader">
    <w:name w:val="Ju_Header"/>
    <w:aliases w:val="_Header"/>
    <w:basedOn w:val="Header0"/>
    <w:uiPriority w:val="29"/>
    <w:qFormat/>
    <w:rsid w:val="00144EBC"/>
    <w:pPr>
      <w:tabs>
        <w:tab w:val="clear" w:pos="4536"/>
        <w:tab w:val="clear" w:pos="9072"/>
      </w:tabs>
      <w:jc w:val="center"/>
    </w:pPr>
    <w:rPr>
      <w:sz w:val="18"/>
    </w:rPr>
  </w:style>
  <w:style w:type="paragraph" w:styleId="Header0">
    <w:name w:val="header"/>
    <w:basedOn w:val="Normal"/>
    <w:link w:val="HeaderChar"/>
    <w:uiPriority w:val="98"/>
    <w:semiHidden/>
    <w:rsid w:val="00144EBC"/>
    <w:pPr>
      <w:tabs>
        <w:tab w:val="center" w:pos="4536"/>
        <w:tab w:val="right" w:pos="9072"/>
      </w:tabs>
    </w:pPr>
  </w:style>
  <w:style w:type="character" w:customStyle="1" w:styleId="HeaderChar">
    <w:name w:val="Header Char"/>
    <w:basedOn w:val="DefaultParagraphFont"/>
    <w:link w:val="Header0"/>
    <w:uiPriority w:val="98"/>
    <w:semiHidden/>
    <w:rsid w:val="00144EBC"/>
    <w:rPr>
      <w:sz w:val="24"/>
      <w:szCs w:val="24"/>
      <w:lang w:val="en-GB"/>
    </w:rPr>
  </w:style>
  <w:style w:type="paragraph" w:styleId="BalloonText">
    <w:name w:val="Balloon Text"/>
    <w:basedOn w:val="Normal"/>
    <w:link w:val="BalloonTextChar"/>
    <w:uiPriority w:val="98"/>
    <w:semiHidden/>
    <w:rsid w:val="00144EBC"/>
    <w:rPr>
      <w:rFonts w:ascii="Tahoma" w:hAnsi="Tahoma" w:cs="Tahoma"/>
      <w:sz w:val="16"/>
      <w:szCs w:val="16"/>
    </w:rPr>
  </w:style>
  <w:style w:type="character" w:customStyle="1" w:styleId="BalloonTextChar">
    <w:name w:val="Balloon Text Char"/>
    <w:basedOn w:val="DefaultParagraphFont"/>
    <w:link w:val="BalloonText"/>
    <w:uiPriority w:val="98"/>
    <w:semiHidden/>
    <w:rsid w:val="00144EBC"/>
    <w:rPr>
      <w:rFonts w:ascii="Tahoma" w:hAnsi="Tahoma" w:cs="Tahoma"/>
      <w:sz w:val="16"/>
      <w:szCs w:val="16"/>
      <w:lang w:val="en-GB"/>
    </w:rPr>
  </w:style>
  <w:style w:type="paragraph" w:customStyle="1" w:styleId="DummyStyle">
    <w:name w:val="Dummy_Style"/>
    <w:aliases w:val="_Dummy"/>
    <w:basedOn w:val="Normal"/>
    <w:semiHidden/>
    <w:qFormat/>
    <w:rsid w:val="00144EBC"/>
    <w:rPr>
      <w:color w:val="00B050"/>
      <w:sz w:val="22"/>
    </w:rPr>
  </w:style>
  <w:style w:type="paragraph" w:customStyle="1" w:styleId="NormalJustified">
    <w:name w:val="Normal_Justified"/>
    <w:basedOn w:val="Normal"/>
    <w:semiHidden/>
    <w:rsid w:val="00144EBC"/>
    <w:pPr>
      <w:jc w:val="both"/>
    </w:pPr>
  </w:style>
  <w:style w:type="paragraph" w:customStyle="1" w:styleId="JuQuot">
    <w:name w:val="Ju_Quot"/>
    <w:aliases w:val="_Quote"/>
    <w:basedOn w:val="NormalJustified"/>
    <w:uiPriority w:val="20"/>
    <w:qFormat/>
    <w:rsid w:val="00144EBC"/>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144EBC"/>
    <w:pPr>
      <w:keepNext/>
      <w:keepLines/>
      <w:tabs>
        <w:tab w:val="right" w:pos="7938"/>
      </w:tabs>
      <w:ind w:firstLine="0"/>
      <w:jc w:val="center"/>
    </w:pPr>
    <w:rPr>
      <w:i/>
    </w:rPr>
  </w:style>
  <w:style w:type="table" w:customStyle="1" w:styleId="ECHRDNTable">
    <w:name w:val="ECHR_DN_Table"/>
    <w:basedOn w:val="TableNormal"/>
    <w:uiPriority w:val="99"/>
    <w:rsid w:val="00144EB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144EBC"/>
    <w:pPr>
      <w:numPr>
        <w:numId w:val="4"/>
      </w:numPr>
    </w:pPr>
  </w:style>
  <w:style w:type="numbering" w:customStyle="1" w:styleId="ECHRA1StyleList">
    <w:name w:val="ECHR_A1_Style_List"/>
    <w:basedOn w:val="NoList"/>
    <w:uiPriority w:val="99"/>
    <w:rsid w:val="00144EBC"/>
    <w:pPr>
      <w:numPr>
        <w:numId w:val="5"/>
      </w:numPr>
    </w:pPr>
  </w:style>
  <w:style w:type="paragraph" w:customStyle="1" w:styleId="JuHArticle">
    <w:name w:val="Ju_H_Article"/>
    <w:aliases w:val="_Title_Quote"/>
    <w:basedOn w:val="Normal"/>
    <w:next w:val="JuQuot"/>
    <w:uiPriority w:val="19"/>
    <w:qFormat/>
    <w:rsid w:val="00144EBC"/>
    <w:pPr>
      <w:keepNext/>
      <w:spacing w:before="100" w:beforeAutospacing="1" w:after="120"/>
      <w:contextualSpacing/>
      <w:jc w:val="center"/>
    </w:pPr>
    <w:rPr>
      <w:b/>
      <w:sz w:val="20"/>
    </w:rPr>
  </w:style>
  <w:style w:type="numbering" w:customStyle="1" w:styleId="ECHRA1StyleNumberedList">
    <w:name w:val="ECHR_A1_Style_Numbered_List"/>
    <w:basedOn w:val="NoList"/>
    <w:rsid w:val="00144EBC"/>
    <w:pPr>
      <w:numPr>
        <w:numId w:val="6"/>
      </w:numPr>
    </w:pPr>
  </w:style>
  <w:style w:type="table" w:customStyle="1" w:styleId="ECHRHeaderTable">
    <w:name w:val="ECHR_Header_Table"/>
    <w:basedOn w:val="TableNormal"/>
    <w:uiPriority w:val="99"/>
    <w:rsid w:val="00144EB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144EBC"/>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144EBC"/>
    <w:pPr>
      <w:tabs>
        <w:tab w:val="center" w:pos="6407"/>
      </w:tabs>
      <w:spacing w:before="720"/>
      <w:jc w:val="right"/>
    </w:pPr>
  </w:style>
  <w:style w:type="table" w:customStyle="1" w:styleId="ECHRHeaderTableReduced">
    <w:name w:val="ECHR_Header_Table_Reduced"/>
    <w:basedOn w:val="TableNormal"/>
    <w:uiPriority w:val="99"/>
    <w:rsid w:val="00144EB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144EBC"/>
    <w:rPr>
      <w:caps w:val="0"/>
      <w:smallCaps/>
    </w:rPr>
  </w:style>
  <w:style w:type="character" w:customStyle="1" w:styleId="JuITMark">
    <w:name w:val="Ju_ITMark"/>
    <w:aliases w:val="_ITMark"/>
    <w:basedOn w:val="DefaultParagraphFont"/>
    <w:uiPriority w:val="54"/>
    <w:qFormat/>
    <w:rsid w:val="00144EBC"/>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144EB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44EBC"/>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144EBC"/>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144EBC"/>
    <w:pPr>
      <w:keepNext/>
      <w:keepLines/>
      <w:numPr>
        <w:ilvl w:val="2"/>
        <w:numId w:val="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144EBC"/>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144EBC"/>
    <w:pPr>
      <w:keepNext/>
      <w:keepLines/>
      <w:numPr>
        <w:ilvl w:val="3"/>
        <w:numId w:val="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144EBC"/>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144EBC"/>
    <w:pPr>
      <w:keepNext/>
      <w:keepLines/>
      <w:numPr>
        <w:ilvl w:val="4"/>
        <w:numId w:val="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144EBC"/>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144EBC"/>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144EBC"/>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144EBC"/>
    <w:pPr>
      <w:keepNext/>
      <w:keepLines/>
      <w:numPr>
        <w:ilvl w:val="6"/>
        <w:numId w:val="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144EBC"/>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144EBC"/>
    <w:pPr>
      <w:keepNext/>
      <w:keepLines/>
      <w:numPr>
        <w:ilvl w:val="7"/>
        <w:numId w:val="9"/>
      </w:numPr>
      <w:spacing w:before="100" w:beforeAutospacing="1" w:after="120"/>
      <w:jc w:val="both"/>
    </w:pPr>
    <w:rPr>
      <w:i/>
    </w:rPr>
  </w:style>
  <w:style w:type="character" w:customStyle="1" w:styleId="Heading7Char">
    <w:name w:val="Heading 7 Char"/>
    <w:basedOn w:val="DefaultParagraphFont"/>
    <w:link w:val="Heading7"/>
    <w:uiPriority w:val="98"/>
    <w:semiHidden/>
    <w:rsid w:val="00144EBC"/>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144EBC"/>
    <w:pPr>
      <w:keepNext/>
      <w:keepLines/>
      <w:spacing w:before="240" w:after="240"/>
      <w:ind w:firstLine="284"/>
    </w:pPr>
  </w:style>
  <w:style w:type="table" w:customStyle="1" w:styleId="ECHRTableBoxHeader">
    <w:name w:val="ECHR_Table_Box_Header"/>
    <w:basedOn w:val="TableNormal"/>
    <w:rsid w:val="00144EB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144EBC"/>
    <w:pPr>
      <w:tabs>
        <w:tab w:val="left" w:pos="567"/>
        <w:tab w:val="left" w:pos="1134"/>
      </w:tabs>
    </w:pPr>
  </w:style>
  <w:style w:type="paragraph" w:customStyle="1" w:styleId="JuList">
    <w:name w:val="Ju_List"/>
    <w:aliases w:val="_List_1"/>
    <w:basedOn w:val="NormalJustified"/>
    <w:uiPriority w:val="23"/>
    <w:qFormat/>
    <w:rsid w:val="00144EBC"/>
    <w:pPr>
      <w:numPr>
        <w:numId w:val="10"/>
      </w:numPr>
      <w:spacing w:before="280" w:after="60"/>
    </w:pPr>
  </w:style>
  <w:style w:type="paragraph" w:customStyle="1" w:styleId="JuLista">
    <w:name w:val="Ju_List_a"/>
    <w:aliases w:val="_List_2"/>
    <w:basedOn w:val="NormalJustified"/>
    <w:uiPriority w:val="23"/>
    <w:rsid w:val="00144EBC"/>
    <w:pPr>
      <w:numPr>
        <w:ilvl w:val="1"/>
        <w:numId w:val="10"/>
      </w:numPr>
    </w:pPr>
  </w:style>
  <w:style w:type="paragraph" w:customStyle="1" w:styleId="JuListi">
    <w:name w:val="Ju_List_i"/>
    <w:aliases w:val="_List_3"/>
    <w:basedOn w:val="NormalJustified"/>
    <w:uiPriority w:val="23"/>
    <w:rsid w:val="00144EBC"/>
    <w:pPr>
      <w:numPr>
        <w:ilvl w:val="2"/>
        <w:numId w:val="10"/>
      </w:numPr>
    </w:pPr>
  </w:style>
  <w:style w:type="table" w:customStyle="1" w:styleId="ECHRTableFax">
    <w:name w:val="ECHR_Table_Fax"/>
    <w:basedOn w:val="TableNormal"/>
    <w:uiPriority w:val="99"/>
    <w:rsid w:val="00144EB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144EB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144EB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144EB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44EBC"/>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144EB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44EBC"/>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144EB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44EBC"/>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144EBC"/>
    <w:rPr>
      <w:b/>
      <w:bCs/>
    </w:rPr>
  </w:style>
  <w:style w:type="character" w:styleId="Emphasis">
    <w:name w:val="Emphasis"/>
    <w:uiPriority w:val="98"/>
    <w:semiHidden/>
    <w:qFormat/>
    <w:rsid w:val="00144EBC"/>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144EBC"/>
  </w:style>
  <w:style w:type="character" w:customStyle="1" w:styleId="NoSpacingChar">
    <w:name w:val="No Spacing Char"/>
    <w:basedOn w:val="DefaultParagraphFont"/>
    <w:link w:val="NoSpacing"/>
    <w:uiPriority w:val="98"/>
    <w:semiHidden/>
    <w:rsid w:val="00144EBC"/>
    <w:rPr>
      <w:sz w:val="24"/>
      <w:szCs w:val="24"/>
      <w:lang w:val="en-GB"/>
    </w:rPr>
  </w:style>
  <w:style w:type="paragraph" w:styleId="ListParagraph">
    <w:name w:val="List Paragraph"/>
    <w:basedOn w:val="Normal"/>
    <w:uiPriority w:val="98"/>
    <w:semiHidden/>
    <w:qFormat/>
    <w:rsid w:val="00144EBC"/>
    <w:pPr>
      <w:ind w:left="720"/>
      <w:contextualSpacing/>
    </w:pPr>
  </w:style>
  <w:style w:type="paragraph" w:styleId="Quote0">
    <w:name w:val="Quote"/>
    <w:basedOn w:val="Normal"/>
    <w:next w:val="Normal"/>
    <w:link w:val="QuoteChar"/>
    <w:uiPriority w:val="98"/>
    <w:semiHidden/>
    <w:qFormat/>
    <w:rsid w:val="00144EBC"/>
    <w:pPr>
      <w:spacing w:before="200"/>
      <w:ind w:left="360" w:right="360"/>
    </w:pPr>
    <w:rPr>
      <w:i/>
      <w:iCs/>
      <w:lang w:bidi="en-US"/>
    </w:rPr>
  </w:style>
  <w:style w:type="character" w:customStyle="1" w:styleId="QuoteChar">
    <w:name w:val="Quote Char"/>
    <w:basedOn w:val="DefaultParagraphFont"/>
    <w:link w:val="Quote0"/>
    <w:uiPriority w:val="98"/>
    <w:semiHidden/>
    <w:rsid w:val="00144EBC"/>
    <w:rPr>
      <w:i/>
      <w:iCs/>
      <w:sz w:val="24"/>
      <w:szCs w:val="24"/>
      <w:lang w:val="en-GB" w:bidi="en-US"/>
    </w:rPr>
  </w:style>
  <w:style w:type="paragraph" w:styleId="IntenseQuote">
    <w:name w:val="Intense Quote"/>
    <w:basedOn w:val="Normal"/>
    <w:next w:val="Normal"/>
    <w:link w:val="IntenseQuoteChar"/>
    <w:uiPriority w:val="98"/>
    <w:semiHidden/>
    <w:qFormat/>
    <w:rsid w:val="00144EB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44EBC"/>
    <w:rPr>
      <w:b/>
      <w:bCs/>
      <w:i/>
      <w:iCs/>
      <w:sz w:val="24"/>
      <w:szCs w:val="24"/>
      <w:lang w:val="en-GB" w:bidi="en-US"/>
    </w:rPr>
  </w:style>
  <w:style w:type="character" w:styleId="SubtleEmphasis">
    <w:name w:val="Subtle Emphasis"/>
    <w:uiPriority w:val="98"/>
    <w:semiHidden/>
    <w:qFormat/>
    <w:rsid w:val="00144EBC"/>
    <w:rPr>
      <w:i/>
      <w:iCs/>
    </w:rPr>
  </w:style>
  <w:style w:type="character" w:styleId="IntenseEmphasis">
    <w:name w:val="Intense Emphasis"/>
    <w:uiPriority w:val="98"/>
    <w:semiHidden/>
    <w:qFormat/>
    <w:rsid w:val="00144EBC"/>
    <w:rPr>
      <w:b/>
      <w:bCs/>
    </w:rPr>
  </w:style>
  <w:style w:type="character" w:styleId="SubtleReference">
    <w:name w:val="Subtle Reference"/>
    <w:uiPriority w:val="98"/>
    <w:semiHidden/>
    <w:qFormat/>
    <w:rsid w:val="00144EBC"/>
    <w:rPr>
      <w:smallCaps/>
    </w:rPr>
  </w:style>
  <w:style w:type="character" w:styleId="IntenseReference">
    <w:name w:val="Intense Reference"/>
    <w:uiPriority w:val="98"/>
    <w:semiHidden/>
    <w:qFormat/>
    <w:rsid w:val="00144EBC"/>
    <w:rPr>
      <w:smallCaps/>
      <w:spacing w:val="5"/>
      <w:u w:val="single"/>
    </w:rPr>
  </w:style>
  <w:style w:type="character" w:styleId="BookTitle">
    <w:name w:val="Book Title"/>
    <w:uiPriority w:val="98"/>
    <w:semiHidden/>
    <w:qFormat/>
    <w:rsid w:val="00144EBC"/>
    <w:rPr>
      <w:i/>
      <w:iCs/>
      <w:smallCaps/>
      <w:spacing w:val="5"/>
    </w:rPr>
  </w:style>
  <w:style w:type="paragraph" w:styleId="TOCHeading">
    <w:name w:val="TOC Heading"/>
    <w:basedOn w:val="Normal"/>
    <w:next w:val="Normal"/>
    <w:uiPriority w:val="98"/>
    <w:semiHidden/>
    <w:qFormat/>
    <w:rsid w:val="00144EBC"/>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144EBC"/>
    <w:pPr>
      <w:numPr>
        <w:numId w:val="1"/>
      </w:numPr>
    </w:pPr>
  </w:style>
  <w:style w:type="numbering" w:styleId="1ai">
    <w:name w:val="Outline List 1"/>
    <w:basedOn w:val="NoList"/>
    <w:uiPriority w:val="99"/>
    <w:semiHidden/>
    <w:unhideWhenUsed/>
    <w:rsid w:val="00144EBC"/>
    <w:pPr>
      <w:numPr>
        <w:numId w:val="2"/>
      </w:numPr>
    </w:pPr>
  </w:style>
  <w:style w:type="numbering" w:styleId="ArticleSection">
    <w:name w:val="Outline List 3"/>
    <w:basedOn w:val="NoList"/>
    <w:uiPriority w:val="99"/>
    <w:semiHidden/>
    <w:unhideWhenUsed/>
    <w:rsid w:val="00144EBC"/>
    <w:pPr>
      <w:numPr>
        <w:numId w:val="3"/>
      </w:numPr>
    </w:pPr>
  </w:style>
  <w:style w:type="paragraph" w:styleId="Bibliography">
    <w:name w:val="Bibliography"/>
    <w:basedOn w:val="Normal"/>
    <w:next w:val="Normal"/>
    <w:uiPriority w:val="98"/>
    <w:semiHidden/>
    <w:rsid w:val="00144EBC"/>
  </w:style>
  <w:style w:type="paragraph" w:styleId="BlockText">
    <w:name w:val="Block Text"/>
    <w:basedOn w:val="Normal"/>
    <w:uiPriority w:val="98"/>
    <w:semiHidden/>
    <w:rsid w:val="00144EB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144EBC"/>
    <w:pPr>
      <w:spacing w:after="120"/>
    </w:pPr>
  </w:style>
  <w:style w:type="character" w:customStyle="1" w:styleId="BodyTextChar">
    <w:name w:val="Body Text Char"/>
    <w:basedOn w:val="DefaultParagraphFont"/>
    <w:link w:val="BodyText"/>
    <w:uiPriority w:val="98"/>
    <w:semiHidden/>
    <w:rsid w:val="00144EBC"/>
    <w:rPr>
      <w:sz w:val="24"/>
      <w:szCs w:val="24"/>
      <w:lang w:val="en-GB"/>
    </w:rPr>
  </w:style>
  <w:style w:type="paragraph" w:styleId="BodyText2">
    <w:name w:val="Body Text 2"/>
    <w:basedOn w:val="Normal"/>
    <w:link w:val="BodyText2Char"/>
    <w:uiPriority w:val="98"/>
    <w:semiHidden/>
    <w:rsid w:val="00144EBC"/>
    <w:pPr>
      <w:spacing w:after="120" w:line="480" w:lineRule="auto"/>
    </w:pPr>
  </w:style>
  <w:style w:type="character" w:customStyle="1" w:styleId="BodyText2Char">
    <w:name w:val="Body Text 2 Char"/>
    <w:basedOn w:val="DefaultParagraphFont"/>
    <w:link w:val="BodyText2"/>
    <w:uiPriority w:val="98"/>
    <w:semiHidden/>
    <w:rsid w:val="00144EBC"/>
    <w:rPr>
      <w:sz w:val="24"/>
      <w:szCs w:val="24"/>
      <w:lang w:val="en-GB"/>
    </w:rPr>
  </w:style>
  <w:style w:type="paragraph" w:styleId="BodyText3">
    <w:name w:val="Body Text 3"/>
    <w:basedOn w:val="Normal"/>
    <w:link w:val="BodyText3Char"/>
    <w:uiPriority w:val="98"/>
    <w:semiHidden/>
    <w:rsid w:val="00144EBC"/>
    <w:pPr>
      <w:spacing w:after="120"/>
    </w:pPr>
    <w:rPr>
      <w:sz w:val="16"/>
      <w:szCs w:val="16"/>
    </w:rPr>
  </w:style>
  <w:style w:type="character" w:customStyle="1" w:styleId="BodyText3Char">
    <w:name w:val="Body Text 3 Char"/>
    <w:basedOn w:val="DefaultParagraphFont"/>
    <w:link w:val="BodyText3"/>
    <w:uiPriority w:val="98"/>
    <w:semiHidden/>
    <w:rsid w:val="00144EBC"/>
    <w:rPr>
      <w:sz w:val="16"/>
      <w:szCs w:val="16"/>
      <w:lang w:val="en-GB"/>
    </w:rPr>
  </w:style>
  <w:style w:type="paragraph" w:styleId="BodyTextFirstIndent">
    <w:name w:val="Body Text First Indent"/>
    <w:basedOn w:val="BodyText"/>
    <w:link w:val="BodyTextFirstIndentChar"/>
    <w:uiPriority w:val="98"/>
    <w:semiHidden/>
    <w:rsid w:val="00144EBC"/>
    <w:pPr>
      <w:spacing w:after="0"/>
      <w:ind w:firstLine="360"/>
    </w:pPr>
  </w:style>
  <w:style w:type="character" w:customStyle="1" w:styleId="BodyTextFirstIndentChar">
    <w:name w:val="Body Text First Indent Char"/>
    <w:basedOn w:val="BodyTextChar"/>
    <w:link w:val="BodyTextFirstIndent"/>
    <w:uiPriority w:val="98"/>
    <w:semiHidden/>
    <w:rsid w:val="00144EBC"/>
    <w:rPr>
      <w:sz w:val="24"/>
      <w:szCs w:val="24"/>
      <w:lang w:val="en-GB"/>
    </w:rPr>
  </w:style>
  <w:style w:type="paragraph" w:styleId="BodyTextIndent">
    <w:name w:val="Body Text Indent"/>
    <w:basedOn w:val="Normal"/>
    <w:link w:val="BodyTextIndentChar"/>
    <w:uiPriority w:val="98"/>
    <w:semiHidden/>
    <w:rsid w:val="00144EBC"/>
    <w:pPr>
      <w:spacing w:after="120"/>
      <w:ind w:left="283"/>
    </w:pPr>
  </w:style>
  <w:style w:type="character" w:customStyle="1" w:styleId="BodyTextIndentChar">
    <w:name w:val="Body Text Indent Char"/>
    <w:basedOn w:val="DefaultParagraphFont"/>
    <w:link w:val="BodyTextIndent"/>
    <w:uiPriority w:val="98"/>
    <w:semiHidden/>
    <w:rsid w:val="00144EBC"/>
    <w:rPr>
      <w:sz w:val="24"/>
      <w:szCs w:val="24"/>
      <w:lang w:val="en-GB"/>
    </w:rPr>
  </w:style>
  <w:style w:type="paragraph" w:styleId="BodyTextFirstIndent2">
    <w:name w:val="Body Text First Indent 2"/>
    <w:basedOn w:val="BodyTextIndent"/>
    <w:link w:val="BodyTextFirstIndent2Char"/>
    <w:uiPriority w:val="98"/>
    <w:semiHidden/>
    <w:rsid w:val="00144EBC"/>
    <w:pPr>
      <w:spacing w:after="0"/>
      <w:ind w:left="360" w:firstLine="360"/>
    </w:pPr>
  </w:style>
  <w:style w:type="character" w:customStyle="1" w:styleId="BodyTextFirstIndent2Char">
    <w:name w:val="Body Text First Indent 2 Char"/>
    <w:basedOn w:val="BodyTextIndentChar"/>
    <w:link w:val="BodyTextFirstIndent2"/>
    <w:uiPriority w:val="98"/>
    <w:semiHidden/>
    <w:rsid w:val="00144EBC"/>
    <w:rPr>
      <w:sz w:val="24"/>
      <w:szCs w:val="24"/>
      <w:lang w:val="en-GB"/>
    </w:rPr>
  </w:style>
  <w:style w:type="paragraph" w:styleId="BodyTextIndent2">
    <w:name w:val="Body Text Indent 2"/>
    <w:basedOn w:val="Normal"/>
    <w:link w:val="BodyTextIndent2Char"/>
    <w:uiPriority w:val="98"/>
    <w:semiHidden/>
    <w:rsid w:val="00144EBC"/>
    <w:pPr>
      <w:spacing w:after="120" w:line="480" w:lineRule="auto"/>
      <w:ind w:left="283"/>
    </w:pPr>
  </w:style>
  <w:style w:type="character" w:customStyle="1" w:styleId="BodyTextIndent2Char">
    <w:name w:val="Body Text Indent 2 Char"/>
    <w:basedOn w:val="DefaultParagraphFont"/>
    <w:link w:val="BodyTextIndent2"/>
    <w:uiPriority w:val="98"/>
    <w:semiHidden/>
    <w:rsid w:val="00144EBC"/>
    <w:rPr>
      <w:sz w:val="24"/>
      <w:szCs w:val="24"/>
      <w:lang w:val="en-GB"/>
    </w:rPr>
  </w:style>
  <w:style w:type="paragraph" w:styleId="BodyTextIndent3">
    <w:name w:val="Body Text Indent 3"/>
    <w:basedOn w:val="Normal"/>
    <w:link w:val="BodyTextIndent3Char"/>
    <w:uiPriority w:val="98"/>
    <w:semiHidden/>
    <w:rsid w:val="00144EB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44EBC"/>
    <w:rPr>
      <w:sz w:val="16"/>
      <w:szCs w:val="16"/>
      <w:lang w:val="en-GB"/>
    </w:rPr>
  </w:style>
  <w:style w:type="paragraph" w:styleId="Caption">
    <w:name w:val="caption"/>
    <w:basedOn w:val="Normal"/>
    <w:next w:val="Normal"/>
    <w:uiPriority w:val="98"/>
    <w:semiHidden/>
    <w:qFormat/>
    <w:rsid w:val="00144EBC"/>
    <w:pPr>
      <w:spacing w:after="200"/>
    </w:pPr>
    <w:rPr>
      <w:b/>
      <w:bCs/>
      <w:color w:val="0072BC" w:themeColor="accent1"/>
      <w:sz w:val="18"/>
      <w:szCs w:val="18"/>
    </w:rPr>
  </w:style>
  <w:style w:type="paragraph" w:styleId="Closing">
    <w:name w:val="Closing"/>
    <w:basedOn w:val="Normal"/>
    <w:link w:val="ClosingChar"/>
    <w:uiPriority w:val="98"/>
    <w:semiHidden/>
    <w:rsid w:val="00144EBC"/>
    <w:pPr>
      <w:ind w:left="4252"/>
    </w:pPr>
  </w:style>
  <w:style w:type="character" w:customStyle="1" w:styleId="ClosingChar">
    <w:name w:val="Closing Char"/>
    <w:basedOn w:val="DefaultParagraphFont"/>
    <w:link w:val="Closing"/>
    <w:uiPriority w:val="98"/>
    <w:semiHidden/>
    <w:rsid w:val="00144EBC"/>
    <w:rPr>
      <w:sz w:val="24"/>
      <w:szCs w:val="24"/>
      <w:lang w:val="en-GB"/>
    </w:rPr>
  </w:style>
  <w:style w:type="table" w:styleId="ColorfulGrid">
    <w:name w:val="Colorful Grid"/>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44EB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44EB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44EB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44EB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44EB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44EB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44EB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44EB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44EB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44EB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44EB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144EBC"/>
    <w:rPr>
      <w:b/>
      <w:bCs/>
    </w:rPr>
  </w:style>
  <w:style w:type="character" w:customStyle="1" w:styleId="CommentSubjectChar">
    <w:name w:val="Comment Subject Char"/>
    <w:basedOn w:val="CommentTextChar"/>
    <w:link w:val="CommentSubject"/>
    <w:uiPriority w:val="98"/>
    <w:semiHidden/>
    <w:rsid w:val="00144EBC"/>
    <w:rPr>
      <w:b/>
      <w:bCs/>
      <w:sz w:val="20"/>
      <w:szCs w:val="20"/>
      <w:lang w:val="en-GB"/>
    </w:rPr>
  </w:style>
  <w:style w:type="table" w:styleId="DarkList">
    <w:name w:val="Dark List"/>
    <w:basedOn w:val="TableNormal"/>
    <w:uiPriority w:val="70"/>
    <w:semiHidden/>
    <w:rsid w:val="00144EB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44EB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44EB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44EB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44EB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44EB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44EB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44EBC"/>
  </w:style>
  <w:style w:type="character" w:customStyle="1" w:styleId="DateChar">
    <w:name w:val="Date Char"/>
    <w:basedOn w:val="DefaultParagraphFont"/>
    <w:link w:val="Date"/>
    <w:uiPriority w:val="98"/>
    <w:semiHidden/>
    <w:rsid w:val="00144EBC"/>
    <w:rPr>
      <w:sz w:val="24"/>
      <w:szCs w:val="24"/>
      <w:lang w:val="en-GB"/>
    </w:rPr>
  </w:style>
  <w:style w:type="paragraph" w:styleId="DocumentMap">
    <w:name w:val="Document Map"/>
    <w:basedOn w:val="Normal"/>
    <w:link w:val="DocumentMapChar"/>
    <w:uiPriority w:val="98"/>
    <w:semiHidden/>
    <w:rsid w:val="00144EBC"/>
    <w:rPr>
      <w:rFonts w:ascii="Tahoma" w:hAnsi="Tahoma" w:cs="Tahoma"/>
      <w:sz w:val="16"/>
      <w:szCs w:val="16"/>
    </w:rPr>
  </w:style>
  <w:style w:type="character" w:customStyle="1" w:styleId="DocumentMapChar">
    <w:name w:val="Document Map Char"/>
    <w:basedOn w:val="DefaultParagraphFont"/>
    <w:link w:val="DocumentMap"/>
    <w:uiPriority w:val="98"/>
    <w:semiHidden/>
    <w:rsid w:val="00144EBC"/>
    <w:rPr>
      <w:rFonts w:ascii="Tahoma" w:hAnsi="Tahoma" w:cs="Tahoma"/>
      <w:sz w:val="16"/>
      <w:szCs w:val="16"/>
      <w:lang w:val="en-GB"/>
    </w:rPr>
  </w:style>
  <w:style w:type="paragraph" w:styleId="E-mailSignature">
    <w:name w:val="E-mail Signature"/>
    <w:basedOn w:val="Normal"/>
    <w:link w:val="E-mailSignatureChar"/>
    <w:uiPriority w:val="98"/>
    <w:semiHidden/>
    <w:rsid w:val="00144EBC"/>
  </w:style>
  <w:style w:type="character" w:customStyle="1" w:styleId="E-mailSignatureChar">
    <w:name w:val="E-mail Signature Char"/>
    <w:basedOn w:val="DefaultParagraphFont"/>
    <w:link w:val="E-mailSignature"/>
    <w:uiPriority w:val="98"/>
    <w:semiHidden/>
    <w:rsid w:val="00144EBC"/>
    <w:rPr>
      <w:sz w:val="24"/>
      <w:szCs w:val="24"/>
      <w:lang w:val="en-GB"/>
    </w:rPr>
  </w:style>
  <w:style w:type="character" w:styleId="EndnoteReference">
    <w:name w:val="endnote reference"/>
    <w:basedOn w:val="DefaultParagraphFont"/>
    <w:uiPriority w:val="98"/>
    <w:semiHidden/>
    <w:rsid w:val="00144EBC"/>
    <w:rPr>
      <w:vertAlign w:val="superscript"/>
    </w:rPr>
  </w:style>
  <w:style w:type="paragraph" w:styleId="EndnoteText">
    <w:name w:val="endnote text"/>
    <w:basedOn w:val="Normal"/>
    <w:link w:val="EndnoteTextChar"/>
    <w:uiPriority w:val="98"/>
    <w:semiHidden/>
    <w:rsid w:val="00144EBC"/>
    <w:rPr>
      <w:sz w:val="20"/>
      <w:szCs w:val="20"/>
    </w:rPr>
  </w:style>
  <w:style w:type="character" w:customStyle="1" w:styleId="EndnoteTextChar">
    <w:name w:val="Endnote Text Char"/>
    <w:basedOn w:val="DefaultParagraphFont"/>
    <w:link w:val="EndnoteText"/>
    <w:uiPriority w:val="98"/>
    <w:semiHidden/>
    <w:rsid w:val="00144EBC"/>
    <w:rPr>
      <w:sz w:val="20"/>
      <w:szCs w:val="20"/>
      <w:lang w:val="en-GB"/>
    </w:rPr>
  </w:style>
  <w:style w:type="paragraph" w:styleId="EnvelopeAddress">
    <w:name w:val="envelope address"/>
    <w:basedOn w:val="Normal"/>
    <w:uiPriority w:val="98"/>
    <w:semiHidden/>
    <w:rsid w:val="00144EB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44EB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44EBC"/>
    <w:rPr>
      <w:color w:val="7030A0" w:themeColor="followedHyperlink"/>
      <w:u w:val="single"/>
    </w:rPr>
  </w:style>
  <w:style w:type="character" w:styleId="FootnoteReference">
    <w:name w:val="footnote reference"/>
    <w:basedOn w:val="DefaultParagraphFont"/>
    <w:uiPriority w:val="98"/>
    <w:semiHidden/>
    <w:rsid w:val="00144EBC"/>
    <w:rPr>
      <w:vertAlign w:val="superscript"/>
    </w:rPr>
  </w:style>
  <w:style w:type="paragraph" w:styleId="FootnoteText">
    <w:name w:val="footnote text"/>
    <w:basedOn w:val="Normal"/>
    <w:link w:val="FootnoteTextChar"/>
    <w:uiPriority w:val="98"/>
    <w:semiHidden/>
    <w:rsid w:val="00144EBC"/>
    <w:rPr>
      <w:sz w:val="20"/>
      <w:szCs w:val="20"/>
    </w:rPr>
  </w:style>
  <w:style w:type="character" w:customStyle="1" w:styleId="FootnoteTextChar">
    <w:name w:val="Footnote Text Char"/>
    <w:basedOn w:val="DefaultParagraphFont"/>
    <w:link w:val="FootnoteText"/>
    <w:uiPriority w:val="98"/>
    <w:semiHidden/>
    <w:rsid w:val="00144EBC"/>
    <w:rPr>
      <w:sz w:val="20"/>
      <w:szCs w:val="20"/>
      <w:lang w:val="en-GB"/>
    </w:rPr>
  </w:style>
  <w:style w:type="character" w:styleId="HTMLAcronym">
    <w:name w:val="HTML Acronym"/>
    <w:basedOn w:val="DefaultParagraphFont"/>
    <w:uiPriority w:val="98"/>
    <w:semiHidden/>
    <w:rsid w:val="00144EBC"/>
  </w:style>
  <w:style w:type="paragraph" w:styleId="HTMLAddress">
    <w:name w:val="HTML Address"/>
    <w:basedOn w:val="Normal"/>
    <w:link w:val="HTMLAddressChar"/>
    <w:uiPriority w:val="98"/>
    <w:semiHidden/>
    <w:rsid w:val="00144EBC"/>
    <w:rPr>
      <w:i/>
      <w:iCs/>
    </w:rPr>
  </w:style>
  <w:style w:type="character" w:customStyle="1" w:styleId="HTMLAddressChar">
    <w:name w:val="HTML Address Char"/>
    <w:basedOn w:val="DefaultParagraphFont"/>
    <w:link w:val="HTMLAddress"/>
    <w:uiPriority w:val="98"/>
    <w:semiHidden/>
    <w:rsid w:val="00144EBC"/>
    <w:rPr>
      <w:i/>
      <w:iCs/>
      <w:sz w:val="24"/>
      <w:szCs w:val="24"/>
      <w:lang w:val="en-GB"/>
    </w:rPr>
  </w:style>
  <w:style w:type="character" w:styleId="HTMLCite">
    <w:name w:val="HTML Cite"/>
    <w:basedOn w:val="DefaultParagraphFont"/>
    <w:uiPriority w:val="98"/>
    <w:semiHidden/>
    <w:rsid w:val="00144EBC"/>
    <w:rPr>
      <w:i/>
      <w:iCs/>
    </w:rPr>
  </w:style>
  <w:style w:type="character" w:styleId="HTMLCode">
    <w:name w:val="HTML Code"/>
    <w:basedOn w:val="DefaultParagraphFont"/>
    <w:uiPriority w:val="98"/>
    <w:semiHidden/>
    <w:rsid w:val="00144EBC"/>
    <w:rPr>
      <w:rFonts w:ascii="Consolas" w:hAnsi="Consolas" w:cs="Consolas"/>
      <w:sz w:val="20"/>
      <w:szCs w:val="20"/>
    </w:rPr>
  </w:style>
  <w:style w:type="character" w:styleId="HTMLDefinition">
    <w:name w:val="HTML Definition"/>
    <w:basedOn w:val="DefaultParagraphFont"/>
    <w:uiPriority w:val="98"/>
    <w:semiHidden/>
    <w:rsid w:val="00144EBC"/>
    <w:rPr>
      <w:i/>
      <w:iCs/>
    </w:rPr>
  </w:style>
  <w:style w:type="character" w:styleId="HTMLKeyboard">
    <w:name w:val="HTML Keyboard"/>
    <w:basedOn w:val="DefaultParagraphFont"/>
    <w:uiPriority w:val="98"/>
    <w:semiHidden/>
    <w:rsid w:val="00144EBC"/>
    <w:rPr>
      <w:rFonts w:ascii="Consolas" w:hAnsi="Consolas" w:cs="Consolas"/>
      <w:sz w:val="20"/>
      <w:szCs w:val="20"/>
    </w:rPr>
  </w:style>
  <w:style w:type="paragraph" w:styleId="HTMLPreformatted">
    <w:name w:val="HTML Preformatted"/>
    <w:basedOn w:val="Normal"/>
    <w:link w:val="HTMLPreformattedChar"/>
    <w:uiPriority w:val="98"/>
    <w:semiHidden/>
    <w:rsid w:val="00144EB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44EBC"/>
    <w:rPr>
      <w:rFonts w:ascii="Consolas" w:hAnsi="Consolas" w:cs="Consolas"/>
      <w:sz w:val="20"/>
      <w:szCs w:val="20"/>
      <w:lang w:val="en-GB"/>
    </w:rPr>
  </w:style>
  <w:style w:type="character" w:styleId="HTMLSample">
    <w:name w:val="HTML Sample"/>
    <w:basedOn w:val="DefaultParagraphFont"/>
    <w:uiPriority w:val="98"/>
    <w:semiHidden/>
    <w:rsid w:val="00144EBC"/>
    <w:rPr>
      <w:rFonts w:ascii="Consolas" w:hAnsi="Consolas" w:cs="Consolas"/>
      <w:sz w:val="24"/>
      <w:szCs w:val="24"/>
    </w:rPr>
  </w:style>
  <w:style w:type="character" w:styleId="HTMLTypewriter">
    <w:name w:val="HTML Typewriter"/>
    <w:basedOn w:val="DefaultParagraphFont"/>
    <w:uiPriority w:val="98"/>
    <w:semiHidden/>
    <w:rsid w:val="00144EBC"/>
    <w:rPr>
      <w:rFonts w:ascii="Consolas" w:hAnsi="Consolas" w:cs="Consolas"/>
      <w:sz w:val="20"/>
      <w:szCs w:val="20"/>
    </w:rPr>
  </w:style>
  <w:style w:type="character" w:styleId="HTMLVariable">
    <w:name w:val="HTML Variable"/>
    <w:basedOn w:val="DefaultParagraphFont"/>
    <w:uiPriority w:val="98"/>
    <w:semiHidden/>
    <w:rsid w:val="00144EBC"/>
    <w:rPr>
      <w:i/>
      <w:iCs/>
    </w:rPr>
  </w:style>
  <w:style w:type="character" w:styleId="Hyperlink">
    <w:name w:val="Hyperlink"/>
    <w:basedOn w:val="DefaultParagraphFont"/>
    <w:uiPriority w:val="98"/>
    <w:rsid w:val="00144EBC"/>
    <w:rPr>
      <w:color w:val="0072BC" w:themeColor="hyperlink"/>
      <w:u w:val="single"/>
    </w:rPr>
  </w:style>
  <w:style w:type="paragraph" w:styleId="Index1">
    <w:name w:val="index 1"/>
    <w:basedOn w:val="Normal"/>
    <w:next w:val="Normal"/>
    <w:autoRedefine/>
    <w:uiPriority w:val="98"/>
    <w:semiHidden/>
    <w:rsid w:val="00144EBC"/>
    <w:pPr>
      <w:ind w:left="240" w:hanging="240"/>
    </w:pPr>
  </w:style>
  <w:style w:type="paragraph" w:styleId="Index2">
    <w:name w:val="index 2"/>
    <w:basedOn w:val="Normal"/>
    <w:next w:val="Normal"/>
    <w:autoRedefine/>
    <w:uiPriority w:val="98"/>
    <w:semiHidden/>
    <w:rsid w:val="00144EBC"/>
    <w:pPr>
      <w:ind w:left="480" w:hanging="240"/>
    </w:pPr>
  </w:style>
  <w:style w:type="paragraph" w:styleId="Index3">
    <w:name w:val="index 3"/>
    <w:basedOn w:val="Normal"/>
    <w:next w:val="Normal"/>
    <w:autoRedefine/>
    <w:uiPriority w:val="98"/>
    <w:semiHidden/>
    <w:rsid w:val="00144EBC"/>
    <w:pPr>
      <w:ind w:left="720" w:hanging="240"/>
    </w:pPr>
  </w:style>
  <w:style w:type="paragraph" w:styleId="Index4">
    <w:name w:val="index 4"/>
    <w:basedOn w:val="Normal"/>
    <w:next w:val="Normal"/>
    <w:autoRedefine/>
    <w:uiPriority w:val="98"/>
    <w:semiHidden/>
    <w:rsid w:val="00144EBC"/>
    <w:pPr>
      <w:ind w:left="960" w:hanging="240"/>
    </w:pPr>
  </w:style>
  <w:style w:type="paragraph" w:styleId="Index5">
    <w:name w:val="index 5"/>
    <w:basedOn w:val="Normal"/>
    <w:next w:val="Normal"/>
    <w:autoRedefine/>
    <w:uiPriority w:val="98"/>
    <w:semiHidden/>
    <w:rsid w:val="00144EBC"/>
    <w:pPr>
      <w:ind w:left="1200" w:hanging="240"/>
    </w:pPr>
  </w:style>
  <w:style w:type="paragraph" w:styleId="Index6">
    <w:name w:val="index 6"/>
    <w:basedOn w:val="Normal"/>
    <w:next w:val="Normal"/>
    <w:autoRedefine/>
    <w:uiPriority w:val="98"/>
    <w:semiHidden/>
    <w:rsid w:val="00144EBC"/>
    <w:pPr>
      <w:ind w:left="1440" w:hanging="240"/>
    </w:pPr>
  </w:style>
  <w:style w:type="paragraph" w:styleId="Index7">
    <w:name w:val="index 7"/>
    <w:basedOn w:val="Normal"/>
    <w:next w:val="Normal"/>
    <w:autoRedefine/>
    <w:uiPriority w:val="98"/>
    <w:semiHidden/>
    <w:rsid w:val="00144EBC"/>
    <w:pPr>
      <w:ind w:left="1680" w:hanging="240"/>
    </w:pPr>
  </w:style>
  <w:style w:type="paragraph" w:styleId="Index8">
    <w:name w:val="index 8"/>
    <w:basedOn w:val="Normal"/>
    <w:next w:val="Normal"/>
    <w:autoRedefine/>
    <w:uiPriority w:val="98"/>
    <w:semiHidden/>
    <w:rsid w:val="00144EBC"/>
    <w:pPr>
      <w:ind w:left="1920" w:hanging="240"/>
    </w:pPr>
  </w:style>
  <w:style w:type="paragraph" w:styleId="Index9">
    <w:name w:val="index 9"/>
    <w:basedOn w:val="Normal"/>
    <w:next w:val="Normal"/>
    <w:autoRedefine/>
    <w:uiPriority w:val="98"/>
    <w:semiHidden/>
    <w:rsid w:val="00144EBC"/>
    <w:pPr>
      <w:ind w:left="2160" w:hanging="240"/>
    </w:pPr>
  </w:style>
  <w:style w:type="paragraph" w:styleId="IndexHeading">
    <w:name w:val="index heading"/>
    <w:basedOn w:val="Normal"/>
    <w:next w:val="Index1"/>
    <w:uiPriority w:val="98"/>
    <w:semiHidden/>
    <w:rsid w:val="00144EBC"/>
    <w:rPr>
      <w:rFonts w:asciiTheme="majorHAnsi" w:eastAsiaTheme="majorEastAsia" w:hAnsiTheme="majorHAnsi" w:cstheme="majorBidi"/>
      <w:b/>
      <w:bCs/>
    </w:rPr>
  </w:style>
  <w:style w:type="table" w:styleId="LightGrid">
    <w:name w:val="Light Grid"/>
    <w:basedOn w:val="TableNormal"/>
    <w:uiPriority w:val="62"/>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44EB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44EB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44EB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44EB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44EB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44EB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44EB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44EBC"/>
  </w:style>
  <w:style w:type="paragraph" w:styleId="List">
    <w:name w:val="List"/>
    <w:basedOn w:val="Normal"/>
    <w:uiPriority w:val="98"/>
    <w:semiHidden/>
    <w:rsid w:val="00144EBC"/>
    <w:pPr>
      <w:ind w:left="283" w:hanging="283"/>
      <w:contextualSpacing/>
    </w:pPr>
  </w:style>
  <w:style w:type="paragraph" w:styleId="List20">
    <w:name w:val="List 2"/>
    <w:basedOn w:val="Normal"/>
    <w:uiPriority w:val="98"/>
    <w:semiHidden/>
    <w:rsid w:val="00144EBC"/>
    <w:pPr>
      <w:ind w:left="566" w:hanging="283"/>
      <w:contextualSpacing/>
    </w:pPr>
  </w:style>
  <w:style w:type="paragraph" w:styleId="List30">
    <w:name w:val="List 3"/>
    <w:basedOn w:val="Normal"/>
    <w:uiPriority w:val="98"/>
    <w:semiHidden/>
    <w:rsid w:val="00144EBC"/>
    <w:pPr>
      <w:ind w:left="849" w:hanging="283"/>
      <w:contextualSpacing/>
    </w:pPr>
  </w:style>
  <w:style w:type="paragraph" w:styleId="List4">
    <w:name w:val="List 4"/>
    <w:basedOn w:val="Normal"/>
    <w:uiPriority w:val="98"/>
    <w:semiHidden/>
    <w:rsid w:val="00144EBC"/>
    <w:pPr>
      <w:ind w:left="1132" w:hanging="283"/>
      <w:contextualSpacing/>
    </w:pPr>
  </w:style>
  <w:style w:type="paragraph" w:styleId="List5">
    <w:name w:val="List 5"/>
    <w:basedOn w:val="Normal"/>
    <w:uiPriority w:val="98"/>
    <w:semiHidden/>
    <w:rsid w:val="00144EBC"/>
    <w:pPr>
      <w:ind w:left="1415" w:hanging="283"/>
      <w:contextualSpacing/>
    </w:pPr>
  </w:style>
  <w:style w:type="paragraph" w:styleId="ListBullet">
    <w:name w:val="List Bullet"/>
    <w:basedOn w:val="Normal"/>
    <w:uiPriority w:val="98"/>
    <w:semiHidden/>
    <w:rsid w:val="00144EBC"/>
    <w:pPr>
      <w:numPr>
        <w:numId w:val="11"/>
      </w:numPr>
    </w:pPr>
  </w:style>
  <w:style w:type="paragraph" w:styleId="ListBullet2">
    <w:name w:val="List Bullet 2"/>
    <w:basedOn w:val="Normal"/>
    <w:uiPriority w:val="98"/>
    <w:semiHidden/>
    <w:rsid w:val="00144EBC"/>
    <w:pPr>
      <w:numPr>
        <w:numId w:val="12"/>
      </w:numPr>
      <w:contextualSpacing/>
    </w:pPr>
  </w:style>
  <w:style w:type="paragraph" w:styleId="ListBullet3">
    <w:name w:val="List Bullet 3"/>
    <w:basedOn w:val="Normal"/>
    <w:uiPriority w:val="98"/>
    <w:semiHidden/>
    <w:rsid w:val="00144EBC"/>
    <w:pPr>
      <w:numPr>
        <w:numId w:val="13"/>
      </w:numPr>
      <w:contextualSpacing/>
    </w:pPr>
  </w:style>
  <w:style w:type="paragraph" w:styleId="ListBullet4">
    <w:name w:val="List Bullet 4"/>
    <w:basedOn w:val="Normal"/>
    <w:uiPriority w:val="98"/>
    <w:semiHidden/>
    <w:rsid w:val="00144EBC"/>
    <w:pPr>
      <w:numPr>
        <w:numId w:val="14"/>
      </w:numPr>
      <w:contextualSpacing/>
    </w:pPr>
  </w:style>
  <w:style w:type="paragraph" w:styleId="ListBullet5">
    <w:name w:val="List Bullet 5"/>
    <w:basedOn w:val="Normal"/>
    <w:uiPriority w:val="98"/>
    <w:semiHidden/>
    <w:rsid w:val="00144EBC"/>
    <w:pPr>
      <w:numPr>
        <w:numId w:val="15"/>
      </w:numPr>
      <w:contextualSpacing/>
    </w:pPr>
  </w:style>
  <w:style w:type="paragraph" w:styleId="ListContinue">
    <w:name w:val="List Continue"/>
    <w:basedOn w:val="Normal"/>
    <w:uiPriority w:val="98"/>
    <w:semiHidden/>
    <w:rsid w:val="00144EBC"/>
    <w:pPr>
      <w:spacing w:after="120"/>
      <w:ind w:left="283"/>
      <w:contextualSpacing/>
    </w:pPr>
  </w:style>
  <w:style w:type="paragraph" w:styleId="ListContinue2">
    <w:name w:val="List Continue 2"/>
    <w:basedOn w:val="Normal"/>
    <w:uiPriority w:val="98"/>
    <w:semiHidden/>
    <w:rsid w:val="00144EBC"/>
    <w:pPr>
      <w:spacing w:after="120"/>
      <w:ind w:left="566"/>
      <w:contextualSpacing/>
    </w:pPr>
  </w:style>
  <w:style w:type="paragraph" w:styleId="ListContinue3">
    <w:name w:val="List Continue 3"/>
    <w:basedOn w:val="Normal"/>
    <w:uiPriority w:val="98"/>
    <w:semiHidden/>
    <w:rsid w:val="00144EBC"/>
    <w:pPr>
      <w:spacing w:after="120"/>
      <w:ind w:left="849"/>
      <w:contextualSpacing/>
    </w:pPr>
  </w:style>
  <w:style w:type="paragraph" w:styleId="ListContinue4">
    <w:name w:val="List Continue 4"/>
    <w:basedOn w:val="Normal"/>
    <w:uiPriority w:val="98"/>
    <w:semiHidden/>
    <w:rsid w:val="00144EBC"/>
    <w:pPr>
      <w:spacing w:after="120"/>
      <w:ind w:left="1132"/>
      <w:contextualSpacing/>
    </w:pPr>
  </w:style>
  <w:style w:type="paragraph" w:styleId="ListContinue5">
    <w:name w:val="List Continue 5"/>
    <w:basedOn w:val="Normal"/>
    <w:uiPriority w:val="98"/>
    <w:semiHidden/>
    <w:rsid w:val="00144EBC"/>
    <w:pPr>
      <w:spacing w:after="120"/>
      <w:ind w:left="1415"/>
      <w:contextualSpacing/>
    </w:pPr>
  </w:style>
  <w:style w:type="paragraph" w:styleId="ListNumber">
    <w:name w:val="List Number"/>
    <w:basedOn w:val="Normal"/>
    <w:uiPriority w:val="98"/>
    <w:semiHidden/>
    <w:rsid w:val="00144EBC"/>
    <w:pPr>
      <w:numPr>
        <w:numId w:val="16"/>
      </w:numPr>
      <w:contextualSpacing/>
    </w:pPr>
  </w:style>
  <w:style w:type="paragraph" w:styleId="ListNumber2">
    <w:name w:val="List Number 2"/>
    <w:basedOn w:val="Normal"/>
    <w:uiPriority w:val="98"/>
    <w:semiHidden/>
    <w:rsid w:val="00144EBC"/>
    <w:pPr>
      <w:numPr>
        <w:numId w:val="17"/>
      </w:numPr>
      <w:contextualSpacing/>
    </w:pPr>
  </w:style>
  <w:style w:type="paragraph" w:styleId="ListNumber3">
    <w:name w:val="List Number 3"/>
    <w:basedOn w:val="Normal"/>
    <w:uiPriority w:val="98"/>
    <w:semiHidden/>
    <w:rsid w:val="00144EBC"/>
    <w:pPr>
      <w:numPr>
        <w:numId w:val="18"/>
      </w:numPr>
      <w:contextualSpacing/>
    </w:pPr>
  </w:style>
  <w:style w:type="paragraph" w:styleId="ListNumber4">
    <w:name w:val="List Number 4"/>
    <w:basedOn w:val="Normal"/>
    <w:uiPriority w:val="98"/>
    <w:semiHidden/>
    <w:rsid w:val="00144EBC"/>
    <w:pPr>
      <w:numPr>
        <w:numId w:val="19"/>
      </w:numPr>
      <w:contextualSpacing/>
    </w:pPr>
  </w:style>
  <w:style w:type="paragraph" w:styleId="ListNumber5">
    <w:name w:val="List Number 5"/>
    <w:basedOn w:val="Normal"/>
    <w:uiPriority w:val="98"/>
    <w:semiHidden/>
    <w:rsid w:val="00144EBC"/>
    <w:pPr>
      <w:numPr>
        <w:numId w:val="20"/>
      </w:numPr>
      <w:contextualSpacing/>
    </w:pPr>
  </w:style>
  <w:style w:type="paragraph" w:styleId="Macro">
    <w:name w:val="macro"/>
    <w:link w:val="MacroTextChar"/>
    <w:uiPriority w:val="98"/>
    <w:semiHidden/>
    <w:rsid w:val="00144EB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44EBC"/>
    <w:rPr>
      <w:rFonts w:ascii="Consolas" w:hAnsi="Consolas" w:eastAsiaTheme="minorEastAsia" w:cs="Consolas"/>
      <w:sz w:val="20"/>
      <w:szCs w:val="20"/>
    </w:rPr>
  </w:style>
  <w:style w:type="table" w:styleId="MediumGrid1">
    <w:name w:val="Medium Grid 1"/>
    <w:basedOn w:val="TableNormal"/>
    <w:uiPriority w:val="67"/>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44EB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44EB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44EB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44EB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44EB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44EB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44EB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44EB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44EB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44EBC"/>
    <w:rPr>
      <w:rFonts w:ascii="Times New Roman" w:hAnsi="Times New Roman" w:cs="Times New Roman"/>
    </w:rPr>
  </w:style>
  <w:style w:type="paragraph" w:styleId="NormalIndent">
    <w:name w:val="Normal Indent"/>
    <w:basedOn w:val="Normal"/>
    <w:uiPriority w:val="98"/>
    <w:semiHidden/>
    <w:rsid w:val="00144EBC"/>
    <w:pPr>
      <w:ind w:left="720"/>
    </w:pPr>
  </w:style>
  <w:style w:type="table" w:customStyle="1" w:styleId="ECHRTableNoLines">
    <w:name w:val="ECHR_Table_No_Lines"/>
    <w:basedOn w:val="TableNormal"/>
    <w:uiPriority w:val="99"/>
    <w:rsid w:val="00144EB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144EB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character" w:styleId="PlaceholderText">
    <w:name w:val="Placeholder Text"/>
    <w:basedOn w:val="DefaultParagraphFont"/>
    <w:uiPriority w:val="98"/>
    <w:semiHidden/>
    <w:rsid w:val="00144EB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44EBC"/>
    <w:rPr>
      <w:rFonts w:ascii="Consolas" w:hAnsi="Consolas" w:cs="Consolas"/>
      <w:sz w:val="21"/>
      <w:szCs w:val="21"/>
    </w:rPr>
  </w:style>
  <w:style w:type="character" w:customStyle="1" w:styleId="PlainTextChar">
    <w:name w:val="Plain Text Char"/>
    <w:basedOn w:val="DefaultParagraphFont"/>
    <w:link w:val="PlainText"/>
    <w:uiPriority w:val="98"/>
    <w:semiHidden/>
    <w:rsid w:val="00144EBC"/>
    <w:rPr>
      <w:rFonts w:ascii="Consolas" w:hAnsi="Consolas" w:cs="Consolas"/>
      <w:sz w:val="21"/>
      <w:szCs w:val="21"/>
      <w:lang w:val="en-GB"/>
    </w:rPr>
  </w:style>
  <w:style w:type="paragraph" w:styleId="Salutation">
    <w:name w:val="Salutation"/>
    <w:basedOn w:val="Normal"/>
    <w:next w:val="Normal"/>
    <w:link w:val="SalutationChar"/>
    <w:uiPriority w:val="98"/>
    <w:semiHidden/>
    <w:rsid w:val="00144EBC"/>
  </w:style>
  <w:style w:type="character" w:customStyle="1" w:styleId="SalutationChar">
    <w:name w:val="Salutation Char"/>
    <w:basedOn w:val="DefaultParagraphFont"/>
    <w:link w:val="Salutation"/>
    <w:uiPriority w:val="98"/>
    <w:semiHidden/>
    <w:rsid w:val="00144EBC"/>
    <w:rPr>
      <w:sz w:val="24"/>
      <w:szCs w:val="24"/>
      <w:lang w:val="en-GB"/>
    </w:rPr>
  </w:style>
  <w:style w:type="paragraph" w:styleId="Signature0">
    <w:name w:val="Signature"/>
    <w:basedOn w:val="Normal"/>
    <w:link w:val="SignatureChar"/>
    <w:uiPriority w:val="98"/>
    <w:semiHidden/>
    <w:rsid w:val="00144EBC"/>
    <w:pPr>
      <w:ind w:left="4252"/>
    </w:pPr>
  </w:style>
  <w:style w:type="character" w:customStyle="1" w:styleId="SignatureChar">
    <w:name w:val="Signature Char"/>
    <w:basedOn w:val="DefaultParagraphFont"/>
    <w:link w:val="Signature0"/>
    <w:uiPriority w:val="98"/>
    <w:semiHidden/>
    <w:rsid w:val="00144EBC"/>
    <w:rPr>
      <w:sz w:val="24"/>
      <w:szCs w:val="24"/>
      <w:lang w:val="en-GB"/>
    </w:rPr>
  </w:style>
  <w:style w:type="table" w:styleId="Table3Deffects1">
    <w:name w:val="Table 3D effects 1"/>
    <w:basedOn w:val="TableNormal"/>
    <w:uiPriority w:val="99"/>
    <w:semiHidden/>
    <w:unhideWhenUsed/>
    <w:rsid w:val="00144EB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44EB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44EB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44EB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44EB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44EB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44EB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44EB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44EB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44EB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44EB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44EB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44EB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44EB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44EB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144EB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44EB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44EB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44EB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44EB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44EB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44EB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44EB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44EB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44EB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44EBC"/>
    <w:pPr>
      <w:ind w:left="240" w:hanging="240"/>
    </w:pPr>
  </w:style>
  <w:style w:type="paragraph" w:styleId="TableofFigures">
    <w:name w:val="table of figures"/>
    <w:basedOn w:val="Normal"/>
    <w:next w:val="Normal"/>
    <w:uiPriority w:val="98"/>
    <w:semiHidden/>
    <w:rsid w:val="00144EBC"/>
  </w:style>
  <w:style w:type="table" w:styleId="TableProfessional">
    <w:name w:val="Table Professional"/>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44EB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44EB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44EB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44EB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44EB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44EB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44EB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44EB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144EB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144EB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44EB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44EB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44EB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44EBC"/>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144EB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44EB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44EBC"/>
    <w:pPr>
      <w:spacing w:after="100"/>
      <w:ind w:left="1680"/>
    </w:pPr>
  </w:style>
  <w:style w:type="paragraph" w:styleId="TOC9">
    <w:name w:val="toc 9"/>
    <w:basedOn w:val="Normal"/>
    <w:next w:val="Normal"/>
    <w:autoRedefine/>
    <w:uiPriority w:val="98"/>
    <w:semiHidden/>
    <w:rsid w:val="00144EBC"/>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144EBC"/>
    <w:pPr>
      <w:tabs>
        <w:tab w:val="center" w:pos="3686"/>
        <w:tab w:val="right" w:pos="7371"/>
      </w:tabs>
    </w:pPr>
  </w:style>
  <w:style w:type="character" w:customStyle="1" w:styleId="FooterChar">
    <w:name w:val="Footer Char"/>
    <w:basedOn w:val="DefaultParagraphFont"/>
    <w:link w:val="Footer1"/>
    <w:uiPriority w:val="98"/>
    <w:semiHidden/>
    <w:rsid w:val="00144EBC"/>
    <w:rPr>
      <w:sz w:val="24"/>
      <w:szCs w:val="24"/>
      <w:lang w:val="en-GB"/>
    </w:rPr>
  </w:style>
  <w:style w:type="paragraph" w:customStyle="1" w:styleId="ECHRFooterLine">
    <w:name w:val="ECHR_Footer_Line"/>
    <w:aliases w:val="_Footer_Line"/>
    <w:basedOn w:val="Normal"/>
    <w:next w:val="Normal"/>
    <w:uiPriority w:val="30"/>
    <w:semiHidden/>
    <w:rsid w:val="00144EBC"/>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144EB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
    <w:next w:val="JuPara"/>
    <w:uiPriority w:val="32"/>
    <w:rsid w:val="00144EBC"/>
    <w:pPr>
      <w:ind w:firstLine="284"/>
      <w:jc w:val="both"/>
    </w:pPr>
    <w:rPr>
      <w:b/>
    </w:rPr>
  </w:style>
  <w:style w:type="paragraph" w:styleId="NoteHeading">
    <w:name w:val="Note Heading"/>
    <w:basedOn w:val="Normal"/>
    <w:next w:val="Normal"/>
    <w:link w:val="NoteHeadingChar"/>
    <w:uiPriority w:val="98"/>
    <w:semiHidden/>
    <w:rsid w:val="00144EBC"/>
  </w:style>
  <w:style w:type="character" w:customStyle="1" w:styleId="NoteHeadingChar">
    <w:name w:val="Note Heading Char"/>
    <w:basedOn w:val="DefaultParagraphFont"/>
    <w:link w:val="NoteHeading"/>
    <w:uiPriority w:val="98"/>
    <w:semiHidden/>
    <w:rsid w:val="00144EBC"/>
    <w:rPr>
      <w:sz w:val="24"/>
      <w:szCs w:val="24"/>
      <w:lang w:val="en-GB"/>
    </w:rPr>
  </w:style>
  <w:style w:type="paragraph" w:customStyle="1" w:styleId="ECHRHeaderLandscape">
    <w:name w:val="ECHR_Header_Landscape"/>
    <w:aliases w:val="_Header_Landscape"/>
    <w:basedOn w:val="JuHeader"/>
    <w:uiPriority w:val="29"/>
    <w:semiHidden/>
    <w:rsid w:val="00144EBC"/>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44EBC"/>
    <w:pPr>
      <w:numPr>
        <w:numId w:val="7"/>
      </w:numPr>
      <w:spacing w:before="60" w:after="60"/>
    </w:pPr>
  </w:style>
  <w:style w:type="paragraph" w:customStyle="1" w:styleId="ECHRBullet2">
    <w:name w:val="ECHR_Bullet_2"/>
    <w:aliases w:val="_Bul_2"/>
    <w:basedOn w:val="ECHRBullet1"/>
    <w:uiPriority w:val="23"/>
    <w:semiHidden/>
    <w:rsid w:val="00144EBC"/>
    <w:pPr>
      <w:numPr>
        <w:ilvl w:val="1"/>
      </w:numPr>
    </w:pPr>
  </w:style>
  <w:style w:type="paragraph" w:customStyle="1" w:styleId="ECHRBullet3">
    <w:name w:val="ECHR_Bullet_3"/>
    <w:aliases w:val="_Bul_3"/>
    <w:basedOn w:val="ECHRBullet2"/>
    <w:uiPriority w:val="23"/>
    <w:semiHidden/>
    <w:rsid w:val="00144EBC"/>
    <w:pPr>
      <w:numPr>
        <w:ilvl w:val="2"/>
      </w:numPr>
    </w:pPr>
  </w:style>
  <w:style w:type="paragraph" w:customStyle="1" w:styleId="ECHRBullet4">
    <w:name w:val="ECHR_Bullet_4"/>
    <w:aliases w:val="_Bul_4"/>
    <w:basedOn w:val="ECHRBullet3"/>
    <w:uiPriority w:val="23"/>
    <w:semiHidden/>
    <w:rsid w:val="00144EBC"/>
    <w:pPr>
      <w:numPr>
        <w:ilvl w:val="3"/>
      </w:numPr>
    </w:pPr>
  </w:style>
  <w:style w:type="paragraph" w:customStyle="1" w:styleId="ECHRConfidential">
    <w:name w:val="ECHR_Confidential"/>
    <w:aliases w:val="_Confidential"/>
    <w:basedOn w:val="Normal"/>
    <w:next w:val="Normal"/>
    <w:uiPriority w:val="42"/>
    <w:semiHidden/>
    <w:qFormat/>
    <w:rsid w:val="00144EBC"/>
    <w:pPr>
      <w:jc w:val="right"/>
    </w:pPr>
    <w:rPr>
      <w:color w:val="C00000"/>
      <w:sz w:val="20"/>
    </w:rPr>
  </w:style>
  <w:style w:type="paragraph" w:customStyle="1" w:styleId="ECHRDecisionBody">
    <w:name w:val="ECHR_Decision_Body"/>
    <w:aliases w:val="_Decision_Body"/>
    <w:basedOn w:val="NormalJustified"/>
    <w:uiPriority w:val="54"/>
    <w:semiHidden/>
    <w:rsid w:val="00144EB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44EB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44EB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44EB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44EBC"/>
    <w:pPr>
      <w:jc w:val="right"/>
    </w:pPr>
    <w:rPr>
      <w:sz w:val="20"/>
    </w:rPr>
  </w:style>
  <w:style w:type="paragraph" w:customStyle="1" w:styleId="ECHRHeaderRefIt">
    <w:name w:val="ECHR_Header_Ref_It"/>
    <w:aliases w:val="_Ref_Ital"/>
    <w:basedOn w:val="Normal"/>
    <w:next w:val="ECHRHeaderDate"/>
    <w:uiPriority w:val="43"/>
    <w:semiHidden/>
    <w:qFormat/>
    <w:rsid w:val="00144EBC"/>
    <w:pPr>
      <w:jc w:val="right"/>
    </w:pPr>
    <w:rPr>
      <w:i/>
      <w:sz w:val="20"/>
    </w:rPr>
  </w:style>
  <w:style w:type="paragraph" w:customStyle="1" w:styleId="ECHRHeading9">
    <w:name w:val="ECHR_Heading_9"/>
    <w:aliases w:val="_Head_9"/>
    <w:basedOn w:val="Heading9"/>
    <w:uiPriority w:val="17"/>
    <w:semiHidden/>
    <w:rsid w:val="00144EBC"/>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44EBC"/>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144EBC"/>
    <w:pPr>
      <w:numPr>
        <w:numId w:val="8"/>
      </w:numPr>
      <w:spacing w:before="60" w:after="60"/>
    </w:pPr>
  </w:style>
  <w:style w:type="paragraph" w:customStyle="1" w:styleId="ECHRNumberedList2">
    <w:name w:val="ECHR_Numbered_List_2"/>
    <w:aliases w:val="_Num_2"/>
    <w:basedOn w:val="ECHRNumberedList1"/>
    <w:uiPriority w:val="23"/>
    <w:semiHidden/>
    <w:rsid w:val="00144EBC"/>
    <w:pPr>
      <w:numPr>
        <w:ilvl w:val="1"/>
      </w:numPr>
    </w:pPr>
  </w:style>
  <w:style w:type="paragraph" w:customStyle="1" w:styleId="ECHRNumberedList3">
    <w:name w:val="ECHR_Numbered_List_3"/>
    <w:aliases w:val="_Num_3"/>
    <w:basedOn w:val="ECHRNumberedList2"/>
    <w:uiPriority w:val="23"/>
    <w:semiHidden/>
    <w:rsid w:val="00144EBC"/>
    <w:pPr>
      <w:numPr>
        <w:ilvl w:val="2"/>
      </w:numPr>
    </w:pPr>
  </w:style>
  <w:style w:type="paragraph" w:customStyle="1" w:styleId="ECHRParaHanging">
    <w:name w:val="ECHR_Para_Hanging"/>
    <w:aliases w:val="_Hanging"/>
    <w:basedOn w:val="Normal"/>
    <w:uiPriority w:val="8"/>
    <w:semiHidden/>
    <w:qFormat/>
    <w:rsid w:val="00144EBC"/>
    <w:pPr>
      <w:ind w:left="567" w:hanging="567"/>
      <w:jc w:val="both"/>
    </w:pPr>
  </w:style>
  <w:style w:type="paragraph" w:customStyle="1" w:styleId="ECHRParaIndent">
    <w:name w:val="ECHR_Para_Indent"/>
    <w:aliases w:val="_Indent"/>
    <w:basedOn w:val="Normal"/>
    <w:uiPriority w:val="7"/>
    <w:semiHidden/>
    <w:qFormat/>
    <w:rsid w:val="00144EBC"/>
    <w:pPr>
      <w:spacing w:before="120" w:after="120"/>
      <w:ind w:left="284"/>
      <w:jc w:val="both"/>
    </w:pPr>
  </w:style>
  <w:style w:type="character" w:customStyle="1" w:styleId="ECHRRed">
    <w:name w:val="ECHR_Red"/>
    <w:aliases w:val="_Red"/>
    <w:basedOn w:val="DefaultParagraphFont"/>
    <w:uiPriority w:val="15"/>
    <w:semiHidden/>
    <w:qFormat/>
    <w:rsid w:val="00144EBC"/>
    <w:rPr>
      <w:color w:val="C00000" w:themeColor="accent2"/>
    </w:rPr>
  </w:style>
  <w:style w:type="paragraph" w:customStyle="1" w:styleId="DecList">
    <w:name w:val="Dec_List"/>
    <w:aliases w:val="_List"/>
    <w:basedOn w:val="JuList"/>
    <w:uiPriority w:val="22"/>
    <w:rsid w:val="00144EBC"/>
    <w:pPr>
      <w:numPr>
        <w:numId w:val="0"/>
      </w:numPr>
      <w:ind w:left="284"/>
    </w:pPr>
  </w:style>
  <w:style w:type="table" w:customStyle="1" w:styleId="ECHRTable">
    <w:name w:val="ECHR_Table"/>
    <w:basedOn w:val="TableNormal"/>
    <w:rsid w:val="00144EB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144EB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144EB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44EB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44EBC"/>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144EB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44EBC"/>
    <w:pPr>
      <w:outlineLvl w:val="0"/>
    </w:pPr>
  </w:style>
  <w:style w:type="paragraph" w:customStyle="1" w:styleId="ECHRTitleTOC1">
    <w:name w:val="ECHR_Title_TOC_1"/>
    <w:aliases w:val="_Title_L_TOC"/>
    <w:basedOn w:val="ECHRTitle1"/>
    <w:next w:val="Normal"/>
    <w:uiPriority w:val="27"/>
    <w:semiHidden/>
    <w:qFormat/>
    <w:rsid w:val="00144EBC"/>
    <w:pPr>
      <w:outlineLvl w:val="0"/>
    </w:pPr>
  </w:style>
  <w:style w:type="table" w:customStyle="1" w:styleId="LtrTableAddress">
    <w:name w:val="Ltr_Table_Address"/>
    <w:aliases w:val="ECHR_Ltr_Table_Address"/>
    <w:basedOn w:val="TableNormal"/>
    <w:uiPriority w:val="99"/>
    <w:rsid w:val="00144EBC"/>
    <w:rPr>
      <w:sz w:val="24"/>
      <w:szCs w:val="24"/>
    </w:rPr>
    <w:tblPr>
      <w:tblInd w:w="5103" w:type="dxa"/>
    </w:tblPr>
  </w:style>
  <w:style w:type="table" w:customStyle="1" w:styleId="PCFTableStyle">
    <w:name w:val="PCF_Table_Style"/>
    <w:aliases w:val="ECHR_PCF_Table_Style"/>
    <w:basedOn w:val="TableNormal"/>
    <w:uiPriority w:val="99"/>
    <w:rsid w:val="00144EB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144EB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44EB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144EBC"/>
    <w:rPr>
      <w:color w:val="FFFFFF"/>
    </w:rPr>
  </w:style>
  <w:style w:type="paragraph" w:customStyle="1" w:styleId="ECHRSpacer">
    <w:name w:val="ECHR_Spacer"/>
    <w:aliases w:val="_Spacer"/>
    <w:basedOn w:val="Normal"/>
    <w:uiPriority w:val="45"/>
    <w:semiHidden/>
    <w:rsid w:val="00144EBC"/>
    <w:rPr>
      <w:sz w:val="4"/>
    </w:rPr>
  </w:style>
  <w:style w:type="table" w:customStyle="1" w:styleId="ECHRTableGrey">
    <w:name w:val="ECHR_Table_Grey"/>
    <w:basedOn w:val="TableNormal"/>
    <w:uiPriority w:val="99"/>
    <w:rsid w:val="00144EBC"/>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144EBC"/>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CB3BD9"/>
    <w:rPr>
      <w:color w:val="605E5C"/>
      <w:shd w:val="clear" w:color="auto" w:fill="E1DFDD"/>
    </w:rPr>
  </w:style>
  <w:style w:type="character" w:customStyle="1" w:styleId="JuParaChar">
    <w:name w:val="Ju_Para Char"/>
    <w:aliases w:val="_Para Char,ECHR_Para Char"/>
    <w:link w:val="JuPara"/>
    <w:uiPriority w:val="4"/>
    <w:rsid w:val="00E61329"/>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2002</Words>
  <Characters>12039</Characters>
  <Application>Microsoft Office Word</Application>
  <DocSecurity>0</DocSecurity>
  <Lines>222</Lines>
  <Paragraphs>51</Paragraphs>
  <ScaleCrop>false</ScaleCrop>
  <HeadingPairs>
    <vt:vector size="2" baseType="variant">
      <vt:variant>
        <vt:lpstr>Title</vt:lpstr>
      </vt:variant>
      <vt:variant>
        <vt:i4>1</vt:i4>
      </vt:variant>
    </vt:vector>
  </HeadingPairs>
  <TitlesOfParts>
    <vt:vector size="1" baseType="lpstr">
      <vt:lpstr>Decision</vt:lpstr>
    </vt:vector>
  </TitlesOfParts>
  <Company/>
  <LinksUpToDate>false</LinksUpToDate>
  <CharactersWithSpaces>13990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2024-09-25T09:27:00Z</dcterms:created>
  <dcterms:modified xsi:type="dcterms:W3CDTF">2024-09-25T09:31:00Z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1814251</vt:lpwstr>
  </property>
  <property fmtid="{D5CDD505-2E9C-101B-9397-08002B2CF9AE}" pid="3" name="cstLanguage">
    <vt:i4>2057</vt:i4>
  </property>
  <property fmtid="{D5CDD505-2E9C-101B-9397-08002B2CF9AE}" pid="4" name="RegisteredNo">
    <vt:lpwstr>4976/23</vt:lpwstr>
  </property>
</Properties>
</file>