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C4A34" w:rsidR="001B4170" w:rsidP="002C4A34" w14:paraId="5FCC2E3B" w14:textId="2D859F42">
      <w:pPr>
        <w:jc w:val="center"/>
      </w:pPr>
    </w:p>
    <w:p w:rsidRPr="002C4A34" w:rsidR="001B4170" w:rsidP="002C4A34" w14:paraId="371672F6" w14:textId="5FB11579">
      <w:pPr>
        <w:jc w:val="center"/>
        <w:rPr>
          <w:sz w:val="4"/>
          <w:szCs w:val="4"/>
        </w:rPr>
      </w:pPr>
    </w:p>
    <w:p w:rsidRPr="002C4A34" w:rsidR="001B4170" w:rsidP="002C4A34" w14:paraId="734525ED" w14:textId="1CE1FA1D">
      <w:pPr>
        <w:pStyle w:val="DecHTitle"/>
      </w:pPr>
      <w:r w:rsidRPr="002C4A34">
        <w:t>SECOND SECTION</w:t>
      </w:r>
    </w:p>
    <w:p w:rsidRPr="002C4A34" w:rsidR="001B4170" w:rsidP="002C4A34" w14:paraId="3ECCD7C7" w14:textId="77777777">
      <w:pPr>
        <w:pStyle w:val="DecHTitle"/>
      </w:pPr>
      <w:r w:rsidRPr="002C4A34">
        <w:t>DECISION</w:t>
      </w:r>
    </w:p>
    <w:p w:rsidRPr="002C4A34" w:rsidR="001B4170" w:rsidP="002C4A34" w14:paraId="537ECFAC" w14:textId="06FD6361">
      <w:pPr>
        <w:pStyle w:val="DecHCase"/>
        <w:rPr>
          <w:i/>
        </w:rPr>
      </w:pPr>
      <w:r w:rsidRPr="002C4A34">
        <w:rPr>
          <w:noProof/>
        </w:rPr>
        <w:t>Application no.</w:t>
      </w:r>
      <w:r w:rsidRPr="002C4A34" w:rsidR="006267D3">
        <w:t xml:space="preserve"> </w:t>
      </w:r>
      <w:r w:rsidRPr="002C4A34">
        <w:t>16981/20</w:t>
      </w:r>
      <w:r w:rsidRPr="002C4A34" w:rsidR="006267D3">
        <w:br/>
      </w:r>
      <w:r w:rsidRPr="002C4A34">
        <w:rPr>
          <w:noProof/>
        </w:rPr>
        <w:t>Andrijana ĆELAP</w:t>
      </w:r>
      <w:r w:rsidRPr="002C4A34">
        <w:rPr>
          <w:noProof/>
        </w:rPr>
        <w:br/>
      </w:r>
      <w:r w:rsidRPr="002C4A34" w:rsidR="006267D3">
        <w:t xml:space="preserve">against </w:t>
      </w:r>
      <w:r w:rsidRPr="002C4A34">
        <w:t>Croatia</w:t>
      </w:r>
    </w:p>
    <w:p w:rsidRPr="002C4A34" w:rsidR="001B4170" w:rsidP="002C4A34" w14:paraId="42F1E648" w14:textId="7B7BB02A">
      <w:pPr>
        <w:rPr>
          <w:sz w:val="2"/>
          <w:szCs w:val="2"/>
        </w:rPr>
      </w:pPr>
    </w:p>
    <w:p w:rsidRPr="002C4A34" w:rsidR="001B4170" w:rsidP="002C4A34" w14:paraId="39E5370D" w14:textId="45E9EAF5">
      <w:pPr>
        <w:pStyle w:val="JuPara"/>
      </w:pPr>
      <w:r w:rsidRPr="002C4A34">
        <w:t xml:space="preserve">The European Court of Human Rights (Second Section), sitting on </w:t>
      </w:r>
      <w:r w:rsidRPr="002C4A34" w:rsidR="008A1D9A">
        <w:t>3 September 2024</w:t>
      </w:r>
      <w:r w:rsidRPr="002C4A34">
        <w:t xml:space="preserve"> as a Committee composed of:</w:t>
      </w:r>
    </w:p>
    <w:p w:rsidRPr="002C4A34" w:rsidR="001B4170" w:rsidP="002C4A34" w14:paraId="297DD01B" w14:textId="0D3D2A04">
      <w:pPr>
        <w:pStyle w:val="JuJudges"/>
        <w:rPr>
          <w:iCs/>
        </w:rPr>
      </w:pPr>
      <w:r w:rsidRPr="002C4A34">
        <w:tab/>
        <w:t>Lorraine Schembri Orland</w:t>
      </w:r>
      <w:r w:rsidRPr="002C4A34">
        <w:rPr>
          <w:i/>
        </w:rPr>
        <w:t>, President</w:t>
      </w:r>
      <w:r w:rsidRPr="002C4A34">
        <w:t>,</w:t>
      </w:r>
      <w:r w:rsidRPr="002C4A34">
        <w:br/>
      </w:r>
      <w:r w:rsidRPr="002C4A34">
        <w:tab/>
        <w:t xml:space="preserve">Frédéric </w:t>
      </w:r>
      <w:r w:rsidRPr="002C4A34">
        <w:t>Krenc</w:t>
      </w:r>
      <w:r w:rsidRPr="002C4A34">
        <w:t>,</w:t>
      </w:r>
      <w:r w:rsidRPr="002C4A34">
        <w:br/>
      </w:r>
      <w:r w:rsidRPr="002C4A34">
        <w:tab/>
        <w:t xml:space="preserve">Davor </w:t>
      </w:r>
      <w:r w:rsidRPr="002C4A34">
        <w:t>Derenčinović</w:t>
      </w:r>
      <w:r w:rsidRPr="002C4A34">
        <w:rPr>
          <w:i/>
        </w:rPr>
        <w:t>, judges</w:t>
      </w:r>
      <w:r w:rsidRPr="002C4A34">
        <w:t>,</w:t>
      </w:r>
      <w:r w:rsidRPr="002C4A34">
        <w:br/>
        <w:t xml:space="preserve">and </w:t>
      </w:r>
      <w:r w:rsidRPr="002C4A34">
        <w:t>Dorothee</w:t>
      </w:r>
      <w:r w:rsidRPr="002C4A34">
        <w:t xml:space="preserve"> von Arnim, </w:t>
      </w:r>
      <w:r w:rsidRPr="002C4A34">
        <w:rPr>
          <w:i/>
        </w:rPr>
        <w:t>Deputy</w:t>
      </w:r>
      <w:r w:rsidRPr="002C4A34">
        <w:t xml:space="preserve"> </w:t>
      </w:r>
      <w:r w:rsidRPr="002C4A34">
        <w:rPr>
          <w:i/>
          <w:iCs/>
        </w:rPr>
        <w:t>Section Registrar</w:t>
      </w:r>
      <w:r w:rsidRPr="002C4A34">
        <w:rPr>
          <w:i/>
        </w:rPr>
        <w:t>,</w:t>
      </w:r>
    </w:p>
    <w:p w:rsidRPr="002C4A34" w:rsidR="001B4170" w:rsidP="002C4A34" w14:paraId="5AA5623D" w14:textId="77777777">
      <w:pPr>
        <w:pStyle w:val="JuPara"/>
      </w:pPr>
      <w:r w:rsidRPr="002C4A34">
        <w:t>Having regard to:</w:t>
      </w:r>
    </w:p>
    <w:p w:rsidRPr="002C4A34" w:rsidR="001B4170" w:rsidP="002C4A34" w14:paraId="15B6B47A" w14:textId="77777777">
      <w:pPr>
        <w:pStyle w:val="JuPara"/>
      </w:pPr>
      <w:r w:rsidRPr="002C4A34">
        <w:t xml:space="preserve">the application (no. 16981/20) against the Republic of Croatia lodged with the Court under Article 34 of the Convention for the Protection of Human Rights and Fundamental Freedoms (“the Convention”) on 6 April 2020 by a Croatian national, Ms </w:t>
      </w:r>
      <w:r w:rsidRPr="002C4A34">
        <w:t>Andrijana</w:t>
      </w:r>
      <w:r w:rsidRPr="002C4A34">
        <w:t xml:space="preserve"> </w:t>
      </w:r>
      <w:r w:rsidRPr="002C4A34">
        <w:t>Ćelap</w:t>
      </w:r>
      <w:r w:rsidRPr="002C4A34">
        <w:t xml:space="preserve"> (“the applicant”), who was born in 1977, lives in </w:t>
      </w:r>
      <w:r w:rsidRPr="002C4A34">
        <w:t>Bilje</w:t>
      </w:r>
      <w:r w:rsidRPr="002C4A34">
        <w:t xml:space="preserve"> and was represented by Mr M. </w:t>
      </w:r>
      <w:r w:rsidRPr="002C4A34">
        <w:t>Kordić</w:t>
      </w:r>
      <w:r w:rsidRPr="002C4A34">
        <w:t>, a lawyer practising in Osijek;</w:t>
      </w:r>
    </w:p>
    <w:p w:rsidRPr="002C4A34" w:rsidR="001B4170" w:rsidP="002C4A34" w14:paraId="1D365888" w14:textId="77777777">
      <w:pPr>
        <w:pStyle w:val="JuPara"/>
      </w:pPr>
      <w:r w:rsidRPr="002C4A34">
        <w:t xml:space="preserve">the decision to give notice of the complaint concerning the right of access to court to the Croatian Government (“the Government”), represented by their Agent, Ms Š. </w:t>
      </w:r>
      <w:r w:rsidRPr="002C4A34">
        <w:t>Stažnik</w:t>
      </w:r>
      <w:r w:rsidRPr="002C4A34">
        <w:t>, and to declare the remainder of the application inadmissible;</w:t>
      </w:r>
    </w:p>
    <w:p w:rsidRPr="002C4A34" w:rsidR="001B4170" w:rsidP="002C4A34" w14:paraId="48EF1353" w14:textId="542B64B2">
      <w:pPr>
        <w:pStyle w:val="JuPara"/>
      </w:pPr>
      <w:r w:rsidRPr="002C4A34">
        <w:t>the parties</w:t>
      </w:r>
      <w:r w:rsidRPr="002C4A34" w:rsidR="002C4A34">
        <w:t>’</w:t>
      </w:r>
      <w:r w:rsidRPr="002C4A34">
        <w:t xml:space="preserve"> observations;</w:t>
      </w:r>
    </w:p>
    <w:p w:rsidRPr="002C4A34" w:rsidR="001B4170" w:rsidP="002C4A34" w14:paraId="16C540A7" w14:textId="77777777">
      <w:pPr>
        <w:pStyle w:val="JuPara"/>
      </w:pPr>
      <w:r w:rsidRPr="002C4A34">
        <w:t>Having deliberated, decides as follows:</w:t>
      </w:r>
    </w:p>
    <w:p w:rsidRPr="002C4A34" w:rsidR="001B4170" w:rsidP="002C4A34" w14:paraId="284E16EB" w14:textId="7ACF872C">
      <w:pPr>
        <w:pStyle w:val="JuHHead"/>
        <w:numPr>
          <w:ilvl w:val="0"/>
          <w:numId w:val="0"/>
        </w:numPr>
      </w:pPr>
      <w:r w:rsidRPr="002C4A34">
        <w:t>SUBJECT MATTER OF THE CASE</w:t>
      </w:r>
    </w:p>
    <w:p w:rsidRPr="002C4A34" w:rsidR="001B4170" w:rsidP="002C4A34" w14:paraId="56D1FD73" w14:textId="7B7E3B43">
      <w:pPr>
        <w:pStyle w:val="JuPara"/>
      </w:pPr>
      <w:r w:rsidRPr="002C4A34">
        <w:fldChar w:fldCharType="begin"/>
      </w:r>
      <w:r w:rsidRPr="002C4A34">
        <w:instrText xml:space="preserve"> SEQ level0 \*arabic \r1 </w:instrText>
      </w:r>
      <w:r w:rsidRPr="002C4A34">
        <w:fldChar w:fldCharType="separate"/>
      </w:r>
      <w:r w:rsidRPr="002C4A34" w:rsidR="002C4A34">
        <w:rPr>
          <w:noProof/>
        </w:rPr>
        <w:t>1</w:t>
      </w:r>
      <w:r w:rsidRPr="002C4A34">
        <w:fldChar w:fldCharType="end"/>
      </w:r>
      <w:r w:rsidRPr="002C4A34">
        <w:t>.  The application concerns the civil proceedings which the applicant, who was at the time the head of a regional State administration office (“the Office”), instituted against the Croatian Radio‑Television claiming damages for harm caused to her honour and reputation by the publication of allegedly false and inaccurate information about her work. Her claim was eventually dismissed because she had not complied with the procedural requirements for bringing the civil action for compensation.</w:t>
      </w:r>
    </w:p>
    <w:p w:rsidRPr="002C4A34" w:rsidR="001B4170" w:rsidP="002C4A34" w14:paraId="50F51AF0" w14:textId="12704B17">
      <w:pPr>
        <w:pStyle w:val="JuPara"/>
      </w:pPr>
      <w:r>
        <w:fldChar w:fldCharType="begin"/>
      </w:r>
      <w:r>
        <w:instrText xml:space="preserve"> SEQ level0 \*arabic \* MERGEFORMAT </w:instrText>
      </w:r>
      <w:r>
        <w:fldChar w:fldCharType="separate"/>
      </w:r>
      <w:bookmarkStart w:name="paragraph00002" w:id="0"/>
      <w:r w:rsidRPr="002C4A34" w:rsidR="002C4A34">
        <w:rPr>
          <w:noProof/>
        </w:rPr>
        <w:t>2</w:t>
      </w:r>
      <w:bookmarkEnd w:id="0"/>
      <w:r>
        <w:fldChar w:fldCharType="end"/>
      </w:r>
      <w:r w:rsidRPr="002C4A34">
        <w:t>.  Under section 22 of the Media Act, prior to bringing a civil action for compensation, the injured party had to request a rectification from the media outlet which had published the impugned information. By the Office</w:t>
      </w:r>
      <w:r w:rsidRPr="002C4A34" w:rsidR="002C4A34">
        <w:t>’</w:t>
      </w:r>
      <w:r w:rsidRPr="002C4A34">
        <w:t>s letter of 5 April 2017, printed on its letterhead, co-signed by its information officer and the applicant in her capacity as its head, a request for rectification was submitted to the Croatian Radio-Television. Shortly thereafter, the latter published an apology to the Office and to the applicant, accompanied by a full retraction.</w:t>
      </w:r>
    </w:p>
    <w:p w:rsidRPr="002C4A34" w:rsidR="001B4170" w:rsidP="002C4A34" w14:paraId="6617542F" w14:textId="2B03DD35">
      <w:pPr>
        <w:pStyle w:val="JuPara"/>
      </w:pPr>
      <w:r>
        <w:fldChar w:fldCharType="begin"/>
      </w:r>
      <w:r>
        <w:instrText xml:space="preserve"> SEQ level0 \*arabic \* MERGEFORMAT </w:instrText>
      </w:r>
      <w:r>
        <w:fldChar w:fldCharType="separate"/>
      </w:r>
      <w:r w:rsidRPr="002C4A34" w:rsidR="002C4A34">
        <w:rPr>
          <w:noProof/>
        </w:rPr>
        <w:t>3</w:t>
      </w:r>
      <w:r w:rsidRPr="002C4A34" w:rsidR="002C4A34">
        <w:rPr>
          <w:noProof/>
        </w:rPr>
        <w:fldChar w:fldCharType="end"/>
      </w:r>
      <w:r w:rsidRPr="002C4A34">
        <w:t>.  Following a civil action lodged by the applicant, the Osijek Municipal Court, by a judgment of 12 January 2018, granted her compensation claim. In particular, it held that she had complied with the procedural requirements for bringing the action, rejecting the defendant</w:t>
      </w:r>
      <w:r w:rsidRPr="002C4A34" w:rsidR="002C4A34">
        <w:t>’</w:t>
      </w:r>
      <w:r w:rsidRPr="002C4A34">
        <w:t xml:space="preserve">s argument that she had failed to request a rectification on her own behalf beforehand. It noted that the opposite was evident from the fact that the defendant had published an apology not only to the Office, but to the applicant as its head as well, thus conceding that she had in fact requested a rectification (see paragraph </w:t>
      </w:r>
      <w:r w:rsidRPr="002C4A34">
        <w:fldChar w:fldCharType="begin"/>
      </w:r>
      <w:r w:rsidRPr="002C4A34">
        <w:instrText xml:space="preserve"> REF paragraph00002 \h  \* CharFormat </w:instrText>
      </w:r>
      <w:r w:rsidRPr="002C4A34">
        <w:fldChar w:fldCharType="separate"/>
      </w:r>
      <w:r w:rsidRPr="002C4A34" w:rsidR="002C4A34">
        <w:t>2</w:t>
      </w:r>
      <w:r w:rsidRPr="002C4A34">
        <w:fldChar w:fldCharType="end"/>
      </w:r>
      <w:r w:rsidRPr="002C4A34">
        <w:t xml:space="preserve"> above).</w:t>
      </w:r>
    </w:p>
    <w:p w:rsidRPr="002C4A34" w:rsidR="001B4170" w:rsidP="002C4A34" w14:paraId="2805779A" w14:textId="0B7028B4">
      <w:pPr>
        <w:pStyle w:val="JuPara"/>
      </w:pPr>
      <w:r>
        <w:fldChar w:fldCharType="begin"/>
      </w:r>
      <w:r>
        <w:instrText xml:space="preserve"> SEQ level0 \*arabic \* MERGEFORMAT </w:instrText>
      </w:r>
      <w:r>
        <w:fldChar w:fldCharType="separate"/>
      </w:r>
      <w:bookmarkStart w:name="paragraph00004" w:id="1"/>
      <w:r w:rsidRPr="002C4A34" w:rsidR="002C4A34">
        <w:rPr>
          <w:noProof/>
        </w:rPr>
        <w:t>4</w:t>
      </w:r>
      <w:bookmarkEnd w:id="1"/>
      <w:r>
        <w:fldChar w:fldCharType="end"/>
      </w:r>
      <w:r w:rsidRPr="002C4A34">
        <w:t xml:space="preserve">.  On 15 March 2018 the </w:t>
      </w:r>
      <w:r w:rsidRPr="002C4A34">
        <w:t>Varaždin</w:t>
      </w:r>
      <w:r w:rsidRPr="002C4A34">
        <w:t xml:space="preserve"> County Court reversed the first</w:t>
      </w:r>
      <w:r w:rsidRPr="002C4A34">
        <w:noBreakHyphen/>
      </w:r>
      <w:r w:rsidRPr="002C4A34">
        <w:t>instance judgment and dismissed the applicant</w:t>
      </w:r>
      <w:r w:rsidRPr="002C4A34" w:rsidR="002C4A34">
        <w:t>’</w:t>
      </w:r>
      <w:r w:rsidRPr="002C4A34">
        <w:t>s claim, holding that she was not entitled to compensation because she had failed to request the rectification in her individual capacity. Instead, the rectification had been requested in an official letter of the Office and co-signed by the applicant in her capacity of head of that office.</w:t>
      </w:r>
    </w:p>
    <w:p w:rsidRPr="002C4A34" w:rsidR="001B4170" w:rsidP="002C4A34" w14:paraId="74CA1154" w14:textId="267A614E">
      <w:pPr>
        <w:pStyle w:val="JuPara"/>
      </w:pPr>
      <w:r>
        <w:fldChar w:fldCharType="begin"/>
      </w:r>
      <w:r>
        <w:instrText xml:space="preserve"> SEQ level0 \*arabic \* MERGEFORMAT </w:instrText>
      </w:r>
      <w:r>
        <w:fldChar w:fldCharType="separate"/>
      </w:r>
      <w:bookmarkStart w:name="paragraph00005" w:id="2"/>
      <w:r w:rsidRPr="002C4A34" w:rsidR="002C4A34">
        <w:rPr>
          <w:noProof/>
        </w:rPr>
        <w:t>5</w:t>
      </w:r>
      <w:bookmarkEnd w:id="2"/>
      <w:r>
        <w:fldChar w:fldCharType="end"/>
      </w:r>
      <w:r w:rsidRPr="002C4A34">
        <w:t>.  The applicant then lodged an extraordinary appeal on points of law, arguing that the decision in her case depended on a resolution of several points of law which were important for ensuring the uniform application of law and equality of all in its application, on which the Supreme Court had not yet ruled and in respect of which the case-law of the second-instance courts diverged. By its decision of 11 September 2018, the Supreme Court found that she had failed to comply with the procedural requirements of domestic law for lodging that remedy, thus declaring it inadmissible. In particular, she had not referred to any specific domestic court decisions which would be based on divergent interpretations of the points of law in question, nor had she put forward reasons as to why she had considered those points to be important for ensuring the uniform application of law and equality of all in its application.</w:t>
      </w:r>
    </w:p>
    <w:p w:rsidRPr="002C4A34" w:rsidR="001B4170" w:rsidP="002C4A34" w14:paraId="0707C12D" w14:textId="234F9E22">
      <w:pPr>
        <w:pStyle w:val="JuPara"/>
      </w:pPr>
      <w:r>
        <w:fldChar w:fldCharType="begin"/>
      </w:r>
      <w:r>
        <w:instrText xml:space="preserve"> SEQ level0 \*arabic \* MERGEFORMAT </w:instrText>
      </w:r>
      <w:r>
        <w:fldChar w:fldCharType="separate"/>
      </w:r>
      <w:r w:rsidRPr="002C4A34" w:rsidR="002C4A34">
        <w:rPr>
          <w:noProof/>
        </w:rPr>
        <w:t>6</w:t>
      </w:r>
      <w:r w:rsidRPr="002C4A34" w:rsidR="002C4A34">
        <w:rPr>
          <w:noProof/>
        </w:rPr>
        <w:fldChar w:fldCharType="end"/>
      </w:r>
      <w:r w:rsidRPr="002C4A34">
        <w:t xml:space="preserve">.  Simultaneously with lodging the extraordinary appeal on points of law, the applicant lodged a constitutional complaint against the second-instance judgment, complaining that it was arbitrary. After the Supreme Court gave its decision, she did not extend her constitutional complaint to contest that decision (see paragraphs </w:t>
      </w:r>
      <w:r w:rsidRPr="002C4A34">
        <w:fldChar w:fldCharType="begin"/>
      </w:r>
      <w:r w:rsidRPr="002C4A34">
        <w:instrText xml:space="preserve"> REF paragraph00004 \h  \* CharFormat </w:instrText>
      </w:r>
      <w:r w:rsidRPr="002C4A34">
        <w:fldChar w:fldCharType="separate"/>
      </w:r>
      <w:r w:rsidRPr="002C4A34" w:rsidR="002C4A34">
        <w:t>4</w:t>
      </w:r>
      <w:r w:rsidRPr="002C4A34">
        <w:fldChar w:fldCharType="end"/>
      </w:r>
      <w:r w:rsidRPr="002C4A34">
        <w:t xml:space="preserve"> and </w:t>
      </w:r>
      <w:r w:rsidRPr="002C4A34">
        <w:fldChar w:fldCharType="begin"/>
      </w:r>
      <w:r w:rsidRPr="002C4A34">
        <w:instrText xml:space="preserve"> REF paragraph00005 \h  \* CharFormat </w:instrText>
      </w:r>
      <w:r w:rsidRPr="002C4A34">
        <w:fldChar w:fldCharType="separate"/>
      </w:r>
      <w:r w:rsidRPr="002C4A34" w:rsidR="002C4A34">
        <w:t>5</w:t>
      </w:r>
      <w:r w:rsidRPr="002C4A34">
        <w:fldChar w:fldCharType="end"/>
      </w:r>
      <w:r w:rsidRPr="002C4A34">
        <w:t xml:space="preserve"> above).</w:t>
      </w:r>
    </w:p>
    <w:p w:rsidRPr="002C4A34" w:rsidR="001B4170" w:rsidP="002C4A34" w14:paraId="4F8A7FFD" w14:textId="7E3828FD">
      <w:pPr>
        <w:pStyle w:val="JuPara"/>
      </w:pPr>
      <w:r>
        <w:fldChar w:fldCharType="begin"/>
      </w:r>
      <w:r>
        <w:instrText xml:space="preserve"> SEQ level0 \*arabic \* MERGEFORMAT </w:instrText>
      </w:r>
      <w:r>
        <w:fldChar w:fldCharType="separate"/>
      </w:r>
      <w:r w:rsidRPr="002C4A34" w:rsidR="002C4A34">
        <w:rPr>
          <w:noProof/>
        </w:rPr>
        <w:t>7</w:t>
      </w:r>
      <w:r w:rsidRPr="002C4A34" w:rsidR="002C4A34">
        <w:rPr>
          <w:noProof/>
        </w:rPr>
        <w:fldChar w:fldCharType="end"/>
      </w:r>
      <w:r w:rsidRPr="002C4A34">
        <w:t xml:space="preserve">.  By a decision of 26 September 2019, of which the applicant was notified on 14 October 2019, the Constitutional Court dismissed her </w:t>
      </w:r>
      <w:r w:rsidRPr="002C4A34">
        <w:t>constitutional complaint on the merits, finding that the second-instance court</w:t>
      </w:r>
      <w:r w:rsidRPr="002C4A34" w:rsidR="002C4A34">
        <w:t>’</w:t>
      </w:r>
      <w:r w:rsidRPr="002C4A34">
        <w:t>s decision was well-reasoned and not arbitrary.</w:t>
      </w:r>
    </w:p>
    <w:p w:rsidRPr="002C4A34" w:rsidR="001B4170" w:rsidP="002C4A34" w14:paraId="0F5CDFEF" w14:textId="6E362867">
      <w:pPr>
        <w:pStyle w:val="JuPara"/>
      </w:pPr>
      <w:r>
        <w:fldChar w:fldCharType="begin"/>
      </w:r>
      <w:r>
        <w:instrText xml:space="preserve"> SEQ level0 \*arabic \* MERGEFORMAT </w:instrText>
      </w:r>
      <w:r>
        <w:fldChar w:fldCharType="separate"/>
      </w:r>
      <w:bookmarkStart w:name="paragraph00008" w:id="3"/>
      <w:r w:rsidRPr="002C4A34" w:rsidR="002C4A34">
        <w:rPr>
          <w:noProof/>
        </w:rPr>
        <w:t>8</w:t>
      </w:r>
      <w:bookmarkEnd w:id="3"/>
      <w:r>
        <w:fldChar w:fldCharType="end"/>
      </w:r>
      <w:r w:rsidRPr="002C4A34">
        <w:t>.  It appears that the information complained of was published not only by the Croatian Radio‑Television, but by several other media outlets as well. The applicant requested a rectification from three of them in the same manner as in the present case, and subsequently brought civil actions for compensation. In all three cases, her claims were granted by final domestic court judgments.</w:t>
      </w:r>
    </w:p>
    <w:p w:rsidRPr="002C4A34" w:rsidR="001B4170" w:rsidP="002C4A34" w14:paraId="79079130" w14:textId="5B2F5E08">
      <w:pPr>
        <w:pStyle w:val="JuPara"/>
        <w:rPr>
          <w:strike/>
        </w:rPr>
      </w:pPr>
      <w:r>
        <w:fldChar w:fldCharType="begin"/>
      </w:r>
      <w:r>
        <w:instrText xml:space="preserve"> SEQ level0 \*arabic \* MERGEFORMAT </w:instrText>
      </w:r>
      <w:r>
        <w:fldChar w:fldCharType="separate"/>
      </w:r>
      <w:bookmarkStart w:name="paragraph00009" w:id="4"/>
      <w:r w:rsidRPr="002C4A34" w:rsidR="002C4A34">
        <w:rPr>
          <w:noProof/>
        </w:rPr>
        <w:t>9</w:t>
      </w:r>
      <w:bookmarkEnd w:id="4"/>
      <w:r>
        <w:fldChar w:fldCharType="end"/>
      </w:r>
      <w:r w:rsidRPr="002C4A34">
        <w:t>.  Before the Court, the applicant complained, relying on Article 6 § 1 of the Convention, that the second-instance court</w:t>
      </w:r>
      <w:r w:rsidRPr="002C4A34" w:rsidR="002C4A34">
        <w:t>’</w:t>
      </w:r>
      <w:r w:rsidRPr="002C4A34">
        <w:t>s finding that she had not requested a rectification and thereby failed to comply with the procedural requirements for bringing an action for compensation had been arbitrary. To that end, she argued that that court</w:t>
      </w:r>
      <w:r w:rsidRPr="002C4A34" w:rsidR="002C4A34">
        <w:t>’</w:t>
      </w:r>
      <w:r w:rsidRPr="002C4A34">
        <w:t xml:space="preserve">s interpretation of the law with regard to the manner in which a rectification had to be requested had diverged from that of the other domestic courts which had granted her claims in cases with comparable factual backgrounds (see paragraph </w:t>
      </w:r>
      <w:r w:rsidRPr="002C4A34">
        <w:fldChar w:fldCharType="begin"/>
      </w:r>
      <w:r w:rsidRPr="002C4A34">
        <w:instrText xml:space="preserve"> REF paragraph00008 \h  \* CharFormat </w:instrText>
      </w:r>
      <w:r w:rsidRPr="002C4A34">
        <w:fldChar w:fldCharType="separate"/>
      </w:r>
      <w:r w:rsidRPr="002C4A34" w:rsidR="002C4A34">
        <w:t>8</w:t>
      </w:r>
      <w:r w:rsidRPr="002C4A34">
        <w:fldChar w:fldCharType="end"/>
      </w:r>
      <w:r w:rsidRPr="002C4A34">
        <w:t xml:space="preserve"> above).</w:t>
      </w:r>
    </w:p>
    <w:p w:rsidRPr="002C4A34" w:rsidR="001B4170" w:rsidP="002C4A34" w14:paraId="3259D593" w14:textId="38353477">
      <w:pPr>
        <w:pStyle w:val="JuHHead"/>
        <w:numPr>
          <w:ilvl w:val="0"/>
          <w:numId w:val="21"/>
        </w:numPr>
        <w:ind w:left="360" w:hanging="360"/>
      </w:pPr>
      <w:r w:rsidRPr="002C4A34">
        <w:t>THE COURT</w:t>
      </w:r>
      <w:r w:rsidRPr="002C4A34" w:rsidR="002C4A34">
        <w:t>’</w:t>
      </w:r>
      <w:r w:rsidRPr="002C4A34">
        <w:t>S ASSESSMENT</w:t>
      </w:r>
    </w:p>
    <w:p w:rsidRPr="002C4A34" w:rsidR="001B4170" w:rsidP="002C4A34" w14:paraId="3B633B0D" w14:textId="21E540AF">
      <w:pPr>
        <w:pStyle w:val="JuPara"/>
        <w:keepNext/>
        <w:keepLines/>
      </w:pPr>
      <w:r>
        <w:fldChar w:fldCharType="begin"/>
      </w:r>
      <w:r>
        <w:instrText xml:space="preserve"> SEQ level0 \*arabic \* MERGEFORMAT </w:instrText>
      </w:r>
      <w:r>
        <w:fldChar w:fldCharType="separate"/>
      </w:r>
      <w:r w:rsidRPr="002C4A34" w:rsidR="002C4A34">
        <w:rPr>
          <w:noProof/>
        </w:rPr>
        <w:t>10</w:t>
      </w:r>
      <w:r w:rsidRPr="002C4A34" w:rsidR="002C4A34">
        <w:rPr>
          <w:noProof/>
        </w:rPr>
        <w:fldChar w:fldCharType="end"/>
      </w:r>
      <w:r w:rsidRPr="002C4A34">
        <w:t>.  The Government argued that the application was inadmissible because the applicant had failed to exhaust domestic remedies. In particular, they argued that she had failed to comply with the formal requirements for lodging the extraordinary appeal on points of law, thus preventing the Supreme Court from examining the merits of the complaints she had raised before the Court.</w:t>
      </w:r>
    </w:p>
    <w:p w:rsidRPr="002C4A34" w:rsidR="001B4170" w:rsidP="002C4A34" w14:paraId="68DD229C" w14:textId="1A15DEAB">
      <w:pPr>
        <w:pStyle w:val="JuPara"/>
      </w:pPr>
      <w:r>
        <w:fldChar w:fldCharType="begin"/>
      </w:r>
      <w:r>
        <w:instrText xml:space="preserve"> SEQ level0 \*arabic \* MERGEFORMAT </w:instrText>
      </w:r>
      <w:r>
        <w:fldChar w:fldCharType="separate"/>
      </w:r>
      <w:r w:rsidRPr="002C4A34" w:rsidR="002C4A34">
        <w:rPr>
          <w:noProof/>
        </w:rPr>
        <w:t>11</w:t>
      </w:r>
      <w:r w:rsidRPr="002C4A34" w:rsidR="002C4A34">
        <w:rPr>
          <w:noProof/>
        </w:rPr>
        <w:fldChar w:fldCharType="end"/>
      </w:r>
      <w:r w:rsidRPr="002C4A34">
        <w:t xml:space="preserve">.  In that regard, the Court notes that the applicant, had she considered that the </w:t>
      </w:r>
      <w:r w:rsidRPr="002C4A34">
        <w:t>Varaždin</w:t>
      </w:r>
      <w:r w:rsidRPr="002C4A34">
        <w:t xml:space="preserve"> County Court</w:t>
      </w:r>
      <w:r w:rsidRPr="002C4A34" w:rsidR="002C4A34">
        <w:t>’</w:t>
      </w:r>
      <w:r w:rsidRPr="002C4A34">
        <w:t xml:space="preserve">s judgment diverged from the domestic case-law on the matter (see paragraphs </w:t>
      </w:r>
      <w:r w:rsidRPr="002C4A34">
        <w:fldChar w:fldCharType="begin"/>
      </w:r>
      <w:r w:rsidRPr="002C4A34">
        <w:instrText xml:space="preserve"> REF paragraph00005 \h  \* CharFormat </w:instrText>
      </w:r>
      <w:r w:rsidRPr="002C4A34">
        <w:fldChar w:fldCharType="separate"/>
      </w:r>
      <w:r w:rsidRPr="002C4A34" w:rsidR="002C4A34">
        <w:t>5</w:t>
      </w:r>
      <w:r w:rsidRPr="002C4A34">
        <w:fldChar w:fldCharType="end"/>
      </w:r>
      <w:r w:rsidRPr="002C4A34">
        <w:t xml:space="preserve"> and </w:t>
      </w:r>
      <w:r w:rsidRPr="002C4A34">
        <w:fldChar w:fldCharType="begin"/>
      </w:r>
      <w:r w:rsidRPr="002C4A34">
        <w:instrText xml:space="preserve"> REF paragraph00009 \h  \* CharFormat </w:instrText>
      </w:r>
      <w:r w:rsidRPr="002C4A34">
        <w:fldChar w:fldCharType="separate"/>
      </w:r>
      <w:r w:rsidRPr="002C4A34" w:rsidR="002C4A34">
        <w:t>9</w:t>
      </w:r>
      <w:r w:rsidRPr="002C4A34">
        <w:fldChar w:fldCharType="end"/>
      </w:r>
      <w:r w:rsidRPr="002C4A34">
        <w:t xml:space="preserve"> above), indeed had at her disposal an effective domestic remedy, namely an extraordinary appeal on points of law, aimed precisely at addressing case-law inconsistencies (compare </w:t>
      </w:r>
      <w:r w:rsidRPr="002C4A34">
        <w:rPr>
          <w:i/>
          <w:iCs/>
        </w:rPr>
        <w:t>Mirenić-Huzjak</w:t>
      </w:r>
      <w:r w:rsidRPr="002C4A34">
        <w:rPr>
          <w:i/>
          <w:iCs/>
        </w:rPr>
        <w:t xml:space="preserve"> and </w:t>
      </w:r>
      <w:r w:rsidRPr="002C4A34">
        <w:rPr>
          <w:i/>
          <w:iCs/>
        </w:rPr>
        <w:t>Jerković</w:t>
      </w:r>
      <w:r w:rsidRPr="002C4A34">
        <w:rPr>
          <w:i/>
          <w:iCs/>
        </w:rPr>
        <w:t xml:space="preserve"> v. Croatia</w:t>
      </w:r>
      <w:r w:rsidRPr="002C4A34">
        <w:t xml:space="preserve"> (dec.), no. 72996/16, § 54, 24 September 2019).</w:t>
      </w:r>
    </w:p>
    <w:p w:rsidRPr="002C4A34" w:rsidR="001B4170" w:rsidP="002C4A34" w14:paraId="0685A00E" w14:textId="7D682815">
      <w:pPr>
        <w:pStyle w:val="JuPara"/>
      </w:pPr>
      <w:r>
        <w:fldChar w:fldCharType="begin"/>
      </w:r>
      <w:r>
        <w:instrText xml:space="preserve"> SEQ level0 \*arabic \* MERGEFORMAT </w:instrText>
      </w:r>
      <w:r>
        <w:fldChar w:fldCharType="separate"/>
      </w:r>
      <w:bookmarkStart w:name="paragraph00012" w:id="5"/>
      <w:r w:rsidRPr="002C4A34" w:rsidR="002C4A34">
        <w:rPr>
          <w:noProof/>
        </w:rPr>
        <w:t>12</w:t>
      </w:r>
      <w:bookmarkEnd w:id="5"/>
      <w:r>
        <w:fldChar w:fldCharType="end"/>
      </w:r>
      <w:r w:rsidRPr="002C4A34">
        <w:t xml:space="preserve">.  Under section 382 of the Civil Procedure Act as it stood at the material time, an extraordinary appeal on points of law could be lodged if a decision in the dispute depended on the resolution of a point of substantive or procedural law important for ensuring the uniform application of the law and equality of all in its application, for example if the Supreme Court had not yet ruled on that point in respect of which there was divergent case-law of the second-instance courts, or if the Supreme Court had already ruled on that point but the decision of the second-instance court was not in conformity with that ruling. In the extraordinary appeal on points of law, the appellants had to specify the point of law which was the ground for their appeal together with specific reference to legislation and other sources of law related thereto, and had to give reasons as to why they found that point important for ensuring the </w:t>
      </w:r>
      <w:r w:rsidRPr="002C4A34">
        <w:t xml:space="preserve">uniform application of the law and equality of all in its application (see for the domestic law provisions </w:t>
      </w:r>
      <w:r w:rsidRPr="002C4A34">
        <w:rPr>
          <w:i/>
          <w:iCs/>
        </w:rPr>
        <w:t>Mirenić-Huzjak</w:t>
      </w:r>
      <w:r w:rsidRPr="002C4A34">
        <w:rPr>
          <w:i/>
          <w:iCs/>
        </w:rPr>
        <w:t xml:space="preserve"> and </w:t>
      </w:r>
      <w:r w:rsidRPr="002C4A34">
        <w:rPr>
          <w:i/>
          <w:iCs/>
        </w:rPr>
        <w:t>Jerković</w:t>
      </w:r>
      <w:r w:rsidRPr="002C4A34">
        <w:t>, cited above, § 26).</w:t>
      </w:r>
    </w:p>
    <w:p w:rsidRPr="002C4A34" w:rsidR="001B4170" w:rsidP="002C4A34" w14:paraId="4F59E358" w14:textId="6D1C759A">
      <w:pPr>
        <w:pStyle w:val="JuPara"/>
      </w:pPr>
      <w:r>
        <w:fldChar w:fldCharType="begin"/>
      </w:r>
      <w:r>
        <w:instrText xml:space="preserve"> SEQ level0 \*arabic \* MERGEFORMAT </w:instrText>
      </w:r>
      <w:r>
        <w:fldChar w:fldCharType="separate"/>
      </w:r>
      <w:r w:rsidRPr="002C4A34" w:rsidR="002C4A34">
        <w:rPr>
          <w:noProof/>
        </w:rPr>
        <w:t>13</w:t>
      </w:r>
      <w:r w:rsidRPr="002C4A34" w:rsidR="002C4A34">
        <w:rPr>
          <w:noProof/>
        </w:rPr>
        <w:fldChar w:fldCharType="end"/>
      </w:r>
      <w:r w:rsidRPr="002C4A34">
        <w:t xml:space="preserve">.  In the present case, the applicant lodged an extraordinary appeal on points of law arguing that the </w:t>
      </w:r>
      <w:r w:rsidRPr="002C4A34">
        <w:t>Varaždin</w:t>
      </w:r>
      <w:r w:rsidRPr="002C4A34">
        <w:t xml:space="preserve"> County Court</w:t>
      </w:r>
      <w:r w:rsidRPr="002C4A34" w:rsidR="002C4A34">
        <w:t>’</w:t>
      </w:r>
      <w:r w:rsidRPr="002C4A34">
        <w:t xml:space="preserve">s judgment dismissing her compensation claim on the ground that she had not complied with the procedural requirement set out in section 22 of the Media Act raised points of law which were important for the uniform application of the law, which had not yet been ruled on by the Supreme Court and in respect of which there existed divergent case-law of the second-instance courts (see paragraphs </w:t>
      </w:r>
      <w:r w:rsidRPr="002C4A34">
        <w:fldChar w:fldCharType="begin"/>
      </w:r>
      <w:r w:rsidRPr="002C4A34">
        <w:instrText xml:space="preserve"> REF paragraph00002 \h  \* CharFormat </w:instrText>
      </w:r>
      <w:r w:rsidRPr="002C4A34">
        <w:fldChar w:fldCharType="separate"/>
      </w:r>
      <w:r w:rsidRPr="002C4A34" w:rsidR="002C4A34">
        <w:t>2</w:t>
      </w:r>
      <w:r w:rsidRPr="002C4A34">
        <w:fldChar w:fldCharType="end"/>
      </w:r>
      <w:r w:rsidRPr="002C4A34">
        <w:t xml:space="preserve">, </w:t>
      </w:r>
      <w:r w:rsidRPr="002C4A34">
        <w:fldChar w:fldCharType="begin"/>
      </w:r>
      <w:r w:rsidRPr="002C4A34">
        <w:instrText xml:space="preserve"> REF paragraph00004 \h  \* CharFormat </w:instrText>
      </w:r>
      <w:r w:rsidRPr="002C4A34">
        <w:fldChar w:fldCharType="separate"/>
      </w:r>
      <w:r w:rsidRPr="002C4A34" w:rsidR="002C4A34">
        <w:t>4</w:t>
      </w:r>
      <w:r w:rsidRPr="002C4A34">
        <w:fldChar w:fldCharType="end"/>
      </w:r>
      <w:r w:rsidRPr="002C4A34">
        <w:t xml:space="preserve">, and </w:t>
      </w:r>
      <w:r w:rsidRPr="002C4A34">
        <w:fldChar w:fldCharType="begin"/>
      </w:r>
      <w:r w:rsidRPr="002C4A34">
        <w:instrText xml:space="preserve"> REF paragraph00005 \h  \* CharFormat </w:instrText>
      </w:r>
      <w:r w:rsidRPr="002C4A34">
        <w:fldChar w:fldCharType="separate"/>
      </w:r>
      <w:r w:rsidRPr="002C4A34" w:rsidR="002C4A34">
        <w:t>5</w:t>
      </w:r>
      <w:r w:rsidRPr="002C4A34">
        <w:fldChar w:fldCharType="end"/>
      </w:r>
      <w:r w:rsidRPr="002C4A34">
        <w:t xml:space="preserve"> above). However, the Court notes that the mere raising of a certain point of law and claiming that it was important for the uniform application of the law was not sufficient to comply with the procedural requirements for lodging the remedy in question. On the contrary, the applicant had to refer to specific second-instance court decisions and furthermore give reasons as to why she considered that the points she had raised were important for ensuring the uniform application of law and equality of all in its application, which she failed to do (see paragraphs </w:t>
      </w:r>
      <w:r w:rsidRPr="002C4A34">
        <w:fldChar w:fldCharType="begin"/>
      </w:r>
      <w:r w:rsidRPr="002C4A34">
        <w:instrText xml:space="preserve"> REF paragraph00005 \h  \* CharFormat </w:instrText>
      </w:r>
      <w:r w:rsidRPr="002C4A34">
        <w:fldChar w:fldCharType="separate"/>
      </w:r>
      <w:r w:rsidRPr="002C4A34" w:rsidR="002C4A34">
        <w:t>5</w:t>
      </w:r>
      <w:r w:rsidRPr="002C4A34">
        <w:fldChar w:fldCharType="end"/>
      </w:r>
      <w:r w:rsidRPr="002C4A34">
        <w:t xml:space="preserve"> and </w:t>
      </w:r>
      <w:r w:rsidRPr="002C4A34">
        <w:fldChar w:fldCharType="begin"/>
      </w:r>
      <w:r w:rsidRPr="002C4A34">
        <w:instrText xml:space="preserve"> REF paragraph00012 \h  \* CharFormat </w:instrText>
      </w:r>
      <w:r w:rsidRPr="002C4A34">
        <w:fldChar w:fldCharType="separate"/>
      </w:r>
      <w:r w:rsidRPr="002C4A34" w:rsidR="002C4A34">
        <w:t>12</w:t>
      </w:r>
      <w:r w:rsidRPr="002C4A34">
        <w:fldChar w:fldCharType="end"/>
      </w:r>
      <w:r w:rsidRPr="002C4A34">
        <w:t xml:space="preserve"> above).</w:t>
      </w:r>
    </w:p>
    <w:p w:rsidRPr="002C4A34" w:rsidR="001B4170" w:rsidP="002C4A34" w14:paraId="467391E4" w14:textId="4ADC59EC">
      <w:pPr>
        <w:pStyle w:val="JuPara"/>
      </w:pPr>
      <w:r>
        <w:fldChar w:fldCharType="begin"/>
      </w:r>
      <w:r>
        <w:instrText xml:space="preserve"> SEQ level0 \*arabic \* MERGEFORMAT </w:instrText>
      </w:r>
      <w:r>
        <w:fldChar w:fldCharType="separate"/>
      </w:r>
      <w:r w:rsidRPr="002C4A34" w:rsidR="002C4A34">
        <w:rPr>
          <w:noProof/>
        </w:rPr>
        <w:t>14</w:t>
      </w:r>
      <w:r w:rsidRPr="002C4A34" w:rsidR="002C4A34">
        <w:rPr>
          <w:noProof/>
        </w:rPr>
        <w:fldChar w:fldCharType="end"/>
      </w:r>
      <w:r w:rsidRPr="002C4A34">
        <w:t xml:space="preserve">.  Thus, in failing to comply with the formal requirements for lodging an extraordinary appeal on points of law, the applicant failed to properly exhaust domestic remedies (compare also </w:t>
      </w:r>
      <w:r w:rsidRPr="002C4A34">
        <w:rPr>
          <w:i/>
          <w:iCs/>
        </w:rPr>
        <w:t>Krpić</w:t>
      </w:r>
      <w:r w:rsidRPr="002C4A34">
        <w:rPr>
          <w:i/>
          <w:iCs/>
        </w:rPr>
        <w:t xml:space="preserve"> v. Croatia</w:t>
      </w:r>
      <w:r w:rsidRPr="002C4A34">
        <w:t xml:space="preserve"> (dec.), no. 75012/12, §§ 41 and 44, 31 May 2016).</w:t>
      </w:r>
    </w:p>
    <w:p w:rsidRPr="002C4A34" w:rsidR="001B4170" w:rsidP="002C4A34" w14:paraId="5AB0B962" w14:textId="1C0DB8E2">
      <w:pPr>
        <w:pStyle w:val="JuPara"/>
      </w:pPr>
      <w:r>
        <w:fldChar w:fldCharType="begin"/>
      </w:r>
      <w:r>
        <w:instrText xml:space="preserve"> SEQ level0 \*arabic \* MERGEFORMAT </w:instrText>
      </w:r>
      <w:r>
        <w:fldChar w:fldCharType="separate"/>
      </w:r>
      <w:r w:rsidRPr="002C4A34" w:rsidR="002C4A34">
        <w:rPr>
          <w:noProof/>
        </w:rPr>
        <w:t>15</w:t>
      </w:r>
      <w:r w:rsidRPr="002C4A34" w:rsidR="002C4A34">
        <w:rPr>
          <w:noProof/>
        </w:rPr>
        <w:fldChar w:fldCharType="end"/>
      </w:r>
      <w:r w:rsidRPr="002C4A34">
        <w:t>.  It follows that this complaint is inadmissible under Article 35 § 1 of the Convention for non-exhaustion of domestic remedies and must be rejected pursuant to Article 35 § 4 thereof.</w:t>
      </w:r>
    </w:p>
    <w:p w:rsidRPr="002C4A34" w:rsidR="001B4170" w:rsidP="002C4A34" w14:paraId="48C4D179" w14:textId="08ECA051">
      <w:pPr>
        <w:pStyle w:val="JuParaLast"/>
      </w:pPr>
      <w:r w:rsidRPr="002C4A34">
        <w:t>For these reasons, the Court, unanimously,</w:t>
      </w:r>
    </w:p>
    <w:p w:rsidRPr="002C4A34" w:rsidR="001B4170" w:rsidP="002C4A34" w14:paraId="41A4E5E0" w14:textId="77777777">
      <w:pPr>
        <w:pStyle w:val="DecList"/>
      </w:pPr>
      <w:r w:rsidRPr="002C4A34">
        <w:rPr>
          <w:i/>
        </w:rPr>
        <w:t>Declares</w:t>
      </w:r>
      <w:r w:rsidRPr="002C4A34">
        <w:t xml:space="preserve"> the application inadmissible.</w:t>
      </w:r>
    </w:p>
    <w:p w:rsidRPr="002C4A34" w:rsidR="00BD1692" w:rsidP="002C4A34" w14:paraId="551C281B" w14:textId="384D3FE9">
      <w:pPr>
        <w:pStyle w:val="JuParaLast"/>
        <w:rPr>
          <w:sz w:val="14"/>
        </w:rPr>
      </w:pPr>
      <w:r w:rsidRPr="002C4A34">
        <w:t xml:space="preserve">Done in English and notified in writing on </w:t>
      </w:r>
      <w:r w:rsidRPr="002C4A34" w:rsidR="001B4170">
        <w:rPr>
          <w:noProof/>
        </w:rPr>
        <w:t>26 September 2024</w:t>
      </w:r>
      <w:r w:rsidRPr="002C4A34">
        <w:t>.</w:t>
      </w:r>
    </w:p>
    <w:p w:rsidRPr="002C4A34" w:rsidR="00BD1692" w:rsidP="002C4A34" w14:paraId="343B6661" w14:textId="4829E3CB">
      <w:pPr>
        <w:pStyle w:val="ECHRPlaceholder"/>
      </w:pPr>
      <w:r w:rsidRPr="002C4A34">
        <w:tab/>
      </w:r>
    </w:p>
    <w:p w:rsidRPr="002C4A34" w:rsidR="001B4170" w:rsidP="002C4A34" w14:paraId="65D37785" w14:textId="169C5832">
      <w:pPr>
        <w:pStyle w:val="JuSigned"/>
      </w:pPr>
      <w:r w:rsidRPr="002C4A34">
        <w:tab/>
      </w:r>
      <w:r w:rsidRPr="002C4A34">
        <w:rPr>
          <w:rFonts w:eastAsia="PMingLiU"/>
          <w:noProof/>
        </w:rPr>
        <w:t>Dorothee von Arnim</w:t>
      </w:r>
      <w:r w:rsidRPr="002C4A34" w:rsidR="001D1233">
        <w:tab/>
      </w:r>
      <w:r w:rsidRPr="002C4A34">
        <w:rPr>
          <w:noProof/>
        </w:rPr>
        <w:t>Lorraine Schembri Orland</w:t>
      </w:r>
      <w:r w:rsidRPr="002C4A34" w:rsidR="001D1233">
        <w:br/>
      </w:r>
      <w:r w:rsidRPr="002C4A34" w:rsidR="001D1233">
        <w:tab/>
      </w:r>
      <w:r w:rsidRPr="002C4A34">
        <w:rPr>
          <w:noProof/>
        </w:rPr>
        <w:t>Deputy Registrar</w:t>
      </w:r>
      <w:r w:rsidRPr="002C4A34" w:rsidR="006267D3">
        <w:tab/>
        <w:t>President</w:t>
      </w: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4170" w:rsidRPr="001B4170" w:rsidP="000D61E7" w14:paraId="2771B5C9" w14:textId="4C468B75">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4170" w:rsidRPr="001B4170" w:rsidP="000D61E7" w14:paraId="4E995494" w14:textId="4329D23C">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4170" w:rsidRPr="00150BFA" w:rsidP="0020718E" w14:paraId="25DCBF78" w14:textId="2FB63A70">
    <w:pPr>
      <w:jc w:val="center"/>
    </w:pPr>
    <w:r w:rsidRPr="001B4170">
      <w:rPr>
        <w:noProof/>
      </w:rPr>
      <w:drawing>
        <wp:inline distT="0" distB="0" distL="0" distR="0">
          <wp:extent cx="771525" cy="619125"/>
          <wp:effectExtent l="0" t="0" r="9525" b="9525"/>
          <wp:docPr id="13" name="Picture 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1B4170" w:rsidRPr="001B4170" w:rsidP="002E2C77" w14:paraId="5BAD1BEE" w14:textId="0CE45C51">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4170" w:rsidRPr="001B4170" w:rsidP="0076040F" w14:paraId="51084A17" w14:textId="7D649A4F">
    <w:pPr>
      <w:pStyle w:val="JuHeader"/>
    </w:pPr>
    <w:r>
      <w:t>ĆELAP v. CROATIA</w:t>
    </w:r>
    <w:r w:rsidRPr="001B4170"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4170" w:rsidRPr="001B4170" w:rsidP="000D61E7" w14:paraId="4DD3D833" w14:textId="67D74326">
    <w:pPr>
      <w:pStyle w:val="JuHeader"/>
    </w:pPr>
    <w:r>
      <w:t>ĆELAP v. CROATIA</w:t>
    </w:r>
    <w:r w:rsidRPr="001B4170"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4170" w:rsidRPr="00A45145" w:rsidP="00A45145" w14:paraId="43C377E6" w14:textId="2C057F0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1B4170" w:rsidRPr="001B4170" w:rsidP="00EA1004" w14:paraId="666B8ABA" w14:textId="6B26011C">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351956937">
    <w:abstractNumId w:val="14"/>
  </w:num>
  <w:num w:numId="2" w16cid:durableId="1087388178">
    <w:abstractNumId w:val="12"/>
  </w:num>
  <w:num w:numId="3" w16cid:durableId="1960598119">
    <w:abstractNumId w:val="11"/>
  </w:num>
  <w:num w:numId="4" w16cid:durableId="1667320212">
    <w:abstractNumId w:val="15"/>
  </w:num>
  <w:num w:numId="5" w16cid:durableId="425342815">
    <w:abstractNumId w:val="13"/>
  </w:num>
  <w:num w:numId="6" w16cid:durableId="1557817485">
    <w:abstractNumId w:val="16"/>
  </w:num>
  <w:num w:numId="7" w16cid:durableId="1833636490">
    <w:abstractNumId w:val="15"/>
  </w:num>
  <w:num w:numId="8" w16cid:durableId="1483156584">
    <w:abstractNumId w:val="16"/>
  </w:num>
  <w:num w:numId="9" w16cid:durableId="1327173377">
    <w:abstractNumId w:val="10"/>
  </w:num>
  <w:num w:numId="10" w16cid:durableId="322319782">
    <w:abstractNumId w:val="9"/>
  </w:num>
  <w:num w:numId="11" w16cid:durableId="1502507879">
    <w:abstractNumId w:val="18"/>
  </w:num>
  <w:num w:numId="12" w16cid:durableId="2141655209">
    <w:abstractNumId w:val="7"/>
  </w:num>
  <w:num w:numId="13" w16cid:durableId="255988621">
    <w:abstractNumId w:val="6"/>
  </w:num>
  <w:num w:numId="14" w16cid:durableId="341474410">
    <w:abstractNumId w:val="5"/>
  </w:num>
  <w:num w:numId="15" w16cid:durableId="1659655550">
    <w:abstractNumId w:val="4"/>
  </w:num>
  <w:num w:numId="16" w16cid:durableId="1028599098">
    <w:abstractNumId w:val="8"/>
  </w:num>
  <w:num w:numId="17" w16cid:durableId="1380008318">
    <w:abstractNumId w:val="3"/>
  </w:num>
  <w:num w:numId="18" w16cid:durableId="1703748946">
    <w:abstractNumId w:val="2"/>
  </w:num>
  <w:num w:numId="19" w16cid:durableId="487017719">
    <w:abstractNumId w:val="1"/>
  </w:num>
  <w:num w:numId="20" w16cid:durableId="1621641545">
    <w:abstractNumId w:val="0"/>
  </w:num>
  <w:num w:numId="21" w16cid:durableId="680857355">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170"/>
    <w:rsid w:val="00095FD8"/>
    <w:rsid w:val="000B1FA9"/>
    <w:rsid w:val="000D61E7"/>
    <w:rsid w:val="000E3A89"/>
    <w:rsid w:val="00132029"/>
    <w:rsid w:val="00144EBC"/>
    <w:rsid w:val="00150BFA"/>
    <w:rsid w:val="001B4170"/>
    <w:rsid w:val="001D1233"/>
    <w:rsid w:val="0020718E"/>
    <w:rsid w:val="00223591"/>
    <w:rsid w:val="00235218"/>
    <w:rsid w:val="00285930"/>
    <w:rsid w:val="002A7443"/>
    <w:rsid w:val="002C4A34"/>
    <w:rsid w:val="002E2C77"/>
    <w:rsid w:val="003B50D7"/>
    <w:rsid w:val="003E3C60"/>
    <w:rsid w:val="00452087"/>
    <w:rsid w:val="00464268"/>
    <w:rsid w:val="004A4C71"/>
    <w:rsid w:val="004B4E73"/>
    <w:rsid w:val="005167E0"/>
    <w:rsid w:val="005E56C2"/>
    <w:rsid w:val="005F11CB"/>
    <w:rsid w:val="006262FA"/>
    <w:rsid w:val="006267D3"/>
    <w:rsid w:val="006300E9"/>
    <w:rsid w:val="00653EF4"/>
    <w:rsid w:val="00656B81"/>
    <w:rsid w:val="006D4D63"/>
    <w:rsid w:val="006E123B"/>
    <w:rsid w:val="0076040F"/>
    <w:rsid w:val="007907C0"/>
    <w:rsid w:val="007A74FC"/>
    <w:rsid w:val="007B2364"/>
    <w:rsid w:val="00812D10"/>
    <w:rsid w:val="008A1D9A"/>
    <w:rsid w:val="008D10E4"/>
    <w:rsid w:val="008F0A92"/>
    <w:rsid w:val="008F7189"/>
    <w:rsid w:val="009077F2"/>
    <w:rsid w:val="00956B2A"/>
    <w:rsid w:val="0096293E"/>
    <w:rsid w:val="009656DE"/>
    <w:rsid w:val="009B6F49"/>
    <w:rsid w:val="009C21E8"/>
    <w:rsid w:val="009E01FB"/>
    <w:rsid w:val="00A45145"/>
    <w:rsid w:val="00AA5AEE"/>
    <w:rsid w:val="00AC58E5"/>
    <w:rsid w:val="00B140D3"/>
    <w:rsid w:val="00B145BD"/>
    <w:rsid w:val="00BD1692"/>
    <w:rsid w:val="00BD232F"/>
    <w:rsid w:val="00C42C12"/>
    <w:rsid w:val="00C8038F"/>
    <w:rsid w:val="00CB3BD9"/>
    <w:rsid w:val="00D415D6"/>
    <w:rsid w:val="00DB6354"/>
    <w:rsid w:val="00E5464B"/>
    <w:rsid w:val="00EA1004"/>
    <w:rsid w:val="00EE38CA"/>
    <w:rsid w:val="00F0534F"/>
    <w:rsid w:val="00F24AB9"/>
    <w:rsid w:val="00FC2655"/>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1901A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44EBC"/>
    <w:rPr>
      <w:sz w:val="24"/>
      <w:szCs w:val="24"/>
      <w:lang w:val="en-GB"/>
    </w:rPr>
  </w:style>
  <w:style w:type="paragraph" w:styleId="Heading1">
    <w:name w:val="heading 1"/>
    <w:basedOn w:val="Normal"/>
    <w:next w:val="Normal"/>
    <w:link w:val="Heading1Char"/>
    <w:uiPriority w:val="98"/>
    <w:semiHidden/>
    <w:rsid w:val="0014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4E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4E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4E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4E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4E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4E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4E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44EBC"/>
    <w:pPr>
      <w:tabs>
        <w:tab w:val="center" w:pos="1418"/>
        <w:tab w:val="center" w:pos="5954"/>
      </w:tabs>
      <w:spacing w:before="720"/>
    </w:pPr>
  </w:style>
  <w:style w:type="paragraph" w:customStyle="1" w:styleId="JuPara">
    <w:name w:val="Ju_Para"/>
    <w:aliases w:val="_Para"/>
    <w:basedOn w:val="NormalJustified"/>
    <w:link w:val="JuParaChar"/>
    <w:uiPriority w:val="4"/>
    <w:qFormat/>
    <w:rsid w:val="00144EBC"/>
    <w:pPr>
      <w:ind w:firstLine="284"/>
    </w:pPr>
  </w:style>
  <w:style w:type="character" w:styleId="PageNumber">
    <w:name w:val="page number"/>
    <w:uiPriority w:val="98"/>
    <w:semiHidden/>
    <w:rsid w:val="00144EBC"/>
    <w:rPr>
      <w:sz w:val="18"/>
    </w:rPr>
  </w:style>
  <w:style w:type="character" w:styleId="CommentReference">
    <w:name w:val="annotation reference"/>
    <w:basedOn w:val="DefaultParagraphFont"/>
    <w:uiPriority w:val="98"/>
    <w:semiHidden/>
    <w:rsid w:val="00144EBC"/>
    <w:rPr>
      <w:sz w:val="16"/>
      <w:szCs w:val="16"/>
    </w:rPr>
  </w:style>
  <w:style w:type="paragraph" w:styleId="CommentText">
    <w:name w:val="annotation text"/>
    <w:basedOn w:val="Normal"/>
    <w:link w:val="CommentTextChar"/>
    <w:uiPriority w:val="98"/>
    <w:semiHidden/>
    <w:rsid w:val="00144EBC"/>
    <w:rPr>
      <w:sz w:val="20"/>
      <w:szCs w:val="20"/>
    </w:rPr>
  </w:style>
  <w:style w:type="character" w:customStyle="1" w:styleId="CommentTextChar">
    <w:name w:val="Comment Text Char"/>
    <w:basedOn w:val="DefaultParagraphFont"/>
    <w:link w:val="CommentText"/>
    <w:uiPriority w:val="98"/>
    <w:semiHidden/>
    <w:rsid w:val="00144EBC"/>
    <w:rPr>
      <w:sz w:val="20"/>
      <w:szCs w:val="20"/>
      <w:lang w:val="en-GB"/>
    </w:rPr>
  </w:style>
  <w:style w:type="paragraph" w:customStyle="1" w:styleId="DecHTitle">
    <w:name w:val="Dec_H_Title"/>
    <w:aliases w:val="_Title_1"/>
    <w:basedOn w:val="JuPara"/>
    <w:next w:val="JuPara"/>
    <w:uiPriority w:val="38"/>
    <w:qFormat/>
    <w:rsid w:val="00144EB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44E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4EBC"/>
    <w:pPr>
      <w:keepNext/>
      <w:keepLines/>
      <w:spacing w:before="1320" w:after="280"/>
      <w:contextualSpacing/>
      <w:jc w:val="center"/>
    </w:pPr>
    <w:rPr>
      <w:b/>
    </w:rPr>
  </w:style>
  <w:style w:type="paragraph" w:customStyle="1" w:styleId="JuHeader">
    <w:name w:val="Ju_Header"/>
    <w:aliases w:val="_Header"/>
    <w:basedOn w:val="Header0"/>
    <w:uiPriority w:val="29"/>
    <w:qFormat/>
    <w:rsid w:val="00144EBC"/>
    <w:pPr>
      <w:tabs>
        <w:tab w:val="clear" w:pos="4536"/>
        <w:tab w:val="clear" w:pos="9072"/>
      </w:tabs>
      <w:jc w:val="center"/>
    </w:pPr>
    <w:rPr>
      <w:sz w:val="18"/>
    </w:rPr>
  </w:style>
  <w:style w:type="paragraph" w:styleId="Header0">
    <w:name w:val="header"/>
    <w:basedOn w:val="Normal"/>
    <w:link w:val="HeaderChar"/>
    <w:uiPriority w:val="98"/>
    <w:semiHidden/>
    <w:rsid w:val="00144EBC"/>
    <w:pPr>
      <w:tabs>
        <w:tab w:val="center" w:pos="4536"/>
        <w:tab w:val="right" w:pos="9072"/>
      </w:tabs>
    </w:pPr>
  </w:style>
  <w:style w:type="character" w:customStyle="1" w:styleId="HeaderChar">
    <w:name w:val="Header Char"/>
    <w:basedOn w:val="DefaultParagraphFont"/>
    <w:link w:val="Header0"/>
    <w:uiPriority w:val="98"/>
    <w:semiHidden/>
    <w:rsid w:val="00144EBC"/>
    <w:rPr>
      <w:sz w:val="24"/>
      <w:szCs w:val="24"/>
      <w:lang w:val="en-GB"/>
    </w:rPr>
  </w:style>
  <w:style w:type="paragraph" w:styleId="BalloonText">
    <w:name w:val="Balloon Text"/>
    <w:basedOn w:val="Normal"/>
    <w:link w:val="BalloonTextChar"/>
    <w:uiPriority w:val="98"/>
    <w:semiHidden/>
    <w:rsid w:val="00144EBC"/>
    <w:rPr>
      <w:rFonts w:ascii="Tahoma" w:hAnsi="Tahoma" w:cs="Tahoma"/>
      <w:sz w:val="16"/>
      <w:szCs w:val="16"/>
    </w:rPr>
  </w:style>
  <w:style w:type="character" w:customStyle="1" w:styleId="BalloonTextChar">
    <w:name w:val="Balloon Text Char"/>
    <w:basedOn w:val="DefaultParagraphFont"/>
    <w:link w:val="BalloonText"/>
    <w:uiPriority w:val="98"/>
    <w:semiHidden/>
    <w:rsid w:val="00144EBC"/>
    <w:rPr>
      <w:rFonts w:ascii="Tahoma" w:hAnsi="Tahoma" w:cs="Tahoma"/>
      <w:sz w:val="16"/>
      <w:szCs w:val="16"/>
      <w:lang w:val="en-GB"/>
    </w:rPr>
  </w:style>
  <w:style w:type="paragraph" w:customStyle="1" w:styleId="DummyStyle">
    <w:name w:val="Dummy_Style"/>
    <w:aliases w:val="_Dummy"/>
    <w:basedOn w:val="Normal"/>
    <w:semiHidden/>
    <w:qFormat/>
    <w:rsid w:val="00144EBC"/>
    <w:rPr>
      <w:color w:val="00B050"/>
      <w:sz w:val="22"/>
    </w:rPr>
  </w:style>
  <w:style w:type="paragraph" w:customStyle="1" w:styleId="NormalJustified">
    <w:name w:val="Normal_Justified"/>
    <w:basedOn w:val="Normal"/>
    <w:semiHidden/>
    <w:rsid w:val="00144EBC"/>
    <w:pPr>
      <w:jc w:val="both"/>
    </w:pPr>
  </w:style>
  <w:style w:type="paragraph" w:customStyle="1" w:styleId="JuQuot">
    <w:name w:val="Ju_Quot"/>
    <w:aliases w:val="_Quote"/>
    <w:basedOn w:val="NormalJustified"/>
    <w:uiPriority w:val="20"/>
    <w:qFormat/>
    <w:rsid w:val="00144EB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44EBC"/>
    <w:pPr>
      <w:keepNext/>
      <w:keepLines/>
      <w:tabs>
        <w:tab w:val="right" w:pos="7938"/>
      </w:tabs>
      <w:ind w:firstLine="0"/>
      <w:jc w:val="center"/>
    </w:pPr>
    <w:rPr>
      <w:i/>
    </w:rPr>
  </w:style>
  <w:style w:type="table" w:customStyle="1" w:styleId="ECHRDNTable">
    <w:name w:val="ECHR_DN_Table"/>
    <w:basedOn w:val="TableNormal"/>
    <w:uiPriority w:val="99"/>
    <w:rsid w:val="00144E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44EBC"/>
    <w:pPr>
      <w:numPr>
        <w:numId w:val="4"/>
      </w:numPr>
    </w:pPr>
  </w:style>
  <w:style w:type="numbering" w:customStyle="1" w:styleId="ECHRA1StyleList">
    <w:name w:val="ECHR_A1_Style_List"/>
    <w:basedOn w:val="NoList"/>
    <w:uiPriority w:val="99"/>
    <w:rsid w:val="00144EBC"/>
    <w:pPr>
      <w:numPr>
        <w:numId w:val="5"/>
      </w:numPr>
    </w:pPr>
  </w:style>
  <w:style w:type="paragraph" w:customStyle="1" w:styleId="JuHArticle">
    <w:name w:val="Ju_H_Article"/>
    <w:aliases w:val="_Title_Quote"/>
    <w:basedOn w:val="Normal"/>
    <w:next w:val="JuQuot"/>
    <w:uiPriority w:val="19"/>
    <w:qFormat/>
    <w:rsid w:val="00144EBC"/>
    <w:pPr>
      <w:keepNext/>
      <w:spacing w:before="100" w:beforeAutospacing="1" w:after="120"/>
      <w:contextualSpacing/>
      <w:jc w:val="center"/>
    </w:pPr>
    <w:rPr>
      <w:b/>
      <w:sz w:val="20"/>
    </w:rPr>
  </w:style>
  <w:style w:type="numbering" w:customStyle="1" w:styleId="ECHRA1StyleNumberedList">
    <w:name w:val="ECHR_A1_Style_Numbered_List"/>
    <w:basedOn w:val="NoList"/>
    <w:rsid w:val="00144EBC"/>
    <w:pPr>
      <w:numPr>
        <w:numId w:val="6"/>
      </w:numPr>
    </w:pPr>
  </w:style>
  <w:style w:type="table" w:customStyle="1" w:styleId="ECHRHeaderTable">
    <w:name w:val="ECHR_Header_Table"/>
    <w:basedOn w:val="TableNormal"/>
    <w:uiPriority w:val="99"/>
    <w:rsid w:val="00144E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44EB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4EBC"/>
    <w:pPr>
      <w:tabs>
        <w:tab w:val="center" w:pos="6407"/>
      </w:tabs>
      <w:spacing w:before="720"/>
      <w:jc w:val="right"/>
    </w:pPr>
  </w:style>
  <w:style w:type="table" w:customStyle="1" w:styleId="ECHRHeaderTableReduced">
    <w:name w:val="ECHR_Header_Table_Reduced"/>
    <w:basedOn w:val="TableNormal"/>
    <w:uiPriority w:val="99"/>
    <w:rsid w:val="00144E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44EBC"/>
    <w:rPr>
      <w:caps w:val="0"/>
      <w:smallCaps/>
    </w:rPr>
  </w:style>
  <w:style w:type="character" w:customStyle="1" w:styleId="JuITMark">
    <w:name w:val="Ju_ITMark"/>
    <w:aliases w:val="_ITMark"/>
    <w:basedOn w:val="DefaultParagraphFont"/>
    <w:uiPriority w:val="54"/>
    <w:qFormat/>
    <w:rsid w:val="00144EB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144E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44EB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144EB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44EB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44EB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144EB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44EB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44EB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44EB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44EB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44EB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44EB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44EB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44EB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144EBC"/>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144EBC"/>
    <w:pPr>
      <w:keepNext/>
      <w:keepLines/>
      <w:spacing w:before="240" w:after="240"/>
      <w:ind w:firstLine="284"/>
    </w:pPr>
  </w:style>
  <w:style w:type="table" w:customStyle="1" w:styleId="ECHRTableBoxHeader">
    <w:name w:val="ECHR_Table_Box_Header"/>
    <w:basedOn w:val="TableNormal"/>
    <w:rsid w:val="00144E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144EBC"/>
    <w:pPr>
      <w:tabs>
        <w:tab w:val="left" w:pos="567"/>
        <w:tab w:val="left" w:pos="1134"/>
      </w:tabs>
    </w:pPr>
  </w:style>
  <w:style w:type="paragraph" w:customStyle="1" w:styleId="JuList">
    <w:name w:val="Ju_List"/>
    <w:aliases w:val="_List_1"/>
    <w:basedOn w:val="NormalJustified"/>
    <w:uiPriority w:val="23"/>
    <w:qFormat/>
    <w:rsid w:val="00144EBC"/>
    <w:pPr>
      <w:numPr>
        <w:numId w:val="10"/>
      </w:numPr>
      <w:spacing w:before="280" w:after="60"/>
    </w:pPr>
  </w:style>
  <w:style w:type="paragraph" w:customStyle="1" w:styleId="JuLista">
    <w:name w:val="Ju_List_a"/>
    <w:aliases w:val="_List_2"/>
    <w:basedOn w:val="NormalJustified"/>
    <w:uiPriority w:val="23"/>
    <w:rsid w:val="00144EBC"/>
    <w:pPr>
      <w:numPr>
        <w:ilvl w:val="1"/>
        <w:numId w:val="10"/>
      </w:numPr>
    </w:pPr>
  </w:style>
  <w:style w:type="paragraph" w:customStyle="1" w:styleId="JuListi">
    <w:name w:val="Ju_List_i"/>
    <w:aliases w:val="_List_3"/>
    <w:basedOn w:val="NormalJustified"/>
    <w:uiPriority w:val="23"/>
    <w:rsid w:val="00144EBC"/>
    <w:pPr>
      <w:numPr>
        <w:ilvl w:val="2"/>
        <w:numId w:val="10"/>
      </w:numPr>
    </w:pPr>
  </w:style>
  <w:style w:type="table" w:customStyle="1" w:styleId="ECHRTableFax">
    <w:name w:val="ECHR_Table_Fax"/>
    <w:basedOn w:val="TableNormal"/>
    <w:uiPriority w:val="99"/>
    <w:rsid w:val="00144E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44E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44E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44E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4EB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144E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44EB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144E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44EBC"/>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144EBC"/>
    <w:rPr>
      <w:b/>
      <w:bCs/>
    </w:rPr>
  </w:style>
  <w:style w:type="character" w:styleId="Emphasis">
    <w:name w:val="Emphasis"/>
    <w:uiPriority w:val="98"/>
    <w:semiHidden/>
    <w:qFormat/>
    <w:rsid w:val="00144EBC"/>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144EBC"/>
  </w:style>
  <w:style w:type="character" w:customStyle="1" w:styleId="NoSpacingChar">
    <w:name w:val="No Spacing Char"/>
    <w:basedOn w:val="DefaultParagraphFont"/>
    <w:link w:val="NoSpacing"/>
    <w:uiPriority w:val="98"/>
    <w:semiHidden/>
    <w:rsid w:val="00144EBC"/>
    <w:rPr>
      <w:sz w:val="24"/>
      <w:szCs w:val="24"/>
      <w:lang w:val="en-GB"/>
    </w:rPr>
  </w:style>
  <w:style w:type="paragraph" w:styleId="ListParagraph">
    <w:name w:val="List Paragraph"/>
    <w:basedOn w:val="Normal"/>
    <w:uiPriority w:val="98"/>
    <w:semiHidden/>
    <w:qFormat/>
    <w:rsid w:val="00144EBC"/>
    <w:pPr>
      <w:ind w:left="720"/>
      <w:contextualSpacing/>
    </w:pPr>
  </w:style>
  <w:style w:type="paragraph" w:styleId="Quote0">
    <w:name w:val="Quote"/>
    <w:basedOn w:val="Normal"/>
    <w:next w:val="Normal"/>
    <w:link w:val="QuoteChar"/>
    <w:uiPriority w:val="98"/>
    <w:semiHidden/>
    <w:qFormat/>
    <w:rsid w:val="00144EBC"/>
    <w:pPr>
      <w:spacing w:before="200"/>
      <w:ind w:left="360" w:right="360"/>
    </w:pPr>
    <w:rPr>
      <w:i/>
      <w:iCs/>
      <w:lang w:bidi="en-US"/>
    </w:rPr>
  </w:style>
  <w:style w:type="character" w:customStyle="1" w:styleId="QuoteChar">
    <w:name w:val="Quote Char"/>
    <w:basedOn w:val="DefaultParagraphFont"/>
    <w:link w:val="Quote0"/>
    <w:uiPriority w:val="98"/>
    <w:semiHidden/>
    <w:rsid w:val="00144EBC"/>
    <w:rPr>
      <w:i/>
      <w:iCs/>
      <w:sz w:val="24"/>
      <w:szCs w:val="24"/>
      <w:lang w:val="en-GB" w:bidi="en-US"/>
    </w:rPr>
  </w:style>
  <w:style w:type="paragraph" w:styleId="IntenseQuote">
    <w:name w:val="Intense Quote"/>
    <w:basedOn w:val="Normal"/>
    <w:next w:val="Normal"/>
    <w:link w:val="IntenseQuoteChar"/>
    <w:uiPriority w:val="98"/>
    <w:semiHidden/>
    <w:qFormat/>
    <w:rsid w:val="00144E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44EBC"/>
    <w:rPr>
      <w:b/>
      <w:bCs/>
      <w:i/>
      <w:iCs/>
      <w:sz w:val="24"/>
      <w:szCs w:val="24"/>
      <w:lang w:val="en-GB" w:bidi="en-US"/>
    </w:rPr>
  </w:style>
  <w:style w:type="character" w:styleId="SubtleEmphasis">
    <w:name w:val="Subtle Emphasis"/>
    <w:uiPriority w:val="98"/>
    <w:semiHidden/>
    <w:qFormat/>
    <w:rsid w:val="00144EBC"/>
    <w:rPr>
      <w:i/>
      <w:iCs/>
    </w:rPr>
  </w:style>
  <w:style w:type="character" w:styleId="IntenseEmphasis">
    <w:name w:val="Intense Emphasis"/>
    <w:uiPriority w:val="98"/>
    <w:semiHidden/>
    <w:qFormat/>
    <w:rsid w:val="00144EBC"/>
    <w:rPr>
      <w:b/>
      <w:bCs/>
    </w:rPr>
  </w:style>
  <w:style w:type="character" w:styleId="SubtleReference">
    <w:name w:val="Subtle Reference"/>
    <w:uiPriority w:val="98"/>
    <w:semiHidden/>
    <w:qFormat/>
    <w:rsid w:val="00144EBC"/>
    <w:rPr>
      <w:smallCaps/>
    </w:rPr>
  </w:style>
  <w:style w:type="character" w:styleId="IntenseReference">
    <w:name w:val="Intense Reference"/>
    <w:uiPriority w:val="98"/>
    <w:semiHidden/>
    <w:qFormat/>
    <w:rsid w:val="00144EBC"/>
    <w:rPr>
      <w:smallCaps/>
      <w:spacing w:val="5"/>
      <w:u w:val="single"/>
    </w:rPr>
  </w:style>
  <w:style w:type="character" w:styleId="BookTitle">
    <w:name w:val="Book Title"/>
    <w:uiPriority w:val="98"/>
    <w:semiHidden/>
    <w:qFormat/>
    <w:rsid w:val="00144EBC"/>
    <w:rPr>
      <w:i/>
      <w:iCs/>
      <w:smallCaps/>
      <w:spacing w:val="5"/>
    </w:rPr>
  </w:style>
  <w:style w:type="paragraph" w:styleId="TOCHeading">
    <w:name w:val="TOC Heading"/>
    <w:basedOn w:val="Normal"/>
    <w:next w:val="Normal"/>
    <w:uiPriority w:val="98"/>
    <w:semiHidden/>
    <w:qFormat/>
    <w:rsid w:val="00144EB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144EBC"/>
    <w:pPr>
      <w:numPr>
        <w:numId w:val="1"/>
      </w:numPr>
    </w:pPr>
  </w:style>
  <w:style w:type="numbering" w:styleId="1ai">
    <w:name w:val="Outline List 1"/>
    <w:basedOn w:val="NoList"/>
    <w:uiPriority w:val="99"/>
    <w:semiHidden/>
    <w:unhideWhenUsed/>
    <w:rsid w:val="00144EBC"/>
    <w:pPr>
      <w:numPr>
        <w:numId w:val="2"/>
      </w:numPr>
    </w:pPr>
  </w:style>
  <w:style w:type="numbering" w:styleId="ArticleSection">
    <w:name w:val="Outline List 3"/>
    <w:basedOn w:val="NoList"/>
    <w:uiPriority w:val="99"/>
    <w:semiHidden/>
    <w:unhideWhenUsed/>
    <w:rsid w:val="00144EBC"/>
    <w:pPr>
      <w:numPr>
        <w:numId w:val="3"/>
      </w:numPr>
    </w:pPr>
  </w:style>
  <w:style w:type="paragraph" w:styleId="Bibliography">
    <w:name w:val="Bibliography"/>
    <w:basedOn w:val="Normal"/>
    <w:next w:val="Normal"/>
    <w:uiPriority w:val="98"/>
    <w:semiHidden/>
    <w:rsid w:val="00144EBC"/>
  </w:style>
  <w:style w:type="paragraph" w:styleId="BlockText">
    <w:name w:val="Block Text"/>
    <w:basedOn w:val="Normal"/>
    <w:uiPriority w:val="98"/>
    <w:semiHidden/>
    <w:rsid w:val="00144E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44EBC"/>
    <w:pPr>
      <w:spacing w:after="120"/>
    </w:pPr>
  </w:style>
  <w:style w:type="character" w:customStyle="1" w:styleId="BodyTextChar">
    <w:name w:val="Body Text Char"/>
    <w:basedOn w:val="DefaultParagraphFont"/>
    <w:link w:val="BodyText"/>
    <w:uiPriority w:val="98"/>
    <w:semiHidden/>
    <w:rsid w:val="00144EBC"/>
    <w:rPr>
      <w:sz w:val="24"/>
      <w:szCs w:val="24"/>
      <w:lang w:val="en-GB"/>
    </w:rPr>
  </w:style>
  <w:style w:type="paragraph" w:styleId="BodyText2">
    <w:name w:val="Body Text 2"/>
    <w:basedOn w:val="Normal"/>
    <w:link w:val="BodyText2Char"/>
    <w:uiPriority w:val="98"/>
    <w:semiHidden/>
    <w:rsid w:val="00144EBC"/>
    <w:pPr>
      <w:spacing w:after="120" w:line="480" w:lineRule="auto"/>
    </w:pPr>
  </w:style>
  <w:style w:type="character" w:customStyle="1" w:styleId="BodyText2Char">
    <w:name w:val="Body Text 2 Char"/>
    <w:basedOn w:val="DefaultParagraphFont"/>
    <w:link w:val="BodyText2"/>
    <w:uiPriority w:val="98"/>
    <w:semiHidden/>
    <w:rsid w:val="00144EBC"/>
    <w:rPr>
      <w:sz w:val="24"/>
      <w:szCs w:val="24"/>
      <w:lang w:val="en-GB"/>
    </w:rPr>
  </w:style>
  <w:style w:type="paragraph" w:styleId="BodyText3">
    <w:name w:val="Body Text 3"/>
    <w:basedOn w:val="Normal"/>
    <w:link w:val="BodyText3Char"/>
    <w:uiPriority w:val="98"/>
    <w:semiHidden/>
    <w:rsid w:val="00144EBC"/>
    <w:pPr>
      <w:spacing w:after="120"/>
    </w:pPr>
    <w:rPr>
      <w:sz w:val="16"/>
      <w:szCs w:val="16"/>
    </w:rPr>
  </w:style>
  <w:style w:type="character" w:customStyle="1" w:styleId="BodyText3Char">
    <w:name w:val="Body Text 3 Char"/>
    <w:basedOn w:val="DefaultParagraphFont"/>
    <w:link w:val="BodyText3"/>
    <w:uiPriority w:val="98"/>
    <w:semiHidden/>
    <w:rsid w:val="00144EBC"/>
    <w:rPr>
      <w:sz w:val="16"/>
      <w:szCs w:val="16"/>
      <w:lang w:val="en-GB"/>
    </w:rPr>
  </w:style>
  <w:style w:type="paragraph" w:styleId="BodyTextFirstIndent">
    <w:name w:val="Body Text First Indent"/>
    <w:basedOn w:val="BodyText"/>
    <w:link w:val="BodyTextFirstIndentChar"/>
    <w:uiPriority w:val="98"/>
    <w:semiHidden/>
    <w:rsid w:val="00144EBC"/>
    <w:pPr>
      <w:spacing w:after="0"/>
      <w:ind w:firstLine="360"/>
    </w:pPr>
  </w:style>
  <w:style w:type="character" w:customStyle="1" w:styleId="BodyTextFirstIndentChar">
    <w:name w:val="Body Text First Indent Char"/>
    <w:basedOn w:val="BodyTextChar"/>
    <w:link w:val="BodyTextFirstIndent"/>
    <w:uiPriority w:val="98"/>
    <w:semiHidden/>
    <w:rsid w:val="00144EBC"/>
    <w:rPr>
      <w:sz w:val="24"/>
      <w:szCs w:val="24"/>
      <w:lang w:val="en-GB"/>
    </w:rPr>
  </w:style>
  <w:style w:type="paragraph" w:styleId="BodyTextIndent">
    <w:name w:val="Body Text Indent"/>
    <w:basedOn w:val="Normal"/>
    <w:link w:val="BodyTextIndentChar"/>
    <w:uiPriority w:val="98"/>
    <w:semiHidden/>
    <w:rsid w:val="00144EBC"/>
    <w:pPr>
      <w:spacing w:after="120"/>
      <w:ind w:left="283"/>
    </w:pPr>
  </w:style>
  <w:style w:type="character" w:customStyle="1" w:styleId="BodyTextIndentChar">
    <w:name w:val="Body Text Indent Char"/>
    <w:basedOn w:val="DefaultParagraphFont"/>
    <w:link w:val="BodyTextIndent"/>
    <w:uiPriority w:val="98"/>
    <w:semiHidden/>
    <w:rsid w:val="00144EBC"/>
    <w:rPr>
      <w:sz w:val="24"/>
      <w:szCs w:val="24"/>
      <w:lang w:val="en-GB"/>
    </w:rPr>
  </w:style>
  <w:style w:type="paragraph" w:styleId="BodyTextFirstIndent2">
    <w:name w:val="Body Text First Indent 2"/>
    <w:basedOn w:val="BodyTextIndent"/>
    <w:link w:val="BodyTextFirstIndent2Char"/>
    <w:uiPriority w:val="98"/>
    <w:semiHidden/>
    <w:rsid w:val="00144E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4EBC"/>
    <w:rPr>
      <w:sz w:val="24"/>
      <w:szCs w:val="24"/>
      <w:lang w:val="en-GB"/>
    </w:rPr>
  </w:style>
  <w:style w:type="paragraph" w:styleId="BodyTextIndent2">
    <w:name w:val="Body Text Indent 2"/>
    <w:basedOn w:val="Normal"/>
    <w:link w:val="BodyTextIndent2Char"/>
    <w:uiPriority w:val="98"/>
    <w:semiHidden/>
    <w:rsid w:val="00144EBC"/>
    <w:pPr>
      <w:spacing w:after="120" w:line="480" w:lineRule="auto"/>
      <w:ind w:left="283"/>
    </w:pPr>
  </w:style>
  <w:style w:type="character" w:customStyle="1" w:styleId="BodyTextIndent2Char">
    <w:name w:val="Body Text Indent 2 Char"/>
    <w:basedOn w:val="DefaultParagraphFont"/>
    <w:link w:val="BodyTextIndent2"/>
    <w:uiPriority w:val="98"/>
    <w:semiHidden/>
    <w:rsid w:val="00144EBC"/>
    <w:rPr>
      <w:sz w:val="24"/>
      <w:szCs w:val="24"/>
      <w:lang w:val="en-GB"/>
    </w:rPr>
  </w:style>
  <w:style w:type="paragraph" w:styleId="BodyTextIndent3">
    <w:name w:val="Body Text Indent 3"/>
    <w:basedOn w:val="Normal"/>
    <w:link w:val="BodyTextIndent3Char"/>
    <w:uiPriority w:val="98"/>
    <w:semiHidden/>
    <w:rsid w:val="00144E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4EBC"/>
    <w:rPr>
      <w:sz w:val="16"/>
      <w:szCs w:val="16"/>
      <w:lang w:val="en-GB"/>
    </w:rPr>
  </w:style>
  <w:style w:type="paragraph" w:styleId="Caption">
    <w:name w:val="caption"/>
    <w:basedOn w:val="Normal"/>
    <w:next w:val="Normal"/>
    <w:uiPriority w:val="98"/>
    <w:semiHidden/>
    <w:qFormat/>
    <w:rsid w:val="00144EBC"/>
    <w:pPr>
      <w:spacing w:after="200"/>
    </w:pPr>
    <w:rPr>
      <w:b/>
      <w:bCs/>
      <w:color w:val="0072BC" w:themeColor="accent1"/>
      <w:sz w:val="18"/>
      <w:szCs w:val="18"/>
    </w:rPr>
  </w:style>
  <w:style w:type="paragraph" w:styleId="Closing">
    <w:name w:val="Closing"/>
    <w:basedOn w:val="Normal"/>
    <w:link w:val="ClosingChar"/>
    <w:uiPriority w:val="98"/>
    <w:semiHidden/>
    <w:rsid w:val="00144EBC"/>
    <w:pPr>
      <w:ind w:left="4252"/>
    </w:pPr>
  </w:style>
  <w:style w:type="character" w:customStyle="1" w:styleId="ClosingChar">
    <w:name w:val="Closing Char"/>
    <w:basedOn w:val="DefaultParagraphFont"/>
    <w:link w:val="Closing"/>
    <w:uiPriority w:val="98"/>
    <w:semiHidden/>
    <w:rsid w:val="00144EBC"/>
    <w:rPr>
      <w:sz w:val="24"/>
      <w:szCs w:val="24"/>
      <w:lang w:val="en-GB"/>
    </w:rPr>
  </w:style>
  <w:style w:type="table" w:styleId="ColorfulGrid">
    <w:name w:val="Colorful Grid"/>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4E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4E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4E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4E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4E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4E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4E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4E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4E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4E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4E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4EBC"/>
    <w:rPr>
      <w:b/>
      <w:bCs/>
    </w:rPr>
  </w:style>
  <w:style w:type="character" w:customStyle="1" w:styleId="CommentSubjectChar">
    <w:name w:val="Comment Subject Char"/>
    <w:basedOn w:val="CommentTextChar"/>
    <w:link w:val="CommentSubject"/>
    <w:uiPriority w:val="98"/>
    <w:semiHidden/>
    <w:rsid w:val="00144EBC"/>
    <w:rPr>
      <w:b/>
      <w:bCs/>
      <w:sz w:val="20"/>
      <w:szCs w:val="20"/>
      <w:lang w:val="en-GB"/>
    </w:rPr>
  </w:style>
  <w:style w:type="table" w:styleId="DarkList">
    <w:name w:val="Dark List"/>
    <w:basedOn w:val="TableNormal"/>
    <w:uiPriority w:val="70"/>
    <w:semiHidden/>
    <w:rsid w:val="00144E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4E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4E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4E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4E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4E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4E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4EBC"/>
  </w:style>
  <w:style w:type="character" w:customStyle="1" w:styleId="DateChar">
    <w:name w:val="Date Char"/>
    <w:basedOn w:val="DefaultParagraphFont"/>
    <w:link w:val="Date"/>
    <w:uiPriority w:val="98"/>
    <w:semiHidden/>
    <w:rsid w:val="00144EBC"/>
    <w:rPr>
      <w:sz w:val="24"/>
      <w:szCs w:val="24"/>
      <w:lang w:val="en-GB"/>
    </w:rPr>
  </w:style>
  <w:style w:type="paragraph" w:styleId="DocumentMap">
    <w:name w:val="Document Map"/>
    <w:basedOn w:val="Normal"/>
    <w:link w:val="DocumentMapChar"/>
    <w:uiPriority w:val="98"/>
    <w:semiHidden/>
    <w:rsid w:val="00144EBC"/>
    <w:rPr>
      <w:rFonts w:ascii="Tahoma" w:hAnsi="Tahoma" w:cs="Tahoma"/>
      <w:sz w:val="16"/>
      <w:szCs w:val="16"/>
    </w:rPr>
  </w:style>
  <w:style w:type="character" w:customStyle="1" w:styleId="DocumentMapChar">
    <w:name w:val="Document Map Char"/>
    <w:basedOn w:val="DefaultParagraphFont"/>
    <w:link w:val="DocumentMap"/>
    <w:uiPriority w:val="98"/>
    <w:semiHidden/>
    <w:rsid w:val="00144EBC"/>
    <w:rPr>
      <w:rFonts w:ascii="Tahoma" w:hAnsi="Tahoma" w:cs="Tahoma"/>
      <w:sz w:val="16"/>
      <w:szCs w:val="16"/>
      <w:lang w:val="en-GB"/>
    </w:rPr>
  </w:style>
  <w:style w:type="paragraph" w:styleId="E-mailSignature">
    <w:name w:val="E-mail Signature"/>
    <w:basedOn w:val="Normal"/>
    <w:link w:val="E-mailSignatureChar"/>
    <w:uiPriority w:val="98"/>
    <w:semiHidden/>
    <w:rsid w:val="00144EBC"/>
  </w:style>
  <w:style w:type="character" w:customStyle="1" w:styleId="E-mailSignatureChar">
    <w:name w:val="E-mail Signature Char"/>
    <w:basedOn w:val="DefaultParagraphFont"/>
    <w:link w:val="E-mailSignature"/>
    <w:uiPriority w:val="98"/>
    <w:semiHidden/>
    <w:rsid w:val="00144EBC"/>
    <w:rPr>
      <w:sz w:val="24"/>
      <w:szCs w:val="24"/>
      <w:lang w:val="en-GB"/>
    </w:rPr>
  </w:style>
  <w:style w:type="character" w:styleId="EndnoteReference">
    <w:name w:val="endnote reference"/>
    <w:basedOn w:val="DefaultParagraphFont"/>
    <w:uiPriority w:val="98"/>
    <w:semiHidden/>
    <w:rsid w:val="00144EBC"/>
    <w:rPr>
      <w:vertAlign w:val="superscript"/>
    </w:rPr>
  </w:style>
  <w:style w:type="paragraph" w:styleId="EndnoteText">
    <w:name w:val="endnote text"/>
    <w:basedOn w:val="Normal"/>
    <w:link w:val="EndnoteTextChar"/>
    <w:uiPriority w:val="98"/>
    <w:semiHidden/>
    <w:rsid w:val="00144EBC"/>
    <w:rPr>
      <w:sz w:val="20"/>
      <w:szCs w:val="20"/>
    </w:rPr>
  </w:style>
  <w:style w:type="character" w:customStyle="1" w:styleId="EndnoteTextChar">
    <w:name w:val="Endnote Text Char"/>
    <w:basedOn w:val="DefaultParagraphFont"/>
    <w:link w:val="EndnoteText"/>
    <w:uiPriority w:val="98"/>
    <w:semiHidden/>
    <w:rsid w:val="00144EBC"/>
    <w:rPr>
      <w:sz w:val="20"/>
      <w:szCs w:val="20"/>
      <w:lang w:val="en-GB"/>
    </w:rPr>
  </w:style>
  <w:style w:type="paragraph" w:styleId="EnvelopeAddress">
    <w:name w:val="envelope address"/>
    <w:basedOn w:val="Normal"/>
    <w:uiPriority w:val="98"/>
    <w:semiHidden/>
    <w:rsid w:val="00144E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4E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4EBC"/>
    <w:rPr>
      <w:color w:val="7030A0" w:themeColor="followedHyperlink"/>
      <w:u w:val="single"/>
    </w:rPr>
  </w:style>
  <w:style w:type="character" w:styleId="FootnoteReference">
    <w:name w:val="footnote reference"/>
    <w:basedOn w:val="DefaultParagraphFont"/>
    <w:uiPriority w:val="98"/>
    <w:semiHidden/>
    <w:rsid w:val="00144EBC"/>
    <w:rPr>
      <w:vertAlign w:val="superscript"/>
    </w:rPr>
  </w:style>
  <w:style w:type="paragraph" w:styleId="FootnoteText">
    <w:name w:val="footnote text"/>
    <w:basedOn w:val="Normal"/>
    <w:link w:val="FootnoteTextChar"/>
    <w:uiPriority w:val="98"/>
    <w:semiHidden/>
    <w:rsid w:val="00144EBC"/>
    <w:rPr>
      <w:sz w:val="20"/>
      <w:szCs w:val="20"/>
    </w:rPr>
  </w:style>
  <w:style w:type="character" w:customStyle="1" w:styleId="FootnoteTextChar">
    <w:name w:val="Footnote Text Char"/>
    <w:basedOn w:val="DefaultParagraphFont"/>
    <w:link w:val="FootnoteText"/>
    <w:uiPriority w:val="98"/>
    <w:semiHidden/>
    <w:rsid w:val="00144EBC"/>
    <w:rPr>
      <w:sz w:val="20"/>
      <w:szCs w:val="20"/>
      <w:lang w:val="en-GB"/>
    </w:rPr>
  </w:style>
  <w:style w:type="character" w:styleId="HTMLAcronym">
    <w:name w:val="HTML Acronym"/>
    <w:basedOn w:val="DefaultParagraphFont"/>
    <w:uiPriority w:val="98"/>
    <w:semiHidden/>
    <w:rsid w:val="00144EBC"/>
  </w:style>
  <w:style w:type="paragraph" w:styleId="HTMLAddress">
    <w:name w:val="HTML Address"/>
    <w:basedOn w:val="Normal"/>
    <w:link w:val="HTMLAddressChar"/>
    <w:uiPriority w:val="98"/>
    <w:semiHidden/>
    <w:rsid w:val="00144EBC"/>
    <w:rPr>
      <w:i/>
      <w:iCs/>
    </w:rPr>
  </w:style>
  <w:style w:type="character" w:customStyle="1" w:styleId="HTMLAddressChar">
    <w:name w:val="HTML Address Char"/>
    <w:basedOn w:val="DefaultParagraphFont"/>
    <w:link w:val="HTMLAddress"/>
    <w:uiPriority w:val="98"/>
    <w:semiHidden/>
    <w:rsid w:val="00144EBC"/>
    <w:rPr>
      <w:i/>
      <w:iCs/>
      <w:sz w:val="24"/>
      <w:szCs w:val="24"/>
      <w:lang w:val="en-GB"/>
    </w:rPr>
  </w:style>
  <w:style w:type="character" w:styleId="HTMLCite">
    <w:name w:val="HTML Cite"/>
    <w:basedOn w:val="DefaultParagraphFont"/>
    <w:uiPriority w:val="98"/>
    <w:semiHidden/>
    <w:rsid w:val="00144EBC"/>
    <w:rPr>
      <w:i/>
      <w:iCs/>
    </w:rPr>
  </w:style>
  <w:style w:type="character" w:styleId="HTMLCode">
    <w:name w:val="HTML Code"/>
    <w:basedOn w:val="DefaultParagraphFont"/>
    <w:uiPriority w:val="98"/>
    <w:semiHidden/>
    <w:rsid w:val="00144EBC"/>
    <w:rPr>
      <w:rFonts w:ascii="Consolas" w:hAnsi="Consolas" w:cs="Consolas"/>
      <w:sz w:val="20"/>
      <w:szCs w:val="20"/>
    </w:rPr>
  </w:style>
  <w:style w:type="character" w:styleId="HTMLDefinition">
    <w:name w:val="HTML Definition"/>
    <w:basedOn w:val="DefaultParagraphFont"/>
    <w:uiPriority w:val="98"/>
    <w:semiHidden/>
    <w:rsid w:val="00144EBC"/>
    <w:rPr>
      <w:i/>
      <w:iCs/>
    </w:rPr>
  </w:style>
  <w:style w:type="character" w:styleId="HTMLKeyboard">
    <w:name w:val="HTML Keyboard"/>
    <w:basedOn w:val="DefaultParagraphFont"/>
    <w:uiPriority w:val="98"/>
    <w:semiHidden/>
    <w:rsid w:val="00144EBC"/>
    <w:rPr>
      <w:rFonts w:ascii="Consolas" w:hAnsi="Consolas" w:cs="Consolas"/>
      <w:sz w:val="20"/>
      <w:szCs w:val="20"/>
    </w:rPr>
  </w:style>
  <w:style w:type="paragraph" w:styleId="HTMLPreformatted">
    <w:name w:val="HTML Preformatted"/>
    <w:basedOn w:val="Normal"/>
    <w:link w:val="HTMLPreformattedChar"/>
    <w:uiPriority w:val="98"/>
    <w:semiHidden/>
    <w:rsid w:val="00144E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4EBC"/>
    <w:rPr>
      <w:rFonts w:ascii="Consolas" w:hAnsi="Consolas" w:cs="Consolas"/>
      <w:sz w:val="20"/>
      <w:szCs w:val="20"/>
      <w:lang w:val="en-GB"/>
    </w:rPr>
  </w:style>
  <w:style w:type="character" w:styleId="HTMLSample">
    <w:name w:val="HTML Sample"/>
    <w:basedOn w:val="DefaultParagraphFont"/>
    <w:uiPriority w:val="98"/>
    <w:semiHidden/>
    <w:rsid w:val="00144EBC"/>
    <w:rPr>
      <w:rFonts w:ascii="Consolas" w:hAnsi="Consolas" w:cs="Consolas"/>
      <w:sz w:val="24"/>
      <w:szCs w:val="24"/>
    </w:rPr>
  </w:style>
  <w:style w:type="character" w:styleId="HTMLTypewriter">
    <w:name w:val="HTML Typewriter"/>
    <w:basedOn w:val="DefaultParagraphFont"/>
    <w:uiPriority w:val="98"/>
    <w:semiHidden/>
    <w:rsid w:val="00144EBC"/>
    <w:rPr>
      <w:rFonts w:ascii="Consolas" w:hAnsi="Consolas" w:cs="Consolas"/>
      <w:sz w:val="20"/>
      <w:szCs w:val="20"/>
    </w:rPr>
  </w:style>
  <w:style w:type="character" w:styleId="HTMLVariable">
    <w:name w:val="HTML Variable"/>
    <w:basedOn w:val="DefaultParagraphFont"/>
    <w:uiPriority w:val="98"/>
    <w:semiHidden/>
    <w:rsid w:val="00144EBC"/>
    <w:rPr>
      <w:i/>
      <w:iCs/>
    </w:rPr>
  </w:style>
  <w:style w:type="character" w:styleId="Hyperlink">
    <w:name w:val="Hyperlink"/>
    <w:basedOn w:val="DefaultParagraphFont"/>
    <w:uiPriority w:val="98"/>
    <w:rsid w:val="00144EBC"/>
    <w:rPr>
      <w:color w:val="0072BC" w:themeColor="hyperlink"/>
      <w:u w:val="single"/>
    </w:rPr>
  </w:style>
  <w:style w:type="paragraph" w:styleId="Index1">
    <w:name w:val="index 1"/>
    <w:basedOn w:val="Normal"/>
    <w:next w:val="Normal"/>
    <w:autoRedefine/>
    <w:uiPriority w:val="98"/>
    <w:semiHidden/>
    <w:rsid w:val="00144EBC"/>
    <w:pPr>
      <w:ind w:left="240" w:hanging="240"/>
    </w:pPr>
  </w:style>
  <w:style w:type="paragraph" w:styleId="Index2">
    <w:name w:val="index 2"/>
    <w:basedOn w:val="Normal"/>
    <w:next w:val="Normal"/>
    <w:autoRedefine/>
    <w:uiPriority w:val="98"/>
    <w:semiHidden/>
    <w:rsid w:val="00144EBC"/>
    <w:pPr>
      <w:ind w:left="480" w:hanging="240"/>
    </w:pPr>
  </w:style>
  <w:style w:type="paragraph" w:styleId="Index3">
    <w:name w:val="index 3"/>
    <w:basedOn w:val="Normal"/>
    <w:next w:val="Normal"/>
    <w:autoRedefine/>
    <w:uiPriority w:val="98"/>
    <w:semiHidden/>
    <w:rsid w:val="00144EBC"/>
    <w:pPr>
      <w:ind w:left="720" w:hanging="240"/>
    </w:pPr>
  </w:style>
  <w:style w:type="paragraph" w:styleId="Index4">
    <w:name w:val="index 4"/>
    <w:basedOn w:val="Normal"/>
    <w:next w:val="Normal"/>
    <w:autoRedefine/>
    <w:uiPriority w:val="98"/>
    <w:semiHidden/>
    <w:rsid w:val="00144EBC"/>
    <w:pPr>
      <w:ind w:left="960" w:hanging="240"/>
    </w:pPr>
  </w:style>
  <w:style w:type="paragraph" w:styleId="Index5">
    <w:name w:val="index 5"/>
    <w:basedOn w:val="Normal"/>
    <w:next w:val="Normal"/>
    <w:autoRedefine/>
    <w:uiPriority w:val="98"/>
    <w:semiHidden/>
    <w:rsid w:val="00144EBC"/>
    <w:pPr>
      <w:ind w:left="1200" w:hanging="240"/>
    </w:pPr>
  </w:style>
  <w:style w:type="paragraph" w:styleId="Index6">
    <w:name w:val="index 6"/>
    <w:basedOn w:val="Normal"/>
    <w:next w:val="Normal"/>
    <w:autoRedefine/>
    <w:uiPriority w:val="98"/>
    <w:semiHidden/>
    <w:rsid w:val="00144EBC"/>
    <w:pPr>
      <w:ind w:left="1440" w:hanging="240"/>
    </w:pPr>
  </w:style>
  <w:style w:type="paragraph" w:styleId="Index7">
    <w:name w:val="index 7"/>
    <w:basedOn w:val="Normal"/>
    <w:next w:val="Normal"/>
    <w:autoRedefine/>
    <w:uiPriority w:val="98"/>
    <w:semiHidden/>
    <w:rsid w:val="00144EBC"/>
    <w:pPr>
      <w:ind w:left="1680" w:hanging="240"/>
    </w:pPr>
  </w:style>
  <w:style w:type="paragraph" w:styleId="Index8">
    <w:name w:val="index 8"/>
    <w:basedOn w:val="Normal"/>
    <w:next w:val="Normal"/>
    <w:autoRedefine/>
    <w:uiPriority w:val="98"/>
    <w:semiHidden/>
    <w:rsid w:val="00144EBC"/>
    <w:pPr>
      <w:ind w:left="1920" w:hanging="240"/>
    </w:pPr>
  </w:style>
  <w:style w:type="paragraph" w:styleId="Index9">
    <w:name w:val="index 9"/>
    <w:basedOn w:val="Normal"/>
    <w:next w:val="Normal"/>
    <w:autoRedefine/>
    <w:uiPriority w:val="98"/>
    <w:semiHidden/>
    <w:rsid w:val="00144EBC"/>
    <w:pPr>
      <w:ind w:left="2160" w:hanging="240"/>
    </w:pPr>
  </w:style>
  <w:style w:type="paragraph" w:styleId="IndexHeading">
    <w:name w:val="index heading"/>
    <w:basedOn w:val="Normal"/>
    <w:next w:val="Index1"/>
    <w:uiPriority w:val="98"/>
    <w:semiHidden/>
    <w:rsid w:val="00144EBC"/>
    <w:rPr>
      <w:rFonts w:asciiTheme="majorHAnsi" w:eastAsiaTheme="majorEastAsia" w:hAnsiTheme="majorHAnsi" w:cstheme="majorBidi"/>
      <w:b/>
      <w:bCs/>
    </w:rPr>
  </w:style>
  <w:style w:type="table" w:styleId="LightGrid">
    <w:name w:val="Light Grid"/>
    <w:basedOn w:val="TableNormal"/>
    <w:uiPriority w:val="62"/>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4E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4E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4E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4E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4E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4E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4E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4EBC"/>
  </w:style>
  <w:style w:type="paragraph" w:styleId="List">
    <w:name w:val="List"/>
    <w:basedOn w:val="Normal"/>
    <w:uiPriority w:val="98"/>
    <w:semiHidden/>
    <w:rsid w:val="00144EBC"/>
    <w:pPr>
      <w:ind w:left="283" w:hanging="283"/>
      <w:contextualSpacing/>
    </w:pPr>
  </w:style>
  <w:style w:type="paragraph" w:styleId="List20">
    <w:name w:val="List 2"/>
    <w:basedOn w:val="Normal"/>
    <w:uiPriority w:val="98"/>
    <w:semiHidden/>
    <w:rsid w:val="00144EBC"/>
    <w:pPr>
      <w:ind w:left="566" w:hanging="283"/>
      <w:contextualSpacing/>
    </w:pPr>
  </w:style>
  <w:style w:type="paragraph" w:styleId="List30">
    <w:name w:val="List 3"/>
    <w:basedOn w:val="Normal"/>
    <w:uiPriority w:val="98"/>
    <w:semiHidden/>
    <w:rsid w:val="00144EBC"/>
    <w:pPr>
      <w:ind w:left="849" w:hanging="283"/>
      <w:contextualSpacing/>
    </w:pPr>
  </w:style>
  <w:style w:type="paragraph" w:styleId="List4">
    <w:name w:val="List 4"/>
    <w:basedOn w:val="Normal"/>
    <w:uiPriority w:val="98"/>
    <w:semiHidden/>
    <w:rsid w:val="00144EBC"/>
    <w:pPr>
      <w:ind w:left="1132" w:hanging="283"/>
      <w:contextualSpacing/>
    </w:pPr>
  </w:style>
  <w:style w:type="paragraph" w:styleId="List5">
    <w:name w:val="List 5"/>
    <w:basedOn w:val="Normal"/>
    <w:uiPriority w:val="98"/>
    <w:semiHidden/>
    <w:rsid w:val="00144EBC"/>
    <w:pPr>
      <w:ind w:left="1415" w:hanging="283"/>
      <w:contextualSpacing/>
    </w:pPr>
  </w:style>
  <w:style w:type="paragraph" w:styleId="ListBullet">
    <w:name w:val="List Bullet"/>
    <w:basedOn w:val="Normal"/>
    <w:uiPriority w:val="98"/>
    <w:semiHidden/>
    <w:rsid w:val="00144EBC"/>
    <w:pPr>
      <w:numPr>
        <w:numId w:val="11"/>
      </w:numPr>
    </w:pPr>
  </w:style>
  <w:style w:type="paragraph" w:styleId="ListBullet2">
    <w:name w:val="List Bullet 2"/>
    <w:basedOn w:val="Normal"/>
    <w:uiPriority w:val="98"/>
    <w:semiHidden/>
    <w:rsid w:val="00144EBC"/>
    <w:pPr>
      <w:numPr>
        <w:numId w:val="12"/>
      </w:numPr>
      <w:contextualSpacing/>
    </w:pPr>
  </w:style>
  <w:style w:type="paragraph" w:styleId="ListBullet3">
    <w:name w:val="List Bullet 3"/>
    <w:basedOn w:val="Normal"/>
    <w:uiPriority w:val="98"/>
    <w:semiHidden/>
    <w:rsid w:val="00144EBC"/>
    <w:pPr>
      <w:numPr>
        <w:numId w:val="13"/>
      </w:numPr>
      <w:contextualSpacing/>
    </w:pPr>
  </w:style>
  <w:style w:type="paragraph" w:styleId="ListBullet4">
    <w:name w:val="List Bullet 4"/>
    <w:basedOn w:val="Normal"/>
    <w:uiPriority w:val="98"/>
    <w:semiHidden/>
    <w:rsid w:val="00144EBC"/>
    <w:pPr>
      <w:numPr>
        <w:numId w:val="14"/>
      </w:numPr>
      <w:contextualSpacing/>
    </w:pPr>
  </w:style>
  <w:style w:type="paragraph" w:styleId="ListBullet5">
    <w:name w:val="List Bullet 5"/>
    <w:basedOn w:val="Normal"/>
    <w:uiPriority w:val="98"/>
    <w:semiHidden/>
    <w:rsid w:val="00144EBC"/>
    <w:pPr>
      <w:numPr>
        <w:numId w:val="15"/>
      </w:numPr>
      <w:contextualSpacing/>
    </w:pPr>
  </w:style>
  <w:style w:type="paragraph" w:styleId="ListContinue">
    <w:name w:val="List Continue"/>
    <w:basedOn w:val="Normal"/>
    <w:uiPriority w:val="98"/>
    <w:semiHidden/>
    <w:rsid w:val="00144EBC"/>
    <w:pPr>
      <w:spacing w:after="120"/>
      <w:ind w:left="283"/>
      <w:contextualSpacing/>
    </w:pPr>
  </w:style>
  <w:style w:type="paragraph" w:styleId="ListContinue2">
    <w:name w:val="List Continue 2"/>
    <w:basedOn w:val="Normal"/>
    <w:uiPriority w:val="98"/>
    <w:semiHidden/>
    <w:rsid w:val="00144EBC"/>
    <w:pPr>
      <w:spacing w:after="120"/>
      <w:ind w:left="566"/>
      <w:contextualSpacing/>
    </w:pPr>
  </w:style>
  <w:style w:type="paragraph" w:styleId="ListContinue3">
    <w:name w:val="List Continue 3"/>
    <w:basedOn w:val="Normal"/>
    <w:uiPriority w:val="98"/>
    <w:semiHidden/>
    <w:rsid w:val="00144EBC"/>
    <w:pPr>
      <w:spacing w:after="120"/>
      <w:ind w:left="849"/>
      <w:contextualSpacing/>
    </w:pPr>
  </w:style>
  <w:style w:type="paragraph" w:styleId="ListContinue4">
    <w:name w:val="List Continue 4"/>
    <w:basedOn w:val="Normal"/>
    <w:uiPriority w:val="98"/>
    <w:semiHidden/>
    <w:rsid w:val="00144EBC"/>
    <w:pPr>
      <w:spacing w:after="120"/>
      <w:ind w:left="1132"/>
      <w:contextualSpacing/>
    </w:pPr>
  </w:style>
  <w:style w:type="paragraph" w:styleId="ListContinue5">
    <w:name w:val="List Continue 5"/>
    <w:basedOn w:val="Normal"/>
    <w:uiPriority w:val="98"/>
    <w:semiHidden/>
    <w:rsid w:val="00144EBC"/>
    <w:pPr>
      <w:spacing w:after="120"/>
      <w:ind w:left="1415"/>
      <w:contextualSpacing/>
    </w:pPr>
  </w:style>
  <w:style w:type="paragraph" w:styleId="ListNumber">
    <w:name w:val="List Number"/>
    <w:basedOn w:val="Normal"/>
    <w:uiPriority w:val="98"/>
    <w:semiHidden/>
    <w:rsid w:val="00144EBC"/>
    <w:pPr>
      <w:numPr>
        <w:numId w:val="16"/>
      </w:numPr>
      <w:contextualSpacing/>
    </w:pPr>
  </w:style>
  <w:style w:type="paragraph" w:styleId="ListNumber2">
    <w:name w:val="List Number 2"/>
    <w:basedOn w:val="Normal"/>
    <w:uiPriority w:val="98"/>
    <w:semiHidden/>
    <w:rsid w:val="00144EBC"/>
    <w:pPr>
      <w:numPr>
        <w:numId w:val="17"/>
      </w:numPr>
      <w:contextualSpacing/>
    </w:pPr>
  </w:style>
  <w:style w:type="paragraph" w:styleId="ListNumber3">
    <w:name w:val="List Number 3"/>
    <w:basedOn w:val="Normal"/>
    <w:uiPriority w:val="98"/>
    <w:semiHidden/>
    <w:rsid w:val="00144EBC"/>
    <w:pPr>
      <w:numPr>
        <w:numId w:val="18"/>
      </w:numPr>
      <w:contextualSpacing/>
    </w:pPr>
  </w:style>
  <w:style w:type="paragraph" w:styleId="ListNumber4">
    <w:name w:val="List Number 4"/>
    <w:basedOn w:val="Normal"/>
    <w:uiPriority w:val="98"/>
    <w:semiHidden/>
    <w:rsid w:val="00144EBC"/>
    <w:pPr>
      <w:numPr>
        <w:numId w:val="19"/>
      </w:numPr>
      <w:contextualSpacing/>
    </w:pPr>
  </w:style>
  <w:style w:type="paragraph" w:styleId="ListNumber5">
    <w:name w:val="List Number 5"/>
    <w:basedOn w:val="Normal"/>
    <w:uiPriority w:val="98"/>
    <w:semiHidden/>
    <w:rsid w:val="00144EBC"/>
    <w:pPr>
      <w:numPr>
        <w:numId w:val="20"/>
      </w:numPr>
      <w:contextualSpacing/>
    </w:pPr>
  </w:style>
  <w:style w:type="paragraph" w:styleId="Macro">
    <w:name w:val="macro"/>
    <w:link w:val="MacroTextChar"/>
    <w:uiPriority w:val="98"/>
    <w:semiHidden/>
    <w:rsid w:val="00144E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4EBC"/>
    <w:rPr>
      <w:rFonts w:ascii="Consolas" w:hAnsi="Consolas" w:eastAsiaTheme="minorEastAsia" w:cs="Consolas"/>
      <w:sz w:val="20"/>
      <w:szCs w:val="20"/>
    </w:rPr>
  </w:style>
  <w:style w:type="table" w:styleId="MediumGrid1">
    <w:name w:val="Medium Grid 1"/>
    <w:basedOn w:val="TableNormal"/>
    <w:uiPriority w:val="67"/>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4E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4E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4E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4E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4E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4E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4E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4E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4E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4EBC"/>
    <w:rPr>
      <w:rFonts w:ascii="Times New Roman" w:hAnsi="Times New Roman" w:cs="Times New Roman"/>
    </w:rPr>
  </w:style>
  <w:style w:type="paragraph" w:styleId="NormalIndent">
    <w:name w:val="Normal Indent"/>
    <w:basedOn w:val="Normal"/>
    <w:uiPriority w:val="98"/>
    <w:semiHidden/>
    <w:rsid w:val="00144EBC"/>
    <w:pPr>
      <w:ind w:left="720"/>
    </w:pPr>
  </w:style>
  <w:style w:type="table" w:customStyle="1" w:styleId="ECHRTableNoLines">
    <w:name w:val="ECHR_Table_No_Lines"/>
    <w:basedOn w:val="TableNormal"/>
    <w:uiPriority w:val="99"/>
    <w:rsid w:val="00144E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144E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144E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4EBC"/>
    <w:rPr>
      <w:rFonts w:ascii="Consolas" w:hAnsi="Consolas" w:cs="Consolas"/>
      <w:sz w:val="21"/>
      <w:szCs w:val="21"/>
    </w:rPr>
  </w:style>
  <w:style w:type="character" w:customStyle="1" w:styleId="PlainTextChar">
    <w:name w:val="Plain Text Char"/>
    <w:basedOn w:val="DefaultParagraphFont"/>
    <w:link w:val="PlainText"/>
    <w:uiPriority w:val="98"/>
    <w:semiHidden/>
    <w:rsid w:val="00144EBC"/>
    <w:rPr>
      <w:rFonts w:ascii="Consolas" w:hAnsi="Consolas" w:cs="Consolas"/>
      <w:sz w:val="21"/>
      <w:szCs w:val="21"/>
      <w:lang w:val="en-GB"/>
    </w:rPr>
  </w:style>
  <w:style w:type="paragraph" w:styleId="Salutation">
    <w:name w:val="Salutation"/>
    <w:basedOn w:val="Normal"/>
    <w:next w:val="Normal"/>
    <w:link w:val="SalutationChar"/>
    <w:uiPriority w:val="98"/>
    <w:semiHidden/>
    <w:rsid w:val="00144EBC"/>
  </w:style>
  <w:style w:type="character" w:customStyle="1" w:styleId="SalutationChar">
    <w:name w:val="Salutation Char"/>
    <w:basedOn w:val="DefaultParagraphFont"/>
    <w:link w:val="Salutation"/>
    <w:uiPriority w:val="98"/>
    <w:semiHidden/>
    <w:rsid w:val="00144EBC"/>
    <w:rPr>
      <w:sz w:val="24"/>
      <w:szCs w:val="24"/>
      <w:lang w:val="en-GB"/>
    </w:rPr>
  </w:style>
  <w:style w:type="paragraph" w:styleId="Signature0">
    <w:name w:val="Signature"/>
    <w:basedOn w:val="Normal"/>
    <w:link w:val="SignatureChar"/>
    <w:uiPriority w:val="98"/>
    <w:semiHidden/>
    <w:rsid w:val="00144EBC"/>
    <w:pPr>
      <w:ind w:left="4252"/>
    </w:pPr>
  </w:style>
  <w:style w:type="character" w:customStyle="1" w:styleId="SignatureChar">
    <w:name w:val="Signature Char"/>
    <w:basedOn w:val="DefaultParagraphFont"/>
    <w:link w:val="Signature0"/>
    <w:uiPriority w:val="98"/>
    <w:semiHidden/>
    <w:rsid w:val="00144EBC"/>
    <w:rPr>
      <w:sz w:val="24"/>
      <w:szCs w:val="24"/>
      <w:lang w:val="en-GB"/>
    </w:rPr>
  </w:style>
  <w:style w:type="table" w:styleId="Table3Deffects1">
    <w:name w:val="Table 3D effects 1"/>
    <w:basedOn w:val="TableNormal"/>
    <w:uiPriority w:val="99"/>
    <w:semiHidden/>
    <w:unhideWhenUsed/>
    <w:rsid w:val="00144E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4E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4E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4E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4E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4E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4E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4E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4E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4E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4E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4E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4E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4E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4E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44E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4E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4E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4E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4E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4E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4E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4E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4E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4E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4EBC"/>
    <w:pPr>
      <w:ind w:left="240" w:hanging="240"/>
    </w:pPr>
  </w:style>
  <w:style w:type="paragraph" w:styleId="TableofFigures">
    <w:name w:val="table of figures"/>
    <w:basedOn w:val="Normal"/>
    <w:next w:val="Normal"/>
    <w:uiPriority w:val="98"/>
    <w:semiHidden/>
    <w:rsid w:val="00144EBC"/>
  </w:style>
  <w:style w:type="table" w:styleId="TableProfessional">
    <w:name w:val="Table Professional"/>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4E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4E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4E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4E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4E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4E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4E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4E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44E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14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4E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4EB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4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4EBC"/>
    <w:pPr>
      <w:spacing w:after="100"/>
      <w:ind w:left="1680"/>
    </w:pPr>
  </w:style>
  <w:style w:type="paragraph" w:styleId="TOC9">
    <w:name w:val="toc 9"/>
    <w:basedOn w:val="Normal"/>
    <w:next w:val="Normal"/>
    <w:autoRedefine/>
    <w:uiPriority w:val="98"/>
    <w:semiHidden/>
    <w:rsid w:val="00144EBC"/>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144EBC"/>
    <w:pPr>
      <w:tabs>
        <w:tab w:val="center" w:pos="3686"/>
        <w:tab w:val="right" w:pos="7371"/>
      </w:tabs>
    </w:pPr>
  </w:style>
  <w:style w:type="character" w:customStyle="1" w:styleId="FooterChar">
    <w:name w:val="Footer Char"/>
    <w:basedOn w:val="DefaultParagraphFont"/>
    <w:link w:val="Footer1"/>
    <w:uiPriority w:val="98"/>
    <w:semiHidden/>
    <w:rsid w:val="00144EBC"/>
    <w:rPr>
      <w:sz w:val="24"/>
      <w:szCs w:val="24"/>
      <w:lang w:val="en-GB"/>
    </w:rPr>
  </w:style>
  <w:style w:type="paragraph" w:customStyle="1" w:styleId="ECHRFooterLine">
    <w:name w:val="ECHR_Footer_Line"/>
    <w:aliases w:val="_Footer_Line"/>
    <w:basedOn w:val="Normal"/>
    <w:next w:val="Normal"/>
    <w:uiPriority w:val="30"/>
    <w:semiHidden/>
    <w:rsid w:val="00144EB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44E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144EBC"/>
    <w:pPr>
      <w:ind w:firstLine="284"/>
      <w:jc w:val="both"/>
    </w:pPr>
    <w:rPr>
      <w:b/>
    </w:rPr>
  </w:style>
  <w:style w:type="paragraph" w:styleId="NoteHeading">
    <w:name w:val="Note Heading"/>
    <w:basedOn w:val="Normal"/>
    <w:next w:val="Normal"/>
    <w:link w:val="NoteHeadingChar"/>
    <w:uiPriority w:val="98"/>
    <w:semiHidden/>
    <w:rsid w:val="00144EBC"/>
  </w:style>
  <w:style w:type="character" w:customStyle="1" w:styleId="NoteHeadingChar">
    <w:name w:val="Note Heading Char"/>
    <w:basedOn w:val="DefaultParagraphFont"/>
    <w:link w:val="NoteHeading"/>
    <w:uiPriority w:val="98"/>
    <w:semiHidden/>
    <w:rsid w:val="00144EBC"/>
    <w:rPr>
      <w:sz w:val="24"/>
      <w:szCs w:val="24"/>
      <w:lang w:val="en-GB"/>
    </w:rPr>
  </w:style>
  <w:style w:type="paragraph" w:customStyle="1" w:styleId="ECHRHeaderLandscape">
    <w:name w:val="ECHR_Header_Landscape"/>
    <w:aliases w:val="_Header_Landscape"/>
    <w:basedOn w:val="JuHeader"/>
    <w:uiPriority w:val="29"/>
    <w:semiHidden/>
    <w:rsid w:val="00144E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44EBC"/>
    <w:pPr>
      <w:numPr>
        <w:numId w:val="7"/>
      </w:numPr>
      <w:spacing w:before="60" w:after="60"/>
    </w:pPr>
  </w:style>
  <w:style w:type="paragraph" w:customStyle="1" w:styleId="ECHRBullet2">
    <w:name w:val="ECHR_Bullet_2"/>
    <w:aliases w:val="_Bul_2"/>
    <w:basedOn w:val="ECHRBullet1"/>
    <w:uiPriority w:val="23"/>
    <w:semiHidden/>
    <w:rsid w:val="00144EBC"/>
    <w:pPr>
      <w:numPr>
        <w:ilvl w:val="1"/>
      </w:numPr>
    </w:pPr>
  </w:style>
  <w:style w:type="paragraph" w:customStyle="1" w:styleId="ECHRBullet3">
    <w:name w:val="ECHR_Bullet_3"/>
    <w:aliases w:val="_Bul_3"/>
    <w:basedOn w:val="ECHRBullet2"/>
    <w:uiPriority w:val="23"/>
    <w:semiHidden/>
    <w:rsid w:val="00144EBC"/>
    <w:pPr>
      <w:numPr>
        <w:ilvl w:val="2"/>
      </w:numPr>
    </w:pPr>
  </w:style>
  <w:style w:type="paragraph" w:customStyle="1" w:styleId="ECHRBullet4">
    <w:name w:val="ECHR_Bullet_4"/>
    <w:aliases w:val="_Bul_4"/>
    <w:basedOn w:val="ECHRBullet3"/>
    <w:uiPriority w:val="23"/>
    <w:semiHidden/>
    <w:rsid w:val="00144EBC"/>
    <w:pPr>
      <w:numPr>
        <w:ilvl w:val="3"/>
      </w:numPr>
    </w:pPr>
  </w:style>
  <w:style w:type="paragraph" w:customStyle="1" w:styleId="ECHRConfidential">
    <w:name w:val="ECHR_Confidential"/>
    <w:aliases w:val="_Confidential"/>
    <w:basedOn w:val="Normal"/>
    <w:next w:val="Normal"/>
    <w:uiPriority w:val="42"/>
    <w:semiHidden/>
    <w:qFormat/>
    <w:rsid w:val="00144EBC"/>
    <w:pPr>
      <w:jc w:val="right"/>
    </w:pPr>
    <w:rPr>
      <w:color w:val="C00000"/>
      <w:sz w:val="20"/>
    </w:rPr>
  </w:style>
  <w:style w:type="paragraph" w:customStyle="1" w:styleId="ECHRDecisionBody">
    <w:name w:val="ECHR_Decision_Body"/>
    <w:aliases w:val="_Decision_Body"/>
    <w:basedOn w:val="NormalJustified"/>
    <w:uiPriority w:val="54"/>
    <w:semiHidden/>
    <w:rsid w:val="00144E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4E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4E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4E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4EBC"/>
    <w:pPr>
      <w:jc w:val="right"/>
    </w:pPr>
    <w:rPr>
      <w:sz w:val="20"/>
    </w:rPr>
  </w:style>
  <w:style w:type="paragraph" w:customStyle="1" w:styleId="ECHRHeaderRefIt">
    <w:name w:val="ECHR_Header_Ref_It"/>
    <w:aliases w:val="_Ref_Ital"/>
    <w:basedOn w:val="Normal"/>
    <w:next w:val="ECHRHeaderDate"/>
    <w:uiPriority w:val="43"/>
    <w:semiHidden/>
    <w:qFormat/>
    <w:rsid w:val="00144EBC"/>
    <w:pPr>
      <w:jc w:val="right"/>
    </w:pPr>
    <w:rPr>
      <w:i/>
      <w:sz w:val="20"/>
    </w:rPr>
  </w:style>
  <w:style w:type="paragraph" w:customStyle="1" w:styleId="ECHRHeading9">
    <w:name w:val="ECHR_Heading_9"/>
    <w:aliases w:val="_Head_9"/>
    <w:basedOn w:val="Heading9"/>
    <w:uiPriority w:val="17"/>
    <w:semiHidden/>
    <w:rsid w:val="00144EB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4E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44EBC"/>
    <w:pPr>
      <w:numPr>
        <w:numId w:val="8"/>
      </w:numPr>
      <w:spacing w:before="60" w:after="60"/>
    </w:pPr>
  </w:style>
  <w:style w:type="paragraph" w:customStyle="1" w:styleId="ECHRNumberedList2">
    <w:name w:val="ECHR_Numbered_List_2"/>
    <w:aliases w:val="_Num_2"/>
    <w:basedOn w:val="ECHRNumberedList1"/>
    <w:uiPriority w:val="23"/>
    <w:semiHidden/>
    <w:rsid w:val="00144EBC"/>
    <w:pPr>
      <w:numPr>
        <w:ilvl w:val="1"/>
      </w:numPr>
    </w:pPr>
  </w:style>
  <w:style w:type="paragraph" w:customStyle="1" w:styleId="ECHRNumberedList3">
    <w:name w:val="ECHR_Numbered_List_3"/>
    <w:aliases w:val="_Num_3"/>
    <w:basedOn w:val="ECHRNumberedList2"/>
    <w:uiPriority w:val="23"/>
    <w:semiHidden/>
    <w:rsid w:val="00144EBC"/>
    <w:pPr>
      <w:numPr>
        <w:ilvl w:val="2"/>
      </w:numPr>
    </w:pPr>
  </w:style>
  <w:style w:type="paragraph" w:customStyle="1" w:styleId="ECHRParaHanging">
    <w:name w:val="ECHR_Para_Hanging"/>
    <w:aliases w:val="_Hanging"/>
    <w:basedOn w:val="Normal"/>
    <w:uiPriority w:val="8"/>
    <w:semiHidden/>
    <w:qFormat/>
    <w:rsid w:val="00144EBC"/>
    <w:pPr>
      <w:ind w:left="567" w:hanging="567"/>
      <w:jc w:val="both"/>
    </w:pPr>
  </w:style>
  <w:style w:type="paragraph" w:customStyle="1" w:styleId="ECHRParaIndent">
    <w:name w:val="ECHR_Para_Indent"/>
    <w:aliases w:val="_Indent"/>
    <w:basedOn w:val="Normal"/>
    <w:uiPriority w:val="7"/>
    <w:semiHidden/>
    <w:qFormat/>
    <w:rsid w:val="00144EBC"/>
    <w:pPr>
      <w:spacing w:before="120" w:after="120"/>
      <w:ind w:left="284"/>
      <w:jc w:val="both"/>
    </w:pPr>
  </w:style>
  <w:style w:type="character" w:customStyle="1" w:styleId="ECHRRed">
    <w:name w:val="ECHR_Red"/>
    <w:aliases w:val="_Red"/>
    <w:basedOn w:val="DefaultParagraphFont"/>
    <w:uiPriority w:val="15"/>
    <w:semiHidden/>
    <w:qFormat/>
    <w:rsid w:val="00144EBC"/>
    <w:rPr>
      <w:color w:val="C00000" w:themeColor="accent2"/>
    </w:rPr>
  </w:style>
  <w:style w:type="paragraph" w:customStyle="1" w:styleId="DecList">
    <w:name w:val="Dec_List"/>
    <w:aliases w:val="_List"/>
    <w:basedOn w:val="JuList"/>
    <w:uiPriority w:val="22"/>
    <w:rsid w:val="00144EBC"/>
    <w:pPr>
      <w:numPr>
        <w:numId w:val="0"/>
      </w:numPr>
      <w:ind w:left="284"/>
    </w:pPr>
  </w:style>
  <w:style w:type="table" w:customStyle="1" w:styleId="ECHRTable">
    <w:name w:val="ECHR_Table"/>
    <w:basedOn w:val="TableNormal"/>
    <w:rsid w:val="00144E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44E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4E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4E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4E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4E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4EBC"/>
    <w:pPr>
      <w:outlineLvl w:val="0"/>
    </w:pPr>
  </w:style>
  <w:style w:type="paragraph" w:customStyle="1" w:styleId="ECHRTitleTOC1">
    <w:name w:val="ECHR_Title_TOC_1"/>
    <w:aliases w:val="_Title_L_TOC"/>
    <w:basedOn w:val="ECHRTitle1"/>
    <w:next w:val="Normal"/>
    <w:uiPriority w:val="27"/>
    <w:semiHidden/>
    <w:qFormat/>
    <w:rsid w:val="00144EBC"/>
    <w:pPr>
      <w:outlineLvl w:val="0"/>
    </w:pPr>
  </w:style>
  <w:style w:type="table" w:customStyle="1" w:styleId="LtrTableAddress">
    <w:name w:val="Ltr_Table_Address"/>
    <w:aliases w:val="ECHR_Ltr_Table_Address"/>
    <w:basedOn w:val="TableNormal"/>
    <w:uiPriority w:val="99"/>
    <w:rsid w:val="00144EBC"/>
    <w:rPr>
      <w:sz w:val="24"/>
      <w:szCs w:val="24"/>
    </w:rPr>
    <w:tblPr>
      <w:tblInd w:w="5103" w:type="dxa"/>
    </w:tblPr>
  </w:style>
  <w:style w:type="table" w:customStyle="1" w:styleId="PCFTableStyle">
    <w:name w:val="PCF_Table_Style"/>
    <w:aliases w:val="ECHR_PCF_Table_Style"/>
    <w:basedOn w:val="TableNormal"/>
    <w:uiPriority w:val="99"/>
    <w:rsid w:val="00144E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44E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4E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44EBC"/>
    <w:rPr>
      <w:color w:val="FFFFFF"/>
    </w:rPr>
  </w:style>
  <w:style w:type="paragraph" w:customStyle="1" w:styleId="ECHRSpacer">
    <w:name w:val="ECHR_Spacer"/>
    <w:aliases w:val="_Spacer"/>
    <w:basedOn w:val="Normal"/>
    <w:uiPriority w:val="45"/>
    <w:semiHidden/>
    <w:rsid w:val="00144EBC"/>
    <w:rPr>
      <w:sz w:val="4"/>
    </w:rPr>
  </w:style>
  <w:style w:type="table" w:customStyle="1" w:styleId="ECHRTableGrey">
    <w:name w:val="ECHR_Table_Grey"/>
    <w:basedOn w:val="TableNormal"/>
    <w:uiPriority w:val="99"/>
    <w:rsid w:val="00144E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44E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B3BD9"/>
    <w:rPr>
      <w:color w:val="605E5C"/>
      <w:shd w:val="clear" w:color="auto" w:fill="E1DFDD"/>
    </w:rPr>
  </w:style>
  <w:style w:type="character" w:customStyle="1" w:styleId="JuParaChar">
    <w:name w:val="Ju_Para Char"/>
    <w:aliases w:val="_Para Char"/>
    <w:link w:val="JuPara"/>
    <w:uiPriority w:val="4"/>
    <w:rsid w:val="001B4170"/>
    <w:rPr>
      <w:sz w:val="24"/>
      <w:szCs w:val="24"/>
      <w:lang w:val="en-GB"/>
    </w:rPr>
  </w:style>
  <w:style w:type="paragraph" w:styleId="Revision">
    <w:name w:val="Revision"/>
    <w:hidden/>
    <w:uiPriority w:val="99"/>
    <w:semiHidden/>
    <w:rsid w:val="00285930"/>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1502</Words>
  <Characters>8886</Characters>
  <Application>Microsoft Office Word</Application>
  <DocSecurity>0</DocSecurity>
  <Lines>170</Lines>
  <Paragraphs>42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2024-09-24T13:28:00Z</dcterms:created>
  <dcterms:modified xsi:type="dcterms:W3CDTF">2024-09-24T13:30:00Z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1520294</vt:lpwstr>
  </property>
  <property fmtid="{D5CDD505-2E9C-101B-9397-08002B2CF9AE}" pid="3" name="cstLanguage">
    <vt:i4>2057</vt:i4>
  </property>
  <property fmtid="{D5CDD505-2E9C-101B-9397-08002B2CF9AE}" pid="4" name="RegisteredNo">
    <vt:lpwstr>16981/20</vt:lpwstr>
  </property>
</Properties>
</file>