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DD3BE9" w:rsidR="0098410D" w:rsidP="00DD3BE9" w14:paraId="6F875666" w14:textId="77777777">
      <w:pPr>
        <w:jc w:val="center"/>
      </w:pPr>
    </w:p>
    <w:p w:rsidRPr="00DD3BE9" w:rsidR="0098410D" w:rsidP="00DD3BE9" w14:paraId="360A725A" w14:textId="56C16EDD">
      <w:pPr>
        <w:pStyle w:val="DecHTitle"/>
        <w:keepNext w:val="0"/>
        <w:keepLines w:val="0"/>
      </w:pPr>
      <w:r w:rsidRPr="00DD3BE9">
        <w:t>FOURTH SECTION</w:t>
      </w:r>
    </w:p>
    <w:p w:rsidRPr="00DD3BE9" w:rsidR="008E6217" w:rsidP="004D10D1" w14:paraId="49D1C4BB" w14:textId="4E30D633">
      <w:pPr>
        <w:pStyle w:val="JuTitle"/>
        <w:keepNext w:val="0"/>
        <w:keepLines w:val="0"/>
        <w:spacing w:before="960"/>
      </w:pPr>
      <w:r w:rsidRPr="00DD3BE9">
        <w:rPr>
          <w:color w:val="000000" w:themeColor="text1"/>
        </w:rPr>
        <w:t xml:space="preserve">CASE OF </w:t>
      </w:r>
      <w:r w:rsidRPr="00DD3BE9" w:rsidR="0083243F">
        <w:t>C.O. v. GERMANY</w:t>
      </w:r>
    </w:p>
    <w:p w:rsidRPr="00DD3BE9" w:rsidR="00D74888" w:rsidP="00DD3BE9" w14:paraId="0F751234" w14:textId="1899303E">
      <w:pPr>
        <w:pStyle w:val="ECHRCoverTitle4"/>
        <w:keepNext w:val="0"/>
        <w:keepLines w:val="0"/>
      </w:pPr>
      <w:r w:rsidRPr="00DD3BE9">
        <w:t>(</w:t>
      </w:r>
      <w:r w:rsidRPr="00DD3BE9" w:rsidR="0083243F">
        <w:t>Application no.</w:t>
      </w:r>
      <w:r w:rsidRPr="00DD3BE9">
        <w:t xml:space="preserve"> </w:t>
      </w:r>
      <w:r w:rsidRPr="00DD3BE9" w:rsidR="0083243F">
        <w:t>16678/22</w:t>
      </w:r>
      <w:r w:rsidRPr="00DD3BE9">
        <w:t>)</w:t>
      </w:r>
    </w:p>
    <w:p w:rsidRPr="00DD3BE9" w:rsidR="0098410D" w:rsidP="00DD3BE9" w14:paraId="19480752" w14:textId="77777777">
      <w:pPr>
        <w:pStyle w:val="DecHCase"/>
        <w:keepNext w:val="0"/>
        <w:keepLines w:val="0"/>
      </w:pPr>
    </w:p>
    <w:p w:rsidRPr="00DD3BE9" w:rsidR="0098410D" w:rsidP="00DD3BE9" w14:paraId="3A6C72AC" w14:textId="77777777">
      <w:pPr>
        <w:pStyle w:val="DecHCase"/>
        <w:keepNext w:val="0"/>
        <w:keepLines w:val="0"/>
      </w:pPr>
    </w:p>
    <w:p w:rsidRPr="00DD3BE9" w:rsidR="0098410D" w:rsidP="004D10D1" w14:paraId="6D780E24" w14:textId="7E6562B7">
      <w:pPr>
        <w:pStyle w:val="DecHCase"/>
        <w:keepNext w:val="0"/>
        <w:keepLines w:val="0"/>
        <w:spacing w:after="480"/>
      </w:pPr>
      <w:r w:rsidRPr="00DD3BE9">
        <w:t>JUDGMENT</w:t>
      </w:r>
    </w:p>
    <w:p w:rsidRPr="00DD3BE9" w:rsidR="004026F9" w:rsidP="00DD3BE9" w14:paraId="01D4BC37" w14:textId="4FE308CE">
      <w:pPr>
        <w:pBdr>
          <w:top w:val="single" w:color="auto" w:sz="4" w:space="1"/>
          <w:left w:val="single" w:color="auto" w:sz="4" w:space="4"/>
          <w:bottom w:val="single" w:color="auto" w:sz="4" w:space="1"/>
          <w:right w:val="single" w:color="auto" w:sz="4" w:space="4"/>
        </w:pBdr>
        <w:jc w:val="both"/>
      </w:pPr>
      <w:r w:rsidRPr="00DD3BE9">
        <w:t>Art 6 § 2 • Presumption of innocence • Judgments in criminal proceedings against the co-suspects of the applicant who was tried separately, describing his actions and intentions and assessing them from a legal point of view • No indication that the relevant findings were unnecessary under domestic law for assessing the co-suspects’ criminal liability • Criminal courts refrained from making any findings concerning the applicant’s “guilt” within the meaning of the domestic criminal law • Absence of any binding or prejudicial effect of the impugned statements on the proceedings against the applicant</w:t>
      </w:r>
    </w:p>
    <w:p w:rsidRPr="00DD3BE9" w:rsidR="00DD3BE9" w:rsidP="00DD3BE9" w14:paraId="493CA2F5" w14:textId="77777777">
      <w:pPr>
        <w:pBdr>
          <w:top w:val="single" w:color="auto" w:sz="4" w:space="1"/>
          <w:left w:val="single" w:color="auto" w:sz="4" w:space="4"/>
          <w:bottom w:val="single" w:color="auto" w:sz="4" w:space="1"/>
          <w:right w:val="single" w:color="auto" w:sz="4" w:space="4"/>
        </w:pBdr>
        <w:jc w:val="center"/>
        <w:rPr>
          <w:sz w:val="20"/>
          <w:szCs w:val="20"/>
        </w:rPr>
      </w:pPr>
    </w:p>
    <w:p w:rsidRPr="00DD3BE9" w:rsidR="00DD3BE9" w:rsidP="00DD3BE9" w14:paraId="7C8F71EF" w14:textId="47BEA9A1">
      <w:pPr>
        <w:pBdr>
          <w:top w:val="single" w:color="auto" w:sz="4" w:space="1"/>
          <w:left w:val="single" w:color="auto" w:sz="4" w:space="4"/>
          <w:bottom w:val="single" w:color="auto" w:sz="4" w:space="1"/>
          <w:right w:val="single" w:color="auto" w:sz="4" w:space="4"/>
        </w:pBdr>
        <w:jc w:val="center"/>
        <w:rPr>
          <w:sz w:val="20"/>
          <w:szCs w:val="20"/>
        </w:rPr>
      </w:pPr>
      <w:r w:rsidRPr="00DD3BE9">
        <w:rPr>
          <w:sz w:val="20"/>
          <w:szCs w:val="20"/>
        </w:rPr>
        <w:t>Prepared by the Registry. Does not bind the Court.</w:t>
      </w:r>
    </w:p>
    <w:p w:rsidRPr="00DD3BE9" w:rsidR="004026F9" w:rsidP="004D10D1" w14:paraId="4E007DF3" w14:textId="77777777">
      <w:pPr>
        <w:pStyle w:val="DecHCase"/>
        <w:keepNext w:val="0"/>
        <w:keepLines w:val="0"/>
        <w:spacing w:after="120"/>
      </w:pPr>
    </w:p>
    <w:p w:rsidRPr="00DD3BE9" w:rsidR="0098410D" w:rsidP="00DD3BE9" w14:paraId="31C37D3B" w14:textId="59452DF2">
      <w:pPr>
        <w:pStyle w:val="DecHCase"/>
        <w:keepNext w:val="0"/>
        <w:keepLines w:val="0"/>
      </w:pPr>
      <w:r w:rsidRPr="00DD3BE9">
        <w:t>STRASBOURG</w:t>
      </w:r>
    </w:p>
    <w:p w:rsidRPr="00DD3BE9" w:rsidR="0098410D" w:rsidP="00DD3BE9" w14:paraId="33A8078B" w14:textId="68E473B5">
      <w:pPr>
        <w:pStyle w:val="DecHCase"/>
        <w:keepNext w:val="0"/>
        <w:keepLines w:val="0"/>
      </w:pPr>
      <w:r w:rsidRPr="00DD3BE9">
        <w:rPr>
          <w:rFonts w:ascii="Times New Roman" w:hAnsi="Times New Roman" w:cs="Times New Roman"/>
        </w:rPr>
        <w:t>17 September 2024</w:t>
      </w:r>
    </w:p>
    <w:p w:rsidRPr="00DD3BE9" w:rsidR="006720EF" w:rsidP="00DD3BE9" w14:paraId="60150EB2" w14:textId="77777777">
      <w:pPr>
        <w:pStyle w:val="JuPara"/>
      </w:pPr>
    </w:p>
    <w:p w:rsidR="004D10D1" w:rsidP="004D10D1" w14:paraId="747374D3" w14:textId="77777777">
      <w:pPr>
        <w:pStyle w:val="jucase0"/>
        <w:ind w:firstLine="0"/>
        <w:jc w:val="center"/>
        <w:rPr>
          <w:color w:val="FF0000"/>
          <w:sz w:val="28"/>
          <w:szCs w:val="28"/>
          <w:u w:val="single"/>
        </w:rPr>
      </w:pPr>
      <w:bookmarkStart w:name="_Hlk59706592" w:id="0"/>
      <w:bookmarkStart w:name="_Hlk59704667" w:id="1"/>
      <w:r w:rsidRPr="00261F46">
        <w:rPr>
          <w:color w:val="FF0000"/>
          <w:sz w:val="28"/>
          <w:szCs w:val="28"/>
          <w:u w:val="single"/>
        </w:rPr>
        <w:t>FINAL</w:t>
      </w:r>
    </w:p>
    <w:p w:rsidRPr="00D04090" w:rsidR="004D10D1" w:rsidP="004D10D1" w14:paraId="0C55B67F" w14:textId="77777777">
      <w:pPr>
        <w:pStyle w:val="jucase0"/>
        <w:ind w:firstLine="0"/>
        <w:jc w:val="center"/>
        <w:rPr>
          <w:b w:val="0"/>
          <w:bCs w:val="0"/>
          <w:color w:val="FF0000"/>
          <w:u w:val="single"/>
        </w:rPr>
      </w:pPr>
    </w:p>
    <w:p w:rsidRPr="00502BB5" w:rsidR="004D10D1" w:rsidP="004D10D1" w14:paraId="4F46D2B8" w14:textId="77777777">
      <w:pPr>
        <w:pStyle w:val="jucase0"/>
        <w:ind w:firstLine="0"/>
        <w:jc w:val="center"/>
        <w:rPr>
          <w:b w:val="0"/>
          <w:color w:val="FF0000"/>
          <w:sz w:val="28"/>
          <w:szCs w:val="28"/>
        </w:rPr>
      </w:pPr>
      <w:r>
        <w:rPr>
          <w:b w:val="0"/>
          <w:color w:val="FF0000"/>
          <w:sz w:val="28"/>
          <w:szCs w:val="28"/>
        </w:rPr>
        <w:t>17/12/2024</w:t>
      </w:r>
    </w:p>
    <w:p w:rsidR="004D10D1" w:rsidP="004D10D1" w14:paraId="6B0EB99A" w14:textId="77777777">
      <w:pPr>
        <w:pStyle w:val="jupara0"/>
        <w:ind w:firstLine="0"/>
        <w:jc w:val="center"/>
      </w:pPr>
    </w:p>
    <w:p w:rsidRPr="00DD3BE9" w:rsidR="002422B6" w:rsidP="004D10D1" w14:paraId="47AD732B" w14:textId="1B55FF64">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DD3BE9" w:rsidR="0098410D" w:rsidP="00DD3BE9" w14:paraId="64281C46"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D3BE9" w:rsidR="0098410D" w:rsidP="00DD3BE9" w14:paraId="71D19998" w14:textId="65A913EE">
      <w:pPr>
        <w:pStyle w:val="JuCase"/>
      </w:pPr>
      <w:r w:rsidRPr="00DD3BE9">
        <w:t xml:space="preserve">In the case of </w:t>
      </w:r>
      <w:r w:rsidRPr="00DD3BE9" w:rsidR="0083243F">
        <w:t>C.O. v. Germany</w:t>
      </w:r>
      <w:r w:rsidRPr="00DD3BE9">
        <w:t>,</w:t>
      </w:r>
    </w:p>
    <w:p w:rsidRPr="00DD3BE9" w:rsidR="009F4C8F" w:rsidP="00DD3BE9" w14:paraId="10FE5934" w14:textId="08AD5807">
      <w:pPr>
        <w:pStyle w:val="JuPara"/>
      </w:pPr>
      <w:r w:rsidRPr="00DD3BE9">
        <w:t>The European Court of Human Rights (</w:t>
      </w:r>
      <w:r w:rsidRPr="00DD3BE9" w:rsidR="0083243F">
        <w:t>Fourth Section</w:t>
      </w:r>
      <w:r w:rsidRPr="00DD3BE9">
        <w:t xml:space="preserve">), sitting as a </w:t>
      </w:r>
      <w:r w:rsidRPr="00DD3BE9" w:rsidR="0083243F">
        <w:t>Chamber</w:t>
      </w:r>
      <w:r w:rsidRPr="00DD3BE9">
        <w:t xml:space="preserve"> composed of:</w:t>
      </w:r>
    </w:p>
    <w:p w:rsidRPr="00DD3BE9" w:rsidR="00A92625" w:rsidP="00DD3BE9" w14:paraId="08B0D279" w14:textId="3354E486">
      <w:pPr>
        <w:pStyle w:val="JuJudges"/>
      </w:pPr>
      <w:r w:rsidRPr="00DD3BE9">
        <w:tab/>
        <w:t>Gabriele Kucsko</w:t>
      </w:r>
      <w:r w:rsidRPr="00DD3BE9" w:rsidR="00BA6587">
        <w:noBreakHyphen/>
      </w:r>
      <w:r w:rsidRPr="00DD3BE9">
        <w:t>Stadlmayer</w:t>
      </w:r>
      <w:r w:rsidRPr="00DD3BE9">
        <w:rPr>
          <w:i/>
        </w:rPr>
        <w:t>, President</w:t>
      </w:r>
      <w:r w:rsidRPr="00DD3BE9">
        <w:t>,</w:t>
      </w:r>
      <w:r w:rsidRPr="00DD3BE9">
        <w:br/>
      </w:r>
      <w:r w:rsidRPr="00DD3BE9">
        <w:tab/>
        <w:t>Faris Vehabović,</w:t>
      </w:r>
      <w:r w:rsidRPr="00DD3BE9">
        <w:br/>
      </w:r>
      <w:r w:rsidRPr="00DD3BE9">
        <w:tab/>
        <w:t>Branko Lubarda,</w:t>
      </w:r>
      <w:r w:rsidRPr="00DD3BE9">
        <w:br/>
      </w:r>
      <w:r w:rsidRPr="00DD3BE9">
        <w:tab/>
        <w:t>Anja Seibert</w:t>
      </w:r>
      <w:r w:rsidRPr="00DD3BE9" w:rsidR="00BA6587">
        <w:noBreakHyphen/>
      </w:r>
      <w:r w:rsidRPr="00DD3BE9">
        <w:t>Fohr,</w:t>
      </w:r>
      <w:r w:rsidRPr="00DD3BE9">
        <w:br/>
      </w:r>
      <w:r w:rsidRPr="00DD3BE9">
        <w:tab/>
        <w:t>Ana Maria Guerra Martins,</w:t>
      </w:r>
      <w:r w:rsidRPr="00DD3BE9">
        <w:br/>
      </w:r>
      <w:r w:rsidRPr="00DD3BE9">
        <w:tab/>
        <w:t>Anne Louise Bormann,</w:t>
      </w:r>
      <w:r w:rsidRPr="00DD3BE9">
        <w:br/>
      </w:r>
      <w:r w:rsidRPr="00DD3BE9">
        <w:tab/>
        <w:t>Sebastian Răduleţu</w:t>
      </w:r>
      <w:r w:rsidRPr="00DD3BE9">
        <w:rPr>
          <w:i/>
        </w:rPr>
        <w:t>, judges</w:t>
      </w:r>
      <w:r w:rsidRPr="00DD3BE9">
        <w:t>,</w:t>
      </w:r>
      <w:r w:rsidRPr="00DD3BE9" w:rsidR="009F4C8F">
        <w:br/>
        <w:t>and</w:t>
      </w:r>
      <w:r w:rsidRPr="00DD3BE9" w:rsidR="005C2C62">
        <w:t xml:space="preserve"> </w:t>
      </w:r>
      <w:r w:rsidRPr="00DD3BE9" w:rsidR="0083243F">
        <w:t>Andrea Tamietti</w:t>
      </w:r>
      <w:r w:rsidRPr="00DD3BE9">
        <w:t xml:space="preserve">, </w:t>
      </w:r>
      <w:r w:rsidRPr="00DD3BE9" w:rsidR="00E744E0">
        <w:rPr>
          <w:i/>
        </w:rPr>
        <w:t xml:space="preserve">Section </w:t>
      </w:r>
      <w:r w:rsidRPr="00DD3BE9" w:rsidR="00E744E0">
        <w:rPr>
          <w:i/>
          <w:iCs/>
        </w:rPr>
        <w:t>Registrar</w:t>
      </w:r>
      <w:r w:rsidRPr="00DD3BE9" w:rsidR="008F2465">
        <w:rPr>
          <w:i/>
        </w:rPr>
        <w:t>,</w:t>
      </w:r>
    </w:p>
    <w:p w:rsidRPr="00DD3BE9" w:rsidR="0083243F" w:rsidP="00DD3BE9" w14:paraId="02871060" w14:textId="77777777">
      <w:pPr>
        <w:pStyle w:val="JuPara"/>
      </w:pPr>
      <w:r w:rsidRPr="00DD3BE9">
        <w:t>Having regard to:</w:t>
      </w:r>
    </w:p>
    <w:p w:rsidRPr="00DD3BE9" w:rsidR="0083243F" w:rsidP="00DD3BE9" w14:paraId="128BF0FE" w14:textId="77777777">
      <w:pPr>
        <w:pStyle w:val="JuPara"/>
      </w:pPr>
      <w:r w:rsidRPr="00DD3BE9">
        <w:t>the application (no. 16678/22) against the Federal Republic of Germany lodged with the Court under Article 34 of the Convention for the Protection of Human Rights and Fundamental Freedoms (“the Convention”) by a German national, Mr C.O. (“the applicant”), on 30 March 2022;</w:t>
      </w:r>
    </w:p>
    <w:p w:rsidRPr="00DD3BE9" w:rsidR="0083243F" w:rsidP="00DD3BE9" w14:paraId="1DA90A02" w14:textId="77777777">
      <w:pPr>
        <w:pStyle w:val="JuPara"/>
      </w:pPr>
      <w:r w:rsidRPr="00DD3BE9">
        <w:t xml:space="preserve">the decision to give notice to the German Government (“the Government”) of the complaints concerning Article 6 § 2 and Article 8 § 1 of the Convention, in so far as they concern statements made about the applicant in decisions of the criminal courts alleging his involvement in certain </w:t>
      </w:r>
      <w:r w:rsidRPr="00DD3BE9">
        <w:rPr>
          <w:rFonts w:ascii="Times New Roman" w:hAnsi="Times New Roman" w:cs="Times New Roman"/>
        </w:rPr>
        <w:t>offences</w:t>
      </w:r>
      <w:r w:rsidRPr="00DD3BE9">
        <w:t>, and to declare inadmissible the remainder of the application;</w:t>
      </w:r>
    </w:p>
    <w:p w:rsidRPr="00DD3BE9" w:rsidR="0083243F" w:rsidP="00DD3BE9" w14:paraId="78F1AF03" w14:textId="7E33AFF3">
      <w:pPr>
        <w:pStyle w:val="JuPara"/>
      </w:pPr>
      <w:r w:rsidRPr="00DD3BE9">
        <w:t>the decision not to have the applicant</w:t>
      </w:r>
      <w:r w:rsidRPr="00DD3BE9" w:rsidR="00DD3BE9">
        <w:t>’</w:t>
      </w:r>
      <w:r w:rsidRPr="00DD3BE9">
        <w:t>s name disclosed;</w:t>
      </w:r>
    </w:p>
    <w:p w:rsidRPr="00DD3BE9" w:rsidR="0083243F" w:rsidP="00DD3BE9" w14:paraId="6AD40072" w14:textId="20F530AD">
      <w:pPr>
        <w:pStyle w:val="JuPara"/>
      </w:pPr>
      <w:r w:rsidRPr="00DD3BE9">
        <w:t>the parties</w:t>
      </w:r>
      <w:r w:rsidRPr="00DD3BE9" w:rsidR="00DD3BE9">
        <w:t>’</w:t>
      </w:r>
      <w:r w:rsidRPr="00DD3BE9">
        <w:t xml:space="preserve"> observations;</w:t>
      </w:r>
    </w:p>
    <w:p w:rsidRPr="00DD3BE9" w:rsidR="009F4C8F" w:rsidP="00DD3BE9" w14:paraId="62220714" w14:textId="7342C9E6">
      <w:pPr>
        <w:pStyle w:val="JuPara"/>
      </w:pPr>
      <w:r w:rsidRPr="00DD3BE9">
        <w:t xml:space="preserve">Having deliberated in private on </w:t>
      </w:r>
      <w:r w:rsidRPr="00DD3BE9" w:rsidR="0083243F">
        <w:t>27 August 2024</w:t>
      </w:r>
      <w:r w:rsidRPr="00DD3BE9">
        <w:t>,</w:t>
      </w:r>
    </w:p>
    <w:p w:rsidRPr="00DD3BE9" w:rsidR="009F4C8F" w:rsidP="00DD3BE9" w14:paraId="4E76793C" w14:textId="77777777">
      <w:pPr>
        <w:pStyle w:val="JuPara"/>
      </w:pPr>
      <w:r w:rsidRPr="00DD3BE9">
        <w:t>Delivers the following judgment, which was adopted on that date:</w:t>
      </w:r>
    </w:p>
    <w:p w:rsidRPr="00DD3BE9" w:rsidR="0083243F" w:rsidP="00DD3BE9" w14:paraId="3215CD03" w14:textId="77777777">
      <w:pPr>
        <w:pStyle w:val="JuHHead"/>
        <w:numPr>
          <w:ilvl w:val="0"/>
          <w:numId w:val="0"/>
        </w:numPr>
      </w:pPr>
      <w:r w:rsidRPr="00DD3BE9">
        <w:t>INTRODUCTION</w:t>
      </w:r>
    </w:p>
    <w:p w:rsidRPr="00DD3BE9" w:rsidR="0083243F" w:rsidP="00DD3BE9" w14:paraId="0966BA3E" w14:textId="69E5258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w:t>
      </w:r>
      <w:r w:rsidRPr="00DD3BE9">
        <w:rPr>
          <w:rFonts w:ascii="Times New Roman" w:hAnsi="Times New Roman" w:cs="Times New Roman"/>
        </w:rPr>
        <w:fldChar w:fldCharType="end"/>
      </w:r>
      <w:r w:rsidRPr="00DD3BE9">
        <w:rPr>
          <w:rFonts w:ascii="Times New Roman" w:hAnsi="Times New Roman" w:cs="Times New Roman"/>
        </w:rPr>
        <w:t>.  The application concerns criminal proceedings against two persons who were found guilty of committing offences jointly with the applicant and/or aiding and abetting offences committed by him as one of the main perpetrators, even though he had not yet been found guilty of the offences. It raises, under Articles 6 § 2 and 8 of the Convention, the question whether the statements made about him in the courts</w:t>
      </w:r>
      <w:r w:rsidRPr="00DD3BE9" w:rsidR="00DD3BE9">
        <w:rPr>
          <w:rFonts w:ascii="Times New Roman" w:hAnsi="Times New Roman" w:cs="Times New Roman"/>
        </w:rPr>
        <w:t>’</w:t>
      </w:r>
      <w:r w:rsidRPr="00DD3BE9">
        <w:rPr>
          <w:rFonts w:ascii="Times New Roman" w:hAnsi="Times New Roman" w:cs="Times New Roman"/>
        </w:rPr>
        <w:t xml:space="preserve"> decisions breached his right to be presumed innocent and his right to respect for his private life.</w:t>
      </w:r>
    </w:p>
    <w:p w:rsidRPr="00DD3BE9" w:rsidR="0083243F" w:rsidP="00DD3BE9" w14:paraId="4503A14F" w14:textId="77777777">
      <w:pPr>
        <w:pStyle w:val="JuHHead"/>
      </w:pPr>
      <w:r w:rsidRPr="00DD3BE9">
        <w:t>THE FACTS</w:t>
      </w:r>
    </w:p>
    <w:p w:rsidRPr="00DD3BE9" w:rsidR="0083243F" w:rsidP="00DD3BE9" w14:paraId="375023CC" w14:textId="2FD6FE17">
      <w:pPr>
        <w:pStyle w:val="JuPara"/>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w:t>
      </w:r>
      <w:r w:rsidRPr="00DD3BE9">
        <w:rPr>
          <w:rFonts w:ascii="Times New Roman" w:hAnsi="Times New Roman" w:cs="Times New Roman"/>
        </w:rPr>
        <w:fldChar w:fldCharType="end"/>
      </w:r>
      <w:r w:rsidRPr="00DD3BE9">
        <w:rPr>
          <w:rFonts w:ascii="Times New Roman" w:hAnsi="Times New Roman" w:cs="Times New Roman"/>
        </w:rPr>
        <w:t>.  The applicant was born in 1942 and currently lives in Hamburg. He was represented by Ms E. Steiner, a lawyer practising in Vienna.</w:t>
      </w:r>
    </w:p>
    <w:p w:rsidRPr="00DD3BE9" w:rsidR="0083243F" w:rsidP="00DD3BE9" w14:paraId="187A299F" w14:textId="658A9CCE">
      <w:pPr>
        <w:pStyle w:val="JuPara"/>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w:t>
      </w:r>
      <w:r w:rsidRPr="00DD3BE9">
        <w:rPr>
          <w:rFonts w:ascii="Times New Roman" w:hAnsi="Times New Roman" w:cs="Times New Roman"/>
        </w:rPr>
        <w:fldChar w:fldCharType="end"/>
      </w:r>
      <w:r w:rsidRPr="00DD3BE9">
        <w:rPr>
          <w:rFonts w:ascii="Times New Roman" w:hAnsi="Times New Roman" w:cs="Times New Roman"/>
        </w:rPr>
        <w:t>.  The Government were represented by one of their Agents, Mr</w:t>
      </w:r>
      <w:r w:rsidRPr="00DD3BE9" w:rsidR="002012BC">
        <w:rPr>
          <w:rFonts w:ascii="Times New Roman" w:hAnsi="Times New Roman" w:cs="Times New Roman"/>
        </w:rPr>
        <w:t> </w:t>
      </w:r>
      <w:r w:rsidRPr="00DD3BE9">
        <w:rPr>
          <w:rFonts w:ascii="Times New Roman" w:hAnsi="Times New Roman" w:cs="Times New Roman"/>
        </w:rPr>
        <w:t>H.</w:t>
      </w:r>
      <w:r w:rsidRPr="00DD3BE9" w:rsidR="002012BC">
        <w:rPr>
          <w:rFonts w:ascii="Times New Roman" w:hAnsi="Times New Roman" w:cs="Times New Roman"/>
        </w:rPr>
        <w:noBreakHyphen/>
      </w:r>
      <w:r w:rsidRPr="00DD3BE9">
        <w:rPr>
          <w:rFonts w:ascii="Times New Roman" w:hAnsi="Times New Roman" w:cs="Times New Roman"/>
        </w:rPr>
        <w:t>J.</w:t>
      </w:r>
      <w:r w:rsidRPr="00DD3BE9" w:rsidR="002012BC">
        <w:rPr>
          <w:rFonts w:ascii="Times New Roman" w:hAnsi="Times New Roman" w:cs="Times New Roman"/>
        </w:rPr>
        <w:t> </w:t>
      </w:r>
      <w:r w:rsidRPr="00DD3BE9">
        <w:rPr>
          <w:rFonts w:ascii="Times New Roman" w:hAnsi="Times New Roman" w:cs="Times New Roman"/>
        </w:rPr>
        <w:t>Behrens, of the Federal Ministry of Justice.</w:t>
      </w:r>
    </w:p>
    <w:p w:rsidRPr="00DD3BE9" w:rsidR="0083243F" w:rsidP="00DD3BE9" w14:paraId="219B6A71" w14:textId="1F4B13D5">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w:t>
      </w:r>
      <w:r w:rsidRPr="00DD3BE9">
        <w:rPr>
          <w:rFonts w:ascii="Times New Roman" w:hAnsi="Times New Roman" w:cs="Times New Roman"/>
        </w:rPr>
        <w:fldChar w:fldCharType="end"/>
      </w:r>
      <w:r w:rsidRPr="00DD3BE9">
        <w:rPr>
          <w:rFonts w:ascii="Times New Roman" w:hAnsi="Times New Roman" w:cs="Times New Roman"/>
        </w:rPr>
        <w:t>.  The facts of the case, as submitted by the parties, may be summarised as follows.</w:t>
      </w:r>
    </w:p>
    <w:p w:rsidRPr="00DD3BE9" w:rsidR="0083243F" w:rsidP="00DD3BE9" w14:paraId="624F34EF" w14:textId="0AE45C43">
      <w:pPr>
        <w:pStyle w:val="JuHIRoman"/>
        <w:tabs>
          <w:tab w:val="clear" w:pos="454"/>
          <w:tab w:val="clear" w:pos="539"/>
          <w:tab w:val="clear" w:pos="624"/>
          <w:tab w:val="clear" w:pos="709"/>
          <w:tab w:val="clear" w:pos="794"/>
        </w:tabs>
        <w:rPr>
          <w:rFonts w:ascii="Times New Roman" w:hAnsi="Times New Roman" w:cs="Times New Roman"/>
        </w:rPr>
      </w:pPr>
      <w:r w:rsidRPr="00DD3BE9">
        <w:t>BACKGROUND TO THE CASE: THE “CUM</w:t>
      </w:r>
      <w:r w:rsidRPr="00DD3BE9" w:rsidR="00BA6587">
        <w:noBreakHyphen/>
      </w:r>
      <w:r w:rsidRPr="00DD3BE9">
        <w:t>EX” SCHEME</w:t>
      </w:r>
    </w:p>
    <w:p w:rsidRPr="00DD3BE9" w:rsidR="0083243F" w:rsidP="00DD3BE9" w14:paraId="13AEA465" w14:textId="5B69085A">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w:t>
      </w:r>
      <w:r w:rsidRPr="00DD3BE9">
        <w:rPr>
          <w:rFonts w:ascii="Times New Roman" w:hAnsi="Times New Roman" w:cs="Times New Roman"/>
        </w:rPr>
        <w:fldChar w:fldCharType="end"/>
      </w:r>
      <w:r w:rsidRPr="00DD3BE9">
        <w:rPr>
          <w:rFonts w:ascii="Times New Roman" w:hAnsi="Times New Roman" w:cs="Times New Roman"/>
        </w:rPr>
        <w:t>.  The applicant is one of the beneficial owners and personally liable shareholders of a German private bank (hereinafter “the W</w:t>
      </w:r>
      <w:r w:rsidRPr="00DD3BE9" w:rsidR="00F6787C">
        <w:rPr>
          <w:rFonts w:ascii="Times New Roman" w:hAnsi="Times New Roman" w:cs="Times New Roman"/>
        </w:rPr>
        <w:noBreakHyphen/>
      </w:r>
      <w:r w:rsidRPr="00DD3BE9">
        <w:rPr>
          <w:rFonts w:ascii="Times New Roman" w:hAnsi="Times New Roman" w:cs="Times New Roman"/>
        </w:rPr>
        <w:t>Bank”). From</w:t>
      </w:r>
      <w:r w:rsidRPr="00DD3BE9" w:rsidR="00F6787C">
        <w:rPr>
          <w:rFonts w:ascii="Times New Roman" w:hAnsi="Times New Roman" w:cs="Times New Roman"/>
        </w:rPr>
        <w:t> </w:t>
      </w:r>
      <w:r w:rsidRPr="00DD3BE9">
        <w:rPr>
          <w:rFonts w:ascii="Times New Roman" w:hAnsi="Times New Roman" w:cs="Times New Roman"/>
        </w:rPr>
        <w:t>2014 to 2019 he was chairman of W</w:t>
      </w:r>
      <w:r w:rsidRPr="00DD3BE9" w:rsidR="00BA6587">
        <w:rPr>
          <w:rFonts w:ascii="Times New Roman" w:hAnsi="Times New Roman" w:cs="Times New Roman"/>
        </w:rPr>
        <w:noBreakHyphen/>
      </w:r>
      <w:r w:rsidRPr="00DD3BE9">
        <w:rPr>
          <w:rFonts w:ascii="Times New Roman" w:hAnsi="Times New Roman" w:cs="Times New Roman"/>
        </w:rPr>
        <w:t>Bank</w:t>
      </w:r>
      <w:r w:rsidRPr="00DD3BE9" w:rsidR="00DD3BE9">
        <w:rPr>
          <w:rFonts w:ascii="Times New Roman" w:hAnsi="Times New Roman" w:cs="Times New Roman"/>
        </w:rPr>
        <w:t>’</w:t>
      </w:r>
      <w:r w:rsidRPr="00DD3BE9">
        <w:rPr>
          <w:rFonts w:ascii="Times New Roman" w:hAnsi="Times New Roman" w:cs="Times New Roman"/>
        </w:rPr>
        <w:t>s supervisory board.</w:t>
      </w:r>
    </w:p>
    <w:p w:rsidRPr="00DD3BE9" w:rsidR="0083243F" w:rsidP="00DD3BE9" w14:paraId="2DE57BED" w14:textId="31DB3DFD">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06" w:id="2"/>
      <w:r w:rsidRPr="00DD3BE9" w:rsidR="00DD3BE9">
        <w:rPr>
          <w:rFonts w:ascii="Times New Roman" w:hAnsi="Times New Roman" w:cs="Times New Roman"/>
          <w:noProof/>
        </w:rPr>
        <w:t>6</w:t>
      </w:r>
      <w:bookmarkEnd w:id="2"/>
      <w:r w:rsidRPr="00DD3BE9">
        <w:rPr>
          <w:rFonts w:ascii="Times New Roman" w:hAnsi="Times New Roman" w:cs="Times New Roman"/>
        </w:rPr>
        <w:fldChar w:fldCharType="end"/>
      </w:r>
      <w:r w:rsidRPr="00DD3BE9">
        <w:rPr>
          <w:rFonts w:ascii="Times New Roman" w:hAnsi="Times New Roman" w:cs="Times New Roman"/>
        </w:rPr>
        <w:t>.  W</w:t>
      </w:r>
      <w:r w:rsidRPr="00DD3BE9" w:rsidR="00F6787C">
        <w:rPr>
          <w:rFonts w:ascii="Times New Roman" w:hAnsi="Times New Roman" w:cs="Times New Roman"/>
        </w:rPr>
        <w:noBreakHyphen/>
      </w:r>
      <w:r w:rsidRPr="00DD3BE9">
        <w:rPr>
          <w:rFonts w:ascii="Times New Roman" w:hAnsi="Times New Roman" w:cs="Times New Roman"/>
        </w:rPr>
        <w:t>Bank was involved in the “Cum</w:t>
      </w:r>
      <w:r w:rsidRPr="00DD3BE9" w:rsidR="00BA6587">
        <w:rPr>
          <w:rFonts w:ascii="Times New Roman" w:hAnsi="Times New Roman" w:cs="Times New Roman"/>
        </w:rPr>
        <w:noBreakHyphen/>
      </w:r>
      <w:r w:rsidRPr="00DD3BE9">
        <w:rPr>
          <w:rFonts w:ascii="Times New Roman" w:hAnsi="Times New Roman" w:cs="Times New Roman"/>
        </w:rPr>
        <w:t>Ex” scandal, a large</w:t>
      </w:r>
      <w:r w:rsidRPr="00DD3BE9" w:rsidR="00F6787C">
        <w:rPr>
          <w:rFonts w:ascii="Times New Roman" w:hAnsi="Times New Roman" w:cs="Times New Roman"/>
        </w:rPr>
        <w:noBreakHyphen/>
      </w:r>
      <w:r w:rsidRPr="00DD3BE9">
        <w:rPr>
          <w:rFonts w:ascii="Times New Roman" w:hAnsi="Times New Roman" w:cs="Times New Roman"/>
        </w:rPr>
        <w:t>scale tax fraud scheme in which significant dividend tax refunds were obtained under false pretences.</w:t>
      </w:r>
    </w:p>
    <w:p w:rsidRPr="00DD3BE9" w:rsidR="0083243F" w:rsidP="00DD3BE9" w14:paraId="57D006A4" w14:textId="2E8F1817">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07" w:id="3"/>
      <w:r w:rsidRPr="00DD3BE9" w:rsidR="00DD3BE9">
        <w:rPr>
          <w:rFonts w:ascii="Times New Roman" w:hAnsi="Times New Roman" w:cs="Times New Roman"/>
          <w:noProof/>
        </w:rPr>
        <w:t>7</w:t>
      </w:r>
      <w:bookmarkEnd w:id="3"/>
      <w:r w:rsidRPr="00DD3BE9">
        <w:rPr>
          <w:rFonts w:ascii="Times New Roman" w:hAnsi="Times New Roman" w:cs="Times New Roman"/>
        </w:rPr>
        <w:fldChar w:fldCharType="end"/>
      </w:r>
      <w:r w:rsidRPr="00DD3BE9">
        <w:rPr>
          <w:rFonts w:ascii="Times New Roman" w:hAnsi="Times New Roman" w:cs="Times New Roman"/>
        </w:rPr>
        <w:t>.  Until the end of 2011 the way in which dividend payments were processed made it factually possible, through complex financial transactions involving share traders and brokers abroad, to fraudulently claim a refund of capital gains tax even though no tax had actually been paid. By 31</w:t>
      </w:r>
      <w:r w:rsidRPr="00DD3BE9" w:rsidR="00F6787C">
        <w:rPr>
          <w:rFonts w:ascii="Times New Roman" w:hAnsi="Times New Roman" w:cs="Times New Roman"/>
        </w:rPr>
        <w:t> </w:t>
      </w:r>
      <w:r w:rsidRPr="00DD3BE9">
        <w:rPr>
          <w:rFonts w:ascii="Times New Roman" w:hAnsi="Times New Roman" w:cs="Times New Roman"/>
        </w:rPr>
        <w:t>December</w:t>
      </w:r>
      <w:r w:rsidRPr="00DD3BE9" w:rsidR="00F6787C">
        <w:rPr>
          <w:rFonts w:ascii="Times New Roman" w:hAnsi="Times New Roman" w:cs="Times New Roman"/>
        </w:rPr>
        <w:t> </w:t>
      </w:r>
      <w:r w:rsidRPr="00DD3BE9">
        <w:rPr>
          <w:rFonts w:ascii="Times New Roman" w:hAnsi="Times New Roman" w:cs="Times New Roman"/>
        </w:rPr>
        <w:t>2021 the volume of suspected cases of “Cum</w:t>
      </w:r>
      <w:r w:rsidRPr="00DD3BE9" w:rsidR="00F6787C">
        <w:rPr>
          <w:rFonts w:ascii="Times New Roman" w:hAnsi="Times New Roman" w:cs="Times New Roman"/>
        </w:rPr>
        <w:noBreakHyphen/>
      </w:r>
      <w:r w:rsidRPr="00DD3BE9">
        <w:rPr>
          <w:rFonts w:ascii="Times New Roman" w:hAnsi="Times New Roman" w:cs="Times New Roman"/>
        </w:rPr>
        <w:t>Ex” tax losses reported to the Federal Tax Office had reached 4.5</w:t>
      </w:r>
      <w:r w:rsidRPr="00DD3BE9" w:rsidR="00F6787C">
        <w:rPr>
          <w:rFonts w:ascii="Times New Roman" w:hAnsi="Times New Roman" w:cs="Times New Roman"/>
        </w:rPr>
        <w:t> </w:t>
      </w:r>
      <w:r w:rsidRPr="00DD3BE9">
        <w:rPr>
          <w:rFonts w:ascii="Times New Roman" w:hAnsi="Times New Roman" w:cs="Times New Roman"/>
        </w:rPr>
        <w:t>billion euros</w:t>
      </w:r>
      <w:r w:rsidRPr="00DD3BE9" w:rsidR="00F6787C">
        <w:rPr>
          <w:rFonts w:ascii="Times New Roman" w:hAnsi="Times New Roman" w:cs="Times New Roman"/>
        </w:rPr>
        <w:t> </w:t>
      </w:r>
      <w:r w:rsidRPr="00DD3BE9">
        <w:rPr>
          <w:rFonts w:ascii="Times New Roman" w:hAnsi="Times New Roman" w:cs="Times New Roman"/>
        </w:rPr>
        <w:t>(EUR).</w:t>
      </w:r>
    </w:p>
    <w:p w:rsidRPr="00DD3BE9" w:rsidR="0083243F" w:rsidP="00DD3BE9" w14:paraId="629BAFB9" w14:textId="56BE234A">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8</w:t>
      </w:r>
      <w:r w:rsidRPr="00DD3BE9">
        <w:rPr>
          <w:rFonts w:ascii="Times New Roman" w:hAnsi="Times New Roman" w:cs="Times New Roman"/>
        </w:rPr>
        <w:fldChar w:fldCharType="end"/>
      </w:r>
      <w:r w:rsidRPr="00DD3BE9">
        <w:rPr>
          <w:rFonts w:ascii="Times New Roman" w:hAnsi="Times New Roman" w:cs="Times New Roman"/>
        </w:rPr>
        <w:t>.  After the “Cum</w:t>
      </w:r>
      <w:r w:rsidRPr="00DD3BE9" w:rsidR="00F6787C">
        <w:rPr>
          <w:rFonts w:ascii="Times New Roman" w:hAnsi="Times New Roman" w:cs="Times New Roman"/>
        </w:rPr>
        <w:noBreakHyphen/>
      </w:r>
      <w:r w:rsidRPr="00DD3BE9">
        <w:rPr>
          <w:rFonts w:ascii="Times New Roman" w:hAnsi="Times New Roman" w:cs="Times New Roman"/>
        </w:rPr>
        <w:t>Ex” scheme was exposed, the Cologne public prosecutor</w:t>
      </w:r>
      <w:r w:rsidRPr="00DD3BE9" w:rsidR="00DD3BE9">
        <w:rPr>
          <w:rFonts w:ascii="Times New Roman" w:hAnsi="Times New Roman" w:cs="Times New Roman"/>
        </w:rPr>
        <w:t>’</w:t>
      </w:r>
      <w:r w:rsidRPr="00DD3BE9">
        <w:rPr>
          <w:rFonts w:ascii="Times New Roman" w:hAnsi="Times New Roman" w:cs="Times New Roman"/>
        </w:rPr>
        <w:t>s office (“the prosecutor</w:t>
      </w:r>
      <w:r w:rsidRPr="00DD3BE9" w:rsidR="00DD3BE9">
        <w:rPr>
          <w:rFonts w:ascii="Times New Roman" w:hAnsi="Times New Roman" w:cs="Times New Roman"/>
        </w:rPr>
        <w:t>’</w:t>
      </w:r>
      <w:r w:rsidRPr="00DD3BE9">
        <w:rPr>
          <w:rFonts w:ascii="Times New Roman" w:hAnsi="Times New Roman" w:cs="Times New Roman"/>
        </w:rPr>
        <w:t>s office”) initiated preliminary proceedings against numerous individuals, which were initially conducted as a single set of proceedings. Links to transactions by W</w:t>
      </w:r>
      <w:r w:rsidRPr="00DD3BE9" w:rsidR="00F6787C">
        <w:rPr>
          <w:rFonts w:ascii="Times New Roman" w:hAnsi="Times New Roman" w:cs="Times New Roman"/>
        </w:rPr>
        <w:noBreakHyphen/>
      </w:r>
      <w:r w:rsidRPr="00DD3BE9">
        <w:rPr>
          <w:rFonts w:ascii="Times New Roman" w:hAnsi="Times New Roman" w:cs="Times New Roman"/>
        </w:rPr>
        <w:t>Bank emerged at an early stage of the investigation. On 19</w:t>
      </w:r>
      <w:r w:rsidRPr="00DD3BE9" w:rsidR="00F6787C">
        <w:rPr>
          <w:rFonts w:ascii="Times New Roman" w:hAnsi="Times New Roman" w:cs="Times New Roman"/>
        </w:rPr>
        <w:t> </w:t>
      </w:r>
      <w:r w:rsidRPr="00DD3BE9">
        <w:rPr>
          <w:rFonts w:ascii="Times New Roman" w:hAnsi="Times New Roman" w:cs="Times New Roman"/>
        </w:rPr>
        <w:t>February</w:t>
      </w:r>
      <w:r w:rsidRPr="00DD3BE9" w:rsidR="00F6787C">
        <w:rPr>
          <w:rFonts w:ascii="Times New Roman" w:hAnsi="Times New Roman" w:cs="Times New Roman"/>
        </w:rPr>
        <w:t> </w:t>
      </w:r>
      <w:r w:rsidRPr="00DD3BE9">
        <w:rPr>
          <w:rFonts w:ascii="Times New Roman" w:hAnsi="Times New Roman" w:cs="Times New Roman"/>
        </w:rPr>
        <w:t>2016 the prosecutor</w:t>
      </w:r>
      <w:r w:rsidRPr="00DD3BE9" w:rsidR="00DD3BE9">
        <w:rPr>
          <w:rFonts w:ascii="Times New Roman" w:hAnsi="Times New Roman" w:cs="Times New Roman"/>
        </w:rPr>
        <w:t>’</w:t>
      </w:r>
      <w:r w:rsidRPr="00DD3BE9">
        <w:rPr>
          <w:rFonts w:ascii="Times New Roman" w:hAnsi="Times New Roman" w:cs="Times New Roman"/>
        </w:rPr>
        <w:t>s office opened a separate set of proceedings concerning W</w:t>
      </w:r>
      <w:r w:rsidRPr="00DD3BE9" w:rsidR="00F6787C">
        <w:rPr>
          <w:rFonts w:ascii="Times New Roman" w:hAnsi="Times New Roman" w:cs="Times New Roman"/>
        </w:rPr>
        <w:noBreakHyphen/>
      </w:r>
      <w:r w:rsidRPr="00DD3BE9">
        <w:rPr>
          <w:rFonts w:ascii="Times New Roman" w:hAnsi="Times New Roman" w:cs="Times New Roman"/>
        </w:rPr>
        <w:t>Bank, directed against the applicant and nine others.</w:t>
      </w:r>
    </w:p>
    <w:p w:rsidRPr="00DD3BE9" w:rsidR="0083243F" w:rsidP="00DD3BE9" w14:paraId="09B12680" w14:textId="11050CB4">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9</w:t>
      </w:r>
      <w:r w:rsidRPr="00DD3BE9">
        <w:rPr>
          <w:rFonts w:ascii="Times New Roman" w:hAnsi="Times New Roman" w:cs="Times New Roman"/>
        </w:rPr>
        <w:fldChar w:fldCharType="end"/>
      </w:r>
      <w:r w:rsidRPr="00DD3BE9">
        <w:rPr>
          <w:rFonts w:ascii="Times New Roman" w:hAnsi="Times New Roman" w:cs="Times New Roman"/>
        </w:rPr>
        <w:t>.  During the course of the investigation, a large number of other individuals and institutions also came under suspicion of involvement in the fraudulent transactions of W</w:t>
      </w:r>
      <w:r w:rsidRPr="00DD3BE9" w:rsidR="00F6787C">
        <w:rPr>
          <w:rFonts w:ascii="Times New Roman" w:hAnsi="Times New Roman" w:cs="Times New Roman"/>
        </w:rPr>
        <w:noBreakHyphen/>
      </w:r>
      <w:r w:rsidRPr="00DD3BE9">
        <w:rPr>
          <w:rFonts w:ascii="Times New Roman" w:hAnsi="Times New Roman" w:cs="Times New Roman"/>
        </w:rPr>
        <w:t>Bank, including not only its employees, but also brokers, asset management companies and other banks. The investigations concerning the numerous accused persons progressed at different speeds.</w:t>
      </w:r>
    </w:p>
    <w:p w:rsidRPr="00DD3BE9" w:rsidR="0083243F" w:rsidP="00DD3BE9" w14:paraId="6C1EAB41" w14:textId="77777777">
      <w:pPr>
        <w:pStyle w:val="JuHIRoman"/>
        <w:tabs>
          <w:tab w:val="clear" w:pos="454"/>
          <w:tab w:val="clear" w:pos="539"/>
          <w:tab w:val="clear" w:pos="624"/>
          <w:tab w:val="clear" w:pos="709"/>
          <w:tab w:val="clear" w:pos="794"/>
        </w:tabs>
        <w:rPr>
          <w:rFonts w:ascii="Times New Roman" w:hAnsi="Times New Roman" w:cs="Times New Roman"/>
        </w:rPr>
      </w:pPr>
      <w:r w:rsidRPr="00DD3BE9">
        <w:t>CRIMINAL PROCEEDINGS AGAINST M.S. AND N.D.</w:t>
      </w:r>
    </w:p>
    <w:p w:rsidRPr="00DD3BE9" w:rsidR="0083243F" w:rsidP="00DD3BE9" w14:paraId="6F9CC3A3" w14:textId="6916EC28">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10</w:t>
      </w:r>
      <w:r w:rsidRPr="00DD3BE9">
        <w:rPr>
          <w:rFonts w:ascii="Times New Roman" w:hAnsi="Times New Roman" w:cs="Times New Roman"/>
        </w:rPr>
        <w:fldChar w:fldCharType="end"/>
      </w:r>
      <w:r w:rsidRPr="00DD3BE9">
        <w:rPr>
          <w:rFonts w:ascii="Times New Roman" w:hAnsi="Times New Roman" w:cs="Times New Roman"/>
        </w:rPr>
        <w:t>.  Among the accused were M.S. and N.D., a shareholder and an employee of an asset management company based in the Cayman Islands.</w:t>
      </w:r>
    </w:p>
    <w:bookmarkStart w:name="paragraph00011" w:id="4"/>
    <w:p w:rsidRPr="00DD3BE9" w:rsidR="0083243F" w:rsidP="00DD3BE9" w14:paraId="6C0A3B20" w14:textId="1A55E1F7">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11</w:t>
      </w:r>
      <w:r w:rsidRPr="00DD3BE9">
        <w:rPr>
          <w:rFonts w:ascii="Times New Roman" w:hAnsi="Times New Roman" w:cs="Times New Roman"/>
        </w:rPr>
        <w:fldChar w:fldCharType="end"/>
      </w:r>
      <w:bookmarkEnd w:id="4"/>
      <w:r w:rsidRPr="00DD3BE9">
        <w:rPr>
          <w:rFonts w:ascii="Times New Roman" w:hAnsi="Times New Roman" w:cs="Times New Roman"/>
        </w:rPr>
        <w:t>.  On 7 March 2019 the prosecutor</w:t>
      </w:r>
      <w:r w:rsidRPr="00DD3BE9" w:rsidR="00DD3BE9">
        <w:rPr>
          <w:rFonts w:ascii="Times New Roman" w:hAnsi="Times New Roman" w:cs="Times New Roman"/>
        </w:rPr>
        <w:t>’</w:t>
      </w:r>
      <w:r w:rsidRPr="00DD3BE9">
        <w:rPr>
          <w:rFonts w:ascii="Times New Roman" w:hAnsi="Times New Roman" w:cs="Times New Roman"/>
        </w:rPr>
        <w:t>s office initiated a separate set of proceedings against M.S. and N.D., who had confessed to their involvement in the fraudulent transactions of W</w:t>
      </w:r>
      <w:r w:rsidRPr="00DD3BE9" w:rsidR="00F6787C">
        <w:rPr>
          <w:rFonts w:ascii="Times New Roman" w:hAnsi="Times New Roman" w:cs="Times New Roman"/>
        </w:rPr>
        <w:noBreakHyphen/>
      </w:r>
      <w:r w:rsidRPr="00DD3BE9">
        <w:rPr>
          <w:rFonts w:ascii="Times New Roman" w:hAnsi="Times New Roman" w:cs="Times New Roman"/>
        </w:rPr>
        <w:t>Bank and provided extensive information to the investigating authorities.</w:t>
      </w:r>
    </w:p>
    <w:bookmarkStart w:name="paragraph00012" w:id="5"/>
    <w:p w:rsidRPr="00DD3BE9" w:rsidR="0083243F" w:rsidP="00DD3BE9" w14:paraId="5F8B1EA7" w14:textId="4A68A5EE">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12</w:t>
      </w:r>
      <w:r w:rsidRPr="00DD3BE9">
        <w:rPr>
          <w:rFonts w:ascii="Times New Roman" w:hAnsi="Times New Roman" w:cs="Times New Roman"/>
        </w:rPr>
        <w:fldChar w:fldCharType="end"/>
      </w:r>
      <w:bookmarkEnd w:id="5"/>
      <w:r w:rsidRPr="00DD3BE9">
        <w:rPr>
          <w:rFonts w:ascii="Times New Roman" w:hAnsi="Times New Roman" w:cs="Times New Roman"/>
        </w:rPr>
        <w:t>.  On 2 April 2019 M.S. and N.D. were indicted for tax evasion before the Bonn Regional Court (“the Regional Court”) on the grounds that they had been involved in the fraudulent transactions of W</w:t>
      </w:r>
      <w:r w:rsidRPr="00DD3BE9" w:rsidR="00F6787C">
        <w:rPr>
          <w:rFonts w:ascii="Times New Roman" w:hAnsi="Times New Roman" w:cs="Times New Roman"/>
        </w:rPr>
        <w:noBreakHyphen/>
      </w:r>
      <w:r w:rsidRPr="00DD3BE9">
        <w:rPr>
          <w:rFonts w:ascii="Times New Roman" w:hAnsi="Times New Roman" w:cs="Times New Roman"/>
        </w:rPr>
        <w:t>Bank with other persons, including the applicant.</w:t>
      </w:r>
    </w:p>
    <w:p w:rsidRPr="00DD3BE9" w:rsidR="0083243F" w:rsidP="00DD3BE9" w14:paraId="7723D963" w14:textId="77777777">
      <w:pPr>
        <w:pStyle w:val="JuHA"/>
      </w:pPr>
      <w:r w:rsidRPr="00DD3BE9">
        <w:t>Proceedings before the Regional Court</w:t>
      </w:r>
    </w:p>
    <w:p w:rsidRPr="00DD3BE9" w:rsidR="0083243F" w:rsidP="00DD3BE9" w14:paraId="35579A4F" w14:textId="4713C6A5">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13</w:t>
      </w:r>
      <w:r w:rsidRPr="00DD3BE9">
        <w:rPr>
          <w:rFonts w:ascii="Times New Roman" w:hAnsi="Times New Roman" w:cs="Times New Roman"/>
        </w:rPr>
        <w:fldChar w:fldCharType="end"/>
      </w:r>
      <w:r w:rsidRPr="00DD3BE9">
        <w:rPr>
          <w:rFonts w:ascii="Times New Roman" w:hAnsi="Times New Roman" w:cs="Times New Roman"/>
        </w:rPr>
        <w:t>.  During the trial against M.S. and N.D., the applicant had the status of a witness and was called by the court to testify. He was not heard, having exercised the right to remain silent in order not to incriminate himself.</w:t>
      </w:r>
    </w:p>
    <w:p w:rsidRPr="00DD3BE9" w:rsidR="0083243F" w:rsidP="00DD3BE9" w14:paraId="7CC79F8A" w14:textId="2CBDBC74">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14" w:id="6"/>
      <w:r w:rsidRPr="00DD3BE9" w:rsidR="00DD3BE9">
        <w:rPr>
          <w:rFonts w:ascii="Times New Roman" w:hAnsi="Times New Roman" w:cs="Times New Roman"/>
          <w:noProof/>
        </w:rPr>
        <w:t>14</w:t>
      </w:r>
      <w:bookmarkEnd w:id="6"/>
      <w:r w:rsidRPr="00DD3BE9">
        <w:rPr>
          <w:rFonts w:ascii="Times New Roman" w:hAnsi="Times New Roman" w:cs="Times New Roman"/>
        </w:rPr>
        <w:fldChar w:fldCharType="end"/>
      </w:r>
      <w:r w:rsidRPr="00DD3BE9">
        <w:rPr>
          <w:rFonts w:ascii="Times New Roman" w:hAnsi="Times New Roman" w:cs="Times New Roman"/>
        </w:rPr>
        <w:t>.  On 18 March 2020 the Regional Court found M.S. guilty of ten counts of tax evasion (as a co</w:t>
      </w:r>
      <w:r w:rsidRPr="00DD3BE9" w:rsidR="00BA6587">
        <w:rPr>
          <w:rFonts w:ascii="Times New Roman" w:hAnsi="Times New Roman" w:cs="Times New Roman"/>
        </w:rPr>
        <w:noBreakHyphen/>
      </w:r>
      <w:r w:rsidRPr="00DD3BE9">
        <w:rPr>
          <w:rFonts w:ascii="Times New Roman" w:hAnsi="Times New Roman" w:cs="Times New Roman"/>
        </w:rPr>
        <w:t>perpetrator with the applicant) and one count of aiding and abetting tax evasion (with the applicant as one of the main perpetrators), and N.D. guilty of five counts of aiding and abetting tax evasion (with the applicant as one of the main perpetrators). It also ordered the confiscation from W</w:t>
      </w:r>
      <w:r w:rsidRPr="00DD3BE9" w:rsidR="00BA6587">
        <w:rPr>
          <w:rFonts w:ascii="Times New Roman" w:hAnsi="Times New Roman" w:cs="Times New Roman"/>
        </w:rPr>
        <w:noBreakHyphen/>
      </w:r>
      <w:r w:rsidRPr="00DD3BE9">
        <w:rPr>
          <w:rFonts w:ascii="Times New Roman" w:hAnsi="Times New Roman" w:cs="Times New Roman"/>
        </w:rPr>
        <w:t>Bank of over EUR 176 million, a sum corresponding to the illegally obtained tax credits. At that time, the applicant had not yet been indicted.</w:t>
      </w:r>
    </w:p>
    <w:bookmarkStart w:name="paragraph00015" w:id="7"/>
    <w:p w:rsidRPr="00DD3BE9" w:rsidR="0083243F" w:rsidP="00DD3BE9" w14:paraId="11405EFB" w14:textId="4F97169B">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15</w:t>
      </w:r>
      <w:r w:rsidRPr="00DD3BE9">
        <w:rPr>
          <w:rFonts w:ascii="Times New Roman" w:hAnsi="Times New Roman" w:cs="Times New Roman"/>
        </w:rPr>
        <w:fldChar w:fldCharType="end"/>
      </w:r>
      <w:bookmarkEnd w:id="7"/>
      <w:r w:rsidRPr="00DD3BE9">
        <w:rPr>
          <w:rFonts w:ascii="Times New Roman" w:hAnsi="Times New Roman" w:cs="Times New Roman"/>
        </w:rPr>
        <w:t>.  The Regional Court</w:t>
      </w:r>
      <w:r w:rsidRPr="00DD3BE9" w:rsidR="00DD3BE9">
        <w:rPr>
          <w:rFonts w:ascii="Times New Roman" w:hAnsi="Times New Roman" w:cs="Times New Roman"/>
        </w:rPr>
        <w:t>’</w:t>
      </w:r>
      <w:r w:rsidRPr="00DD3BE9">
        <w:rPr>
          <w:rFonts w:ascii="Times New Roman" w:hAnsi="Times New Roman" w:cs="Times New Roman"/>
        </w:rPr>
        <w:t>s written judgment against M.S. and N.D. contained ample factual findings, including with regard to the applicant. For every offence committed by M.S. and N.D., the court also described in detail the applicant</w:t>
      </w:r>
      <w:r w:rsidRPr="00DD3BE9" w:rsidR="00DD3BE9">
        <w:rPr>
          <w:rFonts w:ascii="Times New Roman" w:hAnsi="Times New Roman" w:cs="Times New Roman"/>
        </w:rPr>
        <w:t>’</w:t>
      </w:r>
      <w:r w:rsidRPr="00DD3BE9">
        <w:rPr>
          <w:rFonts w:ascii="Times New Roman" w:hAnsi="Times New Roman" w:cs="Times New Roman"/>
        </w:rPr>
        <w:t>s involvement, referring to him as a “separately prosecuted person” (</w:t>
      </w:r>
      <w:r w:rsidRPr="00DD3BE9">
        <w:rPr>
          <w:rFonts w:ascii="Times New Roman" w:hAnsi="Times New Roman" w:cs="Times New Roman"/>
          <w:i/>
          <w:iCs/>
        </w:rPr>
        <w:t>gesondert Verfolgter</w:t>
      </w:r>
      <w:r w:rsidRPr="00DD3BE9">
        <w:rPr>
          <w:rFonts w:ascii="Times New Roman" w:hAnsi="Times New Roman" w:cs="Times New Roman"/>
        </w:rPr>
        <w:t>) throughout the judgment. The numerous references to the applicant may be summarised as follows:</w:t>
      </w:r>
    </w:p>
    <w:p w:rsidRPr="00DD3BE9" w:rsidR="0083243F" w:rsidP="00DD3BE9" w14:paraId="6D8881BF" w14:textId="47D2AD25">
      <w:pPr>
        <w:pStyle w:val="JuLista"/>
      </w:pPr>
      <w:r w:rsidRPr="00DD3BE9">
        <w:t>he, acting together with other persons, had signed the bank</w:t>
      </w:r>
      <w:r w:rsidRPr="00DD3BE9" w:rsidR="00DD3BE9">
        <w:t>’</w:t>
      </w:r>
      <w:r w:rsidRPr="00DD3BE9">
        <w:t>s corporate tax returns and arranged for them to be handed in to the tax authorities;</w:t>
      </w:r>
    </w:p>
    <w:p w:rsidRPr="00DD3BE9" w:rsidR="0083243F" w:rsidP="00DD3BE9" w14:paraId="28E66FEE" w14:textId="77777777">
      <w:pPr>
        <w:pStyle w:val="JuLista"/>
      </w:pPr>
      <w:r w:rsidRPr="00DD3BE9">
        <w:t>he, acting together with other persons, had devised a joint plan to obtain tax credits despite the fact that no tax had actually been levied;</w:t>
      </w:r>
    </w:p>
    <w:p w:rsidRPr="00DD3BE9" w:rsidR="0083243F" w:rsidP="00DD3BE9" w14:paraId="2B60B489" w14:textId="77777777">
      <w:pPr>
        <w:pStyle w:val="JuLista"/>
      </w:pPr>
      <w:r w:rsidRPr="00DD3BE9">
        <w:t>he had known that no tax had been levied, that the conditions for obtaining tax credits were not fulfilled and that future tax credits would not be in accordance with German tax law;</w:t>
      </w:r>
    </w:p>
    <w:p w:rsidRPr="00DD3BE9" w:rsidR="0083243F" w:rsidP="00DD3BE9" w14:paraId="37FAB2A7" w14:textId="7CAFF351">
      <w:pPr>
        <w:pStyle w:val="JuLista"/>
      </w:pPr>
      <w:r w:rsidRPr="00DD3BE9">
        <w:t>he had been fully aware of the mechanism of “Cum</w:t>
      </w:r>
      <w:r w:rsidRPr="00DD3BE9" w:rsidR="00BA6587">
        <w:noBreakHyphen/>
      </w:r>
      <w:r w:rsidRPr="00DD3BE9">
        <w:t>Ex” agreements (see paragraphs</w:t>
      </w:r>
      <w:r w:rsidRPr="00DD3BE9" w:rsidR="00F6787C">
        <w:t> </w:t>
      </w:r>
      <w:r w:rsidRPr="00DD3BE9">
        <w:fldChar w:fldCharType="begin"/>
      </w:r>
      <w:r w:rsidRPr="00DD3BE9">
        <w:instrText xml:space="preserve"> REF paragraph00006 \h \* CharFormat </w:instrText>
      </w:r>
      <w:r w:rsidRPr="00DD3BE9">
        <w:fldChar w:fldCharType="separate"/>
      </w:r>
      <w:r w:rsidRPr="00DD3BE9" w:rsidR="00DD3BE9">
        <w:t>6</w:t>
      </w:r>
      <w:r w:rsidRPr="00DD3BE9">
        <w:fldChar w:fldCharType="end"/>
      </w:r>
      <w:r w:rsidRPr="00DD3BE9">
        <w:t xml:space="preserve"> and</w:t>
      </w:r>
      <w:r w:rsidRPr="00DD3BE9" w:rsidR="00F6787C">
        <w:t> </w:t>
      </w:r>
      <w:r w:rsidRPr="00DD3BE9">
        <w:fldChar w:fldCharType="begin"/>
      </w:r>
      <w:r w:rsidRPr="00DD3BE9">
        <w:instrText xml:space="preserve"> REF paragraph00007 \h \* CharFormat </w:instrText>
      </w:r>
      <w:r w:rsidRPr="00DD3BE9">
        <w:fldChar w:fldCharType="separate"/>
      </w:r>
      <w:r w:rsidRPr="00DD3BE9" w:rsidR="00DD3BE9">
        <w:t>7</w:t>
      </w:r>
      <w:r w:rsidRPr="00DD3BE9">
        <w:fldChar w:fldCharType="end"/>
      </w:r>
      <w:r w:rsidRPr="00DD3BE9">
        <w:t xml:space="preserve"> above) and the fiscal effects of such agreements had been evident to him.</w:t>
      </w:r>
    </w:p>
    <w:bookmarkStart w:name="paragraph00016" w:id="8"/>
    <w:p w:rsidRPr="00DD3BE9" w:rsidR="0083243F" w:rsidP="00DD3BE9" w14:paraId="27A48411" w14:textId="2DAA990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16</w:t>
      </w:r>
      <w:r w:rsidRPr="00DD3BE9">
        <w:rPr>
          <w:rFonts w:ascii="Times New Roman" w:hAnsi="Times New Roman" w:cs="Times New Roman"/>
        </w:rPr>
        <w:fldChar w:fldCharType="end"/>
      </w:r>
      <w:bookmarkEnd w:id="8"/>
      <w:r w:rsidRPr="00DD3BE9">
        <w:rPr>
          <w:rFonts w:ascii="Times New Roman" w:hAnsi="Times New Roman" w:cs="Times New Roman"/>
        </w:rPr>
        <w:t>.  In its legal classification of the offences committed by M.S. and N.D., the Regional Court also assessed the applicant</w:t>
      </w:r>
      <w:r w:rsidRPr="00DD3BE9" w:rsidR="00DD3BE9">
        <w:rPr>
          <w:rFonts w:ascii="Times New Roman" w:hAnsi="Times New Roman" w:cs="Times New Roman"/>
        </w:rPr>
        <w:t>’</w:t>
      </w:r>
      <w:r w:rsidRPr="00DD3BE9">
        <w:rPr>
          <w:rFonts w:ascii="Times New Roman" w:hAnsi="Times New Roman" w:cs="Times New Roman"/>
        </w:rPr>
        <w:t>s involvement as a co</w:t>
      </w:r>
      <w:r w:rsidRPr="00DD3BE9" w:rsidR="00F6787C">
        <w:rPr>
          <w:rFonts w:ascii="Times New Roman" w:hAnsi="Times New Roman" w:cs="Times New Roman"/>
        </w:rPr>
        <w:noBreakHyphen/>
      </w:r>
      <w:r w:rsidRPr="00DD3BE9">
        <w:rPr>
          <w:rFonts w:ascii="Times New Roman" w:hAnsi="Times New Roman" w:cs="Times New Roman"/>
        </w:rPr>
        <w:t>perpetrator or one of the main perpetrators, again referring to him as a “separately prosecuted person” throughout the judgment. The numerous references to the applicant may be summarised as follows:</w:t>
      </w:r>
    </w:p>
    <w:p w:rsidRPr="00DD3BE9" w:rsidR="0083243F" w:rsidP="00DD3BE9" w14:paraId="6D6B3A05" w14:textId="7DE6C088">
      <w:pPr>
        <w:pStyle w:val="JuLista"/>
        <w:numPr>
          <w:ilvl w:val="1"/>
          <w:numId w:val="3"/>
        </w:numPr>
      </w:pPr>
      <w:r w:rsidRPr="00DD3BE9">
        <w:t>by personally signing the bank</w:t>
      </w:r>
      <w:r w:rsidRPr="00DD3BE9" w:rsidR="00DD3BE9">
        <w:t>’</w:t>
      </w:r>
      <w:r w:rsidRPr="00DD3BE9">
        <w:t>s corporate tax returns, he had participated in the offences in a way that qualified him as a perpetrator;</w:t>
      </w:r>
    </w:p>
    <w:p w:rsidRPr="00DD3BE9" w:rsidR="0083243F" w:rsidP="00DD3BE9" w14:paraId="459DB459" w14:textId="5559EE3E">
      <w:pPr>
        <w:pStyle w:val="JuLista"/>
      </w:pPr>
      <w:r w:rsidRPr="00DD3BE9">
        <w:t>he, acting together with other persons, had committed tax fraud, a criminal offence under Article</w:t>
      </w:r>
      <w:r w:rsidRPr="00DD3BE9" w:rsidR="00F6787C">
        <w:t> </w:t>
      </w:r>
      <w:r w:rsidRPr="00DD3BE9">
        <w:t>370 §</w:t>
      </w:r>
      <w:r w:rsidRPr="00DD3BE9" w:rsidR="00F6787C">
        <w:t> </w:t>
      </w:r>
      <w:r w:rsidRPr="00DD3BE9">
        <w:t>1</w:t>
      </w:r>
      <w:r w:rsidRPr="00DD3BE9" w:rsidR="00F6787C">
        <w:t> </w:t>
      </w:r>
      <w:r w:rsidRPr="00DD3BE9">
        <w:t>(1) of the Tax Code (see paragraph</w:t>
      </w:r>
      <w:r w:rsidRPr="00DD3BE9" w:rsidR="00F6787C">
        <w:t> </w:t>
      </w:r>
      <w:r w:rsidRPr="00DD3BE9">
        <w:fldChar w:fldCharType="begin"/>
      </w:r>
      <w:r w:rsidRPr="00DD3BE9">
        <w:instrText xml:space="preserve"> REF paragraph00024 \h \* CharFormat </w:instrText>
      </w:r>
      <w:r w:rsidRPr="00DD3BE9">
        <w:fldChar w:fldCharType="separate"/>
      </w:r>
      <w:r w:rsidRPr="00DD3BE9" w:rsidR="00DD3BE9">
        <w:t>24</w:t>
      </w:r>
      <w:r w:rsidRPr="00DD3BE9">
        <w:fldChar w:fldCharType="end"/>
      </w:r>
      <w:r w:rsidRPr="00DD3BE9">
        <w:t xml:space="preserve"> below);</w:t>
      </w:r>
    </w:p>
    <w:p w:rsidRPr="00DD3BE9" w:rsidR="0083243F" w:rsidP="00DD3BE9" w14:paraId="4E1C8EC7" w14:textId="77777777">
      <w:pPr>
        <w:pStyle w:val="JuLista"/>
      </w:pPr>
      <w:r w:rsidRPr="00DD3BE9">
        <w:t>he had acted in accordance with a joint plan devised together with other persons;</w:t>
      </w:r>
    </w:p>
    <w:p w:rsidRPr="00DD3BE9" w:rsidR="0083243F" w:rsidP="00DD3BE9" w14:paraId="389E36F8" w14:textId="77777777">
      <w:pPr>
        <w:pStyle w:val="JuLista"/>
      </w:pPr>
      <w:r w:rsidRPr="00DD3BE9">
        <w:t>he had acted intentionally;</w:t>
      </w:r>
    </w:p>
    <w:p w:rsidRPr="00DD3BE9" w:rsidR="0083243F" w:rsidP="00DD3BE9" w14:paraId="28AF974B" w14:textId="77777777">
      <w:pPr>
        <w:pStyle w:val="JuLista"/>
      </w:pPr>
      <w:r w:rsidRPr="00DD3BE9">
        <w:t>he had acted unlawfully (</w:t>
      </w:r>
      <w:r w:rsidRPr="00DD3BE9">
        <w:rPr>
          <w:i/>
          <w:iCs/>
        </w:rPr>
        <w:t>rechtswidrig</w:t>
      </w:r>
      <w:r w:rsidRPr="00DD3BE9">
        <w:t>);</w:t>
      </w:r>
    </w:p>
    <w:p w:rsidRPr="00DD3BE9" w:rsidR="0083243F" w:rsidP="00DD3BE9" w14:paraId="734BF1DC" w14:textId="77777777">
      <w:pPr>
        <w:pStyle w:val="JuLista"/>
        <w:rPr>
          <w:rFonts w:ascii="Times New Roman" w:hAnsi="Times New Roman" w:cs="Times New Roman"/>
        </w:rPr>
      </w:pPr>
      <w:r w:rsidRPr="00DD3BE9">
        <w:t>it was not necessary to determine whether he had also acted with guilt (</w:t>
      </w:r>
      <w:r w:rsidRPr="00DD3BE9">
        <w:rPr>
          <w:i/>
          <w:iCs/>
        </w:rPr>
        <w:t>Schuld</w:t>
      </w:r>
      <w:r w:rsidRPr="00DD3BE9">
        <w:t>), in particular whether he could invoke a mistake of law (</w:t>
      </w:r>
      <w:r w:rsidRPr="00DD3BE9">
        <w:rPr>
          <w:i/>
          <w:iCs/>
        </w:rPr>
        <w:t>Verbotsirrtum</w:t>
      </w:r>
      <w:r w:rsidRPr="00DD3BE9">
        <w:t>).</w:t>
      </w:r>
    </w:p>
    <w:p w:rsidRPr="00DD3BE9" w:rsidR="0083243F" w:rsidP="00DD3BE9" w14:paraId="438A680D" w14:textId="77777777">
      <w:pPr>
        <w:pStyle w:val="JuHA"/>
        <w:rPr>
          <w:rFonts w:ascii="Times New Roman" w:hAnsi="Times New Roman" w:cs="Times New Roman"/>
          <w:b w:val="0"/>
          <w:bCs w:val="0"/>
        </w:rPr>
      </w:pPr>
      <w:r w:rsidRPr="00DD3BE9">
        <w:t>Proceedings before the Federal Court of Justice</w:t>
      </w:r>
    </w:p>
    <w:p w:rsidRPr="00DD3BE9" w:rsidR="0083243F" w:rsidP="00DD3BE9" w14:paraId="2FC6A08D" w14:textId="6199E3C7">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17" w:id="9"/>
      <w:r w:rsidRPr="00DD3BE9" w:rsidR="00DD3BE9">
        <w:rPr>
          <w:rFonts w:ascii="Times New Roman" w:hAnsi="Times New Roman" w:cs="Times New Roman"/>
          <w:noProof/>
        </w:rPr>
        <w:t>17</w:t>
      </w:r>
      <w:bookmarkEnd w:id="9"/>
      <w:r w:rsidRPr="00DD3BE9">
        <w:rPr>
          <w:rFonts w:ascii="Times New Roman" w:hAnsi="Times New Roman" w:cs="Times New Roman"/>
        </w:rPr>
        <w:fldChar w:fldCharType="end"/>
      </w:r>
      <w:r w:rsidRPr="00DD3BE9">
        <w:rPr>
          <w:rFonts w:ascii="Times New Roman" w:hAnsi="Times New Roman" w:cs="Times New Roman"/>
        </w:rPr>
        <w:t>.  On 28 July 2021 the Federal Court of Justice largely rejected appeals on points of law lodged by M.S., N.D., W</w:t>
      </w:r>
      <w:r w:rsidRPr="00DD3BE9" w:rsidR="00F6787C">
        <w:rPr>
          <w:rFonts w:ascii="Times New Roman" w:hAnsi="Times New Roman" w:cs="Times New Roman"/>
        </w:rPr>
        <w:noBreakHyphen/>
      </w:r>
      <w:r w:rsidRPr="00DD3BE9">
        <w:rPr>
          <w:rFonts w:ascii="Times New Roman" w:hAnsi="Times New Roman" w:cs="Times New Roman"/>
        </w:rPr>
        <w:t>Bank and the prosecutor</w:t>
      </w:r>
      <w:r w:rsidRPr="00DD3BE9" w:rsidR="00DD3BE9">
        <w:rPr>
          <w:rFonts w:ascii="Times New Roman" w:hAnsi="Times New Roman" w:cs="Times New Roman"/>
        </w:rPr>
        <w:t>’</w:t>
      </w:r>
      <w:r w:rsidRPr="00DD3BE9">
        <w:rPr>
          <w:rFonts w:ascii="Times New Roman" w:hAnsi="Times New Roman" w:cs="Times New Roman"/>
        </w:rPr>
        <w:t>s office.</w:t>
      </w:r>
      <w:r w:rsidRPr="00DD3BE9" w:rsidR="00F6787C">
        <w:rPr>
          <w:rFonts w:ascii="Times New Roman" w:hAnsi="Times New Roman" w:cs="Times New Roman"/>
        </w:rPr>
        <w:t xml:space="preserve"> </w:t>
      </w:r>
      <w:r w:rsidRPr="00DD3BE9">
        <w:rPr>
          <w:rFonts w:ascii="Times New Roman" w:hAnsi="Times New Roman" w:cs="Times New Roman"/>
        </w:rPr>
        <w:t>In its statement of the facts and assessment of the legal classification of the offences by the Regional Court, it referred to the applicant in almost the same manner as that court (see paragraphs</w:t>
      </w:r>
      <w:r w:rsidRPr="00DD3BE9" w:rsidR="00F6787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paragraph00015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15</w:t>
      </w:r>
      <w:r w:rsidRPr="00DD3BE9">
        <w:rPr>
          <w:rFonts w:ascii="Times New Roman" w:hAnsi="Times New Roman" w:cs="Times New Roman"/>
        </w:rPr>
        <w:fldChar w:fldCharType="end"/>
      </w:r>
      <w:r w:rsidRPr="00DD3BE9">
        <w:rPr>
          <w:rFonts w:ascii="Times New Roman" w:hAnsi="Times New Roman" w:cs="Times New Roman"/>
        </w:rPr>
        <w:t xml:space="preserve"> and</w:t>
      </w:r>
      <w:r w:rsidRPr="00DD3BE9" w:rsidR="00F6787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paragraph00016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16</w:t>
      </w:r>
      <w:r w:rsidRPr="00DD3BE9">
        <w:rPr>
          <w:rFonts w:ascii="Times New Roman" w:hAnsi="Times New Roman" w:cs="Times New Roman"/>
        </w:rPr>
        <w:fldChar w:fldCharType="end"/>
      </w:r>
      <w:r w:rsidRPr="00DD3BE9">
        <w:rPr>
          <w:rFonts w:ascii="Times New Roman" w:hAnsi="Times New Roman" w:cs="Times New Roman"/>
        </w:rPr>
        <w:t xml:space="preserve"> above), referring to him as a “separately prosecuted person” throughout the judgment.</w:t>
      </w:r>
    </w:p>
    <w:p w:rsidRPr="00DD3BE9" w:rsidR="0083243F" w:rsidP="00DD3BE9" w14:paraId="720A154A" w14:textId="6D675FC9">
      <w:pPr>
        <w:pStyle w:val="JuHA"/>
      </w:pPr>
      <w:r w:rsidRPr="00DD3BE9">
        <w:t>The applicant</w:t>
      </w:r>
      <w:r w:rsidRPr="00DD3BE9" w:rsidR="00DD3BE9">
        <w:t>’</w:t>
      </w:r>
      <w:r w:rsidRPr="00DD3BE9">
        <w:t>s constitutional complaint</w:t>
      </w:r>
    </w:p>
    <w:p w:rsidRPr="00DD3BE9" w:rsidR="0083243F" w:rsidP="00DD3BE9" w14:paraId="07DFB072" w14:textId="7516FF86">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18</w:t>
      </w:r>
      <w:r w:rsidRPr="00DD3BE9">
        <w:rPr>
          <w:rFonts w:ascii="Times New Roman" w:hAnsi="Times New Roman" w:cs="Times New Roman"/>
        </w:rPr>
        <w:fldChar w:fldCharType="end"/>
      </w:r>
      <w:r w:rsidRPr="00DD3BE9">
        <w:rPr>
          <w:rFonts w:ascii="Times New Roman" w:hAnsi="Times New Roman" w:cs="Times New Roman"/>
        </w:rPr>
        <w:t>.  On 20 October 2021 the applicant lodged a constitutional complaint against the criminal courts</w:t>
      </w:r>
      <w:r w:rsidRPr="00DD3BE9" w:rsidR="00DD3BE9">
        <w:rPr>
          <w:rFonts w:ascii="Times New Roman" w:hAnsi="Times New Roman" w:cs="Times New Roman"/>
        </w:rPr>
        <w:t>’</w:t>
      </w:r>
      <w:r w:rsidRPr="00DD3BE9">
        <w:rPr>
          <w:rFonts w:ascii="Times New Roman" w:hAnsi="Times New Roman" w:cs="Times New Roman"/>
        </w:rPr>
        <w:t xml:space="preserve"> decisions, claiming that their statements alleging his involvement in the offences committed by M.S. and N.D. had prematurely portrayed him as guilty and had breached his right to be presumed innocent. He also claimed that the impugned statements had severely damaged his reputation and public image before his criminal trial had even started, thus violating his personality rights.</w:t>
      </w:r>
    </w:p>
    <w:p w:rsidRPr="00DD3BE9" w:rsidR="0083243F" w:rsidP="00DD3BE9" w14:paraId="2B80C2EF" w14:textId="5BCA5E65">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19</w:t>
      </w:r>
      <w:r w:rsidRPr="00DD3BE9">
        <w:rPr>
          <w:rFonts w:ascii="Times New Roman" w:hAnsi="Times New Roman" w:cs="Times New Roman"/>
        </w:rPr>
        <w:fldChar w:fldCharType="end"/>
      </w:r>
      <w:r w:rsidRPr="00DD3BE9">
        <w:rPr>
          <w:rFonts w:ascii="Times New Roman" w:hAnsi="Times New Roman" w:cs="Times New Roman"/>
        </w:rPr>
        <w:t>.  On 22 November 2021 the Federal Constitutional Court decided not to accept the constitutional complaint for adjudication on the grounds that it was inadmissible (2</w:t>
      </w:r>
      <w:r w:rsidRPr="00DD3BE9" w:rsidR="00CE6ED9">
        <w:rPr>
          <w:rFonts w:ascii="Times New Roman" w:hAnsi="Times New Roman" w:cs="Times New Roman"/>
        </w:rPr>
        <w:t> </w:t>
      </w:r>
      <w:r w:rsidRPr="00DD3BE9">
        <w:rPr>
          <w:rFonts w:ascii="Times New Roman" w:hAnsi="Times New Roman" w:cs="Times New Roman"/>
        </w:rPr>
        <w:t>BvR</w:t>
      </w:r>
      <w:r w:rsidRPr="00DD3BE9" w:rsidR="00CE6ED9">
        <w:rPr>
          <w:rFonts w:ascii="Times New Roman" w:hAnsi="Times New Roman" w:cs="Times New Roman"/>
        </w:rPr>
        <w:t> </w:t>
      </w:r>
      <w:r w:rsidRPr="00DD3BE9">
        <w:rPr>
          <w:rFonts w:ascii="Times New Roman" w:hAnsi="Times New Roman" w:cs="Times New Roman"/>
        </w:rPr>
        <w:t>1872/21).</w:t>
      </w:r>
    </w:p>
    <w:p w:rsidRPr="00DD3BE9" w:rsidR="0083243F" w:rsidP="00DD3BE9" w14:paraId="05C3032D" w14:textId="77777777">
      <w:pPr>
        <w:pStyle w:val="JuHIRoman"/>
        <w:tabs>
          <w:tab w:val="clear" w:pos="454"/>
          <w:tab w:val="clear" w:pos="539"/>
          <w:tab w:val="clear" w:pos="624"/>
          <w:tab w:val="clear" w:pos="709"/>
          <w:tab w:val="clear" w:pos="794"/>
        </w:tabs>
      </w:pPr>
      <w:r w:rsidRPr="00DD3BE9">
        <w:t>CRIMINAL PROCEEDINGS AGAINST C.S.</w:t>
      </w:r>
    </w:p>
    <w:bookmarkStart w:name="paragraph00020" w:id="10"/>
    <w:p w:rsidRPr="00DD3BE9" w:rsidR="0083243F" w:rsidP="00DD3BE9" w14:paraId="255D793E" w14:textId="08A8C42F">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20</w:t>
      </w:r>
      <w:r w:rsidRPr="00DD3BE9">
        <w:rPr>
          <w:rFonts w:ascii="Times New Roman" w:hAnsi="Times New Roman" w:cs="Times New Roman"/>
        </w:rPr>
        <w:fldChar w:fldCharType="end"/>
      </w:r>
      <w:bookmarkEnd w:id="10"/>
      <w:r w:rsidRPr="00DD3BE9">
        <w:rPr>
          <w:rFonts w:ascii="Times New Roman" w:hAnsi="Times New Roman" w:cs="Times New Roman"/>
        </w:rPr>
        <w:t>.  On 1 June 2021 the Regional Court sentenced C.S., an authorised signatory of W</w:t>
      </w:r>
      <w:r w:rsidRPr="00DD3BE9" w:rsidR="00CE6ED9">
        <w:rPr>
          <w:rFonts w:ascii="Times New Roman" w:hAnsi="Times New Roman" w:cs="Times New Roman"/>
        </w:rPr>
        <w:noBreakHyphen/>
      </w:r>
      <w:r w:rsidRPr="00DD3BE9">
        <w:rPr>
          <w:rFonts w:ascii="Times New Roman" w:hAnsi="Times New Roman" w:cs="Times New Roman"/>
        </w:rPr>
        <w:t>Bank, to five and a half years in prison for tax evasion in connection with the “Cum</w:t>
      </w:r>
      <w:r w:rsidRPr="00DD3BE9" w:rsidR="00CE6ED9">
        <w:rPr>
          <w:rFonts w:ascii="Times New Roman" w:hAnsi="Times New Roman" w:cs="Times New Roman"/>
        </w:rPr>
        <w:noBreakHyphen/>
      </w:r>
      <w:r w:rsidRPr="00DD3BE9">
        <w:rPr>
          <w:rFonts w:ascii="Times New Roman" w:hAnsi="Times New Roman" w:cs="Times New Roman"/>
        </w:rPr>
        <w:t xml:space="preserve">Ex” scheme </w:t>
      </w:r>
      <w:r w:rsidRPr="00DD3BE9">
        <w:t>(see paragraphs</w:t>
      </w:r>
      <w:r w:rsidRPr="00DD3BE9" w:rsidR="00CE6ED9">
        <w:t> </w:t>
      </w:r>
      <w:r w:rsidRPr="00DD3BE9">
        <w:fldChar w:fldCharType="begin"/>
      </w:r>
      <w:r w:rsidRPr="00DD3BE9">
        <w:instrText xml:space="preserve"> REF paragraph00006 \h \* CharFormat </w:instrText>
      </w:r>
      <w:r w:rsidRPr="00DD3BE9">
        <w:fldChar w:fldCharType="separate"/>
      </w:r>
      <w:r w:rsidRPr="00DD3BE9" w:rsidR="00DD3BE9">
        <w:t>6</w:t>
      </w:r>
      <w:r w:rsidRPr="00DD3BE9">
        <w:fldChar w:fldCharType="end"/>
      </w:r>
      <w:r w:rsidRPr="00DD3BE9">
        <w:t xml:space="preserve"> and</w:t>
      </w:r>
      <w:r w:rsidRPr="00DD3BE9" w:rsidR="00CE6ED9">
        <w:t> </w:t>
      </w:r>
      <w:r w:rsidRPr="00DD3BE9">
        <w:fldChar w:fldCharType="begin"/>
      </w:r>
      <w:r w:rsidRPr="00DD3BE9">
        <w:instrText xml:space="preserve"> REF paragraph00007 \h \* CharFormat </w:instrText>
      </w:r>
      <w:r w:rsidRPr="00DD3BE9">
        <w:fldChar w:fldCharType="separate"/>
      </w:r>
      <w:r w:rsidRPr="00DD3BE9" w:rsidR="00DD3BE9">
        <w:t>7</w:t>
      </w:r>
      <w:r w:rsidRPr="00DD3BE9">
        <w:fldChar w:fldCharType="end"/>
      </w:r>
      <w:r w:rsidRPr="00DD3BE9">
        <w:t xml:space="preserve"> above)</w:t>
      </w:r>
      <w:r w:rsidRPr="00DD3BE9">
        <w:rPr>
          <w:rFonts w:ascii="Times New Roman" w:hAnsi="Times New Roman" w:cs="Times New Roman"/>
        </w:rPr>
        <w:t>. The written judgment also contained findings implicating the applicant in the offences committed by C.S., with the court referring to him as a “separately prosecuted person” throughout the judgment.</w:t>
      </w:r>
    </w:p>
    <w:p w:rsidRPr="00DD3BE9" w:rsidR="0083243F" w:rsidP="00DD3BE9" w14:paraId="0E00F33A" w14:textId="77777777">
      <w:pPr>
        <w:pStyle w:val="JuHIRoman"/>
        <w:tabs>
          <w:tab w:val="clear" w:pos="454"/>
          <w:tab w:val="clear" w:pos="539"/>
          <w:tab w:val="clear" w:pos="624"/>
          <w:tab w:val="clear" w:pos="709"/>
          <w:tab w:val="clear" w:pos="794"/>
        </w:tabs>
      </w:pPr>
      <w:r w:rsidRPr="00DD3BE9">
        <w:t>CRIMINAL PROCEEDINGS AGAINST THE APPLICANT</w:t>
      </w:r>
    </w:p>
    <w:p w:rsidRPr="00DD3BE9" w:rsidR="0083243F" w:rsidP="00DD3BE9" w14:paraId="557FB848" w14:textId="060F725F">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21</w:t>
      </w:r>
      <w:r w:rsidRPr="00DD3BE9">
        <w:rPr>
          <w:rFonts w:ascii="Times New Roman" w:hAnsi="Times New Roman" w:cs="Times New Roman"/>
        </w:rPr>
        <w:fldChar w:fldCharType="end"/>
      </w:r>
      <w:r w:rsidRPr="00DD3BE9">
        <w:rPr>
          <w:rFonts w:ascii="Times New Roman" w:hAnsi="Times New Roman" w:cs="Times New Roman"/>
        </w:rPr>
        <w:t>.  On 1 July 2022 the prosecutor</w:t>
      </w:r>
      <w:r w:rsidRPr="00DD3BE9" w:rsidR="00DD3BE9">
        <w:rPr>
          <w:rFonts w:ascii="Times New Roman" w:hAnsi="Times New Roman" w:cs="Times New Roman"/>
        </w:rPr>
        <w:t>’</w:t>
      </w:r>
      <w:r w:rsidRPr="00DD3BE9">
        <w:rPr>
          <w:rFonts w:ascii="Times New Roman" w:hAnsi="Times New Roman" w:cs="Times New Roman"/>
        </w:rPr>
        <w:t>s office indicted the applicant for tax evasion before the Regional Court.</w:t>
      </w:r>
    </w:p>
    <w:p w:rsidRPr="00DD3BE9" w:rsidR="0083243F" w:rsidP="00DD3BE9" w14:paraId="1FCD958C" w14:textId="45B6F26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22</w:t>
      </w:r>
      <w:r w:rsidRPr="00DD3BE9">
        <w:rPr>
          <w:rFonts w:ascii="Times New Roman" w:hAnsi="Times New Roman" w:cs="Times New Roman"/>
        </w:rPr>
        <w:fldChar w:fldCharType="end"/>
      </w:r>
      <w:r w:rsidRPr="00DD3BE9">
        <w:rPr>
          <w:rFonts w:ascii="Times New Roman" w:hAnsi="Times New Roman" w:cs="Times New Roman"/>
        </w:rPr>
        <w:t>.  On 12 April 2023 the Regional Court opened the trial against him.</w:t>
      </w:r>
    </w:p>
    <w:bookmarkStart w:name="paragraph00023" w:id="11"/>
    <w:p w:rsidRPr="00DD3BE9" w:rsidR="0083243F" w:rsidP="00DD3BE9" w14:paraId="2CEEEB36" w14:textId="2B69A8F4">
      <w:pPr>
        <w:pStyle w:val="JuPara"/>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23</w:t>
      </w:r>
      <w:r w:rsidRPr="00DD3BE9">
        <w:rPr>
          <w:rFonts w:ascii="Times New Roman" w:hAnsi="Times New Roman" w:cs="Times New Roman"/>
        </w:rPr>
        <w:fldChar w:fldCharType="end"/>
      </w:r>
      <w:bookmarkEnd w:id="11"/>
      <w:r w:rsidRPr="00DD3BE9">
        <w:rPr>
          <w:rFonts w:ascii="Times New Roman" w:hAnsi="Times New Roman" w:cs="Times New Roman"/>
        </w:rPr>
        <w:t>.  On 24 June 2024 the Regional Court discontinued the proceedings on the grounds that the applicant was no longer fit to stand trial due to his poor health. This decision is not yet final as both the applicant and the prosecutor</w:t>
      </w:r>
      <w:r w:rsidRPr="00DD3BE9" w:rsidR="00DD3BE9">
        <w:rPr>
          <w:rFonts w:ascii="Times New Roman" w:hAnsi="Times New Roman" w:cs="Times New Roman"/>
        </w:rPr>
        <w:t>’</w:t>
      </w:r>
      <w:r w:rsidRPr="00DD3BE9">
        <w:rPr>
          <w:rFonts w:ascii="Times New Roman" w:hAnsi="Times New Roman" w:cs="Times New Roman"/>
        </w:rPr>
        <w:t>s office have lodged an appeal.</w:t>
      </w:r>
    </w:p>
    <w:p w:rsidRPr="00DD3BE9" w:rsidR="0083243F" w:rsidP="00DD3BE9" w14:paraId="64C237CE" w14:textId="77777777">
      <w:pPr>
        <w:pStyle w:val="JuHHead"/>
      </w:pPr>
      <w:r w:rsidRPr="00DD3BE9">
        <w:t>RELEVANT LEGAL FRAMEWORK AND PRACTICE</w:t>
      </w:r>
    </w:p>
    <w:p w:rsidRPr="00DD3BE9" w:rsidR="0083243F" w:rsidP="00DD3BE9" w14:paraId="09E3B4BA" w14:textId="77777777">
      <w:pPr>
        <w:pStyle w:val="JuHIRoman"/>
        <w:tabs>
          <w:tab w:val="clear" w:pos="454"/>
          <w:tab w:val="clear" w:pos="539"/>
          <w:tab w:val="clear" w:pos="624"/>
          <w:tab w:val="clear" w:pos="709"/>
          <w:tab w:val="clear" w:pos="794"/>
        </w:tabs>
      </w:pPr>
      <w:r w:rsidRPr="00DD3BE9">
        <w:t>TAX CODE</w:t>
      </w:r>
    </w:p>
    <w:p w:rsidRPr="00DD3BE9" w:rsidR="0083243F" w:rsidP="00DD3BE9" w14:paraId="7F9903B5" w14:textId="11332BD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24" w:id="12"/>
      <w:r w:rsidRPr="00DD3BE9" w:rsidR="00DD3BE9">
        <w:rPr>
          <w:rFonts w:ascii="Times New Roman" w:hAnsi="Times New Roman" w:cs="Times New Roman"/>
          <w:noProof/>
        </w:rPr>
        <w:t>24</w:t>
      </w:r>
      <w:bookmarkEnd w:id="12"/>
      <w:r w:rsidRPr="00DD3BE9">
        <w:rPr>
          <w:rFonts w:ascii="Times New Roman" w:hAnsi="Times New Roman" w:cs="Times New Roman"/>
        </w:rPr>
        <w:fldChar w:fldCharType="end"/>
      </w:r>
      <w:r w:rsidRPr="00DD3BE9">
        <w:rPr>
          <w:rFonts w:ascii="Times New Roman" w:hAnsi="Times New Roman" w:cs="Times New Roman"/>
        </w:rPr>
        <w:t>.  Article 370 of the Tax Code (</w:t>
      </w:r>
      <w:r w:rsidRPr="00DD3BE9">
        <w:rPr>
          <w:rFonts w:ascii="Times New Roman" w:hAnsi="Times New Roman" w:cs="Times New Roman"/>
          <w:i/>
          <w:iCs/>
        </w:rPr>
        <w:t>Abgabenordnung</w:t>
      </w:r>
      <w:r w:rsidRPr="00DD3BE9">
        <w:rPr>
          <w:rFonts w:ascii="Times New Roman" w:hAnsi="Times New Roman" w:cs="Times New Roman"/>
        </w:rPr>
        <w:t>) concerns tax evasion and reads, in so far as relevant, as follows:</w:t>
      </w:r>
    </w:p>
    <w:p w:rsidRPr="00DD3BE9" w:rsidR="0083243F" w:rsidP="00DD3BE9" w14:paraId="4DC248E4" w14:textId="3EC92181">
      <w:pPr>
        <w:pStyle w:val="JuQuot"/>
      </w:pPr>
      <w:r w:rsidRPr="00DD3BE9">
        <w:t>“(1)</w:t>
      </w:r>
      <w:r w:rsidRPr="00DD3BE9" w:rsidR="005504D6">
        <w:t>  </w:t>
      </w:r>
      <w:r w:rsidRPr="00DD3BE9">
        <w:t>A sentence of five years</w:t>
      </w:r>
      <w:r w:rsidRPr="00DD3BE9" w:rsidR="00DD3BE9">
        <w:t>’</w:t>
      </w:r>
      <w:r w:rsidRPr="00DD3BE9">
        <w:t xml:space="preserve"> imprisonment or a fine shall be imposed on any person who:</w:t>
      </w:r>
    </w:p>
    <w:p w:rsidRPr="00DD3BE9" w:rsidR="0083243F" w:rsidP="00DD3BE9" w14:paraId="2D906ABF" w14:textId="3C894CC6">
      <w:pPr>
        <w:pStyle w:val="JuQuot"/>
      </w:pPr>
      <w:r w:rsidRPr="00DD3BE9">
        <w:t>1.</w:t>
      </w:r>
      <w:r w:rsidRPr="00DD3BE9" w:rsidR="005504D6">
        <w:t>  </w:t>
      </w:r>
      <w:r w:rsidRPr="00DD3BE9">
        <w:t>provides the tax authorities or other authorities with incorrect or incomplete information concerning matters that are relevant for tax purposes,</w:t>
      </w:r>
    </w:p>
    <w:p w:rsidRPr="00DD3BE9" w:rsidR="0083243F" w:rsidP="00DD3BE9" w14:paraId="185BF682" w14:textId="77777777">
      <w:pPr>
        <w:pStyle w:val="JuQuot"/>
      </w:pPr>
      <w:r w:rsidRPr="00DD3BE9">
        <w:t>...</w:t>
      </w:r>
    </w:p>
    <w:p w:rsidRPr="00DD3BE9" w:rsidR="0083243F" w:rsidP="00DD3BE9" w14:paraId="1B0C99E4" w14:textId="77777777">
      <w:pPr>
        <w:pStyle w:val="JuQuot"/>
      </w:pPr>
      <w:r w:rsidRPr="00DD3BE9">
        <w:t>and thereby reduces tax revenues or obtains unjustified tax benefits for himself or another.</w:t>
      </w:r>
    </w:p>
    <w:p w:rsidRPr="00DD3BE9" w:rsidR="0083243F" w:rsidP="00DD3BE9" w14:paraId="2544B6F6" w14:textId="77777777">
      <w:pPr>
        <w:pStyle w:val="JuQuot"/>
      </w:pPr>
      <w:r w:rsidRPr="00DD3BE9">
        <w:t>...</w:t>
      </w:r>
    </w:p>
    <w:p w:rsidRPr="00DD3BE9" w:rsidR="0083243F" w:rsidP="00DD3BE9" w14:paraId="2143AA99" w14:textId="26337BB6">
      <w:pPr>
        <w:pStyle w:val="JuQuot"/>
      </w:pPr>
      <w:r w:rsidRPr="00DD3BE9">
        <w:t>(3)</w:t>
      </w:r>
      <w:r w:rsidRPr="00DD3BE9" w:rsidR="005504D6">
        <w:t>  </w:t>
      </w:r>
      <w:r w:rsidRPr="00DD3BE9">
        <w:t>In particularly serious cases, the offence shall be punished by six months to ten years</w:t>
      </w:r>
      <w:r w:rsidRPr="00DD3BE9" w:rsidR="00DD3BE9">
        <w:t>’</w:t>
      </w:r>
      <w:r w:rsidRPr="00DD3BE9">
        <w:t xml:space="preserve"> imprisonment. As a general rule, a particularly serious case is one in which the perpetrator:</w:t>
      </w:r>
    </w:p>
    <w:p w:rsidRPr="00DD3BE9" w:rsidR="0083243F" w:rsidP="00DD3BE9" w14:paraId="2A272103" w14:textId="24969D43">
      <w:pPr>
        <w:pStyle w:val="JuQuot"/>
        <w:rPr>
          <w:rFonts w:ascii="Times New Roman" w:hAnsi="Times New Roman" w:cs="Times New Roman"/>
        </w:rPr>
      </w:pPr>
      <w:r w:rsidRPr="00DD3BE9">
        <w:t>1.</w:t>
      </w:r>
      <w:r w:rsidRPr="00DD3BE9" w:rsidR="005504D6">
        <w:t>  </w:t>
      </w:r>
      <w:r w:rsidRPr="00DD3BE9">
        <w:t>reduces tax revenues or obtains unjustified tax benefits on a large scale [</w:t>
      </w:r>
      <w:r w:rsidRPr="00DD3BE9">
        <w:rPr>
          <w:i/>
          <w:iCs/>
        </w:rPr>
        <w:t>until 31</w:t>
      </w:r>
      <w:r w:rsidRPr="00DD3BE9" w:rsidR="00CE6ED9">
        <w:rPr>
          <w:i/>
          <w:iCs/>
        </w:rPr>
        <w:t> </w:t>
      </w:r>
      <w:r w:rsidRPr="00DD3BE9">
        <w:rPr>
          <w:i/>
          <w:iCs/>
        </w:rPr>
        <w:t>December</w:t>
      </w:r>
      <w:r w:rsidRPr="00DD3BE9" w:rsidR="00CE6ED9">
        <w:rPr>
          <w:i/>
          <w:iCs/>
        </w:rPr>
        <w:t> </w:t>
      </w:r>
      <w:r w:rsidRPr="00DD3BE9">
        <w:rPr>
          <w:i/>
          <w:iCs/>
        </w:rPr>
        <w:t xml:space="preserve">2007: </w:t>
      </w:r>
      <w:r w:rsidRPr="00DD3BE9">
        <w:t xml:space="preserve">while acting out of </w:t>
      </w:r>
      <w:r w:rsidRPr="00DD3BE9" w:rsidR="00DD3BE9">
        <w:t>‘</w:t>
      </w:r>
      <w:r w:rsidRPr="00DD3BE9">
        <w:t>gross self</w:t>
      </w:r>
      <w:r w:rsidRPr="00DD3BE9" w:rsidR="00BA6587">
        <w:noBreakHyphen/>
      </w:r>
      <w:r w:rsidRPr="00DD3BE9">
        <w:t>interest</w:t>
      </w:r>
      <w:r w:rsidRPr="00DD3BE9" w:rsidR="00DD3BE9">
        <w:t>’</w:t>
      </w:r>
      <w:r w:rsidRPr="00DD3BE9">
        <w:t xml:space="preserve">] </w:t>
      </w:r>
      <w:r w:rsidRPr="00DD3BE9">
        <w:rPr>
          <w:rFonts w:ascii="Times New Roman" w:hAnsi="Times New Roman" w:cs="Times New Roman"/>
        </w:rPr>
        <w:t>...”</w:t>
      </w:r>
    </w:p>
    <w:p w:rsidRPr="00DD3BE9" w:rsidR="0083243F" w:rsidP="00DD3BE9" w14:paraId="3A2A26A3" w14:textId="39EBDD63">
      <w:pPr>
        <w:pStyle w:val="JuHIRoman"/>
        <w:tabs>
          <w:tab w:val="clear" w:pos="454"/>
          <w:tab w:val="clear" w:pos="539"/>
          <w:tab w:val="clear" w:pos="624"/>
          <w:tab w:val="clear" w:pos="709"/>
          <w:tab w:val="clear" w:pos="794"/>
        </w:tabs>
      </w:pPr>
      <w:r w:rsidRPr="00DD3BE9">
        <w:rPr>
          <w:caps w:val="0"/>
        </w:rPr>
        <w:t>CRIMINAL CODE (“THE CC”)</w:t>
      </w:r>
    </w:p>
    <w:bookmarkStart w:name="paragraph00025" w:id="13"/>
    <w:p w:rsidRPr="00DD3BE9" w:rsidR="0083243F" w:rsidP="00DD3BE9" w14:paraId="7E191E0B" w14:textId="51581F0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25</w:t>
      </w:r>
      <w:r w:rsidRPr="00DD3BE9">
        <w:rPr>
          <w:rFonts w:ascii="Times New Roman" w:hAnsi="Times New Roman" w:cs="Times New Roman"/>
        </w:rPr>
        <w:fldChar w:fldCharType="end"/>
      </w:r>
      <w:bookmarkEnd w:id="13"/>
      <w:r w:rsidRPr="00DD3BE9">
        <w:rPr>
          <w:rFonts w:ascii="Times New Roman" w:hAnsi="Times New Roman" w:cs="Times New Roman"/>
        </w:rPr>
        <w:t>.  Under German criminal law, three basic conditions must be met in order to establish criminal liability (</w:t>
      </w:r>
      <w:r w:rsidRPr="00DD3BE9">
        <w:rPr>
          <w:rFonts w:ascii="Times New Roman" w:hAnsi="Times New Roman" w:cs="Times New Roman"/>
          <w:i/>
          <w:iCs/>
        </w:rPr>
        <w:t>Strafbarkeit</w:t>
      </w:r>
      <w:r w:rsidRPr="00DD3BE9">
        <w:rPr>
          <w:rFonts w:ascii="Times New Roman" w:hAnsi="Times New Roman" w:cs="Times New Roman"/>
        </w:rPr>
        <w:t>).</w:t>
      </w:r>
    </w:p>
    <w:p w:rsidRPr="00DD3BE9" w:rsidR="0083243F" w:rsidP="00DD3BE9" w14:paraId="24A27C3E" w14:textId="61BCF968">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26</w:t>
      </w:r>
      <w:r w:rsidRPr="00DD3BE9">
        <w:rPr>
          <w:rFonts w:ascii="Times New Roman" w:hAnsi="Times New Roman" w:cs="Times New Roman"/>
        </w:rPr>
        <w:fldChar w:fldCharType="end"/>
      </w:r>
      <w:r w:rsidRPr="00DD3BE9">
        <w:rPr>
          <w:rFonts w:ascii="Times New Roman" w:hAnsi="Times New Roman" w:cs="Times New Roman"/>
        </w:rPr>
        <w:t>.  Firstly, the accused must have fulfilled the constituent elements (</w:t>
      </w:r>
      <w:r w:rsidRPr="00DD3BE9">
        <w:rPr>
          <w:rFonts w:ascii="Times New Roman" w:hAnsi="Times New Roman" w:cs="Times New Roman"/>
          <w:i/>
          <w:iCs/>
        </w:rPr>
        <w:t>Tatbestand</w:t>
      </w:r>
      <w:r w:rsidRPr="00DD3BE9">
        <w:rPr>
          <w:rFonts w:ascii="Times New Roman" w:hAnsi="Times New Roman" w:cs="Times New Roman"/>
        </w:rPr>
        <w:t xml:space="preserve">) of the criminal offence. These include the question of </w:t>
      </w:r>
      <w:r w:rsidRPr="00DD3BE9">
        <w:rPr>
          <w:rFonts w:ascii="Times New Roman" w:hAnsi="Times New Roman" w:cs="Times New Roman"/>
          <w:i/>
          <w:iCs/>
        </w:rPr>
        <w:t>actus reus</w:t>
      </w:r>
      <w:r w:rsidRPr="00DD3BE9">
        <w:rPr>
          <w:rFonts w:ascii="Times New Roman" w:hAnsi="Times New Roman" w:cs="Times New Roman"/>
        </w:rPr>
        <w:t xml:space="preserve"> (</w:t>
      </w:r>
      <w:r w:rsidRPr="00DD3BE9">
        <w:rPr>
          <w:rFonts w:ascii="Times New Roman" w:hAnsi="Times New Roman" w:cs="Times New Roman"/>
          <w:i/>
          <w:iCs/>
        </w:rPr>
        <w:t>objektiver Tatbestand</w:t>
      </w:r>
      <w:r w:rsidRPr="00DD3BE9">
        <w:rPr>
          <w:rFonts w:ascii="Times New Roman" w:hAnsi="Times New Roman" w:cs="Times New Roman"/>
        </w:rPr>
        <w:t xml:space="preserve">), that is, whether the accused carried out or failed to carry out certain acts described in the relevant legal provision, and the question of </w:t>
      </w:r>
      <w:r w:rsidRPr="00DD3BE9">
        <w:rPr>
          <w:rFonts w:ascii="Times New Roman" w:hAnsi="Times New Roman" w:cs="Times New Roman"/>
          <w:i/>
          <w:iCs/>
        </w:rPr>
        <w:t xml:space="preserve">mens rea </w:t>
      </w:r>
      <w:r w:rsidRPr="00DD3BE9">
        <w:rPr>
          <w:rFonts w:ascii="Times New Roman" w:hAnsi="Times New Roman" w:cs="Times New Roman"/>
        </w:rPr>
        <w:t>(</w:t>
      </w:r>
      <w:r w:rsidRPr="00DD3BE9">
        <w:rPr>
          <w:rFonts w:ascii="Times New Roman" w:hAnsi="Times New Roman" w:cs="Times New Roman"/>
          <w:i/>
          <w:iCs/>
        </w:rPr>
        <w:t>subjektiver Tatbestand</w:t>
      </w:r>
      <w:r w:rsidRPr="00DD3BE9">
        <w:rPr>
          <w:rFonts w:ascii="Times New Roman" w:hAnsi="Times New Roman" w:cs="Times New Roman"/>
        </w:rPr>
        <w:t>), that is, whether the accused acted intentionally or negligently, depending on the legal provision in question.</w:t>
      </w:r>
    </w:p>
    <w:p w:rsidRPr="00DD3BE9" w:rsidR="0083243F" w:rsidP="00DD3BE9" w14:paraId="08850DE6" w14:textId="37A555B1">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27</w:t>
      </w:r>
      <w:r w:rsidRPr="00DD3BE9">
        <w:rPr>
          <w:rFonts w:ascii="Times New Roman" w:hAnsi="Times New Roman" w:cs="Times New Roman"/>
        </w:rPr>
        <w:fldChar w:fldCharType="end"/>
      </w:r>
      <w:r w:rsidRPr="00DD3BE9">
        <w:rPr>
          <w:rFonts w:ascii="Times New Roman" w:hAnsi="Times New Roman" w:cs="Times New Roman"/>
        </w:rPr>
        <w:t>.  Secondly, the accused must have acted unlawfully (</w:t>
      </w:r>
      <w:r w:rsidRPr="00DD3BE9">
        <w:rPr>
          <w:rFonts w:ascii="Times New Roman" w:hAnsi="Times New Roman" w:cs="Times New Roman"/>
          <w:i/>
          <w:iCs/>
        </w:rPr>
        <w:t>rechtswidrig</w:t>
      </w:r>
      <w:r w:rsidRPr="00DD3BE9">
        <w:rPr>
          <w:rFonts w:ascii="Times New Roman" w:hAnsi="Times New Roman" w:cs="Times New Roman"/>
        </w:rPr>
        <w:t>), that is, in the absence of any exonerating circumstances such as self</w:t>
      </w:r>
      <w:r w:rsidRPr="00DD3BE9" w:rsidR="00CE6ED9">
        <w:rPr>
          <w:rFonts w:ascii="Times New Roman" w:hAnsi="Times New Roman" w:cs="Times New Roman"/>
        </w:rPr>
        <w:noBreakHyphen/>
      </w:r>
      <w:r w:rsidRPr="00DD3BE9">
        <w:rPr>
          <w:rFonts w:ascii="Times New Roman" w:hAnsi="Times New Roman" w:cs="Times New Roman"/>
        </w:rPr>
        <w:t>defence.</w:t>
      </w:r>
    </w:p>
    <w:bookmarkStart w:name="paragraph00028" w:id="14"/>
    <w:p w:rsidRPr="00DD3BE9" w:rsidR="0083243F" w:rsidP="00DD3BE9" w14:paraId="7372ECF2" w14:textId="4423333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28</w:t>
      </w:r>
      <w:r w:rsidRPr="00DD3BE9">
        <w:rPr>
          <w:rFonts w:ascii="Times New Roman" w:hAnsi="Times New Roman" w:cs="Times New Roman"/>
        </w:rPr>
        <w:fldChar w:fldCharType="end"/>
      </w:r>
      <w:bookmarkEnd w:id="14"/>
      <w:r w:rsidRPr="00DD3BE9">
        <w:rPr>
          <w:rFonts w:ascii="Times New Roman" w:hAnsi="Times New Roman" w:cs="Times New Roman"/>
        </w:rPr>
        <w:t>.  Thirdly, the accused must have “acted with guilt” (</w:t>
      </w:r>
      <w:r w:rsidRPr="00DD3BE9">
        <w:rPr>
          <w:rFonts w:ascii="Times New Roman" w:hAnsi="Times New Roman" w:cs="Times New Roman"/>
          <w:i/>
        </w:rPr>
        <w:t>Schuld</w:t>
      </w:r>
      <w:r w:rsidRPr="00DD3BE9">
        <w:rPr>
          <w:rFonts w:ascii="Times New Roman" w:hAnsi="Times New Roman" w:cs="Times New Roman"/>
        </w:rPr>
        <w:t>), that is, with the ability to recognise the wrongfulness of his or her actions and to act accordingly. This is not the case, for instance, if he or she was not of sound mind at the time of the offence. The accused has also acted without guilt if he or she mistakenly considered his or her actions to be lawful and could not have avoided such an error; he or she can then invoke a mistake of law (</w:t>
      </w:r>
      <w:r w:rsidRPr="00DD3BE9">
        <w:rPr>
          <w:rFonts w:ascii="Times New Roman" w:hAnsi="Times New Roman" w:cs="Times New Roman"/>
          <w:i/>
          <w:iCs/>
        </w:rPr>
        <w:t>Verbotsirrtum</w:t>
      </w:r>
      <w:r w:rsidRPr="00DD3BE9">
        <w:rPr>
          <w:rFonts w:ascii="Times New Roman" w:hAnsi="Times New Roman" w:cs="Times New Roman"/>
        </w:rPr>
        <w:t>).</w:t>
      </w:r>
    </w:p>
    <w:p w:rsidRPr="00DD3BE9" w:rsidR="0083243F" w:rsidP="00DD3BE9" w14:paraId="1AF8E931" w14:textId="1B1B8D3F">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29</w:t>
      </w:r>
      <w:r w:rsidRPr="00DD3BE9">
        <w:rPr>
          <w:rFonts w:ascii="Times New Roman" w:hAnsi="Times New Roman" w:cs="Times New Roman"/>
        </w:rPr>
        <w:fldChar w:fldCharType="end"/>
      </w:r>
      <w:r w:rsidRPr="00DD3BE9">
        <w:rPr>
          <w:rFonts w:ascii="Times New Roman" w:hAnsi="Times New Roman" w:cs="Times New Roman"/>
        </w:rPr>
        <w:t>.  An accused person can only be found guilty of an offence if all three basic conditions of criminal liability – constituent elements, unlawfulness and guilt – have been fulfilled.</w:t>
      </w:r>
    </w:p>
    <w:bookmarkStart w:name="paragraph00030" w:id="15"/>
    <w:p w:rsidRPr="00DD3BE9" w:rsidR="0083243F" w:rsidP="00DD3BE9" w14:paraId="5A16B838" w14:textId="3D37A3DB">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30</w:t>
      </w:r>
      <w:r w:rsidRPr="00DD3BE9">
        <w:rPr>
          <w:rFonts w:ascii="Times New Roman" w:hAnsi="Times New Roman" w:cs="Times New Roman"/>
        </w:rPr>
        <w:fldChar w:fldCharType="end"/>
      </w:r>
      <w:bookmarkEnd w:id="15"/>
      <w:r w:rsidRPr="00DD3BE9">
        <w:rPr>
          <w:rFonts w:ascii="Times New Roman" w:hAnsi="Times New Roman" w:cs="Times New Roman"/>
        </w:rPr>
        <w:t>.  In order to find a person guilty of committing an offence as a co</w:t>
      </w:r>
      <w:r w:rsidRPr="00DD3BE9" w:rsidR="00BA6587">
        <w:rPr>
          <w:rFonts w:ascii="Times New Roman" w:hAnsi="Times New Roman" w:cs="Times New Roman"/>
        </w:rPr>
        <w:noBreakHyphen/>
      </w:r>
      <w:r w:rsidRPr="00DD3BE9">
        <w:rPr>
          <w:rFonts w:ascii="Times New Roman" w:hAnsi="Times New Roman" w:cs="Times New Roman"/>
        </w:rPr>
        <w:t>perpetrator under Article</w:t>
      </w:r>
      <w:r w:rsidRPr="00DD3BE9" w:rsidR="00CE6ED9">
        <w:rPr>
          <w:rFonts w:ascii="Times New Roman" w:hAnsi="Times New Roman" w:cs="Times New Roman"/>
        </w:rPr>
        <w:t> </w:t>
      </w:r>
      <w:r w:rsidRPr="00DD3BE9">
        <w:rPr>
          <w:rFonts w:ascii="Times New Roman" w:hAnsi="Times New Roman" w:cs="Times New Roman"/>
        </w:rPr>
        <w:t>25 §</w:t>
      </w:r>
      <w:r w:rsidRPr="00DD3BE9" w:rsidR="00CE6ED9">
        <w:rPr>
          <w:rFonts w:ascii="Times New Roman" w:hAnsi="Times New Roman" w:cs="Times New Roman"/>
        </w:rPr>
        <w:t> </w:t>
      </w:r>
      <w:r w:rsidRPr="00DD3BE9">
        <w:rPr>
          <w:rFonts w:ascii="Times New Roman" w:hAnsi="Times New Roman" w:cs="Times New Roman"/>
        </w:rPr>
        <w:t>2 of the CC, it is necessary to establish that he or she took a joint decision to act together with other persons (</w:t>
      </w:r>
      <w:r w:rsidRPr="00DD3BE9">
        <w:rPr>
          <w:rFonts w:ascii="Times New Roman" w:hAnsi="Times New Roman" w:cs="Times New Roman"/>
          <w:i/>
          <w:iCs/>
        </w:rPr>
        <w:t>gemeinschaftlicher Tatentschluss</w:t>
      </w:r>
      <w:r w:rsidRPr="00DD3BE9">
        <w:rPr>
          <w:rFonts w:ascii="Times New Roman" w:hAnsi="Times New Roman" w:cs="Times New Roman"/>
        </w:rPr>
        <w:t>) and then put that decision into effect together with other persons (</w:t>
      </w:r>
      <w:r w:rsidRPr="00DD3BE9">
        <w:rPr>
          <w:rFonts w:ascii="Times New Roman" w:hAnsi="Times New Roman" w:cs="Times New Roman"/>
          <w:i/>
          <w:iCs/>
        </w:rPr>
        <w:t>gemeinschaftliche Tatausführung</w:t>
      </w:r>
      <w:r w:rsidRPr="00DD3BE9">
        <w:rPr>
          <w:rFonts w:ascii="Times New Roman" w:hAnsi="Times New Roman" w:cs="Times New Roman"/>
        </w:rPr>
        <w:t>).</w:t>
      </w:r>
    </w:p>
    <w:bookmarkStart w:name="paragraph00031" w:id="16"/>
    <w:p w:rsidRPr="00DD3BE9" w:rsidR="0083243F" w:rsidP="00DD3BE9" w14:paraId="34A617C2" w14:textId="77B7848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31</w:t>
      </w:r>
      <w:r w:rsidRPr="00DD3BE9">
        <w:rPr>
          <w:rFonts w:ascii="Times New Roman" w:hAnsi="Times New Roman" w:cs="Times New Roman"/>
        </w:rPr>
        <w:fldChar w:fldCharType="end"/>
      </w:r>
      <w:bookmarkEnd w:id="16"/>
      <w:r w:rsidRPr="00DD3BE9">
        <w:rPr>
          <w:rFonts w:ascii="Times New Roman" w:hAnsi="Times New Roman" w:cs="Times New Roman"/>
        </w:rPr>
        <w:t>.  In order to find a person guilty of aiding and abetting an offence committed by another person under Article</w:t>
      </w:r>
      <w:r w:rsidRPr="00DD3BE9" w:rsidR="00CE6ED9">
        <w:rPr>
          <w:rFonts w:ascii="Times New Roman" w:hAnsi="Times New Roman" w:cs="Times New Roman"/>
        </w:rPr>
        <w:t> </w:t>
      </w:r>
      <w:r w:rsidRPr="00DD3BE9">
        <w:rPr>
          <w:rFonts w:ascii="Times New Roman" w:hAnsi="Times New Roman" w:cs="Times New Roman"/>
        </w:rPr>
        <w:t>27 §</w:t>
      </w:r>
      <w:r w:rsidRPr="00DD3BE9" w:rsidR="00CE6ED9">
        <w:rPr>
          <w:rFonts w:ascii="Times New Roman" w:hAnsi="Times New Roman" w:cs="Times New Roman"/>
        </w:rPr>
        <w:t> </w:t>
      </w:r>
      <w:r w:rsidRPr="00DD3BE9">
        <w:rPr>
          <w:rFonts w:ascii="Times New Roman" w:hAnsi="Times New Roman" w:cs="Times New Roman"/>
        </w:rPr>
        <w:t>1 of the CC, it is necessary to establish that he or she intentionally assisted another person (the main perpetrator) in intentionally committing an unlawful act. It must therefore be established that the main perpetrator has fulfilled the constituent elements of the offence in question and that he or she has acted unlawfully. It is not necessary, however, to establish that the main perpetrator has also acted with guilt either. This follows, on the one hand, from Article</w:t>
      </w:r>
      <w:r w:rsidRPr="00DD3BE9" w:rsidR="00CE6ED9">
        <w:rPr>
          <w:rFonts w:ascii="Times New Roman" w:hAnsi="Times New Roman" w:cs="Times New Roman"/>
        </w:rPr>
        <w:t> </w:t>
      </w:r>
      <w:r w:rsidRPr="00DD3BE9">
        <w:rPr>
          <w:rFonts w:ascii="Times New Roman" w:hAnsi="Times New Roman" w:cs="Times New Roman"/>
        </w:rPr>
        <w:t>27 §</w:t>
      </w:r>
      <w:r w:rsidRPr="00DD3BE9" w:rsidR="00CE6ED9">
        <w:rPr>
          <w:rFonts w:ascii="Times New Roman" w:hAnsi="Times New Roman" w:cs="Times New Roman"/>
        </w:rPr>
        <w:t> </w:t>
      </w:r>
      <w:r w:rsidRPr="00DD3BE9">
        <w:rPr>
          <w:rFonts w:ascii="Times New Roman" w:hAnsi="Times New Roman" w:cs="Times New Roman"/>
        </w:rPr>
        <w:t>1 of the CC, which does not refer to the main perpetrator</w:t>
      </w:r>
      <w:r w:rsidRPr="00DD3BE9" w:rsidR="00DD3BE9">
        <w:rPr>
          <w:rFonts w:ascii="Times New Roman" w:hAnsi="Times New Roman" w:cs="Times New Roman"/>
        </w:rPr>
        <w:t>’</w:t>
      </w:r>
      <w:r w:rsidRPr="00DD3BE9">
        <w:rPr>
          <w:rFonts w:ascii="Times New Roman" w:hAnsi="Times New Roman" w:cs="Times New Roman"/>
        </w:rPr>
        <w:t>s guilt and, on the other hand, from Article</w:t>
      </w:r>
      <w:r w:rsidRPr="00DD3BE9" w:rsidR="00CE6ED9">
        <w:rPr>
          <w:rFonts w:ascii="Times New Roman" w:hAnsi="Times New Roman" w:cs="Times New Roman"/>
        </w:rPr>
        <w:t> </w:t>
      </w:r>
      <w:r w:rsidRPr="00DD3BE9">
        <w:rPr>
          <w:rFonts w:ascii="Times New Roman" w:hAnsi="Times New Roman" w:cs="Times New Roman"/>
        </w:rPr>
        <w:t>29 of the CC, which provides that each person involved in an offence is to be punished according to his or her own guilt, without regard to the guilt of the other persons involved. The fact that the criminal liability of a person aiding and abetting an offence depends on the main perpetrator having fulfilled two of the three basic conditions for his or her own criminal liability is also referred to as the “limited accessoriness of aiding and abetting” (</w:t>
      </w:r>
      <w:r w:rsidRPr="00DD3BE9">
        <w:rPr>
          <w:rFonts w:ascii="Times New Roman" w:hAnsi="Times New Roman" w:cs="Times New Roman"/>
          <w:i/>
          <w:iCs/>
        </w:rPr>
        <w:t>limitierte Akzessorietät</w:t>
      </w:r>
      <w:r w:rsidRPr="00DD3BE9">
        <w:rPr>
          <w:rFonts w:ascii="Times New Roman" w:hAnsi="Times New Roman" w:cs="Times New Roman"/>
        </w:rPr>
        <w:t xml:space="preserve"> </w:t>
      </w:r>
      <w:r w:rsidRPr="00DD3BE9">
        <w:rPr>
          <w:rFonts w:ascii="Times New Roman" w:hAnsi="Times New Roman" w:cs="Times New Roman"/>
          <w:i/>
          <w:iCs/>
        </w:rPr>
        <w:t>der Beihilfe</w:t>
      </w:r>
      <w:r w:rsidRPr="00DD3BE9">
        <w:rPr>
          <w:rFonts w:ascii="Times New Roman" w:hAnsi="Times New Roman" w:cs="Times New Roman"/>
        </w:rPr>
        <w:t>, see the Federal Constitutional Court</w:t>
      </w:r>
      <w:r w:rsidRPr="00DD3BE9" w:rsidR="00DD3BE9">
        <w:rPr>
          <w:rFonts w:ascii="Times New Roman" w:hAnsi="Times New Roman" w:cs="Times New Roman"/>
        </w:rPr>
        <w:t>’</w:t>
      </w:r>
      <w:r w:rsidRPr="00DD3BE9">
        <w:rPr>
          <w:rFonts w:ascii="Times New Roman" w:hAnsi="Times New Roman" w:cs="Times New Roman"/>
        </w:rPr>
        <w:t>s decision of 27</w:t>
      </w:r>
      <w:r w:rsidRPr="00DD3BE9" w:rsidR="00CE6ED9">
        <w:rPr>
          <w:rFonts w:ascii="Times New Roman" w:hAnsi="Times New Roman" w:cs="Times New Roman"/>
        </w:rPr>
        <w:t> </w:t>
      </w:r>
      <w:r w:rsidRPr="00DD3BE9">
        <w:rPr>
          <w:rFonts w:ascii="Times New Roman" w:hAnsi="Times New Roman" w:cs="Times New Roman"/>
        </w:rPr>
        <w:t>January</w:t>
      </w:r>
      <w:r w:rsidRPr="00DD3BE9" w:rsidR="00CE6ED9">
        <w:rPr>
          <w:rFonts w:ascii="Times New Roman" w:hAnsi="Times New Roman" w:cs="Times New Roman"/>
        </w:rPr>
        <w:t> </w:t>
      </w:r>
      <w:r w:rsidRPr="00DD3BE9">
        <w:rPr>
          <w:rFonts w:ascii="Times New Roman" w:hAnsi="Times New Roman" w:cs="Times New Roman"/>
        </w:rPr>
        <w:t>2023, 2 BvR</w:t>
      </w:r>
      <w:r w:rsidRPr="00DD3BE9" w:rsidR="00CE6ED9">
        <w:rPr>
          <w:rFonts w:ascii="Times New Roman" w:hAnsi="Times New Roman" w:cs="Times New Roman"/>
        </w:rPr>
        <w:t> </w:t>
      </w:r>
      <w:r w:rsidRPr="00DD3BE9">
        <w:rPr>
          <w:rFonts w:ascii="Times New Roman" w:hAnsi="Times New Roman" w:cs="Times New Roman"/>
        </w:rPr>
        <w:t>1122/22, §</w:t>
      </w:r>
      <w:r w:rsidRPr="00DD3BE9" w:rsidR="00CE6ED9">
        <w:rPr>
          <w:rFonts w:ascii="Times New Roman" w:hAnsi="Times New Roman" w:cs="Times New Roman"/>
        </w:rPr>
        <w:t> </w:t>
      </w:r>
      <w:r w:rsidRPr="00DD3BE9">
        <w:rPr>
          <w:rFonts w:ascii="Times New Roman" w:hAnsi="Times New Roman" w:cs="Times New Roman"/>
        </w:rPr>
        <w:t>39).</w:t>
      </w:r>
    </w:p>
    <w:p w:rsidRPr="00DD3BE9" w:rsidR="0083243F" w:rsidP="00DD3BE9" w14:paraId="62EA3807" w14:textId="77777777">
      <w:pPr>
        <w:pStyle w:val="JuHIRoman"/>
        <w:tabs>
          <w:tab w:val="clear" w:pos="454"/>
          <w:tab w:val="clear" w:pos="539"/>
          <w:tab w:val="clear" w:pos="624"/>
          <w:tab w:val="clear" w:pos="709"/>
          <w:tab w:val="clear" w:pos="794"/>
        </w:tabs>
      </w:pPr>
      <w:r w:rsidRPr="00DD3BE9">
        <w:t>CODE OF CRIMINAL PROCEDURE (“THE CCP”)</w:t>
      </w:r>
    </w:p>
    <w:bookmarkStart w:name="paragraph00032" w:id="17"/>
    <w:p w:rsidRPr="00DD3BE9" w:rsidR="0083243F" w:rsidP="00DD3BE9" w14:paraId="4E745A7B" w14:textId="68F78590">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32</w:t>
      </w:r>
      <w:r w:rsidRPr="00DD3BE9">
        <w:rPr>
          <w:rFonts w:ascii="Times New Roman" w:hAnsi="Times New Roman" w:cs="Times New Roman"/>
        </w:rPr>
        <w:fldChar w:fldCharType="end"/>
      </w:r>
      <w:bookmarkEnd w:id="17"/>
      <w:r w:rsidRPr="00DD3BE9">
        <w:rPr>
          <w:rFonts w:ascii="Times New Roman" w:hAnsi="Times New Roman" w:cs="Times New Roman"/>
        </w:rPr>
        <w:t>.  A number of provisions in the CCP provide that statements contained in a written judgment against a person involved in an offence have no binding effect on the trial of another person involved in the offence. For instance, Article</w:t>
      </w:r>
      <w:r w:rsidRPr="00DD3BE9" w:rsidR="00CE6ED9">
        <w:rPr>
          <w:rFonts w:ascii="Times New Roman" w:hAnsi="Times New Roman" w:cs="Times New Roman"/>
        </w:rPr>
        <w:t> </w:t>
      </w:r>
      <w:r w:rsidRPr="00DD3BE9">
        <w:rPr>
          <w:rFonts w:ascii="Times New Roman" w:hAnsi="Times New Roman" w:cs="Times New Roman"/>
        </w:rPr>
        <w:t>155, read in conjunction with Article</w:t>
      </w:r>
      <w:r w:rsidRPr="00DD3BE9" w:rsidR="00CE6ED9">
        <w:rPr>
          <w:rFonts w:ascii="Times New Roman" w:hAnsi="Times New Roman" w:cs="Times New Roman"/>
        </w:rPr>
        <w:t> </w:t>
      </w:r>
      <w:r w:rsidRPr="00DD3BE9">
        <w:rPr>
          <w:rFonts w:ascii="Times New Roman" w:hAnsi="Times New Roman" w:cs="Times New Roman"/>
        </w:rPr>
        <w:t>264, provides that a criminal court</w:t>
      </w:r>
      <w:r w:rsidRPr="00DD3BE9" w:rsidR="00DD3BE9">
        <w:rPr>
          <w:rFonts w:ascii="Times New Roman" w:hAnsi="Times New Roman" w:cs="Times New Roman"/>
        </w:rPr>
        <w:t>’</w:t>
      </w:r>
      <w:r w:rsidRPr="00DD3BE9">
        <w:rPr>
          <w:rFonts w:ascii="Times New Roman" w:hAnsi="Times New Roman" w:cs="Times New Roman"/>
        </w:rPr>
        <w:t>s decision only applies to the offence specified and the persons accused in the indictment. Article</w:t>
      </w:r>
      <w:r w:rsidRPr="00DD3BE9" w:rsidR="00CE6ED9">
        <w:rPr>
          <w:rFonts w:ascii="Times New Roman" w:hAnsi="Times New Roman" w:cs="Times New Roman"/>
        </w:rPr>
        <w:t> </w:t>
      </w:r>
      <w:r w:rsidRPr="00DD3BE9">
        <w:rPr>
          <w:rFonts w:ascii="Times New Roman" w:hAnsi="Times New Roman" w:cs="Times New Roman"/>
        </w:rPr>
        <w:t>261 provides that the trial court makes its decision in accordance with its free conviction, on the basis of the evidence presented at the trial (</w:t>
      </w:r>
      <w:r w:rsidRPr="00DD3BE9">
        <w:rPr>
          <w:rFonts w:ascii="Times New Roman" w:hAnsi="Times New Roman" w:cs="Times New Roman"/>
          <w:i/>
          <w:iCs/>
        </w:rPr>
        <w:t>Inbegriff der Hauptverhandlung</w:t>
      </w:r>
      <w:r w:rsidRPr="00DD3BE9">
        <w:rPr>
          <w:rFonts w:ascii="Times New Roman" w:hAnsi="Times New Roman" w:cs="Times New Roman"/>
        </w:rPr>
        <w:t>), that is, not on the basis of the hearing of a different trial.</w:t>
      </w:r>
    </w:p>
    <w:bookmarkStart w:name="paragraph00033" w:id="18"/>
    <w:p w:rsidRPr="00DD3BE9" w:rsidR="0083243F" w:rsidP="00DD3BE9" w14:paraId="60BFF6C6" w14:textId="5B15EF4E">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33</w:t>
      </w:r>
      <w:r w:rsidRPr="00DD3BE9">
        <w:rPr>
          <w:rFonts w:ascii="Times New Roman" w:hAnsi="Times New Roman" w:cs="Times New Roman"/>
        </w:rPr>
        <w:fldChar w:fldCharType="end"/>
      </w:r>
      <w:bookmarkEnd w:id="18"/>
      <w:r w:rsidRPr="00DD3BE9">
        <w:rPr>
          <w:rFonts w:ascii="Times New Roman" w:hAnsi="Times New Roman" w:cs="Times New Roman"/>
        </w:rPr>
        <w:t>.  Furthermore, under German criminal procedural law, there is an obligation to conduct criminal proceedings expeditiously (</w:t>
      </w:r>
      <w:r w:rsidRPr="00DD3BE9">
        <w:rPr>
          <w:rFonts w:ascii="Times New Roman" w:hAnsi="Times New Roman" w:cs="Times New Roman"/>
          <w:i/>
          <w:iCs/>
        </w:rPr>
        <w:t>Beschleunigungsgrundsatz</w:t>
      </w:r>
      <w:r w:rsidRPr="00DD3BE9">
        <w:rPr>
          <w:rFonts w:ascii="Times New Roman" w:hAnsi="Times New Roman" w:cs="Times New Roman"/>
        </w:rPr>
        <w:t>), which is reflected in several provisions of the CCP and has been recognised by the Federal Constitutional Court (see, for instance, its decision of 21</w:t>
      </w:r>
      <w:r w:rsidRPr="00DD3BE9" w:rsidR="00CE6ED9">
        <w:rPr>
          <w:rFonts w:ascii="Times New Roman" w:hAnsi="Times New Roman" w:cs="Times New Roman"/>
        </w:rPr>
        <w:t> </w:t>
      </w:r>
      <w:r w:rsidRPr="00DD3BE9">
        <w:rPr>
          <w:rFonts w:ascii="Times New Roman" w:hAnsi="Times New Roman" w:cs="Times New Roman"/>
        </w:rPr>
        <w:t>June</w:t>
      </w:r>
      <w:r w:rsidRPr="00DD3BE9" w:rsidR="00CE6ED9">
        <w:rPr>
          <w:rFonts w:ascii="Times New Roman" w:hAnsi="Times New Roman" w:cs="Times New Roman"/>
        </w:rPr>
        <w:t> </w:t>
      </w:r>
      <w:r w:rsidRPr="00DD3BE9">
        <w:rPr>
          <w:rFonts w:ascii="Times New Roman" w:hAnsi="Times New Roman" w:cs="Times New Roman"/>
        </w:rPr>
        <w:t>2006, 2</w:t>
      </w:r>
      <w:r w:rsidRPr="00DD3BE9" w:rsidR="00CE6ED9">
        <w:rPr>
          <w:rFonts w:ascii="Times New Roman" w:hAnsi="Times New Roman" w:cs="Times New Roman"/>
        </w:rPr>
        <w:t> </w:t>
      </w:r>
      <w:r w:rsidRPr="00DD3BE9">
        <w:rPr>
          <w:rFonts w:ascii="Times New Roman" w:hAnsi="Times New Roman" w:cs="Times New Roman"/>
        </w:rPr>
        <w:t>BvR</w:t>
      </w:r>
      <w:r w:rsidRPr="00DD3BE9" w:rsidR="00CE6ED9">
        <w:rPr>
          <w:rFonts w:ascii="Times New Roman" w:hAnsi="Times New Roman" w:cs="Times New Roman"/>
        </w:rPr>
        <w:t> </w:t>
      </w:r>
      <w:r w:rsidRPr="00DD3BE9">
        <w:rPr>
          <w:rFonts w:ascii="Times New Roman" w:hAnsi="Times New Roman" w:cs="Times New Roman"/>
        </w:rPr>
        <w:t>750/06, 2</w:t>
      </w:r>
      <w:r w:rsidRPr="00DD3BE9" w:rsidR="00CE6ED9">
        <w:rPr>
          <w:rFonts w:ascii="Times New Roman" w:hAnsi="Times New Roman" w:cs="Times New Roman"/>
        </w:rPr>
        <w:t> </w:t>
      </w:r>
      <w:r w:rsidRPr="00DD3BE9">
        <w:rPr>
          <w:rFonts w:ascii="Times New Roman" w:hAnsi="Times New Roman" w:cs="Times New Roman"/>
        </w:rPr>
        <w:t>BvR</w:t>
      </w:r>
      <w:r w:rsidRPr="00DD3BE9" w:rsidR="00CE6ED9">
        <w:rPr>
          <w:rFonts w:ascii="Times New Roman" w:hAnsi="Times New Roman" w:cs="Times New Roman"/>
        </w:rPr>
        <w:t> </w:t>
      </w:r>
      <w:r w:rsidRPr="00DD3BE9">
        <w:rPr>
          <w:rFonts w:ascii="Times New Roman" w:hAnsi="Times New Roman" w:cs="Times New Roman"/>
        </w:rPr>
        <w:t>752/06, 2</w:t>
      </w:r>
      <w:r w:rsidRPr="00DD3BE9" w:rsidR="00CE6ED9">
        <w:rPr>
          <w:rFonts w:ascii="Times New Roman" w:hAnsi="Times New Roman" w:cs="Times New Roman"/>
        </w:rPr>
        <w:t> </w:t>
      </w:r>
      <w:r w:rsidRPr="00DD3BE9">
        <w:rPr>
          <w:rFonts w:ascii="Times New Roman" w:hAnsi="Times New Roman" w:cs="Times New Roman"/>
        </w:rPr>
        <w:t>BvR</w:t>
      </w:r>
      <w:r w:rsidRPr="00DD3BE9" w:rsidR="00CE6ED9">
        <w:rPr>
          <w:rFonts w:ascii="Times New Roman" w:hAnsi="Times New Roman" w:cs="Times New Roman"/>
        </w:rPr>
        <w:t> </w:t>
      </w:r>
      <w:r w:rsidRPr="00DD3BE9">
        <w:rPr>
          <w:rFonts w:ascii="Times New Roman" w:hAnsi="Times New Roman" w:cs="Times New Roman"/>
        </w:rPr>
        <w:t>761/06).</w:t>
      </w:r>
    </w:p>
    <w:p w:rsidRPr="00DD3BE9" w:rsidR="0083243F" w:rsidP="00DD3BE9" w14:paraId="3F6AFED1" w14:textId="22917A7B">
      <w:pPr>
        <w:pStyle w:val="JuHIRoman"/>
        <w:tabs>
          <w:tab w:val="clear" w:pos="454"/>
          <w:tab w:val="clear" w:pos="539"/>
          <w:tab w:val="clear" w:pos="624"/>
          <w:tab w:val="clear" w:pos="709"/>
          <w:tab w:val="clear" w:pos="794"/>
        </w:tabs>
        <w:rPr>
          <w:rFonts w:ascii="Times New Roman" w:hAnsi="Times New Roman" w:cs="Times New Roman"/>
        </w:rPr>
      </w:pPr>
      <w:r w:rsidRPr="00DD3BE9">
        <w:t>CASE</w:t>
      </w:r>
      <w:r w:rsidRPr="00DD3BE9" w:rsidR="00BA6587">
        <w:noBreakHyphen/>
      </w:r>
      <w:r w:rsidRPr="00DD3BE9">
        <w:t>LAW OF THE FEDERAL CONSTITUTIONAL COURT</w:t>
      </w:r>
    </w:p>
    <w:p w:rsidRPr="00DD3BE9" w:rsidR="0083243F" w:rsidP="00DD3BE9" w14:paraId="06BE7F8E" w14:textId="7853CB9A">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34</w:t>
      </w:r>
      <w:r w:rsidRPr="00DD3BE9">
        <w:rPr>
          <w:rFonts w:ascii="Times New Roman" w:hAnsi="Times New Roman" w:cs="Times New Roman"/>
        </w:rPr>
        <w:fldChar w:fldCharType="end"/>
      </w:r>
      <w:r w:rsidRPr="00DD3BE9">
        <w:rPr>
          <w:rFonts w:ascii="Times New Roman" w:hAnsi="Times New Roman" w:cs="Times New Roman"/>
        </w:rPr>
        <w:t>.  In its decision of 27 January 2023 (2 BvR 1122/22), which also concerned criminal proceedings in a “Cum</w:t>
      </w:r>
      <w:r w:rsidRPr="00DD3BE9" w:rsidR="00BA6587">
        <w:rPr>
          <w:rFonts w:ascii="Times New Roman" w:hAnsi="Times New Roman" w:cs="Times New Roman"/>
        </w:rPr>
        <w:noBreakHyphen/>
      </w:r>
      <w:r w:rsidRPr="00DD3BE9">
        <w:rPr>
          <w:rFonts w:ascii="Times New Roman" w:hAnsi="Times New Roman" w:cs="Times New Roman"/>
        </w:rPr>
        <w:t xml:space="preserve">Ex” case (see </w:t>
      </w:r>
      <w:r w:rsidRPr="00DD3BE9">
        <w:rPr>
          <w:rFonts w:ascii="Times New Roman" w:hAnsi="Times New Roman" w:cs="Times New Roman"/>
          <w:i/>
          <w:iCs/>
        </w:rPr>
        <w:t>Schmid v.</w:t>
      </w:r>
      <w:r w:rsidRPr="00DD3BE9" w:rsidR="002012BC">
        <w:rPr>
          <w:rFonts w:ascii="Times New Roman" w:hAnsi="Times New Roman" w:cs="Times New Roman"/>
          <w:i/>
          <w:iCs/>
        </w:rPr>
        <w:t> </w:t>
      </w:r>
      <w:r w:rsidRPr="00DD3BE9">
        <w:rPr>
          <w:rFonts w:ascii="Times New Roman" w:hAnsi="Times New Roman" w:cs="Times New Roman"/>
          <w:i/>
          <w:iCs/>
        </w:rPr>
        <w:t>Germany</w:t>
      </w:r>
      <w:r w:rsidRPr="00DD3BE9">
        <w:rPr>
          <w:rFonts w:ascii="Times New Roman" w:hAnsi="Times New Roman" w:cs="Times New Roman"/>
        </w:rPr>
        <w:t>,</w:t>
      </w:r>
      <w:r w:rsidRPr="00DD3BE9">
        <w:rPr>
          <w:rFonts w:ascii="Times New Roman" w:hAnsi="Times New Roman" w:cs="Times New Roman"/>
          <w:i/>
          <w:iCs/>
        </w:rPr>
        <w:t xml:space="preserve"> </w:t>
      </w:r>
      <w:r w:rsidRPr="00DD3BE9">
        <w:rPr>
          <w:rFonts w:ascii="Times New Roman" w:hAnsi="Times New Roman" w:cs="Times New Roman"/>
        </w:rPr>
        <w:t>no. 25095/23, currently pending), the Federal Constitutional Court stated that in complex criminal proceedings it was not always possible for the courts to try several accused persons at the same time. It held that the complexity of “Cum</w:t>
      </w:r>
      <w:r w:rsidRPr="00DD3BE9" w:rsidR="007917E6">
        <w:rPr>
          <w:rFonts w:ascii="Times New Roman" w:hAnsi="Times New Roman" w:cs="Times New Roman"/>
        </w:rPr>
        <w:noBreakHyphen/>
      </w:r>
      <w:r w:rsidRPr="00DD3BE9">
        <w:rPr>
          <w:rFonts w:ascii="Times New Roman" w:hAnsi="Times New Roman" w:cs="Times New Roman"/>
        </w:rPr>
        <w:t>Ex” proceedings had justified the criminal court</w:t>
      </w:r>
      <w:r w:rsidRPr="00DD3BE9" w:rsidR="00DD3BE9">
        <w:rPr>
          <w:rFonts w:ascii="Times New Roman" w:hAnsi="Times New Roman" w:cs="Times New Roman"/>
        </w:rPr>
        <w:t>’</w:t>
      </w:r>
      <w:r w:rsidRPr="00DD3BE9">
        <w:rPr>
          <w:rFonts w:ascii="Times New Roman" w:hAnsi="Times New Roman" w:cs="Times New Roman"/>
        </w:rPr>
        <w:t>s decision to conduct separate trials against several accused persons who had been indicted together. A single trial directed against all of them would have burdened those who were of secondary importance to the case with a long trial and would thus have been contrary to the obligation to conduct criminal proceedings expeditiously (see paragraph</w:t>
      </w:r>
      <w:r w:rsidRPr="00DD3BE9" w:rsidR="002012B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paragraph00033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33</w:t>
      </w:r>
      <w:r w:rsidRPr="00DD3BE9">
        <w:rPr>
          <w:rFonts w:ascii="Times New Roman" w:hAnsi="Times New Roman" w:cs="Times New Roman"/>
        </w:rPr>
        <w:fldChar w:fldCharType="end"/>
      </w:r>
      <w:r w:rsidRPr="00DD3BE9">
        <w:rPr>
          <w:rFonts w:ascii="Times New Roman" w:hAnsi="Times New Roman" w:cs="Times New Roman"/>
        </w:rPr>
        <w:t xml:space="preserve"> above).</w:t>
      </w:r>
    </w:p>
    <w:bookmarkStart w:name="paragraph00035" w:id="19"/>
    <w:p w:rsidRPr="00DD3BE9" w:rsidR="0083243F" w:rsidP="00DD3BE9" w14:paraId="55302614" w14:textId="201A752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35</w:t>
      </w:r>
      <w:r w:rsidRPr="00DD3BE9">
        <w:rPr>
          <w:rFonts w:ascii="Times New Roman" w:hAnsi="Times New Roman" w:cs="Times New Roman"/>
        </w:rPr>
        <w:fldChar w:fldCharType="end"/>
      </w:r>
      <w:bookmarkEnd w:id="19"/>
      <w:r w:rsidRPr="00DD3BE9">
        <w:rPr>
          <w:rFonts w:ascii="Times New Roman" w:hAnsi="Times New Roman" w:cs="Times New Roman"/>
        </w:rPr>
        <w:t>.  It further found that in order to find an accused person guilty of aiding and abetting an offence, it was indispensable for the criminal courts to establish that the main perpetrator had intentionally committed an unlawful act, and they had to establish these elements as accurately and precisely as possible without presenting them as mere allegations or assumptions. Moreover, in the context of the underlying “Cum</w:t>
      </w:r>
      <w:r w:rsidRPr="00DD3BE9" w:rsidR="007917E6">
        <w:rPr>
          <w:rFonts w:ascii="Times New Roman" w:hAnsi="Times New Roman" w:cs="Times New Roman"/>
        </w:rPr>
        <w:noBreakHyphen/>
      </w:r>
      <w:r w:rsidRPr="00DD3BE9">
        <w:rPr>
          <w:rFonts w:ascii="Times New Roman" w:hAnsi="Times New Roman" w:cs="Times New Roman"/>
        </w:rPr>
        <w:t>Ex” proceedings, the criminal courts could not simply describe the main perpetrator</w:t>
      </w:r>
      <w:r w:rsidRPr="00DD3BE9" w:rsidR="00DD3BE9">
        <w:rPr>
          <w:rFonts w:ascii="Times New Roman" w:hAnsi="Times New Roman" w:cs="Times New Roman"/>
        </w:rPr>
        <w:t>’</w:t>
      </w:r>
      <w:r w:rsidRPr="00DD3BE9">
        <w:rPr>
          <w:rFonts w:ascii="Times New Roman" w:hAnsi="Times New Roman" w:cs="Times New Roman"/>
        </w:rPr>
        <w:t>s actions in a more general manner and refrain from disclosing the main perpetrator</w:t>
      </w:r>
      <w:r w:rsidRPr="00DD3BE9" w:rsidR="00DD3BE9">
        <w:rPr>
          <w:rFonts w:ascii="Times New Roman" w:hAnsi="Times New Roman" w:cs="Times New Roman"/>
        </w:rPr>
        <w:t>’</w:t>
      </w:r>
      <w:r w:rsidRPr="00DD3BE9">
        <w:rPr>
          <w:rFonts w:ascii="Times New Roman" w:hAnsi="Times New Roman" w:cs="Times New Roman"/>
        </w:rPr>
        <w:t>s identity. In order to establish that the main perpetrator had acted intentionally, his identity, in particular his professional status and his knowledge of tax legislation, was of critical importance.</w:t>
      </w:r>
    </w:p>
    <w:p w:rsidRPr="00DD3BE9" w:rsidR="0083243F" w:rsidP="00DD3BE9" w14:paraId="3331AFA6" w14:textId="2E13078B">
      <w:pPr>
        <w:pStyle w:val="JuHIRoman"/>
        <w:tabs>
          <w:tab w:val="clear" w:pos="454"/>
          <w:tab w:val="clear" w:pos="539"/>
          <w:tab w:val="clear" w:pos="624"/>
          <w:tab w:val="clear" w:pos="709"/>
          <w:tab w:val="clear" w:pos="794"/>
        </w:tabs>
        <w:rPr>
          <w:rFonts w:ascii="Times New Roman" w:hAnsi="Times New Roman" w:cs="Times New Roman"/>
        </w:rPr>
      </w:pPr>
      <w:r w:rsidRPr="00DD3BE9">
        <w:rPr>
          <w:caps w:val="0"/>
        </w:rPr>
        <w:t>CASE</w:t>
      </w:r>
      <w:r w:rsidRPr="00DD3BE9">
        <w:rPr>
          <w:caps w:val="0"/>
        </w:rPr>
        <w:noBreakHyphen/>
        <w:t>LAW OF THE COURT OF JUSTICE OF THE EUROPEAN UNION (“THE CJUE”)</w:t>
      </w:r>
    </w:p>
    <w:bookmarkStart w:name="paragraph00036" w:id="20"/>
    <w:p w:rsidRPr="00DD3BE9" w:rsidR="0083243F" w:rsidP="00DD3BE9" w14:paraId="142C39BE" w14:textId="060C6447">
      <w:pPr>
        <w:pStyle w:val="JuPara"/>
      </w:pPr>
      <w:r w:rsidRPr="00DD3BE9">
        <w:fldChar w:fldCharType="begin"/>
      </w:r>
      <w:r w:rsidRPr="00DD3BE9">
        <w:instrText xml:space="preserve"> SEQ level0 \*arabic \* MERGEFORMAT </w:instrText>
      </w:r>
      <w:r w:rsidRPr="00DD3BE9">
        <w:fldChar w:fldCharType="separate"/>
      </w:r>
      <w:r w:rsidRPr="00DD3BE9" w:rsidR="00DD3BE9">
        <w:rPr>
          <w:noProof/>
        </w:rPr>
        <w:t>36</w:t>
      </w:r>
      <w:r w:rsidRPr="00DD3BE9">
        <w:fldChar w:fldCharType="end"/>
      </w:r>
      <w:bookmarkEnd w:id="20"/>
      <w:r w:rsidRPr="00DD3BE9">
        <w:t>.  In its judgment of 5 September 2019 (</w:t>
      </w:r>
      <w:r w:rsidRPr="00DD3BE9">
        <w:rPr>
          <w:i/>
          <w:iCs/>
        </w:rPr>
        <w:t xml:space="preserve">AH and Others </w:t>
      </w:r>
      <w:r w:rsidRPr="00DD3BE9">
        <w:t>(presumption of innocence), C</w:t>
      </w:r>
      <w:r w:rsidRPr="00DD3BE9" w:rsidR="007917E6">
        <w:noBreakHyphen/>
      </w:r>
      <w:r w:rsidRPr="00DD3BE9">
        <w:t>377/18), the CJEU stated that if one of several accused persons entered into a plea</w:t>
      </w:r>
      <w:r w:rsidRPr="00DD3BE9" w:rsidR="00BA6587">
        <w:noBreakHyphen/>
      </w:r>
      <w:r w:rsidRPr="00DD3BE9">
        <w:t>bargaining agreement, the agreement was only</w:t>
      </w:r>
      <w:r w:rsidRPr="00DD3BE9">
        <w:t xml:space="preserve"> </w:t>
      </w:r>
      <w:r w:rsidRPr="00DD3BE9">
        <w:t>allowed to refer to the other accused persons who had not recognised their guilt and were being prosecuted in separate criminal proceedings if, firstly, such reference was necessary for the purpose of categorising the legal liability of the person who had entered into the agreement and, secondly, the agreement made it clear that those other persons were being prosecuted in separate criminal proceedings and that their guilt had not been legally established.</w:t>
      </w:r>
    </w:p>
    <w:p w:rsidRPr="00DD3BE9" w:rsidR="0083243F" w:rsidP="00DD3BE9" w14:paraId="7FAFD79B" w14:textId="48E7981E">
      <w:pPr>
        <w:pStyle w:val="JuPara"/>
        <w:rPr>
          <w:rFonts w:cstheme="minorHAnsi"/>
        </w:rPr>
      </w:pPr>
      <w:r w:rsidRPr="00DD3BE9">
        <w:rPr>
          <w:rFonts w:cstheme="minorHAnsi"/>
        </w:rPr>
        <w:fldChar w:fldCharType="begin"/>
      </w:r>
      <w:r w:rsidRPr="00DD3BE9">
        <w:rPr>
          <w:rFonts w:cstheme="minorHAnsi"/>
        </w:rPr>
        <w:instrText xml:space="preserve"> SEQ level0 \*arabic \* MERGEFORMAT </w:instrText>
      </w:r>
      <w:r w:rsidRPr="00DD3BE9">
        <w:rPr>
          <w:rFonts w:cstheme="minorHAnsi"/>
        </w:rPr>
        <w:fldChar w:fldCharType="separate"/>
      </w:r>
      <w:bookmarkStart w:name="paragraph00037" w:id="21"/>
      <w:r w:rsidRPr="00DD3BE9" w:rsidR="00DD3BE9">
        <w:rPr>
          <w:rFonts w:cstheme="minorHAnsi"/>
          <w:noProof/>
        </w:rPr>
        <w:t>37</w:t>
      </w:r>
      <w:bookmarkEnd w:id="21"/>
      <w:r w:rsidRPr="00DD3BE9">
        <w:rPr>
          <w:rFonts w:cstheme="minorHAnsi"/>
        </w:rPr>
        <w:fldChar w:fldCharType="end"/>
      </w:r>
      <w:r w:rsidRPr="00DD3BE9">
        <w:rPr>
          <w:rFonts w:cstheme="minorHAnsi"/>
        </w:rPr>
        <w:t>.  Furthermore, in its judgment of 18 March 2021 (</w:t>
      </w:r>
      <w:r w:rsidRPr="00DD3BE9">
        <w:rPr>
          <w:rFonts w:cstheme="minorHAnsi"/>
          <w:i/>
          <w:iCs/>
        </w:rPr>
        <w:t>Pometon v</w:t>
      </w:r>
      <w:r w:rsidRPr="00DD3BE9" w:rsidR="007917E6">
        <w:rPr>
          <w:rFonts w:cstheme="minorHAnsi"/>
          <w:i/>
          <w:iCs/>
        </w:rPr>
        <w:t>.</w:t>
      </w:r>
      <w:r w:rsidRPr="00DD3BE9">
        <w:rPr>
          <w:rFonts w:cstheme="minorHAnsi"/>
          <w:i/>
          <w:iCs/>
        </w:rPr>
        <w:t> Commission</w:t>
      </w:r>
      <w:r w:rsidRPr="00DD3BE9">
        <w:rPr>
          <w:rFonts w:cstheme="minorHAnsi"/>
        </w:rPr>
        <w:t>, C</w:t>
      </w:r>
      <w:r w:rsidRPr="00DD3BE9" w:rsidR="007917E6">
        <w:rPr>
          <w:rFonts w:cstheme="minorHAnsi"/>
        </w:rPr>
        <w:noBreakHyphen/>
      </w:r>
      <w:r w:rsidRPr="00DD3BE9">
        <w:rPr>
          <w:rFonts w:cstheme="minorHAnsi"/>
        </w:rPr>
        <w:t>440/19, §</w:t>
      </w:r>
      <w:r w:rsidRPr="00DD3BE9" w:rsidR="007917E6">
        <w:rPr>
          <w:rFonts w:cstheme="minorHAnsi"/>
        </w:rPr>
        <w:t> </w:t>
      </w:r>
      <w:r w:rsidRPr="00DD3BE9">
        <w:rPr>
          <w:rFonts w:cstheme="minorHAnsi"/>
        </w:rPr>
        <w:t>63), the CJEU, referencing the Court</w:t>
      </w:r>
      <w:r w:rsidRPr="00DD3BE9" w:rsidR="00DD3BE9">
        <w:rPr>
          <w:rFonts w:cstheme="minorHAnsi"/>
        </w:rPr>
        <w:t>’</w:t>
      </w:r>
      <w:r w:rsidRPr="00DD3BE9">
        <w:rPr>
          <w:rFonts w:cstheme="minorHAnsi"/>
        </w:rPr>
        <w:t>s case</w:t>
      </w:r>
      <w:r w:rsidRPr="00DD3BE9" w:rsidR="00BA6587">
        <w:rPr>
          <w:rFonts w:cstheme="minorHAnsi"/>
        </w:rPr>
        <w:noBreakHyphen/>
      </w:r>
      <w:r w:rsidRPr="00DD3BE9">
        <w:rPr>
          <w:rFonts w:cstheme="minorHAnsi"/>
        </w:rPr>
        <w:t xml:space="preserve">law (in particular </w:t>
      </w:r>
      <w:bookmarkStart w:name="_cl28779RELEVANTLEGALFRAMEWORKANDPRACTIC" w:id="22"/>
      <w:r w:rsidRPr="00DD3BE9">
        <w:rPr>
          <w:rFonts w:cstheme="minorHAnsi"/>
          <w:i/>
          <w:iCs/>
        </w:rPr>
        <w:t>Karaman v.</w:t>
      </w:r>
      <w:r w:rsidRPr="00DD3BE9" w:rsidR="002012BC">
        <w:rPr>
          <w:rFonts w:cstheme="minorHAnsi"/>
          <w:i/>
          <w:iCs/>
        </w:rPr>
        <w:t> </w:t>
      </w:r>
      <w:r w:rsidRPr="00DD3BE9">
        <w:rPr>
          <w:rFonts w:cstheme="minorHAnsi"/>
          <w:i/>
          <w:iCs/>
        </w:rPr>
        <w:t>Germany</w:t>
      </w:r>
      <w:bookmarkEnd w:id="22"/>
      <w:r w:rsidRPr="00DD3BE9">
        <w:rPr>
          <w:rFonts w:cstheme="minorHAnsi"/>
        </w:rPr>
        <w:t>, no.</w:t>
      </w:r>
      <w:r w:rsidRPr="00DD3BE9" w:rsidR="002012BC">
        <w:rPr>
          <w:rFonts w:cstheme="minorHAnsi"/>
        </w:rPr>
        <w:t> </w:t>
      </w:r>
      <w:r w:rsidRPr="00DD3BE9">
        <w:rPr>
          <w:rFonts w:cstheme="minorHAnsi"/>
        </w:rPr>
        <w:t>17103/10, §§</w:t>
      </w:r>
      <w:r w:rsidRPr="00DD3BE9" w:rsidR="002012BC">
        <w:rPr>
          <w:rFonts w:cstheme="minorHAnsi"/>
        </w:rPr>
        <w:t> </w:t>
      </w:r>
      <w:r w:rsidRPr="00DD3BE9">
        <w:rPr>
          <w:rFonts w:cstheme="minorHAnsi"/>
        </w:rPr>
        <w:t>64</w:t>
      </w:r>
      <w:r w:rsidRPr="00DD3BE9" w:rsidR="002012BC">
        <w:rPr>
          <w:rFonts w:cstheme="minorHAnsi"/>
        </w:rPr>
        <w:noBreakHyphen/>
      </w:r>
      <w:r w:rsidRPr="00DD3BE9">
        <w:rPr>
          <w:rFonts w:cstheme="minorHAnsi"/>
        </w:rPr>
        <w:t>65, 27</w:t>
      </w:r>
      <w:r w:rsidRPr="00DD3BE9" w:rsidR="002012BC">
        <w:rPr>
          <w:rFonts w:cstheme="minorHAnsi"/>
        </w:rPr>
        <w:t> </w:t>
      </w:r>
      <w:r w:rsidRPr="00DD3BE9">
        <w:rPr>
          <w:rFonts w:cstheme="minorHAnsi"/>
        </w:rPr>
        <w:t>February</w:t>
      </w:r>
      <w:r w:rsidRPr="00DD3BE9" w:rsidR="004026F9">
        <w:rPr>
          <w:rFonts w:cstheme="minorHAnsi"/>
        </w:rPr>
        <w:t xml:space="preserve"> </w:t>
      </w:r>
      <w:r w:rsidRPr="00DD3BE9">
        <w:rPr>
          <w:rFonts w:cstheme="minorHAnsi"/>
        </w:rPr>
        <w:t xml:space="preserve">2014), stated that in complex criminal proceedings involving </w:t>
      </w:r>
      <w:r w:rsidRPr="00DD3BE9">
        <w:rPr>
          <w:rFonts w:cstheme="minorHAnsi"/>
          <w:color w:val="000000"/>
        </w:rPr>
        <w:t>several persons who could not be tried together, references by the competent court to the participation of third persons, who might later be tried separately, might be indispensable for the assessment of the guilt of those who were on trial. However, if facts related to the involvement of third parties had to be introduced, the relevant court should avoid giving more information than necessary for the assessment of the legal responsibility of those persons who were accused in the trial before it. In addition, the reasoning of judicial decisions had to be worded in such a way as to avoid a potential prejudgment about the guilt of the third parties concerned, capable of jeopardising the fair examination of the charges brought against them in the separate proceedings.</w:t>
      </w:r>
    </w:p>
    <w:p w:rsidRPr="00DD3BE9" w:rsidR="0083243F" w:rsidP="00DD3BE9" w14:paraId="17EF4E3F" w14:textId="77777777">
      <w:pPr>
        <w:pStyle w:val="JuHHead"/>
      </w:pPr>
      <w:r w:rsidRPr="00DD3BE9">
        <w:t>THE LAW</w:t>
      </w:r>
    </w:p>
    <w:p w:rsidRPr="00DD3BE9" w:rsidR="0083243F" w:rsidP="00DD3BE9" w14:paraId="529980F5" w14:textId="77777777">
      <w:pPr>
        <w:pStyle w:val="JuHIRoman"/>
        <w:numPr>
          <w:ilvl w:val="1"/>
          <w:numId w:val="4"/>
        </w:numPr>
        <w:tabs>
          <w:tab w:val="clear" w:pos="454"/>
          <w:tab w:val="clear" w:pos="539"/>
          <w:tab w:val="clear" w:pos="624"/>
          <w:tab w:val="clear" w:pos="709"/>
          <w:tab w:val="clear" w:pos="794"/>
        </w:tabs>
      </w:pPr>
      <w:r w:rsidRPr="00DD3BE9">
        <w:t>SCOPE OF THE CASE</w:t>
      </w:r>
    </w:p>
    <w:p w:rsidRPr="00DD3BE9" w:rsidR="0083243F" w:rsidP="00DD3BE9" w14:paraId="65F50813" w14:textId="7DA6B0D2">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38</w:t>
      </w:r>
      <w:r w:rsidRPr="00DD3BE9">
        <w:rPr>
          <w:rFonts w:ascii="Times New Roman" w:hAnsi="Times New Roman" w:cs="Times New Roman"/>
        </w:rPr>
        <w:fldChar w:fldCharType="end"/>
      </w:r>
      <w:r w:rsidRPr="00DD3BE9">
        <w:rPr>
          <w:rFonts w:ascii="Times New Roman" w:hAnsi="Times New Roman" w:cs="Times New Roman"/>
        </w:rPr>
        <w:t>.  The Court notes that, in his observations following communication of the application, the applicant stated that his right to be presumed innocent had been breached not only by the aforementioned statements in the decisions of the Regional Court of 18</w:t>
      </w:r>
      <w:r w:rsidRPr="00DD3BE9" w:rsidR="002012BC">
        <w:rPr>
          <w:rFonts w:ascii="Times New Roman" w:hAnsi="Times New Roman" w:cs="Times New Roman"/>
        </w:rPr>
        <w:t> </w:t>
      </w:r>
      <w:r w:rsidRPr="00DD3BE9">
        <w:rPr>
          <w:rFonts w:ascii="Times New Roman" w:hAnsi="Times New Roman" w:cs="Times New Roman"/>
        </w:rPr>
        <w:t>March</w:t>
      </w:r>
      <w:r w:rsidRPr="00DD3BE9" w:rsidR="002012BC">
        <w:rPr>
          <w:rFonts w:ascii="Times New Roman" w:hAnsi="Times New Roman" w:cs="Times New Roman"/>
        </w:rPr>
        <w:t> </w:t>
      </w:r>
      <w:r w:rsidRPr="00DD3BE9">
        <w:rPr>
          <w:rFonts w:ascii="Times New Roman" w:hAnsi="Times New Roman" w:cs="Times New Roman"/>
        </w:rPr>
        <w:t>2020 (see paragraphs</w:t>
      </w:r>
      <w:r w:rsidRPr="00DD3BE9" w:rsidR="002012B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paragraph00014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14</w:t>
      </w:r>
      <w:r w:rsidRPr="00DD3BE9">
        <w:rPr>
          <w:rFonts w:ascii="Times New Roman" w:hAnsi="Times New Roman" w:cs="Times New Roman"/>
        </w:rPr>
        <w:fldChar w:fldCharType="end"/>
      </w:r>
      <w:r w:rsidRPr="00DD3BE9" w:rsidR="002012BC">
        <w:rPr>
          <w:rFonts w:ascii="Times New Roman" w:hAnsi="Times New Roman" w:cs="Times New Roman"/>
        </w:rPr>
        <w:noBreakHyphen/>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paragraph00016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16</w:t>
      </w:r>
      <w:r w:rsidRPr="00DD3BE9">
        <w:rPr>
          <w:rFonts w:ascii="Times New Roman" w:hAnsi="Times New Roman" w:cs="Times New Roman"/>
        </w:rPr>
        <w:fldChar w:fldCharType="end"/>
      </w:r>
      <w:r w:rsidRPr="00DD3BE9">
        <w:rPr>
          <w:rFonts w:ascii="Times New Roman" w:hAnsi="Times New Roman" w:cs="Times New Roman"/>
        </w:rPr>
        <w:t xml:space="preserve"> above) and the Federal Court of Justice of 28</w:t>
      </w:r>
      <w:r w:rsidRPr="00DD3BE9" w:rsidR="002012BC">
        <w:rPr>
          <w:rFonts w:ascii="Times New Roman" w:hAnsi="Times New Roman" w:cs="Times New Roman"/>
        </w:rPr>
        <w:t> </w:t>
      </w:r>
      <w:r w:rsidRPr="00DD3BE9">
        <w:rPr>
          <w:rFonts w:ascii="Times New Roman" w:hAnsi="Times New Roman" w:cs="Times New Roman"/>
        </w:rPr>
        <w:t>July</w:t>
      </w:r>
      <w:r w:rsidRPr="00DD3BE9" w:rsidR="002012BC">
        <w:rPr>
          <w:rFonts w:ascii="Times New Roman" w:hAnsi="Times New Roman" w:cs="Times New Roman"/>
        </w:rPr>
        <w:t> </w:t>
      </w:r>
      <w:r w:rsidRPr="00DD3BE9">
        <w:rPr>
          <w:rFonts w:ascii="Times New Roman" w:hAnsi="Times New Roman" w:cs="Times New Roman"/>
        </w:rPr>
        <w:t>2021 (see paragraph</w:t>
      </w:r>
      <w:r w:rsidRPr="00DD3BE9" w:rsidR="002012B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paragraph00017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17</w:t>
      </w:r>
      <w:r w:rsidRPr="00DD3BE9">
        <w:rPr>
          <w:rFonts w:ascii="Times New Roman" w:hAnsi="Times New Roman" w:cs="Times New Roman"/>
        </w:rPr>
        <w:fldChar w:fldCharType="end"/>
      </w:r>
      <w:r w:rsidRPr="00DD3BE9">
        <w:rPr>
          <w:rFonts w:ascii="Times New Roman" w:hAnsi="Times New Roman" w:cs="Times New Roman"/>
        </w:rPr>
        <w:t xml:space="preserve"> above), but also by certain statements made about him in a judgment of the Regional Court of 13 December</w:t>
      </w:r>
      <w:r w:rsidRPr="00DD3BE9" w:rsidR="004026F9">
        <w:rPr>
          <w:rFonts w:ascii="Times New Roman" w:hAnsi="Times New Roman" w:cs="Times New Roman"/>
        </w:rPr>
        <w:t xml:space="preserve"> </w:t>
      </w:r>
      <w:r w:rsidRPr="00DD3BE9">
        <w:rPr>
          <w:rFonts w:ascii="Times New Roman" w:hAnsi="Times New Roman" w:cs="Times New Roman"/>
        </w:rPr>
        <w:t>2022 in criminal proceedings against H.B., a tax lawyer, in connection with the “Cum</w:t>
      </w:r>
      <w:r w:rsidRPr="00DD3BE9" w:rsidR="00BA6587">
        <w:rPr>
          <w:rFonts w:ascii="Times New Roman" w:hAnsi="Times New Roman" w:cs="Times New Roman"/>
        </w:rPr>
        <w:noBreakHyphen/>
      </w:r>
      <w:r w:rsidRPr="00DD3BE9">
        <w:rPr>
          <w:rFonts w:ascii="Times New Roman" w:hAnsi="Times New Roman" w:cs="Times New Roman"/>
        </w:rPr>
        <w:t>Ex” scheme (see paragraphs</w:t>
      </w:r>
      <w:r w:rsidRPr="00DD3BE9" w:rsidR="002012B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paragraph00006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6</w:t>
      </w:r>
      <w:r w:rsidRPr="00DD3BE9">
        <w:rPr>
          <w:rFonts w:ascii="Times New Roman" w:hAnsi="Times New Roman" w:cs="Times New Roman"/>
        </w:rPr>
        <w:fldChar w:fldCharType="end"/>
      </w:r>
      <w:r w:rsidRPr="00DD3BE9">
        <w:rPr>
          <w:rFonts w:ascii="Times New Roman" w:hAnsi="Times New Roman" w:cs="Times New Roman"/>
        </w:rPr>
        <w:t xml:space="preserve"> and</w:t>
      </w:r>
      <w:r w:rsidRPr="00DD3BE9" w:rsidR="002012B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paragraph00007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7</w:t>
      </w:r>
      <w:r w:rsidRPr="00DD3BE9">
        <w:rPr>
          <w:rFonts w:ascii="Times New Roman" w:hAnsi="Times New Roman" w:cs="Times New Roman"/>
        </w:rPr>
        <w:fldChar w:fldCharType="end"/>
      </w:r>
      <w:r w:rsidRPr="00DD3BE9">
        <w:rPr>
          <w:rFonts w:ascii="Times New Roman" w:hAnsi="Times New Roman" w:cs="Times New Roman"/>
        </w:rPr>
        <w:t xml:space="preserve"> above). The applicant argued that these findings further aggravated the violation of his right to be presumed innocent and constituted a fresh violation of that right.</w:t>
      </w:r>
    </w:p>
    <w:p w:rsidRPr="00DD3BE9" w:rsidR="0083243F" w:rsidP="00DD3BE9" w14:paraId="0443AF47" w14:textId="25D385FB">
      <w:pPr>
        <w:pStyle w:val="JuPara"/>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39</w:t>
      </w:r>
      <w:r w:rsidRPr="00DD3BE9">
        <w:rPr>
          <w:rFonts w:ascii="Times New Roman" w:hAnsi="Times New Roman" w:cs="Times New Roman"/>
        </w:rPr>
        <w:fldChar w:fldCharType="end"/>
      </w:r>
      <w:r w:rsidRPr="00DD3BE9">
        <w:rPr>
          <w:rFonts w:ascii="Times New Roman" w:hAnsi="Times New Roman" w:cs="Times New Roman"/>
        </w:rPr>
        <w:t>.  The Court considers that this new complaint does not constitute an elaboration of the applicant</w:t>
      </w:r>
      <w:r w:rsidRPr="00DD3BE9" w:rsidR="00DD3BE9">
        <w:rPr>
          <w:rFonts w:ascii="Times New Roman" w:hAnsi="Times New Roman" w:cs="Times New Roman"/>
        </w:rPr>
        <w:t>’</w:t>
      </w:r>
      <w:r w:rsidRPr="00DD3BE9">
        <w:rPr>
          <w:rFonts w:ascii="Times New Roman" w:hAnsi="Times New Roman" w:cs="Times New Roman"/>
        </w:rPr>
        <w:t>s original complaints in his application lodged on 30</w:t>
      </w:r>
      <w:r w:rsidRPr="00DD3BE9" w:rsidR="007917E6">
        <w:rPr>
          <w:rFonts w:ascii="Times New Roman" w:hAnsi="Times New Roman" w:cs="Times New Roman"/>
        </w:rPr>
        <w:t> </w:t>
      </w:r>
      <w:r w:rsidRPr="00DD3BE9">
        <w:rPr>
          <w:rFonts w:ascii="Times New Roman" w:hAnsi="Times New Roman" w:cs="Times New Roman"/>
        </w:rPr>
        <w:t>March</w:t>
      </w:r>
      <w:r w:rsidRPr="00DD3BE9" w:rsidR="004026F9">
        <w:rPr>
          <w:rFonts w:ascii="Times New Roman" w:hAnsi="Times New Roman" w:cs="Times New Roman"/>
        </w:rPr>
        <w:t xml:space="preserve"> </w:t>
      </w:r>
      <w:r w:rsidRPr="00DD3BE9">
        <w:rPr>
          <w:rFonts w:ascii="Times New Roman" w:hAnsi="Times New Roman" w:cs="Times New Roman"/>
        </w:rPr>
        <w:t xml:space="preserve">2022. Consequently, it falls outside the scope of the present application (see, </w:t>
      </w:r>
      <w:r w:rsidRPr="00DD3BE9">
        <w:rPr>
          <w:rFonts w:ascii="Times New Roman" w:hAnsi="Times New Roman" w:cs="Times New Roman"/>
          <w:i/>
          <w:iCs/>
        </w:rPr>
        <w:t>mutatis mutandis</w:t>
      </w:r>
      <w:r w:rsidRPr="00DD3BE9">
        <w:rPr>
          <w:rFonts w:ascii="Times New Roman" w:hAnsi="Times New Roman" w:cs="Times New Roman"/>
        </w:rPr>
        <w:t xml:space="preserve">, </w:t>
      </w:r>
      <w:bookmarkStart w:name="_cl42383THELAW" w:id="23"/>
      <w:r w:rsidRPr="00DD3BE9">
        <w:rPr>
          <w:i/>
          <w:iCs/>
        </w:rPr>
        <w:t>Pirtskhalava and Tsaadze v.</w:t>
      </w:r>
      <w:r w:rsidRPr="00DD3BE9" w:rsidR="007917E6">
        <w:rPr>
          <w:i/>
          <w:iCs/>
        </w:rPr>
        <w:t> </w:t>
      </w:r>
      <w:r w:rsidRPr="00DD3BE9">
        <w:rPr>
          <w:i/>
          <w:iCs/>
        </w:rPr>
        <w:t>Georgia</w:t>
      </w:r>
      <w:bookmarkEnd w:id="23"/>
      <w:r w:rsidRPr="00DD3BE9">
        <w:t>, no. 29714/18, §</w:t>
      </w:r>
      <w:r w:rsidRPr="00DD3BE9" w:rsidR="002012BC">
        <w:t> </w:t>
      </w:r>
      <w:r w:rsidRPr="00DD3BE9">
        <w:t>36, 23</w:t>
      </w:r>
      <w:r w:rsidRPr="00DD3BE9" w:rsidR="002012BC">
        <w:t> </w:t>
      </w:r>
      <w:r w:rsidRPr="00DD3BE9">
        <w:t>March</w:t>
      </w:r>
      <w:r w:rsidRPr="00DD3BE9" w:rsidR="002012BC">
        <w:t> </w:t>
      </w:r>
      <w:r w:rsidRPr="00DD3BE9">
        <w:t xml:space="preserve">2023, and </w:t>
      </w:r>
      <w:bookmarkStart w:name="_cl36672THELAW" w:id="24"/>
      <w:r w:rsidRPr="00DD3BE9">
        <w:rPr>
          <w:i/>
          <w:iCs/>
        </w:rPr>
        <w:t>Skubenko v.</w:t>
      </w:r>
      <w:r w:rsidRPr="00DD3BE9" w:rsidR="002012BC">
        <w:rPr>
          <w:i/>
          <w:iCs/>
        </w:rPr>
        <w:t> </w:t>
      </w:r>
      <w:r w:rsidRPr="00DD3BE9">
        <w:rPr>
          <w:i/>
          <w:iCs/>
        </w:rPr>
        <w:t>Ukraine</w:t>
      </w:r>
      <w:bookmarkEnd w:id="24"/>
      <w:r w:rsidRPr="00DD3BE9" w:rsidR="007917E6">
        <w:rPr>
          <w:i/>
          <w:iCs/>
        </w:rPr>
        <w:t> </w:t>
      </w:r>
      <w:r w:rsidRPr="00DD3BE9">
        <w:t>(dec.), no. 41152/98, 6</w:t>
      </w:r>
      <w:r w:rsidRPr="00DD3BE9" w:rsidR="002012BC">
        <w:t> </w:t>
      </w:r>
      <w:r w:rsidRPr="00DD3BE9">
        <w:t>April</w:t>
      </w:r>
      <w:r w:rsidRPr="00DD3BE9" w:rsidR="002012BC">
        <w:t> </w:t>
      </w:r>
      <w:r w:rsidRPr="00DD3BE9">
        <w:t>2004).</w:t>
      </w:r>
    </w:p>
    <w:p w:rsidRPr="00DD3BE9" w:rsidR="0083243F" w:rsidP="00DD3BE9" w14:paraId="33A7D943" w14:textId="77777777">
      <w:pPr>
        <w:pStyle w:val="JuHIRoman"/>
        <w:tabs>
          <w:tab w:val="clear" w:pos="454"/>
          <w:tab w:val="clear" w:pos="539"/>
          <w:tab w:val="clear" w:pos="624"/>
          <w:tab w:val="clear" w:pos="709"/>
          <w:tab w:val="clear" w:pos="794"/>
        </w:tabs>
      </w:pPr>
      <w:r w:rsidRPr="00DD3BE9">
        <w:t>ALLEGED VIOLATION OF ARTICLE 6 § 2 OF THE CONVENTION</w:t>
      </w:r>
    </w:p>
    <w:p w:rsidRPr="00DD3BE9" w:rsidR="0083243F" w:rsidP="00DD3BE9" w14:paraId="4946A818" w14:textId="0D9F8A32">
      <w:pPr>
        <w:pStyle w:val="JuPara"/>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40</w:t>
      </w:r>
      <w:r w:rsidRPr="00DD3BE9">
        <w:rPr>
          <w:rFonts w:ascii="Times New Roman" w:hAnsi="Times New Roman" w:cs="Times New Roman"/>
        </w:rPr>
        <w:fldChar w:fldCharType="end"/>
      </w:r>
      <w:r w:rsidRPr="00DD3BE9">
        <w:rPr>
          <w:rFonts w:ascii="Times New Roman" w:hAnsi="Times New Roman" w:cs="Times New Roman"/>
        </w:rPr>
        <w:t>.  The applicant claimed that the statements in the written judgments of the Regional Court of 18</w:t>
      </w:r>
      <w:r w:rsidRPr="00DD3BE9" w:rsidR="002012BC">
        <w:rPr>
          <w:rFonts w:ascii="Times New Roman" w:hAnsi="Times New Roman" w:cs="Times New Roman"/>
        </w:rPr>
        <w:t> </w:t>
      </w:r>
      <w:r w:rsidRPr="00DD3BE9">
        <w:rPr>
          <w:rFonts w:ascii="Times New Roman" w:hAnsi="Times New Roman" w:cs="Times New Roman"/>
        </w:rPr>
        <w:t>March</w:t>
      </w:r>
      <w:r w:rsidRPr="00DD3BE9" w:rsidR="002012BC">
        <w:rPr>
          <w:rFonts w:ascii="Times New Roman" w:hAnsi="Times New Roman" w:cs="Times New Roman"/>
        </w:rPr>
        <w:t> </w:t>
      </w:r>
      <w:r w:rsidRPr="00DD3BE9">
        <w:rPr>
          <w:rFonts w:ascii="Times New Roman" w:hAnsi="Times New Roman" w:cs="Times New Roman"/>
        </w:rPr>
        <w:t>2020 and the Federal Court of Justice of 28 July</w:t>
      </w:r>
      <w:r w:rsidRPr="00DD3BE9" w:rsidR="004026F9">
        <w:rPr>
          <w:rFonts w:ascii="Times New Roman" w:hAnsi="Times New Roman" w:cs="Times New Roman"/>
        </w:rPr>
        <w:t xml:space="preserve"> </w:t>
      </w:r>
      <w:r w:rsidRPr="00DD3BE9">
        <w:rPr>
          <w:rFonts w:ascii="Times New Roman" w:hAnsi="Times New Roman" w:cs="Times New Roman"/>
        </w:rPr>
        <w:t>2021 alleging his involvement in the offences committed by M.S. and N.D. had amounted to a premature expression of his guilt. He relied on Article 6 §</w:t>
      </w:r>
      <w:r w:rsidRPr="00DD3BE9" w:rsidR="002012BC">
        <w:rPr>
          <w:rFonts w:ascii="Times New Roman" w:hAnsi="Times New Roman" w:cs="Times New Roman"/>
        </w:rPr>
        <w:t> </w:t>
      </w:r>
      <w:r w:rsidRPr="00DD3BE9">
        <w:rPr>
          <w:rFonts w:ascii="Times New Roman" w:hAnsi="Times New Roman" w:cs="Times New Roman"/>
        </w:rPr>
        <w:t>2 of the Convention, which reads as follows:</w:t>
      </w:r>
    </w:p>
    <w:p w:rsidRPr="00DD3BE9" w:rsidR="0083243F" w:rsidP="00DD3BE9" w14:paraId="36AB88DF" w14:textId="77777777">
      <w:pPr>
        <w:pStyle w:val="JuQuot"/>
      </w:pPr>
      <w:r w:rsidRPr="00DD3BE9">
        <w:t>“Everyone charged with a criminal offence shall be presumed innocent until proved guilty according to law.”</w:t>
      </w:r>
    </w:p>
    <w:p w:rsidRPr="00DD3BE9" w:rsidR="0083243F" w:rsidP="00DD3BE9" w14:paraId="6DAE98EB" w14:textId="77777777">
      <w:pPr>
        <w:pStyle w:val="JuHA"/>
      </w:pPr>
      <w:r w:rsidRPr="00DD3BE9">
        <w:t>Admissibility</w:t>
      </w:r>
    </w:p>
    <w:p w:rsidRPr="00DD3BE9" w:rsidR="0083243F" w:rsidP="00DD3BE9" w14:paraId="5E2D5B44" w14:textId="77777777">
      <w:pPr>
        <w:pStyle w:val="JuH1"/>
      </w:pPr>
      <w:r w:rsidRPr="00DD3BE9">
        <w:t>Abuse of the right of individual application</w:t>
      </w:r>
    </w:p>
    <w:p w:rsidRPr="00DD3BE9" w:rsidR="0083243F" w:rsidP="00DD3BE9" w14:paraId="0D132F20" w14:textId="70B2C84F">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41</w:t>
      </w:r>
      <w:r w:rsidRPr="00DD3BE9">
        <w:rPr>
          <w:rFonts w:ascii="Times New Roman" w:hAnsi="Times New Roman" w:cs="Times New Roman"/>
        </w:rPr>
        <w:fldChar w:fldCharType="end"/>
      </w:r>
      <w:r w:rsidRPr="00DD3BE9">
        <w:rPr>
          <w:rFonts w:ascii="Times New Roman" w:hAnsi="Times New Roman" w:cs="Times New Roman"/>
        </w:rPr>
        <w:t>.  The Government alleged that, in his application to the Court, the applicant had made repeated use of an incorrect translation of the judgments of the domestic courts. In particular, he had wrongly claimed that the judgments contained findings regarding his “guilt” (</w:t>
      </w:r>
      <w:r w:rsidRPr="00DD3BE9">
        <w:rPr>
          <w:rFonts w:ascii="Times New Roman" w:hAnsi="Times New Roman" w:cs="Times New Roman"/>
          <w:i/>
          <w:iCs/>
        </w:rPr>
        <w:t>Schuld</w:t>
      </w:r>
      <w:r w:rsidRPr="00DD3BE9">
        <w:rPr>
          <w:rFonts w:ascii="Times New Roman" w:hAnsi="Times New Roman" w:cs="Times New Roman"/>
        </w:rPr>
        <w:t>), whereas the domestic courts had in fact refrained from making such findings. The Government argued that it was at least conceivable that the applicant had attempted to mislead the Court.</w:t>
      </w:r>
    </w:p>
    <w:p w:rsidRPr="00DD3BE9" w:rsidR="0083243F" w:rsidP="00DD3BE9" w14:paraId="340395EC" w14:textId="657875E6">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42</w:t>
      </w:r>
      <w:r w:rsidRPr="00DD3BE9">
        <w:rPr>
          <w:rFonts w:ascii="Times New Roman" w:hAnsi="Times New Roman" w:cs="Times New Roman"/>
        </w:rPr>
        <w:fldChar w:fldCharType="end"/>
      </w:r>
      <w:r w:rsidRPr="00DD3BE9">
        <w:rPr>
          <w:rFonts w:ascii="Times New Roman" w:hAnsi="Times New Roman" w:cs="Times New Roman"/>
        </w:rPr>
        <w:t>.  The applicant denied that he had mistranslated any part of the judgments of the domestic courts. He argued that the problem in the present case was not a misleading translation, but a difference in interpretation of the word “guilt” under German criminal law and under the Convention.</w:t>
      </w:r>
    </w:p>
    <w:p w:rsidRPr="00DD3BE9" w:rsidR="0083243F" w:rsidP="00DD3BE9" w14:paraId="089B5A86" w14:textId="0BF35DAC">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43</w:t>
      </w:r>
      <w:r w:rsidRPr="00DD3BE9">
        <w:rPr>
          <w:rFonts w:ascii="Times New Roman" w:hAnsi="Times New Roman" w:cs="Times New Roman"/>
        </w:rPr>
        <w:fldChar w:fldCharType="end"/>
      </w:r>
      <w:r w:rsidRPr="00DD3BE9">
        <w:rPr>
          <w:rFonts w:ascii="Times New Roman" w:hAnsi="Times New Roman" w:cs="Times New Roman"/>
        </w:rPr>
        <w:t>.  The Court considers that the Government</w:t>
      </w:r>
      <w:r w:rsidRPr="00DD3BE9" w:rsidR="00DD3BE9">
        <w:rPr>
          <w:rFonts w:ascii="Times New Roman" w:hAnsi="Times New Roman" w:cs="Times New Roman"/>
        </w:rPr>
        <w:t>’</w:t>
      </w:r>
      <w:r w:rsidRPr="00DD3BE9">
        <w:rPr>
          <w:rFonts w:ascii="Times New Roman" w:hAnsi="Times New Roman" w:cs="Times New Roman"/>
        </w:rPr>
        <w:t>s allegation must be understood as a preliminary objection that the application should be rejected as an abuse of the right of individual application within the meaning of Article</w:t>
      </w:r>
      <w:r w:rsidRPr="00DD3BE9">
        <w:t> </w:t>
      </w:r>
      <w:r w:rsidRPr="00DD3BE9">
        <w:rPr>
          <w:rFonts w:ascii="Times New Roman" w:hAnsi="Times New Roman" w:cs="Times New Roman"/>
        </w:rPr>
        <w:t>35 §</w:t>
      </w:r>
      <w:r w:rsidRPr="00DD3BE9" w:rsidR="008E326C">
        <w:rPr>
          <w:rFonts w:ascii="Times New Roman" w:hAnsi="Times New Roman" w:cs="Times New Roman"/>
        </w:rPr>
        <w:t> </w:t>
      </w:r>
      <w:r w:rsidRPr="00DD3BE9">
        <w:rPr>
          <w:rFonts w:ascii="Times New Roman" w:hAnsi="Times New Roman" w:cs="Times New Roman"/>
        </w:rPr>
        <w:t>3</w:t>
      </w:r>
      <w:r w:rsidRPr="00DD3BE9" w:rsidR="008E326C">
        <w:rPr>
          <w:rFonts w:ascii="Times New Roman" w:hAnsi="Times New Roman" w:cs="Times New Roman"/>
        </w:rPr>
        <w:t> </w:t>
      </w:r>
      <w:r w:rsidRPr="00DD3BE9">
        <w:rPr>
          <w:rFonts w:ascii="Times New Roman" w:hAnsi="Times New Roman" w:cs="Times New Roman"/>
        </w:rPr>
        <w:t>(a) of the Convention.</w:t>
      </w:r>
    </w:p>
    <w:p w:rsidRPr="00DD3BE9" w:rsidR="0083243F" w:rsidP="00DD3BE9" w14:paraId="4AEC8DB6" w14:textId="20CD12CC">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44</w:t>
      </w:r>
      <w:r w:rsidRPr="00DD3BE9">
        <w:rPr>
          <w:rFonts w:ascii="Times New Roman" w:hAnsi="Times New Roman" w:cs="Times New Roman"/>
        </w:rPr>
        <w:fldChar w:fldCharType="end"/>
      </w:r>
      <w:r w:rsidRPr="00DD3BE9">
        <w:rPr>
          <w:rFonts w:ascii="Times New Roman" w:hAnsi="Times New Roman" w:cs="Times New Roman"/>
        </w:rPr>
        <w:t xml:space="preserve">.  The Court reiterates that an application may be rejected as an abuse of the right of application under this provision if, among other reasons, it is knowingly based on untrue facts with a view to deceiving the Court (see </w:t>
      </w:r>
      <w:r w:rsidRPr="00DD3BE9">
        <w:rPr>
          <w:rFonts w:ascii="Times New Roman" w:hAnsi="Times New Roman" w:cs="Times New Roman"/>
          <w:i/>
          <w:iCs/>
        </w:rPr>
        <w:t>Varbanov v.</w:t>
      </w:r>
      <w:r w:rsidRPr="00DD3BE9" w:rsidR="008E326C">
        <w:rPr>
          <w:rFonts w:ascii="Times New Roman" w:hAnsi="Times New Roman" w:cs="Times New Roman"/>
          <w:i/>
          <w:iCs/>
        </w:rPr>
        <w:t> </w:t>
      </w:r>
      <w:r w:rsidRPr="00DD3BE9">
        <w:rPr>
          <w:rFonts w:ascii="Times New Roman" w:hAnsi="Times New Roman" w:cs="Times New Roman"/>
          <w:i/>
          <w:iCs/>
        </w:rPr>
        <w:t>Bulgaria</w:t>
      </w:r>
      <w:r w:rsidRPr="00DD3BE9">
        <w:rPr>
          <w:rFonts w:ascii="Times New Roman" w:hAnsi="Times New Roman" w:cs="Times New Roman"/>
        </w:rPr>
        <w:t>, no.</w:t>
      </w:r>
      <w:r w:rsidRPr="00DD3BE9" w:rsidR="002012BC">
        <w:rPr>
          <w:rFonts w:ascii="Times New Roman" w:hAnsi="Times New Roman" w:cs="Times New Roman"/>
        </w:rPr>
        <w:t> </w:t>
      </w:r>
      <w:r w:rsidRPr="00DD3BE9">
        <w:rPr>
          <w:rFonts w:ascii="Times New Roman" w:hAnsi="Times New Roman" w:cs="Times New Roman"/>
        </w:rPr>
        <w:t>31365/96, §</w:t>
      </w:r>
      <w:r w:rsidRPr="00DD3BE9" w:rsidR="002012BC">
        <w:rPr>
          <w:rFonts w:ascii="Times New Roman" w:hAnsi="Times New Roman" w:cs="Times New Roman"/>
        </w:rPr>
        <w:t> </w:t>
      </w:r>
      <w:r w:rsidRPr="00DD3BE9">
        <w:rPr>
          <w:rFonts w:ascii="Times New Roman" w:hAnsi="Times New Roman" w:cs="Times New Roman"/>
        </w:rPr>
        <w:t>36, ECHR</w:t>
      </w:r>
      <w:r w:rsidRPr="00DD3BE9" w:rsidR="002012BC">
        <w:rPr>
          <w:rFonts w:ascii="Times New Roman" w:hAnsi="Times New Roman" w:cs="Times New Roman"/>
        </w:rPr>
        <w:t> </w:t>
      </w:r>
      <w:r w:rsidRPr="00DD3BE9">
        <w:rPr>
          <w:rFonts w:ascii="Times New Roman" w:hAnsi="Times New Roman" w:cs="Times New Roman"/>
        </w:rPr>
        <w:t>2000</w:t>
      </w:r>
      <w:r w:rsidRPr="00DD3BE9" w:rsidR="002012BC">
        <w:rPr>
          <w:rFonts w:ascii="Times New Roman" w:hAnsi="Times New Roman" w:cs="Times New Roman"/>
        </w:rPr>
        <w:noBreakHyphen/>
      </w:r>
      <w:r w:rsidRPr="00DD3BE9">
        <w:rPr>
          <w:rFonts w:ascii="Times New Roman" w:hAnsi="Times New Roman" w:cs="Times New Roman"/>
        </w:rPr>
        <w:t xml:space="preserve">X; </w:t>
      </w:r>
      <w:r w:rsidRPr="00DD3BE9">
        <w:rPr>
          <w:rFonts w:ascii="Times New Roman" w:hAnsi="Times New Roman" w:cs="Times New Roman"/>
          <w:i/>
          <w:iCs/>
        </w:rPr>
        <w:t>Gogitidze</w:t>
      </w:r>
      <w:r w:rsidRPr="00DD3BE9">
        <w:rPr>
          <w:rFonts w:ascii="Times New Roman" w:hAnsi="Times New Roman" w:cs="Times New Roman"/>
        </w:rPr>
        <w:t xml:space="preserve"> </w:t>
      </w:r>
      <w:r w:rsidRPr="00DD3BE9">
        <w:rPr>
          <w:rFonts w:ascii="Times New Roman" w:hAnsi="Times New Roman" w:cs="Times New Roman"/>
          <w:i/>
          <w:iCs/>
        </w:rPr>
        <w:t>and Others v.</w:t>
      </w:r>
      <w:r w:rsidRPr="00DD3BE9" w:rsidR="002012BC">
        <w:rPr>
          <w:rFonts w:ascii="Times New Roman" w:hAnsi="Times New Roman" w:cs="Times New Roman"/>
          <w:i/>
          <w:iCs/>
        </w:rPr>
        <w:t> </w:t>
      </w:r>
      <w:r w:rsidRPr="00DD3BE9">
        <w:rPr>
          <w:rFonts w:ascii="Times New Roman" w:hAnsi="Times New Roman" w:cs="Times New Roman"/>
          <w:i/>
          <w:iCs/>
        </w:rPr>
        <w:t>Georgia</w:t>
      </w:r>
      <w:r w:rsidRPr="00DD3BE9">
        <w:rPr>
          <w:rFonts w:ascii="Times New Roman" w:hAnsi="Times New Roman" w:cs="Times New Roman"/>
        </w:rPr>
        <w:t>, no.</w:t>
      </w:r>
      <w:r w:rsidRPr="00DD3BE9" w:rsidR="002012BC">
        <w:rPr>
          <w:rFonts w:ascii="Times New Roman" w:hAnsi="Times New Roman" w:cs="Times New Roman"/>
        </w:rPr>
        <w:t> </w:t>
      </w:r>
      <w:r w:rsidRPr="00DD3BE9">
        <w:rPr>
          <w:rFonts w:ascii="Times New Roman" w:hAnsi="Times New Roman" w:cs="Times New Roman"/>
        </w:rPr>
        <w:t>36862/05, §</w:t>
      </w:r>
      <w:r w:rsidRPr="00DD3BE9" w:rsidR="002012BC">
        <w:rPr>
          <w:rFonts w:ascii="Times New Roman" w:hAnsi="Times New Roman" w:cs="Times New Roman"/>
        </w:rPr>
        <w:t> </w:t>
      </w:r>
      <w:r w:rsidRPr="00DD3BE9">
        <w:rPr>
          <w:rFonts w:ascii="Times New Roman" w:hAnsi="Times New Roman" w:cs="Times New Roman"/>
        </w:rPr>
        <w:t>76, 12</w:t>
      </w:r>
      <w:r w:rsidRPr="00DD3BE9" w:rsidR="002012BC">
        <w:rPr>
          <w:rFonts w:ascii="Times New Roman" w:hAnsi="Times New Roman" w:cs="Times New Roman"/>
        </w:rPr>
        <w:t> </w:t>
      </w:r>
      <w:r w:rsidRPr="00DD3BE9">
        <w:rPr>
          <w:rFonts w:ascii="Times New Roman" w:hAnsi="Times New Roman" w:cs="Times New Roman"/>
        </w:rPr>
        <w:t>May</w:t>
      </w:r>
      <w:r w:rsidRPr="00DD3BE9" w:rsidR="002012BC">
        <w:rPr>
          <w:rFonts w:ascii="Times New Roman" w:hAnsi="Times New Roman" w:cs="Times New Roman"/>
        </w:rPr>
        <w:t> </w:t>
      </w:r>
      <w:r w:rsidRPr="00DD3BE9">
        <w:rPr>
          <w:rFonts w:ascii="Times New Roman" w:hAnsi="Times New Roman" w:cs="Times New Roman"/>
        </w:rPr>
        <w:t xml:space="preserve">2015, with further references; and </w:t>
      </w:r>
      <w:bookmarkStart w:name="_cl42398THELAW" w:id="25"/>
      <w:r w:rsidRPr="00DD3BE9">
        <w:rPr>
          <w:i/>
          <w:iCs/>
        </w:rPr>
        <w:t>Gashi and Gina v.</w:t>
      </w:r>
      <w:r w:rsidRPr="00DD3BE9" w:rsidR="002012BC">
        <w:rPr>
          <w:i/>
          <w:iCs/>
        </w:rPr>
        <w:t> </w:t>
      </w:r>
      <w:r w:rsidRPr="00DD3BE9">
        <w:rPr>
          <w:i/>
          <w:iCs/>
        </w:rPr>
        <w:t>Albania</w:t>
      </w:r>
      <w:bookmarkEnd w:id="25"/>
      <w:r w:rsidRPr="00DD3BE9">
        <w:t>, no.</w:t>
      </w:r>
      <w:r w:rsidRPr="00DD3BE9" w:rsidR="002012BC">
        <w:t> </w:t>
      </w:r>
      <w:r w:rsidRPr="00DD3BE9">
        <w:t>29943/18, §</w:t>
      </w:r>
      <w:r w:rsidRPr="00DD3BE9" w:rsidR="002012BC">
        <w:t> </w:t>
      </w:r>
      <w:r w:rsidRPr="00DD3BE9">
        <w:t>32, 4</w:t>
      </w:r>
      <w:r w:rsidRPr="00DD3BE9" w:rsidR="002012BC">
        <w:t> </w:t>
      </w:r>
      <w:r w:rsidRPr="00DD3BE9">
        <w:t>April</w:t>
      </w:r>
      <w:r w:rsidRPr="00DD3BE9" w:rsidR="002012BC">
        <w:t> </w:t>
      </w:r>
      <w:r w:rsidRPr="00DD3BE9">
        <w:t xml:space="preserve">2023). </w:t>
      </w:r>
      <w:r w:rsidRPr="00DD3BE9">
        <w:rPr>
          <w:rFonts w:ascii="Times New Roman" w:hAnsi="Times New Roman" w:cs="Times New Roman"/>
        </w:rPr>
        <w:t>Applicants must reproduce the facts correctly and their legal views must not limit the account of the facts. In the present case, there is no sufficient indication that the applicant knowingly submitted misleading information to the Court. In so far as the Government objected to the applicant</w:t>
      </w:r>
      <w:r w:rsidRPr="00DD3BE9" w:rsidR="00DD3BE9">
        <w:rPr>
          <w:rFonts w:ascii="Times New Roman" w:hAnsi="Times New Roman" w:cs="Times New Roman"/>
        </w:rPr>
        <w:t>’</w:t>
      </w:r>
      <w:r w:rsidRPr="00DD3BE9">
        <w:rPr>
          <w:rFonts w:ascii="Times New Roman" w:hAnsi="Times New Roman" w:cs="Times New Roman"/>
        </w:rPr>
        <w:t>s use of the word “guilt”, the Court considers that this is a matter to be assessed when dealing with the examination of the content and meaning of the domestic decisions challenged by the applicant (see paragraph</w:t>
      </w:r>
      <w:r w:rsidRPr="00DD3BE9" w:rsidR="002012BC">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paragraph00065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65</w:t>
      </w:r>
      <w:r w:rsidRPr="00DD3BE9">
        <w:rPr>
          <w:rFonts w:ascii="Times New Roman" w:hAnsi="Times New Roman" w:cs="Times New Roman"/>
        </w:rPr>
        <w:fldChar w:fldCharType="end"/>
      </w:r>
      <w:r w:rsidRPr="00DD3BE9">
        <w:rPr>
          <w:rFonts w:ascii="Times New Roman" w:hAnsi="Times New Roman" w:cs="Times New Roman"/>
        </w:rPr>
        <w:t xml:space="preserve"> below).</w:t>
      </w:r>
    </w:p>
    <w:p w:rsidRPr="00DD3BE9" w:rsidR="0083243F" w:rsidP="00DD3BE9" w14:paraId="70056072" w14:textId="7E579D47">
      <w:pPr>
        <w:pStyle w:val="JuPara"/>
        <w:rPr>
          <w:i/>
          <w:iCs/>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45</w:t>
      </w:r>
      <w:r w:rsidRPr="00DD3BE9">
        <w:rPr>
          <w:rFonts w:ascii="Times New Roman" w:hAnsi="Times New Roman" w:cs="Times New Roman"/>
        </w:rPr>
        <w:fldChar w:fldCharType="end"/>
      </w:r>
      <w:r w:rsidRPr="00DD3BE9">
        <w:rPr>
          <w:rFonts w:ascii="Times New Roman" w:hAnsi="Times New Roman" w:cs="Times New Roman"/>
        </w:rPr>
        <w:t>.  The Government</w:t>
      </w:r>
      <w:r w:rsidRPr="00DD3BE9" w:rsidR="00DD3BE9">
        <w:rPr>
          <w:rFonts w:ascii="Times New Roman" w:hAnsi="Times New Roman" w:cs="Times New Roman"/>
        </w:rPr>
        <w:t>’</w:t>
      </w:r>
      <w:r w:rsidRPr="00DD3BE9">
        <w:rPr>
          <w:rFonts w:ascii="Times New Roman" w:hAnsi="Times New Roman" w:cs="Times New Roman"/>
        </w:rPr>
        <w:t>s preliminary objection is therefore dismissed.</w:t>
      </w:r>
    </w:p>
    <w:p w:rsidRPr="00DD3BE9" w:rsidR="0083243F" w:rsidP="00DD3BE9" w14:paraId="1951F3BF" w14:textId="77777777">
      <w:pPr>
        <w:pStyle w:val="JuH1"/>
      </w:pPr>
      <w:r w:rsidRPr="00DD3BE9">
        <w:t>Other grounds for inadmissibility</w:t>
      </w:r>
    </w:p>
    <w:p w:rsidRPr="00DD3BE9" w:rsidR="0083243F" w:rsidP="00DD3BE9" w14:paraId="7800A373" w14:textId="0EB8E294">
      <w:pPr>
        <w:pStyle w:val="JuPara"/>
      </w:pPr>
      <w:r>
        <w:fldChar w:fldCharType="begin"/>
      </w:r>
      <w:r>
        <w:instrText xml:space="preserve"> SEQ level0 \*arabic \* MERGEFORMAT </w:instrText>
      </w:r>
      <w:r>
        <w:fldChar w:fldCharType="separate"/>
      </w:r>
      <w:r w:rsidRPr="00DD3BE9" w:rsidR="00DD3BE9">
        <w:rPr>
          <w:noProof/>
        </w:rPr>
        <w:t>46</w:t>
      </w:r>
      <w:r>
        <w:rPr>
          <w:noProof/>
        </w:rPr>
        <w:fldChar w:fldCharType="end"/>
      </w:r>
      <w:r w:rsidRPr="00DD3BE9">
        <w:t>.  The Court notes that the complaint is neither manifestly ill</w:t>
      </w:r>
      <w:r w:rsidRPr="00DD3BE9" w:rsidR="008E326C">
        <w:noBreakHyphen/>
      </w:r>
      <w:r w:rsidRPr="00DD3BE9">
        <w:t>founded nor inadmissible on any other grounds listed in Article 35 of the Convention. It must therefore be declared admissible.</w:t>
      </w:r>
    </w:p>
    <w:p w:rsidRPr="00DD3BE9" w:rsidR="0083243F" w:rsidP="00DD3BE9" w14:paraId="4B8B7467" w14:textId="77777777">
      <w:pPr>
        <w:pStyle w:val="JuHA"/>
      </w:pPr>
      <w:r w:rsidRPr="00DD3BE9">
        <w:t>Merits</w:t>
      </w:r>
    </w:p>
    <w:p w:rsidRPr="00DD3BE9" w:rsidR="0083243F" w:rsidP="00DD3BE9" w14:paraId="3FFD768C" w14:textId="78C88EBA">
      <w:pPr>
        <w:pStyle w:val="JuH1"/>
        <w:rPr>
          <w:rFonts w:ascii="Times New Roman" w:hAnsi="Times New Roman" w:cs="Times New Roman"/>
          <w:i w:val="0"/>
          <w:iCs w:val="0"/>
        </w:rPr>
      </w:pPr>
      <w:r w:rsidRPr="00DD3BE9">
        <w:t>The parties</w:t>
      </w:r>
      <w:r w:rsidRPr="00DD3BE9" w:rsidR="00DD3BE9">
        <w:t>’</w:t>
      </w:r>
      <w:r w:rsidRPr="00DD3BE9">
        <w:t xml:space="preserve"> submissions</w:t>
      </w:r>
    </w:p>
    <w:p w:rsidRPr="00DD3BE9" w:rsidR="0083243F" w:rsidP="00DD3BE9" w14:paraId="79B9BE9C" w14:textId="77777777">
      <w:pPr>
        <w:pStyle w:val="JuHa0"/>
      </w:pPr>
      <w:r w:rsidRPr="00DD3BE9">
        <w:t>The applicant</w:t>
      </w:r>
    </w:p>
    <w:bookmarkStart w:name="paragraph00047" w:id="26"/>
    <w:p w:rsidRPr="00DD3BE9" w:rsidR="0083243F" w:rsidP="00DD3BE9" w14:paraId="65D25A22" w14:textId="58345119">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47</w:t>
      </w:r>
      <w:r w:rsidRPr="00DD3BE9">
        <w:rPr>
          <w:rFonts w:ascii="Times New Roman" w:hAnsi="Times New Roman" w:cs="Times New Roman"/>
        </w:rPr>
        <w:fldChar w:fldCharType="end"/>
      </w:r>
      <w:bookmarkEnd w:id="26"/>
      <w:r w:rsidRPr="00DD3BE9">
        <w:rPr>
          <w:rFonts w:ascii="Times New Roman" w:hAnsi="Times New Roman" w:cs="Times New Roman"/>
        </w:rPr>
        <w:t>.  The applicant complained that the domestic courts had described his actions and intentions in detail, even though he had not had the opportunity to deny or refute these assumptions. Moreover, the courts had assessed his actions from a legal point of view. While they had not made any findings regarding his “guilt” (</w:t>
      </w:r>
      <w:r w:rsidRPr="00DD3BE9">
        <w:rPr>
          <w:rFonts w:ascii="Times New Roman" w:hAnsi="Times New Roman" w:cs="Times New Roman"/>
          <w:i/>
          <w:iCs/>
        </w:rPr>
        <w:t>Schuld</w:t>
      </w:r>
      <w:r w:rsidRPr="00DD3BE9">
        <w:rPr>
          <w:rFonts w:ascii="Times New Roman" w:hAnsi="Times New Roman" w:cs="Times New Roman"/>
        </w:rPr>
        <w:t>) within the meaning of German criminal law, they had explained in detail that he had fulfilled all the other basic conditions of criminal liability (see paragraphs</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paragraph00025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25</w:t>
      </w:r>
      <w:r w:rsidRPr="00DD3BE9">
        <w:rPr>
          <w:rFonts w:ascii="Times New Roman" w:hAnsi="Times New Roman" w:cs="Times New Roman"/>
        </w:rPr>
        <w:fldChar w:fldCharType="end"/>
      </w:r>
      <w:r w:rsidRPr="00DD3BE9">
        <w:rPr>
          <w:rFonts w:ascii="Times New Roman" w:hAnsi="Times New Roman" w:cs="Times New Roman"/>
        </w:rPr>
        <w:t xml:space="preserve"> to</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paragraph00028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28</w:t>
      </w:r>
      <w:r w:rsidRPr="00DD3BE9">
        <w:rPr>
          <w:rFonts w:ascii="Times New Roman" w:hAnsi="Times New Roman" w:cs="Times New Roman"/>
        </w:rPr>
        <w:fldChar w:fldCharType="end"/>
      </w:r>
      <w:r w:rsidRPr="00DD3BE9">
        <w:rPr>
          <w:rFonts w:ascii="Times New Roman" w:hAnsi="Times New Roman" w:cs="Times New Roman"/>
        </w:rPr>
        <w:t xml:space="preserve"> above). They had clearly expressed their belief that he was guilty, instead of merely expressing a suspicion that he had committed the offences in question. Furthermore, the courts had used strong language, repeatedly stating that they were “convinced” (</w:t>
      </w:r>
      <w:r w:rsidRPr="00DD3BE9">
        <w:rPr>
          <w:rFonts w:ascii="Times New Roman" w:hAnsi="Times New Roman" w:cs="Times New Roman"/>
          <w:i/>
          <w:iCs/>
        </w:rPr>
        <w:t>überzeugt</w:t>
      </w:r>
      <w:r w:rsidRPr="00DD3BE9">
        <w:rPr>
          <w:rFonts w:ascii="Times New Roman" w:hAnsi="Times New Roman" w:cs="Times New Roman"/>
        </w:rPr>
        <w:t>) and never using the terms “alleged” or “allegedly” (</w:t>
      </w:r>
      <w:r w:rsidRPr="00DD3BE9">
        <w:rPr>
          <w:rFonts w:ascii="Times New Roman" w:hAnsi="Times New Roman" w:cs="Times New Roman"/>
          <w:i/>
          <w:iCs/>
        </w:rPr>
        <w:t>angeblich</w:t>
      </w:r>
      <w:r w:rsidRPr="00DD3BE9">
        <w:rPr>
          <w:rFonts w:ascii="Times New Roman" w:hAnsi="Times New Roman" w:cs="Times New Roman"/>
        </w:rPr>
        <w:t>) when describing his involvement in the offences. They had also unnecessarily disclosed his identity. Overall, they had gone far beyond what was necessary to establish the criminal liability of M.S. and N.D., who had already assumed responsibility for their actions and cooperated with the authorities. By comparison, the Regional Court had used much more restrained language when referring to him in its written judgment against C.S. (see paragraph</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paragraph00020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20</w:t>
      </w:r>
      <w:r w:rsidRPr="00DD3BE9">
        <w:rPr>
          <w:rFonts w:ascii="Times New Roman" w:hAnsi="Times New Roman" w:cs="Times New Roman"/>
        </w:rPr>
        <w:fldChar w:fldCharType="end"/>
      </w:r>
      <w:r w:rsidRPr="00DD3BE9">
        <w:rPr>
          <w:rFonts w:ascii="Times New Roman" w:hAnsi="Times New Roman" w:cs="Times New Roman"/>
        </w:rPr>
        <w:t xml:space="preserve"> above).</w:t>
      </w:r>
    </w:p>
    <w:bookmarkStart w:name="paragraph00048" w:id="27"/>
    <w:p w:rsidRPr="00DD3BE9" w:rsidR="0083243F" w:rsidP="00DD3BE9" w14:paraId="51D8C71B" w14:textId="610F4554">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48</w:t>
      </w:r>
      <w:r w:rsidRPr="00DD3BE9">
        <w:rPr>
          <w:rFonts w:ascii="Times New Roman" w:hAnsi="Times New Roman" w:cs="Times New Roman"/>
        </w:rPr>
        <w:fldChar w:fldCharType="end"/>
      </w:r>
      <w:bookmarkEnd w:id="27"/>
      <w:r w:rsidRPr="00DD3BE9">
        <w:rPr>
          <w:rFonts w:ascii="Times New Roman" w:hAnsi="Times New Roman" w:cs="Times New Roman"/>
        </w:rPr>
        <w:t>.  The applicant also maintained that the fact that the domestic courts had referred to him as a “separately prosecuted person” throughout their written judgments had not been a sufficient safeguard of his right to be presumed innocent. Any protective effect of that expression had ultimately been cancelled out by the excessive factual findings and legal assessment concerning his alleged involvement in the offences, as well as by the strong language used by the domestic courts. The applicant argued that further procedural safeguards would have been necessary to protect his right to be presumed innocent, in particular the use of more moderate language and a clear indication that his guilt could only be established in the separate criminal proceedings pending against him. Relying on the CJEU</w:t>
      </w:r>
      <w:r w:rsidRPr="00DD3BE9" w:rsidR="00DD3BE9">
        <w:rPr>
          <w:rFonts w:ascii="Times New Roman" w:hAnsi="Times New Roman" w:cs="Times New Roman"/>
        </w:rPr>
        <w:t>’</w:t>
      </w:r>
      <w:r w:rsidRPr="00DD3BE9">
        <w:rPr>
          <w:rFonts w:ascii="Times New Roman" w:hAnsi="Times New Roman" w:cs="Times New Roman"/>
        </w:rPr>
        <w:t>s judgment of 5</w:t>
      </w:r>
      <w:r w:rsidRPr="00DD3BE9" w:rsidR="009D6BF3">
        <w:rPr>
          <w:rFonts w:ascii="Times New Roman" w:hAnsi="Times New Roman" w:cs="Times New Roman"/>
        </w:rPr>
        <w:t> </w:t>
      </w:r>
      <w:r w:rsidRPr="00DD3BE9">
        <w:rPr>
          <w:rFonts w:ascii="Times New Roman" w:hAnsi="Times New Roman" w:cs="Times New Roman"/>
        </w:rPr>
        <w:t>September</w:t>
      </w:r>
      <w:r w:rsidRPr="00DD3BE9" w:rsidR="009D6BF3">
        <w:rPr>
          <w:rFonts w:ascii="Times New Roman" w:hAnsi="Times New Roman" w:cs="Times New Roman"/>
        </w:rPr>
        <w:t> </w:t>
      </w:r>
      <w:r w:rsidRPr="00DD3BE9">
        <w:rPr>
          <w:rFonts w:ascii="Times New Roman" w:hAnsi="Times New Roman" w:cs="Times New Roman"/>
        </w:rPr>
        <w:t xml:space="preserve">2019 in the case of </w:t>
      </w:r>
      <w:r w:rsidRPr="00DD3BE9">
        <w:rPr>
          <w:i/>
          <w:iCs/>
        </w:rPr>
        <w:t xml:space="preserve">AH and Others </w:t>
      </w:r>
      <w:r w:rsidRPr="00DD3BE9">
        <w:rPr>
          <w:rFonts w:ascii="Times New Roman" w:hAnsi="Times New Roman" w:cs="Times New Roman"/>
        </w:rPr>
        <w:t>(see paragraph</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paragraph00036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36</w:t>
      </w:r>
      <w:r w:rsidRPr="00DD3BE9">
        <w:rPr>
          <w:rFonts w:ascii="Times New Roman" w:hAnsi="Times New Roman" w:cs="Times New Roman"/>
        </w:rPr>
        <w:fldChar w:fldCharType="end"/>
      </w:r>
      <w:r w:rsidRPr="00DD3BE9">
        <w:rPr>
          <w:rFonts w:ascii="Times New Roman" w:hAnsi="Times New Roman" w:cs="Times New Roman"/>
        </w:rPr>
        <w:t xml:space="preserve"> above), he complained that the criminal courts had not made any explicit reference to the presumption of innocence or any explicit statement that his guilt could only be established in the proceedings initiated against him personally.</w:t>
      </w:r>
    </w:p>
    <w:p w:rsidRPr="00DD3BE9" w:rsidR="0083243F" w:rsidP="00DD3BE9" w14:paraId="045B4136" w14:textId="6EA728E4">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49</w:t>
      </w:r>
      <w:r w:rsidRPr="00DD3BE9">
        <w:rPr>
          <w:rFonts w:ascii="Times New Roman" w:hAnsi="Times New Roman" w:cs="Times New Roman"/>
        </w:rPr>
        <w:fldChar w:fldCharType="end"/>
      </w:r>
      <w:r w:rsidRPr="00DD3BE9">
        <w:rPr>
          <w:rFonts w:ascii="Times New Roman" w:hAnsi="Times New Roman" w:cs="Times New Roman"/>
        </w:rPr>
        <w:t>.  Furthermore, the applicant claimed that it was problematic, in the light of the presumption of innocence, to convict persons accused of aiding and abetting an offence before trying the main perpetrator, as the courts had done in the present case.</w:t>
      </w:r>
    </w:p>
    <w:bookmarkStart w:name="paragraph00050" w:id="28"/>
    <w:p w:rsidRPr="00DD3BE9" w:rsidR="0083243F" w:rsidP="00DD3BE9" w14:paraId="3BE16565" w14:textId="47698842">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50</w:t>
      </w:r>
      <w:r w:rsidRPr="00DD3BE9">
        <w:rPr>
          <w:rFonts w:ascii="Times New Roman" w:hAnsi="Times New Roman" w:cs="Times New Roman"/>
        </w:rPr>
        <w:fldChar w:fldCharType="end"/>
      </w:r>
      <w:bookmarkEnd w:id="28"/>
      <w:r w:rsidRPr="00DD3BE9">
        <w:rPr>
          <w:rFonts w:ascii="Times New Roman" w:hAnsi="Times New Roman" w:cs="Times New Roman"/>
        </w:rPr>
        <w:t xml:space="preserve">.  The applicant argued that the impugned statements had compromised the fairness of the (then ongoing) criminal proceedings against him because the findings of the criminal courts in the proceedings against M.S. and N.D. had been legally binding on the court hearing the case against him and had thus </w:t>
      </w:r>
      <w:r w:rsidRPr="00DD3BE9">
        <w:rPr>
          <w:rFonts w:ascii="Times New Roman" w:hAnsi="Times New Roman" w:cs="Times New Roman"/>
          <w:i/>
          <w:iCs/>
        </w:rPr>
        <w:t xml:space="preserve">de facto </w:t>
      </w:r>
      <w:r w:rsidRPr="00DD3BE9">
        <w:rPr>
          <w:rFonts w:ascii="Times New Roman" w:hAnsi="Times New Roman" w:cs="Times New Roman"/>
        </w:rPr>
        <w:t>prejudged the outcome of the criminal proceedings against him.</w:t>
      </w:r>
    </w:p>
    <w:p w:rsidRPr="00DD3BE9" w:rsidR="0083243F" w:rsidP="00DD3BE9" w14:paraId="50FBB70C" w14:textId="77777777">
      <w:pPr>
        <w:pStyle w:val="JuHa0"/>
        <w:rPr>
          <w:rFonts w:ascii="Times New Roman" w:hAnsi="Times New Roman" w:cs="Times New Roman"/>
          <w:szCs w:val="20"/>
        </w:rPr>
      </w:pPr>
      <w:r w:rsidRPr="00DD3BE9">
        <w:t>The Government</w:t>
      </w:r>
    </w:p>
    <w:p w:rsidRPr="00DD3BE9" w:rsidR="0083243F" w:rsidP="00DD3BE9" w14:paraId="63AA1BA7" w14:textId="2F81B642">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51</w:t>
      </w:r>
      <w:r w:rsidRPr="00DD3BE9">
        <w:rPr>
          <w:rFonts w:ascii="Times New Roman" w:hAnsi="Times New Roman" w:cs="Times New Roman"/>
        </w:rPr>
        <w:fldChar w:fldCharType="end"/>
      </w:r>
      <w:r w:rsidRPr="00DD3BE9">
        <w:rPr>
          <w:rFonts w:ascii="Times New Roman" w:hAnsi="Times New Roman" w:cs="Times New Roman"/>
        </w:rPr>
        <w:t>.  The Government submitted that the mere fact that M.S. and N.D. had been tried and sentenced separately before the applicant</w:t>
      </w:r>
      <w:r w:rsidRPr="00DD3BE9" w:rsidR="00DD3BE9">
        <w:rPr>
          <w:rFonts w:ascii="Times New Roman" w:hAnsi="Times New Roman" w:cs="Times New Roman"/>
        </w:rPr>
        <w:t>’</w:t>
      </w:r>
      <w:r w:rsidRPr="00DD3BE9">
        <w:rPr>
          <w:rFonts w:ascii="Times New Roman" w:hAnsi="Times New Roman" w:cs="Times New Roman"/>
        </w:rPr>
        <w:t>s trial was not a cause for concern. Owing to the complex nature of “Cum</w:t>
      </w:r>
      <w:r w:rsidRPr="00DD3BE9" w:rsidR="009D6BF3">
        <w:rPr>
          <w:rFonts w:ascii="Times New Roman" w:hAnsi="Times New Roman" w:cs="Times New Roman"/>
        </w:rPr>
        <w:noBreakHyphen/>
      </w:r>
      <w:r w:rsidRPr="00DD3BE9">
        <w:rPr>
          <w:rFonts w:ascii="Times New Roman" w:hAnsi="Times New Roman" w:cs="Times New Roman"/>
        </w:rPr>
        <w:t>Ex” cases and the large number of accused persons, it had not been possible to try them all at the same time. Since M.S. and N.D. had been among the few accused persons who had confessed to their involvement in the fraudulent transactions, it had been decided, for organisational reasons and in the interests of procedural economy, to indict them separately shortly after their confession. That decision had also been in line with the obligation under German law to conduct criminal proceedings expeditiously (</w:t>
      </w:r>
      <w:r w:rsidRPr="00DD3BE9">
        <w:rPr>
          <w:rFonts w:ascii="Times New Roman" w:hAnsi="Times New Roman" w:cs="Times New Roman"/>
          <w:i/>
          <w:iCs/>
        </w:rPr>
        <w:t>Beschleunigungsgrundsatz</w:t>
      </w:r>
      <w:r w:rsidRPr="00DD3BE9">
        <w:rPr>
          <w:rFonts w:ascii="Times New Roman" w:hAnsi="Times New Roman" w:cs="Times New Roman"/>
        </w:rPr>
        <w:t>, see paragraph</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paragraph00033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33</w:t>
      </w:r>
      <w:r w:rsidRPr="00DD3BE9">
        <w:rPr>
          <w:rFonts w:ascii="Times New Roman" w:hAnsi="Times New Roman" w:cs="Times New Roman"/>
        </w:rPr>
        <w:fldChar w:fldCharType="end"/>
      </w:r>
      <w:r w:rsidRPr="00DD3BE9">
        <w:rPr>
          <w:rFonts w:ascii="Times New Roman" w:hAnsi="Times New Roman" w:cs="Times New Roman"/>
        </w:rPr>
        <w:t xml:space="preserve"> above).</w:t>
      </w:r>
    </w:p>
    <w:bookmarkStart w:name="paragraph00052" w:id="29"/>
    <w:p w:rsidRPr="00DD3BE9" w:rsidR="0083243F" w:rsidP="00DD3BE9" w14:paraId="0FF3BCC6" w14:textId="70D86486">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52</w:t>
      </w:r>
      <w:r w:rsidRPr="00DD3BE9">
        <w:rPr>
          <w:rFonts w:ascii="Times New Roman" w:hAnsi="Times New Roman" w:cs="Times New Roman"/>
        </w:rPr>
        <w:fldChar w:fldCharType="end"/>
      </w:r>
      <w:bookmarkEnd w:id="29"/>
      <w:r w:rsidRPr="00DD3BE9">
        <w:rPr>
          <w:rFonts w:ascii="Times New Roman" w:hAnsi="Times New Roman" w:cs="Times New Roman"/>
        </w:rPr>
        <w:t>.  Furthermore, the Government essentially claimed that in the absence of any findings regarding the applicant</w:t>
      </w:r>
      <w:r w:rsidRPr="00DD3BE9" w:rsidR="00DD3BE9">
        <w:rPr>
          <w:rFonts w:ascii="Times New Roman" w:hAnsi="Times New Roman" w:cs="Times New Roman"/>
        </w:rPr>
        <w:t>’</w:t>
      </w:r>
      <w:r w:rsidRPr="00DD3BE9">
        <w:rPr>
          <w:rFonts w:ascii="Times New Roman" w:hAnsi="Times New Roman" w:cs="Times New Roman"/>
        </w:rPr>
        <w:t>s “guilt” (</w:t>
      </w:r>
      <w:r w:rsidRPr="00DD3BE9">
        <w:rPr>
          <w:rFonts w:ascii="Times New Roman" w:hAnsi="Times New Roman" w:cs="Times New Roman"/>
          <w:i/>
          <w:iCs/>
        </w:rPr>
        <w:t>Schuld</w:t>
      </w:r>
      <w:r w:rsidRPr="00DD3BE9">
        <w:rPr>
          <w:rFonts w:ascii="Times New Roman" w:hAnsi="Times New Roman" w:cs="Times New Roman"/>
        </w:rPr>
        <w:t xml:space="preserve">) within the meaning of German criminal law, a violation of his right to be presumed innocent could be ruled out from the outset. </w:t>
      </w:r>
      <w:bookmarkStart w:name="OLE_LINK1" w:id="30"/>
      <w:r w:rsidRPr="00DD3BE9">
        <w:rPr>
          <w:rFonts w:ascii="Times New Roman" w:hAnsi="Times New Roman" w:cs="Times New Roman"/>
        </w:rPr>
        <w:t>They argued that the presumption of innocence, as guaranteed by Article</w:t>
      </w:r>
      <w:r w:rsidRPr="00DD3BE9" w:rsidR="009D6BF3">
        <w:rPr>
          <w:rFonts w:ascii="Times New Roman" w:hAnsi="Times New Roman" w:cs="Times New Roman"/>
        </w:rPr>
        <w:t> </w:t>
      </w:r>
      <w:r w:rsidRPr="00DD3BE9">
        <w:rPr>
          <w:rFonts w:ascii="Times New Roman" w:hAnsi="Times New Roman" w:cs="Times New Roman"/>
        </w:rPr>
        <w:t>6 §</w:t>
      </w:r>
      <w:r w:rsidRPr="00DD3BE9" w:rsidR="009D6BF3">
        <w:rPr>
          <w:rFonts w:ascii="Times New Roman" w:hAnsi="Times New Roman" w:cs="Times New Roman"/>
        </w:rPr>
        <w:t> </w:t>
      </w:r>
      <w:r w:rsidRPr="00DD3BE9">
        <w:rPr>
          <w:rFonts w:ascii="Times New Roman" w:hAnsi="Times New Roman" w:cs="Times New Roman"/>
        </w:rPr>
        <w:t>2 of the Convention, was at issue where the criminal liability of an individual had been prejudged, that this criminal liability was determined in accordance with domestic law, and that under German criminal law, “guilt” (</w:t>
      </w:r>
      <w:r w:rsidRPr="00DD3BE9">
        <w:rPr>
          <w:rFonts w:ascii="Times New Roman" w:hAnsi="Times New Roman" w:cs="Times New Roman"/>
          <w:i/>
          <w:iCs/>
        </w:rPr>
        <w:t>Schuld</w:t>
      </w:r>
      <w:r w:rsidRPr="00DD3BE9">
        <w:rPr>
          <w:rFonts w:ascii="Times New Roman" w:hAnsi="Times New Roman" w:cs="Times New Roman"/>
        </w:rPr>
        <w:t xml:space="preserve">) was only one of several elements necessary to establish criminal liability </w:t>
      </w:r>
      <w:bookmarkEnd w:id="30"/>
      <w:r w:rsidRPr="00DD3BE9">
        <w:rPr>
          <w:rFonts w:ascii="Times New Roman" w:hAnsi="Times New Roman" w:cs="Times New Roman"/>
        </w:rPr>
        <w:t>(see paragraphs</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paragraph00025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25</w:t>
      </w:r>
      <w:r w:rsidRPr="00DD3BE9">
        <w:rPr>
          <w:rFonts w:ascii="Times New Roman" w:hAnsi="Times New Roman" w:cs="Times New Roman"/>
        </w:rPr>
        <w:fldChar w:fldCharType="end"/>
      </w:r>
      <w:r w:rsidRPr="00DD3BE9">
        <w:rPr>
          <w:rFonts w:ascii="Times New Roman" w:hAnsi="Times New Roman" w:cs="Times New Roman"/>
        </w:rPr>
        <w:t xml:space="preserve"> to</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paragraph00028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28</w:t>
      </w:r>
      <w:r w:rsidRPr="00DD3BE9">
        <w:rPr>
          <w:rFonts w:ascii="Times New Roman" w:hAnsi="Times New Roman" w:cs="Times New Roman"/>
        </w:rPr>
        <w:fldChar w:fldCharType="end"/>
      </w:r>
      <w:r w:rsidRPr="00DD3BE9">
        <w:rPr>
          <w:rFonts w:ascii="Times New Roman" w:hAnsi="Times New Roman" w:cs="Times New Roman"/>
        </w:rPr>
        <w:t xml:space="preserve"> above). The Government stressed that the criminal courts had refrained from making any findings regarding the applicant</w:t>
      </w:r>
      <w:r w:rsidRPr="00DD3BE9" w:rsidR="00DD3BE9">
        <w:rPr>
          <w:rFonts w:ascii="Times New Roman" w:hAnsi="Times New Roman" w:cs="Times New Roman"/>
        </w:rPr>
        <w:t>’</w:t>
      </w:r>
      <w:r w:rsidRPr="00DD3BE9">
        <w:rPr>
          <w:rFonts w:ascii="Times New Roman" w:hAnsi="Times New Roman" w:cs="Times New Roman"/>
        </w:rPr>
        <w:t>s “guilt” (</w:t>
      </w:r>
      <w:r w:rsidRPr="00DD3BE9">
        <w:rPr>
          <w:rFonts w:ascii="Times New Roman" w:hAnsi="Times New Roman" w:cs="Times New Roman"/>
          <w:i/>
          <w:iCs/>
        </w:rPr>
        <w:t>Schuld</w:t>
      </w:r>
      <w:r w:rsidRPr="00DD3BE9">
        <w:rPr>
          <w:rFonts w:ascii="Times New Roman" w:hAnsi="Times New Roman" w:cs="Times New Roman"/>
        </w:rPr>
        <w:t>).</w:t>
      </w:r>
    </w:p>
    <w:p w:rsidRPr="00DD3BE9" w:rsidR="0083243F" w:rsidP="00DD3BE9" w14:paraId="149DA903" w14:textId="1AAB6541">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53</w:t>
      </w:r>
      <w:r w:rsidRPr="00DD3BE9">
        <w:rPr>
          <w:rFonts w:ascii="Times New Roman" w:hAnsi="Times New Roman" w:cs="Times New Roman"/>
        </w:rPr>
        <w:fldChar w:fldCharType="end"/>
      </w:r>
      <w:r w:rsidRPr="00DD3BE9">
        <w:rPr>
          <w:rFonts w:ascii="Times New Roman" w:hAnsi="Times New Roman" w:cs="Times New Roman"/>
        </w:rPr>
        <w:t>.  The Government also submitted that, by referring to the applicant as a “separately prosecuted person” throughout their written judgments, the criminal courts had made it clear that he was not the defendant and that his guilt (criminal liability) was not to be established in the proceedings against M.S. and N.D. Relying on the Court</w:t>
      </w:r>
      <w:r w:rsidRPr="00DD3BE9" w:rsidR="00DD3BE9">
        <w:rPr>
          <w:rFonts w:ascii="Times New Roman" w:hAnsi="Times New Roman" w:cs="Times New Roman"/>
        </w:rPr>
        <w:t>’</w:t>
      </w:r>
      <w:r w:rsidRPr="00DD3BE9">
        <w:rPr>
          <w:rFonts w:ascii="Times New Roman" w:hAnsi="Times New Roman" w:cs="Times New Roman"/>
        </w:rPr>
        <w:t xml:space="preserve">s judgment in the case of </w:t>
      </w:r>
      <w:bookmarkStart w:name="_cl21830" w:id="31"/>
      <w:r w:rsidRPr="00DD3BE9">
        <w:rPr>
          <w:rFonts w:ascii="Times New Roman" w:hAnsi="Times New Roman" w:cs="Times New Roman"/>
          <w:i/>
          <w:iCs/>
        </w:rPr>
        <w:t>Bauras v. Lithuania</w:t>
      </w:r>
      <w:bookmarkEnd w:id="31"/>
      <w:r w:rsidRPr="00DD3BE9">
        <w:rPr>
          <w:rFonts w:ascii="Times New Roman" w:hAnsi="Times New Roman" w:cs="Times New Roman"/>
          <w:i/>
          <w:iCs/>
        </w:rPr>
        <w:t xml:space="preserve"> </w:t>
      </w:r>
      <w:r w:rsidRPr="00DD3BE9">
        <w:rPr>
          <w:rFonts w:ascii="Times New Roman" w:hAnsi="Times New Roman" w:cs="Times New Roman"/>
        </w:rPr>
        <w:t>(no.</w:t>
      </w:r>
      <w:r w:rsidRPr="00DD3BE9" w:rsidR="009D6BF3">
        <w:rPr>
          <w:rFonts w:ascii="Times New Roman" w:hAnsi="Times New Roman" w:cs="Times New Roman"/>
        </w:rPr>
        <w:t> </w:t>
      </w:r>
      <w:r w:rsidRPr="00DD3BE9">
        <w:rPr>
          <w:rFonts w:ascii="Times New Roman" w:hAnsi="Times New Roman" w:cs="Times New Roman"/>
        </w:rPr>
        <w:t>56795/13, §</w:t>
      </w:r>
      <w:r w:rsidRPr="00DD3BE9" w:rsidR="009D6BF3">
        <w:rPr>
          <w:rFonts w:ascii="Times New Roman" w:hAnsi="Times New Roman" w:cs="Times New Roman"/>
        </w:rPr>
        <w:t> </w:t>
      </w:r>
      <w:r w:rsidRPr="00DD3BE9">
        <w:rPr>
          <w:rFonts w:ascii="Times New Roman" w:hAnsi="Times New Roman" w:cs="Times New Roman"/>
        </w:rPr>
        <w:t>54, 31</w:t>
      </w:r>
      <w:r w:rsidRPr="00DD3BE9" w:rsidR="009D6BF3">
        <w:rPr>
          <w:rFonts w:ascii="Times New Roman" w:hAnsi="Times New Roman" w:cs="Times New Roman"/>
        </w:rPr>
        <w:t> </w:t>
      </w:r>
      <w:r w:rsidRPr="00DD3BE9">
        <w:rPr>
          <w:rFonts w:ascii="Times New Roman" w:hAnsi="Times New Roman" w:cs="Times New Roman"/>
        </w:rPr>
        <w:t>October</w:t>
      </w:r>
      <w:r w:rsidRPr="00DD3BE9" w:rsidR="009D6BF3">
        <w:rPr>
          <w:rFonts w:ascii="Times New Roman" w:hAnsi="Times New Roman" w:cs="Times New Roman"/>
        </w:rPr>
        <w:t> </w:t>
      </w:r>
      <w:r w:rsidRPr="00DD3BE9">
        <w:rPr>
          <w:rFonts w:ascii="Times New Roman" w:hAnsi="Times New Roman" w:cs="Times New Roman"/>
        </w:rPr>
        <w:t>2017), the Government argued that, by using this linguistic device, the criminal courts had avoided, as far as possible, giving the impression that they were prejudging the applicant</w:t>
      </w:r>
      <w:r w:rsidRPr="00DD3BE9" w:rsidR="00DD3BE9">
        <w:rPr>
          <w:rFonts w:ascii="Times New Roman" w:hAnsi="Times New Roman" w:cs="Times New Roman"/>
        </w:rPr>
        <w:t>’</w:t>
      </w:r>
      <w:r w:rsidRPr="00DD3BE9">
        <w:rPr>
          <w:rFonts w:ascii="Times New Roman" w:hAnsi="Times New Roman" w:cs="Times New Roman"/>
        </w:rPr>
        <w:t>s guilt (criminal liability).</w:t>
      </w:r>
    </w:p>
    <w:p w:rsidRPr="00DD3BE9" w:rsidR="0083243F" w:rsidP="00DD3BE9" w14:paraId="7F698A97" w14:textId="534051F0">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54" w:id="32"/>
      <w:r w:rsidRPr="00DD3BE9" w:rsidR="00DD3BE9">
        <w:rPr>
          <w:rFonts w:ascii="Times New Roman" w:hAnsi="Times New Roman" w:cs="Times New Roman"/>
          <w:noProof/>
        </w:rPr>
        <w:t>54</w:t>
      </w:r>
      <w:bookmarkEnd w:id="32"/>
      <w:r w:rsidRPr="00DD3BE9">
        <w:rPr>
          <w:rFonts w:ascii="Times New Roman" w:hAnsi="Times New Roman" w:cs="Times New Roman"/>
        </w:rPr>
        <w:fldChar w:fldCharType="end"/>
      </w:r>
      <w:r w:rsidRPr="00DD3BE9">
        <w:rPr>
          <w:rFonts w:ascii="Times New Roman" w:hAnsi="Times New Roman" w:cs="Times New Roman"/>
        </w:rPr>
        <w:t>.  The Government further maintained that the statements regarding the applicant</w:t>
      </w:r>
      <w:r w:rsidRPr="00DD3BE9" w:rsidR="00DD3BE9">
        <w:rPr>
          <w:rFonts w:ascii="Times New Roman" w:hAnsi="Times New Roman" w:cs="Times New Roman"/>
        </w:rPr>
        <w:t>’</w:t>
      </w:r>
      <w:r w:rsidRPr="00DD3BE9">
        <w:rPr>
          <w:rFonts w:ascii="Times New Roman" w:hAnsi="Times New Roman" w:cs="Times New Roman"/>
        </w:rPr>
        <w:t>s involvement in the offences committed by M.S. and N.D. had been indispensable. In order to find M.S. guilty of tax evasion as a co</w:t>
      </w:r>
      <w:r w:rsidRPr="00DD3BE9" w:rsidR="009D6BF3">
        <w:rPr>
          <w:rFonts w:ascii="Times New Roman" w:hAnsi="Times New Roman" w:cs="Times New Roman"/>
        </w:rPr>
        <w:noBreakHyphen/>
      </w:r>
      <w:r w:rsidRPr="00DD3BE9">
        <w:rPr>
          <w:rFonts w:ascii="Times New Roman" w:hAnsi="Times New Roman" w:cs="Times New Roman"/>
        </w:rPr>
        <w:t>perpetrator, the criminal courts had been required by law to establish that M.S. had acted jointly with another person (the applicant) in accordance with a joint plan devised with that other person (see paragraph</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paragraph00030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30</w:t>
      </w:r>
      <w:r w:rsidRPr="00DD3BE9">
        <w:rPr>
          <w:rFonts w:ascii="Times New Roman" w:hAnsi="Times New Roman" w:cs="Times New Roman"/>
        </w:rPr>
        <w:fldChar w:fldCharType="end"/>
      </w:r>
      <w:r w:rsidRPr="00DD3BE9">
        <w:rPr>
          <w:rFonts w:ascii="Times New Roman" w:hAnsi="Times New Roman" w:cs="Times New Roman"/>
        </w:rPr>
        <w:t xml:space="preserve"> above). In order to find M.S. and N.D. guilty of aiding and abetting tax evasion, the criminal courts had been required by law to establish that another person (the applicant) had intentionally and unlawfully committed tax evasion as one of the main perpetrators (see paragraph</w:t>
      </w:r>
      <w:r w:rsidRPr="00DD3BE9" w:rsidR="009D6BF3">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paragraph00031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31</w:t>
      </w:r>
      <w:r w:rsidRPr="00DD3BE9">
        <w:rPr>
          <w:rFonts w:ascii="Times New Roman" w:hAnsi="Times New Roman" w:cs="Times New Roman"/>
        </w:rPr>
        <w:fldChar w:fldCharType="end"/>
      </w:r>
      <w:r w:rsidRPr="00DD3BE9">
        <w:rPr>
          <w:rFonts w:ascii="Times New Roman" w:hAnsi="Times New Roman" w:cs="Times New Roman"/>
        </w:rPr>
        <w:t xml:space="preserve"> above). These findings had been necessary irrespective of the fact that M.S. and N.D. had already confessed to their involvement in the offences. In this regard, the Government stressed that the criminal courts had not made any findings other than those strictly necessary to find M.S. and N.D. guilty and had not made any unfounded assumptions about the applicant</w:t>
      </w:r>
      <w:r w:rsidRPr="00DD3BE9" w:rsidR="00DD3BE9">
        <w:rPr>
          <w:rFonts w:ascii="Times New Roman" w:hAnsi="Times New Roman" w:cs="Times New Roman"/>
        </w:rPr>
        <w:t>’</w:t>
      </w:r>
      <w:r w:rsidRPr="00DD3BE9">
        <w:rPr>
          <w:rFonts w:ascii="Times New Roman" w:hAnsi="Times New Roman" w:cs="Times New Roman"/>
        </w:rPr>
        <w:t>s involvement in the offences.</w:t>
      </w:r>
    </w:p>
    <w:p w:rsidRPr="00DD3BE9" w:rsidR="0083243F" w:rsidP="00DD3BE9" w14:paraId="0EF6AD08" w14:textId="0552AABE">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55" w:id="33"/>
      <w:r w:rsidRPr="00DD3BE9" w:rsidR="00DD3BE9">
        <w:rPr>
          <w:rFonts w:ascii="Times New Roman" w:hAnsi="Times New Roman" w:cs="Times New Roman"/>
          <w:noProof/>
        </w:rPr>
        <w:t>55</w:t>
      </w:r>
      <w:bookmarkEnd w:id="33"/>
      <w:r w:rsidRPr="00DD3BE9">
        <w:rPr>
          <w:rFonts w:ascii="Times New Roman" w:hAnsi="Times New Roman" w:cs="Times New Roman"/>
        </w:rPr>
        <w:fldChar w:fldCharType="end"/>
      </w:r>
      <w:r w:rsidRPr="00DD3BE9">
        <w:rPr>
          <w:rFonts w:ascii="Times New Roman" w:hAnsi="Times New Roman" w:cs="Times New Roman"/>
        </w:rPr>
        <w:t>.  In so far as the applicant referred to the judgment against C.S. (see paragraph</w:t>
      </w:r>
      <w:r w:rsidRPr="00DD3BE9" w:rsidR="00174DE9">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paragraph00020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20</w:t>
      </w:r>
      <w:r w:rsidRPr="00DD3BE9">
        <w:rPr>
          <w:rFonts w:ascii="Times New Roman" w:hAnsi="Times New Roman" w:cs="Times New Roman"/>
        </w:rPr>
        <w:fldChar w:fldCharType="end"/>
      </w:r>
      <w:r w:rsidRPr="00DD3BE9">
        <w:rPr>
          <w:rFonts w:ascii="Times New Roman" w:hAnsi="Times New Roman" w:cs="Times New Roman"/>
        </w:rPr>
        <w:t xml:space="preserve"> above), the Government argued that it could not be compared to the judgment against M.S. and N.D., as C.S. had been found guilty of tax evasion as one of the main perpetrators (and not merely of aiding and abetting tax evasion), and that therefore less pronounced references to the applicant</w:t>
      </w:r>
      <w:r w:rsidRPr="00DD3BE9" w:rsidR="00DD3BE9">
        <w:rPr>
          <w:rFonts w:ascii="Times New Roman" w:hAnsi="Times New Roman" w:cs="Times New Roman"/>
        </w:rPr>
        <w:t>’</w:t>
      </w:r>
      <w:r w:rsidRPr="00DD3BE9">
        <w:rPr>
          <w:rFonts w:ascii="Times New Roman" w:hAnsi="Times New Roman" w:cs="Times New Roman"/>
        </w:rPr>
        <w:t>s involvement in the offences had been sufficient.</w:t>
      </w:r>
    </w:p>
    <w:p w:rsidRPr="00DD3BE9" w:rsidR="0083243F" w:rsidP="00DD3BE9" w14:paraId="2858CE38" w14:textId="1BDAA156">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56</w:t>
      </w:r>
      <w:r w:rsidRPr="00DD3BE9">
        <w:rPr>
          <w:rFonts w:ascii="Times New Roman" w:hAnsi="Times New Roman" w:cs="Times New Roman"/>
        </w:rPr>
        <w:fldChar w:fldCharType="end"/>
      </w:r>
      <w:r w:rsidRPr="00DD3BE9">
        <w:rPr>
          <w:rFonts w:ascii="Times New Roman" w:hAnsi="Times New Roman" w:cs="Times New Roman"/>
        </w:rPr>
        <w:t>.  The Government further submitted that there was nothing to indicate that the statements contained in the written judgments of the criminal courts had compromised the overall fairness of the (then ongoing) criminal proceedings against the applicant. It stressed, in this connection, that the findings of the criminal courts in the proceedings against M.S. and N.D. had not been legally binding on the criminal court hearing the case against the applicant and that that court was required by law to make its own findings and reach its own conclusions on the basis of the evidence presented during the subsequent trial against the applicant (see paragraph</w:t>
      </w:r>
      <w:r w:rsidRPr="00DD3BE9" w:rsidR="00174DE9">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paragraph00032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32</w:t>
      </w:r>
      <w:r w:rsidRPr="00DD3BE9">
        <w:rPr>
          <w:rFonts w:ascii="Times New Roman" w:hAnsi="Times New Roman" w:cs="Times New Roman"/>
        </w:rPr>
        <w:fldChar w:fldCharType="end"/>
      </w:r>
      <w:r w:rsidRPr="00DD3BE9">
        <w:rPr>
          <w:rFonts w:ascii="Times New Roman" w:hAnsi="Times New Roman" w:cs="Times New Roman"/>
        </w:rPr>
        <w:t xml:space="preserve"> above).</w:t>
      </w:r>
    </w:p>
    <w:p w:rsidRPr="00DD3BE9" w:rsidR="0083243F" w:rsidP="00DD3BE9" w14:paraId="71EC0AAA" w14:textId="2006A1AF">
      <w:pPr>
        <w:pStyle w:val="JuH1"/>
      </w:pPr>
      <w:r w:rsidRPr="00DD3BE9">
        <w:t>The Court</w:t>
      </w:r>
      <w:r w:rsidRPr="00DD3BE9" w:rsidR="00DD3BE9">
        <w:t>’</w:t>
      </w:r>
      <w:r w:rsidRPr="00DD3BE9">
        <w:t>s assessment</w:t>
      </w:r>
    </w:p>
    <w:p w:rsidRPr="00DD3BE9" w:rsidR="0083243F" w:rsidP="00DD3BE9" w14:paraId="0762112D" w14:textId="77777777">
      <w:pPr>
        <w:pStyle w:val="JuHa0"/>
      </w:pPr>
      <w:r w:rsidRPr="00DD3BE9">
        <w:t>Relevant principles</w:t>
      </w:r>
    </w:p>
    <w:p w:rsidRPr="00DD3BE9" w:rsidR="0083243F" w:rsidP="00DD3BE9" w14:paraId="583990BC" w14:textId="77777777">
      <w:pPr>
        <w:pStyle w:val="JuHi"/>
        <w:tabs>
          <w:tab w:val="clear" w:pos="1077"/>
          <w:tab w:val="clear" w:pos="1134"/>
          <w:tab w:val="clear" w:pos="1191"/>
          <w:tab w:val="clear" w:pos="1247"/>
        </w:tabs>
      </w:pPr>
      <w:r w:rsidRPr="00DD3BE9">
        <w:t>General principles regarding the presumption of innocence</w:t>
      </w:r>
    </w:p>
    <w:p w:rsidRPr="00DD3BE9" w:rsidR="0083243F" w:rsidP="00DD3BE9" w14:paraId="33726EA3" w14:textId="6B541B0A">
      <w:pPr>
        <w:pStyle w:val="JuPara"/>
      </w:pPr>
      <w:r>
        <w:fldChar w:fldCharType="begin"/>
      </w:r>
      <w:r>
        <w:instrText xml:space="preserve"> SEQ level0 \*arabic \* MERGEFORMAT </w:instrText>
      </w:r>
      <w:r>
        <w:fldChar w:fldCharType="separate"/>
      </w:r>
      <w:r w:rsidRPr="00DD3BE9" w:rsidR="00DD3BE9">
        <w:rPr>
          <w:noProof/>
        </w:rPr>
        <w:t>57</w:t>
      </w:r>
      <w:r>
        <w:rPr>
          <w:noProof/>
        </w:rPr>
        <w:fldChar w:fldCharType="end"/>
      </w:r>
      <w:r w:rsidRPr="00DD3BE9">
        <w:t>.  The Court reiterates that the presumption of innocence enshrined in paragraph</w:t>
      </w:r>
      <w:r w:rsidRPr="00DD3BE9" w:rsidR="00174DE9">
        <w:t> </w:t>
      </w:r>
      <w:r w:rsidRPr="00DD3BE9">
        <w:t>2 of Article</w:t>
      </w:r>
      <w:r w:rsidRPr="00DD3BE9" w:rsidR="00174DE9">
        <w:t> </w:t>
      </w:r>
      <w:r w:rsidRPr="00DD3BE9">
        <w:t>6 is one of the elements of a fair criminal trial that is required by paragraph</w:t>
      </w:r>
      <w:r w:rsidRPr="00DD3BE9" w:rsidR="00174DE9">
        <w:t> </w:t>
      </w:r>
      <w:r w:rsidRPr="00DD3BE9">
        <w:t xml:space="preserve">1 (see, among many other authorities, </w:t>
      </w:r>
      <w:r w:rsidRPr="00DD3BE9">
        <w:rPr>
          <w:i/>
          <w:iCs/>
        </w:rPr>
        <w:t>Deweer v. Belgium</w:t>
      </w:r>
      <w:r w:rsidRPr="00DD3BE9">
        <w:t>, 27</w:t>
      </w:r>
      <w:r w:rsidRPr="00DD3BE9" w:rsidR="00174DE9">
        <w:t> </w:t>
      </w:r>
      <w:r w:rsidRPr="00DD3BE9">
        <w:t>February</w:t>
      </w:r>
      <w:r w:rsidRPr="00DD3BE9" w:rsidR="004026F9">
        <w:t xml:space="preserve"> </w:t>
      </w:r>
      <w:r w:rsidRPr="00DD3BE9">
        <w:t>1980, § 56, Series</w:t>
      </w:r>
      <w:r w:rsidRPr="00DD3BE9" w:rsidR="00174DE9">
        <w:t> </w:t>
      </w:r>
      <w:r w:rsidRPr="00DD3BE9">
        <w:t>A no.</w:t>
      </w:r>
      <w:r w:rsidRPr="00DD3BE9" w:rsidR="00174DE9">
        <w:t> </w:t>
      </w:r>
      <w:r w:rsidRPr="00DD3BE9">
        <w:t xml:space="preserve">35; </w:t>
      </w:r>
      <w:r w:rsidRPr="00DD3BE9">
        <w:rPr>
          <w:i/>
          <w:iCs/>
        </w:rPr>
        <w:t>Allenet de Ribemont v. France</w:t>
      </w:r>
      <w:r w:rsidRPr="00DD3BE9">
        <w:t>, 10</w:t>
      </w:r>
      <w:r w:rsidRPr="00DD3BE9" w:rsidR="00174DE9">
        <w:t> </w:t>
      </w:r>
      <w:r w:rsidRPr="00DD3BE9">
        <w:t>February</w:t>
      </w:r>
      <w:r w:rsidRPr="00DD3BE9" w:rsidR="004026F9">
        <w:t xml:space="preserve"> </w:t>
      </w:r>
      <w:r w:rsidRPr="00DD3BE9">
        <w:t>1995, § 35, Series</w:t>
      </w:r>
      <w:r w:rsidRPr="00DD3BE9" w:rsidR="00174DE9">
        <w:t> </w:t>
      </w:r>
      <w:r w:rsidRPr="00DD3BE9">
        <w:t>A no.</w:t>
      </w:r>
      <w:r w:rsidRPr="00DD3BE9" w:rsidR="00174DE9">
        <w:t> </w:t>
      </w:r>
      <w:r w:rsidRPr="00DD3BE9">
        <w:t xml:space="preserve">308; and </w:t>
      </w:r>
      <w:r w:rsidRPr="00DD3BE9">
        <w:rPr>
          <w:i/>
          <w:iCs/>
        </w:rPr>
        <w:t>Natsvlishvili and Togonidze v.</w:t>
      </w:r>
      <w:r w:rsidRPr="00DD3BE9" w:rsidR="00174DE9">
        <w:rPr>
          <w:i/>
          <w:iCs/>
        </w:rPr>
        <w:t> </w:t>
      </w:r>
      <w:r w:rsidRPr="00DD3BE9">
        <w:rPr>
          <w:i/>
          <w:iCs/>
        </w:rPr>
        <w:t>Georgia</w:t>
      </w:r>
      <w:r w:rsidRPr="00DD3BE9">
        <w:t>, no.</w:t>
      </w:r>
      <w:r w:rsidRPr="00DD3BE9" w:rsidR="00174DE9">
        <w:t> </w:t>
      </w:r>
      <w:r w:rsidRPr="00DD3BE9">
        <w:t>9043/05, §</w:t>
      </w:r>
      <w:r w:rsidRPr="00DD3BE9" w:rsidR="00174DE9">
        <w:t> </w:t>
      </w:r>
      <w:r w:rsidRPr="00DD3BE9">
        <w:t>103, ECHR</w:t>
      </w:r>
      <w:r w:rsidRPr="00DD3BE9" w:rsidR="00174DE9">
        <w:t> </w:t>
      </w:r>
      <w:r w:rsidRPr="00DD3BE9">
        <w:t>2014 (extracts)). Article 6</w:t>
      </w:r>
      <w:r w:rsidRPr="00DD3BE9" w:rsidR="004026F9">
        <w:t xml:space="preserve"> </w:t>
      </w:r>
      <w:r w:rsidRPr="00DD3BE9">
        <w:t xml:space="preserve">§ 2 prohibits the premature expression by the tribunal of the opinion that the person “charged with a criminal offence” is guilty before he or she has been so proved according to law (see, among many other authorities, </w:t>
      </w:r>
      <w:r w:rsidRPr="00DD3BE9">
        <w:rPr>
          <w:i/>
          <w:iCs/>
        </w:rPr>
        <w:t>Minelli v. Switzerland</w:t>
      </w:r>
      <w:r w:rsidRPr="00DD3BE9">
        <w:t>, 25 March</w:t>
      </w:r>
      <w:r w:rsidRPr="00DD3BE9" w:rsidR="00174DE9">
        <w:t> </w:t>
      </w:r>
      <w:r w:rsidRPr="00DD3BE9">
        <w:t>1983, § 37, Series</w:t>
      </w:r>
      <w:r w:rsidRPr="00DD3BE9" w:rsidR="00174DE9">
        <w:t> </w:t>
      </w:r>
      <w:r w:rsidRPr="00DD3BE9">
        <w:t xml:space="preserve">A no. 62, and </w:t>
      </w:r>
      <w:r w:rsidRPr="00DD3BE9">
        <w:rPr>
          <w:i/>
          <w:iCs/>
        </w:rPr>
        <w:t>Peša v. Croatia</w:t>
      </w:r>
      <w:r w:rsidRPr="00DD3BE9">
        <w:t>, no.</w:t>
      </w:r>
      <w:r w:rsidRPr="00DD3BE9" w:rsidR="00174DE9">
        <w:t> </w:t>
      </w:r>
      <w:r w:rsidRPr="00DD3BE9">
        <w:t>40523/08, § 138, 8</w:t>
      </w:r>
      <w:r w:rsidRPr="00DD3BE9" w:rsidR="00174DE9">
        <w:t> </w:t>
      </w:r>
      <w:r w:rsidRPr="00DD3BE9">
        <w:t>April</w:t>
      </w:r>
      <w:r w:rsidRPr="00DD3BE9" w:rsidR="00174DE9">
        <w:t> </w:t>
      </w:r>
      <w:r w:rsidRPr="00DD3BE9">
        <w:t xml:space="preserve">2010). It also covers statements made by other public officials about pending criminal investigations which encourage the public to believe the suspect guilty and prejudge the assessment of the facts by the competent judicial authority (see </w:t>
      </w:r>
      <w:r w:rsidRPr="00DD3BE9">
        <w:rPr>
          <w:i/>
          <w:iCs/>
        </w:rPr>
        <w:t>Allenet de Ribemont</w:t>
      </w:r>
      <w:r w:rsidRPr="00DD3BE9">
        <w:t xml:space="preserve">, cited above, § 41; </w:t>
      </w:r>
      <w:r w:rsidRPr="00DD3BE9">
        <w:rPr>
          <w:i/>
          <w:iCs/>
        </w:rPr>
        <w:t>Daktaras v. Lithuania</w:t>
      </w:r>
      <w:r w:rsidRPr="00DD3BE9">
        <w:t>, no. 42095/98, §§ 41</w:t>
      </w:r>
      <w:r w:rsidRPr="00DD3BE9" w:rsidR="00174DE9">
        <w:noBreakHyphen/>
      </w:r>
      <w:r w:rsidRPr="00DD3BE9">
        <w:t>43, ECHR</w:t>
      </w:r>
      <w:r w:rsidRPr="00DD3BE9" w:rsidR="00174DE9">
        <w:t> </w:t>
      </w:r>
      <w:r w:rsidRPr="00DD3BE9">
        <w:t>2000</w:t>
      </w:r>
      <w:r w:rsidRPr="00DD3BE9" w:rsidR="00174DE9">
        <w:noBreakHyphen/>
      </w:r>
      <w:r w:rsidRPr="00DD3BE9">
        <w:t xml:space="preserve">X; and </w:t>
      </w:r>
      <w:r w:rsidRPr="00DD3BE9">
        <w:rPr>
          <w:i/>
          <w:iCs/>
        </w:rPr>
        <w:t>Butkevičius v. Lithuania</w:t>
      </w:r>
      <w:r w:rsidRPr="00DD3BE9">
        <w:t>, no. 48297/99, § 49, ECHR</w:t>
      </w:r>
      <w:r w:rsidRPr="00DD3BE9" w:rsidR="00174DE9">
        <w:t> </w:t>
      </w:r>
      <w:r w:rsidRPr="00DD3BE9">
        <w:t>2002</w:t>
      </w:r>
      <w:r w:rsidRPr="00DD3BE9">
        <w:noBreakHyphen/>
        <w:t>II (extracts)).</w:t>
      </w:r>
    </w:p>
    <w:p w:rsidRPr="00DD3BE9" w:rsidR="0083243F" w:rsidP="00DD3BE9" w14:paraId="480B4419" w14:textId="6B9A020D">
      <w:pPr>
        <w:pStyle w:val="JuPara"/>
      </w:pPr>
      <w:r>
        <w:fldChar w:fldCharType="begin"/>
      </w:r>
      <w:r>
        <w:instrText xml:space="preserve"> SEQ level0 \*arabic \* MERGEFORMAT </w:instrText>
      </w:r>
      <w:r>
        <w:fldChar w:fldCharType="separate"/>
      </w:r>
      <w:r w:rsidRPr="00DD3BE9" w:rsidR="00DD3BE9">
        <w:rPr>
          <w:noProof/>
        </w:rPr>
        <w:t>58</w:t>
      </w:r>
      <w:r>
        <w:rPr>
          <w:noProof/>
        </w:rPr>
        <w:fldChar w:fldCharType="end"/>
      </w:r>
      <w:r w:rsidRPr="00DD3BE9">
        <w:t xml:space="preserve">.  The Court further reiterates that a fundamental distinction must be made between a statement that someone is merely suspected of having committed a crime and a clear declaration, in the absence of a final conviction, that an individual has committed the crime in question. In this connection the Court has emphasised the importance of the choice of words by public officials in their statements before a person has been tried and found guilty of a particular criminal offence (see </w:t>
      </w:r>
      <w:r w:rsidRPr="00DD3BE9">
        <w:rPr>
          <w:i/>
          <w:iCs/>
        </w:rPr>
        <w:t>Daktaras</w:t>
      </w:r>
      <w:r w:rsidRPr="00DD3BE9">
        <w:t xml:space="preserve">, cited above, § 41; </w:t>
      </w:r>
      <w:r w:rsidRPr="00DD3BE9">
        <w:rPr>
          <w:i/>
          <w:iCs/>
        </w:rPr>
        <w:t>Böhmer v.</w:t>
      </w:r>
      <w:r w:rsidRPr="00DD3BE9" w:rsidR="00174DE9">
        <w:rPr>
          <w:i/>
          <w:iCs/>
        </w:rPr>
        <w:t> </w:t>
      </w:r>
      <w:r w:rsidRPr="00DD3BE9">
        <w:rPr>
          <w:i/>
          <w:iCs/>
        </w:rPr>
        <w:t>Germany</w:t>
      </w:r>
      <w:r w:rsidRPr="00DD3BE9">
        <w:t>, no.</w:t>
      </w:r>
      <w:r w:rsidRPr="00DD3BE9" w:rsidR="00174DE9">
        <w:t> </w:t>
      </w:r>
      <w:r w:rsidRPr="00DD3BE9">
        <w:t>37568/97, § 56, 3</w:t>
      </w:r>
      <w:r w:rsidRPr="00DD3BE9" w:rsidR="00174DE9">
        <w:t> </w:t>
      </w:r>
      <w:r w:rsidRPr="00DD3BE9">
        <w:t>October</w:t>
      </w:r>
      <w:r w:rsidRPr="00DD3BE9" w:rsidR="00174DE9">
        <w:t> </w:t>
      </w:r>
      <w:r w:rsidRPr="00DD3BE9">
        <w:t xml:space="preserve">2002; and </w:t>
      </w:r>
      <w:r w:rsidRPr="00DD3BE9">
        <w:rPr>
          <w:i/>
          <w:iCs/>
        </w:rPr>
        <w:t>Khuzhin and Others v.</w:t>
      </w:r>
      <w:r w:rsidRPr="00DD3BE9" w:rsidR="00174DE9">
        <w:rPr>
          <w:i/>
          <w:iCs/>
        </w:rPr>
        <w:t> </w:t>
      </w:r>
      <w:r w:rsidRPr="00DD3BE9">
        <w:rPr>
          <w:i/>
          <w:iCs/>
        </w:rPr>
        <w:t>Russia</w:t>
      </w:r>
      <w:r w:rsidRPr="00DD3BE9">
        <w:t>, no.</w:t>
      </w:r>
      <w:r w:rsidRPr="00DD3BE9" w:rsidR="00174DE9">
        <w:t> </w:t>
      </w:r>
      <w:r w:rsidRPr="00DD3BE9">
        <w:t>13470/02, § 94, 23</w:t>
      </w:r>
      <w:r w:rsidRPr="00DD3BE9" w:rsidR="00174DE9">
        <w:t> </w:t>
      </w:r>
      <w:r w:rsidRPr="00DD3BE9">
        <w:t>October</w:t>
      </w:r>
      <w:r w:rsidRPr="00DD3BE9" w:rsidR="00174DE9">
        <w:t> </w:t>
      </w:r>
      <w:r w:rsidRPr="00DD3BE9">
        <w:t xml:space="preserve">2008). While the use of language is of critical importance in this respect, the Court has further pointed out that whether a statement of a public official is in breach of the principle of the presumption of innocence must be determined in the context of the particular circumstances in which the impugned statement was made (see </w:t>
      </w:r>
      <w:r w:rsidRPr="00DD3BE9">
        <w:rPr>
          <w:i/>
          <w:iCs/>
        </w:rPr>
        <w:t>Daktaras</w:t>
      </w:r>
      <w:r w:rsidRPr="00DD3BE9">
        <w:t xml:space="preserve">, cited above, § 43; </w:t>
      </w:r>
      <w:r w:rsidRPr="00DD3BE9">
        <w:rPr>
          <w:i/>
          <w:iCs/>
        </w:rPr>
        <w:t>A.L. v. Germany</w:t>
      </w:r>
      <w:r w:rsidRPr="00DD3BE9">
        <w:t>, no.</w:t>
      </w:r>
      <w:r w:rsidRPr="00DD3BE9" w:rsidR="003A422D">
        <w:t> </w:t>
      </w:r>
      <w:r w:rsidRPr="00DD3BE9">
        <w:t>72758/01, § 31, 28</w:t>
      </w:r>
      <w:r w:rsidRPr="00DD3BE9" w:rsidR="003A422D">
        <w:t> </w:t>
      </w:r>
      <w:r w:rsidRPr="00DD3BE9">
        <w:t>April</w:t>
      </w:r>
      <w:r w:rsidRPr="00DD3BE9" w:rsidR="004026F9">
        <w:t xml:space="preserve"> </w:t>
      </w:r>
      <w:r w:rsidRPr="00DD3BE9">
        <w:t xml:space="preserve">2005; and </w:t>
      </w:r>
      <w:r w:rsidRPr="00DD3BE9">
        <w:rPr>
          <w:i/>
          <w:iCs/>
        </w:rPr>
        <w:t>Paulikas v. Lithuania</w:t>
      </w:r>
      <w:r w:rsidRPr="00DD3BE9">
        <w:t>, no.</w:t>
      </w:r>
      <w:r w:rsidRPr="00DD3BE9" w:rsidR="003A422D">
        <w:t> </w:t>
      </w:r>
      <w:r w:rsidRPr="00DD3BE9">
        <w:t>57435/09, § 55, 24 January</w:t>
      </w:r>
      <w:r w:rsidRPr="00DD3BE9" w:rsidR="003A422D">
        <w:t> </w:t>
      </w:r>
      <w:r w:rsidRPr="00DD3BE9">
        <w:t>2017). When regard is had to the nature and context of the particular proceedings, even the use of some unfortunate language may not be decisive. The Court</w:t>
      </w:r>
      <w:r w:rsidRPr="00DD3BE9" w:rsidR="00DD3BE9">
        <w:t>’</w:t>
      </w:r>
      <w:r w:rsidRPr="00DD3BE9">
        <w:t>s case</w:t>
      </w:r>
      <w:r w:rsidRPr="00DD3BE9" w:rsidR="00BA6587">
        <w:noBreakHyphen/>
      </w:r>
      <w:r w:rsidRPr="00DD3BE9">
        <w:t>law provides some examples of instances where no violation of Article</w:t>
      </w:r>
      <w:r w:rsidRPr="00DD3BE9" w:rsidR="003A422D">
        <w:t> </w:t>
      </w:r>
      <w:r w:rsidRPr="00DD3BE9">
        <w:t xml:space="preserve">6 § 2 has been found even though the language used by domestic authorities and courts was criticised (see </w:t>
      </w:r>
      <w:bookmarkStart w:name="_cl44240THELAW" w:id="34"/>
      <w:r w:rsidRPr="00DD3BE9">
        <w:rPr>
          <w:i/>
          <w:iCs/>
        </w:rPr>
        <w:t>Nealon and Hallam v.</w:t>
      </w:r>
      <w:r w:rsidRPr="00DD3BE9" w:rsidR="003A422D">
        <w:rPr>
          <w:i/>
          <w:iCs/>
        </w:rPr>
        <w:t> </w:t>
      </w:r>
      <w:r w:rsidRPr="00DD3BE9">
        <w:rPr>
          <w:i/>
          <w:iCs/>
        </w:rPr>
        <w:t>the United Kingdom</w:t>
      </w:r>
      <w:bookmarkEnd w:id="34"/>
      <w:r w:rsidRPr="00DD3BE9" w:rsidR="003A422D">
        <w:t> </w:t>
      </w:r>
      <w:r w:rsidRPr="00DD3BE9">
        <w:t>[GC], nos.</w:t>
      </w:r>
      <w:r w:rsidRPr="00DD3BE9" w:rsidR="003A422D">
        <w:t> </w:t>
      </w:r>
      <w:r w:rsidRPr="00DD3BE9">
        <w:t>32483/19 and 35049/19, §§</w:t>
      </w:r>
      <w:r w:rsidRPr="00DD3BE9" w:rsidR="003A422D">
        <w:t> </w:t>
      </w:r>
      <w:r w:rsidRPr="00DD3BE9">
        <w:t>150 and</w:t>
      </w:r>
      <w:r w:rsidRPr="00DD3BE9" w:rsidR="003A422D">
        <w:t> </w:t>
      </w:r>
      <w:r w:rsidRPr="00DD3BE9">
        <w:t>176, 11</w:t>
      </w:r>
      <w:r w:rsidRPr="00DD3BE9" w:rsidR="003A422D">
        <w:t> </w:t>
      </w:r>
      <w:r w:rsidRPr="00DD3BE9">
        <w:t>June</w:t>
      </w:r>
      <w:r w:rsidRPr="00DD3BE9" w:rsidR="003A422D">
        <w:t> </w:t>
      </w:r>
      <w:r w:rsidRPr="00DD3BE9">
        <w:t>2024</w:t>
      </w:r>
      <w:r w:rsidRPr="00DD3BE9" w:rsidR="00626FFB">
        <w:t>,</w:t>
      </w:r>
      <w:r w:rsidRPr="00DD3BE9">
        <w:t xml:space="preserve"> and </w:t>
      </w:r>
      <w:r w:rsidRPr="00DD3BE9">
        <w:rPr>
          <w:i/>
          <w:iCs/>
        </w:rPr>
        <w:t>Allen</w:t>
      </w:r>
      <w:r w:rsidRPr="00DD3BE9">
        <w:t xml:space="preserve"> </w:t>
      </w:r>
      <w:r w:rsidRPr="00DD3BE9">
        <w:rPr>
          <w:i/>
          <w:iCs/>
        </w:rPr>
        <w:t>v. the United Kingdom</w:t>
      </w:r>
      <w:r w:rsidRPr="00DD3BE9" w:rsidR="003A422D">
        <w:t> </w:t>
      </w:r>
      <w:r w:rsidRPr="00DD3BE9">
        <w:t>[GC], no.</w:t>
      </w:r>
      <w:r w:rsidRPr="00DD3BE9" w:rsidR="003A422D">
        <w:t> </w:t>
      </w:r>
      <w:r w:rsidRPr="00DD3BE9">
        <w:t>25424/09, § 126, ECHR</w:t>
      </w:r>
      <w:r w:rsidRPr="00DD3BE9" w:rsidR="003A422D">
        <w:t> </w:t>
      </w:r>
      <w:r w:rsidRPr="00DD3BE9">
        <w:t>2013, and the cases cited therein).</w:t>
      </w:r>
    </w:p>
    <w:p w:rsidRPr="00DD3BE9" w:rsidR="0083243F" w:rsidP="00DD3BE9" w14:paraId="73404799" w14:textId="2A0A8D7A">
      <w:pPr>
        <w:pStyle w:val="JuHi"/>
        <w:tabs>
          <w:tab w:val="clear" w:pos="1077"/>
          <w:tab w:val="clear" w:pos="1134"/>
          <w:tab w:val="clear" w:pos="1191"/>
          <w:tab w:val="clear" w:pos="1247"/>
        </w:tabs>
      </w:pPr>
      <w:r w:rsidRPr="00DD3BE9">
        <w:t>Principles regarding statements made in parallel criminal proceedings against co</w:t>
      </w:r>
      <w:r w:rsidRPr="00DD3BE9" w:rsidR="00BA6587">
        <w:noBreakHyphen/>
      </w:r>
      <w:r w:rsidRPr="00DD3BE9">
        <w:t>suspects</w:t>
      </w:r>
    </w:p>
    <w:p w:rsidRPr="00DD3BE9" w:rsidR="0083243F" w:rsidP="00DD3BE9" w14:paraId="0407B498" w14:textId="53CD7EFB">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59</w:t>
      </w:r>
      <w:r w:rsidRPr="00DD3BE9">
        <w:rPr>
          <w:rFonts w:ascii="Times New Roman" w:hAnsi="Times New Roman" w:cs="Times New Roman"/>
        </w:rPr>
        <w:fldChar w:fldCharType="end"/>
      </w:r>
      <w:r w:rsidRPr="00DD3BE9">
        <w:rPr>
          <w:rFonts w:ascii="Times New Roman" w:hAnsi="Times New Roman" w:cs="Times New Roman"/>
        </w:rPr>
        <w:t>.  The Court reiterates that the principle of the presumption of innocence may in theory also be infringed on account of premature expressions of a suspect</w:t>
      </w:r>
      <w:r w:rsidRPr="00DD3BE9" w:rsidR="00DD3BE9">
        <w:rPr>
          <w:rFonts w:ascii="Times New Roman" w:hAnsi="Times New Roman" w:cs="Times New Roman"/>
        </w:rPr>
        <w:t>’</w:t>
      </w:r>
      <w:r w:rsidRPr="00DD3BE9">
        <w:rPr>
          <w:rFonts w:ascii="Times New Roman" w:hAnsi="Times New Roman" w:cs="Times New Roman"/>
        </w:rPr>
        <w:t>s guilt made within the scope of a judgment against separately prosecuted co</w:t>
      </w:r>
      <w:r w:rsidRPr="00DD3BE9" w:rsidR="003A422D">
        <w:rPr>
          <w:rFonts w:ascii="Times New Roman" w:hAnsi="Times New Roman" w:cs="Times New Roman"/>
        </w:rPr>
        <w:noBreakHyphen/>
      </w:r>
      <w:r w:rsidRPr="00DD3BE9">
        <w:rPr>
          <w:rFonts w:ascii="Times New Roman" w:hAnsi="Times New Roman" w:cs="Times New Roman"/>
        </w:rPr>
        <w:t xml:space="preserve">suspects (see </w:t>
      </w:r>
      <w:r w:rsidRPr="00DD3BE9">
        <w:rPr>
          <w:rFonts w:ascii="Times New Roman" w:hAnsi="Times New Roman" w:cs="Times New Roman"/>
          <w:i/>
          <w:iCs/>
        </w:rPr>
        <w:t>Karaman v. Germany</w:t>
      </w:r>
      <w:r w:rsidRPr="00DD3BE9">
        <w:rPr>
          <w:rFonts w:ascii="Times New Roman" w:hAnsi="Times New Roman" w:cs="Times New Roman"/>
        </w:rPr>
        <w:t>, no.</w:t>
      </w:r>
      <w:r w:rsidRPr="00DD3BE9" w:rsidR="003F5E65">
        <w:rPr>
          <w:rFonts w:ascii="Times New Roman" w:hAnsi="Times New Roman" w:cs="Times New Roman"/>
        </w:rPr>
        <w:t> </w:t>
      </w:r>
      <w:r w:rsidRPr="00DD3BE9">
        <w:rPr>
          <w:rFonts w:ascii="Times New Roman" w:hAnsi="Times New Roman" w:cs="Times New Roman"/>
        </w:rPr>
        <w:t>17103/10, § 42, 27 February</w:t>
      </w:r>
      <w:r w:rsidRPr="00DD3BE9" w:rsidR="004026F9">
        <w:rPr>
          <w:rFonts w:ascii="Times New Roman" w:hAnsi="Times New Roman" w:cs="Times New Roman"/>
        </w:rPr>
        <w:t xml:space="preserve"> </w:t>
      </w:r>
      <w:r w:rsidRPr="00DD3BE9">
        <w:rPr>
          <w:rFonts w:ascii="Times New Roman" w:hAnsi="Times New Roman" w:cs="Times New Roman"/>
        </w:rPr>
        <w:t>2014).</w:t>
      </w:r>
    </w:p>
    <w:p w:rsidRPr="00DD3BE9" w:rsidR="0083243F" w:rsidP="00DD3BE9" w14:paraId="36A7D002" w14:textId="5942619A">
      <w:pPr>
        <w:pStyle w:val="JuPara"/>
        <w:rPr>
          <w:rFonts w:ascii="Times New Roman" w:hAnsi="Times New Roman" w:cs="Times New Roman"/>
        </w:rPr>
      </w:pPr>
      <w:r w:rsidRPr="00DD3BE9">
        <w:rPr>
          <w:rFonts w:ascii="Times New Roman" w:hAnsi="Times New Roman" w:cs="Times New Roman"/>
          <w:color w:val="000000"/>
        </w:rPr>
        <w:fldChar w:fldCharType="begin"/>
      </w:r>
      <w:r w:rsidRPr="00DD3BE9">
        <w:rPr>
          <w:rFonts w:ascii="Times New Roman" w:hAnsi="Times New Roman" w:cs="Times New Roman"/>
          <w:color w:val="000000"/>
        </w:rPr>
        <w:instrText xml:space="preserve"> SEQ level0 \*arabic \* MERGEFORMAT </w:instrText>
      </w:r>
      <w:r w:rsidRPr="00DD3BE9">
        <w:rPr>
          <w:rFonts w:ascii="Times New Roman" w:hAnsi="Times New Roman" w:cs="Times New Roman"/>
          <w:color w:val="000000"/>
        </w:rPr>
        <w:fldChar w:fldCharType="separate"/>
      </w:r>
      <w:bookmarkStart w:name="paragraph00060" w:id="35"/>
      <w:r w:rsidRPr="00DD3BE9" w:rsidR="00DD3BE9">
        <w:rPr>
          <w:rFonts w:ascii="Times New Roman" w:hAnsi="Times New Roman" w:cs="Times New Roman"/>
          <w:noProof/>
          <w:color w:val="000000"/>
        </w:rPr>
        <w:t>60</w:t>
      </w:r>
      <w:bookmarkEnd w:id="35"/>
      <w:r w:rsidRPr="00DD3BE9">
        <w:rPr>
          <w:rFonts w:ascii="Times New Roman" w:hAnsi="Times New Roman" w:cs="Times New Roman"/>
          <w:color w:val="000000"/>
        </w:rPr>
        <w:fldChar w:fldCharType="end"/>
      </w:r>
      <w:r w:rsidRPr="00DD3BE9">
        <w:rPr>
          <w:rFonts w:ascii="Times New Roman" w:hAnsi="Times New Roman" w:cs="Times New Roman"/>
          <w:color w:val="000000"/>
        </w:rPr>
        <w:t>.  The Court has previously accepted that in complex criminal proceedings involving several persons who cannot be tried together, references by the trial court to the participation of third persons, who may later be tried separately, may be indispensable for the assessment of the guilt of those who are on trial. Criminal courts are bound to establish the facts of the case relevant for the assessment of the legal responsibility of the accused as accurately and precisely as possible, and they cannot present established facts as mere allegations or suspicions. This also applies to facts related to the involvement of third persons. However, if such facts have to be introduced, courts should avoid giving more information than necessary for the assessment of the legal responsibility of those persons who are accused in the trial before it</w:t>
      </w:r>
      <w:r w:rsidRPr="00DD3BE9">
        <w:rPr>
          <w:rFonts w:ascii="Times New Roman" w:hAnsi="Times New Roman" w:cs="Times New Roman"/>
          <w:i/>
          <w:iCs/>
          <w:color w:val="000000"/>
        </w:rPr>
        <w:t xml:space="preserve"> </w:t>
      </w:r>
      <w:r w:rsidRPr="00DD3BE9">
        <w:rPr>
          <w:rFonts w:ascii="Times New Roman" w:hAnsi="Times New Roman" w:cs="Times New Roman"/>
          <w:color w:val="000000"/>
        </w:rPr>
        <w:t xml:space="preserve">(see </w:t>
      </w:r>
      <w:r w:rsidRPr="00DD3BE9">
        <w:rPr>
          <w:i/>
          <w:iCs/>
        </w:rPr>
        <w:t>Karaman</w:t>
      </w:r>
      <w:r w:rsidRPr="00DD3BE9">
        <w:t>, cited above, §</w:t>
      </w:r>
      <w:r w:rsidRPr="00DD3BE9" w:rsidR="003F5E65">
        <w:t> </w:t>
      </w:r>
      <w:r w:rsidRPr="00DD3BE9">
        <w:t xml:space="preserve">64; </w:t>
      </w:r>
      <w:bookmarkStart w:name="_cl32713" w:id="36"/>
      <w:r w:rsidRPr="00DD3BE9">
        <w:rPr>
          <w:rFonts w:ascii="Times New Roman" w:hAnsi="Times New Roman" w:cs="Times New Roman"/>
        </w:rPr>
        <w:t xml:space="preserve">see also, </w:t>
      </w:r>
      <w:r w:rsidRPr="00DD3BE9">
        <w:rPr>
          <w:rFonts w:ascii="Times New Roman" w:hAnsi="Times New Roman" w:cs="Times New Roman"/>
          <w:i/>
          <w:iCs/>
        </w:rPr>
        <w:t xml:space="preserve">mutatis mutandis, </w:t>
      </w:r>
      <w:r w:rsidRPr="00DD3BE9">
        <w:rPr>
          <w:rFonts w:ascii="Times New Roman" w:hAnsi="Times New Roman" w:cs="Times New Roman"/>
        </w:rPr>
        <w:t>in respect of Article</w:t>
      </w:r>
      <w:r w:rsidRPr="00DD3BE9" w:rsidR="003F5E65">
        <w:rPr>
          <w:rFonts w:ascii="Times New Roman" w:hAnsi="Times New Roman" w:cs="Times New Roman"/>
        </w:rPr>
        <w:t> </w:t>
      </w:r>
      <w:r w:rsidRPr="00DD3BE9">
        <w:rPr>
          <w:rFonts w:ascii="Times New Roman" w:hAnsi="Times New Roman" w:cs="Times New Roman"/>
        </w:rPr>
        <w:t>6 §</w:t>
      </w:r>
      <w:r w:rsidRPr="00DD3BE9" w:rsidR="003F5E65">
        <w:rPr>
          <w:rFonts w:ascii="Times New Roman" w:hAnsi="Times New Roman" w:cs="Times New Roman"/>
        </w:rPr>
        <w:t> </w:t>
      </w:r>
      <w:r w:rsidRPr="00DD3BE9">
        <w:rPr>
          <w:rFonts w:ascii="Times New Roman" w:hAnsi="Times New Roman" w:cs="Times New Roman"/>
        </w:rPr>
        <w:t xml:space="preserve">1, </w:t>
      </w:r>
      <w:r w:rsidRPr="00DD3BE9">
        <w:rPr>
          <w:i/>
          <w:iCs/>
        </w:rPr>
        <w:t>Navalnyy and Ofitserov v. Russi</w:t>
      </w:r>
      <w:bookmarkEnd w:id="36"/>
      <w:r w:rsidRPr="00DD3BE9">
        <w:rPr>
          <w:i/>
          <w:iCs/>
        </w:rPr>
        <w:t>a</w:t>
      </w:r>
      <w:r w:rsidRPr="00DD3BE9">
        <w:t>, nos.</w:t>
      </w:r>
      <w:r w:rsidRPr="00DD3BE9" w:rsidR="003F5E65">
        <w:t> </w:t>
      </w:r>
      <w:r w:rsidRPr="00DD3BE9">
        <w:t>46632/13 and 28671/14, §</w:t>
      </w:r>
      <w:r w:rsidRPr="00DD3BE9" w:rsidR="003F5E65">
        <w:t> </w:t>
      </w:r>
      <w:r w:rsidRPr="00DD3BE9">
        <w:t>99, 23</w:t>
      </w:r>
      <w:r w:rsidRPr="00DD3BE9" w:rsidR="003F5E65">
        <w:t> </w:t>
      </w:r>
      <w:r w:rsidRPr="00DD3BE9">
        <w:t>February</w:t>
      </w:r>
      <w:r w:rsidRPr="00DD3BE9" w:rsidR="003F5E65">
        <w:t> </w:t>
      </w:r>
      <w:r w:rsidRPr="00DD3BE9">
        <w:t>2016</w:t>
      </w:r>
      <w:r w:rsidRPr="00DD3BE9">
        <w:rPr>
          <w:rFonts w:ascii="Times New Roman" w:hAnsi="Times New Roman" w:cs="Times New Roman"/>
        </w:rPr>
        <w:t xml:space="preserve">; </w:t>
      </w:r>
      <w:bookmarkStart w:name="_cl41202" w:id="37"/>
      <w:r w:rsidRPr="00DD3BE9">
        <w:rPr>
          <w:i/>
          <w:iCs/>
        </w:rPr>
        <w:t>Mucha v. Slovaki</w:t>
      </w:r>
      <w:bookmarkEnd w:id="37"/>
      <w:r w:rsidRPr="00DD3BE9">
        <w:rPr>
          <w:i/>
          <w:iCs/>
        </w:rPr>
        <w:t>a</w:t>
      </w:r>
      <w:r w:rsidRPr="00DD3BE9">
        <w:t>, no.</w:t>
      </w:r>
      <w:r w:rsidRPr="00DD3BE9" w:rsidR="003F5E65">
        <w:t> </w:t>
      </w:r>
      <w:r w:rsidRPr="00DD3BE9">
        <w:t>63703/19, §</w:t>
      </w:r>
      <w:r w:rsidRPr="00DD3BE9" w:rsidR="003F5E65">
        <w:t> </w:t>
      </w:r>
      <w:r w:rsidRPr="00DD3BE9">
        <w:t>58, 25</w:t>
      </w:r>
      <w:r w:rsidRPr="00DD3BE9" w:rsidR="003F5E65">
        <w:t> </w:t>
      </w:r>
      <w:r w:rsidRPr="00DD3BE9">
        <w:t>November</w:t>
      </w:r>
      <w:r w:rsidRPr="00DD3BE9" w:rsidR="004026F9">
        <w:t xml:space="preserve"> </w:t>
      </w:r>
      <w:r w:rsidRPr="00DD3BE9">
        <w:t>2021</w:t>
      </w:r>
      <w:r w:rsidRPr="00DD3BE9">
        <w:rPr>
          <w:rFonts w:ascii="Times New Roman" w:hAnsi="Times New Roman" w:cs="Times New Roman"/>
        </w:rPr>
        <w:t xml:space="preserve">; </w:t>
      </w:r>
      <w:r w:rsidRPr="00DD3BE9">
        <w:rPr>
          <w:i/>
          <w:iCs/>
        </w:rPr>
        <w:t>Meng v.</w:t>
      </w:r>
      <w:r w:rsidRPr="00DD3BE9" w:rsidR="003F5E65">
        <w:rPr>
          <w:i/>
          <w:iCs/>
        </w:rPr>
        <w:t> </w:t>
      </w:r>
      <w:r w:rsidRPr="00DD3BE9">
        <w:rPr>
          <w:i/>
          <w:iCs/>
        </w:rPr>
        <w:t>Germany</w:t>
      </w:r>
      <w:r w:rsidRPr="00DD3BE9">
        <w:t>, no.</w:t>
      </w:r>
      <w:r w:rsidRPr="00DD3BE9" w:rsidR="003F5E65">
        <w:t> </w:t>
      </w:r>
      <w:r w:rsidRPr="00DD3BE9">
        <w:t>1128/17, §</w:t>
      </w:r>
      <w:r w:rsidRPr="00DD3BE9" w:rsidR="003F5E65">
        <w:t> </w:t>
      </w:r>
      <w:r w:rsidRPr="00DD3BE9">
        <w:t>47, 16</w:t>
      </w:r>
      <w:r w:rsidRPr="00DD3BE9" w:rsidR="003F5E65">
        <w:t> </w:t>
      </w:r>
      <w:r w:rsidRPr="00DD3BE9">
        <w:t>February</w:t>
      </w:r>
      <w:r w:rsidRPr="00DD3BE9" w:rsidR="003F5E65">
        <w:t> </w:t>
      </w:r>
      <w:r w:rsidRPr="00DD3BE9">
        <w:t>2021</w:t>
      </w:r>
      <w:r w:rsidRPr="00DD3BE9">
        <w:rPr>
          <w:rFonts w:ascii="Times New Roman" w:hAnsi="Times New Roman" w:cs="Times New Roman"/>
        </w:rPr>
        <w:t xml:space="preserve">; and </w:t>
      </w:r>
      <w:r w:rsidRPr="00DD3BE9">
        <w:rPr>
          <w:rFonts w:ascii="Times New Roman" w:hAnsi="Times New Roman" w:cs="Times New Roman"/>
          <w:i/>
          <w:iCs/>
        </w:rPr>
        <w:t xml:space="preserve">Alarich v. Germany </w:t>
      </w:r>
      <w:r w:rsidRPr="00DD3BE9">
        <w:rPr>
          <w:rFonts w:ascii="Times New Roman" w:hAnsi="Times New Roman" w:cs="Times New Roman"/>
        </w:rPr>
        <w:t>(dec.), no.</w:t>
      </w:r>
      <w:r w:rsidRPr="00DD3BE9" w:rsidR="003F5E65">
        <w:rPr>
          <w:rFonts w:ascii="Times New Roman" w:hAnsi="Times New Roman" w:cs="Times New Roman"/>
        </w:rPr>
        <w:t> </w:t>
      </w:r>
      <w:r w:rsidRPr="00DD3BE9">
        <w:rPr>
          <w:rFonts w:ascii="Times New Roman" w:hAnsi="Times New Roman" w:cs="Times New Roman"/>
        </w:rPr>
        <w:t>37027/20, §</w:t>
      </w:r>
      <w:r w:rsidRPr="00DD3BE9" w:rsidR="003F5E65">
        <w:rPr>
          <w:rFonts w:ascii="Times New Roman" w:hAnsi="Times New Roman" w:cs="Times New Roman"/>
        </w:rPr>
        <w:t> </w:t>
      </w:r>
      <w:r w:rsidRPr="00DD3BE9">
        <w:rPr>
          <w:rFonts w:ascii="Times New Roman" w:hAnsi="Times New Roman" w:cs="Times New Roman"/>
        </w:rPr>
        <w:t>11, 17</w:t>
      </w:r>
      <w:r w:rsidRPr="00DD3BE9" w:rsidR="003F5E65">
        <w:rPr>
          <w:rFonts w:ascii="Times New Roman" w:hAnsi="Times New Roman" w:cs="Times New Roman"/>
        </w:rPr>
        <w:t> </w:t>
      </w:r>
      <w:r w:rsidRPr="00DD3BE9">
        <w:rPr>
          <w:rFonts w:ascii="Times New Roman" w:hAnsi="Times New Roman" w:cs="Times New Roman"/>
        </w:rPr>
        <w:t>October</w:t>
      </w:r>
      <w:r w:rsidRPr="00DD3BE9" w:rsidR="003F5E65">
        <w:rPr>
          <w:rFonts w:ascii="Times New Roman" w:hAnsi="Times New Roman" w:cs="Times New Roman"/>
        </w:rPr>
        <w:t> </w:t>
      </w:r>
      <w:r w:rsidRPr="00DD3BE9">
        <w:rPr>
          <w:rFonts w:ascii="Times New Roman" w:hAnsi="Times New Roman" w:cs="Times New Roman"/>
        </w:rPr>
        <w:t>2023. See also the CJEU</w:t>
      </w:r>
      <w:r w:rsidRPr="00DD3BE9" w:rsidR="00DD3BE9">
        <w:rPr>
          <w:rFonts w:ascii="Times New Roman" w:hAnsi="Times New Roman" w:cs="Times New Roman"/>
        </w:rPr>
        <w:t>’</w:t>
      </w:r>
      <w:r w:rsidRPr="00DD3BE9">
        <w:rPr>
          <w:rFonts w:ascii="Times New Roman" w:hAnsi="Times New Roman" w:cs="Times New Roman"/>
        </w:rPr>
        <w:t xml:space="preserve">s judgment in the case of </w:t>
      </w:r>
      <w:r w:rsidRPr="00DD3BE9">
        <w:rPr>
          <w:rFonts w:ascii="Times New Roman" w:hAnsi="Times New Roman" w:cs="Times New Roman"/>
          <w:i/>
          <w:iCs/>
        </w:rPr>
        <w:t xml:space="preserve">Pometon v Commission, </w:t>
      </w:r>
      <w:r w:rsidRPr="00DD3BE9">
        <w:rPr>
          <w:rFonts w:ascii="Times New Roman" w:hAnsi="Times New Roman" w:cs="Times New Roman"/>
        </w:rPr>
        <w:t>§</w:t>
      </w:r>
      <w:r w:rsidRPr="00DD3BE9" w:rsidR="003F5E65">
        <w:rPr>
          <w:rFonts w:ascii="Times New Roman" w:hAnsi="Times New Roman" w:cs="Times New Roman"/>
        </w:rPr>
        <w:t> </w:t>
      </w:r>
      <w:r w:rsidRPr="00DD3BE9">
        <w:rPr>
          <w:rFonts w:ascii="Times New Roman" w:hAnsi="Times New Roman" w:cs="Times New Roman"/>
        </w:rPr>
        <w:t>63, cited in paragraph</w:t>
      </w:r>
      <w:r w:rsidRPr="00DD3BE9" w:rsidR="003F5E65">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 REF paragraph00037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37</w:t>
      </w:r>
      <w:r w:rsidRPr="00DD3BE9">
        <w:rPr>
          <w:rFonts w:ascii="Times New Roman" w:hAnsi="Times New Roman" w:cs="Times New Roman"/>
        </w:rPr>
        <w:fldChar w:fldCharType="end"/>
      </w:r>
      <w:r w:rsidRPr="00DD3BE9">
        <w:rPr>
          <w:rFonts w:ascii="Times New Roman" w:hAnsi="Times New Roman" w:cs="Times New Roman"/>
        </w:rPr>
        <w:t xml:space="preserve"> above, in reference to the Court</w:t>
      </w:r>
      <w:r w:rsidRPr="00DD3BE9" w:rsidR="00DD3BE9">
        <w:rPr>
          <w:rFonts w:ascii="Times New Roman" w:hAnsi="Times New Roman" w:cs="Times New Roman"/>
        </w:rPr>
        <w:t>’</w:t>
      </w:r>
      <w:r w:rsidRPr="00DD3BE9">
        <w:rPr>
          <w:rFonts w:ascii="Times New Roman" w:hAnsi="Times New Roman" w:cs="Times New Roman"/>
        </w:rPr>
        <w:t>s case</w:t>
      </w:r>
      <w:r w:rsidRPr="00DD3BE9" w:rsidR="003F5E65">
        <w:rPr>
          <w:rFonts w:ascii="Times New Roman" w:hAnsi="Times New Roman" w:cs="Times New Roman"/>
        </w:rPr>
        <w:noBreakHyphen/>
      </w:r>
      <w:r w:rsidRPr="00DD3BE9">
        <w:rPr>
          <w:rFonts w:ascii="Times New Roman" w:hAnsi="Times New Roman" w:cs="Times New Roman"/>
        </w:rPr>
        <w:t>law).</w:t>
      </w:r>
    </w:p>
    <w:p w:rsidRPr="00DD3BE9" w:rsidR="0083243F" w:rsidP="00DD3BE9" w14:paraId="5EE3BDAF" w14:textId="77777777">
      <w:pPr>
        <w:pStyle w:val="JuHa0"/>
      </w:pPr>
      <w:r w:rsidRPr="00DD3BE9">
        <w:t>Application of these principles to the present case</w:t>
      </w:r>
    </w:p>
    <w:p w:rsidRPr="00DD3BE9" w:rsidR="0083243F" w:rsidP="00DD3BE9" w14:paraId="61F0BE0F" w14:textId="4F81F592">
      <w:pPr>
        <w:pStyle w:val="JuPara"/>
        <w:rPr>
          <w:iCs/>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bookmarkStart w:name="paragraph00061" w:id="38"/>
      <w:r w:rsidRPr="00DD3BE9" w:rsidR="00DD3BE9">
        <w:rPr>
          <w:rFonts w:ascii="Times New Roman" w:hAnsi="Times New Roman" w:cs="Times New Roman"/>
          <w:noProof/>
        </w:rPr>
        <w:t>61</w:t>
      </w:r>
      <w:bookmarkEnd w:id="38"/>
      <w:r w:rsidRPr="00DD3BE9">
        <w:rPr>
          <w:rFonts w:ascii="Times New Roman" w:hAnsi="Times New Roman" w:cs="Times New Roman"/>
        </w:rPr>
        <w:fldChar w:fldCharType="end"/>
      </w:r>
      <w:r w:rsidRPr="00DD3BE9">
        <w:rPr>
          <w:rFonts w:ascii="Times New Roman" w:hAnsi="Times New Roman" w:cs="Times New Roman"/>
        </w:rPr>
        <w:t>.  The Court observes that the preliminary proceedings concerning “Cum</w:t>
      </w:r>
      <w:r w:rsidRPr="00DD3BE9" w:rsidR="003A1B60">
        <w:rPr>
          <w:rFonts w:ascii="Times New Roman" w:hAnsi="Times New Roman" w:cs="Times New Roman"/>
        </w:rPr>
        <w:noBreakHyphen/>
      </w:r>
      <w:r w:rsidRPr="00DD3BE9">
        <w:rPr>
          <w:rFonts w:ascii="Times New Roman" w:hAnsi="Times New Roman" w:cs="Times New Roman"/>
        </w:rPr>
        <w:t>Ex” transactions in connection with W</w:t>
      </w:r>
      <w:r w:rsidRPr="00DD3BE9" w:rsidR="003A1B60">
        <w:rPr>
          <w:rFonts w:ascii="Times New Roman" w:hAnsi="Times New Roman" w:cs="Times New Roman"/>
        </w:rPr>
        <w:noBreakHyphen/>
      </w:r>
      <w:r w:rsidRPr="00DD3BE9">
        <w:rPr>
          <w:rFonts w:ascii="Times New Roman" w:hAnsi="Times New Roman" w:cs="Times New Roman"/>
        </w:rPr>
        <w:t>Bank were initially conducted as a single set of proceedings directed against numerous accused persons, and that the prosecutor</w:t>
      </w:r>
      <w:r w:rsidRPr="00DD3BE9" w:rsidR="00DD3BE9">
        <w:rPr>
          <w:rFonts w:ascii="Times New Roman" w:hAnsi="Times New Roman" w:cs="Times New Roman"/>
        </w:rPr>
        <w:t>’</w:t>
      </w:r>
      <w:r w:rsidRPr="00DD3BE9">
        <w:rPr>
          <w:rFonts w:ascii="Times New Roman" w:hAnsi="Times New Roman" w:cs="Times New Roman"/>
        </w:rPr>
        <w:t>s office then decided to initiate a separate set of proceedings against only M.S. and N.D. and to indict them earlier than the other accused persons, including the applicant (see paragraphs</w:t>
      </w:r>
      <w:r w:rsidRPr="00DD3BE9" w:rsidR="003A1B60">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paragraph00011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11</w:t>
      </w:r>
      <w:r w:rsidRPr="00DD3BE9">
        <w:rPr>
          <w:rFonts w:ascii="Times New Roman" w:hAnsi="Times New Roman" w:cs="Times New Roman"/>
        </w:rPr>
        <w:fldChar w:fldCharType="end"/>
      </w:r>
      <w:r w:rsidRPr="00DD3BE9">
        <w:rPr>
          <w:rFonts w:ascii="Times New Roman" w:hAnsi="Times New Roman" w:cs="Times New Roman"/>
        </w:rPr>
        <w:t xml:space="preserve"> and</w:t>
      </w:r>
      <w:r w:rsidRPr="00DD3BE9" w:rsidR="003A1B60">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paragraph00012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12</w:t>
      </w:r>
      <w:r w:rsidRPr="00DD3BE9">
        <w:rPr>
          <w:rFonts w:ascii="Times New Roman" w:hAnsi="Times New Roman" w:cs="Times New Roman"/>
        </w:rPr>
        <w:fldChar w:fldCharType="end"/>
      </w:r>
      <w:r w:rsidRPr="00DD3BE9">
        <w:rPr>
          <w:rFonts w:ascii="Times New Roman" w:hAnsi="Times New Roman" w:cs="Times New Roman"/>
        </w:rPr>
        <w:t xml:space="preserve"> above). The Court takes note of the grounds on which the prosecutor</w:t>
      </w:r>
      <w:r w:rsidRPr="00DD3BE9" w:rsidR="00DD3BE9">
        <w:rPr>
          <w:rFonts w:ascii="Times New Roman" w:hAnsi="Times New Roman" w:cs="Times New Roman"/>
        </w:rPr>
        <w:t>’</w:t>
      </w:r>
      <w:r w:rsidRPr="00DD3BE9">
        <w:rPr>
          <w:rFonts w:ascii="Times New Roman" w:hAnsi="Times New Roman" w:cs="Times New Roman"/>
        </w:rPr>
        <w:t>s office separated the proceedings, namely the complexity and scale of “Cum</w:t>
      </w:r>
      <w:r w:rsidRPr="00DD3BE9" w:rsidR="003A1B60">
        <w:rPr>
          <w:rFonts w:ascii="Times New Roman" w:hAnsi="Times New Roman" w:cs="Times New Roman"/>
        </w:rPr>
        <w:noBreakHyphen/>
      </w:r>
      <w:r w:rsidRPr="00DD3BE9">
        <w:rPr>
          <w:rFonts w:ascii="Times New Roman" w:hAnsi="Times New Roman" w:cs="Times New Roman"/>
        </w:rPr>
        <w:t>Ex” proceedings and the fact that the case against M.S. and N.D. was ready for trial because of their confessions, unlike the case against the other accused persons (see paragraph</w:t>
      </w:r>
      <w:r w:rsidRPr="00DD3BE9" w:rsidR="003A1B60">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paragraph00011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11</w:t>
      </w:r>
      <w:r w:rsidRPr="00DD3BE9">
        <w:rPr>
          <w:rFonts w:ascii="Times New Roman" w:hAnsi="Times New Roman" w:cs="Times New Roman"/>
        </w:rPr>
        <w:fldChar w:fldCharType="end"/>
      </w:r>
      <w:r w:rsidRPr="00DD3BE9">
        <w:rPr>
          <w:rFonts w:ascii="Times New Roman" w:hAnsi="Times New Roman" w:cs="Times New Roman"/>
        </w:rPr>
        <w:t xml:space="preserve"> above). It considers that the decision to separate the proceedings was in line with the obligation, under German law, to conduct criminal proceedings expeditiously (see paragraph</w:t>
      </w:r>
      <w:r w:rsidRPr="00DD3BE9" w:rsidR="003A1B60">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paragraph00033 \h \* CharFormat </w:instrText>
      </w:r>
      <w:r w:rsidRPr="00DD3BE9">
        <w:rPr>
          <w:rFonts w:ascii="Times New Roman" w:hAnsi="Times New Roman" w:cs="Times New Roman"/>
        </w:rPr>
        <w:fldChar w:fldCharType="separate"/>
      </w:r>
      <w:r w:rsidRPr="00DD3BE9" w:rsidR="00DD3BE9">
        <w:rPr>
          <w:rFonts w:ascii="Times New Roman" w:hAnsi="Times New Roman" w:cs="Times New Roman"/>
        </w:rPr>
        <w:t>33</w:t>
      </w:r>
      <w:r w:rsidRPr="00DD3BE9">
        <w:rPr>
          <w:rFonts w:ascii="Times New Roman" w:hAnsi="Times New Roman" w:cs="Times New Roman"/>
        </w:rPr>
        <w:fldChar w:fldCharType="end"/>
      </w:r>
      <w:r w:rsidRPr="00DD3BE9">
        <w:rPr>
          <w:rFonts w:ascii="Times New Roman" w:hAnsi="Times New Roman" w:cs="Times New Roman"/>
        </w:rPr>
        <w:t xml:space="preserve"> above) and with M.S. and N.D.</w:t>
      </w:r>
      <w:r w:rsidRPr="00DD3BE9" w:rsidR="00DD3BE9">
        <w:rPr>
          <w:rFonts w:ascii="Times New Roman" w:hAnsi="Times New Roman" w:cs="Times New Roman"/>
        </w:rPr>
        <w:t>’</w:t>
      </w:r>
      <w:r w:rsidRPr="00DD3BE9">
        <w:rPr>
          <w:rFonts w:ascii="Times New Roman" w:hAnsi="Times New Roman" w:cs="Times New Roman"/>
        </w:rPr>
        <w:t>s right to a fair hearing within a reasonable time under Article</w:t>
      </w:r>
      <w:r w:rsidRPr="00DD3BE9" w:rsidR="003A1B60">
        <w:rPr>
          <w:rFonts w:ascii="Times New Roman" w:hAnsi="Times New Roman" w:cs="Times New Roman"/>
        </w:rPr>
        <w:t> </w:t>
      </w:r>
      <w:r w:rsidRPr="00DD3BE9">
        <w:rPr>
          <w:rFonts w:ascii="Times New Roman" w:hAnsi="Times New Roman" w:cs="Times New Roman"/>
        </w:rPr>
        <w:t xml:space="preserve">6 § 1 of the Convention. The Court therefore sees no reason to consider this decision unjustified (see, </w:t>
      </w:r>
      <w:r w:rsidRPr="00DD3BE9">
        <w:rPr>
          <w:rFonts w:ascii="Times New Roman" w:hAnsi="Times New Roman" w:cs="Times New Roman"/>
          <w:i/>
          <w:iCs/>
        </w:rPr>
        <w:t>mutatis mutandis</w:t>
      </w:r>
      <w:r w:rsidRPr="00DD3BE9">
        <w:rPr>
          <w:rFonts w:ascii="Times New Roman" w:hAnsi="Times New Roman" w:cs="Times New Roman"/>
        </w:rPr>
        <w:t xml:space="preserve">, </w:t>
      </w:r>
      <w:r w:rsidRPr="00DD3BE9">
        <w:rPr>
          <w:i/>
          <w:iCs/>
        </w:rPr>
        <w:t>Bauras</w:t>
      </w:r>
      <w:r w:rsidRPr="00DD3BE9">
        <w:rPr>
          <w:iCs/>
        </w:rPr>
        <w:t>, cited above, §</w:t>
      </w:r>
      <w:r w:rsidRPr="00DD3BE9" w:rsidR="003A1B60">
        <w:rPr>
          <w:iCs/>
        </w:rPr>
        <w:t> </w:t>
      </w:r>
      <w:r w:rsidRPr="00DD3BE9">
        <w:rPr>
          <w:iCs/>
        </w:rPr>
        <w:t>54</w:t>
      </w:r>
      <w:r w:rsidRPr="00DD3BE9">
        <w:t>).</w:t>
      </w:r>
    </w:p>
    <w:p w:rsidRPr="00DD3BE9" w:rsidR="0083243F" w:rsidP="00DD3BE9" w14:paraId="6BB83D55" w14:textId="4BED2EE5">
      <w:pPr>
        <w:pStyle w:val="JuPara"/>
        <w:rPr>
          <w:rFonts w:ascii="Times New Roman" w:hAnsi="Times New Roman" w:cs="Times New Roman"/>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62</w:t>
      </w:r>
      <w:r w:rsidRPr="00DD3BE9">
        <w:rPr>
          <w:rFonts w:ascii="Times New Roman" w:hAnsi="Times New Roman" w:cs="Times New Roman"/>
          <w:iCs/>
        </w:rPr>
        <w:fldChar w:fldCharType="end"/>
      </w:r>
      <w:r w:rsidRPr="00DD3BE9">
        <w:rPr>
          <w:rFonts w:ascii="Times New Roman" w:hAnsi="Times New Roman" w:cs="Times New Roman"/>
          <w:iCs/>
        </w:rPr>
        <w:t>.  The Court notes that, in their written judgments concerning M.S. and N.D., the Regional Court and the Federal Court of Justice not only described in detail the applicant</w:t>
      </w:r>
      <w:r w:rsidRPr="00DD3BE9" w:rsidR="00DD3BE9">
        <w:rPr>
          <w:rFonts w:ascii="Times New Roman" w:hAnsi="Times New Roman" w:cs="Times New Roman"/>
          <w:iCs/>
        </w:rPr>
        <w:t>’</w:t>
      </w:r>
      <w:r w:rsidRPr="00DD3BE9">
        <w:rPr>
          <w:rFonts w:ascii="Times New Roman" w:hAnsi="Times New Roman" w:cs="Times New Roman"/>
          <w:iCs/>
        </w:rPr>
        <w:t>s actions and intentions from a factual point of view, but also assessed them from a legal point of view. In particular, the criminal courts found that the applicant had fulfilled the constituent elements (</w:t>
      </w:r>
      <w:r w:rsidRPr="00DD3BE9">
        <w:rPr>
          <w:rFonts w:ascii="Times New Roman" w:hAnsi="Times New Roman" w:cs="Times New Roman"/>
          <w:i/>
        </w:rPr>
        <w:t xml:space="preserve">actus reus </w:t>
      </w:r>
      <w:r w:rsidRPr="00DD3BE9">
        <w:rPr>
          <w:rFonts w:ascii="Times New Roman" w:hAnsi="Times New Roman" w:cs="Times New Roman"/>
          <w:iCs/>
        </w:rPr>
        <w:t xml:space="preserve">and </w:t>
      </w:r>
      <w:r w:rsidRPr="00DD3BE9">
        <w:rPr>
          <w:rFonts w:ascii="Times New Roman" w:hAnsi="Times New Roman" w:cs="Times New Roman"/>
          <w:i/>
        </w:rPr>
        <w:t>mens rea</w:t>
      </w:r>
      <w:r w:rsidRPr="00DD3BE9">
        <w:rPr>
          <w:rFonts w:ascii="Times New Roman" w:hAnsi="Times New Roman" w:cs="Times New Roman"/>
          <w:iCs/>
        </w:rPr>
        <w:t>) of the criminal offence of which he had been accused (tax evasion) and that he had done so unlawfully (see paragraphs</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paragraph00014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14</w:t>
      </w:r>
      <w:r w:rsidRPr="00DD3BE9">
        <w:rPr>
          <w:rFonts w:ascii="Times New Roman" w:hAnsi="Times New Roman" w:cs="Times New Roman"/>
          <w:iCs/>
        </w:rPr>
        <w:fldChar w:fldCharType="end"/>
      </w:r>
      <w:r w:rsidRPr="00DD3BE9" w:rsidR="003A1B60">
        <w:rPr>
          <w:rFonts w:ascii="Times New Roman" w:hAnsi="Times New Roman" w:cs="Times New Roman"/>
          <w:iCs/>
        </w:rPr>
        <w:noBreakHyphen/>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paragraph00017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17</w:t>
      </w:r>
      <w:r w:rsidRPr="00DD3BE9">
        <w:rPr>
          <w:rFonts w:ascii="Times New Roman" w:hAnsi="Times New Roman" w:cs="Times New Roman"/>
          <w:iCs/>
        </w:rPr>
        <w:fldChar w:fldCharType="end"/>
      </w:r>
      <w:r w:rsidRPr="00DD3BE9">
        <w:rPr>
          <w:rFonts w:ascii="Times New Roman" w:hAnsi="Times New Roman" w:cs="Times New Roman"/>
          <w:iCs/>
        </w:rPr>
        <w:t xml:space="preserve"> above). They thus found that the applicant had fulfilled two of the three basic conditions required to establish criminal liability under domestic law (see paragraphs</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paragraph00025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25</w:t>
      </w:r>
      <w:r w:rsidRPr="00DD3BE9">
        <w:rPr>
          <w:rFonts w:ascii="Times New Roman" w:hAnsi="Times New Roman" w:cs="Times New Roman"/>
          <w:iCs/>
        </w:rPr>
        <w:fldChar w:fldCharType="end"/>
      </w:r>
      <w:r w:rsidRPr="00DD3BE9">
        <w:rPr>
          <w:rFonts w:ascii="Times New Roman" w:hAnsi="Times New Roman" w:cs="Times New Roman"/>
          <w:iCs/>
        </w:rPr>
        <w:t xml:space="preserve"> to</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paragraph00028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28</w:t>
      </w:r>
      <w:r w:rsidRPr="00DD3BE9">
        <w:rPr>
          <w:rFonts w:ascii="Times New Roman" w:hAnsi="Times New Roman" w:cs="Times New Roman"/>
          <w:iCs/>
        </w:rPr>
        <w:fldChar w:fldCharType="end"/>
      </w:r>
      <w:r w:rsidRPr="00DD3BE9">
        <w:rPr>
          <w:rFonts w:ascii="Times New Roman" w:hAnsi="Times New Roman" w:cs="Times New Roman"/>
          <w:iCs/>
        </w:rPr>
        <w:t xml:space="preserve"> above).</w:t>
      </w:r>
    </w:p>
    <w:bookmarkStart w:name="paragraph00063" w:id="39"/>
    <w:p w:rsidRPr="00DD3BE9" w:rsidR="0083243F" w:rsidP="00DD3BE9" w14:paraId="22551000" w14:textId="415476AE">
      <w:pPr>
        <w:pStyle w:val="JuPara"/>
        <w:rPr>
          <w:rFonts w:ascii="Times New Roman" w:hAnsi="Times New Roman" w:cs="Times New Roman"/>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63</w:t>
      </w:r>
      <w:r w:rsidRPr="00DD3BE9">
        <w:rPr>
          <w:rFonts w:ascii="Times New Roman" w:hAnsi="Times New Roman" w:cs="Times New Roman"/>
          <w:iCs/>
        </w:rPr>
        <w:fldChar w:fldCharType="end"/>
      </w:r>
      <w:bookmarkEnd w:id="39"/>
      <w:r w:rsidRPr="00DD3BE9">
        <w:rPr>
          <w:rFonts w:ascii="Times New Roman" w:hAnsi="Times New Roman" w:cs="Times New Roman"/>
          <w:iCs/>
        </w:rPr>
        <w:t>.  The Court has to examine to what extent the impugned statements constitute a premature expression of guilt. It reiterates in this respect that if facts related to the involvement of third persons have to be introduced in criminal courts</w:t>
      </w:r>
      <w:r w:rsidRPr="00DD3BE9" w:rsidR="00DD3BE9">
        <w:rPr>
          <w:rFonts w:ascii="Times New Roman" w:hAnsi="Times New Roman" w:cs="Times New Roman"/>
          <w:iCs/>
        </w:rPr>
        <w:t>’</w:t>
      </w:r>
      <w:r w:rsidRPr="00DD3BE9">
        <w:rPr>
          <w:rFonts w:ascii="Times New Roman" w:hAnsi="Times New Roman" w:cs="Times New Roman"/>
          <w:iCs/>
        </w:rPr>
        <w:t xml:space="preserve"> decisions, the courts should avoid giving more information than necessary for the assessment of the legal responsibility of those persons who are accused in the trial before it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paragraph00060 \h \* CharFormat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60</w:t>
      </w:r>
      <w:r w:rsidRPr="00DD3BE9">
        <w:rPr>
          <w:rFonts w:ascii="Times New Roman" w:hAnsi="Times New Roman" w:cs="Times New Roman"/>
          <w:iCs/>
        </w:rPr>
        <w:fldChar w:fldCharType="end"/>
      </w:r>
      <w:r w:rsidRPr="00DD3BE9">
        <w:rPr>
          <w:rFonts w:ascii="Times New Roman" w:hAnsi="Times New Roman" w:cs="Times New Roman"/>
          <w:iCs/>
        </w:rPr>
        <w:t xml:space="preserve"> above). The Court observes that, according to the Government</w:t>
      </w:r>
      <w:r w:rsidRPr="00DD3BE9" w:rsidR="00DD3BE9">
        <w:rPr>
          <w:rFonts w:ascii="Times New Roman" w:hAnsi="Times New Roman" w:cs="Times New Roman"/>
          <w:iCs/>
        </w:rPr>
        <w:t>’</w:t>
      </w:r>
      <w:r w:rsidRPr="00DD3BE9">
        <w:rPr>
          <w:rFonts w:ascii="Times New Roman" w:hAnsi="Times New Roman" w:cs="Times New Roman"/>
          <w:iCs/>
        </w:rPr>
        <w:t>s submissions, in so far as the criminal courts referred to the existence of a joint plan devised and implemented by the applicant together with other persons (see paragraphs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paragraph00015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15</w:t>
      </w:r>
      <w:r w:rsidRPr="00DD3BE9">
        <w:rPr>
          <w:rFonts w:ascii="Times New Roman" w:hAnsi="Times New Roman" w:cs="Times New Roman"/>
          <w:iCs/>
        </w:rPr>
        <w:fldChar w:fldCharType="end"/>
      </w:r>
      <w:r w:rsidRPr="00DD3BE9">
        <w:rPr>
          <w:rFonts w:ascii="Times New Roman" w:hAnsi="Times New Roman" w:cs="Times New Roman"/>
          <w:iCs/>
        </w:rPr>
        <w:t xml:space="preserve"> and</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paragraph00016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16</w:t>
      </w:r>
      <w:r w:rsidRPr="00DD3BE9">
        <w:rPr>
          <w:rFonts w:ascii="Times New Roman" w:hAnsi="Times New Roman" w:cs="Times New Roman"/>
          <w:iCs/>
        </w:rPr>
        <w:fldChar w:fldCharType="end"/>
      </w:r>
      <w:r w:rsidRPr="00DD3BE9">
        <w:rPr>
          <w:rFonts w:ascii="Times New Roman" w:hAnsi="Times New Roman" w:cs="Times New Roman"/>
          <w:iCs/>
        </w:rPr>
        <w:t xml:space="preserve"> above), these findings were necessary, in the light of </w:t>
      </w:r>
      <w:r w:rsidRPr="00DD3BE9">
        <w:rPr>
          <w:rFonts w:ascii="Times New Roman" w:hAnsi="Times New Roman" w:cs="Times New Roman"/>
        </w:rPr>
        <w:t>Article</w:t>
      </w:r>
      <w:r w:rsidRPr="00DD3BE9" w:rsidR="003A1B60">
        <w:rPr>
          <w:rFonts w:ascii="Times New Roman" w:hAnsi="Times New Roman" w:cs="Times New Roman"/>
          <w:iCs/>
        </w:rPr>
        <w:t> </w:t>
      </w:r>
      <w:r w:rsidRPr="00DD3BE9">
        <w:rPr>
          <w:rFonts w:ascii="Times New Roman" w:hAnsi="Times New Roman" w:cs="Times New Roman"/>
          <w:iCs/>
        </w:rPr>
        <w:t>25 §</w:t>
      </w:r>
      <w:r w:rsidRPr="00DD3BE9" w:rsidR="003A1B60">
        <w:rPr>
          <w:rFonts w:ascii="Times New Roman" w:hAnsi="Times New Roman" w:cs="Times New Roman"/>
          <w:iCs/>
        </w:rPr>
        <w:t> </w:t>
      </w:r>
      <w:r w:rsidRPr="00DD3BE9">
        <w:rPr>
          <w:rFonts w:ascii="Times New Roman" w:hAnsi="Times New Roman" w:cs="Times New Roman"/>
          <w:iCs/>
        </w:rPr>
        <w:t>2 of the CC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paragraph00030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30</w:t>
      </w:r>
      <w:r w:rsidRPr="00DD3BE9">
        <w:rPr>
          <w:rFonts w:ascii="Times New Roman" w:hAnsi="Times New Roman" w:cs="Times New Roman"/>
          <w:iCs/>
        </w:rPr>
        <w:fldChar w:fldCharType="end"/>
      </w:r>
      <w:r w:rsidRPr="00DD3BE9">
        <w:rPr>
          <w:rFonts w:ascii="Times New Roman" w:hAnsi="Times New Roman" w:cs="Times New Roman"/>
          <w:iCs/>
        </w:rPr>
        <w:t xml:space="preserve"> above), to establish that M.S. had committed tax evasion as a co</w:t>
      </w:r>
      <w:r w:rsidRPr="00DD3BE9" w:rsidR="003A1B60">
        <w:rPr>
          <w:rFonts w:ascii="Times New Roman" w:hAnsi="Times New Roman" w:cs="Times New Roman"/>
          <w:iCs/>
        </w:rPr>
        <w:noBreakHyphen/>
      </w:r>
      <w:r w:rsidRPr="00DD3BE9">
        <w:rPr>
          <w:rFonts w:ascii="Times New Roman" w:hAnsi="Times New Roman" w:cs="Times New Roman"/>
          <w:iCs/>
        </w:rPr>
        <w:t>perpetrator. It further observes that, according to the Government</w:t>
      </w:r>
      <w:r w:rsidRPr="00DD3BE9" w:rsidR="00DD3BE9">
        <w:rPr>
          <w:rFonts w:ascii="Times New Roman" w:hAnsi="Times New Roman" w:cs="Times New Roman"/>
          <w:iCs/>
        </w:rPr>
        <w:t>’</w:t>
      </w:r>
      <w:r w:rsidRPr="00DD3BE9">
        <w:rPr>
          <w:rFonts w:ascii="Times New Roman" w:hAnsi="Times New Roman" w:cs="Times New Roman"/>
          <w:iCs/>
        </w:rPr>
        <w:t>s submissions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paragraph00054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54</w:t>
      </w:r>
      <w:r w:rsidRPr="00DD3BE9">
        <w:rPr>
          <w:rFonts w:ascii="Times New Roman" w:hAnsi="Times New Roman" w:cs="Times New Roman"/>
          <w:iCs/>
        </w:rPr>
        <w:fldChar w:fldCharType="end"/>
      </w:r>
      <w:r w:rsidRPr="00DD3BE9">
        <w:rPr>
          <w:rFonts w:ascii="Times New Roman" w:hAnsi="Times New Roman" w:cs="Times New Roman"/>
          <w:iCs/>
        </w:rPr>
        <w:t xml:space="preserve"> above), in so far as the criminal courts stated that the applicant had intentionally and unlawfully committed tax evasion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paragraph00016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16</w:t>
      </w:r>
      <w:r w:rsidRPr="00DD3BE9">
        <w:rPr>
          <w:rFonts w:ascii="Times New Roman" w:hAnsi="Times New Roman" w:cs="Times New Roman"/>
          <w:iCs/>
        </w:rPr>
        <w:fldChar w:fldCharType="end"/>
      </w:r>
      <w:r w:rsidRPr="00DD3BE9">
        <w:rPr>
          <w:rFonts w:ascii="Times New Roman" w:hAnsi="Times New Roman" w:cs="Times New Roman"/>
          <w:iCs/>
        </w:rPr>
        <w:t xml:space="preserve"> above), these findings were necessary, in the light of </w:t>
      </w:r>
      <w:r w:rsidRPr="00DD3BE9">
        <w:rPr>
          <w:rFonts w:ascii="Times New Roman" w:hAnsi="Times New Roman" w:cs="Times New Roman"/>
        </w:rPr>
        <w:t>Article</w:t>
      </w:r>
      <w:r w:rsidRPr="00DD3BE9" w:rsidR="003A1B60">
        <w:rPr>
          <w:rFonts w:ascii="Times New Roman" w:hAnsi="Times New Roman" w:cs="Times New Roman"/>
        </w:rPr>
        <w:t> </w:t>
      </w:r>
      <w:r w:rsidRPr="00DD3BE9">
        <w:rPr>
          <w:rFonts w:ascii="Times New Roman" w:hAnsi="Times New Roman" w:cs="Times New Roman"/>
          <w:iCs/>
        </w:rPr>
        <w:t>27 §</w:t>
      </w:r>
      <w:r w:rsidRPr="00DD3BE9" w:rsidR="003A1B60">
        <w:rPr>
          <w:rFonts w:ascii="Times New Roman" w:hAnsi="Times New Roman" w:cs="Times New Roman"/>
          <w:iCs/>
        </w:rPr>
        <w:t> </w:t>
      </w:r>
      <w:r w:rsidRPr="00DD3BE9">
        <w:rPr>
          <w:rFonts w:ascii="Times New Roman" w:hAnsi="Times New Roman" w:cs="Times New Roman"/>
          <w:iCs/>
        </w:rPr>
        <w:t>1 of the CC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paragraph00031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31</w:t>
      </w:r>
      <w:r w:rsidRPr="00DD3BE9">
        <w:rPr>
          <w:rFonts w:ascii="Times New Roman" w:hAnsi="Times New Roman" w:cs="Times New Roman"/>
          <w:iCs/>
        </w:rPr>
        <w:fldChar w:fldCharType="end"/>
      </w:r>
      <w:r w:rsidRPr="00DD3BE9">
        <w:rPr>
          <w:rFonts w:ascii="Times New Roman" w:hAnsi="Times New Roman" w:cs="Times New Roman"/>
          <w:iCs/>
        </w:rPr>
        <w:t xml:space="preserve"> above), to establish that M.S. and N.D. had aided and abetted that offence. The Court notes that the applicant has neither contested these submissions nor demonstrated how the criminal courts could have convicted M.S. and N.D. without making the impugned statements. He merely claimed that the Regional Court had used much more restrained language when referring to him in its written judgment against C.S. (see paragraphs</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paragraph00020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20</w:t>
      </w:r>
      <w:r w:rsidRPr="00DD3BE9">
        <w:rPr>
          <w:rFonts w:ascii="Times New Roman" w:hAnsi="Times New Roman" w:cs="Times New Roman"/>
          <w:iCs/>
        </w:rPr>
        <w:fldChar w:fldCharType="end"/>
      </w:r>
      <w:r w:rsidRPr="00DD3BE9">
        <w:rPr>
          <w:rFonts w:ascii="Times New Roman" w:hAnsi="Times New Roman" w:cs="Times New Roman"/>
          <w:iCs/>
        </w:rPr>
        <w:t xml:space="preserve"> and</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paragraph00047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47</w:t>
      </w:r>
      <w:r w:rsidRPr="00DD3BE9">
        <w:rPr>
          <w:rFonts w:ascii="Times New Roman" w:hAnsi="Times New Roman" w:cs="Times New Roman"/>
          <w:iCs/>
        </w:rPr>
        <w:fldChar w:fldCharType="end"/>
      </w:r>
      <w:r w:rsidRPr="00DD3BE9">
        <w:rPr>
          <w:rFonts w:ascii="Times New Roman" w:hAnsi="Times New Roman" w:cs="Times New Roman"/>
          <w:iCs/>
        </w:rPr>
        <w:t xml:space="preserve"> above). The Court takes note, in this respect, of the Government</w:t>
      </w:r>
      <w:r w:rsidRPr="00DD3BE9" w:rsidR="00DD3BE9">
        <w:rPr>
          <w:rFonts w:ascii="Times New Roman" w:hAnsi="Times New Roman" w:cs="Times New Roman"/>
          <w:iCs/>
        </w:rPr>
        <w:t>’</w:t>
      </w:r>
      <w:r w:rsidRPr="00DD3BE9">
        <w:rPr>
          <w:rFonts w:ascii="Times New Roman" w:hAnsi="Times New Roman" w:cs="Times New Roman"/>
          <w:iCs/>
        </w:rPr>
        <w:t>s argument that the judgment against C.S. was not comparable to the one against M.S. and N.D.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 REF paragraph00055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55</w:t>
      </w:r>
      <w:r w:rsidRPr="00DD3BE9">
        <w:rPr>
          <w:rFonts w:ascii="Times New Roman" w:hAnsi="Times New Roman" w:cs="Times New Roman"/>
          <w:iCs/>
        </w:rPr>
        <w:fldChar w:fldCharType="end"/>
      </w:r>
      <w:r w:rsidRPr="00DD3BE9">
        <w:rPr>
          <w:rFonts w:ascii="Times New Roman" w:hAnsi="Times New Roman" w:cs="Times New Roman"/>
          <w:iCs/>
        </w:rPr>
        <w:t xml:space="preserve"> above). It therefore considers that there is no indication that the impugned statements were unnecessary under domestic law for the assessment of M.S. and N.D.</w:t>
      </w:r>
      <w:r w:rsidRPr="00DD3BE9" w:rsidR="00DD3BE9">
        <w:rPr>
          <w:rFonts w:ascii="Times New Roman" w:hAnsi="Times New Roman" w:cs="Times New Roman"/>
          <w:iCs/>
        </w:rPr>
        <w:t>’</w:t>
      </w:r>
      <w:r w:rsidRPr="00DD3BE9">
        <w:rPr>
          <w:rFonts w:ascii="Times New Roman" w:hAnsi="Times New Roman" w:cs="Times New Roman"/>
          <w:iCs/>
        </w:rPr>
        <w:t>s criminal liability, irrespective of the fact that they had both confessed to their involvement in the offences. In this connection, the Court takes note of the Federal Constitutional Court</w:t>
      </w:r>
      <w:r w:rsidRPr="00DD3BE9" w:rsidR="00DD3BE9">
        <w:rPr>
          <w:rFonts w:ascii="Times New Roman" w:hAnsi="Times New Roman" w:cs="Times New Roman"/>
          <w:iCs/>
        </w:rPr>
        <w:t>’</w:t>
      </w:r>
      <w:r w:rsidRPr="00DD3BE9">
        <w:rPr>
          <w:rFonts w:ascii="Times New Roman" w:hAnsi="Times New Roman" w:cs="Times New Roman"/>
          <w:iCs/>
        </w:rPr>
        <w:t>s decision of 27</w:t>
      </w:r>
      <w:r w:rsidRPr="00DD3BE9" w:rsidR="003A1B60">
        <w:rPr>
          <w:rFonts w:ascii="Times New Roman" w:hAnsi="Times New Roman" w:cs="Times New Roman"/>
          <w:iCs/>
        </w:rPr>
        <w:t> </w:t>
      </w:r>
      <w:r w:rsidRPr="00DD3BE9">
        <w:rPr>
          <w:rFonts w:ascii="Times New Roman" w:hAnsi="Times New Roman" w:cs="Times New Roman"/>
          <w:iCs/>
        </w:rPr>
        <w:t>January</w:t>
      </w:r>
      <w:r w:rsidRPr="00DD3BE9" w:rsidR="003A1B60">
        <w:rPr>
          <w:rFonts w:ascii="Times New Roman" w:hAnsi="Times New Roman" w:cs="Times New Roman"/>
          <w:iCs/>
        </w:rPr>
        <w:t> </w:t>
      </w:r>
      <w:r w:rsidRPr="00DD3BE9">
        <w:rPr>
          <w:rFonts w:ascii="Times New Roman" w:hAnsi="Times New Roman" w:cs="Times New Roman"/>
          <w:iCs/>
        </w:rPr>
        <w:t>2023, in particular concerning the requirement of accurate and precise language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paragraph00035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35</w:t>
      </w:r>
      <w:r w:rsidRPr="00DD3BE9">
        <w:rPr>
          <w:rFonts w:ascii="Times New Roman" w:hAnsi="Times New Roman" w:cs="Times New Roman"/>
          <w:iCs/>
        </w:rPr>
        <w:fldChar w:fldCharType="end"/>
      </w:r>
      <w:r w:rsidRPr="00DD3BE9">
        <w:rPr>
          <w:rFonts w:ascii="Times New Roman" w:hAnsi="Times New Roman" w:cs="Times New Roman"/>
          <w:iCs/>
        </w:rPr>
        <w:t xml:space="preserve"> above).</w:t>
      </w:r>
    </w:p>
    <w:p w:rsidRPr="00DD3BE9" w:rsidR="0083243F" w:rsidP="00DD3BE9" w14:paraId="5F009E34" w14:textId="6F738788">
      <w:pPr>
        <w:pStyle w:val="JuPara"/>
        <w:rPr>
          <w:rFonts w:ascii="Times New Roman" w:hAnsi="Times New Roman" w:cs="Times New Roman"/>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64</w:t>
      </w:r>
      <w:r w:rsidRPr="00DD3BE9">
        <w:rPr>
          <w:rFonts w:ascii="Times New Roman" w:hAnsi="Times New Roman" w:cs="Times New Roman"/>
          <w:iCs/>
        </w:rPr>
        <w:fldChar w:fldCharType="end"/>
      </w:r>
      <w:r w:rsidRPr="00DD3BE9">
        <w:rPr>
          <w:rFonts w:ascii="Times New Roman" w:hAnsi="Times New Roman" w:cs="Times New Roman"/>
          <w:iCs/>
        </w:rPr>
        <w:t>.  Furthermore, the Court observes that the criminal courts refrained from making any findings regarding the applicant</w:t>
      </w:r>
      <w:r w:rsidRPr="00DD3BE9" w:rsidR="00DD3BE9">
        <w:rPr>
          <w:rFonts w:ascii="Times New Roman" w:hAnsi="Times New Roman" w:cs="Times New Roman"/>
          <w:iCs/>
        </w:rPr>
        <w:t>’</w:t>
      </w:r>
      <w:r w:rsidRPr="00DD3BE9">
        <w:rPr>
          <w:rFonts w:ascii="Times New Roman" w:hAnsi="Times New Roman" w:cs="Times New Roman"/>
          <w:iCs/>
        </w:rPr>
        <w:t>s “guilt” (</w:t>
      </w:r>
      <w:r w:rsidRPr="00DD3BE9">
        <w:rPr>
          <w:rFonts w:ascii="Times New Roman" w:hAnsi="Times New Roman" w:cs="Times New Roman"/>
          <w:i/>
        </w:rPr>
        <w:t>Schuld</w:t>
      </w:r>
      <w:r w:rsidRPr="00DD3BE9">
        <w:rPr>
          <w:rFonts w:ascii="Times New Roman" w:hAnsi="Times New Roman" w:cs="Times New Roman"/>
          <w:iCs/>
        </w:rPr>
        <w:t>) within the meaning of German criminal law, in particular the question whether the applicant could invoke a mistake of law (</w:t>
      </w:r>
      <w:r w:rsidRPr="00DD3BE9">
        <w:rPr>
          <w:rFonts w:ascii="Times New Roman" w:hAnsi="Times New Roman" w:cs="Times New Roman"/>
          <w:i/>
        </w:rPr>
        <w:t>Verbotsirrtum</w:t>
      </w:r>
      <w:r w:rsidRPr="00DD3BE9">
        <w:rPr>
          <w:rFonts w:ascii="Times New Roman" w:hAnsi="Times New Roman" w:cs="Times New Roman"/>
          <w:iCs/>
        </w:rPr>
        <w:t>) concerning the fraudulent nature of “Cum</w:t>
      </w:r>
      <w:r w:rsidRPr="00DD3BE9" w:rsidR="003A1B60">
        <w:rPr>
          <w:rFonts w:ascii="Times New Roman" w:hAnsi="Times New Roman" w:cs="Times New Roman"/>
          <w:iCs/>
        </w:rPr>
        <w:noBreakHyphen/>
      </w:r>
      <w:r w:rsidRPr="00DD3BE9">
        <w:rPr>
          <w:rFonts w:ascii="Times New Roman" w:hAnsi="Times New Roman" w:cs="Times New Roman"/>
          <w:iCs/>
        </w:rPr>
        <w:t>Ex” transactions (see paragraphs</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paragraph00016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16</w:t>
      </w:r>
      <w:r w:rsidRPr="00DD3BE9">
        <w:rPr>
          <w:rFonts w:ascii="Times New Roman" w:hAnsi="Times New Roman" w:cs="Times New Roman"/>
          <w:iCs/>
        </w:rPr>
        <w:fldChar w:fldCharType="end"/>
      </w:r>
      <w:r w:rsidRPr="00DD3BE9" w:rsidR="003A1B60">
        <w:rPr>
          <w:rFonts w:ascii="Times New Roman" w:hAnsi="Times New Roman" w:cs="Times New Roman"/>
          <w:iCs/>
        </w:rPr>
        <w:t> </w:t>
      </w:r>
      <w:r w:rsidRPr="00DD3BE9">
        <w:rPr>
          <w:rFonts w:ascii="Times New Roman" w:hAnsi="Times New Roman" w:cs="Times New Roman"/>
          <w:iCs/>
        </w:rPr>
        <w:t>(f) and</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paragraph00028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28</w:t>
      </w:r>
      <w:r w:rsidRPr="00DD3BE9">
        <w:rPr>
          <w:rFonts w:ascii="Times New Roman" w:hAnsi="Times New Roman" w:cs="Times New Roman"/>
          <w:iCs/>
        </w:rPr>
        <w:fldChar w:fldCharType="end"/>
      </w:r>
      <w:r w:rsidRPr="00DD3BE9">
        <w:rPr>
          <w:rFonts w:ascii="Times New Roman" w:hAnsi="Times New Roman" w:cs="Times New Roman"/>
          <w:iCs/>
        </w:rPr>
        <w:t xml:space="preserve"> above), and that that decision was in line with the principle of “limited accessoriness of aiding and abetting” under domestic law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paragraph00031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31</w:t>
      </w:r>
      <w:r w:rsidRPr="00DD3BE9">
        <w:rPr>
          <w:rFonts w:ascii="Times New Roman" w:hAnsi="Times New Roman" w:cs="Times New Roman"/>
          <w:iCs/>
        </w:rPr>
        <w:fldChar w:fldCharType="end"/>
      </w:r>
      <w:r w:rsidRPr="00DD3BE9">
        <w:rPr>
          <w:rFonts w:ascii="Times New Roman" w:hAnsi="Times New Roman" w:cs="Times New Roman"/>
          <w:iCs/>
        </w:rPr>
        <w:t xml:space="preserve"> above).</w:t>
      </w:r>
    </w:p>
    <w:bookmarkStart w:name="paragraph00065" w:id="40"/>
    <w:bookmarkStart w:name="_cl40473" w:id="41"/>
    <w:p w:rsidRPr="00DD3BE9" w:rsidR="0083243F" w:rsidP="00DD3BE9" w14:paraId="35C2293A" w14:textId="3722124E">
      <w:pPr>
        <w:pStyle w:val="JuPara"/>
        <w:rPr>
          <w:iCs/>
        </w:rPr>
      </w:pPr>
      <w:r w:rsidRPr="00DD3BE9">
        <w:rPr>
          <w:rFonts w:ascii="Times New Roman" w:hAnsi="Times New Roman" w:cs="Times New Roman"/>
          <w:color w:val="000000"/>
        </w:rPr>
        <w:fldChar w:fldCharType="begin"/>
      </w:r>
      <w:r w:rsidRPr="00DD3BE9">
        <w:rPr>
          <w:rFonts w:ascii="Times New Roman" w:hAnsi="Times New Roman" w:cs="Times New Roman"/>
          <w:color w:val="000000"/>
        </w:rPr>
        <w:instrText xml:space="preserve"> SEQ level0 \*arabic \* MERGEFORMAT </w:instrText>
      </w:r>
      <w:r w:rsidRPr="00DD3BE9">
        <w:rPr>
          <w:rFonts w:ascii="Times New Roman" w:hAnsi="Times New Roman" w:cs="Times New Roman"/>
          <w:color w:val="000000"/>
        </w:rPr>
        <w:fldChar w:fldCharType="separate"/>
      </w:r>
      <w:r w:rsidRPr="00DD3BE9" w:rsidR="00DD3BE9">
        <w:rPr>
          <w:rFonts w:ascii="Times New Roman" w:hAnsi="Times New Roman" w:cs="Times New Roman"/>
          <w:noProof/>
          <w:color w:val="000000"/>
        </w:rPr>
        <w:t>65</w:t>
      </w:r>
      <w:r w:rsidRPr="00DD3BE9">
        <w:rPr>
          <w:rFonts w:ascii="Times New Roman" w:hAnsi="Times New Roman" w:cs="Times New Roman"/>
          <w:color w:val="000000"/>
        </w:rPr>
        <w:fldChar w:fldCharType="end"/>
      </w:r>
      <w:bookmarkEnd w:id="40"/>
      <w:r w:rsidRPr="00DD3BE9">
        <w:rPr>
          <w:rFonts w:ascii="Times New Roman" w:hAnsi="Times New Roman" w:cs="Times New Roman"/>
          <w:color w:val="000000"/>
        </w:rPr>
        <w:t>.  The Court takes note of the Government</w:t>
      </w:r>
      <w:r w:rsidRPr="00DD3BE9" w:rsidR="00DD3BE9">
        <w:rPr>
          <w:rFonts w:ascii="Times New Roman" w:hAnsi="Times New Roman" w:cs="Times New Roman"/>
          <w:color w:val="000000"/>
        </w:rPr>
        <w:t>’</w:t>
      </w:r>
      <w:r w:rsidRPr="00DD3BE9">
        <w:rPr>
          <w:rFonts w:ascii="Times New Roman" w:hAnsi="Times New Roman" w:cs="Times New Roman"/>
          <w:color w:val="000000"/>
        </w:rPr>
        <w:t>s argument that the absence of any findings regarding the applicant</w:t>
      </w:r>
      <w:r w:rsidRPr="00DD3BE9" w:rsidR="00DD3BE9">
        <w:rPr>
          <w:rFonts w:ascii="Times New Roman" w:hAnsi="Times New Roman" w:cs="Times New Roman"/>
          <w:color w:val="000000"/>
        </w:rPr>
        <w:t>’</w:t>
      </w:r>
      <w:r w:rsidRPr="00DD3BE9">
        <w:rPr>
          <w:rFonts w:ascii="Times New Roman" w:hAnsi="Times New Roman" w:cs="Times New Roman"/>
          <w:color w:val="000000"/>
        </w:rPr>
        <w:t>s “guilt” (</w:t>
      </w:r>
      <w:r w:rsidRPr="00DD3BE9">
        <w:rPr>
          <w:rFonts w:ascii="Times New Roman" w:hAnsi="Times New Roman" w:cs="Times New Roman"/>
          <w:i/>
          <w:iCs/>
          <w:color w:val="000000"/>
        </w:rPr>
        <w:t>Schuld</w:t>
      </w:r>
      <w:r w:rsidRPr="00DD3BE9">
        <w:rPr>
          <w:rFonts w:ascii="Times New Roman" w:hAnsi="Times New Roman" w:cs="Times New Roman"/>
          <w:color w:val="000000"/>
        </w:rPr>
        <w:t>) within the meaning of German criminal law meant that the criminal courts had not prejudged the applicant</w:t>
      </w:r>
      <w:r w:rsidRPr="00DD3BE9" w:rsidR="00DD3BE9">
        <w:rPr>
          <w:rFonts w:ascii="Times New Roman" w:hAnsi="Times New Roman" w:cs="Times New Roman"/>
          <w:color w:val="000000"/>
        </w:rPr>
        <w:t>’</w:t>
      </w:r>
      <w:r w:rsidRPr="00DD3BE9">
        <w:rPr>
          <w:rFonts w:ascii="Times New Roman" w:hAnsi="Times New Roman" w:cs="Times New Roman"/>
          <w:color w:val="000000"/>
        </w:rPr>
        <w:t>s guilt, that is, his criminal liability (see paragraph</w:t>
      </w:r>
      <w:r w:rsidRPr="00DD3BE9" w:rsidR="003A1B60">
        <w:rPr>
          <w:rFonts w:ascii="Times New Roman" w:hAnsi="Times New Roman" w:cs="Times New Roman"/>
          <w:color w:val="000000"/>
        </w:rPr>
        <w:t> </w:t>
      </w:r>
      <w:r w:rsidRPr="00DD3BE9">
        <w:rPr>
          <w:rFonts w:ascii="Times New Roman" w:hAnsi="Times New Roman" w:cs="Times New Roman"/>
          <w:color w:val="000000"/>
        </w:rPr>
        <w:fldChar w:fldCharType="begin"/>
      </w:r>
      <w:r w:rsidRPr="00DD3BE9">
        <w:rPr>
          <w:rFonts w:ascii="Times New Roman" w:hAnsi="Times New Roman" w:cs="Times New Roman"/>
          <w:color w:val="000000"/>
        </w:rPr>
        <w:instrText xml:space="preserve">REF paragraph00052 \h \* CharFormat </w:instrText>
      </w:r>
      <w:r w:rsidRPr="00DD3BE9">
        <w:rPr>
          <w:rFonts w:ascii="Times New Roman" w:hAnsi="Times New Roman" w:cs="Times New Roman"/>
          <w:color w:val="000000"/>
        </w:rPr>
        <w:fldChar w:fldCharType="separate"/>
      </w:r>
      <w:r w:rsidRPr="00DD3BE9" w:rsidR="00DD3BE9">
        <w:rPr>
          <w:rFonts w:ascii="Times New Roman" w:hAnsi="Times New Roman" w:cs="Times New Roman"/>
          <w:color w:val="000000"/>
        </w:rPr>
        <w:t>52</w:t>
      </w:r>
      <w:r w:rsidRPr="00DD3BE9">
        <w:rPr>
          <w:rFonts w:ascii="Times New Roman" w:hAnsi="Times New Roman" w:cs="Times New Roman"/>
          <w:color w:val="000000"/>
        </w:rPr>
        <w:fldChar w:fldCharType="end"/>
      </w:r>
      <w:r w:rsidRPr="00DD3BE9">
        <w:rPr>
          <w:rFonts w:ascii="Times New Roman" w:hAnsi="Times New Roman" w:cs="Times New Roman"/>
          <w:color w:val="000000"/>
        </w:rPr>
        <w:t xml:space="preserve"> above). The Court points out that while a violation of the presumption of innocence is determined according to the autonomous meaning of the Convention, the well</w:t>
      </w:r>
      <w:r w:rsidRPr="00DD3BE9" w:rsidR="003A1B60">
        <w:rPr>
          <w:rFonts w:ascii="Times New Roman" w:hAnsi="Times New Roman" w:cs="Times New Roman"/>
          <w:color w:val="000000"/>
        </w:rPr>
        <w:noBreakHyphen/>
      </w:r>
      <w:r w:rsidRPr="00DD3BE9">
        <w:rPr>
          <w:rFonts w:ascii="Times New Roman" w:hAnsi="Times New Roman" w:cs="Times New Roman"/>
          <w:color w:val="000000"/>
        </w:rPr>
        <w:t xml:space="preserve">established meaning and effect of legal terms under domestic law must be taken into account when determining whether a statement can be qualified as a statement of criminal guilt (see </w:t>
      </w:r>
      <w:bookmarkStart w:name="_cl25817" w:id="42"/>
      <w:r w:rsidRPr="00DD3BE9">
        <w:rPr>
          <w:rFonts w:ascii="Times New Roman" w:hAnsi="Times New Roman" w:cs="Times New Roman"/>
          <w:i/>
          <w:iCs/>
          <w:color w:val="000000"/>
        </w:rPr>
        <w:t>Fleischner v.</w:t>
      </w:r>
      <w:r w:rsidRPr="00DD3BE9" w:rsidR="003A1B60">
        <w:rPr>
          <w:rFonts w:ascii="Times New Roman" w:hAnsi="Times New Roman" w:cs="Times New Roman"/>
          <w:i/>
          <w:iCs/>
          <w:color w:val="000000"/>
        </w:rPr>
        <w:t> </w:t>
      </w:r>
      <w:r w:rsidRPr="00DD3BE9">
        <w:rPr>
          <w:rFonts w:ascii="Times New Roman" w:hAnsi="Times New Roman" w:cs="Times New Roman"/>
          <w:i/>
          <w:iCs/>
          <w:color w:val="000000"/>
        </w:rPr>
        <w:t>Germany</w:t>
      </w:r>
      <w:bookmarkEnd w:id="42"/>
      <w:r w:rsidRPr="00DD3BE9">
        <w:rPr>
          <w:rFonts w:ascii="Times New Roman" w:hAnsi="Times New Roman" w:cs="Times New Roman"/>
          <w:color w:val="000000"/>
        </w:rPr>
        <w:t>, no.</w:t>
      </w:r>
      <w:r w:rsidRPr="00DD3BE9" w:rsidR="003A1B60">
        <w:rPr>
          <w:rFonts w:ascii="Times New Roman" w:hAnsi="Times New Roman" w:cs="Times New Roman"/>
          <w:color w:val="000000"/>
        </w:rPr>
        <w:t> </w:t>
      </w:r>
      <w:r w:rsidRPr="00DD3BE9">
        <w:rPr>
          <w:rFonts w:ascii="Times New Roman" w:hAnsi="Times New Roman" w:cs="Times New Roman"/>
          <w:color w:val="000000"/>
        </w:rPr>
        <w:t>61985/12, §§</w:t>
      </w:r>
      <w:r w:rsidRPr="00DD3BE9" w:rsidR="003A1B60">
        <w:rPr>
          <w:rFonts w:ascii="Times New Roman" w:hAnsi="Times New Roman" w:cs="Times New Roman"/>
          <w:color w:val="000000"/>
        </w:rPr>
        <w:t> </w:t>
      </w:r>
      <w:r w:rsidRPr="00DD3BE9">
        <w:rPr>
          <w:rFonts w:ascii="Times New Roman" w:hAnsi="Times New Roman" w:cs="Times New Roman"/>
          <w:color w:val="000000"/>
        </w:rPr>
        <w:t>65 and</w:t>
      </w:r>
      <w:r w:rsidRPr="00DD3BE9" w:rsidR="003A1B60">
        <w:rPr>
          <w:rFonts w:ascii="Times New Roman" w:hAnsi="Times New Roman" w:cs="Times New Roman"/>
          <w:color w:val="000000"/>
        </w:rPr>
        <w:t> </w:t>
      </w:r>
      <w:r w:rsidRPr="00DD3BE9">
        <w:rPr>
          <w:rFonts w:ascii="Times New Roman" w:hAnsi="Times New Roman" w:cs="Times New Roman"/>
          <w:color w:val="000000"/>
        </w:rPr>
        <w:t>69, 3</w:t>
      </w:r>
      <w:r w:rsidRPr="00DD3BE9" w:rsidR="003A1B60">
        <w:rPr>
          <w:rFonts w:ascii="Times New Roman" w:hAnsi="Times New Roman" w:cs="Times New Roman"/>
          <w:color w:val="000000"/>
        </w:rPr>
        <w:t> </w:t>
      </w:r>
      <w:r w:rsidRPr="00DD3BE9">
        <w:rPr>
          <w:rFonts w:ascii="Times New Roman" w:hAnsi="Times New Roman" w:cs="Times New Roman"/>
          <w:color w:val="000000"/>
        </w:rPr>
        <w:t>October</w:t>
      </w:r>
      <w:r w:rsidRPr="00DD3BE9" w:rsidR="003A1B60">
        <w:rPr>
          <w:rFonts w:ascii="Times New Roman" w:hAnsi="Times New Roman" w:cs="Times New Roman"/>
          <w:color w:val="000000"/>
        </w:rPr>
        <w:t> </w:t>
      </w:r>
      <w:r w:rsidRPr="00DD3BE9">
        <w:rPr>
          <w:rFonts w:ascii="Times New Roman" w:hAnsi="Times New Roman" w:cs="Times New Roman"/>
          <w:color w:val="000000"/>
        </w:rPr>
        <w:t xml:space="preserve">2019; concerning the relevance of domestic law in this context see also </w:t>
      </w:r>
      <w:r w:rsidRPr="00DD3BE9">
        <w:rPr>
          <w:rFonts w:ascii="Times New Roman" w:hAnsi="Times New Roman" w:cs="Times New Roman"/>
          <w:i/>
          <w:iCs/>
          <w:color w:val="000000"/>
        </w:rPr>
        <w:t xml:space="preserve">Karaman, </w:t>
      </w:r>
      <w:r w:rsidRPr="00DD3BE9">
        <w:rPr>
          <w:rFonts w:ascii="Times New Roman" w:hAnsi="Times New Roman" w:cs="Times New Roman"/>
          <w:color w:val="000000"/>
        </w:rPr>
        <w:t>cited above, §</w:t>
      </w:r>
      <w:r w:rsidRPr="00DD3BE9" w:rsidR="003A1B60">
        <w:rPr>
          <w:rFonts w:ascii="Times New Roman" w:hAnsi="Times New Roman" w:cs="Times New Roman"/>
          <w:color w:val="000000"/>
        </w:rPr>
        <w:t> </w:t>
      </w:r>
      <w:r w:rsidRPr="00DD3BE9">
        <w:rPr>
          <w:rFonts w:ascii="Times New Roman" w:hAnsi="Times New Roman" w:cs="Times New Roman"/>
          <w:color w:val="000000"/>
        </w:rPr>
        <w:t>69).</w:t>
      </w:r>
    </w:p>
    <w:bookmarkStart w:name="paragraph00066" w:id="43"/>
    <w:p w:rsidRPr="00DD3BE9" w:rsidR="0083243F" w:rsidP="00DD3BE9" w14:paraId="74B464F8" w14:textId="3CBC33C0">
      <w:pPr>
        <w:pStyle w:val="JuPara"/>
        <w:rPr>
          <w:rFonts w:ascii="Times New Roman" w:hAnsi="Times New Roman" w:cs="Times New Roman"/>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66</w:t>
      </w:r>
      <w:r w:rsidRPr="00DD3BE9">
        <w:rPr>
          <w:rFonts w:ascii="Times New Roman" w:hAnsi="Times New Roman" w:cs="Times New Roman"/>
          <w:iCs/>
        </w:rPr>
        <w:fldChar w:fldCharType="end"/>
      </w:r>
      <w:bookmarkEnd w:id="41"/>
      <w:bookmarkEnd w:id="43"/>
      <w:r w:rsidRPr="00DD3BE9">
        <w:rPr>
          <w:rFonts w:ascii="Times New Roman" w:hAnsi="Times New Roman" w:cs="Times New Roman"/>
          <w:iCs/>
        </w:rPr>
        <w:t>.  The Court also notes that, contrary to the applicant</w:t>
      </w:r>
      <w:r w:rsidRPr="00DD3BE9" w:rsidR="00DD3BE9">
        <w:rPr>
          <w:rFonts w:ascii="Times New Roman" w:hAnsi="Times New Roman" w:cs="Times New Roman"/>
          <w:iCs/>
        </w:rPr>
        <w:t>’</w:t>
      </w:r>
      <w:r w:rsidRPr="00DD3BE9">
        <w:rPr>
          <w:rFonts w:ascii="Times New Roman" w:hAnsi="Times New Roman" w:cs="Times New Roman"/>
          <w:iCs/>
        </w:rPr>
        <w:t>s misleading argument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paragraph00050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50</w:t>
      </w:r>
      <w:r w:rsidRPr="00DD3BE9">
        <w:rPr>
          <w:rFonts w:ascii="Times New Roman" w:hAnsi="Times New Roman" w:cs="Times New Roman"/>
          <w:iCs/>
        </w:rPr>
        <w:fldChar w:fldCharType="end"/>
      </w:r>
      <w:r w:rsidRPr="00DD3BE9">
        <w:rPr>
          <w:rFonts w:ascii="Times New Roman" w:hAnsi="Times New Roman" w:cs="Times New Roman"/>
          <w:iCs/>
        </w:rPr>
        <w:t xml:space="preserve"> above), the impugned statements had no binding effect under German criminal law on the court dealing with the case against him. According to the provisions of German law, no inferences about a person</w:t>
      </w:r>
      <w:r w:rsidRPr="00DD3BE9" w:rsidR="00DD3BE9">
        <w:rPr>
          <w:rFonts w:ascii="Times New Roman" w:hAnsi="Times New Roman" w:cs="Times New Roman"/>
          <w:iCs/>
        </w:rPr>
        <w:t>’</w:t>
      </w:r>
      <w:r w:rsidRPr="00DD3BE9">
        <w:rPr>
          <w:rFonts w:ascii="Times New Roman" w:hAnsi="Times New Roman" w:cs="Times New Roman"/>
          <w:iCs/>
        </w:rPr>
        <w:t>s guilt may be drawn from criminal proceedings in which he or she has not participated (see paragraph</w:t>
      </w:r>
      <w:r w:rsidRPr="00DD3BE9" w:rsidR="003A1B60">
        <w:rPr>
          <w:rFonts w:ascii="Times New Roman" w:hAnsi="Times New Roman" w:cs="Times New Roman"/>
          <w:iCs/>
        </w:rPr>
        <w:t> </w:t>
      </w:r>
      <w:r w:rsidRPr="00DD3BE9">
        <w:rPr>
          <w:rFonts w:ascii="Times New Roman" w:hAnsi="Times New Roman" w:cs="Times New Roman"/>
          <w:iCs/>
        </w:rPr>
        <w:fldChar w:fldCharType="begin"/>
      </w:r>
      <w:r w:rsidRPr="00DD3BE9">
        <w:rPr>
          <w:rFonts w:ascii="Times New Roman" w:hAnsi="Times New Roman" w:cs="Times New Roman"/>
          <w:iCs/>
        </w:rPr>
        <w:instrText xml:space="preserve">REF paragraph00032 \h \* CharFormat </w:instrText>
      </w:r>
      <w:r w:rsidRPr="00DD3BE9">
        <w:rPr>
          <w:rFonts w:ascii="Times New Roman" w:hAnsi="Times New Roman" w:cs="Times New Roman"/>
          <w:iCs/>
        </w:rPr>
        <w:fldChar w:fldCharType="separate"/>
      </w:r>
      <w:r w:rsidRPr="00DD3BE9" w:rsidR="00DD3BE9">
        <w:rPr>
          <w:rFonts w:ascii="Times New Roman" w:hAnsi="Times New Roman" w:cs="Times New Roman"/>
          <w:iCs/>
        </w:rPr>
        <w:t>32</w:t>
      </w:r>
      <w:r w:rsidRPr="00DD3BE9">
        <w:rPr>
          <w:rFonts w:ascii="Times New Roman" w:hAnsi="Times New Roman" w:cs="Times New Roman"/>
          <w:iCs/>
        </w:rPr>
        <w:fldChar w:fldCharType="end"/>
      </w:r>
      <w:r w:rsidRPr="00DD3BE9">
        <w:rPr>
          <w:rFonts w:ascii="Times New Roman" w:hAnsi="Times New Roman" w:cs="Times New Roman"/>
          <w:iCs/>
        </w:rPr>
        <w:t xml:space="preserve"> above and also </w:t>
      </w:r>
      <w:bookmarkStart w:name="_cl28779" w:id="44"/>
      <w:r w:rsidRPr="00DD3BE9">
        <w:rPr>
          <w:i/>
          <w:iCs/>
        </w:rPr>
        <w:t>Karaman</w:t>
      </w:r>
      <w:r w:rsidRPr="00DD3BE9">
        <w:t>, cited above, §</w:t>
      </w:r>
      <w:r w:rsidRPr="00DD3BE9" w:rsidR="003A1B60">
        <w:t> </w:t>
      </w:r>
      <w:r w:rsidRPr="00DD3BE9">
        <w:t>65</w:t>
      </w:r>
      <w:bookmarkEnd w:id="44"/>
      <w:r w:rsidRPr="00DD3BE9">
        <w:rPr>
          <w:rFonts w:ascii="Times New Roman" w:hAnsi="Times New Roman" w:cs="Times New Roman"/>
          <w:iCs/>
        </w:rPr>
        <w:t>) and an accused person is protected by the presumption of innocence.</w:t>
      </w:r>
    </w:p>
    <w:p w:rsidRPr="00DD3BE9" w:rsidR="0083243F" w:rsidP="00DD3BE9" w14:paraId="47926233" w14:textId="0436527D">
      <w:pPr>
        <w:pStyle w:val="JuPara"/>
        <w:rPr>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67</w:t>
      </w:r>
      <w:r w:rsidRPr="00DD3BE9">
        <w:rPr>
          <w:rFonts w:ascii="Times New Roman" w:hAnsi="Times New Roman" w:cs="Times New Roman"/>
          <w:iCs/>
        </w:rPr>
        <w:fldChar w:fldCharType="end"/>
      </w:r>
      <w:r w:rsidRPr="00DD3BE9">
        <w:rPr>
          <w:rFonts w:ascii="Times New Roman" w:hAnsi="Times New Roman" w:cs="Times New Roman"/>
          <w:iCs/>
        </w:rPr>
        <w:t xml:space="preserve">.  Nevertheless, the Court has to examine whether </w:t>
      </w:r>
      <w:r w:rsidRPr="00DD3BE9">
        <w:t>the criminal courts</w:t>
      </w:r>
      <w:r w:rsidRPr="00DD3BE9" w:rsidR="00DD3BE9">
        <w:t>’</w:t>
      </w:r>
      <w:r w:rsidRPr="00DD3BE9">
        <w:t xml:space="preserve"> reasoning in the present case was worded in such a way as to give rise to doubts as to a potential prejudgment about the applicant</w:t>
      </w:r>
      <w:r w:rsidRPr="00DD3BE9" w:rsidR="00DD3BE9">
        <w:t>’</w:t>
      </w:r>
      <w:r w:rsidRPr="00DD3BE9">
        <w:t>s guilt (</w:t>
      </w:r>
      <w:r w:rsidRPr="00DD3BE9">
        <w:rPr>
          <w:i/>
          <w:iCs/>
        </w:rPr>
        <w:t>Karaman</w:t>
      </w:r>
      <w:r w:rsidRPr="00DD3BE9">
        <w:t>, cited above, §</w:t>
      </w:r>
      <w:r w:rsidRPr="00DD3BE9" w:rsidR="003A1B60">
        <w:t> </w:t>
      </w:r>
      <w:r w:rsidRPr="00DD3BE9">
        <w:t>65).</w:t>
      </w:r>
    </w:p>
    <w:bookmarkStart w:name="paragraph00068" w:id="45"/>
    <w:p w:rsidRPr="00DD3BE9" w:rsidR="0083243F" w:rsidP="00DD3BE9" w14:paraId="55CE0BC7" w14:textId="5D3475B6">
      <w:pPr>
        <w:pStyle w:val="JuPara"/>
        <w:rPr>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68</w:t>
      </w:r>
      <w:r w:rsidRPr="00DD3BE9">
        <w:rPr>
          <w:rFonts w:ascii="Times New Roman" w:hAnsi="Times New Roman" w:cs="Times New Roman"/>
          <w:iCs/>
        </w:rPr>
        <w:fldChar w:fldCharType="end"/>
      </w:r>
      <w:bookmarkEnd w:id="45"/>
      <w:r w:rsidRPr="00DD3BE9">
        <w:rPr>
          <w:rFonts w:ascii="Times New Roman" w:hAnsi="Times New Roman" w:cs="Times New Roman"/>
          <w:iCs/>
        </w:rPr>
        <w:t>.  The Court considers that, by referring to the applicant throughout the written judgments as a “separately prosecuted person”, the criminal courts emphasised the fact that they were not called upon to determine the applicant</w:t>
      </w:r>
      <w:r w:rsidRPr="00DD3BE9" w:rsidR="00DD3BE9">
        <w:rPr>
          <w:rFonts w:ascii="Times New Roman" w:hAnsi="Times New Roman" w:cs="Times New Roman"/>
          <w:iCs/>
        </w:rPr>
        <w:t>’</w:t>
      </w:r>
      <w:r w:rsidRPr="00DD3BE9">
        <w:rPr>
          <w:rFonts w:ascii="Times New Roman" w:hAnsi="Times New Roman" w:cs="Times New Roman"/>
          <w:iCs/>
        </w:rPr>
        <w:t xml:space="preserve">s guilt but, in line with the provisions of domestic law on criminal procedure, were only concerned with assessing the criminal liability of those accused within the scope of the proceedings at issue, namely M.S. and N.D. (see </w:t>
      </w:r>
      <w:r w:rsidRPr="00DD3BE9">
        <w:rPr>
          <w:i/>
          <w:iCs/>
        </w:rPr>
        <w:t>Karaman</w:t>
      </w:r>
      <w:r w:rsidRPr="00DD3BE9">
        <w:rPr>
          <w:iCs/>
        </w:rPr>
        <w:t>, §</w:t>
      </w:r>
      <w:r w:rsidRPr="00DD3BE9" w:rsidR="003A1B60">
        <w:rPr>
          <w:iCs/>
        </w:rPr>
        <w:t> </w:t>
      </w:r>
      <w:r w:rsidRPr="00DD3BE9">
        <w:rPr>
          <w:iCs/>
        </w:rPr>
        <w:t>69</w:t>
      </w:r>
      <w:r w:rsidRPr="00DD3BE9">
        <w:t xml:space="preserve">, </w:t>
      </w:r>
      <w:r w:rsidRPr="00DD3BE9">
        <w:rPr>
          <w:rFonts w:ascii="Times New Roman" w:hAnsi="Times New Roman" w:cs="Times New Roman"/>
          <w:iCs/>
        </w:rPr>
        <w:t>and</w:t>
      </w:r>
      <w:r w:rsidRPr="00DD3BE9">
        <w:rPr>
          <w:rFonts w:ascii="Times New Roman" w:hAnsi="Times New Roman" w:eastAsia="Times New Roman" w:cs="Times New Roman"/>
          <w:i/>
          <w:iCs/>
          <w:lang w:eastAsia="fr-FR"/>
        </w:rPr>
        <w:t xml:space="preserve"> </w:t>
      </w:r>
      <w:r w:rsidRPr="00DD3BE9">
        <w:rPr>
          <w:i/>
          <w:iCs/>
        </w:rPr>
        <w:t>Bauras</w:t>
      </w:r>
      <w:r w:rsidRPr="00DD3BE9">
        <w:rPr>
          <w:iCs/>
        </w:rPr>
        <w:t>, §</w:t>
      </w:r>
      <w:r w:rsidRPr="00DD3BE9" w:rsidR="003A1B60">
        <w:rPr>
          <w:iCs/>
        </w:rPr>
        <w:t> </w:t>
      </w:r>
      <w:r w:rsidRPr="00DD3BE9">
        <w:rPr>
          <w:iCs/>
        </w:rPr>
        <w:t>54, both cited above; compare the CJUE</w:t>
      </w:r>
      <w:r w:rsidRPr="00DD3BE9" w:rsidR="00DD3BE9">
        <w:rPr>
          <w:iCs/>
        </w:rPr>
        <w:t>’</w:t>
      </w:r>
      <w:r w:rsidRPr="00DD3BE9">
        <w:rPr>
          <w:iCs/>
        </w:rPr>
        <w:t xml:space="preserve">s judgment in the case of </w:t>
      </w:r>
      <w:r w:rsidRPr="00DD3BE9">
        <w:rPr>
          <w:i/>
        </w:rPr>
        <w:t>AH and Others</w:t>
      </w:r>
      <w:r w:rsidRPr="00DD3BE9">
        <w:rPr>
          <w:iCs/>
        </w:rPr>
        <w:t>, cited in paragraph</w:t>
      </w:r>
      <w:r w:rsidRPr="00DD3BE9" w:rsidR="003A1B60">
        <w:rPr>
          <w:iCs/>
        </w:rPr>
        <w:t> </w:t>
      </w:r>
      <w:r w:rsidRPr="00DD3BE9">
        <w:rPr>
          <w:iCs/>
        </w:rPr>
        <w:fldChar w:fldCharType="begin"/>
      </w:r>
      <w:r w:rsidRPr="00DD3BE9">
        <w:rPr>
          <w:iCs/>
        </w:rPr>
        <w:instrText xml:space="preserve">REF paragraph00036 \h \* CharFormat </w:instrText>
      </w:r>
      <w:r w:rsidRPr="00DD3BE9">
        <w:rPr>
          <w:iCs/>
        </w:rPr>
        <w:fldChar w:fldCharType="separate"/>
      </w:r>
      <w:r w:rsidRPr="00DD3BE9" w:rsidR="00DD3BE9">
        <w:rPr>
          <w:iCs/>
        </w:rPr>
        <w:t>36</w:t>
      </w:r>
      <w:r w:rsidRPr="00DD3BE9">
        <w:rPr>
          <w:iCs/>
        </w:rPr>
        <w:fldChar w:fldCharType="end"/>
      </w:r>
      <w:r w:rsidRPr="00DD3BE9">
        <w:rPr>
          <w:iCs/>
        </w:rPr>
        <w:t xml:space="preserve"> above, concerning statements in a pleabargaining agreement concluded by only one of several accused persons</w:t>
      </w:r>
      <w:r w:rsidRPr="00DD3BE9">
        <w:t>).</w:t>
      </w:r>
    </w:p>
    <w:p w:rsidRPr="00DD3BE9" w:rsidR="0083243F" w:rsidP="00DD3BE9" w14:paraId="5CA6B58C" w14:textId="214BA48A">
      <w:pPr>
        <w:pStyle w:val="JuPara"/>
        <w:rPr>
          <w:rFonts w:ascii="Times New Roman" w:hAnsi="Times New Roman" w:cs="Times New Roman"/>
        </w:rPr>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69</w:t>
      </w:r>
      <w:r w:rsidRPr="00DD3BE9">
        <w:rPr>
          <w:rFonts w:ascii="Times New Roman" w:hAnsi="Times New Roman" w:cs="Times New Roman"/>
        </w:rPr>
        <w:fldChar w:fldCharType="end"/>
      </w:r>
      <w:r w:rsidRPr="00DD3BE9">
        <w:rPr>
          <w:rFonts w:ascii="Times New Roman" w:hAnsi="Times New Roman" w:cs="Times New Roman"/>
        </w:rPr>
        <w:t>.  Furthermore, the Court observes that the criminal courts</w:t>
      </w:r>
      <w:r w:rsidRPr="00DD3BE9" w:rsidR="00DD3BE9">
        <w:rPr>
          <w:rFonts w:ascii="Times New Roman" w:hAnsi="Times New Roman" w:cs="Times New Roman"/>
        </w:rPr>
        <w:t>’</w:t>
      </w:r>
      <w:r w:rsidRPr="00DD3BE9">
        <w:rPr>
          <w:rFonts w:ascii="Times New Roman" w:hAnsi="Times New Roman" w:cs="Times New Roman"/>
        </w:rPr>
        <w:t xml:space="preserve"> statements have not </w:t>
      </w:r>
      <w:r w:rsidRPr="00DD3BE9" w:rsidR="00626FFB">
        <w:rPr>
          <w:rFonts w:ascii="Times New Roman" w:hAnsi="Times New Roman" w:cs="Times New Roman"/>
        </w:rPr>
        <w:t xml:space="preserve">ultimately </w:t>
      </w:r>
      <w:r w:rsidRPr="00DD3BE9">
        <w:rPr>
          <w:rFonts w:ascii="Times New Roman" w:hAnsi="Times New Roman" w:cs="Times New Roman"/>
        </w:rPr>
        <w:t>had any prejudicial effect on the proceedings against the applicant (see paragraph</w:t>
      </w:r>
      <w:r w:rsidRPr="00DD3BE9" w:rsidR="003A1B60">
        <w:rPr>
          <w:rFonts w:ascii="Times New Roman" w:hAnsi="Times New Roman" w:cs="Times New Roman"/>
        </w:rPr>
        <w:t> </w:t>
      </w:r>
      <w:r w:rsidRPr="00DD3BE9">
        <w:rPr>
          <w:rFonts w:ascii="Times New Roman" w:hAnsi="Times New Roman" w:cs="Times New Roman"/>
        </w:rPr>
        <w:fldChar w:fldCharType="begin"/>
      </w:r>
      <w:r w:rsidRPr="00DD3BE9">
        <w:rPr>
          <w:rFonts w:ascii="Times New Roman" w:hAnsi="Times New Roman" w:cs="Times New Roman"/>
        </w:rPr>
        <w:instrText xml:space="preserve">REF paragraph00023 \h \* CharFormat \* MERGEFORMAT </w:instrText>
      </w:r>
      <w:r w:rsidRPr="00DD3BE9">
        <w:rPr>
          <w:rFonts w:ascii="Times New Roman" w:hAnsi="Times New Roman" w:cs="Times New Roman"/>
        </w:rPr>
        <w:fldChar w:fldCharType="separate"/>
      </w:r>
      <w:r w:rsidRPr="00DD3BE9" w:rsidR="00DD3BE9">
        <w:rPr>
          <w:rFonts w:ascii="Times New Roman" w:hAnsi="Times New Roman" w:cs="Times New Roman"/>
        </w:rPr>
        <w:t>23</w:t>
      </w:r>
      <w:r w:rsidRPr="00DD3BE9">
        <w:rPr>
          <w:rFonts w:ascii="Times New Roman" w:hAnsi="Times New Roman" w:cs="Times New Roman"/>
        </w:rPr>
        <w:fldChar w:fldCharType="end"/>
      </w:r>
      <w:r w:rsidRPr="00DD3BE9">
        <w:rPr>
          <w:rFonts w:ascii="Times New Roman" w:hAnsi="Times New Roman" w:cs="Times New Roman"/>
        </w:rPr>
        <w:t xml:space="preserve"> above).</w:t>
      </w:r>
    </w:p>
    <w:p w:rsidRPr="00DD3BE9" w:rsidR="0083243F" w:rsidP="00DD3BE9" w14:paraId="028F970D" w14:textId="757740D3">
      <w:pPr>
        <w:pStyle w:val="JuPara"/>
        <w:rPr>
          <w:rFonts w:ascii="Times New Roman" w:hAnsi="Times New Roman" w:cs="Times New Roman"/>
          <w:iCs/>
        </w:rPr>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r w:rsidRPr="00DD3BE9" w:rsidR="00DD3BE9">
        <w:rPr>
          <w:rFonts w:ascii="Times New Roman" w:hAnsi="Times New Roman" w:cs="Times New Roman"/>
          <w:iCs/>
          <w:noProof/>
        </w:rPr>
        <w:t>70</w:t>
      </w:r>
      <w:r w:rsidRPr="00DD3BE9">
        <w:rPr>
          <w:rFonts w:ascii="Times New Roman" w:hAnsi="Times New Roman" w:cs="Times New Roman"/>
          <w:iCs/>
        </w:rPr>
        <w:fldChar w:fldCharType="end"/>
      </w:r>
      <w:r w:rsidRPr="00DD3BE9">
        <w:rPr>
          <w:rFonts w:ascii="Times New Roman" w:hAnsi="Times New Roman" w:cs="Times New Roman"/>
          <w:iCs/>
        </w:rPr>
        <w:t>.  In view of the above considerations, the Court concludes that the impugned statements in the reasoning of the Regional Court</w:t>
      </w:r>
      <w:r w:rsidRPr="00DD3BE9" w:rsidR="00DD3BE9">
        <w:rPr>
          <w:rFonts w:ascii="Times New Roman" w:hAnsi="Times New Roman" w:cs="Times New Roman"/>
          <w:iCs/>
        </w:rPr>
        <w:t>’</w:t>
      </w:r>
      <w:r w:rsidRPr="00DD3BE9">
        <w:rPr>
          <w:rFonts w:ascii="Times New Roman" w:hAnsi="Times New Roman" w:cs="Times New Roman"/>
          <w:iCs/>
        </w:rPr>
        <w:t>s judgment of 18</w:t>
      </w:r>
      <w:r w:rsidRPr="00DD3BE9" w:rsidR="003A1B60">
        <w:rPr>
          <w:rFonts w:ascii="Times New Roman" w:hAnsi="Times New Roman" w:cs="Times New Roman"/>
          <w:iCs/>
        </w:rPr>
        <w:t> </w:t>
      </w:r>
      <w:r w:rsidRPr="00DD3BE9">
        <w:rPr>
          <w:rFonts w:ascii="Times New Roman" w:hAnsi="Times New Roman" w:cs="Times New Roman"/>
          <w:iCs/>
        </w:rPr>
        <w:t>March</w:t>
      </w:r>
      <w:r w:rsidRPr="00DD3BE9" w:rsidR="003A1B60">
        <w:rPr>
          <w:rFonts w:ascii="Times New Roman" w:hAnsi="Times New Roman" w:cs="Times New Roman"/>
          <w:iCs/>
        </w:rPr>
        <w:t> </w:t>
      </w:r>
      <w:r w:rsidRPr="00DD3BE9">
        <w:rPr>
          <w:rFonts w:ascii="Times New Roman" w:hAnsi="Times New Roman" w:cs="Times New Roman"/>
          <w:iCs/>
        </w:rPr>
        <w:t>2020 and the Federal Court of Justice</w:t>
      </w:r>
      <w:r w:rsidRPr="00DD3BE9" w:rsidR="00DD3BE9">
        <w:rPr>
          <w:rFonts w:ascii="Times New Roman" w:hAnsi="Times New Roman" w:cs="Times New Roman"/>
          <w:iCs/>
        </w:rPr>
        <w:t>’</w:t>
      </w:r>
      <w:r w:rsidRPr="00DD3BE9">
        <w:rPr>
          <w:rFonts w:ascii="Times New Roman" w:hAnsi="Times New Roman" w:cs="Times New Roman"/>
          <w:iCs/>
        </w:rPr>
        <w:t>s judgment of 28</w:t>
      </w:r>
      <w:r w:rsidRPr="00DD3BE9" w:rsidR="003A1B60">
        <w:rPr>
          <w:rFonts w:ascii="Times New Roman" w:hAnsi="Times New Roman" w:cs="Times New Roman"/>
          <w:iCs/>
        </w:rPr>
        <w:t> </w:t>
      </w:r>
      <w:r w:rsidRPr="00DD3BE9">
        <w:rPr>
          <w:rFonts w:ascii="Times New Roman" w:hAnsi="Times New Roman" w:cs="Times New Roman"/>
          <w:iCs/>
        </w:rPr>
        <w:t>July</w:t>
      </w:r>
      <w:r w:rsidRPr="00DD3BE9" w:rsidR="003A1B60">
        <w:rPr>
          <w:rFonts w:ascii="Times New Roman" w:hAnsi="Times New Roman" w:cs="Times New Roman"/>
          <w:iCs/>
        </w:rPr>
        <w:t> </w:t>
      </w:r>
      <w:r w:rsidRPr="00DD3BE9">
        <w:rPr>
          <w:rFonts w:ascii="Times New Roman" w:hAnsi="Times New Roman" w:cs="Times New Roman"/>
          <w:iCs/>
        </w:rPr>
        <w:t>2021 have not had any prejudicial effect and thus did not breach the principle of the presumption of innocence.</w:t>
      </w:r>
    </w:p>
    <w:p w:rsidRPr="00DD3BE9" w:rsidR="0083243F" w:rsidP="00DD3BE9" w14:paraId="59A2835F" w14:textId="3BE40725">
      <w:pPr>
        <w:pStyle w:val="JuPara"/>
      </w:pPr>
      <w:r w:rsidRPr="00DD3BE9">
        <w:rPr>
          <w:rFonts w:ascii="Times New Roman" w:hAnsi="Times New Roman" w:cs="Times New Roman"/>
          <w:iCs/>
        </w:rPr>
        <w:fldChar w:fldCharType="begin"/>
      </w:r>
      <w:r w:rsidRPr="00DD3BE9">
        <w:rPr>
          <w:rFonts w:ascii="Times New Roman" w:hAnsi="Times New Roman" w:cs="Times New Roman"/>
          <w:iCs/>
        </w:rPr>
        <w:instrText xml:space="preserve"> SEQ level0 \*arabic \* MERGEFORMAT </w:instrText>
      </w:r>
      <w:r w:rsidRPr="00DD3BE9">
        <w:rPr>
          <w:rFonts w:ascii="Times New Roman" w:hAnsi="Times New Roman" w:cs="Times New Roman"/>
          <w:iCs/>
        </w:rPr>
        <w:fldChar w:fldCharType="separate"/>
      </w:r>
      <w:bookmarkStart w:name="paragraph00071" w:id="46"/>
      <w:r w:rsidRPr="00DD3BE9" w:rsidR="00DD3BE9">
        <w:rPr>
          <w:rFonts w:ascii="Times New Roman" w:hAnsi="Times New Roman" w:cs="Times New Roman"/>
          <w:iCs/>
          <w:noProof/>
        </w:rPr>
        <w:t>71</w:t>
      </w:r>
      <w:bookmarkEnd w:id="46"/>
      <w:r w:rsidRPr="00DD3BE9">
        <w:rPr>
          <w:rFonts w:ascii="Times New Roman" w:hAnsi="Times New Roman" w:cs="Times New Roman"/>
          <w:iCs/>
        </w:rPr>
        <w:fldChar w:fldCharType="end"/>
      </w:r>
      <w:r w:rsidRPr="00DD3BE9">
        <w:rPr>
          <w:rFonts w:ascii="Times New Roman" w:hAnsi="Times New Roman" w:cs="Times New Roman"/>
          <w:iCs/>
        </w:rPr>
        <w:t>.  There has accordingly been no violation of Article</w:t>
      </w:r>
      <w:r w:rsidRPr="00DD3BE9" w:rsidR="003A1B60">
        <w:rPr>
          <w:rFonts w:ascii="Times New Roman" w:hAnsi="Times New Roman" w:cs="Times New Roman"/>
          <w:iCs/>
        </w:rPr>
        <w:t> </w:t>
      </w:r>
      <w:r w:rsidRPr="00DD3BE9">
        <w:rPr>
          <w:rFonts w:ascii="Times New Roman" w:hAnsi="Times New Roman" w:cs="Times New Roman"/>
          <w:iCs/>
        </w:rPr>
        <w:t>6 §</w:t>
      </w:r>
      <w:r w:rsidRPr="00DD3BE9" w:rsidR="003A1B60">
        <w:rPr>
          <w:rFonts w:ascii="Times New Roman" w:hAnsi="Times New Roman" w:cs="Times New Roman"/>
          <w:iCs/>
        </w:rPr>
        <w:t> </w:t>
      </w:r>
      <w:r w:rsidRPr="00DD3BE9">
        <w:rPr>
          <w:rFonts w:ascii="Times New Roman" w:hAnsi="Times New Roman" w:cs="Times New Roman"/>
          <w:iCs/>
        </w:rPr>
        <w:t>2 of the Convention.</w:t>
      </w:r>
    </w:p>
    <w:p w:rsidRPr="00DD3BE9" w:rsidR="0083243F" w:rsidP="00DD3BE9" w14:paraId="4A96AF73" w14:textId="77777777">
      <w:pPr>
        <w:pStyle w:val="JuHIRoman"/>
        <w:tabs>
          <w:tab w:val="clear" w:pos="454"/>
          <w:tab w:val="clear" w:pos="539"/>
          <w:tab w:val="clear" w:pos="624"/>
          <w:tab w:val="clear" w:pos="709"/>
          <w:tab w:val="clear" w:pos="794"/>
        </w:tabs>
      </w:pPr>
      <w:r w:rsidRPr="00DD3BE9">
        <w:t>ALLEGED VIOLATION OF ARTICLE 8 § 1 OF THE CONVENTION</w:t>
      </w:r>
    </w:p>
    <w:p w:rsidRPr="00DD3BE9" w:rsidR="0083243F" w:rsidP="00DD3BE9" w14:paraId="11D5BAC1" w14:textId="337E06E8">
      <w:pPr>
        <w:pStyle w:val="JuPara"/>
      </w:pPr>
      <w:r w:rsidRPr="00DD3BE9">
        <w:rPr>
          <w:rFonts w:ascii="Times New Roman" w:hAnsi="Times New Roman" w:cs="Times New Roman"/>
        </w:rPr>
        <w:fldChar w:fldCharType="begin"/>
      </w:r>
      <w:r w:rsidRPr="00DD3BE9">
        <w:rPr>
          <w:rFonts w:ascii="Times New Roman" w:hAnsi="Times New Roman" w:cs="Times New Roman"/>
        </w:rPr>
        <w:instrText xml:space="preserve"> SEQ level0 \*arabic \* MERGEFORMAT </w:instrText>
      </w:r>
      <w:r w:rsidRPr="00DD3BE9">
        <w:rPr>
          <w:rFonts w:ascii="Times New Roman" w:hAnsi="Times New Roman" w:cs="Times New Roman"/>
        </w:rPr>
        <w:fldChar w:fldCharType="separate"/>
      </w:r>
      <w:r w:rsidRPr="00DD3BE9" w:rsidR="00DD3BE9">
        <w:rPr>
          <w:rFonts w:ascii="Times New Roman" w:hAnsi="Times New Roman" w:cs="Times New Roman"/>
          <w:noProof/>
        </w:rPr>
        <w:t>72</w:t>
      </w:r>
      <w:r w:rsidRPr="00DD3BE9">
        <w:rPr>
          <w:rFonts w:ascii="Times New Roman" w:hAnsi="Times New Roman" w:cs="Times New Roman"/>
        </w:rPr>
        <w:fldChar w:fldCharType="end"/>
      </w:r>
      <w:r w:rsidRPr="00DD3BE9">
        <w:rPr>
          <w:rFonts w:ascii="Times New Roman" w:hAnsi="Times New Roman" w:cs="Times New Roman"/>
        </w:rPr>
        <w:t>.  The applicant further alleged that the impugned statements in the decisions of the criminal courts had stigmatised him and adversely affected his private and professional life. In particular, he submitted that as a result of those statements, he had had to resign from his mandates in W</w:t>
      </w:r>
      <w:r w:rsidRPr="00DD3BE9" w:rsidR="003A1B60">
        <w:rPr>
          <w:rFonts w:ascii="Times New Roman" w:hAnsi="Times New Roman" w:cs="Times New Roman"/>
        </w:rPr>
        <w:noBreakHyphen/>
      </w:r>
      <w:r w:rsidRPr="00DD3BE9">
        <w:rPr>
          <w:rFonts w:ascii="Times New Roman" w:hAnsi="Times New Roman" w:cs="Times New Roman"/>
        </w:rPr>
        <w:t>Bank and other companies, that his voting rights in W</w:t>
      </w:r>
      <w:r w:rsidRPr="00DD3BE9" w:rsidR="00153E5D">
        <w:rPr>
          <w:rFonts w:ascii="Times New Roman" w:hAnsi="Times New Roman" w:cs="Times New Roman"/>
        </w:rPr>
        <w:noBreakHyphen/>
      </w:r>
      <w:r w:rsidRPr="00DD3BE9">
        <w:rPr>
          <w:rFonts w:ascii="Times New Roman" w:hAnsi="Times New Roman" w:cs="Times New Roman"/>
        </w:rPr>
        <w:t>Bank had been withdrawn and that his right to dispose of his shares in W</w:t>
      </w:r>
      <w:r w:rsidRPr="00DD3BE9" w:rsidR="00153E5D">
        <w:rPr>
          <w:rFonts w:ascii="Times New Roman" w:hAnsi="Times New Roman" w:cs="Times New Roman"/>
        </w:rPr>
        <w:noBreakHyphen/>
      </w:r>
      <w:r w:rsidRPr="00DD3BE9">
        <w:rPr>
          <w:rFonts w:ascii="Times New Roman" w:hAnsi="Times New Roman" w:cs="Times New Roman"/>
        </w:rPr>
        <w:t>Bank had been limited. He relied on Article 8 §</w:t>
      </w:r>
      <w:r w:rsidRPr="00DD3BE9" w:rsidR="003A1B60">
        <w:rPr>
          <w:rFonts w:ascii="Times New Roman" w:hAnsi="Times New Roman" w:cs="Times New Roman"/>
        </w:rPr>
        <w:t> </w:t>
      </w:r>
      <w:r w:rsidRPr="00DD3BE9">
        <w:rPr>
          <w:rFonts w:ascii="Times New Roman" w:hAnsi="Times New Roman" w:cs="Times New Roman"/>
        </w:rPr>
        <w:t>1 of the Convention, which, in so far as relevant, reads as follows:</w:t>
      </w:r>
    </w:p>
    <w:p w:rsidRPr="00DD3BE9" w:rsidR="0083243F" w:rsidP="00DD3BE9" w14:paraId="4F6A27C6" w14:textId="77777777">
      <w:pPr>
        <w:pStyle w:val="JuQuot"/>
        <w:rPr>
          <w:rFonts w:ascii="Times New Roman" w:hAnsi="Times New Roman" w:cs="Times New Roman"/>
          <w:szCs w:val="20"/>
        </w:rPr>
      </w:pPr>
      <w:r w:rsidRPr="00DD3BE9">
        <w:rPr>
          <w:rFonts w:ascii="Times New Roman" w:hAnsi="Times New Roman" w:cs="Times New Roman"/>
          <w:szCs w:val="20"/>
        </w:rPr>
        <w:t>“Everyone has the right to respect for his private ... life ...”</w:t>
      </w:r>
    </w:p>
    <w:p w:rsidRPr="00DD3BE9" w:rsidR="0083243F" w:rsidP="00DD3BE9" w14:paraId="3684B078" w14:textId="75577AB1">
      <w:pPr>
        <w:pStyle w:val="JuPara"/>
        <w:rPr>
          <w:sz w:val="32"/>
        </w:rPr>
      </w:pPr>
      <w:r>
        <w:fldChar w:fldCharType="begin"/>
      </w:r>
      <w:r>
        <w:instrText xml:space="preserve"> SEQ level0 \*ara</w:instrText>
      </w:r>
      <w:r>
        <w:instrText xml:space="preserve">bic \* MERGEFORMAT </w:instrText>
      </w:r>
      <w:r>
        <w:fldChar w:fldCharType="separate"/>
      </w:r>
      <w:r w:rsidRPr="00DD3BE9" w:rsidR="00DD3BE9">
        <w:rPr>
          <w:noProof/>
        </w:rPr>
        <w:t>73</w:t>
      </w:r>
      <w:r>
        <w:rPr>
          <w:noProof/>
        </w:rPr>
        <w:fldChar w:fldCharType="end"/>
      </w:r>
      <w:r w:rsidRPr="00DD3BE9">
        <w:t>.  The Government submitted that the statements had not violated Article</w:t>
      </w:r>
      <w:r w:rsidRPr="00DD3BE9" w:rsidR="003A1B60">
        <w:t> </w:t>
      </w:r>
      <w:r w:rsidRPr="00DD3BE9">
        <w:t>8 §</w:t>
      </w:r>
      <w:r w:rsidRPr="00DD3BE9" w:rsidR="003A1B60">
        <w:t> </w:t>
      </w:r>
      <w:r w:rsidRPr="00DD3BE9">
        <w:t>1 for the same reasons that they had not violated Article</w:t>
      </w:r>
      <w:r w:rsidRPr="00DD3BE9" w:rsidR="003A1B60">
        <w:t> </w:t>
      </w:r>
      <w:r w:rsidRPr="00DD3BE9">
        <w:t>6 §</w:t>
      </w:r>
      <w:r w:rsidRPr="00DD3BE9" w:rsidR="003A1B60">
        <w:t> </w:t>
      </w:r>
      <w:r w:rsidRPr="00DD3BE9">
        <w:t>2.</w:t>
      </w:r>
    </w:p>
    <w:p w:rsidRPr="00DD3BE9" w:rsidR="0083243F" w:rsidP="00DD3BE9" w14:paraId="1B72C7C2" w14:textId="77777777">
      <w:pPr>
        <w:pStyle w:val="JuHA"/>
        <w:numPr>
          <w:ilvl w:val="2"/>
          <w:numId w:val="1"/>
        </w:numPr>
        <w:ind w:left="584" w:hanging="352"/>
      </w:pPr>
      <w:r w:rsidRPr="00DD3BE9">
        <w:t>Admissibility</w:t>
      </w:r>
    </w:p>
    <w:p w:rsidRPr="00DD3BE9" w:rsidR="0083243F" w:rsidP="00DD3BE9" w14:paraId="1D6620FD" w14:textId="38AE59F5">
      <w:pPr>
        <w:pStyle w:val="JuPara"/>
      </w:pPr>
      <w:r>
        <w:fldChar w:fldCharType="begin"/>
      </w:r>
      <w:r>
        <w:instrText xml:space="preserve"> SEQ level0 \*arabic \* MERGEFORMAT </w:instrText>
      </w:r>
      <w:r>
        <w:fldChar w:fldCharType="separate"/>
      </w:r>
      <w:r w:rsidRPr="00DD3BE9" w:rsidR="00DD3BE9">
        <w:rPr>
          <w:noProof/>
        </w:rPr>
        <w:t>74</w:t>
      </w:r>
      <w:r>
        <w:rPr>
          <w:noProof/>
        </w:rPr>
        <w:fldChar w:fldCharType="end"/>
      </w:r>
      <w:r w:rsidRPr="00DD3BE9">
        <w:t>.  The Court notes that this complaint is linked to the one examined above and must therefore likewise be declared admissible.</w:t>
      </w:r>
    </w:p>
    <w:p w:rsidRPr="00DD3BE9" w:rsidR="0083243F" w:rsidP="00DD3BE9" w14:paraId="720C56A2" w14:textId="77777777">
      <w:pPr>
        <w:pStyle w:val="JuHA"/>
        <w:numPr>
          <w:ilvl w:val="2"/>
          <w:numId w:val="1"/>
        </w:numPr>
        <w:ind w:left="584" w:hanging="352"/>
      </w:pPr>
      <w:r w:rsidRPr="00DD3BE9">
        <w:t>Merits</w:t>
      </w:r>
    </w:p>
    <w:p w:rsidRPr="00DD3BE9" w:rsidR="0083243F" w:rsidP="00DD3BE9" w14:paraId="5E64850D" w14:textId="1D429A1F">
      <w:pPr>
        <w:pStyle w:val="JuPara"/>
      </w:pPr>
      <w:r>
        <w:fldChar w:fldCharType="begin"/>
      </w:r>
      <w:r>
        <w:instrText xml:space="preserve"> SEQ level0 \*arabic \* MERGEFORMAT </w:instrText>
      </w:r>
      <w:r>
        <w:fldChar w:fldCharType="separate"/>
      </w:r>
      <w:r w:rsidRPr="00DD3BE9" w:rsidR="00DD3BE9">
        <w:rPr>
          <w:noProof/>
        </w:rPr>
        <w:t>75</w:t>
      </w:r>
      <w:r>
        <w:rPr>
          <w:noProof/>
        </w:rPr>
        <w:fldChar w:fldCharType="end"/>
      </w:r>
      <w:r w:rsidRPr="00DD3BE9">
        <w:t>.  Having regard to its above finding that the statements in the decisions of the Regional Court and the Federal Court of Justice alleging the applicant</w:t>
      </w:r>
      <w:r w:rsidRPr="00DD3BE9" w:rsidR="00DD3BE9">
        <w:t>’</w:t>
      </w:r>
      <w:r w:rsidRPr="00DD3BE9">
        <w:t>s involvement in the offences committed by M.S. and N.D. have not breached Article</w:t>
      </w:r>
      <w:r w:rsidRPr="00DD3BE9" w:rsidR="00153E5D">
        <w:t> </w:t>
      </w:r>
      <w:r w:rsidRPr="00DD3BE9">
        <w:t>6 §</w:t>
      </w:r>
      <w:r w:rsidRPr="00DD3BE9" w:rsidR="00153E5D">
        <w:t> </w:t>
      </w:r>
      <w:r w:rsidRPr="00DD3BE9">
        <w:t>2 of the Convention (see paragraphs</w:t>
      </w:r>
      <w:r w:rsidRPr="00DD3BE9" w:rsidR="00153E5D">
        <w:t> </w:t>
      </w:r>
      <w:r w:rsidRPr="00DD3BE9">
        <w:fldChar w:fldCharType="begin"/>
      </w:r>
      <w:r w:rsidRPr="00DD3BE9">
        <w:instrText xml:space="preserve"> REF paragraph00061 \h \* CharFormat </w:instrText>
      </w:r>
      <w:r w:rsidRPr="00DD3BE9">
        <w:fldChar w:fldCharType="separate"/>
      </w:r>
      <w:r w:rsidRPr="00DD3BE9" w:rsidR="00DD3BE9">
        <w:t>61</w:t>
      </w:r>
      <w:r w:rsidRPr="00DD3BE9">
        <w:fldChar w:fldCharType="end"/>
      </w:r>
      <w:r w:rsidRPr="00DD3BE9" w:rsidR="00153E5D">
        <w:noBreakHyphen/>
      </w:r>
      <w:r w:rsidRPr="00DD3BE9">
        <w:fldChar w:fldCharType="begin"/>
      </w:r>
      <w:r w:rsidRPr="00DD3BE9">
        <w:instrText xml:space="preserve"> REF paragraph00071 \h \* CharFormat </w:instrText>
      </w:r>
      <w:r w:rsidRPr="00DD3BE9">
        <w:fldChar w:fldCharType="separate"/>
      </w:r>
      <w:r w:rsidRPr="00DD3BE9" w:rsidR="00DD3BE9">
        <w:t>71</w:t>
      </w:r>
      <w:r w:rsidRPr="00DD3BE9">
        <w:fldChar w:fldCharType="end"/>
      </w:r>
      <w:r w:rsidRPr="00DD3BE9">
        <w:t xml:space="preserve"> above), the Court considers that those statements do not, in the circumstances of the present case, raise a separate issue under Article</w:t>
      </w:r>
      <w:r w:rsidRPr="00DD3BE9" w:rsidR="00153E5D">
        <w:t> </w:t>
      </w:r>
      <w:r w:rsidRPr="00DD3BE9">
        <w:t>8 §</w:t>
      </w:r>
      <w:r w:rsidRPr="00DD3BE9" w:rsidR="00153E5D">
        <w:t> </w:t>
      </w:r>
      <w:r w:rsidRPr="00DD3BE9">
        <w:t xml:space="preserve">1 of the Convention (see, </w:t>
      </w:r>
      <w:r w:rsidRPr="00DD3BE9">
        <w:rPr>
          <w:i/>
          <w:iCs/>
        </w:rPr>
        <w:t>mutatis</w:t>
      </w:r>
      <w:r w:rsidRPr="00DD3BE9" w:rsidR="00F20695">
        <w:rPr>
          <w:i/>
          <w:iCs/>
        </w:rPr>
        <w:t> </w:t>
      </w:r>
      <w:r w:rsidRPr="00DD3BE9">
        <w:rPr>
          <w:i/>
          <w:iCs/>
        </w:rPr>
        <w:t>mutandis</w:t>
      </w:r>
      <w:r w:rsidRPr="00DD3BE9">
        <w:rPr>
          <w:rFonts w:cstheme="minorHAnsi"/>
        </w:rPr>
        <w:t xml:space="preserve">, </w:t>
      </w:r>
      <w:r w:rsidRPr="00DD3BE9">
        <w:rPr>
          <w:rFonts w:cstheme="minorHAnsi"/>
          <w:i/>
          <w:iCs/>
          <w:color w:val="000000"/>
        </w:rPr>
        <w:t>Erikan Bulut v.</w:t>
      </w:r>
      <w:r w:rsidRPr="00DD3BE9" w:rsidR="00153E5D">
        <w:rPr>
          <w:rFonts w:cstheme="minorHAnsi"/>
          <w:i/>
          <w:iCs/>
          <w:color w:val="000000"/>
        </w:rPr>
        <w:t> </w:t>
      </w:r>
      <w:r w:rsidRPr="00DD3BE9">
        <w:rPr>
          <w:rFonts w:cstheme="minorHAnsi"/>
          <w:i/>
          <w:iCs/>
          <w:color w:val="000000"/>
        </w:rPr>
        <w:t>Turkey</w:t>
      </w:r>
      <w:r w:rsidRPr="00DD3BE9">
        <w:rPr>
          <w:rFonts w:cstheme="minorHAnsi"/>
          <w:color w:val="000000"/>
        </w:rPr>
        <w:t>, no.</w:t>
      </w:r>
      <w:r w:rsidRPr="00DD3BE9" w:rsidR="00153E5D">
        <w:rPr>
          <w:rFonts w:cstheme="minorHAnsi"/>
          <w:color w:val="000000"/>
        </w:rPr>
        <w:t> </w:t>
      </w:r>
      <w:r w:rsidRPr="00DD3BE9">
        <w:rPr>
          <w:rFonts w:cstheme="minorHAnsi"/>
          <w:color w:val="000000"/>
        </w:rPr>
        <w:t>51480/99, §</w:t>
      </w:r>
      <w:r w:rsidRPr="00DD3BE9" w:rsidR="00153E5D">
        <w:rPr>
          <w:rFonts w:cstheme="minorHAnsi"/>
          <w:color w:val="000000"/>
        </w:rPr>
        <w:t> </w:t>
      </w:r>
      <w:r w:rsidRPr="00DD3BE9">
        <w:rPr>
          <w:rFonts w:cstheme="minorHAnsi"/>
          <w:color w:val="000000"/>
        </w:rPr>
        <w:t>59, 2</w:t>
      </w:r>
      <w:r w:rsidRPr="00DD3BE9" w:rsidR="00153E5D">
        <w:rPr>
          <w:rFonts w:cstheme="minorHAnsi"/>
          <w:color w:val="000000"/>
        </w:rPr>
        <w:t> </w:t>
      </w:r>
      <w:r w:rsidRPr="00DD3BE9">
        <w:rPr>
          <w:rFonts w:cstheme="minorHAnsi"/>
          <w:color w:val="000000"/>
        </w:rPr>
        <w:t>March</w:t>
      </w:r>
      <w:r w:rsidRPr="00DD3BE9" w:rsidR="004026F9">
        <w:rPr>
          <w:rFonts w:cstheme="minorHAnsi"/>
          <w:color w:val="000000"/>
        </w:rPr>
        <w:t xml:space="preserve"> </w:t>
      </w:r>
      <w:r w:rsidRPr="00DD3BE9">
        <w:rPr>
          <w:rFonts w:cstheme="minorHAnsi"/>
          <w:color w:val="000000"/>
        </w:rPr>
        <w:t>2006</w:t>
      </w:r>
      <w:r w:rsidRPr="00DD3BE9">
        <w:rPr>
          <w:rFonts w:cstheme="minorHAnsi"/>
          <w:b/>
          <w:bCs/>
          <w:color w:val="000000"/>
        </w:rPr>
        <w:t>)</w:t>
      </w:r>
      <w:r w:rsidRPr="00DD3BE9">
        <w:rPr>
          <w:rFonts w:cstheme="minorHAnsi"/>
        </w:rPr>
        <w:t>.</w:t>
      </w:r>
    </w:p>
    <w:p w:rsidRPr="00DD3BE9" w:rsidR="0083243F" w:rsidP="00DD3BE9" w14:paraId="51513BD5" w14:textId="77777777">
      <w:pPr>
        <w:pStyle w:val="JuHHead"/>
      </w:pPr>
      <w:r w:rsidRPr="00DD3BE9">
        <w:t>FOR THESE REASONS, THE COURT, UNANIMOUSLY,</w:t>
      </w:r>
    </w:p>
    <w:p w:rsidRPr="00DD3BE9" w:rsidR="0083243F" w:rsidP="00DD3BE9" w14:paraId="34713ABD" w14:textId="77777777">
      <w:pPr>
        <w:pStyle w:val="JuList"/>
        <w:numPr>
          <w:ilvl w:val="0"/>
          <w:numId w:val="2"/>
        </w:numPr>
        <w:tabs>
          <w:tab w:val="clear" w:pos="340"/>
        </w:tabs>
      </w:pPr>
      <w:r w:rsidRPr="00DD3BE9">
        <w:rPr>
          <w:i/>
        </w:rPr>
        <w:t>Declares</w:t>
      </w:r>
      <w:r w:rsidRPr="00DD3BE9">
        <w:t xml:space="preserve"> the application admissible;</w:t>
      </w:r>
    </w:p>
    <w:p w:rsidRPr="00DD3BE9" w:rsidR="0083243F" w:rsidP="00DD3BE9" w14:paraId="76E72EC3" w14:textId="77777777">
      <w:pPr>
        <w:pStyle w:val="JuList"/>
        <w:tabs>
          <w:tab w:val="clear" w:pos="340"/>
        </w:tabs>
      </w:pPr>
      <w:r w:rsidRPr="00DD3BE9">
        <w:rPr>
          <w:i/>
        </w:rPr>
        <w:t>Holds</w:t>
      </w:r>
      <w:r w:rsidRPr="00DD3BE9">
        <w:t xml:space="preserve"> that there has been no violation of Article 6 § 2 of the Convention;</w:t>
      </w:r>
    </w:p>
    <w:p w:rsidRPr="00DD3BE9" w:rsidR="004D0EC7" w:rsidP="00DD3BE9" w14:paraId="1DF9E155" w14:textId="77777777">
      <w:pPr>
        <w:pStyle w:val="JuList"/>
      </w:pPr>
      <w:r w:rsidRPr="00DD3BE9">
        <w:rPr>
          <w:i/>
        </w:rPr>
        <w:t>Holds</w:t>
      </w:r>
      <w:r w:rsidRPr="00DD3BE9">
        <w:t xml:space="preserve"> that no separate issue arises under Article 8 § 1 of the Convention.</w:t>
      </w:r>
    </w:p>
    <w:p w:rsidRPr="00DD3BE9" w:rsidR="008E3A08" w:rsidP="00DD3BE9" w14:paraId="16464256" w14:textId="48187BFD">
      <w:pPr>
        <w:pStyle w:val="JuParaLast"/>
      </w:pPr>
      <w:r w:rsidRPr="00DD3BE9">
        <w:t xml:space="preserve">Done in English, and notified in writing on </w:t>
      </w:r>
      <w:r w:rsidRPr="00DD3BE9" w:rsidR="0083243F">
        <w:rPr>
          <w:rFonts w:ascii="Times New Roman" w:hAnsi="Times New Roman" w:cs="Times New Roman"/>
        </w:rPr>
        <w:t>17 September 2024</w:t>
      </w:r>
      <w:r w:rsidRPr="00DD3BE9">
        <w:t>, pursuant to Rule 77 §§ 2 and 3 of the Rules of Court.</w:t>
      </w:r>
    </w:p>
    <w:p w:rsidRPr="00DD3BE9" w:rsidR="00182EBA" w:rsidP="00DD3BE9" w14:paraId="2F561D57" w14:textId="25D0BCA3">
      <w:pPr>
        <w:pStyle w:val="JuSigned"/>
      </w:pPr>
      <w:r w:rsidRPr="00DD3BE9">
        <w:tab/>
      </w:r>
      <w:r w:rsidRPr="00DD3BE9" w:rsidR="0083243F">
        <w:t>Andrea Tamietti</w:t>
      </w:r>
      <w:r w:rsidRPr="00DD3BE9">
        <w:tab/>
      </w:r>
      <w:r w:rsidRPr="00DD3BE9" w:rsidR="0083243F">
        <w:t>Gabriele Kucsko</w:t>
      </w:r>
      <w:r w:rsidRPr="00DD3BE9" w:rsidR="00BA6587">
        <w:noBreakHyphen/>
      </w:r>
      <w:r w:rsidRPr="00DD3BE9" w:rsidR="0083243F">
        <w:t>Stadlmayer</w:t>
      </w:r>
      <w:r w:rsidRPr="00DD3BE9">
        <w:br/>
      </w:r>
      <w:r w:rsidRPr="00DD3BE9">
        <w:tab/>
      </w:r>
      <w:r w:rsidRPr="00DD3BE9" w:rsidR="0083243F">
        <w:rPr>
          <w:iCs/>
        </w:rPr>
        <w:t>Registrar</w:t>
      </w:r>
      <w:r w:rsidRPr="00DD3BE9">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43F" w:rsidRPr="00150BFA" w:rsidP="0020718E" w14:paraId="170220B7" w14:textId="27CA8B7C">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83243F" w:rsidP="00AF12C5" w14:paraId="1BC32B50" w14:textId="421E8469">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43F" w:rsidRPr="00150BFA" w:rsidP="0020718E" w14:paraId="0B037987" w14:textId="0E619149">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83243F" w:rsidP="009E7A6F" w14:paraId="6CAD7B81" w14:textId="6F4D953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5046B94C" w14:textId="22A6CC1F">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53441E5C" w14:textId="66E6D341">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43F" w:rsidRPr="00A45145" w:rsidP="00A45145" w14:paraId="317BD411" w14:textId="7C51BD9B">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83243F" w:rsidP="00B14793" w14:paraId="3B378AD4" w14:textId="774A66A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3243F" w:rsidRPr="00A45145" w:rsidP="00A45145" w14:paraId="6F089EA1" w14:textId="19F32169">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83243F" w14:paraId="79EA5698" w14:textId="542B3DE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7D74558D" w14:textId="50969C88">
    <w:pPr>
      <w:pStyle w:val="JuHeader"/>
    </w:pPr>
    <w:r>
      <w:t>C.O. v. GERMANY</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579A693C" w14:textId="2B946576">
    <w:pPr>
      <w:pStyle w:val="JuHeader"/>
    </w:pPr>
    <w:r>
      <w:t>C.O. v. GERMANY</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21051781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74594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508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02844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0825326">
    <w:abstractNumId w:val="14"/>
  </w:num>
  <w:num w:numId="6" w16cid:durableId="875237024">
    <w:abstractNumId w:val="12"/>
  </w:num>
  <w:num w:numId="7" w16cid:durableId="855273184">
    <w:abstractNumId w:val="11"/>
  </w:num>
  <w:num w:numId="8" w16cid:durableId="1305042156">
    <w:abstractNumId w:val="17"/>
  </w:num>
  <w:num w:numId="9" w16cid:durableId="545264696">
    <w:abstractNumId w:val="7"/>
  </w:num>
  <w:num w:numId="10" w16cid:durableId="1470318077">
    <w:abstractNumId w:val="6"/>
  </w:num>
  <w:num w:numId="11" w16cid:durableId="894777530">
    <w:abstractNumId w:val="5"/>
  </w:num>
  <w:num w:numId="12" w16cid:durableId="100299813">
    <w:abstractNumId w:val="4"/>
  </w:num>
  <w:num w:numId="13" w16cid:durableId="99952220">
    <w:abstractNumId w:val="8"/>
  </w:num>
  <w:num w:numId="14" w16cid:durableId="1337805583">
    <w:abstractNumId w:val="3"/>
  </w:num>
  <w:num w:numId="15" w16cid:durableId="1184395180">
    <w:abstractNumId w:val="2"/>
  </w:num>
  <w:num w:numId="16" w16cid:durableId="1965764938">
    <w:abstractNumId w:val="1"/>
  </w:num>
  <w:num w:numId="17" w16cid:durableId="508177938">
    <w:abstractNumId w:val="0"/>
  </w:num>
  <w:num w:numId="18" w16cid:durableId="415785351">
    <w:abstractNumId w:val="15"/>
  </w:num>
  <w:num w:numId="19" w16cid:durableId="1193299442">
    <w:abstractNumId w:val="13"/>
  </w:num>
  <w:num w:numId="20" w16cid:durableId="25523049">
    <w:abstractNumId w:val="16"/>
  </w:num>
  <w:num w:numId="21" w16cid:durableId="1332566567">
    <w:abstractNumId w:val="15"/>
  </w:num>
  <w:num w:numId="22" w16cid:durableId="1084835395">
    <w:abstractNumId w:val="16"/>
  </w:num>
  <w:num w:numId="23" w16cid:durableId="1938176289">
    <w:abstractNumId w:val="10"/>
  </w:num>
  <w:num w:numId="24" w16cid:durableId="1802071804">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43F"/>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A7312"/>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3E5D"/>
    <w:rsid w:val="001561B6"/>
    <w:rsid w:val="00162A12"/>
    <w:rsid w:val="00166530"/>
    <w:rsid w:val="00170027"/>
    <w:rsid w:val="00174DE9"/>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0C10"/>
    <w:rsid w:val="002012BC"/>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2B39"/>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1B60"/>
    <w:rsid w:val="003A422D"/>
    <w:rsid w:val="003B4941"/>
    <w:rsid w:val="003C5714"/>
    <w:rsid w:val="003C6B9F"/>
    <w:rsid w:val="003C6E2A"/>
    <w:rsid w:val="003D0299"/>
    <w:rsid w:val="003E6D80"/>
    <w:rsid w:val="003E7BCC"/>
    <w:rsid w:val="003F05FA"/>
    <w:rsid w:val="003F244A"/>
    <w:rsid w:val="003F2517"/>
    <w:rsid w:val="003F30B8"/>
    <w:rsid w:val="003F4C45"/>
    <w:rsid w:val="003F5E65"/>
    <w:rsid w:val="003F5F7B"/>
    <w:rsid w:val="003F7D64"/>
    <w:rsid w:val="004026F9"/>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0D1"/>
    <w:rsid w:val="004D15F3"/>
    <w:rsid w:val="004D3B3D"/>
    <w:rsid w:val="004D4EF1"/>
    <w:rsid w:val="004D5311"/>
    <w:rsid w:val="004D5DCC"/>
    <w:rsid w:val="004D7E45"/>
    <w:rsid w:val="004F10AF"/>
    <w:rsid w:val="004F11A4"/>
    <w:rsid w:val="004F2389"/>
    <w:rsid w:val="004F304D"/>
    <w:rsid w:val="004F4290"/>
    <w:rsid w:val="004F61BE"/>
    <w:rsid w:val="004F66B1"/>
    <w:rsid w:val="00502BB5"/>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04D6"/>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C6CF5"/>
    <w:rsid w:val="005D2F2A"/>
    <w:rsid w:val="005D34F9"/>
    <w:rsid w:val="005D4190"/>
    <w:rsid w:val="005D43B2"/>
    <w:rsid w:val="005D67A3"/>
    <w:rsid w:val="005E2988"/>
    <w:rsid w:val="005E3085"/>
    <w:rsid w:val="005F0EB3"/>
    <w:rsid w:val="005F51E1"/>
    <w:rsid w:val="00611C80"/>
    <w:rsid w:val="00620692"/>
    <w:rsid w:val="006242CA"/>
    <w:rsid w:val="00626FFB"/>
    <w:rsid w:val="00627507"/>
    <w:rsid w:val="00633717"/>
    <w:rsid w:val="006344E1"/>
    <w:rsid w:val="00643524"/>
    <w:rsid w:val="0064393B"/>
    <w:rsid w:val="00645CF2"/>
    <w:rsid w:val="00651B62"/>
    <w:rsid w:val="006545C4"/>
    <w:rsid w:val="00661971"/>
    <w:rsid w:val="00661CE8"/>
    <w:rsid w:val="006623D9"/>
    <w:rsid w:val="006642A5"/>
    <w:rsid w:val="0066550C"/>
    <w:rsid w:val="00665BD2"/>
    <w:rsid w:val="006716F2"/>
    <w:rsid w:val="006720EF"/>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17E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4620"/>
    <w:rsid w:val="00802C64"/>
    <w:rsid w:val="00805E52"/>
    <w:rsid w:val="008061D0"/>
    <w:rsid w:val="00810B38"/>
    <w:rsid w:val="008204C7"/>
    <w:rsid w:val="00820992"/>
    <w:rsid w:val="00823602"/>
    <w:rsid w:val="00823EC1"/>
    <w:rsid w:val="008255F5"/>
    <w:rsid w:val="00826890"/>
    <w:rsid w:val="0083014E"/>
    <w:rsid w:val="0083214A"/>
    <w:rsid w:val="0083243F"/>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26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D6BF3"/>
    <w:rsid w:val="009E1F32"/>
    <w:rsid w:val="009E2CC2"/>
    <w:rsid w:val="009E47A2"/>
    <w:rsid w:val="009E47AE"/>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7746A"/>
    <w:rsid w:val="00B8086C"/>
    <w:rsid w:val="00B81C58"/>
    <w:rsid w:val="00B861B4"/>
    <w:rsid w:val="00B86DFE"/>
    <w:rsid w:val="00B90990"/>
    <w:rsid w:val="00B922FF"/>
    <w:rsid w:val="00B9281E"/>
    <w:rsid w:val="00B93925"/>
    <w:rsid w:val="00B95187"/>
    <w:rsid w:val="00BA2D55"/>
    <w:rsid w:val="00BA6587"/>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6ED9"/>
    <w:rsid w:val="00CF2397"/>
    <w:rsid w:val="00CF3D50"/>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68DC"/>
    <w:rsid w:val="00D908A8"/>
    <w:rsid w:val="00D977B6"/>
    <w:rsid w:val="00DA1223"/>
    <w:rsid w:val="00DA4A31"/>
    <w:rsid w:val="00DA7B04"/>
    <w:rsid w:val="00DB36C2"/>
    <w:rsid w:val="00DC00A8"/>
    <w:rsid w:val="00DC169B"/>
    <w:rsid w:val="00DC2AB9"/>
    <w:rsid w:val="00DC63F0"/>
    <w:rsid w:val="00DD37EA"/>
    <w:rsid w:val="00DD3BE9"/>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0695"/>
    <w:rsid w:val="00F21161"/>
    <w:rsid w:val="00F218EF"/>
    <w:rsid w:val="00F21BC7"/>
    <w:rsid w:val="00F266A2"/>
    <w:rsid w:val="00F32269"/>
    <w:rsid w:val="00F35B7A"/>
    <w:rsid w:val="00F56A6F"/>
    <w:rsid w:val="00F5709C"/>
    <w:rsid w:val="00F60B85"/>
    <w:rsid w:val="00F64EF1"/>
    <w:rsid w:val="00F6787C"/>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12A78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D3BE9"/>
    <w:rPr>
      <w:sz w:val="24"/>
      <w:szCs w:val="24"/>
      <w:lang w:val="en-GB"/>
    </w:rPr>
  </w:style>
  <w:style w:type="paragraph" w:styleId="Heading1">
    <w:name w:val="heading 1"/>
    <w:basedOn w:val="Normal"/>
    <w:next w:val="Normal"/>
    <w:link w:val="Heading1Char"/>
    <w:uiPriority w:val="98"/>
    <w:semiHidden/>
    <w:rsid w:val="005504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504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504D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504D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504D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504D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504D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504D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504D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504D6"/>
    <w:rPr>
      <w:rFonts w:ascii="Tahoma" w:hAnsi="Tahoma" w:cs="Tahoma"/>
      <w:sz w:val="16"/>
      <w:szCs w:val="16"/>
    </w:rPr>
  </w:style>
  <w:style w:type="character" w:customStyle="1" w:styleId="BalloonTextChar">
    <w:name w:val="Balloon Text Char"/>
    <w:basedOn w:val="DefaultParagraphFont"/>
    <w:link w:val="BalloonText"/>
    <w:uiPriority w:val="98"/>
    <w:semiHidden/>
    <w:rsid w:val="005504D6"/>
    <w:rPr>
      <w:rFonts w:ascii="Tahoma" w:hAnsi="Tahoma" w:cs="Tahoma"/>
      <w:sz w:val="16"/>
      <w:szCs w:val="16"/>
      <w:lang w:val="en-GB"/>
    </w:rPr>
  </w:style>
  <w:style w:type="character" w:styleId="BookTitle">
    <w:name w:val="Book Title"/>
    <w:uiPriority w:val="98"/>
    <w:semiHidden/>
    <w:qFormat/>
    <w:rsid w:val="005504D6"/>
    <w:rPr>
      <w:i/>
      <w:iCs/>
      <w:smallCaps/>
      <w:spacing w:val="5"/>
    </w:rPr>
  </w:style>
  <w:style w:type="paragraph" w:customStyle="1" w:styleId="JuHeader">
    <w:name w:val="Ju_Header"/>
    <w:aliases w:val="_Header"/>
    <w:basedOn w:val="Header0"/>
    <w:uiPriority w:val="29"/>
    <w:qFormat/>
    <w:rsid w:val="005504D6"/>
    <w:pPr>
      <w:tabs>
        <w:tab w:val="clear" w:pos="4536"/>
        <w:tab w:val="clear" w:pos="9072"/>
      </w:tabs>
      <w:jc w:val="center"/>
    </w:pPr>
    <w:rPr>
      <w:sz w:val="18"/>
    </w:rPr>
  </w:style>
  <w:style w:type="paragraph" w:customStyle="1" w:styleId="NormalJustified">
    <w:name w:val="Normal_Justified"/>
    <w:basedOn w:val="Normal"/>
    <w:semiHidden/>
    <w:rsid w:val="005504D6"/>
    <w:pPr>
      <w:jc w:val="both"/>
    </w:pPr>
  </w:style>
  <w:style w:type="character" w:styleId="Strong">
    <w:name w:val="Strong"/>
    <w:uiPriority w:val="98"/>
    <w:semiHidden/>
    <w:qFormat/>
    <w:rsid w:val="005504D6"/>
    <w:rPr>
      <w:b/>
      <w:bCs/>
    </w:rPr>
  </w:style>
  <w:style w:type="paragraph" w:styleId="NoSpacing">
    <w:name w:val="No Spacing"/>
    <w:basedOn w:val="Normal"/>
    <w:link w:val="NoSpacingChar"/>
    <w:uiPriority w:val="98"/>
    <w:semiHidden/>
    <w:qFormat/>
    <w:rsid w:val="005504D6"/>
  </w:style>
  <w:style w:type="character" w:customStyle="1" w:styleId="NoSpacingChar">
    <w:name w:val="No Spacing Char"/>
    <w:basedOn w:val="DefaultParagraphFont"/>
    <w:link w:val="NoSpacing"/>
    <w:uiPriority w:val="98"/>
    <w:semiHidden/>
    <w:rsid w:val="005504D6"/>
    <w:rPr>
      <w:sz w:val="24"/>
      <w:szCs w:val="24"/>
      <w:lang w:val="en-GB"/>
    </w:rPr>
  </w:style>
  <w:style w:type="paragraph" w:customStyle="1" w:styleId="JuQuot">
    <w:name w:val="Ju_Quot"/>
    <w:aliases w:val="_Quote"/>
    <w:basedOn w:val="NormalJustified"/>
    <w:uiPriority w:val="20"/>
    <w:qFormat/>
    <w:rsid w:val="005504D6"/>
    <w:pPr>
      <w:spacing w:before="120" w:after="120"/>
      <w:ind w:left="425" w:firstLine="142"/>
    </w:pPr>
    <w:rPr>
      <w:sz w:val="20"/>
    </w:rPr>
  </w:style>
  <w:style w:type="paragraph" w:customStyle="1" w:styleId="DummyStyle">
    <w:name w:val="Dummy_Style"/>
    <w:aliases w:val="_Dummy"/>
    <w:basedOn w:val="Normal"/>
    <w:semiHidden/>
    <w:qFormat/>
    <w:rsid w:val="005504D6"/>
    <w:rPr>
      <w:color w:val="00B050"/>
      <w:sz w:val="22"/>
    </w:rPr>
  </w:style>
  <w:style w:type="paragraph" w:customStyle="1" w:styleId="JuList">
    <w:name w:val="Ju_List"/>
    <w:aliases w:val="_List_1"/>
    <w:basedOn w:val="NormalJustified"/>
    <w:uiPriority w:val="23"/>
    <w:qFormat/>
    <w:rsid w:val="005504D6"/>
    <w:pPr>
      <w:numPr>
        <w:numId w:val="24"/>
      </w:numPr>
      <w:spacing w:before="280" w:after="60"/>
    </w:pPr>
  </w:style>
  <w:style w:type="paragraph" w:customStyle="1" w:styleId="JuLista">
    <w:name w:val="Ju_List_a"/>
    <w:aliases w:val="_List_2"/>
    <w:basedOn w:val="NormalJustified"/>
    <w:uiPriority w:val="23"/>
    <w:rsid w:val="005504D6"/>
    <w:pPr>
      <w:numPr>
        <w:ilvl w:val="1"/>
        <w:numId w:val="24"/>
      </w:numPr>
    </w:pPr>
  </w:style>
  <w:style w:type="paragraph" w:customStyle="1" w:styleId="JuListi">
    <w:name w:val="Ju_List_i"/>
    <w:aliases w:val="_List_3"/>
    <w:basedOn w:val="NormalJustified"/>
    <w:uiPriority w:val="23"/>
    <w:rsid w:val="005504D6"/>
    <w:pPr>
      <w:numPr>
        <w:ilvl w:val="2"/>
        <w:numId w:val="24"/>
      </w:numPr>
    </w:pPr>
  </w:style>
  <w:style w:type="paragraph" w:customStyle="1" w:styleId="JuHArticle">
    <w:name w:val="Ju_H_Article"/>
    <w:aliases w:val="_Title_Quote"/>
    <w:basedOn w:val="Normal"/>
    <w:next w:val="JuQuot"/>
    <w:uiPriority w:val="19"/>
    <w:qFormat/>
    <w:rsid w:val="005504D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504D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504D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504D6"/>
    <w:pPr>
      <w:keepNext/>
      <w:keepLines/>
      <w:numPr>
        <w:numId w:val="2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504D6"/>
    <w:pPr>
      <w:numPr>
        <w:numId w:val="18"/>
      </w:numPr>
    </w:pPr>
  </w:style>
  <w:style w:type="paragraph" w:customStyle="1" w:styleId="JuSigned">
    <w:name w:val="Ju_Signed"/>
    <w:aliases w:val="_Signature"/>
    <w:basedOn w:val="Normal"/>
    <w:next w:val="JuPara"/>
    <w:uiPriority w:val="31"/>
    <w:qFormat/>
    <w:rsid w:val="005504D6"/>
    <w:pPr>
      <w:tabs>
        <w:tab w:val="center" w:pos="1418"/>
        <w:tab w:val="center" w:pos="5954"/>
      </w:tabs>
      <w:spacing w:before="720"/>
    </w:pPr>
  </w:style>
  <w:style w:type="paragraph" w:styleId="Title">
    <w:name w:val="Title"/>
    <w:basedOn w:val="Normal"/>
    <w:next w:val="Normal"/>
    <w:link w:val="TitleChar"/>
    <w:uiPriority w:val="98"/>
    <w:semiHidden/>
    <w:qFormat/>
    <w:rsid w:val="005504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504D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504D6"/>
    <w:pPr>
      <w:numPr>
        <w:numId w:val="19"/>
      </w:numPr>
    </w:pPr>
  </w:style>
  <w:style w:type="numbering" w:customStyle="1" w:styleId="ECHRA1StyleNumberedList">
    <w:name w:val="ECHR_A1_Style_Numbered_List"/>
    <w:basedOn w:val="NoList"/>
    <w:rsid w:val="005504D6"/>
    <w:pPr>
      <w:numPr>
        <w:numId w:val="20"/>
      </w:numPr>
    </w:pPr>
  </w:style>
  <w:style w:type="table" w:customStyle="1" w:styleId="ECHRTable2019">
    <w:name w:val="ECHR_Table_2019"/>
    <w:basedOn w:val="TableNormal"/>
    <w:uiPriority w:val="99"/>
    <w:rsid w:val="005504D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504D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504D6"/>
    <w:pPr>
      <w:keepNext/>
      <w:keepLines/>
      <w:numPr>
        <w:ilvl w:val="1"/>
        <w:numId w:val="2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504D6"/>
    <w:pPr>
      <w:keepNext/>
      <w:keepLines/>
      <w:numPr>
        <w:ilvl w:val="2"/>
        <w:numId w:val="2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504D6"/>
    <w:pPr>
      <w:keepNext/>
      <w:keepLines/>
      <w:numPr>
        <w:ilvl w:val="3"/>
        <w:numId w:val="23"/>
      </w:numPr>
      <w:spacing w:before="100" w:beforeAutospacing="1" w:after="120"/>
      <w:jc w:val="both"/>
    </w:pPr>
    <w:rPr>
      <w:b w:val="0"/>
      <w:color w:val="auto"/>
      <w:sz w:val="24"/>
    </w:rPr>
  </w:style>
  <w:style w:type="paragraph" w:styleId="Header0">
    <w:name w:val="header"/>
    <w:basedOn w:val="Normal"/>
    <w:link w:val="HeaderChar"/>
    <w:uiPriority w:val="98"/>
    <w:semiHidden/>
    <w:rsid w:val="005504D6"/>
    <w:pPr>
      <w:tabs>
        <w:tab w:val="center" w:pos="4536"/>
        <w:tab w:val="right" w:pos="9072"/>
      </w:tabs>
    </w:pPr>
  </w:style>
  <w:style w:type="character" w:customStyle="1" w:styleId="HeaderChar">
    <w:name w:val="Header Char"/>
    <w:basedOn w:val="DefaultParagraphFont"/>
    <w:link w:val="Header0"/>
    <w:uiPriority w:val="98"/>
    <w:semiHidden/>
    <w:rsid w:val="005504D6"/>
    <w:rPr>
      <w:sz w:val="24"/>
      <w:szCs w:val="24"/>
      <w:lang w:val="en-GB"/>
    </w:rPr>
  </w:style>
  <w:style w:type="character" w:customStyle="1" w:styleId="Heading1Char">
    <w:name w:val="Heading 1 Char"/>
    <w:basedOn w:val="DefaultParagraphFont"/>
    <w:link w:val="Heading1"/>
    <w:uiPriority w:val="98"/>
    <w:semiHidden/>
    <w:rsid w:val="005504D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504D6"/>
    <w:pPr>
      <w:keepNext/>
      <w:keepLines/>
      <w:numPr>
        <w:ilvl w:val="4"/>
        <w:numId w:val="23"/>
      </w:numPr>
      <w:spacing w:before="100" w:beforeAutospacing="1" w:after="120"/>
      <w:jc w:val="both"/>
    </w:pPr>
    <w:rPr>
      <w:color w:val="auto"/>
      <w:sz w:val="20"/>
    </w:rPr>
  </w:style>
  <w:style w:type="paragraph" w:customStyle="1" w:styleId="JuHi">
    <w:name w:val="Ju_H_i"/>
    <w:aliases w:val="_Head_6"/>
    <w:basedOn w:val="Heading6"/>
    <w:next w:val="JuPara"/>
    <w:uiPriority w:val="17"/>
    <w:rsid w:val="005504D6"/>
    <w:pPr>
      <w:keepNext/>
      <w:keepLines/>
      <w:numPr>
        <w:ilvl w:val="5"/>
        <w:numId w:val="2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504D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504D6"/>
    <w:pPr>
      <w:keepNext/>
      <w:keepLines/>
      <w:numPr>
        <w:ilvl w:val="6"/>
        <w:numId w:val="2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504D6"/>
    <w:pPr>
      <w:keepNext/>
      <w:keepLines/>
      <w:numPr>
        <w:ilvl w:val="7"/>
        <w:numId w:val="23"/>
      </w:numPr>
      <w:spacing w:before="100" w:beforeAutospacing="1" w:after="120"/>
      <w:jc w:val="both"/>
    </w:pPr>
    <w:rPr>
      <w:i/>
    </w:rPr>
  </w:style>
  <w:style w:type="character" w:customStyle="1" w:styleId="Heading3Char">
    <w:name w:val="Heading 3 Char"/>
    <w:basedOn w:val="DefaultParagraphFont"/>
    <w:link w:val="Heading3"/>
    <w:uiPriority w:val="98"/>
    <w:semiHidden/>
    <w:rsid w:val="005504D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504D6"/>
    <w:pPr>
      <w:keepNext/>
      <w:keepLines/>
      <w:spacing w:before="240" w:after="240"/>
      <w:ind w:firstLine="284"/>
    </w:pPr>
  </w:style>
  <w:style w:type="paragraph" w:customStyle="1" w:styleId="JuJudges">
    <w:name w:val="Ju_Judges"/>
    <w:aliases w:val="_Judges"/>
    <w:basedOn w:val="Normal"/>
    <w:uiPriority w:val="32"/>
    <w:qFormat/>
    <w:rsid w:val="005504D6"/>
    <w:pPr>
      <w:tabs>
        <w:tab w:val="left" w:pos="567"/>
        <w:tab w:val="left" w:pos="1134"/>
      </w:tabs>
    </w:pPr>
  </w:style>
  <w:style w:type="character" w:customStyle="1" w:styleId="Heading4Char">
    <w:name w:val="Heading 4 Char"/>
    <w:basedOn w:val="DefaultParagraphFont"/>
    <w:link w:val="Heading4"/>
    <w:uiPriority w:val="98"/>
    <w:semiHidden/>
    <w:rsid w:val="005504D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504D6"/>
    <w:pPr>
      <w:tabs>
        <w:tab w:val="center" w:pos="6407"/>
      </w:tabs>
      <w:spacing w:before="720"/>
      <w:jc w:val="right"/>
    </w:pPr>
  </w:style>
  <w:style w:type="character" w:customStyle="1" w:styleId="Heading5Char">
    <w:name w:val="Heading 5 Char"/>
    <w:basedOn w:val="DefaultParagraphFont"/>
    <w:link w:val="Heading5"/>
    <w:uiPriority w:val="98"/>
    <w:semiHidden/>
    <w:rsid w:val="005504D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504D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504D6"/>
    <w:rPr>
      <w:caps w:val="0"/>
      <w:smallCaps/>
    </w:rPr>
  </w:style>
  <w:style w:type="character" w:styleId="SubtleEmphasis">
    <w:name w:val="Subtle Emphasis"/>
    <w:uiPriority w:val="98"/>
    <w:semiHidden/>
    <w:qFormat/>
    <w:rsid w:val="005504D6"/>
    <w:rPr>
      <w:i/>
      <w:iCs/>
    </w:rPr>
  </w:style>
  <w:style w:type="table" w:customStyle="1" w:styleId="ECHRTable">
    <w:name w:val="ECHR_Table"/>
    <w:basedOn w:val="TableNormal"/>
    <w:rsid w:val="005504D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504D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5504D6"/>
    <w:rPr>
      <w:b/>
      <w:bCs/>
      <w:i/>
      <w:iCs/>
      <w:spacing w:val="10"/>
      <w:bdr w:val="none" w:sz="0" w:space="0" w:color="auto"/>
      <w:shd w:val="clear" w:color="auto" w:fill="auto"/>
    </w:rPr>
  </w:style>
  <w:style w:type="paragraph" w:styleId="Footer1">
    <w:name w:val="footer"/>
    <w:basedOn w:val="Normal"/>
    <w:link w:val="FooterChar"/>
    <w:uiPriority w:val="98"/>
    <w:semiHidden/>
    <w:rsid w:val="005504D6"/>
    <w:pPr>
      <w:tabs>
        <w:tab w:val="center" w:pos="3686"/>
        <w:tab w:val="right" w:pos="7371"/>
      </w:tabs>
    </w:pPr>
  </w:style>
  <w:style w:type="character" w:customStyle="1" w:styleId="FooterChar">
    <w:name w:val="Footer Char"/>
    <w:basedOn w:val="DefaultParagraphFont"/>
    <w:link w:val="Footer1"/>
    <w:uiPriority w:val="98"/>
    <w:semiHidden/>
    <w:rsid w:val="005504D6"/>
    <w:rPr>
      <w:sz w:val="24"/>
      <w:szCs w:val="24"/>
      <w:lang w:val="en-GB"/>
    </w:rPr>
  </w:style>
  <w:style w:type="character" w:styleId="FootnoteReference">
    <w:name w:val="footnote reference"/>
    <w:basedOn w:val="DefaultParagraphFont"/>
    <w:uiPriority w:val="98"/>
    <w:semiHidden/>
    <w:rsid w:val="005504D6"/>
    <w:rPr>
      <w:vertAlign w:val="superscript"/>
    </w:rPr>
  </w:style>
  <w:style w:type="paragraph" w:styleId="FootnoteText">
    <w:name w:val="footnote text"/>
    <w:basedOn w:val="NormalJustified"/>
    <w:link w:val="FootnoteTextChar"/>
    <w:uiPriority w:val="98"/>
    <w:semiHidden/>
    <w:rsid w:val="005504D6"/>
    <w:rPr>
      <w:sz w:val="20"/>
      <w:szCs w:val="20"/>
    </w:rPr>
  </w:style>
  <w:style w:type="character" w:customStyle="1" w:styleId="FootnoteTextChar">
    <w:name w:val="Footnote Text Char"/>
    <w:basedOn w:val="DefaultParagraphFont"/>
    <w:link w:val="FootnoteText"/>
    <w:uiPriority w:val="98"/>
    <w:semiHidden/>
    <w:rsid w:val="005504D6"/>
    <w:rPr>
      <w:sz w:val="20"/>
      <w:szCs w:val="20"/>
      <w:lang w:val="en-GB"/>
    </w:rPr>
  </w:style>
  <w:style w:type="character" w:customStyle="1" w:styleId="Heading6Char">
    <w:name w:val="Heading 6 Char"/>
    <w:basedOn w:val="DefaultParagraphFont"/>
    <w:link w:val="Heading6"/>
    <w:uiPriority w:val="98"/>
    <w:semiHidden/>
    <w:rsid w:val="005504D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504D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504D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504D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504D6"/>
    <w:rPr>
      <w:color w:val="0072BC" w:themeColor="hyperlink"/>
      <w:u w:val="single"/>
    </w:rPr>
  </w:style>
  <w:style w:type="character" w:styleId="IntenseEmphasis">
    <w:name w:val="Intense Emphasis"/>
    <w:uiPriority w:val="98"/>
    <w:semiHidden/>
    <w:qFormat/>
    <w:rsid w:val="005504D6"/>
    <w:rPr>
      <w:b/>
      <w:bCs/>
    </w:rPr>
  </w:style>
  <w:style w:type="paragraph" w:styleId="IntenseQuote">
    <w:name w:val="Intense Quote"/>
    <w:basedOn w:val="Normal"/>
    <w:next w:val="Normal"/>
    <w:link w:val="IntenseQuoteChar"/>
    <w:uiPriority w:val="98"/>
    <w:semiHidden/>
    <w:qFormat/>
    <w:rsid w:val="005504D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504D6"/>
    <w:rPr>
      <w:b/>
      <w:bCs/>
      <w:i/>
      <w:iCs/>
      <w:sz w:val="24"/>
      <w:szCs w:val="24"/>
      <w:lang w:val="en-GB" w:bidi="en-US"/>
    </w:rPr>
  </w:style>
  <w:style w:type="character" w:styleId="IntenseReference">
    <w:name w:val="Intense Reference"/>
    <w:uiPriority w:val="98"/>
    <w:semiHidden/>
    <w:qFormat/>
    <w:rsid w:val="005504D6"/>
    <w:rPr>
      <w:smallCaps/>
      <w:spacing w:val="5"/>
      <w:u w:val="single"/>
    </w:rPr>
  </w:style>
  <w:style w:type="paragraph" w:styleId="ListParagraph">
    <w:name w:val="List Paragraph"/>
    <w:basedOn w:val="Normal"/>
    <w:uiPriority w:val="98"/>
    <w:semiHidden/>
    <w:qFormat/>
    <w:rsid w:val="005504D6"/>
    <w:pPr>
      <w:ind w:left="720"/>
      <w:contextualSpacing/>
    </w:pPr>
  </w:style>
  <w:style w:type="table" w:customStyle="1" w:styleId="LtrTableAddress">
    <w:name w:val="Ltr_Table_Address"/>
    <w:aliases w:val="ECHR_Ltr_Table_Address"/>
    <w:basedOn w:val="TableNormal"/>
    <w:uiPriority w:val="99"/>
    <w:rsid w:val="005504D6"/>
    <w:rPr>
      <w:sz w:val="24"/>
      <w:szCs w:val="24"/>
    </w:rPr>
    <w:tblPr>
      <w:tblInd w:w="5103" w:type="dxa"/>
    </w:tblPr>
  </w:style>
  <w:style w:type="paragraph" w:styleId="Quote0">
    <w:name w:val="Quote"/>
    <w:basedOn w:val="Normal"/>
    <w:next w:val="Normal"/>
    <w:link w:val="QuoteChar"/>
    <w:uiPriority w:val="98"/>
    <w:semiHidden/>
    <w:qFormat/>
    <w:rsid w:val="005504D6"/>
    <w:pPr>
      <w:spacing w:before="200"/>
      <w:ind w:left="360" w:right="360"/>
    </w:pPr>
    <w:rPr>
      <w:i/>
      <w:iCs/>
      <w:lang w:bidi="en-US"/>
    </w:rPr>
  </w:style>
  <w:style w:type="character" w:customStyle="1" w:styleId="QuoteChar">
    <w:name w:val="Quote Char"/>
    <w:basedOn w:val="DefaultParagraphFont"/>
    <w:link w:val="Quote0"/>
    <w:uiPriority w:val="98"/>
    <w:semiHidden/>
    <w:rsid w:val="005504D6"/>
    <w:rPr>
      <w:i/>
      <w:iCs/>
      <w:sz w:val="24"/>
      <w:szCs w:val="24"/>
      <w:lang w:val="en-GB" w:bidi="en-US"/>
    </w:rPr>
  </w:style>
  <w:style w:type="character" w:styleId="SubtleReference">
    <w:name w:val="Subtle Reference"/>
    <w:uiPriority w:val="98"/>
    <w:semiHidden/>
    <w:qFormat/>
    <w:rsid w:val="005504D6"/>
    <w:rPr>
      <w:smallCaps/>
    </w:rPr>
  </w:style>
  <w:style w:type="table" w:styleId="TableGrid">
    <w:name w:val="Table Grid"/>
    <w:basedOn w:val="TableNormal"/>
    <w:uiPriority w:val="59"/>
    <w:semiHidden/>
    <w:rsid w:val="005504D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504D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504D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504D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504D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504D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504D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504D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504D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504D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504D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504D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504D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504D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5504D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504D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504D6"/>
    <w:pPr>
      <w:numPr>
        <w:numId w:val="5"/>
      </w:numPr>
    </w:pPr>
  </w:style>
  <w:style w:type="paragraph" w:customStyle="1" w:styleId="JuPara">
    <w:name w:val="Ju_Para"/>
    <w:aliases w:val="_Para"/>
    <w:basedOn w:val="NormalJustified"/>
    <w:link w:val="JuParaChar"/>
    <w:uiPriority w:val="4"/>
    <w:qFormat/>
    <w:rsid w:val="005504D6"/>
    <w:pPr>
      <w:ind w:firstLine="284"/>
    </w:pPr>
  </w:style>
  <w:style w:type="numbering" w:styleId="1ai">
    <w:name w:val="Outline List 1"/>
    <w:basedOn w:val="NoList"/>
    <w:uiPriority w:val="99"/>
    <w:semiHidden/>
    <w:unhideWhenUsed/>
    <w:rsid w:val="005504D6"/>
    <w:pPr>
      <w:numPr>
        <w:numId w:val="6"/>
      </w:numPr>
    </w:pPr>
  </w:style>
  <w:style w:type="table" w:customStyle="1" w:styleId="ECHRTableSimpleBox">
    <w:name w:val="ECHR_Table_Simple_Box"/>
    <w:basedOn w:val="TableNormal"/>
    <w:uiPriority w:val="99"/>
    <w:rsid w:val="005504D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504D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5504D6"/>
    <w:pPr>
      <w:numPr>
        <w:numId w:val="7"/>
      </w:numPr>
    </w:pPr>
  </w:style>
  <w:style w:type="table" w:customStyle="1" w:styleId="ECHRTableForInternalUse">
    <w:name w:val="ECHR_Table_For_Internal_Use"/>
    <w:basedOn w:val="TableNormal"/>
    <w:uiPriority w:val="99"/>
    <w:rsid w:val="005504D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504D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504D6"/>
  </w:style>
  <w:style w:type="paragraph" w:styleId="BlockText">
    <w:name w:val="Block Text"/>
    <w:basedOn w:val="Normal"/>
    <w:uiPriority w:val="98"/>
    <w:semiHidden/>
    <w:rsid w:val="005504D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504D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504D6"/>
    <w:pPr>
      <w:spacing w:after="120"/>
    </w:pPr>
  </w:style>
  <w:style w:type="character" w:customStyle="1" w:styleId="BodyTextChar">
    <w:name w:val="Body Text Char"/>
    <w:basedOn w:val="DefaultParagraphFont"/>
    <w:link w:val="BodyText"/>
    <w:uiPriority w:val="98"/>
    <w:semiHidden/>
    <w:rsid w:val="005504D6"/>
    <w:rPr>
      <w:sz w:val="24"/>
      <w:szCs w:val="24"/>
      <w:lang w:val="en-GB"/>
    </w:rPr>
  </w:style>
  <w:style w:type="table" w:customStyle="1" w:styleId="ECHRTableOddBanded">
    <w:name w:val="ECHR_Table_Odd_Banded"/>
    <w:basedOn w:val="TableNormal"/>
    <w:uiPriority w:val="99"/>
    <w:rsid w:val="005504D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504D6"/>
    <w:pPr>
      <w:spacing w:after="120" w:line="480" w:lineRule="auto"/>
    </w:pPr>
  </w:style>
  <w:style w:type="table" w:customStyle="1" w:styleId="ECHRHeaderTableReduced">
    <w:name w:val="ECHR_Header_Table_Reduced"/>
    <w:basedOn w:val="TableNormal"/>
    <w:uiPriority w:val="99"/>
    <w:rsid w:val="005504D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504D6"/>
    <w:pPr>
      <w:ind w:firstLine="284"/>
    </w:pPr>
    <w:rPr>
      <w:b/>
    </w:rPr>
  </w:style>
  <w:style w:type="character" w:styleId="PageNumber">
    <w:name w:val="page number"/>
    <w:uiPriority w:val="98"/>
    <w:semiHidden/>
    <w:rsid w:val="005504D6"/>
    <w:rPr>
      <w:sz w:val="18"/>
    </w:rPr>
  </w:style>
  <w:style w:type="paragraph" w:styleId="ListBullet">
    <w:name w:val="List Bullet"/>
    <w:basedOn w:val="Normal"/>
    <w:uiPriority w:val="98"/>
    <w:semiHidden/>
    <w:rsid w:val="005504D6"/>
    <w:pPr>
      <w:numPr>
        <w:numId w:val="8"/>
      </w:numPr>
    </w:pPr>
  </w:style>
  <w:style w:type="paragraph" w:styleId="ListBullet3">
    <w:name w:val="List Bullet 3"/>
    <w:basedOn w:val="Normal"/>
    <w:uiPriority w:val="98"/>
    <w:semiHidden/>
    <w:rsid w:val="005504D6"/>
    <w:pPr>
      <w:numPr>
        <w:numId w:val="10"/>
      </w:numPr>
      <w:contextualSpacing/>
    </w:pPr>
  </w:style>
  <w:style w:type="character" w:customStyle="1" w:styleId="BodyText2Char">
    <w:name w:val="Body Text 2 Char"/>
    <w:basedOn w:val="DefaultParagraphFont"/>
    <w:link w:val="BodyText2"/>
    <w:uiPriority w:val="98"/>
    <w:semiHidden/>
    <w:rsid w:val="005504D6"/>
    <w:rPr>
      <w:sz w:val="24"/>
      <w:szCs w:val="24"/>
      <w:lang w:val="en-GB"/>
    </w:rPr>
  </w:style>
  <w:style w:type="paragraph" w:styleId="BodyText3">
    <w:name w:val="Body Text 3"/>
    <w:basedOn w:val="Normal"/>
    <w:link w:val="BodyText3Char"/>
    <w:uiPriority w:val="98"/>
    <w:semiHidden/>
    <w:rsid w:val="005504D6"/>
    <w:pPr>
      <w:spacing w:after="120"/>
    </w:pPr>
    <w:rPr>
      <w:sz w:val="16"/>
      <w:szCs w:val="16"/>
    </w:rPr>
  </w:style>
  <w:style w:type="character" w:customStyle="1" w:styleId="BodyText3Char">
    <w:name w:val="Body Text 3 Char"/>
    <w:basedOn w:val="DefaultParagraphFont"/>
    <w:link w:val="BodyText3"/>
    <w:uiPriority w:val="98"/>
    <w:semiHidden/>
    <w:rsid w:val="005504D6"/>
    <w:rPr>
      <w:sz w:val="16"/>
      <w:szCs w:val="16"/>
      <w:lang w:val="en-GB"/>
    </w:rPr>
  </w:style>
  <w:style w:type="paragraph" w:styleId="BodyTextFirstIndent">
    <w:name w:val="Body Text First Indent"/>
    <w:basedOn w:val="BodyText"/>
    <w:link w:val="BodyTextFirstIndentChar"/>
    <w:uiPriority w:val="98"/>
    <w:semiHidden/>
    <w:rsid w:val="005504D6"/>
    <w:pPr>
      <w:spacing w:after="0"/>
      <w:ind w:firstLine="360"/>
    </w:pPr>
  </w:style>
  <w:style w:type="character" w:customStyle="1" w:styleId="BodyTextFirstIndentChar">
    <w:name w:val="Body Text First Indent Char"/>
    <w:basedOn w:val="BodyTextChar"/>
    <w:link w:val="BodyTextFirstIndent"/>
    <w:uiPriority w:val="98"/>
    <w:semiHidden/>
    <w:rsid w:val="005504D6"/>
    <w:rPr>
      <w:sz w:val="24"/>
      <w:szCs w:val="24"/>
      <w:lang w:val="en-GB"/>
    </w:rPr>
  </w:style>
  <w:style w:type="paragraph" w:styleId="BodyTextIndent">
    <w:name w:val="Body Text Indent"/>
    <w:basedOn w:val="Normal"/>
    <w:link w:val="BodyTextIndentChar"/>
    <w:uiPriority w:val="98"/>
    <w:semiHidden/>
    <w:rsid w:val="005504D6"/>
    <w:pPr>
      <w:spacing w:after="120"/>
      <w:ind w:left="283"/>
    </w:pPr>
  </w:style>
  <w:style w:type="character" w:customStyle="1" w:styleId="BodyTextIndentChar">
    <w:name w:val="Body Text Indent Char"/>
    <w:basedOn w:val="DefaultParagraphFont"/>
    <w:link w:val="BodyTextIndent"/>
    <w:uiPriority w:val="98"/>
    <w:semiHidden/>
    <w:rsid w:val="005504D6"/>
    <w:rPr>
      <w:sz w:val="24"/>
      <w:szCs w:val="24"/>
      <w:lang w:val="en-GB"/>
    </w:rPr>
  </w:style>
  <w:style w:type="paragraph" w:styleId="BodyTextFirstIndent2">
    <w:name w:val="Body Text First Indent 2"/>
    <w:basedOn w:val="BodyTextIndent"/>
    <w:link w:val="BodyTextFirstIndent2Char"/>
    <w:uiPriority w:val="98"/>
    <w:semiHidden/>
    <w:rsid w:val="005504D6"/>
    <w:pPr>
      <w:spacing w:after="0"/>
      <w:ind w:left="360" w:firstLine="360"/>
    </w:pPr>
  </w:style>
  <w:style w:type="character" w:customStyle="1" w:styleId="BodyTextFirstIndent2Char">
    <w:name w:val="Body Text First Indent 2 Char"/>
    <w:basedOn w:val="BodyTextIndentChar"/>
    <w:link w:val="BodyTextFirstIndent2"/>
    <w:uiPriority w:val="98"/>
    <w:semiHidden/>
    <w:rsid w:val="005504D6"/>
    <w:rPr>
      <w:sz w:val="24"/>
      <w:szCs w:val="24"/>
      <w:lang w:val="en-GB"/>
    </w:rPr>
  </w:style>
  <w:style w:type="paragraph" w:styleId="BodyTextIndent2">
    <w:name w:val="Body Text Indent 2"/>
    <w:basedOn w:val="Normal"/>
    <w:link w:val="BodyTextIndent2Char"/>
    <w:uiPriority w:val="98"/>
    <w:semiHidden/>
    <w:rsid w:val="005504D6"/>
    <w:pPr>
      <w:spacing w:after="120" w:line="480" w:lineRule="auto"/>
      <w:ind w:left="283"/>
    </w:pPr>
  </w:style>
  <w:style w:type="character" w:customStyle="1" w:styleId="BodyTextIndent2Char">
    <w:name w:val="Body Text Indent 2 Char"/>
    <w:basedOn w:val="DefaultParagraphFont"/>
    <w:link w:val="BodyTextIndent2"/>
    <w:uiPriority w:val="98"/>
    <w:semiHidden/>
    <w:rsid w:val="005504D6"/>
    <w:rPr>
      <w:sz w:val="24"/>
      <w:szCs w:val="24"/>
      <w:lang w:val="en-GB"/>
    </w:rPr>
  </w:style>
  <w:style w:type="paragraph" w:styleId="BodyTextIndent3">
    <w:name w:val="Body Text Indent 3"/>
    <w:basedOn w:val="Normal"/>
    <w:link w:val="BodyTextIndent3Char"/>
    <w:uiPriority w:val="98"/>
    <w:semiHidden/>
    <w:rsid w:val="005504D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504D6"/>
    <w:rPr>
      <w:sz w:val="16"/>
      <w:szCs w:val="16"/>
      <w:lang w:val="en-GB"/>
    </w:rPr>
  </w:style>
  <w:style w:type="paragraph" w:styleId="Caption">
    <w:name w:val="caption"/>
    <w:basedOn w:val="Normal"/>
    <w:next w:val="Normal"/>
    <w:uiPriority w:val="98"/>
    <w:semiHidden/>
    <w:qFormat/>
    <w:rsid w:val="005504D6"/>
    <w:pPr>
      <w:spacing w:after="200"/>
    </w:pPr>
    <w:rPr>
      <w:b/>
      <w:bCs/>
      <w:color w:val="0072BC" w:themeColor="accent1"/>
      <w:sz w:val="18"/>
      <w:szCs w:val="18"/>
    </w:rPr>
  </w:style>
  <w:style w:type="paragraph" w:styleId="Closing">
    <w:name w:val="Closing"/>
    <w:basedOn w:val="Normal"/>
    <w:link w:val="ClosingChar"/>
    <w:uiPriority w:val="98"/>
    <w:semiHidden/>
    <w:rsid w:val="005504D6"/>
    <w:pPr>
      <w:ind w:left="4252"/>
    </w:pPr>
  </w:style>
  <w:style w:type="character" w:customStyle="1" w:styleId="ClosingChar">
    <w:name w:val="Closing Char"/>
    <w:basedOn w:val="DefaultParagraphFont"/>
    <w:link w:val="Closing"/>
    <w:uiPriority w:val="98"/>
    <w:semiHidden/>
    <w:rsid w:val="005504D6"/>
    <w:rPr>
      <w:sz w:val="24"/>
      <w:szCs w:val="24"/>
      <w:lang w:val="en-GB"/>
    </w:rPr>
  </w:style>
  <w:style w:type="table" w:styleId="ColorfulGrid">
    <w:name w:val="Colorful Grid"/>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504D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504D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504D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504D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504D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504D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504D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504D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504D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504D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504D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504D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504D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504D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504D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504D6"/>
    <w:rPr>
      <w:sz w:val="16"/>
      <w:szCs w:val="16"/>
    </w:rPr>
  </w:style>
  <w:style w:type="paragraph" w:styleId="CommentText">
    <w:name w:val="annotation text"/>
    <w:basedOn w:val="Normal"/>
    <w:link w:val="CommentTextChar"/>
    <w:uiPriority w:val="98"/>
    <w:semiHidden/>
    <w:rsid w:val="005504D6"/>
    <w:rPr>
      <w:sz w:val="20"/>
      <w:szCs w:val="20"/>
    </w:rPr>
  </w:style>
  <w:style w:type="character" w:customStyle="1" w:styleId="CommentTextChar">
    <w:name w:val="Comment Text Char"/>
    <w:basedOn w:val="DefaultParagraphFont"/>
    <w:link w:val="CommentText"/>
    <w:uiPriority w:val="98"/>
    <w:semiHidden/>
    <w:rsid w:val="005504D6"/>
    <w:rPr>
      <w:sz w:val="20"/>
      <w:szCs w:val="20"/>
      <w:lang w:val="en-GB"/>
    </w:rPr>
  </w:style>
  <w:style w:type="paragraph" w:styleId="CommentSubject">
    <w:name w:val="annotation subject"/>
    <w:basedOn w:val="CommentText"/>
    <w:next w:val="CommentText"/>
    <w:link w:val="CommentSubjectChar"/>
    <w:uiPriority w:val="98"/>
    <w:semiHidden/>
    <w:rsid w:val="005504D6"/>
    <w:rPr>
      <w:b/>
      <w:bCs/>
    </w:rPr>
  </w:style>
  <w:style w:type="character" w:customStyle="1" w:styleId="CommentSubjectChar">
    <w:name w:val="Comment Subject Char"/>
    <w:basedOn w:val="CommentTextChar"/>
    <w:link w:val="CommentSubject"/>
    <w:uiPriority w:val="98"/>
    <w:semiHidden/>
    <w:rsid w:val="005504D6"/>
    <w:rPr>
      <w:b/>
      <w:bCs/>
      <w:sz w:val="20"/>
      <w:szCs w:val="20"/>
      <w:lang w:val="en-GB"/>
    </w:rPr>
  </w:style>
  <w:style w:type="table" w:styleId="DarkList">
    <w:name w:val="Dark List"/>
    <w:basedOn w:val="TableNormal"/>
    <w:uiPriority w:val="70"/>
    <w:semiHidden/>
    <w:rsid w:val="005504D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504D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504D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504D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504D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504D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504D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504D6"/>
  </w:style>
  <w:style w:type="character" w:customStyle="1" w:styleId="DateChar">
    <w:name w:val="Date Char"/>
    <w:basedOn w:val="DefaultParagraphFont"/>
    <w:link w:val="Date"/>
    <w:uiPriority w:val="98"/>
    <w:semiHidden/>
    <w:rsid w:val="005504D6"/>
    <w:rPr>
      <w:sz w:val="24"/>
      <w:szCs w:val="24"/>
      <w:lang w:val="en-GB"/>
    </w:rPr>
  </w:style>
  <w:style w:type="paragraph" w:styleId="DocumentMap">
    <w:name w:val="Document Map"/>
    <w:basedOn w:val="Normal"/>
    <w:link w:val="DocumentMapChar"/>
    <w:uiPriority w:val="98"/>
    <w:semiHidden/>
    <w:rsid w:val="005504D6"/>
    <w:rPr>
      <w:rFonts w:ascii="Tahoma" w:hAnsi="Tahoma" w:cs="Tahoma"/>
      <w:sz w:val="16"/>
      <w:szCs w:val="16"/>
    </w:rPr>
  </w:style>
  <w:style w:type="character" w:customStyle="1" w:styleId="DocumentMapChar">
    <w:name w:val="Document Map Char"/>
    <w:basedOn w:val="DefaultParagraphFont"/>
    <w:link w:val="DocumentMap"/>
    <w:uiPriority w:val="98"/>
    <w:semiHidden/>
    <w:rsid w:val="005504D6"/>
    <w:rPr>
      <w:rFonts w:ascii="Tahoma" w:hAnsi="Tahoma" w:cs="Tahoma"/>
      <w:sz w:val="16"/>
      <w:szCs w:val="16"/>
      <w:lang w:val="en-GB"/>
    </w:rPr>
  </w:style>
  <w:style w:type="paragraph" w:styleId="E-mailSignature">
    <w:name w:val="E-mail Signature"/>
    <w:basedOn w:val="Normal"/>
    <w:link w:val="E-mailSignatureChar"/>
    <w:uiPriority w:val="98"/>
    <w:semiHidden/>
    <w:rsid w:val="005504D6"/>
  </w:style>
  <w:style w:type="character" w:customStyle="1" w:styleId="E-mailSignatureChar">
    <w:name w:val="E-mail Signature Char"/>
    <w:basedOn w:val="DefaultParagraphFont"/>
    <w:link w:val="E-mailSignature"/>
    <w:uiPriority w:val="98"/>
    <w:semiHidden/>
    <w:rsid w:val="005504D6"/>
    <w:rPr>
      <w:sz w:val="24"/>
      <w:szCs w:val="24"/>
      <w:lang w:val="en-GB"/>
    </w:rPr>
  </w:style>
  <w:style w:type="character" w:styleId="EndnoteReference">
    <w:name w:val="endnote reference"/>
    <w:basedOn w:val="DefaultParagraphFont"/>
    <w:uiPriority w:val="98"/>
    <w:semiHidden/>
    <w:rsid w:val="005504D6"/>
    <w:rPr>
      <w:vertAlign w:val="superscript"/>
    </w:rPr>
  </w:style>
  <w:style w:type="paragraph" w:styleId="EndnoteText">
    <w:name w:val="endnote text"/>
    <w:basedOn w:val="Normal"/>
    <w:link w:val="EndnoteTextChar"/>
    <w:uiPriority w:val="98"/>
    <w:semiHidden/>
    <w:rsid w:val="005504D6"/>
    <w:rPr>
      <w:sz w:val="20"/>
      <w:szCs w:val="20"/>
    </w:rPr>
  </w:style>
  <w:style w:type="character" w:customStyle="1" w:styleId="EndnoteTextChar">
    <w:name w:val="Endnote Text Char"/>
    <w:basedOn w:val="DefaultParagraphFont"/>
    <w:link w:val="EndnoteText"/>
    <w:uiPriority w:val="98"/>
    <w:semiHidden/>
    <w:rsid w:val="005504D6"/>
    <w:rPr>
      <w:sz w:val="20"/>
      <w:szCs w:val="20"/>
      <w:lang w:val="en-GB"/>
    </w:rPr>
  </w:style>
  <w:style w:type="paragraph" w:styleId="EnvelopeAddress">
    <w:name w:val="envelope address"/>
    <w:basedOn w:val="Normal"/>
    <w:uiPriority w:val="98"/>
    <w:semiHidden/>
    <w:rsid w:val="005504D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504D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504D6"/>
    <w:rPr>
      <w:color w:val="7030A0" w:themeColor="followedHyperlink"/>
      <w:u w:val="single"/>
    </w:rPr>
  </w:style>
  <w:style w:type="character" w:styleId="HTMLAcronym">
    <w:name w:val="HTML Acronym"/>
    <w:basedOn w:val="DefaultParagraphFont"/>
    <w:uiPriority w:val="98"/>
    <w:semiHidden/>
    <w:rsid w:val="005504D6"/>
  </w:style>
  <w:style w:type="paragraph" w:styleId="HTMLAddress">
    <w:name w:val="HTML Address"/>
    <w:basedOn w:val="Normal"/>
    <w:link w:val="HTMLAddressChar"/>
    <w:uiPriority w:val="98"/>
    <w:semiHidden/>
    <w:rsid w:val="005504D6"/>
    <w:rPr>
      <w:i/>
      <w:iCs/>
    </w:rPr>
  </w:style>
  <w:style w:type="character" w:customStyle="1" w:styleId="HTMLAddressChar">
    <w:name w:val="HTML Address Char"/>
    <w:basedOn w:val="DefaultParagraphFont"/>
    <w:link w:val="HTMLAddress"/>
    <w:uiPriority w:val="98"/>
    <w:semiHidden/>
    <w:rsid w:val="005504D6"/>
    <w:rPr>
      <w:i/>
      <w:iCs/>
      <w:sz w:val="24"/>
      <w:szCs w:val="24"/>
      <w:lang w:val="en-GB"/>
    </w:rPr>
  </w:style>
  <w:style w:type="character" w:styleId="HTMLCite">
    <w:name w:val="HTML Cite"/>
    <w:basedOn w:val="DefaultParagraphFont"/>
    <w:uiPriority w:val="98"/>
    <w:semiHidden/>
    <w:rsid w:val="005504D6"/>
    <w:rPr>
      <w:i/>
      <w:iCs/>
    </w:rPr>
  </w:style>
  <w:style w:type="character" w:styleId="HTMLCode">
    <w:name w:val="HTML Code"/>
    <w:basedOn w:val="DefaultParagraphFont"/>
    <w:uiPriority w:val="98"/>
    <w:semiHidden/>
    <w:rsid w:val="005504D6"/>
    <w:rPr>
      <w:rFonts w:ascii="Consolas" w:hAnsi="Consolas" w:cs="Consolas"/>
      <w:sz w:val="20"/>
      <w:szCs w:val="20"/>
    </w:rPr>
  </w:style>
  <w:style w:type="character" w:styleId="HTMLDefinition">
    <w:name w:val="HTML Definition"/>
    <w:basedOn w:val="DefaultParagraphFont"/>
    <w:uiPriority w:val="98"/>
    <w:semiHidden/>
    <w:rsid w:val="005504D6"/>
    <w:rPr>
      <w:i/>
      <w:iCs/>
    </w:rPr>
  </w:style>
  <w:style w:type="character" w:styleId="HTMLKeyboard">
    <w:name w:val="HTML Keyboard"/>
    <w:basedOn w:val="DefaultParagraphFont"/>
    <w:uiPriority w:val="98"/>
    <w:semiHidden/>
    <w:rsid w:val="005504D6"/>
    <w:rPr>
      <w:rFonts w:ascii="Consolas" w:hAnsi="Consolas" w:cs="Consolas"/>
      <w:sz w:val="20"/>
      <w:szCs w:val="20"/>
    </w:rPr>
  </w:style>
  <w:style w:type="paragraph" w:styleId="HTMLPreformatted">
    <w:name w:val="HTML Preformatted"/>
    <w:basedOn w:val="Normal"/>
    <w:link w:val="HTMLPreformattedChar"/>
    <w:uiPriority w:val="98"/>
    <w:semiHidden/>
    <w:rsid w:val="005504D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504D6"/>
    <w:rPr>
      <w:rFonts w:ascii="Consolas" w:hAnsi="Consolas" w:cs="Consolas"/>
      <w:sz w:val="20"/>
      <w:szCs w:val="20"/>
      <w:lang w:val="en-GB"/>
    </w:rPr>
  </w:style>
  <w:style w:type="character" w:styleId="HTMLSample">
    <w:name w:val="HTML Sample"/>
    <w:basedOn w:val="DefaultParagraphFont"/>
    <w:uiPriority w:val="98"/>
    <w:semiHidden/>
    <w:rsid w:val="005504D6"/>
    <w:rPr>
      <w:rFonts w:ascii="Consolas" w:hAnsi="Consolas" w:cs="Consolas"/>
      <w:sz w:val="24"/>
      <w:szCs w:val="24"/>
    </w:rPr>
  </w:style>
  <w:style w:type="character" w:styleId="HTMLTypewriter">
    <w:name w:val="HTML Typewriter"/>
    <w:basedOn w:val="DefaultParagraphFont"/>
    <w:uiPriority w:val="98"/>
    <w:semiHidden/>
    <w:rsid w:val="005504D6"/>
    <w:rPr>
      <w:rFonts w:ascii="Consolas" w:hAnsi="Consolas" w:cs="Consolas"/>
      <w:sz w:val="20"/>
      <w:szCs w:val="20"/>
    </w:rPr>
  </w:style>
  <w:style w:type="character" w:styleId="HTMLVariable">
    <w:name w:val="HTML Variable"/>
    <w:basedOn w:val="DefaultParagraphFont"/>
    <w:uiPriority w:val="98"/>
    <w:semiHidden/>
    <w:rsid w:val="005504D6"/>
    <w:rPr>
      <w:i/>
      <w:iCs/>
    </w:rPr>
  </w:style>
  <w:style w:type="paragraph" w:styleId="Index1">
    <w:name w:val="index 1"/>
    <w:basedOn w:val="Normal"/>
    <w:next w:val="Normal"/>
    <w:autoRedefine/>
    <w:uiPriority w:val="98"/>
    <w:semiHidden/>
    <w:rsid w:val="005504D6"/>
    <w:pPr>
      <w:ind w:left="240" w:hanging="240"/>
    </w:pPr>
  </w:style>
  <w:style w:type="paragraph" w:styleId="Index2">
    <w:name w:val="index 2"/>
    <w:basedOn w:val="Normal"/>
    <w:next w:val="Normal"/>
    <w:autoRedefine/>
    <w:uiPriority w:val="98"/>
    <w:semiHidden/>
    <w:rsid w:val="005504D6"/>
    <w:pPr>
      <w:ind w:left="480" w:hanging="240"/>
    </w:pPr>
  </w:style>
  <w:style w:type="paragraph" w:styleId="Index3">
    <w:name w:val="index 3"/>
    <w:basedOn w:val="Normal"/>
    <w:next w:val="Normal"/>
    <w:autoRedefine/>
    <w:uiPriority w:val="98"/>
    <w:semiHidden/>
    <w:rsid w:val="005504D6"/>
    <w:pPr>
      <w:ind w:left="720" w:hanging="240"/>
    </w:pPr>
  </w:style>
  <w:style w:type="paragraph" w:styleId="Index4">
    <w:name w:val="index 4"/>
    <w:basedOn w:val="Normal"/>
    <w:next w:val="Normal"/>
    <w:autoRedefine/>
    <w:uiPriority w:val="98"/>
    <w:semiHidden/>
    <w:rsid w:val="005504D6"/>
    <w:pPr>
      <w:ind w:left="960" w:hanging="240"/>
    </w:pPr>
  </w:style>
  <w:style w:type="paragraph" w:styleId="Index5">
    <w:name w:val="index 5"/>
    <w:basedOn w:val="Normal"/>
    <w:next w:val="Normal"/>
    <w:autoRedefine/>
    <w:uiPriority w:val="98"/>
    <w:semiHidden/>
    <w:rsid w:val="005504D6"/>
    <w:pPr>
      <w:ind w:left="1200" w:hanging="240"/>
    </w:pPr>
  </w:style>
  <w:style w:type="paragraph" w:styleId="Index6">
    <w:name w:val="index 6"/>
    <w:basedOn w:val="Normal"/>
    <w:next w:val="Normal"/>
    <w:autoRedefine/>
    <w:uiPriority w:val="98"/>
    <w:semiHidden/>
    <w:rsid w:val="005504D6"/>
    <w:pPr>
      <w:ind w:left="1440" w:hanging="240"/>
    </w:pPr>
  </w:style>
  <w:style w:type="paragraph" w:styleId="Index7">
    <w:name w:val="index 7"/>
    <w:basedOn w:val="Normal"/>
    <w:next w:val="Normal"/>
    <w:autoRedefine/>
    <w:uiPriority w:val="98"/>
    <w:semiHidden/>
    <w:rsid w:val="005504D6"/>
    <w:pPr>
      <w:ind w:left="1680" w:hanging="240"/>
    </w:pPr>
  </w:style>
  <w:style w:type="paragraph" w:styleId="Index8">
    <w:name w:val="index 8"/>
    <w:basedOn w:val="Normal"/>
    <w:next w:val="Normal"/>
    <w:autoRedefine/>
    <w:uiPriority w:val="98"/>
    <w:semiHidden/>
    <w:rsid w:val="005504D6"/>
    <w:pPr>
      <w:ind w:left="1920" w:hanging="240"/>
    </w:pPr>
  </w:style>
  <w:style w:type="paragraph" w:styleId="Index9">
    <w:name w:val="index 9"/>
    <w:basedOn w:val="Normal"/>
    <w:next w:val="Normal"/>
    <w:autoRedefine/>
    <w:uiPriority w:val="98"/>
    <w:semiHidden/>
    <w:rsid w:val="005504D6"/>
    <w:pPr>
      <w:ind w:left="2160" w:hanging="240"/>
    </w:pPr>
  </w:style>
  <w:style w:type="paragraph" w:styleId="IndexHeading">
    <w:name w:val="index heading"/>
    <w:basedOn w:val="Normal"/>
    <w:next w:val="Index1"/>
    <w:uiPriority w:val="98"/>
    <w:semiHidden/>
    <w:rsid w:val="005504D6"/>
    <w:rPr>
      <w:rFonts w:asciiTheme="majorHAnsi" w:eastAsiaTheme="majorEastAsia" w:hAnsiTheme="majorHAnsi" w:cstheme="majorBidi"/>
      <w:b/>
      <w:bCs/>
    </w:rPr>
  </w:style>
  <w:style w:type="table" w:styleId="LightGrid">
    <w:name w:val="Light Grid"/>
    <w:basedOn w:val="TableNormal"/>
    <w:uiPriority w:val="62"/>
    <w:semiHidden/>
    <w:rsid w:val="005504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504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504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504D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504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504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504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504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504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504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504D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504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504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504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504D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504D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504D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504D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504D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504D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504D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504D6"/>
  </w:style>
  <w:style w:type="paragraph" w:styleId="List">
    <w:name w:val="List"/>
    <w:basedOn w:val="Normal"/>
    <w:uiPriority w:val="98"/>
    <w:semiHidden/>
    <w:rsid w:val="005504D6"/>
    <w:pPr>
      <w:ind w:left="283" w:hanging="283"/>
      <w:contextualSpacing/>
    </w:pPr>
  </w:style>
  <w:style w:type="paragraph" w:styleId="List20">
    <w:name w:val="List 2"/>
    <w:basedOn w:val="Normal"/>
    <w:uiPriority w:val="98"/>
    <w:semiHidden/>
    <w:rsid w:val="005504D6"/>
    <w:pPr>
      <w:ind w:left="566" w:hanging="283"/>
      <w:contextualSpacing/>
    </w:pPr>
  </w:style>
  <w:style w:type="paragraph" w:styleId="List30">
    <w:name w:val="List 3"/>
    <w:basedOn w:val="Normal"/>
    <w:uiPriority w:val="98"/>
    <w:semiHidden/>
    <w:rsid w:val="005504D6"/>
    <w:pPr>
      <w:ind w:left="849" w:hanging="283"/>
      <w:contextualSpacing/>
    </w:pPr>
  </w:style>
  <w:style w:type="paragraph" w:styleId="List4">
    <w:name w:val="List 4"/>
    <w:basedOn w:val="Normal"/>
    <w:uiPriority w:val="98"/>
    <w:semiHidden/>
    <w:rsid w:val="005504D6"/>
    <w:pPr>
      <w:ind w:left="1132" w:hanging="283"/>
      <w:contextualSpacing/>
    </w:pPr>
  </w:style>
  <w:style w:type="paragraph" w:styleId="List5">
    <w:name w:val="List 5"/>
    <w:basedOn w:val="Normal"/>
    <w:uiPriority w:val="98"/>
    <w:semiHidden/>
    <w:rsid w:val="005504D6"/>
    <w:pPr>
      <w:ind w:left="1415" w:hanging="283"/>
      <w:contextualSpacing/>
    </w:pPr>
  </w:style>
  <w:style w:type="paragraph" w:styleId="ListBullet2">
    <w:name w:val="List Bullet 2"/>
    <w:basedOn w:val="Normal"/>
    <w:uiPriority w:val="98"/>
    <w:semiHidden/>
    <w:rsid w:val="005504D6"/>
    <w:pPr>
      <w:numPr>
        <w:numId w:val="9"/>
      </w:numPr>
      <w:contextualSpacing/>
    </w:pPr>
  </w:style>
  <w:style w:type="paragraph" w:styleId="ListBullet4">
    <w:name w:val="List Bullet 4"/>
    <w:basedOn w:val="Normal"/>
    <w:uiPriority w:val="98"/>
    <w:semiHidden/>
    <w:rsid w:val="005504D6"/>
    <w:pPr>
      <w:numPr>
        <w:numId w:val="11"/>
      </w:numPr>
      <w:contextualSpacing/>
    </w:pPr>
  </w:style>
  <w:style w:type="paragraph" w:styleId="ListBullet5">
    <w:name w:val="List Bullet 5"/>
    <w:basedOn w:val="Normal"/>
    <w:uiPriority w:val="98"/>
    <w:semiHidden/>
    <w:rsid w:val="005504D6"/>
    <w:pPr>
      <w:numPr>
        <w:numId w:val="12"/>
      </w:numPr>
      <w:contextualSpacing/>
    </w:pPr>
  </w:style>
  <w:style w:type="paragraph" w:styleId="ListContinue">
    <w:name w:val="List Continue"/>
    <w:basedOn w:val="Normal"/>
    <w:uiPriority w:val="98"/>
    <w:semiHidden/>
    <w:rsid w:val="005504D6"/>
    <w:pPr>
      <w:spacing w:after="120"/>
      <w:ind w:left="283"/>
      <w:contextualSpacing/>
    </w:pPr>
  </w:style>
  <w:style w:type="paragraph" w:styleId="ListContinue2">
    <w:name w:val="List Continue 2"/>
    <w:basedOn w:val="Normal"/>
    <w:uiPriority w:val="98"/>
    <w:semiHidden/>
    <w:rsid w:val="005504D6"/>
    <w:pPr>
      <w:spacing w:after="120"/>
      <w:ind w:left="566"/>
      <w:contextualSpacing/>
    </w:pPr>
  </w:style>
  <w:style w:type="paragraph" w:styleId="ListContinue3">
    <w:name w:val="List Continue 3"/>
    <w:basedOn w:val="Normal"/>
    <w:uiPriority w:val="98"/>
    <w:semiHidden/>
    <w:rsid w:val="005504D6"/>
    <w:pPr>
      <w:spacing w:after="120"/>
      <w:ind w:left="849"/>
      <w:contextualSpacing/>
    </w:pPr>
  </w:style>
  <w:style w:type="paragraph" w:styleId="ListContinue4">
    <w:name w:val="List Continue 4"/>
    <w:basedOn w:val="Normal"/>
    <w:uiPriority w:val="98"/>
    <w:semiHidden/>
    <w:rsid w:val="005504D6"/>
    <w:pPr>
      <w:spacing w:after="120"/>
      <w:ind w:left="1132"/>
      <w:contextualSpacing/>
    </w:pPr>
  </w:style>
  <w:style w:type="paragraph" w:styleId="ListContinue5">
    <w:name w:val="List Continue 5"/>
    <w:basedOn w:val="Normal"/>
    <w:uiPriority w:val="98"/>
    <w:semiHidden/>
    <w:rsid w:val="005504D6"/>
    <w:pPr>
      <w:spacing w:after="120"/>
      <w:ind w:left="1415"/>
      <w:contextualSpacing/>
    </w:pPr>
  </w:style>
  <w:style w:type="paragraph" w:styleId="ListNumber">
    <w:name w:val="List Number"/>
    <w:basedOn w:val="Normal"/>
    <w:uiPriority w:val="98"/>
    <w:semiHidden/>
    <w:rsid w:val="005504D6"/>
    <w:pPr>
      <w:numPr>
        <w:numId w:val="13"/>
      </w:numPr>
      <w:contextualSpacing/>
    </w:pPr>
  </w:style>
  <w:style w:type="paragraph" w:styleId="ListNumber2">
    <w:name w:val="List Number 2"/>
    <w:basedOn w:val="Normal"/>
    <w:uiPriority w:val="98"/>
    <w:semiHidden/>
    <w:rsid w:val="005504D6"/>
    <w:pPr>
      <w:numPr>
        <w:numId w:val="14"/>
      </w:numPr>
      <w:contextualSpacing/>
    </w:pPr>
  </w:style>
  <w:style w:type="paragraph" w:styleId="ListNumber3">
    <w:name w:val="List Number 3"/>
    <w:basedOn w:val="Normal"/>
    <w:uiPriority w:val="98"/>
    <w:semiHidden/>
    <w:rsid w:val="005504D6"/>
    <w:pPr>
      <w:numPr>
        <w:numId w:val="15"/>
      </w:numPr>
      <w:contextualSpacing/>
    </w:pPr>
  </w:style>
  <w:style w:type="paragraph" w:styleId="ListNumber4">
    <w:name w:val="List Number 4"/>
    <w:basedOn w:val="Normal"/>
    <w:uiPriority w:val="98"/>
    <w:semiHidden/>
    <w:rsid w:val="005504D6"/>
    <w:pPr>
      <w:numPr>
        <w:numId w:val="16"/>
      </w:numPr>
      <w:contextualSpacing/>
    </w:pPr>
  </w:style>
  <w:style w:type="paragraph" w:styleId="ListNumber5">
    <w:name w:val="List Number 5"/>
    <w:basedOn w:val="Normal"/>
    <w:uiPriority w:val="98"/>
    <w:semiHidden/>
    <w:rsid w:val="005504D6"/>
    <w:pPr>
      <w:numPr>
        <w:numId w:val="17"/>
      </w:numPr>
      <w:contextualSpacing/>
    </w:pPr>
  </w:style>
  <w:style w:type="paragraph" w:styleId="Macro">
    <w:name w:val="macro"/>
    <w:link w:val="MacroTextChar"/>
    <w:uiPriority w:val="98"/>
    <w:semiHidden/>
    <w:rsid w:val="005504D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504D6"/>
    <w:rPr>
      <w:rFonts w:ascii="Consolas" w:hAnsi="Consolas" w:eastAsiaTheme="minorEastAsia" w:cs="Consolas"/>
      <w:sz w:val="20"/>
      <w:szCs w:val="20"/>
    </w:rPr>
  </w:style>
  <w:style w:type="table" w:styleId="MediumGrid1">
    <w:name w:val="Medium Grid 1"/>
    <w:basedOn w:val="TableNormal"/>
    <w:uiPriority w:val="67"/>
    <w:semiHidden/>
    <w:rsid w:val="005504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504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504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504D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504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504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504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504D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504D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504D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504D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504D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504D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504D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504D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504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504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504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504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504D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504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504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504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504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504D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504D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504D6"/>
    <w:rPr>
      <w:rFonts w:ascii="Times New Roman" w:hAnsi="Times New Roman" w:cs="Times New Roman"/>
    </w:rPr>
  </w:style>
  <w:style w:type="paragraph" w:styleId="NormalIndent">
    <w:name w:val="Normal Indent"/>
    <w:basedOn w:val="Normal"/>
    <w:uiPriority w:val="98"/>
    <w:semiHidden/>
    <w:rsid w:val="005504D6"/>
    <w:pPr>
      <w:ind w:left="720"/>
    </w:pPr>
  </w:style>
  <w:style w:type="paragraph" w:styleId="NoteHeading">
    <w:name w:val="Note Heading"/>
    <w:basedOn w:val="Normal"/>
    <w:next w:val="Normal"/>
    <w:link w:val="NoteHeadingChar"/>
    <w:uiPriority w:val="98"/>
    <w:semiHidden/>
    <w:rsid w:val="005504D6"/>
  </w:style>
  <w:style w:type="character" w:customStyle="1" w:styleId="NoteHeadingChar">
    <w:name w:val="Note Heading Char"/>
    <w:basedOn w:val="DefaultParagraphFont"/>
    <w:link w:val="NoteHeading"/>
    <w:uiPriority w:val="98"/>
    <w:semiHidden/>
    <w:rsid w:val="005504D6"/>
    <w:rPr>
      <w:sz w:val="24"/>
      <w:szCs w:val="24"/>
      <w:lang w:val="en-GB"/>
    </w:rPr>
  </w:style>
  <w:style w:type="character" w:styleId="PlaceholderText">
    <w:name w:val="Placeholder Text"/>
    <w:basedOn w:val="DefaultParagraphFont"/>
    <w:uiPriority w:val="98"/>
    <w:semiHidden/>
    <w:rsid w:val="005504D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504D6"/>
    <w:rPr>
      <w:rFonts w:ascii="Consolas" w:hAnsi="Consolas" w:cs="Consolas"/>
      <w:sz w:val="21"/>
      <w:szCs w:val="21"/>
    </w:rPr>
  </w:style>
  <w:style w:type="character" w:customStyle="1" w:styleId="PlainTextChar">
    <w:name w:val="Plain Text Char"/>
    <w:basedOn w:val="DefaultParagraphFont"/>
    <w:link w:val="PlainText"/>
    <w:uiPriority w:val="98"/>
    <w:semiHidden/>
    <w:rsid w:val="005504D6"/>
    <w:rPr>
      <w:rFonts w:ascii="Consolas" w:hAnsi="Consolas" w:cs="Consolas"/>
      <w:sz w:val="21"/>
      <w:szCs w:val="21"/>
      <w:lang w:val="en-GB"/>
    </w:rPr>
  </w:style>
  <w:style w:type="paragraph" w:styleId="Salutation">
    <w:name w:val="Salutation"/>
    <w:basedOn w:val="Normal"/>
    <w:next w:val="Normal"/>
    <w:link w:val="SalutationChar"/>
    <w:uiPriority w:val="98"/>
    <w:semiHidden/>
    <w:rsid w:val="005504D6"/>
  </w:style>
  <w:style w:type="character" w:customStyle="1" w:styleId="SalutationChar">
    <w:name w:val="Salutation Char"/>
    <w:basedOn w:val="DefaultParagraphFont"/>
    <w:link w:val="Salutation"/>
    <w:uiPriority w:val="98"/>
    <w:semiHidden/>
    <w:rsid w:val="005504D6"/>
    <w:rPr>
      <w:sz w:val="24"/>
      <w:szCs w:val="24"/>
      <w:lang w:val="en-GB"/>
    </w:rPr>
  </w:style>
  <w:style w:type="paragraph" w:styleId="Signature0">
    <w:name w:val="Signature"/>
    <w:basedOn w:val="Normal"/>
    <w:link w:val="SignatureChar"/>
    <w:uiPriority w:val="98"/>
    <w:semiHidden/>
    <w:rsid w:val="005504D6"/>
    <w:pPr>
      <w:ind w:left="4252"/>
    </w:pPr>
  </w:style>
  <w:style w:type="character" w:customStyle="1" w:styleId="SignatureChar">
    <w:name w:val="Signature Char"/>
    <w:basedOn w:val="DefaultParagraphFont"/>
    <w:link w:val="Signature0"/>
    <w:uiPriority w:val="98"/>
    <w:semiHidden/>
    <w:rsid w:val="005504D6"/>
    <w:rPr>
      <w:sz w:val="24"/>
      <w:szCs w:val="24"/>
      <w:lang w:val="en-GB"/>
    </w:rPr>
  </w:style>
  <w:style w:type="table" w:styleId="Table3Deffects1">
    <w:name w:val="Table 3D effects 1"/>
    <w:basedOn w:val="TableNormal"/>
    <w:uiPriority w:val="99"/>
    <w:semiHidden/>
    <w:unhideWhenUsed/>
    <w:rsid w:val="005504D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504D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504D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504D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504D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504D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504D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504D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504D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504D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504D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504D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504D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504D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504D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504D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504D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504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504D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504D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504D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504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504D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504D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504D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504D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504D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504D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504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504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504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504D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504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504D6"/>
    <w:pPr>
      <w:ind w:left="240" w:hanging="240"/>
    </w:pPr>
  </w:style>
  <w:style w:type="paragraph" w:styleId="TableofFigures">
    <w:name w:val="table of figures"/>
    <w:basedOn w:val="Normal"/>
    <w:next w:val="Normal"/>
    <w:uiPriority w:val="98"/>
    <w:semiHidden/>
    <w:rsid w:val="005504D6"/>
  </w:style>
  <w:style w:type="table" w:styleId="TableProfessional">
    <w:name w:val="Table Professional"/>
    <w:basedOn w:val="TableNormal"/>
    <w:uiPriority w:val="99"/>
    <w:semiHidden/>
    <w:unhideWhenUsed/>
    <w:rsid w:val="005504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504D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504D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504D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504D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504D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504D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504D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504D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504D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504D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504D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504D6"/>
    <w:pPr>
      <w:spacing w:after="100"/>
      <w:ind w:left="1680"/>
    </w:pPr>
  </w:style>
  <w:style w:type="paragraph" w:styleId="TOC9">
    <w:name w:val="toc 9"/>
    <w:basedOn w:val="Normal"/>
    <w:next w:val="Normal"/>
    <w:autoRedefine/>
    <w:uiPriority w:val="98"/>
    <w:semiHidden/>
    <w:rsid w:val="005504D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504D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504D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504D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504D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504D6"/>
    <w:pPr>
      <w:numPr>
        <w:numId w:val="21"/>
      </w:numPr>
      <w:spacing w:before="60" w:after="60"/>
    </w:pPr>
  </w:style>
  <w:style w:type="paragraph" w:customStyle="1" w:styleId="ECHRBullet2">
    <w:name w:val="ECHR_Bullet_2"/>
    <w:aliases w:val="_Bul_2"/>
    <w:basedOn w:val="ECHRBullet1"/>
    <w:uiPriority w:val="23"/>
    <w:semiHidden/>
    <w:rsid w:val="005504D6"/>
    <w:pPr>
      <w:numPr>
        <w:ilvl w:val="1"/>
      </w:numPr>
    </w:pPr>
  </w:style>
  <w:style w:type="paragraph" w:customStyle="1" w:styleId="ECHRBullet3">
    <w:name w:val="ECHR_Bullet_3"/>
    <w:aliases w:val="_Bul_3"/>
    <w:basedOn w:val="ECHRBullet2"/>
    <w:uiPriority w:val="23"/>
    <w:semiHidden/>
    <w:rsid w:val="005504D6"/>
    <w:pPr>
      <w:numPr>
        <w:ilvl w:val="2"/>
      </w:numPr>
    </w:pPr>
  </w:style>
  <w:style w:type="paragraph" w:customStyle="1" w:styleId="ECHRBullet4">
    <w:name w:val="ECHR_Bullet_4"/>
    <w:aliases w:val="_Bul_4"/>
    <w:basedOn w:val="ECHRBullet3"/>
    <w:uiPriority w:val="23"/>
    <w:semiHidden/>
    <w:rsid w:val="005504D6"/>
    <w:pPr>
      <w:numPr>
        <w:ilvl w:val="3"/>
      </w:numPr>
    </w:pPr>
  </w:style>
  <w:style w:type="paragraph" w:customStyle="1" w:styleId="ECHRConfidential">
    <w:name w:val="ECHR_Confidential"/>
    <w:aliases w:val="_Confidential"/>
    <w:basedOn w:val="Normal"/>
    <w:next w:val="Normal"/>
    <w:uiPriority w:val="42"/>
    <w:semiHidden/>
    <w:qFormat/>
    <w:rsid w:val="005504D6"/>
    <w:pPr>
      <w:jc w:val="right"/>
    </w:pPr>
    <w:rPr>
      <w:color w:val="C00000"/>
      <w:sz w:val="20"/>
    </w:rPr>
  </w:style>
  <w:style w:type="paragraph" w:customStyle="1" w:styleId="ECHRDecisionBody">
    <w:name w:val="ECHR_Decision_Body"/>
    <w:aliases w:val="_Decision_Body"/>
    <w:basedOn w:val="NormalJustified"/>
    <w:uiPriority w:val="54"/>
    <w:semiHidden/>
    <w:rsid w:val="005504D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504D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504D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504D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504D6"/>
    <w:pPr>
      <w:jc w:val="right"/>
    </w:pPr>
    <w:rPr>
      <w:sz w:val="20"/>
    </w:rPr>
  </w:style>
  <w:style w:type="paragraph" w:customStyle="1" w:styleId="ECHRHeaderRefIt">
    <w:name w:val="ECHR_Header_Ref_It"/>
    <w:aliases w:val="_Ref_Ital"/>
    <w:basedOn w:val="Normal"/>
    <w:next w:val="ECHRHeaderDate"/>
    <w:uiPriority w:val="43"/>
    <w:qFormat/>
    <w:rsid w:val="005504D6"/>
    <w:pPr>
      <w:jc w:val="right"/>
    </w:pPr>
    <w:rPr>
      <w:i/>
      <w:sz w:val="20"/>
    </w:rPr>
  </w:style>
  <w:style w:type="paragraph" w:customStyle="1" w:styleId="ECHRHeading9">
    <w:name w:val="ECHR_Heading_9"/>
    <w:aliases w:val="_Head_9"/>
    <w:basedOn w:val="Heading9"/>
    <w:uiPriority w:val="17"/>
    <w:semiHidden/>
    <w:rsid w:val="005504D6"/>
    <w:pPr>
      <w:keepNext/>
      <w:keepLines/>
      <w:numPr>
        <w:ilvl w:val="8"/>
        <w:numId w:val="2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504D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504D6"/>
    <w:pPr>
      <w:numPr>
        <w:numId w:val="22"/>
      </w:numPr>
      <w:spacing w:before="60" w:after="60"/>
    </w:pPr>
  </w:style>
  <w:style w:type="paragraph" w:customStyle="1" w:styleId="ECHRNumberedList2">
    <w:name w:val="ECHR_Numbered_List_2"/>
    <w:aliases w:val="_Num_2"/>
    <w:basedOn w:val="ECHRNumberedList1"/>
    <w:uiPriority w:val="23"/>
    <w:semiHidden/>
    <w:rsid w:val="005504D6"/>
    <w:pPr>
      <w:numPr>
        <w:ilvl w:val="1"/>
      </w:numPr>
    </w:pPr>
  </w:style>
  <w:style w:type="paragraph" w:customStyle="1" w:styleId="ECHRNumberedList3">
    <w:name w:val="ECHR_Numbered_List_3"/>
    <w:aliases w:val="_Num_3"/>
    <w:basedOn w:val="ECHRNumberedList2"/>
    <w:uiPriority w:val="23"/>
    <w:semiHidden/>
    <w:rsid w:val="005504D6"/>
    <w:pPr>
      <w:numPr>
        <w:ilvl w:val="2"/>
      </w:numPr>
    </w:pPr>
  </w:style>
  <w:style w:type="paragraph" w:customStyle="1" w:styleId="ECHRParaHanging">
    <w:name w:val="ECHR_Para_Hanging"/>
    <w:aliases w:val="_Hanging"/>
    <w:basedOn w:val="NormalJustified"/>
    <w:uiPriority w:val="8"/>
    <w:semiHidden/>
    <w:qFormat/>
    <w:rsid w:val="005504D6"/>
    <w:pPr>
      <w:ind w:left="567" w:hanging="567"/>
    </w:pPr>
  </w:style>
  <w:style w:type="paragraph" w:customStyle="1" w:styleId="ECHRParaIndent">
    <w:name w:val="ECHR_Para_Indent"/>
    <w:aliases w:val="_Indent"/>
    <w:basedOn w:val="NormalJustified"/>
    <w:uiPriority w:val="7"/>
    <w:semiHidden/>
    <w:qFormat/>
    <w:rsid w:val="005504D6"/>
    <w:pPr>
      <w:spacing w:before="120" w:after="120"/>
      <w:ind w:left="284"/>
    </w:pPr>
  </w:style>
  <w:style w:type="character" w:customStyle="1" w:styleId="ECHRRed">
    <w:name w:val="ECHR_Red"/>
    <w:aliases w:val="_Red"/>
    <w:basedOn w:val="DefaultParagraphFont"/>
    <w:uiPriority w:val="15"/>
    <w:semiHidden/>
    <w:qFormat/>
    <w:rsid w:val="005504D6"/>
    <w:rPr>
      <w:color w:val="C00000" w:themeColor="accent2"/>
    </w:rPr>
  </w:style>
  <w:style w:type="paragraph" w:customStyle="1" w:styleId="DecList">
    <w:name w:val="Dec_List"/>
    <w:aliases w:val="_List"/>
    <w:basedOn w:val="JuList"/>
    <w:uiPriority w:val="22"/>
    <w:rsid w:val="005504D6"/>
    <w:pPr>
      <w:numPr>
        <w:numId w:val="0"/>
      </w:numPr>
      <w:ind w:left="284"/>
    </w:pPr>
  </w:style>
  <w:style w:type="table" w:customStyle="1" w:styleId="ECHRTable2">
    <w:name w:val="ECHR_Table_2"/>
    <w:basedOn w:val="TableNormal"/>
    <w:uiPriority w:val="99"/>
    <w:rsid w:val="005504D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504D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504D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504D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504D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504D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504D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504D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504D6"/>
    <w:pPr>
      <w:outlineLvl w:val="0"/>
    </w:pPr>
  </w:style>
  <w:style w:type="paragraph" w:customStyle="1" w:styleId="ECHRTitleTOC1">
    <w:name w:val="ECHR_Title_TOC_1"/>
    <w:aliases w:val="_Title_L_TOC"/>
    <w:basedOn w:val="ECHRTitle1"/>
    <w:next w:val="Normal"/>
    <w:uiPriority w:val="27"/>
    <w:semiHidden/>
    <w:qFormat/>
    <w:rsid w:val="005504D6"/>
    <w:pPr>
      <w:outlineLvl w:val="0"/>
    </w:pPr>
  </w:style>
  <w:style w:type="paragraph" w:customStyle="1" w:styleId="ECHRPlaceholder">
    <w:name w:val="ECHR_Placeholder"/>
    <w:aliases w:val="_Placeholder"/>
    <w:basedOn w:val="JuSigned"/>
    <w:uiPriority w:val="31"/>
    <w:rsid w:val="005504D6"/>
    <w:rPr>
      <w:color w:val="FFFFFF"/>
    </w:rPr>
  </w:style>
  <w:style w:type="paragraph" w:customStyle="1" w:styleId="ECHRSpacer">
    <w:name w:val="ECHR_Spacer"/>
    <w:aliases w:val="_Spacer"/>
    <w:basedOn w:val="Normal"/>
    <w:uiPriority w:val="45"/>
    <w:semiHidden/>
    <w:rsid w:val="005504D6"/>
    <w:rPr>
      <w:sz w:val="4"/>
    </w:rPr>
  </w:style>
  <w:style w:type="table" w:customStyle="1" w:styleId="ECHRTableGrey">
    <w:name w:val="ECHR_Table_Grey"/>
    <w:basedOn w:val="TableNormal"/>
    <w:uiPriority w:val="99"/>
    <w:rsid w:val="005504D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5504D6"/>
    <w:rPr>
      <w:color w:val="605E5C"/>
      <w:shd w:val="clear" w:color="auto" w:fill="E1DFDD"/>
    </w:rPr>
  </w:style>
  <w:style w:type="character" w:customStyle="1" w:styleId="JuParaChar">
    <w:name w:val="Ju_Para Char"/>
    <w:aliases w:val="_Para Char"/>
    <w:link w:val="JuPara"/>
    <w:uiPriority w:val="4"/>
    <w:rsid w:val="0083243F"/>
    <w:rPr>
      <w:sz w:val="24"/>
      <w:szCs w:val="24"/>
      <w:lang w:val="en-GB"/>
    </w:rPr>
  </w:style>
  <w:style w:type="table" w:styleId="GridTable1Light">
    <w:name w:val="Grid Table 1 Light"/>
    <w:basedOn w:val="TableNormal"/>
    <w:uiPriority w:val="46"/>
    <w:semiHidden/>
    <w:rsid w:val="0083243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83243F"/>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83243F"/>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3243F"/>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3243F"/>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3243F"/>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3243F"/>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3243F"/>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3243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3243F"/>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3243F"/>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3243F"/>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83243F"/>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3243F"/>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3243F"/>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3243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3243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3243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3243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83243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3243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3243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3243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3243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3243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3243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83243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3243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3243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3243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3243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3243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3243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3243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83243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3243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3243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3243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3243F"/>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3243F"/>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3243F"/>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83243F"/>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3243F"/>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3243F"/>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83243F"/>
    <w:rPr>
      <w:color w:val="2B579A"/>
      <w:shd w:val="clear" w:color="auto" w:fill="E1DFDD"/>
    </w:rPr>
  </w:style>
  <w:style w:type="table" w:styleId="ListTable1Light">
    <w:name w:val="List Table 1 Light"/>
    <w:basedOn w:val="TableNormal"/>
    <w:uiPriority w:val="46"/>
    <w:semiHidden/>
    <w:rsid w:val="0083243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3243F"/>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3243F"/>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3243F"/>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83243F"/>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3243F"/>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3243F"/>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3243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3243F"/>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3243F"/>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3243F"/>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83243F"/>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3243F"/>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3243F"/>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3243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3243F"/>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3243F"/>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3243F"/>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83243F"/>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3243F"/>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3243F"/>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3243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3243F"/>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3243F"/>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3243F"/>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83243F"/>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3243F"/>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3243F"/>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3243F"/>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3243F"/>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3243F"/>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3243F"/>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3243F"/>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3243F"/>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3243F"/>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3243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3243F"/>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3243F"/>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3243F"/>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83243F"/>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3243F"/>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3243F"/>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3243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3243F"/>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3243F"/>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3243F"/>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3243F"/>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3243F"/>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3243F"/>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83243F"/>
    <w:rPr>
      <w:color w:val="2B579A"/>
      <w:shd w:val="clear" w:color="auto" w:fill="E1DFDD"/>
    </w:rPr>
  </w:style>
  <w:style w:type="table" w:styleId="PlainTable1">
    <w:name w:val="Plain Table 1"/>
    <w:basedOn w:val="TableNormal"/>
    <w:uiPriority w:val="41"/>
    <w:semiHidden/>
    <w:rsid w:val="0083243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83243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3243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3243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83243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83243F"/>
    <w:rPr>
      <w:u w:val="dotted"/>
    </w:rPr>
  </w:style>
  <w:style w:type="character" w:styleId="SmartLink">
    <w:name w:val="Smart Link"/>
    <w:basedOn w:val="DefaultParagraphFont"/>
    <w:uiPriority w:val="99"/>
    <w:semiHidden/>
    <w:unhideWhenUsed/>
    <w:rsid w:val="0083243F"/>
    <w:rPr>
      <w:color w:val="0000FF"/>
      <w:u w:val="single"/>
      <w:shd w:val="clear" w:color="auto" w:fill="F3F2F1"/>
    </w:rPr>
  </w:style>
  <w:style w:type="table" w:styleId="GridTableLight">
    <w:name w:val="Grid Table Light"/>
    <w:basedOn w:val="TableNormal"/>
    <w:uiPriority w:val="40"/>
    <w:semiHidden/>
    <w:rsid w:val="008324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83243F"/>
    <w:rPr>
      <w:sz w:val="24"/>
      <w:szCs w:val="24"/>
      <w:lang w:val="en-GB"/>
    </w:rPr>
  </w:style>
  <w:style w:type="paragraph" w:customStyle="1" w:styleId="jupara0">
    <w:name w:val="jupara"/>
    <w:basedOn w:val="Normal"/>
    <w:rsid w:val="004D10D1"/>
    <w:pPr>
      <w:ind w:firstLine="284"/>
      <w:jc w:val="both"/>
    </w:pPr>
    <w:rPr>
      <w:rFonts w:ascii="Times New Roman" w:eastAsia="Times New Roman" w:hAnsi="Times New Roman" w:cs="Times New Roman"/>
      <w:lang w:eastAsia="en-GB"/>
    </w:rPr>
  </w:style>
  <w:style w:type="paragraph" w:customStyle="1" w:styleId="jucase0">
    <w:name w:val="jucase"/>
    <w:basedOn w:val="Normal"/>
    <w:rsid w:val="004D10D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7608</Words>
  <Characters>41844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2024-09-13T11:58:00Z</dcterms:created>
  <dcterms:modified xsi:type="dcterms:W3CDTF">2024-12-20T17:19:00Z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1717990</vt:lpwstr>
  </property>
  <property fmtid="{D5CDD505-2E9C-101B-9397-08002B2CF9AE}" pid="3" name="cstLanguage">
    <vt:i4>2057</vt:i4>
  </property>
  <property fmtid="{D5CDD505-2E9C-101B-9397-08002B2CF9AE}" pid="4" name="RegisteredNo">
    <vt:lpwstr>16678/22</vt:lpwstr>
  </property>
</Properties>
</file>