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6A3D71" w:rsidR="0098410D" w:rsidP="006A3D71" w14:paraId="0DF7BC67" w14:textId="653AB463">
      <w:pPr>
        <w:pStyle w:val="DecHTitle"/>
      </w:pPr>
      <w:r w:rsidRPr="006A3D71">
        <w:t>FOURTH SECTION</w:t>
      </w:r>
    </w:p>
    <w:p w:rsidRPr="006A3D71" w:rsidR="008E6217" w:rsidP="00FB59C5" w14:paraId="7403617B" w14:textId="30491F53">
      <w:pPr>
        <w:pStyle w:val="JuTitle"/>
        <w:spacing w:before="720"/>
      </w:pPr>
      <w:r w:rsidRPr="006A3D71">
        <w:rPr>
          <w:color w:val="000000" w:themeColor="text1"/>
        </w:rPr>
        <w:t xml:space="preserve">CASE OF </w:t>
      </w:r>
      <w:r w:rsidRPr="006A3D71" w:rsidR="002B74EC">
        <w:t>YAYLALI v. SERBIA</w:t>
      </w:r>
    </w:p>
    <w:p w:rsidRPr="006A3D71" w:rsidR="00D74888" w:rsidP="006A3D71" w14:paraId="40BF9003" w14:textId="4E636D5B">
      <w:pPr>
        <w:pStyle w:val="ECHRCoverTitle4"/>
      </w:pPr>
      <w:r w:rsidRPr="006A3D71">
        <w:t>(</w:t>
      </w:r>
      <w:r w:rsidRPr="006A3D71" w:rsidR="002B74EC">
        <w:t>Application no.</w:t>
      </w:r>
      <w:r w:rsidRPr="006A3D71">
        <w:t xml:space="preserve"> </w:t>
      </w:r>
      <w:r w:rsidRPr="006A3D71" w:rsidR="002B74EC">
        <w:t>15887/15</w:t>
      </w:r>
      <w:r w:rsidRPr="006A3D71">
        <w:t>)</w:t>
      </w:r>
    </w:p>
    <w:p w:rsidRPr="006A3D71" w:rsidR="0098410D" w:rsidP="006A3D71" w14:paraId="1004A553" w14:textId="77777777">
      <w:pPr>
        <w:pStyle w:val="DecHCase"/>
      </w:pPr>
    </w:p>
    <w:p w:rsidRPr="006A3D71" w:rsidR="0098410D" w:rsidP="00FB59C5" w14:paraId="326B52F6" w14:textId="77777777">
      <w:pPr>
        <w:pStyle w:val="DecHCase"/>
        <w:spacing w:after="120"/>
      </w:pPr>
    </w:p>
    <w:p w:rsidRPr="006A3D71" w:rsidR="0098410D" w:rsidP="00FB59C5" w14:paraId="5A5A6854" w14:textId="2E2A3339">
      <w:pPr>
        <w:pStyle w:val="DecHCase"/>
        <w:spacing w:after="120"/>
      </w:pPr>
      <w:r w:rsidRPr="006A3D71">
        <w:t>JUDGMENT</w:t>
      </w:r>
    </w:p>
    <w:p w:rsidRPr="006A3D71" w:rsidR="00113F05" w:rsidP="006A3D71" w14:paraId="4A11BE78" w14:textId="77777777">
      <w:pPr>
        <w:pStyle w:val="JuPara"/>
      </w:pPr>
    </w:p>
    <w:p w:rsidRPr="006A3D71" w:rsidR="00113F05" w:rsidP="006A3D71" w14:paraId="0F340FE6" w14:textId="3FF19672">
      <w:pPr>
        <w:pBdr>
          <w:top w:val="single" w:color="auto" w:sz="4" w:space="1"/>
          <w:left w:val="single" w:color="auto" w:sz="4" w:space="4"/>
          <w:bottom w:val="single" w:color="auto" w:sz="4" w:space="1"/>
          <w:right w:val="single" w:color="auto" w:sz="4" w:space="4"/>
        </w:pBdr>
        <w:jc w:val="both"/>
      </w:pPr>
      <w:r w:rsidRPr="006A3D71">
        <w:t>Art 34 • Victim • Confiscation of lawfully acquired jewellery belonging to the applicant</w:t>
      </w:r>
      <w:r w:rsidRPr="006A3D71" w:rsidR="006A3D71">
        <w:t>’</w:t>
      </w:r>
      <w:r w:rsidRPr="006A3D71">
        <w:t>s wife and imposition of a fine following his failure to declare it to customs authorities while transiting through Serbia • Victim status in case-specific circumstances • Applicant personally affected by harm sustained by confiscation measure • Constitutional Court</w:t>
      </w:r>
      <w:r w:rsidRPr="006A3D71" w:rsidR="006A3D71">
        <w:t>’</w:t>
      </w:r>
      <w:r w:rsidRPr="006A3D71">
        <w:t>s explicit acknowledgment that jewellery was applicant</w:t>
      </w:r>
      <w:r w:rsidRPr="006A3D71" w:rsidR="006A3D71">
        <w:t>’</w:t>
      </w:r>
      <w:r w:rsidRPr="006A3D71">
        <w:t>s “possession”</w:t>
      </w:r>
    </w:p>
    <w:p w:rsidR="00113F05" w:rsidP="006A3D71" w14:paraId="09E41CDD" w14:textId="5B529437">
      <w:pPr>
        <w:pStyle w:val="JuPara"/>
        <w:pBdr>
          <w:top w:val="single" w:color="auto" w:sz="4" w:space="1"/>
          <w:left w:val="single" w:color="auto" w:sz="4" w:space="4"/>
          <w:bottom w:val="single" w:color="auto" w:sz="4" w:space="1"/>
          <w:right w:val="single" w:color="auto" w:sz="4" w:space="4"/>
        </w:pBdr>
        <w:ind w:firstLine="0"/>
      </w:pPr>
      <w:r w:rsidRPr="006A3D71">
        <w:t>Art 1 P1 • Peaceful enjoyment of possessions • Mandatory nature of confiscation left no discretion to the domestic authorities to assess its proportionality and deprived the applicant of any reasonable opportunity to effectively challenge the measures • Individual and excessive burden imposed on applicant</w:t>
      </w:r>
    </w:p>
    <w:p w:rsidR="007323E6" w:rsidP="006A3D71" w14:paraId="1B23B8DD" w14:textId="77777777">
      <w:pPr>
        <w:pStyle w:val="JuPara"/>
        <w:pBdr>
          <w:top w:val="single" w:color="auto" w:sz="4" w:space="1"/>
          <w:left w:val="single" w:color="auto" w:sz="4" w:space="4"/>
          <w:bottom w:val="single" w:color="auto" w:sz="4" w:space="1"/>
          <w:right w:val="single" w:color="auto" w:sz="4" w:space="4"/>
        </w:pBdr>
        <w:ind w:firstLine="0"/>
      </w:pPr>
    </w:p>
    <w:p w:rsidRPr="006A3D71" w:rsidR="007323E6" w:rsidP="007323E6" w14:paraId="3D4294D1" w14:textId="3E53D876">
      <w:pPr>
        <w:pStyle w:val="JuPara"/>
        <w:pBdr>
          <w:top w:val="single" w:color="auto" w:sz="4" w:space="1"/>
          <w:left w:val="single" w:color="auto" w:sz="4" w:space="4"/>
          <w:bottom w:val="single" w:color="auto" w:sz="4" w:space="1"/>
          <w:right w:val="single" w:color="auto" w:sz="4" w:space="4"/>
        </w:pBdr>
        <w:ind w:firstLine="0"/>
        <w:jc w:val="center"/>
      </w:pPr>
      <w:bookmarkStart w:name="_Hlk158113039" w:id="0"/>
      <w:r w:rsidRPr="0029242E">
        <w:rPr>
          <w:sz w:val="20"/>
          <w:szCs w:val="20"/>
        </w:rPr>
        <w:t>Prepared by the Registry. Does not bind the Court.</w:t>
      </w:r>
      <w:bookmarkEnd w:id="0"/>
    </w:p>
    <w:p w:rsidRPr="006A3D71" w:rsidR="00113F05" w:rsidP="00FB59C5" w14:paraId="215D8A7D" w14:textId="77777777">
      <w:pPr>
        <w:pStyle w:val="DecHCase"/>
        <w:spacing w:after="120"/>
      </w:pPr>
    </w:p>
    <w:p w:rsidRPr="006A3D71" w:rsidR="0098410D" w:rsidP="006A3D71" w14:paraId="59614ADC" w14:textId="77777777">
      <w:pPr>
        <w:pStyle w:val="DecHCase"/>
      </w:pPr>
      <w:r w:rsidRPr="006A3D71">
        <w:t>STRASBOURG</w:t>
      </w:r>
    </w:p>
    <w:p w:rsidR="0098410D" w:rsidP="006A3D71" w14:paraId="0481CCCA" w14:textId="6303F02B">
      <w:pPr>
        <w:pStyle w:val="DecHCase"/>
        <w:rPr>
          <w:rFonts w:ascii="Times New Roman" w:hAnsi="Times New Roman" w:cs="Times New Roman"/>
        </w:rPr>
      </w:pPr>
      <w:r w:rsidRPr="006A3D71">
        <w:rPr>
          <w:rFonts w:ascii="Times New Roman" w:hAnsi="Times New Roman" w:cs="Times New Roman"/>
        </w:rPr>
        <w:t>17 September 2024</w:t>
      </w:r>
    </w:p>
    <w:p w:rsidRPr="00FB59C5" w:rsidR="00FB59C5" w:rsidP="00FB59C5" w14:paraId="76CAA624" w14:textId="77777777">
      <w:pPr>
        <w:pStyle w:val="JuPara"/>
      </w:pPr>
    </w:p>
    <w:p w:rsidR="00FB59C5" w:rsidP="00FB59C5" w14:paraId="2D68D8AB" w14:textId="77777777">
      <w:pPr>
        <w:pStyle w:val="jucase0"/>
        <w:ind w:firstLine="0"/>
        <w:jc w:val="center"/>
        <w:rPr>
          <w:color w:val="FF0000"/>
          <w:sz w:val="28"/>
          <w:szCs w:val="28"/>
          <w:u w:val="single"/>
        </w:rPr>
      </w:pPr>
      <w:bookmarkStart w:name="_Hlk59706592" w:id="1"/>
      <w:bookmarkStart w:name="_Hlk59704667" w:id="2"/>
      <w:r w:rsidRPr="00261F46">
        <w:rPr>
          <w:color w:val="FF0000"/>
          <w:sz w:val="28"/>
          <w:szCs w:val="28"/>
          <w:u w:val="single"/>
        </w:rPr>
        <w:t>FINAL</w:t>
      </w:r>
    </w:p>
    <w:p w:rsidRPr="00D04090" w:rsidR="00FB59C5" w:rsidP="00FB59C5" w14:paraId="2A4CE466" w14:textId="77777777">
      <w:pPr>
        <w:pStyle w:val="jucase0"/>
        <w:ind w:firstLine="0"/>
        <w:jc w:val="center"/>
        <w:rPr>
          <w:b w:val="0"/>
          <w:bCs w:val="0"/>
          <w:color w:val="FF0000"/>
          <w:u w:val="single"/>
        </w:rPr>
      </w:pPr>
    </w:p>
    <w:p w:rsidRPr="00502BB5" w:rsidR="00FB59C5" w:rsidP="00FB59C5" w14:paraId="62E2F372" w14:textId="77777777">
      <w:pPr>
        <w:pStyle w:val="jucase0"/>
        <w:ind w:firstLine="0"/>
        <w:jc w:val="center"/>
        <w:rPr>
          <w:b w:val="0"/>
          <w:color w:val="FF0000"/>
          <w:sz w:val="28"/>
          <w:szCs w:val="28"/>
        </w:rPr>
      </w:pPr>
      <w:r>
        <w:rPr>
          <w:b w:val="0"/>
          <w:color w:val="FF0000"/>
          <w:sz w:val="28"/>
          <w:szCs w:val="28"/>
        </w:rPr>
        <w:t>17/12/2024</w:t>
      </w:r>
    </w:p>
    <w:p w:rsidRPr="00261F46" w:rsidR="00FB59C5" w:rsidP="00FB59C5" w14:paraId="37A246D0" w14:textId="77777777">
      <w:pPr>
        <w:pStyle w:val="jupara0"/>
        <w:ind w:firstLine="0"/>
        <w:jc w:val="center"/>
      </w:pPr>
    </w:p>
    <w:p w:rsidR="0098410D" w:rsidP="00FB59C5" w14:paraId="150ADBDA" w14:textId="5754BA79">
      <w:pPr>
        <w:jc w:val="cente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1"/>
      <w:bookmarkEnd w:id="2"/>
    </w:p>
    <w:p w:rsidRPr="006A3D71" w:rsidR="007323E6" w:rsidP="006A3D71" w14:paraId="5C6FBA22" w14:textId="77777777">
      <w:pPr>
        <w:sectPr w:rsidSect="00D66471">
          <w:headerReference w:type="default" r:id="rId6"/>
          <w:footerReference w:type="default" r:id="rId7"/>
          <w:headerReference w:type="first" r:id="rId8"/>
          <w:footerReference w:type="first" r:id="rId9"/>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6A3D71" w:rsidR="0098410D" w:rsidP="006A3D71" w14:paraId="45449A38" w14:textId="52D5ECE5">
      <w:pPr>
        <w:pStyle w:val="JuCase"/>
      </w:pPr>
      <w:r w:rsidRPr="006A3D71">
        <w:t xml:space="preserve">In the case of </w:t>
      </w:r>
      <w:r w:rsidRPr="006A3D71" w:rsidR="002B74EC">
        <w:t>Yaylalı v. Serbia</w:t>
      </w:r>
      <w:r w:rsidRPr="006A3D71">
        <w:t>,</w:t>
      </w:r>
    </w:p>
    <w:p w:rsidRPr="006A3D71" w:rsidR="009F4C8F" w:rsidP="006A3D71" w14:paraId="73DD3773" w14:textId="2EA61507">
      <w:pPr>
        <w:pStyle w:val="JuPara"/>
      </w:pPr>
      <w:r w:rsidRPr="006A3D71">
        <w:t>The European Court of Human Rights (</w:t>
      </w:r>
      <w:r w:rsidRPr="006A3D71" w:rsidR="002B74EC">
        <w:t>Fourth Section</w:t>
      </w:r>
      <w:r w:rsidRPr="006A3D71">
        <w:t xml:space="preserve">), sitting as a </w:t>
      </w:r>
      <w:r w:rsidRPr="006A3D71" w:rsidR="002B74EC">
        <w:t>Chamber</w:t>
      </w:r>
      <w:r w:rsidRPr="006A3D71">
        <w:t xml:space="preserve"> composed of:</w:t>
      </w:r>
    </w:p>
    <w:p w:rsidRPr="006A3D71" w:rsidR="00A92625" w:rsidP="006A3D71" w14:paraId="08A52035" w14:textId="1ACE5414">
      <w:pPr>
        <w:pStyle w:val="JuJudges"/>
      </w:pPr>
      <w:r w:rsidRPr="006A3D71">
        <w:tab/>
        <w:t>Gabriele Kucsko-Stadlmayer</w:t>
      </w:r>
      <w:r w:rsidRPr="006A3D71">
        <w:rPr>
          <w:i/>
        </w:rPr>
        <w:t>, President</w:t>
      </w:r>
      <w:r w:rsidRPr="006A3D71">
        <w:t>,</w:t>
      </w:r>
      <w:r w:rsidRPr="006A3D71">
        <w:br/>
      </w:r>
      <w:r w:rsidRPr="006A3D71">
        <w:tab/>
        <w:t>Branko Lubarda,</w:t>
      </w:r>
      <w:r w:rsidRPr="006A3D71">
        <w:br/>
      </w:r>
      <w:r w:rsidRPr="006A3D71">
        <w:tab/>
        <w:t>Armen Harutyunyan,</w:t>
      </w:r>
      <w:r w:rsidRPr="006A3D71">
        <w:br/>
      </w:r>
      <w:r w:rsidRPr="006A3D71">
        <w:tab/>
        <w:t>Anja Seibert-Fohr,</w:t>
      </w:r>
      <w:r w:rsidRPr="006A3D71">
        <w:br/>
      </w:r>
      <w:r w:rsidRPr="006A3D71">
        <w:tab/>
        <w:t>Ana Maria Guerra Martins,</w:t>
      </w:r>
      <w:r w:rsidRPr="006A3D71">
        <w:br/>
      </w:r>
      <w:r w:rsidRPr="006A3D71">
        <w:tab/>
        <w:t>Anne Louise Bormann,</w:t>
      </w:r>
      <w:r w:rsidRPr="006A3D71">
        <w:br/>
      </w:r>
      <w:r w:rsidRPr="006A3D71">
        <w:tab/>
        <w:t>Sebastian Răduleţu</w:t>
      </w:r>
      <w:r w:rsidRPr="006A3D71">
        <w:rPr>
          <w:i/>
        </w:rPr>
        <w:t>, judges</w:t>
      </w:r>
      <w:r w:rsidRPr="006A3D71">
        <w:t>,</w:t>
      </w:r>
      <w:r w:rsidRPr="006A3D71">
        <w:br/>
      </w:r>
      <w:r w:rsidRPr="006A3D71" w:rsidR="009F4C8F">
        <w:t>and</w:t>
      </w:r>
      <w:r w:rsidRPr="006A3D71" w:rsidR="00FB76F9">
        <w:t xml:space="preserve"> Simeon Petrovski,</w:t>
      </w:r>
      <w:r w:rsidRPr="006A3D71" w:rsidR="00FB76F9">
        <w:rPr>
          <w:i/>
        </w:rPr>
        <w:t xml:space="preserve"> </w:t>
      </w:r>
      <w:r w:rsidRPr="006A3D71" w:rsidR="00FB76F9">
        <w:rPr>
          <w:i/>
          <w:iCs/>
        </w:rPr>
        <w:t>Deputy Section</w:t>
      </w:r>
      <w:r w:rsidRPr="006A3D71" w:rsidR="00FB76F9">
        <w:rPr>
          <w:i/>
        </w:rPr>
        <w:t xml:space="preserve"> </w:t>
      </w:r>
      <w:r w:rsidRPr="006A3D71" w:rsidR="00FB76F9">
        <w:rPr>
          <w:i/>
          <w:iCs/>
        </w:rPr>
        <w:t>Registrar,</w:t>
      </w:r>
    </w:p>
    <w:p w:rsidRPr="006A3D71" w:rsidR="002B74EC" w:rsidP="006A3D71" w14:paraId="41D1343F" w14:textId="77777777">
      <w:pPr>
        <w:pStyle w:val="JuPara"/>
      </w:pPr>
      <w:r w:rsidRPr="006A3D71">
        <w:t>Having regard to:</w:t>
      </w:r>
    </w:p>
    <w:p w:rsidRPr="006A3D71" w:rsidR="002B74EC" w:rsidP="006A3D71" w14:paraId="11CE280F" w14:textId="532E03BA">
      <w:pPr>
        <w:pStyle w:val="JuPara"/>
      </w:pPr>
      <w:r w:rsidRPr="006A3D71">
        <w:t>the application (no. 15887/15) against the Republic of Serbia lodged with the Court under Article 34 of the Convention for the Protection of Human Rights and Fundamental Freedoms (“the Convention”) by a Turkish national,</w:t>
      </w:r>
      <w:r w:rsidRPr="006A3D71" w:rsidR="00A87597">
        <w:t xml:space="preserve"> </w:t>
      </w:r>
      <w:r w:rsidRPr="006A3D71">
        <w:t>Mr Mehmet Alı Yaylalı (“the applicant”), on 25 March 2015;</w:t>
      </w:r>
    </w:p>
    <w:p w:rsidRPr="006A3D71" w:rsidR="002B74EC" w:rsidP="006A3D71" w14:paraId="2CE392C1" w14:textId="77777777">
      <w:pPr>
        <w:pStyle w:val="JuPara"/>
      </w:pPr>
      <w:r w:rsidRPr="006A3D71">
        <w:t>the decision to give notice of the application to the Serbian Government (“the Government”);</w:t>
      </w:r>
    </w:p>
    <w:p w:rsidRPr="006A3D71" w:rsidR="002B74EC" w:rsidP="006A3D71" w14:paraId="3181BEA5" w14:textId="77777777">
      <w:pPr>
        <w:pStyle w:val="JuPara"/>
      </w:pPr>
      <w:r w:rsidRPr="006A3D71">
        <w:rPr>
          <w:lang w:val="en-US"/>
        </w:rPr>
        <w:t xml:space="preserve">the decision to invite the </w:t>
      </w:r>
      <w:r w:rsidRPr="006A3D71">
        <w:t>Turkish Government to inform the Court if they wished to exercise their right to intervene (Article 36 § 1 of the Convention) and their decision not to avail themselves of that right;</w:t>
      </w:r>
    </w:p>
    <w:p w:rsidRPr="006A3D71" w:rsidR="002B74EC" w:rsidP="006A3D71" w14:paraId="597B932F" w14:textId="5D92EE2D">
      <w:pPr>
        <w:pStyle w:val="JuPara"/>
      </w:pPr>
      <w:r w:rsidRPr="006A3D71">
        <w:t>the parties</w:t>
      </w:r>
      <w:r w:rsidRPr="006A3D71" w:rsidR="006A3D71">
        <w:t>’</w:t>
      </w:r>
      <w:r w:rsidRPr="006A3D71">
        <w:t xml:space="preserve"> observations;</w:t>
      </w:r>
    </w:p>
    <w:p w:rsidRPr="006A3D71" w:rsidR="009F4C8F" w:rsidP="006A3D71" w14:paraId="74CA6AB5" w14:textId="6D7AD823">
      <w:pPr>
        <w:pStyle w:val="JuPara"/>
      </w:pPr>
      <w:r w:rsidRPr="006A3D71">
        <w:t xml:space="preserve">Having deliberated in private on </w:t>
      </w:r>
      <w:r w:rsidRPr="006A3D71" w:rsidR="002B74EC">
        <w:t>2</w:t>
      </w:r>
      <w:r w:rsidRPr="006A3D71" w:rsidR="00C35D22">
        <w:t>1 May and 25 June</w:t>
      </w:r>
      <w:r w:rsidRPr="006A3D71" w:rsidR="002B74EC">
        <w:t xml:space="preserve"> 2024</w:t>
      </w:r>
      <w:r w:rsidRPr="006A3D71">
        <w:t>,</w:t>
      </w:r>
    </w:p>
    <w:p w:rsidRPr="006A3D71" w:rsidR="009F4C8F" w:rsidP="006A3D71" w14:paraId="146C8C88" w14:textId="7CD248AC">
      <w:pPr>
        <w:pStyle w:val="JuPara"/>
      </w:pPr>
      <w:r w:rsidRPr="006A3D71">
        <w:t xml:space="preserve">Delivers the following judgment, which was adopted on that </w:t>
      </w:r>
      <w:r w:rsidRPr="006A3D71" w:rsidR="00973494">
        <w:t>last</w:t>
      </w:r>
      <w:r w:rsidRPr="006A3D71" w:rsidR="00113F05">
        <w:noBreakHyphen/>
      </w:r>
      <w:r w:rsidRPr="006A3D71" w:rsidR="00973494">
        <w:t xml:space="preserve">mentioned </w:t>
      </w:r>
      <w:r w:rsidRPr="006A3D71">
        <w:t>date:</w:t>
      </w:r>
    </w:p>
    <w:p w:rsidRPr="006A3D71" w:rsidR="002B74EC" w:rsidP="006A3D71" w14:paraId="2357EABD" w14:textId="77777777">
      <w:pPr>
        <w:pStyle w:val="JuHHead"/>
        <w:numPr>
          <w:ilvl w:val="0"/>
          <w:numId w:val="0"/>
        </w:numPr>
      </w:pPr>
      <w:r w:rsidRPr="006A3D71">
        <w:t>INTRODUCTION</w:t>
      </w:r>
    </w:p>
    <w:p w:rsidRPr="006A3D71" w:rsidR="002B74EC" w:rsidP="006A3D71" w14:paraId="7ED52A60" w14:textId="607E5A75">
      <w:pPr>
        <w:pStyle w:val="JuPara"/>
      </w:pPr>
      <w:r>
        <w:fldChar w:fldCharType="begin"/>
      </w:r>
      <w:r>
        <w:instrText xml:space="preserve"> SEQ level0 \*arabic \* MERGEFORMAT </w:instrText>
      </w:r>
      <w:r>
        <w:fldChar w:fldCharType="separate"/>
      </w:r>
      <w:r w:rsidRPr="006A3D71" w:rsidR="006A3D71">
        <w:rPr>
          <w:noProof/>
        </w:rPr>
        <w:t>1</w:t>
      </w:r>
      <w:r>
        <w:rPr>
          <w:noProof/>
        </w:rPr>
        <w:fldChar w:fldCharType="end"/>
      </w:r>
      <w:r w:rsidRPr="006A3D71">
        <w:t>.  The case concerns the confiscation of personal and lawfully acquired jewellery, following the applicant</w:t>
      </w:r>
      <w:r w:rsidRPr="006A3D71" w:rsidR="006A3D71">
        <w:t>’</w:t>
      </w:r>
      <w:r w:rsidRPr="006A3D71">
        <w:t>s failure to declare it to Serbian customs authorities while transiting though Serbia, in addition to the imposition of a fine, allegedly in breach of his rights under Article 1 of Protocol No. 1 to the</w:t>
      </w:r>
      <w:r w:rsidRPr="006A3D71" w:rsidR="00F01CFF">
        <w:t> </w:t>
      </w:r>
      <w:r w:rsidRPr="006A3D71">
        <w:t>Convention.</w:t>
      </w:r>
    </w:p>
    <w:p w:rsidRPr="006A3D71" w:rsidR="002B74EC" w:rsidP="006A3D71" w14:paraId="52C79D49" w14:textId="77777777">
      <w:pPr>
        <w:pStyle w:val="JuHHead"/>
      </w:pPr>
      <w:r w:rsidRPr="006A3D71">
        <w:t>THE FACTS</w:t>
      </w:r>
    </w:p>
    <w:p w:rsidRPr="006A3D71" w:rsidR="002B74EC" w:rsidP="006A3D71" w14:paraId="4EE9CF76" w14:textId="7FC7211C">
      <w:pPr>
        <w:pStyle w:val="JuPara"/>
      </w:pPr>
      <w:r w:rsidRPr="006A3D71">
        <w:fldChar w:fldCharType="begin"/>
      </w:r>
      <w:r w:rsidRPr="006A3D71">
        <w:instrText xml:space="preserve"> SEQ level0 \*arabic </w:instrText>
      </w:r>
      <w:r w:rsidRPr="006A3D71">
        <w:fldChar w:fldCharType="separate"/>
      </w:r>
      <w:r w:rsidRPr="006A3D71" w:rsidR="006A3D71">
        <w:rPr>
          <w:noProof/>
        </w:rPr>
        <w:t>2</w:t>
      </w:r>
      <w:r w:rsidRPr="006A3D71">
        <w:fldChar w:fldCharType="end"/>
      </w:r>
      <w:r w:rsidRPr="006A3D71">
        <w:t>.  The applicant was born in 1964 and lives in Ede (the Netherlands). He was represented before the Court by Mr S. Mutić, a lawyer practising in Belgrade.</w:t>
      </w:r>
    </w:p>
    <w:p w:rsidRPr="006A3D71" w:rsidR="002B74EC" w:rsidP="006A3D71" w14:paraId="7AC8C8D1" w14:textId="5575C31B">
      <w:pPr>
        <w:pStyle w:val="JuPara"/>
      </w:pPr>
      <w:r>
        <w:fldChar w:fldCharType="begin"/>
      </w:r>
      <w:r>
        <w:instrText xml:space="preserve"> SEQ level0 \*arabic \* MERGEFORMAT </w:instrText>
      </w:r>
      <w:r>
        <w:fldChar w:fldCharType="separate"/>
      </w:r>
      <w:r w:rsidRPr="006A3D71" w:rsidR="006A3D71">
        <w:rPr>
          <w:noProof/>
        </w:rPr>
        <w:t>3</w:t>
      </w:r>
      <w:r w:rsidRPr="006A3D71" w:rsidR="006A3D71">
        <w:rPr>
          <w:noProof/>
        </w:rPr>
        <w:fldChar w:fldCharType="end"/>
      </w:r>
      <w:r w:rsidRPr="006A3D71">
        <w:t xml:space="preserve">.  The Government were represented by </w:t>
      </w:r>
      <w:r w:rsidRPr="006A3D71">
        <w:rPr>
          <w:iCs/>
          <w:lang w:val="en-US"/>
        </w:rPr>
        <w:t xml:space="preserve">their Agents, </w:t>
      </w:r>
      <w:r w:rsidRPr="006A3D71">
        <w:rPr>
          <w:iCs/>
        </w:rPr>
        <w:t xml:space="preserve">Ms V. Rodić </w:t>
      </w:r>
      <w:r w:rsidRPr="006A3D71">
        <w:rPr>
          <w:iCs/>
          <w:lang w:val="en-US"/>
        </w:rPr>
        <w:t>and subsequently Ms N. Plavši</w:t>
      </w:r>
      <w:r w:rsidRPr="006A3D71">
        <w:rPr>
          <w:iCs/>
        </w:rPr>
        <w:t>ć.</w:t>
      </w:r>
    </w:p>
    <w:p w:rsidRPr="006A3D71" w:rsidR="002B74EC" w:rsidP="006A3D71" w14:paraId="03CCE9CC" w14:textId="09A7C905">
      <w:pPr>
        <w:pStyle w:val="JuPara"/>
      </w:pPr>
      <w:r w:rsidRPr="006A3D71">
        <w:fldChar w:fldCharType="begin"/>
      </w:r>
      <w:r w:rsidRPr="006A3D71">
        <w:instrText xml:space="preserve"> SEQ level0 \*arabic </w:instrText>
      </w:r>
      <w:r w:rsidRPr="006A3D71">
        <w:fldChar w:fldCharType="separate"/>
      </w:r>
      <w:r w:rsidRPr="006A3D71" w:rsidR="006A3D71">
        <w:rPr>
          <w:noProof/>
        </w:rPr>
        <w:t>4</w:t>
      </w:r>
      <w:r w:rsidRPr="006A3D71">
        <w:fldChar w:fldCharType="end"/>
      </w:r>
      <w:r w:rsidRPr="006A3D71">
        <w:t>.  The facts of the case may be summarised as follows.</w:t>
      </w:r>
    </w:p>
    <w:bookmarkStart w:name="paragraph00004" w:id="3"/>
    <w:p w:rsidRPr="006A3D71" w:rsidR="002B74EC" w:rsidP="006A3D71" w14:paraId="6731F1ED" w14:textId="2C614298">
      <w:pPr>
        <w:pStyle w:val="JuPara"/>
      </w:pPr>
      <w:r w:rsidRPr="006A3D71">
        <w:fldChar w:fldCharType="begin"/>
      </w:r>
      <w:r w:rsidRPr="006A3D71">
        <w:instrText xml:space="preserve"> SEQ level0 \*arabic </w:instrText>
      </w:r>
      <w:r w:rsidRPr="006A3D71">
        <w:fldChar w:fldCharType="separate"/>
      </w:r>
      <w:r w:rsidRPr="006A3D71" w:rsidR="006A3D71">
        <w:rPr>
          <w:noProof/>
        </w:rPr>
        <w:t>5</w:t>
      </w:r>
      <w:r w:rsidRPr="006A3D71">
        <w:fldChar w:fldCharType="end"/>
      </w:r>
      <w:bookmarkEnd w:id="3"/>
      <w:r w:rsidRPr="006A3D71">
        <w:t xml:space="preserve">.  On 19 June 2013, following passport control by border police, the applicant was stopped </w:t>
      </w:r>
      <w:r w:rsidRPr="006A3D71">
        <w:rPr>
          <w:lang w:val="en-US"/>
        </w:rPr>
        <w:t xml:space="preserve">by customs and police officers </w:t>
      </w:r>
      <w:r w:rsidRPr="006A3D71">
        <w:t>of the respondent State</w:t>
      </w:r>
      <w:r w:rsidRPr="006A3D71" w:rsidR="00A87597">
        <w:t xml:space="preserve"> </w:t>
      </w:r>
      <w:r w:rsidRPr="006A3D71">
        <w:t>while entering Serbia at the Batrovci border crossing with Croatia, on a</w:t>
      </w:r>
      <w:r w:rsidRPr="006A3D71" w:rsidR="00A87597">
        <w:t xml:space="preserve"> </w:t>
      </w:r>
      <w:r w:rsidRPr="006A3D71">
        <w:t>journey from the Netherlands to Türkiye. When asked whether he had anything to declare, the applicant responded that he was carrying 1,500</w:t>
      </w:r>
      <w:r w:rsidRPr="006A3D71" w:rsidR="00F01CFF">
        <w:t> </w:t>
      </w:r>
      <w:r w:rsidRPr="006A3D71">
        <w:t>euros</w:t>
      </w:r>
      <w:r w:rsidRPr="006A3D71" w:rsidR="00F01CFF">
        <w:t> </w:t>
      </w:r>
      <w:r w:rsidRPr="006A3D71">
        <w:t>(EUR) and personal belongings. After customs officers searched</w:t>
      </w:r>
      <w:r w:rsidRPr="006A3D71" w:rsidR="00A87597">
        <w:t xml:space="preserve"> </w:t>
      </w:r>
      <w:r w:rsidRPr="006A3D71">
        <w:t>the car and the luggage, they moved on to a personal search, in the presence of two police officers, during which one of them noticed in the applicant</w:t>
      </w:r>
      <w:r w:rsidRPr="006A3D71" w:rsidR="006A3D71">
        <w:t>’</w:t>
      </w:r>
      <w:r w:rsidRPr="006A3D71">
        <w:t>s belt bag a small white bag containing eight second-hand gold bracelets.</w:t>
      </w:r>
    </w:p>
    <w:bookmarkStart w:name="paragraph00005" w:id="4"/>
    <w:p w:rsidRPr="006A3D71" w:rsidR="002B74EC" w:rsidP="006A3D71" w14:paraId="021B017F" w14:textId="697F4816">
      <w:pPr>
        <w:pStyle w:val="JuPara"/>
      </w:pPr>
      <w:r w:rsidRPr="006A3D71">
        <w:fldChar w:fldCharType="begin"/>
      </w:r>
      <w:r w:rsidRPr="006A3D71">
        <w:instrText xml:space="preserve"> SEQ level0 \*arabic \* MERGEFORMAT </w:instrText>
      </w:r>
      <w:r w:rsidRPr="006A3D71">
        <w:fldChar w:fldCharType="separate"/>
      </w:r>
      <w:r w:rsidRPr="006A3D71" w:rsidR="006A3D71">
        <w:rPr>
          <w:noProof/>
        </w:rPr>
        <w:t>6</w:t>
      </w:r>
      <w:r w:rsidRPr="006A3D71">
        <w:fldChar w:fldCharType="end"/>
      </w:r>
      <w:bookmarkEnd w:id="4"/>
      <w:r w:rsidRPr="006A3D71">
        <w:t>.  On the same day, the customs authorities temporarily seized the bracelets and instituted misdemeanour proceedings (</w:t>
      </w:r>
      <w:r w:rsidRPr="006A3D71">
        <w:rPr>
          <w:i/>
        </w:rPr>
        <w:t>prekršajni postupak</w:t>
      </w:r>
      <w:r w:rsidRPr="006A3D71">
        <w:t>) against the applicant for failing to declare the jewellery, referring to a customs</w:t>
      </w:r>
      <w:r w:rsidRPr="006A3D71" w:rsidR="00A87597">
        <w:t xml:space="preserve"> </w:t>
      </w:r>
      <w:r w:rsidRPr="006A3D71">
        <w:t>misdemeanour defined in Article 292 § 1(2) of the Customs Act (see</w:t>
      </w:r>
      <w:r w:rsidRPr="006A3D71" w:rsidR="00A87597">
        <w:t xml:space="preserve"> </w:t>
      </w:r>
      <w:r w:rsidRPr="006A3D71">
        <w:t xml:space="preserve">paragraph </w:t>
      </w:r>
      <w:r w:rsidRPr="006A3D71">
        <w:fldChar w:fldCharType="begin"/>
      </w:r>
      <w:r w:rsidRPr="006A3D71">
        <w:instrText xml:space="preserve">REF paragraph00019 \h \* CharFormat </w:instrText>
      </w:r>
      <w:r w:rsidRPr="006A3D71">
        <w:fldChar w:fldCharType="separate"/>
      </w:r>
      <w:r w:rsidRPr="006A3D71" w:rsidR="006A3D71">
        <w:t>20</w:t>
      </w:r>
      <w:r w:rsidRPr="006A3D71">
        <w:fldChar w:fldCharType="end"/>
      </w:r>
      <w:r w:rsidRPr="006A3D71">
        <w:t xml:space="preserve"> below). According to the report on the seizure and the value</w:t>
      </w:r>
      <w:r w:rsidRPr="006A3D71" w:rsidR="00A87597">
        <w:t xml:space="preserve"> </w:t>
      </w:r>
      <w:r w:rsidRPr="006A3D71">
        <w:t>assessment by the customs authorities (</w:t>
      </w:r>
      <w:r w:rsidRPr="006A3D71">
        <w:rPr>
          <w:i/>
          <w:iCs/>
        </w:rPr>
        <w:t>potvrda o zadr</w:t>
      </w:r>
      <w:r w:rsidRPr="006A3D71">
        <w:rPr>
          <w:rFonts w:cstheme="minorHAnsi"/>
          <w:i/>
          <w:iCs/>
        </w:rPr>
        <w:t>ž</w:t>
      </w:r>
      <w:r w:rsidRPr="006A3D71">
        <w:rPr>
          <w:i/>
          <w:iCs/>
        </w:rPr>
        <w:t>avanju robe i zapisnik o carinskom utvr</w:t>
      </w:r>
      <w:r w:rsidRPr="006A3D71">
        <w:rPr>
          <w:rFonts w:cstheme="minorHAnsi"/>
          <w:i/>
          <w:iCs/>
        </w:rPr>
        <w:t>đ</w:t>
      </w:r>
      <w:r w:rsidRPr="006A3D71">
        <w:rPr>
          <w:i/>
          <w:iCs/>
        </w:rPr>
        <w:t>ivanju vrednosti robe</w:t>
      </w:r>
      <w:r w:rsidRPr="006A3D71">
        <w:t>), the bracelets weighed 254</w:t>
      </w:r>
      <w:r w:rsidRPr="006A3D71" w:rsidR="00A87597">
        <w:t> </w:t>
      </w:r>
      <w:r w:rsidRPr="006A3D71">
        <w:t>grams and the assessing officer declared the total value of the bracelets to be EUR</w:t>
      </w:r>
      <w:r w:rsidRPr="006A3D71" w:rsidR="00732424">
        <w:t> </w:t>
      </w:r>
      <w:r w:rsidRPr="006A3D71">
        <w:t>7,620 (EUR 30 per gram).</w:t>
      </w:r>
    </w:p>
    <w:bookmarkStart w:name="paragraph00006" w:id="5"/>
    <w:p w:rsidRPr="006A3D71" w:rsidR="002B74EC" w:rsidP="006A3D71" w14:paraId="611503EE" w14:textId="653BBEAD">
      <w:pPr>
        <w:pStyle w:val="JuPara"/>
      </w:pPr>
      <w:r w:rsidRPr="006A3D71">
        <w:fldChar w:fldCharType="begin"/>
      </w:r>
      <w:r w:rsidRPr="006A3D71">
        <w:instrText xml:space="preserve"> SEQ level0 \*arabic \* MERGEFORMAT </w:instrText>
      </w:r>
      <w:r w:rsidRPr="006A3D71">
        <w:fldChar w:fldCharType="separate"/>
      </w:r>
      <w:r w:rsidRPr="006A3D71" w:rsidR="006A3D71">
        <w:rPr>
          <w:noProof/>
        </w:rPr>
        <w:t>7</w:t>
      </w:r>
      <w:r w:rsidRPr="006A3D71">
        <w:fldChar w:fldCharType="end"/>
      </w:r>
      <w:bookmarkEnd w:id="5"/>
      <w:r w:rsidRPr="006A3D71">
        <w:t>.  At a hearing held that day before the Sremska Mitrovica Misdemeanour</w:t>
      </w:r>
      <w:r w:rsidRPr="006A3D71" w:rsidR="00A87597">
        <w:t xml:space="preserve"> </w:t>
      </w:r>
      <w:r w:rsidRPr="006A3D71">
        <w:t>Court (</w:t>
      </w:r>
      <w:r w:rsidRPr="006A3D71">
        <w:rPr>
          <w:i/>
          <w:iCs/>
        </w:rPr>
        <w:t>Šid Unit</w:t>
      </w:r>
      <w:r w:rsidRPr="006A3D71">
        <w:t>), the applicant, in the presence of an interpreter and without legal representation, argued that the gold bracelets belonged to his wife and that he had been carrying them to T</w:t>
      </w:r>
      <w:r w:rsidRPr="006A3D71">
        <w:rPr>
          <w:rFonts w:cstheme="minorHAnsi"/>
        </w:rPr>
        <w:t>ü</w:t>
      </w:r>
      <w:r w:rsidRPr="006A3D71">
        <w:t>rkiye, where they intended to buy a family home in Antalya. He would sell the bracelets if</w:t>
      </w:r>
      <w:r w:rsidRPr="006A3D71" w:rsidR="00A87597">
        <w:t xml:space="preserve"> </w:t>
      </w:r>
      <w:r w:rsidRPr="006A3D71">
        <w:t>they needed extra money for the purchase. He stated that the customs officers had spoken to him in poor Turkish and that he had not been aware that it was necessary to declare gold items to customs when entering Serbia.</w:t>
      </w:r>
    </w:p>
    <w:bookmarkStart w:name="paragraph00007" w:id="6"/>
    <w:p w:rsidRPr="006A3D71" w:rsidR="002B74EC" w:rsidP="006A3D71" w14:paraId="7E44B466" w14:textId="24484845">
      <w:pPr>
        <w:pStyle w:val="JuPara"/>
      </w:pPr>
      <w:r w:rsidRPr="006A3D71">
        <w:fldChar w:fldCharType="begin"/>
      </w:r>
      <w:r w:rsidRPr="006A3D71">
        <w:instrText xml:space="preserve"> SEQ level0 \*arabic \* MERGEFORMAT </w:instrText>
      </w:r>
      <w:r w:rsidRPr="006A3D71">
        <w:fldChar w:fldCharType="separate"/>
      </w:r>
      <w:r w:rsidRPr="006A3D71" w:rsidR="006A3D71">
        <w:rPr>
          <w:noProof/>
        </w:rPr>
        <w:t>8</w:t>
      </w:r>
      <w:r w:rsidRPr="006A3D71">
        <w:fldChar w:fldCharType="end"/>
      </w:r>
      <w:bookmarkEnd w:id="6"/>
      <w:r w:rsidRPr="006A3D71">
        <w:t>.  By a decision of the same day, the misdemeanour court found the applicant guilty of deliberately failing to declare goods which he had brought</w:t>
      </w:r>
      <w:r w:rsidRPr="006A3D71" w:rsidR="003E051B">
        <w:t> </w:t>
      </w:r>
      <w:r w:rsidRPr="006A3D71">
        <w:t>into the customs territory of the Republic of Serbia – in particular, “eight second-hand bracelets”, made of a yellow metal which appeared to be gold, with an overall weight of 254 grams – and which had been found in a little pouch in a belt bag around the applicant</w:t>
      </w:r>
      <w:r w:rsidRPr="006A3D71" w:rsidR="006A3D71">
        <w:t>’</w:t>
      </w:r>
      <w:r w:rsidRPr="006A3D71">
        <w:t>s waist, in the course of a personal search. The applicant had therefore committed a customs misdemeanour prescribed by Article 292 § 1(3) of the Customs Act and not sub-section 2 as indicated in the misdemeanour complaint (see paragraph</w:t>
      </w:r>
      <w:bookmarkStart w:name="p5seizure" w:id="7"/>
      <w:bookmarkEnd w:id="7"/>
      <w:r w:rsidRPr="006A3D71">
        <w:t xml:space="preserve">s </w:t>
      </w:r>
      <w:r w:rsidRPr="006A3D71">
        <w:fldChar w:fldCharType="begin"/>
      </w:r>
      <w:r w:rsidRPr="006A3D71">
        <w:instrText xml:space="preserve"> REF p5seizure \h </w:instrText>
      </w:r>
      <w:r w:rsidRPr="006A3D71">
        <w:fldChar w:fldCharType="separate"/>
      </w:r>
      <w:r w:rsidRPr="006A3D71">
        <w:fldChar w:fldCharType="end"/>
      </w:r>
      <w:r w:rsidRPr="006A3D71">
        <w:fldChar w:fldCharType="begin"/>
      </w:r>
      <w:r w:rsidRPr="006A3D71">
        <w:instrText xml:space="preserve"> REF p5seizure \h </w:instrText>
      </w:r>
      <w:r w:rsidRPr="006A3D71">
        <w:fldChar w:fldCharType="separate"/>
      </w:r>
      <w:r w:rsidRPr="006A3D71">
        <w:fldChar w:fldCharType="end"/>
      </w:r>
      <w:r w:rsidRPr="006A3D71">
        <w:fldChar w:fldCharType="begin"/>
      </w:r>
      <w:r w:rsidRPr="006A3D71">
        <w:instrText xml:space="preserve">REF paragraph00005 \h \* CharFormat </w:instrText>
      </w:r>
      <w:r w:rsidRPr="006A3D71">
        <w:fldChar w:fldCharType="separate"/>
      </w:r>
      <w:r w:rsidRPr="006A3D71" w:rsidR="006A3D71">
        <w:t>6</w:t>
      </w:r>
      <w:r w:rsidRPr="006A3D71">
        <w:fldChar w:fldCharType="end"/>
      </w:r>
      <w:r w:rsidRPr="006A3D71">
        <w:t xml:space="preserve"> above and </w:t>
      </w:r>
      <w:r w:rsidRPr="006A3D71">
        <w:fldChar w:fldCharType="begin"/>
      </w:r>
      <w:r w:rsidRPr="006A3D71">
        <w:instrText xml:space="preserve">REF paragraph00019 \h \* CharFormat </w:instrText>
      </w:r>
      <w:r w:rsidRPr="006A3D71">
        <w:fldChar w:fldCharType="separate"/>
      </w:r>
      <w:r w:rsidRPr="006A3D71" w:rsidR="006A3D71">
        <w:t>20</w:t>
      </w:r>
      <w:r w:rsidRPr="006A3D71">
        <w:fldChar w:fldCharType="end"/>
      </w:r>
      <w:r w:rsidRPr="006A3D71">
        <w:t xml:space="preserve"> below). According to the court, an individual deliberately committed that offence if she or he did not comply with Article 63 of the Customs Act (see paragraph </w:t>
      </w:r>
      <w:r w:rsidRPr="006A3D71">
        <w:fldChar w:fldCharType="begin"/>
      </w:r>
      <w:r w:rsidRPr="006A3D71">
        <w:instrText xml:space="preserve">REF paragraph00017 \h \* CharFormat </w:instrText>
      </w:r>
      <w:r w:rsidRPr="006A3D71">
        <w:fldChar w:fldCharType="separate"/>
      </w:r>
      <w:r w:rsidRPr="006A3D71" w:rsidR="006A3D71">
        <w:t>18</w:t>
      </w:r>
      <w:r w:rsidRPr="006A3D71">
        <w:fldChar w:fldCharType="end"/>
      </w:r>
      <w:r w:rsidRPr="006A3D71">
        <w:t xml:space="preserve"> below), which required any individ</w:t>
      </w:r>
      <w:r w:rsidRPr="006A3D71" w:rsidR="00FA149A">
        <w:t xml:space="preserve">ual </w:t>
      </w:r>
      <w:r w:rsidRPr="006A3D71">
        <w:t>who</w:t>
      </w:r>
      <w:r w:rsidRPr="006A3D71" w:rsidR="00FA149A">
        <w:t xml:space="preserve"> </w:t>
      </w:r>
      <w:r w:rsidRPr="006A3D71">
        <w:t>entered the customs territory to declare imported goods.</w:t>
      </w:r>
    </w:p>
    <w:bookmarkStart w:name="paragraph00008" w:id="8"/>
    <w:p w:rsidRPr="006A3D71" w:rsidR="002B74EC" w:rsidP="006A3D71" w14:paraId="2CC9B653" w14:textId="42C60EC9">
      <w:pPr>
        <w:pStyle w:val="JuPara"/>
      </w:pPr>
      <w:r w:rsidRPr="006A3D71">
        <w:fldChar w:fldCharType="begin"/>
      </w:r>
      <w:r w:rsidRPr="006A3D71">
        <w:instrText xml:space="preserve"> SEQ level0 \*arabic \* MERGEFORMAT </w:instrText>
      </w:r>
      <w:r w:rsidRPr="006A3D71">
        <w:fldChar w:fldCharType="separate"/>
      </w:r>
      <w:r w:rsidRPr="006A3D71" w:rsidR="006A3D71">
        <w:rPr>
          <w:noProof/>
        </w:rPr>
        <w:t>9</w:t>
      </w:r>
      <w:r w:rsidRPr="006A3D71">
        <w:fldChar w:fldCharType="end"/>
      </w:r>
      <w:bookmarkEnd w:id="8"/>
      <w:r w:rsidRPr="006A3D71">
        <w:t>.  The applicant was fined 55,000 Serbian dinars (RSD; approximately EUR 665 at the time) and charged costs in the amount of RSD 1,000 (approximately EUR 12). When imposing the fine, the court took into account</w:t>
      </w:r>
      <w:r w:rsidRPr="006A3D71" w:rsidR="00A87597">
        <w:t xml:space="preserve"> </w:t>
      </w:r>
      <w:r w:rsidRPr="006A3D71">
        <w:t>(i) the gravity of the offence; (ii) the applicant</w:t>
      </w:r>
      <w:r w:rsidRPr="006A3D71" w:rsidR="006A3D71">
        <w:t>’</w:t>
      </w:r>
      <w:r w:rsidRPr="006A3D71">
        <w:t>s intent; (iii) the fact that there were no aggravating circumstances; and (iv) the fact that there were</w:t>
      </w:r>
      <w:r w:rsidRPr="006A3D71" w:rsidR="00A87597">
        <w:t xml:space="preserve"> </w:t>
      </w:r>
      <w:r w:rsidRPr="006A3D71">
        <w:t>several mitigating circumstances, such as the applicant</w:t>
      </w:r>
      <w:r w:rsidRPr="006A3D71" w:rsidR="006A3D71">
        <w:t>’</w:t>
      </w:r>
      <w:r w:rsidRPr="006A3D71">
        <w:t>s conduct in the</w:t>
      </w:r>
      <w:r w:rsidRPr="006A3D71" w:rsidR="00A87597">
        <w:t xml:space="preserve"> </w:t>
      </w:r>
      <w:r w:rsidRPr="006A3D71">
        <w:t xml:space="preserve">proceedings and his personal circumstances, as well as a lack of any previous record of </w:t>
      </w:r>
      <w:r w:rsidRPr="006A3D71">
        <w:t xml:space="preserve">misdemeanour. The court, relying on Article 40 of the Misdemeanours Act (see paragraph </w:t>
      </w:r>
      <w:r w:rsidRPr="006A3D71">
        <w:fldChar w:fldCharType="begin"/>
      </w:r>
      <w:r w:rsidRPr="006A3D71">
        <w:instrText xml:space="preserve">REF paragraph00023 \h \* CharFormat </w:instrText>
      </w:r>
      <w:r w:rsidRPr="006A3D71">
        <w:fldChar w:fldCharType="separate"/>
      </w:r>
      <w:r w:rsidRPr="006A3D71" w:rsidR="006A3D71">
        <w:t>24</w:t>
      </w:r>
      <w:r w:rsidRPr="006A3D71">
        <w:fldChar w:fldCharType="end"/>
      </w:r>
      <w:r w:rsidRPr="006A3D71">
        <w:t xml:space="preserve"> below), considered it appropriate, in</w:t>
      </w:r>
      <w:r w:rsidRPr="006A3D71" w:rsidR="00FA149A">
        <w:t xml:space="preserve"> </w:t>
      </w:r>
      <w:r w:rsidRPr="006A3D71">
        <w:t>view of the overall circumstances of the case, to impose a fine in an</w:t>
      </w:r>
      <w:r w:rsidRPr="006A3D71" w:rsidR="00275C01">
        <w:t xml:space="preserve"> </w:t>
      </w:r>
      <w:r w:rsidRPr="006A3D71">
        <w:t>amount</w:t>
      </w:r>
      <w:r w:rsidRPr="006A3D71" w:rsidR="00275C01">
        <w:t xml:space="preserve"> </w:t>
      </w:r>
      <w:r w:rsidRPr="006A3D71">
        <w:t>below the statutory threshold (one to four times the value of the objects of the</w:t>
      </w:r>
      <w:r w:rsidRPr="006A3D71" w:rsidR="00275C01">
        <w:t> </w:t>
      </w:r>
      <w:r w:rsidRPr="006A3D71">
        <w:t>offence), while acknowledging that no serious damage had been</w:t>
      </w:r>
      <w:r w:rsidRPr="006A3D71" w:rsidR="003E051B">
        <w:t> </w:t>
      </w:r>
      <w:r w:rsidRPr="006A3D71">
        <w:t>caused by the offender to the State and that the significantly reduced fine would still</w:t>
      </w:r>
      <w:r w:rsidRPr="006A3D71" w:rsidR="00A87597">
        <w:t xml:space="preserve"> </w:t>
      </w:r>
      <w:r w:rsidRPr="006A3D71">
        <w:t xml:space="preserve">correspond to the </w:t>
      </w:r>
      <w:r w:rsidRPr="006A3D71">
        <w:rPr>
          <w:rFonts w:ascii="Times New Roman" w:hAnsi="Times New Roman" w:eastAsia="Times New Roman" w:cs="Times New Roman"/>
        </w:rPr>
        <w:t>desired deterrent and punitive effect and prevent future</w:t>
      </w:r>
      <w:r w:rsidRPr="006A3D71" w:rsidR="00A87597">
        <w:rPr>
          <w:rFonts w:ascii="Times New Roman" w:hAnsi="Times New Roman" w:eastAsia="Times New Roman" w:cs="Times New Roman"/>
        </w:rPr>
        <w:t xml:space="preserve"> </w:t>
      </w:r>
      <w:r w:rsidRPr="006A3D71">
        <w:rPr>
          <w:rFonts w:ascii="Times New Roman" w:hAnsi="Times New Roman" w:eastAsia="Times New Roman" w:cs="Times New Roman"/>
        </w:rPr>
        <w:t>similar breaches.</w:t>
      </w:r>
    </w:p>
    <w:bookmarkStart w:name="paragraph00009" w:id="9"/>
    <w:p w:rsidRPr="006A3D71" w:rsidR="002B74EC" w:rsidP="006A3D71" w14:paraId="51645F00" w14:textId="5DF3906A">
      <w:pPr>
        <w:pStyle w:val="JuPara"/>
        <w:rPr>
          <w:bCs/>
        </w:rPr>
      </w:pPr>
      <w:r w:rsidRPr="006A3D71">
        <w:rPr>
          <w:bCs/>
        </w:rPr>
        <w:fldChar w:fldCharType="begin"/>
      </w:r>
      <w:r w:rsidRPr="006A3D71">
        <w:rPr>
          <w:bCs/>
        </w:rPr>
        <w:instrText xml:space="preserve"> SEQ level0 \*arabic \* MERGEFORMAT </w:instrText>
      </w:r>
      <w:r w:rsidRPr="006A3D71">
        <w:rPr>
          <w:bCs/>
        </w:rPr>
        <w:fldChar w:fldCharType="separate"/>
      </w:r>
      <w:r w:rsidRPr="006A3D71" w:rsidR="006A3D71">
        <w:rPr>
          <w:bCs/>
          <w:noProof/>
        </w:rPr>
        <w:t>10</w:t>
      </w:r>
      <w:r w:rsidRPr="006A3D71">
        <w:rPr>
          <w:bCs/>
        </w:rPr>
        <w:fldChar w:fldCharType="end"/>
      </w:r>
      <w:bookmarkEnd w:id="9"/>
      <w:r w:rsidRPr="006A3D71">
        <w:rPr>
          <w:bCs/>
        </w:rPr>
        <w:t>.  Lastly, the court imposed a protective measure (</w:t>
      </w:r>
      <w:r w:rsidRPr="006A3D71">
        <w:rPr>
          <w:bCs/>
          <w:i/>
          <w:iCs/>
        </w:rPr>
        <w:t>zaštitna mera oduzimanja robe kao predmeta prekr</w:t>
      </w:r>
      <w:r w:rsidRPr="006A3D71">
        <w:rPr>
          <w:i/>
        </w:rPr>
        <w:t>š</w:t>
      </w:r>
      <w:r w:rsidRPr="006A3D71">
        <w:rPr>
          <w:bCs/>
          <w:i/>
          <w:iCs/>
        </w:rPr>
        <w:t>aja</w:t>
      </w:r>
      <w:r w:rsidRPr="006A3D71">
        <w:rPr>
          <w:bCs/>
        </w:rPr>
        <w:t>), confiscating all eight bracelets as</w:t>
      </w:r>
      <w:r w:rsidRPr="006A3D71" w:rsidR="00A87597">
        <w:rPr>
          <w:bCs/>
        </w:rPr>
        <w:t xml:space="preserve"> </w:t>
      </w:r>
      <w:r w:rsidRPr="006A3D71">
        <w:rPr>
          <w:bCs/>
        </w:rPr>
        <w:t>the object of the offence</w:t>
      </w:r>
      <w:r w:rsidRPr="006A3D71">
        <w:rPr>
          <w:bCs/>
          <w:i/>
          <w:iCs/>
        </w:rPr>
        <w:t xml:space="preserve"> </w:t>
      </w:r>
      <w:r w:rsidRPr="006A3D71">
        <w:rPr>
          <w:bCs/>
        </w:rPr>
        <w:t>(</w:t>
      </w:r>
      <w:r w:rsidRPr="006A3D71">
        <w:rPr>
          <w:bCs/>
          <w:i/>
          <w:iCs/>
        </w:rPr>
        <w:t>predmet prek</w:t>
      </w:r>
      <w:r w:rsidRPr="006A3D71">
        <w:rPr>
          <w:rFonts w:cstheme="minorHAnsi"/>
          <w:bCs/>
          <w:i/>
          <w:iCs/>
        </w:rPr>
        <w:t>š</w:t>
      </w:r>
      <w:r w:rsidRPr="006A3D71">
        <w:rPr>
          <w:bCs/>
          <w:i/>
          <w:iCs/>
        </w:rPr>
        <w:t>aja</w:t>
      </w:r>
      <w:r w:rsidRPr="006A3D71">
        <w:rPr>
          <w:bCs/>
        </w:rPr>
        <w:t xml:space="preserve">). When applying the confiscation measure, the court noted the mandatory nature of the sanction prescribed by Article 298 of the Customs Act (see paragraph </w:t>
      </w:r>
      <w:r w:rsidRPr="006A3D71">
        <w:rPr>
          <w:bCs/>
        </w:rPr>
        <w:fldChar w:fldCharType="begin"/>
      </w:r>
      <w:r w:rsidRPr="006A3D71">
        <w:rPr>
          <w:bCs/>
        </w:rPr>
        <w:instrText xml:space="preserve">REF paragraph00020 \h \* CharFormat </w:instrText>
      </w:r>
      <w:r w:rsidRPr="006A3D71">
        <w:rPr>
          <w:bCs/>
        </w:rPr>
        <w:fldChar w:fldCharType="separate"/>
      </w:r>
      <w:r w:rsidRPr="006A3D71" w:rsidR="006A3D71">
        <w:rPr>
          <w:bCs/>
        </w:rPr>
        <w:t>21</w:t>
      </w:r>
      <w:r w:rsidRPr="006A3D71">
        <w:rPr>
          <w:bCs/>
        </w:rPr>
        <w:fldChar w:fldCharType="end"/>
      </w:r>
      <w:r w:rsidRPr="006A3D71">
        <w:rPr>
          <w:bCs/>
        </w:rPr>
        <w:t xml:space="preserve"> below), which would be enforced once the decision had become final. The bracelets were temporarily seized pending the misdemeanour proceedings.</w:t>
      </w:r>
    </w:p>
    <w:bookmarkStart w:name="paragraph00010" w:id="10"/>
    <w:p w:rsidRPr="006A3D71" w:rsidR="002B74EC" w:rsidP="006A3D71" w14:paraId="129D5C78" w14:textId="5D479453">
      <w:pPr>
        <w:pStyle w:val="JuPara"/>
      </w:pPr>
      <w:r w:rsidRPr="006A3D71">
        <w:fldChar w:fldCharType="begin"/>
      </w:r>
      <w:r w:rsidRPr="006A3D71">
        <w:instrText xml:space="preserve"> SEQ level0 \*arabic \* MERGEFORMAT </w:instrText>
      </w:r>
      <w:r w:rsidRPr="006A3D71">
        <w:fldChar w:fldCharType="separate"/>
      </w:r>
      <w:r w:rsidRPr="006A3D71" w:rsidR="006A3D71">
        <w:rPr>
          <w:noProof/>
        </w:rPr>
        <w:t>11</w:t>
      </w:r>
      <w:r w:rsidRPr="006A3D71">
        <w:fldChar w:fldCharType="end"/>
      </w:r>
      <w:bookmarkEnd w:id="10"/>
      <w:r w:rsidRPr="006A3D71">
        <w:t>.  On 26 June 2013 the applicant, represented by a Serbian lawyer of his</w:t>
      </w:r>
      <w:r w:rsidRPr="006A3D71" w:rsidR="003E051B">
        <w:t> </w:t>
      </w:r>
      <w:r w:rsidRPr="006A3D71">
        <w:t>own choosing, challenged the confiscation measure. He argued that, despite having a legal basis in Article 298 of the Customs Act, it was unconstitutional, in breach of Article 58 of the Constitution (see paragraph </w:t>
      </w:r>
      <w:r w:rsidRPr="006A3D71">
        <w:fldChar w:fldCharType="begin"/>
      </w:r>
      <w:r w:rsidRPr="006A3D71">
        <w:instrText xml:space="preserve">REF paragraph00016 \h \* CharFormat </w:instrText>
      </w:r>
      <w:r w:rsidRPr="006A3D71">
        <w:fldChar w:fldCharType="separate"/>
      </w:r>
      <w:r w:rsidRPr="006A3D71" w:rsidR="006A3D71">
        <w:t>17</w:t>
      </w:r>
      <w:r w:rsidRPr="006A3D71">
        <w:fldChar w:fldCharType="end"/>
      </w:r>
      <w:r w:rsidRPr="006A3D71" w:rsidR="00A87597">
        <w:t xml:space="preserve"> </w:t>
      </w:r>
      <w:r w:rsidRPr="006A3D71">
        <w:t xml:space="preserve">below), as well as of Article 1 of Protocol No. 1 to the Convention, the latter being directly applicable in the domestic legal order. As regards the lawful origin of the bracelets, the applicant repeated his arguments submitted before the first-instance court (see paragraph </w:t>
      </w:r>
      <w:r w:rsidRPr="006A3D71">
        <w:fldChar w:fldCharType="begin"/>
      </w:r>
      <w:r w:rsidRPr="006A3D71">
        <w:instrText xml:space="preserve">REF paragraph00006 \h \* CharFormat </w:instrText>
      </w:r>
      <w:r w:rsidRPr="006A3D71">
        <w:fldChar w:fldCharType="separate"/>
      </w:r>
      <w:r w:rsidRPr="006A3D71" w:rsidR="006A3D71">
        <w:t>7</w:t>
      </w:r>
      <w:r w:rsidRPr="006A3D71">
        <w:fldChar w:fldCharType="end"/>
      </w:r>
      <w:r w:rsidRPr="006A3D71">
        <w:t xml:space="preserve"> above) that the jewellery had been lawfully acquired by his wife, Z.E., and submitted,</w:t>
      </w:r>
      <w:r w:rsidRPr="006A3D71" w:rsidR="003E051B">
        <w:t> </w:t>
      </w:r>
      <w:r w:rsidRPr="006A3D71">
        <w:t>as evidence, certificates of purchase dated 3</w:t>
      </w:r>
      <w:r w:rsidRPr="006A3D71">
        <w:rPr>
          <w:rFonts w:ascii="Times New Roman" w:hAnsi="Times New Roman" w:eastAsia="Times New Roman" w:cs="Times New Roman"/>
        </w:rPr>
        <w:t> </w:t>
      </w:r>
      <w:r w:rsidRPr="006A3D71">
        <w:t>January 2013 from a jewellery shop in Amsterdam concerning gold jewellery (22 carats) bought between 2</w:t>
      </w:r>
      <w:r w:rsidRPr="006A3D71">
        <w:rPr>
          <w:rFonts w:ascii="Times New Roman" w:hAnsi="Times New Roman" w:eastAsia="Times New Roman" w:cs="Times New Roman"/>
        </w:rPr>
        <w:t> </w:t>
      </w:r>
      <w:r w:rsidRPr="006A3D71">
        <w:t>December 2011 and 3</w:t>
      </w:r>
      <w:r w:rsidRPr="006A3D71">
        <w:rPr>
          <w:rFonts w:ascii="Times New Roman" w:hAnsi="Times New Roman" w:eastAsia="Times New Roman" w:cs="Times New Roman"/>
        </w:rPr>
        <w:t> </w:t>
      </w:r>
      <w:r w:rsidRPr="006A3D71">
        <w:t>January 2013 for the price of EUR 12,825, together with the corresponding certificates of authenticity in her name. He reiterated that he had been carrying them to T</w:t>
      </w:r>
      <w:r w:rsidRPr="006A3D71">
        <w:rPr>
          <w:rFonts w:cstheme="minorHAnsi"/>
        </w:rPr>
        <w:t>ü</w:t>
      </w:r>
      <w:r w:rsidRPr="006A3D71">
        <w:t>rkiye, where he intended to buy a family house, and to sell them if he needed extra funds. He further argued that the measure of confiscation of the bracelets, which were valued at EUR 12,825 (and not EUR</w:t>
      </w:r>
      <w:r w:rsidRPr="006A3D71" w:rsidR="00A87597">
        <w:t> </w:t>
      </w:r>
      <w:r w:rsidRPr="006A3D71">
        <w:t xml:space="preserve">7,620 – see paragraph </w:t>
      </w:r>
      <w:r w:rsidRPr="006A3D71">
        <w:fldChar w:fldCharType="begin"/>
      </w:r>
      <w:r w:rsidRPr="006A3D71">
        <w:instrText xml:space="preserve"> REF paragraph00005 \h  \* CharFormat </w:instrText>
      </w:r>
      <w:r w:rsidRPr="006A3D71">
        <w:fldChar w:fldCharType="separate"/>
      </w:r>
      <w:r w:rsidRPr="006A3D71" w:rsidR="006A3D71">
        <w:t>6</w:t>
      </w:r>
      <w:r w:rsidRPr="006A3D71">
        <w:fldChar w:fldCharType="end"/>
      </w:r>
      <w:r w:rsidRPr="006A3D71">
        <w:t xml:space="preserve"> above), was “drastically” disproportionate to the misdemeanour committed and did not correspond to the intended purpose of protective measures or the purpose of misdemeanour sanctions in general. Accordingly, it was unjustified and unlawful.</w:t>
      </w:r>
    </w:p>
    <w:bookmarkStart w:name="paragraph00011" w:id="11"/>
    <w:p w:rsidRPr="006A3D71" w:rsidR="002B74EC" w:rsidP="006A3D71" w14:paraId="39F1166D" w14:textId="4345A005">
      <w:pPr>
        <w:pStyle w:val="JuPara"/>
      </w:pPr>
      <w:r w:rsidRPr="006A3D71">
        <w:fldChar w:fldCharType="begin"/>
      </w:r>
      <w:r w:rsidRPr="006A3D71">
        <w:instrText xml:space="preserve"> SEQ level0 \*arabic \* MERGEFORMAT </w:instrText>
      </w:r>
      <w:r w:rsidRPr="006A3D71">
        <w:fldChar w:fldCharType="separate"/>
      </w:r>
      <w:r w:rsidRPr="006A3D71" w:rsidR="006A3D71">
        <w:rPr>
          <w:noProof/>
        </w:rPr>
        <w:t>12</w:t>
      </w:r>
      <w:r w:rsidRPr="006A3D71">
        <w:fldChar w:fldCharType="end"/>
      </w:r>
      <w:bookmarkEnd w:id="11"/>
      <w:r w:rsidRPr="006A3D71">
        <w:t>.  On 2 July 2013 the Novi Sad High Misdemeanour Court dismissed the appeal and upheld the first-instance decision, endorsing the reasons given</w:t>
      </w:r>
      <w:r w:rsidRPr="006A3D71" w:rsidR="00A87597">
        <w:t xml:space="preserve"> </w:t>
      </w:r>
      <w:r w:rsidRPr="006A3D71">
        <w:t xml:space="preserve">therein (see paragraphs </w:t>
      </w:r>
      <w:r w:rsidRPr="006A3D71">
        <w:fldChar w:fldCharType="begin"/>
      </w:r>
      <w:r w:rsidRPr="006A3D71">
        <w:instrText xml:space="preserve">REF paragraph00007 \h \* CharFormat </w:instrText>
      </w:r>
      <w:r w:rsidRPr="006A3D71" w:rsidR="002A2CCF">
        <w:instrText xml:space="preserve"> \* MERGEFORMAT </w:instrText>
      </w:r>
      <w:r w:rsidRPr="006A3D71">
        <w:fldChar w:fldCharType="separate"/>
      </w:r>
      <w:r w:rsidRPr="006A3D71" w:rsidR="006A3D71">
        <w:t>8</w:t>
      </w:r>
      <w:r w:rsidRPr="006A3D71">
        <w:fldChar w:fldCharType="end"/>
      </w:r>
      <w:r w:rsidRPr="006A3D71">
        <w:t>-</w:t>
      </w:r>
      <w:r w:rsidRPr="006A3D71">
        <w:fldChar w:fldCharType="begin"/>
      </w:r>
      <w:r w:rsidRPr="006A3D71">
        <w:instrText xml:space="preserve">REF paragraph00009 \h \* CharFormat </w:instrText>
      </w:r>
      <w:r w:rsidRPr="006A3D71" w:rsidR="002A2CCF">
        <w:instrText xml:space="preserve"> \* MERGEFORMAT </w:instrText>
      </w:r>
      <w:r w:rsidRPr="006A3D71">
        <w:fldChar w:fldCharType="separate"/>
      </w:r>
      <w:r w:rsidRPr="006A3D71" w:rsidR="006A3D71">
        <w:t>10</w:t>
      </w:r>
      <w:r w:rsidRPr="006A3D71">
        <w:fldChar w:fldCharType="end"/>
      </w:r>
      <w:r w:rsidRPr="006A3D71">
        <w:t xml:space="preserve"> above). It confirmed that the confiscation</w:t>
      </w:r>
      <w:r w:rsidRPr="006A3D71" w:rsidR="002A2CCF">
        <w:t xml:space="preserve"> </w:t>
      </w:r>
      <w:r w:rsidRPr="006A3D71">
        <w:t>was mandatory, and that its imposition was not left to the discretion of the court in cases of a failure to declare goods at the border, regardless of</w:t>
      </w:r>
      <w:r w:rsidRPr="006A3D71" w:rsidR="002A2CCF">
        <w:t xml:space="preserve"> </w:t>
      </w:r>
      <w:r w:rsidRPr="006A3D71">
        <w:t>whether</w:t>
      </w:r>
      <w:r w:rsidRPr="006A3D71" w:rsidR="00A87597">
        <w:t xml:space="preserve"> </w:t>
      </w:r>
      <w:r w:rsidRPr="006A3D71">
        <w:t>or</w:t>
      </w:r>
      <w:r w:rsidRPr="006A3D71" w:rsidR="002A2CCF">
        <w:t xml:space="preserve"> </w:t>
      </w:r>
      <w:r w:rsidRPr="006A3D71">
        <w:t>not those goods had been acquired lawfully. The confiscation had</w:t>
      </w:r>
      <w:r w:rsidRPr="006A3D71" w:rsidR="00A87597">
        <w:t xml:space="preserve"> </w:t>
      </w:r>
      <w:r w:rsidRPr="006A3D71">
        <w:t>been imposed in the public interest and in accordance with the law.</w:t>
      </w:r>
    </w:p>
    <w:bookmarkStart w:name="paragraph00012" w:id="12"/>
    <w:p w:rsidRPr="006A3D71" w:rsidR="002B74EC" w:rsidP="006A3D71" w14:paraId="70F61B3A" w14:textId="346EF18C">
      <w:pPr>
        <w:pStyle w:val="JuPara"/>
      </w:pPr>
      <w:r w:rsidRPr="006A3D71">
        <w:fldChar w:fldCharType="begin"/>
      </w:r>
      <w:r w:rsidRPr="006A3D71">
        <w:instrText xml:space="preserve"> SEQ level0 \*arabic \* MERGEFORMAT </w:instrText>
      </w:r>
      <w:r w:rsidRPr="006A3D71">
        <w:fldChar w:fldCharType="separate"/>
      </w:r>
      <w:r w:rsidRPr="006A3D71" w:rsidR="006A3D71">
        <w:rPr>
          <w:noProof/>
        </w:rPr>
        <w:t>13</w:t>
      </w:r>
      <w:r w:rsidRPr="006A3D71">
        <w:fldChar w:fldCharType="end"/>
      </w:r>
      <w:bookmarkEnd w:id="12"/>
      <w:r w:rsidRPr="006A3D71">
        <w:t xml:space="preserve">.  On 31 July 2013 the applicant, through his representative, lodged a constitutional appeal, referring to his earlier arguments and the relevant law (see paragraph </w:t>
      </w:r>
      <w:r w:rsidRPr="006A3D71">
        <w:fldChar w:fldCharType="begin"/>
      </w:r>
      <w:r w:rsidRPr="006A3D71">
        <w:instrText xml:space="preserve">REF paragraph00010 \h \* CharFormat </w:instrText>
      </w:r>
      <w:r w:rsidRPr="006A3D71">
        <w:fldChar w:fldCharType="separate"/>
      </w:r>
      <w:r w:rsidRPr="006A3D71" w:rsidR="006A3D71">
        <w:t>11</w:t>
      </w:r>
      <w:r w:rsidRPr="006A3D71">
        <w:fldChar w:fldCharType="end"/>
      </w:r>
      <w:r w:rsidRPr="006A3D71">
        <w:t xml:space="preserve"> above). He further questioned the constitutionality of Article 298 of the Customs Act </w:t>
      </w:r>
      <w:r w:rsidRPr="006A3D71">
        <w:rPr>
          <w:bCs/>
        </w:rPr>
        <w:t xml:space="preserve">(see paragraph </w:t>
      </w:r>
      <w:r w:rsidRPr="006A3D71">
        <w:rPr>
          <w:bCs/>
        </w:rPr>
        <w:fldChar w:fldCharType="begin"/>
      </w:r>
      <w:r w:rsidRPr="006A3D71">
        <w:rPr>
          <w:bCs/>
        </w:rPr>
        <w:instrText xml:space="preserve">REF paragraph00020 \h \* CharFormat </w:instrText>
      </w:r>
      <w:r w:rsidRPr="006A3D71">
        <w:rPr>
          <w:bCs/>
        </w:rPr>
        <w:fldChar w:fldCharType="separate"/>
      </w:r>
      <w:r w:rsidRPr="006A3D71" w:rsidR="006A3D71">
        <w:rPr>
          <w:bCs/>
        </w:rPr>
        <w:t>21</w:t>
      </w:r>
      <w:r w:rsidRPr="006A3D71">
        <w:rPr>
          <w:bCs/>
        </w:rPr>
        <w:fldChar w:fldCharType="end"/>
      </w:r>
      <w:r w:rsidRPr="006A3D71">
        <w:rPr>
          <w:bCs/>
        </w:rPr>
        <w:t xml:space="preserve"> below)</w:t>
      </w:r>
      <w:r w:rsidRPr="006A3D71">
        <w:t>, which in his</w:t>
      </w:r>
      <w:r w:rsidRPr="006A3D71" w:rsidR="002A2CCF">
        <w:t xml:space="preserve"> </w:t>
      </w:r>
      <w:r w:rsidRPr="006A3D71">
        <w:t>case</w:t>
      </w:r>
      <w:r w:rsidRPr="006A3D71" w:rsidR="002A2CCF">
        <w:t xml:space="preserve"> </w:t>
      </w:r>
      <w:r w:rsidRPr="006A3D71">
        <w:t>had resulted in an excessive burden being imposed on him, owing to the</w:t>
      </w:r>
      <w:r w:rsidRPr="006A3D71" w:rsidR="002A2CCF">
        <w:t xml:space="preserve"> </w:t>
      </w:r>
      <w:r w:rsidRPr="006A3D71">
        <w:t>mandatory confiscation of his lawfully acquired goods. The applicant accepted that confiscation might be justified in cases where the object of an offence had been acquired unlawfully or was prohibited, such as weapons, drugs or endangered species. However, he had caused no damage to the respondent State, given that it was not prohibited to transfer gold jewellery, and the fine would have had sufficient deterrent effect to protect the public interest. The confiscation of his lawfully acquired jewellery had therefore been unlawful, unnecessary and disproportionate and had been imposed in breach of his constitutionally protected right of property.</w:t>
      </w:r>
    </w:p>
    <w:bookmarkStart w:name="paragraph00013" w:id="13"/>
    <w:p w:rsidRPr="006A3D71" w:rsidR="002B74EC" w:rsidP="006A3D71" w14:paraId="2C7F72C9" w14:textId="7311D859">
      <w:pPr>
        <w:pStyle w:val="JuPara"/>
      </w:pPr>
      <w:r w:rsidRPr="006A3D71">
        <w:fldChar w:fldCharType="begin"/>
      </w:r>
      <w:r w:rsidRPr="006A3D71">
        <w:instrText xml:space="preserve"> SEQ level0 \*arabic \* MERGEFORMAT </w:instrText>
      </w:r>
      <w:r w:rsidRPr="006A3D71">
        <w:fldChar w:fldCharType="separate"/>
      </w:r>
      <w:r w:rsidRPr="006A3D71" w:rsidR="006A3D71">
        <w:rPr>
          <w:noProof/>
        </w:rPr>
        <w:t>14</w:t>
      </w:r>
      <w:r w:rsidRPr="006A3D71">
        <w:fldChar w:fldCharType="end"/>
      </w:r>
      <w:bookmarkEnd w:id="13"/>
      <w:r w:rsidRPr="006A3D71">
        <w:t>.  On 25 September 2014 the Constitutional Court dismissed the applicant</w:t>
      </w:r>
      <w:r w:rsidRPr="006A3D71" w:rsidR="006A3D71">
        <w:t>’</w:t>
      </w:r>
      <w:r w:rsidRPr="006A3D71">
        <w:t>s constitutional appeal as being manifestly-ill founded, by a decision (Už-6226/2013) which, in so far as relevant, found as follows.</w:t>
      </w:r>
    </w:p>
    <w:bookmarkStart w:name="paragraph00014" w:id="14"/>
    <w:p w:rsidRPr="006A3D71" w:rsidR="002B74EC" w:rsidP="006A3D71" w14:paraId="30636675" w14:textId="0FCA5355">
      <w:pPr>
        <w:pStyle w:val="JuPara"/>
      </w:pPr>
      <w:r w:rsidRPr="006A3D71">
        <w:fldChar w:fldCharType="begin"/>
      </w:r>
      <w:r w:rsidRPr="006A3D71">
        <w:instrText xml:space="preserve"> SEQ level0 \*arabic \* MERGEFORMAT </w:instrText>
      </w:r>
      <w:r w:rsidRPr="006A3D71">
        <w:fldChar w:fldCharType="separate"/>
      </w:r>
      <w:r w:rsidRPr="006A3D71" w:rsidR="006A3D71">
        <w:rPr>
          <w:noProof/>
        </w:rPr>
        <w:t>15</w:t>
      </w:r>
      <w:r w:rsidRPr="006A3D71">
        <w:fldChar w:fldCharType="end"/>
      </w:r>
      <w:bookmarkEnd w:id="14"/>
      <w:r w:rsidRPr="006A3D71">
        <w:t xml:space="preserve">.  In its examination of the existence of a “possession” within the meaning of Article 58 of the Constitution (see paragraph </w:t>
      </w:r>
      <w:r w:rsidRPr="006A3D71">
        <w:fldChar w:fldCharType="begin"/>
      </w:r>
      <w:r w:rsidRPr="006A3D71">
        <w:instrText xml:space="preserve"> REF paragraph00016 \h  \* CharFormat  \* MERGEFORMAT </w:instrText>
      </w:r>
      <w:r w:rsidRPr="006A3D71">
        <w:fldChar w:fldCharType="separate"/>
      </w:r>
      <w:r w:rsidRPr="006A3D71" w:rsidR="006A3D71">
        <w:t>17</w:t>
      </w:r>
      <w:r w:rsidRPr="006A3D71">
        <w:fldChar w:fldCharType="end"/>
      </w:r>
      <w:r w:rsidRPr="006A3D71">
        <w:t xml:space="preserve"> below), the court</w:t>
      </w:r>
      <w:r w:rsidRPr="006A3D71" w:rsidR="00A87597">
        <w:t xml:space="preserve"> </w:t>
      </w:r>
      <w:r w:rsidRPr="006A3D71">
        <w:t>determined (</w:t>
      </w:r>
      <w:r w:rsidRPr="006A3D71">
        <w:rPr>
          <w:i/>
          <w:iCs/>
        </w:rPr>
        <w:t>ocenio</w:t>
      </w:r>
      <w:r w:rsidRPr="006A3D71">
        <w:t>) that, in the applicant</w:t>
      </w:r>
      <w:r w:rsidRPr="006A3D71" w:rsidR="006A3D71">
        <w:t>’</w:t>
      </w:r>
      <w:r w:rsidRPr="006A3D71">
        <w:t>s case, the matter concerned</w:t>
      </w:r>
      <w:r w:rsidRPr="006A3D71" w:rsidR="00AE72F7">
        <w:t> </w:t>
      </w:r>
      <w:r w:rsidRPr="006A3D71">
        <w:t>his property (</w:t>
      </w:r>
      <w:r w:rsidRPr="006A3D71">
        <w:rPr>
          <w:i/>
          <w:iCs/>
        </w:rPr>
        <w:t>re</w:t>
      </w:r>
      <w:r w:rsidRPr="006A3D71">
        <w:rPr>
          <w:rFonts w:cstheme="minorHAnsi"/>
          <w:i/>
          <w:iCs/>
        </w:rPr>
        <w:t>č</w:t>
      </w:r>
      <w:r w:rsidRPr="006A3D71">
        <w:rPr>
          <w:i/>
          <w:iCs/>
        </w:rPr>
        <w:t xml:space="preserve"> je o imovini aplikanta</w:t>
      </w:r>
      <w:r w:rsidRPr="006A3D71">
        <w:t>), in particular eight gold</w:t>
      </w:r>
      <w:r w:rsidRPr="006A3D71" w:rsidR="00AE72F7">
        <w:t> </w:t>
      </w:r>
      <w:r w:rsidRPr="006A3D71">
        <w:t>bracelets, with an overall value of EUR 12,825, which his wife had acquired by purchase, in a lawful manner, as certified by the purchase certificate that he had submitted to the court. Therefore, in this specific case,</w:t>
      </w:r>
      <w:r w:rsidRPr="006A3D71" w:rsidR="00AE72F7">
        <w:t> </w:t>
      </w:r>
      <w:r w:rsidRPr="006A3D71">
        <w:t>the property had been acquired by law and therefore attracted protection</w:t>
      </w:r>
      <w:r w:rsidRPr="006A3D71" w:rsidR="00AE72F7">
        <w:t> </w:t>
      </w:r>
      <w:r w:rsidRPr="006A3D71">
        <w:t>by virtue of Article</w:t>
      </w:r>
      <w:r w:rsidRPr="006A3D71" w:rsidR="004E7D79">
        <w:t> </w:t>
      </w:r>
      <w:r w:rsidRPr="006A3D71">
        <w:t>58 § 1 of the Constitution. The Constitutional</w:t>
      </w:r>
      <w:r w:rsidRPr="006A3D71" w:rsidR="00AE72F7">
        <w:t> </w:t>
      </w:r>
      <w:r w:rsidRPr="006A3D71">
        <w:t>Court further acknowledged that</w:t>
      </w:r>
      <w:r w:rsidRPr="006A3D71" w:rsidR="004E7D79">
        <w:t> </w:t>
      </w:r>
      <w:r w:rsidRPr="006A3D71">
        <w:t>the permanent confiscation</w:t>
      </w:r>
      <w:r w:rsidRPr="006A3D71" w:rsidR="00AE72F7">
        <w:t> </w:t>
      </w:r>
      <w:r w:rsidRPr="006A3D71">
        <w:t>of the previously seized bracelets amounted to “an interference</w:t>
      </w:r>
      <w:r w:rsidRPr="006A3D71" w:rsidR="00AE72F7">
        <w:t> </w:t>
      </w:r>
      <w:r w:rsidRPr="006A3D71">
        <w:t>with the applicant</w:t>
      </w:r>
      <w:r w:rsidRPr="006A3D71" w:rsidR="006A3D71">
        <w:t>’</w:t>
      </w:r>
      <w:r w:rsidRPr="006A3D71">
        <w:t>s property rights”.</w:t>
      </w:r>
    </w:p>
    <w:bookmarkStart w:name="paragraph00015" w:id="15"/>
    <w:p w:rsidRPr="006A3D71" w:rsidR="002B74EC" w:rsidP="006A3D71" w14:paraId="705E5D62" w14:textId="685CE982">
      <w:pPr>
        <w:pStyle w:val="JuPara"/>
        <w:rPr>
          <w:lang w:val="en-US"/>
        </w:rPr>
      </w:pPr>
      <w:r w:rsidRPr="006A3D71">
        <w:fldChar w:fldCharType="begin"/>
      </w:r>
      <w:r w:rsidRPr="006A3D71">
        <w:instrText xml:space="preserve"> SEQ level0 \*arabic \* MERGEFORMAT </w:instrText>
      </w:r>
      <w:r w:rsidRPr="006A3D71">
        <w:fldChar w:fldCharType="separate"/>
      </w:r>
      <w:r w:rsidRPr="006A3D71" w:rsidR="006A3D71">
        <w:rPr>
          <w:noProof/>
        </w:rPr>
        <w:t>16</w:t>
      </w:r>
      <w:r w:rsidRPr="006A3D71">
        <w:fldChar w:fldCharType="end"/>
      </w:r>
      <w:bookmarkEnd w:id="15"/>
      <w:r w:rsidRPr="006A3D71">
        <w:t>.  In the court</w:t>
      </w:r>
      <w:r w:rsidRPr="006A3D71" w:rsidR="006A3D71">
        <w:t>’</w:t>
      </w:r>
      <w:r w:rsidRPr="006A3D71">
        <w:t xml:space="preserve">s view, </w:t>
      </w:r>
      <w:r w:rsidRPr="006A3D71">
        <w:rPr>
          <w:lang w:val="en-US"/>
        </w:rPr>
        <w:t>the interference had been lawful and properly</w:t>
      </w:r>
      <w:r w:rsidRPr="006A3D71" w:rsidR="00AE72F7">
        <w:rPr>
          <w:lang w:val="en-US"/>
        </w:rPr>
        <w:t> </w:t>
      </w:r>
      <w:r w:rsidRPr="006A3D71">
        <w:rPr>
          <w:lang w:val="en-US"/>
        </w:rPr>
        <w:t>reasoned, as it had been “imposed as a mandatory measure pursuant</w:t>
      </w:r>
      <w:r w:rsidRPr="006A3D71" w:rsidR="00113F05">
        <w:rPr>
          <w:lang w:val="en-US"/>
        </w:rPr>
        <w:t xml:space="preserve"> </w:t>
      </w:r>
      <w:r w:rsidRPr="006A3D71">
        <w:rPr>
          <w:lang w:val="en-US"/>
        </w:rPr>
        <w:t>to Articles 292 and 298 of the Customs Act” given the applicant</w:t>
      </w:r>
      <w:r w:rsidRPr="006A3D71" w:rsidR="006A3D71">
        <w:rPr>
          <w:lang w:val="en-US"/>
        </w:rPr>
        <w:t>’</w:t>
      </w:r>
      <w:r w:rsidRPr="006A3D71">
        <w:rPr>
          <w:lang w:val="en-US"/>
        </w:rPr>
        <w:t>s</w:t>
      </w:r>
      <w:r w:rsidRPr="006A3D71" w:rsidR="00113F05">
        <w:rPr>
          <w:lang w:val="en-US"/>
        </w:rPr>
        <w:t xml:space="preserve"> </w:t>
      </w:r>
      <w:r w:rsidRPr="006A3D71">
        <w:rPr>
          <w:lang w:val="en-US"/>
        </w:rPr>
        <w:t>non</w:t>
      </w:r>
      <w:r w:rsidRPr="006A3D71" w:rsidR="00113F05">
        <w:rPr>
          <w:lang w:val="en-US"/>
        </w:rPr>
        <w:noBreakHyphen/>
      </w:r>
      <w:r w:rsidRPr="006A3D71">
        <w:rPr>
          <w:lang w:val="en-US"/>
        </w:rPr>
        <w:t>compliance with Article 63 of that same Act (see paragraphs</w:t>
      </w:r>
      <w:r w:rsidRPr="006A3D71" w:rsidR="00A87597">
        <w:rPr>
          <w:lang w:val="en-US"/>
        </w:rPr>
        <w:t xml:space="preserve"> </w:t>
      </w:r>
      <w:r w:rsidRPr="006A3D71">
        <w:rPr>
          <w:lang w:val="en-US"/>
        </w:rPr>
        <w:fldChar w:fldCharType="begin"/>
      </w:r>
      <w:r w:rsidRPr="006A3D71">
        <w:rPr>
          <w:lang w:val="en-US"/>
        </w:rPr>
        <w:instrText xml:space="preserve">REF paragraph00017 \h \* CharFormat  \* MERGEFORMAT </w:instrText>
      </w:r>
      <w:r w:rsidRPr="006A3D71">
        <w:rPr>
          <w:lang w:val="en-US"/>
        </w:rPr>
        <w:fldChar w:fldCharType="separate"/>
      </w:r>
      <w:r w:rsidRPr="006A3D71" w:rsidR="006A3D71">
        <w:rPr>
          <w:lang w:val="en-US"/>
        </w:rPr>
        <w:t>18</w:t>
      </w:r>
      <w:r w:rsidRPr="006A3D71">
        <w:rPr>
          <w:lang w:val="en-US"/>
        </w:rPr>
        <w:fldChar w:fldCharType="end"/>
      </w:r>
      <w:r w:rsidRPr="006A3D71">
        <w:rPr>
          <w:lang w:val="en-US"/>
        </w:rPr>
        <w:t xml:space="preserve">, </w:t>
      </w:r>
      <w:r w:rsidRPr="006A3D71">
        <w:rPr>
          <w:lang w:val="en-US"/>
        </w:rPr>
        <w:fldChar w:fldCharType="begin"/>
      </w:r>
      <w:r w:rsidRPr="006A3D71">
        <w:rPr>
          <w:lang w:val="en-US"/>
        </w:rPr>
        <w:instrText xml:space="preserve">REF paragraph00019 \h \* CharFormat  \* MERGEFORMAT </w:instrText>
      </w:r>
      <w:r w:rsidRPr="006A3D71">
        <w:rPr>
          <w:lang w:val="en-US"/>
        </w:rPr>
        <w:fldChar w:fldCharType="separate"/>
      </w:r>
      <w:r w:rsidRPr="006A3D71" w:rsidR="006A3D71">
        <w:rPr>
          <w:lang w:val="en-US"/>
        </w:rPr>
        <w:t>20</w:t>
      </w:r>
      <w:r w:rsidRPr="006A3D71">
        <w:rPr>
          <w:lang w:val="en-US"/>
        </w:rPr>
        <w:fldChar w:fldCharType="end"/>
      </w:r>
      <w:r w:rsidRPr="006A3D71">
        <w:rPr>
          <w:lang w:val="en-US"/>
        </w:rPr>
        <w:t xml:space="preserve"> and </w:t>
      </w:r>
      <w:r w:rsidRPr="006A3D71">
        <w:rPr>
          <w:lang w:val="en-US"/>
        </w:rPr>
        <w:fldChar w:fldCharType="begin"/>
      </w:r>
      <w:r w:rsidRPr="006A3D71">
        <w:rPr>
          <w:lang w:val="en-US"/>
        </w:rPr>
        <w:instrText xml:space="preserve">REF paragraph00020 \h \* CharFormat  \* MERGEFORMAT </w:instrText>
      </w:r>
      <w:r w:rsidRPr="006A3D71">
        <w:rPr>
          <w:lang w:val="en-US"/>
        </w:rPr>
        <w:fldChar w:fldCharType="separate"/>
      </w:r>
      <w:r w:rsidRPr="006A3D71" w:rsidR="006A3D71">
        <w:rPr>
          <w:lang w:val="en-US"/>
        </w:rPr>
        <w:t>21</w:t>
      </w:r>
      <w:r w:rsidRPr="006A3D71">
        <w:rPr>
          <w:lang w:val="en-US"/>
        </w:rPr>
        <w:fldChar w:fldCharType="end"/>
      </w:r>
      <w:r w:rsidRPr="006A3D71">
        <w:rPr>
          <w:lang w:val="en-US"/>
        </w:rPr>
        <w:t xml:space="preserve"> below) and, as such, it was unnecessary to examine</w:t>
      </w:r>
      <w:r w:rsidRPr="006A3D71" w:rsidR="00113F05">
        <w:rPr>
          <w:lang w:val="en-US"/>
        </w:rPr>
        <w:t xml:space="preserve"> </w:t>
      </w:r>
      <w:r w:rsidRPr="006A3D71">
        <w:rPr>
          <w:lang w:val="en-US"/>
        </w:rPr>
        <w:t>the applicant</w:t>
      </w:r>
      <w:r w:rsidRPr="006A3D71" w:rsidR="006A3D71">
        <w:rPr>
          <w:lang w:val="en-US"/>
        </w:rPr>
        <w:t>’</w:t>
      </w:r>
      <w:r w:rsidRPr="006A3D71">
        <w:rPr>
          <w:lang w:val="en-US"/>
        </w:rPr>
        <w:t>s arguments</w:t>
      </w:r>
      <w:r w:rsidRPr="006A3D71" w:rsidR="00A87597">
        <w:rPr>
          <w:lang w:val="en-US"/>
        </w:rPr>
        <w:t xml:space="preserve"> </w:t>
      </w:r>
      <w:r w:rsidRPr="006A3D71">
        <w:rPr>
          <w:lang w:val="en-US"/>
        </w:rPr>
        <w:t>about a lack of proportionality.</w:t>
      </w:r>
    </w:p>
    <w:p w:rsidRPr="006A3D71" w:rsidR="002B74EC" w:rsidP="006A3D71" w14:paraId="6F31725C" w14:textId="77777777">
      <w:pPr>
        <w:pStyle w:val="JuHHead"/>
      </w:pPr>
      <w:r w:rsidRPr="006A3D71">
        <w:t>RELEVANT LEGAL FRAMEWORK AND PRACTICE</w:t>
      </w:r>
    </w:p>
    <w:p w:rsidRPr="006A3D71" w:rsidR="002B74EC" w:rsidP="006A3D71" w14:paraId="56FD13B4" w14:textId="77777777">
      <w:pPr>
        <w:pStyle w:val="JuHIRoman"/>
      </w:pPr>
      <w:r w:rsidRPr="006A3D71">
        <w:t>The Constitution of the Republic of Serbia (</w:t>
      </w:r>
      <w:r w:rsidRPr="006A3D71">
        <w:rPr>
          <w:i/>
        </w:rPr>
        <w:t>Ustav Republike Srbije</w:t>
      </w:r>
      <w:r w:rsidRPr="006A3D71">
        <w:t>, published in the Official Gazette of the Republic of Serbia (“OG RS”), n</w:t>
      </w:r>
      <w:r w:rsidRPr="006A3D71">
        <w:rPr>
          <w:caps w:val="0"/>
        </w:rPr>
        <w:t>o</w:t>
      </w:r>
      <w:r w:rsidRPr="006A3D71">
        <w:t>. 98⁄06)</w:t>
      </w:r>
    </w:p>
    <w:bookmarkStart w:name="paragraph00016" w:id="16"/>
    <w:p w:rsidRPr="006A3D71" w:rsidR="002B74EC" w:rsidP="006A3D71" w14:paraId="45E9C9F7" w14:textId="4A89386B">
      <w:pPr>
        <w:pStyle w:val="JuPara"/>
      </w:pPr>
      <w:r w:rsidRPr="006A3D71">
        <w:fldChar w:fldCharType="begin"/>
      </w:r>
      <w:r w:rsidRPr="006A3D71">
        <w:instrText xml:space="preserve"> SEQ level0 \*arabic \* MERGEFORMAT </w:instrText>
      </w:r>
      <w:r w:rsidRPr="006A3D71">
        <w:fldChar w:fldCharType="separate"/>
      </w:r>
      <w:r w:rsidRPr="006A3D71" w:rsidR="006A3D71">
        <w:rPr>
          <w:noProof/>
        </w:rPr>
        <w:t>17</w:t>
      </w:r>
      <w:r w:rsidRPr="006A3D71">
        <w:fldChar w:fldCharType="end"/>
      </w:r>
      <w:bookmarkEnd w:id="16"/>
      <w:r w:rsidRPr="006A3D71">
        <w:t>.  Article 58 of the Constitution guarantees the peaceful enjoyment of possessions and other property rights acquired by law. The “right to property”</w:t>
      </w:r>
      <w:r w:rsidRPr="006A3D71" w:rsidR="00113F05">
        <w:t xml:space="preserve"> </w:t>
      </w:r>
      <w:r w:rsidRPr="006A3D71">
        <w:t>(</w:t>
      </w:r>
      <w:r w:rsidRPr="006A3D71">
        <w:rPr>
          <w:i/>
          <w:iCs/>
        </w:rPr>
        <w:t>pravo na imovinu</w:t>
      </w:r>
      <w:r w:rsidRPr="006A3D71">
        <w:t>) may be revoked or restricted only in the public</w:t>
      </w:r>
      <w:r w:rsidRPr="006A3D71" w:rsidR="00A87597">
        <w:t xml:space="preserve"> </w:t>
      </w:r>
      <w:r w:rsidRPr="006A3D71">
        <w:t>interest (as established by the law) and in return for compensation, which cannot amount to less than the market value. The law may restrict the manner in which property is used.</w:t>
      </w:r>
    </w:p>
    <w:p w:rsidRPr="006A3D71" w:rsidR="002B74EC" w:rsidP="006A3D71" w14:paraId="34F5DFF3" w14:textId="3C8C2AB9">
      <w:pPr>
        <w:pStyle w:val="JuHIRoman"/>
      </w:pPr>
      <w:r w:rsidRPr="006A3D71">
        <w:t>The Customs Act (</w:t>
      </w:r>
      <w:r w:rsidRPr="006A3D71">
        <w:rPr>
          <w:i/>
          <w:iCs/>
        </w:rPr>
        <w:t>Carinski zakon</w:t>
      </w:r>
      <w:r w:rsidRPr="006A3D71">
        <w:t>, published in OG RS, n</w:t>
      </w:r>
      <w:r w:rsidRPr="006A3D71">
        <w:rPr>
          <w:caps w:val="0"/>
        </w:rPr>
        <w:t>os</w:t>
      </w:r>
      <w:r w:rsidRPr="006A3D71">
        <w:t>. 18/10 and 111/11, before further amendments published in OG RS, n</w:t>
      </w:r>
      <w:r w:rsidRPr="006A3D71">
        <w:rPr>
          <w:caps w:val="0"/>
        </w:rPr>
        <w:t>os</w:t>
      </w:r>
      <w:r w:rsidRPr="006A3D71">
        <w:t>. 29/2015, 108/2016 and 113/2017)</w:t>
      </w:r>
    </w:p>
    <w:bookmarkStart w:name="paragraph00017" w:id="17"/>
    <w:p w:rsidRPr="006A3D71" w:rsidR="002B74EC" w:rsidP="006A3D71" w14:paraId="579D313C" w14:textId="2C6460A7">
      <w:pPr>
        <w:pStyle w:val="JuPara"/>
        <w:rPr>
          <w:rFonts w:cstheme="minorHAnsi"/>
        </w:rPr>
      </w:pPr>
      <w:r w:rsidRPr="006A3D71">
        <w:rPr>
          <w:rFonts w:cstheme="minorHAnsi"/>
        </w:rPr>
        <w:fldChar w:fldCharType="begin"/>
      </w:r>
      <w:r w:rsidRPr="006A3D71">
        <w:rPr>
          <w:rFonts w:cstheme="minorHAnsi"/>
        </w:rPr>
        <w:instrText xml:space="preserve"> SEQ level0 \*arabic \* MERGEFORMAT </w:instrText>
      </w:r>
      <w:r w:rsidRPr="006A3D71">
        <w:rPr>
          <w:rFonts w:cstheme="minorHAnsi"/>
        </w:rPr>
        <w:fldChar w:fldCharType="separate"/>
      </w:r>
      <w:r w:rsidRPr="006A3D71" w:rsidR="006A3D71">
        <w:rPr>
          <w:rFonts w:cstheme="minorHAnsi"/>
          <w:noProof/>
        </w:rPr>
        <w:t>18</w:t>
      </w:r>
      <w:r w:rsidRPr="006A3D71">
        <w:rPr>
          <w:rFonts w:cstheme="minorHAnsi"/>
        </w:rPr>
        <w:fldChar w:fldCharType="end"/>
      </w:r>
      <w:bookmarkEnd w:id="17"/>
      <w:r w:rsidRPr="006A3D71">
        <w:rPr>
          <w:rFonts w:cstheme="minorHAnsi"/>
        </w:rPr>
        <w:t>.  Article 63 of the Customs Act, entitled “Transport of goods from the customs line to the place of delivery”, provides, in the relevant parts, that a person bringing goods into the customs territory must declare those goods and must, without delay, convey them by the route specified by the customs authority and in accordance with its instructions, to the customs office or to any other place approved by the customs authority, or to a free zone. Any person who assumes responsibility for the carriage of goods brought into the customs territory becomes responsible for compliance with the obligation to declare those goods.</w:t>
      </w:r>
    </w:p>
    <w:bookmarkStart w:name="paragraph00018" w:id="18"/>
    <w:p w:rsidRPr="006A3D71" w:rsidR="002B74EC" w:rsidP="006A3D71" w14:paraId="4476C155" w14:textId="32016AC4">
      <w:pPr>
        <w:pStyle w:val="JuPara"/>
        <w:rPr>
          <w:rFonts w:eastAsia="Times New Roman" w:cstheme="minorHAnsi"/>
          <w:color w:val="000000"/>
          <w:lang w:eastAsia="fr-FR"/>
        </w:rPr>
      </w:pPr>
      <w:r w:rsidRPr="006A3D71">
        <w:rPr>
          <w:rFonts w:cstheme="minorHAnsi"/>
        </w:rPr>
        <w:fldChar w:fldCharType="begin"/>
      </w:r>
      <w:r w:rsidRPr="006A3D71">
        <w:rPr>
          <w:rFonts w:cstheme="minorHAnsi"/>
        </w:rPr>
        <w:instrText xml:space="preserve"> SEQ level0 \*arabic \* MERGEFORMAT </w:instrText>
      </w:r>
      <w:r w:rsidRPr="006A3D71">
        <w:rPr>
          <w:rFonts w:cstheme="minorHAnsi"/>
        </w:rPr>
        <w:fldChar w:fldCharType="separate"/>
      </w:r>
      <w:r w:rsidRPr="006A3D71" w:rsidR="006A3D71">
        <w:rPr>
          <w:rFonts w:cstheme="minorHAnsi"/>
          <w:noProof/>
        </w:rPr>
        <w:t>19</w:t>
      </w:r>
      <w:r w:rsidRPr="006A3D71">
        <w:rPr>
          <w:rFonts w:cstheme="minorHAnsi"/>
        </w:rPr>
        <w:fldChar w:fldCharType="end"/>
      </w:r>
      <w:bookmarkEnd w:id="18"/>
      <w:r w:rsidRPr="006A3D71">
        <w:rPr>
          <w:rFonts w:cstheme="minorHAnsi"/>
        </w:rPr>
        <w:t xml:space="preserve">.  Article 65 provides that </w:t>
      </w:r>
      <w:r w:rsidRPr="006A3D71">
        <w:rPr>
          <w:rFonts w:eastAsia="Times New Roman" w:cstheme="minorHAnsi"/>
          <w:color w:val="000000"/>
          <w:lang w:eastAsia="fr-FR"/>
        </w:rPr>
        <w:t>goods brought into the customs territory of the Republic of Serbia are to be presented to the customs office by the person</w:t>
      </w:r>
      <w:r w:rsidRPr="006A3D71" w:rsidR="00FC08DA">
        <w:rPr>
          <w:rFonts w:eastAsia="Times New Roman" w:cstheme="minorHAnsi"/>
          <w:color w:val="000000"/>
          <w:lang w:eastAsia="fr-FR"/>
        </w:rPr>
        <w:t> </w:t>
      </w:r>
      <w:r w:rsidRPr="006A3D71">
        <w:rPr>
          <w:rFonts w:eastAsia="Times New Roman" w:cstheme="minorHAnsi"/>
          <w:color w:val="000000"/>
          <w:lang w:eastAsia="fr-FR"/>
        </w:rPr>
        <w:t>who brought them into that territory or by the person who assumes responsibility for the carriage of those goods following such entry, and that person must also provide information about the summary declaration or the declaration previously filed for such goods. According to Article 66, this provision does not preclude the application of the rules in force relating to goods (i) carried by travellers or (ii) coming under a customs procedure where</w:t>
      </w:r>
      <w:r w:rsidRPr="006A3D71" w:rsidR="00A87597">
        <w:rPr>
          <w:rFonts w:eastAsia="Times New Roman" w:cstheme="minorHAnsi"/>
          <w:color w:val="000000"/>
          <w:lang w:eastAsia="fr-FR"/>
        </w:rPr>
        <w:t xml:space="preserve"> </w:t>
      </w:r>
      <w:r w:rsidRPr="006A3D71">
        <w:rPr>
          <w:rFonts w:eastAsia="Times New Roman" w:cstheme="minorHAnsi"/>
          <w:color w:val="000000"/>
          <w:lang w:eastAsia="fr-FR"/>
        </w:rPr>
        <w:t>the presentation of goods to the customs authority is not mandatory.</w:t>
      </w:r>
    </w:p>
    <w:bookmarkStart w:name="paragraph00019" w:id="19"/>
    <w:p w:rsidRPr="006A3D71" w:rsidR="002B74EC" w:rsidP="006A3D71" w14:paraId="1AE3C15C" w14:textId="6B3540BB">
      <w:pPr>
        <w:pStyle w:val="JuPara"/>
        <w:rPr>
          <w:rFonts w:cstheme="minorHAnsi"/>
        </w:rPr>
      </w:pPr>
      <w:r w:rsidRPr="006A3D71">
        <w:rPr>
          <w:rFonts w:cstheme="minorHAnsi"/>
        </w:rPr>
        <w:fldChar w:fldCharType="begin"/>
      </w:r>
      <w:r w:rsidRPr="006A3D71">
        <w:rPr>
          <w:rFonts w:cstheme="minorHAnsi"/>
        </w:rPr>
        <w:instrText xml:space="preserve"> SEQ level0 \*arabic \* MERGEFORMAT </w:instrText>
      </w:r>
      <w:r w:rsidRPr="006A3D71">
        <w:rPr>
          <w:rFonts w:cstheme="minorHAnsi"/>
        </w:rPr>
        <w:fldChar w:fldCharType="separate"/>
      </w:r>
      <w:r w:rsidRPr="006A3D71" w:rsidR="006A3D71">
        <w:rPr>
          <w:rFonts w:cstheme="minorHAnsi"/>
          <w:noProof/>
        </w:rPr>
        <w:t>20</w:t>
      </w:r>
      <w:r w:rsidRPr="006A3D71">
        <w:rPr>
          <w:rFonts w:cstheme="minorHAnsi"/>
        </w:rPr>
        <w:fldChar w:fldCharType="end"/>
      </w:r>
      <w:bookmarkEnd w:id="19"/>
      <w:r w:rsidRPr="006A3D71">
        <w:rPr>
          <w:rFonts w:cstheme="minorHAnsi"/>
        </w:rPr>
        <w:t>.  The relevant part of Article 292 provides:</w:t>
      </w:r>
    </w:p>
    <w:p w:rsidRPr="006A3D71" w:rsidR="002B74EC" w:rsidP="006A3D71" w14:paraId="2E7D93FB" w14:textId="00E5E94C">
      <w:pPr>
        <w:pStyle w:val="JuQuot"/>
      </w:pPr>
      <w:r w:rsidRPr="006A3D71">
        <w:t>“Any legal person, sole proprietor or natural person shall be fined an amount equal to</w:t>
      </w:r>
      <w:r w:rsidRPr="006A3D71" w:rsidR="00FC08DA">
        <w:t> </w:t>
      </w:r>
      <w:r w:rsidRPr="006A3D71">
        <w:t>one to four times the value of the goods that are the object of the offence, if that person:</w:t>
      </w:r>
    </w:p>
    <w:p w:rsidRPr="006A3D71" w:rsidR="002B74EC" w:rsidP="006A3D71" w14:paraId="22A2C872" w14:textId="77777777">
      <w:pPr>
        <w:pStyle w:val="JuQuot"/>
      </w:pPr>
      <w:r w:rsidRPr="006A3D71">
        <w:t>(1)</w:t>
      </w:r>
      <w:r w:rsidRPr="006A3D71">
        <w:rPr>
          <w:rFonts w:ascii="Times New Roman" w:hAnsi="Times New Roman" w:eastAsia="Times New Roman" w:cs="Times New Roman"/>
          <w:color w:val="000000"/>
          <w:sz w:val="27"/>
          <w:szCs w:val="27"/>
          <w:lang w:eastAsia="fr-FR"/>
        </w:rPr>
        <w:t xml:space="preserve"> </w:t>
      </w:r>
      <w:r w:rsidRPr="006A3D71">
        <w:t>takes goods through the border crossing at a time when the border crossing is not open to traffic or takes concealed goods through the border crossing (Article 58);</w:t>
      </w:r>
    </w:p>
    <w:p w:rsidRPr="006A3D71" w:rsidR="002B74EC" w:rsidP="006A3D71" w14:paraId="59F08319" w14:textId="77777777">
      <w:pPr>
        <w:pStyle w:val="JuQuot"/>
      </w:pPr>
      <w:r w:rsidRPr="006A3D71">
        <w:t>(2) removes goods under customs supervision, thus circumventing customs control (Articles 62, 72, 108, 123, 131);</w:t>
      </w:r>
    </w:p>
    <w:p w:rsidRPr="006A3D71" w:rsidR="002B74EC" w:rsidP="006A3D71" w14:paraId="7AE22D12" w14:textId="4CB84134">
      <w:pPr>
        <w:pStyle w:val="JuQuot"/>
      </w:pPr>
      <w:r w:rsidRPr="006A3D71">
        <w:t>(3) does not declare goods being brought, through the border crossing, into the customs territory of the Republic of Serbia or does not present the goods to the customs</w:t>
      </w:r>
      <w:r w:rsidRPr="006A3D71" w:rsidR="00FC08DA">
        <w:t> </w:t>
      </w:r>
      <w:r w:rsidRPr="006A3D71">
        <w:t>authority (Articles 63 and 65).”</w:t>
      </w:r>
    </w:p>
    <w:bookmarkStart w:name="paragraph00020" w:id="20"/>
    <w:p w:rsidRPr="006A3D71" w:rsidR="002B74EC" w:rsidP="006A3D71" w14:paraId="51E80752" w14:textId="3B0BD3E2">
      <w:pPr>
        <w:pStyle w:val="JuPara"/>
        <w:rPr>
          <w:rFonts w:cstheme="minorHAnsi"/>
        </w:rPr>
      </w:pPr>
      <w:r w:rsidRPr="006A3D71">
        <w:rPr>
          <w:rFonts w:cstheme="minorHAnsi"/>
        </w:rPr>
        <w:fldChar w:fldCharType="begin"/>
      </w:r>
      <w:r w:rsidRPr="006A3D71">
        <w:rPr>
          <w:rFonts w:cstheme="minorHAnsi"/>
        </w:rPr>
        <w:instrText xml:space="preserve"> SEQ level0 \*arabic \* MERGEFORMAT </w:instrText>
      </w:r>
      <w:r w:rsidRPr="006A3D71">
        <w:rPr>
          <w:rFonts w:cstheme="minorHAnsi"/>
        </w:rPr>
        <w:fldChar w:fldCharType="separate"/>
      </w:r>
      <w:r w:rsidRPr="006A3D71" w:rsidR="006A3D71">
        <w:rPr>
          <w:rFonts w:cstheme="minorHAnsi"/>
          <w:noProof/>
        </w:rPr>
        <w:t>21</w:t>
      </w:r>
      <w:r w:rsidRPr="006A3D71">
        <w:rPr>
          <w:rFonts w:cstheme="minorHAnsi"/>
        </w:rPr>
        <w:fldChar w:fldCharType="end"/>
      </w:r>
      <w:bookmarkEnd w:id="20"/>
      <w:r w:rsidRPr="006A3D71">
        <w:rPr>
          <w:rFonts w:cstheme="minorHAnsi"/>
        </w:rPr>
        <w:t>.  Article 298 requires confiscation (</w:t>
      </w:r>
      <w:r w:rsidRPr="006A3D71">
        <w:rPr>
          <w:rFonts w:cstheme="minorHAnsi"/>
          <w:i/>
          <w:iCs/>
        </w:rPr>
        <w:t>oduzimanje robe</w:t>
      </w:r>
      <w:r w:rsidRPr="006A3D71">
        <w:rPr>
          <w:rFonts w:cstheme="minorHAnsi"/>
        </w:rPr>
        <w:t>), as a protective measure (</w:t>
      </w:r>
      <w:r w:rsidRPr="006A3D71">
        <w:rPr>
          <w:rFonts w:cstheme="minorHAnsi"/>
          <w:i/>
          <w:iCs/>
        </w:rPr>
        <w:t>zaštitna mera</w:t>
      </w:r>
      <w:r w:rsidRPr="006A3D71">
        <w:rPr>
          <w:rFonts w:cstheme="minorHAnsi"/>
        </w:rPr>
        <w:t xml:space="preserve">), of goods that are the object of the offences referred to, </w:t>
      </w:r>
      <w:r w:rsidRPr="006A3D71">
        <w:rPr>
          <w:rFonts w:cstheme="minorHAnsi"/>
          <w:i/>
          <w:iCs/>
        </w:rPr>
        <w:t>inter alia</w:t>
      </w:r>
      <w:r w:rsidRPr="006A3D71">
        <w:rPr>
          <w:rFonts w:cstheme="minorHAnsi"/>
        </w:rPr>
        <w:t>, in Article 292. In addition to the object of the offence, the means</w:t>
      </w:r>
      <w:r w:rsidRPr="006A3D71" w:rsidR="00A87597">
        <w:rPr>
          <w:rFonts w:cstheme="minorHAnsi"/>
        </w:rPr>
        <w:t xml:space="preserve"> </w:t>
      </w:r>
      <w:r w:rsidRPr="006A3D71">
        <w:rPr>
          <w:rFonts w:cstheme="minorHAnsi"/>
        </w:rPr>
        <w:t>of carrying goods that are the object of the offence (such as the container, packaging and other items) are also to be confiscated.</w:t>
      </w:r>
      <w:r w:rsidRPr="006A3D71">
        <w:rPr>
          <w:rFonts w:eastAsia="Times New Roman" w:cstheme="minorHAnsi"/>
          <w:color w:val="000000"/>
          <w:lang w:eastAsia="fr-FR"/>
        </w:rPr>
        <w:t xml:space="preserve"> G</w:t>
      </w:r>
      <w:r w:rsidRPr="006A3D71">
        <w:rPr>
          <w:rFonts w:cstheme="minorHAnsi"/>
        </w:rPr>
        <w:t>oods are to be confiscated even if the perpetrator is not the owner of them. Goods that</w:t>
      </w:r>
      <w:r w:rsidRPr="006A3D71" w:rsidR="00FC08DA">
        <w:rPr>
          <w:rFonts w:cstheme="minorHAnsi"/>
        </w:rPr>
        <w:t> </w:t>
      </w:r>
      <w:r w:rsidRPr="006A3D71">
        <w:rPr>
          <w:rFonts w:cstheme="minorHAnsi"/>
        </w:rPr>
        <w:t>are the object of the offence, where confiscation is prescribed as a protective measure, are to be seized and placed under customs supervision until the end of the misdemeanour proceedings.</w:t>
      </w:r>
    </w:p>
    <w:p w:rsidRPr="006A3D71" w:rsidR="002B74EC" w:rsidP="006A3D71" w14:paraId="4D6DB153" w14:textId="02737B4C">
      <w:pPr>
        <w:pStyle w:val="JuPara"/>
        <w:rPr>
          <w:rFonts w:cstheme="minorHAnsi"/>
        </w:rPr>
      </w:pPr>
      <w:r w:rsidRPr="006A3D71">
        <w:rPr>
          <w:rFonts w:cstheme="minorHAnsi"/>
        </w:rPr>
        <w:fldChar w:fldCharType="begin"/>
      </w:r>
      <w:r w:rsidRPr="006A3D71">
        <w:rPr>
          <w:rFonts w:cstheme="minorHAnsi"/>
        </w:rPr>
        <w:instrText xml:space="preserve"> SEQ level0 \*arabic \* MERGEFORMAT </w:instrText>
      </w:r>
      <w:r w:rsidRPr="006A3D71">
        <w:rPr>
          <w:rFonts w:cstheme="minorHAnsi"/>
        </w:rPr>
        <w:fldChar w:fldCharType="separate"/>
      </w:r>
      <w:r w:rsidRPr="006A3D71" w:rsidR="006A3D71">
        <w:rPr>
          <w:rFonts w:cstheme="minorHAnsi"/>
          <w:noProof/>
        </w:rPr>
        <w:t>22</w:t>
      </w:r>
      <w:r w:rsidRPr="006A3D71">
        <w:rPr>
          <w:rFonts w:cstheme="minorHAnsi"/>
        </w:rPr>
        <w:fldChar w:fldCharType="end"/>
      </w:r>
      <w:r w:rsidRPr="006A3D71">
        <w:rPr>
          <w:rFonts w:cstheme="minorHAnsi"/>
        </w:rPr>
        <w:t>.  Lastly, Articles 288 and 290 provides that all permanently confiscated</w:t>
      </w:r>
      <w:r w:rsidRPr="006A3D71" w:rsidR="00A87597">
        <w:rPr>
          <w:rFonts w:cstheme="minorHAnsi"/>
        </w:rPr>
        <w:t xml:space="preserve"> </w:t>
      </w:r>
      <w:r w:rsidRPr="006A3D71">
        <w:rPr>
          <w:rFonts w:cstheme="minorHAnsi"/>
        </w:rPr>
        <w:t>goods may be sold publicly, and the income derived from that sale should be transferred to the budget of the Republic of Serbia.</w:t>
      </w:r>
    </w:p>
    <w:p w:rsidRPr="006A3D71" w:rsidR="002B74EC" w:rsidP="006A3D71" w14:paraId="0438A382" w14:textId="7BF9288E">
      <w:pPr>
        <w:pStyle w:val="JuPara"/>
        <w:rPr>
          <w:rFonts w:cstheme="minorHAnsi"/>
        </w:rPr>
      </w:pPr>
      <w:r w:rsidRPr="006A3D71">
        <w:rPr>
          <w:rFonts w:cstheme="minorHAnsi"/>
        </w:rPr>
        <w:fldChar w:fldCharType="begin"/>
      </w:r>
      <w:r w:rsidRPr="006A3D71">
        <w:rPr>
          <w:rFonts w:cstheme="minorHAnsi"/>
        </w:rPr>
        <w:instrText xml:space="preserve"> SEQ level0 \*arabic \* MERGEFORMAT </w:instrText>
      </w:r>
      <w:r w:rsidRPr="006A3D71">
        <w:rPr>
          <w:rFonts w:cstheme="minorHAnsi"/>
        </w:rPr>
        <w:fldChar w:fldCharType="separate"/>
      </w:r>
      <w:bookmarkStart w:name="paragraph00022" w:id="21"/>
      <w:r w:rsidRPr="006A3D71" w:rsidR="006A3D71">
        <w:rPr>
          <w:rFonts w:cstheme="minorHAnsi"/>
          <w:noProof/>
        </w:rPr>
        <w:t>23</w:t>
      </w:r>
      <w:bookmarkEnd w:id="21"/>
      <w:r w:rsidRPr="006A3D71">
        <w:rPr>
          <w:rFonts w:cstheme="minorHAnsi"/>
        </w:rPr>
        <w:fldChar w:fldCharType="end"/>
      </w:r>
      <w:r w:rsidRPr="006A3D71">
        <w:rPr>
          <w:rFonts w:cstheme="minorHAnsi"/>
        </w:rPr>
        <w:t>.  The provisions of the Misdemeanours Act are applicable to customs offence proceedings, pursuant to Article 306.</w:t>
      </w:r>
    </w:p>
    <w:p w:rsidRPr="006A3D71" w:rsidR="002B74EC" w:rsidP="006A3D71" w14:paraId="0BE56A5A" w14:textId="77777777">
      <w:pPr>
        <w:pStyle w:val="JuHIRoman"/>
      </w:pPr>
      <w:r w:rsidRPr="006A3D71">
        <w:t>Misdemeanours Act (</w:t>
      </w:r>
      <w:r w:rsidRPr="006A3D71">
        <w:rPr>
          <w:i/>
          <w:iCs/>
        </w:rPr>
        <w:t>Zakon o prekršajima</w:t>
      </w:r>
      <w:r w:rsidRPr="006A3D71">
        <w:t>, first published in OG FRY, n</w:t>
      </w:r>
      <w:r w:rsidRPr="006A3D71">
        <w:rPr>
          <w:caps w:val="0"/>
        </w:rPr>
        <w:t>os</w:t>
      </w:r>
      <w:r w:rsidRPr="006A3D71">
        <w:t>. 101/2005 and 111/2005, then in OG RS, n</w:t>
      </w:r>
      <w:r w:rsidRPr="006A3D71">
        <w:rPr>
          <w:caps w:val="0"/>
        </w:rPr>
        <w:t>os</w:t>
      </w:r>
      <w:r w:rsidRPr="006A3D71">
        <w:t>. 116/2008 and 111/2009)</w:t>
      </w:r>
    </w:p>
    <w:bookmarkStart w:name="paragraph00023" w:id="22"/>
    <w:p w:rsidRPr="006A3D71" w:rsidR="002B74EC" w:rsidP="006A3D71" w14:paraId="7B2DB40A" w14:textId="7BD4026F">
      <w:pPr>
        <w:pStyle w:val="JuPara"/>
      </w:pPr>
      <w:r w:rsidRPr="006A3D71">
        <w:rPr>
          <w:rFonts w:cstheme="minorHAnsi"/>
        </w:rPr>
        <w:fldChar w:fldCharType="begin"/>
      </w:r>
      <w:r w:rsidRPr="006A3D71">
        <w:rPr>
          <w:rFonts w:cstheme="minorHAnsi"/>
        </w:rPr>
        <w:instrText xml:space="preserve"> SEQ level0 \*arabic \* MERGEFORMAT </w:instrText>
      </w:r>
      <w:r w:rsidRPr="006A3D71">
        <w:rPr>
          <w:rFonts w:cstheme="minorHAnsi"/>
        </w:rPr>
        <w:fldChar w:fldCharType="separate"/>
      </w:r>
      <w:r w:rsidRPr="006A3D71" w:rsidR="006A3D71">
        <w:rPr>
          <w:rFonts w:cstheme="minorHAnsi"/>
          <w:noProof/>
        </w:rPr>
        <w:t>24</w:t>
      </w:r>
      <w:r w:rsidRPr="006A3D71">
        <w:rPr>
          <w:rFonts w:cstheme="minorHAnsi"/>
        </w:rPr>
        <w:fldChar w:fldCharType="end"/>
      </w:r>
      <w:bookmarkEnd w:id="22"/>
      <w:r w:rsidRPr="006A3D71">
        <w:rPr>
          <w:rFonts w:cstheme="minorHAnsi"/>
        </w:rPr>
        <w:t>.  Article 40, on mitigation of a penalty, states as follows:</w:t>
      </w:r>
    </w:p>
    <w:p w:rsidRPr="006A3D71" w:rsidR="002B74EC" w:rsidP="006A3D71" w14:paraId="2360F06D" w14:textId="075C9708">
      <w:pPr>
        <w:pStyle w:val="JuQuot"/>
        <w:rPr>
          <w:rFonts w:eastAsia="Times New Roman"/>
          <w:b/>
        </w:rPr>
      </w:pPr>
      <w:r w:rsidRPr="006A3D71">
        <w:rPr>
          <w:rFonts w:eastAsia="Times New Roman"/>
        </w:rPr>
        <w:t>“If during the determination of the penalty, it is assessed that the offence did not cause</w:t>
      </w:r>
      <w:r w:rsidRPr="006A3D71" w:rsidR="00FC08DA">
        <w:rPr>
          <w:rFonts w:eastAsia="Times New Roman"/>
        </w:rPr>
        <w:t> </w:t>
      </w:r>
      <w:r w:rsidRPr="006A3D71">
        <w:rPr>
          <w:rFonts w:eastAsia="Times New Roman"/>
        </w:rPr>
        <w:t>very serious consequences, and that there are mitigating circumstances that indicate that the purpose of imposing a sanction may be achieved by [imposing] a more</w:t>
      </w:r>
      <w:r w:rsidRPr="006A3D71" w:rsidR="00FC08DA">
        <w:rPr>
          <w:rFonts w:eastAsia="Times New Roman"/>
        </w:rPr>
        <w:t> </w:t>
      </w:r>
      <w:r w:rsidRPr="006A3D71">
        <w:rPr>
          <w:rFonts w:eastAsia="Times New Roman"/>
        </w:rPr>
        <w:t>lenient penalty, then the provided penalty may exceptionally be reduced by imposing a penalty below the provided minimum for that misdemeanour, but not lower</w:t>
      </w:r>
      <w:r w:rsidRPr="006A3D71" w:rsidR="00FC08DA">
        <w:rPr>
          <w:rFonts w:eastAsia="Times New Roman"/>
        </w:rPr>
        <w:t> </w:t>
      </w:r>
      <w:r w:rsidRPr="006A3D71">
        <w:rPr>
          <w:rFonts w:eastAsia="Times New Roman"/>
        </w:rPr>
        <w:t>that the general minimum penalty provided by ... law.”</w:t>
      </w:r>
    </w:p>
    <w:p w:rsidRPr="006A3D71" w:rsidR="002B74EC" w:rsidP="006A3D71" w14:paraId="58F444C3" w14:textId="77777777">
      <w:pPr>
        <w:pStyle w:val="JuHIRoman"/>
      </w:pPr>
      <w:r w:rsidRPr="006A3D71">
        <w:t>Guidance on the Serbian Customs website</w:t>
      </w:r>
    </w:p>
    <w:bookmarkStart w:name="paragraph00024" w:id="23"/>
    <w:p w:rsidRPr="006A3D71" w:rsidR="002B74EC" w:rsidP="006A3D71" w14:paraId="2DFECB67" w14:textId="77F84DA2">
      <w:pPr>
        <w:pStyle w:val="JuPara"/>
        <w:rPr>
          <w:rFonts w:ascii="Times New Roman" w:hAnsi="Times New Roman" w:eastAsia="Times New Roman" w:cs="Times New Roman"/>
          <w:bCs/>
          <w:szCs w:val="20"/>
          <w:lang w:eastAsia="fr-FR"/>
        </w:rPr>
      </w:pPr>
      <w:r w:rsidRPr="006A3D71">
        <w:rPr>
          <w:rFonts w:ascii="Times New Roman" w:hAnsi="Times New Roman" w:eastAsia="Times New Roman" w:cs="Times New Roman"/>
          <w:bCs/>
          <w:szCs w:val="20"/>
          <w:lang w:eastAsia="fr-FR"/>
        </w:rPr>
        <w:fldChar w:fldCharType="begin"/>
      </w:r>
      <w:r w:rsidRPr="006A3D71">
        <w:rPr>
          <w:rFonts w:ascii="Times New Roman" w:hAnsi="Times New Roman" w:eastAsia="Times New Roman" w:cs="Times New Roman"/>
          <w:bCs/>
          <w:szCs w:val="20"/>
          <w:lang w:eastAsia="fr-FR"/>
        </w:rPr>
        <w:instrText xml:space="preserve"> SEQ level0 \*arabic \* MERGEFORMAT </w:instrText>
      </w:r>
      <w:r w:rsidRPr="006A3D71">
        <w:rPr>
          <w:rFonts w:ascii="Times New Roman" w:hAnsi="Times New Roman" w:eastAsia="Times New Roman" w:cs="Times New Roman"/>
          <w:bCs/>
          <w:szCs w:val="20"/>
          <w:lang w:eastAsia="fr-FR"/>
        </w:rPr>
        <w:fldChar w:fldCharType="separate"/>
      </w:r>
      <w:r w:rsidRPr="006A3D71" w:rsidR="006A3D71">
        <w:rPr>
          <w:rFonts w:ascii="Times New Roman" w:hAnsi="Times New Roman" w:eastAsia="Times New Roman" w:cs="Times New Roman"/>
          <w:bCs/>
          <w:noProof/>
          <w:szCs w:val="20"/>
          <w:lang w:eastAsia="fr-FR"/>
        </w:rPr>
        <w:t>25</w:t>
      </w:r>
      <w:r w:rsidRPr="006A3D71">
        <w:rPr>
          <w:rFonts w:ascii="Times New Roman" w:hAnsi="Times New Roman" w:eastAsia="Times New Roman" w:cs="Times New Roman"/>
          <w:bCs/>
          <w:szCs w:val="20"/>
          <w:lang w:eastAsia="fr-FR"/>
        </w:rPr>
        <w:fldChar w:fldCharType="end"/>
      </w:r>
      <w:bookmarkEnd w:id="23"/>
      <w:r w:rsidRPr="006A3D71">
        <w:rPr>
          <w:rFonts w:ascii="Times New Roman" w:hAnsi="Times New Roman" w:eastAsia="Times New Roman" w:cs="Times New Roman"/>
          <w:bCs/>
          <w:szCs w:val="20"/>
          <w:lang w:eastAsia="fr-FR"/>
        </w:rPr>
        <w:t>.  According to guidance provided on the Serbian Customs website in English</w:t>
      </w:r>
      <w:r>
        <w:rPr>
          <w:rStyle w:val="FootnoteReference"/>
          <w:rFonts w:ascii="Times New Roman" w:hAnsi="Times New Roman" w:eastAsia="Times New Roman" w:cs="Times New Roman"/>
          <w:bCs/>
          <w:szCs w:val="20"/>
          <w:lang w:eastAsia="fr-FR"/>
        </w:rPr>
        <w:footnoteReference w:id="2"/>
      </w:r>
      <w:r w:rsidRPr="006A3D71">
        <w:rPr>
          <w:rFonts w:ascii="Times New Roman" w:hAnsi="Times New Roman" w:eastAsia="Times New Roman" w:cs="Times New Roman"/>
          <w:bCs/>
          <w:szCs w:val="20"/>
          <w:lang w:eastAsia="fr-FR"/>
        </w:rPr>
        <w:t>,</w:t>
      </w:r>
    </w:p>
    <w:p w:rsidRPr="006A3D71" w:rsidR="002B74EC" w:rsidP="006A3D71" w14:paraId="22CDEABD" w14:textId="5517BA13">
      <w:pPr>
        <w:pStyle w:val="JuQuot"/>
        <w:rPr>
          <w:rFonts w:ascii="Times New Roman" w:hAnsi="Times New Roman" w:eastAsia="Times New Roman" w:cs="Times New Roman"/>
          <w:bCs/>
          <w:lang w:eastAsia="fr-FR"/>
        </w:rPr>
      </w:pPr>
      <w:r w:rsidRPr="006A3D71">
        <w:rPr>
          <w:rFonts w:ascii="Times New Roman" w:hAnsi="Times New Roman" w:eastAsia="Times New Roman" w:cs="Times New Roman"/>
          <w:bCs/>
          <w:szCs w:val="20"/>
          <w:lang w:eastAsia="fr-FR"/>
        </w:rPr>
        <w:t xml:space="preserve"> </w:t>
      </w:r>
      <w:r w:rsidRPr="006A3D71">
        <w:rPr>
          <w:rFonts w:ascii="Times New Roman" w:hAnsi="Times New Roman" w:eastAsia="Times New Roman" w:cs="Times New Roman"/>
          <w:bCs/>
          <w:lang w:eastAsia="fr-FR"/>
        </w:rPr>
        <w:t>“Personal jewel[le]ry is considered to be [jewellery] that you wear, however if you [wear] a lot of jewel[le]ry on ... or [have a lot] in your luggage - you are obliged to declare it.</w:t>
      </w:r>
    </w:p>
    <w:p w:rsidRPr="006A3D71" w:rsidR="002B74EC" w:rsidP="006A3D71" w14:paraId="50B3109A" w14:textId="77777777">
      <w:pPr>
        <w:pStyle w:val="JuQuot"/>
        <w:rPr>
          <w:rFonts w:ascii="Times New Roman" w:hAnsi="Times New Roman" w:eastAsia="Times New Roman" w:cs="Times New Roman"/>
          <w:bCs/>
          <w:szCs w:val="20"/>
          <w:lang w:eastAsia="fr-FR"/>
        </w:rPr>
      </w:pPr>
      <w:r w:rsidRPr="006A3D71">
        <w:rPr>
          <w:rFonts w:ascii="Times New Roman" w:hAnsi="Times New Roman" w:eastAsia="Times New Roman" w:cs="Times New Roman"/>
          <w:bCs/>
          <w:szCs w:val="20"/>
          <w:lang w:eastAsia="fr-FR"/>
        </w:rPr>
        <w:t>It is very important that you do this, because the customs officers will treat [a] larger amount of jewellery as undeclared valuables, and you may easily find yourself in violation [of customs regulations].</w:t>
      </w:r>
    </w:p>
    <w:p w:rsidRPr="006A3D71" w:rsidR="002B74EC" w:rsidP="006A3D71" w14:paraId="0090C9C7" w14:textId="673D77F4">
      <w:pPr>
        <w:pStyle w:val="JuQuot"/>
        <w:rPr>
          <w:rFonts w:ascii="Times New Roman" w:hAnsi="Times New Roman" w:eastAsia="Times New Roman" w:cs="Times New Roman"/>
          <w:bCs/>
          <w:szCs w:val="20"/>
          <w:lang w:eastAsia="fr-FR"/>
        </w:rPr>
      </w:pPr>
      <w:r w:rsidRPr="006A3D71">
        <w:rPr>
          <w:rFonts w:ascii="Times New Roman" w:hAnsi="Times New Roman" w:eastAsia="Times New Roman" w:cs="Times New Roman"/>
          <w:bCs/>
          <w:szCs w:val="20"/>
          <w:lang w:eastAsia="fr-FR"/>
        </w:rPr>
        <w:t>It is ... safest to declare all valuables that you carry with you and save yourself from the embarrassment and risk of them being temporarily or permanently seized. This applies to personal jewel[le]ry that you wear or carry in your luggage, as well as to ... investment gold in the form of plates, bars and coins. Find out more on this subject before [your] journey on the CAS website in the Q&amp;A section.”</w:t>
      </w:r>
    </w:p>
    <w:p w:rsidRPr="006A3D71" w:rsidR="002B74EC" w:rsidP="006A3D71" w14:paraId="4D998500" w14:textId="77777777">
      <w:pPr>
        <w:pStyle w:val="JuHHead"/>
      </w:pPr>
      <w:r w:rsidRPr="006A3D71">
        <w:t>THE LAW</w:t>
      </w:r>
    </w:p>
    <w:p w:rsidRPr="006A3D71" w:rsidR="002B74EC" w:rsidP="006A3D71" w14:paraId="15902333" w14:textId="77777777">
      <w:pPr>
        <w:pStyle w:val="JuHIRoman"/>
        <w:tabs>
          <w:tab w:val="left" w:pos="567"/>
          <w:tab w:val="left" w:pos="680"/>
        </w:tabs>
        <w:ind w:left="397" w:hanging="397"/>
      </w:pPr>
      <w:r w:rsidRPr="006A3D71">
        <w:t>ALLEGED VIOLATION OF ARTICLE 1 of protocol n</w:t>
      </w:r>
      <w:r w:rsidRPr="006A3D71">
        <w:rPr>
          <w:caps w:val="0"/>
        </w:rPr>
        <w:t>o</w:t>
      </w:r>
      <w:r w:rsidRPr="006A3D71">
        <w:t>. 1 to THE CONVENTION</w:t>
      </w:r>
    </w:p>
    <w:p w:rsidRPr="006A3D71" w:rsidR="002B74EC" w:rsidP="006A3D71" w14:paraId="55A3246E" w14:textId="5242AB8F">
      <w:pPr>
        <w:pStyle w:val="JuPara"/>
        <w:rPr>
          <w:lang w:val="en-US"/>
        </w:rPr>
      </w:pPr>
      <w:r w:rsidRPr="006A3D71">
        <w:fldChar w:fldCharType="begin"/>
      </w:r>
      <w:r w:rsidRPr="006A3D71">
        <w:instrText xml:space="preserve"> SEQ level0 \*arabic </w:instrText>
      </w:r>
      <w:r w:rsidRPr="006A3D71">
        <w:fldChar w:fldCharType="separate"/>
      </w:r>
      <w:r w:rsidRPr="006A3D71" w:rsidR="006A3D71">
        <w:rPr>
          <w:noProof/>
        </w:rPr>
        <w:t>26</w:t>
      </w:r>
      <w:r w:rsidRPr="006A3D71">
        <w:fldChar w:fldCharType="end"/>
      </w:r>
      <w:r w:rsidRPr="006A3D71">
        <w:t>.  The applicant complained that the confiscation of lawfully acquired jewellery, following his failure to declare it to the Serbian customs authorities</w:t>
      </w:r>
      <w:r w:rsidRPr="006A3D71" w:rsidR="00A87597">
        <w:t xml:space="preserve"> </w:t>
      </w:r>
      <w:r w:rsidRPr="006A3D71">
        <w:t>while transiting through Serbia, had been a grossly disproportionate and unjustified measure in breach of Article 1 of Protocol No. 1 to the Convention, which reads as follows:</w:t>
      </w:r>
    </w:p>
    <w:p w:rsidRPr="006A3D71" w:rsidR="002B74EC" w:rsidP="006A3D71" w14:paraId="6EB9860C" w14:textId="6F47E1D8">
      <w:pPr>
        <w:pStyle w:val="JuQuot"/>
        <w:rPr>
          <w:rFonts w:eastAsia="Times New Roman"/>
        </w:rPr>
      </w:pPr>
      <w:r w:rsidRPr="006A3D71">
        <w:rPr>
          <w:rFonts w:eastAsia="Times New Roman"/>
        </w:rPr>
        <w:t>“Every natural or legal person is entitled to the peaceful enjoyment of his possessions.</w:t>
      </w:r>
      <w:r w:rsidRPr="006A3D71" w:rsidR="008327CA">
        <w:rPr>
          <w:rFonts w:eastAsia="Times New Roman"/>
        </w:rPr>
        <w:t> </w:t>
      </w:r>
      <w:r w:rsidRPr="006A3D71">
        <w:rPr>
          <w:rFonts w:eastAsia="Times New Roman"/>
        </w:rPr>
        <w:t>No one shall be deprived of his possessions except in the public interest and subject to the conditions provided for by law and by the general principles of international law.</w:t>
      </w:r>
    </w:p>
    <w:p w:rsidRPr="006A3D71" w:rsidR="002B74EC" w:rsidP="006A3D71" w14:paraId="5E585E63" w14:textId="5C715543">
      <w:pPr>
        <w:pStyle w:val="JuQuot"/>
        <w:rPr>
          <w:rFonts w:eastAsia="Times New Roman"/>
        </w:rPr>
      </w:pPr>
      <w:r w:rsidRPr="006A3D71">
        <w:rPr>
          <w:rFonts w:eastAsia="Times New Roman"/>
        </w:rPr>
        <w:t>The preceding provisions shall not, however, in any way impair the right of a State to</w:t>
      </w:r>
      <w:r w:rsidRPr="006A3D71" w:rsidR="008327CA">
        <w:rPr>
          <w:rFonts w:eastAsia="Times New Roman"/>
        </w:rPr>
        <w:t> </w:t>
      </w:r>
      <w:r w:rsidRPr="006A3D71">
        <w:rPr>
          <w:rFonts w:eastAsia="Times New Roman"/>
        </w:rPr>
        <w:t>enforce such laws as it deems necessary to control the use of property in accordance</w:t>
      </w:r>
      <w:r w:rsidRPr="006A3D71" w:rsidR="008327CA">
        <w:rPr>
          <w:rFonts w:eastAsia="Times New Roman"/>
        </w:rPr>
        <w:t> </w:t>
      </w:r>
      <w:r w:rsidRPr="006A3D71">
        <w:rPr>
          <w:rFonts w:eastAsia="Times New Roman"/>
        </w:rPr>
        <w:t>with the general interest or to secure the payment of taxes or other contributions or penalties.”</w:t>
      </w:r>
    </w:p>
    <w:p w:rsidRPr="006A3D71" w:rsidR="002B74EC" w:rsidP="006A3D71" w14:paraId="7F29E8AF" w14:textId="77777777">
      <w:pPr>
        <w:pStyle w:val="JuHA"/>
      </w:pPr>
      <w:r w:rsidRPr="006A3D71">
        <w:t>Admissibility</w:t>
      </w:r>
    </w:p>
    <w:p w:rsidRPr="006A3D71" w:rsidR="002B74EC" w:rsidP="006A3D71" w14:paraId="05D070EC" w14:textId="24E812E1">
      <w:pPr>
        <w:pStyle w:val="JuPara"/>
      </w:pPr>
      <w:r>
        <w:fldChar w:fldCharType="begin"/>
      </w:r>
      <w:r>
        <w:instrText xml:space="preserve"> SEQ level0 \*arabic</w:instrText>
      </w:r>
      <w:r>
        <w:instrText xml:space="preserve"> \* MERGEFORMAT </w:instrText>
      </w:r>
      <w:r>
        <w:fldChar w:fldCharType="separate"/>
      </w:r>
      <w:r w:rsidRPr="006A3D71" w:rsidR="006A3D71">
        <w:rPr>
          <w:noProof/>
        </w:rPr>
        <w:t>27</w:t>
      </w:r>
      <w:r>
        <w:rPr>
          <w:noProof/>
        </w:rPr>
        <w:fldChar w:fldCharType="end"/>
      </w:r>
      <w:r w:rsidRPr="006A3D71">
        <w:t>.  The Government did not raise any objection as regards the admissibility of the applicant</w:t>
      </w:r>
      <w:r w:rsidRPr="006A3D71" w:rsidR="006A3D71">
        <w:t>’</w:t>
      </w:r>
      <w:r w:rsidRPr="006A3D71">
        <w:t>s complaint.</w:t>
      </w:r>
    </w:p>
    <w:bookmarkStart w:name="paragraph00027" w:id="24"/>
    <w:p w:rsidRPr="006A3D71" w:rsidR="002B74EC" w:rsidP="006A3D71" w14:paraId="2888BE37" w14:textId="0143698D">
      <w:pPr>
        <w:pStyle w:val="JuPara"/>
        <w:rPr>
          <w:rFonts w:ascii="Times New Roman" w:hAnsi="Times New Roman" w:eastAsia="Times New Roman" w:cs="Times New Roman"/>
        </w:rPr>
      </w:pPr>
      <w:r w:rsidRPr="006A3D71">
        <w:rPr>
          <w:rFonts w:ascii="Times New Roman" w:hAnsi="Times New Roman" w:eastAsia="Times New Roman" w:cs="Times New Roman"/>
        </w:rPr>
        <w:fldChar w:fldCharType="begin"/>
      </w:r>
      <w:r w:rsidRPr="006A3D71">
        <w:rPr>
          <w:rFonts w:ascii="Times New Roman" w:hAnsi="Times New Roman" w:eastAsia="Times New Roman" w:cs="Times New Roman"/>
        </w:rPr>
        <w:instrText xml:space="preserve"> SEQ level0 \*arabic \* MERGEFORMAT </w:instrText>
      </w:r>
      <w:r w:rsidRPr="006A3D71">
        <w:rPr>
          <w:rFonts w:ascii="Times New Roman" w:hAnsi="Times New Roman" w:eastAsia="Times New Roman" w:cs="Times New Roman"/>
        </w:rPr>
        <w:fldChar w:fldCharType="separate"/>
      </w:r>
      <w:r w:rsidRPr="006A3D71" w:rsidR="006A3D71">
        <w:rPr>
          <w:rFonts w:ascii="Times New Roman" w:hAnsi="Times New Roman" w:eastAsia="Times New Roman" w:cs="Times New Roman"/>
          <w:noProof/>
        </w:rPr>
        <w:t>28</w:t>
      </w:r>
      <w:r w:rsidRPr="006A3D71">
        <w:rPr>
          <w:rFonts w:ascii="Times New Roman" w:hAnsi="Times New Roman" w:eastAsia="Times New Roman" w:cs="Times New Roman"/>
        </w:rPr>
        <w:fldChar w:fldCharType="end"/>
      </w:r>
      <w:bookmarkEnd w:id="24"/>
      <w:r w:rsidRPr="006A3D71">
        <w:rPr>
          <w:rFonts w:ascii="Times New Roman" w:hAnsi="Times New Roman" w:eastAsia="Times New Roman" w:cs="Times New Roman"/>
        </w:rPr>
        <w:t>.  However, the fact that the applicant complained about the confiscation</w:t>
      </w:r>
      <w:r w:rsidRPr="006A3D71" w:rsidR="00113F05">
        <w:rPr>
          <w:rFonts w:ascii="Times New Roman" w:hAnsi="Times New Roman" w:eastAsia="Times New Roman" w:cs="Times New Roman"/>
        </w:rPr>
        <w:t xml:space="preserve"> </w:t>
      </w:r>
      <w:r w:rsidRPr="006A3D71">
        <w:rPr>
          <w:rFonts w:ascii="Times New Roman" w:hAnsi="Times New Roman" w:eastAsia="Times New Roman" w:cs="Times New Roman"/>
        </w:rPr>
        <w:t>of bracelets that, by his own admission, belonged to his wife</w:t>
      </w:r>
      <w:r w:rsidRPr="006A3D71" w:rsidR="00AE72F7">
        <w:rPr>
          <w:rFonts w:ascii="Times New Roman" w:hAnsi="Times New Roman" w:eastAsia="Times New Roman" w:cs="Times New Roman"/>
        </w:rPr>
        <w:t> </w:t>
      </w:r>
      <w:r w:rsidRPr="006A3D71">
        <w:rPr>
          <w:rFonts w:ascii="Times New Roman" w:hAnsi="Times New Roman" w:eastAsia="Times New Roman" w:cs="Times New Roman"/>
        </w:rPr>
        <w:t>calls for the Court to address the issue of his victim status of its own</w:t>
      </w:r>
      <w:r w:rsidRPr="006A3D71" w:rsidR="00A87597">
        <w:rPr>
          <w:rFonts w:ascii="Times New Roman" w:hAnsi="Times New Roman" w:eastAsia="Times New Roman" w:cs="Times New Roman"/>
        </w:rPr>
        <w:t xml:space="preserve"> </w:t>
      </w:r>
      <w:r w:rsidRPr="006A3D71">
        <w:rPr>
          <w:rFonts w:ascii="Times New Roman" w:hAnsi="Times New Roman" w:eastAsia="Times New Roman" w:cs="Times New Roman"/>
        </w:rPr>
        <w:t>motion,</w:t>
      </w:r>
      <w:r w:rsidRPr="006A3D71" w:rsidR="00113F05">
        <w:rPr>
          <w:rFonts w:ascii="Times New Roman" w:hAnsi="Times New Roman" w:eastAsia="Times New Roman" w:cs="Times New Roman"/>
        </w:rPr>
        <w:t xml:space="preserve"> </w:t>
      </w:r>
      <w:r w:rsidRPr="006A3D71">
        <w:rPr>
          <w:rFonts w:ascii="Times New Roman" w:hAnsi="Times New Roman" w:eastAsia="Times New Roman" w:cs="Times New Roman"/>
        </w:rPr>
        <w:t>as a matter that goes to its own jurisdiction, notwithstanding</w:t>
      </w:r>
      <w:r w:rsidRPr="006A3D71" w:rsidR="00A87597">
        <w:rPr>
          <w:rFonts w:ascii="Times New Roman" w:hAnsi="Times New Roman" w:eastAsia="Times New Roman" w:cs="Times New Roman"/>
        </w:rPr>
        <w:t xml:space="preserve"> </w:t>
      </w:r>
      <w:r w:rsidRPr="006A3D71">
        <w:rPr>
          <w:rFonts w:ascii="Times New Roman" w:hAnsi="Times New Roman" w:eastAsia="Times New Roman" w:cs="Times New Roman"/>
        </w:rPr>
        <w:t>the</w:t>
      </w:r>
      <w:r w:rsidRPr="006A3D71" w:rsidR="00A87597">
        <w:rPr>
          <w:rFonts w:ascii="Times New Roman" w:hAnsi="Times New Roman" w:eastAsia="Times New Roman" w:cs="Times New Roman"/>
        </w:rPr>
        <w:t xml:space="preserve"> </w:t>
      </w:r>
      <w:r w:rsidRPr="006A3D71">
        <w:rPr>
          <w:rFonts w:ascii="Times New Roman" w:hAnsi="Times New Roman" w:eastAsia="Times New Roman" w:cs="Times New Roman"/>
        </w:rPr>
        <w:t>absence of any objection by the Government under this</w:t>
      </w:r>
      <w:r w:rsidRPr="006A3D71" w:rsidR="00113F05">
        <w:rPr>
          <w:rFonts w:ascii="Times New Roman" w:hAnsi="Times New Roman" w:eastAsia="Times New Roman" w:cs="Times New Roman"/>
        </w:rPr>
        <w:t xml:space="preserve"> </w:t>
      </w:r>
      <w:r w:rsidRPr="006A3D71">
        <w:rPr>
          <w:rFonts w:ascii="Times New Roman" w:hAnsi="Times New Roman" w:eastAsia="Times New Roman" w:cs="Times New Roman"/>
        </w:rPr>
        <w:t xml:space="preserve">head </w:t>
      </w:r>
      <w:r w:rsidRPr="006A3D71">
        <w:t xml:space="preserve">(see, for example, </w:t>
      </w:r>
      <w:r w:rsidRPr="006A3D71">
        <w:rPr>
          <w:i/>
          <w:iCs/>
        </w:rPr>
        <w:t>Sejdić and Finci v.</w:t>
      </w:r>
      <w:r w:rsidRPr="006A3D71" w:rsidR="00113F05">
        <w:rPr>
          <w:rFonts w:cs="Times New Roman" w:eastAsiaTheme="minorEastAsia"/>
          <w:szCs w:val="22"/>
        </w:rPr>
        <w:t> </w:t>
      </w:r>
      <w:r w:rsidRPr="006A3D71">
        <w:rPr>
          <w:i/>
          <w:iCs/>
        </w:rPr>
        <w:t>Bosnia and Herzegovina</w:t>
      </w:r>
      <w:r w:rsidRPr="006A3D71" w:rsidR="00A87597">
        <w:t xml:space="preserve"> </w:t>
      </w:r>
      <w:r w:rsidRPr="006A3D71">
        <w:t>[GC], nos.</w:t>
      </w:r>
      <w:r w:rsidRPr="006A3D71">
        <w:rPr>
          <w:rFonts w:cs="Times New Roman" w:eastAsiaTheme="minorEastAsia"/>
          <w:szCs w:val="22"/>
        </w:rPr>
        <w:t> </w:t>
      </w:r>
      <w:r w:rsidRPr="006A3D71">
        <w:t>27996/06 and 34836/06, § 27, ECHR</w:t>
      </w:r>
      <w:r w:rsidRPr="006A3D71" w:rsidR="00A87597">
        <w:t> </w:t>
      </w:r>
      <w:r w:rsidRPr="006A3D71">
        <w:t xml:space="preserve">2009; </w:t>
      </w:r>
      <w:r w:rsidRPr="006A3D71">
        <w:rPr>
          <w:i/>
          <w:iCs/>
        </w:rPr>
        <w:t>Satakunnan Markkinapörssi Oy and Satamedia Oy v.</w:t>
      </w:r>
      <w:r w:rsidRPr="006A3D71" w:rsidR="00A87597">
        <w:rPr>
          <w:i/>
          <w:iCs/>
        </w:rPr>
        <w:t> </w:t>
      </w:r>
      <w:r w:rsidRPr="006A3D71">
        <w:rPr>
          <w:i/>
          <w:iCs/>
        </w:rPr>
        <w:t>Finland</w:t>
      </w:r>
      <w:r w:rsidRPr="006A3D71">
        <w:t> [GC], no. 931/13, §§</w:t>
      </w:r>
      <w:r w:rsidRPr="006A3D71" w:rsidR="00A87597">
        <w:t xml:space="preserve"> </w:t>
      </w:r>
      <w:r w:rsidRPr="006A3D71">
        <w:t xml:space="preserve">89 and 93, 27 June 2017; and </w:t>
      </w:r>
      <w:r w:rsidRPr="006A3D71">
        <w:rPr>
          <w:i/>
          <w:iCs/>
        </w:rPr>
        <w:t>Jakovljević v.</w:t>
      </w:r>
      <w:r w:rsidRPr="006A3D71" w:rsidR="00A87597">
        <w:rPr>
          <w:i/>
          <w:iCs/>
        </w:rPr>
        <w:t> </w:t>
      </w:r>
      <w:r w:rsidRPr="006A3D71">
        <w:rPr>
          <w:i/>
          <w:iCs/>
        </w:rPr>
        <w:t>Serbia</w:t>
      </w:r>
      <w:r w:rsidRPr="006A3D71">
        <w:t xml:space="preserve"> (dec.), no.</w:t>
      </w:r>
      <w:r w:rsidRPr="006A3D71" w:rsidR="00A87597">
        <w:t> </w:t>
      </w:r>
      <w:r w:rsidRPr="006A3D71">
        <w:t>5158/12, §</w:t>
      </w:r>
      <w:r w:rsidRPr="006A3D71">
        <w:rPr>
          <w:rFonts w:cs="Times New Roman" w:eastAsiaTheme="minorEastAsia"/>
          <w:szCs w:val="22"/>
        </w:rPr>
        <w:t> </w:t>
      </w:r>
      <w:r w:rsidRPr="006A3D71">
        <w:t>29, 13</w:t>
      </w:r>
      <w:r w:rsidRPr="006A3D71" w:rsidR="00AE72F7">
        <w:t> </w:t>
      </w:r>
      <w:r w:rsidRPr="006A3D71">
        <w:t>October 2020)</w:t>
      </w:r>
      <w:r w:rsidRPr="006A3D71">
        <w:rPr>
          <w:rFonts w:ascii="Times New Roman" w:hAnsi="Times New Roman" w:eastAsia="Times New Roman" w:cs="Times New Roman"/>
        </w:rPr>
        <w:t>.</w:t>
      </w:r>
    </w:p>
    <w:p w:rsidRPr="006A3D71" w:rsidR="002B74EC" w:rsidP="006A3D71" w14:paraId="20F60B77" w14:textId="067E8C16">
      <w:pPr>
        <w:pStyle w:val="JuPara"/>
        <w:rPr>
          <w:rFonts w:ascii="Times New Roman" w:hAnsi="Times New Roman" w:eastAsia="Times New Roman" w:cs="Times New Roman"/>
        </w:rPr>
      </w:pPr>
      <w:r w:rsidRPr="006A3D71">
        <w:rPr>
          <w:rFonts w:ascii="Times New Roman" w:hAnsi="Times New Roman" w:eastAsia="Times New Roman" w:cs="Times New Roman"/>
        </w:rPr>
        <w:fldChar w:fldCharType="begin"/>
      </w:r>
      <w:r w:rsidRPr="006A3D71">
        <w:rPr>
          <w:rFonts w:ascii="Times New Roman" w:hAnsi="Times New Roman" w:eastAsia="Times New Roman" w:cs="Times New Roman"/>
        </w:rPr>
        <w:instrText xml:space="preserve"> SEQ level0 \*arabic \* MERGEFORMAT </w:instrText>
      </w:r>
      <w:r w:rsidRPr="006A3D71">
        <w:rPr>
          <w:rFonts w:ascii="Times New Roman" w:hAnsi="Times New Roman" w:eastAsia="Times New Roman" w:cs="Times New Roman"/>
        </w:rPr>
        <w:fldChar w:fldCharType="separate"/>
      </w:r>
      <w:r w:rsidRPr="006A3D71" w:rsidR="006A3D71">
        <w:rPr>
          <w:rFonts w:ascii="Times New Roman" w:hAnsi="Times New Roman" w:eastAsia="Times New Roman" w:cs="Times New Roman"/>
          <w:noProof/>
        </w:rPr>
        <w:t>29</w:t>
      </w:r>
      <w:r w:rsidRPr="006A3D71">
        <w:rPr>
          <w:rFonts w:ascii="Times New Roman" w:hAnsi="Times New Roman" w:eastAsia="Times New Roman" w:cs="Times New Roman"/>
        </w:rPr>
        <w:fldChar w:fldCharType="end"/>
      </w:r>
      <w:r w:rsidRPr="006A3D71">
        <w:rPr>
          <w:rFonts w:ascii="Times New Roman" w:hAnsi="Times New Roman" w:eastAsia="Times New Roman" w:cs="Times New Roman"/>
        </w:rPr>
        <w:t>.  The Court reiterates that, in order to be able to rely on Article 34 of the Convention, an applicant must meet two conditions: he or she must fall into one of the categories of petitioners listed in that Article and must be able</w:t>
      </w:r>
      <w:r w:rsidRPr="006A3D71" w:rsidR="00A87597">
        <w:rPr>
          <w:rFonts w:ascii="Times New Roman" w:hAnsi="Times New Roman" w:eastAsia="Times New Roman" w:cs="Times New Roman"/>
        </w:rPr>
        <w:t xml:space="preserve"> </w:t>
      </w:r>
      <w:r w:rsidRPr="006A3D71">
        <w:rPr>
          <w:rFonts w:ascii="Times New Roman" w:hAnsi="Times New Roman" w:eastAsia="Times New Roman" w:cs="Times New Roman"/>
        </w:rPr>
        <w:t>to make out a case that he or she is the victim of a violation of the Convention (see</w:t>
      </w:r>
      <w:r w:rsidRPr="006A3D71" w:rsidR="00113F05">
        <w:rPr>
          <w:rFonts w:ascii="Times New Roman" w:hAnsi="Times New Roman" w:eastAsia="Times New Roman" w:cs="Times New Roman"/>
        </w:rPr>
        <w:t xml:space="preserve"> </w:t>
      </w:r>
      <w:r w:rsidRPr="006A3D71">
        <w:rPr>
          <w:rFonts w:ascii="Times New Roman" w:hAnsi="Times New Roman" w:eastAsia="Times New Roman" w:cs="Times New Roman"/>
          <w:i/>
          <w:iCs/>
        </w:rPr>
        <w:t>Vallianatos and Others v. Greece </w:t>
      </w:r>
      <w:r w:rsidRPr="006A3D71">
        <w:rPr>
          <w:rFonts w:ascii="Times New Roman" w:hAnsi="Times New Roman" w:eastAsia="Times New Roman" w:cs="Times New Roman"/>
        </w:rPr>
        <w:t>[GC], nos. 29381/09</w:t>
      </w:r>
      <w:r w:rsidRPr="006A3D71" w:rsidR="00113F05">
        <w:rPr>
          <w:rFonts w:ascii="Times New Roman" w:hAnsi="Times New Roman" w:eastAsia="Times New Roman" w:cs="Times New Roman"/>
        </w:rPr>
        <w:t xml:space="preserve"> </w:t>
      </w:r>
      <w:r w:rsidRPr="006A3D71">
        <w:rPr>
          <w:rFonts w:ascii="Times New Roman" w:hAnsi="Times New Roman" w:eastAsia="Times New Roman" w:cs="Times New Roman"/>
        </w:rPr>
        <w:t>and</w:t>
      </w:r>
      <w:r w:rsidRPr="006A3D71" w:rsidR="00113F05">
        <w:rPr>
          <w:rFonts w:ascii="Times New Roman" w:hAnsi="Times New Roman" w:eastAsia="Times New Roman" w:cs="Times New Roman"/>
        </w:rPr>
        <w:t xml:space="preserve"> </w:t>
      </w:r>
      <w:r w:rsidRPr="006A3D71">
        <w:rPr>
          <w:rFonts w:ascii="Times New Roman" w:hAnsi="Times New Roman" w:eastAsia="Times New Roman" w:cs="Times New Roman"/>
        </w:rPr>
        <w:t>32684/09, §</w:t>
      </w:r>
      <w:r w:rsidRPr="006A3D71" w:rsidR="00A87597">
        <w:rPr>
          <w:rFonts w:ascii="Times New Roman" w:hAnsi="Times New Roman" w:eastAsia="Times New Roman" w:cs="Times New Roman"/>
        </w:rPr>
        <w:t> </w:t>
      </w:r>
      <w:r w:rsidRPr="006A3D71">
        <w:rPr>
          <w:rFonts w:ascii="Times New Roman" w:hAnsi="Times New Roman" w:eastAsia="Times New Roman" w:cs="Times New Roman"/>
        </w:rPr>
        <w:t>47, ECHR 2013 (extracts)). There must, however, be a</w:t>
      </w:r>
      <w:r w:rsidRPr="006A3D71" w:rsidR="00113F05">
        <w:rPr>
          <w:rFonts w:ascii="Times New Roman" w:hAnsi="Times New Roman" w:eastAsia="Times New Roman" w:cs="Times New Roman"/>
        </w:rPr>
        <w:t xml:space="preserve"> </w:t>
      </w:r>
      <w:r w:rsidRPr="006A3D71">
        <w:rPr>
          <w:rFonts w:ascii="Times New Roman" w:hAnsi="Times New Roman" w:eastAsia="Times New Roman" w:cs="Times New Roman"/>
        </w:rPr>
        <w:t>sufficiently direct link between the applicant and the harm that</w:t>
      </w:r>
      <w:r w:rsidRPr="006A3D71" w:rsidR="00A87597">
        <w:rPr>
          <w:rFonts w:ascii="Times New Roman" w:hAnsi="Times New Roman" w:eastAsia="Times New Roman" w:cs="Times New Roman"/>
        </w:rPr>
        <w:t xml:space="preserve"> </w:t>
      </w:r>
      <w:r w:rsidRPr="006A3D71">
        <w:rPr>
          <w:rFonts w:ascii="Times New Roman" w:hAnsi="Times New Roman" w:eastAsia="Times New Roman" w:cs="Times New Roman"/>
        </w:rPr>
        <w:t xml:space="preserve">he considers he has sustained on account of the alleged violation (see </w:t>
      </w:r>
      <w:r w:rsidRPr="006A3D71">
        <w:rPr>
          <w:rFonts w:ascii="Times New Roman" w:hAnsi="Times New Roman" w:eastAsia="Times New Roman" w:cs="Times New Roman"/>
          <w:i/>
          <w:iCs/>
        </w:rPr>
        <w:t>Gorraiz Lizarraga and Others v. Spain</w:t>
      </w:r>
      <w:r w:rsidRPr="006A3D71">
        <w:rPr>
          <w:rFonts w:ascii="Times New Roman" w:hAnsi="Times New Roman" w:eastAsia="Times New Roman" w:cs="Times New Roman"/>
        </w:rPr>
        <w:t>,</w:t>
      </w:r>
      <w:r w:rsidRPr="006A3D71" w:rsidR="00113F05">
        <w:rPr>
          <w:rFonts w:ascii="Times New Roman" w:hAnsi="Times New Roman" w:eastAsia="Times New Roman" w:cs="Times New Roman"/>
        </w:rPr>
        <w:t xml:space="preserve"> </w:t>
      </w:r>
      <w:r w:rsidRPr="006A3D71">
        <w:rPr>
          <w:rFonts w:ascii="Times New Roman" w:hAnsi="Times New Roman" w:eastAsia="Times New Roman" w:cs="Times New Roman"/>
        </w:rPr>
        <w:t>no. 62543/00, § 35, ECHR 2004</w:t>
      </w:r>
      <w:r w:rsidRPr="006A3D71">
        <w:rPr>
          <w:rFonts w:ascii="Times New Roman" w:hAnsi="Times New Roman" w:eastAsia="Times New Roman" w:cs="Times New Roman"/>
        </w:rPr>
        <w:noBreakHyphen/>
        <w:t>III).</w:t>
      </w:r>
      <w:r w:rsidRPr="006A3D71" w:rsidR="00113F05">
        <w:rPr>
          <w:rFonts w:ascii="Times New Roman" w:hAnsi="Times New Roman" w:eastAsia="Times New Roman" w:cs="Times New Roman"/>
        </w:rPr>
        <w:t xml:space="preserve"> </w:t>
      </w:r>
      <w:r w:rsidRPr="006A3D71">
        <w:rPr>
          <w:rFonts w:ascii="Times New Roman" w:hAnsi="Times New Roman" w:eastAsia="Times New Roman" w:cs="Times New Roman"/>
        </w:rPr>
        <w:t>Furthermore, an applicant can allege a</w:t>
      </w:r>
      <w:r w:rsidRPr="006A3D71" w:rsidR="00113F05">
        <w:rPr>
          <w:rFonts w:ascii="Times New Roman" w:hAnsi="Times New Roman" w:eastAsia="Times New Roman" w:cs="Times New Roman"/>
        </w:rPr>
        <w:t xml:space="preserve"> </w:t>
      </w:r>
      <w:r w:rsidRPr="006A3D71">
        <w:rPr>
          <w:rFonts w:ascii="Times New Roman" w:hAnsi="Times New Roman" w:eastAsia="Times New Roman" w:cs="Times New Roman"/>
        </w:rPr>
        <w:t>violation of Article 1</w:t>
      </w:r>
      <w:r w:rsidRPr="006A3D71" w:rsidR="008327CA">
        <w:rPr>
          <w:rFonts w:ascii="Times New Roman" w:hAnsi="Times New Roman" w:eastAsia="Times New Roman" w:cs="Times New Roman"/>
        </w:rPr>
        <w:t> </w:t>
      </w:r>
      <w:r w:rsidRPr="006A3D71">
        <w:rPr>
          <w:rFonts w:ascii="Times New Roman" w:hAnsi="Times New Roman" w:eastAsia="Times New Roman" w:cs="Times New Roman"/>
        </w:rPr>
        <w:t>of Protocol No. 1 only in so far as the impugned decisions concerned his or her “possessions” within the meaning of this provision (see,</w:t>
      </w:r>
      <w:r w:rsidRPr="006A3D71" w:rsidR="00113F05">
        <w:rPr>
          <w:rFonts w:ascii="Times New Roman" w:hAnsi="Times New Roman" w:eastAsia="Times New Roman" w:cs="Times New Roman"/>
        </w:rPr>
        <w:t xml:space="preserve"> </w:t>
      </w:r>
      <w:r w:rsidRPr="006A3D71">
        <w:rPr>
          <w:rFonts w:ascii="Times New Roman" w:hAnsi="Times New Roman" w:eastAsia="Times New Roman" w:cs="Times New Roman"/>
        </w:rPr>
        <w:t xml:space="preserve">as regards compatibility </w:t>
      </w:r>
      <w:r w:rsidRPr="006A3D71">
        <w:rPr>
          <w:rFonts w:ascii="Times New Roman" w:hAnsi="Times New Roman" w:eastAsia="Times New Roman" w:cs="Times New Roman"/>
          <w:i/>
          <w:iCs/>
        </w:rPr>
        <w:t>ratione materiae</w:t>
      </w:r>
      <w:r w:rsidRPr="006A3D71">
        <w:rPr>
          <w:rFonts w:ascii="Times New Roman" w:hAnsi="Times New Roman" w:eastAsia="Times New Roman" w:cs="Times New Roman"/>
        </w:rPr>
        <w:t xml:space="preserve">, </w:t>
      </w:r>
      <w:r w:rsidRPr="006A3D71">
        <w:rPr>
          <w:rFonts w:ascii="Times New Roman" w:hAnsi="Times New Roman" w:eastAsia="Times New Roman" w:cs="Times New Roman"/>
          <w:i/>
          <w:iCs/>
        </w:rPr>
        <w:t>Von Maltzan and Others v. Germany</w:t>
      </w:r>
      <w:r w:rsidRPr="006A3D71" w:rsidR="00113F05">
        <w:rPr>
          <w:rFonts w:ascii="Times New Roman" w:hAnsi="Times New Roman" w:eastAsia="Times New Roman" w:cs="Times New Roman"/>
          <w:i/>
          <w:iCs/>
        </w:rPr>
        <w:t xml:space="preserve"> </w:t>
      </w:r>
      <w:r w:rsidRPr="006A3D71">
        <w:rPr>
          <w:rFonts w:ascii="Times New Roman" w:hAnsi="Times New Roman" w:eastAsia="Times New Roman" w:cs="Times New Roman"/>
        </w:rPr>
        <w:t>(dec.) [GC],</w:t>
      </w:r>
      <w:r w:rsidRPr="006A3D71">
        <w:rPr>
          <w:rFonts w:ascii="Times New Roman" w:hAnsi="Times New Roman" w:eastAsia="Times New Roman" w:cs="Times New Roman"/>
          <w:i/>
          <w:iCs/>
        </w:rPr>
        <w:t xml:space="preserve"> </w:t>
      </w:r>
      <w:r w:rsidRPr="006A3D71">
        <w:rPr>
          <w:rFonts w:ascii="Times New Roman" w:hAnsi="Times New Roman" w:eastAsia="Times New Roman" w:cs="Times New Roman"/>
        </w:rPr>
        <w:t>nos. 71916/01 and two others, § 74(c), ECHR 2005</w:t>
      </w:r>
      <w:r w:rsidRPr="006A3D71">
        <w:rPr>
          <w:rFonts w:ascii="Times New Roman" w:hAnsi="Times New Roman" w:eastAsia="Times New Roman" w:cs="Times New Roman"/>
        </w:rPr>
        <w:noBreakHyphen/>
        <w:t>V). In a number of cases, the Court has already declared property-related complaints inadmissible for lack of victim status, where the applicants did not claim or provide evidence that the confiscated assets belong to them (see, for example, for application of the relevant principles to</w:t>
      </w:r>
      <w:r w:rsidRPr="006A3D71" w:rsidR="00A87597">
        <w:rPr>
          <w:rFonts w:ascii="Times New Roman" w:hAnsi="Times New Roman" w:eastAsia="Times New Roman" w:cs="Times New Roman"/>
        </w:rPr>
        <w:t xml:space="preserve"> </w:t>
      </w:r>
      <w:r w:rsidRPr="006A3D71">
        <w:rPr>
          <w:rFonts w:ascii="Times New Roman" w:hAnsi="Times New Roman" w:eastAsia="Times New Roman" w:cs="Times New Roman"/>
        </w:rPr>
        <w:t xml:space="preserve">confiscation of cash belonging to a company or family members, </w:t>
      </w:r>
      <w:r w:rsidRPr="006A3D71">
        <w:rPr>
          <w:rFonts w:ascii="Times New Roman" w:hAnsi="Times New Roman" w:eastAsia="Times New Roman" w:cs="Times New Roman"/>
          <w:i/>
          <w:iCs/>
        </w:rPr>
        <w:t>Eliseev and Ruski Elitni Klub v.</w:t>
      </w:r>
      <w:r w:rsidRPr="006A3D71" w:rsidR="00A87597">
        <w:rPr>
          <w:rFonts w:ascii="Times New Roman" w:hAnsi="Times New Roman" w:eastAsia="Times New Roman" w:cs="Times New Roman"/>
          <w:i/>
          <w:iCs/>
        </w:rPr>
        <w:t xml:space="preserve"> </w:t>
      </w:r>
      <w:r w:rsidRPr="006A3D71">
        <w:rPr>
          <w:rFonts w:ascii="Times New Roman" w:hAnsi="Times New Roman" w:eastAsia="Times New Roman" w:cs="Times New Roman"/>
          <w:i/>
          <w:iCs/>
        </w:rPr>
        <w:t>Serbia</w:t>
      </w:r>
      <w:r w:rsidRPr="006A3D71" w:rsidR="00113F05">
        <w:rPr>
          <w:rFonts w:ascii="Times New Roman" w:hAnsi="Times New Roman" w:eastAsia="Times New Roman" w:cs="Times New Roman"/>
          <w:i/>
          <w:iCs/>
        </w:rPr>
        <w:t xml:space="preserve"> </w:t>
      </w:r>
      <w:r w:rsidRPr="006A3D71">
        <w:rPr>
          <w:rFonts w:ascii="Times New Roman" w:hAnsi="Times New Roman" w:eastAsia="Times New Roman" w:cs="Times New Roman"/>
        </w:rPr>
        <w:t>(dec.), no. 8144/07, §§ 32-36, 10 July 2018, and</w:t>
      </w:r>
      <w:r w:rsidRPr="006A3D71">
        <w:rPr>
          <w:rFonts w:ascii="Times New Roman" w:hAnsi="Times New Roman" w:eastAsia="Times New Roman" w:cs="Times New Roman"/>
          <w:i/>
          <w:iCs/>
        </w:rPr>
        <w:t xml:space="preserve"> Dagostin v.</w:t>
      </w:r>
      <w:r w:rsidRPr="006A3D71">
        <w:rPr>
          <w:rFonts w:ascii="Times New Roman" w:hAnsi="Times New Roman" w:eastAsia="Times New Roman" w:cs="Times New Roman"/>
        </w:rPr>
        <w:t> </w:t>
      </w:r>
      <w:r w:rsidRPr="006A3D71">
        <w:rPr>
          <w:rFonts w:ascii="Times New Roman" w:hAnsi="Times New Roman" w:eastAsia="Times New Roman" w:cs="Times New Roman"/>
          <w:i/>
          <w:iCs/>
        </w:rPr>
        <w:t xml:space="preserve">Croatia </w:t>
      </w:r>
      <w:r w:rsidRPr="006A3D71">
        <w:rPr>
          <w:rFonts w:ascii="Times New Roman" w:hAnsi="Times New Roman" w:eastAsia="Times New Roman" w:cs="Times New Roman"/>
        </w:rPr>
        <w:t>(dec.) [Committee], no. 67644/12, §§ 23-26, 23 May</w:t>
      </w:r>
      <w:r w:rsidRPr="006A3D71" w:rsidR="008327CA">
        <w:rPr>
          <w:rFonts w:ascii="Times New Roman" w:hAnsi="Times New Roman" w:eastAsia="Times New Roman" w:cs="Times New Roman"/>
        </w:rPr>
        <w:t> </w:t>
      </w:r>
      <w:r w:rsidRPr="006A3D71">
        <w:rPr>
          <w:rFonts w:ascii="Times New Roman" w:hAnsi="Times New Roman" w:eastAsia="Times New Roman" w:cs="Times New Roman"/>
        </w:rPr>
        <w:t>2017).</w:t>
      </w:r>
    </w:p>
    <w:bookmarkStart w:name="paragraph00029" w:id="25"/>
    <w:p w:rsidRPr="006A3D71" w:rsidR="002B74EC" w:rsidP="006A3D71" w14:paraId="1A2292A6" w14:textId="702E7DC8">
      <w:pPr>
        <w:pStyle w:val="JuPara"/>
        <w:rPr>
          <w:rFonts w:eastAsia="Times New Roman" w:cstheme="minorHAnsi"/>
        </w:rPr>
      </w:pPr>
      <w:r w:rsidRPr="006A3D71">
        <w:rPr>
          <w:rFonts w:eastAsia="Times New Roman"/>
        </w:rPr>
        <w:fldChar w:fldCharType="begin"/>
      </w:r>
      <w:r w:rsidRPr="006A3D71">
        <w:rPr>
          <w:rFonts w:eastAsia="Times New Roman"/>
        </w:rPr>
        <w:instrText xml:space="preserve"> SEQ level0 \*arabic \* MERGEFORMAT </w:instrText>
      </w:r>
      <w:r w:rsidRPr="006A3D71">
        <w:rPr>
          <w:rFonts w:eastAsia="Times New Roman"/>
        </w:rPr>
        <w:fldChar w:fldCharType="separate"/>
      </w:r>
      <w:r w:rsidRPr="006A3D71" w:rsidR="006A3D71">
        <w:rPr>
          <w:rFonts w:eastAsia="Times New Roman"/>
          <w:noProof/>
        </w:rPr>
        <w:t>30</w:t>
      </w:r>
      <w:r w:rsidRPr="006A3D71">
        <w:rPr>
          <w:rFonts w:eastAsia="Times New Roman"/>
        </w:rPr>
        <w:fldChar w:fldCharType="end"/>
      </w:r>
      <w:bookmarkEnd w:id="25"/>
      <w:r w:rsidRPr="006A3D71">
        <w:rPr>
          <w:rFonts w:eastAsia="Times New Roman"/>
        </w:rPr>
        <w:t>.  However, the Court must take into consideration the specific circumstances of the present case, which distinguish it from the above-mentioned case-law. It appears from the case file and the decision of the Constitutional Court that the applicant referred to the bracelets as belonging</w:t>
      </w:r>
      <w:r w:rsidRPr="006A3D71" w:rsidR="00A87597">
        <w:rPr>
          <w:rFonts w:eastAsia="Times New Roman"/>
        </w:rPr>
        <w:t xml:space="preserve"> </w:t>
      </w:r>
      <w:r w:rsidRPr="006A3D71">
        <w:rPr>
          <w:rFonts w:eastAsia="Times New Roman"/>
        </w:rPr>
        <w:t>to his wife in the context of explaining the lawful origin of the jewellery and not in order to deny his ownership. As to their purported destination, the applicant stated that he had been carrying them through</w:t>
      </w:r>
      <w:r w:rsidRPr="006A3D71" w:rsidR="00A87597">
        <w:rPr>
          <w:rFonts w:eastAsia="Times New Roman"/>
        </w:rPr>
        <w:t xml:space="preserve"> </w:t>
      </w:r>
      <w:r w:rsidRPr="006A3D71">
        <w:rPr>
          <w:rFonts w:eastAsia="Times New Roman"/>
        </w:rPr>
        <w:t>Serbia on his way from the Netherlands to Türkiye, where he intended to sell them if additional</w:t>
      </w:r>
      <w:r w:rsidRPr="006A3D71" w:rsidR="00A87597">
        <w:rPr>
          <w:rFonts w:eastAsia="Times New Roman"/>
        </w:rPr>
        <w:t xml:space="preserve"> </w:t>
      </w:r>
      <w:r w:rsidRPr="006A3D71">
        <w:rPr>
          <w:rFonts w:eastAsia="Times New Roman"/>
        </w:rPr>
        <w:t>funds were required for the purchase of</w:t>
      </w:r>
      <w:r w:rsidRPr="006A3D71" w:rsidR="00113F05">
        <w:rPr>
          <w:rFonts w:eastAsia="Times New Roman"/>
        </w:rPr>
        <w:t xml:space="preserve"> </w:t>
      </w:r>
      <w:r w:rsidRPr="006A3D71">
        <w:rPr>
          <w:rFonts w:eastAsia="Times New Roman"/>
        </w:rPr>
        <w:t>a</w:t>
      </w:r>
      <w:r w:rsidRPr="006A3D71" w:rsidR="00113F05">
        <w:rPr>
          <w:rFonts w:eastAsia="Times New Roman"/>
        </w:rPr>
        <w:t xml:space="preserve"> </w:t>
      </w:r>
      <w:r w:rsidRPr="006A3D71">
        <w:rPr>
          <w:rFonts w:eastAsia="Times New Roman"/>
        </w:rPr>
        <w:t xml:space="preserve">family home in Antalya (see paragraphs </w:t>
      </w:r>
      <w:r w:rsidRPr="006A3D71">
        <w:rPr>
          <w:rFonts w:eastAsia="Times New Roman"/>
        </w:rPr>
        <w:fldChar w:fldCharType="begin"/>
      </w:r>
      <w:r w:rsidRPr="006A3D71">
        <w:rPr>
          <w:rFonts w:eastAsia="Times New Roman"/>
        </w:rPr>
        <w:instrText xml:space="preserve">REF paragraph00006 \h \* CharFormat  \* MERGEFORMAT </w:instrText>
      </w:r>
      <w:r w:rsidRPr="006A3D71">
        <w:rPr>
          <w:rFonts w:eastAsia="Times New Roman"/>
        </w:rPr>
        <w:fldChar w:fldCharType="separate"/>
      </w:r>
      <w:r w:rsidRPr="006A3D71" w:rsidR="006A3D71">
        <w:rPr>
          <w:rFonts w:eastAsia="Times New Roman"/>
        </w:rPr>
        <w:t>7</w:t>
      </w:r>
      <w:r w:rsidRPr="006A3D71">
        <w:rPr>
          <w:rFonts w:eastAsia="Times New Roman"/>
        </w:rPr>
        <w:fldChar w:fldCharType="end"/>
      </w:r>
      <w:r w:rsidRPr="006A3D71">
        <w:rPr>
          <w:rFonts w:eastAsia="Times New Roman"/>
        </w:rPr>
        <w:t xml:space="preserve">, </w:t>
      </w:r>
      <w:r w:rsidRPr="006A3D71">
        <w:rPr>
          <w:rFonts w:eastAsia="Times New Roman"/>
        </w:rPr>
        <w:fldChar w:fldCharType="begin"/>
      </w:r>
      <w:r w:rsidRPr="006A3D71">
        <w:rPr>
          <w:rFonts w:eastAsia="Times New Roman"/>
        </w:rPr>
        <w:instrText xml:space="preserve">REF paragraph00010 \h \* CharFormat  \* MERGEFORMAT </w:instrText>
      </w:r>
      <w:r w:rsidRPr="006A3D71">
        <w:rPr>
          <w:rFonts w:eastAsia="Times New Roman"/>
        </w:rPr>
        <w:fldChar w:fldCharType="separate"/>
      </w:r>
      <w:r w:rsidRPr="006A3D71" w:rsidR="006A3D71">
        <w:rPr>
          <w:rFonts w:eastAsia="Times New Roman"/>
        </w:rPr>
        <w:t>11</w:t>
      </w:r>
      <w:r w:rsidRPr="006A3D71">
        <w:rPr>
          <w:rFonts w:eastAsia="Times New Roman"/>
        </w:rPr>
        <w:fldChar w:fldCharType="end"/>
      </w:r>
      <w:r w:rsidRPr="006A3D71">
        <w:rPr>
          <w:rFonts w:eastAsia="Times New Roman"/>
        </w:rPr>
        <w:t xml:space="preserve"> and </w:t>
      </w:r>
      <w:r w:rsidRPr="006A3D71">
        <w:rPr>
          <w:rFonts w:eastAsia="Times New Roman"/>
        </w:rPr>
        <w:fldChar w:fldCharType="begin"/>
      </w:r>
      <w:r w:rsidRPr="006A3D71">
        <w:rPr>
          <w:rFonts w:eastAsia="Times New Roman"/>
        </w:rPr>
        <w:instrText xml:space="preserve">REF paragraph00014 \h \* CharFormat  \* MERGEFORMAT </w:instrText>
      </w:r>
      <w:r w:rsidRPr="006A3D71">
        <w:rPr>
          <w:rFonts w:eastAsia="Times New Roman"/>
        </w:rPr>
        <w:fldChar w:fldCharType="separate"/>
      </w:r>
      <w:r w:rsidRPr="006A3D71" w:rsidR="006A3D71">
        <w:rPr>
          <w:rFonts w:eastAsia="Times New Roman"/>
        </w:rPr>
        <w:t>15</w:t>
      </w:r>
      <w:r w:rsidRPr="006A3D71">
        <w:rPr>
          <w:rFonts w:eastAsia="Times New Roman"/>
        </w:rPr>
        <w:fldChar w:fldCharType="end"/>
      </w:r>
      <w:r w:rsidRPr="006A3D71">
        <w:rPr>
          <w:rFonts w:eastAsia="Times New Roman"/>
        </w:rPr>
        <w:t xml:space="preserve"> above).</w:t>
      </w:r>
      <w:r w:rsidRPr="006A3D71">
        <w:rPr>
          <w:rFonts w:eastAsia="Times New Roman" w:cstheme="minorHAnsi"/>
          <w:lang w:val="en-US"/>
        </w:rPr>
        <w:t xml:space="preserve"> In those</w:t>
      </w:r>
      <w:r w:rsidRPr="006A3D71" w:rsidR="00113F05">
        <w:rPr>
          <w:rFonts w:eastAsia="Times New Roman" w:cstheme="minorHAnsi"/>
          <w:lang w:val="en-US"/>
        </w:rPr>
        <w:t xml:space="preserve"> </w:t>
      </w:r>
      <w:r w:rsidRPr="006A3D71">
        <w:rPr>
          <w:rFonts w:eastAsia="Times New Roman" w:cstheme="minorHAnsi"/>
          <w:lang w:val="en-US"/>
        </w:rPr>
        <w:t>circumstances, the Constitutional Court explicitly acknowledged that</w:t>
      </w:r>
      <w:r w:rsidRPr="006A3D71" w:rsidR="00AE72F7">
        <w:rPr>
          <w:rFonts w:eastAsia="Times New Roman" w:cstheme="minorHAnsi"/>
          <w:lang w:val="en-US"/>
        </w:rPr>
        <w:t> </w:t>
      </w:r>
      <w:r w:rsidRPr="006A3D71">
        <w:rPr>
          <w:rFonts w:eastAsia="Times New Roman" w:cstheme="minorHAnsi"/>
          <w:lang w:val="en-US"/>
        </w:rPr>
        <w:t>the bracelets were the applicant</w:t>
      </w:r>
      <w:r w:rsidRPr="006A3D71" w:rsidR="006A3D71">
        <w:rPr>
          <w:rFonts w:eastAsia="Times New Roman" w:cstheme="minorHAnsi"/>
          <w:lang w:val="en-US"/>
        </w:rPr>
        <w:t>’</w:t>
      </w:r>
      <w:r w:rsidRPr="006A3D71">
        <w:rPr>
          <w:rFonts w:eastAsia="Times New Roman" w:cstheme="minorHAnsi"/>
          <w:lang w:val="en-US"/>
        </w:rPr>
        <w:t>s property, which had been lawfully</w:t>
      </w:r>
      <w:r w:rsidRPr="006A3D71" w:rsidR="00113F05">
        <w:rPr>
          <w:rFonts w:eastAsia="Times New Roman" w:cstheme="minorHAnsi"/>
          <w:lang w:val="en-US"/>
        </w:rPr>
        <w:t xml:space="preserve"> </w:t>
      </w:r>
      <w:r w:rsidRPr="006A3D71">
        <w:rPr>
          <w:rFonts w:eastAsia="Times New Roman" w:cstheme="minorHAnsi"/>
          <w:lang w:val="en-US"/>
        </w:rPr>
        <w:t>acquired by his wife, and that he had a “possession” entitling him</w:t>
      </w:r>
      <w:r w:rsidRPr="006A3D71" w:rsidR="00A87597">
        <w:rPr>
          <w:rFonts w:eastAsia="Times New Roman" w:cstheme="minorHAnsi"/>
          <w:lang w:val="en-US"/>
        </w:rPr>
        <w:t xml:space="preserve"> </w:t>
      </w:r>
      <w:r w:rsidRPr="006A3D71">
        <w:rPr>
          <w:rFonts w:eastAsia="Times New Roman" w:cstheme="minorHAnsi"/>
          <w:lang w:val="en-US"/>
        </w:rPr>
        <w:t>to</w:t>
      </w:r>
      <w:r w:rsidRPr="006A3D71" w:rsidR="00A87597">
        <w:rPr>
          <w:rFonts w:eastAsia="Times New Roman" w:cstheme="minorHAnsi"/>
          <w:lang w:val="en-US"/>
        </w:rPr>
        <w:t xml:space="preserve"> </w:t>
      </w:r>
      <w:r w:rsidRPr="006A3D71">
        <w:rPr>
          <w:rFonts w:eastAsia="Times New Roman" w:cstheme="minorHAnsi"/>
          <w:lang w:val="en-US"/>
        </w:rPr>
        <w:t xml:space="preserve">protection under Article 58 of the Constitution (see </w:t>
      </w:r>
      <w:r w:rsidRPr="006A3D71">
        <w:rPr>
          <w:rFonts w:eastAsia="Times New Roman"/>
          <w:lang w:val="en-US"/>
        </w:rPr>
        <w:t>paragraph </w:t>
      </w:r>
      <w:r w:rsidRPr="006A3D71">
        <w:rPr>
          <w:rFonts w:eastAsia="Times New Roman"/>
          <w:lang w:val="en-US"/>
        </w:rPr>
        <w:fldChar w:fldCharType="begin"/>
      </w:r>
      <w:r w:rsidRPr="006A3D71">
        <w:rPr>
          <w:rFonts w:eastAsia="Times New Roman"/>
          <w:lang w:val="en-US"/>
        </w:rPr>
        <w:instrText xml:space="preserve">REF paragraph00014 \h \* CharFormat  \* MERGEFORMAT </w:instrText>
      </w:r>
      <w:r w:rsidRPr="006A3D71">
        <w:rPr>
          <w:rFonts w:eastAsia="Times New Roman"/>
          <w:lang w:val="en-US"/>
        </w:rPr>
        <w:fldChar w:fldCharType="separate"/>
      </w:r>
      <w:r w:rsidRPr="006A3D71" w:rsidR="006A3D71">
        <w:rPr>
          <w:rFonts w:eastAsia="Times New Roman"/>
          <w:lang w:val="en-US"/>
        </w:rPr>
        <w:t>15</w:t>
      </w:r>
      <w:r w:rsidRPr="006A3D71">
        <w:rPr>
          <w:rFonts w:eastAsia="Times New Roman"/>
          <w:lang w:val="en-US"/>
        </w:rPr>
        <w:fldChar w:fldCharType="end"/>
      </w:r>
      <w:r w:rsidRPr="006A3D71" w:rsidR="00AE72F7">
        <w:rPr>
          <w:rFonts w:eastAsia="Times New Roman"/>
          <w:lang w:val="en-US"/>
        </w:rPr>
        <w:t> </w:t>
      </w:r>
      <w:r w:rsidRPr="006A3D71">
        <w:rPr>
          <w:rFonts w:eastAsia="Times New Roman"/>
        </w:rPr>
        <w:t>above as regards the Constitutional Court</w:t>
      </w:r>
      <w:r w:rsidRPr="006A3D71" w:rsidR="006A3D71">
        <w:rPr>
          <w:rFonts w:eastAsia="Times New Roman"/>
        </w:rPr>
        <w:t>’</w:t>
      </w:r>
      <w:r w:rsidRPr="006A3D71">
        <w:rPr>
          <w:rFonts w:eastAsia="Times New Roman"/>
        </w:rPr>
        <w:t>s</w:t>
      </w:r>
      <w:r w:rsidRPr="006A3D71" w:rsidR="002A2CCF">
        <w:rPr>
          <w:rFonts w:eastAsia="Times New Roman"/>
        </w:rPr>
        <w:t xml:space="preserve"> </w:t>
      </w:r>
      <w:r w:rsidRPr="006A3D71">
        <w:rPr>
          <w:rFonts w:eastAsia="Times New Roman"/>
        </w:rPr>
        <w:t>explicit position</w:t>
      </w:r>
      <w:r w:rsidRPr="006A3D71" w:rsidR="00113F05">
        <w:rPr>
          <w:rFonts w:eastAsia="Times New Roman"/>
        </w:rPr>
        <w:t xml:space="preserve"> </w:t>
      </w:r>
      <w:r w:rsidRPr="006A3D71">
        <w:rPr>
          <w:rFonts w:eastAsia="Times New Roman"/>
        </w:rPr>
        <w:t>in</w:t>
      </w:r>
      <w:r w:rsidRPr="006A3D71" w:rsidR="00113F05">
        <w:rPr>
          <w:rFonts w:eastAsia="Times New Roman"/>
        </w:rPr>
        <w:t xml:space="preserve"> </w:t>
      </w:r>
      <w:r w:rsidRPr="006A3D71">
        <w:rPr>
          <w:rFonts w:eastAsia="Times New Roman"/>
        </w:rPr>
        <w:t>that respect).</w:t>
      </w:r>
    </w:p>
    <w:bookmarkStart w:name="paragraph00030" w:id="26"/>
    <w:p w:rsidRPr="006A3D71" w:rsidR="002B74EC" w:rsidP="006A3D71" w14:paraId="3B60A98B" w14:textId="4EED293F">
      <w:pPr>
        <w:pStyle w:val="JuPara"/>
        <w:rPr>
          <w:rFonts w:eastAsia="Times New Roman"/>
        </w:rPr>
      </w:pPr>
      <w:r w:rsidRPr="006A3D71">
        <w:rPr>
          <w:rFonts w:eastAsia="Times New Roman"/>
        </w:rPr>
        <w:fldChar w:fldCharType="begin"/>
      </w:r>
      <w:r w:rsidRPr="006A3D71">
        <w:rPr>
          <w:rFonts w:eastAsia="Times New Roman"/>
        </w:rPr>
        <w:instrText xml:space="preserve"> SEQ level0 \*arabic \* MERGEFORMAT </w:instrText>
      </w:r>
      <w:r w:rsidRPr="006A3D71">
        <w:rPr>
          <w:rFonts w:eastAsia="Times New Roman"/>
        </w:rPr>
        <w:fldChar w:fldCharType="separate"/>
      </w:r>
      <w:r w:rsidRPr="006A3D71" w:rsidR="006A3D71">
        <w:rPr>
          <w:rFonts w:eastAsia="Times New Roman"/>
          <w:noProof/>
        </w:rPr>
        <w:t>31</w:t>
      </w:r>
      <w:r w:rsidRPr="006A3D71">
        <w:rPr>
          <w:rFonts w:eastAsia="Times New Roman"/>
        </w:rPr>
        <w:fldChar w:fldCharType="end"/>
      </w:r>
      <w:bookmarkEnd w:id="26"/>
      <w:r w:rsidRPr="006A3D71">
        <w:rPr>
          <w:rFonts w:eastAsia="Times New Roman"/>
        </w:rPr>
        <w:t xml:space="preserve">.  Having regard to its limited power to review the facts established by the domestic authorities (see </w:t>
      </w:r>
      <w:r w:rsidRPr="006A3D71">
        <w:rPr>
          <w:i/>
          <w:iCs/>
        </w:rPr>
        <w:t>Savran v. Denmark</w:t>
      </w:r>
      <w:r w:rsidRPr="006A3D71">
        <w:t xml:space="preserve"> [GC], no. 57467/15, § 189, 7 December 2021, and the authorities cited therein)</w:t>
      </w:r>
      <w:r w:rsidRPr="006A3D71">
        <w:rPr>
          <w:rFonts w:eastAsia="Times New Roman"/>
        </w:rPr>
        <w:t>, the Court is not in a position to call into question the Constitutional Court</w:t>
      </w:r>
      <w:r w:rsidRPr="006A3D71" w:rsidR="006A3D71">
        <w:rPr>
          <w:rFonts w:eastAsia="Times New Roman"/>
        </w:rPr>
        <w:t>’</w:t>
      </w:r>
      <w:r w:rsidRPr="006A3D71">
        <w:rPr>
          <w:rFonts w:eastAsia="Times New Roman"/>
        </w:rPr>
        <w:t>s findings of facts as to</w:t>
      </w:r>
      <w:r w:rsidRPr="006A3D71" w:rsidR="00A87597">
        <w:rPr>
          <w:rFonts w:eastAsia="Times New Roman"/>
        </w:rPr>
        <w:t xml:space="preserve"> </w:t>
      </w:r>
      <w:r w:rsidRPr="006A3D71">
        <w:rPr>
          <w:rFonts w:eastAsia="Times New Roman"/>
        </w:rPr>
        <w:t>the issue of ownership, and thus to determine the matter differently. Moreover, the Constitutional Court</w:t>
      </w:r>
      <w:r w:rsidRPr="006A3D71" w:rsidR="006A3D71">
        <w:rPr>
          <w:rFonts w:eastAsia="Times New Roman"/>
        </w:rPr>
        <w:t>’</w:t>
      </w:r>
      <w:r w:rsidRPr="006A3D71">
        <w:rPr>
          <w:rFonts w:eastAsia="Times New Roman"/>
        </w:rPr>
        <w:t>s finding that the bracelets were the applicant</w:t>
      </w:r>
      <w:r w:rsidRPr="006A3D71" w:rsidR="006A3D71">
        <w:rPr>
          <w:rFonts w:eastAsia="Times New Roman"/>
        </w:rPr>
        <w:t>’</w:t>
      </w:r>
      <w:r w:rsidRPr="006A3D71">
        <w:rPr>
          <w:rFonts w:eastAsia="Times New Roman"/>
        </w:rPr>
        <w:t xml:space="preserve">s “possession” has not been refuted or even challenged by the Government (contrast, for example, </w:t>
      </w:r>
      <w:r w:rsidRPr="006A3D71">
        <w:rPr>
          <w:rFonts w:eastAsia="Times New Roman"/>
          <w:i/>
          <w:iCs/>
        </w:rPr>
        <w:t>Imeri v. Croatia</w:t>
      </w:r>
      <w:r w:rsidRPr="006A3D71">
        <w:rPr>
          <w:rFonts w:eastAsia="Times New Roman"/>
        </w:rPr>
        <w:t xml:space="preserve">, no. 77668/14, </w:t>
      </w:r>
      <w:r w:rsidRPr="006A3D71">
        <w:rPr>
          <w:rFonts w:eastAsia="Times New Roman"/>
          <w:lang w:val="en-US"/>
        </w:rPr>
        <w:t>§§ 50</w:t>
      </w:r>
      <w:r w:rsidRPr="006A3D71" w:rsidR="00113F05">
        <w:rPr>
          <w:rFonts w:eastAsia="Times New Roman"/>
          <w:lang w:val="en-US"/>
        </w:rPr>
        <w:noBreakHyphen/>
      </w:r>
      <w:r w:rsidRPr="006A3D71">
        <w:rPr>
          <w:rFonts w:eastAsia="Times New Roman"/>
          <w:lang w:val="en-US"/>
        </w:rPr>
        <w:t xml:space="preserve">51, </w:t>
      </w:r>
      <w:r w:rsidRPr="006A3D71">
        <w:rPr>
          <w:rFonts w:eastAsia="Times New Roman"/>
        </w:rPr>
        <w:t xml:space="preserve">24 June 2021), who have, on the contrary, endorsed that finding (see paragraph </w:t>
      </w:r>
      <w:r w:rsidRPr="006A3D71">
        <w:rPr>
          <w:rFonts w:eastAsia="Times New Roman"/>
        </w:rPr>
        <w:fldChar w:fldCharType="begin"/>
      </w:r>
      <w:r w:rsidRPr="006A3D71">
        <w:rPr>
          <w:rFonts w:eastAsia="Times New Roman"/>
        </w:rPr>
        <w:instrText xml:space="preserve">REF paragraph00035 \h \* CharFormat  \* MERGEFORMAT </w:instrText>
      </w:r>
      <w:r w:rsidRPr="006A3D71">
        <w:rPr>
          <w:rFonts w:eastAsia="Times New Roman"/>
        </w:rPr>
        <w:fldChar w:fldCharType="separate"/>
      </w:r>
      <w:r w:rsidRPr="006A3D71" w:rsidR="006A3D71">
        <w:rPr>
          <w:rFonts w:eastAsia="Times New Roman"/>
        </w:rPr>
        <w:t>36</w:t>
      </w:r>
      <w:r w:rsidRPr="006A3D71">
        <w:rPr>
          <w:rFonts w:eastAsia="Times New Roman"/>
        </w:rPr>
        <w:fldChar w:fldCharType="end"/>
      </w:r>
      <w:r w:rsidRPr="006A3D71">
        <w:rPr>
          <w:rFonts w:eastAsia="Times New Roman"/>
        </w:rPr>
        <w:t xml:space="preserve"> below).</w:t>
      </w:r>
    </w:p>
    <w:bookmarkStart w:name="paragraph00031" w:id="27"/>
    <w:p w:rsidRPr="006A3D71" w:rsidR="002B74EC" w:rsidP="006A3D71" w14:paraId="06551F07" w14:textId="602B165C">
      <w:pPr>
        <w:pStyle w:val="JuPara"/>
        <w:rPr>
          <w:rFonts w:eastAsia="Times New Roman"/>
          <w:lang w:val="en-US"/>
        </w:rPr>
      </w:pPr>
      <w:r w:rsidRPr="006A3D71">
        <w:rPr>
          <w:rFonts w:eastAsia="Times New Roman"/>
        </w:rPr>
        <w:fldChar w:fldCharType="begin"/>
      </w:r>
      <w:r w:rsidRPr="006A3D71">
        <w:rPr>
          <w:rFonts w:eastAsia="Times New Roman"/>
        </w:rPr>
        <w:instrText xml:space="preserve"> SEQ level0 \*arabic \* MERGEFORMAT </w:instrText>
      </w:r>
      <w:r w:rsidRPr="006A3D71">
        <w:rPr>
          <w:rFonts w:eastAsia="Times New Roman"/>
        </w:rPr>
        <w:fldChar w:fldCharType="separate"/>
      </w:r>
      <w:r w:rsidRPr="006A3D71" w:rsidR="006A3D71">
        <w:rPr>
          <w:rFonts w:eastAsia="Times New Roman"/>
          <w:noProof/>
        </w:rPr>
        <w:t>32</w:t>
      </w:r>
      <w:r w:rsidRPr="006A3D71">
        <w:rPr>
          <w:rFonts w:eastAsia="Times New Roman"/>
        </w:rPr>
        <w:fldChar w:fldCharType="end"/>
      </w:r>
      <w:bookmarkEnd w:id="27"/>
      <w:r w:rsidRPr="006A3D71">
        <w:rPr>
          <w:rFonts w:eastAsia="Times New Roman"/>
        </w:rPr>
        <w:t>.  In addition, the Court observes that undeclared goods are to be confiscated as the object of a misdemeanour, by virtue of the Customs Act, from the perpetrator of that misdemeanour, regardless of their lawful origin or whether or not the perpetrator was the owner of the undeclared goods (see</w:t>
      </w:r>
      <w:r w:rsidRPr="006A3D71" w:rsidR="00A87597">
        <w:rPr>
          <w:rFonts w:eastAsia="Times New Roman"/>
        </w:rPr>
        <w:t xml:space="preserve"> </w:t>
      </w:r>
      <w:r w:rsidRPr="006A3D71">
        <w:rPr>
          <w:rFonts w:eastAsia="Times New Roman"/>
        </w:rPr>
        <w:t xml:space="preserve">paragraphs </w:t>
      </w:r>
      <w:r w:rsidRPr="006A3D71">
        <w:rPr>
          <w:rFonts w:eastAsia="Times New Roman"/>
        </w:rPr>
        <w:fldChar w:fldCharType="begin"/>
      </w:r>
      <w:r w:rsidRPr="006A3D71">
        <w:rPr>
          <w:rFonts w:eastAsia="Times New Roman"/>
        </w:rPr>
        <w:instrText xml:space="preserve">REF paragraph00011 \h \* CharFormat  \* MERGEFORMAT </w:instrText>
      </w:r>
      <w:r w:rsidRPr="006A3D71">
        <w:rPr>
          <w:rFonts w:eastAsia="Times New Roman"/>
        </w:rPr>
        <w:fldChar w:fldCharType="separate"/>
      </w:r>
      <w:r w:rsidRPr="006A3D71" w:rsidR="006A3D71">
        <w:rPr>
          <w:rFonts w:eastAsia="Times New Roman"/>
        </w:rPr>
        <w:t>12</w:t>
      </w:r>
      <w:r w:rsidRPr="006A3D71">
        <w:rPr>
          <w:rFonts w:eastAsia="Times New Roman"/>
        </w:rPr>
        <w:fldChar w:fldCharType="end"/>
      </w:r>
      <w:r w:rsidRPr="006A3D71">
        <w:rPr>
          <w:rFonts w:eastAsia="Times New Roman"/>
        </w:rPr>
        <w:t xml:space="preserve"> and </w:t>
      </w:r>
      <w:r w:rsidRPr="006A3D71">
        <w:rPr>
          <w:rFonts w:eastAsia="Times New Roman"/>
        </w:rPr>
        <w:fldChar w:fldCharType="begin"/>
      </w:r>
      <w:r w:rsidRPr="006A3D71">
        <w:rPr>
          <w:rFonts w:eastAsia="Times New Roman"/>
        </w:rPr>
        <w:instrText xml:space="preserve">REF paragraph00020 \h \* CharFormat  \* MERGEFORMAT </w:instrText>
      </w:r>
      <w:r w:rsidRPr="006A3D71">
        <w:rPr>
          <w:rFonts w:eastAsia="Times New Roman"/>
        </w:rPr>
        <w:fldChar w:fldCharType="separate"/>
      </w:r>
      <w:r w:rsidRPr="006A3D71" w:rsidR="006A3D71">
        <w:rPr>
          <w:rFonts w:eastAsia="Times New Roman"/>
        </w:rPr>
        <w:t>21</w:t>
      </w:r>
      <w:r w:rsidRPr="006A3D71">
        <w:rPr>
          <w:rFonts w:eastAsia="Times New Roman"/>
        </w:rPr>
        <w:fldChar w:fldCharType="end"/>
      </w:r>
      <w:r w:rsidRPr="006A3D71">
        <w:rPr>
          <w:rFonts w:eastAsia="Times New Roman"/>
        </w:rPr>
        <w:t xml:space="preserve"> above). Moreover, the confiscation in the present</w:t>
      </w:r>
      <w:r w:rsidRPr="006A3D71" w:rsidR="002A2CCF">
        <w:rPr>
          <w:rFonts w:eastAsia="Times New Roman"/>
        </w:rPr>
        <w:t xml:space="preserve"> </w:t>
      </w:r>
      <w:r w:rsidRPr="006A3D71">
        <w:rPr>
          <w:rFonts w:eastAsia="Times New Roman"/>
        </w:rPr>
        <w:t xml:space="preserve">case entailed the conclusive transfer of ownership of the bracelets, seized </w:t>
      </w:r>
      <w:r w:rsidRPr="006A3D71" w:rsidR="00571F69">
        <w:rPr>
          <w:rFonts w:eastAsia="Times New Roman"/>
        </w:rPr>
        <w:t xml:space="preserve">from the applicant, </w:t>
      </w:r>
      <w:r w:rsidRPr="006A3D71">
        <w:rPr>
          <w:rFonts w:eastAsia="Times New Roman"/>
        </w:rPr>
        <w:t>to the State in misdemeanour proceedings to which</w:t>
      </w:r>
      <w:r w:rsidRPr="006A3D71" w:rsidR="00571F69">
        <w:rPr>
          <w:rFonts w:eastAsia="Times New Roman"/>
        </w:rPr>
        <w:t xml:space="preserve"> </w:t>
      </w:r>
      <w:r w:rsidRPr="006A3D71">
        <w:rPr>
          <w:rFonts w:eastAsia="Times New Roman"/>
        </w:rPr>
        <w:t>the applicant</w:t>
      </w:r>
      <w:r w:rsidRPr="006A3D71" w:rsidR="006A3D71">
        <w:rPr>
          <w:rFonts w:eastAsia="Times New Roman"/>
        </w:rPr>
        <w:t>’</w:t>
      </w:r>
      <w:r w:rsidRPr="006A3D71">
        <w:rPr>
          <w:rFonts w:eastAsia="Times New Roman"/>
        </w:rPr>
        <w:t>s wife was not a party. The Constitutional Court accepted</w:t>
      </w:r>
      <w:r w:rsidRPr="006A3D71" w:rsidR="008327CA">
        <w:rPr>
          <w:rFonts w:eastAsia="Times New Roman"/>
        </w:rPr>
        <w:t> </w:t>
      </w:r>
      <w:r w:rsidRPr="006A3D71">
        <w:rPr>
          <w:rFonts w:eastAsia="Times New Roman"/>
        </w:rPr>
        <w:t xml:space="preserve">that that confiscation had been lawful in the circumstances of the present case (see paragraph </w:t>
      </w:r>
      <w:r w:rsidRPr="006A3D71">
        <w:rPr>
          <w:rFonts w:eastAsia="Times New Roman"/>
        </w:rPr>
        <w:fldChar w:fldCharType="begin"/>
      </w:r>
      <w:r w:rsidRPr="006A3D71">
        <w:rPr>
          <w:rFonts w:eastAsia="Times New Roman"/>
        </w:rPr>
        <w:instrText xml:space="preserve">REF paragraph00015 \h \* CharFormat  \* MERGEFORMAT </w:instrText>
      </w:r>
      <w:r w:rsidRPr="006A3D71">
        <w:rPr>
          <w:rFonts w:eastAsia="Times New Roman"/>
        </w:rPr>
        <w:fldChar w:fldCharType="separate"/>
      </w:r>
      <w:r w:rsidRPr="006A3D71" w:rsidR="006A3D71">
        <w:rPr>
          <w:rFonts w:eastAsia="Times New Roman"/>
        </w:rPr>
        <w:t>16</w:t>
      </w:r>
      <w:r w:rsidRPr="006A3D71">
        <w:rPr>
          <w:rFonts w:eastAsia="Times New Roman"/>
        </w:rPr>
        <w:fldChar w:fldCharType="end"/>
      </w:r>
      <w:r w:rsidRPr="006A3D71">
        <w:rPr>
          <w:rFonts w:eastAsia="Times New Roman"/>
        </w:rPr>
        <w:t xml:space="preserve"> above). In those circumstances, the Government did not suggest, let alone demonstrate, that the applicant</w:t>
      </w:r>
      <w:r w:rsidRPr="006A3D71" w:rsidR="006A3D71">
        <w:rPr>
          <w:rFonts w:eastAsia="Times New Roman"/>
        </w:rPr>
        <w:t>’</w:t>
      </w:r>
      <w:r w:rsidRPr="006A3D71">
        <w:rPr>
          <w:rFonts w:eastAsia="Times New Roman"/>
        </w:rPr>
        <w:t>s wife could have availed herself of any legal avenue, including a separate constitutional appeal, or would have had any prospect of success in pursuing</w:t>
      </w:r>
      <w:r w:rsidRPr="006A3D71" w:rsidR="00A87597">
        <w:rPr>
          <w:rFonts w:eastAsia="Times New Roman"/>
        </w:rPr>
        <w:t xml:space="preserve"> </w:t>
      </w:r>
      <w:r w:rsidRPr="006A3D71">
        <w:rPr>
          <w:rFonts w:eastAsia="Times New Roman"/>
        </w:rPr>
        <w:t>any such avenue in</w:t>
      </w:r>
      <w:r w:rsidRPr="006A3D71" w:rsidR="007B4142">
        <w:rPr>
          <w:rFonts w:eastAsia="Times New Roman"/>
        </w:rPr>
        <w:t xml:space="preserve"> </w:t>
      </w:r>
      <w:r w:rsidRPr="006A3D71">
        <w:rPr>
          <w:rFonts w:eastAsia="Times New Roman"/>
        </w:rPr>
        <w:t>order</w:t>
      </w:r>
      <w:r w:rsidRPr="006A3D71" w:rsidR="00A87597">
        <w:rPr>
          <w:rFonts w:eastAsia="Times New Roman"/>
        </w:rPr>
        <w:t xml:space="preserve"> </w:t>
      </w:r>
      <w:r w:rsidRPr="006A3D71">
        <w:rPr>
          <w:rFonts w:eastAsia="Times New Roman"/>
        </w:rPr>
        <w:t>to challenge in her own capacity the confiscation of her bracelets in the</w:t>
      </w:r>
      <w:r w:rsidRPr="006A3D71" w:rsidR="00A87597">
        <w:rPr>
          <w:rFonts w:eastAsia="Times New Roman"/>
        </w:rPr>
        <w:t xml:space="preserve"> </w:t>
      </w:r>
      <w:r w:rsidRPr="006A3D71">
        <w:rPr>
          <w:rFonts w:eastAsia="Times New Roman"/>
        </w:rPr>
        <w:t xml:space="preserve">proceedings under review in the present case. </w:t>
      </w:r>
      <w:r w:rsidRPr="006A3D71">
        <w:rPr>
          <w:rFonts w:eastAsiaTheme="minorEastAsia"/>
          <w:szCs w:val="22"/>
        </w:rPr>
        <w:t>T</w:t>
      </w:r>
      <w:r w:rsidRPr="006A3D71">
        <w:rPr>
          <w:rFonts w:eastAsia="Times New Roman" w:cstheme="minorHAnsi"/>
        </w:rPr>
        <w:t>he Court cannot disregard</w:t>
      </w:r>
      <w:r w:rsidRPr="006A3D71" w:rsidR="00A87597">
        <w:rPr>
          <w:rFonts w:eastAsia="Times New Roman" w:cstheme="minorHAnsi"/>
        </w:rPr>
        <w:t xml:space="preserve"> </w:t>
      </w:r>
      <w:r w:rsidRPr="006A3D71">
        <w:rPr>
          <w:rFonts w:eastAsia="Times New Roman" w:cstheme="minorHAnsi"/>
        </w:rPr>
        <w:t xml:space="preserve">that fact when interpreting the criterion of “victim”, as otherwise an excessively formalistic, mechanical and inflexible interpretation of that autonomous concept would make the protection of the rights guaranteed by the Convention ineffectual and illusory (see, in general, </w:t>
      </w:r>
      <w:bookmarkStart w:name="_cl31877" w:id="28"/>
      <w:r w:rsidRPr="006A3D71">
        <w:rPr>
          <w:rFonts w:eastAsia="Times New Roman" w:cstheme="minorHAnsi"/>
          <w:i/>
          <w:iCs/>
        </w:rPr>
        <w:t>Micallef v.</w:t>
      </w:r>
      <w:r w:rsidRPr="006A3D71" w:rsidR="00A87597">
        <w:rPr>
          <w:rFonts w:eastAsia="Times New Roman" w:cstheme="minorHAnsi"/>
          <w:i/>
          <w:iCs/>
        </w:rPr>
        <w:t> </w:t>
      </w:r>
      <w:r w:rsidRPr="006A3D71">
        <w:rPr>
          <w:rFonts w:eastAsia="Times New Roman" w:cstheme="minorHAnsi"/>
          <w:i/>
          <w:iCs/>
        </w:rPr>
        <w:t>Malta</w:t>
      </w:r>
      <w:bookmarkEnd w:id="28"/>
      <w:r w:rsidRPr="006A3D71" w:rsidR="00A87597">
        <w:rPr>
          <w:rFonts w:eastAsia="Times New Roman" w:cstheme="minorHAnsi"/>
        </w:rPr>
        <w:t> </w:t>
      </w:r>
      <w:r w:rsidRPr="006A3D71">
        <w:rPr>
          <w:rFonts w:eastAsia="Times New Roman" w:cstheme="minorHAnsi"/>
        </w:rPr>
        <w:t>[GC], no.</w:t>
      </w:r>
      <w:r w:rsidRPr="006A3D71">
        <w:rPr>
          <w:rFonts w:eastAsia="Times New Roman"/>
          <w:lang w:val="en-US"/>
        </w:rPr>
        <w:t> </w:t>
      </w:r>
      <w:r w:rsidRPr="006A3D71">
        <w:rPr>
          <w:rFonts w:eastAsia="Times New Roman" w:cstheme="minorHAnsi"/>
        </w:rPr>
        <w:t xml:space="preserve">17056/06, § 45, ECHR 2009; </w:t>
      </w:r>
      <w:bookmarkStart w:name="_cl28839" w:id="29"/>
      <w:r w:rsidRPr="006A3D71">
        <w:rPr>
          <w:rFonts w:eastAsia="Times New Roman" w:cstheme="minorHAnsi"/>
          <w:i/>
          <w:iCs/>
        </w:rPr>
        <w:t>Karner v.</w:t>
      </w:r>
      <w:r w:rsidRPr="006A3D71" w:rsidR="00A87597">
        <w:rPr>
          <w:rFonts w:eastAsia="Times New Roman"/>
          <w:lang w:val="en-US"/>
        </w:rPr>
        <w:t xml:space="preserve"> </w:t>
      </w:r>
      <w:r w:rsidRPr="006A3D71">
        <w:rPr>
          <w:rFonts w:eastAsia="Times New Roman" w:cstheme="minorHAnsi"/>
          <w:i/>
          <w:iCs/>
        </w:rPr>
        <w:t>Austria</w:t>
      </w:r>
      <w:bookmarkEnd w:id="29"/>
      <w:r w:rsidRPr="006A3D71">
        <w:rPr>
          <w:rFonts w:eastAsia="Times New Roman" w:cstheme="minorHAnsi"/>
        </w:rPr>
        <w:t>, no.</w:t>
      </w:r>
      <w:r w:rsidRPr="006A3D71" w:rsidR="00A87597">
        <w:rPr>
          <w:rFonts w:eastAsia="Times New Roman" w:cstheme="minorHAnsi"/>
        </w:rPr>
        <w:t> </w:t>
      </w:r>
      <w:r w:rsidRPr="006A3D71">
        <w:rPr>
          <w:rFonts w:eastAsia="Times New Roman" w:cstheme="minorHAnsi"/>
        </w:rPr>
        <w:t>40016/98, §</w:t>
      </w:r>
      <w:r w:rsidRPr="006A3D71">
        <w:rPr>
          <w:rFonts w:eastAsia="Times New Roman"/>
          <w:lang w:val="en-US"/>
        </w:rPr>
        <w:t> </w:t>
      </w:r>
      <w:r w:rsidRPr="006A3D71">
        <w:rPr>
          <w:rFonts w:eastAsia="Times New Roman" w:cstheme="minorHAnsi"/>
        </w:rPr>
        <w:t xml:space="preserve">25, ECHR 2003-IX; and </w:t>
      </w:r>
      <w:r w:rsidRPr="006A3D71">
        <w:rPr>
          <w:rFonts w:eastAsia="Times New Roman" w:cstheme="minorHAnsi"/>
          <w:i/>
          <w:iCs/>
        </w:rPr>
        <w:t>Gorraiz Lizarraga and Others</w:t>
      </w:r>
      <w:r w:rsidRPr="006A3D71">
        <w:rPr>
          <w:rFonts w:eastAsia="Times New Roman" w:cstheme="minorHAnsi"/>
        </w:rPr>
        <w:t>, cited</w:t>
      </w:r>
      <w:r w:rsidRPr="006A3D71" w:rsidR="00A87597">
        <w:rPr>
          <w:rFonts w:eastAsia="Times New Roman" w:cstheme="minorHAnsi"/>
        </w:rPr>
        <w:t xml:space="preserve"> </w:t>
      </w:r>
      <w:r w:rsidRPr="006A3D71">
        <w:rPr>
          <w:rFonts w:eastAsia="Times New Roman" w:cstheme="minorHAnsi"/>
        </w:rPr>
        <w:t>above,</w:t>
      </w:r>
      <w:r w:rsidRPr="006A3D71" w:rsidR="007B4142">
        <w:rPr>
          <w:rFonts w:eastAsia="Times New Roman" w:cstheme="minorHAnsi"/>
        </w:rPr>
        <w:t xml:space="preserve"> </w:t>
      </w:r>
      <w:r w:rsidRPr="006A3D71">
        <w:rPr>
          <w:rFonts w:eastAsia="Times New Roman" w:cstheme="minorHAnsi"/>
        </w:rPr>
        <w:t>§</w:t>
      </w:r>
      <w:r w:rsidRPr="006A3D71">
        <w:rPr>
          <w:rFonts w:eastAsia="Times New Roman"/>
          <w:lang w:val="en-US"/>
        </w:rPr>
        <w:t> </w:t>
      </w:r>
      <w:r w:rsidRPr="006A3D71">
        <w:rPr>
          <w:rFonts w:eastAsia="Times New Roman" w:cstheme="minorHAnsi"/>
        </w:rPr>
        <w:t>38)</w:t>
      </w:r>
      <w:r w:rsidRPr="006A3D71" w:rsidR="007B4142">
        <w:rPr>
          <w:rFonts w:eastAsia="Times New Roman" w:cstheme="minorHAnsi"/>
        </w:rPr>
        <w:t>.</w:t>
      </w:r>
    </w:p>
    <w:bookmarkStart w:name="paragraph00032" w:id="30"/>
    <w:p w:rsidRPr="006A3D71" w:rsidR="002B74EC" w:rsidP="006A3D71" w14:paraId="0A9407BE" w14:textId="2649F382">
      <w:pPr>
        <w:pStyle w:val="JuPara"/>
      </w:pPr>
      <w:r w:rsidRPr="006A3D71">
        <w:rPr>
          <w:rFonts w:ascii="Times New Roman" w:hAnsi="Times New Roman" w:eastAsia="Times New Roman" w:cs="Times New Roman"/>
        </w:rPr>
        <w:fldChar w:fldCharType="begin"/>
      </w:r>
      <w:r w:rsidRPr="006A3D71">
        <w:rPr>
          <w:rFonts w:ascii="Times New Roman" w:hAnsi="Times New Roman" w:eastAsia="Times New Roman" w:cs="Times New Roman"/>
        </w:rPr>
        <w:instrText xml:space="preserve"> SEQ level0 \*arabic \* MERGEFORMAT </w:instrText>
      </w:r>
      <w:r w:rsidRPr="006A3D71">
        <w:rPr>
          <w:rFonts w:ascii="Times New Roman" w:hAnsi="Times New Roman" w:eastAsia="Times New Roman" w:cs="Times New Roman"/>
        </w:rPr>
        <w:fldChar w:fldCharType="separate"/>
      </w:r>
      <w:r w:rsidRPr="006A3D71" w:rsidR="006A3D71">
        <w:rPr>
          <w:rFonts w:ascii="Times New Roman" w:hAnsi="Times New Roman" w:eastAsia="Times New Roman" w:cs="Times New Roman"/>
          <w:noProof/>
        </w:rPr>
        <w:t>33</w:t>
      </w:r>
      <w:r w:rsidRPr="006A3D71">
        <w:rPr>
          <w:rFonts w:ascii="Times New Roman" w:hAnsi="Times New Roman" w:eastAsia="Times New Roman" w:cs="Times New Roman"/>
        </w:rPr>
        <w:fldChar w:fldCharType="end"/>
      </w:r>
      <w:bookmarkEnd w:id="30"/>
      <w:r w:rsidRPr="006A3D71">
        <w:rPr>
          <w:rFonts w:ascii="Times New Roman" w:hAnsi="Times New Roman" w:eastAsia="Times New Roman" w:cs="Times New Roman"/>
        </w:rPr>
        <w:t xml:space="preserve">.  The Court is satisfied that the above-mentioned specific circumstances of the present case (see paragraphs </w:t>
      </w:r>
      <w:r w:rsidRPr="006A3D71">
        <w:rPr>
          <w:rFonts w:ascii="Times New Roman" w:hAnsi="Times New Roman" w:eastAsia="Times New Roman" w:cs="Times New Roman"/>
        </w:rPr>
        <w:fldChar w:fldCharType="begin"/>
      </w:r>
      <w:r w:rsidRPr="006A3D71">
        <w:rPr>
          <w:rFonts w:ascii="Times New Roman" w:hAnsi="Times New Roman" w:eastAsia="Times New Roman" w:cs="Times New Roman"/>
        </w:rPr>
        <w:instrText xml:space="preserve">REF paragraph00030 \h \* CharFormat  \* MERGEFORMAT </w:instrText>
      </w:r>
      <w:r w:rsidRPr="006A3D71">
        <w:rPr>
          <w:rFonts w:ascii="Times New Roman" w:hAnsi="Times New Roman" w:eastAsia="Times New Roman" w:cs="Times New Roman"/>
        </w:rPr>
        <w:fldChar w:fldCharType="separate"/>
      </w:r>
      <w:r w:rsidRPr="006A3D71" w:rsidR="006A3D71">
        <w:rPr>
          <w:rFonts w:ascii="Times New Roman" w:hAnsi="Times New Roman" w:eastAsia="Times New Roman" w:cs="Times New Roman"/>
        </w:rPr>
        <w:t>31</w:t>
      </w:r>
      <w:r w:rsidRPr="006A3D71">
        <w:rPr>
          <w:rFonts w:ascii="Times New Roman" w:hAnsi="Times New Roman" w:eastAsia="Times New Roman" w:cs="Times New Roman"/>
        </w:rPr>
        <w:fldChar w:fldCharType="end"/>
      </w:r>
      <w:r w:rsidRPr="006A3D71">
        <w:rPr>
          <w:rFonts w:ascii="Times New Roman" w:hAnsi="Times New Roman" w:eastAsia="Times New Roman" w:cs="Times New Roman"/>
        </w:rPr>
        <w:t>-</w:t>
      </w:r>
      <w:r w:rsidRPr="006A3D71">
        <w:rPr>
          <w:rFonts w:ascii="Times New Roman" w:hAnsi="Times New Roman" w:eastAsia="Times New Roman" w:cs="Times New Roman"/>
        </w:rPr>
        <w:fldChar w:fldCharType="begin"/>
      </w:r>
      <w:r w:rsidRPr="006A3D71">
        <w:rPr>
          <w:rFonts w:ascii="Times New Roman" w:hAnsi="Times New Roman" w:eastAsia="Times New Roman" w:cs="Times New Roman"/>
        </w:rPr>
        <w:instrText xml:space="preserve">REF paragraph00031 \h \* CharFormat  \* MERGEFORMAT </w:instrText>
      </w:r>
      <w:r w:rsidRPr="006A3D71">
        <w:rPr>
          <w:rFonts w:ascii="Times New Roman" w:hAnsi="Times New Roman" w:eastAsia="Times New Roman" w:cs="Times New Roman"/>
        </w:rPr>
        <w:fldChar w:fldCharType="separate"/>
      </w:r>
      <w:r w:rsidRPr="006A3D71" w:rsidR="006A3D71">
        <w:rPr>
          <w:rFonts w:ascii="Times New Roman" w:hAnsi="Times New Roman" w:eastAsia="Times New Roman" w:cs="Times New Roman"/>
        </w:rPr>
        <w:t>32</w:t>
      </w:r>
      <w:r w:rsidRPr="006A3D71">
        <w:rPr>
          <w:rFonts w:ascii="Times New Roman" w:hAnsi="Times New Roman" w:eastAsia="Times New Roman" w:cs="Times New Roman"/>
        </w:rPr>
        <w:fldChar w:fldCharType="end"/>
      </w:r>
      <w:r w:rsidRPr="006A3D71">
        <w:rPr>
          <w:rFonts w:ascii="Times New Roman" w:hAnsi="Times New Roman" w:eastAsia="Times New Roman" w:cs="Times New Roman"/>
        </w:rPr>
        <w:t xml:space="preserve"> above) warrant the</w:t>
      </w:r>
      <w:r w:rsidRPr="006A3D71" w:rsidR="007B4142">
        <w:rPr>
          <w:rFonts w:ascii="Times New Roman" w:hAnsi="Times New Roman" w:eastAsia="Times New Roman" w:cs="Times New Roman"/>
        </w:rPr>
        <w:t xml:space="preserve"> </w:t>
      </w:r>
      <w:r w:rsidRPr="006A3D71">
        <w:rPr>
          <w:rFonts w:ascii="Times New Roman" w:hAnsi="Times New Roman" w:eastAsia="Times New Roman" w:cs="Times New Roman"/>
        </w:rPr>
        <w:t xml:space="preserve">conclusion that </w:t>
      </w:r>
      <w:r w:rsidRPr="006A3D71">
        <w:rPr>
          <w:rFonts w:eastAsia="Times New Roman" w:cstheme="minorHAnsi"/>
          <w:lang w:val="en-US"/>
        </w:rPr>
        <w:t xml:space="preserve">the applicant </w:t>
      </w:r>
      <w:r w:rsidRPr="006A3D71">
        <w:rPr>
          <w:rFonts w:ascii="Times New Roman" w:hAnsi="Times New Roman" w:eastAsia="Times New Roman" w:cs="Times New Roman"/>
        </w:rPr>
        <w:t>has been personally affected by the harm sustained by the confiscation measures taken in respect of his wife</w:t>
      </w:r>
      <w:r w:rsidRPr="006A3D71" w:rsidR="006A3D71">
        <w:rPr>
          <w:rFonts w:ascii="Times New Roman" w:hAnsi="Times New Roman" w:eastAsia="Times New Roman" w:cs="Times New Roman"/>
        </w:rPr>
        <w:t>’</w:t>
      </w:r>
      <w:r w:rsidRPr="006A3D71">
        <w:rPr>
          <w:rFonts w:ascii="Times New Roman" w:hAnsi="Times New Roman" w:eastAsia="Times New Roman" w:cs="Times New Roman"/>
        </w:rPr>
        <w:t>s jewellery, particularly on account of the unrebutted argument that the jewellery</w:t>
      </w:r>
      <w:r w:rsidRPr="006A3D71">
        <w:rPr>
          <w:rFonts w:eastAsia="Times New Roman"/>
        </w:rPr>
        <w:t xml:space="preserve"> was being carried with a view to its potential sale to finance the purchase of a joint family house</w:t>
      </w:r>
      <w:r w:rsidRPr="006A3D71">
        <w:rPr>
          <w:rFonts w:ascii="Times New Roman" w:hAnsi="Times New Roman" w:eastAsia="Times New Roman" w:cs="Times New Roman"/>
        </w:rPr>
        <w:t>.</w:t>
      </w:r>
      <w:r w:rsidRPr="006A3D71">
        <w:t xml:space="preserve"> </w:t>
      </w:r>
      <w:r w:rsidRPr="006A3D71">
        <w:rPr>
          <w:rFonts w:eastAsia="Times New Roman" w:cstheme="minorHAnsi"/>
        </w:rPr>
        <w:t>Accordingly, the applicant can</w:t>
      </w:r>
      <w:r w:rsidRPr="006A3D71">
        <w:rPr>
          <w:rFonts w:eastAsia="Times New Roman" w:cstheme="minorHAnsi"/>
          <w:lang w:val="en-US"/>
        </w:rPr>
        <w:t xml:space="preserve"> be regarded</w:t>
      </w:r>
      <w:r w:rsidRPr="006A3D71" w:rsidR="00A87597">
        <w:rPr>
          <w:rFonts w:eastAsia="Times New Roman" w:cstheme="minorHAnsi"/>
          <w:lang w:val="en-US"/>
        </w:rPr>
        <w:t xml:space="preserve"> </w:t>
      </w:r>
      <w:r w:rsidRPr="006A3D71">
        <w:rPr>
          <w:rFonts w:eastAsia="Times New Roman" w:cstheme="minorHAnsi"/>
          <w:lang w:val="en-US"/>
        </w:rPr>
        <w:t xml:space="preserve">as a “victim”, </w:t>
      </w:r>
      <w:r w:rsidRPr="006A3D71">
        <w:rPr>
          <w:rFonts w:cstheme="minorHAnsi"/>
          <w:color w:val="000000"/>
        </w:rPr>
        <w:t>within the meaning of Article 34 of the Convention,</w:t>
      </w:r>
      <w:r w:rsidRPr="006A3D71">
        <w:rPr>
          <w:rFonts w:eastAsia="Times New Roman" w:cstheme="minorHAnsi"/>
          <w:lang w:val="en-US"/>
        </w:rPr>
        <w:t xml:space="preserve"> </w:t>
      </w:r>
      <w:r w:rsidRPr="006A3D71">
        <w:rPr>
          <w:rFonts w:eastAsia="Times New Roman" w:cstheme="minorHAnsi"/>
          <w:lang w:val="en-US"/>
        </w:rPr>
        <w:t xml:space="preserve">of the confiscation of the eight gold bracelets, those bracelets being the “possession” in the present case </w:t>
      </w:r>
      <w:r w:rsidRPr="006A3D71">
        <w:rPr>
          <w:rFonts w:ascii="Times New Roman" w:hAnsi="Times New Roman" w:eastAsia="Times New Roman" w:cs="Times New Roman"/>
        </w:rPr>
        <w:t xml:space="preserve">(see, </w:t>
      </w:r>
      <w:r w:rsidRPr="006A3D71">
        <w:rPr>
          <w:rFonts w:ascii="Times New Roman" w:hAnsi="Times New Roman" w:eastAsia="Times New Roman" w:cs="Times New Roman"/>
          <w:i/>
          <w:iCs/>
        </w:rPr>
        <w:t>mutatis mutandis</w:t>
      </w:r>
      <w:r w:rsidRPr="006A3D71">
        <w:rPr>
          <w:rFonts w:ascii="Times New Roman" w:hAnsi="Times New Roman" w:eastAsia="Times New Roman" w:cs="Times New Roman"/>
        </w:rPr>
        <w:t xml:space="preserve">, </w:t>
      </w:r>
      <w:r w:rsidRPr="006A3D71">
        <w:rPr>
          <w:i/>
          <w:iCs/>
        </w:rPr>
        <w:t>Imeri</w:t>
      </w:r>
      <w:r w:rsidRPr="006A3D71">
        <w:t xml:space="preserve">, </w:t>
      </w:r>
      <w:r w:rsidRPr="006A3D71">
        <w:rPr>
          <w:rFonts w:ascii="Times New Roman" w:hAnsi="Times New Roman" w:eastAsia="Times New Roman" w:cs="Times New Roman"/>
          <w:lang w:val="en-US"/>
        </w:rPr>
        <w:t>§§ 53 and</w:t>
      </w:r>
      <w:r w:rsidRPr="006A3D71" w:rsidR="00113F05">
        <w:rPr>
          <w:rFonts w:ascii="Times New Roman" w:hAnsi="Times New Roman" w:eastAsia="Times New Roman" w:cs="Times New Roman"/>
          <w:lang w:val="en-US"/>
        </w:rPr>
        <w:t xml:space="preserve"> </w:t>
      </w:r>
      <w:r w:rsidRPr="006A3D71">
        <w:rPr>
          <w:rFonts w:ascii="Times New Roman" w:hAnsi="Times New Roman" w:eastAsia="Times New Roman" w:cs="Times New Roman"/>
          <w:lang w:val="en-US"/>
        </w:rPr>
        <w:t xml:space="preserve">63, </w:t>
      </w:r>
      <w:r w:rsidRPr="006A3D71">
        <w:t>cited above).</w:t>
      </w:r>
    </w:p>
    <w:p w:rsidRPr="006A3D71" w:rsidR="002B74EC" w:rsidP="006A3D71" w14:paraId="6BF9C057" w14:textId="692A4F23">
      <w:pPr>
        <w:pStyle w:val="JuPara"/>
      </w:pPr>
      <w:r w:rsidRPr="006A3D71">
        <w:fldChar w:fldCharType="begin"/>
      </w:r>
      <w:r w:rsidRPr="006A3D71">
        <w:instrText xml:space="preserve"> SEQ level0 \*arabic </w:instrText>
      </w:r>
      <w:r w:rsidRPr="006A3D71">
        <w:fldChar w:fldCharType="separate"/>
      </w:r>
      <w:r w:rsidRPr="006A3D71" w:rsidR="006A3D71">
        <w:rPr>
          <w:noProof/>
        </w:rPr>
        <w:t>34</w:t>
      </w:r>
      <w:r w:rsidRPr="006A3D71">
        <w:rPr>
          <w:lang w:val="en-US"/>
        </w:rPr>
        <w:fldChar w:fldCharType="end"/>
      </w:r>
      <w:r w:rsidRPr="006A3D71">
        <w:t>.  Lastly, the Court notes that the application is neither manifestly ill</w:t>
      </w:r>
      <w:r w:rsidRPr="006A3D71" w:rsidR="00A87597">
        <w:noBreakHyphen/>
      </w:r>
      <w:r w:rsidRPr="006A3D71">
        <w:t>founded nor inadmissible on any other grounds listed in Article 35 of the Convention. It must therefore be declared admissible.</w:t>
      </w:r>
    </w:p>
    <w:p w:rsidRPr="006A3D71" w:rsidR="002B74EC" w:rsidP="006A3D71" w14:paraId="6754ABE9" w14:textId="77777777">
      <w:pPr>
        <w:pStyle w:val="JuHA"/>
      </w:pPr>
      <w:r w:rsidRPr="006A3D71">
        <w:t>Merits</w:t>
      </w:r>
    </w:p>
    <w:p w:rsidRPr="006A3D71" w:rsidR="002B74EC" w:rsidP="006A3D71" w14:paraId="3653EF79" w14:textId="36F194B6">
      <w:pPr>
        <w:pStyle w:val="JuH1"/>
        <w:numPr>
          <w:ilvl w:val="3"/>
          <w:numId w:val="29"/>
        </w:numPr>
      </w:pPr>
      <w:r w:rsidRPr="006A3D71">
        <w:t>The parties</w:t>
      </w:r>
      <w:r w:rsidRPr="006A3D71" w:rsidR="006A3D71">
        <w:t>’</w:t>
      </w:r>
      <w:r w:rsidRPr="006A3D71">
        <w:t xml:space="preserve"> submissions</w:t>
      </w:r>
    </w:p>
    <w:bookmarkStart w:name="paragraph00034" w:id="31"/>
    <w:p w:rsidRPr="006A3D71" w:rsidR="002B74EC" w:rsidP="006A3D71" w14:paraId="4D16C907" w14:textId="5A54F4DB">
      <w:pPr>
        <w:pStyle w:val="JuPara"/>
      </w:pPr>
      <w:r w:rsidRPr="006A3D71">
        <w:fldChar w:fldCharType="begin"/>
      </w:r>
      <w:r w:rsidRPr="006A3D71">
        <w:instrText xml:space="preserve"> SEQ level0 \*arabic \* MERGEFORMAT </w:instrText>
      </w:r>
      <w:r w:rsidRPr="006A3D71">
        <w:fldChar w:fldCharType="separate"/>
      </w:r>
      <w:r w:rsidRPr="006A3D71" w:rsidR="006A3D71">
        <w:rPr>
          <w:noProof/>
        </w:rPr>
        <w:t>35</w:t>
      </w:r>
      <w:r w:rsidRPr="006A3D71">
        <w:fldChar w:fldCharType="end"/>
      </w:r>
      <w:bookmarkEnd w:id="31"/>
      <w:r w:rsidRPr="006A3D71">
        <w:t>.  The applicant reiterated his complaint and the arguments raised in the</w:t>
      </w:r>
      <w:r w:rsidRPr="006A3D71" w:rsidR="00A87597">
        <w:t xml:space="preserve"> </w:t>
      </w:r>
      <w:r w:rsidRPr="006A3D71">
        <w:t xml:space="preserve">domestic proceedings (see paragraphs </w:t>
      </w:r>
      <w:r w:rsidRPr="006A3D71">
        <w:fldChar w:fldCharType="begin"/>
      </w:r>
      <w:r w:rsidRPr="006A3D71">
        <w:instrText xml:space="preserve">REF paragraph00010 \h \* CharFormat </w:instrText>
      </w:r>
      <w:r w:rsidRPr="006A3D71">
        <w:fldChar w:fldCharType="separate"/>
      </w:r>
      <w:r w:rsidRPr="006A3D71" w:rsidR="006A3D71">
        <w:t>11</w:t>
      </w:r>
      <w:r w:rsidRPr="006A3D71">
        <w:fldChar w:fldCharType="end"/>
      </w:r>
      <w:r w:rsidRPr="006A3D71">
        <w:t xml:space="preserve"> and </w:t>
      </w:r>
      <w:r w:rsidRPr="006A3D71">
        <w:fldChar w:fldCharType="begin"/>
      </w:r>
      <w:r w:rsidRPr="006A3D71">
        <w:instrText xml:space="preserve">REF paragraph00012 \h \* CharFormat </w:instrText>
      </w:r>
      <w:r w:rsidRPr="006A3D71">
        <w:fldChar w:fldCharType="separate"/>
      </w:r>
      <w:r w:rsidRPr="006A3D71" w:rsidR="006A3D71">
        <w:t>13</w:t>
      </w:r>
      <w:r w:rsidRPr="006A3D71">
        <w:fldChar w:fldCharType="end"/>
      </w:r>
      <w:r w:rsidRPr="006A3D71">
        <w:t xml:space="preserve"> above).</w:t>
      </w:r>
    </w:p>
    <w:bookmarkStart w:name="paragraph00035" w:id="32"/>
    <w:p w:rsidRPr="006A3D71" w:rsidR="002B74EC" w:rsidP="006A3D71" w14:paraId="7E2AE3BC" w14:textId="5766FEA4">
      <w:pPr>
        <w:pStyle w:val="JuPara"/>
      </w:pPr>
      <w:r w:rsidRPr="006A3D71">
        <w:fldChar w:fldCharType="begin"/>
      </w:r>
      <w:r w:rsidRPr="006A3D71">
        <w:instrText xml:space="preserve"> SEQ level0 \*arabic </w:instrText>
      </w:r>
      <w:r w:rsidRPr="006A3D71">
        <w:fldChar w:fldCharType="separate"/>
      </w:r>
      <w:r w:rsidRPr="006A3D71" w:rsidR="006A3D71">
        <w:rPr>
          <w:noProof/>
        </w:rPr>
        <w:t>36</w:t>
      </w:r>
      <w:r w:rsidRPr="006A3D71">
        <w:fldChar w:fldCharType="end"/>
      </w:r>
      <w:bookmarkEnd w:id="32"/>
      <w:r w:rsidRPr="006A3D71">
        <w:t>.  The Government acknowledged that there had been an interference with the applicant</w:t>
      </w:r>
      <w:r w:rsidRPr="006A3D71" w:rsidR="006A3D71">
        <w:t>’</w:t>
      </w:r>
      <w:r w:rsidRPr="006A3D71">
        <w:t xml:space="preserve">s rights under this head regarding the bracelets which had been lawfully acquired. The confiscation was a mandatory measure for the misdemeanour in question, with reference to Articles 292 </w:t>
      </w:r>
      <w:r w:rsidRPr="006A3D71">
        <w:rPr>
          <w:rFonts w:cstheme="minorHAnsi"/>
        </w:rPr>
        <w:t>§§</w:t>
      </w:r>
      <w:r w:rsidRPr="006A3D71">
        <w:t xml:space="preserve"> 1 and 3 and 298</w:t>
      </w:r>
      <w:r w:rsidRPr="006A3D71" w:rsidR="00A87597">
        <w:t xml:space="preserve"> </w:t>
      </w:r>
      <w:r w:rsidRPr="006A3D71">
        <w:t xml:space="preserve">of the Customs Act (see </w:t>
      </w:r>
      <w:r w:rsidRPr="006A3D71">
        <w:rPr>
          <w:rFonts w:eastAsia="Times New Roman"/>
        </w:rPr>
        <w:t xml:space="preserve">paragraphs </w:t>
      </w:r>
      <w:r w:rsidRPr="006A3D71">
        <w:rPr>
          <w:rFonts w:eastAsia="Times New Roman"/>
        </w:rPr>
        <w:fldChar w:fldCharType="begin"/>
      </w:r>
      <w:r w:rsidRPr="006A3D71">
        <w:rPr>
          <w:rFonts w:eastAsia="Times New Roman"/>
        </w:rPr>
        <w:instrText xml:space="preserve">REF paragraph00019 \h \* CharFormat </w:instrText>
      </w:r>
      <w:r w:rsidRPr="006A3D71">
        <w:rPr>
          <w:rFonts w:eastAsia="Times New Roman"/>
        </w:rPr>
        <w:fldChar w:fldCharType="separate"/>
      </w:r>
      <w:r w:rsidRPr="006A3D71" w:rsidR="006A3D71">
        <w:rPr>
          <w:rFonts w:eastAsia="Times New Roman"/>
        </w:rPr>
        <w:t>20</w:t>
      </w:r>
      <w:r w:rsidRPr="006A3D71">
        <w:rPr>
          <w:rFonts w:eastAsia="Times New Roman"/>
        </w:rPr>
        <w:fldChar w:fldCharType="end"/>
      </w:r>
      <w:r w:rsidRPr="006A3D71">
        <w:rPr>
          <w:rFonts w:eastAsia="Times New Roman"/>
        </w:rPr>
        <w:t>-</w:t>
      </w:r>
      <w:r w:rsidRPr="006A3D71">
        <w:rPr>
          <w:rFonts w:eastAsia="Times New Roman"/>
        </w:rPr>
        <w:fldChar w:fldCharType="begin"/>
      </w:r>
      <w:r w:rsidRPr="006A3D71">
        <w:rPr>
          <w:rFonts w:eastAsia="Times New Roman"/>
        </w:rPr>
        <w:instrText xml:space="preserve">REF paragraph00020 \h \* CharFormat </w:instrText>
      </w:r>
      <w:r w:rsidRPr="006A3D71">
        <w:rPr>
          <w:rFonts w:eastAsia="Times New Roman"/>
        </w:rPr>
        <w:fldChar w:fldCharType="separate"/>
      </w:r>
      <w:r w:rsidRPr="006A3D71" w:rsidR="006A3D71">
        <w:rPr>
          <w:rFonts w:eastAsia="Times New Roman"/>
        </w:rPr>
        <w:t>21</w:t>
      </w:r>
      <w:r w:rsidRPr="006A3D71">
        <w:rPr>
          <w:rFonts w:eastAsia="Times New Roman"/>
        </w:rPr>
        <w:fldChar w:fldCharType="end"/>
      </w:r>
      <w:r w:rsidRPr="006A3D71">
        <w:rPr>
          <w:rFonts w:eastAsia="Times New Roman"/>
        </w:rPr>
        <w:t xml:space="preserve"> above)</w:t>
      </w:r>
      <w:r w:rsidRPr="006A3D71">
        <w:t>. The interference had</w:t>
      </w:r>
      <w:r w:rsidRPr="006A3D71" w:rsidR="007B4142">
        <w:t xml:space="preserve"> </w:t>
      </w:r>
      <w:r w:rsidRPr="006A3D71">
        <w:t>been therefore in accordance with the law, as the authorities had applied the relevant provisions which had been sufficiently accessible, clear and foreseeable as to their application. Furthermore, the confiscation of undeclared goods had pursued a legitimate aim of crime prevention and had been proportionate in the circumstances.</w:t>
      </w:r>
    </w:p>
    <w:p w:rsidRPr="006A3D71" w:rsidR="002B74EC" w:rsidP="006A3D71" w14:paraId="4E6FAD77" w14:textId="1EC6E3F8">
      <w:pPr>
        <w:pStyle w:val="JuPara"/>
      </w:pPr>
      <w:r>
        <w:fldChar w:fldCharType="begin"/>
      </w:r>
      <w:r>
        <w:instrText xml:space="preserve"> SEQ level0 \*arabic \* MERGEFORMAT </w:instrText>
      </w:r>
      <w:r>
        <w:fldChar w:fldCharType="separate"/>
      </w:r>
      <w:r w:rsidRPr="006A3D71" w:rsidR="006A3D71">
        <w:rPr>
          <w:noProof/>
        </w:rPr>
        <w:t>37</w:t>
      </w:r>
      <w:r w:rsidRPr="006A3D71" w:rsidR="006A3D71">
        <w:rPr>
          <w:noProof/>
        </w:rPr>
        <w:fldChar w:fldCharType="end"/>
      </w:r>
      <w:r w:rsidRPr="006A3D71">
        <w:t>.  According to the Government, the failure of the applicant, a resident of the European Union, to acquaint himself with the obligation to declare the</w:t>
      </w:r>
      <w:r w:rsidRPr="006A3D71" w:rsidR="008327CA">
        <w:t> </w:t>
      </w:r>
      <w:r w:rsidRPr="006A3D71">
        <w:t>goods could not constitute an excuse for committing the offence in question or escaping liability (</w:t>
      </w:r>
      <w:r w:rsidRPr="006A3D71">
        <w:rPr>
          <w:i/>
          <w:iCs/>
        </w:rPr>
        <w:t>ignorantia iuris</w:t>
      </w:r>
      <w:r w:rsidRPr="006A3D71">
        <w:t xml:space="preserve"> </w:t>
      </w:r>
      <w:r w:rsidRPr="006A3D71">
        <w:rPr>
          <w:i/>
          <w:iCs/>
        </w:rPr>
        <w:t>nocet</w:t>
      </w:r>
      <w:r w:rsidRPr="006A3D71">
        <w:t>). The “scope” of the offence in question and the circumstances of the case had been taken into account when imposing the ensuing measures. In particular, the applicant, as</w:t>
      </w:r>
      <w:r w:rsidRPr="006A3D71" w:rsidR="00A87597">
        <w:t xml:space="preserve"> </w:t>
      </w:r>
      <w:r w:rsidRPr="006A3D71">
        <w:t xml:space="preserve">an individual who had been found to act deliberately, had been subjected to a fine (see paragraph </w:t>
      </w:r>
      <w:r w:rsidRPr="006A3D71">
        <w:fldChar w:fldCharType="begin"/>
      </w:r>
      <w:r w:rsidRPr="006A3D71">
        <w:instrText xml:space="preserve">REF paragraph00008 \h \* CharFormat </w:instrText>
      </w:r>
      <w:r w:rsidRPr="006A3D71">
        <w:fldChar w:fldCharType="separate"/>
      </w:r>
      <w:r w:rsidRPr="006A3D71" w:rsidR="006A3D71">
        <w:t>9</w:t>
      </w:r>
      <w:r w:rsidRPr="006A3D71">
        <w:fldChar w:fldCharType="end"/>
      </w:r>
      <w:r w:rsidRPr="006A3D71">
        <w:t xml:space="preserve"> above) and the full confiscation, which was a mandatory measure according to the law.</w:t>
      </w:r>
    </w:p>
    <w:p w:rsidRPr="006A3D71" w:rsidR="002B74EC" w:rsidP="006A3D71" w14:paraId="2D5E85F9" w14:textId="320A58C0">
      <w:pPr>
        <w:pStyle w:val="JuPara"/>
        <w:rPr>
          <w:rFonts w:eastAsia="Calibri" w:cstheme="minorHAnsi"/>
          <w:color w:val="26282A"/>
          <w:lang w:eastAsia="fr-FR"/>
        </w:rPr>
      </w:pPr>
      <w:r>
        <w:fldChar w:fldCharType="begin"/>
      </w:r>
      <w:r>
        <w:instrText xml:space="preserve"> SEQ level0 \*arabic \* MERGEFORMAT </w:instrText>
      </w:r>
      <w:r>
        <w:fldChar w:fldCharType="separate"/>
      </w:r>
      <w:r w:rsidRPr="006A3D71" w:rsidR="006A3D71">
        <w:rPr>
          <w:noProof/>
        </w:rPr>
        <w:t>38</w:t>
      </w:r>
      <w:r w:rsidRPr="006A3D71" w:rsidR="006A3D71">
        <w:rPr>
          <w:noProof/>
        </w:rPr>
        <w:fldChar w:fldCharType="end"/>
      </w:r>
      <w:r w:rsidRPr="006A3D71">
        <w:t xml:space="preserve">.  Lastly, the Government </w:t>
      </w:r>
      <w:r w:rsidRPr="006A3D71">
        <w:rPr>
          <w:rFonts w:eastAsia="Calibri" w:cstheme="minorHAnsi"/>
          <w:color w:val="26282A"/>
          <w:lang w:eastAsia="fr-FR"/>
        </w:rPr>
        <w:t>referred to the Constitutional Court</w:t>
      </w:r>
      <w:r w:rsidRPr="006A3D71" w:rsidR="006A3D71">
        <w:rPr>
          <w:rFonts w:eastAsia="Calibri" w:cstheme="minorHAnsi"/>
          <w:color w:val="26282A"/>
          <w:lang w:eastAsia="fr-FR"/>
        </w:rPr>
        <w:t>’</w:t>
      </w:r>
      <w:r w:rsidRPr="006A3D71">
        <w:rPr>
          <w:rFonts w:eastAsia="Calibri" w:cstheme="minorHAnsi"/>
          <w:color w:val="26282A"/>
          <w:lang w:eastAsia="fr-FR"/>
        </w:rPr>
        <w:t>s decision</w:t>
      </w:r>
      <w:r w:rsidRPr="006A3D71" w:rsidR="00A87597">
        <w:rPr>
          <w:rFonts w:eastAsia="Calibri" w:cstheme="minorHAnsi"/>
          <w:color w:val="26282A"/>
          <w:lang w:eastAsia="fr-FR"/>
        </w:rPr>
        <w:t xml:space="preserve"> </w:t>
      </w:r>
      <w:r w:rsidRPr="006A3D71">
        <w:rPr>
          <w:rFonts w:eastAsia="Calibri" w:cstheme="minorHAnsi"/>
          <w:color w:val="26282A"/>
          <w:lang w:eastAsia="fr-FR"/>
        </w:rPr>
        <w:t xml:space="preserve">(see paragraphs </w:t>
      </w:r>
      <w:r w:rsidRPr="006A3D71">
        <w:rPr>
          <w:rFonts w:eastAsia="Calibri" w:cstheme="minorHAnsi"/>
          <w:color w:val="26282A"/>
          <w:lang w:eastAsia="fr-FR"/>
        </w:rPr>
        <w:fldChar w:fldCharType="begin"/>
      </w:r>
      <w:r w:rsidRPr="006A3D71">
        <w:rPr>
          <w:rFonts w:eastAsia="Calibri" w:cstheme="minorHAnsi"/>
          <w:color w:val="26282A"/>
          <w:lang w:eastAsia="fr-FR"/>
        </w:rPr>
        <w:instrText xml:space="preserve">REF paragraph00013 \h \* CharFormat </w:instrText>
      </w:r>
      <w:r w:rsidRPr="006A3D71">
        <w:rPr>
          <w:rFonts w:eastAsia="Calibri" w:cstheme="minorHAnsi"/>
          <w:color w:val="26282A"/>
          <w:lang w:eastAsia="fr-FR"/>
        </w:rPr>
        <w:fldChar w:fldCharType="separate"/>
      </w:r>
      <w:r w:rsidRPr="006A3D71" w:rsidR="006A3D71">
        <w:rPr>
          <w:rFonts w:eastAsia="Calibri" w:cstheme="minorHAnsi"/>
          <w:color w:val="26282A"/>
          <w:lang w:eastAsia="fr-FR"/>
        </w:rPr>
        <w:t>14</w:t>
      </w:r>
      <w:r w:rsidRPr="006A3D71">
        <w:rPr>
          <w:rFonts w:eastAsia="Calibri" w:cstheme="minorHAnsi"/>
          <w:color w:val="26282A"/>
          <w:lang w:eastAsia="fr-FR"/>
        </w:rPr>
        <w:fldChar w:fldCharType="end"/>
      </w:r>
      <w:r w:rsidRPr="006A3D71">
        <w:rPr>
          <w:rFonts w:eastAsia="Calibri" w:cstheme="minorHAnsi"/>
          <w:color w:val="26282A"/>
          <w:lang w:eastAsia="fr-FR"/>
        </w:rPr>
        <w:t>-</w:t>
      </w:r>
      <w:r w:rsidRPr="006A3D71">
        <w:rPr>
          <w:rFonts w:eastAsia="Calibri" w:cstheme="minorHAnsi"/>
          <w:color w:val="26282A"/>
          <w:lang w:eastAsia="fr-FR"/>
        </w:rPr>
        <w:fldChar w:fldCharType="begin"/>
      </w:r>
      <w:r w:rsidRPr="006A3D71">
        <w:rPr>
          <w:rFonts w:eastAsia="Calibri" w:cstheme="minorHAnsi"/>
          <w:color w:val="26282A"/>
          <w:lang w:eastAsia="fr-FR"/>
        </w:rPr>
        <w:instrText xml:space="preserve">REF paragraph00015 \h \* CharFormat </w:instrText>
      </w:r>
      <w:r w:rsidRPr="006A3D71">
        <w:rPr>
          <w:rFonts w:eastAsia="Calibri" w:cstheme="minorHAnsi"/>
          <w:color w:val="26282A"/>
          <w:lang w:eastAsia="fr-FR"/>
        </w:rPr>
        <w:fldChar w:fldCharType="separate"/>
      </w:r>
      <w:r w:rsidRPr="006A3D71" w:rsidR="006A3D71">
        <w:rPr>
          <w:rFonts w:eastAsia="Calibri" w:cstheme="minorHAnsi"/>
          <w:color w:val="26282A"/>
          <w:lang w:eastAsia="fr-FR"/>
        </w:rPr>
        <w:t>16</w:t>
      </w:r>
      <w:r w:rsidRPr="006A3D71">
        <w:rPr>
          <w:rFonts w:eastAsia="Calibri" w:cstheme="minorHAnsi"/>
          <w:color w:val="26282A"/>
          <w:lang w:eastAsia="fr-FR"/>
        </w:rPr>
        <w:fldChar w:fldCharType="end"/>
      </w:r>
      <w:r w:rsidRPr="006A3D71">
        <w:rPr>
          <w:rFonts w:eastAsia="Calibri" w:cstheme="minorHAnsi"/>
          <w:color w:val="26282A"/>
          <w:lang w:eastAsia="fr-FR"/>
        </w:rPr>
        <w:t xml:space="preserve"> above), finding that the interference had</w:t>
      </w:r>
      <w:r w:rsidRPr="006A3D71" w:rsidR="007B4142">
        <w:rPr>
          <w:rFonts w:eastAsia="Calibri" w:cstheme="minorHAnsi"/>
          <w:color w:val="26282A"/>
          <w:lang w:eastAsia="fr-FR"/>
        </w:rPr>
        <w:t xml:space="preserve"> </w:t>
      </w:r>
      <w:r w:rsidRPr="006A3D71">
        <w:rPr>
          <w:rFonts w:eastAsia="Calibri" w:cstheme="minorHAnsi"/>
          <w:color w:val="26282A"/>
          <w:lang w:eastAsia="fr-FR"/>
        </w:rPr>
        <w:t>been</w:t>
      </w:r>
      <w:r w:rsidRPr="006A3D71" w:rsidR="00A87597">
        <w:rPr>
          <w:rFonts w:eastAsia="Calibri" w:cstheme="minorHAnsi"/>
          <w:color w:val="26282A"/>
          <w:lang w:eastAsia="fr-FR"/>
        </w:rPr>
        <w:t xml:space="preserve"> </w:t>
      </w:r>
      <w:r w:rsidRPr="006A3D71">
        <w:rPr>
          <w:rFonts w:eastAsia="Calibri" w:cstheme="minorHAnsi"/>
          <w:color w:val="26282A"/>
          <w:lang w:eastAsia="fr-FR"/>
        </w:rPr>
        <w:t>based on law and had not warranted a proportionality assessment of</w:t>
      </w:r>
      <w:r w:rsidRPr="006A3D71" w:rsidR="007B4142">
        <w:rPr>
          <w:rFonts w:eastAsia="Calibri" w:cstheme="minorHAnsi"/>
          <w:color w:val="26282A"/>
          <w:lang w:eastAsia="fr-FR"/>
        </w:rPr>
        <w:t xml:space="preserve"> </w:t>
      </w:r>
      <w:r w:rsidRPr="006A3D71">
        <w:rPr>
          <w:rFonts w:eastAsia="Calibri" w:cstheme="minorHAnsi"/>
          <w:color w:val="26282A"/>
          <w:lang w:eastAsia="fr-FR"/>
        </w:rPr>
        <w:t>the</w:t>
      </w:r>
      <w:r w:rsidRPr="006A3D71" w:rsidR="007B4142">
        <w:rPr>
          <w:rFonts w:eastAsia="Calibri" w:cstheme="minorHAnsi"/>
          <w:color w:val="26282A"/>
          <w:lang w:eastAsia="fr-FR"/>
        </w:rPr>
        <w:t> </w:t>
      </w:r>
      <w:r w:rsidRPr="006A3D71">
        <w:rPr>
          <w:rFonts w:eastAsia="Calibri" w:cstheme="minorHAnsi"/>
          <w:color w:val="26282A"/>
          <w:lang w:eastAsia="fr-FR"/>
        </w:rPr>
        <w:t>measures imposed owing to their mandatory nature.</w:t>
      </w:r>
    </w:p>
    <w:p w:rsidRPr="006A3D71" w:rsidR="002B74EC" w:rsidP="006A3D71" w14:paraId="1E466FD6" w14:textId="3A21A27B">
      <w:pPr>
        <w:pStyle w:val="JuH1"/>
      </w:pPr>
      <w:r w:rsidRPr="006A3D71">
        <w:t>The Court</w:t>
      </w:r>
      <w:r w:rsidRPr="006A3D71" w:rsidR="006A3D71">
        <w:t>’</w:t>
      </w:r>
      <w:r w:rsidRPr="006A3D71">
        <w:t>s assessment</w:t>
      </w:r>
    </w:p>
    <w:p w:rsidRPr="006A3D71" w:rsidR="002B74EC" w:rsidP="006A3D71" w14:paraId="0F3D1812" w14:textId="77777777">
      <w:pPr>
        <w:pStyle w:val="JuHa0"/>
      </w:pPr>
      <w:r w:rsidRPr="006A3D71">
        <w:t>General principles</w:t>
      </w:r>
    </w:p>
    <w:p w:rsidRPr="006A3D71" w:rsidR="002B74EC" w:rsidP="006A3D71" w14:paraId="35D12E46" w14:textId="3FE19753">
      <w:pPr>
        <w:pStyle w:val="JuPara"/>
      </w:pPr>
      <w:r>
        <w:fldChar w:fldCharType="begin"/>
      </w:r>
      <w:r>
        <w:instrText xml:space="preserve"> SEQ level0 \*arabic \* MERGEFORMAT </w:instrText>
      </w:r>
      <w:r>
        <w:fldChar w:fldCharType="separate"/>
      </w:r>
      <w:r w:rsidRPr="006A3D71" w:rsidR="006A3D71">
        <w:rPr>
          <w:noProof/>
        </w:rPr>
        <w:t>39</w:t>
      </w:r>
      <w:r w:rsidRPr="006A3D71" w:rsidR="006A3D71">
        <w:rPr>
          <w:noProof/>
        </w:rPr>
        <w:fldChar w:fldCharType="end"/>
      </w:r>
      <w:r w:rsidRPr="006A3D71">
        <w:t xml:space="preserve">.  The general principles relevant for the present case have been summarised in </w:t>
      </w:r>
      <w:bookmarkStart w:name="_cl26050" w:id="33"/>
      <w:r w:rsidRPr="006A3D71">
        <w:rPr>
          <w:i/>
          <w:iCs/>
        </w:rPr>
        <w:t>G.I.E.M. S.r.l. and Others v. Italy</w:t>
      </w:r>
      <w:bookmarkEnd w:id="33"/>
      <w:r w:rsidRPr="006A3D71">
        <w:t xml:space="preserve"> ([GC], nos. 1828/06 and 2</w:t>
      </w:r>
      <w:r w:rsidRPr="006A3D71" w:rsidR="008327CA">
        <w:t> </w:t>
      </w:r>
      <w:r w:rsidRPr="006A3D71">
        <w:t>others, §§ 289, 292 and 293, 28 June 2018) as follows:</w:t>
      </w:r>
    </w:p>
    <w:p w:rsidRPr="006A3D71" w:rsidR="002B74EC" w:rsidP="006A3D71" w14:paraId="34E91510" w14:textId="1585D908">
      <w:pPr>
        <w:pStyle w:val="JuQuot"/>
      </w:pPr>
      <w:r w:rsidRPr="006A3D71">
        <w:t>“289. Article 1 of Protocol No. 1 comprises three distinct rules: the first rule, set out in the first sentence of the first paragraph, is of a general nature and enunciates the principle of the peaceful enjoyment of property; the second rule, contained in the second</w:t>
      </w:r>
      <w:r w:rsidRPr="006A3D71" w:rsidR="00A87597">
        <w:t xml:space="preserve"> </w:t>
      </w:r>
      <w:r w:rsidRPr="006A3D71">
        <w:t>sentence of the first paragraph, covers deprivation of possessions and subjects it to certain conditions; the third rule, stated in the second paragraph, recognises that the Contracting States are entitled, amongst other things, to control the use of property in accordance with the general interest and to secure the payment of penalties. The three</w:t>
      </w:r>
      <w:r w:rsidRPr="006A3D71" w:rsidR="008327CA">
        <w:t> </w:t>
      </w:r>
      <w:r w:rsidRPr="006A3D71">
        <w:t xml:space="preserve">rules are not, however, </w:t>
      </w:r>
      <w:r w:rsidRPr="006A3D71" w:rsidR="006A3D71">
        <w:t>‘</w:t>
      </w:r>
      <w:r w:rsidRPr="006A3D71">
        <w:t>distinct</w:t>
      </w:r>
      <w:r w:rsidRPr="006A3D71" w:rsidR="006A3D71">
        <w:t>’</w:t>
      </w:r>
      <w:r w:rsidRPr="006A3D71">
        <w:t xml:space="preserve"> in the sense of being unconnected. The second and third rules are concerned with particular instances of interference with the right to peaceful enjoyment of property and should therefore be construed in the light of the general principle enunciated in the first rule.</w:t>
      </w:r>
    </w:p>
    <w:p w:rsidRPr="006A3D71" w:rsidR="002B74EC" w:rsidP="006A3D71" w14:paraId="6CD9D449" w14:textId="3B349EA1">
      <w:pPr>
        <w:pStyle w:val="JuQuot"/>
      </w:pPr>
      <w:r w:rsidRPr="006A3D71">
        <w:t>...</w:t>
      </w:r>
    </w:p>
    <w:p w:rsidRPr="006A3D71" w:rsidR="002B74EC" w:rsidP="006A3D71" w14:paraId="7BB1EDAD" w14:textId="44C5DA73">
      <w:pPr>
        <w:pStyle w:val="JuQuot"/>
      </w:pPr>
      <w:r w:rsidRPr="006A3D71">
        <w:t xml:space="preserve">292. The Court reiterates that Article 1 of Protocol No. 1 above all requires that any interference by a public authority with the enjoyment of possessions be in accordance with the law: under the second sentence of the first paragraph of this Article, any deprivation of possessions must be </w:t>
      </w:r>
      <w:r w:rsidRPr="006A3D71" w:rsidR="006A3D71">
        <w:t>‘</w:t>
      </w:r>
      <w:r w:rsidRPr="006A3D71">
        <w:t>subject to the conditions provided for by law</w:t>
      </w:r>
      <w:r w:rsidRPr="006A3D71" w:rsidR="006A3D71">
        <w:t>’</w:t>
      </w:r>
      <w:r w:rsidRPr="006A3D71">
        <w:t xml:space="preserve">; the second paragraph entitles the States to control the use of property by enforcing </w:t>
      </w:r>
      <w:r w:rsidRPr="006A3D71" w:rsidR="006A3D71">
        <w:t>‘</w:t>
      </w:r>
      <w:r w:rsidRPr="006A3D71">
        <w:t>laws</w:t>
      </w:r>
      <w:r w:rsidRPr="006A3D71" w:rsidR="006A3D71">
        <w:t>’</w:t>
      </w:r>
      <w:r w:rsidRPr="006A3D71">
        <w:t>. Moreover, the rule of law, which is one of the fundamental principles of a democratic society, is inherent in all the Articles of the Convention.</w:t>
      </w:r>
    </w:p>
    <w:p w:rsidRPr="006A3D71" w:rsidR="002B74EC" w:rsidP="006A3D71" w14:paraId="73F7FB1C" w14:textId="101FEB88">
      <w:pPr>
        <w:pStyle w:val="JuQuot"/>
      </w:pPr>
      <w:r w:rsidRPr="006A3D71">
        <w:t>293. Moreover, since the second paragraph of Article 1 of Protocol No. 1 is to be construed in the light of the general principle enunciated in the opening sentence of that</w:t>
      </w:r>
      <w:r w:rsidRPr="006A3D71" w:rsidR="008327CA">
        <w:t> </w:t>
      </w:r>
      <w:r w:rsidRPr="006A3D71">
        <w:t>Article, there must exist a reasonable relationship of proportionality between the means employed and the aim sought to be realised: the Court must determine whether a fair balance has been struck between the demands of the general interest in this respect</w:t>
      </w:r>
      <w:r w:rsidRPr="006A3D71" w:rsidR="008327CA">
        <w:t> </w:t>
      </w:r>
      <w:r w:rsidRPr="006A3D71">
        <w:t>and the interest of the individual company concerned. In so determining, the Court recognises that the State enjoys a wide margin of appreciation with regard to the means to be employed and to the question of whether the consequences are justified in the general interest for the purpose of achieving the objective pursued.”</w:t>
      </w:r>
    </w:p>
    <w:p w:rsidRPr="006A3D71" w:rsidR="002B74EC" w:rsidP="006A3D71" w14:paraId="0B69455B" w14:textId="77777777">
      <w:pPr>
        <w:pStyle w:val="JuHa0"/>
      </w:pPr>
      <w:r w:rsidRPr="006A3D71">
        <w:t>Application of the above-mentioned principles to the present case</w:t>
      </w:r>
    </w:p>
    <w:p w:rsidRPr="006A3D71" w:rsidR="002B74EC" w:rsidP="006A3D71" w14:paraId="609661FD" w14:textId="2637AA84">
      <w:pPr>
        <w:pStyle w:val="JuHi"/>
      </w:pPr>
      <w:r w:rsidRPr="006A3D71">
        <w:t>As to whether there was an interference with the applicant</w:t>
      </w:r>
      <w:r w:rsidRPr="006A3D71" w:rsidR="006A3D71">
        <w:t>’</w:t>
      </w:r>
      <w:r w:rsidRPr="006A3D71">
        <w:t>s right of property and the applicable rule</w:t>
      </w:r>
    </w:p>
    <w:p w:rsidRPr="006A3D71" w:rsidR="002B74EC" w:rsidP="006A3D71" w14:paraId="043A0E04" w14:textId="21FCAFDB">
      <w:pPr>
        <w:ind w:firstLine="284"/>
        <w:jc w:val="both"/>
        <w:rPr>
          <w:rFonts w:ascii="Times New Roman" w:hAnsi="Times New Roman" w:eastAsia="Times New Roman" w:cs="Times New Roman"/>
        </w:rPr>
      </w:pPr>
      <w:r w:rsidRPr="006A3D71">
        <w:rPr>
          <w:rFonts w:ascii="Times New Roman" w:hAnsi="Times New Roman" w:eastAsia="Times New Roman" w:cs="Times New Roman"/>
        </w:rPr>
        <w:fldChar w:fldCharType="begin"/>
      </w:r>
      <w:r w:rsidRPr="006A3D71">
        <w:rPr>
          <w:rFonts w:ascii="Times New Roman" w:hAnsi="Times New Roman" w:eastAsia="Times New Roman" w:cs="Times New Roman"/>
        </w:rPr>
        <w:instrText xml:space="preserve"> SEQ level0 \*arabic \* MERGEFORMAT </w:instrText>
      </w:r>
      <w:r w:rsidRPr="006A3D71">
        <w:rPr>
          <w:rFonts w:ascii="Times New Roman" w:hAnsi="Times New Roman" w:eastAsia="Times New Roman" w:cs="Times New Roman"/>
        </w:rPr>
        <w:fldChar w:fldCharType="separate"/>
      </w:r>
      <w:r w:rsidRPr="006A3D71" w:rsidR="006A3D71">
        <w:rPr>
          <w:rFonts w:ascii="Times New Roman" w:hAnsi="Times New Roman" w:eastAsia="Times New Roman" w:cs="Times New Roman"/>
          <w:noProof/>
        </w:rPr>
        <w:t>40</w:t>
      </w:r>
      <w:r w:rsidRPr="006A3D71">
        <w:rPr>
          <w:rFonts w:ascii="Times New Roman" w:hAnsi="Times New Roman" w:eastAsia="Times New Roman" w:cs="Times New Roman"/>
        </w:rPr>
        <w:fldChar w:fldCharType="end"/>
      </w:r>
      <w:r w:rsidRPr="006A3D71">
        <w:rPr>
          <w:rFonts w:ascii="Times New Roman" w:hAnsi="Times New Roman" w:eastAsia="Times New Roman" w:cs="Times New Roman"/>
        </w:rPr>
        <w:t>.</w:t>
      </w:r>
      <w:r w:rsidRPr="006A3D71">
        <w:rPr>
          <w:rFonts w:ascii="Times New Roman" w:hAnsi="Times New Roman" w:eastAsia="Times New Roman" w:cs="Times New Roman"/>
          <w:b/>
          <w:bCs/>
        </w:rPr>
        <w:t>  </w:t>
      </w:r>
      <w:r w:rsidRPr="006A3D71">
        <w:rPr>
          <w:rFonts w:ascii="Times New Roman" w:hAnsi="Times New Roman" w:eastAsia="Times New Roman" w:cs="Times New Roman"/>
        </w:rPr>
        <w:t>The Court observes that it is not in dispute between the parties that the</w:t>
      </w:r>
      <w:r w:rsidRPr="006A3D71" w:rsidR="008327CA">
        <w:rPr>
          <w:rFonts w:ascii="Times New Roman" w:hAnsi="Times New Roman" w:eastAsia="Times New Roman" w:cs="Times New Roman"/>
        </w:rPr>
        <w:t> </w:t>
      </w:r>
      <w:r w:rsidRPr="006A3D71">
        <w:rPr>
          <w:rFonts w:ascii="Times New Roman" w:hAnsi="Times New Roman" w:eastAsia="Times New Roman" w:cs="Times New Roman"/>
        </w:rPr>
        <w:t>domestic authorities</w:t>
      </w:r>
      <w:r w:rsidRPr="006A3D71" w:rsidR="006A3D71">
        <w:rPr>
          <w:rFonts w:ascii="Times New Roman" w:hAnsi="Times New Roman" w:eastAsia="Times New Roman" w:cs="Times New Roman"/>
        </w:rPr>
        <w:t>’</w:t>
      </w:r>
      <w:r w:rsidRPr="006A3D71">
        <w:rPr>
          <w:rFonts w:ascii="Times New Roman" w:hAnsi="Times New Roman" w:eastAsia="Times New Roman" w:cs="Times New Roman"/>
        </w:rPr>
        <w:t xml:space="preserve"> decisions ordering confiscation of the undeclared jewellery amounted to an interference with the applicant</w:t>
      </w:r>
      <w:r w:rsidRPr="006A3D71" w:rsidR="006A3D71">
        <w:rPr>
          <w:rFonts w:ascii="Times New Roman" w:hAnsi="Times New Roman" w:eastAsia="Times New Roman" w:cs="Times New Roman"/>
        </w:rPr>
        <w:t>’</w:t>
      </w:r>
      <w:r w:rsidRPr="006A3D71">
        <w:rPr>
          <w:rFonts w:ascii="Times New Roman" w:hAnsi="Times New Roman" w:eastAsia="Times New Roman" w:cs="Times New Roman"/>
        </w:rPr>
        <w:t>s right to the peaceful enjoyment of his possessions guaranteed by Article 1 of Protocol</w:t>
      </w:r>
      <w:r w:rsidRPr="006A3D71" w:rsidR="00A87597">
        <w:rPr>
          <w:rFonts w:ascii="Times New Roman" w:hAnsi="Times New Roman" w:eastAsia="Times New Roman" w:cs="Times New Roman"/>
        </w:rPr>
        <w:t> </w:t>
      </w:r>
      <w:r w:rsidRPr="006A3D71">
        <w:rPr>
          <w:rFonts w:ascii="Times New Roman" w:hAnsi="Times New Roman" w:eastAsia="Times New Roman" w:cs="Times New Roman"/>
        </w:rPr>
        <w:t>No. 1 to the Convention.</w:t>
      </w:r>
    </w:p>
    <w:bookmarkStart w:name="paragraph00040" w:id="34"/>
    <w:p w:rsidRPr="006A3D71" w:rsidR="002B74EC" w:rsidP="006A3D71" w14:paraId="42386088" w14:textId="2F2AFAB4">
      <w:pPr>
        <w:pStyle w:val="JuPara"/>
      </w:pPr>
      <w:r w:rsidRPr="006A3D71">
        <w:fldChar w:fldCharType="begin"/>
      </w:r>
      <w:r w:rsidRPr="006A3D71">
        <w:instrText xml:space="preserve"> SEQ level0 \*arabic \* MERGEFORMAT </w:instrText>
      </w:r>
      <w:r w:rsidRPr="006A3D71">
        <w:fldChar w:fldCharType="separate"/>
      </w:r>
      <w:r w:rsidRPr="006A3D71" w:rsidR="006A3D71">
        <w:rPr>
          <w:noProof/>
        </w:rPr>
        <w:t>41</w:t>
      </w:r>
      <w:r w:rsidRPr="006A3D71">
        <w:fldChar w:fldCharType="end"/>
      </w:r>
      <w:bookmarkEnd w:id="34"/>
      <w:r w:rsidRPr="006A3D71">
        <w:t>.  As regards the issue as to which of the rules contained in Article 1</w:t>
      </w:r>
      <w:r w:rsidRPr="006A3D71" w:rsidR="00A87597">
        <w:t xml:space="preserve"> </w:t>
      </w:r>
      <w:r w:rsidRPr="006A3D71">
        <w:t>of</w:t>
      </w:r>
      <w:r w:rsidRPr="006A3D71" w:rsidR="00A87597">
        <w:t xml:space="preserve"> </w:t>
      </w:r>
      <w:r w:rsidRPr="006A3D71">
        <w:t>Protocol No. 1 applies, the Court observes that the customs authorities initially temporary seized all the undeclared bracelets and that</w:t>
      </w:r>
      <w:r w:rsidRPr="006A3D71" w:rsidR="00A87597">
        <w:t xml:space="preserve"> </w:t>
      </w:r>
      <w:r w:rsidRPr="006A3D71">
        <w:t>the</w:t>
      </w:r>
      <w:r w:rsidRPr="006A3D71" w:rsidR="00A87597">
        <w:t xml:space="preserve"> </w:t>
      </w:r>
      <w:r w:rsidRPr="006A3D71">
        <w:t>misdemeanour courts subsequently imposed, as a sanction, the permanent confiscation of the bracelets seized from the applicant, which</w:t>
      </w:r>
      <w:r w:rsidRPr="006A3D71" w:rsidR="00A87597">
        <w:t xml:space="preserve"> </w:t>
      </w:r>
      <w:r w:rsidRPr="006A3D71">
        <w:t>entailed their conclusive transfer to the State. The Court considers</w:t>
      </w:r>
      <w:r w:rsidRPr="006A3D71" w:rsidR="00A87597">
        <w:t xml:space="preserve"> </w:t>
      </w:r>
      <w:r w:rsidRPr="006A3D71">
        <w:t>that</w:t>
      </w:r>
      <w:r w:rsidRPr="006A3D71" w:rsidR="00A87597">
        <w:t xml:space="preserve"> </w:t>
      </w:r>
      <w:r w:rsidRPr="006A3D71">
        <w:t>there is no need to take a clear stance on the question of the</w:t>
      </w:r>
      <w:r w:rsidRPr="006A3D71" w:rsidR="00A87597">
        <w:t xml:space="preserve"> </w:t>
      </w:r>
      <w:r w:rsidRPr="006A3D71">
        <w:t>rule</w:t>
      </w:r>
      <w:r w:rsidRPr="006A3D71" w:rsidR="00A87597">
        <w:t xml:space="preserve"> </w:t>
      </w:r>
      <w:r w:rsidRPr="006A3D71">
        <w:t>of Article 1 of Protocol</w:t>
      </w:r>
      <w:r w:rsidRPr="006A3D71" w:rsidR="00A87597">
        <w:t xml:space="preserve"> </w:t>
      </w:r>
      <w:r w:rsidRPr="006A3D71">
        <w:t>No. 1 under which the case should be examined – that is, whether it should be examined in the context of deprivation of property or control of its use – because the principles governing the question of justification in both contexts</w:t>
      </w:r>
      <w:r w:rsidRPr="006A3D71" w:rsidR="00A87597">
        <w:t xml:space="preserve"> </w:t>
      </w:r>
      <w:r w:rsidRPr="006A3D71">
        <w:t>are substantially the</w:t>
      </w:r>
      <w:r w:rsidRPr="006A3D71" w:rsidR="00D445AE">
        <w:t> </w:t>
      </w:r>
      <w:r w:rsidRPr="006A3D71">
        <w:t>same, involving, as they do, the legitimacy of the aim of any interference,</w:t>
      </w:r>
      <w:r w:rsidRPr="006A3D71" w:rsidR="00113F05">
        <w:t xml:space="preserve"> </w:t>
      </w:r>
      <w:r w:rsidRPr="006A3D71">
        <w:t>as well as its proportionality and the preservation</w:t>
      </w:r>
      <w:r w:rsidRPr="006A3D71" w:rsidR="00A87597">
        <w:t xml:space="preserve"> </w:t>
      </w:r>
      <w:r w:rsidRPr="006A3D71">
        <w:t>of a fair balance (see,</w:t>
      </w:r>
      <w:r w:rsidRPr="006A3D71" w:rsidR="00113F05">
        <w:t xml:space="preserve"> </w:t>
      </w:r>
      <w:r w:rsidRPr="006A3D71">
        <w:rPr>
          <w:i/>
          <w:iCs/>
        </w:rPr>
        <w:t>mutatis mutandis</w:t>
      </w:r>
      <w:r w:rsidRPr="006A3D71">
        <w:t>,</w:t>
      </w:r>
      <w:r w:rsidRPr="006A3D71" w:rsidR="00113F05">
        <w:t xml:space="preserve"> </w:t>
      </w:r>
      <w:r w:rsidRPr="006A3D71">
        <w:rPr>
          <w:i/>
          <w:iCs/>
        </w:rPr>
        <w:t>Denisova and Moiseyeva v. Russia</w:t>
      </w:r>
      <w:r w:rsidRPr="006A3D71">
        <w:t xml:space="preserve">, no. 16903/03, § 55, 1 April 2010, and </w:t>
      </w:r>
      <w:bookmarkStart w:name="_cl23881" w:id="35"/>
      <w:r w:rsidRPr="006A3D71">
        <w:rPr>
          <w:i/>
          <w:iCs/>
        </w:rPr>
        <w:t>Credit Europe Leasing Ifn S.A. v.</w:t>
      </w:r>
      <w:r w:rsidRPr="006A3D71">
        <w:t> </w:t>
      </w:r>
      <w:r w:rsidRPr="006A3D71">
        <w:rPr>
          <w:i/>
          <w:iCs/>
        </w:rPr>
        <w:t>Romania</w:t>
      </w:r>
      <w:bookmarkEnd w:id="35"/>
      <w:r w:rsidRPr="006A3D71">
        <w:t>, no. 38072/11, §§ 68-71, 21 July 2020).</w:t>
      </w:r>
    </w:p>
    <w:p w:rsidRPr="006A3D71" w:rsidR="002B74EC" w:rsidP="006A3D71" w14:paraId="07DC1A46" w14:textId="77777777">
      <w:pPr>
        <w:pStyle w:val="JuHi"/>
      </w:pPr>
      <w:r w:rsidRPr="006A3D71">
        <w:t>As to whether the interference was provided for by law</w:t>
      </w:r>
    </w:p>
    <w:p w:rsidRPr="006A3D71" w:rsidR="002B74EC" w:rsidP="006A3D71" w14:paraId="21E8B33E" w14:textId="2E854A56">
      <w:pPr>
        <w:pStyle w:val="JuPara"/>
        <w:rPr>
          <w:rFonts w:eastAsia="Times New Roman"/>
        </w:rPr>
      </w:pPr>
      <w:r w:rsidRPr="006A3D71">
        <w:rPr>
          <w:rFonts w:eastAsia="Times New Roman"/>
        </w:rPr>
        <w:fldChar w:fldCharType="begin"/>
      </w:r>
      <w:r w:rsidRPr="006A3D71">
        <w:rPr>
          <w:rFonts w:eastAsia="Times New Roman"/>
        </w:rPr>
        <w:instrText xml:space="preserve"> SEQ level0 \*arabic \* MERGEFORMAT </w:instrText>
      </w:r>
      <w:r w:rsidRPr="006A3D71">
        <w:rPr>
          <w:rFonts w:eastAsia="Times New Roman"/>
        </w:rPr>
        <w:fldChar w:fldCharType="separate"/>
      </w:r>
      <w:r w:rsidRPr="006A3D71" w:rsidR="006A3D71">
        <w:rPr>
          <w:rFonts w:eastAsia="Times New Roman"/>
          <w:noProof/>
        </w:rPr>
        <w:t>42</w:t>
      </w:r>
      <w:r w:rsidRPr="006A3D71">
        <w:rPr>
          <w:rFonts w:eastAsia="Times New Roman"/>
        </w:rPr>
        <w:fldChar w:fldCharType="end"/>
      </w:r>
      <w:r w:rsidRPr="006A3D71">
        <w:rPr>
          <w:rFonts w:eastAsia="Times New Roman"/>
        </w:rPr>
        <w:t>.  The Court notes that the customs misdemeanour of which the applicant – a transit passenger through Serbia on his way from the Netherlands to Türkiye</w:t>
      </w:r>
      <w:r w:rsidRPr="006A3D71">
        <w:rPr>
          <w:rFonts w:eastAsia="Times New Roman"/>
        </w:rPr>
        <w:t xml:space="preserve"> </w:t>
      </w:r>
      <w:r w:rsidRPr="006A3D71">
        <w:rPr>
          <w:rFonts w:eastAsia="Times New Roman"/>
        </w:rPr>
        <w:t>– was found guilty consisted of his failure to declare eight second-hand gold bracelets to the customs authorities. The domestic misdemeanour courts relied on Article 63 of the Customs Act, which requires</w:t>
      </w:r>
      <w:r w:rsidRPr="006A3D71" w:rsidR="008327CA">
        <w:rPr>
          <w:rFonts w:eastAsia="Times New Roman"/>
        </w:rPr>
        <w:t> </w:t>
      </w:r>
      <w:r w:rsidRPr="006A3D71">
        <w:rPr>
          <w:rFonts w:eastAsia="Times New Roman"/>
        </w:rPr>
        <w:t xml:space="preserve">goods imported into the Serbian customs territory to be declared to the customs authorities. They also relied on Article 292 </w:t>
      </w:r>
      <w:r w:rsidRPr="006A3D71">
        <w:rPr>
          <w:rFonts w:eastAsia="Times New Roman" w:cstheme="minorHAnsi"/>
        </w:rPr>
        <w:t>§</w:t>
      </w:r>
      <w:r w:rsidRPr="006A3D71">
        <w:rPr>
          <w:rFonts w:eastAsia="Times New Roman"/>
        </w:rPr>
        <w:t xml:space="preserve"> 1(3) of the same Act, which prescribes a misdemeanour and a fine for non-compliance with that duty, as well as with the general duty to present goods brought into the Serbian customs territory specified in Article 65 of that Act (see paragraphs </w:t>
      </w:r>
      <w:r w:rsidRPr="006A3D71">
        <w:rPr>
          <w:rFonts w:eastAsia="Times New Roman"/>
        </w:rPr>
        <w:fldChar w:fldCharType="begin"/>
      </w:r>
      <w:r w:rsidRPr="006A3D71">
        <w:rPr>
          <w:rFonts w:eastAsia="Times New Roman"/>
        </w:rPr>
        <w:instrText xml:space="preserve">REF paragraph00017 \h \* CharFormat </w:instrText>
      </w:r>
      <w:r w:rsidRPr="006A3D71">
        <w:rPr>
          <w:rFonts w:eastAsia="Times New Roman"/>
        </w:rPr>
        <w:fldChar w:fldCharType="separate"/>
      </w:r>
      <w:r w:rsidRPr="006A3D71" w:rsidR="006A3D71">
        <w:rPr>
          <w:rFonts w:eastAsia="Times New Roman"/>
        </w:rPr>
        <w:t>18</w:t>
      </w:r>
      <w:r w:rsidRPr="006A3D71">
        <w:rPr>
          <w:rFonts w:eastAsia="Times New Roman"/>
        </w:rPr>
        <w:fldChar w:fldCharType="end"/>
      </w:r>
      <w:r w:rsidRPr="006A3D71">
        <w:rPr>
          <w:rFonts w:eastAsia="Times New Roman"/>
        </w:rPr>
        <w:t xml:space="preserve">, </w:t>
      </w:r>
      <w:r w:rsidRPr="006A3D71">
        <w:rPr>
          <w:rFonts w:eastAsia="Times New Roman"/>
        </w:rPr>
        <w:fldChar w:fldCharType="begin"/>
      </w:r>
      <w:r w:rsidRPr="006A3D71">
        <w:rPr>
          <w:rFonts w:eastAsia="Times New Roman"/>
        </w:rPr>
        <w:instrText xml:space="preserve">REF paragraph00018 \h \* CharFormat </w:instrText>
      </w:r>
      <w:r w:rsidRPr="006A3D71">
        <w:rPr>
          <w:rFonts w:eastAsia="Times New Roman"/>
        </w:rPr>
        <w:fldChar w:fldCharType="separate"/>
      </w:r>
      <w:r w:rsidRPr="006A3D71" w:rsidR="006A3D71">
        <w:rPr>
          <w:rFonts w:eastAsia="Times New Roman"/>
        </w:rPr>
        <w:t>19</w:t>
      </w:r>
      <w:r w:rsidRPr="006A3D71">
        <w:rPr>
          <w:rFonts w:eastAsia="Times New Roman"/>
        </w:rPr>
        <w:fldChar w:fldCharType="end"/>
      </w:r>
      <w:r w:rsidRPr="006A3D71">
        <w:rPr>
          <w:rFonts w:eastAsia="Times New Roman"/>
        </w:rPr>
        <w:t xml:space="preserve"> and </w:t>
      </w:r>
      <w:r w:rsidRPr="006A3D71">
        <w:rPr>
          <w:rFonts w:eastAsia="Times New Roman"/>
        </w:rPr>
        <w:fldChar w:fldCharType="begin"/>
      </w:r>
      <w:r w:rsidRPr="006A3D71">
        <w:rPr>
          <w:rFonts w:eastAsia="Times New Roman"/>
        </w:rPr>
        <w:instrText xml:space="preserve">REF paragraph00019 \h \* CharFormat </w:instrText>
      </w:r>
      <w:r w:rsidRPr="006A3D71">
        <w:rPr>
          <w:rFonts w:eastAsia="Times New Roman"/>
        </w:rPr>
        <w:fldChar w:fldCharType="separate"/>
      </w:r>
      <w:r w:rsidRPr="006A3D71" w:rsidR="006A3D71">
        <w:rPr>
          <w:rFonts w:eastAsia="Times New Roman"/>
        </w:rPr>
        <w:t>20</w:t>
      </w:r>
      <w:r w:rsidRPr="006A3D71">
        <w:rPr>
          <w:rFonts w:eastAsia="Times New Roman"/>
        </w:rPr>
        <w:fldChar w:fldCharType="end"/>
      </w:r>
      <w:r w:rsidRPr="006A3D71">
        <w:rPr>
          <w:rFonts w:eastAsia="Times New Roman"/>
        </w:rPr>
        <w:t xml:space="preserve"> above). Likewise, the confiscation of</w:t>
      </w:r>
      <w:r w:rsidRPr="006A3D71" w:rsidR="004E55CB">
        <w:rPr>
          <w:rFonts w:eastAsia="Times New Roman"/>
        </w:rPr>
        <w:t xml:space="preserve"> </w:t>
      </w:r>
      <w:r w:rsidRPr="006A3D71">
        <w:rPr>
          <w:rFonts w:eastAsia="Times New Roman"/>
        </w:rPr>
        <w:t>goods</w:t>
      </w:r>
      <w:r w:rsidRPr="006A3D71" w:rsidR="004E55CB">
        <w:rPr>
          <w:rFonts w:eastAsia="Times New Roman"/>
        </w:rPr>
        <w:t xml:space="preserve"> </w:t>
      </w:r>
      <w:r w:rsidRPr="006A3D71">
        <w:rPr>
          <w:rFonts w:eastAsia="Times New Roman"/>
        </w:rPr>
        <w:t>which</w:t>
      </w:r>
      <w:r w:rsidRPr="006A3D71" w:rsidR="004E55CB">
        <w:rPr>
          <w:rFonts w:eastAsia="Times New Roman"/>
        </w:rPr>
        <w:t xml:space="preserve"> </w:t>
      </w:r>
      <w:r w:rsidRPr="006A3D71">
        <w:rPr>
          <w:rFonts w:eastAsia="Times New Roman"/>
        </w:rPr>
        <w:t xml:space="preserve">were not declared or presented to customs control, as a protective measure applicable to </w:t>
      </w:r>
      <w:r w:rsidRPr="006A3D71">
        <w:rPr>
          <w:rFonts w:eastAsia="Times New Roman"/>
          <w:bCs/>
        </w:rPr>
        <w:t xml:space="preserve">perpetrators of the misdemeanours </w:t>
      </w:r>
      <w:r w:rsidRPr="006A3D71">
        <w:rPr>
          <w:rFonts w:eastAsia="Times New Roman"/>
        </w:rPr>
        <w:t xml:space="preserve">defined by, </w:t>
      </w:r>
      <w:r w:rsidRPr="006A3D71">
        <w:rPr>
          <w:rFonts w:eastAsia="Times New Roman"/>
          <w:i/>
          <w:iCs/>
        </w:rPr>
        <w:t>inter alia</w:t>
      </w:r>
      <w:r w:rsidRPr="006A3D71">
        <w:rPr>
          <w:rFonts w:eastAsia="Times New Roman"/>
        </w:rPr>
        <w:t>, Article</w:t>
      </w:r>
      <w:r w:rsidRPr="006A3D71" w:rsidR="004E55CB">
        <w:rPr>
          <w:rFonts w:eastAsia="Times New Roman"/>
        </w:rPr>
        <w:t> </w:t>
      </w:r>
      <w:r w:rsidRPr="006A3D71">
        <w:rPr>
          <w:rFonts w:eastAsia="Times New Roman"/>
        </w:rPr>
        <w:t>292</w:t>
      </w:r>
      <w:r w:rsidRPr="006A3D71">
        <w:rPr>
          <w:rFonts w:eastAsia="Times New Roman"/>
          <w:bCs/>
        </w:rPr>
        <w:t xml:space="preserve">, </w:t>
      </w:r>
      <w:r w:rsidRPr="006A3D71">
        <w:rPr>
          <w:rFonts w:eastAsia="Times New Roman"/>
        </w:rPr>
        <w:t>had a legal basis in Article 298 of the same Act (see paragraph</w:t>
      </w:r>
      <w:r w:rsidRPr="006A3D71" w:rsidR="004E55CB">
        <w:rPr>
          <w:rFonts w:eastAsia="Times New Roman"/>
        </w:rPr>
        <w:t> </w:t>
      </w:r>
      <w:r w:rsidRPr="006A3D71">
        <w:rPr>
          <w:rFonts w:eastAsia="Times New Roman"/>
        </w:rPr>
        <w:fldChar w:fldCharType="begin"/>
      </w:r>
      <w:r w:rsidRPr="006A3D71">
        <w:rPr>
          <w:rFonts w:eastAsia="Times New Roman"/>
        </w:rPr>
        <w:instrText xml:space="preserve">REF paragraph00020 \h \* CharFormat </w:instrText>
      </w:r>
      <w:r w:rsidRPr="006A3D71" w:rsidR="004D5770">
        <w:rPr>
          <w:rFonts w:eastAsia="Times New Roman"/>
        </w:rPr>
        <w:instrText xml:space="preserve"> \* MERGEFORMAT </w:instrText>
      </w:r>
      <w:r w:rsidRPr="006A3D71">
        <w:rPr>
          <w:rFonts w:eastAsia="Times New Roman"/>
        </w:rPr>
        <w:fldChar w:fldCharType="separate"/>
      </w:r>
      <w:r w:rsidRPr="006A3D71" w:rsidR="006A3D71">
        <w:rPr>
          <w:rFonts w:eastAsia="Times New Roman"/>
        </w:rPr>
        <w:t>21</w:t>
      </w:r>
      <w:r w:rsidRPr="006A3D71">
        <w:rPr>
          <w:rFonts w:eastAsia="Times New Roman"/>
        </w:rPr>
        <w:fldChar w:fldCharType="end"/>
      </w:r>
      <w:r w:rsidRPr="006A3D71" w:rsidR="00A87597">
        <w:rPr>
          <w:rFonts w:eastAsia="Times New Roman"/>
        </w:rPr>
        <w:t xml:space="preserve"> </w:t>
      </w:r>
      <w:r w:rsidRPr="006A3D71">
        <w:rPr>
          <w:rFonts w:eastAsia="Times New Roman"/>
        </w:rPr>
        <w:t>above). Therefore, both the misdemeanour of failing to declare or present goods and the ensuing sanctions were prescribed by law.</w:t>
      </w:r>
    </w:p>
    <w:p w:rsidRPr="006A3D71" w:rsidR="002B74EC" w:rsidP="006A3D71" w14:paraId="773113C2" w14:textId="489271FA">
      <w:pPr>
        <w:pStyle w:val="JuPara"/>
        <w:rPr>
          <w:rFonts w:eastAsia="Times New Roman"/>
          <w:bCs/>
        </w:rPr>
      </w:pPr>
      <w:r w:rsidRPr="006A3D71">
        <w:rPr>
          <w:rFonts w:eastAsia="Times New Roman"/>
        </w:rPr>
        <w:fldChar w:fldCharType="begin"/>
      </w:r>
      <w:r w:rsidRPr="006A3D71">
        <w:rPr>
          <w:rFonts w:eastAsia="Times New Roman"/>
        </w:rPr>
        <w:instrText xml:space="preserve"> SEQ level0 \*arabic \* MERGEFORMAT </w:instrText>
      </w:r>
      <w:r w:rsidRPr="006A3D71">
        <w:rPr>
          <w:rFonts w:eastAsia="Times New Roman"/>
        </w:rPr>
        <w:fldChar w:fldCharType="separate"/>
      </w:r>
      <w:r w:rsidRPr="006A3D71" w:rsidR="006A3D71">
        <w:rPr>
          <w:rFonts w:eastAsia="Times New Roman"/>
          <w:noProof/>
        </w:rPr>
        <w:t>43</w:t>
      </w:r>
      <w:r w:rsidRPr="006A3D71">
        <w:rPr>
          <w:rFonts w:eastAsia="Times New Roman"/>
        </w:rPr>
        <w:fldChar w:fldCharType="end"/>
      </w:r>
      <w:r w:rsidRPr="006A3D71">
        <w:rPr>
          <w:rFonts w:eastAsia="Times New Roman"/>
        </w:rPr>
        <w:t>.  The Court reiterates that the existence of a legal basis in domestic law</w:t>
      </w:r>
      <w:r w:rsidRPr="006A3D71" w:rsidR="008327CA">
        <w:rPr>
          <w:rFonts w:eastAsia="Times New Roman"/>
        </w:rPr>
        <w:t> </w:t>
      </w:r>
      <w:r w:rsidRPr="006A3D71">
        <w:rPr>
          <w:rFonts w:eastAsia="Times New Roman"/>
        </w:rPr>
        <w:t xml:space="preserve">does not suffice, in itself, to satisfy the principle of lawfulness, which in addition presupposes that the applicable provisions of domestic law are sufficiently accessible, precise and foreseeable in their application (see, among other authorities, </w:t>
      </w:r>
      <w:r w:rsidRPr="006A3D71">
        <w:rPr>
          <w:rFonts w:eastAsia="Times New Roman"/>
          <w:i/>
          <w:iCs/>
        </w:rPr>
        <w:t>Beyeler v. Italy</w:t>
      </w:r>
      <w:r w:rsidRPr="006A3D71" w:rsidR="00A87597">
        <w:rPr>
          <w:rFonts w:eastAsia="Times New Roman"/>
          <w:i/>
          <w:iCs/>
        </w:rPr>
        <w:t xml:space="preserve"> </w:t>
      </w:r>
      <w:r w:rsidRPr="006A3D71">
        <w:rPr>
          <w:rFonts w:eastAsia="Times New Roman"/>
        </w:rPr>
        <w:t>[GC], no. </w:t>
      </w:r>
      <w:r w:rsidRPr="006A3D71">
        <w:rPr>
          <w:rFonts w:ascii="Times New Roman" w:hAnsi="Times New Roman" w:eastAsia="Times New Roman" w:cs="Times New Roman"/>
        </w:rPr>
        <w:t>33202/96</w:t>
      </w:r>
      <w:r w:rsidRPr="006A3D71">
        <w:rPr>
          <w:rFonts w:eastAsia="Times New Roman"/>
        </w:rPr>
        <w:t>, § 109, ECHR 2000</w:t>
      </w:r>
      <w:r w:rsidRPr="006A3D71">
        <w:rPr>
          <w:rFonts w:eastAsia="Times New Roman"/>
        </w:rPr>
        <w:noBreakHyphen/>
        <w:t xml:space="preserve">I; </w:t>
      </w:r>
      <w:bookmarkStart w:name="_cl21592" w:id="36"/>
      <w:r w:rsidRPr="006A3D71">
        <w:rPr>
          <w:rFonts w:eastAsia="Times New Roman"/>
          <w:i/>
          <w:iCs/>
        </w:rPr>
        <w:t>Baklanov v. Russia</w:t>
      </w:r>
      <w:bookmarkEnd w:id="36"/>
      <w:r w:rsidRPr="006A3D71">
        <w:rPr>
          <w:rFonts w:eastAsia="Times New Roman"/>
        </w:rPr>
        <w:t xml:space="preserve">, no. 68443/01, § 41, 9 June 2005; and </w:t>
      </w:r>
      <w:r w:rsidRPr="006A3D71">
        <w:rPr>
          <w:rFonts w:eastAsia="Times New Roman"/>
          <w:i/>
          <w:iCs/>
        </w:rPr>
        <w:t>Centro Europa 7 S.r.l. and Di Stefano v. Italy</w:t>
      </w:r>
      <w:r w:rsidRPr="006A3D71">
        <w:rPr>
          <w:rFonts w:eastAsia="Times New Roman"/>
        </w:rPr>
        <w:t xml:space="preserve"> [GC], no. 38433/09, § 187, ECHR 2012). </w:t>
      </w:r>
      <w:r w:rsidRPr="006A3D71">
        <w:rPr>
          <w:rFonts w:eastAsia="Times New Roman"/>
          <w:bCs/>
        </w:rPr>
        <w:t xml:space="preserve">These qualitative requirements must be satisfied as regards both the definition of an offence and the penalty the offence carries (see </w:t>
      </w:r>
      <w:r w:rsidRPr="006A3D71">
        <w:rPr>
          <w:rFonts w:eastAsia="Times New Roman"/>
          <w:bCs/>
          <w:i/>
        </w:rPr>
        <w:t>Del Río Prada</w:t>
      </w:r>
      <w:r w:rsidRPr="006A3D71">
        <w:rPr>
          <w:rFonts w:eastAsia="Times New Roman"/>
          <w:bCs/>
        </w:rPr>
        <w:t xml:space="preserve"> </w:t>
      </w:r>
      <w:r w:rsidRPr="006A3D71">
        <w:rPr>
          <w:rFonts w:eastAsia="Times New Roman"/>
          <w:bCs/>
          <w:i/>
        </w:rPr>
        <w:t>v.</w:t>
      </w:r>
      <w:r w:rsidRPr="006A3D71" w:rsidR="00A87597">
        <w:rPr>
          <w:rFonts w:eastAsia="Calibri"/>
          <w:i/>
          <w:iCs/>
          <w:lang w:eastAsia="fr-FR"/>
        </w:rPr>
        <w:t xml:space="preserve"> </w:t>
      </w:r>
      <w:r w:rsidRPr="006A3D71">
        <w:rPr>
          <w:rFonts w:eastAsia="Times New Roman"/>
          <w:bCs/>
          <w:i/>
        </w:rPr>
        <w:t>Spain</w:t>
      </w:r>
      <w:r w:rsidRPr="006A3D71">
        <w:rPr>
          <w:rFonts w:eastAsia="Times New Roman"/>
          <w:bCs/>
        </w:rPr>
        <w:t xml:space="preserve"> [GC], no.</w:t>
      </w:r>
      <w:r w:rsidRPr="006A3D71">
        <w:rPr>
          <w:rFonts w:eastAsia="Times New Roman"/>
        </w:rPr>
        <w:t> </w:t>
      </w:r>
      <w:r w:rsidRPr="006A3D71">
        <w:rPr>
          <w:rFonts w:eastAsia="Times New Roman"/>
          <w:bCs/>
        </w:rPr>
        <w:t xml:space="preserve">42750/09, § 91, ECHR 2013), which, </w:t>
      </w:r>
      <w:r w:rsidRPr="006A3D71">
        <w:rPr>
          <w:rFonts w:eastAsia="Times New Roman"/>
          <w:bCs/>
          <w:i/>
          <w:iCs/>
        </w:rPr>
        <w:t>inter alia</w:t>
      </w:r>
      <w:r w:rsidRPr="006A3D71">
        <w:rPr>
          <w:rFonts w:eastAsia="Times New Roman"/>
          <w:bCs/>
        </w:rPr>
        <w:t>,</w:t>
      </w:r>
      <w:r w:rsidRPr="006A3D71" w:rsidR="008327CA">
        <w:rPr>
          <w:rFonts w:eastAsia="Times New Roman"/>
          <w:bCs/>
        </w:rPr>
        <w:t> </w:t>
      </w:r>
      <w:r w:rsidRPr="006A3D71">
        <w:rPr>
          <w:rFonts w:eastAsia="Times New Roman"/>
          <w:bCs/>
        </w:rPr>
        <w:t xml:space="preserve">means that offences and the relevant penalties must be clearly defined by law (see </w:t>
      </w:r>
      <w:r w:rsidRPr="006A3D71">
        <w:rPr>
          <w:rFonts w:eastAsia="Times New Roman"/>
          <w:bCs/>
          <w:i/>
        </w:rPr>
        <w:t>Coëme and Others v.</w:t>
      </w:r>
      <w:r w:rsidRPr="006A3D71">
        <w:rPr>
          <w:rFonts w:eastAsia="Times New Roman"/>
        </w:rPr>
        <w:t> </w:t>
      </w:r>
      <w:r w:rsidRPr="006A3D71">
        <w:rPr>
          <w:rFonts w:eastAsia="Times New Roman"/>
          <w:bCs/>
          <w:i/>
        </w:rPr>
        <w:t>Belgium</w:t>
      </w:r>
      <w:r w:rsidRPr="006A3D71">
        <w:rPr>
          <w:rFonts w:eastAsia="Times New Roman"/>
          <w:bCs/>
        </w:rPr>
        <w:t>, nos. 32492/96 and 4 others, §</w:t>
      </w:r>
      <w:r w:rsidRPr="006A3D71">
        <w:t> </w:t>
      </w:r>
      <w:r w:rsidRPr="006A3D71">
        <w:rPr>
          <w:rFonts w:eastAsia="Times New Roman"/>
          <w:bCs/>
        </w:rPr>
        <w:t>145,</w:t>
      </w:r>
      <w:r w:rsidRPr="006A3D71" w:rsidR="008327CA">
        <w:rPr>
          <w:rFonts w:eastAsia="Times New Roman"/>
          <w:bCs/>
        </w:rPr>
        <w:t> </w:t>
      </w:r>
      <w:r w:rsidRPr="006A3D71">
        <w:rPr>
          <w:rFonts w:eastAsia="Times New Roman"/>
          <w:bCs/>
        </w:rPr>
        <w:t>ECHR 2000</w:t>
      </w:r>
      <w:r w:rsidRPr="006A3D71">
        <w:rPr>
          <w:rFonts w:eastAsia="Times New Roman"/>
          <w:bCs/>
        </w:rPr>
        <w:noBreakHyphen/>
        <w:t>VII).</w:t>
      </w:r>
    </w:p>
    <w:bookmarkStart w:name="paragraph00043" w:id="37"/>
    <w:p w:rsidRPr="006A3D71" w:rsidR="002B74EC" w:rsidP="006A3D71" w14:paraId="30CFE932" w14:textId="0F2F3D6C">
      <w:pPr>
        <w:pStyle w:val="JuPara"/>
        <w:rPr>
          <w:rFonts w:eastAsia="Calibri"/>
          <w:lang w:eastAsia="fr-FR"/>
        </w:rPr>
      </w:pPr>
      <w:r w:rsidRPr="006A3D71">
        <w:rPr>
          <w:rFonts w:eastAsia="Calibri"/>
          <w:lang w:eastAsia="fr-FR"/>
        </w:rPr>
        <w:fldChar w:fldCharType="begin"/>
      </w:r>
      <w:r w:rsidRPr="006A3D71">
        <w:rPr>
          <w:rFonts w:eastAsia="Calibri"/>
          <w:lang w:eastAsia="fr-FR"/>
        </w:rPr>
        <w:instrText xml:space="preserve"> SEQ level0 \*arabic \* MERGEFORMAT </w:instrText>
      </w:r>
      <w:r w:rsidRPr="006A3D71">
        <w:rPr>
          <w:rFonts w:eastAsia="Calibri"/>
          <w:lang w:eastAsia="fr-FR"/>
        </w:rPr>
        <w:fldChar w:fldCharType="separate"/>
      </w:r>
      <w:r w:rsidRPr="006A3D71" w:rsidR="006A3D71">
        <w:rPr>
          <w:rFonts w:eastAsia="Calibri"/>
          <w:noProof/>
          <w:lang w:eastAsia="fr-FR"/>
        </w:rPr>
        <w:t>44</w:t>
      </w:r>
      <w:r w:rsidRPr="006A3D71">
        <w:rPr>
          <w:rFonts w:eastAsia="Calibri"/>
          <w:lang w:eastAsia="fr-FR"/>
        </w:rPr>
        <w:fldChar w:fldCharType="end"/>
      </w:r>
      <w:bookmarkEnd w:id="37"/>
      <w:r w:rsidRPr="006A3D71">
        <w:rPr>
          <w:rFonts w:eastAsia="Calibri"/>
          <w:lang w:eastAsia="fr-FR"/>
        </w:rPr>
        <w:t xml:space="preserve">.  The Court observes that none of the competent domestic authorities involved in the present case, or the Government, have identified any regulations setting out to what extent an individual traveller is allowed to carry personal gold while transiting through the Serbian customs territory, without being required to declare or present it to the national customs authorities. It has not been argued that the guidance available on the Serbian Customs website (see paragraph </w:t>
      </w:r>
      <w:r w:rsidRPr="006A3D71">
        <w:rPr>
          <w:rFonts w:eastAsia="Calibri"/>
          <w:lang w:eastAsia="fr-FR"/>
        </w:rPr>
        <w:fldChar w:fldCharType="begin"/>
      </w:r>
      <w:r w:rsidRPr="006A3D71">
        <w:rPr>
          <w:rFonts w:eastAsia="Calibri"/>
          <w:lang w:eastAsia="fr-FR"/>
        </w:rPr>
        <w:instrText xml:space="preserve"> REF paragraph00024 \h  \* CharFormat  \* MERGEFORMAT </w:instrText>
      </w:r>
      <w:r w:rsidRPr="006A3D71">
        <w:rPr>
          <w:rFonts w:eastAsia="Calibri"/>
          <w:lang w:eastAsia="fr-FR"/>
        </w:rPr>
        <w:fldChar w:fldCharType="separate"/>
      </w:r>
      <w:r w:rsidRPr="006A3D71" w:rsidR="006A3D71">
        <w:rPr>
          <w:rFonts w:eastAsia="Calibri"/>
          <w:lang w:eastAsia="fr-FR"/>
        </w:rPr>
        <w:t>25</w:t>
      </w:r>
      <w:r w:rsidRPr="006A3D71">
        <w:rPr>
          <w:rFonts w:eastAsia="Calibri"/>
          <w:lang w:eastAsia="fr-FR"/>
        </w:rPr>
        <w:fldChar w:fldCharType="end"/>
      </w:r>
      <w:r w:rsidRPr="006A3D71">
        <w:rPr>
          <w:rFonts w:eastAsia="Calibri"/>
          <w:lang w:eastAsia="fr-FR"/>
        </w:rPr>
        <w:t xml:space="preserve"> above and the related footnote)</w:t>
      </w:r>
      <w:r w:rsidRPr="006A3D71" w:rsidR="004E55CB">
        <w:rPr>
          <w:rFonts w:eastAsia="Calibri"/>
          <w:lang w:eastAsia="fr-FR"/>
        </w:rPr>
        <w:t xml:space="preserve"> </w:t>
      </w:r>
      <w:r w:rsidRPr="006A3D71">
        <w:rPr>
          <w:rFonts w:eastAsia="Calibri"/>
          <w:lang w:eastAsia="fr-FR"/>
        </w:rPr>
        <w:t>existed</w:t>
      </w:r>
      <w:r w:rsidRPr="006A3D71" w:rsidR="004E55CB">
        <w:rPr>
          <w:rFonts w:eastAsia="Calibri"/>
          <w:lang w:eastAsia="fr-FR"/>
        </w:rPr>
        <w:t xml:space="preserve"> </w:t>
      </w:r>
      <w:r w:rsidRPr="006A3D71">
        <w:rPr>
          <w:rFonts w:eastAsia="Calibri"/>
          <w:lang w:eastAsia="fr-FR"/>
        </w:rPr>
        <w:t>at</w:t>
      </w:r>
      <w:r w:rsidRPr="006A3D71" w:rsidR="008327CA">
        <w:rPr>
          <w:rFonts w:eastAsia="Calibri"/>
          <w:lang w:eastAsia="fr-FR"/>
        </w:rPr>
        <w:t> </w:t>
      </w:r>
      <w:r w:rsidRPr="006A3D71">
        <w:rPr>
          <w:rFonts w:eastAsia="Calibri"/>
          <w:lang w:eastAsia="fr-FR"/>
        </w:rPr>
        <w:t xml:space="preserve">the relevant time. </w:t>
      </w:r>
      <w:r w:rsidRPr="006A3D71">
        <w:rPr>
          <w:rFonts w:eastAsia="Calibri"/>
          <w:color w:val="000000"/>
          <w:lang w:eastAsia="fr-FR"/>
        </w:rPr>
        <w:t>However,</w:t>
      </w:r>
      <w:r w:rsidRPr="006A3D71">
        <w:rPr>
          <w:rFonts w:eastAsia="Calibri"/>
          <w:lang w:eastAsia="fr-FR"/>
        </w:rPr>
        <w:t xml:space="preserve"> the domestic courts cannot be blamed for failing to rule on the above-mentioned issues, which the applicant, although legally represented, did not raise before them (see, </w:t>
      </w:r>
      <w:r w:rsidRPr="006A3D71">
        <w:rPr>
          <w:rFonts w:eastAsia="Calibri"/>
          <w:i/>
          <w:iCs/>
          <w:lang w:eastAsia="fr-FR"/>
        </w:rPr>
        <w:t>mutatis mutandis</w:t>
      </w:r>
      <w:r w:rsidRPr="006A3D71">
        <w:rPr>
          <w:rFonts w:eastAsia="Calibri"/>
          <w:lang w:eastAsia="fr-FR"/>
        </w:rPr>
        <w:t xml:space="preserve">, </w:t>
      </w:r>
      <w:r w:rsidRPr="006A3D71">
        <w:rPr>
          <w:rFonts w:eastAsia="Calibri"/>
          <w:i/>
          <w:iCs/>
          <w:lang w:eastAsia="fr-FR"/>
        </w:rPr>
        <w:t>Fu Quan, S.R.O. v. the Czech Republic</w:t>
      </w:r>
      <w:r w:rsidRPr="006A3D71">
        <w:rPr>
          <w:rFonts w:eastAsia="Calibri"/>
          <w:lang w:eastAsia="fr-FR"/>
        </w:rPr>
        <w:t xml:space="preserve"> [GC], no.</w:t>
      </w:r>
      <w:r w:rsidRPr="006A3D71">
        <w:rPr>
          <w:rFonts w:eastAsia="Calibri"/>
          <w:i/>
          <w:iCs/>
          <w:lang w:eastAsia="fr-FR"/>
        </w:rPr>
        <w:t> </w:t>
      </w:r>
      <w:r w:rsidRPr="006A3D71">
        <w:rPr>
          <w:rFonts w:eastAsia="Calibri"/>
          <w:lang w:eastAsia="fr-FR"/>
        </w:rPr>
        <w:t>24827/14, §</w:t>
      </w:r>
      <w:r w:rsidRPr="006A3D71" w:rsidR="008327CA">
        <w:rPr>
          <w:rFonts w:eastAsia="Calibri"/>
          <w:lang w:eastAsia="fr-FR"/>
        </w:rPr>
        <w:t> </w:t>
      </w:r>
      <w:r w:rsidRPr="006A3D71">
        <w:rPr>
          <w:rFonts w:eastAsia="Calibri"/>
          <w:lang w:eastAsia="fr-FR"/>
        </w:rPr>
        <w:t>123,</w:t>
      </w:r>
      <w:r w:rsidRPr="006A3D71" w:rsidR="00113F05">
        <w:rPr>
          <w:rFonts w:eastAsia="Calibri"/>
          <w:lang w:eastAsia="fr-FR"/>
        </w:rPr>
        <w:t xml:space="preserve"> </w:t>
      </w:r>
      <w:r w:rsidRPr="006A3D71">
        <w:rPr>
          <w:rFonts w:eastAsia="Calibri"/>
          <w:lang w:eastAsia="fr-FR"/>
        </w:rPr>
        <w:t>1 June 2023).</w:t>
      </w:r>
      <w:r w:rsidRPr="006A3D71" w:rsidR="00113F05">
        <w:rPr>
          <w:rFonts w:eastAsia="Calibri"/>
          <w:lang w:eastAsia="fr-FR"/>
        </w:rPr>
        <w:t xml:space="preserve"> </w:t>
      </w:r>
      <w:r w:rsidRPr="006A3D71">
        <w:rPr>
          <w:rFonts w:eastAsia="Calibri"/>
          <w:lang w:eastAsia="fr-FR"/>
        </w:rPr>
        <w:t>Indeed, in his appeal to the Constitutional Court, which is, in principle,</w:t>
      </w:r>
      <w:r w:rsidRPr="006A3D71" w:rsidR="00113F05">
        <w:rPr>
          <w:rFonts w:eastAsia="Calibri"/>
          <w:lang w:eastAsia="fr-FR"/>
        </w:rPr>
        <w:t xml:space="preserve"> </w:t>
      </w:r>
      <w:r w:rsidRPr="006A3D71">
        <w:rPr>
          <w:rFonts w:eastAsia="Calibri"/>
          <w:lang w:eastAsia="fr-FR"/>
        </w:rPr>
        <w:t>considered an effective domestic remedy within the meaning of Article 35</w:t>
      </w:r>
      <w:r w:rsidRPr="006A3D71" w:rsidR="00113F05">
        <w:rPr>
          <w:rFonts w:eastAsia="Calibri"/>
          <w:lang w:eastAsia="fr-FR"/>
        </w:rPr>
        <w:t> </w:t>
      </w:r>
      <w:r w:rsidRPr="006A3D71">
        <w:rPr>
          <w:rFonts w:eastAsia="Calibri"/>
          <w:lang w:eastAsia="fr-FR"/>
        </w:rPr>
        <w:t>§</w:t>
      </w:r>
      <w:r w:rsidRPr="006A3D71" w:rsidR="00113F05">
        <w:rPr>
          <w:rFonts w:eastAsia="Calibri"/>
          <w:lang w:eastAsia="fr-FR"/>
        </w:rPr>
        <w:t> </w:t>
      </w:r>
      <w:r w:rsidRPr="006A3D71">
        <w:rPr>
          <w:rFonts w:eastAsia="Calibri"/>
          <w:lang w:eastAsia="fr-FR"/>
        </w:rPr>
        <w:t xml:space="preserve">1 of the Convention (see </w:t>
      </w:r>
      <w:r w:rsidRPr="006A3D71">
        <w:rPr>
          <w:rFonts w:eastAsia="Calibri"/>
          <w:i/>
          <w:iCs/>
          <w:lang w:eastAsia="fr-FR"/>
        </w:rPr>
        <w:t>Vinčić and Others v. Serbia</w:t>
      </w:r>
      <w:r w:rsidRPr="006A3D71">
        <w:rPr>
          <w:rFonts w:eastAsia="Calibri"/>
          <w:lang w:eastAsia="fr-FR"/>
        </w:rPr>
        <w:t>, nos.</w:t>
      </w:r>
      <w:r w:rsidRPr="006A3D71" w:rsidR="00113F05">
        <w:rPr>
          <w:rFonts w:eastAsia="Calibri"/>
          <w:lang w:eastAsia="fr-FR"/>
        </w:rPr>
        <w:t xml:space="preserve"> </w:t>
      </w:r>
      <w:r w:rsidRPr="006A3D71">
        <w:rPr>
          <w:rFonts w:eastAsia="Calibri"/>
          <w:lang w:eastAsia="fr-FR"/>
        </w:rPr>
        <w:t>44698/06 and 30</w:t>
      </w:r>
      <w:r w:rsidRPr="006A3D71" w:rsidR="00113F05">
        <w:rPr>
          <w:rFonts w:eastAsia="Calibri"/>
          <w:lang w:eastAsia="fr-FR"/>
        </w:rPr>
        <w:t> </w:t>
      </w:r>
      <w:r w:rsidRPr="006A3D71">
        <w:rPr>
          <w:rFonts w:eastAsia="Calibri"/>
          <w:lang w:eastAsia="fr-FR"/>
        </w:rPr>
        <w:t>others, §</w:t>
      </w:r>
      <w:r w:rsidRPr="006A3D71">
        <w:t> </w:t>
      </w:r>
      <w:r w:rsidRPr="006A3D71">
        <w:rPr>
          <w:rFonts w:eastAsia="Calibri"/>
          <w:lang w:eastAsia="fr-FR"/>
        </w:rPr>
        <w:t>51, 1</w:t>
      </w:r>
      <w:r w:rsidRPr="006A3D71">
        <w:rPr>
          <w:rFonts w:eastAsia="Calibri"/>
          <w:i/>
          <w:iCs/>
          <w:lang w:eastAsia="fr-FR"/>
        </w:rPr>
        <w:t> </w:t>
      </w:r>
      <w:r w:rsidRPr="006A3D71">
        <w:rPr>
          <w:rFonts w:eastAsia="Calibri"/>
          <w:lang w:eastAsia="fr-FR"/>
        </w:rPr>
        <w:t>December 2009), the applicant</w:t>
      </w:r>
      <w:r w:rsidRPr="006A3D71" w:rsidR="006A3D71">
        <w:rPr>
          <w:rFonts w:eastAsia="Calibri"/>
          <w:lang w:eastAsia="fr-FR"/>
        </w:rPr>
        <w:t>’</w:t>
      </w:r>
      <w:r w:rsidRPr="006A3D71">
        <w:rPr>
          <w:rFonts w:eastAsia="Calibri"/>
          <w:lang w:eastAsia="fr-FR"/>
        </w:rPr>
        <w:t>s</w:t>
      </w:r>
      <w:r w:rsidRPr="006A3D71" w:rsidR="00CB21F2">
        <w:rPr>
          <w:rFonts w:eastAsia="Calibri"/>
          <w:lang w:eastAsia="fr-FR"/>
        </w:rPr>
        <w:t xml:space="preserve"> </w:t>
      </w:r>
      <w:r w:rsidRPr="006A3D71">
        <w:rPr>
          <w:rFonts w:eastAsia="Calibri"/>
          <w:lang w:eastAsia="fr-FR"/>
        </w:rPr>
        <w:t>arguments</w:t>
      </w:r>
      <w:r w:rsidRPr="006A3D71" w:rsidR="00CB21F2">
        <w:rPr>
          <w:rFonts w:eastAsia="Calibri"/>
          <w:lang w:eastAsia="fr-FR"/>
        </w:rPr>
        <w:t xml:space="preserve"> </w:t>
      </w:r>
      <w:r w:rsidRPr="006A3D71">
        <w:rPr>
          <w:rFonts w:eastAsia="Calibri"/>
          <w:lang w:eastAsia="fr-FR"/>
        </w:rPr>
        <w:t xml:space="preserve">were limited to the mandatory nature of the confiscation and its proportionality </w:t>
      </w:r>
      <w:r w:rsidRPr="006A3D71">
        <w:rPr>
          <w:rFonts w:eastAsia="Calibri"/>
          <w:i/>
          <w:iCs/>
          <w:lang w:eastAsia="fr-FR"/>
        </w:rPr>
        <w:t>vis-à-vis</w:t>
      </w:r>
      <w:r w:rsidRPr="006A3D71">
        <w:rPr>
          <w:rFonts w:eastAsia="Calibri"/>
          <w:lang w:eastAsia="fr-FR"/>
        </w:rPr>
        <w:t xml:space="preserve"> the (lawful) origin of the jewellery (alleging that it had not corresponded to the essence of the misdemeanour and the purpose of</w:t>
      </w:r>
      <w:r w:rsidRPr="006A3D71" w:rsidR="008327CA">
        <w:rPr>
          <w:rFonts w:eastAsia="Calibri"/>
          <w:lang w:eastAsia="fr-FR"/>
        </w:rPr>
        <w:t> </w:t>
      </w:r>
      <w:r w:rsidRPr="006A3D71">
        <w:rPr>
          <w:rFonts w:eastAsia="Calibri"/>
          <w:lang w:eastAsia="fr-FR"/>
        </w:rPr>
        <w:t xml:space="preserve">the sanctions in question – see paragraphs </w:t>
      </w:r>
      <w:r w:rsidRPr="006A3D71">
        <w:rPr>
          <w:rFonts w:eastAsia="Calibri"/>
          <w:lang w:eastAsia="fr-FR"/>
        </w:rPr>
        <w:fldChar w:fldCharType="begin"/>
      </w:r>
      <w:r w:rsidRPr="006A3D71">
        <w:rPr>
          <w:rFonts w:eastAsia="Calibri"/>
          <w:lang w:eastAsia="fr-FR"/>
        </w:rPr>
        <w:instrText xml:space="preserve">REF paragraph00010 \h \* CharFormat  \* MERGEFORMAT </w:instrText>
      </w:r>
      <w:r w:rsidRPr="006A3D71">
        <w:rPr>
          <w:rFonts w:eastAsia="Calibri"/>
          <w:lang w:eastAsia="fr-FR"/>
        </w:rPr>
        <w:fldChar w:fldCharType="separate"/>
      </w:r>
      <w:r w:rsidRPr="006A3D71" w:rsidR="006A3D71">
        <w:rPr>
          <w:rFonts w:eastAsia="Calibri"/>
          <w:lang w:eastAsia="fr-FR"/>
        </w:rPr>
        <w:t>11</w:t>
      </w:r>
      <w:r w:rsidRPr="006A3D71">
        <w:rPr>
          <w:rFonts w:eastAsia="Calibri"/>
          <w:lang w:eastAsia="fr-FR"/>
        </w:rPr>
        <w:fldChar w:fldCharType="end"/>
      </w:r>
      <w:r w:rsidRPr="006A3D71">
        <w:rPr>
          <w:rFonts w:eastAsia="Calibri"/>
          <w:lang w:eastAsia="fr-FR"/>
        </w:rPr>
        <w:t xml:space="preserve"> and </w:t>
      </w:r>
      <w:r w:rsidRPr="006A3D71">
        <w:rPr>
          <w:rFonts w:eastAsia="Calibri"/>
          <w:lang w:eastAsia="fr-FR"/>
        </w:rPr>
        <w:fldChar w:fldCharType="begin"/>
      </w:r>
      <w:r w:rsidRPr="006A3D71">
        <w:rPr>
          <w:rFonts w:eastAsia="Calibri"/>
          <w:lang w:eastAsia="fr-FR"/>
        </w:rPr>
        <w:instrText xml:space="preserve">REF paragraph00012 \h \* CharFormat  \* MERGEFORMAT </w:instrText>
      </w:r>
      <w:r w:rsidRPr="006A3D71">
        <w:rPr>
          <w:rFonts w:eastAsia="Calibri"/>
          <w:lang w:eastAsia="fr-FR"/>
        </w:rPr>
        <w:fldChar w:fldCharType="separate"/>
      </w:r>
      <w:r w:rsidRPr="006A3D71" w:rsidR="006A3D71">
        <w:rPr>
          <w:rFonts w:eastAsia="Calibri"/>
          <w:lang w:eastAsia="fr-FR"/>
        </w:rPr>
        <w:t>13</w:t>
      </w:r>
      <w:r w:rsidRPr="006A3D71">
        <w:rPr>
          <w:rFonts w:eastAsia="Calibri"/>
          <w:lang w:eastAsia="fr-FR"/>
        </w:rPr>
        <w:fldChar w:fldCharType="end"/>
      </w:r>
      <w:r w:rsidRPr="006A3D71">
        <w:rPr>
          <w:rFonts w:eastAsia="Calibri"/>
          <w:lang w:eastAsia="fr-FR"/>
        </w:rPr>
        <w:t xml:space="preserve"> above). In the proceedings before the Court, the applicant made a passing reference to the issue of lawfulness (see paragraph </w:t>
      </w:r>
      <w:r w:rsidRPr="006A3D71">
        <w:rPr>
          <w:rFonts w:eastAsia="Calibri"/>
          <w:lang w:eastAsia="fr-FR"/>
        </w:rPr>
        <w:fldChar w:fldCharType="begin"/>
      </w:r>
      <w:r w:rsidRPr="006A3D71">
        <w:rPr>
          <w:rFonts w:eastAsia="Calibri"/>
          <w:lang w:eastAsia="fr-FR"/>
        </w:rPr>
        <w:instrText xml:space="preserve"> REF paragraph00034 \h  \* CharFormat  \* MERGEFORMAT </w:instrText>
      </w:r>
      <w:r w:rsidRPr="006A3D71">
        <w:rPr>
          <w:rFonts w:eastAsia="Calibri"/>
          <w:lang w:eastAsia="fr-FR"/>
        </w:rPr>
        <w:fldChar w:fldCharType="separate"/>
      </w:r>
      <w:r w:rsidRPr="006A3D71" w:rsidR="006A3D71">
        <w:rPr>
          <w:rFonts w:eastAsia="Calibri"/>
          <w:lang w:eastAsia="fr-FR"/>
        </w:rPr>
        <w:t>35</w:t>
      </w:r>
      <w:r w:rsidRPr="006A3D71">
        <w:rPr>
          <w:rFonts w:eastAsia="Calibri"/>
          <w:lang w:eastAsia="fr-FR"/>
        </w:rPr>
        <w:fldChar w:fldCharType="end"/>
      </w:r>
      <w:r w:rsidRPr="006A3D71">
        <w:rPr>
          <w:rFonts w:eastAsia="Calibri"/>
          <w:lang w:eastAsia="fr-FR"/>
        </w:rPr>
        <w:t xml:space="preserve"> above), without providing any arguments as to the precision or foreseeability of the statutory provisions applied in his case.</w:t>
      </w:r>
    </w:p>
    <w:p w:rsidRPr="006A3D71" w:rsidR="002B74EC" w:rsidP="006A3D71" w14:paraId="3331F669" w14:textId="101536FA">
      <w:pPr>
        <w:pStyle w:val="JuPara"/>
        <w:rPr>
          <w:rFonts w:eastAsia="Times New Roman"/>
        </w:rPr>
      </w:pPr>
      <w:r w:rsidRPr="006A3D71">
        <w:rPr>
          <w:rFonts w:eastAsia="Times New Roman"/>
        </w:rPr>
        <w:fldChar w:fldCharType="begin"/>
      </w:r>
      <w:r w:rsidRPr="006A3D71">
        <w:rPr>
          <w:rFonts w:eastAsia="Times New Roman"/>
        </w:rPr>
        <w:instrText xml:space="preserve"> SEQ level0 \*arabic \* MERGEFORMAT </w:instrText>
      </w:r>
      <w:r w:rsidRPr="006A3D71">
        <w:rPr>
          <w:rFonts w:eastAsia="Times New Roman"/>
        </w:rPr>
        <w:fldChar w:fldCharType="separate"/>
      </w:r>
      <w:r w:rsidRPr="006A3D71" w:rsidR="006A3D71">
        <w:rPr>
          <w:rFonts w:eastAsia="Times New Roman"/>
          <w:noProof/>
        </w:rPr>
        <w:t>45</w:t>
      </w:r>
      <w:r w:rsidRPr="006A3D71">
        <w:rPr>
          <w:rFonts w:eastAsia="Times New Roman"/>
        </w:rPr>
        <w:fldChar w:fldCharType="end"/>
      </w:r>
      <w:r w:rsidRPr="006A3D71">
        <w:rPr>
          <w:rFonts w:eastAsia="Times New Roman"/>
        </w:rPr>
        <w:t>.  In such circumstances, and having regard to the Court</w:t>
      </w:r>
      <w:r w:rsidRPr="006A3D71" w:rsidR="006A3D71">
        <w:rPr>
          <w:rFonts w:eastAsia="Times New Roman"/>
        </w:rPr>
        <w:t>’</w:t>
      </w:r>
      <w:r w:rsidRPr="006A3D71">
        <w:rPr>
          <w:rFonts w:eastAsia="Times New Roman"/>
        </w:rPr>
        <w:t xml:space="preserve">s limited jurisdiction to interpret and apply the domestic law (see </w:t>
      </w:r>
      <w:r w:rsidRPr="006A3D71">
        <w:rPr>
          <w:rFonts w:eastAsia="Times New Roman"/>
          <w:i/>
          <w:iCs/>
        </w:rPr>
        <w:t>Fu Quan</w:t>
      </w:r>
      <w:r w:rsidRPr="006A3D71">
        <w:rPr>
          <w:rFonts w:eastAsia="Times New Roman"/>
        </w:rPr>
        <w:t xml:space="preserve">, cited above, </w:t>
      </w:r>
      <w:r w:rsidRPr="006A3D71">
        <w:rPr>
          <w:rFonts w:eastAsia="Times New Roman" w:cstheme="minorHAnsi"/>
        </w:rPr>
        <w:t>§</w:t>
      </w:r>
      <w:r w:rsidRPr="006A3D71">
        <w:rPr>
          <w:rFonts w:eastAsia="Times New Roman"/>
        </w:rPr>
        <w:t xml:space="preserve"> 120), it considers it appropriate not to address the issue of the lawfulness of the impugned measure, and instead to examine whether the interference in question pursued a legitimate aim and whether it was proportionate (see, </w:t>
      </w:r>
      <w:r w:rsidRPr="006A3D71">
        <w:rPr>
          <w:rFonts w:eastAsia="Times New Roman"/>
          <w:i/>
          <w:iCs/>
        </w:rPr>
        <w:t>mutatis mutandis</w:t>
      </w:r>
      <w:r w:rsidRPr="006A3D71">
        <w:rPr>
          <w:rFonts w:eastAsia="Times New Roman"/>
        </w:rPr>
        <w:t xml:space="preserve">, </w:t>
      </w:r>
      <w:r w:rsidRPr="006A3D71">
        <w:rPr>
          <w:rFonts w:eastAsia="Times New Roman"/>
          <w:i/>
          <w:iCs/>
        </w:rPr>
        <w:t>Imeri</w:t>
      </w:r>
      <w:r w:rsidRPr="006A3D71">
        <w:rPr>
          <w:rFonts w:eastAsia="Times New Roman"/>
        </w:rPr>
        <w:t>, § 81, cited above).</w:t>
      </w:r>
    </w:p>
    <w:p w:rsidRPr="006A3D71" w:rsidR="002B74EC" w:rsidP="006A3D71" w14:paraId="1EC6EC6B" w14:textId="77777777">
      <w:pPr>
        <w:pStyle w:val="JuHi"/>
      </w:pPr>
      <w:bookmarkStart w:name="Lawcashtranfer1" w:id="38"/>
      <w:bookmarkEnd w:id="38"/>
      <w:r w:rsidRPr="006A3D71">
        <w:t>Legitimate aim</w:t>
      </w:r>
    </w:p>
    <w:p w:rsidRPr="006A3D71" w:rsidR="002B74EC" w:rsidP="006A3D71" w14:paraId="50688948" w14:textId="14689B84">
      <w:pPr>
        <w:pStyle w:val="JuPara"/>
        <w:rPr>
          <w:rFonts w:eastAsia="Times New Roman"/>
        </w:rPr>
      </w:pPr>
      <w:r w:rsidRPr="006A3D71">
        <w:rPr>
          <w:rFonts w:eastAsia="Times New Roman"/>
        </w:rPr>
        <w:fldChar w:fldCharType="begin"/>
      </w:r>
      <w:r w:rsidRPr="006A3D71">
        <w:rPr>
          <w:rFonts w:eastAsia="Times New Roman"/>
        </w:rPr>
        <w:instrText xml:space="preserve"> SEQ level0 \*arabic \* MERGEFORMAT </w:instrText>
      </w:r>
      <w:r w:rsidRPr="006A3D71">
        <w:rPr>
          <w:rFonts w:eastAsia="Times New Roman"/>
        </w:rPr>
        <w:fldChar w:fldCharType="separate"/>
      </w:r>
      <w:r w:rsidRPr="006A3D71" w:rsidR="006A3D71">
        <w:rPr>
          <w:rFonts w:eastAsia="Times New Roman"/>
          <w:noProof/>
        </w:rPr>
        <w:t>46</w:t>
      </w:r>
      <w:r w:rsidRPr="006A3D71">
        <w:rPr>
          <w:rFonts w:eastAsia="Times New Roman"/>
        </w:rPr>
        <w:fldChar w:fldCharType="end"/>
      </w:r>
      <w:r w:rsidRPr="006A3D71">
        <w:rPr>
          <w:rFonts w:eastAsia="Times New Roman"/>
        </w:rPr>
        <w:t xml:space="preserve">.  The Court accepts that the confiscation measure </w:t>
      </w:r>
      <w:r w:rsidRPr="006A3D71">
        <w:rPr>
          <w:rFonts w:ascii="Times New Roman" w:hAnsi="Times New Roman" w:eastAsia="Times New Roman" w:cs="Times New Roman"/>
        </w:rPr>
        <w:t xml:space="preserve">pursued the legitimate aim of preventing crime (see paragraph </w:t>
      </w:r>
      <w:r w:rsidRPr="006A3D71">
        <w:rPr>
          <w:rFonts w:ascii="Times New Roman" w:hAnsi="Times New Roman" w:eastAsia="Times New Roman" w:cs="Times New Roman"/>
        </w:rPr>
        <w:fldChar w:fldCharType="begin"/>
      </w:r>
      <w:r w:rsidRPr="006A3D71">
        <w:rPr>
          <w:rFonts w:ascii="Times New Roman" w:hAnsi="Times New Roman" w:eastAsia="Times New Roman" w:cs="Times New Roman"/>
        </w:rPr>
        <w:instrText xml:space="preserve">REF paragraph00035 \h \* CharFormat </w:instrText>
      </w:r>
      <w:r w:rsidRPr="006A3D71">
        <w:rPr>
          <w:rFonts w:ascii="Times New Roman" w:hAnsi="Times New Roman" w:eastAsia="Times New Roman" w:cs="Times New Roman"/>
        </w:rPr>
        <w:fldChar w:fldCharType="separate"/>
      </w:r>
      <w:r w:rsidRPr="006A3D71" w:rsidR="006A3D71">
        <w:rPr>
          <w:rFonts w:ascii="Times New Roman" w:hAnsi="Times New Roman" w:eastAsia="Times New Roman" w:cs="Times New Roman"/>
        </w:rPr>
        <w:t>36</w:t>
      </w:r>
      <w:r w:rsidRPr="006A3D71">
        <w:rPr>
          <w:rFonts w:ascii="Times New Roman" w:hAnsi="Times New Roman" w:eastAsia="Times New Roman" w:cs="Times New Roman"/>
        </w:rPr>
        <w:fldChar w:fldCharType="end"/>
      </w:r>
      <w:r w:rsidRPr="006A3D71">
        <w:rPr>
          <w:rFonts w:ascii="Times New Roman" w:hAnsi="Times New Roman" w:eastAsia="Times New Roman" w:cs="Times New Roman"/>
        </w:rPr>
        <w:t xml:space="preserve"> above)</w:t>
      </w:r>
      <w:r w:rsidRPr="006A3D71">
        <w:rPr>
          <w:rFonts w:eastAsia="Times New Roman"/>
        </w:rPr>
        <w:t>.</w:t>
      </w:r>
    </w:p>
    <w:p w:rsidRPr="006A3D71" w:rsidR="002B74EC" w:rsidP="006A3D71" w14:paraId="556762C6" w14:textId="77777777">
      <w:pPr>
        <w:pStyle w:val="JuHi"/>
      </w:pPr>
      <w:r w:rsidRPr="006A3D71">
        <w:t> Proportionality of the interference</w:t>
      </w:r>
    </w:p>
    <w:p w:rsidRPr="006A3D71" w:rsidR="002B74EC" w:rsidP="006A3D71" w14:paraId="7A453B0A" w14:textId="054EB80A">
      <w:pPr>
        <w:pStyle w:val="JuPara"/>
        <w:rPr>
          <w:rFonts w:eastAsia="Times New Roman"/>
        </w:rPr>
      </w:pPr>
      <w:r w:rsidRPr="006A3D71">
        <w:rPr>
          <w:rFonts w:eastAsia="Times New Roman"/>
        </w:rPr>
        <w:fldChar w:fldCharType="begin"/>
      </w:r>
      <w:r w:rsidRPr="006A3D71">
        <w:rPr>
          <w:rFonts w:eastAsia="Times New Roman"/>
        </w:rPr>
        <w:instrText xml:space="preserve"> SEQ level0 \*arabic \* MERGEFORMAT </w:instrText>
      </w:r>
      <w:r w:rsidRPr="006A3D71">
        <w:rPr>
          <w:rFonts w:eastAsia="Times New Roman"/>
        </w:rPr>
        <w:fldChar w:fldCharType="separate"/>
      </w:r>
      <w:r w:rsidRPr="006A3D71" w:rsidR="006A3D71">
        <w:rPr>
          <w:rFonts w:eastAsia="Times New Roman"/>
          <w:noProof/>
        </w:rPr>
        <w:t>47</w:t>
      </w:r>
      <w:r w:rsidRPr="006A3D71">
        <w:rPr>
          <w:rFonts w:eastAsia="Times New Roman"/>
        </w:rPr>
        <w:fldChar w:fldCharType="end"/>
      </w:r>
      <w:r w:rsidRPr="006A3D71">
        <w:rPr>
          <w:rFonts w:eastAsia="Times New Roman"/>
        </w:rPr>
        <w:t>.  The remaining question for the Court to determine is whether the national authorities, when applying the impugned measure, struck the requisite fair balance between the applicant</w:t>
      </w:r>
      <w:r w:rsidRPr="006A3D71" w:rsidR="006A3D71">
        <w:rPr>
          <w:rFonts w:eastAsia="Times New Roman"/>
        </w:rPr>
        <w:t>’</w:t>
      </w:r>
      <w:r w:rsidRPr="006A3D71">
        <w:rPr>
          <w:rFonts w:eastAsia="Times New Roman"/>
        </w:rPr>
        <w:t xml:space="preserve">s right of property and the requirements of the general interest, taking into account the margin of appreciation left to the respondent State in that area. The requisite balance will not be achieved if the property owner concerned has had to bear “an individual and excessive burden” (see, among many authorities, </w:t>
      </w:r>
      <w:r w:rsidRPr="006A3D71">
        <w:rPr>
          <w:rFonts w:eastAsia="Times New Roman"/>
          <w:i/>
          <w:iCs/>
        </w:rPr>
        <w:t>Gyrlyan v. Russia</w:t>
      </w:r>
      <w:r w:rsidRPr="006A3D71">
        <w:rPr>
          <w:rFonts w:eastAsia="Times New Roman"/>
        </w:rPr>
        <w:t>, no. 35943/15, § 24, 9 October 2018).</w:t>
      </w:r>
    </w:p>
    <w:p w:rsidRPr="006A3D71" w:rsidR="002B74EC" w:rsidP="006A3D71" w14:paraId="4CF6EB2A" w14:textId="4103ECFB">
      <w:pPr>
        <w:pStyle w:val="JuPara"/>
        <w:rPr>
          <w:rFonts w:eastAsia="Times New Roman"/>
        </w:rPr>
      </w:pPr>
      <w:r w:rsidRPr="006A3D71">
        <w:rPr>
          <w:rFonts w:eastAsia="Times New Roman"/>
        </w:rPr>
        <w:fldChar w:fldCharType="begin"/>
      </w:r>
      <w:r w:rsidRPr="006A3D71">
        <w:rPr>
          <w:rFonts w:eastAsia="Times New Roman"/>
        </w:rPr>
        <w:instrText xml:space="preserve"> SEQ level0 \*arabic \* MERGEFORMAT </w:instrText>
      </w:r>
      <w:r w:rsidRPr="006A3D71">
        <w:rPr>
          <w:rFonts w:eastAsia="Times New Roman"/>
        </w:rPr>
        <w:fldChar w:fldCharType="separate"/>
      </w:r>
      <w:r w:rsidRPr="006A3D71" w:rsidR="006A3D71">
        <w:rPr>
          <w:rFonts w:eastAsia="Times New Roman"/>
          <w:noProof/>
        </w:rPr>
        <w:t>48</w:t>
      </w:r>
      <w:r w:rsidRPr="006A3D71">
        <w:rPr>
          <w:rFonts w:eastAsia="Times New Roman"/>
        </w:rPr>
        <w:fldChar w:fldCharType="end"/>
      </w:r>
      <w:r w:rsidRPr="006A3D71">
        <w:rPr>
          <w:rFonts w:eastAsia="Times New Roman"/>
        </w:rPr>
        <w:t>.  In the present case, the Constitutional Court did not assess whether the confiscation order was proportionate, but it was satisfied that it was lawful</w:t>
      </w:r>
      <w:r w:rsidRPr="006A3D71" w:rsidR="00A87597">
        <w:rPr>
          <w:rFonts w:eastAsia="Times New Roman"/>
        </w:rPr>
        <w:t xml:space="preserve"> </w:t>
      </w:r>
      <w:r w:rsidRPr="006A3D71">
        <w:rPr>
          <w:rFonts w:eastAsia="Times New Roman"/>
        </w:rPr>
        <w:t xml:space="preserve">(see paragraph </w:t>
      </w:r>
      <w:r w:rsidRPr="006A3D71">
        <w:rPr>
          <w:rFonts w:eastAsia="Times New Roman"/>
        </w:rPr>
        <w:fldChar w:fldCharType="begin"/>
      </w:r>
      <w:r w:rsidRPr="006A3D71">
        <w:rPr>
          <w:rFonts w:eastAsia="Times New Roman"/>
        </w:rPr>
        <w:instrText xml:space="preserve">REF paragraph00015 \h \* CharFormat </w:instrText>
      </w:r>
      <w:r w:rsidRPr="006A3D71" w:rsidR="00113F05">
        <w:rPr>
          <w:rFonts w:eastAsia="Times New Roman"/>
        </w:rPr>
        <w:instrText xml:space="preserve"> \* MERGEFORMAT </w:instrText>
      </w:r>
      <w:r w:rsidRPr="006A3D71">
        <w:rPr>
          <w:rFonts w:eastAsia="Times New Roman"/>
        </w:rPr>
        <w:fldChar w:fldCharType="separate"/>
      </w:r>
      <w:r w:rsidRPr="006A3D71" w:rsidR="006A3D71">
        <w:rPr>
          <w:rFonts w:eastAsia="Times New Roman"/>
        </w:rPr>
        <w:t>16</w:t>
      </w:r>
      <w:r w:rsidRPr="006A3D71">
        <w:rPr>
          <w:rFonts w:eastAsia="Times New Roman"/>
        </w:rPr>
        <w:fldChar w:fldCharType="end"/>
      </w:r>
      <w:r w:rsidRPr="006A3D71">
        <w:rPr>
          <w:rFonts w:eastAsia="Times New Roman"/>
        </w:rPr>
        <w:t xml:space="preserve"> above).</w:t>
      </w:r>
    </w:p>
    <w:p w:rsidRPr="006A3D71" w:rsidR="002B74EC" w:rsidP="006A3D71" w14:paraId="37A87FE7" w14:textId="1BBCBF7C">
      <w:pPr>
        <w:pStyle w:val="JuPara"/>
        <w:rPr>
          <w:rFonts w:eastAsia="Times New Roman"/>
        </w:rPr>
      </w:pPr>
      <w:r w:rsidRPr="006A3D71">
        <w:rPr>
          <w:rFonts w:eastAsia="Times New Roman"/>
        </w:rPr>
        <w:fldChar w:fldCharType="begin"/>
      </w:r>
      <w:r w:rsidRPr="006A3D71">
        <w:rPr>
          <w:rFonts w:eastAsia="Times New Roman"/>
        </w:rPr>
        <w:instrText xml:space="preserve"> SEQ level0 \*arabic \* MERGEFORMAT </w:instrText>
      </w:r>
      <w:r w:rsidRPr="006A3D71">
        <w:rPr>
          <w:rFonts w:eastAsia="Times New Roman"/>
        </w:rPr>
        <w:fldChar w:fldCharType="separate"/>
      </w:r>
      <w:r w:rsidRPr="006A3D71" w:rsidR="006A3D71">
        <w:rPr>
          <w:rFonts w:eastAsia="Times New Roman"/>
          <w:noProof/>
        </w:rPr>
        <w:t>49</w:t>
      </w:r>
      <w:r w:rsidRPr="006A3D71">
        <w:rPr>
          <w:rFonts w:eastAsia="Times New Roman"/>
        </w:rPr>
        <w:fldChar w:fldCharType="end"/>
      </w:r>
      <w:r w:rsidRPr="006A3D71">
        <w:rPr>
          <w:rFonts w:eastAsia="Times New Roman"/>
        </w:rPr>
        <w:t>.  It does not appear from the available material and the Government</w:t>
      </w:r>
      <w:r w:rsidRPr="006A3D71" w:rsidR="006A3D71">
        <w:rPr>
          <w:rFonts w:eastAsia="Times New Roman"/>
        </w:rPr>
        <w:t>’</w:t>
      </w:r>
      <w:r w:rsidRPr="006A3D71">
        <w:rPr>
          <w:rFonts w:eastAsia="Times New Roman"/>
        </w:rPr>
        <w:t>s submissions that it was illegal to carry gold or personal gold jewellery across</w:t>
      </w:r>
      <w:r w:rsidRPr="006A3D71" w:rsidR="00A87597">
        <w:rPr>
          <w:rFonts w:eastAsia="Times New Roman"/>
        </w:rPr>
        <w:t xml:space="preserve"> </w:t>
      </w:r>
      <w:r w:rsidRPr="006A3D71">
        <w:rPr>
          <w:rFonts w:eastAsia="Times New Roman"/>
        </w:rPr>
        <w:t>the Serbian customs border or that there was any particular prohibition</w:t>
      </w:r>
      <w:r w:rsidRPr="006A3D71" w:rsidR="00A87597">
        <w:rPr>
          <w:rFonts w:eastAsia="Times New Roman"/>
        </w:rPr>
        <w:t xml:space="preserve"> </w:t>
      </w:r>
      <w:r w:rsidRPr="006A3D71">
        <w:rPr>
          <w:rFonts w:eastAsia="Times New Roman"/>
        </w:rPr>
        <w:t>regarding the quantity or the value of gold jewellery that could be</w:t>
      </w:r>
      <w:r w:rsidRPr="006A3D71" w:rsidR="00A87597">
        <w:rPr>
          <w:rFonts w:eastAsia="Times New Roman"/>
        </w:rPr>
        <w:t xml:space="preserve"> </w:t>
      </w:r>
      <w:r w:rsidRPr="006A3D71">
        <w:rPr>
          <w:rFonts w:eastAsia="Times New Roman"/>
        </w:rPr>
        <w:t xml:space="preserve">carried, in general or while in transit (contrast </w:t>
      </w:r>
      <w:r w:rsidRPr="006A3D71">
        <w:rPr>
          <w:rFonts w:eastAsia="Times New Roman"/>
          <w:i/>
          <w:iCs/>
        </w:rPr>
        <w:t>AGOSI v. the United Kingdom</w:t>
      </w:r>
      <w:r w:rsidRPr="006A3D71">
        <w:rPr>
          <w:rFonts w:eastAsia="Times New Roman"/>
        </w:rPr>
        <w:t>, 24</w:t>
      </w:r>
      <w:r w:rsidRPr="006A3D71" w:rsidR="00A87597">
        <w:rPr>
          <w:rFonts w:eastAsia="Times New Roman"/>
        </w:rPr>
        <w:t> </w:t>
      </w:r>
      <w:r w:rsidRPr="006A3D71">
        <w:rPr>
          <w:rFonts w:eastAsia="Times New Roman"/>
        </w:rPr>
        <w:t xml:space="preserve">October 1986, § 55, Series A no. 108, concerning a ban on importing gold coins). The confiscated gold had neither been smuggled, nor was it the instrument of or proceeds from any criminal activity (see </w:t>
      </w:r>
      <w:r w:rsidRPr="006A3D71">
        <w:rPr>
          <w:rFonts w:eastAsia="Times New Roman"/>
          <w:i/>
          <w:iCs/>
        </w:rPr>
        <w:t>Phillips v. the United Kingdom</w:t>
      </w:r>
      <w:r w:rsidRPr="006A3D71">
        <w:rPr>
          <w:rFonts w:eastAsia="Times New Roman"/>
        </w:rPr>
        <w:t xml:space="preserve">, no. 41087/98, §§ 9-18, ECHR 2001-VII, and </w:t>
      </w:r>
      <w:bookmarkStart w:name="_cl38314" w:id="39"/>
      <w:r w:rsidRPr="006A3D71">
        <w:rPr>
          <w:rFonts w:eastAsia="Times New Roman"/>
          <w:i/>
          <w:iCs/>
        </w:rPr>
        <w:t>Ulemek</w:t>
      </w:r>
      <w:r w:rsidRPr="006A3D71" w:rsidR="005B7ABF">
        <w:rPr>
          <w:rFonts w:eastAsia="Times New Roman"/>
          <w:i/>
          <w:iCs/>
        </w:rPr>
        <w:t> </w:t>
      </w:r>
      <w:r w:rsidRPr="006A3D71">
        <w:rPr>
          <w:rFonts w:eastAsia="Times New Roman"/>
          <w:i/>
          <w:iCs/>
        </w:rPr>
        <w:t xml:space="preserve">v. </w:t>
      </w:r>
      <w:bookmarkEnd w:id="39"/>
      <w:r w:rsidRPr="006A3D71">
        <w:rPr>
          <w:rFonts w:eastAsia="Times New Roman"/>
          <w:i/>
          <w:iCs/>
        </w:rPr>
        <w:t>Croatia</w:t>
      </w:r>
      <w:r w:rsidRPr="006A3D71">
        <w:rPr>
          <w:rFonts w:eastAsia="Times New Roman"/>
        </w:rPr>
        <w:t>, no. 21613/16, § 65, 31 October 2019).</w:t>
      </w:r>
    </w:p>
    <w:p w:rsidRPr="006A3D71" w:rsidR="002B74EC" w:rsidP="006A3D71" w14:paraId="563F8BFF" w14:textId="1CA4997F">
      <w:pPr>
        <w:pStyle w:val="JuPara"/>
        <w:rPr>
          <w:rFonts w:eastAsia="Times New Roman"/>
        </w:rPr>
      </w:pPr>
      <w:r w:rsidRPr="006A3D71">
        <w:rPr>
          <w:rFonts w:eastAsia="Times New Roman"/>
        </w:rPr>
        <w:fldChar w:fldCharType="begin"/>
      </w:r>
      <w:r w:rsidRPr="006A3D71">
        <w:rPr>
          <w:rFonts w:eastAsia="Times New Roman"/>
        </w:rPr>
        <w:instrText xml:space="preserve"> SEQ level0 \*arabic \* MERGEFORMAT </w:instrText>
      </w:r>
      <w:r w:rsidRPr="006A3D71">
        <w:rPr>
          <w:rFonts w:eastAsia="Times New Roman"/>
        </w:rPr>
        <w:fldChar w:fldCharType="separate"/>
      </w:r>
      <w:r w:rsidRPr="006A3D71" w:rsidR="006A3D71">
        <w:rPr>
          <w:rFonts w:eastAsia="Times New Roman"/>
          <w:noProof/>
        </w:rPr>
        <w:t>50</w:t>
      </w:r>
      <w:r w:rsidRPr="006A3D71">
        <w:rPr>
          <w:rFonts w:eastAsia="Times New Roman"/>
        </w:rPr>
        <w:fldChar w:fldCharType="end"/>
      </w:r>
      <w:r w:rsidRPr="006A3D71">
        <w:rPr>
          <w:rFonts w:eastAsia="Times New Roman"/>
        </w:rPr>
        <w:t>.  As to the applicant</w:t>
      </w:r>
      <w:r w:rsidRPr="006A3D71" w:rsidR="006A3D71">
        <w:rPr>
          <w:rFonts w:eastAsia="Times New Roman"/>
        </w:rPr>
        <w:t>’</w:t>
      </w:r>
      <w:r w:rsidRPr="006A3D71">
        <w:rPr>
          <w:rFonts w:eastAsia="Times New Roman"/>
        </w:rPr>
        <w:t>s conduct, the Court notes that he declared EUR 1,500 and personal belongings to the customs authorities after he had been asked whether he had any goods to declare, but failed to declare the gold</w:t>
      </w:r>
      <w:r w:rsidRPr="006A3D71" w:rsidR="00A87597">
        <w:rPr>
          <w:rFonts w:eastAsia="Times New Roman"/>
        </w:rPr>
        <w:t xml:space="preserve"> </w:t>
      </w:r>
      <w:r w:rsidRPr="006A3D71">
        <w:rPr>
          <w:rFonts w:eastAsia="Times New Roman"/>
        </w:rPr>
        <w:t>bracelets, which were discovered during the customs search. The applicant</w:t>
      </w:r>
      <w:r w:rsidRPr="006A3D71" w:rsidR="006A3D71">
        <w:rPr>
          <w:rFonts w:eastAsia="Times New Roman"/>
        </w:rPr>
        <w:t>’</w:t>
      </w:r>
      <w:r w:rsidRPr="006A3D71">
        <w:rPr>
          <w:rFonts w:eastAsia="Times New Roman"/>
        </w:rPr>
        <w:t xml:space="preserve">s misconduct was classified as deliberate on the basis that he must have been aware of the declaration duty and had therefore wilfully accepted the consequences of his failure to comply with it (see paragraph </w:t>
      </w:r>
      <w:r w:rsidRPr="006A3D71">
        <w:rPr>
          <w:rFonts w:eastAsia="Times New Roman"/>
        </w:rPr>
        <w:fldChar w:fldCharType="begin"/>
      </w:r>
      <w:r w:rsidRPr="006A3D71">
        <w:rPr>
          <w:rFonts w:eastAsia="Times New Roman"/>
        </w:rPr>
        <w:instrText xml:space="preserve">REF paragraph00007 \h \* CharFormat </w:instrText>
      </w:r>
      <w:r w:rsidRPr="006A3D71" w:rsidR="00113F05">
        <w:rPr>
          <w:rFonts w:eastAsia="Times New Roman"/>
        </w:rPr>
        <w:instrText xml:space="preserve"> \* MERGEFORMAT </w:instrText>
      </w:r>
      <w:r w:rsidRPr="006A3D71">
        <w:rPr>
          <w:rFonts w:eastAsia="Times New Roman"/>
        </w:rPr>
        <w:fldChar w:fldCharType="separate"/>
      </w:r>
      <w:r w:rsidRPr="006A3D71" w:rsidR="006A3D71">
        <w:rPr>
          <w:rFonts w:eastAsia="Times New Roman"/>
        </w:rPr>
        <w:t>8</w:t>
      </w:r>
      <w:r w:rsidRPr="006A3D71">
        <w:rPr>
          <w:rFonts w:eastAsia="Times New Roman"/>
        </w:rPr>
        <w:fldChar w:fldCharType="end"/>
      </w:r>
      <w:r w:rsidRPr="006A3D71">
        <w:rPr>
          <w:rFonts w:eastAsia="Times New Roman"/>
        </w:rPr>
        <w:t xml:space="preserve"> above; with</w:t>
      </w:r>
      <w:r w:rsidRPr="006A3D71" w:rsidR="00A87597">
        <w:rPr>
          <w:rFonts w:eastAsia="Times New Roman"/>
        </w:rPr>
        <w:t xml:space="preserve"> </w:t>
      </w:r>
      <w:r w:rsidRPr="006A3D71">
        <w:rPr>
          <w:rFonts w:eastAsia="Times New Roman"/>
        </w:rPr>
        <w:t xml:space="preserve">regard to the presence or absence of intent to deceive the authorities, compare and contrast </w:t>
      </w:r>
      <w:bookmarkStart w:name="_cl35516" w:id="40"/>
      <w:r w:rsidRPr="006A3D71">
        <w:rPr>
          <w:rFonts w:eastAsia="Times New Roman"/>
          <w:i/>
          <w:iCs/>
        </w:rPr>
        <w:t>Sadocha v.</w:t>
      </w:r>
      <w:r w:rsidRPr="006A3D71" w:rsidR="00A87597">
        <w:rPr>
          <w:rFonts w:eastAsia="Times New Roman"/>
        </w:rPr>
        <w:t xml:space="preserve"> </w:t>
      </w:r>
      <w:r w:rsidRPr="006A3D71">
        <w:rPr>
          <w:rFonts w:eastAsia="Times New Roman"/>
          <w:i/>
          <w:iCs/>
        </w:rPr>
        <w:t>Ukraine</w:t>
      </w:r>
      <w:bookmarkEnd w:id="40"/>
      <w:r w:rsidRPr="006A3D71">
        <w:rPr>
          <w:rFonts w:eastAsia="Times New Roman"/>
        </w:rPr>
        <w:t xml:space="preserve">, no. 77508/11, §§ 29-33, 11 July 2019; </w:t>
      </w:r>
      <w:r w:rsidRPr="006A3D71">
        <w:rPr>
          <w:rFonts w:eastAsia="Times New Roman"/>
          <w:i/>
          <w:iCs/>
        </w:rPr>
        <w:t>Togrul v. Bulgaria</w:t>
      </w:r>
      <w:r w:rsidRPr="006A3D71">
        <w:rPr>
          <w:rFonts w:eastAsia="Times New Roman"/>
        </w:rPr>
        <w:t xml:space="preserve">, no. 20611/10, § 44, 15 November 2018; </w:t>
      </w:r>
      <w:r w:rsidRPr="006A3D71">
        <w:rPr>
          <w:rFonts w:eastAsia="Times New Roman"/>
          <w:i/>
          <w:iCs/>
        </w:rPr>
        <w:t>Gyrlyan</w:t>
      </w:r>
      <w:r w:rsidRPr="006A3D71">
        <w:rPr>
          <w:rFonts w:eastAsia="Times New Roman"/>
        </w:rPr>
        <w:t xml:space="preserve">, cited above, § 27; </w:t>
      </w:r>
      <w:r w:rsidRPr="006A3D71">
        <w:rPr>
          <w:i/>
          <w:iCs/>
        </w:rPr>
        <w:t>Ismayilov v.</w:t>
      </w:r>
      <w:r w:rsidRPr="006A3D71">
        <w:t> </w:t>
      </w:r>
      <w:r w:rsidRPr="006A3D71">
        <w:rPr>
          <w:i/>
          <w:iCs/>
        </w:rPr>
        <w:t>Russia</w:t>
      </w:r>
      <w:r w:rsidRPr="006A3D71">
        <w:t xml:space="preserve">, no. 30352/03, </w:t>
      </w:r>
      <w:r w:rsidRPr="006A3D71">
        <w:rPr>
          <w:rFonts w:eastAsia="Times New Roman"/>
        </w:rPr>
        <w:t xml:space="preserve">§§ 36-38, </w:t>
      </w:r>
      <w:r w:rsidRPr="006A3D71">
        <w:t>6 November 2008;</w:t>
      </w:r>
      <w:r w:rsidRPr="006A3D71">
        <w:rPr>
          <w:rFonts w:eastAsia="Times New Roman"/>
        </w:rPr>
        <w:t xml:space="preserve"> and </w:t>
      </w:r>
      <w:r w:rsidRPr="006A3D71">
        <w:rPr>
          <w:i/>
        </w:rPr>
        <w:t>Gabrić v.</w:t>
      </w:r>
      <w:r w:rsidRPr="006A3D71">
        <w:t> </w:t>
      </w:r>
      <w:r w:rsidRPr="006A3D71">
        <w:rPr>
          <w:i/>
        </w:rPr>
        <w:t>Croatia</w:t>
      </w:r>
      <w:r w:rsidRPr="006A3D71">
        <w:t xml:space="preserve">, no. 9702/04, </w:t>
      </w:r>
      <w:r w:rsidRPr="006A3D71">
        <w:rPr>
          <w:rFonts w:eastAsia="Times New Roman"/>
        </w:rPr>
        <w:t xml:space="preserve">§§ 38-39, </w:t>
      </w:r>
      <w:r w:rsidRPr="006A3D71">
        <w:t>5 February 2009</w:t>
      </w:r>
      <w:r w:rsidRPr="006A3D71">
        <w:rPr>
          <w:rFonts w:eastAsia="Times New Roman"/>
        </w:rPr>
        <w:t>).</w:t>
      </w:r>
    </w:p>
    <w:p w:rsidRPr="006A3D71" w:rsidR="002B74EC" w:rsidP="006A3D71" w14:paraId="5EEA8FA0" w14:textId="4AE0FEC7">
      <w:pPr>
        <w:pStyle w:val="JuPara"/>
        <w:rPr>
          <w:rFonts w:eastAsia="Times New Roman"/>
        </w:rPr>
      </w:pPr>
      <w:r w:rsidRPr="006A3D71">
        <w:rPr>
          <w:rFonts w:eastAsia="Times New Roman"/>
        </w:rPr>
        <w:fldChar w:fldCharType="begin"/>
      </w:r>
      <w:r w:rsidRPr="006A3D71">
        <w:rPr>
          <w:rFonts w:eastAsia="Times New Roman"/>
        </w:rPr>
        <w:instrText xml:space="preserve"> SEQ level0 \*arabic \* MERGEFORMAT </w:instrText>
      </w:r>
      <w:r w:rsidRPr="006A3D71">
        <w:rPr>
          <w:rFonts w:eastAsia="Times New Roman"/>
        </w:rPr>
        <w:fldChar w:fldCharType="separate"/>
      </w:r>
      <w:r w:rsidRPr="006A3D71" w:rsidR="006A3D71">
        <w:rPr>
          <w:rFonts w:eastAsia="Times New Roman"/>
          <w:noProof/>
        </w:rPr>
        <w:t>51</w:t>
      </w:r>
      <w:r w:rsidRPr="006A3D71">
        <w:rPr>
          <w:rFonts w:eastAsia="Times New Roman"/>
        </w:rPr>
        <w:fldChar w:fldCharType="end"/>
      </w:r>
      <w:r w:rsidRPr="006A3D71">
        <w:rPr>
          <w:rFonts w:eastAsia="Times New Roman"/>
        </w:rPr>
        <w:t>.  There are no indications that the applicant had any criminal record, nor did the national authorities hold any information about him being engaged</w:t>
      </w:r>
      <w:r w:rsidRPr="006A3D71" w:rsidR="00113F05">
        <w:rPr>
          <w:rFonts w:eastAsia="Times New Roman"/>
        </w:rPr>
        <w:t xml:space="preserve"> </w:t>
      </w:r>
      <w:r w:rsidRPr="006A3D71">
        <w:rPr>
          <w:rFonts w:eastAsia="Times New Roman"/>
        </w:rPr>
        <w:t xml:space="preserve">in or investigated for any criminal activity before the incident at issue. The goods were lawfully acquired (see paragraphs </w:t>
      </w:r>
      <w:r w:rsidRPr="006A3D71">
        <w:rPr>
          <w:rFonts w:eastAsia="Times New Roman"/>
        </w:rPr>
        <w:fldChar w:fldCharType="begin"/>
      </w:r>
      <w:r w:rsidRPr="006A3D71">
        <w:rPr>
          <w:rFonts w:eastAsia="Times New Roman"/>
        </w:rPr>
        <w:instrText xml:space="preserve">REF paragraph00011 \h \* CharFormat </w:instrText>
      </w:r>
      <w:r w:rsidRPr="006A3D71" w:rsidR="00113F05">
        <w:rPr>
          <w:rFonts w:eastAsia="Times New Roman"/>
        </w:rPr>
        <w:instrText xml:space="preserve"> \* MERGEFORMAT </w:instrText>
      </w:r>
      <w:r w:rsidRPr="006A3D71">
        <w:rPr>
          <w:rFonts w:eastAsia="Times New Roman"/>
        </w:rPr>
        <w:fldChar w:fldCharType="separate"/>
      </w:r>
      <w:r w:rsidRPr="006A3D71" w:rsidR="006A3D71">
        <w:rPr>
          <w:rFonts w:eastAsia="Times New Roman"/>
        </w:rPr>
        <w:t>12</w:t>
      </w:r>
      <w:r w:rsidRPr="006A3D71">
        <w:rPr>
          <w:rFonts w:eastAsia="Times New Roman"/>
        </w:rPr>
        <w:fldChar w:fldCharType="end"/>
      </w:r>
      <w:r w:rsidRPr="006A3D71">
        <w:rPr>
          <w:rFonts w:eastAsia="Times New Roman"/>
        </w:rPr>
        <w:t xml:space="preserve">, </w:t>
      </w:r>
      <w:r w:rsidRPr="006A3D71">
        <w:rPr>
          <w:rFonts w:eastAsia="Times New Roman"/>
        </w:rPr>
        <w:fldChar w:fldCharType="begin"/>
      </w:r>
      <w:r w:rsidRPr="006A3D71">
        <w:rPr>
          <w:rFonts w:eastAsia="Times New Roman"/>
        </w:rPr>
        <w:instrText xml:space="preserve">REF paragraph00013 \h \* CharFormat </w:instrText>
      </w:r>
      <w:r w:rsidRPr="006A3D71" w:rsidR="00113F05">
        <w:rPr>
          <w:rFonts w:eastAsia="Times New Roman"/>
        </w:rPr>
        <w:instrText xml:space="preserve"> \* MERGEFORMAT </w:instrText>
      </w:r>
      <w:r w:rsidRPr="006A3D71">
        <w:rPr>
          <w:rFonts w:eastAsia="Times New Roman"/>
        </w:rPr>
        <w:fldChar w:fldCharType="separate"/>
      </w:r>
      <w:r w:rsidRPr="006A3D71" w:rsidR="006A3D71">
        <w:rPr>
          <w:rFonts w:eastAsia="Times New Roman"/>
        </w:rPr>
        <w:t>14</w:t>
      </w:r>
      <w:r w:rsidRPr="006A3D71">
        <w:rPr>
          <w:rFonts w:eastAsia="Times New Roman"/>
        </w:rPr>
        <w:fldChar w:fldCharType="end"/>
      </w:r>
      <w:r w:rsidRPr="006A3D71" w:rsidR="00676CE3">
        <w:rPr>
          <w:rFonts w:eastAsia="Times New Roman"/>
        </w:rPr>
        <w:t xml:space="preserve"> </w:t>
      </w:r>
      <w:r w:rsidRPr="006A3D71">
        <w:rPr>
          <w:rFonts w:eastAsia="Times New Roman"/>
        </w:rPr>
        <w:t>and</w:t>
      </w:r>
      <w:r w:rsidRPr="006A3D71" w:rsidR="00676CE3">
        <w:rPr>
          <w:rFonts w:eastAsia="Times New Roman"/>
        </w:rPr>
        <w:t xml:space="preserve"> </w:t>
      </w:r>
      <w:r w:rsidRPr="006A3D71">
        <w:rPr>
          <w:rFonts w:eastAsia="Times New Roman"/>
        </w:rPr>
        <w:fldChar w:fldCharType="begin"/>
      </w:r>
      <w:r w:rsidRPr="006A3D71">
        <w:rPr>
          <w:rFonts w:eastAsia="Times New Roman"/>
        </w:rPr>
        <w:instrText xml:space="preserve">REF paragraph00035 \h \* CharFormat </w:instrText>
      </w:r>
      <w:r w:rsidRPr="006A3D71" w:rsidR="004D5770">
        <w:rPr>
          <w:rFonts w:eastAsia="Times New Roman"/>
        </w:rPr>
        <w:instrText xml:space="preserve"> \* MERGEFORMAT </w:instrText>
      </w:r>
      <w:r w:rsidRPr="006A3D71">
        <w:rPr>
          <w:rFonts w:eastAsia="Times New Roman"/>
        </w:rPr>
        <w:fldChar w:fldCharType="separate"/>
      </w:r>
      <w:r w:rsidRPr="006A3D71" w:rsidR="006A3D71">
        <w:rPr>
          <w:rFonts w:eastAsia="Times New Roman"/>
        </w:rPr>
        <w:t>36</w:t>
      </w:r>
      <w:r w:rsidRPr="006A3D71">
        <w:rPr>
          <w:rFonts w:eastAsia="Times New Roman"/>
        </w:rPr>
        <w:fldChar w:fldCharType="end"/>
      </w:r>
      <w:r w:rsidRPr="006A3D71" w:rsidR="00676CE3">
        <w:rPr>
          <w:rFonts w:eastAsia="Times New Roman"/>
        </w:rPr>
        <w:t xml:space="preserve"> </w:t>
      </w:r>
      <w:r w:rsidRPr="006A3D71">
        <w:rPr>
          <w:rFonts w:eastAsia="Times New Roman"/>
        </w:rPr>
        <w:t>above)</w:t>
      </w:r>
      <w:r w:rsidRPr="006A3D71" w:rsidR="00A87597">
        <w:rPr>
          <w:rFonts w:eastAsia="Times New Roman"/>
        </w:rPr>
        <w:t xml:space="preserve"> </w:t>
      </w:r>
      <w:r w:rsidRPr="006A3D71">
        <w:rPr>
          <w:rFonts w:eastAsia="Times New Roman"/>
        </w:rPr>
        <w:t>and there were no indications of any intended illegal use (see, for</w:t>
      </w:r>
      <w:r w:rsidRPr="006A3D71" w:rsidR="00676CE3">
        <w:rPr>
          <w:rFonts w:eastAsia="Times New Roman"/>
        </w:rPr>
        <w:t xml:space="preserve"> </w:t>
      </w:r>
      <w:r w:rsidRPr="006A3D71">
        <w:rPr>
          <w:rFonts w:eastAsia="Times New Roman"/>
        </w:rPr>
        <w:t xml:space="preserve">example, </w:t>
      </w:r>
      <w:r w:rsidRPr="006A3D71">
        <w:rPr>
          <w:rFonts w:eastAsia="Times New Roman"/>
          <w:i/>
        </w:rPr>
        <w:t>Gabrić</w:t>
      </w:r>
      <w:r w:rsidRPr="006A3D71">
        <w:rPr>
          <w:rFonts w:eastAsia="Times New Roman"/>
        </w:rPr>
        <w:t xml:space="preserve">, cited above, §§ 36-37, with further references). Accordingly, there is nothing to suggest that by confiscating the gold bracelets from the applicant, the authorities were seeking to forestall any illegal activities, such as money laundering, drug trafficking or tax evasion (see, for example, </w:t>
      </w:r>
      <w:r w:rsidRPr="006A3D71">
        <w:rPr>
          <w:rFonts w:eastAsia="Times New Roman"/>
          <w:i/>
        </w:rPr>
        <w:t>Gabrić</w:t>
      </w:r>
      <w:r w:rsidRPr="006A3D71">
        <w:rPr>
          <w:rFonts w:eastAsia="Times New Roman"/>
        </w:rPr>
        <w:t xml:space="preserve">, § 38, </w:t>
      </w:r>
      <w:r w:rsidRPr="006A3D71" w:rsidR="00762DD7">
        <w:rPr>
          <w:rFonts w:eastAsia="Times New Roman"/>
        </w:rPr>
        <w:t>cited above</w:t>
      </w:r>
      <w:r w:rsidRPr="006A3D71" w:rsidR="00B4013A">
        <w:rPr>
          <w:rFonts w:eastAsia="Times New Roman"/>
        </w:rPr>
        <w:t>,</w:t>
      </w:r>
      <w:r w:rsidRPr="006A3D71" w:rsidR="00762DD7">
        <w:rPr>
          <w:rFonts w:eastAsia="Times New Roman"/>
        </w:rPr>
        <w:t xml:space="preserve"> </w:t>
      </w:r>
      <w:r w:rsidRPr="006A3D71">
        <w:rPr>
          <w:rFonts w:eastAsia="Times New Roman"/>
        </w:rPr>
        <w:t xml:space="preserve">and </w:t>
      </w:r>
      <w:bookmarkStart w:name="_cl22398" w:id="41"/>
      <w:r w:rsidRPr="006A3D71" w:rsidR="00762DD7">
        <w:rPr>
          <w:rFonts w:eastAsia="Times New Roman"/>
          <w:i/>
          <w:iCs/>
        </w:rPr>
        <w:t>Boljević v. Croatia</w:t>
      </w:r>
      <w:bookmarkEnd w:id="41"/>
      <w:r w:rsidRPr="006A3D71" w:rsidR="00762DD7">
        <w:rPr>
          <w:rFonts w:eastAsia="Times New Roman"/>
        </w:rPr>
        <w:t>, no. 43492/11, § 43, 31 January 2017</w:t>
      </w:r>
      <w:r w:rsidRPr="006A3D71">
        <w:rPr>
          <w:rFonts w:eastAsia="Times New Roman"/>
        </w:rPr>
        <w:t>).</w:t>
      </w:r>
    </w:p>
    <w:p w:rsidRPr="006A3D71" w:rsidR="002B74EC" w:rsidP="006A3D71" w14:paraId="6794CCBB" w14:textId="07334575">
      <w:pPr>
        <w:pStyle w:val="JuPara"/>
        <w:rPr>
          <w:rFonts w:eastAsia="Times New Roman"/>
        </w:rPr>
      </w:pPr>
      <w:r w:rsidRPr="006A3D71">
        <w:rPr>
          <w:rFonts w:eastAsia="Times New Roman"/>
        </w:rPr>
        <w:fldChar w:fldCharType="begin"/>
      </w:r>
      <w:r w:rsidRPr="006A3D71">
        <w:rPr>
          <w:rFonts w:eastAsia="Times New Roman"/>
        </w:rPr>
        <w:instrText xml:space="preserve"> SEQ level0 \*arabic \* MERGEFORMAT </w:instrText>
      </w:r>
      <w:r w:rsidRPr="006A3D71">
        <w:rPr>
          <w:rFonts w:eastAsia="Times New Roman"/>
        </w:rPr>
        <w:fldChar w:fldCharType="separate"/>
      </w:r>
      <w:r w:rsidRPr="006A3D71" w:rsidR="006A3D71">
        <w:rPr>
          <w:rFonts w:eastAsia="Times New Roman"/>
          <w:noProof/>
        </w:rPr>
        <w:t>52</w:t>
      </w:r>
      <w:r w:rsidRPr="006A3D71">
        <w:rPr>
          <w:rFonts w:eastAsia="Times New Roman"/>
        </w:rPr>
        <w:fldChar w:fldCharType="end"/>
      </w:r>
      <w:r w:rsidRPr="006A3D71">
        <w:rPr>
          <w:rFonts w:eastAsia="Times New Roman"/>
        </w:rPr>
        <w:t xml:space="preserve">.  It follows that the only misconduct of the applicant was his failure to declare the gold bracelets to the customs authorities (compare </w:t>
      </w:r>
      <w:r w:rsidRPr="006A3D71">
        <w:rPr>
          <w:rFonts w:eastAsia="Times New Roman"/>
          <w:i/>
        </w:rPr>
        <w:t>Ismayilov</w:t>
      </w:r>
      <w:r w:rsidRPr="006A3D71">
        <w:rPr>
          <w:rFonts w:eastAsia="Times New Roman"/>
        </w:rPr>
        <w:t>, cited above, § 37).</w:t>
      </w:r>
    </w:p>
    <w:p w:rsidRPr="006A3D71" w:rsidR="002B74EC" w:rsidP="006A3D71" w14:paraId="527F1972" w14:textId="521FD494">
      <w:pPr>
        <w:pStyle w:val="JuPara"/>
        <w:rPr>
          <w:rFonts w:eastAsia="Times New Roman"/>
        </w:rPr>
      </w:pPr>
      <w:r w:rsidRPr="006A3D71">
        <w:rPr>
          <w:rFonts w:eastAsia="Times New Roman"/>
        </w:rPr>
        <w:fldChar w:fldCharType="begin"/>
      </w:r>
      <w:r w:rsidRPr="006A3D71">
        <w:rPr>
          <w:rFonts w:eastAsia="Times New Roman"/>
        </w:rPr>
        <w:instrText xml:space="preserve"> SEQ level0 \*arabic \* MERGEFORMAT </w:instrText>
      </w:r>
      <w:r w:rsidRPr="006A3D71">
        <w:rPr>
          <w:rFonts w:eastAsia="Times New Roman"/>
        </w:rPr>
        <w:fldChar w:fldCharType="separate"/>
      </w:r>
      <w:r w:rsidRPr="006A3D71" w:rsidR="006A3D71">
        <w:rPr>
          <w:rFonts w:eastAsia="Times New Roman"/>
          <w:noProof/>
        </w:rPr>
        <w:t>53</w:t>
      </w:r>
      <w:r w:rsidRPr="006A3D71">
        <w:rPr>
          <w:rFonts w:eastAsia="Times New Roman"/>
        </w:rPr>
        <w:fldChar w:fldCharType="end"/>
      </w:r>
      <w:r w:rsidRPr="006A3D71">
        <w:rPr>
          <w:rFonts w:eastAsia="Times New Roman"/>
        </w:rPr>
        <w:t>.  The Court reiterates that in order to be proportionate, an interference should correspond to the severity of the infringement, and the sanction to the</w:t>
      </w:r>
      <w:r w:rsidRPr="006A3D71" w:rsidR="005B7ABF">
        <w:rPr>
          <w:rFonts w:eastAsia="Times New Roman"/>
        </w:rPr>
        <w:t> </w:t>
      </w:r>
      <w:r w:rsidRPr="006A3D71">
        <w:rPr>
          <w:rFonts w:eastAsia="Times New Roman"/>
        </w:rPr>
        <w:t>gravity of the offence it is designed to punish – in the instant case, the failure to declare the goods to the customs authorities – rather than to the gravity of any presumed infringement which has not actually been established, such as an offence of money laundering or evasion of customs duties, no such infringement having even been referred to in the present case</w:t>
      </w:r>
      <w:r w:rsidRPr="006A3D71" w:rsidR="00113F05">
        <w:rPr>
          <w:rFonts w:eastAsia="Times New Roman"/>
        </w:rPr>
        <w:t xml:space="preserve"> </w:t>
      </w:r>
      <w:r w:rsidRPr="006A3D71">
        <w:rPr>
          <w:rFonts w:eastAsia="Times New Roman"/>
        </w:rPr>
        <w:t xml:space="preserve">(see </w:t>
      </w:r>
      <w:r w:rsidRPr="006A3D71">
        <w:rPr>
          <w:rFonts w:eastAsia="Times New Roman"/>
          <w:i/>
        </w:rPr>
        <w:t>Ismayilov</w:t>
      </w:r>
      <w:r w:rsidRPr="006A3D71">
        <w:rPr>
          <w:rFonts w:eastAsia="Times New Roman"/>
        </w:rPr>
        <w:t>, § 38</w:t>
      </w:r>
      <w:r w:rsidRPr="006A3D71" w:rsidR="00762DD7">
        <w:rPr>
          <w:rFonts w:eastAsia="Times New Roman"/>
        </w:rPr>
        <w:t>, cited above</w:t>
      </w:r>
      <w:r w:rsidRPr="006A3D71">
        <w:rPr>
          <w:rFonts w:eastAsia="Times New Roman"/>
        </w:rPr>
        <w:t xml:space="preserve">; </w:t>
      </w:r>
      <w:bookmarkStart w:name="_cl26878" w:id="42"/>
      <w:r w:rsidRPr="006A3D71" w:rsidR="00762DD7">
        <w:rPr>
          <w:rFonts w:eastAsia="Times New Roman"/>
          <w:i/>
          <w:iCs/>
        </w:rPr>
        <w:t>Grifhorst v. France</w:t>
      </w:r>
      <w:bookmarkEnd w:id="42"/>
      <w:r w:rsidRPr="006A3D71" w:rsidR="00762DD7">
        <w:rPr>
          <w:rFonts w:eastAsia="Times New Roman"/>
        </w:rPr>
        <w:t>, no.</w:t>
      </w:r>
      <w:r w:rsidRPr="006A3D71" w:rsidR="00F41218">
        <w:rPr>
          <w:rFonts w:eastAsia="Times New Roman"/>
        </w:rPr>
        <w:t> </w:t>
      </w:r>
      <w:r w:rsidRPr="006A3D71" w:rsidR="00762DD7">
        <w:rPr>
          <w:rFonts w:eastAsia="Times New Roman"/>
        </w:rPr>
        <w:t>28336/02, § 102, 26 February 2009</w:t>
      </w:r>
      <w:r w:rsidRPr="006A3D71">
        <w:rPr>
          <w:rFonts w:eastAsia="Times New Roman"/>
        </w:rPr>
        <w:t xml:space="preserve">; and </w:t>
      </w:r>
      <w:r w:rsidRPr="006A3D71">
        <w:rPr>
          <w:rFonts w:eastAsia="Times New Roman"/>
          <w:i/>
        </w:rPr>
        <w:t>Boljević</w:t>
      </w:r>
      <w:r w:rsidRPr="006A3D71">
        <w:rPr>
          <w:rFonts w:eastAsia="Times New Roman"/>
        </w:rPr>
        <w:t>, §</w:t>
      </w:r>
      <w:r w:rsidRPr="006A3D71" w:rsidR="006C27F8">
        <w:rPr>
          <w:rFonts w:eastAsia="Times New Roman"/>
        </w:rPr>
        <w:t> </w:t>
      </w:r>
      <w:r w:rsidRPr="006A3D71">
        <w:rPr>
          <w:rFonts w:eastAsia="Times New Roman"/>
        </w:rPr>
        <w:t>44, cited above).</w:t>
      </w:r>
    </w:p>
    <w:p w:rsidRPr="006A3D71" w:rsidR="002B74EC" w:rsidP="006A3D71" w14:paraId="70FFF963" w14:textId="57394AB4">
      <w:pPr>
        <w:pStyle w:val="JuPara"/>
        <w:rPr>
          <w:rFonts w:eastAsia="Times New Roman"/>
        </w:rPr>
      </w:pPr>
      <w:r w:rsidRPr="006A3D71">
        <w:rPr>
          <w:rFonts w:eastAsia="Times New Roman"/>
        </w:rPr>
        <w:fldChar w:fldCharType="begin"/>
      </w:r>
      <w:r w:rsidRPr="006A3D71">
        <w:rPr>
          <w:rFonts w:eastAsia="Times New Roman"/>
        </w:rPr>
        <w:instrText xml:space="preserve"> SEQ level0 \*arabic \* MERGEFORMAT </w:instrText>
      </w:r>
      <w:r w:rsidRPr="006A3D71">
        <w:rPr>
          <w:rFonts w:eastAsia="Times New Roman"/>
        </w:rPr>
        <w:fldChar w:fldCharType="separate"/>
      </w:r>
      <w:r w:rsidRPr="006A3D71" w:rsidR="006A3D71">
        <w:rPr>
          <w:rFonts w:eastAsia="Times New Roman"/>
          <w:noProof/>
        </w:rPr>
        <w:t>54</w:t>
      </w:r>
      <w:r w:rsidRPr="006A3D71">
        <w:rPr>
          <w:rFonts w:eastAsia="Times New Roman"/>
        </w:rPr>
        <w:fldChar w:fldCharType="end"/>
      </w:r>
      <w:r w:rsidRPr="006A3D71">
        <w:rPr>
          <w:rFonts w:eastAsia="Times New Roman"/>
        </w:rPr>
        <w:t>.  Instead of the prescribed fine for the offence in question, the misdemeanour courts considered, while balancing the various elements, that the overall circumstances had warranted imposing a fine below the prescribed</w:t>
      </w:r>
      <w:r w:rsidRPr="006A3D71" w:rsidR="00571F69">
        <w:rPr>
          <w:rFonts w:eastAsia="Times New Roman"/>
        </w:rPr>
        <w:t xml:space="preserve"> </w:t>
      </w:r>
      <w:r w:rsidRPr="006A3D71">
        <w:rPr>
          <w:rFonts w:eastAsia="Times New Roman"/>
        </w:rPr>
        <w:t>statutory threshold. In doing so, the domestic authorities acknowledged that no serious damage had been caused by the offender to the</w:t>
      </w:r>
      <w:r w:rsidRPr="006A3D71" w:rsidR="00571F69">
        <w:rPr>
          <w:rFonts w:eastAsia="Times New Roman"/>
        </w:rPr>
        <w:t xml:space="preserve"> </w:t>
      </w:r>
      <w:r w:rsidRPr="006A3D71">
        <w:rPr>
          <w:rFonts w:eastAsia="Times New Roman"/>
        </w:rPr>
        <w:t>State and concluded that the significantly reduced fine would correspond to the desired deterrent and punitive effect and prevent future breaches of the</w:t>
      </w:r>
      <w:r w:rsidRPr="006A3D71" w:rsidR="005B7ABF">
        <w:rPr>
          <w:rFonts w:eastAsia="Times New Roman"/>
        </w:rPr>
        <w:t> </w:t>
      </w:r>
      <w:r w:rsidRPr="006A3D71">
        <w:rPr>
          <w:rFonts w:eastAsia="Times New Roman"/>
        </w:rPr>
        <w:t>regulations in the applicant</w:t>
      </w:r>
      <w:r w:rsidRPr="006A3D71" w:rsidR="006A3D71">
        <w:rPr>
          <w:rFonts w:eastAsia="Times New Roman"/>
        </w:rPr>
        <w:t>’</w:t>
      </w:r>
      <w:r w:rsidRPr="006A3D71">
        <w:rPr>
          <w:rFonts w:eastAsia="Times New Roman"/>
        </w:rPr>
        <w:t xml:space="preserve">s case (see paragraph </w:t>
      </w:r>
      <w:r w:rsidRPr="006A3D71">
        <w:rPr>
          <w:rFonts w:eastAsia="Times New Roman"/>
        </w:rPr>
        <w:fldChar w:fldCharType="begin"/>
      </w:r>
      <w:r w:rsidRPr="006A3D71">
        <w:rPr>
          <w:rFonts w:eastAsia="Times New Roman"/>
        </w:rPr>
        <w:instrText xml:space="preserve">REF paragraph00008 \h \* CharFormat </w:instrText>
      </w:r>
      <w:r w:rsidRPr="006A3D71" w:rsidR="004D5770">
        <w:rPr>
          <w:rFonts w:eastAsia="Times New Roman"/>
        </w:rPr>
        <w:instrText xml:space="preserve"> \* MERGEFORMAT </w:instrText>
      </w:r>
      <w:r w:rsidRPr="006A3D71">
        <w:rPr>
          <w:rFonts w:eastAsia="Times New Roman"/>
        </w:rPr>
        <w:fldChar w:fldCharType="separate"/>
      </w:r>
      <w:r w:rsidRPr="006A3D71" w:rsidR="006A3D71">
        <w:rPr>
          <w:rFonts w:eastAsia="Times New Roman"/>
        </w:rPr>
        <w:t>9</w:t>
      </w:r>
      <w:r w:rsidRPr="006A3D71">
        <w:rPr>
          <w:rFonts w:eastAsia="Times New Roman"/>
        </w:rPr>
        <w:fldChar w:fldCharType="end"/>
      </w:r>
      <w:r w:rsidRPr="006A3D71">
        <w:rPr>
          <w:rFonts w:eastAsia="Times New Roman"/>
        </w:rPr>
        <w:t xml:space="preserve"> above).</w:t>
      </w:r>
    </w:p>
    <w:p w:rsidRPr="006A3D71" w:rsidR="002B74EC" w:rsidP="006A3D71" w14:paraId="270F360A" w14:textId="71420053">
      <w:pPr>
        <w:pStyle w:val="JuPara"/>
        <w:rPr>
          <w:rFonts w:eastAsia="Times New Roman"/>
        </w:rPr>
      </w:pPr>
      <w:r w:rsidRPr="006A3D71">
        <w:rPr>
          <w:rFonts w:eastAsia="Times New Roman"/>
        </w:rPr>
        <w:fldChar w:fldCharType="begin"/>
      </w:r>
      <w:r w:rsidRPr="006A3D71">
        <w:rPr>
          <w:rFonts w:eastAsia="Times New Roman"/>
        </w:rPr>
        <w:instrText xml:space="preserve"> SEQ level0 \*arabic \* MERGEFORMAT </w:instrText>
      </w:r>
      <w:r w:rsidRPr="006A3D71">
        <w:rPr>
          <w:rFonts w:eastAsia="Times New Roman"/>
        </w:rPr>
        <w:fldChar w:fldCharType="separate"/>
      </w:r>
      <w:r w:rsidRPr="006A3D71" w:rsidR="006A3D71">
        <w:rPr>
          <w:rFonts w:eastAsia="Times New Roman"/>
          <w:noProof/>
        </w:rPr>
        <w:t>55</w:t>
      </w:r>
      <w:r w:rsidRPr="006A3D71">
        <w:rPr>
          <w:rFonts w:eastAsia="Times New Roman"/>
        </w:rPr>
        <w:fldChar w:fldCharType="end"/>
      </w:r>
      <w:r w:rsidRPr="006A3D71">
        <w:rPr>
          <w:rFonts w:eastAsia="Times New Roman"/>
        </w:rPr>
        <w:t>.  Notwithstanding the above, the domestic courts made the confiscation</w:t>
      </w:r>
      <w:r w:rsidRPr="006A3D71" w:rsidR="005B7ABF">
        <w:rPr>
          <w:rFonts w:eastAsia="Times New Roman"/>
        </w:rPr>
        <w:t> </w:t>
      </w:r>
      <w:r w:rsidRPr="006A3D71">
        <w:rPr>
          <w:rFonts w:eastAsia="Times New Roman"/>
        </w:rPr>
        <w:t>order for the undeclared jewellery in its entirety, as the object of</w:t>
      </w:r>
      <w:r w:rsidRPr="006A3D71" w:rsidR="00A87597">
        <w:rPr>
          <w:rFonts w:eastAsia="Times New Roman"/>
        </w:rPr>
        <w:t xml:space="preserve"> </w:t>
      </w:r>
      <w:r w:rsidRPr="006A3D71">
        <w:rPr>
          <w:rFonts w:eastAsia="Times New Roman"/>
        </w:rPr>
        <w:t>the offence (</w:t>
      </w:r>
      <w:r w:rsidRPr="006A3D71">
        <w:rPr>
          <w:rFonts w:eastAsia="Times New Roman"/>
          <w:i/>
          <w:iCs/>
        </w:rPr>
        <w:t>oduzimanje robe</w:t>
      </w:r>
      <w:r w:rsidRPr="006A3D71">
        <w:rPr>
          <w:rFonts w:eastAsia="Times New Roman"/>
        </w:rPr>
        <w:t xml:space="preserve">), a measure which was apparently deterrent and punitive in its purpose (see </w:t>
      </w:r>
      <w:r w:rsidRPr="006A3D71">
        <w:rPr>
          <w:rFonts w:eastAsia="Times New Roman"/>
          <w:i/>
        </w:rPr>
        <w:t>Ismayilov</w:t>
      </w:r>
      <w:r w:rsidRPr="006A3D71">
        <w:rPr>
          <w:rFonts w:eastAsia="Times New Roman"/>
        </w:rPr>
        <w:t>, § 38, and</w:t>
      </w:r>
      <w:r w:rsidRPr="006A3D71">
        <w:rPr>
          <w:rFonts w:eastAsia="Times New Roman"/>
          <w:i/>
        </w:rPr>
        <w:t xml:space="preserve"> Gabrić</w:t>
      </w:r>
      <w:r w:rsidRPr="006A3D71">
        <w:rPr>
          <w:rFonts w:eastAsia="Times New Roman"/>
        </w:rPr>
        <w:t xml:space="preserve">, § 39, both cited above; compare and contrast </w:t>
      </w:r>
      <w:bookmarkStart w:name="_cl22022" w:id="43"/>
      <w:r w:rsidRPr="006A3D71">
        <w:rPr>
          <w:rFonts w:eastAsia="Times New Roman"/>
          <w:i/>
          <w:iCs/>
        </w:rPr>
        <w:t>Bendenoun v. France</w:t>
      </w:r>
      <w:bookmarkEnd w:id="43"/>
      <w:r w:rsidRPr="006A3D71">
        <w:rPr>
          <w:rFonts w:eastAsia="Times New Roman"/>
        </w:rPr>
        <w:t>, 24 February 1994, § 47, Series A no. 284).</w:t>
      </w:r>
    </w:p>
    <w:p w:rsidRPr="006A3D71" w:rsidR="002B74EC" w:rsidP="006A3D71" w14:paraId="0D98E6D7" w14:textId="5FE3E573">
      <w:pPr>
        <w:pStyle w:val="JuPara"/>
        <w:rPr>
          <w:rFonts w:eastAsia="Times New Roman"/>
        </w:rPr>
      </w:pPr>
      <w:r w:rsidRPr="006A3D71">
        <w:rPr>
          <w:rFonts w:eastAsia="Times New Roman"/>
        </w:rPr>
        <w:fldChar w:fldCharType="begin"/>
      </w:r>
      <w:r w:rsidRPr="006A3D71">
        <w:rPr>
          <w:rFonts w:eastAsia="Times New Roman"/>
        </w:rPr>
        <w:instrText xml:space="preserve"> SEQ level0 \*arabic \* MERGEFORMAT </w:instrText>
      </w:r>
      <w:r w:rsidRPr="006A3D71">
        <w:rPr>
          <w:rFonts w:eastAsia="Times New Roman"/>
        </w:rPr>
        <w:fldChar w:fldCharType="separate"/>
      </w:r>
      <w:r w:rsidRPr="006A3D71" w:rsidR="006A3D71">
        <w:rPr>
          <w:rFonts w:eastAsia="Times New Roman"/>
          <w:noProof/>
        </w:rPr>
        <w:t>56</w:t>
      </w:r>
      <w:r w:rsidRPr="006A3D71">
        <w:rPr>
          <w:rFonts w:eastAsia="Times New Roman"/>
        </w:rPr>
        <w:fldChar w:fldCharType="end"/>
      </w:r>
      <w:r w:rsidRPr="006A3D71">
        <w:rPr>
          <w:rFonts w:eastAsia="Times New Roman"/>
        </w:rPr>
        <w:t xml:space="preserve">.  The Court observes that, as established by the domestic courts, the confiscation of the entirety of undeclared goods was a mandatory measure, imposed in addition to a fine for a customs misdemeanour (see, </w:t>
      </w:r>
      <w:r w:rsidRPr="006A3D71">
        <w:rPr>
          <w:rFonts w:eastAsia="Times New Roman"/>
          <w:i/>
          <w:iCs/>
        </w:rPr>
        <w:t>mutatis mutandis</w:t>
      </w:r>
      <w:r w:rsidRPr="006A3D71">
        <w:rPr>
          <w:rFonts w:eastAsia="Times New Roman"/>
        </w:rPr>
        <w:t xml:space="preserve">, </w:t>
      </w:r>
      <w:r w:rsidRPr="006A3D71">
        <w:rPr>
          <w:i/>
          <w:iCs/>
          <w:lang w:val="en-US"/>
        </w:rPr>
        <w:t>Karapetyan v.</w:t>
      </w:r>
      <w:r w:rsidRPr="006A3D71">
        <w:rPr>
          <w:rFonts w:eastAsia="Times New Roman"/>
        </w:rPr>
        <w:t> </w:t>
      </w:r>
      <w:r w:rsidRPr="006A3D71">
        <w:rPr>
          <w:i/>
          <w:iCs/>
          <w:lang w:val="en-US"/>
        </w:rPr>
        <w:t>Georgia</w:t>
      </w:r>
      <w:r w:rsidRPr="006A3D71">
        <w:rPr>
          <w:lang w:val="en-US"/>
        </w:rPr>
        <w:t>, no. 61233/12, § 36, 15 October 2020</w:t>
      </w:r>
      <w:r w:rsidRPr="006A3D71">
        <w:rPr>
          <w:rFonts w:eastAsia="Times New Roman"/>
        </w:rPr>
        <w:t>)</w:t>
      </w:r>
      <w:r w:rsidRPr="006A3D71">
        <w:t xml:space="preserve">. </w:t>
      </w:r>
      <w:r w:rsidRPr="006A3D71">
        <w:rPr>
          <w:rFonts w:eastAsia="Times New Roman"/>
        </w:rPr>
        <w:t>No</w:t>
      </w:r>
      <w:r w:rsidRPr="006A3D71" w:rsidR="00A87597">
        <w:rPr>
          <w:rFonts w:eastAsia="Times New Roman"/>
        </w:rPr>
        <w:t xml:space="preserve"> </w:t>
      </w:r>
      <w:r w:rsidRPr="006A3D71">
        <w:rPr>
          <w:rFonts w:eastAsia="Times New Roman"/>
        </w:rPr>
        <w:t xml:space="preserve">discretion was left to the domestic authorities, by virtue of the Customs Act (see paragraph </w:t>
      </w:r>
      <w:r w:rsidRPr="006A3D71">
        <w:rPr>
          <w:rFonts w:eastAsia="Times New Roman"/>
        </w:rPr>
        <w:fldChar w:fldCharType="begin"/>
      </w:r>
      <w:r w:rsidRPr="006A3D71">
        <w:rPr>
          <w:rFonts w:eastAsia="Times New Roman"/>
        </w:rPr>
        <w:instrText xml:space="preserve">REF paragraph00020 \h \* CharFormat  \* MERGEFORMAT </w:instrText>
      </w:r>
      <w:r w:rsidRPr="006A3D71">
        <w:rPr>
          <w:rFonts w:eastAsia="Times New Roman"/>
        </w:rPr>
        <w:fldChar w:fldCharType="separate"/>
      </w:r>
      <w:r w:rsidRPr="006A3D71" w:rsidR="006A3D71">
        <w:rPr>
          <w:rFonts w:eastAsia="Times New Roman"/>
        </w:rPr>
        <w:t>21</w:t>
      </w:r>
      <w:r w:rsidRPr="006A3D71">
        <w:rPr>
          <w:rFonts w:eastAsia="Times New Roman"/>
        </w:rPr>
        <w:fldChar w:fldCharType="end"/>
      </w:r>
      <w:r w:rsidRPr="006A3D71">
        <w:rPr>
          <w:rFonts w:eastAsia="Times New Roman"/>
        </w:rPr>
        <w:t xml:space="preserve"> above), to assess the proportionality of the measure and in this context to take into account that the applicant had proven the lawful purchase of the personal jewellery. The Court has previously taken the</w:t>
      </w:r>
      <w:r w:rsidRPr="006A3D71" w:rsidR="00571F69">
        <w:rPr>
          <w:rFonts w:eastAsia="Times New Roman"/>
        </w:rPr>
        <w:t xml:space="preserve"> </w:t>
      </w:r>
      <w:r w:rsidRPr="006A3D71">
        <w:rPr>
          <w:rFonts w:eastAsia="Times New Roman"/>
        </w:rPr>
        <w:t>view that, in so far as offences of undeclared cash are concerned, a too rigid legislative approach could often lead to a failure of the domestic authorities to strike the requisite fair balance between the requirements of the</w:t>
      </w:r>
      <w:r w:rsidRPr="006A3D71" w:rsidR="00571F69">
        <w:rPr>
          <w:rFonts w:eastAsia="Times New Roman"/>
        </w:rPr>
        <w:t xml:space="preserve"> </w:t>
      </w:r>
      <w:r w:rsidRPr="006A3D71">
        <w:rPr>
          <w:rFonts w:eastAsia="Times New Roman"/>
        </w:rPr>
        <w:t>general interest and the protection of an individual</w:t>
      </w:r>
      <w:r w:rsidRPr="006A3D71" w:rsidR="006A3D71">
        <w:rPr>
          <w:rFonts w:eastAsia="Times New Roman"/>
        </w:rPr>
        <w:t>’</w:t>
      </w:r>
      <w:r w:rsidRPr="006A3D71">
        <w:rPr>
          <w:rFonts w:eastAsia="Times New Roman"/>
        </w:rPr>
        <w:t xml:space="preserve">s right of property (see, </w:t>
      </w:r>
      <w:r w:rsidRPr="006A3D71">
        <w:rPr>
          <w:rFonts w:eastAsia="Times New Roman"/>
          <w:i/>
          <w:iCs/>
        </w:rPr>
        <w:t>mutatis mutandis</w:t>
      </w:r>
      <w:r w:rsidRPr="006A3D71">
        <w:rPr>
          <w:rFonts w:eastAsia="Times New Roman"/>
        </w:rPr>
        <w:t xml:space="preserve">, </w:t>
      </w:r>
      <w:r w:rsidRPr="006A3D71">
        <w:rPr>
          <w:rFonts w:eastAsia="Times New Roman"/>
          <w:i/>
          <w:iCs/>
        </w:rPr>
        <w:t>Gyrlyan</w:t>
      </w:r>
      <w:r w:rsidRPr="006A3D71">
        <w:rPr>
          <w:rFonts w:eastAsia="Times New Roman"/>
        </w:rPr>
        <w:t xml:space="preserve">, cited above, §§ 30-31, and </w:t>
      </w:r>
      <w:r w:rsidRPr="006A3D71">
        <w:rPr>
          <w:rFonts w:eastAsia="Times New Roman"/>
          <w:i/>
          <w:iCs/>
        </w:rPr>
        <w:t>Yaremiychuk and</w:t>
      </w:r>
      <w:r w:rsidRPr="006A3D71" w:rsidR="00113F05">
        <w:rPr>
          <w:rFonts w:eastAsia="Times New Roman"/>
          <w:i/>
          <w:iCs/>
        </w:rPr>
        <w:t xml:space="preserve"> </w:t>
      </w:r>
      <w:r w:rsidRPr="006A3D71">
        <w:rPr>
          <w:rFonts w:eastAsia="Times New Roman"/>
          <w:i/>
          <w:iCs/>
        </w:rPr>
        <w:t>Others v.</w:t>
      </w:r>
      <w:r w:rsidRPr="006A3D71">
        <w:rPr>
          <w:rFonts w:eastAsia="Times New Roman"/>
        </w:rPr>
        <w:t> </w:t>
      </w:r>
      <w:r w:rsidRPr="006A3D71">
        <w:rPr>
          <w:rFonts w:eastAsia="Times New Roman"/>
          <w:i/>
          <w:iCs/>
        </w:rPr>
        <w:t>Ukraine</w:t>
      </w:r>
      <w:r w:rsidRPr="006A3D71">
        <w:rPr>
          <w:rFonts w:eastAsia="Times New Roman"/>
        </w:rPr>
        <w:t xml:space="preserve">, nos. 2720/13 and 6 others, § 31, 9 December 2021). Indeed, the mandatory nature of the confiscation, </w:t>
      </w:r>
      <w:r w:rsidRPr="006A3D71">
        <w:t>in addition to the fine,</w:t>
      </w:r>
      <w:r w:rsidRPr="006A3D71">
        <w:rPr>
          <w:rFonts w:eastAsia="Times New Roman"/>
        </w:rPr>
        <w:t xml:space="preserve"> might</w:t>
      </w:r>
      <w:r w:rsidRPr="006A3D71" w:rsidR="00CF65C3">
        <w:rPr>
          <w:rFonts w:eastAsia="Times New Roman"/>
        </w:rPr>
        <w:t xml:space="preserve"> </w:t>
      </w:r>
      <w:r w:rsidRPr="006A3D71">
        <w:rPr>
          <w:rFonts w:eastAsia="Times New Roman"/>
        </w:rPr>
        <w:t xml:space="preserve">have precluded the domestic authorities from assessing the individual circumstances and the proportionality of the confiscation in the present case (see paragraph </w:t>
      </w:r>
      <w:r w:rsidRPr="006A3D71">
        <w:rPr>
          <w:rFonts w:eastAsia="Times New Roman"/>
        </w:rPr>
        <w:fldChar w:fldCharType="begin"/>
      </w:r>
      <w:r w:rsidRPr="006A3D71">
        <w:rPr>
          <w:rFonts w:eastAsia="Times New Roman"/>
        </w:rPr>
        <w:instrText xml:space="preserve"> REF paragraph00015 \h  \* CharFormat  \* MERGEFORMAT </w:instrText>
      </w:r>
      <w:r w:rsidRPr="006A3D71">
        <w:rPr>
          <w:rFonts w:eastAsia="Times New Roman"/>
        </w:rPr>
        <w:fldChar w:fldCharType="separate"/>
      </w:r>
      <w:r w:rsidRPr="006A3D71" w:rsidR="006A3D71">
        <w:rPr>
          <w:rFonts w:eastAsia="Times New Roman"/>
        </w:rPr>
        <w:t>16</w:t>
      </w:r>
      <w:r w:rsidRPr="006A3D71">
        <w:rPr>
          <w:rFonts w:eastAsia="Times New Roman"/>
        </w:rPr>
        <w:fldChar w:fldCharType="end"/>
      </w:r>
      <w:r w:rsidRPr="006A3D71">
        <w:rPr>
          <w:rFonts w:eastAsia="Times New Roman"/>
        </w:rPr>
        <w:t xml:space="preserve"> above).</w:t>
      </w:r>
    </w:p>
    <w:p w:rsidRPr="006A3D71" w:rsidR="002B74EC" w:rsidP="006A3D71" w14:paraId="3DDC8B57" w14:textId="0B9A4A74">
      <w:pPr>
        <w:pStyle w:val="JuPara"/>
        <w:rPr>
          <w:rFonts w:eastAsia="Times New Roman"/>
        </w:rPr>
      </w:pPr>
      <w:r w:rsidRPr="006A3D71">
        <w:rPr>
          <w:rFonts w:eastAsia="Times New Roman"/>
        </w:rPr>
        <w:fldChar w:fldCharType="begin"/>
      </w:r>
      <w:r w:rsidRPr="006A3D71">
        <w:rPr>
          <w:rFonts w:eastAsia="Times New Roman"/>
        </w:rPr>
        <w:instrText xml:space="preserve"> SEQ level0 \*arabic \* MERGEFORMAT </w:instrText>
      </w:r>
      <w:r w:rsidRPr="006A3D71">
        <w:rPr>
          <w:rFonts w:eastAsia="Times New Roman"/>
        </w:rPr>
        <w:fldChar w:fldCharType="separate"/>
      </w:r>
      <w:r w:rsidRPr="006A3D71" w:rsidR="006A3D71">
        <w:rPr>
          <w:rFonts w:eastAsia="Times New Roman"/>
          <w:noProof/>
        </w:rPr>
        <w:t>57</w:t>
      </w:r>
      <w:r w:rsidRPr="006A3D71">
        <w:rPr>
          <w:rFonts w:eastAsia="Times New Roman"/>
        </w:rPr>
        <w:fldChar w:fldCharType="end"/>
      </w:r>
      <w:r w:rsidRPr="006A3D71">
        <w:rPr>
          <w:rFonts w:eastAsia="Times New Roman"/>
        </w:rPr>
        <w:t>.  Similarly, the automatic nature of the confiscation deprived the applicant of any reasonable opportunity to put his case to the relevant authorities for the purpose of effectively challenging the measures interfering</w:t>
      </w:r>
      <w:r w:rsidRPr="006A3D71" w:rsidR="00A87597">
        <w:rPr>
          <w:rFonts w:eastAsia="Times New Roman"/>
        </w:rPr>
        <w:t xml:space="preserve"> </w:t>
      </w:r>
      <w:r w:rsidRPr="006A3D71">
        <w:rPr>
          <w:rFonts w:eastAsia="Times New Roman"/>
        </w:rPr>
        <w:t>with his property rights and of having any prospect of success in that connection</w:t>
      </w:r>
      <w:r w:rsidRPr="006A3D71">
        <w:rPr>
          <w:rFonts w:eastAsia="Times New Roman"/>
        </w:rPr>
        <w:t xml:space="preserve"> </w:t>
      </w:r>
      <w:r w:rsidRPr="006A3D71">
        <w:rPr>
          <w:rFonts w:eastAsia="Times New Roman"/>
        </w:rPr>
        <w:t>(see, among other authorities,</w:t>
      </w:r>
      <w:r w:rsidRPr="006A3D71" w:rsidR="00113F05">
        <w:rPr>
          <w:rFonts w:eastAsia="Times New Roman"/>
        </w:rPr>
        <w:t xml:space="preserve"> </w:t>
      </w:r>
      <w:r w:rsidRPr="006A3D71">
        <w:rPr>
          <w:rFonts w:eastAsia="Times New Roman"/>
          <w:i/>
          <w:iCs/>
        </w:rPr>
        <w:t>Yaremiychuk</w:t>
      </w:r>
      <w:r w:rsidRPr="006A3D71">
        <w:rPr>
          <w:rFonts w:eastAsia="Times New Roman"/>
        </w:rPr>
        <w:t xml:space="preserve">, cited above; </w:t>
      </w:r>
      <w:r w:rsidRPr="006A3D71">
        <w:rPr>
          <w:rFonts w:eastAsia="Times New Roman"/>
          <w:i/>
          <w:iCs/>
        </w:rPr>
        <w:t>Gyrlyan</w:t>
      </w:r>
      <w:r w:rsidRPr="006A3D71">
        <w:rPr>
          <w:rFonts w:eastAsia="Times New Roman"/>
        </w:rPr>
        <w:t xml:space="preserve">, cited above, § 24; </w:t>
      </w:r>
      <w:r w:rsidRPr="006A3D71">
        <w:rPr>
          <w:rFonts w:eastAsia="Times New Roman"/>
          <w:i/>
          <w:iCs/>
        </w:rPr>
        <w:t>Boljević</w:t>
      </w:r>
      <w:r w:rsidRPr="006A3D71">
        <w:rPr>
          <w:rFonts w:eastAsia="Times New Roman"/>
        </w:rPr>
        <w:t xml:space="preserve">, cited above, § 41; </w:t>
      </w:r>
      <w:r w:rsidRPr="006A3D71">
        <w:rPr>
          <w:rFonts w:eastAsia="Times New Roman"/>
          <w:i/>
          <w:iCs/>
        </w:rPr>
        <w:t>Andonoski v.</w:t>
      </w:r>
      <w:r w:rsidRPr="006A3D71" w:rsidR="00A87597">
        <w:rPr>
          <w:rFonts w:eastAsia="Times New Roman"/>
          <w:i/>
          <w:iCs/>
        </w:rPr>
        <w:t xml:space="preserve"> </w:t>
      </w:r>
      <w:r w:rsidRPr="006A3D71">
        <w:rPr>
          <w:rFonts w:eastAsia="Times New Roman"/>
          <w:i/>
          <w:iCs/>
        </w:rPr>
        <w:t>the former Yugoslav Republic of Macedonia</w:t>
      </w:r>
      <w:r w:rsidRPr="006A3D71">
        <w:rPr>
          <w:rFonts w:eastAsia="Times New Roman"/>
        </w:rPr>
        <w:t xml:space="preserve">, no. 16225/08, § 38, 17 September 2015; and </w:t>
      </w:r>
      <w:r w:rsidRPr="006A3D71">
        <w:rPr>
          <w:rFonts w:eastAsia="Times New Roman"/>
          <w:i/>
        </w:rPr>
        <w:t>Rummi v.</w:t>
      </w:r>
      <w:r w:rsidRPr="006A3D71">
        <w:rPr>
          <w:rFonts w:eastAsia="Times New Roman"/>
        </w:rPr>
        <w:t> </w:t>
      </w:r>
      <w:r w:rsidRPr="006A3D71">
        <w:rPr>
          <w:rFonts w:eastAsia="Times New Roman"/>
          <w:i/>
        </w:rPr>
        <w:t>Estonia</w:t>
      </w:r>
      <w:r w:rsidRPr="006A3D71">
        <w:rPr>
          <w:rFonts w:eastAsia="Times New Roman"/>
        </w:rPr>
        <w:t>, no. 63362/09, § 104, 15 January 2015 with further reference therein).</w:t>
      </w:r>
    </w:p>
    <w:p w:rsidRPr="006A3D71" w:rsidR="002B74EC" w:rsidP="006A3D71" w14:paraId="50DA5C26" w14:textId="61F16964">
      <w:pPr>
        <w:pStyle w:val="JuPara"/>
        <w:rPr>
          <w:rFonts w:eastAsia="Times New Roman"/>
        </w:rPr>
      </w:pPr>
      <w:r w:rsidRPr="006A3D71">
        <w:rPr>
          <w:rFonts w:eastAsia="Times New Roman"/>
        </w:rPr>
        <w:fldChar w:fldCharType="begin"/>
      </w:r>
      <w:r w:rsidRPr="006A3D71">
        <w:rPr>
          <w:rFonts w:eastAsia="Times New Roman"/>
        </w:rPr>
        <w:instrText xml:space="preserve"> SEQ level0 \*arabic </w:instrText>
      </w:r>
      <w:r w:rsidRPr="006A3D71">
        <w:rPr>
          <w:rFonts w:eastAsia="Times New Roman"/>
        </w:rPr>
        <w:fldChar w:fldCharType="separate"/>
      </w:r>
      <w:r w:rsidRPr="006A3D71" w:rsidR="006A3D71">
        <w:rPr>
          <w:rFonts w:eastAsia="Times New Roman"/>
          <w:noProof/>
        </w:rPr>
        <w:t>58</w:t>
      </w:r>
      <w:r w:rsidRPr="006A3D71">
        <w:rPr>
          <w:rFonts w:eastAsia="Times New Roman"/>
        </w:rPr>
        <w:fldChar w:fldCharType="end"/>
      </w:r>
      <w:r w:rsidRPr="006A3D71">
        <w:rPr>
          <w:rFonts w:eastAsia="Times New Roman"/>
        </w:rPr>
        <w:t>.  The foregoing considerations are sufficient to enable the Court to conclude that the mandatory confiscation of the gold jewellery in question placed an individual and excessive burden on the applicant.</w:t>
      </w:r>
    </w:p>
    <w:p w:rsidRPr="006A3D71" w:rsidR="002B74EC" w:rsidP="006A3D71" w14:paraId="640E0BF3" w14:textId="51DFEA72">
      <w:pPr>
        <w:pStyle w:val="JuPara"/>
        <w:rPr>
          <w:rFonts w:eastAsia="Times New Roman"/>
        </w:rPr>
      </w:pPr>
      <w:r w:rsidRPr="006A3D71">
        <w:rPr>
          <w:rFonts w:eastAsia="Times New Roman"/>
        </w:rPr>
        <w:fldChar w:fldCharType="begin"/>
      </w:r>
      <w:r w:rsidRPr="006A3D71">
        <w:rPr>
          <w:rFonts w:eastAsia="Times New Roman"/>
        </w:rPr>
        <w:instrText xml:space="preserve"> SEQ level0 \*arabic </w:instrText>
      </w:r>
      <w:r w:rsidRPr="006A3D71">
        <w:rPr>
          <w:rFonts w:eastAsia="Times New Roman"/>
        </w:rPr>
        <w:fldChar w:fldCharType="separate"/>
      </w:r>
      <w:r w:rsidRPr="006A3D71" w:rsidR="006A3D71">
        <w:rPr>
          <w:rFonts w:eastAsia="Times New Roman"/>
          <w:noProof/>
        </w:rPr>
        <w:t>59</w:t>
      </w:r>
      <w:r w:rsidRPr="006A3D71">
        <w:rPr>
          <w:rFonts w:eastAsia="Times New Roman"/>
        </w:rPr>
        <w:fldChar w:fldCharType="end"/>
      </w:r>
      <w:r w:rsidRPr="006A3D71">
        <w:rPr>
          <w:rFonts w:eastAsia="Times New Roman"/>
        </w:rPr>
        <w:t>.  There has accordingly been a violation of Article 1 of Protocol No. 1 to the Convention.</w:t>
      </w:r>
    </w:p>
    <w:p w:rsidRPr="006A3D71" w:rsidR="002B74EC" w:rsidP="006A3D71" w14:paraId="09ED4392" w14:textId="77777777">
      <w:pPr>
        <w:pStyle w:val="JuHIRoman"/>
        <w:tabs>
          <w:tab w:val="left" w:pos="567"/>
          <w:tab w:val="left" w:pos="680"/>
        </w:tabs>
        <w:ind w:left="397" w:hanging="397"/>
      </w:pPr>
      <w:r w:rsidRPr="006A3D71">
        <w:t>APPLICATION OF ARTICLE 41 OF THE CONVENTION</w:t>
      </w:r>
    </w:p>
    <w:bookmarkStart w:name="paragraph00059" w:id="44"/>
    <w:p w:rsidRPr="006A3D71" w:rsidR="002B74EC" w:rsidP="006A3D71" w14:paraId="6E45E6CB" w14:textId="1FC3093F">
      <w:pPr>
        <w:pStyle w:val="JuPara"/>
      </w:pPr>
      <w:r w:rsidRPr="006A3D71">
        <w:fldChar w:fldCharType="begin"/>
      </w:r>
      <w:r w:rsidRPr="006A3D71">
        <w:instrText xml:space="preserve"> SEQ level0 \*arabic </w:instrText>
      </w:r>
      <w:r w:rsidRPr="006A3D71">
        <w:fldChar w:fldCharType="separate"/>
      </w:r>
      <w:r w:rsidRPr="006A3D71" w:rsidR="006A3D71">
        <w:rPr>
          <w:noProof/>
        </w:rPr>
        <w:t>60</w:t>
      </w:r>
      <w:r w:rsidRPr="006A3D71">
        <w:fldChar w:fldCharType="end"/>
      </w:r>
      <w:bookmarkEnd w:id="44"/>
      <w:r w:rsidRPr="006A3D71">
        <w:t>.  Article 41 of the Convention provides:</w:t>
      </w:r>
    </w:p>
    <w:p w:rsidRPr="006A3D71" w:rsidR="002B74EC" w:rsidP="006A3D71" w14:paraId="0AB3E0C7" w14:textId="04C42435">
      <w:pPr>
        <w:pStyle w:val="JuQuot"/>
      </w:pPr>
      <w:r w:rsidRPr="006A3D71">
        <w:t>“If the Court finds that there has been a violation of the Convention or the Protocols thereto, and if the internal law of the High Contracting Party concerned allows only partial reparation to be made, the Court shall, if necessary, afford just satisfaction to the</w:t>
      </w:r>
      <w:r w:rsidRPr="006A3D71" w:rsidR="005B7ABF">
        <w:t> </w:t>
      </w:r>
      <w:r w:rsidRPr="006A3D71">
        <w:t>injured party.”</w:t>
      </w:r>
    </w:p>
    <w:p w:rsidRPr="006A3D71" w:rsidR="002B74EC" w:rsidP="006A3D71" w14:paraId="31C2DC7B" w14:textId="77777777">
      <w:pPr>
        <w:pStyle w:val="JuHA"/>
        <w:numPr>
          <w:ilvl w:val="2"/>
          <w:numId w:val="21"/>
        </w:numPr>
        <w:ind w:left="510" w:hanging="340"/>
      </w:pPr>
      <w:r w:rsidRPr="006A3D71">
        <w:t>Damage</w:t>
      </w:r>
    </w:p>
    <w:bookmarkStart w:name="paragraph00060" w:id="45"/>
    <w:p w:rsidRPr="006A3D71" w:rsidR="002B74EC" w:rsidP="006A3D71" w14:paraId="1B911847" w14:textId="4D91C2AA">
      <w:pPr>
        <w:pStyle w:val="JuPara"/>
      </w:pPr>
      <w:r w:rsidRPr="006A3D71">
        <w:fldChar w:fldCharType="begin"/>
      </w:r>
      <w:r w:rsidRPr="006A3D71">
        <w:instrText xml:space="preserve"> SEQ level0 \*arabic </w:instrText>
      </w:r>
      <w:r w:rsidRPr="006A3D71">
        <w:fldChar w:fldCharType="separate"/>
      </w:r>
      <w:r w:rsidRPr="006A3D71" w:rsidR="006A3D71">
        <w:rPr>
          <w:noProof/>
        </w:rPr>
        <w:t>61</w:t>
      </w:r>
      <w:r w:rsidRPr="006A3D71">
        <w:fldChar w:fldCharType="end"/>
      </w:r>
      <w:bookmarkEnd w:id="45"/>
      <w:r w:rsidRPr="006A3D71">
        <w:t>.  The applicant claimed 7,620 euros (EUR), with accrued interest as of 19 June 2013 until the date of payment, in respect of pecuniary damage. He made no claim in respect of non-pecuniary damage.</w:t>
      </w:r>
    </w:p>
    <w:p w:rsidRPr="006A3D71" w:rsidR="002B74EC" w:rsidP="006A3D71" w14:paraId="285D1B1C" w14:textId="07EBB0FF">
      <w:pPr>
        <w:pStyle w:val="JuPara"/>
      </w:pPr>
      <w:r w:rsidRPr="006A3D71">
        <w:fldChar w:fldCharType="begin"/>
      </w:r>
      <w:r w:rsidRPr="006A3D71">
        <w:instrText xml:space="preserve"> SEQ level0 \*arabic </w:instrText>
      </w:r>
      <w:r w:rsidRPr="006A3D71">
        <w:fldChar w:fldCharType="separate"/>
      </w:r>
      <w:r w:rsidRPr="006A3D71" w:rsidR="006A3D71">
        <w:rPr>
          <w:noProof/>
        </w:rPr>
        <w:t>62</w:t>
      </w:r>
      <w:r w:rsidRPr="006A3D71">
        <w:fldChar w:fldCharType="end"/>
      </w:r>
      <w:r w:rsidRPr="006A3D71">
        <w:t>.  The Government contested this claim.</w:t>
      </w:r>
    </w:p>
    <w:p w:rsidRPr="006A3D71" w:rsidR="002B74EC" w:rsidP="006A3D71" w14:paraId="16E5C74F" w14:textId="51E2250D">
      <w:pPr>
        <w:pStyle w:val="JuPara"/>
      </w:pPr>
      <w:r>
        <w:fldChar w:fldCharType="begin"/>
      </w:r>
      <w:r>
        <w:instrText xml:space="preserve"> SEQ level0 \*arabic \* MERGEFORMAT </w:instrText>
      </w:r>
      <w:r>
        <w:fldChar w:fldCharType="separate"/>
      </w:r>
      <w:r w:rsidRPr="006A3D71" w:rsidR="006A3D71">
        <w:rPr>
          <w:noProof/>
        </w:rPr>
        <w:t>63</w:t>
      </w:r>
      <w:r w:rsidRPr="006A3D71" w:rsidR="006A3D71">
        <w:rPr>
          <w:noProof/>
        </w:rPr>
        <w:fldChar w:fldCharType="end"/>
      </w:r>
      <w:r w:rsidRPr="006A3D71">
        <w:t xml:space="preserve">.  Having regard to its finding above that the mandatory confiscation was disproportionate, the Court considers that it should award the applicant only the amount claimed by the applicant (see paragraph </w:t>
      </w:r>
      <w:r w:rsidRPr="006A3D71">
        <w:fldChar w:fldCharType="begin"/>
      </w:r>
      <w:r w:rsidRPr="006A3D71">
        <w:instrText xml:space="preserve">REF paragraph00060 \h \* CharFormat </w:instrText>
      </w:r>
      <w:r w:rsidRPr="006A3D71">
        <w:fldChar w:fldCharType="separate"/>
      </w:r>
      <w:r w:rsidRPr="006A3D71" w:rsidR="006A3D71">
        <w:t>61</w:t>
      </w:r>
      <w:r w:rsidRPr="006A3D71">
        <w:fldChar w:fldCharType="end"/>
      </w:r>
      <w:r w:rsidRPr="006A3D71">
        <w:t xml:space="preserve"> above), seemingly corresponding to the value of the jewellery established in the misdemeanour proceedings (see paragraph </w:t>
      </w:r>
      <w:r w:rsidRPr="006A3D71">
        <w:fldChar w:fldCharType="begin"/>
      </w:r>
      <w:r w:rsidRPr="006A3D71">
        <w:instrText xml:space="preserve">REF paragraph00005 \h \* CharFormat </w:instrText>
      </w:r>
      <w:r w:rsidRPr="006A3D71">
        <w:fldChar w:fldCharType="separate"/>
      </w:r>
      <w:r w:rsidRPr="006A3D71" w:rsidR="006A3D71">
        <w:t>6</w:t>
      </w:r>
      <w:r w:rsidRPr="006A3D71">
        <w:fldChar w:fldCharType="end"/>
      </w:r>
      <w:r w:rsidRPr="006A3D71">
        <w:t xml:space="preserve"> above; see also paragraph </w:t>
      </w:r>
      <w:r w:rsidRPr="006A3D71">
        <w:fldChar w:fldCharType="begin"/>
      </w:r>
      <w:r w:rsidRPr="006A3D71">
        <w:instrText xml:space="preserve">REF paragraph00014 \h \* CharFormat </w:instrText>
      </w:r>
      <w:r w:rsidRPr="006A3D71">
        <w:fldChar w:fldCharType="separate"/>
      </w:r>
      <w:r w:rsidRPr="006A3D71" w:rsidR="006A3D71">
        <w:t>15</w:t>
      </w:r>
      <w:r w:rsidRPr="006A3D71">
        <w:fldChar w:fldCharType="end"/>
      </w:r>
      <w:r w:rsidRPr="006A3D71">
        <w:t xml:space="preserve"> above for the Constitutional Court</w:t>
      </w:r>
      <w:r w:rsidRPr="006A3D71" w:rsidR="006A3D71">
        <w:t>’</w:t>
      </w:r>
      <w:r w:rsidRPr="006A3D71">
        <w:t xml:space="preserve">s position on the value in issue), plus any tax that may be chargeable (see, </w:t>
      </w:r>
      <w:r w:rsidRPr="006A3D71">
        <w:rPr>
          <w:i/>
          <w:iCs/>
        </w:rPr>
        <w:t>mutatis mutandis</w:t>
      </w:r>
      <w:r w:rsidRPr="006A3D71">
        <w:t xml:space="preserve">, </w:t>
      </w:r>
      <w:r w:rsidRPr="006A3D71">
        <w:rPr>
          <w:i/>
          <w:iCs/>
        </w:rPr>
        <w:t>Yaremiychuk and Others</w:t>
      </w:r>
      <w:r w:rsidRPr="006A3D71">
        <w:t>, cited above, § 46); it dismisses his claim concerning the accrued interest as unsubstantiated.</w:t>
      </w:r>
    </w:p>
    <w:p w:rsidRPr="006A3D71" w:rsidR="002B74EC" w:rsidP="006A3D71" w14:paraId="081BD5C7" w14:textId="77777777">
      <w:pPr>
        <w:pStyle w:val="JuHA"/>
        <w:numPr>
          <w:ilvl w:val="2"/>
          <w:numId w:val="21"/>
        </w:numPr>
        <w:ind w:left="510" w:hanging="340"/>
      </w:pPr>
      <w:r w:rsidRPr="006A3D71">
        <w:t>Costs and expenses</w:t>
      </w:r>
    </w:p>
    <w:p w:rsidRPr="006A3D71" w:rsidR="002B74EC" w:rsidP="006A3D71" w14:paraId="2EE4EFFC" w14:textId="04A951DB">
      <w:pPr>
        <w:pStyle w:val="JuPara"/>
      </w:pPr>
      <w:r w:rsidRPr="006A3D71">
        <w:fldChar w:fldCharType="begin"/>
      </w:r>
      <w:r w:rsidRPr="006A3D71">
        <w:instrText xml:space="preserve"> SEQ level0 \*arabic </w:instrText>
      </w:r>
      <w:r w:rsidRPr="006A3D71">
        <w:fldChar w:fldCharType="separate"/>
      </w:r>
      <w:r w:rsidRPr="006A3D71" w:rsidR="006A3D71">
        <w:rPr>
          <w:noProof/>
        </w:rPr>
        <w:t>64</w:t>
      </w:r>
      <w:r w:rsidRPr="006A3D71">
        <w:fldChar w:fldCharType="end"/>
      </w:r>
      <w:r w:rsidRPr="006A3D71">
        <w:t>.  The applicant also claimed EUR 1,000 for the costs and expenses incurred both before the domestic courts and the Court.</w:t>
      </w:r>
    </w:p>
    <w:p w:rsidRPr="006A3D71" w:rsidR="002B74EC" w:rsidP="006A3D71" w14:paraId="1FD77555" w14:textId="7A4DA3A2">
      <w:pPr>
        <w:pStyle w:val="JuPara"/>
      </w:pPr>
      <w:r w:rsidRPr="006A3D71">
        <w:fldChar w:fldCharType="begin"/>
      </w:r>
      <w:r w:rsidRPr="006A3D71">
        <w:instrText xml:space="preserve"> SEQ level0 \*arabic </w:instrText>
      </w:r>
      <w:r w:rsidRPr="006A3D71">
        <w:fldChar w:fldCharType="separate"/>
      </w:r>
      <w:r w:rsidRPr="006A3D71" w:rsidR="006A3D71">
        <w:rPr>
          <w:noProof/>
        </w:rPr>
        <w:t>65</w:t>
      </w:r>
      <w:r w:rsidRPr="006A3D71">
        <w:fldChar w:fldCharType="end"/>
      </w:r>
      <w:r w:rsidRPr="006A3D71">
        <w:t>.  The Government contested this claim.</w:t>
      </w:r>
    </w:p>
    <w:p w:rsidRPr="006A3D71" w:rsidR="002B74EC" w:rsidP="006A3D71" w14:paraId="27BD0F1A" w14:textId="7E8D7941">
      <w:pPr>
        <w:pStyle w:val="JuPara"/>
      </w:pPr>
      <w:r w:rsidRPr="006A3D71">
        <w:fldChar w:fldCharType="begin"/>
      </w:r>
      <w:r w:rsidRPr="006A3D71">
        <w:instrText xml:space="preserve"> SEQ level0 \*arabic </w:instrText>
      </w:r>
      <w:r w:rsidRPr="006A3D71">
        <w:fldChar w:fldCharType="separate"/>
      </w:r>
      <w:r w:rsidRPr="006A3D71" w:rsidR="006A3D71">
        <w:rPr>
          <w:noProof/>
        </w:rPr>
        <w:t>66</w:t>
      </w:r>
      <w:r w:rsidRPr="006A3D71">
        <w:fldChar w:fldCharType="end"/>
      </w:r>
      <w:r w:rsidRPr="006A3D71">
        <w:t>.  According to the Court</w:t>
      </w:r>
      <w:r w:rsidRPr="006A3D71" w:rsidR="006A3D71">
        <w:t>’</w:t>
      </w:r>
      <w:r w:rsidRPr="006A3D71">
        <w:t>s case-law, an applicant is entitled to the reimbursement of costs and expenses only in so far as it has been shown that</w:t>
      </w:r>
      <w:r w:rsidRPr="006A3D71" w:rsidR="005B7ABF">
        <w:t> </w:t>
      </w:r>
      <w:r w:rsidRPr="006A3D71">
        <w:t>these were actually and necessarily incurred and are reasonable as to quantum. That is,</w:t>
      </w:r>
      <w:r w:rsidRPr="006A3D71" w:rsidR="00A87597">
        <w:t xml:space="preserve"> </w:t>
      </w:r>
      <w:r w:rsidRPr="006A3D71">
        <w:t>the applicant must have paid them, or be bound to pay them, pursuant to a legal or contractual obligation, and they must have been unavoidable in order to prevent the violation found or to obtain redress (see, for example,</w:t>
      </w:r>
      <w:bookmarkStart w:name="_cl40643" w:id="46"/>
      <w:r w:rsidRPr="006A3D71" w:rsidR="00A87597">
        <w:t xml:space="preserve"> </w:t>
      </w:r>
      <w:r w:rsidRPr="006A3D71">
        <w:rPr>
          <w:i/>
          <w:iCs/>
        </w:rPr>
        <w:t>Stevan Petrović v. Serbia</w:t>
      </w:r>
      <w:bookmarkEnd w:id="46"/>
      <w:r w:rsidRPr="006A3D71">
        <w:t>, nos. 6097/16</w:t>
      </w:r>
      <w:r w:rsidRPr="006A3D71" w:rsidR="00113F05">
        <w:t xml:space="preserve"> </w:t>
      </w:r>
      <w:r w:rsidRPr="006A3D71">
        <w:t>and</w:t>
      </w:r>
      <w:r w:rsidRPr="006A3D71" w:rsidR="00113F05">
        <w:t xml:space="preserve"> </w:t>
      </w:r>
      <w:r w:rsidRPr="006A3D71">
        <w:t>28999/19, § 186, 20</w:t>
      </w:r>
      <w:r w:rsidRPr="006A3D71" w:rsidR="00113F05">
        <w:t> </w:t>
      </w:r>
      <w:r w:rsidRPr="006A3D71">
        <w:t xml:space="preserve">April 2021, and </w:t>
      </w:r>
      <w:bookmarkStart w:name="_cl30187" w:id="47"/>
      <w:r w:rsidRPr="006A3D71">
        <w:rPr>
          <w:i/>
          <w:iCs/>
        </w:rPr>
        <w:t>Lakatoš and Others v. Serbia</w:t>
      </w:r>
      <w:bookmarkEnd w:id="47"/>
      <w:r w:rsidRPr="006A3D71">
        <w:t>, no. 3363/08, § 126, 7 January 2014). In the present case, regard being had to the documents in its</w:t>
      </w:r>
      <w:r w:rsidRPr="006A3D71" w:rsidR="00A87597">
        <w:t xml:space="preserve"> </w:t>
      </w:r>
      <w:r w:rsidRPr="006A3D71">
        <w:t>possession and the above criteria, the Court considers it reasonable to award the sum requested, plus any tax that may be chargeable to the</w:t>
      </w:r>
      <w:r w:rsidRPr="006A3D71" w:rsidR="005B7ABF">
        <w:t xml:space="preserve"> </w:t>
      </w:r>
      <w:r w:rsidRPr="006A3D71">
        <w:t>applicant.</w:t>
      </w:r>
    </w:p>
    <w:p w:rsidRPr="006A3D71" w:rsidR="002B74EC" w:rsidP="006A3D71" w14:paraId="1AF92E64" w14:textId="77777777">
      <w:pPr>
        <w:pStyle w:val="JuHHead"/>
        <w:numPr>
          <w:ilvl w:val="0"/>
          <w:numId w:val="21"/>
        </w:numPr>
      </w:pPr>
      <w:r w:rsidRPr="006A3D71">
        <w:t>FOR THESE REASONS, THE COURT, UNANIMOUSLY,</w:t>
      </w:r>
    </w:p>
    <w:p w:rsidRPr="006A3D71" w:rsidR="002B74EC" w:rsidP="006A3D71" w14:paraId="647572EA" w14:textId="77777777">
      <w:pPr>
        <w:pStyle w:val="JuList"/>
      </w:pPr>
      <w:r w:rsidRPr="006A3D71">
        <w:rPr>
          <w:i/>
        </w:rPr>
        <w:t xml:space="preserve">Declares </w:t>
      </w:r>
      <w:r w:rsidRPr="006A3D71">
        <w:t>the application admissible;</w:t>
      </w:r>
    </w:p>
    <w:p w:rsidRPr="006A3D71" w:rsidR="002B74EC" w:rsidP="006A3D71" w14:paraId="08C66AE1" w14:textId="77777777">
      <w:pPr>
        <w:pStyle w:val="JuList"/>
      </w:pPr>
      <w:r w:rsidRPr="006A3D71">
        <w:rPr>
          <w:i/>
        </w:rPr>
        <w:t>Holds</w:t>
      </w:r>
      <w:r w:rsidRPr="006A3D71">
        <w:t xml:space="preserve"> that there has been a violation of Article 1 of Protocol No. 1 to the Convention;</w:t>
      </w:r>
    </w:p>
    <w:p w:rsidRPr="006A3D71" w:rsidR="002B74EC" w:rsidP="006A3D71" w14:paraId="3EFEF47C" w14:textId="77777777">
      <w:pPr>
        <w:pStyle w:val="JuList"/>
      </w:pPr>
      <w:r w:rsidRPr="006A3D71">
        <w:rPr>
          <w:i/>
        </w:rPr>
        <w:t>Holds</w:t>
      </w:r>
    </w:p>
    <w:p w:rsidRPr="006A3D71" w:rsidR="002B74EC" w:rsidP="006A3D71" w14:paraId="55F5FC1B" w14:textId="21B97B08">
      <w:pPr>
        <w:pStyle w:val="JuLista"/>
      </w:pPr>
      <w:r w:rsidRPr="006A3D71">
        <w:t>that the respondent State is to pay the applicant, within three months from the date on which the judgment becomes final in accordance with</w:t>
      </w:r>
      <w:r w:rsidRPr="006A3D71" w:rsidR="00A87597">
        <w:t xml:space="preserve"> </w:t>
      </w:r>
      <w:r w:rsidRPr="006A3D71">
        <w:t>Article 44 § 2 of the Convention, the following amounts</w:t>
      </w:r>
      <w:r w:rsidRPr="006A3D71">
        <w:rPr>
          <w:bCs/>
        </w:rPr>
        <w:t xml:space="preserve">, to be converted into </w:t>
      </w:r>
      <w:r w:rsidRPr="006A3D71">
        <w:rPr>
          <w:bCs/>
          <w:color w:val="000000"/>
        </w:rPr>
        <w:t>the currency of the respondent State</w:t>
      </w:r>
      <w:r w:rsidRPr="006A3D71">
        <w:rPr>
          <w:bCs/>
        </w:rPr>
        <w:t xml:space="preserve"> </w:t>
      </w:r>
      <w:r w:rsidRPr="006A3D71">
        <w:t>at the rate applicable at the date of settlement:</w:t>
      </w:r>
    </w:p>
    <w:p w:rsidRPr="006A3D71" w:rsidR="002B74EC" w:rsidP="006A3D71" w14:paraId="58D58773" w14:textId="77777777">
      <w:pPr>
        <w:pStyle w:val="JuListi"/>
      </w:pPr>
      <w:r w:rsidRPr="006A3D71">
        <w:t>EUR 7,620 (seven thousand six hundred and twenty euros), plus any tax that may be chargeable, in respect of pecuniary damage;</w:t>
      </w:r>
    </w:p>
    <w:p w:rsidRPr="006A3D71" w:rsidR="002B74EC" w:rsidP="006A3D71" w14:paraId="12BA3959" w14:textId="77777777">
      <w:pPr>
        <w:pStyle w:val="JuListi"/>
      </w:pPr>
      <w:r w:rsidRPr="006A3D71">
        <w:t>EUR 1,000 (one thousand euros), plus any tax that may be chargeable to the applicant, in respect of costs and expenses;</w:t>
      </w:r>
    </w:p>
    <w:p w:rsidRPr="006A3D71" w:rsidR="00CF0A3B" w:rsidP="006A3D71" w14:paraId="0D36B465" w14:textId="19FD82A1">
      <w:pPr>
        <w:pStyle w:val="JuLista"/>
      </w:pPr>
      <w:r w:rsidRPr="006A3D71">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6A3D71" w:rsidR="004D0EC7" w:rsidP="006A3D71" w14:paraId="06B34EDA" w14:textId="6895514B">
      <w:pPr>
        <w:pStyle w:val="JuList"/>
      </w:pPr>
      <w:r w:rsidRPr="006A3D71">
        <w:rPr>
          <w:i/>
          <w:iCs/>
        </w:rPr>
        <w:t>Dismisses</w:t>
      </w:r>
      <w:r w:rsidRPr="006A3D71">
        <w:t xml:space="preserve"> the remainder of the applicant</w:t>
      </w:r>
      <w:r w:rsidRPr="006A3D71" w:rsidR="006A3D71">
        <w:t>’</w:t>
      </w:r>
      <w:r w:rsidRPr="006A3D71">
        <w:t>s claims for just satisfaction.</w:t>
      </w:r>
    </w:p>
    <w:p w:rsidRPr="006A3D71" w:rsidR="008E3A08" w:rsidP="00C92DD2" w14:paraId="27E4B19A" w14:textId="3606A279">
      <w:pPr>
        <w:pStyle w:val="JuParaLast"/>
      </w:pPr>
      <w:r w:rsidRPr="006A3D71">
        <w:t xml:space="preserve">Done in English, and notified in writing on </w:t>
      </w:r>
      <w:r w:rsidRPr="006A3D71" w:rsidR="00CB4DF1">
        <w:rPr>
          <w:rFonts w:ascii="Times New Roman" w:hAnsi="Times New Roman" w:cs="Times New Roman"/>
        </w:rPr>
        <w:t>17 September</w:t>
      </w:r>
      <w:r w:rsidRPr="006A3D71" w:rsidR="002B74EC">
        <w:rPr>
          <w:rFonts w:ascii="Times New Roman" w:hAnsi="Times New Roman" w:cs="Times New Roman"/>
        </w:rPr>
        <w:t xml:space="preserve"> 2024</w:t>
      </w:r>
      <w:r w:rsidRPr="006A3D71">
        <w:t>, pursuant to Rule 77 §§ 2 and 3 of the Rules of Court.</w:t>
      </w:r>
    </w:p>
    <w:p w:rsidRPr="006A3D71" w:rsidR="007E79A4" w:rsidP="00C92DD2" w14:paraId="0B7E2176" w14:textId="4B0055D5">
      <w:pPr>
        <w:pStyle w:val="ECHRPlaceholder"/>
        <w:keepNext/>
        <w:keepLines/>
        <w:rPr>
          <w:szCs w:val="22"/>
        </w:rPr>
      </w:pPr>
      <w:r w:rsidRPr="006A3D71">
        <w:tab/>
      </w:r>
    </w:p>
    <w:p w:rsidRPr="006A3D71" w:rsidR="00182EBA" w:rsidP="00C92DD2" w14:paraId="7806AAF0" w14:textId="760F0ACE">
      <w:pPr>
        <w:pStyle w:val="JuSigned"/>
        <w:keepNext/>
        <w:keepLines/>
      </w:pPr>
      <w:r w:rsidRPr="006A3D71">
        <w:tab/>
      </w:r>
      <w:r w:rsidRPr="006A3D71" w:rsidR="00FB76F9">
        <w:t>Simeon Petrovski</w:t>
      </w:r>
      <w:r w:rsidRPr="006A3D71">
        <w:tab/>
      </w:r>
      <w:r w:rsidRPr="006A3D71" w:rsidR="002B74EC">
        <w:t>Gabriele Kucsko-Stadlmayer</w:t>
      </w:r>
      <w:r w:rsidRPr="006A3D71">
        <w:br/>
      </w:r>
      <w:r w:rsidRPr="006A3D71">
        <w:tab/>
      </w:r>
      <w:r w:rsidRPr="006A3D71" w:rsidR="00FB76F9">
        <w:t xml:space="preserve">Deputy </w:t>
      </w:r>
      <w:r w:rsidRPr="006A3D71" w:rsidR="002B74EC">
        <w:rPr>
          <w:iCs/>
        </w:rPr>
        <w:t>Registrar</w:t>
      </w:r>
      <w:r w:rsidRPr="006A3D71">
        <w:tab/>
        <w:t>President</w:t>
      </w:r>
    </w:p>
    <w:p w:rsidRPr="006A3D71" w:rsidR="00035148" w:rsidP="006A3D71" w14:paraId="173DA4D2" w14:textId="2EC94B7F">
      <w:pPr>
        <w:pStyle w:val="JuParaLast"/>
        <w:rPr>
          <w:rFonts w:ascii="Times New Roman" w:hAnsi="Times New Roman" w:eastAsia="Times New Roman" w:cs="Times New Roman"/>
          <w:lang w:val="en-US"/>
        </w:rPr>
      </w:pPr>
      <w:r w:rsidRPr="006A3D71">
        <w:t xml:space="preserve">In accordance with Article 45 § 2 of the Convention and Rule 74 § 2 of the Rules of Court, the separate opinion of Judge </w:t>
      </w:r>
      <w:r w:rsidRPr="006A3D71">
        <w:t>Seibert-Fohr</w:t>
      </w:r>
      <w:r w:rsidRPr="006A3D71">
        <w:t xml:space="preserve"> is annexed to this judgment.</w:t>
      </w:r>
    </w:p>
    <w:p w:rsidRPr="006A3D71" w:rsidR="007479C0" w:rsidP="006A3D71" w14:paraId="6FB3CB77" w14:textId="77777777">
      <w:pPr>
        <w:pStyle w:val="JuPara"/>
        <w:sectPr w:rsidSect="007D3701">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docGrid w:linePitch="326"/>
        </w:sectPr>
      </w:pPr>
    </w:p>
    <w:p w:rsidRPr="006A3D71" w:rsidR="006F095C" w:rsidP="006A3D71" w14:paraId="01ED0534" w14:textId="2925CDD3">
      <w:pPr>
        <w:pStyle w:val="DecHTitle"/>
        <w:rPr>
          <w:rFonts w:eastAsia="Times New Roman"/>
        </w:rPr>
      </w:pPr>
      <w:r w:rsidRPr="006A3D71">
        <w:rPr>
          <w:rFonts w:eastAsia="Times New Roman"/>
        </w:rPr>
        <w:t>CONCURRING OPINION OF JUDGE SEIBERT-FOHR</w:t>
      </w:r>
    </w:p>
    <w:p w:rsidRPr="006A3D71" w:rsidR="006F095C" w:rsidP="006A3D71" w14:paraId="7CED568E" w14:textId="006F827C">
      <w:pPr>
        <w:pStyle w:val="JuPara"/>
        <w:rPr>
          <w:rFonts w:eastAsia="Times New Roman"/>
        </w:rPr>
      </w:pPr>
      <w:r w:rsidRPr="006A3D71">
        <w:rPr>
          <w:rFonts w:eastAsia="Times New Roman"/>
        </w:rPr>
        <w:t>1.  </w:t>
      </w:r>
      <w:r w:rsidRPr="006A3D71">
        <w:rPr>
          <w:rFonts w:eastAsia="Times New Roman"/>
        </w:rPr>
        <w:t>I agree with the majority</w:t>
      </w:r>
      <w:r w:rsidRPr="006A3D71" w:rsidR="006A3D71">
        <w:rPr>
          <w:rFonts w:eastAsia="Times New Roman"/>
        </w:rPr>
        <w:t>’</w:t>
      </w:r>
      <w:r w:rsidRPr="006A3D71">
        <w:rPr>
          <w:rFonts w:eastAsia="Times New Roman"/>
        </w:rPr>
        <w:t>s finding of a violation of Article 1 of Protocol No. 1 to the Convention. I am writing separately out of a concern for spousal equality to explain that the applicant can only claim to be an indirect victim in the present case. While he was entitled to lodge the application on behalf of his wife, the applicant</w:t>
      </w:r>
      <w:r w:rsidRPr="006A3D71" w:rsidR="006A3D71">
        <w:rPr>
          <w:rFonts w:eastAsia="Times New Roman"/>
        </w:rPr>
        <w:t>’</w:t>
      </w:r>
      <w:r w:rsidRPr="006A3D71">
        <w:rPr>
          <w:rFonts w:eastAsia="Times New Roman"/>
        </w:rPr>
        <w:t>s wife as the owner of the confiscated goods and, as a result of the permanent confiscation, the direct victim of the violation is entitled to receive pecuniary damages corresponding to the estimated value of the jewellery (see paragraph 63 of the judgment).</w:t>
      </w:r>
    </w:p>
    <w:p w:rsidRPr="006A3D71" w:rsidR="006F095C" w:rsidP="006A3D71" w14:paraId="381E8E68" w14:textId="3492DC8D">
      <w:pPr>
        <w:pStyle w:val="JuPara"/>
        <w:rPr>
          <w:rFonts w:eastAsia="Times New Roman"/>
        </w:rPr>
      </w:pPr>
      <w:r w:rsidRPr="006A3D71">
        <w:rPr>
          <w:rFonts w:eastAsia="Times New Roman"/>
        </w:rPr>
        <w:t>2.  </w:t>
      </w:r>
      <w:r w:rsidRPr="006A3D71">
        <w:rPr>
          <w:rFonts w:eastAsia="Times New Roman"/>
        </w:rPr>
        <w:t>According to the applicant</w:t>
      </w:r>
      <w:r w:rsidRPr="006A3D71" w:rsidR="006A3D71">
        <w:rPr>
          <w:rFonts w:eastAsia="Times New Roman"/>
        </w:rPr>
        <w:t>’</w:t>
      </w:r>
      <w:r w:rsidRPr="006A3D71">
        <w:rPr>
          <w:rFonts w:eastAsia="Times New Roman"/>
        </w:rPr>
        <w:t>s uncontested submissions, it was his wife who had acquired the confiscated jewellery (see paragraphs 7 and 11 of the judgment). The applicant was carrying it with him in order to sell it if necessary to buy a family home in Türkiye. In other words, his wife had entrusted him with her jewellery for this purpose. However, this did not make him the owner of his wife</w:t>
      </w:r>
      <w:r w:rsidRPr="006A3D71" w:rsidR="006A3D71">
        <w:rPr>
          <w:rFonts w:eastAsia="Times New Roman"/>
        </w:rPr>
        <w:t>’</w:t>
      </w:r>
      <w:r w:rsidRPr="006A3D71">
        <w:rPr>
          <w:rFonts w:eastAsia="Times New Roman"/>
        </w:rPr>
        <w:t>s property. The Constitutional Court, too, recognised in its decision of 25 September 2014 that the bracelets belonged to the applicant</w:t>
      </w:r>
      <w:r w:rsidRPr="006A3D71" w:rsidR="006A3D71">
        <w:rPr>
          <w:rFonts w:eastAsia="Times New Roman"/>
        </w:rPr>
        <w:t>’</w:t>
      </w:r>
      <w:r w:rsidRPr="006A3D71">
        <w:rPr>
          <w:rFonts w:eastAsia="Times New Roman"/>
        </w:rPr>
        <w:t>s wife. Therefore, when the applicant brought proceedings to challenge the permanent confiscation, he acted in his wife</w:t>
      </w:r>
      <w:r w:rsidRPr="006A3D71" w:rsidR="006A3D71">
        <w:rPr>
          <w:rFonts w:eastAsia="Times New Roman"/>
        </w:rPr>
        <w:t>’</w:t>
      </w:r>
      <w:r w:rsidRPr="006A3D71">
        <w:rPr>
          <w:rFonts w:eastAsia="Times New Roman"/>
        </w:rPr>
        <w:t>s interest.</w:t>
      </w:r>
    </w:p>
    <w:p w:rsidRPr="006A3D71" w:rsidR="006F095C" w:rsidP="006A3D71" w14:paraId="074A1044" w14:textId="770D08FC">
      <w:pPr>
        <w:pStyle w:val="JuPara"/>
        <w:rPr>
          <w:rFonts w:eastAsia="Times New Roman"/>
        </w:rPr>
      </w:pPr>
      <w:r w:rsidRPr="006A3D71">
        <w:rPr>
          <w:rFonts w:eastAsia="Times New Roman"/>
        </w:rPr>
        <w:t>3.  </w:t>
      </w:r>
      <w:r w:rsidRPr="006A3D71">
        <w:rPr>
          <w:rFonts w:eastAsia="Times New Roman"/>
        </w:rPr>
        <w:t>Admittedly, the Constitutional Court held that the confiscation amounted to an interference with the applicant</w:t>
      </w:r>
      <w:r w:rsidRPr="006A3D71" w:rsidR="006A3D71">
        <w:rPr>
          <w:rFonts w:eastAsia="Times New Roman"/>
        </w:rPr>
        <w:t>’</w:t>
      </w:r>
      <w:r w:rsidRPr="006A3D71">
        <w:rPr>
          <w:rFonts w:eastAsia="Times New Roman"/>
        </w:rPr>
        <w:t>s property rights protected by virtue of Article 58, paragraph 1, of the Serbian Constitution (see paragraph</w:t>
      </w:r>
      <w:r w:rsidRPr="006A3D71" w:rsidR="0059663E">
        <w:rPr>
          <w:rFonts w:eastAsia="Times New Roman"/>
        </w:rPr>
        <w:t> </w:t>
      </w:r>
      <w:r w:rsidRPr="006A3D71">
        <w:rPr>
          <w:rFonts w:eastAsia="Times New Roman"/>
        </w:rPr>
        <w:t>15 of the judgment). However, according to the Court</w:t>
      </w:r>
      <w:r w:rsidRPr="006A3D71" w:rsidR="006A3D71">
        <w:rPr>
          <w:rFonts w:eastAsia="Times New Roman"/>
        </w:rPr>
        <w:t>’</w:t>
      </w:r>
      <w:r w:rsidRPr="006A3D71">
        <w:rPr>
          <w:rFonts w:eastAsia="Times New Roman"/>
        </w:rPr>
        <w:t>s established case-law, the concept of “possessions” has an autonomous meaning which is independent from the formal classification in domestic law and the respondent State</w:t>
      </w:r>
      <w:r w:rsidRPr="006A3D71" w:rsidR="006A3D71">
        <w:rPr>
          <w:rFonts w:eastAsia="Times New Roman"/>
        </w:rPr>
        <w:t>’</w:t>
      </w:r>
      <w:r w:rsidRPr="006A3D71">
        <w:rPr>
          <w:rFonts w:eastAsia="Times New Roman"/>
        </w:rPr>
        <w:t xml:space="preserve">s submissions. Therefore, the issue that needs to be examined in each case is whether the circumstances of the case, considered as a whole, conferred on the applicant title to a substantive interest protected by Article 1 of Protocol No. 1 (see </w:t>
      </w:r>
      <w:r w:rsidRPr="006A3D71">
        <w:rPr>
          <w:rFonts w:eastAsia="Times New Roman"/>
          <w:i/>
          <w:iCs/>
        </w:rPr>
        <w:t xml:space="preserve">Anheuser-Busch Inc. v. Portugal </w:t>
      </w:r>
      <w:r w:rsidRPr="006A3D71">
        <w:rPr>
          <w:rFonts w:eastAsia="Times New Roman"/>
        </w:rPr>
        <w:t>[GC], no. 73049/01, § 63,</w:t>
      </w:r>
      <w:bookmarkStart w:name="_cl33243" w:id="48"/>
      <w:r w:rsidRPr="006A3D71">
        <w:rPr>
          <w:rFonts w:eastAsia="Times New Roman"/>
          <w:i/>
          <w:iCs/>
          <w:lang w:eastAsia="fr-FR"/>
        </w:rPr>
        <w:t xml:space="preserve"> </w:t>
      </w:r>
      <w:bookmarkEnd w:id="48"/>
      <w:r w:rsidRPr="006A3D71">
        <w:rPr>
          <w:rFonts w:eastAsia="Times New Roman"/>
        </w:rPr>
        <w:t xml:space="preserve">ECHR 2007-I; </w:t>
      </w:r>
      <w:r w:rsidRPr="006A3D71">
        <w:rPr>
          <w:rFonts w:eastAsia="Times New Roman"/>
          <w:i/>
          <w:iCs/>
        </w:rPr>
        <w:t xml:space="preserve">Öneryıldız v. Turkey </w:t>
      </w:r>
      <w:r w:rsidRPr="006A3D71">
        <w:rPr>
          <w:rFonts w:eastAsia="Times New Roman"/>
        </w:rPr>
        <w:t xml:space="preserve">[GC], no. 48939/99, § 124, ECHR 2004-XII; </w:t>
      </w:r>
      <w:r w:rsidRPr="006A3D71">
        <w:rPr>
          <w:rFonts w:eastAsia="Times New Roman"/>
          <w:i/>
          <w:iCs/>
        </w:rPr>
        <w:t xml:space="preserve">Broniowski v. Poland </w:t>
      </w:r>
      <w:r w:rsidRPr="006A3D71">
        <w:rPr>
          <w:rFonts w:eastAsia="Times New Roman"/>
        </w:rPr>
        <w:t xml:space="preserve">[GC], no. 31443/96, § 129, ECHR 2004-V; </w:t>
      </w:r>
      <w:r w:rsidRPr="006A3D71">
        <w:rPr>
          <w:rFonts w:eastAsia="Times New Roman"/>
          <w:i/>
          <w:iCs/>
        </w:rPr>
        <w:t xml:space="preserve">Beyeler v. Italy </w:t>
      </w:r>
      <w:r w:rsidRPr="006A3D71">
        <w:rPr>
          <w:rFonts w:eastAsia="Times New Roman"/>
        </w:rPr>
        <w:t xml:space="preserve">[GC], no. 33202/96, § 100, ECHR 2000-I; </w:t>
      </w:r>
      <w:r w:rsidRPr="006A3D71">
        <w:rPr>
          <w:rFonts w:eastAsia="Times New Roman"/>
          <w:i/>
          <w:iCs/>
        </w:rPr>
        <w:t xml:space="preserve">Iatridis v. Greece </w:t>
      </w:r>
      <w:r w:rsidRPr="006A3D71">
        <w:rPr>
          <w:rFonts w:eastAsia="Times New Roman"/>
        </w:rPr>
        <w:t xml:space="preserve">[GC], no. 31107/96, § 54, ECHR 1999-II; </w:t>
      </w:r>
      <w:r w:rsidRPr="006A3D71">
        <w:rPr>
          <w:rFonts w:eastAsia="Times New Roman"/>
          <w:i/>
          <w:iCs/>
        </w:rPr>
        <w:t xml:space="preserve">Centro Europa 7 S.R.L. and di Stefano v. Italy </w:t>
      </w:r>
      <w:r w:rsidRPr="006A3D71">
        <w:rPr>
          <w:rFonts w:eastAsia="Times New Roman"/>
        </w:rPr>
        <w:t xml:space="preserve">[GC], no. 38433/09, § 171, ECHR 2012; </w:t>
      </w:r>
      <w:r w:rsidRPr="006A3D71">
        <w:rPr>
          <w:rFonts w:eastAsia="Times New Roman"/>
          <w:i/>
          <w:iCs/>
        </w:rPr>
        <w:t xml:space="preserve">Fabris v. France </w:t>
      </w:r>
      <w:r w:rsidRPr="006A3D71">
        <w:rPr>
          <w:rFonts w:eastAsia="Times New Roman"/>
        </w:rPr>
        <w:t xml:space="preserve">[GC], no. 16574/08, §§ 49 and 51, ECHR 2013; </w:t>
      </w:r>
      <w:r w:rsidRPr="006A3D71">
        <w:rPr>
          <w:rFonts w:eastAsia="Times New Roman"/>
          <w:i/>
          <w:iCs/>
        </w:rPr>
        <w:t>Parrillo v.</w:t>
      </w:r>
      <w:r w:rsidRPr="006A3D71" w:rsidR="0059663E">
        <w:rPr>
          <w:rFonts w:eastAsia="Times New Roman"/>
          <w:i/>
          <w:iCs/>
        </w:rPr>
        <w:t> </w:t>
      </w:r>
      <w:r w:rsidRPr="006A3D71">
        <w:rPr>
          <w:rFonts w:eastAsia="Times New Roman"/>
          <w:i/>
          <w:iCs/>
        </w:rPr>
        <w:t xml:space="preserve">Italy </w:t>
      </w:r>
      <w:r w:rsidRPr="006A3D71">
        <w:rPr>
          <w:rFonts w:eastAsia="Times New Roman"/>
        </w:rPr>
        <w:t xml:space="preserve">[GC], no. 46470/11, § 211, ECHR 2015; </w:t>
      </w:r>
      <w:r w:rsidRPr="006A3D71">
        <w:rPr>
          <w:rFonts w:eastAsia="Times New Roman"/>
          <w:i/>
          <w:iCs/>
        </w:rPr>
        <w:t xml:space="preserve">Béláné Nagy v. Hungary </w:t>
      </w:r>
      <w:r w:rsidRPr="006A3D71">
        <w:rPr>
          <w:rFonts w:eastAsia="Times New Roman"/>
        </w:rPr>
        <w:t xml:space="preserve">[GC], no. 53080/13, § 76, 13 December 2016; and </w:t>
      </w:r>
      <w:r w:rsidRPr="006A3D71">
        <w:rPr>
          <w:rFonts w:eastAsia="Times New Roman"/>
          <w:i/>
          <w:iCs/>
        </w:rPr>
        <w:t>Elif Kızıl v. Turkey</w:t>
      </w:r>
      <w:r w:rsidRPr="006A3D71">
        <w:rPr>
          <w:rFonts w:eastAsia="Times New Roman"/>
        </w:rPr>
        <w:t>, no.</w:t>
      </w:r>
      <w:r w:rsidRPr="006A3D71" w:rsidR="0059663E">
        <w:rPr>
          <w:rFonts w:eastAsia="Times New Roman"/>
        </w:rPr>
        <w:t> </w:t>
      </w:r>
      <w:r w:rsidRPr="006A3D71">
        <w:rPr>
          <w:rFonts w:eastAsia="Times New Roman"/>
        </w:rPr>
        <w:t xml:space="preserve">4601/06, § 61, 24 March 2020). In this context, the Court may also have regard to the domestic law in force at the time of the alleged interference provided that there is nothing to suggest that that law runs counter to the object and purpose of Article 1 of Protocol No. 1 (see </w:t>
      </w:r>
      <w:r w:rsidRPr="006A3D71">
        <w:rPr>
          <w:rFonts w:eastAsia="Times New Roman"/>
          <w:i/>
          <w:iCs/>
        </w:rPr>
        <w:t>Pressos Compania Naviera S.A. and Others v. Belgium</w:t>
      </w:r>
      <w:r w:rsidRPr="006A3D71">
        <w:rPr>
          <w:rFonts w:eastAsia="Times New Roman"/>
        </w:rPr>
        <w:t>, 20 November 1995, § 31, Series A no.</w:t>
      </w:r>
      <w:r w:rsidRPr="006A3D71" w:rsidR="0059663E">
        <w:rPr>
          <w:rFonts w:eastAsia="Times New Roman"/>
        </w:rPr>
        <w:t> </w:t>
      </w:r>
      <w:r w:rsidRPr="006A3D71">
        <w:rPr>
          <w:rFonts w:eastAsia="Times New Roman"/>
        </w:rPr>
        <w:t>332). Regard is also to be had to the Convention system as a whole, including, most notably, gender equality. It would be irreconcilable with spousal equality if a husband automatically acquired property rights over his wife</w:t>
      </w:r>
      <w:r w:rsidRPr="006A3D71" w:rsidR="006A3D71">
        <w:rPr>
          <w:rFonts w:eastAsia="Times New Roman"/>
        </w:rPr>
        <w:t>’</w:t>
      </w:r>
      <w:r w:rsidRPr="006A3D71">
        <w:rPr>
          <w:rFonts w:eastAsia="Times New Roman"/>
        </w:rPr>
        <w:t>s assets.</w:t>
      </w:r>
    </w:p>
    <w:p w:rsidRPr="006A3D71" w:rsidR="006F095C" w:rsidP="006A3D71" w14:paraId="3F5EA412" w14:textId="57958676">
      <w:pPr>
        <w:pStyle w:val="JuPara"/>
        <w:rPr>
          <w:rFonts w:eastAsia="Times New Roman"/>
        </w:rPr>
      </w:pPr>
      <w:r w:rsidRPr="006A3D71">
        <w:rPr>
          <w:rFonts w:eastAsia="Times New Roman"/>
        </w:rPr>
        <w:t>4.  Given the fact that the applicant</w:t>
      </w:r>
      <w:r w:rsidRPr="006A3D71" w:rsidR="006A3D71">
        <w:rPr>
          <w:rFonts w:eastAsia="Times New Roman"/>
        </w:rPr>
        <w:t>’</w:t>
      </w:r>
      <w:r w:rsidRPr="006A3D71">
        <w:rPr>
          <w:rFonts w:eastAsia="Times New Roman"/>
        </w:rPr>
        <w:t>s wife</w:t>
      </w:r>
      <w:r w:rsidRPr="006A3D71" w:rsidR="006A3D71">
        <w:rPr>
          <w:rFonts w:eastAsia="Times New Roman"/>
        </w:rPr>
        <w:t>’</w:t>
      </w:r>
      <w:r w:rsidRPr="006A3D71">
        <w:rPr>
          <w:rFonts w:eastAsia="Times New Roman"/>
        </w:rPr>
        <w:t>s ownership is undisputed and taking into account the imperative nature of spousal equality, I cannot agree with the majority</w:t>
      </w:r>
      <w:r w:rsidRPr="006A3D71" w:rsidR="006A3D71">
        <w:rPr>
          <w:rFonts w:eastAsia="Times New Roman"/>
        </w:rPr>
        <w:t>’</w:t>
      </w:r>
      <w:r w:rsidRPr="006A3D71">
        <w:rPr>
          <w:rFonts w:eastAsia="Times New Roman"/>
        </w:rPr>
        <w:t>s reliance on the Constitutional Court</w:t>
      </w:r>
      <w:r w:rsidRPr="006A3D71" w:rsidR="006A3D71">
        <w:rPr>
          <w:rFonts w:eastAsia="Times New Roman"/>
        </w:rPr>
        <w:t>’</w:t>
      </w:r>
      <w:r w:rsidRPr="006A3D71">
        <w:rPr>
          <w:rFonts w:eastAsia="Times New Roman"/>
        </w:rPr>
        <w:t xml:space="preserve">s findings regarding the issue of ownership (see paragraph 31 of the judgment). Moreover, there is no other reason to regard the applicant as the direct victim or to assume that he had proprietary interests of his own in the present case (compare </w:t>
      </w:r>
      <w:r w:rsidRPr="006A3D71">
        <w:rPr>
          <w:rFonts w:eastAsia="Times New Roman"/>
          <w:i/>
          <w:iCs/>
        </w:rPr>
        <w:t xml:space="preserve">Molla Sali v. Greece </w:t>
      </w:r>
      <w:r w:rsidRPr="006A3D71">
        <w:rPr>
          <w:rFonts w:eastAsia="Times New Roman"/>
        </w:rPr>
        <w:t xml:space="preserve">[GC], no. 20452/14, §§ 128-32, 19 December 2018). The confiscation did not concern his “possession” within the meaning of Article 1 of Protocol No. 1 and the harm suffered on account of the violation is not sufficiently directly linked to the applicant (for this requirement see </w:t>
      </w:r>
      <w:r w:rsidRPr="006A3D71">
        <w:rPr>
          <w:rFonts w:eastAsia="Times New Roman"/>
          <w:i/>
          <w:iCs/>
        </w:rPr>
        <w:t>Gorraiz Lizarraga and Others v. Spain</w:t>
      </w:r>
      <w:r w:rsidRPr="006A3D71">
        <w:rPr>
          <w:rFonts w:eastAsia="Times New Roman"/>
        </w:rPr>
        <w:t>, no. 62543/00, § 35, ECHR 2004</w:t>
      </w:r>
      <w:r w:rsidRPr="006A3D71">
        <w:rPr>
          <w:rFonts w:eastAsia="Times New Roman"/>
        </w:rPr>
        <w:noBreakHyphen/>
        <w:t>III). In other words, he was not directly affected in his proprietary interests by the harm sustained as a result of the confiscation measures taken in respect of his wife</w:t>
      </w:r>
      <w:r w:rsidRPr="006A3D71" w:rsidR="006A3D71">
        <w:rPr>
          <w:rFonts w:eastAsia="Times New Roman"/>
        </w:rPr>
        <w:t>’</w:t>
      </w:r>
      <w:r w:rsidRPr="006A3D71">
        <w:rPr>
          <w:rFonts w:eastAsia="Times New Roman"/>
        </w:rPr>
        <w:t>s jewellery.</w:t>
      </w:r>
    </w:p>
    <w:p w:rsidRPr="006A3D71" w:rsidR="006F095C" w:rsidP="006A3D71" w14:paraId="2CC91630" w14:textId="2A55D1A6">
      <w:pPr>
        <w:pStyle w:val="JuPara"/>
        <w:rPr>
          <w:rFonts w:eastAsia="Times New Roman"/>
        </w:rPr>
      </w:pPr>
      <w:r w:rsidRPr="006A3D71">
        <w:rPr>
          <w:rFonts w:eastAsia="Times New Roman"/>
        </w:rPr>
        <w:t xml:space="preserve">5.  Rather, the applicant qualifies as an indirect victim entitled to lodge the application with the Court on behalf of his wife because of the following exceptional circumstances of the present case (for the relevance of “exceptional circumstances” for standing in respect of Article 1 of Protocol No. 1 see, for example, </w:t>
      </w:r>
      <w:r w:rsidRPr="006A3D71">
        <w:rPr>
          <w:rFonts w:eastAsia="Times New Roman"/>
          <w:i/>
          <w:iCs/>
        </w:rPr>
        <w:t xml:space="preserve">Albert and Others v. Hungary </w:t>
      </w:r>
      <w:r w:rsidRPr="006A3D71">
        <w:rPr>
          <w:rFonts w:eastAsia="Times New Roman"/>
        </w:rPr>
        <w:t>[GC], no. 5294/14, §§ 124 and 135-45, 7 July 2020). They demonstrate that he has a legal interest of his own in lodging the application, thus allowing the Court to grant standing to him.</w:t>
      </w:r>
    </w:p>
    <w:p w:rsidRPr="006A3D71" w:rsidR="006F095C" w:rsidP="006A3D71" w14:paraId="39650C80" w14:textId="39589769">
      <w:pPr>
        <w:pStyle w:val="JuPara"/>
        <w:rPr>
          <w:rFonts w:eastAsia="Times New Roman"/>
        </w:rPr>
      </w:pPr>
      <w:r w:rsidRPr="006A3D71">
        <w:rPr>
          <w:rFonts w:eastAsia="Times New Roman"/>
        </w:rPr>
        <w:t xml:space="preserve">The bracelets were seized from the applicant while he was on his way to purchase a family home with the aim of selling them if the funds were required. There is therefore no risk of differences of opinion among the applicant and his wife in this case (see, </w:t>
      </w:r>
      <w:r w:rsidRPr="006A3D71">
        <w:rPr>
          <w:rFonts w:eastAsia="Times New Roman"/>
          <w:i/>
          <w:iCs/>
        </w:rPr>
        <w:t>mutatis mutandis</w:t>
      </w:r>
      <w:r w:rsidRPr="006A3D71">
        <w:rPr>
          <w:rFonts w:eastAsia="Times New Roman"/>
        </w:rPr>
        <w:t>,</w:t>
      </w:r>
      <w:r w:rsidRPr="006A3D71">
        <w:rPr>
          <w:rFonts w:eastAsia="Times New Roman"/>
          <w:i/>
          <w:iCs/>
        </w:rPr>
        <w:t xml:space="preserve"> Kips DOO and Drekalović v. Montenegro</w:t>
      </w:r>
      <w:r w:rsidRPr="006A3D71">
        <w:rPr>
          <w:rFonts w:eastAsia="Times New Roman"/>
        </w:rPr>
        <w:t>, no. 28766/06, § 86, 26 June 2018). Moreover, the bracelets were permanently confiscated in misdemeanour proceedings to which he was the sole party and he was entitled to challenge the confiscation before the Constitutional Court.</w:t>
      </w:r>
    </w:p>
    <w:p w:rsidRPr="006A3D71" w:rsidR="006F095C" w:rsidP="006A3D71" w14:paraId="749D54E7" w14:textId="2EB01B38">
      <w:pPr>
        <w:pStyle w:val="JuPara"/>
        <w:rPr>
          <w:rFonts w:eastAsia="Times New Roman"/>
        </w:rPr>
      </w:pPr>
      <w:r w:rsidRPr="006A3D71">
        <w:rPr>
          <w:rFonts w:eastAsia="Times New Roman"/>
        </w:rPr>
        <w:t>6.  The Court has recognised that in its assessment of whether close relatives have standing to submit an application, the applicant</w:t>
      </w:r>
      <w:r w:rsidRPr="006A3D71" w:rsidR="006A3D71">
        <w:rPr>
          <w:rFonts w:eastAsia="Times New Roman"/>
        </w:rPr>
        <w:t>’</w:t>
      </w:r>
      <w:r w:rsidRPr="006A3D71">
        <w:rPr>
          <w:rFonts w:eastAsia="Times New Roman"/>
        </w:rPr>
        <w:t xml:space="preserve">s participation in the domestic proceedings can be a relevant criterion among several others (see </w:t>
      </w:r>
      <w:r w:rsidRPr="006A3D71">
        <w:rPr>
          <w:rFonts w:eastAsia="Times New Roman"/>
          <w:i/>
          <w:iCs/>
        </w:rPr>
        <w:t>Nölkenbockhoff v. Germany</w:t>
      </w:r>
      <w:r w:rsidRPr="006A3D71">
        <w:rPr>
          <w:rFonts w:eastAsia="Times New Roman"/>
        </w:rPr>
        <w:t xml:space="preserve">, 25 August 1987, § 33, Series A no. 123; </w:t>
      </w:r>
      <w:r w:rsidRPr="006A3D71">
        <w:rPr>
          <w:rFonts w:eastAsia="Times New Roman"/>
          <w:i/>
          <w:iCs/>
        </w:rPr>
        <w:t xml:space="preserve">Micallef v. Malta </w:t>
      </w:r>
      <w:r w:rsidRPr="006A3D71">
        <w:rPr>
          <w:rFonts w:eastAsia="Times New Roman"/>
        </w:rPr>
        <w:t>[GC], no. 17056/06, §§ 48-49,</w:t>
      </w:r>
      <w:r w:rsidRPr="006A3D71">
        <w:rPr>
          <w:rFonts w:eastAsia="Times New Roman"/>
          <w:lang w:eastAsia="fr-FR"/>
        </w:rPr>
        <w:t xml:space="preserve"> </w:t>
      </w:r>
      <w:r w:rsidRPr="006A3D71">
        <w:rPr>
          <w:rFonts w:eastAsia="Times New Roman"/>
        </w:rPr>
        <w:t xml:space="preserve">ECHR 2009; </w:t>
      </w:r>
      <w:r w:rsidRPr="006A3D71">
        <w:rPr>
          <w:rFonts w:eastAsia="Times New Roman"/>
          <w:i/>
          <w:iCs/>
        </w:rPr>
        <w:t>Polanco Torres and Movilla Polanco v. Spain</w:t>
      </w:r>
      <w:r w:rsidRPr="006A3D71">
        <w:rPr>
          <w:rFonts w:eastAsia="Times New Roman"/>
        </w:rPr>
        <w:t xml:space="preserve">, no. 34147/06, § 31, 21 September 2010; and </w:t>
      </w:r>
      <w:r w:rsidRPr="006A3D71">
        <w:rPr>
          <w:rFonts w:eastAsia="Times New Roman"/>
          <w:i/>
          <w:iCs/>
        </w:rPr>
        <w:t>Grădinar v. Moldova</w:t>
      </w:r>
      <w:r w:rsidRPr="006A3D71">
        <w:rPr>
          <w:rFonts w:eastAsia="Times New Roman"/>
        </w:rPr>
        <w:t>, no. 7170/02,</w:t>
      </w:r>
      <w:bookmarkStart w:name="_cl26819" w:id="49"/>
      <w:r w:rsidRPr="006A3D71">
        <w:rPr>
          <w:rFonts w:eastAsia="Times New Roman"/>
        </w:rPr>
        <w:t xml:space="preserve"> §§ 98-99, 8 April 2008). Fur</w:t>
      </w:r>
      <w:bookmarkEnd w:id="49"/>
      <w:r w:rsidRPr="006A3D71">
        <w:rPr>
          <w:rFonts w:eastAsia="Times New Roman"/>
        </w:rPr>
        <w:t>thermore, there is no indication in the present case that the applicant</w:t>
      </w:r>
      <w:r w:rsidRPr="006A3D71" w:rsidR="006A3D71">
        <w:rPr>
          <w:rFonts w:eastAsia="Times New Roman"/>
        </w:rPr>
        <w:t>’</w:t>
      </w:r>
      <w:r w:rsidRPr="006A3D71">
        <w:rPr>
          <w:rFonts w:eastAsia="Times New Roman"/>
        </w:rPr>
        <w:t>s wife could have availed herself of any legal avenue to challenge the confiscation of her (</w:t>
      </w:r>
      <w:r w:rsidRPr="006A3D71">
        <w:rPr>
          <w:rFonts w:eastAsia="Times New Roman"/>
          <w:i/>
          <w:iCs/>
        </w:rPr>
        <w:t>sic!</w:t>
      </w:r>
      <w:r w:rsidRPr="006A3D71">
        <w:rPr>
          <w:rFonts w:eastAsia="Times New Roman"/>
        </w:rPr>
        <w:t>) bracelets (see paragraph 32 of the judgment) in her own capacity.</w:t>
      </w:r>
    </w:p>
    <w:p w:rsidRPr="006A3D71" w:rsidR="006F095C" w:rsidP="006A3D71" w14:paraId="52CF09EB" w14:textId="77777777">
      <w:pPr>
        <w:pStyle w:val="JuPara"/>
        <w:rPr>
          <w:rFonts w:eastAsia="Times New Roman"/>
        </w:rPr>
      </w:pPr>
      <w:r w:rsidRPr="006A3D71">
        <w:rPr>
          <w:rFonts w:eastAsia="Times New Roman"/>
        </w:rPr>
        <w:t xml:space="preserve">7.  Therefore, I agree with the majority that it would be excessively formalistic and would have rendered the protection of the rights guaranteed by the Convention ineffective and illusory if the application had been declared inadmissible (see in this respect </w:t>
      </w:r>
      <w:r w:rsidRPr="006A3D71">
        <w:rPr>
          <w:rFonts w:eastAsia="Times New Roman"/>
          <w:i/>
          <w:iCs/>
        </w:rPr>
        <w:t>Micallef</w:t>
      </w:r>
      <w:r w:rsidRPr="006A3D71">
        <w:rPr>
          <w:rFonts w:eastAsia="Times New Roman"/>
        </w:rPr>
        <w:t xml:space="preserve">, cited above, § 45; </w:t>
      </w:r>
      <w:r w:rsidRPr="006A3D71">
        <w:rPr>
          <w:rFonts w:eastAsia="Times New Roman"/>
          <w:i/>
          <w:iCs/>
        </w:rPr>
        <w:t>Karner v.</w:t>
      </w:r>
      <w:r w:rsidRPr="006A3D71">
        <w:rPr>
          <w:rFonts w:eastAsia="Times New Roman"/>
          <w:lang w:val="en-US"/>
        </w:rPr>
        <w:t> </w:t>
      </w:r>
      <w:r w:rsidRPr="006A3D71">
        <w:rPr>
          <w:rFonts w:eastAsia="Times New Roman"/>
          <w:i/>
          <w:iCs/>
        </w:rPr>
        <w:t>Austria</w:t>
      </w:r>
      <w:r w:rsidRPr="006A3D71">
        <w:rPr>
          <w:rFonts w:eastAsia="Times New Roman"/>
        </w:rPr>
        <w:t>, no. 40016/98, §</w:t>
      </w:r>
      <w:r w:rsidRPr="006A3D71">
        <w:rPr>
          <w:rFonts w:eastAsia="Times New Roman"/>
          <w:lang w:val="en-US"/>
        </w:rPr>
        <w:t> </w:t>
      </w:r>
      <w:r w:rsidRPr="006A3D71">
        <w:rPr>
          <w:rFonts w:eastAsia="Times New Roman"/>
        </w:rPr>
        <w:t xml:space="preserve">25, ECHR 2003-IX; and </w:t>
      </w:r>
      <w:r w:rsidRPr="006A3D71">
        <w:rPr>
          <w:rFonts w:eastAsia="Times New Roman"/>
          <w:i/>
          <w:iCs/>
        </w:rPr>
        <w:t>Gorraiz Lizarraga and Others</w:t>
      </w:r>
      <w:r w:rsidRPr="006A3D71">
        <w:rPr>
          <w:rFonts w:eastAsia="Times New Roman"/>
        </w:rPr>
        <w:t>, cited above, §</w:t>
      </w:r>
      <w:r w:rsidRPr="006A3D71">
        <w:rPr>
          <w:rFonts w:eastAsia="Times New Roman"/>
          <w:lang w:val="en-US"/>
        </w:rPr>
        <w:t> </w:t>
      </w:r>
      <w:r w:rsidRPr="006A3D71">
        <w:rPr>
          <w:rFonts w:eastAsia="Times New Roman"/>
        </w:rPr>
        <w:t>38). However, it would have been more apt and in line with the Convention system to describe the applicant explicitly as an indirect victim.</w:t>
      </w:r>
    </w:p>
    <w:p w:rsidRPr="006A3D71" w:rsidR="007479C0" w:rsidP="006A3D71" w14:paraId="6285744A" w14:textId="464B4B51">
      <w:pPr>
        <w:pStyle w:val="JuPara"/>
      </w:pPr>
      <w:r w:rsidRPr="006A3D71">
        <w:rPr>
          <w:rFonts w:eastAsia="Times New Roman"/>
        </w:rPr>
        <w:t>8.  At any rate, and for the reasons outlined above, the decision to make an award in respect of pecuniary damage should be read as being based on the expectation that the applicant is bound to transfer the sum obtained in that respect to his wife. Alternatively, the jewellery should be returned to her if it is still held by the respondent State.</w:t>
      </w:r>
    </w:p>
    <w:sectPr w:rsidSect="007479C0">
      <w:headerReference w:type="even" r:id="rId14"/>
      <w:headerReference w:type="default" r:id="rId15"/>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B74EC" w:rsidRPr="00150BFA" w:rsidP="0020718E" w14:paraId="4977B7F2" w14:textId="2A638F97">
    <w:pPr>
      <w:jc w:val="center"/>
    </w:pPr>
    <w:r>
      <w:rPr>
        <w:noProof/>
        <w:lang w:val="en-US"/>
      </w:rPr>
      <w:drawing>
        <wp:inline distT="0" distB="0" distL="0" distR="0">
          <wp:extent cx="771525" cy="619125"/>
          <wp:effectExtent l="0" t="0" r="9525" b="9525"/>
          <wp:docPr id="58" name="Picture 5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1ECEE6D1" w14:textId="5B3F671C">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B74EC" w:rsidRPr="00150BFA" w:rsidP="0020718E" w14:paraId="50ACB3CE" w14:textId="29CA157E">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6D8316F4" w14:textId="07D8F8B6">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4D3A1F08" w14:textId="1FEFF1A0">
    <w:pPr>
      <w:pStyle w:val="JuHeader"/>
    </w:pPr>
    <w:r>
      <w:fldChar w:fldCharType="begin"/>
    </w:r>
    <w:r>
      <w:instrText xml:space="preserve"> PAGE  \* MERGEFORMAT </w:instrText>
    </w:r>
    <w:r>
      <w:fldChar w:fldCharType="separate"/>
    </w:r>
    <w:r>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306071C5" w14:textId="7D070FB8">
    <w:pPr>
      <w:pStyle w:val="JuHeader"/>
    </w:pPr>
    <w:r>
      <w:fldChar w:fldCharType="begin"/>
    </w:r>
    <w:r>
      <w:instrText xml:space="preserve"> PAGE  \* MERGEFORMAT </w:instrText>
    </w:r>
    <w:r>
      <w:fldChar w:fldCharType="separate"/>
    </w:r>
    <w:r>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B74EC" w:rsidRPr="00E67565" w:rsidP="0098410D" w14:paraId="421C2EB4" w14:textId="77777777">
      <w:r w:rsidRPr="00E67565">
        <w:separator/>
      </w:r>
    </w:p>
  </w:footnote>
  <w:footnote w:type="continuationSeparator" w:id="1">
    <w:p w:rsidR="002B74EC" w:rsidRPr="00E67565" w:rsidP="0098410D" w14:paraId="66CAD293" w14:textId="77777777">
      <w:r w:rsidRPr="00E67565">
        <w:continuationSeparator/>
      </w:r>
    </w:p>
  </w:footnote>
  <w:footnote w:id="2">
    <w:p w:rsidR="002B74EC" w:rsidP="002B74EC" w14:paraId="19220320" w14:textId="1BD7521A">
      <w:pPr>
        <w:pStyle w:val="FootnoteText"/>
      </w:pPr>
      <w:r w:rsidRPr="002B74EC">
        <w:rPr>
          <w:rStyle w:val="FootnoteReference"/>
        </w:rPr>
        <w:footnoteRef/>
      </w:r>
      <w:r w:rsidRPr="002B74EC">
        <w:rPr>
          <w:rStyle w:val="FootnoteReference"/>
        </w:rPr>
        <w:t xml:space="preserve"> </w:t>
      </w:r>
      <w:r>
        <w:t xml:space="preserve">Website </w:t>
      </w:r>
      <w:hyperlink r:id="rId1" w:history="1">
        <w:r w:rsidRPr="00AC4562">
          <w:rPr>
            <w:rStyle w:val="Hyperlink"/>
          </w:rPr>
          <w:t>Customs Administration: Useful information for passengers (carina.rs)</w:t>
        </w:r>
      </w:hyperlink>
      <w:r>
        <w:rPr>
          <w:rStyle w:val="Hyperlink"/>
        </w:rPr>
        <w:t>,</w:t>
      </w:r>
      <w:r w:rsidRPr="001E10C7">
        <w:t xml:space="preserve"> </w:t>
      </w:r>
      <w:r w:rsidRPr="007D25A8">
        <w:t xml:space="preserve">last accessed on </w:t>
      </w:r>
      <w:r>
        <w:t>5 June</w:t>
      </w:r>
      <w:r w:rsidRPr="007D25A8">
        <w:t xml:space="preserve"> 2024.</w:t>
      </w:r>
    </w:p>
    <w:p w:rsidR="002B74EC" w:rsidRPr="003210F3" w:rsidP="002B74EC" w14:paraId="48DEA9CF" w14:textId="77777777">
      <w:pPr>
        <w:pStyle w:val="FootnoteText"/>
      </w:pPr>
      <w:r>
        <w:t>At least until 5</w:t>
      </w:r>
      <w:r w:rsidRPr="003210F3">
        <w:t xml:space="preserve"> </w:t>
      </w:r>
      <w:r>
        <w:t xml:space="preserve">October </w:t>
      </w:r>
      <w:r w:rsidRPr="003210F3">
        <w:t>202</w:t>
      </w:r>
      <w:r>
        <w:t>3</w:t>
      </w:r>
      <w:r w:rsidRPr="003210F3">
        <w:t xml:space="preserve">, the relevant information </w:t>
      </w:r>
      <w:r>
        <w:t xml:space="preserve">on the same website </w:t>
      </w:r>
      <w:r w:rsidRPr="003210F3">
        <w:t xml:space="preserve">provided in English </w:t>
      </w:r>
      <w:r>
        <w:t xml:space="preserve">read </w:t>
      </w:r>
      <w:r w:rsidRPr="003210F3">
        <w:t>as follows:</w:t>
      </w:r>
    </w:p>
    <w:p w:rsidR="002B74EC" w:rsidRPr="00E05DD5" w:rsidP="002B74EC" w14:paraId="2125331B" w14:textId="4B37813F">
      <w:pPr>
        <w:pStyle w:val="FootnoteText"/>
      </w:pPr>
      <w:r w:rsidRPr="003210F3">
        <w:rPr>
          <w:bCs/>
        </w:rPr>
        <w:t>“O</w:t>
      </w:r>
      <w:r w:rsidRPr="003210F3">
        <w:t>n arrival, travellers are required to declare valuables (such as laptop computers, cameras and jewellery) of a value exceeding 10,000 euros and obtain a declaration from customs officials. This declaration form is required on departure from the country. Failure to comply</w:t>
      </w:r>
      <w:r w:rsidR="00FC08DA">
        <w:t> </w:t>
      </w:r>
      <w:r w:rsidRPr="003210F3">
        <w:t>may result in the confiscation of valuables.”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B74EC" w:rsidRPr="00A45145" w:rsidP="00A45145" w14:paraId="3D582104" w14:textId="0845EF11">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5790B7B1" w14:textId="12DB75E1">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B74EC" w:rsidRPr="00A45145" w:rsidP="00A45145" w14:paraId="2AB87352" w14:textId="2C46BA27">
    <w:pPr>
      <w:jc w:val="center"/>
    </w:pPr>
    <w:r>
      <w:rPr>
        <w:noProof/>
        <w:lang w:val="en-US"/>
      </w:rPr>
      <w:drawing>
        <wp:inline distT="0" distB="0" distL="0" distR="0">
          <wp:extent cx="2962275" cy="1219200"/>
          <wp:effectExtent l="0" t="0" r="9525" b="0"/>
          <wp:docPr id="51" name="Picture 5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0F77C812" w14:textId="0721870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108EC84D" w14:textId="37F373D8">
    <w:pPr>
      <w:pStyle w:val="JuHeader"/>
    </w:pPr>
    <w:r>
      <w:t>YAYLALI v. SERBIA</w:t>
    </w:r>
    <w:r>
      <w:rPr>
        <w:noProof/>
      </w:rPr>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2CDD088A" w14:textId="0DB42325">
    <w:pPr>
      <w:pStyle w:val="JuHeader"/>
    </w:pPr>
    <w:r>
      <w:t>YAYLALI v. SERBIA</w:t>
    </w:r>
    <w:r w:rsidRPr="00882CD5">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479C0" w:rsidRPr="007479C0" w:rsidP="004D0EC7" w14:paraId="57518115" w14:textId="68815CEF">
    <w:pPr>
      <w:pStyle w:val="JuHeader"/>
      <w:rPr>
        <w:lang w:val="sv-SE"/>
      </w:rPr>
    </w:pPr>
    <w:r w:rsidRPr="007479C0">
      <w:rPr>
        <w:lang w:val="sv-SE"/>
      </w:rPr>
      <w:t>YAYLALI v. SERBIA JUDGMENT – SEPARATE OPINION</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479C0" w:rsidRPr="007479C0" w:rsidP="007D3701" w14:paraId="65786A3E" w14:textId="2CB91678">
    <w:pPr>
      <w:pStyle w:val="JuHeader"/>
      <w:rPr>
        <w:lang w:val="sv-SE"/>
      </w:rPr>
    </w:pPr>
    <w:r w:rsidRPr="007479C0">
      <w:rPr>
        <w:lang w:val="sv-SE"/>
      </w:rPr>
      <w:t>YAYLALI v. SERBIA JUDGMENT – SEPARATE OPINION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7A13E81"/>
    <w:multiLevelType w:val="multilevel"/>
    <w:tmpl w:val="3886E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9">
    <w:nsid w:val="5BC25C67"/>
    <w:multiLevelType w:val="hybridMultilevel"/>
    <w:tmpl w:val="A1780BA8"/>
    <w:lvl w:ilvl="0">
      <w:start w:val="1"/>
      <w:numFmt w:val="lowerLetter"/>
      <w:lvlText w:val="(%1)"/>
      <w:lvlJc w:val="left"/>
      <w:pPr>
        <w:tabs>
          <w:tab w:val="num" w:pos="644"/>
        </w:tabs>
        <w:ind w:left="644" w:hanging="360"/>
      </w:pPr>
    </w:lvl>
    <w:lvl w:ilvl="1">
      <w:start w:val="1"/>
      <w:numFmt w:val="lowerLetter"/>
      <w:lvlText w:val="%2."/>
      <w:lvlJc w:val="left"/>
      <w:pPr>
        <w:tabs>
          <w:tab w:val="num" w:pos="1364"/>
        </w:tabs>
        <w:ind w:left="1364" w:hanging="360"/>
      </w:pPr>
    </w:lvl>
    <w:lvl w:ilvl="2">
      <w:start w:val="1"/>
      <w:numFmt w:val="lowerRoman"/>
      <w:lvlText w:val="%3."/>
      <w:lvlJc w:val="right"/>
      <w:pPr>
        <w:tabs>
          <w:tab w:val="num" w:pos="2084"/>
        </w:tabs>
        <w:ind w:left="2084" w:hanging="180"/>
      </w:pPr>
    </w:lvl>
    <w:lvl w:ilvl="3">
      <w:start w:val="1"/>
      <w:numFmt w:val="decimal"/>
      <w:lvlText w:val="%4."/>
      <w:lvlJc w:val="left"/>
      <w:pPr>
        <w:tabs>
          <w:tab w:val="num" w:pos="2804"/>
        </w:tabs>
        <w:ind w:left="2804" w:hanging="360"/>
      </w:pPr>
    </w:lvl>
    <w:lvl w:ilvl="4">
      <w:start w:val="1"/>
      <w:numFmt w:val="lowerLetter"/>
      <w:lvlText w:val="%5."/>
      <w:lvlJc w:val="left"/>
      <w:pPr>
        <w:tabs>
          <w:tab w:val="num" w:pos="3524"/>
        </w:tabs>
        <w:ind w:left="3524" w:hanging="360"/>
      </w:pPr>
    </w:lvl>
    <w:lvl w:ilvl="5">
      <w:start w:val="1"/>
      <w:numFmt w:val="lowerRoman"/>
      <w:lvlText w:val="%6."/>
      <w:lvlJc w:val="right"/>
      <w:pPr>
        <w:tabs>
          <w:tab w:val="num" w:pos="4244"/>
        </w:tabs>
        <w:ind w:left="4244" w:hanging="180"/>
      </w:pPr>
    </w:lvl>
    <w:lvl w:ilvl="6">
      <w:start w:val="1"/>
      <w:numFmt w:val="decimal"/>
      <w:lvlText w:val="%7."/>
      <w:lvlJc w:val="left"/>
      <w:pPr>
        <w:tabs>
          <w:tab w:val="num" w:pos="4964"/>
        </w:tabs>
        <w:ind w:left="4964" w:hanging="360"/>
      </w:pPr>
    </w:lvl>
    <w:lvl w:ilvl="7">
      <w:start w:val="1"/>
      <w:numFmt w:val="lowerLetter"/>
      <w:lvlText w:val="%8."/>
      <w:lvlJc w:val="left"/>
      <w:pPr>
        <w:tabs>
          <w:tab w:val="num" w:pos="5684"/>
        </w:tabs>
        <w:ind w:left="5684" w:hanging="360"/>
      </w:pPr>
    </w:lvl>
    <w:lvl w:ilvl="8">
      <w:start w:val="1"/>
      <w:numFmt w:val="lowerRoman"/>
      <w:lvlText w:val="%9."/>
      <w:lvlJc w:val="right"/>
      <w:pPr>
        <w:tabs>
          <w:tab w:val="num" w:pos="6404"/>
        </w:tabs>
        <w:ind w:left="6404" w:hanging="180"/>
      </w:pPr>
    </w:lvl>
  </w:abstractNum>
  <w:abstractNum w:abstractNumId="20">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1">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878196408">
    <w:abstractNumId w:val="15"/>
  </w:num>
  <w:num w:numId="2" w16cid:durableId="754978352">
    <w:abstractNumId w:val="13"/>
  </w:num>
  <w:num w:numId="3" w16cid:durableId="1794904661">
    <w:abstractNumId w:val="12"/>
  </w:num>
  <w:num w:numId="4" w16cid:durableId="196163834">
    <w:abstractNumId w:val="16"/>
  </w:num>
  <w:num w:numId="5" w16cid:durableId="1751272099">
    <w:abstractNumId w:val="14"/>
  </w:num>
  <w:num w:numId="6" w16cid:durableId="1642692146">
    <w:abstractNumId w:val="17"/>
  </w:num>
  <w:num w:numId="7" w16cid:durableId="434135136">
    <w:abstractNumId w:val="16"/>
  </w:num>
  <w:num w:numId="8" w16cid:durableId="578097284">
    <w:abstractNumId w:val="17"/>
  </w:num>
  <w:num w:numId="9" w16cid:durableId="1183782018">
    <w:abstractNumId w:val="10"/>
  </w:num>
  <w:num w:numId="10" w16cid:durableId="1201867154">
    <w:abstractNumId w:val="9"/>
  </w:num>
  <w:num w:numId="11" w16cid:durableId="468593734">
    <w:abstractNumId w:val="20"/>
  </w:num>
  <w:num w:numId="12" w16cid:durableId="1467626488">
    <w:abstractNumId w:val="7"/>
  </w:num>
  <w:num w:numId="13" w16cid:durableId="736516085">
    <w:abstractNumId w:val="6"/>
  </w:num>
  <w:num w:numId="14" w16cid:durableId="1900626135">
    <w:abstractNumId w:val="5"/>
  </w:num>
  <w:num w:numId="15" w16cid:durableId="180165164">
    <w:abstractNumId w:val="4"/>
  </w:num>
  <w:num w:numId="16" w16cid:durableId="287588751">
    <w:abstractNumId w:val="8"/>
  </w:num>
  <w:num w:numId="17" w16cid:durableId="1293171956">
    <w:abstractNumId w:val="3"/>
  </w:num>
  <w:num w:numId="18" w16cid:durableId="1010371988">
    <w:abstractNumId w:val="2"/>
  </w:num>
  <w:num w:numId="19" w16cid:durableId="2002387366">
    <w:abstractNumId w:val="1"/>
  </w:num>
  <w:num w:numId="20" w16cid:durableId="324631445">
    <w:abstractNumId w:val="0"/>
  </w:num>
  <w:num w:numId="21" w16cid:durableId="1237665400">
    <w:abstractNumId w:val="21"/>
  </w:num>
  <w:num w:numId="22" w16cid:durableId="1044792774">
    <w:abstractNumId w:val="18"/>
  </w:num>
  <w:num w:numId="23" w16cid:durableId="21051781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6477849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77751148">
    <w:abstractNumId w:val="11"/>
  </w:num>
  <w:num w:numId="26" w16cid:durableId="8026212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097546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517597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488793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153461">
    <w:abstractNumId w:val="1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4EC"/>
    <w:rsid w:val="000041F8"/>
    <w:rsid w:val="000042A8"/>
    <w:rsid w:val="00004308"/>
    <w:rsid w:val="00005BF0"/>
    <w:rsid w:val="0000617D"/>
    <w:rsid w:val="00007154"/>
    <w:rsid w:val="000103AE"/>
    <w:rsid w:val="00011D69"/>
    <w:rsid w:val="00012AD3"/>
    <w:rsid w:val="00015C2D"/>
    <w:rsid w:val="00015F00"/>
    <w:rsid w:val="00022C1D"/>
    <w:rsid w:val="0002592F"/>
    <w:rsid w:val="00031428"/>
    <w:rsid w:val="00034987"/>
    <w:rsid w:val="00035148"/>
    <w:rsid w:val="00041560"/>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0E9D"/>
    <w:rsid w:val="000D47AA"/>
    <w:rsid w:val="000D721F"/>
    <w:rsid w:val="000E0650"/>
    <w:rsid w:val="000E069B"/>
    <w:rsid w:val="000E0E82"/>
    <w:rsid w:val="000E1DC5"/>
    <w:rsid w:val="000E223F"/>
    <w:rsid w:val="000E46B8"/>
    <w:rsid w:val="000E7D45"/>
    <w:rsid w:val="000F52F4"/>
    <w:rsid w:val="000F7851"/>
    <w:rsid w:val="00101505"/>
    <w:rsid w:val="00104E23"/>
    <w:rsid w:val="00110DA8"/>
    <w:rsid w:val="00111B0C"/>
    <w:rsid w:val="00113F05"/>
    <w:rsid w:val="0011557E"/>
    <w:rsid w:val="00120D6C"/>
    <w:rsid w:val="001257EC"/>
    <w:rsid w:val="00133D33"/>
    <w:rsid w:val="00134B6A"/>
    <w:rsid w:val="00134D64"/>
    <w:rsid w:val="00135A30"/>
    <w:rsid w:val="0013612C"/>
    <w:rsid w:val="00137FF6"/>
    <w:rsid w:val="00141650"/>
    <w:rsid w:val="00144162"/>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10C7"/>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0F8D"/>
    <w:rsid w:val="00275123"/>
    <w:rsid w:val="00275C01"/>
    <w:rsid w:val="00281B7C"/>
    <w:rsid w:val="00282240"/>
    <w:rsid w:val="00282713"/>
    <w:rsid w:val="00282BD8"/>
    <w:rsid w:val="00287AD5"/>
    <w:rsid w:val="0029242E"/>
    <w:rsid w:val="002934D0"/>
    <w:rsid w:val="00293676"/>
    <w:rsid w:val="00293BD9"/>
    <w:rsid w:val="002948AD"/>
    <w:rsid w:val="002A01CC"/>
    <w:rsid w:val="002A2CCF"/>
    <w:rsid w:val="002A613A"/>
    <w:rsid w:val="002A61B1"/>
    <w:rsid w:val="002A663C"/>
    <w:rsid w:val="002B444B"/>
    <w:rsid w:val="002B5887"/>
    <w:rsid w:val="002B5B43"/>
    <w:rsid w:val="002B74EC"/>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14BE0"/>
    <w:rsid w:val="003201D8"/>
    <w:rsid w:val="00320F72"/>
    <w:rsid w:val="003210F3"/>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051B"/>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174A"/>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770"/>
    <w:rsid w:val="004D5DCC"/>
    <w:rsid w:val="004D7E45"/>
    <w:rsid w:val="004E55CB"/>
    <w:rsid w:val="004E7D79"/>
    <w:rsid w:val="004F10AF"/>
    <w:rsid w:val="004F11A4"/>
    <w:rsid w:val="004F2389"/>
    <w:rsid w:val="004F304D"/>
    <w:rsid w:val="004F4290"/>
    <w:rsid w:val="004F61BE"/>
    <w:rsid w:val="004F66B1"/>
    <w:rsid w:val="00502BB5"/>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1F69"/>
    <w:rsid w:val="0057271C"/>
    <w:rsid w:val="00572845"/>
    <w:rsid w:val="0058224E"/>
    <w:rsid w:val="005879A2"/>
    <w:rsid w:val="00592772"/>
    <w:rsid w:val="0059574A"/>
    <w:rsid w:val="0059663E"/>
    <w:rsid w:val="005A1B9B"/>
    <w:rsid w:val="005A2221"/>
    <w:rsid w:val="005A2E79"/>
    <w:rsid w:val="005A6751"/>
    <w:rsid w:val="005B092E"/>
    <w:rsid w:val="005B152C"/>
    <w:rsid w:val="005B1EE0"/>
    <w:rsid w:val="005B2B24"/>
    <w:rsid w:val="005B4425"/>
    <w:rsid w:val="005B4B94"/>
    <w:rsid w:val="005B7ABF"/>
    <w:rsid w:val="005C2C62"/>
    <w:rsid w:val="005C3EE8"/>
    <w:rsid w:val="005D2F2A"/>
    <w:rsid w:val="005D34F9"/>
    <w:rsid w:val="005D4190"/>
    <w:rsid w:val="005D60F5"/>
    <w:rsid w:val="005D67A3"/>
    <w:rsid w:val="005E2988"/>
    <w:rsid w:val="005E3085"/>
    <w:rsid w:val="005F0EB3"/>
    <w:rsid w:val="005F51E1"/>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76CE3"/>
    <w:rsid w:val="00682BF2"/>
    <w:rsid w:val="0068573E"/>
    <w:rsid w:val="006859CE"/>
    <w:rsid w:val="00691270"/>
    <w:rsid w:val="00694BA8"/>
    <w:rsid w:val="006A037C"/>
    <w:rsid w:val="006A0C84"/>
    <w:rsid w:val="006A36F4"/>
    <w:rsid w:val="006A3D71"/>
    <w:rsid w:val="006A406F"/>
    <w:rsid w:val="006A4E97"/>
    <w:rsid w:val="006A56AD"/>
    <w:rsid w:val="006A5D3A"/>
    <w:rsid w:val="006B16EE"/>
    <w:rsid w:val="006B1942"/>
    <w:rsid w:val="006C23D4"/>
    <w:rsid w:val="006C27F8"/>
    <w:rsid w:val="006C7BB0"/>
    <w:rsid w:val="006D3237"/>
    <w:rsid w:val="006E2E37"/>
    <w:rsid w:val="006E3CF1"/>
    <w:rsid w:val="006E68A3"/>
    <w:rsid w:val="006E7E80"/>
    <w:rsid w:val="006F095C"/>
    <w:rsid w:val="006F1C2D"/>
    <w:rsid w:val="006F48CA"/>
    <w:rsid w:val="006F64DD"/>
    <w:rsid w:val="006F712D"/>
    <w:rsid w:val="00715127"/>
    <w:rsid w:val="00715E8E"/>
    <w:rsid w:val="00723580"/>
    <w:rsid w:val="00723755"/>
    <w:rsid w:val="0073136C"/>
    <w:rsid w:val="00731F0F"/>
    <w:rsid w:val="007323E6"/>
    <w:rsid w:val="00732424"/>
    <w:rsid w:val="00733250"/>
    <w:rsid w:val="00741404"/>
    <w:rsid w:val="007449E5"/>
    <w:rsid w:val="0074750E"/>
    <w:rsid w:val="007479C0"/>
    <w:rsid w:val="00747FF0"/>
    <w:rsid w:val="00751066"/>
    <w:rsid w:val="007517E1"/>
    <w:rsid w:val="0075566E"/>
    <w:rsid w:val="00762DD7"/>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97D62"/>
    <w:rsid w:val="007A716F"/>
    <w:rsid w:val="007A730E"/>
    <w:rsid w:val="007B270A"/>
    <w:rsid w:val="007B4142"/>
    <w:rsid w:val="007B4182"/>
    <w:rsid w:val="007C0695"/>
    <w:rsid w:val="007C419A"/>
    <w:rsid w:val="007C4CC8"/>
    <w:rsid w:val="007C5426"/>
    <w:rsid w:val="007C5798"/>
    <w:rsid w:val="007D1ECD"/>
    <w:rsid w:val="007D25A8"/>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27CA"/>
    <w:rsid w:val="00834220"/>
    <w:rsid w:val="00845723"/>
    <w:rsid w:val="008519E7"/>
    <w:rsid w:val="00851EF9"/>
    <w:rsid w:val="008577FD"/>
    <w:rsid w:val="00860007"/>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034C"/>
    <w:rsid w:val="009630C7"/>
    <w:rsid w:val="00972B55"/>
    <w:rsid w:val="00973494"/>
    <w:rsid w:val="009743B7"/>
    <w:rsid w:val="0098228B"/>
    <w:rsid w:val="009828DA"/>
    <w:rsid w:val="0098410D"/>
    <w:rsid w:val="00985BAB"/>
    <w:rsid w:val="00986B3C"/>
    <w:rsid w:val="00992CD0"/>
    <w:rsid w:val="009A115C"/>
    <w:rsid w:val="009A7FC1"/>
    <w:rsid w:val="009B1606"/>
    <w:rsid w:val="009B1B5F"/>
    <w:rsid w:val="009B2150"/>
    <w:rsid w:val="009B2625"/>
    <w:rsid w:val="009B6673"/>
    <w:rsid w:val="009C191B"/>
    <w:rsid w:val="009C2BD6"/>
    <w:rsid w:val="009D3A30"/>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597"/>
    <w:rsid w:val="00A87C10"/>
    <w:rsid w:val="00A90BCD"/>
    <w:rsid w:val="00A92625"/>
    <w:rsid w:val="00A94C20"/>
    <w:rsid w:val="00A95D81"/>
    <w:rsid w:val="00AA1B09"/>
    <w:rsid w:val="00AA227F"/>
    <w:rsid w:val="00AA3BC7"/>
    <w:rsid w:val="00AA754A"/>
    <w:rsid w:val="00AB099E"/>
    <w:rsid w:val="00AB4328"/>
    <w:rsid w:val="00AB4F2B"/>
    <w:rsid w:val="00AC38DE"/>
    <w:rsid w:val="00AC4562"/>
    <w:rsid w:val="00AC4CD4"/>
    <w:rsid w:val="00AE0A2E"/>
    <w:rsid w:val="00AE354C"/>
    <w:rsid w:val="00AE72F7"/>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013A"/>
    <w:rsid w:val="00B4421F"/>
    <w:rsid w:val="00B44E56"/>
    <w:rsid w:val="00B45917"/>
    <w:rsid w:val="00B46543"/>
    <w:rsid w:val="00B47D33"/>
    <w:rsid w:val="00B52BE0"/>
    <w:rsid w:val="00B54133"/>
    <w:rsid w:val="00B54962"/>
    <w:rsid w:val="00B55A8D"/>
    <w:rsid w:val="00B56566"/>
    <w:rsid w:val="00B6466C"/>
    <w:rsid w:val="00B701ED"/>
    <w:rsid w:val="00B748F7"/>
    <w:rsid w:val="00B8086C"/>
    <w:rsid w:val="00B80953"/>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D405B"/>
    <w:rsid w:val="00BD7CC9"/>
    <w:rsid w:val="00BE14E3"/>
    <w:rsid w:val="00BE2669"/>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5D22"/>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2DD2"/>
    <w:rsid w:val="00C939FE"/>
    <w:rsid w:val="00CA4BDA"/>
    <w:rsid w:val="00CB13E3"/>
    <w:rsid w:val="00CB1F66"/>
    <w:rsid w:val="00CB21F2"/>
    <w:rsid w:val="00CB232C"/>
    <w:rsid w:val="00CB2951"/>
    <w:rsid w:val="00CB4277"/>
    <w:rsid w:val="00CB4DF1"/>
    <w:rsid w:val="00CC5067"/>
    <w:rsid w:val="00CD11D3"/>
    <w:rsid w:val="00CD282B"/>
    <w:rsid w:val="00CD447B"/>
    <w:rsid w:val="00CD4C35"/>
    <w:rsid w:val="00CD7369"/>
    <w:rsid w:val="00CE0B0E"/>
    <w:rsid w:val="00CE3831"/>
    <w:rsid w:val="00CF0A3B"/>
    <w:rsid w:val="00CF2397"/>
    <w:rsid w:val="00CF65C3"/>
    <w:rsid w:val="00D00ABB"/>
    <w:rsid w:val="00D02EEC"/>
    <w:rsid w:val="00D03551"/>
    <w:rsid w:val="00D04090"/>
    <w:rsid w:val="00D04315"/>
    <w:rsid w:val="00D056BE"/>
    <w:rsid w:val="00D06A63"/>
    <w:rsid w:val="00D07E0E"/>
    <w:rsid w:val="00D10CD6"/>
    <w:rsid w:val="00D11478"/>
    <w:rsid w:val="00D153A0"/>
    <w:rsid w:val="00D15ED0"/>
    <w:rsid w:val="00D164BF"/>
    <w:rsid w:val="00D21B3E"/>
    <w:rsid w:val="00D21FED"/>
    <w:rsid w:val="00D23048"/>
    <w:rsid w:val="00D24251"/>
    <w:rsid w:val="00D26E72"/>
    <w:rsid w:val="00D343E2"/>
    <w:rsid w:val="00D361A2"/>
    <w:rsid w:val="00D37272"/>
    <w:rsid w:val="00D445AE"/>
    <w:rsid w:val="00D44C2E"/>
    <w:rsid w:val="00D45414"/>
    <w:rsid w:val="00D50A0A"/>
    <w:rsid w:val="00D53548"/>
    <w:rsid w:val="00D5576B"/>
    <w:rsid w:val="00D566BD"/>
    <w:rsid w:val="00D57A4D"/>
    <w:rsid w:val="00D6032C"/>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5DD5"/>
    <w:rsid w:val="00E07DA1"/>
    <w:rsid w:val="00E123CB"/>
    <w:rsid w:val="00E13B09"/>
    <w:rsid w:val="00E20E13"/>
    <w:rsid w:val="00E21DBC"/>
    <w:rsid w:val="00E23197"/>
    <w:rsid w:val="00E275D7"/>
    <w:rsid w:val="00E27DBE"/>
    <w:rsid w:val="00E32AB1"/>
    <w:rsid w:val="00E34858"/>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49F7"/>
    <w:rsid w:val="00E90302"/>
    <w:rsid w:val="00E91D05"/>
    <w:rsid w:val="00E9262D"/>
    <w:rsid w:val="00E94245"/>
    <w:rsid w:val="00E95C1E"/>
    <w:rsid w:val="00E97396"/>
    <w:rsid w:val="00EA185E"/>
    <w:rsid w:val="00EA592A"/>
    <w:rsid w:val="00EB14E4"/>
    <w:rsid w:val="00EB2FFB"/>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1CFF"/>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41218"/>
    <w:rsid w:val="00F56A6F"/>
    <w:rsid w:val="00F5709C"/>
    <w:rsid w:val="00F60B85"/>
    <w:rsid w:val="00F64EF1"/>
    <w:rsid w:val="00F72498"/>
    <w:rsid w:val="00F72B14"/>
    <w:rsid w:val="00F7349B"/>
    <w:rsid w:val="00F8765F"/>
    <w:rsid w:val="00F90767"/>
    <w:rsid w:val="00F9263C"/>
    <w:rsid w:val="00FA149A"/>
    <w:rsid w:val="00FA1637"/>
    <w:rsid w:val="00FA685B"/>
    <w:rsid w:val="00FB0C01"/>
    <w:rsid w:val="00FB5934"/>
    <w:rsid w:val="00FB59C5"/>
    <w:rsid w:val="00FB76F9"/>
    <w:rsid w:val="00FC08DA"/>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14501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2B5B43"/>
    <w:rPr>
      <w:sz w:val="24"/>
      <w:szCs w:val="24"/>
      <w:lang w:val="en-GB"/>
    </w:rPr>
  </w:style>
  <w:style w:type="paragraph" w:styleId="Heading1">
    <w:name w:val="heading 1"/>
    <w:basedOn w:val="Normal"/>
    <w:next w:val="Normal"/>
    <w:link w:val="Heading1Char"/>
    <w:uiPriority w:val="98"/>
    <w:rsid w:val="002B5B4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B5B4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B5B43"/>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B5B43"/>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B5B43"/>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B5B43"/>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B5B43"/>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B5B4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B5B4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B5B43"/>
    <w:rPr>
      <w:rFonts w:ascii="Tahoma" w:hAnsi="Tahoma" w:cs="Tahoma"/>
      <w:sz w:val="16"/>
      <w:szCs w:val="16"/>
    </w:rPr>
  </w:style>
  <w:style w:type="character" w:customStyle="1" w:styleId="BalloonTextChar">
    <w:name w:val="Balloon Text Char"/>
    <w:basedOn w:val="DefaultParagraphFont"/>
    <w:link w:val="BalloonText"/>
    <w:uiPriority w:val="98"/>
    <w:semiHidden/>
    <w:rsid w:val="002B5B43"/>
    <w:rPr>
      <w:rFonts w:ascii="Tahoma" w:hAnsi="Tahoma" w:cs="Tahoma"/>
      <w:sz w:val="16"/>
      <w:szCs w:val="16"/>
      <w:lang w:val="en-GB"/>
    </w:rPr>
  </w:style>
  <w:style w:type="character" w:styleId="BookTitle">
    <w:name w:val="Book Title"/>
    <w:uiPriority w:val="98"/>
    <w:qFormat/>
    <w:rsid w:val="002B5B43"/>
    <w:rPr>
      <w:i/>
      <w:iCs/>
      <w:smallCaps/>
      <w:spacing w:val="5"/>
    </w:rPr>
  </w:style>
  <w:style w:type="paragraph" w:customStyle="1" w:styleId="JuHeader">
    <w:name w:val="Ju_Header"/>
    <w:aliases w:val="_Header"/>
    <w:basedOn w:val="Header0"/>
    <w:uiPriority w:val="29"/>
    <w:qFormat/>
    <w:rsid w:val="002B5B43"/>
    <w:pPr>
      <w:tabs>
        <w:tab w:val="clear" w:pos="4536"/>
        <w:tab w:val="clear" w:pos="9072"/>
      </w:tabs>
      <w:jc w:val="center"/>
    </w:pPr>
    <w:rPr>
      <w:sz w:val="18"/>
    </w:rPr>
  </w:style>
  <w:style w:type="paragraph" w:customStyle="1" w:styleId="NormalJustified">
    <w:name w:val="Normal_Justified"/>
    <w:basedOn w:val="Normal"/>
    <w:semiHidden/>
    <w:rsid w:val="002B5B43"/>
    <w:pPr>
      <w:jc w:val="both"/>
    </w:pPr>
  </w:style>
  <w:style w:type="character" w:styleId="Strong">
    <w:name w:val="Strong"/>
    <w:uiPriority w:val="98"/>
    <w:qFormat/>
    <w:rsid w:val="002B5B43"/>
    <w:rPr>
      <w:b/>
      <w:bCs/>
    </w:rPr>
  </w:style>
  <w:style w:type="paragraph" w:styleId="NoSpacing">
    <w:name w:val="No Spacing"/>
    <w:basedOn w:val="Normal"/>
    <w:link w:val="NoSpacingChar"/>
    <w:uiPriority w:val="98"/>
    <w:qFormat/>
    <w:rsid w:val="002B5B43"/>
  </w:style>
  <w:style w:type="character" w:customStyle="1" w:styleId="NoSpacingChar">
    <w:name w:val="No Spacing Char"/>
    <w:basedOn w:val="DefaultParagraphFont"/>
    <w:link w:val="NoSpacing"/>
    <w:uiPriority w:val="98"/>
    <w:rsid w:val="002B5B43"/>
    <w:rPr>
      <w:sz w:val="24"/>
      <w:szCs w:val="24"/>
      <w:lang w:val="en-GB"/>
    </w:rPr>
  </w:style>
  <w:style w:type="paragraph" w:customStyle="1" w:styleId="JuQuot">
    <w:name w:val="Ju_Quot"/>
    <w:aliases w:val="_Quote,ECHR_Para_Quote"/>
    <w:basedOn w:val="NormalJustified"/>
    <w:link w:val="JuQuotChar"/>
    <w:uiPriority w:val="14"/>
    <w:qFormat/>
    <w:rsid w:val="002B5B43"/>
    <w:pPr>
      <w:spacing w:before="120" w:after="120"/>
      <w:ind w:left="425" w:firstLine="142"/>
    </w:pPr>
    <w:rPr>
      <w:sz w:val="20"/>
    </w:rPr>
  </w:style>
  <w:style w:type="paragraph" w:customStyle="1" w:styleId="DummyStyle">
    <w:name w:val="Dummy_Style"/>
    <w:aliases w:val="_Dummy"/>
    <w:basedOn w:val="Normal"/>
    <w:semiHidden/>
    <w:qFormat/>
    <w:rsid w:val="002B5B43"/>
    <w:rPr>
      <w:color w:val="00B050"/>
      <w:sz w:val="22"/>
    </w:rPr>
  </w:style>
  <w:style w:type="paragraph" w:customStyle="1" w:styleId="JuList">
    <w:name w:val="Ju_List"/>
    <w:aliases w:val="_List_1"/>
    <w:basedOn w:val="NormalJustified"/>
    <w:uiPriority w:val="23"/>
    <w:qFormat/>
    <w:rsid w:val="002B5B43"/>
    <w:pPr>
      <w:numPr>
        <w:numId w:val="10"/>
      </w:numPr>
      <w:spacing w:before="280" w:after="60"/>
    </w:pPr>
  </w:style>
  <w:style w:type="paragraph" w:customStyle="1" w:styleId="JuLista">
    <w:name w:val="Ju_List_a"/>
    <w:aliases w:val="_List_2"/>
    <w:basedOn w:val="NormalJustified"/>
    <w:uiPriority w:val="23"/>
    <w:rsid w:val="002B5B43"/>
    <w:pPr>
      <w:numPr>
        <w:ilvl w:val="1"/>
        <w:numId w:val="10"/>
      </w:numPr>
    </w:pPr>
  </w:style>
  <w:style w:type="paragraph" w:customStyle="1" w:styleId="JuListi">
    <w:name w:val="Ju_List_i"/>
    <w:aliases w:val="_List_3"/>
    <w:basedOn w:val="NormalJustified"/>
    <w:uiPriority w:val="23"/>
    <w:rsid w:val="002B5B43"/>
    <w:pPr>
      <w:numPr>
        <w:ilvl w:val="2"/>
        <w:numId w:val="10"/>
      </w:numPr>
    </w:pPr>
  </w:style>
  <w:style w:type="paragraph" w:customStyle="1" w:styleId="JuHArticle">
    <w:name w:val="Ju_H_Article"/>
    <w:aliases w:val="_Title_Quote,ECHR_Title_Quote"/>
    <w:basedOn w:val="Normal"/>
    <w:next w:val="JuQuot"/>
    <w:uiPriority w:val="19"/>
    <w:qFormat/>
    <w:rsid w:val="002B5B43"/>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B5B43"/>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B5B43"/>
    <w:pPr>
      <w:keepNext/>
      <w:keepLines/>
      <w:tabs>
        <w:tab w:val="right" w:pos="7938"/>
      </w:tabs>
      <w:ind w:firstLine="0"/>
      <w:jc w:val="center"/>
    </w:pPr>
    <w:rPr>
      <w:i/>
    </w:rPr>
  </w:style>
  <w:style w:type="paragraph" w:customStyle="1" w:styleId="JuHHead">
    <w:name w:val="Ju_H_Head"/>
    <w:aliases w:val="_Head_1,ECHR_Heading_1"/>
    <w:basedOn w:val="Heading1"/>
    <w:next w:val="JuPara"/>
    <w:uiPriority w:val="17"/>
    <w:qFormat/>
    <w:rsid w:val="002B5B43"/>
    <w:pPr>
      <w:keepNext/>
      <w:keepLines/>
      <w:numPr>
        <w:numId w:val="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B5B43"/>
    <w:pPr>
      <w:numPr>
        <w:numId w:val="4"/>
      </w:numPr>
    </w:pPr>
  </w:style>
  <w:style w:type="paragraph" w:customStyle="1" w:styleId="JuSigned">
    <w:name w:val="Ju_Signed"/>
    <w:aliases w:val="_Signature"/>
    <w:basedOn w:val="Normal"/>
    <w:next w:val="JuPara"/>
    <w:uiPriority w:val="31"/>
    <w:qFormat/>
    <w:rsid w:val="002B5B43"/>
    <w:pPr>
      <w:tabs>
        <w:tab w:val="center" w:pos="1418"/>
        <w:tab w:val="center" w:pos="5954"/>
      </w:tabs>
      <w:spacing w:before="720"/>
    </w:pPr>
  </w:style>
  <w:style w:type="paragraph" w:styleId="Title">
    <w:name w:val="Title"/>
    <w:basedOn w:val="Normal"/>
    <w:next w:val="Normal"/>
    <w:link w:val="TitleChar"/>
    <w:uiPriority w:val="98"/>
    <w:qFormat/>
    <w:rsid w:val="002B5B4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2B5B43"/>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B5B43"/>
    <w:pPr>
      <w:numPr>
        <w:numId w:val="5"/>
      </w:numPr>
    </w:pPr>
  </w:style>
  <w:style w:type="numbering" w:customStyle="1" w:styleId="ECHRA1StyleNumberedList">
    <w:name w:val="ECHR_A1_Style_Numbered_List"/>
    <w:basedOn w:val="NoList"/>
    <w:rsid w:val="002B5B43"/>
    <w:pPr>
      <w:numPr>
        <w:numId w:val="6"/>
      </w:numPr>
    </w:pPr>
  </w:style>
  <w:style w:type="table" w:customStyle="1" w:styleId="ECHRTable2019">
    <w:name w:val="ECHR_Table_2019"/>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2B5B43"/>
    <w:pPr>
      <w:tabs>
        <w:tab w:val="left" w:pos="907"/>
        <w:tab w:val="left" w:pos="1701"/>
        <w:tab w:val="right" w:pos="7371"/>
      </w:tabs>
      <w:spacing w:before="240"/>
      <w:ind w:left="397" w:hanging="397"/>
    </w:pPr>
    <w:rPr>
      <w:lang w:bidi="en-US"/>
    </w:rPr>
  </w:style>
  <w:style w:type="paragraph" w:customStyle="1" w:styleId="JuHIRoman">
    <w:name w:val="Ju_H_I_Roman"/>
    <w:aliases w:val="_Head_2,ECHR_Heading_2"/>
    <w:basedOn w:val="Heading2"/>
    <w:next w:val="JuPara"/>
    <w:qFormat/>
    <w:rsid w:val="002B5B43"/>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ECHR_Heading_3"/>
    <w:basedOn w:val="Heading3"/>
    <w:next w:val="JuPara"/>
    <w:qFormat/>
    <w:rsid w:val="002B5B43"/>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ECHR_Heading_4"/>
    <w:basedOn w:val="Heading4"/>
    <w:next w:val="JuPara"/>
    <w:uiPriority w:val="17"/>
    <w:qFormat/>
    <w:rsid w:val="002B5B43"/>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2B5B43"/>
    <w:pPr>
      <w:tabs>
        <w:tab w:val="center" w:pos="4536"/>
        <w:tab w:val="right" w:pos="9072"/>
      </w:tabs>
    </w:pPr>
  </w:style>
  <w:style w:type="character" w:customStyle="1" w:styleId="HeaderChar">
    <w:name w:val="Header Char"/>
    <w:basedOn w:val="DefaultParagraphFont"/>
    <w:link w:val="Header0"/>
    <w:uiPriority w:val="98"/>
    <w:semiHidden/>
    <w:rsid w:val="002B5B43"/>
    <w:rPr>
      <w:sz w:val="24"/>
      <w:szCs w:val="24"/>
      <w:lang w:val="en-GB"/>
    </w:rPr>
  </w:style>
  <w:style w:type="character" w:customStyle="1" w:styleId="Heading1Char">
    <w:name w:val="Heading 1 Char"/>
    <w:basedOn w:val="DefaultParagraphFont"/>
    <w:link w:val="Heading1"/>
    <w:uiPriority w:val="98"/>
    <w:rsid w:val="002B5B43"/>
    <w:rPr>
      <w:rFonts w:asciiTheme="majorHAnsi" w:eastAsiaTheme="majorEastAsia" w:hAnsiTheme="majorHAnsi" w:cstheme="majorBidi"/>
      <w:b/>
      <w:bCs/>
      <w:color w:val="333333"/>
      <w:sz w:val="28"/>
      <w:szCs w:val="28"/>
      <w:lang w:val="en-GB"/>
    </w:rPr>
  </w:style>
  <w:style w:type="paragraph" w:customStyle="1" w:styleId="JuHa0">
    <w:name w:val="Ju_H_a"/>
    <w:aliases w:val="_Head_5,ECHR_Heading_5"/>
    <w:basedOn w:val="Heading5"/>
    <w:next w:val="JuPara"/>
    <w:uiPriority w:val="17"/>
    <w:qFormat/>
    <w:rsid w:val="002B5B43"/>
    <w:pPr>
      <w:keepNext/>
      <w:keepLines/>
      <w:numPr>
        <w:ilvl w:val="4"/>
        <w:numId w:val="9"/>
      </w:numPr>
      <w:spacing w:before="100" w:beforeAutospacing="1" w:after="120"/>
      <w:jc w:val="both"/>
    </w:pPr>
    <w:rPr>
      <w:color w:val="auto"/>
      <w:sz w:val="20"/>
    </w:rPr>
  </w:style>
  <w:style w:type="paragraph" w:customStyle="1" w:styleId="JuHi">
    <w:name w:val="Ju_H_i"/>
    <w:aliases w:val="_Head_6,ECHR_Heading_6"/>
    <w:basedOn w:val="Heading6"/>
    <w:next w:val="JuPara"/>
    <w:uiPriority w:val="17"/>
    <w:qFormat/>
    <w:rsid w:val="002B5B43"/>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B5B43"/>
    <w:rPr>
      <w:rFonts w:asciiTheme="majorHAnsi" w:eastAsiaTheme="majorEastAsia" w:hAnsiTheme="majorHAnsi" w:cstheme="majorBidi"/>
      <w:b/>
      <w:bCs/>
      <w:color w:val="4D4D4D"/>
      <w:sz w:val="26"/>
      <w:szCs w:val="26"/>
      <w:lang w:val="en-GB"/>
    </w:rPr>
  </w:style>
  <w:style w:type="paragraph" w:customStyle="1" w:styleId="JuHalpha">
    <w:name w:val="Ju_H_alpha"/>
    <w:aliases w:val="_Head_7,ECHR_Heading_7"/>
    <w:basedOn w:val="Heading7"/>
    <w:next w:val="JuPara"/>
    <w:uiPriority w:val="17"/>
    <w:qFormat/>
    <w:rsid w:val="002B5B43"/>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ECHR_Heading_8"/>
    <w:basedOn w:val="Heading8"/>
    <w:next w:val="JuPara"/>
    <w:uiPriority w:val="17"/>
    <w:qFormat/>
    <w:rsid w:val="002B5B43"/>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2B5B43"/>
    <w:rPr>
      <w:rFonts w:asciiTheme="majorHAnsi" w:eastAsiaTheme="majorEastAsia" w:hAnsiTheme="majorHAnsi" w:cstheme="majorBidi"/>
      <w:b/>
      <w:bCs/>
      <w:color w:val="5F5F5F"/>
      <w:lang w:val="en-GB"/>
    </w:rPr>
  </w:style>
  <w:style w:type="paragraph" w:customStyle="1" w:styleId="JuParaLast">
    <w:name w:val="Ju_Para_Last"/>
    <w:aliases w:val="_Para_Spaced,ECHR_Para_Spaced"/>
    <w:basedOn w:val="NormalJustified"/>
    <w:uiPriority w:val="5"/>
    <w:qFormat/>
    <w:rsid w:val="002B5B43"/>
    <w:pPr>
      <w:keepNext/>
      <w:keepLines/>
      <w:spacing w:before="240" w:after="240"/>
      <w:ind w:firstLine="284"/>
    </w:pPr>
  </w:style>
  <w:style w:type="paragraph" w:customStyle="1" w:styleId="JuJudges">
    <w:name w:val="Ju_Judges"/>
    <w:aliases w:val="_Judges"/>
    <w:basedOn w:val="Normal"/>
    <w:uiPriority w:val="32"/>
    <w:qFormat/>
    <w:rsid w:val="002B5B43"/>
    <w:pPr>
      <w:tabs>
        <w:tab w:val="left" w:pos="567"/>
        <w:tab w:val="left" w:pos="1134"/>
      </w:tabs>
    </w:pPr>
  </w:style>
  <w:style w:type="character" w:customStyle="1" w:styleId="Heading4Char">
    <w:name w:val="Heading 4 Char"/>
    <w:basedOn w:val="DefaultParagraphFont"/>
    <w:link w:val="Heading4"/>
    <w:uiPriority w:val="98"/>
    <w:semiHidden/>
    <w:rsid w:val="002B5B43"/>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B5B43"/>
    <w:pPr>
      <w:tabs>
        <w:tab w:val="center" w:pos="6407"/>
      </w:tabs>
      <w:spacing w:before="720"/>
      <w:jc w:val="right"/>
    </w:pPr>
  </w:style>
  <w:style w:type="character" w:customStyle="1" w:styleId="Heading5Char">
    <w:name w:val="Heading 5 Char"/>
    <w:basedOn w:val="DefaultParagraphFont"/>
    <w:link w:val="Heading5"/>
    <w:uiPriority w:val="98"/>
    <w:semiHidden/>
    <w:rsid w:val="002B5B43"/>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B5B43"/>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2B5B43"/>
    <w:rPr>
      <w:caps w:val="0"/>
      <w:smallCaps/>
    </w:rPr>
  </w:style>
  <w:style w:type="character" w:styleId="SubtleEmphasis">
    <w:name w:val="Subtle Emphasis"/>
    <w:uiPriority w:val="98"/>
    <w:qFormat/>
    <w:rsid w:val="002B5B43"/>
    <w:rPr>
      <w:i/>
      <w:iCs/>
    </w:rPr>
  </w:style>
  <w:style w:type="table" w:customStyle="1" w:styleId="ECHRTable">
    <w:name w:val="ECHR_Table"/>
    <w:basedOn w:val="TableNormal"/>
    <w:rsid w:val="002B5B4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B5B43"/>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qFormat/>
    <w:rsid w:val="002B5B43"/>
    <w:rPr>
      <w:b/>
      <w:bCs/>
      <w:i/>
      <w:iCs/>
      <w:spacing w:val="10"/>
      <w:bdr w:val="none" w:sz="0" w:space="0" w:color="auto"/>
      <w:shd w:val="clear" w:color="auto" w:fill="auto"/>
    </w:rPr>
  </w:style>
  <w:style w:type="paragraph" w:styleId="Footer1">
    <w:name w:val="footer"/>
    <w:basedOn w:val="Normal"/>
    <w:link w:val="FooterChar"/>
    <w:uiPriority w:val="98"/>
    <w:semiHidden/>
    <w:rsid w:val="002B5B43"/>
    <w:pPr>
      <w:tabs>
        <w:tab w:val="center" w:pos="3686"/>
        <w:tab w:val="right" w:pos="7371"/>
      </w:tabs>
    </w:pPr>
  </w:style>
  <w:style w:type="character" w:customStyle="1" w:styleId="FooterChar">
    <w:name w:val="Footer Char"/>
    <w:basedOn w:val="DefaultParagraphFont"/>
    <w:link w:val="Footer1"/>
    <w:uiPriority w:val="98"/>
    <w:semiHidden/>
    <w:rsid w:val="002B5B43"/>
    <w:rPr>
      <w:sz w:val="24"/>
      <w:szCs w:val="24"/>
      <w:lang w:val="en-GB"/>
    </w:rPr>
  </w:style>
  <w:style w:type="character" w:styleId="FootnoteReference">
    <w:name w:val="footnote reference"/>
    <w:basedOn w:val="DefaultParagraphFont"/>
    <w:uiPriority w:val="98"/>
    <w:semiHidden/>
    <w:rsid w:val="002B5B43"/>
    <w:rPr>
      <w:vertAlign w:val="superscript"/>
    </w:rPr>
  </w:style>
  <w:style w:type="paragraph" w:styleId="FootnoteText">
    <w:name w:val="footnote text"/>
    <w:basedOn w:val="NormalJustified"/>
    <w:link w:val="FootnoteTextChar"/>
    <w:uiPriority w:val="98"/>
    <w:semiHidden/>
    <w:rsid w:val="002B5B43"/>
    <w:rPr>
      <w:sz w:val="20"/>
      <w:szCs w:val="20"/>
    </w:rPr>
  </w:style>
  <w:style w:type="character" w:customStyle="1" w:styleId="FootnoteTextChar">
    <w:name w:val="Footnote Text Char"/>
    <w:basedOn w:val="DefaultParagraphFont"/>
    <w:link w:val="FootnoteText"/>
    <w:uiPriority w:val="98"/>
    <w:semiHidden/>
    <w:rsid w:val="002B5B43"/>
    <w:rPr>
      <w:sz w:val="20"/>
      <w:szCs w:val="20"/>
      <w:lang w:val="en-GB"/>
    </w:rPr>
  </w:style>
  <w:style w:type="character" w:customStyle="1" w:styleId="Heading6Char">
    <w:name w:val="Heading 6 Char"/>
    <w:basedOn w:val="DefaultParagraphFont"/>
    <w:link w:val="Heading6"/>
    <w:uiPriority w:val="98"/>
    <w:semiHidden/>
    <w:rsid w:val="002B5B43"/>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B5B43"/>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B5B43"/>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B5B43"/>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rsid w:val="002B5B43"/>
    <w:rPr>
      <w:color w:val="0072BC" w:themeColor="hyperlink"/>
      <w:u w:val="single"/>
    </w:rPr>
  </w:style>
  <w:style w:type="character" w:styleId="IntenseEmphasis">
    <w:name w:val="Intense Emphasis"/>
    <w:uiPriority w:val="98"/>
    <w:qFormat/>
    <w:rsid w:val="002B5B43"/>
    <w:rPr>
      <w:b/>
      <w:bCs/>
    </w:rPr>
  </w:style>
  <w:style w:type="paragraph" w:styleId="IntenseQuote">
    <w:name w:val="Intense Quote"/>
    <w:basedOn w:val="Normal"/>
    <w:next w:val="Normal"/>
    <w:link w:val="IntenseQuoteChar"/>
    <w:uiPriority w:val="98"/>
    <w:qFormat/>
    <w:rsid w:val="002B5B43"/>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2B5B43"/>
    <w:rPr>
      <w:b/>
      <w:bCs/>
      <w:i/>
      <w:iCs/>
      <w:sz w:val="24"/>
      <w:szCs w:val="24"/>
      <w:lang w:val="en-GB" w:bidi="en-US"/>
    </w:rPr>
  </w:style>
  <w:style w:type="character" w:styleId="IntenseReference">
    <w:name w:val="Intense Reference"/>
    <w:uiPriority w:val="98"/>
    <w:qFormat/>
    <w:rsid w:val="002B5B43"/>
    <w:rPr>
      <w:smallCaps/>
      <w:spacing w:val="5"/>
      <w:u w:val="single"/>
    </w:rPr>
  </w:style>
  <w:style w:type="paragraph" w:styleId="ListParagraph">
    <w:name w:val="List Paragraph"/>
    <w:basedOn w:val="Normal"/>
    <w:uiPriority w:val="98"/>
    <w:qFormat/>
    <w:rsid w:val="002B5B43"/>
    <w:pPr>
      <w:ind w:left="720"/>
      <w:contextualSpacing/>
    </w:pPr>
  </w:style>
  <w:style w:type="table" w:customStyle="1" w:styleId="LtrTableAddress">
    <w:name w:val="Ltr_Table_Address"/>
    <w:aliases w:val="ECHR_Ltr_Table_Address"/>
    <w:basedOn w:val="TableNormal"/>
    <w:uiPriority w:val="99"/>
    <w:rsid w:val="002B5B43"/>
    <w:rPr>
      <w:sz w:val="24"/>
      <w:szCs w:val="24"/>
    </w:rPr>
    <w:tblPr>
      <w:tblInd w:w="5103" w:type="dxa"/>
    </w:tblPr>
  </w:style>
  <w:style w:type="paragraph" w:styleId="Quote0">
    <w:name w:val="Quote"/>
    <w:basedOn w:val="Normal"/>
    <w:next w:val="Normal"/>
    <w:link w:val="QuoteChar"/>
    <w:uiPriority w:val="98"/>
    <w:qFormat/>
    <w:rsid w:val="002B5B43"/>
    <w:pPr>
      <w:spacing w:before="200"/>
      <w:ind w:left="360" w:right="360"/>
    </w:pPr>
    <w:rPr>
      <w:i/>
      <w:iCs/>
      <w:lang w:bidi="en-US"/>
    </w:rPr>
  </w:style>
  <w:style w:type="character" w:customStyle="1" w:styleId="QuoteChar">
    <w:name w:val="Quote Char"/>
    <w:basedOn w:val="DefaultParagraphFont"/>
    <w:link w:val="Quote0"/>
    <w:uiPriority w:val="98"/>
    <w:rsid w:val="002B5B43"/>
    <w:rPr>
      <w:i/>
      <w:iCs/>
      <w:sz w:val="24"/>
      <w:szCs w:val="24"/>
      <w:lang w:val="en-GB" w:bidi="en-US"/>
    </w:rPr>
  </w:style>
  <w:style w:type="character" w:styleId="SubtleReference">
    <w:name w:val="Subtle Reference"/>
    <w:uiPriority w:val="98"/>
    <w:qFormat/>
    <w:rsid w:val="002B5B43"/>
    <w:rPr>
      <w:smallCaps/>
    </w:rPr>
  </w:style>
  <w:style w:type="table" w:styleId="TableGrid">
    <w:name w:val="Table Grid"/>
    <w:basedOn w:val="TableNormal"/>
    <w:uiPriority w:val="59"/>
    <w:rsid w:val="002B5B43"/>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B5B4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B5B4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B5B4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B5B43"/>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B5B4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B5B43"/>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2B5B43"/>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B5B43"/>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B5B43"/>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B5B43"/>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B5B43"/>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B5B43"/>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B5B43"/>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qFormat/>
    <w:rsid w:val="002B5B43"/>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2B5B43"/>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B5B43"/>
    <w:pPr>
      <w:numPr>
        <w:numId w:val="1"/>
      </w:numPr>
    </w:pPr>
  </w:style>
  <w:style w:type="paragraph" w:customStyle="1" w:styleId="JuPara">
    <w:name w:val="Ju_Para"/>
    <w:aliases w:val="_Para"/>
    <w:basedOn w:val="NormalJustified"/>
    <w:link w:val="JuParaChar"/>
    <w:uiPriority w:val="4"/>
    <w:qFormat/>
    <w:rsid w:val="002B5B43"/>
    <w:pPr>
      <w:ind w:firstLine="284"/>
    </w:pPr>
  </w:style>
  <w:style w:type="numbering" w:styleId="1ai">
    <w:name w:val="Outline List 1"/>
    <w:basedOn w:val="NoList"/>
    <w:uiPriority w:val="99"/>
    <w:semiHidden/>
    <w:unhideWhenUsed/>
    <w:rsid w:val="002B5B43"/>
    <w:pPr>
      <w:numPr>
        <w:numId w:val="2"/>
      </w:numPr>
    </w:pPr>
  </w:style>
  <w:style w:type="table" w:customStyle="1" w:styleId="ECHRTableSimpleBox">
    <w:name w:val="ECHR_Table_Simple_Box"/>
    <w:basedOn w:val="TableNormal"/>
    <w:uiPriority w:val="99"/>
    <w:rsid w:val="002B5B43"/>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2B5B43"/>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2B5B43"/>
    <w:pPr>
      <w:numPr>
        <w:numId w:val="3"/>
      </w:numPr>
    </w:pPr>
  </w:style>
  <w:style w:type="table" w:customStyle="1" w:styleId="ECHRTableForInternalUse">
    <w:name w:val="ECHR_Table_For_Internal_Use"/>
    <w:basedOn w:val="TableNormal"/>
    <w:uiPriority w:val="99"/>
    <w:rsid w:val="002B5B43"/>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B5B43"/>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B5B43"/>
  </w:style>
  <w:style w:type="paragraph" w:styleId="BlockText">
    <w:name w:val="Block Text"/>
    <w:basedOn w:val="Normal"/>
    <w:uiPriority w:val="98"/>
    <w:semiHidden/>
    <w:rsid w:val="002B5B43"/>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B5B43"/>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B5B43"/>
    <w:pPr>
      <w:spacing w:after="120"/>
    </w:pPr>
  </w:style>
  <w:style w:type="character" w:customStyle="1" w:styleId="BodyTextChar">
    <w:name w:val="Body Text Char"/>
    <w:basedOn w:val="DefaultParagraphFont"/>
    <w:link w:val="BodyText"/>
    <w:uiPriority w:val="98"/>
    <w:semiHidden/>
    <w:rsid w:val="002B5B43"/>
    <w:rPr>
      <w:sz w:val="24"/>
      <w:szCs w:val="24"/>
      <w:lang w:val="en-GB"/>
    </w:rPr>
  </w:style>
  <w:style w:type="table" w:customStyle="1" w:styleId="ECHRTableOddBanded">
    <w:name w:val="ECHR_Table_Odd_Banded"/>
    <w:basedOn w:val="TableNormal"/>
    <w:uiPriority w:val="99"/>
    <w:rsid w:val="002B5B4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B5B43"/>
    <w:pPr>
      <w:spacing w:after="120" w:line="480" w:lineRule="auto"/>
    </w:pPr>
  </w:style>
  <w:style w:type="table" w:customStyle="1" w:styleId="ECHRHeaderTableReduced">
    <w:name w:val="ECHR_Header_Table_Reduced"/>
    <w:basedOn w:val="TableNormal"/>
    <w:uiPriority w:val="99"/>
    <w:rsid w:val="002B5B43"/>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2B5B43"/>
    <w:pPr>
      <w:ind w:firstLine="284"/>
    </w:pPr>
    <w:rPr>
      <w:b/>
    </w:rPr>
  </w:style>
  <w:style w:type="character" w:styleId="PageNumber">
    <w:name w:val="page number"/>
    <w:uiPriority w:val="98"/>
    <w:semiHidden/>
    <w:rsid w:val="002B5B43"/>
    <w:rPr>
      <w:sz w:val="18"/>
    </w:rPr>
  </w:style>
  <w:style w:type="paragraph" w:styleId="ListBullet">
    <w:name w:val="List Bullet"/>
    <w:basedOn w:val="Normal"/>
    <w:uiPriority w:val="98"/>
    <w:semiHidden/>
    <w:rsid w:val="002B5B43"/>
    <w:pPr>
      <w:numPr>
        <w:numId w:val="11"/>
      </w:numPr>
    </w:pPr>
  </w:style>
  <w:style w:type="paragraph" w:styleId="ListBullet3">
    <w:name w:val="List Bullet 3"/>
    <w:basedOn w:val="Normal"/>
    <w:uiPriority w:val="98"/>
    <w:semiHidden/>
    <w:rsid w:val="002B5B43"/>
    <w:pPr>
      <w:numPr>
        <w:numId w:val="13"/>
      </w:numPr>
      <w:contextualSpacing/>
    </w:pPr>
  </w:style>
  <w:style w:type="character" w:customStyle="1" w:styleId="BodyText2Char">
    <w:name w:val="Body Text 2 Char"/>
    <w:basedOn w:val="DefaultParagraphFont"/>
    <w:link w:val="BodyText2"/>
    <w:uiPriority w:val="98"/>
    <w:semiHidden/>
    <w:rsid w:val="002B5B43"/>
    <w:rPr>
      <w:sz w:val="24"/>
      <w:szCs w:val="24"/>
      <w:lang w:val="en-GB"/>
    </w:rPr>
  </w:style>
  <w:style w:type="paragraph" w:styleId="BodyText3">
    <w:name w:val="Body Text 3"/>
    <w:basedOn w:val="Normal"/>
    <w:link w:val="BodyText3Char"/>
    <w:uiPriority w:val="98"/>
    <w:semiHidden/>
    <w:rsid w:val="002B5B43"/>
    <w:pPr>
      <w:spacing w:after="120"/>
    </w:pPr>
    <w:rPr>
      <w:sz w:val="16"/>
      <w:szCs w:val="16"/>
    </w:rPr>
  </w:style>
  <w:style w:type="character" w:customStyle="1" w:styleId="BodyText3Char">
    <w:name w:val="Body Text 3 Char"/>
    <w:basedOn w:val="DefaultParagraphFont"/>
    <w:link w:val="BodyText3"/>
    <w:uiPriority w:val="98"/>
    <w:semiHidden/>
    <w:rsid w:val="002B5B43"/>
    <w:rPr>
      <w:sz w:val="16"/>
      <w:szCs w:val="16"/>
      <w:lang w:val="en-GB"/>
    </w:rPr>
  </w:style>
  <w:style w:type="paragraph" w:styleId="BodyTextFirstIndent">
    <w:name w:val="Body Text First Indent"/>
    <w:basedOn w:val="BodyText"/>
    <w:link w:val="BodyTextFirstIndentChar"/>
    <w:uiPriority w:val="98"/>
    <w:semiHidden/>
    <w:rsid w:val="002B5B43"/>
    <w:pPr>
      <w:spacing w:after="0"/>
      <w:ind w:firstLine="360"/>
    </w:pPr>
  </w:style>
  <w:style w:type="character" w:customStyle="1" w:styleId="BodyTextFirstIndentChar">
    <w:name w:val="Body Text First Indent Char"/>
    <w:basedOn w:val="BodyTextChar"/>
    <w:link w:val="BodyTextFirstIndent"/>
    <w:uiPriority w:val="98"/>
    <w:semiHidden/>
    <w:rsid w:val="002B5B43"/>
    <w:rPr>
      <w:sz w:val="24"/>
      <w:szCs w:val="24"/>
      <w:lang w:val="en-GB"/>
    </w:rPr>
  </w:style>
  <w:style w:type="paragraph" w:styleId="BodyTextIndent">
    <w:name w:val="Body Text Indent"/>
    <w:basedOn w:val="Normal"/>
    <w:link w:val="BodyTextIndentChar"/>
    <w:uiPriority w:val="98"/>
    <w:semiHidden/>
    <w:rsid w:val="002B5B43"/>
    <w:pPr>
      <w:spacing w:after="120"/>
      <w:ind w:left="283"/>
    </w:pPr>
  </w:style>
  <w:style w:type="character" w:customStyle="1" w:styleId="BodyTextIndentChar">
    <w:name w:val="Body Text Indent Char"/>
    <w:basedOn w:val="DefaultParagraphFont"/>
    <w:link w:val="BodyTextIndent"/>
    <w:uiPriority w:val="98"/>
    <w:semiHidden/>
    <w:rsid w:val="002B5B43"/>
    <w:rPr>
      <w:sz w:val="24"/>
      <w:szCs w:val="24"/>
      <w:lang w:val="en-GB"/>
    </w:rPr>
  </w:style>
  <w:style w:type="paragraph" w:styleId="BodyTextFirstIndent2">
    <w:name w:val="Body Text First Indent 2"/>
    <w:basedOn w:val="BodyTextIndent"/>
    <w:link w:val="BodyTextFirstIndent2Char"/>
    <w:uiPriority w:val="98"/>
    <w:semiHidden/>
    <w:rsid w:val="002B5B43"/>
    <w:pPr>
      <w:spacing w:after="0"/>
      <w:ind w:left="360" w:firstLine="360"/>
    </w:pPr>
  </w:style>
  <w:style w:type="character" w:customStyle="1" w:styleId="BodyTextFirstIndent2Char">
    <w:name w:val="Body Text First Indent 2 Char"/>
    <w:basedOn w:val="BodyTextIndentChar"/>
    <w:link w:val="BodyTextFirstIndent2"/>
    <w:uiPriority w:val="98"/>
    <w:semiHidden/>
    <w:rsid w:val="002B5B43"/>
    <w:rPr>
      <w:sz w:val="24"/>
      <w:szCs w:val="24"/>
      <w:lang w:val="en-GB"/>
    </w:rPr>
  </w:style>
  <w:style w:type="paragraph" w:styleId="BodyTextIndent2">
    <w:name w:val="Body Text Indent 2"/>
    <w:basedOn w:val="Normal"/>
    <w:link w:val="BodyTextIndent2Char"/>
    <w:uiPriority w:val="98"/>
    <w:semiHidden/>
    <w:rsid w:val="002B5B43"/>
    <w:pPr>
      <w:spacing w:after="120" w:line="480" w:lineRule="auto"/>
      <w:ind w:left="283"/>
    </w:pPr>
  </w:style>
  <w:style w:type="character" w:customStyle="1" w:styleId="BodyTextIndent2Char">
    <w:name w:val="Body Text Indent 2 Char"/>
    <w:basedOn w:val="DefaultParagraphFont"/>
    <w:link w:val="BodyTextIndent2"/>
    <w:uiPriority w:val="98"/>
    <w:semiHidden/>
    <w:rsid w:val="002B5B43"/>
    <w:rPr>
      <w:sz w:val="24"/>
      <w:szCs w:val="24"/>
      <w:lang w:val="en-GB"/>
    </w:rPr>
  </w:style>
  <w:style w:type="paragraph" w:styleId="BodyTextIndent3">
    <w:name w:val="Body Text Indent 3"/>
    <w:basedOn w:val="Normal"/>
    <w:link w:val="BodyTextIndent3Char"/>
    <w:uiPriority w:val="98"/>
    <w:semiHidden/>
    <w:rsid w:val="002B5B43"/>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B5B43"/>
    <w:rPr>
      <w:sz w:val="16"/>
      <w:szCs w:val="16"/>
      <w:lang w:val="en-GB"/>
    </w:rPr>
  </w:style>
  <w:style w:type="paragraph" w:styleId="Caption">
    <w:name w:val="caption"/>
    <w:basedOn w:val="Normal"/>
    <w:next w:val="Normal"/>
    <w:uiPriority w:val="98"/>
    <w:semiHidden/>
    <w:qFormat/>
    <w:rsid w:val="002B5B43"/>
    <w:pPr>
      <w:spacing w:after="200"/>
    </w:pPr>
    <w:rPr>
      <w:b/>
      <w:bCs/>
      <w:color w:val="0072BC" w:themeColor="accent1"/>
      <w:sz w:val="18"/>
      <w:szCs w:val="18"/>
    </w:rPr>
  </w:style>
  <w:style w:type="paragraph" w:styleId="Closing">
    <w:name w:val="Closing"/>
    <w:basedOn w:val="Normal"/>
    <w:link w:val="ClosingChar"/>
    <w:uiPriority w:val="98"/>
    <w:semiHidden/>
    <w:rsid w:val="002B5B43"/>
    <w:pPr>
      <w:ind w:left="4252"/>
    </w:pPr>
  </w:style>
  <w:style w:type="character" w:customStyle="1" w:styleId="ClosingChar">
    <w:name w:val="Closing Char"/>
    <w:basedOn w:val="DefaultParagraphFont"/>
    <w:link w:val="Closing"/>
    <w:uiPriority w:val="98"/>
    <w:semiHidden/>
    <w:rsid w:val="002B5B43"/>
    <w:rPr>
      <w:sz w:val="24"/>
      <w:szCs w:val="24"/>
      <w:lang w:val="en-GB"/>
    </w:rPr>
  </w:style>
  <w:style w:type="table" w:styleId="ColorfulGrid">
    <w:name w:val="Colorful Grid"/>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B5B43"/>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B5B43"/>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B5B43"/>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B5B43"/>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B5B43"/>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B5B43"/>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B5B43"/>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B5B43"/>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B5B43"/>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B5B43"/>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B5B43"/>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2B5B43"/>
    <w:rPr>
      <w:sz w:val="16"/>
      <w:szCs w:val="16"/>
    </w:rPr>
  </w:style>
  <w:style w:type="paragraph" w:styleId="CommentText">
    <w:name w:val="annotation text"/>
    <w:basedOn w:val="Normal"/>
    <w:link w:val="CommentTextChar"/>
    <w:uiPriority w:val="98"/>
    <w:semiHidden/>
    <w:rsid w:val="002B5B43"/>
    <w:rPr>
      <w:sz w:val="20"/>
      <w:szCs w:val="20"/>
    </w:rPr>
  </w:style>
  <w:style w:type="character" w:customStyle="1" w:styleId="CommentTextChar">
    <w:name w:val="Comment Text Char"/>
    <w:basedOn w:val="DefaultParagraphFont"/>
    <w:link w:val="CommentText"/>
    <w:uiPriority w:val="98"/>
    <w:semiHidden/>
    <w:rsid w:val="002B5B43"/>
    <w:rPr>
      <w:sz w:val="20"/>
      <w:szCs w:val="20"/>
      <w:lang w:val="en-GB"/>
    </w:rPr>
  </w:style>
  <w:style w:type="paragraph" w:styleId="CommentSubject">
    <w:name w:val="annotation subject"/>
    <w:basedOn w:val="CommentText"/>
    <w:next w:val="CommentText"/>
    <w:link w:val="CommentSubjectChar"/>
    <w:uiPriority w:val="98"/>
    <w:semiHidden/>
    <w:rsid w:val="002B5B43"/>
    <w:rPr>
      <w:b/>
      <w:bCs/>
    </w:rPr>
  </w:style>
  <w:style w:type="character" w:customStyle="1" w:styleId="CommentSubjectChar">
    <w:name w:val="Comment Subject Char"/>
    <w:basedOn w:val="CommentTextChar"/>
    <w:link w:val="CommentSubject"/>
    <w:uiPriority w:val="98"/>
    <w:semiHidden/>
    <w:rsid w:val="002B5B43"/>
    <w:rPr>
      <w:b/>
      <w:bCs/>
      <w:sz w:val="20"/>
      <w:szCs w:val="20"/>
      <w:lang w:val="en-GB"/>
    </w:rPr>
  </w:style>
  <w:style w:type="table" w:styleId="DarkList">
    <w:name w:val="Dark List"/>
    <w:basedOn w:val="TableNormal"/>
    <w:uiPriority w:val="70"/>
    <w:semiHidden/>
    <w:rsid w:val="002B5B43"/>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B5B43"/>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B5B43"/>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B5B43"/>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B5B43"/>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B5B43"/>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B5B43"/>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B5B43"/>
  </w:style>
  <w:style w:type="character" w:customStyle="1" w:styleId="DateChar">
    <w:name w:val="Date Char"/>
    <w:basedOn w:val="DefaultParagraphFont"/>
    <w:link w:val="Date"/>
    <w:uiPriority w:val="98"/>
    <w:semiHidden/>
    <w:rsid w:val="002B5B43"/>
    <w:rPr>
      <w:sz w:val="24"/>
      <w:szCs w:val="24"/>
      <w:lang w:val="en-GB"/>
    </w:rPr>
  </w:style>
  <w:style w:type="paragraph" w:styleId="DocumentMap">
    <w:name w:val="Document Map"/>
    <w:basedOn w:val="Normal"/>
    <w:link w:val="DocumentMapChar"/>
    <w:uiPriority w:val="98"/>
    <w:semiHidden/>
    <w:rsid w:val="002B5B43"/>
    <w:rPr>
      <w:rFonts w:ascii="Tahoma" w:hAnsi="Tahoma" w:cs="Tahoma"/>
      <w:sz w:val="16"/>
      <w:szCs w:val="16"/>
    </w:rPr>
  </w:style>
  <w:style w:type="character" w:customStyle="1" w:styleId="DocumentMapChar">
    <w:name w:val="Document Map Char"/>
    <w:basedOn w:val="DefaultParagraphFont"/>
    <w:link w:val="DocumentMap"/>
    <w:uiPriority w:val="98"/>
    <w:semiHidden/>
    <w:rsid w:val="002B5B43"/>
    <w:rPr>
      <w:rFonts w:ascii="Tahoma" w:hAnsi="Tahoma" w:cs="Tahoma"/>
      <w:sz w:val="16"/>
      <w:szCs w:val="16"/>
      <w:lang w:val="en-GB"/>
    </w:rPr>
  </w:style>
  <w:style w:type="paragraph" w:styleId="E-mailSignature">
    <w:name w:val="E-mail Signature"/>
    <w:basedOn w:val="Normal"/>
    <w:link w:val="E-mailSignatureChar"/>
    <w:uiPriority w:val="98"/>
    <w:semiHidden/>
    <w:rsid w:val="002B5B43"/>
  </w:style>
  <w:style w:type="character" w:customStyle="1" w:styleId="E-mailSignatureChar">
    <w:name w:val="E-mail Signature Char"/>
    <w:basedOn w:val="DefaultParagraphFont"/>
    <w:link w:val="E-mailSignature"/>
    <w:uiPriority w:val="98"/>
    <w:semiHidden/>
    <w:rsid w:val="002B5B43"/>
    <w:rPr>
      <w:sz w:val="24"/>
      <w:szCs w:val="24"/>
      <w:lang w:val="en-GB"/>
    </w:rPr>
  </w:style>
  <w:style w:type="character" w:styleId="EndnoteReference">
    <w:name w:val="endnote reference"/>
    <w:basedOn w:val="DefaultParagraphFont"/>
    <w:uiPriority w:val="98"/>
    <w:semiHidden/>
    <w:rsid w:val="002B5B43"/>
    <w:rPr>
      <w:vertAlign w:val="superscript"/>
    </w:rPr>
  </w:style>
  <w:style w:type="paragraph" w:styleId="EndnoteText">
    <w:name w:val="endnote text"/>
    <w:basedOn w:val="Normal"/>
    <w:link w:val="EndnoteTextChar"/>
    <w:uiPriority w:val="98"/>
    <w:semiHidden/>
    <w:rsid w:val="002B5B43"/>
    <w:rPr>
      <w:sz w:val="20"/>
      <w:szCs w:val="20"/>
    </w:rPr>
  </w:style>
  <w:style w:type="character" w:customStyle="1" w:styleId="EndnoteTextChar">
    <w:name w:val="Endnote Text Char"/>
    <w:basedOn w:val="DefaultParagraphFont"/>
    <w:link w:val="EndnoteText"/>
    <w:uiPriority w:val="98"/>
    <w:semiHidden/>
    <w:rsid w:val="002B5B43"/>
    <w:rPr>
      <w:sz w:val="20"/>
      <w:szCs w:val="20"/>
      <w:lang w:val="en-GB"/>
    </w:rPr>
  </w:style>
  <w:style w:type="paragraph" w:styleId="EnvelopeAddress">
    <w:name w:val="envelope address"/>
    <w:basedOn w:val="Normal"/>
    <w:uiPriority w:val="98"/>
    <w:semiHidden/>
    <w:rsid w:val="002B5B43"/>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B5B43"/>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B5B43"/>
    <w:rPr>
      <w:color w:val="7030A0" w:themeColor="followedHyperlink"/>
      <w:u w:val="single"/>
    </w:rPr>
  </w:style>
  <w:style w:type="character" w:styleId="HTMLAcronym">
    <w:name w:val="HTML Acronym"/>
    <w:basedOn w:val="DefaultParagraphFont"/>
    <w:uiPriority w:val="98"/>
    <w:semiHidden/>
    <w:rsid w:val="002B5B43"/>
  </w:style>
  <w:style w:type="paragraph" w:styleId="HTMLAddress">
    <w:name w:val="HTML Address"/>
    <w:basedOn w:val="Normal"/>
    <w:link w:val="HTMLAddressChar"/>
    <w:uiPriority w:val="98"/>
    <w:semiHidden/>
    <w:rsid w:val="002B5B43"/>
    <w:rPr>
      <w:i/>
      <w:iCs/>
    </w:rPr>
  </w:style>
  <w:style w:type="character" w:customStyle="1" w:styleId="HTMLAddressChar">
    <w:name w:val="HTML Address Char"/>
    <w:basedOn w:val="DefaultParagraphFont"/>
    <w:link w:val="HTMLAddress"/>
    <w:uiPriority w:val="98"/>
    <w:semiHidden/>
    <w:rsid w:val="002B5B43"/>
    <w:rPr>
      <w:i/>
      <w:iCs/>
      <w:sz w:val="24"/>
      <w:szCs w:val="24"/>
      <w:lang w:val="en-GB"/>
    </w:rPr>
  </w:style>
  <w:style w:type="character" w:styleId="HTMLCite">
    <w:name w:val="HTML Cite"/>
    <w:basedOn w:val="DefaultParagraphFont"/>
    <w:uiPriority w:val="98"/>
    <w:semiHidden/>
    <w:rsid w:val="002B5B43"/>
    <w:rPr>
      <w:i/>
      <w:iCs/>
    </w:rPr>
  </w:style>
  <w:style w:type="character" w:styleId="HTMLCode">
    <w:name w:val="HTML Code"/>
    <w:basedOn w:val="DefaultParagraphFont"/>
    <w:uiPriority w:val="98"/>
    <w:semiHidden/>
    <w:rsid w:val="002B5B43"/>
    <w:rPr>
      <w:rFonts w:ascii="Consolas" w:hAnsi="Consolas" w:cs="Consolas"/>
      <w:sz w:val="20"/>
      <w:szCs w:val="20"/>
    </w:rPr>
  </w:style>
  <w:style w:type="character" w:styleId="HTMLDefinition">
    <w:name w:val="HTML Definition"/>
    <w:basedOn w:val="DefaultParagraphFont"/>
    <w:uiPriority w:val="98"/>
    <w:semiHidden/>
    <w:rsid w:val="002B5B43"/>
    <w:rPr>
      <w:i/>
      <w:iCs/>
    </w:rPr>
  </w:style>
  <w:style w:type="character" w:styleId="HTMLKeyboard">
    <w:name w:val="HTML Keyboard"/>
    <w:basedOn w:val="DefaultParagraphFont"/>
    <w:uiPriority w:val="98"/>
    <w:semiHidden/>
    <w:rsid w:val="002B5B43"/>
    <w:rPr>
      <w:rFonts w:ascii="Consolas" w:hAnsi="Consolas" w:cs="Consolas"/>
      <w:sz w:val="20"/>
      <w:szCs w:val="20"/>
    </w:rPr>
  </w:style>
  <w:style w:type="paragraph" w:styleId="HTMLPreformatted">
    <w:name w:val="HTML Preformatted"/>
    <w:basedOn w:val="Normal"/>
    <w:link w:val="HTMLPreformattedChar"/>
    <w:uiPriority w:val="98"/>
    <w:semiHidden/>
    <w:rsid w:val="002B5B43"/>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B5B43"/>
    <w:rPr>
      <w:rFonts w:ascii="Consolas" w:hAnsi="Consolas" w:cs="Consolas"/>
      <w:sz w:val="20"/>
      <w:szCs w:val="20"/>
      <w:lang w:val="en-GB"/>
    </w:rPr>
  </w:style>
  <w:style w:type="character" w:styleId="HTMLSample">
    <w:name w:val="HTML Sample"/>
    <w:basedOn w:val="DefaultParagraphFont"/>
    <w:uiPriority w:val="98"/>
    <w:semiHidden/>
    <w:rsid w:val="002B5B43"/>
    <w:rPr>
      <w:rFonts w:ascii="Consolas" w:hAnsi="Consolas" w:cs="Consolas"/>
      <w:sz w:val="24"/>
      <w:szCs w:val="24"/>
    </w:rPr>
  </w:style>
  <w:style w:type="character" w:styleId="HTMLTypewriter">
    <w:name w:val="HTML Typewriter"/>
    <w:basedOn w:val="DefaultParagraphFont"/>
    <w:uiPriority w:val="98"/>
    <w:semiHidden/>
    <w:rsid w:val="002B5B43"/>
    <w:rPr>
      <w:rFonts w:ascii="Consolas" w:hAnsi="Consolas" w:cs="Consolas"/>
      <w:sz w:val="20"/>
      <w:szCs w:val="20"/>
    </w:rPr>
  </w:style>
  <w:style w:type="character" w:styleId="HTMLVariable">
    <w:name w:val="HTML Variable"/>
    <w:basedOn w:val="DefaultParagraphFont"/>
    <w:uiPriority w:val="98"/>
    <w:semiHidden/>
    <w:rsid w:val="002B5B43"/>
    <w:rPr>
      <w:i/>
      <w:iCs/>
    </w:rPr>
  </w:style>
  <w:style w:type="paragraph" w:styleId="Index1">
    <w:name w:val="index 1"/>
    <w:basedOn w:val="Normal"/>
    <w:next w:val="Normal"/>
    <w:autoRedefine/>
    <w:uiPriority w:val="98"/>
    <w:semiHidden/>
    <w:rsid w:val="002B5B43"/>
    <w:pPr>
      <w:ind w:left="240" w:hanging="240"/>
    </w:pPr>
  </w:style>
  <w:style w:type="paragraph" w:styleId="Index2">
    <w:name w:val="index 2"/>
    <w:basedOn w:val="Normal"/>
    <w:next w:val="Normal"/>
    <w:autoRedefine/>
    <w:uiPriority w:val="98"/>
    <w:semiHidden/>
    <w:rsid w:val="002B5B43"/>
    <w:pPr>
      <w:ind w:left="480" w:hanging="240"/>
    </w:pPr>
  </w:style>
  <w:style w:type="paragraph" w:styleId="Index3">
    <w:name w:val="index 3"/>
    <w:basedOn w:val="Normal"/>
    <w:next w:val="Normal"/>
    <w:autoRedefine/>
    <w:uiPriority w:val="98"/>
    <w:semiHidden/>
    <w:rsid w:val="002B5B43"/>
    <w:pPr>
      <w:ind w:left="720" w:hanging="240"/>
    </w:pPr>
  </w:style>
  <w:style w:type="paragraph" w:styleId="Index4">
    <w:name w:val="index 4"/>
    <w:basedOn w:val="Normal"/>
    <w:next w:val="Normal"/>
    <w:autoRedefine/>
    <w:uiPriority w:val="98"/>
    <w:semiHidden/>
    <w:rsid w:val="002B5B43"/>
    <w:pPr>
      <w:ind w:left="960" w:hanging="240"/>
    </w:pPr>
  </w:style>
  <w:style w:type="paragraph" w:styleId="Index5">
    <w:name w:val="index 5"/>
    <w:basedOn w:val="Normal"/>
    <w:next w:val="Normal"/>
    <w:autoRedefine/>
    <w:uiPriority w:val="98"/>
    <w:semiHidden/>
    <w:rsid w:val="002B5B43"/>
    <w:pPr>
      <w:ind w:left="1200" w:hanging="240"/>
    </w:pPr>
  </w:style>
  <w:style w:type="paragraph" w:styleId="Index6">
    <w:name w:val="index 6"/>
    <w:basedOn w:val="Normal"/>
    <w:next w:val="Normal"/>
    <w:autoRedefine/>
    <w:uiPriority w:val="98"/>
    <w:semiHidden/>
    <w:rsid w:val="002B5B43"/>
    <w:pPr>
      <w:ind w:left="1440" w:hanging="240"/>
    </w:pPr>
  </w:style>
  <w:style w:type="paragraph" w:styleId="Index7">
    <w:name w:val="index 7"/>
    <w:basedOn w:val="Normal"/>
    <w:next w:val="Normal"/>
    <w:autoRedefine/>
    <w:uiPriority w:val="98"/>
    <w:semiHidden/>
    <w:rsid w:val="002B5B43"/>
    <w:pPr>
      <w:ind w:left="1680" w:hanging="240"/>
    </w:pPr>
  </w:style>
  <w:style w:type="paragraph" w:styleId="Index8">
    <w:name w:val="index 8"/>
    <w:basedOn w:val="Normal"/>
    <w:next w:val="Normal"/>
    <w:autoRedefine/>
    <w:uiPriority w:val="98"/>
    <w:semiHidden/>
    <w:rsid w:val="002B5B43"/>
    <w:pPr>
      <w:ind w:left="1920" w:hanging="240"/>
    </w:pPr>
  </w:style>
  <w:style w:type="paragraph" w:styleId="Index9">
    <w:name w:val="index 9"/>
    <w:basedOn w:val="Normal"/>
    <w:next w:val="Normal"/>
    <w:autoRedefine/>
    <w:uiPriority w:val="98"/>
    <w:semiHidden/>
    <w:rsid w:val="002B5B43"/>
    <w:pPr>
      <w:ind w:left="2160" w:hanging="240"/>
    </w:pPr>
  </w:style>
  <w:style w:type="paragraph" w:styleId="IndexHeading">
    <w:name w:val="index heading"/>
    <w:basedOn w:val="Normal"/>
    <w:next w:val="Index1"/>
    <w:uiPriority w:val="98"/>
    <w:semiHidden/>
    <w:rsid w:val="002B5B43"/>
    <w:rPr>
      <w:rFonts w:asciiTheme="majorHAnsi" w:eastAsiaTheme="majorEastAsia" w:hAnsiTheme="majorHAnsi" w:cstheme="majorBidi"/>
      <w:b/>
      <w:bCs/>
    </w:rPr>
  </w:style>
  <w:style w:type="table" w:styleId="LightGrid">
    <w:name w:val="Light Grid"/>
    <w:basedOn w:val="TableNormal"/>
    <w:uiPriority w:val="62"/>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B5B43"/>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B5B43"/>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B5B43"/>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B5B43"/>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B5B43"/>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B5B43"/>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B5B43"/>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B5B43"/>
  </w:style>
  <w:style w:type="paragraph" w:styleId="List">
    <w:name w:val="List"/>
    <w:basedOn w:val="Normal"/>
    <w:uiPriority w:val="98"/>
    <w:semiHidden/>
    <w:rsid w:val="002B5B43"/>
    <w:pPr>
      <w:ind w:left="283" w:hanging="283"/>
      <w:contextualSpacing/>
    </w:pPr>
  </w:style>
  <w:style w:type="paragraph" w:styleId="List20">
    <w:name w:val="List 2"/>
    <w:basedOn w:val="Normal"/>
    <w:uiPriority w:val="98"/>
    <w:semiHidden/>
    <w:rsid w:val="002B5B43"/>
    <w:pPr>
      <w:ind w:left="566" w:hanging="283"/>
      <w:contextualSpacing/>
    </w:pPr>
  </w:style>
  <w:style w:type="paragraph" w:styleId="List30">
    <w:name w:val="List 3"/>
    <w:basedOn w:val="Normal"/>
    <w:uiPriority w:val="98"/>
    <w:semiHidden/>
    <w:rsid w:val="002B5B43"/>
    <w:pPr>
      <w:ind w:left="849" w:hanging="283"/>
      <w:contextualSpacing/>
    </w:pPr>
  </w:style>
  <w:style w:type="paragraph" w:styleId="List4">
    <w:name w:val="List 4"/>
    <w:basedOn w:val="Normal"/>
    <w:uiPriority w:val="98"/>
    <w:semiHidden/>
    <w:rsid w:val="002B5B43"/>
    <w:pPr>
      <w:ind w:left="1132" w:hanging="283"/>
      <w:contextualSpacing/>
    </w:pPr>
  </w:style>
  <w:style w:type="paragraph" w:styleId="List5">
    <w:name w:val="List 5"/>
    <w:basedOn w:val="Normal"/>
    <w:uiPriority w:val="98"/>
    <w:semiHidden/>
    <w:rsid w:val="002B5B43"/>
    <w:pPr>
      <w:ind w:left="1415" w:hanging="283"/>
      <w:contextualSpacing/>
    </w:pPr>
  </w:style>
  <w:style w:type="paragraph" w:styleId="ListBullet2">
    <w:name w:val="List Bullet 2"/>
    <w:basedOn w:val="Normal"/>
    <w:uiPriority w:val="98"/>
    <w:semiHidden/>
    <w:rsid w:val="002B5B43"/>
    <w:pPr>
      <w:numPr>
        <w:numId w:val="12"/>
      </w:numPr>
      <w:contextualSpacing/>
    </w:pPr>
  </w:style>
  <w:style w:type="paragraph" w:styleId="ListBullet4">
    <w:name w:val="List Bullet 4"/>
    <w:basedOn w:val="Normal"/>
    <w:uiPriority w:val="98"/>
    <w:semiHidden/>
    <w:rsid w:val="002B5B43"/>
    <w:pPr>
      <w:numPr>
        <w:numId w:val="14"/>
      </w:numPr>
      <w:contextualSpacing/>
    </w:pPr>
  </w:style>
  <w:style w:type="paragraph" w:styleId="ListBullet5">
    <w:name w:val="List Bullet 5"/>
    <w:basedOn w:val="Normal"/>
    <w:uiPriority w:val="98"/>
    <w:semiHidden/>
    <w:rsid w:val="002B5B43"/>
    <w:pPr>
      <w:numPr>
        <w:numId w:val="15"/>
      </w:numPr>
      <w:contextualSpacing/>
    </w:pPr>
  </w:style>
  <w:style w:type="paragraph" w:styleId="ListContinue">
    <w:name w:val="List Continue"/>
    <w:basedOn w:val="Normal"/>
    <w:uiPriority w:val="98"/>
    <w:semiHidden/>
    <w:rsid w:val="002B5B43"/>
    <w:pPr>
      <w:spacing w:after="120"/>
      <w:ind w:left="283"/>
      <w:contextualSpacing/>
    </w:pPr>
  </w:style>
  <w:style w:type="paragraph" w:styleId="ListContinue2">
    <w:name w:val="List Continue 2"/>
    <w:basedOn w:val="Normal"/>
    <w:uiPriority w:val="98"/>
    <w:semiHidden/>
    <w:rsid w:val="002B5B43"/>
    <w:pPr>
      <w:spacing w:after="120"/>
      <w:ind w:left="566"/>
      <w:contextualSpacing/>
    </w:pPr>
  </w:style>
  <w:style w:type="paragraph" w:styleId="ListContinue3">
    <w:name w:val="List Continue 3"/>
    <w:basedOn w:val="Normal"/>
    <w:uiPriority w:val="98"/>
    <w:semiHidden/>
    <w:rsid w:val="002B5B43"/>
    <w:pPr>
      <w:spacing w:after="120"/>
      <w:ind w:left="849"/>
      <w:contextualSpacing/>
    </w:pPr>
  </w:style>
  <w:style w:type="paragraph" w:styleId="ListContinue4">
    <w:name w:val="List Continue 4"/>
    <w:basedOn w:val="Normal"/>
    <w:uiPriority w:val="98"/>
    <w:semiHidden/>
    <w:rsid w:val="002B5B43"/>
    <w:pPr>
      <w:spacing w:after="120"/>
      <w:ind w:left="1132"/>
      <w:contextualSpacing/>
    </w:pPr>
  </w:style>
  <w:style w:type="paragraph" w:styleId="ListContinue5">
    <w:name w:val="List Continue 5"/>
    <w:basedOn w:val="Normal"/>
    <w:uiPriority w:val="98"/>
    <w:semiHidden/>
    <w:rsid w:val="002B5B43"/>
    <w:pPr>
      <w:spacing w:after="120"/>
      <w:ind w:left="1415"/>
      <w:contextualSpacing/>
    </w:pPr>
  </w:style>
  <w:style w:type="paragraph" w:styleId="ListNumber">
    <w:name w:val="List Number"/>
    <w:basedOn w:val="Normal"/>
    <w:uiPriority w:val="98"/>
    <w:semiHidden/>
    <w:rsid w:val="002B5B43"/>
    <w:pPr>
      <w:numPr>
        <w:numId w:val="16"/>
      </w:numPr>
      <w:contextualSpacing/>
    </w:pPr>
  </w:style>
  <w:style w:type="paragraph" w:styleId="ListNumber2">
    <w:name w:val="List Number 2"/>
    <w:basedOn w:val="Normal"/>
    <w:uiPriority w:val="98"/>
    <w:semiHidden/>
    <w:rsid w:val="002B5B43"/>
    <w:pPr>
      <w:numPr>
        <w:numId w:val="17"/>
      </w:numPr>
      <w:contextualSpacing/>
    </w:pPr>
  </w:style>
  <w:style w:type="paragraph" w:styleId="ListNumber3">
    <w:name w:val="List Number 3"/>
    <w:basedOn w:val="Normal"/>
    <w:uiPriority w:val="98"/>
    <w:semiHidden/>
    <w:rsid w:val="002B5B43"/>
    <w:pPr>
      <w:numPr>
        <w:numId w:val="18"/>
      </w:numPr>
      <w:contextualSpacing/>
    </w:pPr>
  </w:style>
  <w:style w:type="paragraph" w:styleId="ListNumber4">
    <w:name w:val="List Number 4"/>
    <w:basedOn w:val="Normal"/>
    <w:uiPriority w:val="98"/>
    <w:semiHidden/>
    <w:rsid w:val="002B5B43"/>
    <w:pPr>
      <w:numPr>
        <w:numId w:val="19"/>
      </w:numPr>
      <w:contextualSpacing/>
    </w:pPr>
  </w:style>
  <w:style w:type="paragraph" w:styleId="ListNumber5">
    <w:name w:val="List Number 5"/>
    <w:basedOn w:val="Normal"/>
    <w:uiPriority w:val="98"/>
    <w:semiHidden/>
    <w:rsid w:val="002B5B43"/>
    <w:pPr>
      <w:numPr>
        <w:numId w:val="20"/>
      </w:numPr>
      <w:contextualSpacing/>
    </w:pPr>
  </w:style>
  <w:style w:type="paragraph" w:styleId="Macro">
    <w:name w:val="macro"/>
    <w:link w:val="MacroTextChar"/>
    <w:uiPriority w:val="98"/>
    <w:semiHidden/>
    <w:rsid w:val="002B5B4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B5B43"/>
    <w:rPr>
      <w:rFonts w:ascii="Consolas" w:hAnsi="Consolas" w:eastAsiaTheme="minorEastAsia" w:cs="Consolas"/>
      <w:sz w:val="20"/>
      <w:szCs w:val="20"/>
    </w:rPr>
  </w:style>
  <w:style w:type="table" w:styleId="MediumGrid1">
    <w:name w:val="Medium Grid 1"/>
    <w:basedOn w:val="TableNormal"/>
    <w:uiPriority w:val="67"/>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2B5B43"/>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B5B43"/>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B5B43"/>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B5B43"/>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B5B43"/>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B5B43"/>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B5B43"/>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B5B4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B5B43"/>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2B5B43"/>
    <w:rPr>
      <w:rFonts w:ascii="Times New Roman" w:hAnsi="Times New Roman" w:cs="Times New Roman"/>
    </w:rPr>
  </w:style>
  <w:style w:type="paragraph" w:styleId="NormalIndent">
    <w:name w:val="Normal Indent"/>
    <w:basedOn w:val="Normal"/>
    <w:uiPriority w:val="98"/>
    <w:semiHidden/>
    <w:rsid w:val="002B5B43"/>
    <w:pPr>
      <w:ind w:left="720"/>
    </w:pPr>
  </w:style>
  <w:style w:type="paragraph" w:styleId="NoteHeading">
    <w:name w:val="Note Heading"/>
    <w:basedOn w:val="Normal"/>
    <w:next w:val="Normal"/>
    <w:link w:val="NoteHeadingChar"/>
    <w:uiPriority w:val="98"/>
    <w:semiHidden/>
    <w:rsid w:val="002B5B43"/>
  </w:style>
  <w:style w:type="character" w:customStyle="1" w:styleId="NoteHeadingChar">
    <w:name w:val="Note Heading Char"/>
    <w:basedOn w:val="DefaultParagraphFont"/>
    <w:link w:val="NoteHeading"/>
    <w:uiPriority w:val="98"/>
    <w:semiHidden/>
    <w:rsid w:val="002B5B43"/>
    <w:rPr>
      <w:sz w:val="24"/>
      <w:szCs w:val="24"/>
      <w:lang w:val="en-GB"/>
    </w:rPr>
  </w:style>
  <w:style w:type="character" w:styleId="PlaceholderText">
    <w:name w:val="Placeholder Text"/>
    <w:basedOn w:val="DefaultParagraphFont"/>
    <w:uiPriority w:val="98"/>
    <w:semiHidden/>
    <w:rsid w:val="002B5B43"/>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B5B43"/>
    <w:rPr>
      <w:rFonts w:ascii="Consolas" w:hAnsi="Consolas" w:cs="Consolas"/>
      <w:sz w:val="21"/>
      <w:szCs w:val="21"/>
    </w:rPr>
  </w:style>
  <w:style w:type="character" w:customStyle="1" w:styleId="PlainTextChar">
    <w:name w:val="Plain Text Char"/>
    <w:basedOn w:val="DefaultParagraphFont"/>
    <w:link w:val="PlainText"/>
    <w:uiPriority w:val="98"/>
    <w:semiHidden/>
    <w:rsid w:val="002B5B43"/>
    <w:rPr>
      <w:rFonts w:ascii="Consolas" w:hAnsi="Consolas" w:cs="Consolas"/>
      <w:sz w:val="21"/>
      <w:szCs w:val="21"/>
      <w:lang w:val="en-GB"/>
    </w:rPr>
  </w:style>
  <w:style w:type="paragraph" w:styleId="Salutation">
    <w:name w:val="Salutation"/>
    <w:basedOn w:val="Normal"/>
    <w:next w:val="Normal"/>
    <w:link w:val="SalutationChar"/>
    <w:uiPriority w:val="98"/>
    <w:semiHidden/>
    <w:rsid w:val="002B5B43"/>
  </w:style>
  <w:style w:type="character" w:customStyle="1" w:styleId="SalutationChar">
    <w:name w:val="Salutation Char"/>
    <w:basedOn w:val="DefaultParagraphFont"/>
    <w:link w:val="Salutation"/>
    <w:uiPriority w:val="98"/>
    <w:semiHidden/>
    <w:rsid w:val="002B5B43"/>
    <w:rPr>
      <w:sz w:val="24"/>
      <w:szCs w:val="24"/>
      <w:lang w:val="en-GB"/>
    </w:rPr>
  </w:style>
  <w:style w:type="paragraph" w:styleId="Signature0">
    <w:name w:val="Signature"/>
    <w:basedOn w:val="Normal"/>
    <w:link w:val="SignatureChar"/>
    <w:uiPriority w:val="98"/>
    <w:semiHidden/>
    <w:rsid w:val="002B5B43"/>
    <w:pPr>
      <w:ind w:left="4252"/>
    </w:pPr>
  </w:style>
  <w:style w:type="character" w:customStyle="1" w:styleId="SignatureChar">
    <w:name w:val="Signature Char"/>
    <w:basedOn w:val="DefaultParagraphFont"/>
    <w:link w:val="Signature0"/>
    <w:uiPriority w:val="98"/>
    <w:semiHidden/>
    <w:rsid w:val="002B5B43"/>
    <w:rPr>
      <w:sz w:val="24"/>
      <w:szCs w:val="24"/>
      <w:lang w:val="en-GB"/>
    </w:rPr>
  </w:style>
  <w:style w:type="table" w:styleId="Table3Deffects1">
    <w:name w:val="Table 3D effects 1"/>
    <w:basedOn w:val="TableNormal"/>
    <w:uiPriority w:val="99"/>
    <w:semiHidden/>
    <w:unhideWhenUsed/>
    <w:rsid w:val="002B5B43"/>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B5B43"/>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B5B43"/>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B5B43"/>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B5B43"/>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B5B43"/>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B5B43"/>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B5B43"/>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B5B43"/>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B5B43"/>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B5B43"/>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B5B43"/>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B5B43"/>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B5B43"/>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B5B43"/>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B5B43"/>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B5B43"/>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B5B43"/>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B5B43"/>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B5B43"/>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B5B43"/>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B5B43"/>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B5B43"/>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B5B43"/>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B5B43"/>
    <w:pPr>
      <w:ind w:left="240" w:hanging="240"/>
    </w:pPr>
  </w:style>
  <w:style w:type="paragraph" w:styleId="TableofFigures">
    <w:name w:val="table of figures"/>
    <w:basedOn w:val="Normal"/>
    <w:next w:val="Normal"/>
    <w:uiPriority w:val="98"/>
    <w:semiHidden/>
    <w:rsid w:val="002B5B43"/>
  </w:style>
  <w:style w:type="table" w:styleId="TableProfessional">
    <w:name w:val="Table Professional"/>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B5B43"/>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B5B43"/>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B5B43"/>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B5B43"/>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B5B43"/>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B5B43"/>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B5B43"/>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B5B43"/>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B5B4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B5B4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B5B43"/>
    <w:pPr>
      <w:spacing w:after="100"/>
      <w:ind w:left="1680"/>
    </w:pPr>
  </w:style>
  <w:style w:type="paragraph" w:styleId="TOC9">
    <w:name w:val="toc 9"/>
    <w:basedOn w:val="Normal"/>
    <w:next w:val="Normal"/>
    <w:autoRedefine/>
    <w:uiPriority w:val="98"/>
    <w:semiHidden/>
    <w:rsid w:val="002B5B43"/>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2B5B43"/>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B5B43"/>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B5B43"/>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2B5B43"/>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B5B43"/>
    <w:pPr>
      <w:numPr>
        <w:numId w:val="7"/>
      </w:numPr>
      <w:spacing w:before="60" w:after="60"/>
    </w:pPr>
  </w:style>
  <w:style w:type="paragraph" w:customStyle="1" w:styleId="ECHRBullet2">
    <w:name w:val="ECHR_Bullet_2"/>
    <w:aliases w:val="_Bul_2"/>
    <w:basedOn w:val="ECHRBullet1"/>
    <w:uiPriority w:val="23"/>
    <w:semiHidden/>
    <w:rsid w:val="002B5B43"/>
    <w:pPr>
      <w:numPr>
        <w:ilvl w:val="1"/>
      </w:numPr>
    </w:pPr>
  </w:style>
  <w:style w:type="paragraph" w:customStyle="1" w:styleId="ECHRBullet3">
    <w:name w:val="ECHR_Bullet_3"/>
    <w:aliases w:val="_Bul_3"/>
    <w:basedOn w:val="ECHRBullet2"/>
    <w:uiPriority w:val="23"/>
    <w:semiHidden/>
    <w:rsid w:val="002B5B43"/>
    <w:pPr>
      <w:numPr>
        <w:ilvl w:val="2"/>
      </w:numPr>
    </w:pPr>
  </w:style>
  <w:style w:type="paragraph" w:customStyle="1" w:styleId="ECHRBullet4">
    <w:name w:val="ECHR_Bullet_4"/>
    <w:aliases w:val="_Bul_4"/>
    <w:basedOn w:val="ECHRBullet3"/>
    <w:uiPriority w:val="23"/>
    <w:semiHidden/>
    <w:rsid w:val="002B5B43"/>
    <w:pPr>
      <w:numPr>
        <w:ilvl w:val="3"/>
      </w:numPr>
    </w:pPr>
  </w:style>
  <w:style w:type="paragraph" w:customStyle="1" w:styleId="ECHRConfidential">
    <w:name w:val="ECHR_Confidential"/>
    <w:aliases w:val="_Confidential"/>
    <w:basedOn w:val="Normal"/>
    <w:next w:val="Normal"/>
    <w:uiPriority w:val="42"/>
    <w:semiHidden/>
    <w:qFormat/>
    <w:rsid w:val="002B5B43"/>
    <w:pPr>
      <w:jc w:val="right"/>
    </w:pPr>
    <w:rPr>
      <w:color w:val="C00000"/>
      <w:sz w:val="20"/>
    </w:rPr>
  </w:style>
  <w:style w:type="paragraph" w:customStyle="1" w:styleId="ECHRDecisionBody">
    <w:name w:val="ECHR_Decision_Body"/>
    <w:aliases w:val="_Decision_Body"/>
    <w:basedOn w:val="NormalJustified"/>
    <w:uiPriority w:val="54"/>
    <w:semiHidden/>
    <w:rsid w:val="002B5B43"/>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B5B43"/>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B5B43"/>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B5B43"/>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2B5B43"/>
    <w:pPr>
      <w:jc w:val="right"/>
    </w:pPr>
    <w:rPr>
      <w:sz w:val="20"/>
    </w:rPr>
  </w:style>
  <w:style w:type="paragraph" w:customStyle="1" w:styleId="ECHRHeaderRefIt">
    <w:name w:val="ECHR_Header_Ref_It"/>
    <w:aliases w:val="_Ref_Ital"/>
    <w:basedOn w:val="Normal"/>
    <w:next w:val="ECHRHeaderDate"/>
    <w:uiPriority w:val="43"/>
    <w:qFormat/>
    <w:rsid w:val="002B5B43"/>
    <w:pPr>
      <w:jc w:val="right"/>
    </w:pPr>
    <w:rPr>
      <w:i/>
      <w:sz w:val="20"/>
    </w:rPr>
  </w:style>
  <w:style w:type="paragraph" w:customStyle="1" w:styleId="ECHRHeading9">
    <w:name w:val="ECHR_Heading_9"/>
    <w:aliases w:val="_Head_9"/>
    <w:basedOn w:val="Heading9"/>
    <w:uiPriority w:val="17"/>
    <w:qFormat/>
    <w:rsid w:val="002B5B43"/>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B5B43"/>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qFormat/>
    <w:rsid w:val="002B5B43"/>
    <w:pPr>
      <w:numPr>
        <w:numId w:val="8"/>
      </w:numPr>
      <w:spacing w:before="60" w:after="60"/>
    </w:pPr>
  </w:style>
  <w:style w:type="paragraph" w:customStyle="1" w:styleId="ECHRNumberedList2">
    <w:name w:val="ECHR_Numbered_List_2"/>
    <w:aliases w:val="_Num_2"/>
    <w:basedOn w:val="ECHRNumberedList1"/>
    <w:uiPriority w:val="23"/>
    <w:rsid w:val="002B5B43"/>
    <w:pPr>
      <w:numPr>
        <w:ilvl w:val="1"/>
      </w:numPr>
    </w:pPr>
  </w:style>
  <w:style w:type="paragraph" w:customStyle="1" w:styleId="ECHRNumberedList3">
    <w:name w:val="ECHR_Numbered_List_3"/>
    <w:aliases w:val="_Num_3"/>
    <w:basedOn w:val="ECHRNumberedList2"/>
    <w:uiPriority w:val="23"/>
    <w:rsid w:val="002B5B43"/>
    <w:pPr>
      <w:numPr>
        <w:ilvl w:val="2"/>
      </w:numPr>
    </w:pPr>
  </w:style>
  <w:style w:type="paragraph" w:customStyle="1" w:styleId="ECHRParaHanging">
    <w:name w:val="ECHR_Para_Hanging"/>
    <w:aliases w:val="_Hanging"/>
    <w:basedOn w:val="NormalJustified"/>
    <w:uiPriority w:val="8"/>
    <w:semiHidden/>
    <w:qFormat/>
    <w:rsid w:val="002B5B43"/>
    <w:pPr>
      <w:ind w:left="567" w:hanging="567"/>
    </w:pPr>
  </w:style>
  <w:style w:type="paragraph" w:customStyle="1" w:styleId="ECHRParaIndent">
    <w:name w:val="ECHR_Para_Indent"/>
    <w:aliases w:val="_Indent"/>
    <w:basedOn w:val="NormalJustified"/>
    <w:uiPriority w:val="7"/>
    <w:semiHidden/>
    <w:qFormat/>
    <w:rsid w:val="002B5B43"/>
    <w:pPr>
      <w:spacing w:before="120" w:after="120"/>
      <w:ind w:left="284"/>
    </w:pPr>
  </w:style>
  <w:style w:type="character" w:customStyle="1" w:styleId="ECHRRed">
    <w:name w:val="ECHR_Red"/>
    <w:aliases w:val="_Red"/>
    <w:basedOn w:val="DefaultParagraphFont"/>
    <w:uiPriority w:val="15"/>
    <w:semiHidden/>
    <w:qFormat/>
    <w:rsid w:val="002B5B43"/>
    <w:rPr>
      <w:color w:val="C00000" w:themeColor="accent2"/>
    </w:rPr>
  </w:style>
  <w:style w:type="paragraph" w:customStyle="1" w:styleId="DecList">
    <w:name w:val="Dec_List"/>
    <w:aliases w:val="_List"/>
    <w:basedOn w:val="JuList"/>
    <w:uiPriority w:val="22"/>
    <w:rsid w:val="002B5B43"/>
    <w:pPr>
      <w:numPr>
        <w:numId w:val="0"/>
      </w:numPr>
      <w:ind w:left="284"/>
    </w:pPr>
  </w:style>
  <w:style w:type="table" w:customStyle="1" w:styleId="ECHRTable2">
    <w:name w:val="ECHR_Table_2"/>
    <w:basedOn w:val="TableNormal"/>
    <w:uiPriority w:val="99"/>
    <w:rsid w:val="002B5B43"/>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2B5B43"/>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2B5B43"/>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2B5B43"/>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2B5B43"/>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2B5B43"/>
    <w:pPr>
      <w:outlineLvl w:val="0"/>
    </w:pPr>
  </w:style>
  <w:style w:type="paragraph" w:customStyle="1" w:styleId="ECHRTitleTOC1">
    <w:name w:val="ECHR_Title_TOC_1"/>
    <w:aliases w:val="_Title_L_TOC"/>
    <w:basedOn w:val="ECHRTitle1"/>
    <w:next w:val="Normal"/>
    <w:uiPriority w:val="27"/>
    <w:semiHidden/>
    <w:qFormat/>
    <w:rsid w:val="002B5B43"/>
    <w:pPr>
      <w:outlineLvl w:val="0"/>
    </w:pPr>
  </w:style>
  <w:style w:type="paragraph" w:customStyle="1" w:styleId="ECHRPlaceholder">
    <w:name w:val="ECHR_Placeholder"/>
    <w:aliases w:val="_Placeholder"/>
    <w:basedOn w:val="JuSigned"/>
    <w:uiPriority w:val="31"/>
    <w:rsid w:val="002B5B43"/>
    <w:rPr>
      <w:color w:val="FFFFFF"/>
    </w:rPr>
  </w:style>
  <w:style w:type="paragraph" w:customStyle="1" w:styleId="ECHRSpacer">
    <w:name w:val="ECHR_Spacer"/>
    <w:aliases w:val="_Spacer"/>
    <w:basedOn w:val="Normal"/>
    <w:uiPriority w:val="45"/>
    <w:semiHidden/>
    <w:rsid w:val="002B5B43"/>
    <w:rPr>
      <w:sz w:val="4"/>
    </w:rPr>
  </w:style>
  <w:style w:type="table" w:customStyle="1" w:styleId="ECHRTableGrey">
    <w:name w:val="ECHR_Table_Grey"/>
    <w:basedOn w:val="TableNormal"/>
    <w:uiPriority w:val="99"/>
    <w:rsid w:val="002B5B43"/>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2B5B43"/>
    <w:rPr>
      <w:color w:val="605E5C"/>
      <w:shd w:val="clear" w:color="auto" w:fill="E1DFDD"/>
    </w:rPr>
  </w:style>
  <w:style w:type="character" w:customStyle="1" w:styleId="JuParaChar">
    <w:name w:val="Ju_Para Char"/>
    <w:aliases w:val="_Para Char"/>
    <w:link w:val="JuPara"/>
    <w:uiPriority w:val="4"/>
    <w:rsid w:val="002B74EC"/>
    <w:rPr>
      <w:sz w:val="24"/>
      <w:szCs w:val="24"/>
      <w:lang w:val="en-GB"/>
    </w:rPr>
  </w:style>
  <w:style w:type="table" w:styleId="GridTable1Light">
    <w:name w:val="Grid Table 1 Light"/>
    <w:basedOn w:val="TableNormal"/>
    <w:uiPriority w:val="46"/>
    <w:rsid w:val="002B74E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2B74EC"/>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rsid w:val="002B74EC"/>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B74EC"/>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B74EC"/>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B74EC"/>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B74EC"/>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B74EC"/>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B74EC"/>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B74EC"/>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rsid w:val="002B74EC"/>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rsid w:val="002B74EC"/>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rsid w:val="002B74EC"/>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rsid w:val="002B74EC"/>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rsid w:val="002B74EC"/>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rsid w:val="002B74E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B74E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rsid w:val="002B74E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rsid w:val="002B74EC"/>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rsid w:val="002B74E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rsid w:val="002B74E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rsid w:val="002B74E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rsid w:val="002B74E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B74E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rsid w:val="002B74E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rsid w:val="002B74EC"/>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rsid w:val="002B74E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rsid w:val="002B74E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rsid w:val="002B74E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rsid w:val="002B74EC"/>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B74EC"/>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rsid w:val="002B74EC"/>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rsid w:val="002B74EC"/>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rsid w:val="002B74EC"/>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rsid w:val="002B74EC"/>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rsid w:val="002B74EC"/>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rsid w:val="002B74E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B74EC"/>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rsid w:val="002B74EC"/>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rsid w:val="002B74EC"/>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rsid w:val="002B74EC"/>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rsid w:val="002B74EC"/>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rsid w:val="002B74EC"/>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rsid w:val="002B74E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B74EC"/>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rsid w:val="002B74EC"/>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rsid w:val="002B74EC"/>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rsid w:val="002B74EC"/>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rsid w:val="002B74EC"/>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rsid w:val="002B74EC"/>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2B74EC"/>
    <w:rPr>
      <w:color w:val="2B579A"/>
      <w:shd w:val="clear" w:color="auto" w:fill="E1DFDD"/>
    </w:rPr>
  </w:style>
  <w:style w:type="table" w:styleId="ListTable1Light">
    <w:name w:val="List Table 1 Light"/>
    <w:basedOn w:val="TableNormal"/>
    <w:uiPriority w:val="46"/>
    <w:rsid w:val="002B74EC"/>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B74EC"/>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rsid w:val="002B74EC"/>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rsid w:val="002B74EC"/>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rsid w:val="002B74EC"/>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rsid w:val="002B74EC"/>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rsid w:val="002B74EC"/>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rsid w:val="002B74EC"/>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B74EC"/>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rsid w:val="002B74EC"/>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rsid w:val="002B74EC"/>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rsid w:val="002B74EC"/>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rsid w:val="002B74EC"/>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rsid w:val="002B74EC"/>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rsid w:val="002B74EC"/>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B74EC"/>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rsid w:val="002B74EC"/>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rsid w:val="002B74EC"/>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rsid w:val="002B74EC"/>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rsid w:val="002B74EC"/>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rsid w:val="002B74EC"/>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rsid w:val="002B74E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B74E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rsid w:val="002B74E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rsid w:val="002B74EC"/>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rsid w:val="002B74E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rsid w:val="002B74E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rsid w:val="002B74E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rsid w:val="002B74EC"/>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B74EC"/>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B74EC"/>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B74EC"/>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B74EC"/>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B74EC"/>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B74EC"/>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2B74EC"/>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2B74EC"/>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rsid w:val="002B74EC"/>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rsid w:val="002B74EC"/>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rsid w:val="002B74EC"/>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rsid w:val="002B74EC"/>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rsid w:val="002B74EC"/>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rsid w:val="002B74EC"/>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B74EC"/>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B74EC"/>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B74EC"/>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B74EC"/>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B74EC"/>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B74EC"/>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2B74EC"/>
    <w:rPr>
      <w:color w:val="2B579A"/>
      <w:shd w:val="clear" w:color="auto" w:fill="E1DFDD"/>
    </w:rPr>
  </w:style>
  <w:style w:type="table" w:styleId="PlainTable1">
    <w:name w:val="Plain Table 1"/>
    <w:basedOn w:val="TableNormal"/>
    <w:uiPriority w:val="41"/>
    <w:rsid w:val="002B74EC"/>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rsid w:val="002B74E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B74EC"/>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B74E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rsid w:val="002B74E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2B74EC"/>
    <w:rPr>
      <w:u w:val="dotted"/>
    </w:rPr>
  </w:style>
  <w:style w:type="character" w:styleId="SmartLink">
    <w:name w:val="Smart Link"/>
    <w:basedOn w:val="DefaultParagraphFont"/>
    <w:uiPriority w:val="99"/>
    <w:semiHidden/>
    <w:unhideWhenUsed/>
    <w:rsid w:val="002B74EC"/>
    <w:rPr>
      <w:color w:val="0000FF"/>
      <w:u w:val="single"/>
      <w:shd w:val="clear" w:color="auto" w:fill="F3F2F1"/>
    </w:rPr>
  </w:style>
  <w:style w:type="table" w:styleId="GridTableLight">
    <w:name w:val="Grid Table Light"/>
    <w:basedOn w:val="TableNormal"/>
    <w:uiPriority w:val="40"/>
    <w:rsid w:val="002B74EC"/>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character" w:customStyle="1" w:styleId="ju-005fpara--char">
    <w:name w:val="ju-005fpara--char"/>
    <w:basedOn w:val="DefaultParagraphFont"/>
    <w:rsid w:val="002B74EC"/>
  </w:style>
  <w:style w:type="paragraph" w:styleId="Revision">
    <w:name w:val="Revision"/>
    <w:hidden/>
    <w:uiPriority w:val="99"/>
    <w:semiHidden/>
    <w:rsid w:val="002B74EC"/>
    <w:rPr>
      <w:sz w:val="24"/>
      <w:szCs w:val="24"/>
      <w:lang w:val="en-GB"/>
    </w:rPr>
  </w:style>
  <w:style w:type="character" w:customStyle="1" w:styleId="JuQuotChar">
    <w:name w:val="Ju_Quot Char"/>
    <w:link w:val="JuQuot"/>
    <w:uiPriority w:val="14"/>
    <w:locked/>
    <w:rsid w:val="002B74EC"/>
    <w:rPr>
      <w:sz w:val="20"/>
      <w:szCs w:val="24"/>
      <w:lang w:val="en-GB"/>
    </w:rPr>
  </w:style>
  <w:style w:type="paragraph" w:customStyle="1" w:styleId="jupara0">
    <w:name w:val="jupara"/>
    <w:basedOn w:val="Normal"/>
    <w:rsid w:val="00FB59C5"/>
    <w:pPr>
      <w:ind w:firstLine="284"/>
      <w:jc w:val="both"/>
    </w:pPr>
    <w:rPr>
      <w:rFonts w:ascii="Times New Roman" w:eastAsia="Times New Roman" w:hAnsi="Times New Roman" w:cs="Times New Roman"/>
      <w:lang w:eastAsia="en-GB"/>
    </w:rPr>
  </w:style>
  <w:style w:type="paragraph" w:customStyle="1" w:styleId="jucase0">
    <w:name w:val="jucase"/>
    <w:basedOn w:val="Normal"/>
    <w:rsid w:val="00FB59C5"/>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notes.xml.rels><?xml version="1.0" encoding="utf-8" standalone="yes"?><Relationships xmlns="http://schemas.openxmlformats.org/package/2006/relationships"><Relationship Id="rId1" Type="http://schemas.openxmlformats.org/officeDocument/2006/relationships/hyperlink" Target="https://www.carina.rs/en/passengers/passenger-customs-clearance/useful-information-for-passengers.html"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8798</Words>
  <Characters>48392</Characters>
  <Application>Microsoft Office Word</Application>
  <DocSecurity>0</DocSecurity>
  <Lines>403</Lines>
  <Paragraphs>114</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57076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2024-09-16T12:58:00Z</dcterms:created>
  <dcterms:modified xsi:type="dcterms:W3CDTF">2024-12-20T17:24:00Z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1126245</vt:lpwstr>
  </property>
  <property fmtid="{D5CDD505-2E9C-101B-9397-08002B2CF9AE}" pid="3" name="cstLanguage">
    <vt:i4>2057</vt:i4>
  </property>
  <property fmtid="{D5CDD505-2E9C-101B-9397-08002B2CF9AE}" pid="4" name="RegisteredNo">
    <vt:lpwstr>15887/15</vt:lpwstr>
  </property>
</Properties>
</file>