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3E3F83" w:rsidR="007A4070" w:rsidP="003E3F83" w14:paraId="5F64F4AB" w14:textId="77777777"/>
    <w:p w:rsidRPr="003E3F83" w:rsidR="007A4070" w:rsidP="003E3F83" w14:paraId="3F0B2C7F" w14:textId="75A10CB7">
      <w:pPr>
        <w:pStyle w:val="DecHTitle"/>
      </w:pPr>
      <w:r w:rsidRPr="003E3F83">
        <w:t>DEUXIÈME SECTION</w:t>
      </w:r>
    </w:p>
    <w:p w:rsidRPr="003E3F83" w:rsidR="007A4070" w:rsidP="009E1163" w14:paraId="2AB6DEF4" w14:textId="2AA05C31">
      <w:pPr>
        <w:pStyle w:val="JuTitle"/>
        <w:spacing w:before="600" w:after="240"/>
      </w:pPr>
      <w:r w:rsidRPr="003E3F83">
        <w:t xml:space="preserve">AFFAIRE </w:t>
      </w:r>
      <w:r w:rsidRPr="003E3F83" w:rsidR="005B4F8B">
        <w:t>SELÇUK c. TÜRKİYE</w:t>
      </w:r>
    </w:p>
    <w:p w:rsidRPr="003E3F83" w:rsidR="007A4070" w:rsidP="003E3F83" w14:paraId="7A63C8BD" w14:textId="20257454">
      <w:pPr>
        <w:pStyle w:val="ECHRCoverTitle4"/>
      </w:pPr>
      <w:r w:rsidRPr="003E3F83">
        <w:t>(</w:t>
      </w:r>
      <w:r w:rsidRPr="003E3F83" w:rsidR="005B4F8B">
        <w:t>Requête n</w:t>
      </w:r>
      <w:r w:rsidRPr="003E3F83" w:rsidR="005B4F8B">
        <w:rPr>
          <w:vertAlign w:val="superscript"/>
        </w:rPr>
        <w:t>o</w:t>
      </w:r>
      <w:r w:rsidRPr="003E3F83">
        <w:t xml:space="preserve"> </w:t>
      </w:r>
      <w:r w:rsidRPr="003E3F83" w:rsidR="005B4F8B">
        <w:t>23093/20</w:t>
      </w:r>
      <w:r w:rsidRPr="003E3F83">
        <w:t>)</w:t>
      </w:r>
    </w:p>
    <w:p w:rsidRPr="003E3F83" w:rsidR="007A4070" w:rsidP="003E3F83" w14:paraId="6702CCD5" w14:textId="15BC529F">
      <w:pPr>
        <w:pStyle w:val="DecHCase"/>
        <w:rPr>
          <w:sz w:val="16"/>
          <w:szCs w:val="16"/>
        </w:rPr>
      </w:pPr>
      <w:r w:rsidRPr="003E3F83">
        <w:br/>
      </w:r>
      <w:r w:rsidRPr="003E3F83">
        <w:t>ARRÊT</w:t>
      </w:r>
      <w:r w:rsidRPr="003E3F83">
        <w:br/>
      </w:r>
    </w:p>
    <w:p w:rsidRPr="003E3F83" w:rsidR="00F44C06" w:rsidP="003E3F83" w14:paraId="5F1ED926" w14:textId="7F3C2686">
      <w:pPr>
        <w:pBdr>
          <w:top w:val="single" w:color="auto" w:sz="4" w:space="1"/>
          <w:left w:val="single" w:color="auto" w:sz="4" w:space="4"/>
          <w:bottom w:val="single" w:color="auto" w:sz="4" w:space="1"/>
          <w:right w:val="single" w:color="auto" w:sz="4" w:space="4"/>
        </w:pBdr>
        <w:jc w:val="both"/>
        <w:rPr>
          <w:sz w:val="20"/>
          <w:szCs w:val="20"/>
        </w:rPr>
      </w:pPr>
      <w:r w:rsidRPr="003E3F83">
        <w:rPr>
          <w:sz w:val="20"/>
          <w:szCs w:val="20"/>
        </w:rPr>
        <w:t xml:space="preserve">Art 2 (matériel) </w:t>
      </w:r>
      <w:r w:rsidRPr="003E3F83">
        <w:rPr>
          <w:bCs/>
          <w:sz w:val="20"/>
          <w:szCs w:val="20"/>
        </w:rPr>
        <w:t xml:space="preserve">• </w:t>
      </w:r>
      <w:r w:rsidRPr="003E3F83">
        <w:rPr>
          <w:sz w:val="20"/>
          <w:szCs w:val="20"/>
        </w:rPr>
        <w:t xml:space="preserve">Obligations positives </w:t>
      </w:r>
      <w:r w:rsidRPr="003E3F83">
        <w:rPr>
          <w:bCs/>
          <w:sz w:val="20"/>
          <w:szCs w:val="20"/>
        </w:rPr>
        <w:t xml:space="preserve">• </w:t>
      </w:r>
      <w:r w:rsidRPr="003E3F83">
        <w:rPr>
          <w:sz w:val="20"/>
          <w:szCs w:val="20"/>
        </w:rPr>
        <w:t>Autorités nationales n</w:t>
      </w:r>
      <w:r w:rsidRPr="003E3F83" w:rsidR="003E3F83">
        <w:rPr>
          <w:sz w:val="20"/>
          <w:szCs w:val="20"/>
        </w:rPr>
        <w:t>’</w:t>
      </w:r>
      <w:r w:rsidRPr="003E3F83">
        <w:rPr>
          <w:sz w:val="20"/>
          <w:szCs w:val="20"/>
        </w:rPr>
        <w:t>ayant pas manqué à leur devoir de protéger le droit à la vie d</w:t>
      </w:r>
      <w:r w:rsidRPr="003E3F83" w:rsidR="003E3F83">
        <w:rPr>
          <w:sz w:val="20"/>
          <w:szCs w:val="20"/>
        </w:rPr>
        <w:t>’</w:t>
      </w:r>
      <w:r w:rsidRPr="003E3F83">
        <w:rPr>
          <w:sz w:val="20"/>
          <w:szCs w:val="20"/>
        </w:rPr>
        <w:t>un manifestant lors d</w:t>
      </w:r>
      <w:r w:rsidRPr="003E3F83" w:rsidR="003E3F83">
        <w:rPr>
          <w:sz w:val="20"/>
          <w:szCs w:val="20"/>
        </w:rPr>
        <w:t>’</w:t>
      </w:r>
      <w:r w:rsidRPr="003E3F83">
        <w:rPr>
          <w:sz w:val="20"/>
          <w:szCs w:val="20"/>
        </w:rPr>
        <w:t>une manifestation ayant fait l</w:t>
      </w:r>
      <w:r w:rsidRPr="003E3F83" w:rsidR="003E3F83">
        <w:rPr>
          <w:sz w:val="20"/>
          <w:szCs w:val="20"/>
        </w:rPr>
        <w:t>’</w:t>
      </w:r>
      <w:r w:rsidRPr="003E3F83">
        <w:rPr>
          <w:sz w:val="20"/>
          <w:szCs w:val="20"/>
        </w:rPr>
        <w:t>objet d</w:t>
      </w:r>
      <w:r w:rsidRPr="003E3F83" w:rsidR="003E3F83">
        <w:rPr>
          <w:sz w:val="20"/>
          <w:szCs w:val="20"/>
        </w:rPr>
        <w:t>’</w:t>
      </w:r>
      <w:r w:rsidRPr="003E3F83">
        <w:rPr>
          <w:sz w:val="20"/>
          <w:szCs w:val="20"/>
        </w:rPr>
        <w:t xml:space="preserve">un attentat suicide terroriste </w:t>
      </w:r>
      <w:r w:rsidRPr="003E3F83">
        <w:rPr>
          <w:bCs/>
          <w:sz w:val="20"/>
          <w:szCs w:val="20"/>
        </w:rPr>
        <w:t xml:space="preserve">• </w:t>
      </w:r>
      <w:r w:rsidRPr="003E3F83">
        <w:rPr>
          <w:sz w:val="20"/>
          <w:szCs w:val="20"/>
        </w:rPr>
        <w:t xml:space="preserve">Obligation pour les autorités, dans un contexte marqué par un risque terroriste, de prendre toutes les mesures nécessaires pour prévenir la matérialisation de ce risque </w:t>
      </w:r>
      <w:r w:rsidRPr="003E3F83">
        <w:rPr>
          <w:bCs/>
          <w:sz w:val="20"/>
          <w:szCs w:val="20"/>
        </w:rPr>
        <w:t xml:space="preserve">• </w:t>
      </w:r>
      <w:r w:rsidRPr="003E3F83">
        <w:rPr>
          <w:sz w:val="20"/>
          <w:szCs w:val="20"/>
        </w:rPr>
        <w:t>Autorités ignoraient qu</w:t>
      </w:r>
      <w:r w:rsidRPr="003E3F83" w:rsidR="003E3F83">
        <w:rPr>
          <w:sz w:val="20"/>
          <w:szCs w:val="20"/>
        </w:rPr>
        <w:t>’</w:t>
      </w:r>
      <w:r w:rsidRPr="003E3F83">
        <w:rPr>
          <w:sz w:val="20"/>
          <w:szCs w:val="20"/>
        </w:rPr>
        <w:t>une menace grave, prévisible et imminente d</w:t>
      </w:r>
      <w:r w:rsidRPr="003E3F83" w:rsidR="003E3F83">
        <w:rPr>
          <w:sz w:val="20"/>
          <w:szCs w:val="20"/>
        </w:rPr>
        <w:t>’</w:t>
      </w:r>
      <w:r w:rsidRPr="003E3F83">
        <w:rPr>
          <w:sz w:val="20"/>
          <w:szCs w:val="20"/>
        </w:rPr>
        <w:t xml:space="preserve">attentat terroriste existait concernant cette manifestation </w:t>
      </w:r>
      <w:r w:rsidRPr="003E3F83">
        <w:rPr>
          <w:bCs/>
          <w:sz w:val="20"/>
          <w:szCs w:val="20"/>
        </w:rPr>
        <w:t xml:space="preserve">• </w:t>
      </w:r>
      <w:r w:rsidRPr="003E3F83">
        <w:rPr>
          <w:sz w:val="20"/>
          <w:szCs w:val="20"/>
        </w:rPr>
        <w:t>Difficultés particulières inhérentes à la prévention de ce type d</w:t>
      </w:r>
      <w:r w:rsidRPr="003E3F83" w:rsidR="003E3F83">
        <w:rPr>
          <w:sz w:val="20"/>
          <w:szCs w:val="20"/>
        </w:rPr>
        <w:t>’</w:t>
      </w:r>
      <w:r w:rsidRPr="003E3F83">
        <w:rPr>
          <w:sz w:val="20"/>
          <w:szCs w:val="20"/>
        </w:rPr>
        <w:t xml:space="preserve">attentat terroriste </w:t>
      </w:r>
      <w:r w:rsidRPr="003E3F83">
        <w:rPr>
          <w:bCs/>
          <w:sz w:val="20"/>
          <w:szCs w:val="20"/>
        </w:rPr>
        <w:t xml:space="preserve">• </w:t>
      </w:r>
      <w:r w:rsidRPr="003E3F83">
        <w:rPr>
          <w:sz w:val="20"/>
          <w:szCs w:val="20"/>
        </w:rPr>
        <w:t>Adoption de mesures préventives afin d</w:t>
      </w:r>
      <w:r w:rsidRPr="003E3F83" w:rsidR="003E3F83">
        <w:rPr>
          <w:sz w:val="20"/>
          <w:szCs w:val="20"/>
        </w:rPr>
        <w:t>’</w:t>
      </w:r>
      <w:r w:rsidRPr="003E3F83">
        <w:rPr>
          <w:sz w:val="20"/>
          <w:szCs w:val="20"/>
        </w:rPr>
        <w:t>assurer l</w:t>
      </w:r>
      <w:r w:rsidRPr="003E3F83" w:rsidR="003E3F83">
        <w:rPr>
          <w:sz w:val="20"/>
          <w:szCs w:val="20"/>
        </w:rPr>
        <w:t>’</w:t>
      </w:r>
      <w:r w:rsidRPr="003E3F83">
        <w:rPr>
          <w:sz w:val="20"/>
          <w:szCs w:val="20"/>
        </w:rPr>
        <w:t>envoi immédiat de services de secours d</w:t>
      </w:r>
      <w:r w:rsidRPr="003E3F83" w:rsidR="003E3F83">
        <w:rPr>
          <w:sz w:val="20"/>
          <w:szCs w:val="20"/>
        </w:rPr>
        <w:t>’</w:t>
      </w:r>
      <w:r w:rsidRPr="003E3F83">
        <w:rPr>
          <w:sz w:val="20"/>
          <w:szCs w:val="20"/>
        </w:rPr>
        <w:t xml:space="preserve">urgence sur les lieux de la manifestation </w:t>
      </w:r>
      <w:r w:rsidRPr="003E3F83">
        <w:rPr>
          <w:bCs/>
          <w:sz w:val="20"/>
          <w:szCs w:val="20"/>
        </w:rPr>
        <w:t xml:space="preserve">• </w:t>
      </w:r>
      <w:r w:rsidRPr="003E3F83">
        <w:rPr>
          <w:sz w:val="20"/>
          <w:szCs w:val="20"/>
        </w:rPr>
        <w:t xml:space="preserve">Requérant ayant pu bénéficier de soins adéquats relativement rapidement </w:t>
      </w:r>
      <w:r w:rsidRPr="003E3F83">
        <w:rPr>
          <w:bCs/>
          <w:sz w:val="20"/>
          <w:szCs w:val="20"/>
        </w:rPr>
        <w:t xml:space="preserve">• </w:t>
      </w:r>
      <w:r w:rsidRPr="003E3F83">
        <w:rPr>
          <w:sz w:val="20"/>
          <w:szCs w:val="20"/>
        </w:rPr>
        <w:t>Usage du gaz lacrymogène juste après l</w:t>
      </w:r>
      <w:r w:rsidRPr="003E3F83" w:rsidR="003E3F83">
        <w:rPr>
          <w:sz w:val="20"/>
          <w:szCs w:val="20"/>
        </w:rPr>
        <w:t>’</w:t>
      </w:r>
      <w:r w:rsidRPr="003E3F83">
        <w:rPr>
          <w:sz w:val="20"/>
          <w:szCs w:val="20"/>
        </w:rPr>
        <w:t>attentat par les policiers pour dissiper la foule et permettre l</w:t>
      </w:r>
      <w:r w:rsidRPr="003E3F83" w:rsidR="003E3F83">
        <w:rPr>
          <w:sz w:val="20"/>
          <w:szCs w:val="20"/>
        </w:rPr>
        <w:t>’</w:t>
      </w:r>
      <w:r w:rsidRPr="003E3F83">
        <w:rPr>
          <w:sz w:val="20"/>
          <w:szCs w:val="20"/>
        </w:rPr>
        <w:t>accès des forces de l</w:t>
      </w:r>
      <w:r w:rsidRPr="003E3F83" w:rsidR="003E3F83">
        <w:rPr>
          <w:sz w:val="20"/>
          <w:szCs w:val="20"/>
        </w:rPr>
        <w:t>’</w:t>
      </w:r>
      <w:r w:rsidRPr="003E3F83">
        <w:rPr>
          <w:sz w:val="20"/>
          <w:szCs w:val="20"/>
        </w:rPr>
        <w:t>ordre sur les lieux n</w:t>
      </w:r>
      <w:r w:rsidRPr="003E3F83" w:rsidR="003E3F83">
        <w:rPr>
          <w:sz w:val="20"/>
          <w:szCs w:val="20"/>
        </w:rPr>
        <w:t>’</w:t>
      </w:r>
      <w:r w:rsidRPr="003E3F83">
        <w:rPr>
          <w:sz w:val="20"/>
          <w:szCs w:val="20"/>
        </w:rPr>
        <w:t>ayant pas empêché l</w:t>
      </w:r>
      <w:r w:rsidRPr="003E3F83" w:rsidR="003E3F83">
        <w:rPr>
          <w:sz w:val="20"/>
          <w:szCs w:val="20"/>
        </w:rPr>
        <w:t>’</w:t>
      </w:r>
      <w:r w:rsidRPr="003E3F83">
        <w:rPr>
          <w:sz w:val="20"/>
          <w:szCs w:val="20"/>
        </w:rPr>
        <w:t>intervention rapide des secouristes</w:t>
      </w:r>
    </w:p>
    <w:p w:rsidRPr="003E3F83" w:rsidR="00F44C06" w:rsidP="003E3F83" w14:paraId="0CF978CF" w14:textId="29243EB0">
      <w:pPr>
        <w:pStyle w:val="JuPara"/>
        <w:pBdr>
          <w:top w:val="single" w:color="auto" w:sz="4" w:space="1"/>
          <w:left w:val="single" w:color="auto" w:sz="4" w:space="4"/>
          <w:bottom w:val="single" w:color="auto" w:sz="4" w:space="1"/>
          <w:right w:val="single" w:color="auto" w:sz="4" w:space="4"/>
        </w:pBdr>
        <w:ind w:firstLine="0"/>
        <w:rPr>
          <w:sz w:val="20"/>
          <w:szCs w:val="20"/>
        </w:rPr>
      </w:pPr>
      <w:r w:rsidRPr="003E3F83">
        <w:rPr>
          <w:sz w:val="20"/>
          <w:szCs w:val="20"/>
        </w:rPr>
        <w:t xml:space="preserve">Art 2 (procédural) </w:t>
      </w:r>
      <w:r w:rsidRPr="003E3F83">
        <w:rPr>
          <w:bCs/>
          <w:sz w:val="20"/>
          <w:szCs w:val="20"/>
        </w:rPr>
        <w:t xml:space="preserve">• </w:t>
      </w:r>
      <w:r w:rsidRPr="003E3F83">
        <w:rPr>
          <w:sz w:val="20"/>
          <w:szCs w:val="20"/>
        </w:rPr>
        <w:t xml:space="preserve">Obligations positives </w:t>
      </w:r>
      <w:r w:rsidRPr="003E3F83">
        <w:rPr>
          <w:bCs/>
          <w:sz w:val="20"/>
          <w:szCs w:val="20"/>
        </w:rPr>
        <w:t xml:space="preserve">• </w:t>
      </w:r>
      <w:r w:rsidRPr="003E3F83">
        <w:rPr>
          <w:sz w:val="20"/>
          <w:szCs w:val="20"/>
        </w:rPr>
        <w:t>Droit interne ayant offert au requérant une voie de recours en indemnisation du préjudice moral efficace dans les circonstances de la cause</w:t>
      </w:r>
      <w:r w:rsidRPr="003E3F83">
        <w:rPr>
          <w:bCs/>
          <w:sz w:val="20"/>
          <w:szCs w:val="20"/>
        </w:rPr>
        <w:t xml:space="preserve"> • Responsabilité de l</w:t>
      </w:r>
      <w:r w:rsidRPr="003E3F83" w:rsidR="003E3F83">
        <w:rPr>
          <w:bCs/>
          <w:sz w:val="20"/>
          <w:szCs w:val="20"/>
        </w:rPr>
        <w:t>’</w:t>
      </w:r>
      <w:r w:rsidRPr="003E3F83">
        <w:rPr>
          <w:bCs/>
          <w:sz w:val="20"/>
          <w:szCs w:val="20"/>
        </w:rPr>
        <w:t>État du fait de carences des services de renseignement dans l</w:t>
      </w:r>
      <w:r w:rsidRPr="003E3F83" w:rsidR="003E3F83">
        <w:rPr>
          <w:bCs/>
          <w:sz w:val="20"/>
          <w:szCs w:val="20"/>
        </w:rPr>
        <w:t>’</w:t>
      </w:r>
      <w:r w:rsidRPr="003E3F83">
        <w:rPr>
          <w:bCs/>
          <w:sz w:val="20"/>
          <w:szCs w:val="20"/>
        </w:rPr>
        <w:t xml:space="preserve">évaluation </w:t>
      </w:r>
      <w:r w:rsidRPr="003E3F83">
        <w:rPr>
          <w:bCs/>
          <w:sz w:val="20"/>
          <w:szCs w:val="20"/>
        </w:rPr>
        <w:t>du</w:t>
      </w:r>
      <w:r w:rsidRPr="003E3F83">
        <w:rPr>
          <w:bCs/>
          <w:sz w:val="20"/>
          <w:szCs w:val="20"/>
        </w:rPr>
        <w:t xml:space="preserve"> risque d</w:t>
      </w:r>
      <w:r w:rsidRPr="003E3F83" w:rsidR="003E3F83">
        <w:rPr>
          <w:bCs/>
          <w:sz w:val="20"/>
          <w:szCs w:val="20"/>
        </w:rPr>
        <w:t>’</w:t>
      </w:r>
      <w:r w:rsidRPr="003E3F83">
        <w:rPr>
          <w:bCs/>
          <w:sz w:val="20"/>
          <w:szCs w:val="20"/>
        </w:rPr>
        <w:t>attentat terroriste engagée sur le fondement d</w:t>
      </w:r>
      <w:r w:rsidRPr="003E3F83" w:rsidR="003E3F83">
        <w:rPr>
          <w:bCs/>
          <w:sz w:val="20"/>
          <w:szCs w:val="20"/>
        </w:rPr>
        <w:t>’</w:t>
      </w:r>
      <w:r w:rsidRPr="003E3F83">
        <w:rPr>
          <w:bCs/>
          <w:sz w:val="20"/>
          <w:szCs w:val="20"/>
        </w:rPr>
        <w:t>une responsabilité objective supprimant la nécessité de prouver une faute imputable à l</w:t>
      </w:r>
      <w:r w:rsidRPr="003E3F83" w:rsidR="003E3F83">
        <w:rPr>
          <w:bCs/>
          <w:sz w:val="20"/>
          <w:szCs w:val="20"/>
        </w:rPr>
        <w:t>’</w:t>
      </w:r>
      <w:r w:rsidRPr="003E3F83">
        <w:rPr>
          <w:bCs/>
          <w:sz w:val="20"/>
          <w:szCs w:val="20"/>
        </w:rPr>
        <w:t xml:space="preserve">administration • </w:t>
      </w:r>
      <w:r w:rsidRPr="003E3F83">
        <w:rPr>
          <w:sz w:val="20"/>
          <w:szCs w:val="20"/>
        </w:rPr>
        <w:t>Réparation allouée adéquate et suffisante</w:t>
      </w:r>
    </w:p>
    <w:p w:rsidRPr="003E3F83" w:rsidR="00F44C06" w:rsidP="003E3F83" w14:paraId="23F2296B" w14:textId="77777777">
      <w:pPr>
        <w:pStyle w:val="JuPara"/>
        <w:pBdr>
          <w:top w:val="single" w:color="auto" w:sz="4" w:space="1"/>
          <w:left w:val="single" w:color="auto" w:sz="4" w:space="4"/>
          <w:bottom w:val="single" w:color="auto" w:sz="4" w:space="1"/>
          <w:right w:val="single" w:color="auto" w:sz="4" w:space="4"/>
        </w:pBdr>
        <w:ind w:firstLine="0"/>
        <w:rPr>
          <w:sz w:val="20"/>
          <w:szCs w:val="20"/>
        </w:rPr>
      </w:pPr>
    </w:p>
    <w:p w:rsidRPr="003E3F83" w:rsidR="00F44C06" w:rsidP="003E3F83" w14:paraId="6301231F" w14:textId="5CDEA76B">
      <w:pPr>
        <w:pStyle w:val="JuPara"/>
        <w:pBdr>
          <w:top w:val="single" w:color="auto" w:sz="4" w:space="1"/>
          <w:left w:val="single" w:color="auto" w:sz="4" w:space="4"/>
          <w:bottom w:val="single" w:color="auto" w:sz="4" w:space="1"/>
          <w:right w:val="single" w:color="auto" w:sz="4" w:space="4"/>
        </w:pBdr>
        <w:ind w:firstLine="0"/>
        <w:jc w:val="center"/>
        <w:rPr>
          <w:sz w:val="16"/>
          <w:szCs w:val="16"/>
        </w:rPr>
      </w:pPr>
      <w:r w:rsidRPr="003E3F83">
        <w:rPr>
          <w:sz w:val="16"/>
          <w:szCs w:val="16"/>
        </w:rPr>
        <w:t>Préparé par le Greffe. Ne lie pas la Cour.</w:t>
      </w:r>
    </w:p>
    <w:p w:rsidRPr="003E3F83" w:rsidR="00F44C06" w:rsidP="003E3F83" w14:paraId="1EF95AD8" w14:textId="77777777">
      <w:pPr>
        <w:pStyle w:val="JuPara"/>
      </w:pPr>
    </w:p>
    <w:p w:rsidRPr="003E3F83" w:rsidR="007A4070" w:rsidP="009E1163" w14:paraId="7178E99B" w14:textId="77777777">
      <w:pPr>
        <w:pStyle w:val="DecHCase"/>
        <w:spacing w:after="240"/>
      </w:pPr>
      <w:r w:rsidRPr="003E3F83">
        <w:t>STRASBOURG</w:t>
      </w:r>
    </w:p>
    <w:p w:rsidRPr="003E3F83" w:rsidR="009B2895" w:rsidP="003E3F83" w14:paraId="6165FA79" w14:textId="425967DE">
      <w:pPr>
        <w:pStyle w:val="DecHCase"/>
      </w:pPr>
      <w:r w:rsidRPr="003E3F83">
        <w:t xml:space="preserve">9 </w:t>
      </w:r>
      <w:r w:rsidRPr="003E3F83" w:rsidR="003E3F83">
        <w:t>j</w:t>
      </w:r>
      <w:r w:rsidRPr="003E3F83">
        <w:t>u</w:t>
      </w:r>
      <w:r w:rsidRPr="003E3F83" w:rsidR="003E3F83">
        <w:t>illet</w:t>
      </w:r>
      <w:r w:rsidRPr="003E3F83">
        <w:t xml:space="preserve"> 2024</w:t>
      </w:r>
    </w:p>
    <w:p w:rsidRPr="003E3F83" w:rsidR="009B2895" w:rsidP="003E3F83" w14:paraId="0E3A60AE" w14:textId="77777777">
      <w:pPr>
        <w:pStyle w:val="JuPara"/>
      </w:pPr>
    </w:p>
    <w:p w:rsidR="009E1163" w:rsidP="009E1163" w14:paraId="2CA2AAAE" w14:textId="77777777">
      <w:pPr>
        <w:pStyle w:val="jucase0"/>
        <w:ind w:firstLine="0"/>
        <w:jc w:val="center"/>
        <w:rPr>
          <w:color w:val="FF0000"/>
          <w:sz w:val="28"/>
          <w:szCs w:val="28"/>
          <w:u w:val="single"/>
          <w:lang w:val="fr-FR"/>
        </w:rPr>
      </w:pPr>
      <w:bookmarkStart w:name="_Hlk172909186" w:id="0"/>
      <w:bookmarkStart w:name="_Hlk174111181" w:id="1"/>
      <w:r w:rsidRPr="00261F46">
        <w:rPr>
          <w:color w:val="FF0000"/>
          <w:sz w:val="28"/>
          <w:szCs w:val="28"/>
          <w:u w:val="single"/>
          <w:lang w:val="fr-FR"/>
        </w:rPr>
        <w:t>DÉFINITIF</w:t>
      </w:r>
    </w:p>
    <w:p w:rsidRPr="006D760C" w:rsidR="009E1163" w:rsidP="009E1163" w14:paraId="777AAD40" w14:textId="77777777">
      <w:pPr>
        <w:pStyle w:val="jucase0"/>
        <w:ind w:firstLine="0"/>
        <w:jc w:val="center"/>
        <w:rPr>
          <w:b w:val="0"/>
          <w:bCs w:val="0"/>
          <w:color w:val="FF0000"/>
          <w:u w:val="single"/>
          <w:lang w:val="fr-FR"/>
        </w:rPr>
      </w:pPr>
    </w:p>
    <w:p w:rsidRPr="00FA0AFC" w:rsidR="009E1163" w:rsidP="009E1163" w14:paraId="38555A80" w14:textId="77777777">
      <w:pPr>
        <w:pStyle w:val="jucase0"/>
        <w:ind w:firstLine="0"/>
        <w:jc w:val="center"/>
        <w:rPr>
          <w:b w:val="0"/>
          <w:color w:val="FF0000"/>
          <w:sz w:val="28"/>
          <w:szCs w:val="28"/>
          <w:lang w:val="fr-FR"/>
        </w:rPr>
      </w:pPr>
      <w:r>
        <w:rPr>
          <w:b w:val="0"/>
          <w:color w:val="FF0000"/>
          <w:sz w:val="28"/>
          <w:szCs w:val="28"/>
          <w:lang w:val="fr-FR"/>
        </w:rPr>
        <w:t>09/10/2024</w:t>
      </w:r>
    </w:p>
    <w:p w:rsidRPr="00261F46" w:rsidR="009E1163" w:rsidP="009E1163" w14:paraId="3D7DA9DB" w14:textId="77777777">
      <w:pPr>
        <w:pStyle w:val="jupara0"/>
        <w:ind w:firstLine="0"/>
        <w:jc w:val="center"/>
        <w:rPr>
          <w:u w:val="single"/>
          <w:lang w:val="fr-FR"/>
        </w:rPr>
      </w:pPr>
    </w:p>
    <w:p w:rsidRPr="003E3F83" w:rsidR="00516B59" w:rsidP="009E1163" w14:paraId="300E3825" w14:textId="426AEF04">
      <w:pPr>
        <w:jc w:val="center"/>
        <w:rPr>
          <w:rFonts w:ascii="Times New Roman" w:hAnsi="Times New Roman" w:cs="Times New Roman"/>
          <w:i/>
          <w:sz w:val="22"/>
        </w:rPr>
      </w:pPr>
      <w:r w:rsidRPr="00261F46">
        <w:rPr>
          <w:i/>
          <w:iCs/>
          <w:sz w:val="22"/>
          <w:szCs w:val="22"/>
        </w:rPr>
        <w:t xml:space="preserve">Cet arrêt est devenu définitif en vertu de l’article 44 § 2 de la Convention. </w:t>
      </w:r>
      <w:r>
        <w:rPr>
          <w:i/>
          <w:iCs/>
          <w:sz w:val="22"/>
          <w:szCs w:val="22"/>
        </w:rPr>
        <w:br/>
      </w:r>
      <w:r w:rsidRPr="00E361A6">
        <w:rPr>
          <w:i/>
          <w:iCs/>
          <w:sz w:val="22"/>
          <w:szCs w:val="22"/>
        </w:rPr>
        <w:t>Il peut subir des retouches de forme.</w:t>
      </w:r>
      <w:bookmarkEnd w:id="0"/>
      <w:bookmarkEnd w:id="1"/>
    </w:p>
    <w:p w:rsidRPr="003E3F83" w:rsidR="00516B59" w:rsidP="003E3F83" w14:paraId="2C8CC287" w14:textId="77777777">
      <w:pPr>
        <w:ind w:left="720"/>
        <w:rPr>
          <w:rFonts w:ascii="Times New Roman" w:hAnsi="Times New Roman" w:cs="Times New Roman"/>
          <w:sz w:val="22"/>
        </w:rPr>
        <w:sectPr w:rsidSect="00902601">
          <w:headerReference w:type="default" r:id="rId5"/>
          <w:footerReference w:type="even"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3E3F83" w:rsidR="004344E6" w:rsidP="003E3F83" w14:paraId="2F0F7BC7" w14:textId="20287E04">
      <w:pPr>
        <w:pStyle w:val="JuCase"/>
      </w:pPr>
      <w:r w:rsidRPr="003E3F83">
        <w:t>En l</w:t>
      </w:r>
      <w:r w:rsidRPr="003E3F83" w:rsidR="003E3F83">
        <w:t>’</w:t>
      </w:r>
      <w:r w:rsidRPr="003E3F83">
        <w:t xml:space="preserve">affaire </w:t>
      </w:r>
      <w:r w:rsidRPr="003E3F83" w:rsidR="005B4F8B">
        <w:t>Selçuk</w:t>
      </w:r>
      <w:r w:rsidRPr="003E3F83" w:rsidR="005B4F8B">
        <w:t xml:space="preserve"> c. Türkiye</w:t>
      </w:r>
      <w:r w:rsidRPr="003E3F83">
        <w:t>,</w:t>
      </w:r>
    </w:p>
    <w:p w:rsidRPr="003E3F83" w:rsidR="004344E6" w:rsidP="003E3F83" w14:paraId="000C46C1" w14:textId="12B8BC9F">
      <w:pPr>
        <w:pStyle w:val="JuPara"/>
      </w:pPr>
      <w:r w:rsidRPr="003E3F83">
        <w:t>La Cour européenne des droits de l</w:t>
      </w:r>
      <w:r w:rsidRPr="003E3F83" w:rsidR="003E3F83">
        <w:t>’</w:t>
      </w:r>
      <w:r w:rsidRPr="003E3F83">
        <w:t>homme (</w:t>
      </w:r>
      <w:r w:rsidRPr="003E3F83" w:rsidR="005B4F8B">
        <w:t>deuxième section</w:t>
      </w:r>
      <w:r w:rsidRPr="003E3F83">
        <w:t xml:space="preserve">), siégeant en </w:t>
      </w:r>
      <w:r w:rsidRPr="003E3F83" w:rsidR="005B4F8B">
        <w:rPr>
          <w:color w:val="000000"/>
        </w:rPr>
        <w:t>une</w:t>
      </w:r>
      <w:r w:rsidRPr="003E3F83" w:rsidR="005B4F8B">
        <w:t xml:space="preserve"> chambre composée</w:t>
      </w:r>
      <w:r w:rsidRPr="003E3F83">
        <w:t xml:space="preserve"> de :</w:t>
      </w:r>
    </w:p>
    <w:p w:rsidRPr="003E3F83" w:rsidR="004344E6" w:rsidP="003E3F83" w14:paraId="72031C33" w14:textId="51FCB111">
      <w:pPr>
        <w:pStyle w:val="JuJudges"/>
      </w:pPr>
      <w:r w:rsidRPr="003E3F83">
        <w:tab/>
      </w:r>
      <w:r w:rsidRPr="003E3F83">
        <w:t>Arnfinn</w:t>
      </w:r>
      <w:r w:rsidRPr="003E3F83">
        <w:t xml:space="preserve"> </w:t>
      </w:r>
      <w:r w:rsidRPr="003E3F83">
        <w:t>Bårdsen</w:t>
      </w:r>
      <w:r w:rsidRPr="003E3F83">
        <w:rPr>
          <w:i/>
        </w:rPr>
        <w:t>, président</w:t>
      </w:r>
      <w:r w:rsidRPr="003E3F83">
        <w:t>,</w:t>
      </w:r>
      <w:r w:rsidRPr="003E3F83">
        <w:br/>
      </w:r>
      <w:r w:rsidRPr="003E3F83">
        <w:tab/>
      </w:r>
      <w:r w:rsidRPr="003E3F83">
        <w:t>Pauliine</w:t>
      </w:r>
      <w:r w:rsidRPr="003E3F83">
        <w:t xml:space="preserve"> </w:t>
      </w:r>
      <w:r w:rsidRPr="003E3F83">
        <w:t>Koskelo</w:t>
      </w:r>
      <w:r w:rsidRPr="003E3F83">
        <w:t>,</w:t>
      </w:r>
      <w:r w:rsidRPr="003E3F83">
        <w:br/>
      </w:r>
      <w:r w:rsidRPr="003E3F83">
        <w:tab/>
      </w:r>
      <w:r w:rsidRPr="003E3F83">
        <w:t>Saadet</w:t>
      </w:r>
      <w:r w:rsidRPr="003E3F83">
        <w:t xml:space="preserve"> </w:t>
      </w:r>
      <w:r w:rsidRPr="003E3F83">
        <w:t>Yüksel</w:t>
      </w:r>
      <w:r w:rsidRPr="003E3F83">
        <w:t>,</w:t>
      </w:r>
      <w:r w:rsidRPr="003E3F83">
        <w:br/>
      </w:r>
      <w:r w:rsidRPr="003E3F83">
        <w:tab/>
        <w:t xml:space="preserve">Lorraine </w:t>
      </w:r>
      <w:r w:rsidRPr="003E3F83">
        <w:t>Schembri</w:t>
      </w:r>
      <w:r w:rsidRPr="003E3F83">
        <w:t xml:space="preserve"> </w:t>
      </w:r>
      <w:r w:rsidRPr="003E3F83">
        <w:t>Orland</w:t>
      </w:r>
      <w:r w:rsidRPr="003E3F83">
        <w:t>,</w:t>
      </w:r>
      <w:r w:rsidRPr="003E3F83">
        <w:br/>
      </w:r>
      <w:r w:rsidRPr="003E3F83">
        <w:tab/>
        <w:t xml:space="preserve">Frédéric </w:t>
      </w:r>
      <w:r w:rsidRPr="003E3F83">
        <w:t>Krenc</w:t>
      </w:r>
      <w:r w:rsidRPr="003E3F83">
        <w:t>,</w:t>
      </w:r>
      <w:r w:rsidRPr="003E3F83">
        <w:br/>
      </w:r>
      <w:r w:rsidRPr="003E3F83">
        <w:tab/>
        <w:t xml:space="preserve">Diana </w:t>
      </w:r>
      <w:r w:rsidRPr="003E3F83">
        <w:t>Sârcu</w:t>
      </w:r>
      <w:r w:rsidRPr="003E3F83">
        <w:t>,</w:t>
      </w:r>
      <w:r w:rsidRPr="003E3F83">
        <w:br/>
      </w:r>
      <w:r w:rsidRPr="003E3F83">
        <w:tab/>
        <w:t xml:space="preserve">Davor </w:t>
      </w:r>
      <w:r w:rsidRPr="003E3F83">
        <w:t>Derenčinović</w:t>
      </w:r>
      <w:r w:rsidRPr="003E3F83">
        <w:rPr>
          <w:i/>
        </w:rPr>
        <w:t>, juges</w:t>
      </w:r>
      <w:r w:rsidRPr="003E3F83">
        <w:t>,</w:t>
      </w:r>
      <w:r w:rsidRPr="003E3F83">
        <w:br/>
        <w:t xml:space="preserve">et de </w:t>
      </w:r>
      <w:r w:rsidRPr="003E3F83" w:rsidR="005B4F8B">
        <w:t xml:space="preserve">Hasan </w:t>
      </w:r>
      <w:r w:rsidRPr="003E3F83" w:rsidR="005B4F8B">
        <w:t>Bakırcı</w:t>
      </w:r>
      <w:r w:rsidRPr="003E3F83">
        <w:t xml:space="preserve">, </w:t>
      </w:r>
      <w:r w:rsidRPr="003E3F83" w:rsidR="005B4F8B">
        <w:rPr>
          <w:i/>
        </w:rPr>
        <w:t>greffier</w:t>
      </w:r>
      <w:r w:rsidRPr="003E3F83" w:rsidR="001C6A7B">
        <w:rPr>
          <w:i/>
          <w:iCs/>
        </w:rPr>
        <w:t xml:space="preserve"> d</w:t>
      </w:r>
      <w:r w:rsidRPr="003E3F83" w:rsidR="001C6A7B">
        <w:rPr>
          <w:i/>
        </w:rPr>
        <w:t>e section</w:t>
      </w:r>
      <w:r w:rsidRPr="003E3F83">
        <w:t>,</w:t>
      </w:r>
    </w:p>
    <w:p w:rsidRPr="003E3F83" w:rsidR="005B4F8B" w:rsidP="003E3F83" w14:paraId="318E69D3" w14:textId="2D7D284F">
      <w:pPr>
        <w:pStyle w:val="JuPara"/>
      </w:pPr>
      <w:r w:rsidRPr="003E3F83">
        <w:t>Vu la requête (n</w:t>
      </w:r>
      <w:r w:rsidRPr="003E3F83">
        <w:rPr>
          <w:vertAlign w:val="superscript"/>
        </w:rPr>
        <w:t>o</w:t>
      </w:r>
      <w:r w:rsidRPr="003E3F83">
        <w:t xml:space="preserve"> 23093/20) dirigée contre la République de Türkiye et dont un ressortissant de cet État, M. </w:t>
      </w:r>
      <w:r w:rsidRPr="003E3F83">
        <w:t>Coşkun</w:t>
      </w:r>
      <w:r w:rsidRPr="003E3F83">
        <w:t xml:space="preserve"> </w:t>
      </w:r>
      <w:r w:rsidRPr="003E3F83">
        <w:t>Selçuk</w:t>
      </w:r>
      <w:r w:rsidRPr="003E3F83">
        <w:t xml:space="preserve"> (« le requérant ») a saisi la Cour en vertu de l</w:t>
      </w:r>
      <w:r w:rsidRPr="003E3F83" w:rsidR="003E3F83">
        <w:t>’</w:t>
      </w:r>
      <w:r w:rsidRPr="003E3F83">
        <w:t>article 34 de la Convention de sauvegarde des droits de l</w:t>
      </w:r>
      <w:r w:rsidRPr="003E3F83" w:rsidR="003E3F83">
        <w:t>’</w:t>
      </w:r>
      <w:r w:rsidRPr="003E3F83">
        <w:t>homme et des libertés fondamentales (« la Convention ») le 10</w:t>
      </w:r>
      <w:r w:rsidRPr="003E3F83" w:rsidR="001B1741">
        <w:t> </w:t>
      </w:r>
      <w:r w:rsidRPr="003E3F83">
        <w:t>juin 2020,</w:t>
      </w:r>
    </w:p>
    <w:p w:rsidRPr="003E3F83" w:rsidR="005B4F8B" w:rsidP="003E3F83" w14:paraId="3F7E977F" w14:textId="12340140">
      <w:pPr>
        <w:pStyle w:val="JuPara"/>
      </w:pPr>
      <w:r w:rsidRPr="003E3F83">
        <w:t>Vu la décision de porter à la connaissance du gouvernement turc (« le</w:t>
      </w:r>
      <w:r w:rsidRPr="003E3F83" w:rsidR="009B2895">
        <w:t xml:space="preserve"> </w:t>
      </w:r>
      <w:r w:rsidRPr="003E3F83">
        <w:t>Gouvernement ») les griefs concernant l</w:t>
      </w:r>
      <w:r w:rsidRPr="003E3F83" w:rsidR="003E3F83">
        <w:t>’</w:t>
      </w:r>
      <w:r w:rsidRPr="003E3F83">
        <w:t>article 2 de la Convention et de déclarer irrecevable la requête du rôle pour le surplus,</w:t>
      </w:r>
    </w:p>
    <w:p w:rsidRPr="003E3F83" w:rsidR="005B4F8B" w:rsidP="003E3F83" w14:paraId="7686C6CA" w14:textId="77777777">
      <w:pPr>
        <w:pStyle w:val="JuPara"/>
      </w:pPr>
      <w:r w:rsidRPr="003E3F83">
        <w:t>Vu les observations des parties,</w:t>
      </w:r>
    </w:p>
    <w:p w:rsidRPr="003E3F83" w:rsidR="004344E6" w:rsidP="003E3F83" w14:paraId="2B85238D" w14:textId="36E51D44">
      <w:pPr>
        <w:pStyle w:val="JuPara"/>
      </w:pPr>
      <w:r w:rsidRPr="003E3F83">
        <w:t xml:space="preserve">Après en avoir délibéré en chambre du conseil le </w:t>
      </w:r>
      <w:r w:rsidRPr="003E3F83" w:rsidR="005B4F8B">
        <w:t>18 juin 2024</w:t>
      </w:r>
      <w:r w:rsidRPr="003E3F83">
        <w:t>,</w:t>
      </w:r>
    </w:p>
    <w:p w:rsidRPr="003E3F83" w:rsidR="00876F03" w:rsidP="003E3F83" w14:paraId="2DB1AEEB" w14:textId="2ED5477F">
      <w:pPr>
        <w:pStyle w:val="JuPara"/>
      </w:pPr>
      <w:r w:rsidRPr="003E3F83">
        <w:t>Rend l</w:t>
      </w:r>
      <w:r w:rsidRPr="003E3F83" w:rsidR="003E3F83">
        <w:t>’</w:t>
      </w:r>
      <w:r w:rsidRPr="003E3F83">
        <w:t>arrêt que voici</w:t>
      </w:r>
      <w:r w:rsidRPr="003E3F83">
        <w:t>, adopté à cette date :</w:t>
      </w:r>
    </w:p>
    <w:p w:rsidRPr="003E3F83" w:rsidR="005B4F8B" w:rsidP="003E3F83" w14:paraId="149026EB" w14:textId="77777777">
      <w:pPr>
        <w:pStyle w:val="JuHHead"/>
      </w:pPr>
      <w:r w:rsidRPr="003E3F83">
        <w:t>INTRODUCTION</w:t>
      </w:r>
    </w:p>
    <w:p w:rsidRPr="003E3F83" w:rsidR="005B4F8B" w:rsidP="003E3F83" w14:paraId="7931CC06" w14:textId="613B7076">
      <w:pPr>
        <w:pStyle w:val="JuPara"/>
      </w:pPr>
      <w:r>
        <w:fldChar w:fldCharType="begin"/>
      </w:r>
      <w:r>
        <w:instrText xml:space="preserve"> SEQ level0 \*arabic \* MERGEFORMAT </w:instrText>
      </w:r>
      <w:r>
        <w:fldChar w:fldCharType="separate"/>
      </w:r>
      <w:r w:rsidRPr="003E3F83" w:rsidR="003E3F83">
        <w:rPr>
          <w:noProof/>
        </w:rPr>
        <w:t>1</w:t>
      </w:r>
      <w:r>
        <w:rPr>
          <w:noProof/>
        </w:rPr>
        <w:fldChar w:fldCharType="end"/>
      </w:r>
      <w:r w:rsidRPr="003E3F83">
        <w:t>.  La requête porte sur l</w:t>
      </w:r>
      <w:r w:rsidRPr="003E3F83" w:rsidR="003E3F83">
        <w:t>’</w:t>
      </w:r>
      <w:r w:rsidRPr="003E3F83">
        <w:t>attentat terroriste survenu le 10 octobre 2015 à Ankara.</w:t>
      </w:r>
    </w:p>
    <w:p w:rsidRPr="003E3F83" w:rsidR="005B4F8B" w:rsidP="003E3F83" w14:paraId="066D0D66" w14:textId="77777777">
      <w:pPr>
        <w:pStyle w:val="JuHHead"/>
      </w:pPr>
      <w:r w:rsidRPr="003E3F83">
        <w:t>EN FAIT</w:t>
      </w:r>
    </w:p>
    <w:p w:rsidRPr="003E3F83" w:rsidR="005B4F8B" w:rsidP="003E3F83" w14:paraId="20A7C86A" w14:textId="6FF47B2C">
      <w:pPr>
        <w:pStyle w:val="JuPara"/>
      </w:pPr>
      <w:r>
        <w:fldChar w:fldCharType="begin"/>
      </w:r>
      <w:r>
        <w:instrText xml:space="preserve"> SEQ </w:instrText>
      </w:r>
      <w:r>
        <w:instrText xml:space="preserve">level0 \*arabic \* MERGEFORMAT </w:instrText>
      </w:r>
      <w:r>
        <w:fldChar w:fldCharType="separate"/>
      </w:r>
      <w:r w:rsidRPr="003E3F83" w:rsidR="003E3F83">
        <w:rPr>
          <w:noProof/>
        </w:rPr>
        <w:t>2</w:t>
      </w:r>
      <w:r>
        <w:rPr>
          <w:noProof/>
        </w:rPr>
        <w:fldChar w:fldCharType="end"/>
      </w:r>
      <w:r w:rsidRPr="003E3F83">
        <w:t xml:space="preserve">.  Le requérant, M. </w:t>
      </w:r>
      <w:r w:rsidRPr="003E3F83">
        <w:t>Coşkun</w:t>
      </w:r>
      <w:r w:rsidRPr="003E3F83">
        <w:t xml:space="preserve"> </w:t>
      </w:r>
      <w:r w:rsidRPr="003E3F83">
        <w:t>Selçuk</w:t>
      </w:r>
      <w:r w:rsidRPr="003E3F83">
        <w:t>, est un ressortissant turc né en</w:t>
      </w:r>
      <w:r w:rsidRPr="003E3F83" w:rsidR="009B2895">
        <w:t xml:space="preserve"> </w:t>
      </w:r>
      <w:r w:rsidRPr="003E3F83">
        <w:t>1964 et résidant à Hatay. Il a été représenté devant la Cour par M</w:t>
      </w:r>
      <w:r w:rsidRPr="003E3F83">
        <w:rPr>
          <w:vertAlign w:val="superscript"/>
        </w:rPr>
        <w:t>e</w:t>
      </w:r>
      <w:r w:rsidRPr="003E3F83">
        <w:t xml:space="preserve"> B. </w:t>
      </w:r>
      <w:r w:rsidRPr="003E3F83">
        <w:t>Boran</w:t>
      </w:r>
      <w:r w:rsidRPr="003E3F83">
        <w:t xml:space="preserve"> </w:t>
      </w:r>
      <w:r w:rsidRPr="003E3F83">
        <w:t>Bulut</w:t>
      </w:r>
      <w:r w:rsidRPr="003E3F83">
        <w:t>, avocate exerçant à Ankara.</w:t>
      </w:r>
    </w:p>
    <w:p w:rsidRPr="003E3F83" w:rsidR="005B4F8B" w:rsidP="003E3F83" w14:paraId="5FC0537D" w14:textId="49BB678B">
      <w:pPr>
        <w:pStyle w:val="JuPara"/>
      </w:pPr>
      <w:r>
        <w:fldChar w:fldCharType="begin"/>
      </w:r>
      <w:r>
        <w:instrText xml:space="preserve"> SEQ level0 \*arabic \* MERGEFORMAT </w:instrText>
      </w:r>
      <w:r>
        <w:fldChar w:fldCharType="separate"/>
      </w:r>
      <w:r w:rsidRPr="003E3F83" w:rsidR="003E3F83">
        <w:rPr>
          <w:noProof/>
        </w:rPr>
        <w:t>3</w:t>
      </w:r>
      <w:r>
        <w:rPr>
          <w:noProof/>
        </w:rPr>
        <w:fldChar w:fldCharType="end"/>
      </w:r>
      <w:r w:rsidRPr="003E3F83">
        <w:t>.  Le gouvernement turc (« le Gouvernement ») a été représenté par son agent, M. </w:t>
      </w:r>
      <w:r w:rsidRPr="003E3F83">
        <w:t>Hacı</w:t>
      </w:r>
      <w:r w:rsidRPr="003E3F83">
        <w:t xml:space="preserve"> Ali </w:t>
      </w:r>
      <w:r w:rsidRPr="003E3F83">
        <w:t>Açıkgül</w:t>
      </w:r>
      <w:r w:rsidRPr="003E3F83">
        <w:t>, chef du service des droits de l</w:t>
      </w:r>
      <w:r w:rsidRPr="003E3F83" w:rsidR="003E3F83">
        <w:t>’</w:t>
      </w:r>
      <w:r w:rsidRPr="003E3F83">
        <w:t>homme au ministère de la Justice de Türkiye.</w:t>
      </w:r>
    </w:p>
    <w:p w:rsidRPr="003E3F83" w:rsidR="005B4F8B" w:rsidP="003E3F83" w14:paraId="704FB919" w14:textId="74709B18">
      <w:pPr>
        <w:pStyle w:val="JuPara"/>
      </w:pPr>
      <w:r>
        <w:fldChar w:fldCharType="begin"/>
      </w:r>
      <w:r>
        <w:instrText xml:space="preserve"> SEQ level0 \*arabic \* MERGEFORMAT </w:instrText>
      </w:r>
      <w:r>
        <w:fldChar w:fldCharType="separate"/>
      </w:r>
      <w:r w:rsidRPr="003E3F83" w:rsidR="003E3F83">
        <w:rPr>
          <w:noProof/>
        </w:rPr>
        <w:t>4</w:t>
      </w:r>
      <w:r>
        <w:rPr>
          <w:noProof/>
        </w:rPr>
        <w:fldChar w:fldCharType="end"/>
      </w:r>
      <w:r w:rsidRPr="003E3F83">
        <w:t>.  Les faits de la cause peuvent se résumer comme suit.</w:t>
      </w:r>
    </w:p>
    <w:p w:rsidRPr="003E3F83" w:rsidR="005B4F8B" w:rsidP="003E3F83" w14:paraId="3D7CFA5B" w14:textId="5781DA0F">
      <w:pPr>
        <w:pStyle w:val="JuPara"/>
      </w:pPr>
      <w:r>
        <w:fldChar w:fldCharType="begin"/>
      </w:r>
      <w:r>
        <w:instrText xml:space="preserve"> SEQ level0 \*arabic \* MERGEFORMAT </w:instrText>
      </w:r>
      <w:r>
        <w:fldChar w:fldCharType="separate"/>
      </w:r>
      <w:r w:rsidRPr="003E3F83" w:rsidR="003E3F83">
        <w:rPr>
          <w:noProof/>
        </w:rPr>
        <w:t>5</w:t>
      </w:r>
      <w:r>
        <w:rPr>
          <w:noProof/>
        </w:rPr>
        <w:fldChar w:fldCharType="end"/>
      </w:r>
      <w:r w:rsidRPr="003E3F83">
        <w:t>.  Dans le courant de l</w:t>
      </w:r>
      <w:r w:rsidRPr="003E3F83" w:rsidR="003E3F83">
        <w:t>’</w:t>
      </w:r>
      <w:r w:rsidRPr="003E3F83">
        <w:t>année 2015, plusieurs organisations non gouvernementales décidèrent d</w:t>
      </w:r>
      <w:r w:rsidRPr="003E3F83" w:rsidR="003E3F83">
        <w:t>’</w:t>
      </w:r>
      <w:r w:rsidRPr="003E3F83">
        <w:t>organiser à Ankara le 10 octobre 2015 une manifestation sur le thème de la paix et de la démocratie.</w:t>
      </w:r>
    </w:p>
    <w:p w:rsidRPr="003E3F83" w:rsidR="005B4F8B" w:rsidP="003E3F83" w14:paraId="7E9D3BB6" w14:textId="6537DDA2">
      <w:pPr>
        <w:pStyle w:val="JuPara"/>
      </w:pPr>
      <w:r>
        <w:fldChar w:fldCharType="begin"/>
      </w:r>
      <w:r>
        <w:instrText xml:space="preserve"> SEQ level0 \*arabic \* MERGEFORMAT </w:instrText>
      </w:r>
      <w:r>
        <w:fldChar w:fldCharType="separate"/>
      </w:r>
      <w:r w:rsidRPr="003E3F83" w:rsidR="003E3F83">
        <w:rPr>
          <w:noProof/>
        </w:rPr>
        <w:t>6</w:t>
      </w:r>
      <w:r>
        <w:rPr>
          <w:noProof/>
        </w:rPr>
        <w:fldChar w:fldCharType="end"/>
      </w:r>
      <w:r w:rsidRPr="003E3F83">
        <w:t>.  Un rassemblement était prévu à la gare ferroviaire d</w:t>
      </w:r>
      <w:r w:rsidRPr="003E3F83" w:rsidR="003E3F83">
        <w:t>’</w:t>
      </w:r>
      <w:r w:rsidRPr="003E3F83">
        <w:t>Ankara. Le cortège devait marcher jusqu</w:t>
      </w:r>
      <w:r w:rsidRPr="003E3F83" w:rsidR="003E3F83">
        <w:t>’</w:t>
      </w:r>
      <w:r w:rsidRPr="003E3F83">
        <w:t xml:space="preserve">à la place </w:t>
      </w:r>
      <w:r w:rsidRPr="003E3F83">
        <w:t>Sıhhiye</w:t>
      </w:r>
      <w:r w:rsidRPr="003E3F83">
        <w:t xml:space="preserve"> en passant par le boulevard </w:t>
      </w:r>
      <w:r w:rsidRPr="003E3F83">
        <w:t>Talatpaşa</w:t>
      </w:r>
      <w:r w:rsidRPr="003E3F83">
        <w:t>, la place de l</w:t>
      </w:r>
      <w:r w:rsidRPr="003E3F83" w:rsidR="003E3F83">
        <w:t>’</w:t>
      </w:r>
      <w:r w:rsidRPr="003E3F83">
        <w:t>Opéra et le boulevard Atatürk.</w:t>
      </w:r>
    </w:p>
    <w:p w:rsidRPr="003E3F83" w:rsidR="005B4F8B" w:rsidP="003E3F83" w14:paraId="7108C055" w14:textId="17D91567">
      <w:pPr>
        <w:pStyle w:val="JuPara"/>
        <w:rPr>
          <w:rFonts w:cstheme="minorHAnsi"/>
        </w:rPr>
      </w:pPr>
      <w:r>
        <w:fldChar w:fldCharType="begin"/>
      </w:r>
      <w:r>
        <w:instrText xml:space="preserve"> SEQ level0 \*arabic \* MERGEFORMAT </w:instrText>
      </w:r>
      <w:r>
        <w:fldChar w:fldCharType="separate"/>
      </w:r>
      <w:r w:rsidRPr="003E3F83" w:rsidR="003E3F83">
        <w:rPr>
          <w:noProof/>
        </w:rPr>
        <w:t>7</w:t>
      </w:r>
      <w:r>
        <w:rPr>
          <w:noProof/>
        </w:rPr>
        <w:fldChar w:fldCharType="end"/>
      </w:r>
      <w:r w:rsidRPr="003E3F83">
        <w:t>.  </w:t>
      </w:r>
      <w:r w:rsidRPr="003E3F83">
        <w:rPr>
          <w:rFonts w:cstheme="minorHAnsi"/>
        </w:rPr>
        <w:t>La manifestation fut autorisée par la préfecture d</w:t>
      </w:r>
      <w:r w:rsidRPr="003E3F83" w:rsidR="003E3F83">
        <w:rPr>
          <w:rFonts w:cstheme="minorHAnsi"/>
        </w:rPr>
        <w:t>’</w:t>
      </w:r>
      <w:r w:rsidRPr="003E3F83">
        <w:rPr>
          <w:rFonts w:cstheme="minorHAnsi"/>
        </w:rPr>
        <w:t>Ankara. Elle devait se tenir le 10 octobre 2015 entre 12 heures et 16 heures.</w:t>
      </w:r>
    </w:p>
    <w:p w:rsidRPr="003E3F83" w:rsidR="005B4F8B" w:rsidP="003E3F83" w14:paraId="77C76999" w14:textId="0D5182FC">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8</w:t>
      </w:r>
      <w:r w:rsidRPr="003E3F83">
        <w:rPr>
          <w:rFonts w:cstheme="minorHAnsi"/>
        </w:rPr>
        <w:fldChar w:fldCharType="end"/>
      </w:r>
      <w:r w:rsidRPr="003E3F83">
        <w:rPr>
          <w:rFonts w:cstheme="minorHAnsi"/>
        </w:rPr>
        <w:t>.  Le Gouvernement souligne que les renseignements généraux n</w:t>
      </w:r>
      <w:r w:rsidRPr="003E3F83" w:rsidR="003E3F83">
        <w:rPr>
          <w:rFonts w:cstheme="minorHAnsi"/>
        </w:rPr>
        <w:t>’</w:t>
      </w:r>
      <w:r w:rsidRPr="003E3F83">
        <w:rPr>
          <w:rFonts w:cstheme="minorHAnsi"/>
        </w:rPr>
        <w:t>avaient fait état d</w:t>
      </w:r>
      <w:r w:rsidRPr="003E3F83" w:rsidR="003E3F83">
        <w:rPr>
          <w:rFonts w:cstheme="minorHAnsi"/>
        </w:rPr>
        <w:t>’</w:t>
      </w:r>
      <w:r w:rsidRPr="003E3F83">
        <w:rPr>
          <w:rFonts w:cstheme="minorHAnsi"/>
        </w:rPr>
        <w:t>aucune menace considérée comme « sérieuse et imminente » concernant cette manifestation.</w:t>
      </w:r>
    </w:p>
    <w:p w:rsidRPr="003E3F83" w:rsidR="005B4F8B" w:rsidP="003E3F83" w14:paraId="382B0200" w14:textId="14C639DE">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bookmarkStart w:name="paragraph00009" w:id="2"/>
      <w:r w:rsidRPr="003E3F83" w:rsidR="003E3F83">
        <w:rPr>
          <w:rFonts w:cstheme="minorHAnsi"/>
          <w:noProof/>
        </w:rPr>
        <w:t>9</w:t>
      </w:r>
      <w:bookmarkEnd w:id="2"/>
      <w:r w:rsidRPr="003E3F83">
        <w:rPr>
          <w:rFonts w:cstheme="minorHAnsi"/>
        </w:rPr>
        <w:fldChar w:fldCharType="end"/>
      </w:r>
      <w:r w:rsidRPr="003E3F83">
        <w:rPr>
          <w:rFonts w:cstheme="minorHAnsi"/>
        </w:rPr>
        <w:t>.  Il précise en outre qu</w:t>
      </w:r>
      <w:r w:rsidRPr="003E3F83" w:rsidR="003E3F83">
        <w:rPr>
          <w:rFonts w:cstheme="minorHAnsi"/>
        </w:rPr>
        <w:t>’</w:t>
      </w:r>
      <w:r w:rsidRPr="003E3F83">
        <w:rPr>
          <w:rFonts w:cstheme="minorHAnsi"/>
        </w:rPr>
        <w:t>après l</w:t>
      </w:r>
      <w:r w:rsidRPr="003E3F83" w:rsidR="003E3F83">
        <w:rPr>
          <w:rFonts w:cstheme="minorHAnsi"/>
        </w:rPr>
        <w:t>’</w:t>
      </w:r>
      <w:r w:rsidRPr="003E3F83">
        <w:rPr>
          <w:rFonts w:cstheme="minorHAnsi"/>
        </w:rPr>
        <w:t xml:space="preserve">attentat terroriste survenu à </w:t>
      </w:r>
      <w:r w:rsidRPr="003E3F83">
        <w:rPr>
          <w:rFonts w:cstheme="minorHAnsi"/>
        </w:rPr>
        <w:t>Suruç</w:t>
      </w:r>
      <w:r w:rsidRPr="003E3F83">
        <w:rPr>
          <w:rFonts w:cstheme="minorHAnsi"/>
        </w:rPr>
        <w:t xml:space="preserve"> le 20 juillet 2015, il avait été demandé à l</w:t>
      </w:r>
      <w:r w:rsidRPr="003E3F83" w:rsidR="003E3F83">
        <w:rPr>
          <w:rFonts w:cstheme="minorHAnsi"/>
        </w:rPr>
        <w:t>’</w:t>
      </w:r>
      <w:r w:rsidRPr="003E3F83">
        <w:rPr>
          <w:rFonts w:cstheme="minorHAnsi"/>
        </w:rPr>
        <w:t>ensemble des préfectures de redoubler de vigilance en toute occasion et à tout instant.</w:t>
      </w:r>
    </w:p>
    <w:p w:rsidRPr="003E3F83" w:rsidR="005B4F8B" w:rsidP="003E3F83" w14:paraId="64F897BC" w14:textId="6FBDF68C">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10</w:t>
      </w:r>
      <w:r w:rsidRPr="003E3F83">
        <w:rPr>
          <w:rFonts w:cstheme="minorHAnsi"/>
        </w:rPr>
        <w:fldChar w:fldCharType="end"/>
      </w:r>
      <w:r w:rsidRPr="003E3F83">
        <w:rPr>
          <w:rFonts w:cstheme="minorHAnsi"/>
        </w:rPr>
        <w:t>.  Afin d</w:t>
      </w:r>
      <w:r w:rsidRPr="003E3F83" w:rsidR="003E3F83">
        <w:rPr>
          <w:rFonts w:cstheme="minorHAnsi"/>
        </w:rPr>
        <w:t>’</w:t>
      </w:r>
      <w:r w:rsidRPr="003E3F83">
        <w:rPr>
          <w:rFonts w:cstheme="minorHAnsi"/>
        </w:rPr>
        <w:t>éviter tout débordement lors de ladite manifestation, le tribunal de paix d</w:t>
      </w:r>
      <w:r w:rsidRPr="003E3F83" w:rsidR="003E3F83">
        <w:rPr>
          <w:rFonts w:cstheme="minorHAnsi"/>
        </w:rPr>
        <w:t>’</w:t>
      </w:r>
      <w:r w:rsidRPr="003E3F83">
        <w:rPr>
          <w:rFonts w:cstheme="minorHAnsi"/>
        </w:rPr>
        <w:t>Ankara autorisa la mise en place de contrôles de sécurité dans la zone relevant du Département de Police de la Préfecture d</w:t>
      </w:r>
      <w:r w:rsidRPr="003E3F83" w:rsidR="003E3F83">
        <w:rPr>
          <w:rFonts w:cstheme="minorHAnsi"/>
        </w:rPr>
        <w:t>’</w:t>
      </w:r>
      <w:r w:rsidRPr="003E3F83">
        <w:rPr>
          <w:rFonts w:cstheme="minorHAnsi"/>
        </w:rPr>
        <w:t>Ankara.</w:t>
      </w:r>
    </w:p>
    <w:p w:rsidRPr="003E3F83" w:rsidR="005B4F8B" w:rsidP="003E3F83" w14:paraId="2FE1EA0E" w14:textId="66AD3D4D">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11</w:t>
      </w:r>
      <w:r w:rsidRPr="003E3F83">
        <w:rPr>
          <w:rFonts w:cstheme="minorHAnsi"/>
        </w:rPr>
        <w:fldChar w:fldCharType="end"/>
      </w:r>
      <w:r w:rsidRPr="003E3F83">
        <w:rPr>
          <w:rFonts w:cstheme="minorHAnsi"/>
        </w:rPr>
        <w:t>.  La police élabora divers plans d</w:t>
      </w:r>
      <w:r w:rsidRPr="003E3F83" w:rsidR="003E3F83">
        <w:rPr>
          <w:rFonts w:cstheme="minorHAnsi"/>
        </w:rPr>
        <w:t>’</w:t>
      </w:r>
      <w:r w:rsidRPr="003E3F83">
        <w:rPr>
          <w:rFonts w:cstheme="minorHAnsi"/>
        </w:rPr>
        <w:t>action pour que la manifestation se déroulât en toute sécurité et sans atteinte à l</w:t>
      </w:r>
      <w:r w:rsidRPr="003E3F83" w:rsidR="003E3F83">
        <w:rPr>
          <w:rFonts w:cstheme="minorHAnsi"/>
        </w:rPr>
        <w:t>’</w:t>
      </w:r>
      <w:r w:rsidRPr="003E3F83">
        <w:rPr>
          <w:rFonts w:cstheme="minorHAnsi"/>
        </w:rPr>
        <w:t>ordre public. Dans ce cadre, il fut notamment décidé que la circulation ne serait pas interrompue et que cinq cents barrières de police seraient installées pour sécuriser le parcours de la manifestation.</w:t>
      </w:r>
    </w:p>
    <w:p w:rsidRPr="003E3F83" w:rsidR="005B4F8B" w:rsidP="003E3F83" w14:paraId="08DCDE00" w14:textId="1AF58026">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12</w:t>
      </w:r>
      <w:r w:rsidRPr="003E3F83">
        <w:rPr>
          <w:rFonts w:cstheme="minorHAnsi"/>
        </w:rPr>
        <w:fldChar w:fldCharType="end"/>
      </w:r>
      <w:r w:rsidRPr="003E3F83">
        <w:rPr>
          <w:rFonts w:cstheme="minorHAnsi"/>
        </w:rPr>
        <w:t>.  Le commandement de la gendarmerie fut sollicité pour assurer la mise à disposition d</w:t>
      </w:r>
      <w:r w:rsidRPr="003E3F83" w:rsidR="003E3F83">
        <w:rPr>
          <w:rFonts w:cstheme="minorHAnsi"/>
        </w:rPr>
        <w:t>’</w:t>
      </w:r>
      <w:r w:rsidRPr="003E3F83">
        <w:rPr>
          <w:rFonts w:cstheme="minorHAnsi"/>
        </w:rPr>
        <w:t>un effectif adéquat.</w:t>
      </w:r>
    </w:p>
    <w:p w:rsidRPr="003E3F83" w:rsidR="005B4F8B" w:rsidP="003E3F83" w14:paraId="1C3D6159" w14:textId="4CC08A78">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13</w:t>
      </w:r>
      <w:r w:rsidRPr="003E3F83">
        <w:rPr>
          <w:rFonts w:cstheme="minorHAnsi"/>
        </w:rPr>
        <w:fldChar w:fldCharType="end"/>
      </w:r>
      <w:r w:rsidRPr="003E3F83">
        <w:rPr>
          <w:rFonts w:cstheme="minorHAnsi"/>
        </w:rPr>
        <w:t>.  En outre, eu égard au fait que lors d</w:t>
      </w:r>
      <w:r w:rsidRPr="003E3F83" w:rsidR="003E3F83">
        <w:rPr>
          <w:rFonts w:cstheme="minorHAnsi"/>
        </w:rPr>
        <w:t>’</w:t>
      </w:r>
      <w:r w:rsidRPr="003E3F83">
        <w:rPr>
          <w:rFonts w:cstheme="minorHAnsi"/>
        </w:rPr>
        <w:t>une précédente manifestation à Diyarbakır, un explosif dissimulé par un marchand ambulant avait été utilisé, il fut également demandé à la police municipale d</w:t>
      </w:r>
      <w:r w:rsidRPr="003E3F83" w:rsidR="003E3F83">
        <w:rPr>
          <w:rFonts w:cstheme="minorHAnsi"/>
        </w:rPr>
        <w:t>’</w:t>
      </w:r>
      <w:r w:rsidRPr="003E3F83">
        <w:rPr>
          <w:rFonts w:cstheme="minorHAnsi"/>
        </w:rPr>
        <w:t>affecter plusieurs équipes sur place, aux fins notamment d</w:t>
      </w:r>
      <w:r w:rsidRPr="003E3F83" w:rsidR="003E3F83">
        <w:rPr>
          <w:rFonts w:cstheme="minorHAnsi"/>
        </w:rPr>
        <w:t>’</w:t>
      </w:r>
      <w:r w:rsidRPr="003E3F83">
        <w:rPr>
          <w:rFonts w:cstheme="minorHAnsi"/>
        </w:rPr>
        <w:t>empêcher de tels marchands d</w:t>
      </w:r>
      <w:r w:rsidRPr="003E3F83" w:rsidR="003E3F83">
        <w:rPr>
          <w:rFonts w:cstheme="minorHAnsi"/>
        </w:rPr>
        <w:t>’</w:t>
      </w:r>
      <w:r w:rsidRPr="003E3F83">
        <w:rPr>
          <w:rFonts w:cstheme="minorHAnsi"/>
        </w:rPr>
        <w:t>entrer dans le périmètre de la manifestation.</w:t>
      </w:r>
    </w:p>
    <w:p w:rsidRPr="003E3F83" w:rsidR="005B4F8B" w:rsidP="003E3F83" w14:paraId="79CC4169" w14:textId="73E050DE">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14</w:t>
      </w:r>
      <w:r w:rsidRPr="003E3F83">
        <w:rPr>
          <w:rFonts w:cstheme="minorHAnsi"/>
        </w:rPr>
        <w:fldChar w:fldCharType="end"/>
      </w:r>
      <w:r w:rsidRPr="003E3F83">
        <w:rPr>
          <w:rFonts w:cstheme="minorHAnsi"/>
        </w:rPr>
        <w:t>.  La Direction générale de l</w:t>
      </w:r>
      <w:r w:rsidRPr="003E3F83" w:rsidR="003E3F83">
        <w:rPr>
          <w:rFonts w:cstheme="minorHAnsi"/>
        </w:rPr>
        <w:t>’</w:t>
      </w:r>
      <w:r w:rsidRPr="003E3F83">
        <w:rPr>
          <w:rFonts w:cstheme="minorHAnsi"/>
        </w:rPr>
        <w:t>électricité, du gaz et des bus et le département du métro</w:t>
      </w:r>
      <w:r w:rsidRPr="003E3F83" w:rsidR="009B2895">
        <w:rPr>
          <w:rFonts w:cstheme="minorHAnsi"/>
        </w:rPr>
        <w:t xml:space="preserve"> </w:t>
      </w:r>
      <w:r w:rsidRPr="003E3F83">
        <w:rPr>
          <w:rFonts w:cstheme="minorHAnsi"/>
        </w:rPr>
        <w:t>de l</w:t>
      </w:r>
      <w:r w:rsidRPr="003E3F83" w:rsidR="003E3F83">
        <w:rPr>
          <w:rFonts w:cstheme="minorHAnsi"/>
        </w:rPr>
        <w:t>’</w:t>
      </w:r>
      <w:r w:rsidRPr="003E3F83">
        <w:rPr>
          <w:rFonts w:cstheme="minorHAnsi"/>
        </w:rPr>
        <w:t>autorité des transports en commun de la ville d</w:t>
      </w:r>
      <w:r w:rsidRPr="003E3F83" w:rsidR="003E3F83">
        <w:rPr>
          <w:rFonts w:cstheme="minorHAnsi"/>
        </w:rPr>
        <w:t>’</w:t>
      </w:r>
      <w:r w:rsidRPr="003E3F83">
        <w:rPr>
          <w:rFonts w:cstheme="minorHAnsi"/>
        </w:rPr>
        <w:t>Ankara furent parallèlement chargés de prendre toutes les mesures nécessaires pour que la vie quotidienne ne fût pas affectée par la manifestation.</w:t>
      </w:r>
    </w:p>
    <w:p w:rsidRPr="003E3F83" w:rsidR="005B4F8B" w:rsidP="003E3F83" w14:paraId="2BF64E2F" w14:textId="6CD54B41">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15</w:t>
      </w:r>
      <w:r w:rsidRPr="003E3F83">
        <w:rPr>
          <w:rFonts w:cstheme="minorHAnsi"/>
        </w:rPr>
        <w:fldChar w:fldCharType="end"/>
      </w:r>
      <w:r w:rsidRPr="003E3F83">
        <w:rPr>
          <w:rFonts w:cstheme="minorHAnsi"/>
        </w:rPr>
        <w:t>.  Le 10 octobre, la police commença à barricader et à sécuriser la zone de la manifestation dès 6 heures du matin.</w:t>
      </w:r>
    </w:p>
    <w:p w:rsidRPr="003E3F83" w:rsidR="005B4F8B" w:rsidP="003E3F83" w14:paraId="2322306D" w14:textId="16474F2B">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16</w:t>
      </w:r>
      <w:r w:rsidRPr="003E3F83">
        <w:rPr>
          <w:rFonts w:cstheme="minorHAnsi"/>
        </w:rPr>
        <w:fldChar w:fldCharType="end"/>
      </w:r>
      <w:r w:rsidRPr="003E3F83">
        <w:rPr>
          <w:rFonts w:cstheme="minorHAnsi"/>
        </w:rPr>
        <w:t>.  Au même moment, la police de la circulation quadrilla les lieux de stationnement.</w:t>
      </w:r>
    </w:p>
    <w:p w:rsidRPr="003E3F83" w:rsidR="005B4F8B" w:rsidP="003E3F83" w14:paraId="71A886C8" w14:textId="4CD826BD">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17</w:t>
      </w:r>
      <w:r w:rsidRPr="003E3F83">
        <w:rPr>
          <w:rFonts w:cstheme="minorHAnsi"/>
        </w:rPr>
        <w:fldChar w:fldCharType="end"/>
      </w:r>
      <w:r w:rsidRPr="003E3F83">
        <w:rPr>
          <w:rFonts w:cstheme="minorHAnsi"/>
        </w:rPr>
        <w:t>.  Bien que la manifestation dût normalement débuter à 12 heures, des participants commencèrent à arriver devant la gare d</w:t>
      </w:r>
      <w:r w:rsidRPr="003E3F83" w:rsidR="003E3F83">
        <w:rPr>
          <w:rFonts w:cstheme="minorHAnsi"/>
        </w:rPr>
        <w:t>’</w:t>
      </w:r>
      <w:r w:rsidRPr="003E3F83">
        <w:rPr>
          <w:rFonts w:cstheme="minorHAnsi"/>
        </w:rPr>
        <w:t>Ankara dès 7 h 05. Il fut établi qu</w:t>
      </w:r>
      <w:r w:rsidRPr="003E3F83" w:rsidR="003E3F83">
        <w:rPr>
          <w:rFonts w:cstheme="minorHAnsi"/>
        </w:rPr>
        <w:t>’</w:t>
      </w:r>
      <w:r w:rsidRPr="003E3F83">
        <w:rPr>
          <w:rFonts w:cstheme="minorHAnsi"/>
        </w:rPr>
        <w:t>à 7</w:t>
      </w:r>
      <w:r w:rsidRPr="003E3F83" w:rsidR="009B2895">
        <w:rPr>
          <w:rFonts w:cstheme="minorHAnsi"/>
        </w:rPr>
        <w:t> </w:t>
      </w:r>
      <w:r w:rsidRPr="003E3F83">
        <w:rPr>
          <w:rFonts w:cstheme="minorHAnsi"/>
        </w:rPr>
        <w:t>h</w:t>
      </w:r>
      <w:r w:rsidRPr="003E3F83" w:rsidR="009B2895">
        <w:rPr>
          <w:rFonts w:cstheme="minorHAnsi"/>
        </w:rPr>
        <w:t> </w:t>
      </w:r>
      <w:r w:rsidRPr="003E3F83">
        <w:rPr>
          <w:rFonts w:cstheme="minorHAnsi"/>
        </w:rPr>
        <w:t>50, cinquante bus stationnaient déjà devant la mairie d</w:t>
      </w:r>
      <w:r w:rsidRPr="003E3F83" w:rsidR="003E3F83">
        <w:rPr>
          <w:rFonts w:cstheme="minorHAnsi"/>
        </w:rPr>
        <w:t>’</w:t>
      </w:r>
      <w:r w:rsidRPr="003E3F83">
        <w:rPr>
          <w:rFonts w:cstheme="minorHAnsi"/>
        </w:rPr>
        <w:t>Ankara et le nombre de manifestants s</w:t>
      </w:r>
      <w:r w:rsidRPr="003E3F83" w:rsidR="003E3F83">
        <w:rPr>
          <w:rFonts w:cstheme="minorHAnsi"/>
        </w:rPr>
        <w:t>’</w:t>
      </w:r>
      <w:r w:rsidRPr="003E3F83">
        <w:rPr>
          <w:rFonts w:cstheme="minorHAnsi"/>
        </w:rPr>
        <w:t>élevait à environ deux mille cinq cents personnes, dont cinq cents individus rassemblés devant la gare d</w:t>
      </w:r>
      <w:r w:rsidRPr="003E3F83" w:rsidR="003E3F83">
        <w:rPr>
          <w:rFonts w:cstheme="minorHAnsi"/>
        </w:rPr>
        <w:t>’</w:t>
      </w:r>
      <w:r w:rsidRPr="003E3F83">
        <w:rPr>
          <w:rFonts w:cstheme="minorHAnsi"/>
        </w:rPr>
        <w:t>Ankara.</w:t>
      </w:r>
    </w:p>
    <w:p w:rsidRPr="003E3F83" w:rsidR="005B4F8B" w:rsidP="003E3F83" w14:paraId="6947A7E8" w14:textId="448DDA63">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18</w:t>
      </w:r>
      <w:r w:rsidRPr="003E3F83">
        <w:rPr>
          <w:rFonts w:cstheme="minorHAnsi"/>
        </w:rPr>
        <w:fldChar w:fldCharType="end"/>
      </w:r>
      <w:r w:rsidRPr="003E3F83">
        <w:rPr>
          <w:rFonts w:cstheme="minorHAnsi"/>
        </w:rPr>
        <w:t>.  Dès 8 heures, plusieurs compagnies de maintien de l</w:t>
      </w:r>
      <w:r w:rsidRPr="003E3F83" w:rsidR="003E3F83">
        <w:rPr>
          <w:rFonts w:cstheme="minorHAnsi"/>
        </w:rPr>
        <w:t>’</w:t>
      </w:r>
      <w:r w:rsidRPr="003E3F83">
        <w:rPr>
          <w:rFonts w:cstheme="minorHAnsi"/>
        </w:rPr>
        <w:t>ordre étaient présentes sur les lieux, deux mille quarante-quatre policiers étant alors positionnés à différents endroits pour surveiller la manifestation et assurer le maintien de l</w:t>
      </w:r>
      <w:r w:rsidRPr="003E3F83" w:rsidR="003E3F83">
        <w:rPr>
          <w:rFonts w:cstheme="minorHAnsi"/>
        </w:rPr>
        <w:t>’</w:t>
      </w:r>
      <w:r w:rsidRPr="003E3F83">
        <w:rPr>
          <w:rFonts w:cstheme="minorHAnsi"/>
        </w:rPr>
        <w:t>ordre public.</w:t>
      </w:r>
    </w:p>
    <w:p w:rsidRPr="003E3F83" w:rsidR="005B4F8B" w:rsidP="003E3F83" w14:paraId="7D0155DB" w14:textId="2605933F">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19</w:t>
      </w:r>
      <w:r w:rsidRPr="003E3F83">
        <w:rPr>
          <w:rFonts w:cstheme="minorHAnsi"/>
        </w:rPr>
        <w:fldChar w:fldCharType="end"/>
      </w:r>
      <w:r w:rsidRPr="003E3F83">
        <w:rPr>
          <w:rFonts w:cstheme="minorHAnsi"/>
        </w:rPr>
        <w:t>.  Les brigades de pompiers, d</w:t>
      </w:r>
      <w:r w:rsidRPr="003E3F83" w:rsidR="003E3F83">
        <w:rPr>
          <w:rFonts w:cstheme="minorHAnsi"/>
        </w:rPr>
        <w:t>’</w:t>
      </w:r>
      <w:r w:rsidRPr="003E3F83">
        <w:rPr>
          <w:rFonts w:cstheme="minorHAnsi"/>
        </w:rPr>
        <w:t>ambulances et d</w:t>
      </w:r>
      <w:r w:rsidRPr="003E3F83" w:rsidR="003E3F83">
        <w:rPr>
          <w:rFonts w:cstheme="minorHAnsi"/>
        </w:rPr>
        <w:t>’</w:t>
      </w:r>
      <w:r w:rsidRPr="003E3F83">
        <w:rPr>
          <w:rFonts w:cstheme="minorHAnsi"/>
        </w:rPr>
        <w:t>officiers de la police municipale étaient quant à elles en place à la gare d</w:t>
      </w:r>
      <w:r w:rsidRPr="003E3F83" w:rsidR="003E3F83">
        <w:rPr>
          <w:rFonts w:cstheme="minorHAnsi"/>
        </w:rPr>
        <w:t>’</w:t>
      </w:r>
      <w:r w:rsidRPr="003E3F83">
        <w:rPr>
          <w:rFonts w:cstheme="minorHAnsi"/>
        </w:rPr>
        <w:t>Ankara et sur le parcours de la manifestation,</w:t>
      </w:r>
      <w:r w:rsidRPr="003E3F83" w:rsidR="009B2895">
        <w:rPr>
          <w:rFonts w:cstheme="minorHAnsi"/>
        </w:rPr>
        <w:t xml:space="preserve"> </w:t>
      </w:r>
      <w:r w:rsidRPr="003E3F83">
        <w:rPr>
          <w:rFonts w:cstheme="minorHAnsi"/>
        </w:rPr>
        <w:t>ainsi qu</w:t>
      </w:r>
      <w:r w:rsidRPr="003E3F83" w:rsidR="003E3F83">
        <w:rPr>
          <w:rFonts w:cstheme="minorHAnsi"/>
        </w:rPr>
        <w:t>’</w:t>
      </w:r>
      <w:r w:rsidRPr="003E3F83">
        <w:rPr>
          <w:rFonts w:cstheme="minorHAnsi"/>
        </w:rPr>
        <w:t>à ses abords. Les forces spéciales se tenaient également prêtes à intervenir.</w:t>
      </w:r>
    </w:p>
    <w:p w:rsidRPr="003E3F83" w:rsidR="005B4F8B" w:rsidP="003E3F83" w14:paraId="3747A5F3" w14:textId="33016848">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20</w:t>
      </w:r>
      <w:r w:rsidRPr="003E3F83">
        <w:rPr>
          <w:rFonts w:cstheme="minorHAnsi"/>
        </w:rPr>
        <w:fldChar w:fldCharType="end"/>
      </w:r>
      <w:r w:rsidRPr="003E3F83">
        <w:rPr>
          <w:rFonts w:cstheme="minorHAnsi"/>
        </w:rPr>
        <w:t>.  De plus, selon les informations fournies par le Gouvernement, une cellule de crise avait été mise en place, et toute la zone de la manifestation était placée sous surveillance, différentes autorités la suivant simultanément en direct afin d</w:t>
      </w:r>
      <w:r w:rsidRPr="003E3F83" w:rsidR="003E3F83">
        <w:rPr>
          <w:rFonts w:cstheme="minorHAnsi"/>
        </w:rPr>
        <w:t>’</w:t>
      </w:r>
      <w:r w:rsidRPr="003E3F83">
        <w:rPr>
          <w:rFonts w:cstheme="minorHAnsi"/>
        </w:rPr>
        <w:t>être à même de diriger rapidement les pompiers, les ambulances et les forces de l</w:t>
      </w:r>
      <w:r w:rsidRPr="003E3F83" w:rsidR="003E3F83">
        <w:rPr>
          <w:rFonts w:cstheme="minorHAnsi"/>
        </w:rPr>
        <w:t>’</w:t>
      </w:r>
      <w:r w:rsidRPr="003E3F83">
        <w:rPr>
          <w:rFonts w:cstheme="minorHAnsi"/>
        </w:rPr>
        <w:t>ordre en cas d</w:t>
      </w:r>
      <w:r w:rsidRPr="003E3F83" w:rsidR="003E3F83">
        <w:rPr>
          <w:rFonts w:cstheme="minorHAnsi"/>
        </w:rPr>
        <w:t>’</w:t>
      </w:r>
      <w:r w:rsidRPr="003E3F83">
        <w:rPr>
          <w:rFonts w:cstheme="minorHAnsi"/>
        </w:rPr>
        <w:t>incident.</w:t>
      </w:r>
    </w:p>
    <w:p w:rsidRPr="003E3F83" w:rsidR="005B4F8B" w:rsidP="003E3F83" w14:paraId="52B62AA0" w14:textId="20EF7D8E">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21</w:t>
      </w:r>
      <w:r w:rsidRPr="003E3F83">
        <w:rPr>
          <w:rFonts w:cstheme="minorHAnsi"/>
        </w:rPr>
        <w:fldChar w:fldCharType="end"/>
      </w:r>
      <w:r w:rsidRPr="003E3F83">
        <w:rPr>
          <w:rFonts w:cstheme="minorHAnsi"/>
        </w:rPr>
        <w:t>.  Huit officiers de la brigade anti-terroriste, huit policiers démineurs, quinze officiers de police du renseignement intérieur et deux chiens policiers affectés à la recherche d</w:t>
      </w:r>
      <w:r w:rsidRPr="003E3F83" w:rsidR="003E3F83">
        <w:rPr>
          <w:rFonts w:cstheme="minorHAnsi"/>
        </w:rPr>
        <w:t>’</w:t>
      </w:r>
      <w:r w:rsidRPr="003E3F83">
        <w:rPr>
          <w:rFonts w:cstheme="minorHAnsi"/>
        </w:rPr>
        <w:t>explosifs avaient en outre été dépêchés sur les lieux.</w:t>
      </w:r>
    </w:p>
    <w:p w:rsidRPr="003E3F83" w:rsidR="005B4F8B" w:rsidP="003E3F83" w14:paraId="318E23AD" w14:textId="205CF571">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bookmarkStart w:name="paragraph00022" w:id="3"/>
      <w:r w:rsidRPr="003E3F83" w:rsidR="003E3F83">
        <w:rPr>
          <w:rFonts w:cstheme="minorHAnsi"/>
          <w:noProof/>
        </w:rPr>
        <w:t>22</w:t>
      </w:r>
      <w:bookmarkEnd w:id="3"/>
      <w:r w:rsidRPr="003E3F83">
        <w:rPr>
          <w:rFonts w:cstheme="minorHAnsi"/>
        </w:rPr>
        <w:fldChar w:fldCharType="end"/>
      </w:r>
      <w:r w:rsidRPr="003E3F83">
        <w:rPr>
          <w:rFonts w:cstheme="minorHAnsi"/>
        </w:rPr>
        <w:t>.  Les forces de l</w:t>
      </w:r>
      <w:r w:rsidRPr="003E3F83" w:rsidR="003E3F83">
        <w:rPr>
          <w:rFonts w:cstheme="minorHAnsi"/>
        </w:rPr>
        <w:t>’</w:t>
      </w:r>
      <w:r w:rsidRPr="003E3F83">
        <w:rPr>
          <w:rFonts w:cstheme="minorHAnsi"/>
        </w:rPr>
        <w:t>ordre procédèrent à la recherche d</w:t>
      </w:r>
      <w:r w:rsidRPr="003E3F83" w:rsidR="003E3F83">
        <w:rPr>
          <w:rFonts w:cstheme="minorHAnsi"/>
        </w:rPr>
        <w:t>’</w:t>
      </w:r>
      <w:r w:rsidRPr="003E3F83">
        <w:rPr>
          <w:rFonts w:cstheme="minorHAnsi"/>
        </w:rPr>
        <w:t>explosifs sur l</w:t>
      </w:r>
      <w:r w:rsidRPr="003E3F83" w:rsidR="003E3F83">
        <w:rPr>
          <w:rFonts w:cstheme="minorHAnsi"/>
        </w:rPr>
        <w:t>’</w:t>
      </w:r>
      <w:r w:rsidRPr="003E3F83">
        <w:rPr>
          <w:rFonts w:cstheme="minorHAnsi"/>
        </w:rPr>
        <w:t>itinéraire de la manifestation.</w:t>
      </w:r>
    </w:p>
    <w:p w:rsidRPr="003E3F83" w:rsidR="005B4F8B" w:rsidP="003E3F83" w14:paraId="66E088D0" w14:textId="77777777">
      <w:pPr>
        <w:pStyle w:val="JuHIRoman"/>
      </w:pPr>
      <w:r w:rsidRPr="003E3F83">
        <w:t>Explosions et blessure du requérant</w:t>
      </w:r>
    </w:p>
    <w:p w:rsidRPr="003E3F83" w:rsidR="005B4F8B" w:rsidP="003E3F83" w14:paraId="2F39D8CD" w14:textId="347CEDC9">
      <w:pPr>
        <w:pStyle w:val="JuPara"/>
      </w:pPr>
      <w:r>
        <w:fldChar w:fldCharType="begin"/>
      </w:r>
      <w:r>
        <w:instrText xml:space="preserve"> SEQ level0 \*arabic \* MERGEFORMAT </w:instrText>
      </w:r>
      <w:r>
        <w:fldChar w:fldCharType="separate"/>
      </w:r>
      <w:r w:rsidRPr="003E3F83" w:rsidR="003E3F83">
        <w:rPr>
          <w:noProof/>
        </w:rPr>
        <w:t>23</w:t>
      </w:r>
      <w:r>
        <w:rPr>
          <w:noProof/>
        </w:rPr>
        <w:fldChar w:fldCharType="end"/>
      </w:r>
      <w:r w:rsidRPr="003E3F83">
        <w:t>.  Vers 10</w:t>
      </w:r>
      <w:r w:rsidRPr="003E3F83" w:rsidR="009B2895">
        <w:t> </w:t>
      </w:r>
      <w:r w:rsidRPr="003E3F83">
        <w:t>h</w:t>
      </w:r>
      <w:r w:rsidRPr="003E3F83" w:rsidR="009B2895">
        <w:t> </w:t>
      </w:r>
      <w:r w:rsidRPr="003E3F83">
        <w:t>04, deux explosions retentirent au niveau du carrefour de la gare d</w:t>
      </w:r>
      <w:r w:rsidRPr="003E3F83" w:rsidR="003E3F83">
        <w:t>’</w:t>
      </w:r>
      <w:r w:rsidRPr="003E3F83">
        <w:t>Ankara.</w:t>
      </w:r>
    </w:p>
    <w:p w:rsidRPr="003E3F83" w:rsidR="005B4F8B" w:rsidP="003E3F83" w14:paraId="593EF688" w14:textId="1FC589CB">
      <w:pPr>
        <w:pStyle w:val="JuPara"/>
      </w:pPr>
      <w:r>
        <w:fldChar w:fldCharType="begin"/>
      </w:r>
      <w:r>
        <w:instrText xml:space="preserve"> SEQ level0 \*arabic \* MERGEFORMAT </w:instrText>
      </w:r>
      <w:r>
        <w:fldChar w:fldCharType="separate"/>
      </w:r>
      <w:r w:rsidRPr="003E3F83" w:rsidR="003E3F83">
        <w:rPr>
          <w:noProof/>
        </w:rPr>
        <w:t>24</w:t>
      </w:r>
      <w:r>
        <w:rPr>
          <w:noProof/>
        </w:rPr>
        <w:fldChar w:fldCharType="end"/>
      </w:r>
      <w:r w:rsidRPr="003E3F83">
        <w:t>.  Des manifestants furent pris de panique et commencèrent à fuir. Les forces de l</w:t>
      </w:r>
      <w:r w:rsidRPr="003E3F83" w:rsidR="003E3F83">
        <w:t>’</w:t>
      </w:r>
      <w:r w:rsidRPr="003E3F83">
        <w:t>ordre arrivèrent immédiatement sur les lieux et demandèrent à la foule de se disperser dans le calme. Quelques policiers firent usage de gaz lacrymogène.</w:t>
      </w:r>
    </w:p>
    <w:p w:rsidRPr="003E3F83" w:rsidR="005B4F8B" w:rsidP="003E3F83" w14:paraId="5F8492E0" w14:textId="619F78F8">
      <w:pPr>
        <w:pStyle w:val="JuPara"/>
      </w:pPr>
      <w:r>
        <w:fldChar w:fldCharType="begin"/>
      </w:r>
      <w:r>
        <w:instrText xml:space="preserve"> SEQ level0 \*arabic \* MERGEFORMAT </w:instrText>
      </w:r>
      <w:r>
        <w:fldChar w:fldCharType="separate"/>
      </w:r>
      <w:r w:rsidRPr="003E3F83" w:rsidR="003E3F83">
        <w:rPr>
          <w:noProof/>
        </w:rPr>
        <w:t>25</w:t>
      </w:r>
      <w:r>
        <w:rPr>
          <w:noProof/>
        </w:rPr>
        <w:fldChar w:fldCharType="end"/>
      </w:r>
      <w:r w:rsidRPr="003E3F83">
        <w:t>.  Les autorités constatèrent rapidement que l</w:t>
      </w:r>
      <w:r w:rsidRPr="003E3F83" w:rsidR="003E3F83">
        <w:t>’</w:t>
      </w:r>
      <w:r w:rsidRPr="003E3F83">
        <w:t>attentat avait été perpétré par deux kamikazes.</w:t>
      </w:r>
    </w:p>
    <w:p w:rsidRPr="003E3F83" w:rsidR="005B4F8B" w:rsidP="003E3F83" w14:paraId="7C03828C" w14:textId="50D58721">
      <w:pPr>
        <w:pStyle w:val="JuPara"/>
      </w:pPr>
      <w:r>
        <w:fldChar w:fldCharType="begin"/>
      </w:r>
      <w:r>
        <w:instrText xml:space="preserve"> SEQ level0 \*arabic \* MERGEFORMAT </w:instrText>
      </w:r>
      <w:r>
        <w:fldChar w:fldCharType="separate"/>
      </w:r>
      <w:r w:rsidRPr="003E3F83" w:rsidR="003E3F83">
        <w:rPr>
          <w:noProof/>
        </w:rPr>
        <w:t>26</w:t>
      </w:r>
      <w:r>
        <w:rPr>
          <w:noProof/>
        </w:rPr>
        <w:fldChar w:fldCharType="end"/>
      </w:r>
      <w:r w:rsidRPr="003E3F83">
        <w:t>.  Le requérant, qui se trouvait parmi les manifestants, fut blessé. Deux heures environ après l</w:t>
      </w:r>
      <w:r w:rsidRPr="003E3F83" w:rsidR="003E3F83">
        <w:t>’</w:t>
      </w:r>
      <w:r w:rsidRPr="003E3F83">
        <w:t>attentat, il fut admis au service des urgences de l</w:t>
      </w:r>
      <w:r w:rsidRPr="003E3F83" w:rsidR="003E3F83">
        <w:t>’</w:t>
      </w:r>
      <w:r w:rsidRPr="003E3F83">
        <w:t xml:space="preserve">hôpital de recherche et de formation </w:t>
      </w:r>
      <w:r w:rsidRPr="003E3F83">
        <w:t>İbni</w:t>
      </w:r>
      <w:r w:rsidRPr="003E3F83">
        <w:t xml:space="preserve"> Sina de l</w:t>
      </w:r>
      <w:r w:rsidRPr="003E3F83" w:rsidR="003E3F83">
        <w:t>’</w:t>
      </w:r>
      <w:r w:rsidRPr="003E3F83">
        <w:t>Université d</w:t>
      </w:r>
      <w:r w:rsidRPr="003E3F83" w:rsidR="003E3F83">
        <w:t>’</w:t>
      </w:r>
      <w:r w:rsidRPr="003E3F83">
        <w:t>Ankara, où il fut soigné. Un rapport médical fut établi à 12</w:t>
      </w:r>
      <w:r w:rsidRPr="003E3F83" w:rsidR="009B2895">
        <w:t> </w:t>
      </w:r>
      <w:r w:rsidRPr="003E3F83">
        <w:t>h</w:t>
      </w:r>
      <w:r w:rsidRPr="003E3F83" w:rsidR="009B2895">
        <w:t> </w:t>
      </w:r>
      <w:r w:rsidRPr="003E3F83">
        <w:t>25. Il indiquait que le requérant avait été blessé lors d</w:t>
      </w:r>
      <w:r w:rsidRPr="003E3F83" w:rsidR="003E3F83">
        <w:t>’</w:t>
      </w:r>
      <w:r w:rsidRPr="003E3F83">
        <w:t>une explosion, qu</w:t>
      </w:r>
      <w:r w:rsidRPr="003E3F83" w:rsidR="003E3F83">
        <w:t>’</w:t>
      </w:r>
      <w:r w:rsidRPr="003E3F83">
        <w:t>il souffrait de douleurs aux bras et aux jambes et qu</w:t>
      </w:r>
      <w:r w:rsidRPr="003E3F83" w:rsidR="003E3F83">
        <w:t>’</w:t>
      </w:r>
      <w:r w:rsidRPr="003E3F83">
        <w:t>il avait de multiples éraflures sur les membres en question.</w:t>
      </w:r>
    </w:p>
    <w:p w:rsidRPr="003E3F83" w:rsidR="005B4F8B" w:rsidP="003E3F83" w14:paraId="2DB439A2" w14:textId="51CF21B8">
      <w:pPr>
        <w:pStyle w:val="JuPara"/>
      </w:pPr>
      <w:r>
        <w:fldChar w:fldCharType="begin"/>
      </w:r>
      <w:r>
        <w:instrText xml:space="preserve"> SEQ level0 \*arabic \* MERGEFORMAT </w:instrText>
      </w:r>
      <w:r>
        <w:fldChar w:fldCharType="separate"/>
      </w:r>
      <w:r w:rsidRPr="003E3F83" w:rsidR="003E3F83">
        <w:rPr>
          <w:noProof/>
        </w:rPr>
        <w:t>27</w:t>
      </w:r>
      <w:r>
        <w:rPr>
          <w:noProof/>
        </w:rPr>
        <w:fldChar w:fldCharType="end"/>
      </w:r>
      <w:r w:rsidRPr="003E3F83">
        <w:t>.  À 13 heures, le requérant fut examiné par un autre médecin. Celui-ci nota dans son rapport que l</w:t>
      </w:r>
      <w:r w:rsidRPr="003E3F83" w:rsidR="003E3F83">
        <w:t>’</w:t>
      </w:r>
      <w:r w:rsidRPr="003E3F83">
        <w:t>intéressé présentait de multiples éraflures sur les bras et les jambes, et ajouta qu</w:t>
      </w:r>
      <w:r w:rsidRPr="003E3F83" w:rsidR="003E3F83">
        <w:t>’</w:t>
      </w:r>
      <w:r w:rsidRPr="003E3F83">
        <w:t>il n</w:t>
      </w:r>
      <w:r w:rsidRPr="003E3F83" w:rsidR="003E3F83">
        <w:t>’</w:t>
      </w:r>
      <w:r w:rsidRPr="003E3F83">
        <w:t>avait constaté aucun trouble psychopathologique chez le patient.</w:t>
      </w:r>
    </w:p>
    <w:p w:rsidRPr="003E3F83" w:rsidR="005B4F8B" w:rsidP="003E3F83" w14:paraId="7613D098" w14:textId="4051DF6F">
      <w:pPr>
        <w:pStyle w:val="JuHIRoman"/>
      </w:pPr>
      <w:r w:rsidRPr="003E3F83">
        <w:t>Le contexte de l</w:t>
      </w:r>
      <w:r w:rsidRPr="003E3F83" w:rsidR="003E3F83">
        <w:t>’</w:t>
      </w:r>
      <w:r w:rsidRPr="003E3F83">
        <w:t>attentat</w:t>
      </w:r>
    </w:p>
    <w:p w:rsidRPr="003E3F83" w:rsidR="005B4F8B" w:rsidP="003E3F83" w14:paraId="713641C4" w14:textId="283EBE61">
      <w:pPr>
        <w:pStyle w:val="JuPara"/>
      </w:pPr>
      <w:r>
        <w:fldChar w:fldCharType="begin"/>
      </w:r>
      <w:r>
        <w:instrText xml:space="preserve"> SEQ level0 \*arabic \* MERGEFORMAT </w:instrText>
      </w:r>
      <w:r>
        <w:fldChar w:fldCharType="separate"/>
      </w:r>
      <w:r w:rsidRPr="003E3F83" w:rsidR="003E3F83">
        <w:rPr>
          <w:noProof/>
        </w:rPr>
        <w:t>28</w:t>
      </w:r>
      <w:r>
        <w:rPr>
          <w:noProof/>
        </w:rPr>
        <w:fldChar w:fldCharType="end"/>
      </w:r>
      <w:r w:rsidRPr="003E3F83">
        <w:t>.  Par la suite, les autorités établirent les éléments suivants. Les deux kamikazes qui avaient déclenché les explosions étaient membres de Daech (organisation connue sous le nom d</w:t>
      </w:r>
      <w:r w:rsidRPr="003E3F83" w:rsidR="003E3F83">
        <w:t>’</w:t>
      </w:r>
      <w:r w:rsidRPr="003E3F83">
        <w:t>«</w:t>
      </w:r>
      <w:r w:rsidRPr="003E3F83">
        <w:t> État islamique en Irak et au Levant –– le groupe État islamique »).</w:t>
      </w:r>
    </w:p>
    <w:p w:rsidRPr="003E3F83" w:rsidR="005B4F8B" w:rsidP="003E3F83" w14:paraId="4985E16E" w14:textId="3A5CA9C4">
      <w:pPr>
        <w:pStyle w:val="JuPara"/>
      </w:pPr>
      <w:r>
        <w:fldChar w:fldCharType="begin"/>
      </w:r>
      <w:r>
        <w:instrText xml:space="preserve"> SEQ level0 \*arabic \* MERGEFORMAT </w:instrText>
      </w:r>
      <w:r>
        <w:fldChar w:fldCharType="separate"/>
      </w:r>
      <w:r w:rsidRPr="003E3F83" w:rsidR="003E3F83">
        <w:rPr>
          <w:noProof/>
        </w:rPr>
        <w:t>29</w:t>
      </w:r>
      <w:r>
        <w:rPr>
          <w:noProof/>
        </w:rPr>
        <w:fldChar w:fldCharType="end"/>
      </w:r>
      <w:r w:rsidRPr="003E3F83">
        <w:t>.  Ils avaient été envoyés depuis la frontière syrienne vers la Türkiye par un suspect dénommé D.B. Des membres de Daesh les avaient hébergés en Türkiye. Le jour de l</w:t>
      </w:r>
      <w:r w:rsidRPr="003E3F83" w:rsidR="003E3F83">
        <w:t>’</w:t>
      </w:r>
      <w:r w:rsidRPr="003E3F83">
        <w:t xml:space="preserve">évènement, les deux kamikazes avaient pris un taxi pour se rendre sur les lieux. Ils étaient descendus du taxi au niveau du carrefour de la rue </w:t>
      </w:r>
      <w:r w:rsidRPr="003E3F83">
        <w:t>Kazım</w:t>
      </w:r>
      <w:r w:rsidRPr="003E3F83">
        <w:t xml:space="preserve"> </w:t>
      </w:r>
      <w:r w:rsidRPr="003E3F83">
        <w:t>Karabekir</w:t>
      </w:r>
      <w:r w:rsidRPr="003E3F83">
        <w:t xml:space="preserve"> à 9</w:t>
      </w:r>
      <w:r w:rsidRPr="003E3F83" w:rsidR="009B2895">
        <w:t> </w:t>
      </w:r>
      <w:r w:rsidRPr="003E3F83">
        <w:t>h</w:t>
      </w:r>
      <w:r w:rsidRPr="003E3F83" w:rsidR="009B2895">
        <w:t> </w:t>
      </w:r>
      <w:r w:rsidRPr="003E3F83">
        <w:t xml:space="preserve">57, avaient marché vers la gare principale </w:t>
      </w:r>
      <w:r w:rsidRPr="003E3F83">
        <w:t>d</w:t>
      </w:r>
      <w:r w:rsidRPr="003E3F83" w:rsidR="003E3F83">
        <w:t>’</w:t>
      </w:r>
      <w:r w:rsidRPr="003E3F83">
        <w:t>Ankara, et avaient activé leurs ceintures explosives à deux différents points à 10 h 04 min 29 s et 10 h 04 min 32 s, respectivement.</w:t>
      </w:r>
    </w:p>
    <w:p w:rsidRPr="003E3F83" w:rsidR="005B4F8B" w:rsidP="003E3F83" w14:paraId="30262216" w14:textId="0F0DACEF">
      <w:pPr>
        <w:pStyle w:val="JuHIRoman"/>
      </w:pPr>
      <w:r w:rsidRPr="003E3F83">
        <w:t>L</w:t>
      </w:r>
      <w:r w:rsidRPr="003E3F83" w:rsidR="003E3F83">
        <w:t>’</w:t>
      </w:r>
      <w:r w:rsidRPr="003E3F83">
        <w:t>enquête pénale</w:t>
      </w:r>
    </w:p>
    <w:p w:rsidRPr="003E3F83" w:rsidR="005B4F8B" w:rsidP="003E3F83" w14:paraId="41F679C3" w14:textId="5D6C3E46">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30</w:t>
      </w:r>
      <w:r w:rsidRPr="003E3F83">
        <w:rPr>
          <w:rFonts w:cstheme="minorHAnsi"/>
        </w:rPr>
        <w:fldChar w:fldCharType="end"/>
      </w:r>
      <w:r w:rsidRPr="003E3F83">
        <w:rPr>
          <w:rFonts w:cstheme="minorHAnsi"/>
        </w:rPr>
        <w:t>.  Le bureau du parquet général d</w:t>
      </w:r>
      <w:r w:rsidRPr="003E3F83" w:rsidR="003E3F83">
        <w:rPr>
          <w:rFonts w:cstheme="minorHAnsi"/>
        </w:rPr>
        <w:t>’</w:t>
      </w:r>
      <w:r w:rsidRPr="003E3F83">
        <w:rPr>
          <w:rFonts w:cstheme="minorHAnsi"/>
        </w:rPr>
        <w:t>Ankara chargé de la répression des infractions commises contre l</w:t>
      </w:r>
      <w:r w:rsidRPr="003E3F83" w:rsidR="003E3F83">
        <w:rPr>
          <w:rFonts w:cstheme="minorHAnsi"/>
        </w:rPr>
        <w:t>’</w:t>
      </w:r>
      <w:r w:rsidRPr="003E3F83">
        <w:rPr>
          <w:rFonts w:cstheme="minorHAnsi"/>
        </w:rPr>
        <w:t>ordre constitutionnel ouvrit une enquête pénale le jour même de l</w:t>
      </w:r>
      <w:r w:rsidRPr="003E3F83" w:rsidR="003E3F83">
        <w:rPr>
          <w:rFonts w:cstheme="minorHAnsi"/>
        </w:rPr>
        <w:t>’</w:t>
      </w:r>
      <w:r w:rsidRPr="003E3F83">
        <w:rPr>
          <w:rFonts w:cstheme="minorHAnsi"/>
        </w:rPr>
        <w:t>attentat.</w:t>
      </w:r>
    </w:p>
    <w:p w:rsidRPr="003E3F83" w:rsidR="005B4F8B" w:rsidP="003E3F83" w14:paraId="27AA0A87" w14:textId="3DF0A116">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31</w:t>
      </w:r>
      <w:r w:rsidRPr="003E3F83">
        <w:rPr>
          <w:rFonts w:cstheme="minorHAnsi"/>
        </w:rPr>
        <w:fldChar w:fldCharType="end"/>
      </w:r>
      <w:r w:rsidRPr="003E3F83">
        <w:rPr>
          <w:rFonts w:cstheme="minorHAnsi"/>
        </w:rPr>
        <w:t>.  Deux semaines après</w:t>
      </w:r>
      <w:r w:rsidRPr="003E3F83" w:rsidR="009B2895">
        <w:rPr>
          <w:rFonts w:cstheme="minorHAnsi"/>
        </w:rPr>
        <w:t xml:space="preserve"> </w:t>
      </w:r>
      <w:r w:rsidRPr="003E3F83">
        <w:rPr>
          <w:rFonts w:cstheme="minorHAnsi"/>
        </w:rPr>
        <w:t>la double explosion, qui avait fait cent morts et trois cent quatre</w:t>
      </w:r>
      <w:r w:rsidRPr="003E3F83">
        <w:rPr>
          <w:rFonts w:cstheme="minorHAnsi"/>
        </w:rPr>
        <w:t>-vingt onze</w:t>
      </w:r>
      <w:r w:rsidRPr="003E3F83">
        <w:rPr>
          <w:rFonts w:cstheme="minorHAnsi"/>
        </w:rPr>
        <w:t xml:space="preserve"> blessés, le procureur chargé de l</w:t>
      </w:r>
      <w:r w:rsidRPr="003E3F83" w:rsidR="003E3F83">
        <w:rPr>
          <w:rFonts w:cstheme="minorHAnsi"/>
        </w:rPr>
        <w:t>’</w:t>
      </w:r>
      <w:r w:rsidRPr="003E3F83">
        <w:rPr>
          <w:rFonts w:cstheme="minorHAnsi"/>
        </w:rPr>
        <w:t>enquête confirma qu</w:t>
      </w:r>
      <w:r w:rsidRPr="003E3F83" w:rsidR="003E3F83">
        <w:rPr>
          <w:rFonts w:cstheme="minorHAnsi"/>
        </w:rPr>
        <w:t>’</w:t>
      </w:r>
      <w:r w:rsidRPr="003E3F83">
        <w:rPr>
          <w:rFonts w:cstheme="minorHAnsi"/>
        </w:rPr>
        <w:t>il s</w:t>
      </w:r>
      <w:r w:rsidRPr="003E3F83" w:rsidR="003E3F83">
        <w:rPr>
          <w:rFonts w:cstheme="minorHAnsi"/>
        </w:rPr>
        <w:t>’</w:t>
      </w:r>
      <w:r w:rsidRPr="003E3F83">
        <w:rPr>
          <w:rFonts w:cstheme="minorHAnsi"/>
        </w:rPr>
        <w:t>agissait d</w:t>
      </w:r>
      <w:r w:rsidRPr="003E3F83" w:rsidR="003E3F83">
        <w:rPr>
          <w:rFonts w:cstheme="minorHAnsi"/>
        </w:rPr>
        <w:t>’</w:t>
      </w:r>
      <w:r w:rsidRPr="003E3F83">
        <w:rPr>
          <w:rFonts w:cstheme="minorHAnsi"/>
        </w:rPr>
        <w:t>un attentat commandité par le groupe État islamique.</w:t>
      </w:r>
    </w:p>
    <w:p w:rsidRPr="003E3F83" w:rsidR="005B4F8B" w:rsidP="003E3F83" w14:paraId="4162AAF8" w14:textId="671B82A4">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32</w:t>
      </w:r>
      <w:r w:rsidRPr="003E3F83">
        <w:rPr>
          <w:rFonts w:cstheme="minorHAnsi"/>
        </w:rPr>
        <w:fldChar w:fldCharType="end"/>
      </w:r>
      <w:r w:rsidRPr="003E3F83">
        <w:rPr>
          <w:rFonts w:cstheme="minorHAnsi"/>
        </w:rPr>
        <w:t>.  Il indiqua en particulier qu</w:t>
      </w:r>
      <w:r w:rsidRPr="003E3F83" w:rsidR="003E3F83">
        <w:rPr>
          <w:rFonts w:cstheme="minorHAnsi"/>
        </w:rPr>
        <w:t>’</w:t>
      </w:r>
      <w:r w:rsidRPr="003E3F83">
        <w:rPr>
          <w:rFonts w:cstheme="minorHAnsi"/>
        </w:rPr>
        <w:t>«</w:t>
      </w:r>
      <w:r w:rsidRPr="003E3F83">
        <w:rPr>
          <w:rFonts w:cstheme="minorHAnsi"/>
        </w:rPr>
        <w:t> il [avait] été établi que le groupe [à l</w:t>
      </w:r>
      <w:r w:rsidRPr="003E3F83" w:rsidR="003E3F83">
        <w:rPr>
          <w:rFonts w:cstheme="minorHAnsi"/>
        </w:rPr>
        <w:t>’</w:t>
      </w:r>
      <w:r w:rsidRPr="003E3F83">
        <w:rPr>
          <w:rFonts w:cstheme="minorHAnsi"/>
        </w:rPr>
        <w:t>origine de l</w:t>
      </w:r>
      <w:r w:rsidRPr="003E3F83" w:rsidR="003E3F83">
        <w:rPr>
          <w:rFonts w:cstheme="minorHAnsi"/>
        </w:rPr>
        <w:t>’</w:t>
      </w:r>
      <w:r w:rsidRPr="003E3F83">
        <w:rPr>
          <w:rFonts w:cstheme="minorHAnsi"/>
        </w:rPr>
        <w:t>attaque] [avait] planifié des attentats en Türkiye après avoir reçu des instructions directes de l</w:t>
      </w:r>
      <w:r w:rsidRPr="003E3F83" w:rsidR="003E3F83">
        <w:rPr>
          <w:rFonts w:cstheme="minorHAnsi"/>
        </w:rPr>
        <w:t>’</w:t>
      </w:r>
      <w:r w:rsidRPr="003E3F83">
        <w:rPr>
          <w:rFonts w:cstheme="minorHAnsi"/>
        </w:rPr>
        <w:t>organisation terroriste Daech en Syrie ».</w:t>
      </w:r>
    </w:p>
    <w:p w:rsidRPr="003E3F83" w:rsidR="005B4F8B" w:rsidP="003E3F83" w14:paraId="0145C257" w14:textId="2C81E040">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33</w:t>
      </w:r>
      <w:r w:rsidRPr="003E3F83">
        <w:rPr>
          <w:rFonts w:cstheme="minorHAnsi"/>
        </w:rPr>
        <w:fldChar w:fldCharType="end"/>
      </w:r>
      <w:r w:rsidRPr="003E3F83">
        <w:rPr>
          <w:rFonts w:cstheme="minorHAnsi"/>
        </w:rPr>
        <w:t>.  Il précisa en outre que le groupe jihadiste avait pour intention de « repousser les élections législatives du 1</w:t>
      </w:r>
      <w:r w:rsidRPr="003E3F83">
        <w:rPr>
          <w:rFonts w:cstheme="minorHAnsi"/>
          <w:vertAlign w:val="superscript"/>
        </w:rPr>
        <w:t>er</w:t>
      </w:r>
      <w:r w:rsidRPr="003E3F83">
        <w:rPr>
          <w:rFonts w:cstheme="minorHAnsi"/>
        </w:rPr>
        <w:t xml:space="preserve"> novembre [2016] en généralisant les attaques ».</w:t>
      </w:r>
    </w:p>
    <w:p w:rsidRPr="003E3F83" w:rsidR="005B4F8B" w:rsidP="003E3F83" w14:paraId="6C3D39B4" w14:textId="407B2B92">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34</w:t>
      </w:r>
      <w:r w:rsidRPr="003E3F83">
        <w:rPr>
          <w:rFonts w:cstheme="minorHAnsi"/>
        </w:rPr>
        <w:fldChar w:fldCharType="end"/>
      </w:r>
      <w:r w:rsidRPr="003E3F83">
        <w:rPr>
          <w:rFonts w:cstheme="minorHAnsi"/>
        </w:rPr>
        <w:t>.  Le 27 juin 2016, le procureur déposa devant la cour d</w:t>
      </w:r>
      <w:r w:rsidRPr="003E3F83" w:rsidR="003E3F83">
        <w:rPr>
          <w:rFonts w:cstheme="minorHAnsi"/>
        </w:rPr>
        <w:t>’</w:t>
      </w:r>
      <w:r w:rsidRPr="003E3F83">
        <w:rPr>
          <w:rFonts w:cstheme="minorHAnsi"/>
        </w:rPr>
        <w:t>assises d</w:t>
      </w:r>
      <w:r w:rsidRPr="003E3F83" w:rsidR="003E3F83">
        <w:rPr>
          <w:rFonts w:cstheme="minorHAnsi"/>
        </w:rPr>
        <w:t>’</w:t>
      </w:r>
      <w:r w:rsidRPr="003E3F83">
        <w:rPr>
          <w:rFonts w:cstheme="minorHAnsi"/>
        </w:rPr>
        <w:t>Ankara un acte d</w:t>
      </w:r>
      <w:r w:rsidRPr="003E3F83" w:rsidR="003E3F83">
        <w:rPr>
          <w:rFonts w:cstheme="minorHAnsi"/>
        </w:rPr>
        <w:t>’</w:t>
      </w:r>
      <w:r w:rsidRPr="003E3F83">
        <w:rPr>
          <w:rFonts w:cstheme="minorHAnsi"/>
        </w:rPr>
        <w:t>accusation dirigé contre trente-six personnes, les inculpant d</w:t>
      </w:r>
      <w:r w:rsidRPr="003E3F83" w:rsidR="003E3F83">
        <w:rPr>
          <w:rFonts w:cstheme="minorHAnsi"/>
        </w:rPr>
        <w:t>’</w:t>
      </w:r>
      <w:r w:rsidRPr="003E3F83">
        <w:rPr>
          <w:rFonts w:cstheme="minorHAnsi"/>
        </w:rPr>
        <w:t>homicide volontaire, de tentative d</w:t>
      </w:r>
      <w:r w:rsidRPr="003E3F83" w:rsidR="003E3F83">
        <w:rPr>
          <w:rFonts w:cstheme="minorHAnsi"/>
        </w:rPr>
        <w:t>’</w:t>
      </w:r>
      <w:r w:rsidRPr="003E3F83">
        <w:rPr>
          <w:rFonts w:cstheme="minorHAnsi"/>
        </w:rPr>
        <w:t>homicide et de tentative de renversement de l</w:t>
      </w:r>
      <w:r w:rsidRPr="003E3F83" w:rsidR="003E3F83">
        <w:rPr>
          <w:rFonts w:cstheme="minorHAnsi"/>
        </w:rPr>
        <w:t>’</w:t>
      </w:r>
      <w:r w:rsidRPr="003E3F83">
        <w:rPr>
          <w:rFonts w:cstheme="minorHAnsi"/>
        </w:rPr>
        <w:t>ordre constitutionnel.</w:t>
      </w:r>
    </w:p>
    <w:p w:rsidRPr="003E3F83" w:rsidR="005B4F8B" w:rsidP="003E3F83" w14:paraId="03DB8DC8" w14:textId="42D05EED">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35</w:t>
      </w:r>
      <w:r w:rsidRPr="003E3F83">
        <w:rPr>
          <w:rFonts w:cstheme="minorHAnsi"/>
        </w:rPr>
        <w:fldChar w:fldCharType="end"/>
      </w:r>
      <w:r w:rsidRPr="003E3F83">
        <w:rPr>
          <w:rFonts w:cstheme="minorHAnsi"/>
        </w:rPr>
        <w:t>.  Par la suite, une autre personne, dénommée E.E., fut également inculpée des mêmes</w:t>
      </w:r>
      <w:r w:rsidRPr="003E3F83" w:rsidR="009B2895">
        <w:rPr>
          <w:rFonts w:cstheme="minorHAnsi"/>
        </w:rPr>
        <w:t xml:space="preserve"> </w:t>
      </w:r>
      <w:r w:rsidRPr="003E3F83">
        <w:rPr>
          <w:rFonts w:cstheme="minorHAnsi"/>
        </w:rPr>
        <w:t>chefs d</w:t>
      </w:r>
      <w:r w:rsidRPr="003E3F83" w:rsidR="003E3F83">
        <w:rPr>
          <w:rFonts w:cstheme="minorHAnsi"/>
        </w:rPr>
        <w:t>’</w:t>
      </w:r>
      <w:r w:rsidRPr="003E3F83">
        <w:rPr>
          <w:rFonts w:cstheme="minorHAnsi"/>
        </w:rPr>
        <w:t>accusation.</w:t>
      </w:r>
    </w:p>
    <w:p w:rsidRPr="003E3F83" w:rsidR="005B4F8B" w:rsidP="003E3F83" w14:paraId="18DAD327" w14:textId="661F2EEE">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36</w:t>
      </w:r>
      <w:r w:rsidRPr="003E3F83">
        <w:rPr>
          <w:rFonts w:cstheme="minorHAnsi"/>
        </w:rPr>
        <w:fldChar w:fldCharType="end"/>
      </w:r>
      <w:r w:rsidRPr="003E3F83">
        <w:rPr>
          <w:rFonts w:cstheme="minorHAnsi"/>
        </w:rPr>
        <w:t>.  Par un arrêt du 3 août 2018, la cour d</w:t>
      </w:r>
      <w:r w:rsidRPr="003E3F83" w:rsidR="003E3F83">
        <w:rPr>
          <w:rFonts w:cstheme="minorHAnsi"/>
        </w:rPr>
        <w:t>’</w:t>
      </w:r>
      <w:r w:rsidRPr="003E3F83">
        <w:rPr>
          <w:rFonts w:cstheme="minorHAnsi"/>
        </w:rPr>
        <w:t>assises d</w:t>
      </w:r>
      <w:r w:rsidRPr="003E3F83" w:rsidR="003E3F83">
        <w:rPr>
          <w:rFonts w:cstheme="minorHAnsi"/>
        </w:rPr>
        <w:t>’</w:t>
      </w:r>
      <w:r w:rsidRPr="003E3F83">
        <w:rPr>
          <w:rFonts w:cstheme="minorHAnsi"/>
        </w:rPr>
        <w:t>Ankara reconnut dix</w:t>
      </w:r>
      <w:r w:rsidRPr="003E3F83">
        <w:rPr>
          <w:rFonts w:cstheme="minorHAnsi"/>
        </w:rPr>
        <w:noBreakHyphen/>
        <w:t>neuf des personnes poursuivies coupables d</w:t>
      </w:r>
      <w:r w:rsidRPr="003E3F83" w:rsidR="003E3F83">
        <w:rPr>
          <w:rFonts w:cstheme="minorHAnsi"/>
        </w:rPr>
        <w:t>’</w:t>
      </w:r>
      <w:r w:rsidRPr="003E3F83">
        <w:rPr>
          <w:rFonts w:cstheme="minorHAnsi"/>
        </w:rPr>
        <w:t>avoir participé à l</w:t>
      </w:r>
      <w:r w:rsidRPr="003E3F83" w:rsidR="003E3F83">
        <w:rPr>
          <w:rFonts w:cstheme="minorHAnsi"/>
        </w:rPr>
        <w:t>’</w:t>
      </w:r>
      <w:r w:rsidRPr="003E3F83">
        <w:rPr>
          <w:rFonts w:cstheme="minorHAnsi"/>
        </w:rPr>
        <w:t>attentat. Elle les condamna à la réclusion criminelle à perpétuité pour homicide volontaire, tentative d</w:t>
      </w:r>
      <w:r w:rsidRPr="003E3F83" w:rsidR="003E3F83">
        <w:rPr>
          <w:rFonts w:cstheme="minorHAnsi"/>
        </w:rPr>
        <w:t>’</w:t>
      </w:r>
      <w:r w:rsidRPr="003E3F83">
        <w:rPr>
          <w:rFonts w:cstheme="minorHAnsi"/>
        </w:rPr>
        <w:t>homicide et tentative de renversement</w:t>
      </w:r>
      <w:r w:rsidRPr="003E3F83" w:rsidR="009B2895">
        <w:rPr>
          <w:rFonts w:cstheme="minorHAnsi"/>
        </w:rPr>
        <w:t xml:space="preserve"> </w:t>
      </w:r>
      <w:r w:rsidRPr="003E3F83">
        <w:rPr>
          <w:rFonts w:cstheme="minorHAnsi"/>
        </w:rPr>
        <w:t>de l</w:t>
      </w:r>
      <w:r w:rsidRPr="003E3F83" w:rsidR="003E3F83">
        <w:rPr>
          <w:rFonts w:cstheme="minorHAnsi"/>
        </w:rPr>
        <w:t>’</w:t>
      </w:r>
      <w:r w:rsidRPr="003E3F83">
        <w:rPr>
          <w:rFonts w:cstheme="minorHAnsi"/>
        </w:rPr>
        <w:t>ordre constitutionnel.</w:t>
      </w:r>
    </w:p>
    <w:p w:rsidRPr="003E3F83" w:rsidR="005B4F8B" w:rsidP="003E3F83" w14:paraId="1DE33A10" w14:textId="440D0F31">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37</w:t>
      </w:r>
      <w:r w:rsidRPr="003E3F83">
        <w:rPr>
          <w:rFonts w:cstheme="minorHAnsi"/>
        </w:rPr>
        <w:fldChar w:fldCharType="end"/>
      </w:r>
      <w:r w:rsidRPr="003E3F83">
        <w:rPr>
          <w:rFonts w:cstheme="minorHAnsi"/>
        </w:rPr>
        <w:t>.  Elle décida en outre de dissocier le dossier relatif aux accusés İ.B., D.B., E.T., S.Y., H.H.U., B.Y., K.K., A.G., C.K., Ö.D.D., M.Z.A., W.S., M.D., N.Y., K.D et Y.S., à l</w:t>
      </w:r>
      <w:r w:rsidRPr="003E3F83" w:rsidR="003E3F83">
        <w:rPr>
          <w:rFonts w:cstheme="minorHAnsi"/>
        </w:rPr>
        <w:t>’</w:t>
      </w:r>
      <w:r w:rsidRPr="003E3F83">
        <w:rPr>
          <w:rFonts w:cstheme="minorHAnsi"/>
        </w:rPr>
        <w:t>égard desquels des mandats d</w:t>
      </w:r>
      <w:r w:rsidRPr="003E3F83" w:rsidR="003E3F83">
        <w:rPr>
          <w:rFonts w:cstheme="minorHAnsi"/>
        </w:rPr>
        <w:t>’</w:t>
      </w:r>
      <w:r w:rsidRPr="003E3F83">
        <w:rPr>
          <w:rFonts w:cstheme="minorHAnsi"/>
        </w:rPr>
        <w:t>arrêt avaient été émis, et de l</w:t>
      </w:r>
      <w:r w:rsidRPr="003E3F83" w:rsidR="003E3F83">
        <w:rPr>
          <w:rFonts w:cstheme="minorHAnsi"/>
        </w:rPr>
        <w:t>’</w:t>
      </w:r>
      <w:r w:rsidRPr="003E3F83">
        <w:rPr>
          <w:rFonts w:cstheme="minorHAnsi"/>
        </w:rPr>
        <w:t>enregistrer sous un autre numéro. Lesdits accusés, qui font l</w:t>
      </w:r>
      <w:r w:rsidRPr="003E3F83" w:rsidR="003E3F83">
        <w:rPr>
          <w:rFonts w:cstheme="minorHAnsi"/>
        </w:rPr>
        <w:t>’</w:t>
      </w:r>
      <w:r w:rsidRPr="003E3F83">
        <w:rPr>
          <w:rFonts w:cstheme="minorHAnsi"/>
        </w:rPr>
        <w:t>objet d</w:t>
      </w:r>
      <w:r w:rsidRPr="003E3F83" w:rsidR="003E3F83">
        <w:rPr>
          <w:rFonts w:cstheme="minorHAnsi"/>
        </w:rPr>
        <w:t>’</w:t>
      </w:r>
      <w:r w:rsidRPr="003E3F83">
        <w:rPr>
          <w:rFonts w:cstheme="minorHAnsi"/>
        </w:rPr>
        <w:t>une notice rouge d</w:t>
      </w:r>
      <w:r w:rsidRPr="003E3F83" w:rsidR="003E3F83">
        <w:rPr>
          <w:rFonts w:cstheme="minorHAnsi"/>
        </w:rPr>
        <w:t>’</w:t>
      </w:r>
      <w:r w:rsidRPr="003E3F83">
        <w:rPr>
          <w:rFonts w:cstheme="minorHAnsi"/>
        </w:rPr>
        <w:t>Interpol, sont toujours recherchés.</w:t>
      </w:r>
    </w:p>
    <w:p w:rsidRPr="003E3F83" w:rsidR="005B4F8B" w:rsidP="003E3F83" w14:paraId="313748D0" w14:textId="51072835">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38</w:t>
      </w:r>
      <w:r w:rsidRPr="003E3F83">
        <w:rPr>
          <w:rFonts w:cstheme="minorHAnsi"/>
        </w:rPr>
        <w:fldChar w:fldCharType="end"/>
      </w:r>
      <w:r w:rsidRPr="003E3F83">
        <w:rPr>
          <w:rFonts w:cstheme="minorHAnsi"/>
        </w:rPr>
        <w:t>.  Le 12 octobre 2020, la cour d</w:t>
      </w:r>
      <w:r w:rsidRPr="003E3F83" w:rsidR="003E3F83">
        <w:rPr>
          <w:rFonts w:cstheme="minorHAnsi"/>
        </w:rPr>
        <w:t>’</w:t>
      </w:r>
      <w:r w:rsidRPr="003E3F83">
        <w:rPr>
          <w:rFonts w:cstheme="minorHAnsi"/>
        </w:rPr>
        <w:t>appel d</w:t>
      </w:r>
      <w:r w:rsidRPr="003E3F83" w:rsidR="003E3F83">
        <w:rPr>
          <w:rFonts w:cstheme="minorHAnsi"/>
        </w:rPr>
        <w:t>’</w:t>
      </w:r>
      <w:r w:rsidRPr="003E3F83">
        <w:rPr>
          <w:rFonts w:cstheme="minorHAnsi"/>
        </w:rPr>
        <w:t>Ankara confirma l</w:t>
      </w:r>
      <w:r w:rsidRPr="003E3F83" w:rsidR="003E3F83">
        <w:rPr>
          <w:rFonts w:cstheme="minorHAnsi"/>
        </w:rPr>
        <w:t>’</w:t>
      </w:r>
      <w:r w:rsidRPr="003E3F83">
        <w:rPr>
          <w:rFonts w:cstheme="minorHAnsi"/>
        </w:rPr>
        <w:t>arrêt de la cour d</w:t>
      </w:r>
      <w:r w:rsidRPr="003E3F83" w:rsidR="003E3F83">
        <w:rPr>
          <w:rFonts w:cstheme="minorHAnsi"/>
        </w:rPr>
        <w:t>’</w:t>
      </w:r>
      <w:r w:rsidRPr="003E3F83">
        <w:rPr>
          <w:rFonts w:cstheme="minorHAnsi"/>
        </w:rPr>
        <w:t>assises du 3 août 2018.</w:t>
      </w:r>
    </w:p>
    <w:p w:rsidRPr="003E3F83" w:rsidR="005B4F8B" w:rsidP="003E3F83" w14:paraId="30F1149A" w14:textId="65AC0D26">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39</w:t>
      </w:r>
      <w:r w:rsidRPr="003E3F83">
        <w:rPr>
          <w:rFonts w:cstheme="minorHAnsi"/>
        </w:rPr>
        <w:fldChar w:fldCharType="end"/>
      </w:r>
      <w:r w:rsidRPr="003E3F83">
        <w:rPr>
          <w:rFonts w:cstheme="minorHAnsi"/>
        </w:rPr>
        <w:t>.  Le 29 juin 2022, la Cour de cassation cassa partiellement l</w:t>
      </w:r>
      <w:r w:rsidRPr="003E3F83" w:rsidR="003E3F83">
        <w:rPr>
          <w:rFonts w:cstheme="minorHAnsi"/>
        </w:rPr>
        <w:t>’</w:t>
      </w:r>
      <w:r w:rsidRPr="003E3F83">
        <w:rPr>
          <w:rFonts w:cstheme="minorHAnsi"/>
        </w:rPr>
        <w:t>arrêt du 12 octobre 2020 et renvoya l</w:t>
      </w:r>
      <w:r w:rsidRPr="003E3F83" w:rsidR="003E3F83">
        <w:rPr>
          <w:rFonts w:cstheme="minorHAnsi"/>
        </w:rPr>
        <w:t>’</w:t>
      </w:r>
      <w:r w:rsidRPr="003E3F83">
        <w:rPr>
          <w:rFonts w:cstheme="minorHAnsi"/>
        </w:rPr>
        <w:t>affaire devant la cour d</w:t>
      </w:r>
      <w:r w:rsidRPr="003E3F83" w:rsidR="003E3F83">
        <w:rPr>
          <w:rFonts w:cstheme="minorHAnsi"/>
        </w:rPr>
        <w:t>’</w:t>
      </w:r>
      <w:r w:rsidRPr="003E3F83">
        <w:rPr>
          <w:rFonts w:cstheme="minorHAnsi"/>
        </w:rPr>
        <w:t>appel d</w:t>
      </w:r>
      <w:r w:rsidRPr="003E3F83" w:rsidR="003E3F83">
        <w:rPr>
          <w:rFonts w:cstheme="minorHAnsi"/>
        </w:rPr>
        <w:t>’</w:t>
      </w:r>
      <w:r w:rsidRPr="003E3F83">
        <w:rPr>
          <w:rFonts w:cstheme="minorHAnsi"/>
        </w:rPr>
        <w:t>Ankara.</w:t>
      </w:r>
    </w:p>
    <w:p w:rsidRPr="003E3F83" w:rsidR="005B4F8B" w:rsidP="003E3F83" w14:paraId="2BB024E6" w14:textId="1B2762A4">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40</w:t>
      </w:r>
      <w:r w:rsidRPr="003E3F83">
        <w:rPr>
          <w:rFonts w:cstheme="minorHAnsi"/>
        </w:rPr>
        <w:fldChar w:fldCharType="end"/>
      </w:r>
      <w:r w:rsidRPr="003E3F83">
        <w:rPr>
          <w:rFonts w:cstheme="minorHAnsi"/>
        </w:rPr>
        <w:t>.  Selon les éléments du dossier, la procédure demeure pendante devant les juridictions répressives.</w:t>
      </w:r>
    </w:p>
    <w:p w:rsidRPr="003E3F83" w:rsidR="005B4F8B" w:rsidP="003E3F83" w14:paraId="1F8453F0" w14:textId="419A386E">
      <w:pPr>
        <w:pStyle w:val="JuHIRoman"/>
      </w:pPr>
      <w:r w:rsidRPr="003E3F83">
        <w:t>L</w:t>
      </w:r>
      <w:r w:rsidRPr="003E3F83" w:rsidR="003E3F83">
        <w:t>’</w:t>
      </w:r>
      <w:r w:rsidRPr="003E3F83">
        <w:t>action en indemnisation</w:t>
      </w:r>
    </w:p>
    <w:p w:rsidRPr="003E3F83" w:rsidR="005B4F8B" w:rsidP="003E3F83" w14:paraId="3294E37F" w14:textId="1C3E8408">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41</w:t>
      </w:r>
      <w:r w:rsidRPr="003E3F83">
        <w:rPr>
          <w:rFonts w:cstheme="minorHAnsi"/>
        </w:rPr>
        <w:fldChar w:fldCharType="end"/>
      </w:r>
      <w:r w:rsidRPr="003E3F83">
        <w:rPr>
          <w:rFonts w:cstheme="minorHAnsi"/>
        </w:rPr>
        <w:t>.  Le 9 décembre 2015, par l</w:t>
      </w:r>
      <w:r w:rsidRPr="003E3F83" w:rsidR="003E3F83">
        <w:rPr>
          <w:rFonts w:cstheme="minorHAnsi"/>
        </w:rPr>
        <w:t>’</w:t>
      </w:r>
      <w:r w:rsidRPr="003E3F83">
        <w:rPr>
          <w:rFonts w:cstheme="minorHAnsi"/>
        </w:rPr>
        <w:t>intermédiaire de son avocat, le requérant déposa auprès du ministère de l</w:t>
      </w:r>
      <w:r w:rsidRPr="003E3F83" w:rsidR="003E3F83">
        <w:rPr>
          <w:rFonts w:cstheme="minorHAnsi"/>
        </w:rPr>
        <w:t>’</w:t>
      </w:r>
      <w:r w:rsidRPr="003E3F83">
        <w:rPr>
          <w:rFonts w:cstheme="minorHAnsi"/>
        </w:rPr>
        <w:t>Intérieur une requête en vue d</w:t>
      </w:r>
      <w:r w:rsidRPr="003E3F83" w:rsidR="003E3F83">
        <w:rPr>
          <w:rFonts w:cstheme="minorHAnsi"/>
        </w:rPr>
        <w:t>’</w:t>
      </w:r>
      <w:r w:rsidRPr="003E3F83">
        <w:rPr>
          <w:rFonts w:cstheme="minorHAnsi"/>
        </w:rPr>
        <w:t>obtenir une indemnisation pour le dommage moral qu</w:t>
      </w:r>
      <w:r w:rsidRPr="003E3F83" w:rsidR="003E3F83">
        <w:rPr>
          <w:rFonts w:cstheme="minorHAnsi"/>
        </w:rPr>
        <w:t>’</w:t>
      </w:r>
      <w:r w:rsidRPr="003E3F83">
        <w:rPr>
          <w:rFonts w:cstheme="minorHAnsi"/>
        </w:rPr>
        <w:t>il soutenait avoir subi.</w:t>
      </w:r>
    </w:p>
    <w:p w:rsidRPr="003E3F83" w:rsidR="005B4F8B" w:rsidP="003E3F83" w14:paraId="14E859A7" w14:textId="531A2DA4">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42</w:t>
      </w:r>
      <w:r w:rsidRPr="003E3F83">
        <w:rPr>
          <w:rFonts w:cstheme="minorHAnsi"/>
        </w:rPr>
        <w:fldChar w:fldCharType="end"/>
      </w:r>
      <w:r w:rsidRPr="003E3F83">
        <w:rPr>
          <w:rFonts w:cstheme="minorHAnsi"/>
        </w:rPr>
        <w:t>.  Le 15 décembre 2015, le ministère transmit la requête à la préfecture d</w:t>
      </w:r>
      <w:r w:rsidRPr="003E3F83" w:rsidR="003E3F83">
        <w:rPr>
          <w:rFonts w:cstheme="minorHAnsi"/>
        </w:rPr>
        <w:t>’</w:t>
      </w:r>
      <w:r w:rsidRPr="003E3F83">
        <w:rPr>
          <w:rFonts w:cstheme="minorHAnsi"/>
        </w:rPr>
        <w:t>Ankara.</w:t>
      </w:r>
    </w:p>
    <w:p w:rsidRPr="003E3F83" w:rsidR="005B4F8B" w:rsidP="003E3F83" w14:paraId="30C41F54" w14:textId="049F2782">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43</w:t>
      </w:r>
      <w:r w:rsidRPr="003E3F83">
        <w:rPr>
          <w:rFonts w:cstheme="minorHAnsi"/>
        </w:rPr>
        <w:fldChar w:fldCharType="end"/>
      </w:r>
      <w:r w:rsidRPr="003E3F83">
        <w:rPr>
          <w:rFonts w:cstheme="minorHAnsi"/>
        </w:rPr>
        <w:t>.  En janvier 2016, la préfecture fit savoir au requérant qu</w:t>
      </w:r>
      <w:r w:rsidRPr="003E3F83" w:rsidR="003E3F83">
        <w:rPr>
          <w:rFonts w:cstheme="minorHAnsi"/>
        </w:rPr>
        <w:t>’</w:t>
      </w:r>
      <w:r w:rsidRPr="003E3F83">
        <w:rPr>
          <w:rFonts w:cstheme="minorHAnsi"/>
        </w:rPr>
        <w:t>elle n</w:t>
      </w:r>
      <w:r w:rsidRPr="003E3F83" w:rsidR="003E3F83">
        <w:rPr>
          <w:rFonts w:cstheme="minorHAnsi"/>
        </w:rPr>
        <w:t>’</w:t>
      </w:r>
      <w:r w:rsidRPr="003E3F83">
        <w:rPr>
          <w:rFonts w:cstheme="minorHAnsi"/>
        </w:rPr>
        <w:t>avait pas donné une suite favorable à sa requête.</w:t>
      </w:r>
    </w:p>
    <w:p w:rsidRPr="003E3F83" w:rsidR="005B4F8B" w:rsidP="003E3F83" w14:paraId="6EF2B42D" w14:textId="1BCB9FF5">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44</w:t>
      </w:r>
      <w:r w:rsidRPr="003E3F83">
        <w:rPr>
          <w:rFonts w:cstheme="minorHAnsi"/>
        </w:rPr>
        <w:fldChar w:fldCharType="end"/>
      </w:r>
      <w:r w:rsidRPr="003E3F83">
        <w:rPr>
          <w:rFonts w:cstheme="minorHAnsi"/>
        </w:rPr>
        <w:t>.  L</w:t>
      </w:r>
      <w:r w:rsidRPr="003E3F83" w:rsidR="003E3F83">
        <w:rPr>
          <w:rFonts w:cstheme="minorHAnsi"/>
        </w:rPr>
        <w:t>’</w:t>
      </w:r>
      <w:r w:rsidRPr="003E3F83">
        <w:rPr>
          <w:rFonts w:cstheme="minorHAnsi"/>
        </w:rPr>
        <w:t>intéressé saisit alors la Commission d</w:t>
      </w:r>
      <w:r w:rsidRPr="003E3F83" w:rsidR="003E3F83">
        <w:rPr>
          <w:rFonts w:cstheme="minorHAnsi"/>
        </w:rPr>
        <w:t>’</w:t>
      </w:r>
      <w:r w:rsidRPr="003E3F83">
        <w:rPr>
          <w:rFonts w:cstheme="minorHAnsi"/>
        </w:rPr>
        <w:t>évaluation et d</w:t>
      </w:r>
      <w:r w:rsidRPr="003E3F83" w:rsidR="003E3F83">
        <w:rPr>
          <w:rFonts w:cstheme="minorHAnsi"/>
        </w:rPr>
        <w:t>’</w:t>
      </w:r>
      <w:r w:rsidRPr="003E3F83">
        <w:rPr>
          <w:rFonts w:cstheme="minorHAnsi"/>
        </w:rPr>
        <w:t>indemnisation des dommages résultant d</w:t>
      </w:r>
      <w:r w:rsidRPr="003E3F83" w:rsidR="003E3F83">
        <w:rPr>
          <w:rFonts w:cstheme="minorHAnsi"/>
        </w:rPr>
        <w:t>’</w:t>
      </w:r>
      <w:r w:rsidRPr="003E3F83">
        <w:rPr>
          <w:rFonts w:cstheme="minorHAnsi"/>
        </w:rPr>
        <w:t>actes de terrorisme ou de mesures de lutte contre le terrorisme (ci-après, « la Commission ») d</w:t>
      </w:r>
      <w:r w:rsidRPr="003E3F83" w:rsidR="003E3F83">
        <w:rPr>
          <w:rFonts w:cstheme="minorHAnsi"/>
        </w:rPr>
        <w:t>’</w:t>
      </w:r>
      <w:r w:rsidRPr="003E3F83">
        <w:rPr>
          <w:rFonts w:cstheme="minorHAnsi"/>
        </w:rPr>
        <w:t>une demande d</w:t>
      </w:r>
      <w:r w:rsidRPr="003E3F83" w:rsidR="003E3F83">
        <w:rPr>
          <w:rFonts w:cstheme="minorHAnsi"/>
        </w:rPr>
        <w:t>’</w:t>
      </w:r>
      <w:r w:rsidRPr="003E3F83">
        <w:rPr>
          <w:rFonts w:cstheme="minorHAnsi"/>
        </w:rPr>
        <w:t>indemnisation pour le dommage matériel qu</w:t>
      </w:r>
      <w:r w:rsidRPr="003E3F83" w:rsidR="003E3F83">
        <w:rPr>
          <w:rFonts w:cstheme="minorHAnsi"/>
        </w:rPr>
        <w:t>’</w:t>
      </w:r>
      <w:r w:rsidRPr="003E3F83">
        <w:rPr>
          <w:rFonts w:cstheme="minorHAnsi"/>
        </w:rPr>
        <w:t>il estimait avoir subi.</w:t>
      </w:r>
    </w:p>
    <w:p w:rsidRPr="003E3F83" w:rsidR="005B4F8B" w:rsidP="003E3F83" w14:paraId="6FF71A4E" w14:textId="0B3C4787">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45</w:t>
      </w:r>
      <w:r w:rsidRPr="003E3F83">
        <w:rPr>
          <w:rFonts w:cstheme="minorHAnsi"/>
        </w:rPr>
        <w:fldChar w:fldCharType="end"/>
      </w:r>
      <w:r w:rsidRPr="003E3F83">
        <w:rPr>
          <w:rFonts w:cstheme="minorHAnsi"/>
        </w:rPr>
        <w:t>.  Le 21 janvier 2016, la Commission sollicita du requérant des documents complémentaires concernant sa demande en réparation du préjudice matériel allégué.</w:t>
      </w:r>
    </w:p>
    <w:p w:rsidRPr="003E3F83" w:rsidR="005B4F8B" w:rsidP="003E3F83" w14:paraId="75B91B31" w14:textId="748A5ECA">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46</w:t>
      </w:r>
      <w:r w:rsidRPr="003E3F83">
        <w:rPr>
          <w:rFonts w:cstheme="minorHAnsi"/>
        </w:rPr>
        <w:fldChar w:fldCharType="end"/>
      </w:r>
      <w:r w:rsidRPr="003E3F83">
        <w:rPr>
          <w:rFonts w:cstheme="minorHAnsi"/>
        </w:rPr>
        <w:t>.  Le 2 septembre 2016, elle rejeta la demande du requérant au motif qu</w:t>
      </w:r>
      <w:r w:rsidRPr="003E3F83" w:rsidR="003E3F83">
        <w:rPr>
          <w:rFonts w:cstheme="minorHAnsi"/>
        </w:rPr>
        <w:t>’</w:t>
      </w:r>
      <w:r w:rsidRPr="003E3F83">
        <w:rPr>
          <w:rFonts w:cstheme="minorHAnsi"/>
        </w:rPr>
        <w:t>il n</w:t>
      </w:r>
      <w:r w:rsidRPr="003E3F83" w:rsidR="003E3F83">
        <w:rPr>
          <w:rFonts w:cstheme="minorHAnsi"/>
        </w:rPr>
        <w:t>’</w:t>
      </w:r>
      <w:r w:rsidRPr="003E3F83">
        <w:rPr>
          <w:rFonts w:cstheme="minorHAnsi"/>
        </w:rPr>
        <w:t>avait pas soumis l</w:t>
      </w:r>
      <w:r w:rsidRPr="003E3F83" w:rsidR="003E3F83">
        <w:rPr>
          <w:rFonts w:cstheme="minorHAnsi"/>
        </w:rPr>
        <w:t>’</w:t>
      </w:r>
      <w:r w:rsidRPr="003E3F83">
        <w:rPr>
          <w:rFonts w:cstheme="minorHAnsi"/>
        </w:rPr>
        <w:t>ensemble des pièces qui lui avaient été demandées. Cette décision ne fit pas l</w:t>
      </w:r>
      <w:r w:rsidRPr="003E3F83" w:rsidR="003E3F83">
        <w:rPr>
          <w:rFonts w:cstheme="minorHAnsi"/>
        </w:rPr>
        <w:t>’</w:t>
      </w:r>
      <w:r w:rsidRPr="003E3F83">
        <w:rPr>
          <w:rFonts w:cstheme="minorHAnsi"/>
        </w:rPr>
        <w:t>objet d</w:t>
      </w:r>
      <w:r w:rsidRPr="003E3F83" w:rsidR="003E3F83">
        <w:rPr>
          <w:rFonts w:cstheme="minorHAnsi"/>
        </w:rPr>
        <w:t>’</w:t>
      </w:r>
      <w:r w:rsidRPr="003E3F83">
        <w:rPr>
          <w:rFonts w:cstheme="minorHAnsi"/>
        </w:rPr>
        <w:t>un recours contentieux.</w:t>
      </w:r>
    </w:p>
    <w:p w:rsidRPr="003E3F83" w:rsidR="005B4F8B" w:rsidP="003E3F83" w14:paraId="5955268D" w14:textId="15BF339A">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47</w:t>
      </w:r>
      <w:r w:rsidRPr="003E3F83">
        <w:rPr>
          <w:rFonts w:cstheme="minorHAnsi"/>
        </w:rPr>
        <w:fldChar w:fldCharType="end"/>
      </w:r>
      <w:r w:rsidRPr="003E3F83">
        <w:rPr>
          <w:rFonts w:cstheme="minorHAnsi"/>
        </w:rPr>
        <w:t>.  Entretemps, le 7 avril 2016, le requérant, par l</w:t>
      </w:r>
      <w:r w:rsidRPr="003E3F83" w:rsidR="003E3F83">
        <w:rPr>
          <w:rFonts w:cstheme="minorHAnsi"/>
        </w:rPr>
        <w:t>’</w:t>
      </w:r>
      <w:r w:rsidRPr="003E3F83">
        <w:rPr>
          <w:rFonts w:cstheme="minorHAnsi"/>
        </w:rPr>
        <w:t>intermédiaire de son avocat, avait saisi le tribunal administratif d</w:t>
      </w:r>
      <w:r w:rsidRPr="003E3F83" w:rsidR="003E3F83">
        <w:rPr>
          <w:rFonts w:cstheme="minorHAnsi"/>
        </w:rPr>
        <w:t>’</w:t>
      </w:r>
      <w:r w:rsidRPr="003E3F83">
        <w:rPr>
          <w:rFonts w:cstheme="minorHAnsi"/>
        </w:rPr>
        <w:t>Ankara d</w:t>
      </w:r>
      <w:r w:rsidRPr="003E3F83" w:rsidR="003E3F83">
        <w:rPr>
          <w:rFonts w:cstheme="minorHAnsi"/>
        </w:rPr>
        <w:t>’</w:t>
      </w:r>
      <w:r w:rsidRPr="003E3F83">
        <w:rPr>
          <w:rFonts w:cstheme="minorHAnsi"/>
        </w:rPr>
        <w:t>une demande en annulation de la décision de refus d</w:t>
      </w:r>
      <w:r w:rsidRPr="003E3F83" w:rsidR="003E3F83">
        <w:rPr>
          <w:rFonts w:cstheme="minorHAnsi"/>
        </w:rPr>
        <w:t>’</w:t>
      </w:r>
      <w:r w:rsidRPr="003E3F83">
        <w:rPr>
          <w:rFonts w:cstheme="minorHAnsi"/>
        </w:rPr>
        <w:t>indemnisation opposée par la préfecture concernant le dommage moral que lui avait causé, selon lui, le double attentat suicide de la gare d</w:t>
      </w:r>
      <w:r w:rsidRPr="003E3F83" w:rsidR="003E3F83">
        <w:rPr>
          <w:rFonts w:cstheme="minorHAnsi"/>
        </w:rPr>
        <w:t>’</w:t>
      </w:r>
      <w:r w:rsidRPr="003E3F83">
        <w:rPr>
          <w:rFonts w:cstheme="minorHAnsi"/>
        </w:rPr>
        <w:t>Ankara.</w:t>
      </w:r>
    </w:p>
    <w:p w:rsidRPr="003E3F83" w:rsidR="005B4F8B" w:rsidP="003E3F83" w14:paraId="32B4E3E3" w14:textId="118691A7">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48</w:t>
      </w:r>
      <w:r w:rsidRPr="003E3F83">
        <w:rPr>
          <w:rFonts w:cstheme="minorHAnsi"/>
        </w:rPr>
        <w:fldChar w:fldCharType="end"/>
      </w:r>
      <w:r w:rsidRPr="003E3F83">
        <w:rPr>
          <w:rFonts w:cstheme="minorHAnsi"/>
        </w:rPr>
        <w:t>.  Le tribunal administratif rendit son jugement le 28 avril 2017. Il observa tout d</w:t>
      </w:r>
      <w:r w:rsidRPr="003E3F83" w:rsidR="003E3F83">
        <w:rPr>
          <w:rFonts w:cstheme="minorHAnsi"/>
        </w:rPr>
        <w:t>’</w:t>
      </w:r>
      <w:r w:rsidRPr="003E3F83">
        <w:rPr>
          <w:rFonts w:cstheme="minorHAnsi"/>
        </w:rPr>
        <w:t>abord que le requérant avait été légèrement blessé aux bras et aux jambes lors de l</w:t>
      </w:r>
      <w:r w:rsidRPr="003E3F83" w:rsidR="003E3F83">
        <w:rPr>
          <w:rFonts w:cstheme="minorHAnsi"/>
        </w:rPr>
        <w:t>’</w:t>
      </w:r>
      <w:r w:rsidRPr="003E3F83">
        <w:rPr>
          <w:rFonts w:cstheme="minorHAnsi"/>
        </w:rPr>
        <w:t>attentat d</w:t>
      </w:r>
      <w:r w:rsidRPr="003E3F83" w:rsidR="003E3F83">
        <w:rPr>
          <w:rFonts w:cstheme="minorHAnsi"/>
        </w:rPr>
        <w:t>’</w:t>
      </w:r>
      <w:r w:rsidRPr="003E3F83">
        <w:rPr>
          <w:rFonts w:cstheme="minorHAnsi"/>
        </w:rPr>
        <w:t>Ankara, et qu</w:t>
      </w:r>
      <w:r w:rsidRPr="003E3F83" w:rsidR="003E3F83">
        <w:rPr>
          <w:rFonts w:cstheme="minorHAnsi"/>
        </w:rPr>
        <w:t>’</w:t>
      </w:r>
      <w:r w:rsidRPr="003E3F83">
        <w:rPr>
          <w:rFonts w:cstheme="minorHAnsi"/>
        </w:rPr>
        <w:t>il avait été soigné à l</w:t>
      </w:r>
      <w:r w:rsidRPr="003E3F83" w:rsidR="003E3F83">
        <w:rPr>
          <w:rFonts w:cstheme="minorHAnsi"/>
        </w:rPr>
        <w:t>’</w:t>
      </w:r>
      <w:r w:rsidRPr="003E3F83">
        <w:rPr>
          <w:rFonts w:cstheme="minorHAnsi"/>
        </w:rPr>
        <w:t>hôpital le jour même. Il releva ensuite que l</w:t>
      </w:r>
      <w:r w:rsidRPr="003E3F83" w:rsidR="003E3F83">
        <w:rPr>
          <w:rFonts w:cstheme="minorHAnsi"/>
        </w:rPr>
        <w:t>’</w:t>
      </w:r>
      <w:r w:rsidRPr="003E3F83">
        <w:rPr>
          <w:rFonts w:cstheme="minorHAnsi"/>
        </w:rPr>
        <w:t>intéressé avait vu des morts et des blessés sur les lieux de l</w:t>
      </w:r>
      <w:r w:rsidRPr="003E3F83" w:rsidR="003E3F83">
        <w:rPr>
          <w:rFonts w:cstheme="minorHAnsi"/>
        </w:rPr>
        <w:t>’</w:t>
      </w:r>
      <w:r w:rsidRPr="003E3F83">
        <w:rPr>
          <w:rFonts w:cstheme="minorHAnsi"/>
        </w:rPr>
        <w:t>attentat et que certains de ses amis, présents lors du rassemblement, étaient décédés. Il conclut que le demandeur avait profondément souffert en raison des événements survenus et jugea qu</w:t>
      </w:r>
      <w:r w:rsidRPr="003E3F83" w:rsidR="003E3F83">
        <w:rPr>
          <w:rFonts w:cstheme="minorHAnsi"/>
        </w:rPr>
        <w:t>’</w:t>
      </w:r>
      <w:r w:rsidRPr="003E3F83">
        <w:rPr>
          <w:rFonts w:cstheme="minorHAnsi"/>
        </w:rPr>
        <w:t>il convenait de lui octroyer 15</w:t>
      </w:r>
      <w:r w:rsidRPr="003E3F83" w:rsidR="009B2895">
        <w:rPr>
          <w:rFonts w:cstheme="minorHAnsi"/>
        </w:rPr>
        <w:t> </w:t>
      </w:r>
      <w:r w:rsidRPr="003E3F83">
        <w:rPr>
          <w:rFonts w:cstheme="minorHAnsi"/>
        </w:rPr>
        <w:t>000</w:t>
      </w:r>
      <w:r w:rsidRPr="003E3F83" w:rsidR="009B2895">
        <w:rPr>
          <w:rFonts w:cstheme="minorHAnsi"/>
        </w:rPr>
        <w:t> </w:t>
      </w:r>
      <w:r w:rsidRPr="003E3F83">
        <w:rPr>
          <w:rFonts w:cstheme="minorHAnsi"/>
        </w:rPr>
        <w:t>livres</w:t>
      </w:r>
      <w:r w:rsidRPr="003E3F83" w:rsidR="009B2895">
        <w:rPr>
          <w:rFonts w:cstheme="minorHAnsi"/>
        </w:rPr>
        <w:t> </w:t>
      </w:r>
      <w:r w:rsidRPr="003E3F83">
        <w:rPr>
          <w:rFonts w:cstheme="minorHAnsi"/>
        </w:rPr>
        <w:t>turques (soit environ 3 875 euros (EUR)) pour le dommage moral qu</w:t>
      </w:r>
      <w:r w:rsidRPr="003E3F83" w:rsidR="003E3F83">
        <w:rPr>
          <w:rFonts w:cstheme="minorHAnsi"/>
        </w:rPr>
        <w:t>’</w:t>
      </w:r>
      <w:r w:rsidRPr="003E3F83">
        <w:rPr>
          <w:rFonts w:cstheme="minorHAnsi"/>
        </w:rPr>
        <w:t>il avait ainsi subi, précisant que cette somme était assortie d</w:t>
      </w:r>
      <w:r w:rsidRPr="003E3F83" w:rsidR="003E3F83">
        <w:rPr>
          <w:rFonts w:cstheme="minorHAnsi"/>
        </w:rPr>
        <w:t>’</w:t>
      </w:r>
      <w:r w:rsidRPr="003E3F83">
        <w:rPr>
          <w:rFonts w:cstheme="minorHAnsi"/>
        </w:rPr>
        <w:t>intérêts moratoires au taux légal à compter du 7 avril 2016.</w:t>
      </w:r>
    </w:p>
    <w:p w:rsidRPr="003E3F83" w:rsidR="005B4F8B" w:rsidP="003E3F83" w14:paraId="60974E2F" w14:textId="5AD5D699">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49</w:t>
      </w:r>
      <w:r w:rsidRPr="003E3F83">
        <w:rPr>
          <w:rFonts w:cstheme="minorHAnsi"/>
        </w:rPr>
        <w:fldChar w:fldCharType="end"/>
      </w:r>
      <w:r w:rsidRPr="003E3F83">
        <w:rPr>
          <w:rFonts w:cstheme="minorHAnsi"/>
        </w:rPr>
        <w:t>.  Pour parvenir à cette conclusion, le tribunal administratif se référa à l</w:t>
      </w:r>
      <w:r w:rsidRPr="003E3F83" w:rsidR="003E3F83">
        <w:rPr>
          <w:rFonts w:cstheme="minorHAnsi"/>
        </w:rPr>
        <w:t>’</w:t>
      </w:r>
      <w:r w:rsidRPr="003E3F83">
        <w:rPr>
          <w:rFonts w:cstheme="minorHAnsi"/>
        </w:rPr>
        <w:t>article 125 de la Constitution turque, lequel énonce :</w:t>
      </w:r>
    </w:p>
    <w:p w:rsidRPr="003E3F83" w:rsidR="005B4F8B" w:rsidP="003E3F83" w14:paraId="279F4F4C" w14:textId="58F1F924">
      <w:pPr>
        <w:pStyle w:val="JuQuot"/>
      </w:pPr>
      <w:r w:rsidRPr="003E3F83">
        <w:t>« Tout acte ou décision de l</w:t>
      </w:r>
      <w:r w:rsidRPr="003E3F83" w:rsidR="003E3F83">
        <w:t>’</w:t>
      </w:r>
      <w:r w:rsidRPr="003E3F83">
        <w:t>administration est susceptible d</w:t>
      </w:r>
      <w:r w:rsidRPr="003E3F83" w:rsidR="003E3F83">
        <w:t>’</w:t>
      </w:r>
      <w:r w:rsidRPr="003E3F83">
        <w:t>un contrôle juridictionnel (...)</w:t>
      </w:r>
    </w:p>
    <w:p w:rsidRPr="003E3F83" w:rsidR="005B4F8B" w:rsidP="003E3F83" w14:paraId="25B1D181" w14:textId="6AE3ECDD">
      <w:pPr>
        <w:pStyle w:val="JuQuot"/>
      </w:pPr>
      <w:r w:rsidRPr="003E3F83">
        <w:t>L</w:t>
      </w:r>
      <w:r w:rsidRPr="003E3F83" w:rsidR="003E3F83">
        <w:t>’</w:t>
      </w:r>
      <w:r w:rsidRPr="003E3F83">
        <w:t>administration est tenue de réparer tout dommage résultant de ses actes et des mesures [prises par elle]. »</w:t>
      </w:r>
    </w:p>
    <w:p w:rsidRPr="003E3F83" w:rsidR="005B4F8B" w:rsidP="003E3F83" w14:paraId="31BF12DD" w14:textId="440D9A01">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50</w:t>
      </w:r>
      <w:r w:rsidRPr="003E3F83">
        <w:rPr>
          <w:rFonts w:cstheme="minorHAnsi"/>
        </w:rPr>
        <w:fldChar w:fldCharType="end"/>
      </w:r>
      <w:r w:rsidRPr="003E3F83">
        <w:rPr>
          <w:rFonts w:cstheme="minorHAnsi"/>
        </w:rPr>
        <w:t>.  Il rappela que le second alinéa de cette disposition ne requérait pas nécessairement que fût rapportée la preuve d</w:t>
      </w:r>
      <w:r w:rsidRPr="003E3F83" w:rsidR="003E3F83">
        <w:rPr>
          <w:rFonts w:cstheme="minorHAnsi"/>
        </w:rPr>
        <w:t>’</w:t>
      </w:r>
      <w:r w:rsidRPr="003E3F83">
        <w:rPr>
          <w:rFonts w:cstheme="minorHAnsi"/>
        </w:rPr>
        <w:t>une faute de l</w:t>
      </w:r>
      <w:r w:rsidRPr="003E3F83" w:rsidR="003E3F83">
        <w:rPr>
          <w:rFonts w:cstheme="minorHAnsi"/>
        </w:rPr>
        <w:t>’</w:t>
      </w:r>
      <w:r w:rsidRPr="003E3F83">
        <w:rPr>
          <w:rFonts w:cstheme="minorHAnsi"/>
        </w:rPr>
        <w:t xml:space="preserve">administration, la </w:t>
      </w:r>
      <w:r w:rsidRPr="003E3F83">
        <w:rPr>
          <w:rFonts w:cstheme="minorHAnsi"/>
        </w:rPr>
        <w:t>responsabilité de celle-ci revêtant un caractère absolu et objectif fondé sur la théorie du « risque social ».</w:t>
      </w:r>
    </w:p>
    <w:p w:rsidRPr="003E3F83" w:rsidR="005B4F8B" w:rsidP="003E3F83" w14:paraId="0A436954" w14:textId="2B4A60F7">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51</w:t>
      </w:r>
      <w:r w:rsidRPr="003E3F83">
        <w:rPr>
          <w:rFonts w:cstheme="minorHAnsi"/>
        </w:rPr>
        <w:fldChar w:fldCharType="end"/>
      </w:r>
      <w:r w:rsidRPr="003E3F83">
        <w:rPr>
          <w:rFonts w:cstheme="minorHAnsi"/>
        </w:rPr>
        <w:t>.  Il précisa que selon cette théorie, dès lors que l</w:t>
      </w:r>
      <w:r w:rsidRPr="003E3F83" w:rsidR="003E3F83">
        <w:rPr>
          <w:rFonts w:cstheme="minorHAnsi"/>
        </w:rPr>
        <w:t>’</w:t>
      </w:r>
      <w:r w:rsidRPr="003E3F83">
        <w:rPr>
          <w:rFonts w:cstheme="minorHAnsi"/>
        </w:rPr>
        <w:t>administré avait subi un préjudice spécial et anormal lié à des activités terroristes sans avoir contribué par son attitude à la réalisation du dommage, il devait être indemnisé, et qu</w:t>
      </w:r>
      <w:r w:rsidRPr="003E3F83" w:rsidR="003E3F83">
        <w:rPr>
          <w:rFonts w:cstheme="minorHAnsi"/>
        </w:rPr>
        <w:t>’</w:t>
      </w:r>
      <w:r w:rsidRPr="003E3F83">
        <w:rPr>
          <w:rFonts w:cstheme="minorHAnsi"/>
        </w:rPr>
        <w:t>il n</w:t>
      </w:r>
      <w:r w:rsidRPr="003E3F83" w:rsidR="003E3F83">
        <w:rPr>
          <w:rFonts w:cstheme="minorHAnsi"/>
        </w:rPr>
        <w:t>’</w:t>
      </w:r>
      <w:r w:rsidRPr="003E3F83">
        <w:rPr>
          <w:rFonts w:cstheme="minorHAnsi"/>
        </w:rPr>
        <w:t>était par conséquent pas tenu de démontrer l</w:t>
      </w:r>
      <w:r w:rsidRPr="003E3F83" w:rsidR="003E3F83">
        <w:rPr>
          <w:rFonts w:cstheme="minorHAnsi"/>
        </w:rPr>
        <w:t>’</w:t>
      </w:r>
      <w:r w:rsidRPr="003E3F83">
        <w:rPr>
          <w:rFonts w:cstheme="minorHAnsi"/>
        </w:rPr>
        <w:t>existence d</w:t>
      </w:r>
      <w:r w:rsidRPr="003E3F83" w:rsidR="003E3F83">
        <w:rPr>
          <w:rFonts w:cstheme="minorHAnsi"/>
        </w:rPr>
        <w:t>’</w:t>
      </w:r>
      <w:r w:rsidRPr="003E3F83">
        <w:rPr>
          <w:rFonts w:cstheme="minorHAnsi"/>
        </w:rPr>
        <w:t>une faute imputable à l</w:t>
      </w:r>
      <w:r w:rsidRPr="003E3F83" w:rsidR="003E3F83">
        <w:rPr>
          <w:rFonts w:cstheme="minorHAnsi"/>
        </w:rPr>
        <w:t>’</w:t>
      </w:r>
      <w:r w:rsidRPr="003E3F83">
        <w:rPr>
          <w:rFonts w:cstheme="minorHAnsi"/>
        </w:rPr>
        <w:t>administration dans la prévention des actes de terrorisme.</w:t>
      </w:r>
    </w:p>
    <w:p w:rsidRPr="003E3F83" w:rsidR="005B4F8B" w:rsidP="003E3F83" w14:paraId="572C621A" w14:textId="6F3BB998">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52</w:t>
      </w:r>
      <w:r w:rsidRPr="003E3F83">
        <w:rPr>
          <w:rFonts w:cstheme="minorHAnsi"/>
        </w:rPr>
        <w:fldChar w:fldCharType="end"/>
      </w:r>
      <w:r w:rsidRPr="003E3F83">
        <w:rPr>
          <w:rFonts w:cstheme="minorHAnsi"/>
        </w:rPr>
        <w:t>.  Selon le tribunal administratif, l</w:t>
      </w:r>
      <w:r w:rsidRPr="003E3F83" w:rsidR="003E3F83">
        <w:rPr>
          <w:rFonts w:cstheme="minorHAnsi"/>
        </w:rPr>
        <w:t>’</w:t>
      </w:r>
      <w:r w:rsidRPr="003E3F83">
        <w:rPr>
          <w:rFonts w:cstheme="minorHAnsi"/>
        </w:rPr>
        <w:t>administration devait indemniser quiconque était victime d</w:t>
      </w:r>
      <w:r w:rsidRPr="003E3F83" w:rsidR="003E3F83">
        <w:rPr>
          <w:rFonts w:cstheme="minorHAnsi"/>
        </w:rPr>
        <w:t>’</w:t>
      </w:r>
      <w:r w:rsidRPr="003E3F83">
        <w:rPr>
          <w:rFonts w:cstheme="minorHAnsi"/>
        </w:rPr>
        <w:t>un préjudice résultant d</w:t>
      </w:r>
      <w:r w:rsidRPr="003E3F83" w:rsidR="003E3F83">
        <w:rPr>
          <w:rFonts w:cstheme="minorHAnsi"/>
        </w:rPr>
        <w:t>’</w:t>
      </w:r>
      <w:r w:rsidRPr="003E3F83">
        <w:rPr>
          <w:rFonts w:cstheme="minorHAnsi"/>
        </w:rPr>
        <w:t>actes commis par des terroristes lorsque l</w:t>
      </w:r>
      <w:r w:rsidRPr="003E3F83" w:rsidR="003E3F83">
        <w:rPr>
          <w:rFonts w:cstheme="minorHAnsi"/>
        </w:rPr>
        <w:t>’</w:t>
      </w:r>
      <w:r w:rsidRPr="003E3F83">
        <w:rPr>
          <w:rFonts w:cstheme="minorHAnsi"/>
        </w:rPr>
        <w:t>on pouvait considérer qu</w:t>
      </w:r>
      <w:r w:rsidRPr="003E3F83" w:rsidR="003E3F83">
        <w:rPr>
          <w:rFonts w:cstheme="minorHAnsi"/>
        </w:rPr>
        <w:t>’</w:t>
      </w:r>
      <w:r w:rsidRPr="003E3F83">
        <w:rPr>
          <w:rFonts w:cstheme="minorHAnsi"/>
        </w:rPr>
        <w:t>indépendamment de toute faute imputable à l</w:t>
      </w:r>
      <w:r w:rsidRPr="003E3F83" w:rsidR="003E3F83">
        <w:rPr>
          <w:rFonts w:cstheme="minorHAnsi"/>
        </w:rPr>
        <w:t>’</w:t>
      </w:r>
      <w:r w:rsidRPr="003E3F83">
        <w:rPr>
          <w:rFonts w:cstheme="minorHAnsi"/>
        </w:rPr>
        <w:t>administration, l</w:t>
      </w:r>
      <w:r w:rsidRPr="003E3F83" w:rsidR="003E3F83">
        <w:rPr>
          <w:rFonts w:cstheme="minorHAnsi"/>
        </w:rPr>
        <w:t>’</w:t>
      </w:r>
      <w:r w:rsidRPr="003E3F83">
        <w:rPr>
          <w:rFonts w:cstheme="minorHAnsi"/>
        </w:rPr>
        <w:t>État avait manqué à son devoir de maintien de l</w:t>
      </w:r>
      <w:r w:rsidRPr="003E3F83" w:rsidR="003E3F83">
        <w:rPr>
          <w:rFonts w:cstheme="minorHAnsi"/>
        </w:rPr>
        <w:t>’</w:t>
      </w:r>
      <w:r w:rsidRPr="003E3F83">
        <w:rPr>
          <w:rFonts w:cstheme="minorHAnsi"/>
        </w:rPr>
        <w:t>ordre et de la sûreté publics ou à son obligation de sauvegarder la vie et la propriété individuelles.</w:t>
      </w:r>
    </w:p>
    <w:p w:rsidRPr="003E3F83" w:rsidR="005B4F8B" w:rsidP="003E3F83" w14:paraId="5CBC6E30" w14:textId="3BFCE2F3">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53</w:t>
      </w:r>
      <w:r w:rsidRPr="003E3F83">
        <w:rPr>
          <w:rFonts w:cstheme="minorHAnsi"/>
        </w:rPr>
        <w:fldChar w:fldCharType="end"/>
      </w:r>
      <w:r w:rsidRPr="003E3F83">
        <w:rPr>
          <w:rFonts w:cstheme="minorHAnsi"/>
        </w:rPr>
        <w:t>.  Le 30 mai 2018, la cour administrative régionale d</w:t>
      </w:r>
      <w:r w:rsidRPr="003E3F83" w:rsidR="003E3F83">
        <w:rPr>
          <w:rFonts w:cstheme="minorHAnsi"/>
        </w:rPr>
        <w:t>’</w:t>
      </w:r>
      <w:r w:rsidRPr="003E3F83">
        <w:rPr>
          <w:rFonts w:cstheme="minorHAnsi"/>
        </w:rPr>
        <w:t>Ankara confirma le jugement du tribunal administratif du 28 avril 2017.</w:t>
      </w:r>
    </w:p>
    <w:p w:rsidRPr="003E3F83" w:rsidR="005B4F8B" w:rsidP="003E3F83" w14:paraId="43DC131C" w14:textId="0240F4A9">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54</w:t>
      </w:r>
      <w:r w:rsidRPr="003E3F83">
        <w:rPr>
          <w:rFonts w:cstheme="minorHAnsi"/>
        </w:rPr>
        <w:fldChar w:fldCharType="end"/>
      </w:r>
      <w:r w:rsidRPr="003E3F83">
        <w:rPr>
          <w:rFonts w:cstheme="minorHAnsi"/>
        </w:rPr>
        <w:t>.  L</w:t>
      </w:r>
      <w:r w:rsidRPr="003E3F83" w:rsidR="003E3F83">
        <w:rPr>
          <w:rFonts w:cstheme="minorHAnsi"/>
        </w:rPr>
        <w:t>’</w:t>
      </w:r>
      <w:r w:rsidRPr="003E3F83">
        <w:rPr>
          <w:rFonts w:cstheme="minorHAnsi"/>
        </w:rPr>
        <w:t>arrêt de la cour administrative régionale fut notifié à l</w:t>
      </w:r>
      <w:r w:rsidRPr="003E3F83" w:rsidR="003E3F83">
        <w:rPr>
          <w:rFonts w:cstheme="minorHAnsi"/>
        </w:rPr>
        <w:t>’</w:t>
      </w:r>
      <w:r w:rsidRPr="003E3F83">
        <w:rPr>
          <w:rFonts w:cstheme="minorHAnsi"/>
        </w:rPr>
        <w:t>avocat du requérant le 17 juillet 2018.</w:t>
      </w:r>
    </w:p>
    <w:p w:rsidRPr="003E3F83" w:rsidR="005B4F8B" w:rsidP="003E3F83" w14:paraId="6CD5F3AF" w14:textId="77777777">
      <w:pPr>
        <w:pStyle w:val="JuHIRoman"/>
      </w:pPr>
      <w:r w:rsidRPr="003E3F83">
        <w:t>Le recours individuel formé devant la Cour constitutionnelle</w:t>
      </w:r>
    </w:p>
    <w:p w:rsidRPr="003E3F83" w:rsidR="005B4F8B" w:rsidP="003E3F83" w14:paraId="66F26A99" w14:textId="18B1F139">
      <w:pPr>
        <w:pStyle w:val="JuPara"/>
      </w:pPr>
      <w:r>
        <w:fldChar w:fldCharType="begin"/>
      </w:r>
      <w:r>
        <w:instrText xml:space="preserve"> SEQ level0 \*arabic \* MERGEFORMAT </w:instrText>
      </w:r>
      <w:r>
        <w:fldChar w:fldCharType="separate"/>
      </w:r>
      <w:r w:rsidRPr="003E3F83" w:rsidR="003E3F83">
        <w:rPr>
          <w:noProof/>
        </w:rPr>
        <w:t>55</w:t>
      </w:r>
      <w:r>
        <w:rPr>
          <w:noProof/>
        </w:rPr>
        <w:fldChar w:fldCharType="end"/>
      </w:r>
      <w:r w:rsidRPr="003E3F83">
        <w:t>.  En août 2018, le requérant introduisit un recours individuel devant la Cour constitutionnelle. Il se plaignait notamment d</w:t>
      </w:r>
      <w:r w:rsidRPr="003E3F83" w:rsidR="003E3F83">
        <w:t>’</w:t>
      </w:r>
      <w:r w:rsidRPr="003E3F83">
        <w:t>une atteinte au droit à la vie garanti par l</w:t>
      </w:r>
      <w:r w:rsidRPr="003E3F83" w:rsidR="003E3F83">
        <w:t>’</w:t>
      </w:r>
      <w:r w:rsidRPr="003E3F83">
        <w:t>article 17 de la Constitution.</w:t>
      </w:r>
    </w:p>
    <w:p w:rsidRPr="003E3F83" w:rsidR="005B4F8B" w:rsidP="003E3F83" w14:paraId="7CF04A51" w14:textId="2CBF036F">
      <w:pPr>
        <w:pStyle w:val="JuPara"/>
      </w:pPr>
      <w:r>
        <w:fldChar w:fldCharType="begin"/>
      </w:r>
      <w:r>
        <w:instrText xml:space="preserve"> SEQ level0 \*arabic \* MERGEFORMAT </w:instrText>
      </w:r>
      <w:r>
        <w:fldChar w:fldCharType="separate"/>
      </w:r>
      <w:r w:rsidRPr="003E3F83" w:rsidR="003E3F83">
        <w:rPr>
          <w:noProof/>
        </w:rPr>
        <w:t>56</w:t>
      </w:r>
      <w:r>
        <w:rPr>
          <w:noProof/>
        </w:rPr>
        <w:fldChar w:fldCharType="end"/>
      </w:r>
      <w:r w:rsidRPr="003E3F83">
        <w:t>.  Le 12 novembre 2019, la Cour constitutionnelle déclara les griefs soulevés par l</w:t>
      </w:r>
      <w:r w:rsidRPr="003E3F83" w:rsidR="003E3F83">
        <w:t>’</w:t>
      </w:r>
      <w:r w:rsidRPr="003E3F83">
        <w:t>intéressé relativement au droit à la vie manifestement mal fondés.</w:t>
      </w:r>
    </w:p>
    <w:p w:rsidRPr="003E3F83" w:rsidR="005B4F8B" w:rsidP="003E3F83" w14:paraId="2960045B" w14:textId="12979C50">
      <w:pPr>
        <w:pStyle w:val="JuPara"/>
      </w:pPr>
      <w:r>
        <w:fldChar w:fldCharType="begin"/>
      </w:r>
      <w:r>
        <w:instrText xml:space="preserve"> SEQ level0 \*arabic \* MER</w:instrText>
      </w:r>
      <w:r>
        <w:instrText xml:space="preserve">GEFORMAT </w:instrText>
      </w:r>
      <w:r>
        <w:fldChar w:fldCharType="separate"/>
      </w:r>
      <w:r w:rsidRPr="003E3F83" w:rsidR="003E3F83">
        <w:rPr>
          <w:noProof/>
        </w:rPr>
        <w:t>57</w:t>
      </w:r>
      <w:r>
        <w:rPr>
          <w:noProof/>
        </w:rPr>
        <w:fldChar w:fldCharType="end"/>
      </w:r>
      <w:r w:rsidRPr="003E3F83">
        <w:t>.  La décision de la Cour constitutionnelle fut notifiée au requérant le 17 novembre 2019.</w:t>
      </w:r>
    </w:p>
    <w:p w:rsidRPr="003E3F83" w:rsidR="005B4F8B" w:rsidP="003E3F83" w14:paraId="6393E582" w14:textId="77777777">
      <w:pPr>
        <w:pStyle w:val="JuHHead"/>
      </w:pPr>
      <w:r w:rsidRPr="003E3F83">
        <w:t>LE CADRE JURIDIQUE ET LA PRATIQUE INTERNES PERTINENTS</w:t>
      </w:r>
    </w:p>
    <w:p w:rsidRPr="003E3F83" w:rsidR="005B4F8B" w:rsidP="003E3F83" w14:paraId="3BD88CE2" w14:textId="38369161">
      <w:pPr>
        <w:pStyle w:val="JuHIRoman"/>
      </w:pPr>
      <w:r w:rsidRPr="003E3F83">
        <w:t>La responsabilité de l</w:t>
      </w:r>
      <w:r w:rsidRPr="003E3F83" w:rsidR="003E3F83">
        <w:t>’</w:t>
      </w:r>
      <w:r w:rsidRPr="003E3F83">
        <w:t>administration</w:t>
      </w:r>
    </w:p>
    <w:p w:rsidRPr="003E3F83" w:rsidR="005B4F8B" w:rsidP="003E3F83" w14:paraId="7DA1A013" w14:textId="7151EE41">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58</w:t>
      </w:r>
      <w:r w:rsidRPr="003E3F83">
        <w:rPr>
          <w:rFonts w:cstheme="minorHAnsi"/>
        </w:rPr>
        <w:fldChar w:fldCharType="end"/>
      </w:r>
      <w:r w:rsidRPr="003E3F83">
        <w:rPr>
          <w:rStyle w:val="JuParaChar"/>
        </w:rPr>
        <w:t>.  Selon les articles 11 à 13 de la</w:t>
      </w:r>
      <w:bookmarkStart w:name="HIT5" w:id="4"/>
      <w:bookmarkEnd w:id="4"/>
      <w:r w:rsidRPr="003E3F83">
        <w:rPr>
          <w:rStyle w:val="JuParaChar"/>
        </w:rPr>
        <w:t xml:space="preserve"> loi</w:t>
      </w:r>
      <w:bookmarkStart w:name="HIT6" w:id="5"/>
      <w:bookmarkEnd w:id="5"/>
      <w:r w:rsidRPr="003E3F83">
        <w:rPr>
          <w:rStyle w:val="JuParaChar"/>
        </w:rPr>
        <w:t xml:space="preserve"> n</w:t>
      </w:r>
      <w:bookmarkStart w:name="HIT7" w:id="6"/>
      <w:bookmarkEnd w:id="6"/>
      <w:r w:rsidRPr="003E3F83" w:rsidR="003468DC">
        <w:rPr>
          <w:rStyle w:val="JuParaChar"/>
          <w:vertAlign w:val="superscript"/>
        </w:rPr>
        <w:t>o</w:t>
      </w:r>
      <w:r w:rsidRPr="003E3F83">
        <w:rPr>
          <w:rStyle w:val="JuParaChar"/>
        </w:rPr>
        <w:t xml:space="preserve"> 2577 sur la procédure administrative, toute victime d</w:t>
      </w:r>
      <w:r w:rsidRPr="003E3F83" w:rsidR="003E3F83">
        <w:rPr>
          <w:rStyle w:val="JuParaChar"/>
        </w:rPr>
        <w:t>’</w:t>
      </w:r>
      <w:r w:rsidRPr="003E3F83">
        <w:rPr>
          <w:rStyle w:val="JuParaChar"/>
        </w:rPr>
        <w:t>un dommage résultant d</w:t>
      </w:r>
      <w:r w:rsidRPr="003E3F83" w:rsidR="003E3F83">
        <w:rPr>
          <w:rStyle w:val="JuParaChar"/>
        </w:rPr>
        <w:t>’</w:t>
      </w:r>
      <w:r w:rsidRPr="003E3F83">
        <w:rPr>
          <w:rStyle w:val="JuParaChar"/>
        </w:rPr>
        <w:t>un acte de l</w:t>
      </w:r>
      <w:r w:rsidRPr="003E3F83" w:rsidR="003E3F83">
        <w:rPr>
          <w:rStyle w:val="JuParaChar"/>
        </w:rPr>
        <w:t>’</w:t>
      </w:r>
      <w:r w:rsidRPr="003E3F83">
        <w:rPr>
          <w:rStyle w:val="JuParaChar"/>
        </w:rPr>
        <w:t>administration peut demander réparation à celle-ci dans un délai d</w:t>
      </w:r>
      <w:r w:rsidRPr="003E3F83" w:rsidR="003E3F83">
        <w:rPr>
          <w:rStyle w:val="JuParaChar"/>
        </w:rPr>
        <w:t>’</w:t>
      </w:r>
      <w:r w:rsidRPr="003E3F83">
        <w:rPr>
          <w:rStyle w:val="JuParaChar"/>
        </w:rPr>
        <w:t>un an à compter de la date de l</w:t>
      </w:r>
      <w:r w:rsidRPr="003E3F83" w:rsidR="003E3F83">
        <w:rPr>
          <w:rStyle w:val="JuParaChar"/>
        </w:rPr>
        <w:t>’</w:t>
      </w:r>
      <w:r w:rsidRPr="003E3F83">
        <w:rPr>
          <w:rStyle w:val="JuParaChar"/>
        </w:rPr>
        <w:t>acte allégué. En cas de rejet de tout ou partie de la demande, ou si aucune réponse n</w:t>
      </w:r>
      <w:r w:rsidRPr="003E3F83" w:rsidR="003E3F83">
        <w:rPr>
          <w:rStyle w:val="JuParaChar"/>
        </w:rPr>
        <w:t>’</w:t>
      </w:r>
      <w:r w:rsidRPr="003E3F83">
        <w:rPr>
          <w:rStyle w:val="JuParaChar"/>
        </w:rPr>
        <w:t>a été fournie dans un délai de soixante jours, la victime peut engager une procédure devant la juridiction administrative.</w:t>
      </w:r>
    </w:p>
    <w:p w:rsidRPr="003E3F83" w:rsidR="005B4F8B" w:rsidP="003E3F83" w14:paraId="3C870146" w14:textId="212EF92E">
      <w:pPr>
        <w:pStyle w:val="JuHIRoman"/>
      </w:pPr>
      <w:r w:rsidRPr="003E3F83">
        <w:t>La loi n</w:t>
      </w:r>
      <w:r w:rsidRPr="003E3F83">
        <w:rPr>
          <w:vertAlign w:val="superscript"/>
        </w:rPr>
        <w:t>o</w:t>
      </w:r>
      <w:r w:rsidRPr="003E3F83">
        <w:t xml:space="preserve"> 5233</w:t>
      </w:r>
    </w:p>
    <w:p w:rsidRPr="003E3F83" w:rsidR="005B4F8B" w:rsidP="003E3F83" w14:paraId="2248A463" w14:textId="05A85AB1">
      <w:pPr>
        <w:pStyle w:val="JuPara"/>
        <w:rPr>
          <w:rFonts w:cstheme="minorHAnsi"/>
        </w:rPr>
      </w:pPr>
      <w:r>
        <w:fldChar w:fldCharType="begin"/>
      </w:r>
      <w:r>
        <w:instrText xml:space="preserve"> SEQ level0 \</w:instrText>
      </w:r>
      <w:r>
        <w:instrText xml:space="preserve">*arabic \* MERGEFORMAT </w:instrText>
      </w:r>
      <w:r>
        <w:fldChar w:fldCharType="separate"/>
      </w:r>
      <w:r w:rsidRPr="003E3F83" w:rsidR="003E3F83">
        <w:rPr>
          <w:noProof/>
        </w:rPr>
        <w:t>59</w:t>
      </w:r>
      <w:r>
        <w:rPr>
          <w:noProof/>
        </w:rPr>
        <w:fldChar w:fldCharType="end"/>
      </w:r>
      <w:r w:rsidRPr="003E3F83">
        <w:t>.  </w:t>
      </w:r>
      <w:r w:rsidRPr="003E3F83">
        <w:rPr>
          <w:rFonts w:cstheme="minorHAnsi"/>
        </w:rPr>
        <w:t>La loi n</w:t>
      </w:r>
      <w:r w:rsidRPr="003E3F83">
        <w:rPr>
          <w:rFonts w:cstheme="minorHAnsi"/>
          <w:vertAlign w:val="superscript"/>
        </w:rPr>
        <w:t>o</w:t>
      </w:r>
      <w:r w:rsidRPr="003E3F83">
        <w:rPr>
          <w:rFonts w:cstheme="minorHAnsi"/>
        </w:rPr>
        <w:t xml:space="preserve"> 5233, adoptée par la Grande Assemblée nationale le</w:t>
      </w:r>
      <w:r w:rsidRPr="003E3F83" w:rsidR="009B2895">
        <w:rPr>
          <w:rFonts w:cstheme="minorHAnsi"/>
        </w:rPr>
        <w:t xml:space="preserve"> </w:t>
      </w:r>
      <w:r w:rsidRPr="003E3F83">
        <w:rPr>
          <w:rFonts w:cstheme="minorHAnsi"/>
        </w:rPr>
        <w:t>14 juillet 2004 sous l</w:t>
      </w:r>
      <w:r w:rsidRPr="003E3F83" w:rsidR="003E3F83">
        <w:rPr>
          <w:rFonts w:cstheme="minorHAnsi"/>
        </w:rPr>
        <w:t>’</w:t>
      </w:r>
      <w:r w:rsidRPr="003E3F83">
        <w:rPr>
          <w:rFonts w:cstheme="minorHAnsi"/>
        </w:rPr>
        <w:t>intitulé « loi sur l</w:t>
      </w:r>
      <w:r w:rsidRPr="003E3F83" w:rsidR="003E3F83">
        <w:rPr>
          <w:rFonts w:cstheme="minorHAnsi"/>
        </w:rPr>
        <w:t>’</w:t>
      </w:r>
      <w:r w:rsidRPr="003E3F83">
        <w:rPr>
          <w:rFonts w:cstheme="minorHAnsi"/>
        </w:rPr>
        <w:t>indemnisation des dommages résultant d</w:t>
      </w:r>
      <w:r w:rsidRPr="003E3F83" w:rsidR="003E3F83">
        <w:rPr>
          <w:rFonts w:cstheme="minorHAnsi"/>
        </w:rPr>
        <w:t>’</w:t>
      </w:r>
      <w:r w:rsidRPr="003E3F83">
        <w:rPr>
          <w:rFonts w:cstheme="minorHAnsi"/>
        </w:rPr>
        <w:t xml:space="preserve">actes de terrorisme ou de mesures de lutte contre le terrorisme » </w:t>
      </w:r>
      <w:r w:rsidRPr="003E3F83">
        <w:rPr>
          <w:rFonts w:cstheme="minorHAnsi"/>
        </w:rPr>
        <w:t>(</w:t>
      </w:r>
      <w:r w:rsidRPr="003E3F83" w:rsidR="009B2895">
        <w:rPr>
          <w:rFonts w:cstheme="minorHAnsi"/>
        </w:rPr>
        <w:t> </w:t>
      </w:r>
      <w:r w:rsidRPr="003E3F83">
        <w:rPr>
          <w:rFonts w:cstheme="minorHAnsi"/>
        </w:rPr>
        <w:t>la</w:t>
      </w:r>
      <w:r w:rsidRPr="003E3F83" w:rsidR="009B2895">
        <w:rPr>
          <w:rFonts w:cstheme="minorHAnsi"/>
        </w:rPr>
        <w:t xml:space="preserve"> </w:t>
      </w:r>
      <w:r w:rsidRPr="003E3F83">
        <w:rPr>
          <w:rFonts w:cstheme="minorHAnsi"/>
        </w:rPr>
        <w:t>« loi d</w:t>
      </w:r>
      <w:r w:rsidRPr="003E3F83" w:rsidR="003E3F83">
        <w:rPr>
          <w:rFonts w:cstheme="minorHAnsi"/>
        </w:rPr>
        <w:t>’</w:t>
      </w:r>
      <w:r w:rsidRPr="003E3F83">
        <w:rPr>
          <w:rFonts w:cstheme="minorHAnsi"/>
        </w:rPr>
        <w:t>indemnisation »), est entrée en vigueur le 27 juillet 2004.</w:t>
      </w:r>
    </w:p>
    <w:p w:rsidRPr="003E3F83" w:rsidR="005B4F8B" w:rsidP="003E3F83" w14:paraId="57D72827" w14:textId="1C00C956">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60</w:t>
      </w:r>
      <w:r w:rsidRPr="003E3F83">
        <w:rPr>
          <w:rFonts w:cstheme="minorHAnsi"/>
        </w:rPr>
        <w:fldChar w:fldCharType="end"/>
      </w:r>
      <w:r w:rsidRPr="003E3F83">
        <w:rPr>
          <w:rFonts w:cstheme="minorHAnsi"/>
        </w:rPr>
        <w:t>.  Elle a pour objet, en particulier, d</w:t>
      </w:r>
      <w:r w:rsidRPr="003E3F83" w:rsidR="003E3F83">
        <w:rPr>
          <w:rFonts w:cstheme="minorHAnsi"/>
        </w:rPr>
        <w:t>’</w:t>
      </w:r>
      <w:r w:rsidRPr="003E3F83">
        <w:rPr>
          <w:rFonts w:cstheme="minorHAnsi"/>
        </w:rPr>
        <w:t>assurer l</w:t>
      </w:r>
      <w:r w:rsidRPr="003E3F83" w:rsidR="003E3F83">
        <w:rPr>
          <w:rFonts w:cstheme="minorHAnsi"/>
        </w:rPr>
        <w:t>’</w:t>
      </w:r>
      <w:r w:rsidRPr="003E3F83">
        <w:rPr>
          <w:rFonts w:cstheme="minorHAnsi"/>
        </w:rPr>
        <w:t>indemnisation des préjudices matériels résultant d</w:t>
      </w:r>
      <w:r w:rsidRPr="003E3F83" w:rsidR="003E3F83">
        <w:rPr>
          <w:rFonts w:cstheme="minorHAnsi"/>
        </w:rPr>
        <w:t>’</w:t>
      </w:r>
      <w:r w:rsidRPr="003E3F83">
        <w:rPr>
          <w:rFonts w:cstheme="minorHAnsi"/>
        </w:rPr>
        <w:t>actions terroristes.</w:t>
      </w:r>
    </w:p>
    <w:p w:rsidRPr="003E3F83" w:rsidR="005B4F8B" w:rsidP="003E3F83" w14:paraId="742C573A" w14:textId="0B49C3B3">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61</w:t>
      </w:r>
      <w:r w:rsidRPr="003E3F83">
        <w:rPr>
          <w:rFonts w:cstheme="minorHAnsi"/>
        </w:rPr>
        <w:fldChar w:fldCharType="end"/>
      </w:r>
      <w:r w:rsidRPr="003E3F83">
        <w:rPr>
          <w:rFonts w:cstheme="minorHAnsi"/>
        </w:rPr>
        <w:t>.  Aux termes de cette loi, le préjudice subi et le montant de l</w:t>
      </w:r>
      <w:r w:rsidRPr="003E3F83" w:rsidR="003E3F83">
        <w:rPr>
          <w:rFonts w:cstheme="minorHAnsi"/>
        </w:rPr>
        <w:t>’</w:t>
      </w:r>
      <w:r w:rsidRPr="003E3F83">
        <w:rPr>
          <w:rFonts w:cstheme="minorHAnsi"/>
        </w:rPr>
        <w:t>indemnité à verser sont établis par des commissions d</w:t>
      </w:r>
      <w:r w:rsidRPr="003E3F83" w:rsidR="003E3F83">
        <w:rPr>
          <w:rFonts w:cstheme="minorHAnsi"/>
        </w:rPr>
        <w:t>’</w:t>
      </w:r>
      <w:r w:rsidRPr="003E3F83">
        <w:rPr>
          <w:rFonts w:cstheme="minorHAnsi"/>
        </w:rPr>
        <w:t>évaluation et d</w:t>
      </w:r>
      <w:r w:rsidRPr="003E3F83" w:rsidR="003E3F83">
        <w:rPr>
          <w:rFonts w:cstheme="minorHAnsi"/>
        </w:rPr>
        <w:t>’</w:t>
      </w:r>
      <w:r w:rsidRPr="003E3F83">
        <w:rPr>
          <w:rFonts w:cstheme="minorHAnsi"/>
        </w:rPr>
        <w:t>indemnisation des dommages.</w:t>
      </w:r>
    </w:p>
    <w:p w:rsidRPr="003E3F83" w:rsidR="005B4F8B" w:rsidP="003E3F83" w14:paraId="641B3DF6" w14:textId="6F8784F5">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62</w:t>
      </w:r>
      <w:r w:rsidRPr="003E3F83">
        <w:rPr>
          <w:rFonts w:cstheme="minorHAnsi"/>
        </w:rPr>
        <w:fldChar w:fldCharType="end"/>
      </w:r>
      <w:r w:rsidRPr="003E3F83">
        <w:rPr>
          <w:rFonts w:cstheme="minorHAnsi"/>
        </w:rPr>
        <w:t>.  En ce qui concerne la procédure de saisine des commissions d</w:t>
      </w:r>
      <w:r w:rsidRPr="003E3F83" w:rsidR="003E3F83">
        <w:rPr>
          <w:rFonts w:cstheme="minorHAnsi"/>
        </w:rPr>
        <w:t>’</w:t>
      </w:r>
      <w:r w:rsidRPr="003E3F83">
        <w:rPr>
          <w:rFonts w:cstheme="minorHAnsi"/>
        </w:rPr>
        <w:t>indemnisation, l</w:t>
      </w:r>
      <w:r w:rsidRPr="003E3F83" w:rsidR="003E3F83">
        <w:rPr>
          <w:rFonts w:cstheme="minorHAnsi"/>
        </w:rPr>
        <w:t>’</w:t>
      </w:r>
      <w:r w:rsidRPr="003E3F83">
        <w:rPr>
          <w:rFonts w:cstheme="minorHAnsi"/>
        </w:rPr>
        <w:t>article 6 de la loi n</w:t>
      </w:r>
      <w:r w:rsidRPr="003E3F83">
        <w:rPr>
          <w:rFonts w:cstheme="minorHAnsi"/>
          <w:vertAlign w:val="superscript"/>
        </w:rPr>
        <w:t>o</w:t>
      </w:r>
      <w:r w:rsidRPr="003E3F83">
        <w:rPr>
          <w:rFonts w:cstheme="minorHAnsi"/>
        </w:rPr>
        <w:t xml:space="preserve"> 5233 dispose que quiconque a subi un préjudice à cause du terrorisme ou de mesures prises par les autorités pour lutter contre le terrorisme peut demander réparation auprès de la commission d</w:t>
      </w:r>
      <w:r w:rsidRPr="003E3F83" w:rsidR="003E3F83">
        <w:rPr>
          <w:rFonts w:cstheme="minorHAnsi"/>
        </w:rPr>
        <w:t>’</w:t>
      </w:r>
      <w:r w:rsidRPr="003E3F83">
        <w:rPr>
          <w:rFonts w:cstheme="minorHAnsi"/>
        </w:rPr>
        <w:t>indemnisation compétente. Pareille demande doit être déposée dans un délai de soixante jours à compter de la date à laquelle l</w:t>
      </w:r>
      <w:r w:rsidRPr="003E3F83" w:rsidR="003E3F83">
        <w:rPr>
          <w:rFonts w:cstheme="minorHAnsi"/>
        </w:rPr>
        <w:t>’</w:t>
      </w:r>
      <w:r w:rsidRPr="003E3F83">
        <w:rPr>
          <w:rFonts w:cstheme="minorHAnsi"/>
        </w:rPr>
        <w:t>intéressé a eu connaissance de l</w:t>
      </w:r>
      <w:r w:rsidRPr="003E3F83" w:rsidR="003E3F83">
        <w:rPr>
          <w:rFonts w:cstheme="minorHAnsi"/>
        </w:rPr>
        <w:t>’</w:t>
      </w:r>
      <w:r w:rsidRPr="003E3F83">
        <w:rPr>
          <w:rFonts w:cstheme="minorHAnsi"/>
        </w:rPr>
        <w:t>incident à l</w:t>
      </w:r>
      <w:r w:rsidRPr="003E3F83" w:rsidR="003E3F83">
        <w:rPr>
          <w:rFonts w:cstheme="minorHAnsi"/>
        </w:rPr>
        <w:t>’</w:t>
      </w:r>
      <w:r w:rsidRPr="003E3F83">
        <w:rPr>
          <w:rFonts w:cstheme="minorHAnsi"/>
        </w:rPr>
        <w:t>origine du préjudice et, en tout état de cause, dans l</w:t>
      </w:r>
      <w:r w:rsidRPr="003E3F83" w:rsidR="003E3F83">
        <w:rPr>
          <w:rFonts w:cstheme="minorHAnsi"/>
        </w:rPr>
        <w:t>’</w:t>
      </w:r>
      <w:r w:rsidRPr="003E3F83">
        <w:rPr>
          <w:rFonts w:cstheme="minorHAnsi"/>
        </w:rPr>
        <w:t>année suivant la date à laquelle l</w:t>
      </w:r>
      <w:r w:rsidRPr="003E3F83" w:rsidR="003E3F83">
        <w:rPr>
          <w:rFonts w:cstheme="minorHAnsi"/>
        </w:rPr>
        <w:t>’</w:t>
      </w:r>
      <w:r w:rsidRPr="003E3F83">
        <w:rPr>
          <w:rFonts w:cstheme="minorHAnsi"/>
        </w:rPr>
        <w:t>incident litigieux est survenu. La commission d</w:t>
      </w:r>
      <w:r w:rsidRPr="003E3F83" w:rsidR="003E3F83">
        <w:rPr>
          <w:rFonts w:cstheme="minorHAnsi"/>
        </w:rPr>
        <w:t>’</w:t>
      </w:r>
      <w:r w:rsidRPr="003E3F83">
        <w:rPr>
          <w:rFonts w:cstheme="minorHAnsi"/>
        </w:rPr>
        <w:t>indemnisation statue dans un délai de six mois à compter du dépôt de la demande. Si besoin est, le préfet peut prolonger ce délai de trois mois.</w:t>
      </w:r>
    </w:p>
    <w:p w:rsidRPr="003E3F83" w:rsidR="005B4F8B" w:rsidP="003E3F83" w14:paraId="0424E3CF" w14:textId="77777777">
      <w:pPr>
        <w:pStyle w:val="JuHIRoman"/>
      </w:pPr>
      <w:r w:rsidRPr="003E3F83">
        <w:t>La responsabilité de plein droit</w:t>
      </w:r>
    </w:p>
    <w:p w:rsidRPr="003E3F83" w:rsidR="005B4F8B" w:rsidP="003E3F83" w14:paraId="16441CB9" w14:textId="66C7D84E">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63</w:t>
      </w:r>
      <w:r w:rsidRPr="003E3F83">
        <w:rPr>
          <w:rFonts w:cstheme="minorHAnsi"/>
        </w:rPr>
        <w:fldChar w:fldCharType="end"/>
      </w:r>
      <w:r w:rsidRPr="003E3F83">
        <w:rPr>
          <w:rFonts w:cstheme="minorHAnsi"/>
        </w:rPr>
        <w:t>.  En droit administratif turc, la responsabilité de plein droit de l</w:t>
      </w:r>
      <w:r w:rsidRPr="003E3F83" w:rsidR="003E3F83">
        <w:rPr>
          <w:rFonts w:cstheme="minorHAnsi"/>
        </w:rPr>
        <w:t>’</w:t>
      </w:r>
      <w:r w:rsidRPr="003E3F83">
        <w:rPr>
          <w:rFonts w:cstheme="minorHAnsi"/>
        </w:rPr>
        <w:t>administration est fondée, entre autres, sur la notion de risque social. Le régime juridique applicable s</w:t>
      </w:r>
      <w:r w:rsidRPr="003E3F83" w:rsidR="003E3F83">
        <w:rPr>
          <w:rFonts w:cstheme="minorHAnsi"/>
        </w:rPr>
        <w:t>’</w:t>
      </w:r>
      <w:r w:rsidRPr="003E3F83">
        <w:rPr>
          <w:rFonts w:cstheme="minorHAnsi"/>
        </w:rPr>
        <w:t>écarte ainsi du principe général de réparation</w:t>
      </w:r>
      <w:r w:rsidRPr="003E3F83" w:rsidR="009B2895">
        <w:rPr>
          <w:rFonts w:cstheme="minorHAnsi"/>
        </w:rPr>
        <w:t xml:space="preserve"> </w:t>
      </w:r>
      <w:r w:rsidRPr="003E3F83">
        <w:rPr>
          <w:rFonts w:cstheme="minorHAnsi"/>
        </w:rPr>
        <w:t>qui s</w:t>
      </w:r>
      <w:r w:rsidRPr="003E3F83" w:rsidR="003E3F83">
        <w:rPr>
          <w:rFonts w:cstheme="minorHAnsi"/>
        </w:rPr>
        <w:t>’</w:t>
      </w:r>
      <w:r w:rsidRPr="003E3F83">
        <w:rPr>
          <w:rFonts w:cstheme="minorHAnsi"/>
        </w:rPr>
        <w:t>applique en droit commun de la responsabilité basé sur la reconnaissance de la faute, et procède d</w:t>
      </w:r>
      <w:r w:rsidRPr="003E3F83" w:rsidR="003E3F83">
        <w:rPr>
          <w:rFonts w:cstheme="minorHAnsi"/>
        </w:rPr>
        <w:t>’</w:t>
      </w:r>
      <w:r w:rsidRPr="003E3F83">
        <w:rPr>
          <w:rFonts w:cstheme="minorHAnsi"/>
        </w:rPr>
        <w:t>une responsabilité globale et « sociale ».</w:t>
      </w:r>
    </w:p>
    <w:p w:rsidRPr="003E3F83" w:rsidR="005B4F8B" w:rsidP="003E3F83" w14:paraId="4E0E923D" w14:textId="5C62810A">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64</w:t>
      </w:r>
      <w:r w:rsidRPr="003E3F83">
        <w:rPr>
          <w:rFonts w:cstheme="minorHAnsi"/>
        </w:rPr>
        <w:fldChar w:fldCharType="end"/>
      </w:r>
      <w:r w:rsidRPr="003E3F83">
        <w:rPr>
          <w:rFonts w:cstheme="minorHAnsi"/>
        </w:rPr>
        <w:t>.  La conséquence principale de ce régime de responsabilité est que, d</w:t>
      </w:r>
      <w:r w:rsidRPr="003E3F83" w:rsidR="003E3F83">
        <w:rPr>
          <w:rFonts w:cstheme="minorHAnsi"/>
        </w:rPr>
        <w:t>’</w:t>
      </w:r>
      <w:r w:rsidRPr="003E3F83">
        <w:rPr>
          <w:rFonts w:cstheme="minorHAnsi"/>
        </w:rPr>
        <w:t>une part, la victime n</w:t>
      </w:r>
      <w:r w:rsidRPr="003E3F83" w:rsidR="003E3F83">
        <w:rPr>
          <w:rFonts w:cstheme="minorHAnsi"/>
        </w:rPr>
        <w:t>’</w:t>
      </w:r>
      <w:r w:rsidRPr="003E3F83">
        <w:rPr>
          <w:rFonts w:cstheme="minorHAnsi"/>
        </w:rPr>
        <w:t>a pas à rapporter la preuve d</w:t>
      </w:r>
      <w:r w:rsidRPr="003E3F83" w:rsidR="003E3F83">
        <w:rPr>
          <w:rFonts w:cstheme="minorHAnsi"/>
        </w:rPr>
        <w:t>’</w:t>
      </w:r>
      <w:r w:rsidRPr="003E3F83">
        <w:rPr>
          <w:rFonts w:cstheme="minorHAnsi"/>
        </w:rPr>
        <w:t>une faute de l</w:t>
      </w:r>
      <w:r w:rsidRPr="003E3F83" w:rsidR="003E3F83">
        <w:rPr>
          <w:rFonts w:cstheme="minorHAnsi"/>
        </w:rPr>
        <w:t>’</w:t>
      </w:r>
      <w:r w:rsidRPr="003E3F83">
        <w:rPr>
          <w:rFonts w:cstheme="minorHAnsi"/>
        </w:rPr>
        <w:t>administration pour que celle-ci engage sa responsabilité et, d</w:t>
      </w:r>
      <w:r w:rsidRPr="003E3F83" w:rsidR="003E3F83">
        <w:rPr>
          <w:rFonts w:cstheme="minorHAnsi"/>
        </w:rPr>
        <w:t>’</w:t>
      </w:r>
      <w:r w:rsidRPr="003E3F83">
        <w:rPr>
          <w:rFonts w:cstheme="minorHAnsi"/>
        </w:rPr>
        <w:t>autre part, l</w:t>
      </w:r>
      <w:r w:rsidRPr="003E3F83" w:rsidR="003E3F83">
        <w:rPr>
          <w:rFonts w:cstheme="minorHAnsi"/>
        </w:rPr>
        <w:t>’</w:t>
      </w:r>
      <w:r w:rsidRPr="003E3F83">
        <w:rPr>
          <w:rFonts w:cstheme="minorHAnsi"/>
        </w:rPr>
        <w:t>administration ne peut pas s</w:t>
      </w:r>
      <w:r w:rsidRPr="003E3F83" w:rsidR="003E3F83">
        <w:rPr>
          <w:rFonts w:cstheme="minorHAnsi"/>
        </w:rPr>
        <w:t>’</w:t>
      </w:r>
      <w:r w:rsidRPr="003E3F83">
        <w:rPr>
          <w:rFonts w:cstheme="minorHAnsi"/>
        </w:rPr>
        <w:t>exonérer de sa responsabilité en démontrant qu</w:t>
      </w:r>
      <w:r w:rsidRPr="003E3F83" w:rsidR="003E3F83">
        <w:rPr>
          <w:rFonts w:cstheme="minorHAnsi"/>
        </w:rPr>
        <w:t>’</w:t>
      </w:r>
      <w:r w:rsidRPr="003E3F83">
        <w:rPr>
          <w:rFonts w:cstheme="minorHAnsi"/>
        </w:rPr>
        <w:t>elle n</w:t>
      </w:r>
      <w:r w:rsidRPr="003E3F83" w:rsidR="003E3F83">
        <w:rPr>
          <w:rFonts w:cstheme="minorHAnsi"/>
        </w:rPr>
        <w:t>’</w:t>
      </w:r>
      <w:r w:rsidRPr="003E3F83">
        <w:rPr>
          <w:rFonts w:cstheme="minorHAnsi"/>
        </w:rPr>
        <w:t>a pas commis de faute.</w:t>
      </w:r>
    </w:p>
    <w:p w:rsidRPr="003E3F83" w:rsidR="005B4F8B" w:rsidP="003E3F83" w14:paraId="200D0E5F" w14:textId="7E5178AF">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65</w:t>
      </w:r>
      <w:r w:rsidRPr="003E3F83">
        <w:rPr>
          <w:rFonts w:cstheme="minorHAnsi"/>
        </w:rPr>
        <w:fldChar w:fldCharType="end"/>
      </w:r>
      <w:r w:rsidRPr="003E3F83">
        <w:rPr>
          <w:rFonts w:cstheme="minorHAnsi"/>
        </w:rPr>
        <w:t>.  Pour mettre en jeu la responsabilité de l</w:t>
      </w:r>
      <w:r w:rsidRPr="003E3F83" w:rsidR="003E3F83">
        <w:rPr>
          <w:rFonts w:cstheme="minorHAnsi"/>
        </w:rPr>
        <w:t>’</w:t>
      </w:r>
      <w:r w:rsidRPr="003E3F83">
        <w:rPr>
          <w:rFonts w:cstheme="minorHAnsi"/>
        </w:rPr>
        <w:t>administration, il suffit à la victime de démontrer l</w:t>
      </w:r>
      <w:r w:rsidRPr="003E3F83" w:rsidR="003E3F83">
        <w:rPr>
          <w:rFonts w:cstheme="minorHAnsi"/>
        </w:rPr>
        <w:t>’</w:t>
      </w:r>
      <w:r w:rsidRPr="003E3F83">
        <w:rPr>
          <w:rFonts w:cstheme="minorHAnsi"/>
        </w:rPr>
        <w:t>existence d</w:t>
      </w:r>
      <w:r w:rsidRPr="003E3F83" w:rsidR="003E3F83">
        <w:rPr>
          <w:rFonts w:cstheme="minorHAnsi"/>
        </w:rPr>
        <w:t>’</w:t>
      </w:r>
      <w:r w:rsidRPr="003E3F83">
        <w:rPr>
          <w:rFonts w:cstheme="minorHAnsi"/>
        </w:rPr>
        <w:t>un préjudice et un lien de causalité entre le fait générateur et le préjudice en question.</w:t>
      </w:r>
    </w:p>
    <w:p w:rsidRPr="003E3F83" w:rsidR="005B4F8B" w:rsidP="003E3F83" w14:paraId="2FED0EAE" w14:textId="5F1D3764">
      <w:pPr>
        <w:pStyle w:val="JuHIRoman"/>
      </w:pPr>
      <w:r w:rsidRPr="003E3F83">
        <w:t>L</w:t>
      </w:r>
      <w:r w:rsidRPr="003E3F83" w:rsidR="003E3F83">
        <w:t>’</w:t>
      </w:r>
      <w:r w:rsidRPr="003E3F83">
        <w:t>arrêt de l</w:t>
      </w:r>
      <w:r w:rsidRPr="003E3F83" w:rsidR="003E3F83">
        <w:t>’</w:t>
      </w:r>
      <w:r w:rsidRPr="003E3F83">
        <w:t>assemblée des chambres administratives réunies du Conseil d</w:t>
      </w:r>
      <w:r w:rsidRPr="003E3F83" w:rsidR="003E3F83">
        <w:t>’</w:t>
      </w:r>
      <w:r w:rsidRPr="003E3F83">
        <w:t>État du 26 mars 2014</w:t>
      </w:r>
    </w:p>
    <w:p w:rsidRPr="003E3F83" w:rsidR="005B4F8B" w:rsidP="003E3F83" w14:paraId="5D3B03AB" w14:textId="533DDF6D">
      <w:pPr>
        <w:pStyle w:val="JuPara"/>
      </w:pPr>
      <w:r>
        <w:fldChar w:fldCharType="begin"/>
      </w:r>
      <w:r>
        <w:instrText xml:space="preserve"> SEQ level0 \*arabic \* MERGEFORMAT </w:instrText>
      </w:r>
      <w:r>
        <w:fldChar w:fldCharType="separate"/>
      </w:r>
      <w:r w:rsidRPr="003E3F83" w:rsidR="003E3F83">
        <w:rPr>
          <w:noProof/>
        </w:rPr>
        <w:t>66</w:t>
      </w:r>
      <w:r>
        <w:rPr>
          <w:noProof/>
        </w:rPr>
        <w:fldChar w:fldCharType="end"/>
      </w:r>
      <w:r w:rsidRPr="003E3F83">
        <w:t>.  Dans un arrêt de principe rendu le 26 mars 2014 par l</w:t>
      </w:r>
      <w:r w:rsidRPr="003E3F83" w:rsidR="003E3F83">
        <w:t>’</w:t>
      </w:r>
      <w:r w:rsidRPr="003E3F83">
        <w:t>assemblée des chambres administratives réunies, le Conseil d</w:t>
      </w:r>
      <w:r w:rsidRPr="003E3F83" w:rsidR="003E3F83">
        <w:t>’</w:t>
      </w:r>
      <w:r w:rsidRPr="003E3F83">
        <w:t xml:space="preserve">État, se référant notamment à la décision </w:t>
      </w:r>
      <w:bookmarkStart w:name="_cl7811" w:id="7"/>
      <w:r w:rsidRPr="003E3F83">
        <w:rPr>
          <w:i/>
          <w:iCs/>
        </w:rPr>
        <w:t>İçyer</w:t>
      </w:r>
      <w:r w:rsidRPr="003E3F83">
        <w:rPr>
          <w:i/>
          <w:iCs/>
        </w:rPr>
        <w:t xml:space="preserve"> c. Turquie</w:t>
      </w:r>
      <w:bookmarkEnd w:id="7"/>
      <w:r w:rsidRPr="003E3F83">
        <w:t xml:space="preserve"> ((déc.), n</w:t>
      </w:r>
      <w:r w:rsidRPr="003E3F83">
        <w:rPr>
          <w:vertAlign w:val="superscript"/>
        </w:rPr>
        <w:t>o</w:t>
      </w:r>
      <w:r w:rsidRPr="003E3F83">
        <w:t xml:space="preserve"> 18888/02, § 81, CEDH 2006-I), a précisé que la loi n</w:t>
      </w:r>
      <w:r w:rsidRPr="003E3F83">
        <w:rPr>
          <w:vertAlign w:val="superscript"/>
        </w:rPr>
        <w:t>o</w:t>
      </w:r>
      <w:r w:rsidRPr="003E3F83">
        <w:t xml:space="preserve"> 5233 sur l</w:t>
      </w:r>
      <w:r w:rsidRPr="003E3F83" w:rsidR="003E3F83">
        <w:t>’</w:t>
      </w:r>
      <w:r w:rsidRPr="003E3F83">
        <w:t>indemnisation des dommages matériels résultant d</w:t>
      </w:r>
      <w:r w:rsidRPr="003E3F83" w:rsidR="003E3F83">
        <w:t>’</w:t>
      </w:r>
      <w:r w:rsidRPr="003E3F83">
        <w:t>actes de terrorisme ou de mesures de lutte contre le terrorisme ne faisait pas obstacle à l</w:t>
      </w:r>
      <w:r w:rsidRPr="003E3F83" w:rsidR="003E3F83">
        <w:t>’</w:t>
      </w:r>
      <w:r w:rsidRPr="003E3F83">
        <w:t>indemnisation des dommages moraux découlant de pareils actes ou mesures.</w:t>
      </w:r>
    </w:p>
    <w:p w:rsidRPr="003E3F83" w:rsidR="005B4F8B" w:rsidP="003E3F83" w14:paraId="550504D6" w14:textId="5CA9C185">
      <w:pPr>
        <w:pStyle w:val="JuHIRoman"/>
      </w:pPr>
      <w:r w:rsidRPr="003E3F83">
        <w:t>L</w:t>
      </w:r>
      <w:r w:rsidRPr="003E3F83" w:rsidR="003E3F83">
        <w:t>’</w:t>
      </w:r>
      <w:r w:rsidRPr="003E3F83">
        <w:t>arrêt du Conseil d</w:t>
      </w:r>
      <w:r w:rsidRPr="003E3F83" w:rsidR="003E3F83">
        <w:t>’</w:t>
      </w:r>
      <w:r w:rsidRPr="003E3F83">
        <w:t>État du 15 décembre 2020</w:t>
      </w:r>
    </w:p>
    <w:p w:rsidRPr="003E3F83" w:rsidR="005B4F8B" w:rsidP="003E3F83" w14:paraId="3C975910" w14:textId="26078004">
      <w:pPr>
        <w:pStyle w:val="JuPara"/>
      </w:pPr>
      <w:r>
        <w:fldChar w:fldCharType="begin"/>
      </w:r>
      <w:r>
        <w:instrText xml:space="preserve"> SEQ level0 \*arabic \* MERGEFORMAT </w:instrText>
      </w:r>
      <w:r>
        <w:fldChar w:fldCharType="separate"/>
      </w:r>
      <w:r w:rsidRPr="003E3F83" w:rsidR="003E3F83">
        <w:rPr>
          <w:noProof/>
        </w:rPr>
        <w:t>67</w:t>
      </w:r>
      <w:r>
        <w:rPr>
          <w:noProof/>
        </w:rPr>
        <w:fldChar w:fldCharType="end"/>
      </w:r>
      <w:r w:rsidRPr="003E3F83">
        <w:t>.  Dans un arrêt du 15 décembre 2020, le Conseil d</w:t>
      </w:r>
      <w:r w:rsidRPr="003E3F83" w:rsidR="003E3F83">
        <w:t>’</w:t>
      </w:r>
      <w:r w:rsidRPr="003E3F83">
        <w:t>État, saisi d</w:t>
      </w:r>
      <w:r w:rsidRPr="003E3F83" w:rsidR="003E3F83">
        <w:t>’</w:t>
      </w:r>
      <w:r w:rsidRPr="003E3F83">
        <w:t>un recours formé par des plaignants autres que le requérant qui soutenaient que la responsabilité pour faute de l</w:t>
      </w:r>
      <w:r w:rsidRPr="003E3F83" w:rsidR="003E3F83">
        <w:t>’</w:t>
      </w:r>
      <w:r w:rsidRPr="003E3F83">
        <w:t>administration devait être retenue dans l</w:t>
      </w:r>
      <w:r w:rsidRPr="003E3F83" w:rsidR="003E3F83">
        <w:t>’</w:t>
      </w:r>
      <w:r w:rsidRPr="003E3F83">
        <w:t>attentat du 10 octobre 2015, a examiné la question de savoir si l</w:t>
      </w:r>
      <w:r w:rsidRPr="003E3F83" w:rsidR="003E3F83">
        <w:t>’</w:t>
      </w:r>
      <w:r w:rsidRPr="003E3F83">
        <w:t>administration avait commis une faute de service relativement à cet évènement.</w:t>
      </w:r>
    </w:p>
    <w:p w:rsidRPr="003E3F83" w:rsidR="005B4F8B" w:rsidP="003E3F83" w14:paraId="1540940E" w14:textId="147FA820">
      <w:pPr>
        <w:pStyle w:val="JuPara"/>
      </w:pPr>
      <w:r>
        <w:fldChar w:fldCharType="begin"/>
      </w:r>
      <w:r>
        <w:instrText xml:space="preserve"> SEQ level0 \*arabic \* MERGEFORMAT </w:instrText>
      </w:r>
      <w:r>
        <w:fldChar w:fldCharType="separate"/>
      </w:r>
      <w:r w:rsidRPr="003E3F83" w:rsidR="003E3F83">
        <w:rPr>
          <w:noProof/>
        </w:rPr>
        <w:t>68</w:t>
      </w:r>
      <w:r>
        <w:rPr>
          <w:noProof/>
        </w:rPr>
        <w:fldChar w:fldCharType="end"/>
      </w:r>
      <w:r w:rsidRPr="003E3F83">
        <w:t>.  La haute juridiction administrative a évalué la situation en se basant sur les informations disponibles avant l</w:t>
      </w:r>
      <w:r w:rsidRPr="003E3F83" w:rsidR="003E3F83">
        <w:t>’</w:t>
      </w:r>
      <w:r w:rsidRPr="003E3F83">
        <w:t>attentat et a retenu que les autorités ne disposaient d</w:t>
      </w:r>
      <w:r w:rsidRPr="003E3F83" w:rsidR="003E3F83">
        <w:t>’</w:t>
      </w:r>
      <w:r w:rsidRPr="003E3F83">
        <w:t>aucun renseignement susceptible d</w:t>
      </w:r>
      <w:r w:rsidRPr="003E3F83" w:rsidR="003E3F83">
        <w:t>’</w:t>
      </w:r>
      <w:r w:rsidRPr="003E3F83">
        <w:t>indiquer l</w:t>
      </w:r>
      <w:r w:rsidRPr="003E3F83" w:rsidR="003E3F83">
        <w:t>’</w:t>
      </w:r>
      <w:r w:rsidRPr="003E3F83">
        <w:t>imminence d</w:t>
      </w:r>
      <w:r w:rsidRPr="003E3F83" w:rsidR="003E3F83">
        <w:t>’</w:t>
      </w:r>
      <w:r w:rsidRPr="003E3F83">
        <w:t>une attaque. Elle a en outre considéré que des mesures de sécurité suffisantes avaient été prises par les autorités concernant la manifestation du 10 octobre 2015, et a estimé que l</w:t>
      </w:r>
      <w:r w:rsidRPr="003E3F83" w:rsidR="003E3F83">
        <w:t>’</w:t>
      </w:r>
      <w:r w:rsidRPr="003E3F83">
        <w:t>administration n</w:t>
      </w:r>
      <w:r w:rsidRPr="003E3F83" w:rsidR="003E3F83">
        <w:t>’</w:t>
      </w:r>
      <w:r w:rsidRPr="003E3F83">
        <w:t>avait pas commis de faute de service.</w:t>
      </w:r>
    </w:p>
    <w:p w:rsidRPr="003E3F83" w:rsidR="005B4F8B" w:rsidP="003E3F83" w14:paraId="697C9D5F" w14:textId="1E50255D">
      <w:pPr>
        <w:pStyle w:val="JuPara"/>
      </w:pPr>
      <w:r>
        <w:fldChar w:fldCharType="begin"/>
      </w:r>
      <w:r>
        <w:instrText xml:space="preserve"> SEQ level0 \*arabic \* MERGEFORMAT </w:instrText>
      </w:r>
      <w:r>
        <w:fldChar w:fldCharType="separate"/>
      </w:r>
      <w:r w:rsidRPr="003E3F83" w:rsidR="003E3F83">
        <w:rPr>
          <w:noProof/>
        </w:rPr>
        <w:t>69</w:t>
      </w:r>
      <w:r>
        <w:rPr>
          <w:noProof/>
        </w:rPr>
        <w:fldChar w:fldCharType="end"/>
      </w:r>
      <w:r w:rsidRPr="003E3F83">
        <w:t>.  Le Conseil d</w:t>
      </w:r>
      <w:r w:rsidRPr="003E3F83" w:rsidR="003E3F83">
        <w:t>’</w:t>
      </w:r>
      <w:r w:rsidRPr="003E3F83">
        <w:t>État a relevé, en particulier, que soixante-cinq minutes après le double attentat suicide, il ne restait plus aucun blessé sur les lieux, les autorités les ayant tous fait évacuer par ambulance vers les hôpitaux les plus proches. Il a ajouté, à cet égard, que le numéro 112 avait été appelé à 10 h 05 et que trente-trois secondes après cet appel, les services des urgences avaient commencé à se coordonner pour prendre en charge en priorité les personnes nécessitant des soins immédiats, et qu</w:t>
      </w:r>
      <w:r w:rsidRPr="003E3F83" w:rsidR="003E3F83">
        <w:t>’</w:t>
      </w:r>
      <w:r w:rsidRPr="003E3F83">
        <w:t>il n</w:t>
      </w:r>
      <w:r w:rsidRPr="003E3F83" w:rsidR="003E3F83">
        <w:t>’</w:t>
      </w:r>
      <w:r w:rsidRPr="003E3F83">
        <w:t>y avait pas eu de défaillance de communication entre les différents services. Quant à l</w:t>
      </w:r>
      <w:r w:rsidRPr="003E3F83" w:rsidR="003E3F83">
        <w:t>’</w:t>
      </w:r>
      <w:r w:rsidRPr="003E3F83">
        <w:t>utilisation de gaz lacrymogène par les forces de l</w:t>
      </w:r>
      <w:r w:rsidRPr="003E3F83" w:rsidR="003E3F83">
        <w:t>’</w:t>
      </w:r>
      <w:r w:rsidRPr="003E3F83">
        <w:t>ordre, la haute juridiction a estimé que pareil usage était nécessaire dans les circonstances de la cause et adapté à la situation.</w:t>
      </w:r>
    </w:p>
    <w:p w:rsidRPr="003E3F83" w:rsidR="005B4F8B" w:rsidP="003E3F83" w14:paraId="6CAE3FDE" w14:textId="77777777">
      <w:pPr>
        <w:pStyle w:val="JuHHead"/>
      </w:pPr>
      <w:r w:rsidRPr="003E3F83">
        <w:t>EN DROIT</w:t>
      </w:r>
    </w:p>
    <w:p w:rsidRPr="003E3F83" w:rsidR="005B4F8B" w:rsidP="003E3F83" w14:paraId="73D5193D" w14:textId="7D4AC7F4">
      <w:pPr>
        <w:pStyle w:val="JuHIRoman"/>
      </w:pPr>
      <w:r w:rsidRPr="003E3F83">
        <w:t>SUR LA VIOLATION ALLÉGUÉE DE L</w:t>
      </w:r>
      <w:r w:rsidRPr="003E3F83" w:rsidR="003E3F83">
        <w:t>’</w:t>
      </w:r>
      <w:r w:rsidRPr="003E3F83">
        <w:t>ARTICLE 2 DE LA CONVENTION</w:t>
      </w:r>
    </w:p>
    <w:p w:rsidRPr="003E3F83" w:rsidR="005B4F8B" w:rsidP="003E3F83" w14:paraId="51362116" w14:textId="399FA3DE">
      <w:pPr>
        <w:pStyle w:val="JuPara"/>
      </w:pPr>
      <w:r>
        <w:fldChar w:fldCharType="begin"/>
      </w:r>
      <w:r>
        <w:instrText xml:space="preserve"> SEQ level0 \*arabic \* MERGEFORMAT </w:instrText>
      </w:r>
      <w:r>
        <w:fldChar w:fldCharType="separate"/>
      </w:r>
      <w:r w:rsidRPr="003E3F83" w:rsidR="003E3F83">
        <w:rPr>
          <w:noProof/>
        </w:rPr>
        <w:t>70</w:t>
      </w:r>
      <w:r>
        <w:rPr>
          <w:noProof/>
        </w:rPr>
        <w:fldChar w:fldCharType="end"/>
      </w:r>
      <w:r w:rsidRPr="003E3F83">
        <w:t>.  Invoquant les articles 2 et 3 de la Convention, le requérant se plaint de ce que les autorités n</w:t>
      </w:r>
      <w:r w:rsidRPr="003E3F83" w:rsidR="003E3F83">
        <w:t>’</w:t>
      </w:r>
      <w:r w:rsidRPr="003E3F83">
        <w:t>aient pas pris de mesures opérationnelles préventives pour empêcher l</w:t>
      </w:r>
      <w:r w:rsidRPr="003E3F83" w:rsidR="003E3F83">
        <w:t>’</w:t>
      </w:r>
      <w:r w:rsidRPr="003E3F83">
        <w:t>attentat en question, alléguant que celui-ci a été le plus meurtrier de l</w:t>
      </w:r>
      <w:r w:rsidRPr="003E3F83" w:rsidR="003E3F83">
        <w:t>’</w:t>
      </w:r>
      <w:r w:rsidRPr="003E3F83">
        <w:t>histoire de la Türkiye. Il déplore également que la police ait utilisé du gaz lacrymogène juste après l</w:t>
      </w:r>
      <w:r w:rsidRPr="003E3F83" w:rsidR="003E3F83">
        <w:t>’</w:t>
      </w:r>
      <w:r w:rsidRPr="003E3F83">
        <w:t>attentat et affirme que cette mesure a empêché les secouristes d</w:t>
      </w:r>
      <w:r w:rsidRPr="003E3F83" w:rsidR="003E3F83">
        <w:t>’</w:t>
      </w:r>
      <w:r w:rsidRPr="003E3F83">
        <w:t>intervenir rapidement pour apporter les premiers soins aux personnes blessées. Il soutient, enfin, que les juridictions administratives auraient dû condamner l</w:t>
      </w:r>
      <w:r w:rsidRPr="003E3F83" w:rsidR="003E3F83">
        <w:t>’</w:t>
      </w:r>
      <w:r w:rsidRPr="003E3F83">
        <w:t>administration sur le fondement d</w:t>
      </w:r>
      <w:r w:rsidRPr="003E3F83" w:rsidR="003E3F83">
        <w:t>’</w:t>
      </w:r>
      <w:r w:rsidRPr="003E3F83">
        <w:t>une responsabilité pour faute de service, et non pas d</w:t>
      </w:r>
      <w:r w:rsidRPr="003E3F83" w:rsidR="003E3F83">
        <w:t>’</w:t>
      </w:r>
      <w:r w:rsidRPr="003E3F83">
        <w:t>une responsabilité objective.</w:t>
      </w:r>
    </w:p>
    <w:p w:rsidRPr="003E3F83" w:rsidR="005B4F8B" w:rsidP="003E3F83" w14:paraId="24A0206F" w14:textId="0FDED794">
      <w:pPr>
        <w:pStyle w:val="JuPara"/>
      </w:pPr>
      <w:r>
        <w:fldChar w:fldCharType="begin"/>
      </w:r>
      <w:r>
        <w:instrText xml:space="preserve"> SEQ level0 \*arabic \* MERGEFORMAT </w:instrText>
      </w:r>
      <w:r>
        <w:fldChar w:fldCharType="separate"/>
      </w:r>
      <w:r w:rsidRPr="003E3F83" w:rsidR="003E3F83">
        <w:rPr>
          <w:noProof/>
        </w:rPr>
        <w:t>71</w:t>
      </w:r>
      <w:r>
        <w:rPr>
          <w:noProof/>
        </w:rPr>
        <w:fldChar w:fldCharType="end"/>
      </w:r>
      <w:r w:rsidRPr="003E3F83">
        <w:t>.  Le Gouvernement combat ces thèses.</w:t>
      </w:r>
    </w:p>
    <w:p w:rsidRPr="003E3F83" w:rsidR="005B4F8B" w:rsidP="003E3F83" w14:paraId="2E091B31" w14:textId="517685DF">
      <w:pPr>
        <w:pStyle w:val="JuPara"/>
      </w:pPr>
      <w:r>
        <w:fldChar w:fldCharType="begin"/>
      </w:r>
      <w:r>
        <w:instrText xml:space="preserve"> SEQ level0 \*arabic \* MERGEFORMAT </w:instrText>
      </w:r>
      <w:r>
        <w:fldChar w:fldCharType="separate"/>
      </w:r>
      <w:r w:rsidRPr="003E3F83" w:rsidR="003E3F83">
        <w:rPr>
          <w:noProof/>
        </w:rPr>
        <w:t>72</w:t>
      </w:r>
      <w:r>
        <w:rPr>
          <w:noProof/>
        </w:rPr>
        <w:fldChar w:fldCharType="end"/>
      </w:r>
      <w:r w:rsidRPr="003E3F83">
        <w:t>.  </w:t>
      </w:r>
      <w:bookmarkStart w:name="OLE_LINK1" w:id="8"/>
      <w:r w:rsidRPr="003E3F83">
        <w:t>Eu égard à sa jurisprudence et à la nature des griefs du requérant, la Cour, maîtresse de la qualification juridique des faits de la cause (voir, par exemple,</w:t>
      </w:r>
      <w:r w:rsidRPr="003E3F83" w:rsidR="009B2895">
        <w:t xml:space="preserve"> </w:t>
      </w:r>
      <w:r w:rsidRPr="003E3F83">
        <w:rPr>
          <w:i/>
          <w:iCs/>
        </w:rPr>
        <w:t>Molla</w:t>
      </w:r>
      <w:r w:rsidRPr="003E3F83">
        <w:rPr>
          <w:i/>
          <w:iCs/>
        </w:rPr>
        <w:t xml:space="preserve"> Sali c. Grèce</w:t>
      </w:r>
      <w:r w:rsidRPr="003E3F83" w:rsidR="009B2895">
        <w:rPr>
          <w:i/>
          <w:iCs/>
        </w:rPr>
        <w:t xml:space="preserve"> </w:t>
      </w:r>
      <w:r w:rsidRPr="003E3F83">
        <w:t>[GC], n</w:t>
      </w:r>
      <w:r w:rsidRPr="003E3F83">
        <w:rPr>
          <w:vertAlign w:val="superscript"/>
        </w:rPr>
        <w:t>o</w:t>
      </w:r>
      <w:r w:rsidRPr="003E3F83" w:rsidR="009B2895">
        <w:rPr>
          <w:vertAlign w:val="superscript"/>
        </w:rPr>
        <w:t xml:space="preserve"> </w:t>
      </w:r>
      <w:r w:rsidRPr="003E3F83">
        <w:t>20452/14, § 85, 19 décembre 2018, et</w:t>
      </w:r>
      <w:r w:rsidRPr="003E3F83" w:rsidR="009B2895">
        <w:t xml:space="preserve"> </w:t>
      </w:r>
      <w:r w:rsidRPr="003E3F83">
        <w:rPr>
          <w:i/>
          <w:iCs/>
        </w:rPr>
        <w:t>S.M. c. Croatie</w:t>
      </w:r>
      <w:r w:rsidRPr="003E3F83" w:rsidR="009B2895">
        <w:t xml:space="preserve"> </w:t>
      </w:r>
      <w:r w:rsidRPr="003E3F83">
        <w:t>[GC], n</w:t>
      </w:r>
      <w:r w:rsidRPr="003E3F83">
        <w:rPr>
          <w:vertAlign w:val="superscript"/>
        </w:rPr>
        <w:t>o</w:t>
      </w:r>
      <w:r w:rsidRPr="003E3F83" w:rsidR="009B2895">
        <w:rPr>
          <w:vertAlign w:val="superscript"/>
        </w:rPr>
        <w:t xml:space="preserve"> </w:t>
      </w:r>
      <w:r w:rsidRPr="003E3F83">
        <w:t>60561/14, §§ 241-243, 25 juin 2020), considère qu</w:t>
      </w:r>
      <w:r w:rsidRPr="003E3F83" w:rsidR="003E3F83">
        <w:t>’</w:t>
      </w:r>
      <w:r w:rsidRPr="003E3F83">
        <w:t>il convient d</w:t>
      </w:r>
      <w:r w:rsidRPr="003E3F83" w:rsidR="003E3F83">
        <w:t>’</w:t>
      </w:r>
      <w:r w:rsidRPr="003E3F83">
        <w:t>examiner les griefs formulés par le requérant sous le seul angle de l</w:t>
      </w:r>
      <w:r w:rsidRPr="003E3F83" w:rsidR="003E3F83">
        <w:t>’</w:t>
      </w:r>
      <w:r w:rsidRPr="003E3F83">
        <w:t>article</w:t>
      </w:r>
      <w:r w:rsidRPr="003E3F83" w:rsidR="009B2895">
        <w:t> </w:t>
      </w:r>
      <w:r w:rsidRPr="003E3F83">
        <w:t>2 de la Convention.</w:t>
      </w:r>
    </w:p>
    <w:p w:rsidRPr="003E3F83" w:rsidR="005B4F8B" w:rsidP="003E3F83" w14:paraId="2E64EA9D" w14:textId="3DEEE3EC">
      <w:pPr>
        <w:pStyle w:val="JuPara"/>
      </w:pPr>
      <w:r>
        <w:fldChar w:fldCharType="begin"/>
      </w:r>
      <w:r>
        <w:instrText xml:space="preserve"> SEQ level0 \*arabic \* MERGEFORMAT </w:instrText>
      </w:r>
      <w:r>
        <w:fldChar w:fldCharType="separate"/>
      </w:r>
      <w:r w:rsidRPr="003E3F83" w:rsidR="003E3F83">
        <w:rPr>
          <w:noProof/>
        </w:rPr>
        <w:t>73</w:t>
      </w:r>
      <w:r>
        <w:rPr>
          <w:noProof/>
        </w:rPr>
        <w:fldChar w:fldCharType="end"/>
      </w:r>
      <w:r w:rsidRPr="003E3F83">
        <w:t>.  </w:t>
      </w:r>
      <w:bookmarkEnd w:id="8"/>
      <w:r w:rsidRPr="003E3F83">
        <w:t xml:space="preserve">En effet, elle </w:t>
      </w:r>
      <w:r w:rsidRPr="003E3F83">
        <w:rPr>
          <w:rFonts w:cstheme="minorHAnsi"/>
        </w:rPr>
        <w:t>observe, tout d</w:t>
      </w:r>
      <w:r w:rsidRPr="003E3F83" w:rsidR="003E3F83">
        <w:rPr>
          <w:rFonts w:cstheme="minorHAnsi"/>
        </w:rPr>
        <w:t>’</w:t>
      </w:r>
      <w:r w:rsidRPr="003E3F83">
        <w:rPr>
          <w:rFonts w:cstheme="minorHAnsi"/>
        </w:rPr>
        <w:t>abord, que si la blessure du requérant n</w:t>
      </w:r>
      <w:r w:rsidRPr="003E3F83" w:rsidR="003E3F83">
        <w:rPr>
          <w:rFonts w:cstheme="minorHAnsi"/>
        </w:rPr>
        <w:t>’</w:t>
      </w:r>
      <w:r w:rsidRPr="003E3F83">
        <w:rPr>
          <w:rFonts w:cstheme="minorHAnsi"/>
        </w:rPr>
        <w:t>était, certes, pas de nature à mettre sa vie en danger, l</w:t>
      </w:r>
      <w:r w:rsidRPr="003E3F83" w:rsidR="003E3F83">
        <w:rPr>
          <w:rFonts w:cstheme="minorHAnsi"/>
        </w:rPr>
        <w:t>’</w:t>
      </w:r>
      <w:r w:rsidRPr="003E3F83">
        <w:rPr>
          <w:rFonts w:cstheme="minorHAnsi"/>
        </w:rPr>
        <w:t>attentat terroriste en question a causé le décès de cent personnes, et qu</w:t>
      </w:r>
      <w:r w:rsidRPr="003E3F83" w:rsidR="003E3F83">
        <w:rPr>
          <w:rFonts w:cstheme="minorHAnsi"/>
        </w:rPr>
        <w:t>’</w:t>
      </w:r>
      <w:r w:rsidRPr="003E3F83">
        <w:rPr>
          <w:rFonts w:cstheme="minorHAnsi"/>
        </w:rPr>
        <w:t>il était par conséquent potentiellement meurtrier pour l</w:t>
      </w:r>
      <w:r w:rsidRPr="003E3F83" w:rsidR="003E3F83">
        <w:rPr>
          <w:rFonts w:cstheme="minorHAnsi"/>
        </w:rPr>
        <w:t>’</w:t>
      </w:r>
      <w:r w:rsidRPr="003E3F83">
        <w:rPr>
          <w:rFonts w:cstheme="minorHAnsi"/>
        </w:rPr>
        <w:t>intéressé. Dès lors, à l</w:t>
      </w:r>
      <w:r w:rsidRPr="003E3F83" w:rsidR="003E3F83">
        <w:rPr>
          <w:rFonts w:cstheme="minorHAnsi"/>
        </w:rPr>
        <w:t>’</w:t>
      </w:r>
      <w:r w:rsidRPr="003E3F83">
        <w:rPr>
          <w:rFonts w:cstheme="minorHAnsi"/>
        </w:rPr>
        <w:t>instar de la Cour constitutionnelle, la Cour considère que l</w:t>
      </w:r>
      <w:r w:rsidRPr="003E3F83" w:rsidR="003E3F83">
        <w:rPr>
          <w:rFonts w:cstheme="minorHAnsi"/>
        </w:rPr>
        <w:t>’</w:t>
      </w:r>
      <w:r w:rsidRPr="003E3F83">
        <w:rPr>
          <w:rFonts w:cstheme="minorHAnsi"/>
        </w:rPr>
        <w:t>article 2 de la Convention trouve à s</w:t>
      </w:r>
      <w:r w:rsidRPr="003E3F83" w:rsidR="003E3F83">
        <w:rPr>
          <w:rFonts w:cstheme="minorHAnsi"/>
        </w:rPr>
        <w:t>’</w:t>
      </w:r>
      <w:r w:rsidRPr="003E3F83">
        <w:rPr>
          <w:rFonts w:cstheme="minorHAnsi"/>
        </w:rPr>
        <w:t>appliquer en l</w:t>
      </w:r>
      <w:r w:rsidRPr="003E3F83" w:rsidR="003E3F83">
        <w:rPr>
          <w:rFonts w:cstheme="minorHAnsi"/>
        </w:rPr>
        <w:t>’</w:t>
      </w:r>
      <w:r w:rsidRPr="003E3F83">
        <w:rPr>
          <w:rFonts w:cstheme="minorHAnsi"/>
        </w:rPr>
        <w:t>espèce (</w:t>
      </w:r>
      <w:bookmarkStart w:name="_cl18026" w:id="9"/>
      <w:r w:rsidRPr="003E3F83">
        <w:rPr>
          <w:rFonts w:cstheme="minorHAnsi"/>
          <w:i/>
          <w:iCs/>
        </w:rPr>
        <w:t>Trévalec</w:t>
      </w:r>
      <w:r w:rsidRPr="003E3F83">
        <w:rPr>
          <w:rFonts w:cstheme="minorHAnsi"/>
          <w:i/>
          <w:iCs/>
        </w:rPr>
        <w:t xml:space="preserve"> c. Belgique</w:t>
      </w:r>
      <w:bookmarkEnd w:id="9"/>
      <w:r w:rsidRPr="003E3F83">
        <w:rPr>
          <w:rFonts w:cstheme="minorHAnsi"/>
        </w:rPr>
        <w:t>, n</w:t>
      </w:r>
      <w:r w:rsidRPr="003E3F83">
        <w:rPr>
          <w:rFonts w:cstheme="minorHAnsi"/>
          <w:vertAlign w:val="superscript"/>
        </w:rPr>
        <w:t>o</w:t>
      </w:r>
      <w:r w:rsidRPr="003E3F83">
        <w:rPr>
          <w:rFonts w:cstheme="minorHAnsi"/>
        </w:rPr>
        <w:t xml:space="preserve"> 30812/07, §§ 55-61, 14 juin 2011, et </w:t>
      </w:r>
      <w:bookmarkStart w:name="_cl19588" w:id="10"/>
      <w:r w:rsidRPr="003E3F83">
        <w:rPr>
          <w:rFonts w:cstheme="minorHAnsi"/>
          <w:i/>
          <w:iCs/>
        </w:rPr>
        <w:t>Yotova</w:t>
      </w:r>
      <w:r w:rsidRPr="003E3F83">
        <w:rPr>
          <w:rFonts w:cstheme="minorHAnsi"/>
          <w:i/>
          <w:iCs/>
        </w:rPr>
        <w:t xml:space="preserve"> c. Bulgarie</w:t>
      </w:r>
      <w:bookmarkEnd w:id="10"/>
      <w:r w:rsidRPr="003E3F83">
        <w:rPr>
          <w:rFonts w:cstheme="minorHAnsi"/>
        </w:rPr>
        <w:t>, n</w:t>
      </w:r>
      <w:r w:rsidRPr="003E3F83">
        <w:rPr>
          <w:rFonts w:cstheme="minorHAnsi"/>
          <w:vertAlign w:val="superscript"/>
        </w:rPr>
        <w:t>o</w:t>
      </w:r>
      <w:r w:rsidRPr="003E3F83">
        <w:rPr>
          <w:rFonts w:cstheme="minorHAnsi"/>
        </w:rPr>
        <w:t xml:space="preserve"> 43606/04, §§ 68-70, 23 octobre 2012</w:t>
      </w:r>
      <w:r w:rsidRPr="003E3F83">
        <w:t>).</w:t>
      </w:r>
    </w:p>
    <w:p w:rsidRPr="003E3F83" w:rsidR="005B4F8B" w:rsidP="003E3F83" w14:paraId="70894B45" w14:textId="0C453059">
      <w:pPr>
        <w:pStyle w:val="JuPara"/>
      </w:pPr>
      <w:r>
        <w:fldChar w:fldCharType="begin"/>
      </w:r>
      <w:r>
        <w:instrText xml:space="preserve"> SEQ level0 \*arabic \* MERGEFORMAT </w:instrText>
      </w:r>
      <w:r>
        <w:fldChar w:fldCharType="separate"/>
      </w:r>
      <w:r w:rsidRPr="003E3F83" w:rsidR="003E3F83">
        <w:rPr>
          <w:noProof/>
        </w:rPr>
        <w:t>74</w:t>
      </w:r>
      <w:r>
        <w:rPr>
          <w:noProof/>
        </w:rPr>
        <w:fldChar w:fldCharType="end"/>
      </w:r>
      <w:r w:rsidRPr="003E3F83">
        <w:t>.  L</w:t>
      </w:r>
      <w:r w:rsidRPr="003E3F83" w:rsidR="003E3F83">
        <w:t>’</w:t>
      </w:r>
      <w:r w:rsidRPr="003E3F83">
        <w:t>article 2 de la Convention est ainsi libellé en sa partie pertinente en l</w:t>
      </w:r>
      <w:r w:rsidRPr="003E3F83" w:rsidR="003E3F83">
        <w:t>’</w:t>
      </w:r>
      <w:r w:rsidRPr="003E3F83">
        <w:t>espèce :</w:t>
      </w:r>
    </w:p>
    <w:p w:rsidRPr="003E3F83" w:rsidR="005B4F8B" w:rsidP="003E3F83" w14:paraId="5E1985C8" w14:textId="77777777">
      <w:pPr>
        <w:pStyle w:val="JuQuot"/>
      </w:pPr>
      <w:r w:rsidRPr="003E3F83">
        <w:t>« Le droit de toute personne à la vie est protégé par la loi. »</w:t>
      </w:r>
    </w:p>
    <w:p w:rsidRPr="003E3F83" w:rsidR="005B4F8B" w:rsidP="003E3F83" w14:paraId="142E4345" w14:textId="77777777">
      <w:pPr>
        <w:pStyle w:val="JuHA"/>
      </w:pPr>
      <w:r w:rsidRPr="003E3F83">
        <w:t>Sur la recevabilité</w:t>
      </w:r>
    </w:p>
    <w:p w:rsidRPr="003E3F83" w:rsidR="005B4F8B" w:rsidP="003E3F83" w14:paraId="4DD759F9" w14:textId="4C9113D5">
      <w:pPr>
        <w:pStyle w:val="JuPara"/>
      </w:pPr>
      <w:r>
        <w:fldChar w:fldCharType="begin"/>
      </w:r>
      <w:r>
        <w:instrText xml:space="preserve"> SEQ level0 \*arabic \* MER</w:instrText>
      </w:r>
      <w:r>
        <w:instrText xml:space="preserve">GEFORMAT </w:instrText>
      </w:r>
      <w:r>
        <w:fldChar w:fldCharType="separate"/>
      </w:r>
      <w:r w:rsidRPr="003E3F83" w:rsidR="003E3F83">
        <w:rPr>
          <w:noProof/>
        </w:rPr>
        <w:t>75</w:t>
      </w:r>
      <w:r>
        <w:rPr>
          <w:noProof/>
        </w:rPr>
        <w:fldChar w:fldCharType="end"/>
      </w:r>
      <w:r w:rsidRPr="003E3F83">
        <w:t>.  Le Gouvernement estime que dès lors que le requérant a perçu une indemnité sur le fondement d</w:t>
      </w:r>
      <w:r w:rsidRPr="003E3F83" w:rsidR="003E3F83">
        <w:t>’</w:t>
      </w:r>
      <w:r w:rsidRPr="003E3F83">
        <w:t>une responsabilité objective à l</w:t>
      </w:r>
      <w:r w:rsidRPr="003E3F83" w:rsidR="003E3F83">
        <w:t>’</w:t>
      </w:r>
      <w:r w:rsidRPr="003E3F83">
        <w:t>issue de la procédure menée devant les juridictions administratives, il ne peut plus se prétendre victime des violations en question.</w:t>
      </w:r>
    </w:p>
    <w:p w:rsidRPr="003E3F83" w:rsidR="005B4F8B" w:rsidP="003E3F83" w14:paraId="59A3903B" w14:textId="62195251">
      <w:pPr>
        <w:pStyle w:val="JuPara"/>
      </w:pPr>
      <w:r>
        <w:fldChar w:fldCharType="begin"/>
      </w:r>
      <w:r>
        <w:instrText xml:space="preserve"> SEQ level0 \*arabic \* MERGEFORMAT </w:instrText>
      </w:r>
      <w:r>
        <w:fldChar w:fldCharType="separate"/>
      </w:r>
      <w:r w:rsidRPr="003E3F83" w:rsidR="003E3F83">
        <w:rPr>
          <w:noProof/>
        </w:rPr>
        <w:t>76</w:t>
      </w:r>
      <w:r>
        <w:rPr>
          <w:noProof/>
        </w:rPr>
        <w:fldChar w:fldCharType="end"/>
      </w:r>
      <w:r w:rsidRPr="003E3F83">
        <w:t>.  La Cour observe pour les deux volets de l</w:t>
      </w:r>
      <w:r w:rsidRPr="003E3F83" w:rsidR="003E3F83">
        <w:t>’</w:t>
      </w:r>
      <w:r w:rsidRPr="003E3F83">
        <w:t>article 2 de la Convention, matériel comme procédural, que l</w:t>
      </w:r>
      <w:r w:rsidRPr="003E3F83" w:rsidR="003E3F83">
        <w:t>’</w:t>
      </w:r>
      <w:r w:rsidRPr="003E3F83">
        <w:t>octroi de l</w:t>
      </w:r>
      <w:r w:rsidRPr="003E3F83" w:rsidR="003E3F83">
        <w:t>’</w:t>
      </w:r>
      <w:r w:rsidRPr="003E3F83">
        <w:t>indemnité n</w:t>
      </w:r>
      <w:r w:rsidRPr="003E3F83" w:rsidR="003E3F83">
        <w:t>’</w:t>
      </w:r>
      <w:r w:rsidRPr="003E3F83">
        <w:t>a impliqué aucune reconnaissance de faute des autorités et partant de violation de l</w:t>
      </w:r>
      <w:r w:rsidRPr="003E3F83" w:rsidR="003E3F83">
        <w:t>’</w:t>
      </w:r>
      <w:r w:rsidRPr="003E3F83">
        <w:t xml:space="preserve">article 2. </w:t>
      </w:r>
      <w:bookmarkStart w:name="_cl744" w:id="11"/>
      <w:r w:rsidRPr="003E3F83">
        <w:t>Dès lors, la Cour rejette l</w:t>
      </w:r>
      <w:r w:rsidRPr="003E3F83" w:rsidR="003E3F83">
        <w:t>’</w:t>
      </w:r>
      <w:r w:rsidRPr="003E3F83">
        <w:t>exception préliminaire soulevée par le Gouvernement à cet égard.</w:t>
      </w:r>
    </w:p>
    <w:p w:rsidRPr="003E3F83" w:rsidR="005B4F8B" w:rsidP="003E3F83" w14:paraId="72E0FB0D" w14:textId="3A29C675">
      <w:pPr>
        <w:pStyle w:val="JuPara"/>
      </w:pPr>
      <w:r>
        <w:fldChar w:fldCharType="begin"/>
      </w:r>
      <w:r>
        <w:instrText xml:space="preserve"> SEQ level0 \*arabic \* MERGEFORMAT </w:instrText>
      </w:r>
      <w:r>
        <w:fldChar w:fldCharType="separate"/>
      </w:r>
      <w:r w:rsidRPr="003E3F83" w:rsidR="003E3F83">
        <w:rPr>
          <w:noProof/>
        </w:rPr>
        <w:t>77</w:t>
      </w:r>
      <w:r>
        <w:rPr>
          <w:noProof/>
        </w:rPr>
        <w:fldChar w:fldCharType="end"/>
      </w:r>
      <w:r w:rsidRPr="003E3F83">
        <w:t>.  La Cour constate en outre que les griefs du requérant concernant l</w:t>
      </w:r>
      <w:r w:rsidRPr="003E3F83" w:rsidR="003E3F83">
        <w:t>’</w:t>
      </w:r>
      <w:r w:rsidRPr="003E3F83">
        <w:t>article 2 de la Convention ne sont pas manifestement mal fondés au sens de l</w:t>
      </w:r>
      <w:r w:rsidRPr="003E3F83" w:rsidR="003E3F83">
        <w:t>’</w:t>
      </w:r>
      <w:r w:rsidRPr="003E3F83">
        <w:t>article 35 § 3 de la Convention. Observant par ailleurs qu</w:t>
      </w:r>
      <w:r w:rsidRPr="003E3F83" w:rsidR="003E3F83">
        <w:t>’</w:t>
      </w:r>
      <w:r w:rsidRPr="003E3F83">
        <w:t>ils ne se heurtent à aucun autre motif d</w:t>
      </w:r>
      <w:r w:rsidRPr="003E3F83" w:rsidR="003E3F83">
        <w:t>’</w:t>
      </w:r>
      <w:r w:rsidRPr="003E3F83">
        <w:t>irrecevabilité, elle les déclare recevables.</w:t>
      </w:r>
    </w:p>
    <w:p w:rsidRPr="003E3F83" w:rsidR="005B4F8B" w:rsidP="003E3F83" w14:paraId="3C0C16D6" w14:textId="77777777">
      <w:pPr>
        <w:pStyle w:val="JuHA"/>
      </w:pPr>
      <w:r w:rsidRPr="003E3F83">
        <w:t>Sur le fond</w:t>
      </w:r>
    </w:p>
    <w:p w:rsidRPr="003E3F83" w:rsidR="005B4F8B" w:rsidP="003E3F83" w14:paraId="36D4E5FC" w14:textId="77777777">
      <w:pPr>
        <w:pStyle w:val="JuH1"/>
      </w:pPr>
      <w:r w:rsidRPr="003E3F83">
        <w:t>Les arguments du requérant</w:t>
      </w:r>
    </w:p>
    <w:p w:rsidRPr="003E3F83" w:rsidR="005B4F8B" w:rsidP="003E3F83" w14:paraId="2087D103" w14:textId="6B1AA65F">
      <w:pPr>
        <w:pStyle w:val="JuPara"/>
      </w:pPr>
      <w:r>
        <w:fldChar w:fldCharType="begin"/>
      </w:r>
      <w:r>
        <w:instrText xml:space="preserve"> SEQ level0 \*arabic \* MERGEFORMAT </w:instrText>
      </w:r>
      <w:r>
        <w:fldChar w:fldCharType="separate"/>
      </w:r>
      <w:r w:rsidRPr="003E3F83" w:rsidR="003E3F83">
        <w:rPr>
          <w:noProof/>
        </w:rPr>
        <w:t>78</w:t>
      </w:r>
      <w:r>
        <w:rPr>
          <w:noProof/>
        </w:rPr>
        <w:fldChar w:fldCharType="end"/>
      </w:r>
      <w:r w:rsidRPr="003E3F83">
        <w:t>.  Le requérant soutient que les circonstances de la cause ont emporté violation de l</w:t>
      </w:r>
      <w:r w:rsidRPr="003E3F83" w:rsidR="003E3F83">
        <w:t>’</w:t>
      </w:r>
      <w:r w:rsidRPr="003E3F83">
        <w:t xml:space="preserve">article 2 de la Convention. Il </w:t>
      </w:r>
      <w:r w:rsidRPr="003E3F83">
        <w:rPr>
          <w:rFonts w:cstheme="minorHAnsi"/>
        </w:rPr>
        <w:t>tient l</w:t>
      </w:r>
      <w:r w:rsidRPr="003E3F83" w:rsidR="003E3F83">
        <w:rPr>
          <w:rFonts w:cstheme="minorHAnsi"/>
        </w:rPr>
        <w:t>’</w:t>
      </w:r>
      <w:r w:rsidRPr="003E3F83">
        <w:rPr>
          <w:rFonts w:cstheme="minorHAnsi"/>
        </w:rPr>
        <w:t>État pour responsable de la survenance de l</w:t>
      </w:r>
      <w:r w:rsidRPr="003E3F83" w:rsidR="003E3F83">
        <w:rPr>
          <w:rFonts w:cstheme="minorHAnsi"/>
        </w:rPr>
        <w:t>’</w:t>
      </w:r>
      <w:r w:rsidRPr="003E3F83">
        <w:rPr>
          <w:rFonts w:cstheme="minorHAnsi"/>
        </w:rPr>
        <w:t>attentat du 10 octobre 2015, la manière dont celui-ci a été commis démontrant, selon lui, que les autorités</w:t>
      </w:r>
      <w:r w:rsidRPr="003E3F83">
        <w:rPr>
          <w:rFonts w:cstheme="minorHAnsi"/>
        </w:rPr>
        <w:t xml:space="preserve"> </w:t>
      </w:r>
      <w:r w:rsidRPr="003E3F83">
        <w:rPr>
          <w:rFonts w:cstheme="minorHAnsi"/>
        </w:rPr>
        <w:t>n</w:t>
      </w:r>
      <w:r w:rsidRPr="003E3F83" w:rsidR="003E3F83">
        <w:rPr>
          <w:rFonts w:cstheme="minorHAnsi"/>
        </w:rPr>
        <w:t>’</w:t>
      </w:r>
      <w:r w:rsidRPr="003E3F83">
        <w:rPr>
          <w:rFonts w:cstheme="minorHAnsi"/>
        </w:rPr>
        <w:t>avaient pas pris de mesures nécessaires et suffisantes.</w:t>
      </w:r>
    </w:p>
    <w:p w:rsidRPr="003E3F83" w:rsidR="005B4F8B" w:rsidP="003E3F83" w14:paraId="156A191D" w14:textId="32341358">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79</w:t>
      </w:r>
      <w:r w:rsidRPr="003E3F83">
        <w:rPr>
          <w:rFonts w:cstheme="minorHAnsi"/>
        </w:rPr>
        <w:fldChar w:fldCharType="end"/>
      </w:r>
      <w:r w:rsidRPr="003E3F83">
        <w:rPr>
          <w:rFonts w:cstheme="minorHAnsi"/>
        </w:rPr>
        <w:t>.  Il affirme qu</w:t>
      </w:r>
      <w:r w:rsidRPr="003E3F83" w:rsidR="003E3F83">
        <w:rPr>
          <w:rFonts w:cstheme="minorHAnsi"/>
        </w:rPr>
        <w:t>’</w:t>
      </w:r>
      <w:r w:rsidRPr="003E3F83">
        <w:rPr>
          <w:rFonts w:cstheme="minorHAnsi"/>
        </w:rPr>
        <w:t>alors que l</w:t>
      </w:r>
      <w:r w:rsidRPr="003E3F83" w:rsidR="003E3F83">
        <w:rPr>
          <w:rFonts w:cstheme="minorHAnsi"/>
        </w:rPr>
        <w:t>’</w:t>
      </w:r>
      <w:r w:rsidRPr="003E3F83">
        <w:rPr>
          <w:rFonts w:cstheme="minorHAnsi"/>
        </w:rPr>
        <w:t>organisation terroriste Daech avait véritablement commencé à s</w:t>
      </w:r>
      <w:r w:rsidRPr="003E3F83" w:rsidR="003E3F83">
        <w:rPr>
          <w:rFonts w:cstheme="minorHAnsi"/>
        </w:rPr>
        <w:t>’</w:t>
      </w:r>
      <w:r w:rsidRPr="003E3F83">
        <w:rPr>
          <w:rFonts w:cstheme="minorHAnsi"/>
        </w:rPr>
        <w:t>organiser en Türkiye à partir de 2014 et qu</w:t>
      </w:r>
      <w:r w:rsidRPr="003E3F83" w:rsidR="003E3F83">
        <w:rPr>
          <w:rFonts w:cstheme="minorHAnsi"/>
        </w:rPr>
        <w:t>’</w:t>
      </w:r>
      <w:r w:rsidRPr="003E3F83">
        <w:rPr>
          <w:rFonts w:cstheme="minorHAnsi"/>
        </w:rPr>
        <w:t>elle était connue des services de sécurité, aucune action n</w:t>
      </w:r>
      <w:r w:rsidRPr="003E3F83" w:rsidR="003E3F83">
        <w:rPr>
          <w:rFonts w:cstheme="minorHAnsi"/>
        </w:rPr>
        <w:t>’</w:t>
      </w:r>
      <w:r w:rsidRPr="003E3F83">
        <w:rPr>
          <w:rFonts w:cstheme="minorHAnsi"/>
        </w:rPr>
        <w:t>a été menée contre elle pour empêcher ses activités.</w:t>
      </w:r>
    </w:p>
    <w:p w:rsidRPr="003E3F83" w:rsidR="005B4F8B" w:rsidP="003E3F83" w14:paraId="225229C8" w14:textId="4D809326">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80</w:t>
      </w:r>
      <w:r w:rsidRPr="003E3F83">
        <w:rPr>
          <w:rFonts w:cstheme="minorHAnsi"/>
        </w:rPr>
        <w:fldChar w:fldCharType="end"/>
      </w:r>
      <w:r w:rsidRPr="003E3F83">
        <w:rPr>
          <w:rFonts w:cstheme="minorHAnsi"/>
        </w:rPr>
        <w:t>.  Il considère que les mesures mises en œuvre à la suite de l</w:t>
      </w:r>
      <w:r w:rsidRPr="003E3F83" w:rsidR="003E3F83">
        <w:rPr>
          <w:rFonts w:cstheme="minorHAnsi"/>
        </w:rPr>
        <w:t>’</w:t>
      </w:r>
      <w:r w:rsidRPr="003E3F83">
        <w:rPr>
          <w:rFonts w:cstheme="minorHAnsi"/>
        </w:rPr>
        <w:t>attentat n</w:t>
      </w:r>
      <w:r w:rsidRPr="003E3F83" w:rsidR="003E3F83">
        <w:rPr>
          <w:rFonts w:cstheme="minorHAnsi"/>
        </w:rPr>
        <w:t>’</w:t>
      </w:r>
      <w:r w:rsidRPr="003E3F83">
        <w:rPr>
          <w:rFonts w:cstheme="minorHAnsi"/>
        </w:rPr>
        <w:t>étaient pas davantage adéquates et suffisantes, et que l</w:t>
      </w:r>
      <w:r w:rsidRPr="003E3F83" w:rsidR="003E3F83">
        <w:rPr>
          <w:rFonts w:cstheme="minorHAnsi"/>
        </w:rPr>
        <w:t>’</w:t>
      </w:r>
      <w:r w:rsidRPr="003E3F83">
        <w:rPr>
          <w:rFonts w:cstheme="minorHAnsi"/>
        </w:rPr>
        <w:t>usage par la police du gaz lacrymogène pour disperser la foule après les deux explosions a, en particulier, retardé l</w:t>
      </w:r>
      <w:r w:rsidRPr="003E3F83" w:rsidR="003E3F83">
        <w:rPr>
          <w:rFonts w:cstheme="minorHAnsi"/>
        </w:rPr>
        <w:t>’</w:t>
      </w:r>
      <w:r w:rsidRPr="003E3F83">
        <w:rPr>
          <w:rFonts w:cstheme="minorHAnsi"/>
        </w:rPr>
        <w:t>aide médicale d</w:t>
      </w:r>
      <w:r w:rsidRPr="003E3F83" w:rsidR="003E3F83">
        <w:rPr>
          <w:rFonts w:cstheme="minorHAnsi"/>
        </w:rPr>
        <w:t>’</w:t>
      </w:r>
      <w:r w:rsidRPr="003E3F83">
        <w:rPr>
          <w:rFonts w:cstheme="minorHAnsi"/>
        </w:rPr>
        <w:t>urgence apportée aux victimes.</w:t>
      </w:r>
    </w:p>
    <w:p w:rsidRPr="003E3F83" w:rsidR="005B4F8B" w:rsidP="003E3F83" w14:paraId="451992A1" w14:textId="29B5B9F8">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81</w:t>
      </w:r>
      <w:r w:rsidRPr="003E3F83">
        <w:rPr>
          <w:rFonts w:cstheme="minorHAnsi"/>
        </w:rPr>
        <w:fldChar w:fldCharType="end"/>
      </w:r>
      <w:r w:rsidRPr="003E3F83">
        <w:rPr>
          <w:rFonts w:cstheme="minorHAnsi"/>
        </w:rPr>
        <w:t>.  Le requérant déplore enfin que l</w:t>
      </w:r>
      <w:r w:rsidRPr="003E3F83" w:rsidR="003E3F83">
        <w:rPr>
          <w:rFonts w:cstheme="minorHAnsi"/>
        </w:rPr>
        <w:t>’</w:t>
      </w:r>
      <w:r w:rsidRPr="003E3F83">
        <w:rPr>
          <w:rFonts w:cstheme="minorHAnsi"/>
        </w:rPr>
        <w:t>administration ait été condamnée sur le fondement du principe de la responsabilité sans faute découlant d</w:t>
      </w:r>
      <w:r w:rsidRPr="003E3F83" w:rsidR="003E3F83">
        <w:rPr>
          <w:rFonts w:cstheme="minorHAnsi"/>
        </w:rPr>
        <w:t>’</w:t>
      </w:r>
      <w:r w:rsidRPr="003E3F83">
        <w:rPr>
          <w:rFonts w:cstheme="minorHAnsi"/>
        </w:rPr>
        <w:t>un « risque</w:t>
      </w:r>
      <w:r w:rsidRPr="003E3F83" w:rsidR="009B2895">
        <w:rPr>
          <w:rFonts w:cstheme="minorHAnsi"/>
        </w:rPr>
        <w:t xml:space="preserve"> </w:t>
      </w:r>
      <w:r w:rsidRPr="003E3F83">
        <w:rPr>
          <w:rFonts w:cstheme="minorHAnsi"/>
        </w:rPr>
        <w:t>social » en lieu et place, selon lui, du principe de la responsabilité pour faute.</w:t>
      </w:r>
    </w:p>
    <w:p w:rsidRPr="003E3F83" w:rsidR="005B4F8B" w:rsidP="003E3F83" w14:paraId="011B1471" w14:textId="77777777">
      <w:pPr>
        <w:pStyle w:val="JuH1"/>
      </w:pPr>
      <w:r w:rsidRPr="003E3F83">
        <w:t>Les arguments du Gouvernement</w:t>
      </w:r>
    </w:p>
    <w:p w:rsidRPr="003E3F83" w:rsidR="005B4F8B" w:rsidP="003E3F83" w14:paraId="06EBE063" w14:textId="531FFC55">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82</w:t>
      </w:r>
      <w:r w:rsidRPr="003E3F83">
        <w:rPr>
          <w:rFonts w:cstheme="minorHAnsi"/>
        </w:rPr>
        <w:fldChar w:fldCharType="end"/>
      </w:r>
      <w:r w:rsidRPr="003E3F83">
        <w:rPr>
          <w:rFonts w:cstheme="minorHAnsi"/>
        </w:rPr>
        <w:t>.  Le Gouvernement réfute les allégations du requérant et fait valoir qu</w:t>
      </w:r>
      <w:r w:rsidRPr="003E3F83" w:rsidR="003E3F83">
        <w:rPr>
          <w:rFonts w:cstheme="minorHAnsi"/>
        </w:rPr>
        <w:t>’</w:t>
      </w:r>
      <w:r w:rsidRPr="003E3F83">
        <w:rPr>
          <w:rFonts w:cstheme="minorHAnsi"/>
        </w:rPr>
        <w:t>aucun rapport de renseignement concernant un risque d</w:t>
      </w:r>
      <w:r w:rsidRPr="003E3F83" w:rsidR="003E3F83">
        <w:rPr>
          <w:rFonts w:cstheme="minorHAnsi"/>
        </w:rPr>
        <w:t>’</w:t>
      </w:r>
      <w:r w:rsidRPr="003E3F83">
        <w:rPr>
          <w:rFonts w:cstheme="minorHAnsi"/>
        </w:rPr>
        <w:t>attentat n</w:t>
      </w:r>
      <w:r w:rsidRPr="003E3F83" w:rsidR="003E3F83">
        <w:rPr>
          <w:rFonts w:cstheme="minorHAnsi"/>
        </w:rPr>
        <w:t>’</w:t>
      </w:r>
      <w:r w:rsidRPr="003E3F83">
        <w:rPr>
          <w:rFonts w:cstheme="minorHAnsi"/>
        </w:rPr>
        <w:t>était parvenu aux autorités. Il argue, à cet égard, que cette question a donné lieu à un examen particulièrement approfondi de la part du Conseil d</w:t>
      </w:r>
      <w:r w:rsidRPr="003E3F83" w:rsidR="003E3F83">
        <w:rPr>
          <w:rFonts w:cstheme="minorHAnsi"/>
        </w:rPr>
        <w:t>’</w:t>
      </w:r>
      <w:r w:rsidRPr="003E3F83">
        <w:rPr>
          <w:rFonts w:cstheme="minorHAnsi"/>
        </w:rPr>
        <w:t>État dans son arrêt du 15 décembre 2020, et que la haute juridiction a conclu qu</w:t>
      </w:r>
      <w:r w:rsidRPr="003E3F83" w:rsidR="003E3F83">
        <w:rPr>
          <w:rFonts w:cstheme="minorHAnsi"/>
        </w:rPr>
        <w:t>’</w:t>
      </w:r>
      <w:r w:rsidRPr="003E3F83">
        <w:rPr>
          <w:rFonts w:cstheme="minorHAnsi"/>
        </w:rPr>
        <w:t>en l</w:t>
      </w:r>
      <w:r w:rsidRPr="003E3F83" w:rsidR="003E3F83">
        <w:rPr>
          <w:rFonts w:cstheme="minorHAnsi"/>
        </w:rPr>
        <w:t>’</w:t>
      </w:r>
      <w:r w:rsidRPr="003E3F83">
        <w:rPr>
          <w:rFonts w:cstheme="minorHAnsi"/>
        </w:rPr>
        <w:t>absence de renseignement concret et précis propre à indiquer une menace imminente d</w:t>
      </w:r>
      <w:r w:rsidRPr="003E3F83" w:rsidR="003E3F83">
        <w:rPr>
          <w:rFonts w:cstheme="minorHAnsi"/>
        </w:rPr>
        <w:t>’</w:t>
      </w:r>
      <w:r w:rsidRPr="003E3F83">
        <w:rPr>
          <w:rFonts w:cstheme="minorHAnsi"/>
        </w:rPr>
        <w:t>attentat, les mesures adoptées en amont par les autorités pour sécuriser la manifestation étaient adéquates et suffisantes et que l</w:t>
      </w:r>
      <w:r w:rsidRPr="003E3F83" w:rsidR="003E3F83">
        <w:rPr>
          <w:rFonts w:cstheme="minorHAnsi"/>
        </w:rPr>
        <w:t>’</w:t>
      </w:r>
      <w:r w:rsidRPr="003E3F83">
        <w:rPr>
          <w:rFonts w:cstheme="minorHAnsi"/>
        </w:rPr>
        <w:t>administration n</w:t>
      </w:r>
      <w:r w:rsidRPr="003E3F83" w:rsidR="003E3F83">
        <w:rPr>
          <w:rFonts w:cstheme="minorHAnsi"/>
        </w:rPr>
        <w:t>’</w:t>
      </w:r>
      <w:r w:rsidRPr="003E3F83">
        <w:rPr>
          <w:rFonts w:cstheme="minorHAnsi"/>
        </w:rPr>
        <w:t>avait pas commis de faute de service.</w:t>
      </w:r>
    </w:p>
    <w:p w:rsidRPr="003E3F83" w:rsidR="005B4F8B" w:rsidP="003E3F83" w14:paraId="220BE553" w14:textId="5DB287EF">
      <w:pPr>
        <w:pStyle w:val="JuPara"/>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83</w:t>
      </w:r>
      <w:r w:rsidRPr="003E3F83">
        <w:rPr>
          <w:rFonts w:cstheme="minorHAnsi"/>
        </w:rPr>
        <w:fldChar w:fldCharType="end"/>
      </w:r>
      <w:r w:rsidRPr="003E3F83">
        <w:rPr>
          <w:rFonts w:cstheme="minorHAnsi"/>
        </w:rPr>
        <w:t>.  </w:t>
      </w:r>
      <w:r w:rsidRPr="003E3F83">
        <w:t>Le Gouvernement précise également que les avertissements généraux qui avaient été émis après l</w:t>
      </w:r>
      <w:r w:rsidRPr="003E3F83" w:rsidR="003E3F83">
        <w:t>’</w:t>
      </w:r>
      <w:r w:rsidRPr="003E3F83">
        <w:t xml:space="preserve">attentat de </w:t>
      </w:r>
      <w:r w:rsidRPr="003E3F83">
        <w:t>Suruç</w:t>
      </w:r>
      <w:r w:rsidRPr="003E3F83">
        <w:t xml:space="preserve"> du 20 juillet 2015 ne pouvaient être considérés comme des informations de renseignement suffisamment claires et précises permettant aux autorités d</w:t>
      </w:r>
      <w:r w:rsidRPr="003E3F83" w:rsidR="003E3F83">
        <w:t>’</w:t>
      </w:r>
      <w:r w:rsidRPr="003E3F83">
        <w:t>établir l</w:t>
      </w:r>
      <w:r w:rsidRPr="003E3F83" w:rsidR="003E3F83">
        <w:t>’</w:t>
      </w:r>
      <w:r w:rsidRPr="003E3F83">
        <w:t>existence d</w:t>
      </w:r>
      <w:r w:rsidRPr="003E3F83" w:rsidR="003E3F83">
        <w:t>’</w:t>
      </w:r>
      <w:r w:rsidRPr="003E3F83">
        <w:t>une menace imminente d</w:t>
      </w:r>
      <w:r w:rsidRPr="003E3F83" w:rsidR="003E3F83">
        <w:t>’</w:t>
      </w:r>
      <w:r w:rsidRPr="003E3F83">
        <w:t>attentat terroriste lors de la manifestation du 10 octobre 2015.</w:t>
      </w:r>
    </w:p>
    <w:p w:rsidRPr="003E3F83" w:rsidR="005B4F8B" w:rsidP="003E3F83" w14:paraId="3D695856" w14:textId="45858052">
      <w:pPr>
        <w:pStyle w:val="JuPara"/>
        <w:rPr>
          <w:rFonts w:cstheme="minorHAnsi"/>
        </w:rPr>
      </w:pPr>
      <w:r>
        <w:fldChar w:fldCharType="begin"/>
      </w:r>
      <w:r>
        <w:instrText xml:space="preserve"> SEQ level0 \*arabic \* MERGEFORMAT </w:instrText>
      </w:r>
      <w:r>
        <w:fldChar w:fldCharType="separate"/>
      </w:r>
      <w:r w:rsidRPr="003E3F83" w:rsidR="003E3F83">
        <w:rPr>
          <w:noProof/>
        </w:rPr>
        <w:t>84</w:t>
      </w:r>
      <w:r>
        <w:rPr>
          <w:noProof/>
        </w:rPr>
        <w:fldChar w:fldCharType="end"/>
      </w:r>
      <w:r w:rsidRPr="003E3F83">
        <w:t>.  </w:t>
      </w:r>
      <w:r w:rsidRPr="003E3F83">
        <w:rPr>
          <w:rFonts w:cstheme="minorHAnsi"/>
        </w:rPr>
        <w:t>Il ajoute que pour juger que l</w:t>
      </w:r>
      <w:r w:rsidRPr="003E3F83" w:rsidR="003E3F83">
        <w:rPr>
          <w:rFonts w:cstheme="minorHAnsi"/>
        </w:rPr>
        <w:t>’</w:t>
      </w:r>
      <w:r w:rsidRPr="003E3F83">
        <w:rPr>
          <w:rFonts w:cstheme="minorHAnsi"/>
        </w:rPr>
        <w:t>administration n</w:t>
      </w:r>
      <w:r w:rsidRPr="003E3F83" w:rsidR="003E3F83">
        <w:rPr>
          <w:rFonts w:cstheme="minorHAnsi"/>
        </w:rPr>
        <w:t>’</w:t>
      </w:r>
      <w:r w:rsidRPr="003E3F83">
        <w:rPr>
          <w:rFonts w:cstheme="minorHAnsi"/>
        </w:rPr>
        <w:t>avait pas commis de faute dans l</w:t>
      </w:r>
      <w:r w:rsidRPr="003E3F83" w:rsidR="003E3F83">
        <w:rPr>
          <w:rFonts w:cstheme="minorHAnsi"/>
        </w:rPr>
        <w:t>’</w:t>
      </w:r>
      <w:r w:rsidRPr="003E3F83">
        <w:rPr>
          <w:rFonts w:cstheme="minorHAnsi"/>
        </w:rPr>
        <w:t>exercice de sa mission, le Conseil d</w:t>
      </w:r>
      <w:r w:rsidRPr="003E3F83" w:rsidR="003E3F83">
        <w:rPr>
          <w:rFonts w:cstheme="minorHAnsi"/>
        </w:rPr>
        <w:t>’</w:t>
      </w:r>
      <w:r w:rsidRPr="003E3F83">
        <w:rPr>
          <w:rFonts w:cstheme="minorHAnsi"/>
        </w:rPr>
        <w:t xml:space="preserve">État a analysé non seulement </w:t>
      </w:r>
      <w:r w:rsidRPr="003E3F83">
        <w:rPr>
          <w:rFonts w:cstheme="minorHAnsi"/>
        </w:rPr>
        <w:t>les mesures de prévention, de sécurité et de protection qui avaient été prises avant l</w:t>
      </w:r>
      <w:r w:rsidRPr="003E3F83" w:rsidR="003E3F83">
        <w:rPr>
          <w:rFonts w:cstheme="minorHAnsi"/>
        </w:rPr>
        <w:t>’</w:t>
      </w:r>
      <w:r w:rsidRPr="003E3F83">
        <w:rPr>
          <w:rFonts w:cstheme="minorHAnsi"/>
        </w:rPr>
        <w:t>attentat, mais aussi la gestion de la crise et l</w:t>
      </w:r>
      <w:r w:rsidRPr="003E3F83" w:rsidR="003E3F83">
        <w:rPr>
          <w:rFonts w:cstheme="minorHAnsi"/>
        </w:rPr>
        <w:t>’</w:t>
      </w:r>
      <w:r w:rsidRPr="003E3F83">
        <w:rPr>
          <w:rFonts w:cstheme="minorHAnsi"/>
        </w:rPr>
        <w:t>aide médicale d</w:t>
      </w:r>
      <w:r w:rsidRPr="003E3F83" w:rsidR="003E3F83">
        <w:rPr>
          <w:rFonts w:cstheme="minorHAnsi"/>
        </w:rPr>
        <w:t>’</w:t>
      </w:r>
      <w:r w:rsidRPr="003E3F83">
        <w:rPr>
          <w:rFonts w:cstheme="minorHAnsi"/>
        </w:rPr>
        <w:t>urgence apportée aux victimes après l</w:t>
      </w:r>
      <w:r w:rsidRPr="003E3F83" w:rsidR="003E3F83">
        <w:rPr>
          <w:rFonts w:cstheme="minorHAnsi"/>
        </w:rPr>
        <w:t>’</w:t>
      </w:r>
      <w:r w:rsidRPr="003E3F83">
        <w:rPr>
          <w:rFonts w:cstheme="minorHAnsi"/>
        </w:rPr>
        <w:t>attentat.</w:t>
      </w:r>
    </w:p>
    <w:p w:rsidRPr="003E3F83" w:rsidR="005B4F8B" w:rsidP="003E3F83" w14:paraId="0D6EBFC3" w14:textId="54D7EC4F">
      <w:pPr>
        <w:pStyle w:val="JuPara"/>
      </w:pPr>
      <w:r>
        <w:fldChar w:fldCharType="begin"/>
      </w:r>
      <w:r>
        <w:instrText xml:space="preserve"> SEQ level</w:instrText>
      </w:r>
      <w:r>
        <w:instrText xml:space="preserve">0 \*arabic \* MERGEFORMAT </w:instrText>
      </w:r>
      <w:r>
        <w:fldChar w:fldCharType="separate"/>
      </w:r>
      <w:bookmarkStart w:name="paragraph00085" w:id="12"/>
      <w:r w:rsidRPr="003E3F83" w:rsidR="003E3F83">
        <w:rPr>
          <w:noProof/>
        </w:rPr>
        <w:t>85</w:t>
      </w:r>
      <w:bookmarkEnd w:id="12"/>
      <w:r>
        <w:rPr>
          <w:noProof/>
        </w:rPr>
        <w:fldChar w:fldCharType="end"/>
      </w:r>
      <w:r w:rsidRPr="003E3F83">
        <w:t>.  De l</w:t>
      </w:r>
      <w:r w:rsidRPr="003E3F83" w:rsidR="003E3F83">
        <w:t>’</w:t>
      </w:r>
      <w:r w:rsidRPr="003E3F83">
        <w:t>avis du Gouvernement, il est pratiquement impossible pour les forces de l</w:t>
      </w:r>
      <w:r w:rsidRPr="003E3F83" w:rsidR="003E3F83">
        <w:t>’</w:t>
      </w:r>
      <w:r w:rsidRPr="003E3F83">
        <w:t>ordre de prévenir un attentat suicide car son auteur est déterminé à mourir et à tuer un nombre maximal de personnes. Il souligne, à cet égard, que l</w:t>
      </w:r>
      <w:r w:rsidRPr="003E3F83" w:rsidR="003E3F83">
        <w:t>’</w:t>
      </w:r>
      <w:r w:rsidRPr="003E3F83">
        <w:t>obligation positive de l</w:t>
      </w:r>
      <w:r w:rsidRPr="003E3F83" w:rsidR="003E3F83">
        <w:t>’</w:t>
      </w:r>
      <w:r w:rsidRPr="003E3F83">
        <w:t>État ne saurait être interprétée de manière à lui imposer un fardeau insupportable ou excessif.</w:t>
      </w:r>
    </w:p>
    <w:p w:rsidRPr="003E3F83" w:rsidR="005B4F8B" w:rsidP="003E3F83" w14:paraId="6CBF55D5" w14:textId="3A2B62B7">
      <w:pPr>
        <w:pStyle w:val="JuH1"/>
      </w:pPr>
      <w:r w:rsidRPr="003E3F83">
        <w:t>L</w:t>
      </w:r>
      <w:r w:rsidRPr="003E3F83" w:rsidR="003E3F83">
        <w:t>’</w:t>
      </w:r>
      <w:r w:rsidRPr="003E3F83">
        <w:t>appréciation de la Cour</w:t>
      </w:r>
    </w:p>
    <w:p w:rsidRPr="003E3F83" w:rsidR="005B4F8B" w:rsidP="003E3F83" w14:paraId="034CBCDA" w14:textId="4EFD7C9D">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86</w:t>
      </w:r>
      <w:r w:rsidRPr="003E3F83">
        <w:rPr>
          <w:rFonts w:cstheme="minorHAnsi"/>
        </w:rPr>
        <w:fldChar w:fldCharType="end"/>
      </w:r>
      <w:r w:rsidRPr="003E3F83">
        <w:rPr>
          <w:rFonts w:cstheme="minorHAnsi"/>
        </w:rPr>
        <w:t>.  La Cour observe que la présente requête concerne essentiellement le respect de l</w:t>
      </w:r>
      <w:r w:rsidRPr="003E3F83" w:rsidR="003E3F83">
        <w:rPr>
          <w:rFonts w:cstheme="minorHAnsi"/>
        </w:rPr>
        <w:t>’</w:t>
      </w:r>
      <w:r w:rsidRPr="003E3F83">
        <w:rPr>
          <w:rFonts w:cstheme="minorHAnsi"/>
        </w:rPr>
        <w:t>obligation positive de l</w:t>
      </w:r>
      <w:r w:rsidRPr="003E3F83" w:rsidR="003E3F83">
        <w:rPr>
          <w:rFonts w:cstheme="minorHAnsi"/>
        </w:rPr>
        <w:t>’</w:t>
      </w:r>
      <w:r w:rsidRPr="003E3F83">
        <w:rPr>
          <w:rFonts w:cstheme="minorHAnsi"/>
        </w:rPr>
        <w:t>État de protéger le droit à la vie du requérant, tant sous son volet matériel que sous son volet procédural.</w:t>
      </w:r>
    </w:p>
    <w:p w:rsidRPr="003E3F83" w:rsidR="005B4F8B" w:rsidP="003E3F83" w14:paraId="31F59D09" w14:textId="093DB5D0">
      <w:pPr>
        <w:pStyle w:val="JuHa0"/>
      </w:pPr>
      <w:r w:rsidRPr="003E3F83">
        <w:t>Sur le volet matériel de l</w:t>
      </w:r>
      <w:r w:rsidRPr="003E3F83" w:rsidR="003E3F83">
        <w:t>’</w:t>
      </w:r>
      <w:r w:rsidRPr="003E3F83">
        <w:t>article 2 de la Convention</w:t>
      </w:r>
    </w:p>
    <w:p w:rsidRPr="003E3F83" w:rsidR="005B4F8B" w:rsidP="003E3F83" w14:paraId="369631B2" w14:textId="4BB54439">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87</w:t>
      </w:r>
      <w:r w:rsidRPr="003E3F83">
        <w:rPr>
          <w:rFonts w:cstheme="minorHAnsi"/>
        </w:rPr>
        <w:fldChar w:fldCharType="end"/>
      </w:r>
      <w:r w:rsidRPr="003E3F83">
        <w:rPr>
          <w:rFonts w:cstheme="minorHAnsi"/>
        </w:rPr>
        <w:t>.  La Cour réaffirme que l</w:t>
      </w:r>
      <w:r w:rsidRPr="003E3F83" w:rsidR="003E3F83">
        <w:rPr>
          <w:rFonts w:cstheme="minorHAnsi"/>
        </w:rPr>
        <w:t>’</w:t>
      </w:r>
      <w:r w:rsidRPr="003E3F83">
        <w:rPr>
          <w:rFonts w:cstheme="minorHAnsi"/>
        </w:rPr>
        <w:t>article 2 de la Convention se place parmi les articles primordiaux de la Convention et que, combiné avec l</w:t>
      </w:r>
      <w:r w:rsidRPr="003E3F83" w:rsidR="003E3F83">
        <w:rPr>
          <w:rFonts w:cstheme="minorHAnsi"/>
        </w:rPr>
        <w:t>’</w:t>
      </w:r>
      <w:r w:rsidRPr="003E3F83">
        <w:rPr>
          <w:rFonts w:cstheme="minorHAnsi"/>
        </w:rPr>
        <w:t>article</w:t>
      </w:r>
      <w:r w:rsidRPr="003E3F83" w:rsidR="00403E01">
        <w:rPr>
          <w:rFonts w:cstheme="minorHAnsi"/>
        </w:rPr>
        <w:t xml:space="preserve"> </w:t>
      </w:r>
      <w:r w:rsidRPr="003E3F83">
        <w:rPr>
          <w:rFonts w:cstheme="minorHAnsi"/>
        </w:rPr>
        <w:t>3, il consacre l</w:t>
      </w:r>
      <w:r w:rsidRPr="003E3F83" w:rsidR="003E3F83">
        <w:rPr>
          <w:rFonts w:cstheme="minorHAnsi"/>
        </w:rPr>
        <w:t>’</w:t>
      </w:r>
      <w:r w:rsidRPr="003E3F83">
        <w:rPr>
          <w:rFonts w:cstheme="minorHAnsi"/>
        </w:rPr>
        <w:t>une des valeurs fondamentales des sociétés démocratiques qui forment le Conseil de l</w:t>
      </w:r>
      <w:r w:rsidRPr="003E3F83" w:rsidR="003E3F83">
        <w:rPr>
          <w:rFonts w:cstheme="minorHAnsi"/>
        </w:rPr>
        <w:t>’</w:t>
      </w:r>
      <w:r w:rsidRPr="003E3F83">
        <w:rPr>
          <w:rFonts w:cstheme="minorHAnsi"/>
        </w:rPr>
        <w:t>Europe (</w:t>
      </w:r>
      <w:bookmarkStart w:name="_cl2902" w:id="13"/>
      <w:r w:rsidRPr="003E3F83">
        <w:rPr>
          <w:rFonts w:cstheme="minorHAnsi"/>
          <w:i/>
          <w:iCs/>
        </w:rPr>
        <w:t>Çakıcı</w:t>
      </w:r>
      <w:r w:rsidRPr="003E3F83">
        <w:rPr>
          <w:rFonts w:cstheme="minorHAnsi"/>
          <w:i/>
          <w:iCs/>
        </w:rPr>
        <w:t xml:space="preserve"> c. Turquie</w:t>
      </w:r>
      <w:bookmarkEnd w:id="13"/>
      <w:r w:rsidRPr="003E3F83">
        <w:rPr>
          <w:rFonts w:cstheme="minorHAnsi"/>
        </w:rPr>
        <w:t xml:space="preserve"> [GC], n</w:t>
      </w:r>
      <w:r w:rsidRPr="003E3F83">
        <w:rPr>
          <w:rFonts w:cstheme="minorHAnsi"/>
          <w:vertAlign w:val="superscript"/>
        </w:rPr>
        <w:t>o</w:t>
      </w:r>
      <w:r w:rsidRPr="003E3F83">
        <w:rPr>
          <w:rFonts w:cstheme="minorHAnsi"/>
        </w:rPr>
        <w:t> 23657/94, § 86, CEDH</w:t>
      </w:r>
      <w:r w:rsidRPr="003E3F83" w:rsidR="00403E01">
        <w:rPr>
          <w:rFonts w:cstheme="minorHAnsi"/>
        </w:rPr>
        <w:t> </w:t>
      </w:r>
      <w:r w:rsidRPr="003E3F83">
        <w:rPr>
          <w:rFonts w:cstheme="minorHAnsi"/>
        </w:rPr>
        <w:t>1999-IV).</w:t>
      </w:r>
    </w:p>
    <w:p w:rsidRPr="003E3F83" w:rsidR="005B4F8B" w:rsidP="003E3F83" w14:paraId="3AFD58D3" w14:textId="175CA0CB">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88</w:t>
      </w:r>
      <w:r w:rsidRPr="003E3F83">
        <w:rPr>
          <w:rFonts w:cstheme="minorHAnsi"/>
        </w:rPr>
        <w:fldChar w:fldCharType="end"/>
      </w:r>
      <w:r w:rsidRPr="003E3F83">
        <w:rPr>
          <w:rFonts w:cstheme="minorHAnsi"/>
        </w:rPr>
        <w:t>.  La première phrase de l</w:t>
      </w:r>
      <w:r w:rsidRPr="003E3F83" w:rsidR="003E3F83">
        <w:rPr>
          <w:rFonts w:cstheme="minorHAnsi"/>
        </w:rPr>
        <w:t>’</w:t>
      </w:r>
      <w:r w:rsidRPr="003E3F83">
        <w:rPr>
          <w:rFonts w:cstheme="minorHAnsi"/>
        </w:rPr>
        <w:t>article 2 § 1 astreint l</w:t>
      </w:r>
      <w:r w:rsidRPr="003E3F83" w:rsidR="003E3F83">
        <w:rPr>
          <w:rFonts w:cstheme="minorHAnsi"/>
        </w:rPr>
        <w:t>’</w:t>
      </w:r>
      <w:r w:rsidRPr="003E3F83">
        <w:rPr>
          <w:rFonts w:cstheme="minorHAnsi"/>
        </w:rPr>
        <w:t>État non seulement à s</w:t>
      </w:r>
      <w:r w:rsidRPr="003E3F83" w:rsidR="003E3F83">
        <w:rPr>
          <w:rFonts w:cstheme="minorHAnsi"/>
        </w:rPr>
        <w:t>’</w:t>
      </w:r>
      <w:r w:rsidRPr="003E3F83">
        <w:rPr>
          <w:rFonts w:cstheme="minorHAnsi"/>
        </w:rPr>
        <w:t>abstenir de provoquer la mort de manière volontaire et irrégulière, mais aussi à prendre les mesures nécessaires à la protection de la vie des personnes relevant de sa juridiction (</w:t>
      </w:r>
      <w:bookmarkStart w:name="_cl10086" w:id="14"/>
      <w:bookmarkStart w:name="_cl13337" w:id="15"/>
      <w:r w:rsidRPr="003E3F83">
        <w:rPr>
          <w:rFonts w:cstheme="minorHAnsi"/>
          <w:i/>
          <w:iCs/>
        </w:rPr>
        <w:t>L.C.B. c. Royaume-Uni</w:t>
      </w:r>
      <w:bookmarkEnd w:id="14"/>
      <w:r w:rsidRPr="003E3F83">
        <w:rPr>
          <w:rFonts w:cstheme="minorHAnsi"/>
        </w:rPr>
        <w:t xml:space="preserve">, 9 juin 1998, § 36, </w:t>
      </w:r>
      <w:r w:rsidRPr="003E3F83">
        <w:rPr>
          <w:rFonts w:cstheme="minorHAnsi"/>
          <w:i/>
          <w:iCs/>
        </w:rPr>
        <w:t>Recueil des arrêts et décisions</w:t>
      </w:r>
      <w:r w:rsidRPr="003E3F83">
        <w:rPr>
          <w:rFonts w:cstheme="minorHAnsi"/>
        </w:rPr>
        <w:t xml:space="preserve"> 1998-III, </w:t>
      </w:r>
      <w:r w:rsidRPr="003E3F83">
        <w:rPr>
          <w:rFonts w:cstheme="minorHAnsi"/>
          <w:i/>
          <w:iCs/>
        </w:rPr>
        <w:t>Osman c. Royaume-Uni</w:t>
      </w:r>
      <w:bookmarkEnd w:id="15"/>
      <w:r w:rsidRPr="003E3F83">
        <w:rPr>
          <w:rFonts w:cstheme="minorHAnsi"/>
        </w:rPr>
        <w:t xml:space="preserve">, 28 octobre 1998, § 115, </w:t>
      </w:r>
      <w:r w:rsidRPr="003E3F83">
        <w:rPr>
          <w:rFonts w:cstheme="minorHAnsi"/>
          <w:i/>
          <w:iCs/>
        </w:rPr>
        <w:t xml:space="preserve">Recueil </w:t>
      </w:r>
      <w:r w:rsidRPr="003E3F83">
        <w:rPr>
          <w:rFonts w:cstheme="minorHAnsi"/>
        </w:rPr>
        <w:t xml:space="preserve">1998-VIII, et, plus </w:t>
      </w:r>
      <w:r w:rsidRPr="003E3F83" w:rsidR="007C1302">
        <w:rPr>
          <w:rFonts w:cstheme="minorHAnsi"/>
        </w:rPr>
        <w:t>récemment</w:t>
      </w:r>
      <w:r w:rsidRPr="003E3F83">
        <w:rPr>
          <w:rFonts w:cstheme="minorHAnsi"/>
        </w:rPr>
        <w:t xml:space="preserve">, </w:t>
      </w:r>
      <w:bookmarkStart w:name="_cl12820" w:id="16"/>
      <w:r w:rsidRPr="003E3F83">
        <w:rPr>
          <w:rFonts w:cstheme="minorHAnsi"/>
          <w:i/>
          <w:iCs/>
        </w:rPr>
        <w:t xml:space="preserve">Nicolae </w:t>
      </w:r>
      <w:r w:rsidRPr="003E3F83">
        <w:rPr>
          <w:rFonts w:cstheme="minorHAnsi"/>
          <w:i/>
          <w:iCs/>
        </w:rPr>
        <w:t>Virgiliu</w:t>
      </w:r>
      <w:r w:rsidRPr="003E3F83">
        <w:rPr>
          <w:rFonts w:cstheme="minorHAnsi"/>
          <w:i/>
          <w:iCs/>
        </w:rPr>
        <w:t xml:space="preserve"> </w:t>
      </w:r>
      <w:r w:rsidRPr="003E3F83">
        <w:rPr>
          <w:rFonts w:cstheme="minorHAnsi"/>
          <w:i/>
          <w:iCs/>
        </w:rPr>
        <w:t>Tănase</w:t>
      </w:r>
      <w:r w:rsidRPr="003E3F83">
        <w:rPr>
          <w:rFonts w:cstheme="minorHAnsi"/>
          <w:i/>
          <w:iCs/>
        </w:rPr>
        <w:t xml:space="preserve"> c.</w:t>
      </w:r>
      <w:r w:rsidRPr="003E3F83" w:rsidR="00A86E5B">
        <w:rPr>
          <w:rFonts w:cstheme="minorHAnsi"/>
          <w:i/>
          <w:iCs/>
        </w:rPr>
        <w:t> </w:t>
      </w:r>
      <w:r w:rsidRPr="003E3F83">
        <w:rPr>
          <w:rFonts w:cstheme="minorHAnsi"/>
          <w:i/>
          <w:iCs/>
        </w:rPr>
        <w:t>Roumanie</w:t>
      </w:r>
      <w:bookmarkEnd w:id="16"/>
      <w:r w:rsidRPr="003E3F83">
        <w:rPr>
          <w:rFonts w:cstheme="minorHAnsi"/>
        </w:rPr>
        <w:t xml:space="preserve"> [GC], n</w:t>
      </w:r>
      <w:r w:rsidRPr="003E3F83">
        <w:rPr>
          <w:rFonts w:cstheme="minorHAnsi"/>
          <w:vertAlign w:val="superscript"/>
        </w:rPr>
        <w:t>o</w:t>
      </w:r>
      <w:r w:rsidRPr="003E3F83">
        <w:rPr>
          <w:rFonts w:cstheme="minorHAnsi"/>
        </w:rPr>
        <w:t xml:space="preserve"> 41720/13, § 134, 25 juin 2019).</w:t>
      </w:r>
    </w:p>
    <w:p w:rsidRPr="003E3F83" w:rsidR="005B4F8B" w:rsidP="003E3F83" w14:paraId="2445645B" w14:textId="2824E453">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89</w:t>
      </w:r>
      <w:r w:rsidRPr="003E3F83">
        <w:rPr>
          <w:rFonts w:cstheme="minorHAnsi"/>
        </w:rPr>
        <w:fldChar w:fldCharType="end"/>
      </w:r>
      <w:r w:rsidRPr="003E3F83">
        <w:rPr>
          <w:rFonts w:cstheme="minorHAnsi"/>
        </w:rPr>
        <w:t>.  Cette obligation positive implique pour l</w:t>
      </w:r>
      <w:r w:rsidRPr="003E3F83" w:rsidR="003E3F83">
        <w:rPr>
          <w:rFonts w:cstheme="minorHAnsi"/>
        </w:rPr>
        <w:t>’</w:t>
      </w:r>
      <w:r w:rsidRPr="003E3F83">
        <w:rPr>
          <w:rFonts w:cstheme="minorHAnsi"/>
        </w:rPr>
        <w:t>État un devoir primordial d</w:t>
      </w:r>
      <w:r w:rsidRPr="003E3F83" w:rsidR="003E3F83">
        <w:rPr>
          <w:rFonts w:cstheme="minorHAnsi"/>
        </w:rPr>
        <w:t>’</w:t>
      </w:r>
      <w:r w:rsidRPr="003E3F83">
        <w:rPr>
          <w:rFonts w:cstheme="minorHAnsi"/>
        </w:rPr>
        <w:t>assurer le droit à la vie en mettant en place un cadre législatif et administratif dissuadant de mettre en péril ledit droit. Elle vaut dans le contexte de toute activité, publique ou non, susceptible de mettre en jeu le droit à la vie (</w:t>
      </w:r>
      <w:r w:rsidRPr="003E3F83">
        <w:rPr>
          <w:rFonts w:cstheme="minorHAnsi"/>
          <w:i/>
          <w:iCs/>
        </w:rPr>
        <w:t xml:space="preserve">Nicolae </w:t>
      </w:r>
      <w:r w:rsidRPr="003E3F83">
        <w:rPr>
          <w:rFonts w:cstheme="minorHAnsi"/>
          <w:i/>
          <w:iCs/>
        </w:rPr>
        <w:t>Virgiliu</w:t>
      </w:r>
      <w:r w:rsidRPr="003E3F83">
        <w:rPr>
          <w:rFonts w:cstheme="minorHAnsi"/>
          <w:i/>
          <w:iCs/>
        </w:rPr>
        <w:t xml:space="preserve"> </w:t>
      </w:r>
      <w:r w:rsidRPr="003E3F83">
        <w:rPr>
          <w:rFonts w:cstheme="minorHAnsi"/>
          <w:i/>
          <w:iCs/>
        </w:rPr>
        <w:t>Tănase</w:t>
      </w:r>
      <w:r w:rsidRPr="003E3F83">
        <w:rPr>
          <w:rFonts w:cstheme="minorHAnsi"/>
        </w:rPr>
        <w:t>, précité, § 135, et les références qui y sont citées).</w:t>
      </w:r>
    </w:p>
    <w:p w:rsidRPr="003E3F83" w:rsidR="005B4F8B" w:rsidP="003E3F83" w14:paraId="1527B866" w14:textId="3A301B76">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90</w:t>
      </w:r>
      <w:r w:rsidRPr="003E3F83">
        <w:rPr>
          <w:rFonts w:cstheme="minorHAnsi"/>
        </w:rPr>
        <w:fldChar w:fldCharType="end"/>
      </w:r>
      <w:r w:rsidRPr="003E3F83">
        <w:rPr>
          <w:rFonts w:cstheme="minorHAnsi"/>
        </w:rPr>
        <w:t>.  L</w:t>
      </w:r>
      <w:r w:rsidRPr="003E3F83" w:rsidR="003E3F83">
        <w:rPr>
          <w:rFonts w:cstheme="minorHAnsi"/>
        </w:rPr>
        <w:t>’</w:t>
      </w:r>
      <w:r w:rsidRPr="003E3F83">
        <w:rPr>
          <w:rFonts w:cstheme="minorHAnsi"/>
        </w:rPr>
        <w:t>article 2 de la Convention requiert, en outre, de prendre des mesures opérationnelles préventives pour protéger la vie des personnes contre des menaces mortelles émanant d</w:t>
      </w:r>
      <w:r w:rsidRPr="003E3F83" w:rsidR="003E3F83">
        <w:rPr>
          <w:rFonts w:cstheme="minorHAnsi"/>
        </w:rPr>
        <w:t>’</w:t>
      </w:r>
      <w:r w:rsidRPr="003E3F83">
        <w:rPr>
          <w:rFonts w:cstheme="minorHAnsi"/>
        </w:rPr>
        <w:t>autrui.</w:t>
      </w:r>
    </w:p>
    <w:p w:rsidRPr="003E3F83" w:rsidR="005B4F8B" w:rsidP="003E3F83" w14:paraId="2FD9E384" w14:textId="57A2087B">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91</w:t>
      </w:r>
      <w:r w:rsidRPr="003E3F83">
        <w:rPr>
          <w:rFonts w:cstheme="minorHAnsi"/>
        </w:rPr>
        <w:fldChar w:fldCharType="end"/>
      </w:r>
      <w:r w:rsidRPr="003E3F83">
        <w:rPr>
          <w:rFonts w:cstheme="minorHAnsi"/>
        </w:rPr>
        <w:t>.  Ainsi, dès lors qu</w:t>
      </w:r>
      <w:r w:rsidRPr="003E3F83" w:rsidR="003E3F83">
        <w:rPr>
          <w:rFonts w:cstheme="minorHAnsi"/>
        </w:rPr>
        <w:t>’</w:t>
      </w:r>
      <w:r w:rsidRPr="003E3F83">
        <w:rPr>
          <w:rFonts w:cstheme="minorHAnsi"/>
        </w:rPr>
        <w:t>elles ont connaissance, ou auraient dû avoir connaissance, de l</w:t>
      </w:r>
      <w:r w:rsidRPr="003E3F83" w:rsidR="003E3F83">
        <w:rPr>
          <w:rFonts w:cstheme="minorHAnsi"/>
        </w:rPr>
        <w:t>’</w:t>
      </w:r>
      <w:r w:rsidRPr="003E3F83">
        <w:rPr>
          <w:rFonts w:cstheme="minorHAnsi"/>
        </w:rPr>
        <w:t>existence d</w:t>
      </w:r>
      <w:r w:rsidRPr="003E3F83" w:rsidR="003E3F83">
        <w:rPr>
          <w:rFonts w:cstheme="minorHAnsi"/>
        </w:rPr>
        <w:t>’</w:t>
      </w:r>
      <w:r w:rsidRPr="003E3F83">
        <w:rPr>
          <w:rFonts w:cstheme="minorHAnsi"/>
        </w:rPr>
        <w:t>un risque réel et immédiat pour la vie d</w:t>
      </w:r>
      <w:r w:rsidRPr="003E3F83" w:rsidR="003E3F83">
        <w:rPr>
          <w:rFonts w:cstheme="minorHAnsi"/>
        </w:rPr>
        <w:t>’</w:t>
      </w:r>
      <w:r w:rsidRPr="003E3F83">
        <w:rPr>
          <w:rFonts w:cstheme="minorHAnsi"/>
        </w:rPr>
        <w:t>un individu du fait des agissements d</w:t>
      </w:r>
      <w:r w:rsidRPr="003E3F83" w:rsidR="003E3F83">
        <w:rPr>
          <w:rFonts w:cstheme="minorHAnsi"/>
        </w:rPr>
        <w:t>’</w:t>
      </w:r>
      <w:r w:rsidRPr="003E3F83">
        <w:rPr>
          <w:rFonts w:cstheme="minorHAnsi"/>
        </w:rPr>
        <w:t>autrui, les autorités ont l</w:t>
      </w:r>
      <w:r w:rsidRPr="003E3F83" w:rsidR="003E3F83">
        <w:rPr>
          <w:rFonts w:cstheme="minorHAnsi"/>
        </w:rPr>
        <w:t>’</w:t>
      </w:r>
      <w:r w:rsidRPr="003E3F83">
        <w:rPr>
          <w:rFonts w:cstheme="minorHAnsi"/>
        </w:rPr>
        <w:t xml:space="preserve">obligation de prendre les mesures utiles destinées à protéger cet individu (voir </w:t>
      </w:r>
      <w:r w:rsidRPr="003E3F83">
        <w:rPr>
          <w:rFonts w:cstheme="minorHAnsi"/>
          <w:i/>
          <w:iCs/>
        </w:rPr>
        <w:t>Osman</w:t>
      </w:r>
      <w:r w:rsidRPr="003E3F83">
        <w:rPr>
          <w:rFonts w:cstheme="minorHAnsi"/>
        </w:rPr>
        <w:t>, précité, § 115).</w:t>
      </w:r>
    </w:p>
    <w:p w:rsidRPr="003E3F83" w:rsidR="005B4F8B" w:rsidP="003E3F83" w14:paraId="54FA1D36" w14:textId="72E36B67">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92</w:t>
      </w:r>
      <w:r w:rsidRPr="003E3F83">
        <w:rPr>
          <w:rFonts w:cstheme="minorHAnsi"/>
        </w:rPr>
        <w:fldChar w:fldCharType="end"/>
      </w:r>
      <w:r w:rsidRPr="003E3F83">
        <w:rPr>
          <w:rFonts w:cstheme="minorHAnsi"/>
        </w:rPr>
        <w:t>.  Toutefois, l</w:t>
      </w:r>
      <w:r w:rsidRPr="003E3F83" w:rsidR="003E3F83">
        <w:rPr>
          <w:rFonts w:cstheme="minorHAnsi"/>
        </w:rPr>
        <w:t>’</w:t>
      </w:r>
      <w:r w:rsidRPr="003E3F83">
        <w:rPr>
          <w:rFonts w:cstheme="minorHAnsi"/>
        </w:rPr>
        <w:t xml:space="preserve">article 2 de la Convention impose également aux autorités de prendre des mesures de protection générales des membres de la population, </w:t>
      </w:r>
      <w:r w:rsidRPr="003E3F83">
        <w:rPr>
          <w:rFonts w:cstheme="minorHAnsi"/>
        </w:rPr>
        <w:t>même non identifiables à l</w:t>
      </w:r>
      <w:r w:rsidRPr="003E3F83" w:rsidR="003E3F83">
        <w:rPr>
          <w:rFonts w:cstheme="minorHAnsi"/>
        </w:rPr>
        <w:t>’</w:t>
      </w:r>
      <w:r w:rsidRPr="003E3F83">
        <w:rPr>
          <w:rFonts w:cstheme="minorHAnsi"/>
        </w:rPr>
        <w:t>avance, contre un risque réel et imminent d</w:t>
      </w:r>
      <w:r w:rsidRPr="003E3F83" w:rsidR="003E3F83">
        <w:rPr>
          <w:rFonts w:cstheme="minorHAnsi"/>
        </w:rPr>
        <w:t>’</w:t>
      </w:r>
      <w:r w:rsidRPr="003E3F83">
        <w:rPr>
          <w:rFonts w:cstheme="minorHAnsi"/>
        </w:rPr>
        <w:t>agissements terroristes dont elles ont eu ou auraient dû avoir connaissance (</w:t>
      </w:r>
      <w:bookmarkStart w:name="_cl11426" w:id="17"/>
      <w:r w:rsidRPr="003E3F83">
        <w:rPr>
          <w:rFonts w:cstheme="minorHAnsi"/>
        </w:rPr>
        <w:t xml:space="preserve">voir </w:t>
      </w:r>
      <w:bookmarkStart w:name="_cl17440" w:id="18"/>
      <w:r w:rsidRPr="003E3F83">
        <w:rPr>
          <w:rFonts w:cstheme="minorHAnsi"/>
          <w:i/>
          <w:iCs/>
        </w:rPr>
        <w:t>Tagayeva</w:t>
      </w:r>
      <w:r w:rsidRPr="003E3F83">
        <w:rPr>
          <w:rFonts w:cstheme="minorHAnsi"/>
          <w:i/>
          <w:iCs/>
        </w:rPr>
        <w:t xml:space="preserve"> et autres c. Russie</w:t>
      </w:r>
      <w:bookmarkEnd w:id="18"/>
      <w:r w:rsidRPr="003E3F83">
        <w:rPr>
          <w:rFonts w:cstheme="minorHAnsi"/>
        </w:rPr>
        <w:t>, n</w:t>
      </w:r>
      <w:r w:rsidRPr="003E3F83">
        <w:rPr>
          <w:rFonts w:cstheme="minorHAnsi"/>
          <w:vertAlign w:val="superscript"/>
        </w:rPr>
        <w:t>os</w:t>
      </w:r>
      <w:r w:rsidRPr="003E3F83">
        <w:rPr>
          <w:rFonts w:cstheme="minorHAnsi"/>
        </w:rPr>
        <w:t xml:space="preserve"> 26562/07 et 6 autres, § 482-493, 13</w:t>
      </w:r>
      <w:r w:rsidRPr="003E3F83" w:rsidR="001B1741">
        <w:rPr>
          <w:rFonts w:cstheme="minorHAnsi"/>
        </w:rPr>
        <w:t> </w:t>
      </w:r>
      <w:r w:rsidRPr="003E3F83">
        <w:rPr>
          <w:rFonts w:cstheme="minorHAnsi"/>
        </w:rPr>
        <w:t>avril 2017, concernant un groupe terroriste, où la Cour a considéré que les</w:t>
      </w:r>
      <w:r w:rsidRPr="003E3F83">
        <w:rPr>
          <w:rFonts w:cstheme="minorHAnsi"/>
          <w:color w:val="000000"/>
        </w:rPr>
        <w:t xml:space="preserve"> autorités nationales avaient manqué à prendre les mesures qui, raisonnablement, auraient été propres à prévenir ou réduire le risque terroriste connu</w:t>
      </w:r>
      <w:r w:rsidRPr="003E3F83">
        <w:rPr>
          <w:rFonts w:cstheme="minorHAnsi"/>
        </w:rPr>
        <w:t>).</w:t>
      </w:r>
      <w:bookmarkEnd w:id="17"/>
    </w:p>
    <w:p w:rsidRPr="003E3F83" w:rsidR="005B4F8B" w:rsidP="003E3F83" w14:paraId="1A3F8DCA" w14:textId="1944AF3E">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93</w:t>
      </w:r>
      <w:r w:rsidRPr="003E3F83">
        <w:rPr>
          <w:rFonts w:cstheme="minorHAnsi"/>
        </w:rPr>
        <w:fldChar w:fldCharType="end"/>
      </w:r>
      <w:r w:rsidRPr="003E3F83">
        <w:rPr>
          <w:rFonts w:cstheme="minorHAnsi"/>
        </w:rPr>
        <w:t>.  La Cour souligne l</w:t>
      </w:r>
      <w:r w:rsidRPr="003E3F83" w:rsidR="003E3F83">
        <w:rPr>
          <w:rFonts w:cstheme="minorHAnsi"/>
        </w:rPr>
        <w:t>’</w:t>
      </w:r>
      <w:r w:rsidRPr="003E3F83">
        <w:rPr>
          <w:rFonts w:cstheme="minorHAnsi"/>
        </w:rPr>
        <w:t>importance de cette obligation s</w:t>
      </w:r>
      <w:r w:rsidRPr="003E3F83" w:rsidR="003E3F83">
        <w:rPr>
          <w:rFonts w:cstheme="minorHAnsi"/>
        </w:rPr>
        <w:t>’</w:t>
      </w:r>
      <w:r w:rsidRPr="003E3F83">
        <w:rPr>
          <w:rFonts w:cstheme="minorHAnsi"/>
        </w:rPr>
        <w:t>agissant de l</w:t>
      </w:r>
      <w:r w:rsidRPr="003E3F83" w:rsidR="003E3F83">
        <w:rPr>
          <w:rFonts w:cstheme="minorHAnsi"/>
        </w:rPr>
        <w:t>’</w:t>
      </w:r>
      <w:r w:rsidRPr="003E3F83">
        <w:rPr>
          <w:rFonts w:cstheme="minorHAnsi"/>
        </w:rPr>
        <w:t>organisation des évènements de masse, qui sont annoncés à l</w:t>
      </w:r>
      <w:r w:rsidRPr="003E3F83" w:rsidR="003E3F83">
        <w:rPr>
          <w:rFonts w:cstheme="minorHAnsi"/>
        </w:rPr>
        <w:t>’</w:t>
      </w:r>
      <w:r w:rsidRPr="003E3F83">
        <w:rPr>
          <w:rFonts w:cstheme="minorHAnsi"/>
        </w:rPr>
        <w:t>avance et autorisés. Un devoir accru de vigilance s</w:t>
      </w:r>
      <w:r w:rsidRPr="003E3F83" w:rsidR="003E3F83">
        <w:rPr>
          <w:rFonts w:cstheme="minorHAnsi"/>
        </w:rPr>
        <w:t>’</w:t>
      </w:r>
      <w:r w:rsidRPr="003E3F83">
        <w:rPr>
          <w:rFonts w:cstheme="minorHAnsi"/>
        </w:rPr>
        <w:t>impose en effet en cas de manifestations de grande ampleur, en particulier si les autorités ont déjà été confrontées récemment à des attentats meurtriers et que la menace demeure réelle.</w:t>
      </w:r>
    </w:p>
    <w:p w:rsidRPr="003E3F83" w:rsidR="005B4F8B" w:rsidP="003E3F83" w14:paraId="132F4AD0" w14:textId="36C2170E">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94</w:t>
      </w:r>
      <w:r w:rsidRPr="003E3F83">
        <w:rPr>
          <w:rFonts w:cstheme="minorHAnsi"/>
        </w:rPr>
        <w:fldChar w:fldCharType="end"/>
      </w:r>
      <w:r w:rsidRPr="003E3F83">
        <w:rPr>
          <w:rFonts w:cstheme="minorHAnsi"/>
        </w:rPr>
        <w:t>.  </w:t>
      </w:r>
      <w:r w:rsidRPr="003E3F83">
        <w:rPr>
          <w:rFonts w:cstheme="minorHAnsi"/>
          <w:color w:val="000000"/>
        </w:rPr>
        <w:t>L</w:t>
      </w:r>
      <w:r w:rsidRPr="003E3F83" w:rsidR="003E3F83">
        <w:rPr>
          <w:rFonts w:cstheme="minorHAnsi"/>
          <w:color w:val="000000"/>
        </w:rPr>
        <w:t>’</w:t>
      </w:r>
      <w:r w:rsidRPr="003E3F83">
        <w:rPr>
          <w:rFonts w:cstheme="minorHAnsi"/>
          <w:color w:val="000000"/>
        </w:rPr>
        <w:t>étendue de cette obligation positive de prendre des mesures préventives propres à protéger le droit à la vie dépend de l</w:t>
      </w:r>
      <w:r w:rsidRPr="003E3F83" w:rsidR="003E3F83">
        <w:rPr>
          <w:rFonts w:cstheme="minorHAnsi"/>
          <w:color w:val="000000"/>
        </w:rPr>
        <w:t>’</w:t>
      </w:r>
      <w:r w:rsidRPr="003E3F83">
        <w:rPr>
          <w:rFonts w:cstheme="minorHAnsi"/>
          <w:color w:val="000000"/>
        </w:rPr>
        <w:t>origine de la menace en jeu et de la possibilité de son atténuation</w:t>
      </w:r>
      <w:r w:rsidRPr="003E3F83">
        <w:rPr>
          <w:rFonts w:cstheme="minorHAnsi"/>
        </w:rPr>
        <w:t xml:space="preserve"> </w:t>
      </w:r>
      <w:r w:rsidRPr="003E3F83">
        <w:rPr>
          <w:rFonts w:cstheme="minorHAnsi"/>
        </w:rPr>
        <w:t>(voir, dans des contextes certes différents,</w:t>
      </w:r>
      <w:bookmarkStart w:name="_cl2491" w:id="19"/>
      <w:r w:rsidRPr="003E3F83" w:rsidR="00A86E5B">
        <w:rPr>
          <w:rFonts w:cstheme="minorHAnsi"/>
        </w:rPr>
        <w:t xml:space="preserve"> </w:t>
      </w:r>
      <w:r w:rsidRPr="003E3F83">
        <w:rPr>
          <w:rFonts w:cstheme="minorHAnsi"/>
          <w:i/>
          <w:iCs/>
        </w:rPr>
        <w:t>Boudaïeva</w:t>
      </w:r>
      <w:r w:rsidRPr="003E3F83">
        <w:rPr>
          <w:rFonts w:cstheme="minorHAnsi"/>
          <w:i/>
          <w:iCs/>
        </w:rPr>
        <w:t xml:space="preserve"> et autres c. Russie</w:t>
      </w:r>
      <w:bookmarkEnd w:id="19"/>
      <w:r w:rsidRPr="003E3F83">
        <w:rPr>
          <w:rFonts w:cstheme="minorHAnsi"/>
        </w:rPr>
        <w:t>, n</w:t>
      </w:r>
      <w:r w:rsidRPr="003E3F83">
        <w:rPr>
          <w:rFonts w:cstheme="minorHAnsi"/>
          <w:vertAlign w:val="superscript"/>
        </w:rPr>
        <w:t>os</w:t>
      </w:r>
      <w:r w:rsidRPr="003E3F83">
        <w:rPr>
          <w:rFonts w:cstheme="minorHAnsi"/>
        </w:rPr>
        <w:t xml:space="preserve"> 15339/02 et 4 autres, § 137 </w:t>
      </w:r>
      <w:r w:rsidRPr="003E3F83">
        <w:rPr>
          <w:rFonts w:cstheme="minorHAnsi"/>
          <w:i/>
          <w:iCs/>
        </w:rPr>
        <w:t>in fine</w:t>
      </w:r>
      <w:r w:rsidRPr="003E3F83">
        <w:rPr>
          <w:rFonts w:cstheme="minorHAnsi"/>
        </w:rPr>
        <w:t xml:space="preserve">, CEDH 2008 (extraits), </w:t>
      </w:r>
      <w:bookmarkStart w:name="_cl3160" w:id="20"/>
      <w:r w:rsidRPr="003E3F83">
        <w:rPr>
          <w:rFonts w:cstheme="minorHAnsi"/>
          <w:i/>
          <w:iCs/>
        </w:rPr>
        <w:t>Cavit</w:t>
      </w:r>
      <w:r w:rsidRPr="003E3F83">
        <w:rPr>
          <w:rFonts w:cstheme="minorHAnsi"/>
          <w:i/>
          <w:iCs/>
        </w:rPr>
        <w:t xml:space="preserve"> </w:t>
      </w:r>
      <w:r w:rsidRPr="003E3F83">
        <w:rPr>
          <w:rFonts w:cstheme="minorHAnsi"/>
          <w:i/>
          <w:iCs/>
        </w:rPr>
        <w:t>Tınarlıoğlu</w:t>
      </w:r>
      <w:r w:rsidRPr="003E3F83">
        <w:rPr>
          <w:rFonts w:cstheme="minorHAnsi"/>
          <w:i/>
          <w:iCs/>
        </w:rPr>
        <w:t xml:space="preserve"> c. Turquie</w:t>
      </w:r>
      <w:bookmarkEnd w:id="20"/>
      <w:r w:rsidRPr="003E3F83">
        <w:rPr>
          <w:rFonts w:cstheme="minorHAnsi"/>
        </w:rPr>
        <w:t>, n</w:t>
      </w:r>
      <w:r w:rsidRPr="003E3F83">
        <w:rPr>
          <w:rFonts w:cstheme="minorHAnsi"/>
          <w:vertAlign w:val="superscript"/>
        </w:rPr>
        <w:t>o</w:t>
      </w:r>
      <w:r w:rsidRPr="003E3F83">
        <w:rPr>
          <w:rFonts w:cstheme="minorHAnsi"/>
        </w:rPr>
        <w:t xml:space="preserve"> 3648/04, § 90 </w:t>
      </w:r>
      <w:r w:rsidRPr="003E3F83">
        <w:rPr>
          <w:rFonts w:cstheme="minorHAnsi"/>
          <w:i/>
          <w:iCs/>
        </w:rPr>
        <w:t>in fine</w:t>
      </w:r>
      <w:r w:rsidRPr="003E3F83">
        <w:rPr>
          <w:rFonts w:cstheme="minorHAnsi"/>
        </w:rPr>
        <w:t xml:space="preserve">, 2 février 2016, et </w:t>
      </w:r>
      <w:bookmarkStart w:name="_cl1202" w:id="21"/>
      <w:r w:rsidRPr="003E3F83">
        <w:rPr>
          <w:rFonts w:cstheme="minorHAnsi"/>
          <w:i/>
          <w:iCs/>
        </w:rPr>
        <w:t>Asma c. Turquie</w:t>
      </w:r>
      <w:bookmarkEnd w:id="21"/>
      <w:r w:rsidRPr="003E3F83">
        <w:rPr>
          <w:rFonts w:cstheme="minorHAnsi"/>
        </w:rPr>
        <w:t>, n</w:t>
      </w:r>
      <w:r w:rsidRPr="003E3F83">
        <w:rPr>
          <w:rFonts w:cstheme="minorHAnsi"/>
          <w:vertAlign w:val="superscript"/>
        </w:rPr>
        <w:t>o</w:t>
      </w:r>
      <w:r w:rsidRPr="003E3F83">
        <w:rPr>
          <w:rFonts w:cstheme="minorHAnsi"/>
        </w:rPr>
        <w:t> 47933/09, § 93, 20 novembre 2018). L</w:t>
      </w:r>
      <w:r w:rsidRPr="003E3F83" w:rsidR="003E3F83">
        <w:rPr>
          <w:rFonts w:cstheme="minorHAnsi"/>
        </w:rPr>
        <w:t>’</w:t>
      </w:r>
      <w:r w:rsidRPr="003E3F83">
        <w:rPr>
          <w:rFonts w:cstheme="minorHAnsi"/>
        </w:rPr>
        <w:t>obligation incombant aux autorités au titre de l</w:t>
      </w:r>
      <w:r w:rsidRPr="003E3F83" w:rsidR="003E3F83">
        <w:rPr>
          <w:rFonts w:cstheme="minorHAnsi"/>
        </w:rPr>
        <w:t>’</w:t>
      </w:r>
      <w:r w:rsidRPr="003E3F83">
        <w:rPr>
          <w:rFonts w:cstheme="minorHAnsi"/>
        </w:rPr>
        <w:t>article 2 de la Convention leur impose de faire ce qui peut raisonnablement être attendu d</w:t>
      </w:r>
      <w:r w:rsidRPr="003E3F83" w:rsidR="003E3F83">
        <w:rPr>
          <w:rFonts w:cstheme="minorHAnsi"/>
        </w:rPr>
        <w:t>’</w:t>
      </w:r>
      <w:r w:rsidRPr="003E3F83">
        <w:rPr>
          <w:rFonts w:cstheme="minorHAnsi"/>
        </w:rPr>
        <w:t>elles pour identifier le risque et y parer par des mesures adéquates, ce qui dépend de l</w:t>
      </w:r>
      <w:r w:rsidRPr="003E3F83" w:rsidR="003E3F83">
        <w:rPr>
          <w:rFonts w:cstheme="minorHAnsi"/>
        </w:rPr>
        <w:t>’</w:t>
      </w:r>
      <w:r w:rsidRPr="003E3F83">
        <w:rPr>
          <w:rFonts w:cstheme="minorHAnsi"/>
        </w:rPr>
        <w:t xml:space="preserve">ensemble des circonstances de chaque espèce </w:t>
      </w:r>
      <w:r w:rsidRPr="003E3F83" w:rsidR="00E64E80">
        <w:t>(</w:t>
      </w:r>
      <w:r w:rsidRPr="003E3F83" w:rsidR="00E64E80">
        <w:rPr>
          <w:i/>
          <w:iCs/>
        </w:rPr>
        <w:t>Osman</w:t>
      </w:r>
      <w:r w:rsidRPr="003E3F83" w:rsidR="00E64E80">
        <w:t xml:space="preserve">, précité § 116 </w:t>
      </w:r>
      <w:r w:rsidRPr="003E3F83" w:rsidR="00E64E80">
        <w:rPr>
          <w:i/>
          <w:iCs/>
        </w:rPr>
        <w:t>in fine</w:t>
      </w:r>
      <w:bookmarkStart w:name="_cl4338ENDROIT" w:id="22"/>
      <w:r w:rsidRPr="003E3F83" w:rsidR="00E64E80">
        <w:rPr>
          <w:i/>
          <w:iCs/>
        </w:rPr>
        <w:t xml:space="preserve">, </w:t>
      </w:r>
      <w:r w:rsidRPr="003E3F83" w:rsidR="00E64E80">
        <w:rPr>
          <w:i/>
          <w:iCs/>
        </w:rPr>
        <w:t>Demiray</w:t>
      </w:r>
      <w:r w:rsidRPr="003E3F83" w:rsidR="00E64E80">
        <w:rPr>
          <w:i/>
          <w:iCs/>
        </w:rPr>
        <w:t xml:space="preserve"> c. Turquie</w:t>
      </w:r>
      <w:bookmarkEnd w:id="22"/>
      <w:r w:rsidRPr="003E3F83" w:rsidR="00E64E80">
        <w:t>, n</w:t>
      </w:r>
      <w:r w:rsidRPr="003E3F83" w:rsidR="00E64E80">
        <w:rPr>
          <w:vertAlign w:val="superscript"/>
        </w:rPr>
        <w:t>o</w:t>
      </w:r>
      <w:r w:rsidRPr="003E3F83" w:rsidR="00E64E80">
        <w:t xml:space="preserve"> 27308/95, § 45, CEDH 2000-XII, et </w:t>
      </w:r>
      <w:bookmarkStart w:name="_cl13648ENDROIT" w:id="23"/>
      <w:r w:rsidRPr="003E3F83" w:rsidR="00E64E80">
        <w:rPr>
          <w:i/>
          <w:iCs/>
        </w:rPr>
        <w:t>Pankov</w:t>
      </w:r>
      <w:r w:rsidRPr="003E3F83" w:rsidR="00E64E80">
        <w:rPr>
          <w:i/>
          <w:iCs/>
        </w:rPr>
        <w:t xml:space="preserve"> c. Bulgarie</w:t>
      </w:r>
      <w:bookmarkEnd w:id="23"/>
      <w:r w:rsidRPr="003E3F83" w:rsidR="00E64E80">
        <w:t>, n</w:t>
      </w:r>
      <w:r w:rsidRPr="003E3F83" w:rsidR="00E64E80">
        <w:rPr>
          <w:vertAlign w:val="superscript"/>
        </w:rPr>
        <w:t>o</w:t>
      </w:r>
      <w:r w:rsidRPr="003E3F83" w:rsidR="00E64E80">
        <w:t xml:space="preserve"> 12773/03, § 62, 7 octobre 2010</w:t>
      </w:r>
      <w:r w:rsidRPr="003E3F83">
        <w:rPr>
          <w:rFonts w:cstheme="minorHAnsi"/>
        </w:rPr>
        <w:t>).</w:t>
      </w:r>
    </w:p>
    <w:p w:rsidRPr="003E3F83" w:rsidR="005B4F8B" w:rsidP="003E3F83" w14:paraId="1855CB88" w14:textId="18A9FA85">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95</w:t>
      </w:r>
      <w:r w:rsidRPr="003E3F83">
        <w:rPr>
          <w:rFonts w:cstheme="minorHAnsi"/>
        </w:rPr>
        <w:fldChar w:fldCharType="end"/>
      </w:r>
      <w:r w:rsidRPr="003E3F83">
        <w:rPr>
          <w:rFonts w:cstheme="minorHAnsi"/>
        </w:rPr>
        <w:t>.  À cet égard, la Cour rappelle qu</w:t>
      </w:r>
      <w:r w:rsidRPr="003E3F83" w:rsidR="003E3F83">
        <w:rPr>
          <w:rFonts w:cstheme="minorHAnsi"/>
        </w:rPr>
        <w:t>’</w:t>
      </w:r>
      <w:r w:rsidRPr="003E3F83">
        <w:rPr>
          <w:rFonts w:cstheme="minorHAnsi"/>
        </w:rPr>
        <w:t>elle est particulièrement consciente des difficultés que les États rencontrent pour protéger leurs populations de la violence terroriste et des dangers d</w:t>
      </w:r>
      <w:r w:rsidRPr="003E3F83" w:rsidR="003E3F83">
        <w:rPr>
          <w:rFonts w:cstheme="minorHAnsi"/>
        </w:rPr>
        <w:t>’</w:t>
      </w:r>
      <w:r w:rsidRPr="003E3F83">
        <w:rPr>
          <w:rFonts w:cstheme="minorHAnsi"/>
        </w:rPr>
        <w:t>une analyse rétrospective. En tant qu</w:t>
      </w:r>
      <w:r w:rsidRPr="003E3F83" w:rsidR="003E3F83">
        <w:rPr>
          <w:rFonts w:cstheme="minorHAnsi"/>
        </w:rPr>
        <w:t>’</w:t>
      </w:r>
      <w:r w:rsidRPr="003E3F83">
        <w:rPr>
          <w:rFonts w:cstheme="minorHAnsi"/>
        </w:rPr>
        <w:t>organe chargé de contrôler le respect par l</w:t>
      </w:r>
      <w:r w:rsidRPr="003E3F83" w:rsidR="003E3F83">
        <w:rPr>
          <w:rFonts w:cstheme="minorHAnsi"/>
        </w:rPr>
        <w:t>’</w:t>
      </w:r>
      <w:r w:rsidRPr="003E3F83">
        <w:rPr>
          <w:rFonts w:cstheme="minorHAnsi"/>
        </w:rPr>
        <w:t>État de ses obligations en matière de droits de l</w:t>
      </w:r>
      <w:r w:rsidRPr="003E3F83" w:rsidR="003E3F83">
        <w:rPr>
          <w:rFonts w:cstheme="minorHAnsi"/>
        </w:rPr>
        <w:t>’</w:t>
      </w:r>
      <w:r w:rsidRPr="003E3F83">
        <w:rPr>
          <w:rFonts w:cstheme="minorHAnsi"/>
        </w:rPr>
        <w:t>homme découlant de la Convention, la Cour doit opérer une distinction entre les choix politiques faits dans le cadre de la lutte contre le terrorisme, lesquels par leur nature même échappent à un tel contrôle, et les autres volets plus concrets de l</w:t>
      </w:r>
      <w:r w:rsidRPr="003E3F83" w:rsidR="003E3F83">
        <w:rPr>
          <w:rFonts w:cstheme="minorHAnsi"/>
        </w:rPr>
        <w:t>’</w:t>
      </w:r>
      <w:r w:rsidRPr="003E3F83">
        <w:rPr>
          <w:rFonts w:cstheme="minorHAnsi"/>
        </w:rPr>
        <w:t>action des autorités, lesquels ont une incidence directe sur les droits protégés. Il faut appliquer le critère d</w:t>
      </w:r>
      <w:r w:rsidRPr="003E3F83" w:rsidR="003E3F83">
        <w:rPr>
          <w:rFonts w:cstheme="minorHAnsi"/>
        </w:rPr>
        <w:t>’</w:t>
      </w:r>
      <w:r w:rsidRPr="003E3F83">
        <w:rPr>
          <w:rFonts w:cstheme="minorHAnsi"/>
        </w:rPr>
        <w:t>absolue nécessité énoncé à l</w:t>
      </w:r>
      <w:r w:rsidRPr="003E3F83" w:rsidR="003E3F83">
        <w:rPr>
          <w:rFonts w:cstheme="minorHAnsi"/>
        </w:rPr>
        <w:t>’</w:t>
      </w:r>
      <w:r w:rsidRPr="003E3F83">
        <w:rPr>
          <w:rFonts w:cstheme="minorHAnsi"/>
        </w:rPr>
        <w:t>article 2 selon différents degrés de contrôle, en fonction de la question de savoir si et dans quelle mesure les autorités étaient en contrôle de la situation et d</w:t>
      </w:r>
      <w:r w:rsidRPr="003E3F83" w:rsidR="003E3F83">
        <w:rPr>
          <w:rFonts w:cstheme="minorHAnsi"/>
        </w:rPr>
        <w:t>’</w:t>
      </w:r>
      <w:r w:rsidRPr="003E3F83">
        <w:rPr>
          <w:rFonts w:cstheme="minorHAnsi"/>
        </w:rPr>
        <w:t>autres contraintes pertinentes inhérentes à la prise de décision concrète dans ce domaine sensible</w:t>
      </w:r>
      <w:r w:rsidRPr="003E3F83" w:rsidR="00A86E5B">
        <w:rPr>
          <w:rFonts w:cstheme="minorHAnsi"/>
        </w:rPr>
        <w:t xml:space="preserve"> </w:t>
      </w:r>
      <w:r w:rsidRPr="003E3F83">
        <w:rPr>
          <w:rFonts w:cstheme="minorHAnsi"/>
        </w:rPr>
        <w:t>(</w:t>
      </w:r>
      <w:r w:rsidRPr="003E3F83">
        <w:rPr>
          <w:rFonts w:cstheme="minorHAnsi"/>
          <w:i/>
          <w:iCs/>
        </w:rPr>
        <w:t>Tagayeva</w:t>
      </w:r>
      <w:r w:rsidRPr="003E3F83">
        <w:rPr>
          <w:rFonts w:cstheme="minorHAnsi"/>
          <w:i/>
          <w:iCs/>
        </w:rPr>
        <w:t xml:space="preserve"> et autres</w:t>
      </w:r>
      <w:r w:rsidRPr="003E3F83">
        <w:rPr>
          <w:rFonts w:cstheme="minorHAnsi"/>
        </w:rPr>
        <w:t>, précité, §</w:t>
      </w:r>
      <w:r w:rsidRPr="003E3F83" w:rsidR="001B1741">
        <w:rPr>
          <w:rFonts w:cstheme="minorHAnsi"/>
        </w:rPr>
        <w:t> </w:t>
      </w:r>
      <w:r w:rsidRPr="003E3F83">
        <w:rPr>
          <w:rFonts w:cstheme="minorHAnsi"/>
        </w:rPr>
        <w:t>481).</w:t>
      </w:r>
    </w:p>
    <w:p w:rsidRPr="003E3F83" w:rsidR="005B4F8B" w:rsidP="003E3F83" w14:paraId="2E6DDC33" w14:textId="2C6CDE43">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96</w:t>
      </w:r>
      <w:r w:rsidRPr="003E3F83">
        <w:rPr>
          <w:rFonts w:cstheme="minorHAnsi"/>
        </w:rPr>
        <w:fldChar w:fldCharType="end"/>
      </w:r>
      <w:r w:rsidRPr="003E3F83">
        <w:rPr>
          <w:rFonts w:cstheme="minorHAnsi"/>
        </w:rPr>
        <w:t>.  Concrètement, pour que la responsabilité d</w:t>
      </w:r>
      <w:r w:rsidRPr="003E3F83" w:rsidR="003E3F83">
        <w:rPr>
          <w:rFonts w:cstheme="minorHAnsi"/>
        </w:rPr>
        <w:t>’</w:t>
      </w:r>
      <w:r w:rsidRPr="003E3F83">
        <w:rPr>
          <w:rFonts w:cstheme="minorHAnsi"/>
        </w:rPr>
        <w:t>un État partie entre en jeu au regard de l</w:t>
      </w:r>
      <w:r w:rsidRPr="003E3F83" w:rsidR="003E3F83">
        <w:rPr>
          <w:rFonts w:cstheme="minorHAnsi"/>
        </w:rPr>
        <w:t>’</w:t>
      </w:r>
      <w:r w:rsidRPr="003E3F83">
        <w:rPr>
          <w:rFonts w:cstheme="minorHAnsi"/>
        </w:rPr>
        <w:t>article 2 de la Convention, il doit dès lors être établi que les autorités connaissaient ou auraient dû connaître l</w:t>
      </w:r>
      <w:r w:rsidRPr="003E3F83" w:rsidR="003E3F83">
        <w:rPr>
          <w:rFonts w:cstheme="minorHAnsi"/>
        </w:rPr>
        <w:t>’</w:t>
      </w:r>
      <w:r w:rsidRPr="003E3F83">
        <w:rPr>
          <w:rFonts w:cstheme="minorHAnsi"/>
        </w:rPr>
        <w:t>existence d</w:t>
      </w:r>
      <w:r w:rsidRPr="003E3F83" w:rsidR="003E3F83">
        <w:rPr>
          <w:rFonts w:cstheme="minorHAnsi"/>
        </w:rPr>
        <w:t>’</w:t>
      </w:r>
      <w:r w:rsidRPr="003E3F83">
        <w:rPr>
          <w:rFonts w:cstheme="minorHAnsi"/>
        </w:rPr>
        <w:t>une menace réelle et immédiate pour la vie d</w:t>
      </w:r>
      <w:r w:rsidRPr="003E3F83" w:rsidR="003E3F83">
        <w:rPr>
          <w:rFonts w:cstheme="minorHAnsi"/>
        </w:rPr>
        <w:t>’</w:t>
      </w:r>
      <w:r w:rsidRPr="003E3F83">
        <w:rPr>
          <w:rFonts w:cstheme="minorHAnsi"/>
        </w:rPr>
        <w:t>un ou de plusieurs individus et qu</w:t>
      </w:r>
      <w:r w:rsidRPr="003E3F83" w:rsidR="003E3F83">
        <w:rPr>
          <w:rFonts w:cstheme="minorHAnsi"/>
        </w:rPr>
        <w:t>’</w:t>
      </w:r>
      <w:r w:rsidRPr="003E3F83">
        <w:rPr>
          <w:rFonts w:cstheme="minorHAnsi"/>
        </w:rPr>
        <w:t>elles n</w:t>
      </w:r>
      <w:r w:rsidRPr="003E3F83" w:rsidR="003E3F83">
        <w:rPr>
          <w:rFonts w:cstheme="minorHAnsi"/>
        </w:rPr>
        <w:t>’</w:t>
      </w:r>
      <w:r w:rsidRPr="003E3F83">
        <w:rPr>
          <w:rFonts w:cstheme="minorHAnsi"/>
        </w:rPr>
        <w:t>ont pas pris, dans le cadre de leurs pouvoirs, les mesures qui, d</w:t>
      </w:r>
      <w:r w:rsidRPr="003E3F83" w:rsidR="003E3F83">
        <w:rPr>
          <w:rFonts w:cstheme="minorHAnsi"/>
        </w:rPr>
        <w:t>’</w:t>
      </w:r>
      <w:r w:rsidRPr="003E3F83">
        <w:rPr>
          <w:rFonts w:cstheme="minorHAnsi"/>
        </w:rPr>
        <w:t xml:space="preserve">un point de vue </w:t>
      </w:r>
      <w:r w:rsidRPr="003E3F83">
        <w:rPr>
          <w:rFonts w:cstheme="minorHAnsi"/>
        </w:rPr>
        <w:t>raisonnable, auraient sans doute pallié ce risque (</w:t>
      </w:r>
      <w:r w:rsidRPr="003E3F83">
        <w:rPr>
          <w:rFonts w:cstheme="minorHAnsi"/>
          <w:i/>
          <w:iCs/>
        </w:rPr>
        <w:t>Osman</w:t>
      </w:r>
      <w:r w:rsidRPr="003E3F83">
        <w:rPr>
          <w:rFonts w:cstheme="minorHAnsi"/>
        </w:rPr>
        <w:t>, précité, §</w:t>
      </w:r>
      <w:r w:rsidRPr="003E3F83" w:rsidR="001B1741">
        <w:rPr>
          <w:rFonts w:cstheme="minorHAnsi"/>
        </w:rPr>
        <w:t> </w:t>
      </w:r>
      <w:r w:rsidRPr="003E3F83">
        <w:rPr>
          <w:rFonts w:cstheme="minorHAnsi"/>
        </w:rPr>
        <w:t xml:space="preserve">116, </w:t>
      </w:r>
      <w:bookmarkStart w:name="_cl13862" w:id="24"/>
      <w:r w:rsidRPr="003E3F83">
        <w:rPr>
          <w:rFonts w:cstheme="minorHAnsi"/>
          <w:i/>
          <w:iCs/>
        </w:rPr>
        <w:t>Paul et Audrey Edwards c. Royaume-Uni</w:t>
      </w:r>
      <w:bookmarkEnd w:id="24"/>
      <w:r w:rsidRPr="003E3F83">
        <w:rPr>
          <w:rFonts w:cstheme="minorHAnsi"/>
        </w:rPr>
        <w:t>, n</w:t>
      </w:r>
      <w:r w:rsidRPr="003E3F83">
        <w:rPr>
          <w:rFonts w:cstheme="minorHAnsi"/>
          <w:vertAlign w:val="superscript"/>
        </w:rPr>
        <w:t>o</w:t>
      </w:r>
      <w:r w:rsidRPr="003E3F83">
        <w:rPr>
          <w:rFonts w:cstheme="minorHAnsi"/>
        </w:rPr>
        <w:t xml:space="preserve"> 46477/99, § 55, CEDH</w:t>
      </w:r>
      <w:r w:rsidRPr="003E3F83" w:rsidR="00A86E5B">
        <w:rPr>
          <w:rFonts w:cstheme="minorHAnsi"/>
        </w:rPr>
        <w:t> </w:t>
      </w:r>
      <w:r w:rsidRPr="003E3F83">
        <w:rPr>
          <w:rFonts w:cstheme="minorHAnsi"/>
        </w:rPr>
        <w:t xml:space="preserve">2002-II, </w:t>
      </w:r>
      <w:bookmarkStart w:name="_cl11596" w:id="25"/>
      <w:r w:rsidRPr="003E3F83">
        <w:rPr>
          <w:rFonts w:cstheme="minorHAnsi"/>
          <w:i/>
          <w:iCs/>
        </w:rPr>
        <w:t>Medova</w:t>
      </w:r>
      <w:r w:rsidRPr="003E3F83">
        <w:rPr>
          <w:rFonts w:cstheme="minorHAnsi"/>
          <w:i/>
          <w:iCs/>
        </w:rPr>
        <w:t xml:space="preserve"> c. Russie</w:t>
      </w:r>
      <w:bookmarkEnd w:id="25"/>
      <w:r w:rsidRPr="003E3F83">
        <w:rPr>
          <w:rFonts w:cstheme="minorHAnsi"/>
        </w:rPr>
        <w:t>, n</w:t>
      </w:r>
      <w:r w:rsidRPr="003E3F83">
        <w:rPr>
          <w:rFonts w:cstheme="minorHAnsi"/>
          <w:vertAlign w:val="superscript"/>
        </w:rPr>
        <w:t>o</w:t>
      </w:r>
      <w:r w:rsidRPr="003E3F83">
        <w:rPr>
          <w:rFonts w:cstheme="minorHAnsi"/>
        </w:rPr>
        <w:t xml:space="preserve"> 25385/04, § 96, 15 janvier 2009, et </w:t>
      </w:r>
      <w:bookmarkStart w:name="_cl18103" w:id="26"/>
      <w:r w:rsidRPr="003E3F83">
        <w:rPr>
          <w:rFonts w:cstheme="minorHAnsi"/>
          <w:i/>
          <w:iCs/>
        </w:rPr>
        <w:t>Tsechoyev</w:t>
      </w:r>
      <w:r w:rsidRPr="003E3F83">
        <w:rPr>
          <w:rFonts w:cstheme="minorHAnsi"/>
          <w:i/>
          <w:iCs/>
        </w:rPr>
        <w:t xml:space="preserve"> c. Russie</w:t>
      </w:r>
      <w:bookmarkEnd w:id="26"/>
      <w:r w:rsidRPr="003E3F83">
        <w:rPr>
          <w:rFonts w:cstheme="minorHAnsi"/>
        </w:rPr>
        <w:t>, n</w:t>
      </w:r>
      <w:r w:rsidRPr="003E3F83">
        <w:rPr>
          <w:rFonts w:cstheme="minorHAnsi"/>
          <w:vertAlign w:val="superscript"/>
        </w:rPr>
        <w:t>o</w:t>
      </w:r>
      <w:r w:rsidRPr="003E3F83">
        <w:rPr>
          <w:rFonts w:cstheme="minorHAnsi"/>
        </w:rPr>
        <w:t> 39358/05, § 136, 15 mars 2011).</w:t>
      </w:r>
    </w:p>
    <w:p w:rsidRPr="003E3F83" w:rsidR="005B4F8B" w:rsidP="003E3F83" w14:paraId="47A5686B" w14:textId="5694FA1B">
      <w:pPr>
        <w:pStyle w:val="JuPara"/>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97</w:t>
      </w:r>
      <w:r w:rsidRPr="003E3F83">
        <w:rPr>
          <w:rFonts w:cstheme="minorHAnsi"/>
        </w:rPr>
        <w:fldChar w:fldCharType="end"/>
      </w:r>
      <w:r w:rsidRPr="003E3F83">
        <w:rPr>
          <w:rFonts w:cstheme="minorHAnsi"/>
        </w:rPr>
        <w:t>.  Dans l</w:t>
      </w:r>
      <w:r w:rsidRPr="003E3F83" w:rsidR="003E3F83">
        <w:rPr>
          <w:rFonts w:cstheme="minorHAnsi"/>
        </w:rPr>
        <w:t>’</w:t>
      </w:r>
      <w:r w:rsidRPr="003E3F83">
        <w:rPr>
          <w:rFonts w:cstheme="minorHAnsi"/>
        </w:rPr>
        <w:t>examen de la présente affaire, la Cour doit donc, dans un premier temps, rechercher si les autorités savaient ou auraient dû savoir qu</w:t>
      </w:r>
      <w:r w:rsidRPr="003E3F83" w:rsidR="003E3F83">
        <w:rPr>
          <w:rFonts w:cstheme="minorHAnsi"/>
        </w:rPr>
        <w:t>’</w:t>
      </w:r>
      <w:r w:rsidRPr="003E3F83">
        <w:rPr>
          <w:rFonts w:cstheme="minorHAnsi"/>
        </w:rPr>
        <w:t>il existait un risque réel et immédiat d</w:t>
      </w:r>
      <w:r w:rsidRPr="003E3F83" w:rsidR="003E3F83">
        <w:rPr>
          <w:rFonts w:cstheme="minorHAnsi"/>
        </w:rPr>
        <w:t>’</w:t>
      </w:r>
      <w:r w:rsidRPr="003E3F83">
        <w:rPr>
          <w:rFonts w:cstheme="minorHAnsi"/>
        </w:rPr>
        <w:t>attentat terroriste et, dans l</w:t>
      </w:r>
      <w:r w:rsidRPr="003E3F83" w:rsidR="003E3F83">
        <w:rPr>
          <w:rFonts w:cstheme="minorHAnsi"/>
        </w:rPr>
        <w:t>’</w:t>
      </w:r>
      <w:r w:rsidRPr="003E3F83">
        <w:rPr>
          <w:rFonts w:cstheme="minorHAnsi"/>
        </w:rPr>
        <w:t>affirmative, si elles ont fait tout ce que l</w:t>
      </w:r>
      <w:r w:rsidRPr="003E3F83" w:rsidR="003E3F83">
        <w:rPr>
          <w:rFonts w:cstheme="minorHAnsi"/>
        </w:rPr>
        <w:t>’</w:t>
      </w:r>
      <w:r w:rsidRPr="003E3F83">
        <w:rPr>
          <w:rFonts w:cstheme="minorHAnsi"/>
        </w:rPr>
        <w:t>on pouvait raisonnablement attendre d</w:t>
      </w:r>
      <w:r w:rsidRPr="003E3F83" w:rsidR="003E3F83">
        <w:rPr>
          <w:rFonts w:cstheme="minorHAnsi"/>
        </w:rPr>
        <w:t>’</w:t>
      </w:r>
      <w:r w:rsidRPr="003E3F83">
        <w:rPr>
          <w:rFonts w:cstheme="minorHAnsi"/>
        </w:rPr>
        <w:t>elles pour prévenir ce risque</w:t>
      </w:r>
      <w:r w:rsidRPr="003E3F83">
        <w:rPr>
          <w:rFonts w:cstheme="minorHAnsi"/>
          <w:color w:val="000000"/>
        </w:rPr>
        <w:t>.</w:t>
      </w:r>
    </w:p>
    <w:p w:rsidRPr="003E3F83" w:rsidR="005B4F8B" w:rsidP="003E3F83" w14:paraId="2FA3AD2F" w14:textId="70556706">
      <w:pPr>
        <w:pStyle w:val="JuPara"/>
        <w:rPr>
          <w:rFonts w:cstheme="minorHAnsi"/>
        </w:rPr>
      </w:pPr>
      <w:r>
        <w:fldChar w:fldCharType="begin"/>
      </w:r>
      <w:r>
        <w:instrText xml:space="preserve"> SEQ level0 \*arabic \* MERGEFORMAT </w:instrText>
      </w:r>
      <w:r>
        <w:fldChar w:fldCharType="separate"/>
      </w:r>
      <w:r w:rsidRPr="003E3F83" w:rsidR="003E3F83">
        <w:rPr>
          <w:noProof/>
        </w:rPr>
        <w:t>98</w:t>
      </w:r>
      <w:r>
        <w:rPr>
          <w:noProof/>
        </w:rPr>
        <w:fldChar w:fldCharType="end"/>
      </w:r>
      <w:r w:rsidRPr="003E3F83">
        <w:t xml:space="preserve">.  Deux </w:t>
      </w:r>
      <w:r w:rsidRPr="003E3F83">
        <w:rPr>
          <w:rFonts w:cstheme="minorHAnsi"/>
        </w:rPr>
        <w:t>questions peuvent être distinguées en l</w:t>
      </w:r>
      <w:r w:rsidRPr="003E3F83" w:rsidR="003E3F83">
        <w:rPr>
          <w:rFonts w:cstheme="minorHAnsi"/>
        </w:rPr>
        <w:t>’</w:t>
      </w:r>
      <w:r w:rsidRPr="003E3F83">
        <w:rPr>
          <w:rFonts w:cstheme="minorHAnsi"/>
        </w:rPr>
        <w:t>espèce</w:t>
      </w:r>
      <w:r w:rsidRPr="003E3F83" w:rsidR="00A86E5B">
        <w:rPr>
          <w:rFonts w:cstheme="minorHAnsi"/>
        </w:rPr>
        <w:t> </w:t>
      </w:r>
      <w:r w:rsidRPr="003E3F83">
        <w:rPr>
          <w:rFonts w:cstheme="minorHAnsi"/>
        </w:rPr>
        <w:t>: le contexte général et le contexte propre à la manifestation du 10 octobre 2015.</w:t>
      </w:r>
    </w:p>
    <w:p w:rsidRPr="003E3F83" w:rsidR="005B4F8B" w:rsidP="003E3F83" w14:paraId="3537B586" w14:textId="63CD5145">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bookmarkStart w:name="paragraph00098" w:id="27"/>
      <w:r w:rsidRPr="003E3F83" w:rsidR="003E3F83">
        <w:rPr>
          <w:rFonts w:cstheme="minorHAnsi"/>
          <w:noProof/>
        </w:rPr>
        <w:t>99</w:t>
      </w:r>
      <w:bookmarkEnd w:id="27"/>
      <w:r w:rsidRPr="003E3F83">
        <w:rPr>
          <w:rFonts w:cstheme="minorHAnsi"/>
        </w:rPr>
        <w:fldChar w:fldCharType="end"/>
      </w:r>
      <w:r w:rsidRPr="003E3F83">
        <w:rPr>
          <w:rFonts w:cstheme="minorHAnsi"/>
        </w:rPr>
        <w:t>.  Concernant, tout d</w:t>
      </w:r>
      <w:r w:rsidRPr="003E3F83" w:rsidR="003E3F83">
        <w:rPr>
          <w:rFonts w:cstheme="minorHAnsi"/>
        </w:rPr>
        <w:t>’</w:t>
      </w:r>
      <w:r w:rsidRPr="003E3F83">
        <w:rPr>
          <w:rFonts w:cstheme="minorHAnsi"/>
        </w:rPr>
        <w:t>abord, le contexte général, la Cour observe qu</w:t>
      </w:r>
      <w:r w:rsidRPr="003E3F83" w:rsidR="003E3F83">
        <w:rPr>
          <w:rFonts w:cstheme="minorHAnsi"/>
        </w:rPr>
        <w:t>’</w:t>
      </w:r>
      <w:r w:rsidRPr="003E3F83">
        <w:rPr>
          <w:rFonts w:cstheme="minorHAnsi"/>
        </w:rPr>
        <w:t>il paraît indubitablement marqué par une menace terroriste qui était réelle.</w:t>
      </w:r>
    </w:p>
    <w:p w:rsidRPr="003E3F83" w:rsidR="005B4F8B" w:rsidP="003E3F83" w14:paraId="353B9A2A" w14:textId="47570EC1">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bookmarkStart w:name="paragraph00099" w:id="28"/>
      <w:r w:rsidRPr="003E3F83" w:rsidR="003E3F83">
        <w:rPr>
          <w:rFonts w:cstheme="minorHAnsi"/>
          <w:noProof/>
        </w:rPr>
        <w:t>100</w:t>
      </w:r>
      <w:bookmarkEnd w:id="28"/>
      <w:r w:rsidRPr="003E3F83">
        <w:rPr>
          <w:rFonts w:cstheme="minorHAnsi"/>
        </w:rPr>
        <w:fldChar w:fldCharType="end"/>
      </w:r>
      <w:r w:rsidRPr="003E3F83">
        <w:rPr>
          <w:rFonts w:cstheme="minorHAnsi"/>
        </w:rPr>
        <w:t>.  S</w:t>
      </w:r>
      <w:r w:rsidRPr="003E3F83" w:rsidR="003E3F83">
        <w:rPr>
          <w:rFonts w:cstheme="minorHAnsi"/>
        </w:rPr>
        <w:t>’</w:t>
      </w:r>
      <w:r w:rsidRPr="003E3F83">
        <w:rPr>
          <w:rFonts w:cstheme="minorHAnsi"/>
        </w:rPr>
        <w:t>agissant, ensuite, du contexte propre à la manifestation du 10 octobre 2015, elle estime que celui-ci ne peut être détaché du contexte général. À cet égard, la Cour note que cette manifestation s</w:t>
      </w:r>
      <w:r w:rsidRPr="003E3F83" w:rsidR="003E3F83">
        <w:rPr>
          <w:rFonts w:cstheme="minorHAnsi"/>
        </w:rPr>
        <w:t>’</w:t>
      </w:r>
      <w:r w:rsidRPr="003E3F83">
        <w:rPr>
          <w:rFonts w:cstheme="minorHAnsi"/>
        </w:rPr>
        <w:t xml:space="preserve">inscrivait dans un contexte de tensions, notamment politiques. Il faisait suite par ailleurs aux attentats de </w:t>
      </w:r>
      <w:r w:rsidRPr="003E3F83">
        <w:rPr>
          <w:rFonts w:cstheme="minorHAnsi"/>
        </w:rPr>
        <w:t>Suruç</w:t>
      </w:r>
      <w:r w:rsidRPr="003E3F83">
        <w:rPr>
          <w:rFonts w:cstheme="minorHAnsi"/>
        </w:rPr>
        <w:t xml:space="preserve"> et de Diyarbakır perpétrés la même année.</w:t>
      </w:r>
    </w:p>
    <w:p w:rsidRPr="003E3F83" w:rsidR="005B4F8B" w:rsidP="003E3F83" w14:paraId="4A9617D9" w14:textId="3303C311">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101</w:t>
      </w:r>
      <w:r w:rsidRPr="003E3F83">
        <w:rPr>
          <w:rFonts w:cstheme="minorHAnsi"/>
        </w:rPr>
        <w:fldChar w:fldCharType="end"/>
      </w:r>
      <w:r w:rsidRPr="003E3F83">
        <w:rPr>
          <w:rFonts w:cstheme="minorHAnsi"/>
        </w:rPr>
        <w:t>.  Aussi, la Cour considère en réponse au Gouvernement (paragraphe</w:t>
      </w:r>
      <w:r w:rsidRPr="003E3F83" w:rsidR="001B1741">
        <w:rPr>
          <w:rFonts w:cstheme="minorHAnsi"/>
        </w:rPr>
        <w:t> </w:t>
      </w:r>
      <w:r w:rsidRPr="003E3F83" w:rsidR="00A86E5B">
        <w:rPr>
          <w:rFonts w:cstheme="minorHAnsi"/>
        </w:rPr>
        <w:fldChar w:fldCharType="begin"/>
      </w:r>
      <w:r w:rsidRPr="003E3F83" w:rsidR="00A86E5B">
        <w:rPr>
          <w:rFonts w:cstheme="minorHAnsi"/>
        </w:rPr>
        <w:instrText xml:space="preserve"> REF paragraph00085 \h  \* CharFormat </w:instrText>
      </w:r>
      <w:r w:rsidRPr="003E3F83" w:rsidR="00A86E5B">
        <w:rPr>
          <w:rFonts w:cstheme="minorHAnsi"/>
        </w:rPr>
        <w:fldChar w:fldCharType="separate"/>
      </w:r>
      <w:r w:rsidRPr="003E3F83" w:rsidR="003E3F83">
        <w:rPr>
          <w:rFonts w:cstheme="minorHAnsi"/>
        </w:rPr>
        <w:t>85</w:t>
      </w:r>
      <w:r w:rsidRPr="003E3F83" w:rsidR="00A86E5B">
        <w:rPr>
          <w:rFonts w:cstheme="minorHAnsi"/>
        </w:rPr>
        <w:fldChar w:fldCharType="end"/>
      </w:r>
      <w:r w:rsidRPr="003E3F83">
        <w:rPr>
          <w:rFonts w:cstheme="minorHAnsi"/>
        </w:rPr>
        <w:t xml:space="preserve"> ci-dessus) qu</w:t>
      </w:r>
      <w:r w:rsidRPr="003E3F83" w:rsidR="003E3F83">
        <w:rPr>
          <w:rFonts w:cstheme="minorHAnsi"/>
        </w:rPr>
        <w:t>’</w:t>
      </w:r>
      <w:r w:rsidRPr="003E3F83">
        <w:rPr>
          <w:rFonts w:cstheme="minorHAnsi"/>
        </w:rPr>
        <w:t>il y avait en l</w:t>
      </w:r>
      <w:r w:rsidRPr="003E3F83" w:rsidR="003E3F83">
        <w:rPr>
          <w:rFonts w:cstheme="minorHAnsi"/>
        </w:rPr>
        <w:t>’</w:t>
      </w:r>
      <w:r w:rsidRPr="003E3F83">
        <w:rPr>
          <w:rFonts w:cstheme="minorHAnsi"/>
        </w:rPr>
        <w:t>espèce une obligation pour les autorités nationales, dans un contexte marqué par un risque terroriste, de prendre toutes les mesures nécessaires pour prévenir la matérialisation de ce risque. La survenance d</w:t>
      </w:r>
      <w:r w:rsidRPr="003E3F83" w:rsidR="003E3F83">
        <w:rPr>
          <w:rFonts w:cstheme="minorHAnsi"/>
        </w:rPr>
        <w:t>’</w:t>
      </w:r>
      <w:r w:rsidRPr="003E3F83">
        <w:rPr>
          <w:rFonts w:cstheme="minorHAnsi"/>
        </w:rPr>
        <w:t>attentats antérieurs sur le territoire national et l</w:t>
      </w:r>
      <w:r w:rsidRPr="003E3F83" w:rsidR="003E3F83">
        <w:rPr>
          <w:rFonts w:cstheme="minorHAnsi"/>
        </w:rPr>
        <w:t>’</w:t>
      </w:r>
      <w:r w:rsidRPr="003E3F83">
        <w:rPr>
          <w:rFonts w:cstheme="minorHAnsi"/>
        </w:rPr>
        <w:t>existence de menaces –</w:t>
      </w:r>
      <w:r w:rsidRPr="003E3F83" w:rsidR="00A86E5B">
        <w:rPr>
          <w:rFonts w:cstheme="minorHAnsi"/>
        </w:rPr>
        <w:t> </w:t>
      </w:r>
      <w:r w:rsidRPr="003E3F83">
        <w:rPr>
          <w:rFonts w:cstheme="minorHAnsi"/>
        </w:rPr>
        <w:t>qui ne portent pas sur un évènement en particulier</w:t>
      </w:r>
      <w:r w:rsidRPr="003E3F83" w:rsidR="00A86E5B">
        <w:rPr>
          <w:rFonts w:cstheme="minorHAnsi"/>
        </w:rPr>
        <w:t> </w:t>
      </w:r>
      <w:r w:rsidRPr="003E3F83">
        <w:rPr>
          <w:rFonts w:cstheme="minorHAnsi"/>
        </w:rPr>
        <w:t>– confortent cette obligation.</w:t>
      </w:r>
    </w:p>
    <w:p w:rsidRPr="003E3F83" w:rsidR="005B4F8B" w:rsidP="003E3F83" w14:paraId="33CFCF73" w14:textId="5A7F17F5">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102</w:t>
      </w:r>
      <w:r w:rsidRPr="003E3F83">
        <w:rPr>
          <w:rFonts w:cstheme="minorHAnsi"/>
        </w:rPr>
        <w:fldChar w:fldCharType="end"/>
      </w:r>
      <w:r w:rsidRPr="003E3F83">
        <w:rPr>
          <w:rFonts w:cstheme="minorHAnsi"/>
        </w:rPr>
        <w:t>.  Pour autant, cette obligation ne peut être de la garantie absolue. En outre, la Cour doit faire preuve de prudence lorsqu</w:t>
      </w:r>
      <w:r w:rsidRPr="003E3F83" w:rsidR="003E3F83">
        <w:rPr>
          <w:rFonts w:cstheme="minorHAnsi"/>
        </w:rPr>
        <w:t>’</w:t>
      </w:r>
      <w:r w:rsidRPr="003E3F83">
        <w:rPr>
          <w:rFonts w:cstheme="minorHAnsi"/>
        </w:rPr>
        <w:t>elle examine, avec le bénéfice du recul, les choix opérés des autorités pour prévenir le risque d</w:t>
      </w:r>
      <w:r w:rsidRPr="003E3F83" w:rsidR="003E3F83">
        <w:rPr>
          <w:rFonts w:cstheme="minorHAnsi"/>
        </w:rPr>
        <w:t>’</w:t>
      </w:r>
      <w:r w:rsidRPr="003E3F83">
        <w:rPr>
          <w:rFonts w:cstheme="minorHAnsi"/>
        </w:rPr>
        <w:t>un attentat suicide terroriste.</w:t>
      </w:r>
    </w:p>
    <w:p w:rsidRPr="003E3F83" w:rsidR="005B4F8B" w:rsidP="003E3F83" w14:paraId="3C214769" w14:textId="18BBDA2F">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103</w:t>
      </w:r>
      <w:r w:rsidRPr="003E3F83">
        <w:rPr>
          <w:rFonts w:cstheme="minorHAnsi"/>
        </w:rPr>
        <w:fldChar w:fldCharType="end"/>
      </w:r>
      <w:r w:rsidRPr="003E3F83">
        <w:rPr>
          <w:rFonts w:cstheme="minorHAnsi"/>
        </w:rPr>
        <w:t>.  Au demeurant, elle n</w:t>
      </w:r>
      <w:r w:rsidRPr="003E3F83" w:rsidR="003E3F83">
        <w:rPr>
          <w:rFonts w:cstheme="minorHAnsi"/>
        </w:rPr>
        <w:t>’</w:t>
      </w:r>
      <w:r w:rsidRPr="003E3F83">
        <w:rPr>
          <w:rFonts w:cstheme="minorHAnsi"/>
        </w:rPr>
        <w:t>a pas à indiquer aux autorités nationales la méthode à utiliser pour identifier les risques et déterminer les mesures à prendre en vue de les prévenir. En e</w:t>
      </w:r>
      <w:r w:rsidRPr="003E3F83">
        <w:t xml:space="preserve">ffet, </w:t>
      </w:r>
      <w:r w:rsidRPr="003E3F83">
        <w:rPr>
          <w:rFonts w:cstheme="minorHAnsi"/>
        </w:rPr>
        <w:t>lorsqu</w:t>
      </w:r>
      <w:r w:rsidRPr="003E3F83" w:rsidR="003E3F83">
        <w:rPr>
          <w:rFonts w:cstheme="minorHAnsi"/>
        </w:rPr>
        <w:t>’</w:t>
      </w:r>
      <w:r w:rsidRPr="003E3F83">
        <w:rPr>
          <w:rFonts w:cstheme="minorHAnsi"/>
        </w:rPr>
        <w:t>ils élaborent des mesures de prévention et de protection, les services compétents, telle la police, doivent disposer d</w:t>
      </w:r>
      <w:r w:rsidRPr="003E3F83" w:rsidR="003E3F83">
        <w:rPr>
          <w:rFonts w:cstheme="minorHAnsi"/>
        </w:rPr>
        <w:t>’</w:t>
      </w:r>
      <w:r w:rsidRPr="003E3F83">
        <w:rPr>
          <w:rFonts w:cstheme="minorHAnsi"/>
        </w:rPr>
        <w:t>une certaine latitude dans les décisions qu</w:t>
      </w:r>
      <w:r w:rsidRPr="003E3F83" w:rsidR="003E3F83">
        <w:rPr>
          <w:rFonts w:cstheme="minorHAnsi"/>
        </w:rPr>
        <w:t>’</w:t>
      </w:r>
      <w:r w:rsidRPr="003E3F83">
        <w:rPr>
          <w:rFonts w:cstheme="minorHAnsi"/>
        </w:rPr>
        <w:t>ils prennent concernant les opérations</w:t>
      </w:r>
      <w:r w:rsidRPr="003E3F83">
        <w:t>, dans la mesure notamment où ils ont accès à des informations et des renseignements non diffusés au public (</w:t>
      </w:r>
      <w:r w:rsidRPr="003E3F83">
        <w:rPr>
          <w:i/>
          <w:iCs/>
        </w:rPr>
        <w:t>P.F. et E.F. c. </w:t>
      </w:r>
      <w:r w:rsidRPr="003E3F83" w:rsidR="00A86E5B">
        <w:rPr>
          <w:i/>
          <w:iCs/>
        </w:rPr>
        <w:t xml:space="preserve">Royaume-Uni </w:t>
      </w:r>
      <w:r w:rsidRPr="003E3F83">
        <w:t>(déc.), n</w:t>
      </w:r>
      <w:r w:rsidRPr="003E3F83">
        <w:rPr>
          <w:vertAlign w:val="superscript"/>
        </w:rPr>
        <w:t>o</w:t>
      </w:r>
      <w:r w:rsidRPr="003E3F83" w:rsidR="00A86E5B">
        <w:t xml:space="preserve"> </w:t>
      </w:r>
      <w:r w:rsidRPr="003E3F83">
        <w:t xml:space="preserve">28326/09, § 41, 23 novembre 2010). </w:t>
      </w:r>
      <w:r w:rsidRPr="003E3F83">
        <w:rPr>
          <w:rFonts w:cstheme="minorHAnsi"/>
        </w:rPr>
        <w:t>Tel est particulièrement le cas dans la lutte contre le terrorisme, où les autorités sont souvent confrontées à des réseaux organisés qui opèrent secrètement.</w:t>
      </w:r>
    </w:p>
    <w:p w:rsidRPr="003E3F83" w:rsidR="005B4F8B" w:rsidP="003E3F83" w14:paraId="63BD5930" w14:textId="314D5441">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104</w:t>
      </w:r>
      <w:r w:rsidRPr="003E3F83">
        <w:rPr>
          <w:rFonts w:cstheme="minorHAnsi"/>
        </w:rPr>
        <w:fldChar w:fldCharType="end"/>
      </w:r>
      <w:r w:rsidRPr="003E3F83">
        <w:rPr>
          <w:rFonts w:cstheme="minorHAnsi"/>
        </w:rPr>
        <w:t>.  En l</w:t>
      </w:r>
      <w:r w:rsidRPr="003E3F83" w:rsidR="003E3F83">
        <w:rPr>
          <w:rFonts w:cstheme="minorHAnsi"/>
        </w:rPr>
        <w:t>’</w:t>
      </w:r>
      <w:r w:rsidRPr="003E3F83">
        <w:rPr>
          <w:rFonts w:cstheme="minorHAnsi"/>
        </w:rPr>
        <w:t>espèce, la Cour note que selon le Gouvernement, les autorités ne détenaient pas de renseignements suffisants pour conclure à l</w:t>
      </w:r>
      <w:r w:rsidRPr="003E3F83" w:rsidR="003E3F83">
        <w:rPr>
          <w:rFonts w:cstheme="minorHAnsi"/>
        </w:rPr>
        <w:t>’</w:t>
      </w:r>
      <w:r w:rsidRPr="003E3F83">
        <w:rPr>
          <w:rFonts w:cstheme="minorHAnsi"/>
        </w:rPr>
        <w:t>existence d</w:t>
      </w:r>
      <w:r w:rsidRPr="003E3F83" w:rsidR="003E3F83">
        <w:rPr>
          <w:rFonts w:cstheme="minorHAnsi"/>
        </w:rPr>
        <w:t>’</w:t>
      </w:r>
      <w:r w:rsidRPr="003E3F83">
        <w:rPr>
          <w:rFonts w:cstheme="minorHAnsi"/>
        </w:rPr>
        <w:t>un risque réel et immédiat pour la vie des participants à la manifestation du 10 octobre 2015 à Ankara. Le Gouvernement souligne que certes les autorités n</w:t>
      </w:r>
      <w:r w:rsidRPr="003E3F83" w:rsidR="003E3F83">
        <w:rPr>
          <w:rFonts w:cstheme="minorHAnsi"/>
        </w:rPr>
        <w:t>’</w:t>
      </w:r>
      <w:r w:rsidRPr="003E3F83">
        <w:rPr>
          <w:rFonts w:cstheme="minorHAnsi"/>
        </w:rPr>
        <w:t xml:space="preserve">ignoraient rien des attentats sanglants que les terroristes avaient commis </w:t>
      </w:r>
      <w:r w:rsidRPr="003E3F83">
        <w:rPr>
          <w:rFonts w:cstheme="minorHAnsi"/>
        </w:rPr>
        <w:t xml:space="preserve">contre la population civile auparavant, notamment le 20 juillet 2015 à </w:t>
      </w:r>
      <w:r w:rsidRPr="003E3F83">
        <w:rPr>
          <w:rFonts w:cstheme="minorHAnsi"/>
        </w:rPr>
        <w:t>Suruç</w:t>
      </w:r>
      <w:r w:rsidRPr="003E3F83">
        <w:rPr>
          <w:rFonts w:cstheme="minorHAnsi"/>
        </w:rPr>
        <w:t>, ceux-ci les ayant d</w:t>
      </w:r>
      <w:r w:rsidRPr="003E3F83" w:rsidR="003E3F83">
        <w:rPr>
          <w:rFonts w:cstheme="minorHAnsi"/>
        </w:rPr>
        <w:t>’</w:t>
      </w:r>
      <w:r w:rsidRPr="003E3F83">
        <w:rPr>
          <w:rFonts w:cstheme="minorHAnsi"/>
        </w:rPr>
        <w:t>ailleurs conduites à redoubler de vigilance, mais de tels renseignements n</w:t>
      </w:r>
      <w:r w:rsidRPr="003E3F83" w:rsidR="003E3F83">
        <w:rPr>
          <w:rFonts w:cstheme="minorHAnsi"/>
        </w:rPr>
        <w:t>’</w:t>
      </w:r>
      <w:r w:rsidRPr="003E3F83">
        <w:rPr>
          <w:rFonts w:cstheme="minorHAnsi"/>
        </w:rPr>
        <w:t>étaient pas à eux seuls suffisants pour induire un risque réel et immédiat pour la vie des participants à la manifestation du 10 octobre 2015.</w:t>
      </w:r>
    </w:p>
    <w:p w:rsidRPr="003E3F83" w:rsidR="005B4F8B" w:rsidP="003E3F83" w14:paraId="721382AA" w14:textId="60362CFF">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105</w:t>
      </w:r>
      <w:r w:rsidRPr="003E3F83">
        <w:rPr>
          <w:rFonts w:cstheme="minorHAnsi"/>
        </w:rPr>
        <w:fldChar w:fldCharType="end"/>
      </w:r>
      <w:r w:rsidRPr="003E3F83">
        <w:rPr>
          <w:rFonts w:cstheme="minorHAnsi"/>
        </w:rPr>
        <w:t>.  Comme elle l</w:t>
      </w:r>
      <w:r w:rsidRPr="003E3F83" w:rsidR="003E3F83">
        <w:rPr>
          <w:rFonts w:cstheme="minorHAnsi"/>
        </w:rPr>
        <w:t>’</w:t>
      </w:r>
      <w:r w:rsidRPr="003E3F83">
        <w:rPr>
          <w:rFonts w:cstheme="minorHAnsi"/>
        </w:rPr>
        <w:t>a souligné plus haut (paragraphes</w:t>
      </w:r>
      <w:r w:rsidRPr="003E3F83" w:rsidR="001B1741">
        <w:rPr>
          <w:rFonts w:cstheme="minorHAnsi"/>
        </w:rPr>
        <w:t xml:space="preserve"> </w:t>
      </w:r>
      <w:r w:rsidRPr="003E3F83" w:rsidR="00A86E5B">
        <w:rPr>
          <w:rFonts w:cstheme="minorHAnsi"/>
        </w:rPr>
        <w:fldChar w:fldCharType="begin"/>
      </w:r>
      <w:r w:rsidRPr="003E3F83" w:rsidR="00A86E5B">
        <w:rPr>
          <w:rFonts w:cstheme="minorHAnsi"/>
        </w:rPr>
        <w:instrText xml:space="preserve"> REF paragraph00098 \h  \* CharFormat </w:instrText>
      </w:r>
      <w:r w:rsidRPr="003E3F83" w:rsidR="00A86E5B">
        <w:rPr>
          <w:rFonts w:cstheme="minorHAnsi"/>
        </w:rPr>
        <w:fldChar w:fldCharType="separate"/>
      </w:r>
      <w:r w:rsidRPr="003E3F83" w:rsidR="003E3F83">
        <w:rPr>
          <w:rFonts w:cstheme="minorHAnsi"/>
        </w:rPr>
        <w:t>99</w:t>
      </w:r>
      <w:r w:rsidRPr="003E3F83" w:rsidR="00A86E5B">
        <w:rPr>
          <w:rFonts w:cstheme="minorHAnsi"/>
        </w:rPr>
        <w:fldChar w:fldCharType="end"/>
      </w:r>
      <w:r w:rsidRPr="003E3F83">
        <w:rPr>
          <w:rFonts w:cstheme="minorHAnsi"/>
        </w:rPr>
        <w:t xml:space="preserve"> et</w:t>
      </w:r>
      <w:r w:rsidRPr="003E3F83" w:rsidR="001B1741">
        <w:rPr>
          <w:rFonts w:cstheme="minorHAnsi"/>
        </w:rPr>
        <w:t xml:space="preserve"> </w:t>
      </w:r>
      <w:r w:rsidRPr="003E3F83" w:rsidR="00A86E5B">
        <w:rPr>
          <w:rFonts w:cstheme="minorHAnsi"/>
        </w:rPr>
        <w:fldChar w:fldCharType="begin"/>
      </w:r>
      <w:r w:rsidRPr="003E3F83" w:rsidR="00A86E5B">
        <w:rPr>
          <w:rFonts w:cstheme="minorHAnsi"/>
        </w:rPr>
        <w:instrText xml:space="preserve"> REF paragraph00099 \h  \* CharFormat </w:instrText>
      </w:r>
      <w:r w:rsidRPr="003E3F83" w:rsidR="00A86E5B">
        <w:rPr>
          <w:rFonts w:cstheme="minorHAnsi"/>
        </w:rPr>
        <w:fldChar w:fldCharType="separate"/>
      </w:r>
      <w:r w:rsidRPr="003E3F83" w:rsidR="003E3F83">
        <w:rPr>
          <w:rFonts w:cstheme="minorHAnsi"/>
        </w:rPr>
        <w:t>100</w:t>
      </w:r>
      <w:r w:rsidRPr="003E3F83" w:rsidR="00A86E5B">
        <w:rPr>
          <w:rFonts w:cstheme="minorHAnsi"/>
        </w:rPr>
        <w:fldChar w:fldCharType="end"/>
      </w:r>
      <w:r w:rsidRPr="003E3F83">
        <w:rPr>
          <w:rFonts w:cstheme="minorHAnsi"/>
        </w:rPr>
        <w:t xml:space="preserve"> ci-dessus), la Cour estime qu</w:t>
      </w:r>
      <w:r w:rsidRPr="003E3F83" w:rsidR="003E3F83">
        <w:rPr>
          <w:rFonts w:cstheme="minorHAnsi"/>
        </w:rPr>
        <w:t>’</w:t>
      </w:r>
      <w:r w:rsidRPr="003E3F83">
        <w:rPr>
          <w:rFonts w:cstheme="minorHAnsi"/>
        </w:rPr>
        <w:t>il existait un contexte général de menace terroriste que les autorités ne pouvaient ignorer et dont elles devaient prendre la mesure. Toutefois, la Cour n</w:t>
      </w:r>
      <w:r w:rsidRPr="003E3F83" w:rsidR="003E3F83">
        <w:rPr>
          <w:rFonts w:cstheme="minorHAnsi"/>
        </w:rPr>
        <w:t>’</w:t>
      </w:r>
      <w:r w:rsidRPr="003E3F83">
        <w:rPr>
          <w:rFonts w:cstheme="minorHAnsi"/>
        </w:rPr>
        <w:t>a pas identifié d</w:t>
      </w:r>
      <w:r w:rsidRPr="003E3F83" w:rsidR="003E3F83">
        <w:rPr>
          <w:rFonts w:cstheme="minorHAnsi"/>
        </w:rPr>
        <w:t>’</w:t>
      </w:r>
      <w:r w:rsidRPr="003E3F83">
        <w:rPr>
          <w:rFonts w:cstheme="minorHAnsi"/>
        </w:rPr>
        <w:t>élément tangible susceptible de remettre en cause l</w:t>
      </w:r>
      <w:r w:rsidRPr="003E3F83" w:rsidR="003E3F83">
        <w:rPr>
          <w:rFonts w:cstheme="minorHAnsi"/>
        </w:rPr>
        <w:t>’</w:t>
      </w:r>
      <w:r w:rsidRPr="003E3F83">
        <w:rPr>
          <w:rFonts w:cstheme="minorHAnsi"/>
        </w:rPr>
        <w:t>appréciation des autorités internes concernant l</w:t>
      </w:r>
      <w:r w:rsidRPr="003E3F83" w:rsidR="003E3F83">
        <w:rPr>
          <w:rFonts w:cstheme="minorHAnsi"/>
        </w:rPr>
        <w:t>’</w:t>
      </w:r>
      <w:r w:rsidRPr="003E3F83">
        <w:rPr>
          <w:rFonts w:cstheme="minorHAnsi"/>
        </w:rPr>
        <w:t>absence d</w:t>
      </w:r>
      <w:r w:rsidRPr="003E3F83" w:rsidR="003E3F83">
        <w:rPr>
          <w:rFonts w:cstheme="minorHAnsi"/>
        </w:rPr>
        <w:t>’</w:t>
      </w:r>
      <w:r w:rsidRPr="003E3F83">
        <w:rPr>
          <w:rFonts w:cstheme="minorHAnsi"/>
        </w:rPr>
        <w:t>une menace précise, concrète et imminente pour la vie des participants à la manifestation du 10 octobre 2015.</w:t>
      </w:r>
    </w:p>
    <w:p w:rsidRPr="003E3F83" w:rsidR="005B4F8B" w:rsidP="003E3F83" w14:paraId="7188BA1A" w14:textId="027B80F5">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106</w:t>
      </w:r>
      <w:r w:rsidRPr="003E3F83">
        <w:rPr>
          <w:rFonts w:cstheme="minorHAnsi"/>
        </w:rPr>
        <w:fldChar w:fldCharType="end"/>
      </w:r>
      <w:r w:rsidRPr="003E3F83">
        <w:rPr>
          <w:rFonts w:cstheme="minorHAnsi"/>
        </w:rPr>
        <w:t xml:space="preserve">.  Dans ce contexte, la Cour constate que la police a pris un certain nombre de mesures pour la manifestation du 10 octobre 2015 afin de garantir la sécurité des personnes et des biens (paragraphes </w:t>
      </w:r>
      <w:r w:rsidRPr="003E3F83" w:rsidR="00A86E5B">
        <w:rPr>
          <w:rFonts w:cstheme="minorHAnsi"/>
        </w:rPr>
        <w:fldChar w:fldCharType="begin"/>
      </w:r>
      <w:r w:rsidRPr="003E3F83" w:rsidR="00A86E5B">
        <w:rPr>
          <w:rFonts w:cstheme="minorHAnsi"/>
        </w:rPr>
        <w:instrText xml:space="preserve"> REF paragraph00009 \h  \* CharFormat </w:instrText>
      </w:r>
      <w:r w:rsidRPr="003E3F83" w:rsidR="00A86E5B">
        <w:rPr>
          <w:rFonts w:cstheme="minorHAnsi"/>
        </w:rPr>
        <w:fldChar w:fldCharType="separate"/>
      </w:r>
      <w:r w:rsidRPr="003E3F83" w:rsidR="003E3F83">
        <w:rPr>
          <w:rFonts w:cstheme="minorHAnsi"/>
        </w:rPr>
        <w:t>9</w:t>
      </w:r>
      <w:r w:rsidRPr="003E3F83" w:rsidR="00A86E5B">
        <w:rPr>
          <w:rFonts w:cstheme="minorHAnsi"/>
        </w:rPr>
        <w:fldChar w:fldCharType="end"/>
      </w:r>
      <w:r w:rsidRPr="003E3F83">
        <w:rPr>
          <w:rFonts w:cstheme="minorHAnsi"/>
        </w:rPr>
        <w:t xml:space="preserve"> à </w:t>
      </w:r>
      <w:r w:rsidRPr="003E3F83" w:rsidR="00A86E5B">
        <w:rPr>
          <w:rFonts w:cstheme="minorHAnsi"/>
        </w:rPr>
        <w:fldChar w:fldCharType="begin"/>
      </w:r>
      <w:r w:rsidRPr="003E3F83" w:rsidR="00A86E5B">
        <w:rPr>
          <w:rFonts w:cstheme="minorHAnsi"/>
        </w:rPr>
        <w:instrText xml:space="preserve"> REF paragraph00022 \h  \* CharFormat </w:instrText>
      </w:r>
      <w:r w:rsidRPr="003E3F83" w:rsidR="00A86E5B">
        <w:rPr>
          <w:rFonts w:cstheme="minorHAnsi"/>
        </w:rPr>
        <w:fldChar w:fldCharType="separate"/>
      </w:r>
      <w:r w:rsidRPr="003E3F83" w:rsidR="003E3F83">
        <w:rPr>
          <w:rFonts w:cstheme="minorHAnsi"/>
        </w:rPr>
        <w:t>22</w:t>
      </w:r>
      <w:r w:rsidRPr="003E3F83" w:rsidR="00A86E5B">
        <w:rPr>
          <w:rFonts w:cstheme="minorHAnsi"/>
        </w:rPr>
        <w:fldChar w:fldCharType="end"/>
      </w:r>
      <w:r w:rsidRPr="003E3F83">
        <w:rPr>
          <w:rFonts w:cstheme="minorHAnsi"/>
        </w:rPr>
        <w:t xml:space="preserve"> ci-dessus). Elle a notamment barricadé et sécurisé la zone de la manifestation. Les autorités ont pris des précautions qui peuvent être considérées comme raisonnables au moment des faits. Aussi, la Cour n</w:t>
      </w:r>
      <w:r w:rsidRPr="003E3F83" w:rsidR="003E3F83">
        <w:rPr>
          <w:rFonts w:cstheme="minorHAnsi"/>
        </w:rPr>
        <w:t>’</w:t>
      </w:r>
      <w:r w:rsidRPr="003E3F83">
        <w:rPr>
          <w:rFonts w:cstheme="minorHAnsi"/>
        </w:rPr>
        <w:t>est pas en mesure de considérer que les autorités ont, en l</w:t>
      </w:r>
      <w:r w:rsidRPr="003E3F83" w:rsidR="003E3F83">
        <w:rPr>
          <w:rFonts w:cstheme="minorHAnsi"/>
        </w:rPr>
        <w:t>’</w:t>
      </w:r>
      <w:r w:rsidRPr="003E3F83">
        <w:rPr>
          <w:rFonts w:cstheme="minorHAnsi"/>
        </w:rPr>
        <w:t>espèce, sous-estimé le risque d</w:t>
      </w:r>
      <w:r w:rsidRPr="003E3F83" w:rsidR="003E3F83">
        <w:rPr>
          <w:rFonts w:cstheme="minorHAnsi"/>
        </w:rPr>
        <w:t>’</w:t>
      </w:r>
      <w:r w:rsidRPr="003E3F83">
        <w:rPr>
          <w:rFonts w:cstheme="minorHAnsi"/>
        </w:rPr>
        <w:t>attentat terroriste du 10</w:t>
      </w:r>
      <w:r w:rsidRPr="003E3F83" w:rsidR="001B1741">
        <w:rPr>
          <w:rFonts w:cstheme="minorHAnsi"/>
        </w:rPr>
        <w:t> </w:t>
      </w:r>
      <w:r w:rsidRPr="003E3F83">
        <w:rPr>
          <w:rFonts w:cstheme="minorHAnsi"/>
        </w:rPr>
        <w:t>octobre 2015 à Ankara et que des renseignements plus précis, une meilleure planification et le recours à d</w:t>
      </w:r>
      <w:r w:rsidRPr="003E3F83" w:rsidR="003E3F83">
        <w:rPr>
          <w:rFonts w:cstheme="minorHAnsi"/>
        </w:rPr>
        <w:t>’</w:t>
      </w:r>
      <w:r w:rsidRPr="003E3F83">
        <w:rPr>
          <w:rFonts w:cstheme="minorHAnsi"/>
        </w:rPr>
        <w:t>autres mesures de prévention auraient permis d</w:t>
      </w:r>
      <w:r w:rsidRPr="003E3F83" w:rsidR="003E3F83">
        <w:rPr>
          <w:rFonts w:cstheme="minorHAnsi"/>
        </w:rPr>
        <w:t>’</w:t>
      </w:r>
      <w:r w:rsidRPr="003E3F83">
        <w:rPr>
          <w:rFonts w:cstheme="minorHAnsi"/>
        </w:rPr>
        <w:t>éviter que les évènements prennent la tournure qui a conduit au décès de plusieurs personnes et à la blessure du requérant.</w:t>
      </w:r>
    </w:p>
    <w:p w:rsidRPr="003E3F83" w:rsidR="005B4F8B" w:rsidP="003E3F83" w14:paraId="25586B83" w14:textId="205685D1">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107</w:t>
      </w:r>
      <w:r w:rsidRPr="003E3F83">
        <w:rPr>
          <w:rFonts w:cstheme="minorHAnsi"/>
        </w:rPr>
        <w:fldChar w:fldCharType="end"/>
      </w:r>
      <w:r w:rsidRPr="003E3F83">
        <w:rPr>
          <w:rFonts w:cstheme="minorHAnsi"/>
        </w:rPr>
        <w:t>.  En somme, à la lueur de ce qui précède, compte tenu du fait que les autorités nationales ignoraient qu</w:t>
      </w:r>
      <w:r w:rsidRPr="003E3F83" w:rsidR="003E3F83">
        <w:rPr>
          <w:rFonts w:cstheme="minorHAnsi"/>
        </w:rPr>
        <w:t>’</w:t>
      </w:r>
      <w:r w:rsidRPr="003E3F83">
        <w:rPr>
          <w:rFonts w:cstheme="minorHAnsi"/>
        </w:rPr>
        <w:t>une menace grave, prévisible et imminente d</w:t>
      </w:r>
      <w:r w:rsidRPr="003E3F83" w:rsidR="003E3F83">
        <w:rPr>
          <w:rFonts w:cstheme="minorHAnsi"/>
        </w:rPr>
        <w:t>’</w:t>
      </w:r>
      <w:r w:rsidRPr="003E3F83">
        <w:rPr>
          <w:rFonts w:cstheme="minorHAnsi"/>
        </w:rPr>
        <w:t>attentat terroriste existait concernant la manifestation de 10 octobre 2015, et eu égard aux difficultés particulières inhérentes à la prévention de ce type d</w:t>
      </w:r>
      <w:r w:rsidRPr="003E3F83" w:rsidR="003E3F83">
        <w:rPr>
          <w:rFonts w:cstheme="minorHAnsi"/>
        </w:rPr>
        <w:t>’</w:t>
      </w:r>
      <w:r w:rsidRPr="003E3F83">
        <w:rPr>
          <w:rFonts w:cstheme="minorHAnsi"/>
        </w:rPr>
        <w:t>attentat terroriste, la Cour ne peut estimer que les autorités turques ont méconnu leurs obligations matérielles découlant de l</w:t>
      </w:r>
      <w:r w:rsidRPr="003E3F83" w:rsidR="003E3F83">
        <w:rPr>
          <w:rFonts w:cstheme="minorHAnsi"/>
        </w:rPr>
        <w:t>’</w:t>
      </w:r>
      <w:r w:rsidRPr="003E3F83">
        <w:rPr>
          <w:rFonts w:cstheme="minorHAnsi"/>
        </w:rPr>
        <w:t>article 2 de la Convention.</w:t>
      </w:r>
    </w:p>
    <w:p w:rsidRPr="003E3F83" w:rsidR="005B4F8B" w:rsidP="003E3F83" w14:paraId="4C214200" w14:textId="68D2BF7C">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108</w:t>
      </w:r>
      <w:r w:rsidRPr="003E3F83">
        <w:rPr>
          <w:rFonts w:cstheme="minorHAnsi"/>
        </w:rPr>
        <w:fldChar w:fldCharType="end"/>
      </w:r>
      <w:r w:rsidRPr="003E3F83">
        <w:rPr>
          <w:rFonts w:cstheme="minorHAnsi"/>
        </w:rPr>
        <w:t>.  La Cour constate par ailleurs que les autorités avaient adopté des mesures préventives afin d</w:t>
      </w:r>
      <w:r w:rsidRPr="003E3F83" w:rsidR="003E3F83">
        <w:rPr>
          <w:rFonts w:cstheme="minorHAnsi"/>
        </w:rPr>
        <w:t>’</w:t>
      </w:r>
      <w:r w:rsidRPr="003E3F83">
        <w:rPr>
          <w:rFonts w:cstheme="minorHAnsi"/>
        </w:rPr>
        <w:t xml:space="preserve">assurer le cas échéant </w:t>
      </w:r>
      <w:r w:rsidRPr="003E3F83">
        <w:t>l</w:t>
      </w:r>
      <w:r w:rsidRPr="003E3F83" w:rsidR="003E3F83">
        <w:t>’</w:t>
      </w:r>
      <w:r w:rsidRPr="003E3F83">
        <w:t>envoi immédiat de services de secours d</w:t>
      </w:r>
      <w:r w:rsidRPr="003E3F83" w:rsidR="003E3F83">
        <w:t>’</w:t>
      </w:r>
      <w:r w:rsidRPr="003E3F83">
        <w:t xml:space="preserve">urgence sur les lieux de la manifestation, et elle note que le requérant, qui était légèrement blessé, a pu ainsi bénéficier de soins adéquats relativement rapidement après le </w:t>
      </w:r>
      <w:r w:rsidRPr="003E3F83">
        <w:rPr>
          <w:rFonts w:cstheme="minorHAnsi"/>
        </w:rPr>
        <w:t>double attentat suicide, et ce</w:t>
      </w:r>
      <w:r w:rsidRPr="003E3F83">
        <w:t xml:space="preserve"> malgré les scènes de chaos qui régnaient alors </w:t>
      </w:r>
      <w:r w:rsidRPr="003E3F83">
        <w:rPr>
          <w:rFonts w:cstheme="minorHAnsi"/>
        </w:rPr>
        <w:t>devant la gare d</w:t>
      </w:r>
      <w:r w:rsidRPr="003E3F83" w:rsidR="003E3F83">
        <w:rPr>
          <w:rFonts w:cstheme="minorHAnsi"/>
        </w:rPr>
        <w:t>’</w:t>
      </w:r>
      <w:r w:rsidRPr="003E3F83">
        <w:rPr>
          <w:rFonts w:cstheme="minorHAnsi"/>
        </w:rPr>
        <w:t>Ankara.</w:t>
      </w:r>
    </w:p>
    <w:p w:rsidRPr="003E3F83" w:rsidR="005B4F8B" w:rsidP="003E3F83" w14:paraId="32EDE9CB" w14:textId="51F72D22">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109</w:t>
      </w:r>
      <w:r w:rsidRPr="003E3F83">
        <w:rPr>
          <w:rFonts w:cstheme="minorHAnsi"/>
        </w:rPr>
        <w:fldChar w:fldCharType="end"/>
      </w:r>
      <w:r w:rsidRPr="003E3F83">
        <w:rPr>
          <w:rFonts w:cstheme="minorHAnsi"/>
        </w:rPr>
        <w:t>.  De plus, elle observe qu</w:t>
      </w:r>
      <w:r w:rsidRPr="003E3F83" w:rsidR="003E3F83">
        <w:rPr>
          <w:rFonts w:cstheme="minorHAnsi"/>
        </w:rPr>
        <w:t>’</w:t>
      </w:r>
      <w:r w:rsidRPr="003E3F83">
        <w:rPr>
          <w:rFonts w:cstheme="minorHAnsi"/>
        </w:rPr>
        <w:t>il n</w:t>
      </w:r>
      <w:r w:rsidRPr="003E3F83" w:rsidR="003E3F83">
        <w:rPr>
          <w:rFonts w:cstheme="minorHAnsi"/>
        </w:rPr>
        <w:t>’</w:t>
      </w:r>
      <w:r w:rsidRPr="003E3F83">
        <w:rPr>
          <w:rFonts w:cstheme="minorHAnsi"/>
        </w:rPr>
        <w:t>a pas été établi que l</w:t>
      </w:r>
      <w:r w:rsidRPr="003E3F83" w:rsidR="003E3F83">
        <w:rPr>
          <w:rFonts w:cstheme="minorHAnsi"/>
        </w:rPr>
        <w:t>’</w:t>
      </w:r>
      <w:r w:rsidRPr="003E3F83">
        <w:rPr>
          <w:rFonts w:cstheme="minorHAnsi"/>
        </w:rPr>
        <w:t xml:space="preserve">usage </w:t>
      </w:r>
      <w:r w:rsidRPr="003E3F83">
        <w:rPr>
          <w:rFonts w:ascii="Times New Roman" w:hAnsi="Times New Roman" w:cs="Times New Roman"/>
          <w:color w:val="333333"/>
        </w:rPr>
        <w:t xml:space="preserve">du gaz lacrymogène </w:t>
      </w:r>
      <w:r w:rsidRPr="003E3F83">
        <w:t>juste après l</w:t>
      </w:r>
      <w:r w:rsidRPr="003E3F83" w:rsidR="003E3F83">
        <w:t>’</w:t>
      </w:r>
      <w:r w:rsidRPr="003E3F83">
        <w:t>attentat</w:t>
      </w:r>
      <w:r w:rsidRPr="003E3F83">
        <w:rPr>
          <w:rFonts w:ascii="Times New Roman" w:hAnsi="Times New Roman" w:cs="Times New Roman"/>
          <w:color w:val="333333"/>
        </w:rPr>
        <w:t xml:space="preserve"> par les policiers </w:t>
      </w:r>
      <w:r w:rsidRPr="003E3F83">
        <w:t>pour dissiper la foule et permettre l</w:t>
      </w:r>
      <w:r w:rsidRPr="003E3F83" w:rsidR="003E3F83">
        <w:t>’</w:t>
      </w:r>
      <w:r w:rsidRPr="003E3F83">
        <w:t>accès des forces de l</w:t>
      </w:r>
      <w:r w:rsidRPr="003E3F83" w:rsidR="003E3F83">
        <w:t>’</w:t>
      </w:r>
      <w:r w:rsidRPr="003E3F83">
        <w:t xml:space="preserve">ordre sur les lieux ait </w:t>
      </w:r>
      <w:r w:rsidRPr="003E3F83">
        <w:rPr>
          <w:rFonts w:ascii="Times New Roman" w:hAnsi="Times New Roman" w:cs="Times New Roman"/>
          <w:color w:val="333333"/>
        </w:rPr>
        <w:t>empêché d</w:t>
      </w:r>
      <w:r w:rsidRPr="003E3F83" w:rsidR="003E3F83">
        <w:rPr>
          <w:rFonts w:ascii="Times New Roman" w:hAnsi="Times New Roman" w:cs="Times New Roman"/>
          <w:color w:val="333333"/>
        </w:rPr>
        <w:t>’</w:t>
      </w:r>
      <w:r w:rsidRPr="003E3F83">
        <w:rPr>
          <w:rFonts w:ascii="Times New Roman" w:hAnsi="Times New Roman" w:cs="Times New Roman"/>
          <w:color w:val="333333"/>
        </w:rPr>
        <w:t>une quelconque manière l</w:t>
      </w:r>
      <w:r w:rsidRPr="003E3F83" w:rsidR="003E3F83">
        <w:rPr>
          <w:rFonts w:ascii="Times New Roman" w:hAnsi="Times New Roman" w:cs="Times New Roman"/>
          <w:color w:val="333333"/>
        </w:rPr>
        <w:t>’</w:t>
      </w:r>
      <w:r w:rsidRPr="003E3F83">
        <w:rPr>
          <w:rFonts w:ascii="Times New Roman" w:hAnsi="Times New Roman" w:cs="Times New Roman"/>
          <w:color w:val="333333"/>
        </w:rPr>
        <w:t>intervention rapide des secouristes en vue d</w:t>
      </w:r>
      <w:r w:rsidRPr="003E3F83" w:rsidR="003E3F83">
        <w:rPr>
          <w:rFonts w:ascii="Times New Roman" w:hAnsi="Times New Roman" w:cs="Times New Roman"/>
          <w:color w:val="333333"/>
        </w:rPr>
        <w:t>’</w:t>
      </w:r>
      <w:r w:rsidRPr="003E3F83">
        <w:rPr>
          <w:rFonts w:ascii="Times New Roman" w:hAnsi="Times New Roman" w:cs="Times New Roman"/>
          <w:color w:val="333333"/>
        </w:rPr>
        <w:t>apporter les premiers soins aux personnes blessées.</w:t>
      </w:r>
    </w:p>
    <w:p w:rsidRPr="003E3F83" w:rsidR="005B4F8B" w:rsidP="003E3F83" w14:paraId="6C2EEAE2" w14:textId="2DCD28FA">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110</w:t>
      </w:r>
      <w:r w:rsidRPr="003E3F83">
        <w:rPr>
          <w:rFonts w:cstheme="minorHAnsi"/>
        </w:rPr>
        <w:fldChar w:fldCharType="end"/>
      </w:r>
      <w:r w:rsidRPr="003E3F83">
        <w:rPr>
          <w:rFonts w:cstheme="minorHAnsi"/>
        </w:rPr>
        <w:t>.  Partant, il n</w:t>
      </w:r>
      <w:r w:rsidRPr="003E3F83" w:rsidR="003E3F83">
        <w:rPr>
          <w:rFonts w:cstheme="minorHAnsi"/>
        </w:rPr>
        <w:t>’</w:t>
      </w:r>
      <w:r w:rsidRPr="003E3F83">
        <w:rPr>
          <w:rFonts w:cstheme="minorHAnsi"/>
        </w:rPr>
        <w:t>y a pas eu violation de l</w:t>
      </w:r>
      <w:r w:rsidRPr="003E3F83" w:rsidR="003E3F83">
        <w:rPr>
          <w:rFonts w:cstheme="minorHAnsi"/>
        </w:rPr>
        <w:t>’</w:t>
      </w:r>
      <w:r w:rsidRPr="003E3F83">
        <w:rPr>
          <w:rFonts w:cstheme="minorHAnsi"/>
        </w:rPr>
        <w:t>article 2 de la Convention sous son volet matériel.</w:t>
      </w:r>
    </w:p>
    <w:p w:rsidRPr="003E3F83" w:rsidR="005B4F8B" w:rsidP="003E3F83" w14:paraId="5EF5CDA5" w14:textId="39511869">
      <w:pPr>
        <w:pStyle w:val="JuHa0"/>
      </w:pPr>
      <w:r w:rsidRPr="003E3F83">
        <w:t>Sur le volet procédural de l</w:t>
      </w:r>
      <w:r w:rsidRPr="003E3F83" w:rsidR="003E3F83">
        <w:t>’</w:t>
      </w:r>
      <w:r w:rsidRPr="003E3F83">
        <w:t>article 2 de la Convention</w:t>
      </w:r>
    </w:p>
    <w:p w:rsidRPr="003E3F83" w:rsidR="005B4F8B" w:rsidP="003E3F83" w14:paraId="16DF225D" w14:textId="5598243D">
      <w:pPr>
        <w:pStyle w:val="JuPara"/>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111</w:t>
      </w:r>
      <w:r w:rsidRPr="003E3F83">
        <w:rPr>
          <w:rFonts w:cstheme="minorHAnsi"/>
        </w:rPr>
        <w:fldChar w:fldCharType="end"/>
      </w:r>
      <w:r w:rsidRPr="003E3F83">
        <w:rPr>
          <w:rFonts w:cstheme="minorHAnsi"/>
        </w:rPr>
        <w:t>.  </w:t>
      </w:r>
      <w:r w:rsidRPr="003E3F83">
        <w:t>Ainsi que la Cour l</w:t>
      </w:r>
      <w:r w:rsidRPr="003E3F83" w:rsidR="003E3F83">
        <w:t>’</w:t>
      </w:r>
      <w:r w:rsidRPr="003E3F83">
        <w:t>a énoncé à maintes reprises, l</w:t>
      </w:r>
      <w:r w:rsidRPr="003E3F83" w:rsidR="003E3F83">
        <w:t>’</w:t>
      </w:r>
      <w:r w:rsidRPr="003E3F83">
        <w:t>obligation qui pèse sur l</w:t>
      </w:r>
      <w:r w:rsidRPr="003E3F83" w:rsidR="003E3F83">
        <w:t>’</w:t>
      </w:r>
      <w:r w:rsidRPr="003E3F83">
        <w:t>État de protéger le droit à la vie au regard de l</w:t>
      </w:r>
      <w:r w:rsidRPr="003E3F83" w:rsidR="003E3F83">
        <w:t>’</w:t>
      </w:r>
      <w:r w:rsidRPr="003E3F83">
        <w:t xml:space="preserve">article 2 de la Convention implique non seulement des obligations positives matérielles (voir </w:t>
      </w:r>
      <w:r w:rsidRPr="003E3F83">
        <w:rPr>
          <w:i/>
          <w:iCs/>
        </w:rPr>
        <w:t xml:space="preserve">Nicolae </w:t>
      </w:r>
      <w:r w:rsidRPr="003E3F83">
        <w:rPr>
          <w:i/>
          <w:iCs/>
        </w:rPr>
        <w:t>Virgiliu</w:t>
      </w:r>
      <w:r w:rsidRPr="003E3F83">
        <w:rPr>
          <w:i/>
          <w:iCs/>
        </w:rPr>
        <w:t xml:space="preserve"> </w:t>
      </w:r>
      <w:r w:rsidRPr="003E3F83">
        <w:rPr>
          <w:i/>
          <w:iCs/>
        </w:rPr>
        <w:t>Tănase</w:t>
      </w:r>
      <w:r w:rsidRPr="003E3F83">
        <w:t>, précité, §§ 134-136) mais aussi l</w:t>
      </w:r>
      <w:r w:rsidRPr="003E3F83" w:rsidR="003E3F83">
        <w:t>’</w:t>
      </w:r>
      <w:r w:rsidRPr="003E3F83">
        <w:t>obligation positive procédurale de veiller à ce que soit en place, pour les cas de décès, un système judiciaire effectif et indépendant. Ce système peut varier selon les circonstances (</w:t>
      </w:r>
      <w:r w:rsidRPr="003E3F83">
        <w:rPr>
          <w:i/>
          <w:iCs/>
        </w:rPr>
        <w:t>ibidem</w:t>
      </w:r>
      <w:r w:rsidRPr="003E3F83">
        <w:t>, § 158) mais il doit permettre à bref délai d</w:t>
      </w:r>
      <w:r w:rsidRPr="003E3F83" w:rsidR="003E3F83">
        <w:t>’</w:t>
      </w:r>
      <w:r w:rsidRPr="003E3F83">
        <w:t>établir les faits, de contraindre les responsables à rendre des comptes et de fournir aux victimes une réparation adéquate (comparer avec</w:t>
      </w:r>
      <w:bookmarkStart w:name="_cl2942" w:id="29"/>
      <w:r w:rsidRPr="003E3F83" w:rsidR="00A86E5B">
        <w:t xml:space="preserve"> </w:t>
      </w:r>
      <w:r w:rsidRPr="003E3F83">
        <w:rPr>
          <w:i/>
          <w:iCs/>
        </w:rPr>
        <w:t>Calvelli</w:t>
      </w:r>
      <w:r w:rsidRPr="003E3F83">
        <w:rPr>
          <w:i/>
          <w:iCs/>
        </w:rPr>
        <w:t xml:space="preserve"> et </w:t>
      </w:r>
      <w:r w:rsidRPr="003E3F83">
        <w:rPr>
          <w:i/>
          <w:iCs/>
        </w:rPr>
        <w:t>Ciglio</w:t>
      </w:r>
      <w:r w:rsidRPr="003E3F83">
        <w:rPr>
          <w:i/>
          <w:iCs/>
        </w:rPr>
        <w:t xml:space="preserve"> c.</w:t>
      </w:r>
      <w:r w:rsidRPr="003E3F83" w:rsidR="001B1741">
        <w:rPr>
          <w:i/>
          <w:iCs/>
        </w:rPr>
        <w:t> </w:t>
      </w:r>
      <w:r w:rsidRPr="003E3F83">
        <w:rPr>
          <w:i/>
          <w:iCs/>
        </w:rPr>
        <w:t>Italie</w:t>
      </w:r>
      <w:bookmarkEnd w:id="29"/>
      <w:r w:rsidRPr="003E3F83">
        <w:t xml:space="preserve"> [GC], n</w:t>
      </w:r>
      <w:r w:rsidRPr="003E3F83">
        <w:rPr>
          <w:vertAlign w:val="superscript"/>
        </w:rPr>
        <w:t>o</w:t>
      </w:r>
      <w:r w:rsidRPr="003E3F83">
        <w:t xml:space="preserve"> 32967/96, § 49, CEDH 2002-I, </w:t>
      </w:r>
      <w:bookmarkStart w:name="_cl18984" w:id="30"/>
      <w:r w:rsidRPr="003E3F83">
        <w:rPr>
          <w:i/>
          <w:iCs/>
        </w:rPr>
        <w:t>Vo c. France</w:t>
      </w:r>
      <w:bookmarkEnd w:id="30"/>
      <w:r w:rsidRPr="003E3F83">
        <w:t xml:space="preserve"> [GC], n</w:t>
      </w:r>
      <w:r w:rsidRPr="003E3F83">
        <w:rPr>
          <w:vertAlign w:val="superscript"/>
        </w:rPr>
        <w:t>o</w:t>
      </w:r>
      <w:r w:rsidRPr="003E3F83" w:rsidR="001B1741">
        <w:t> </w:t>
      </w:r>
      <w:r w:rsidRPr="003E3F83">
        <w:t>53924/00, §</w:t>
      </w:r>
      <w:r w:rsidRPr="003E3F83" w:rsidR="001B1741">
        <w:t> </w:t>
      </w:r>
      <w:r w:rsidRPr="003E3F83">
        <w:t xml:space="preserve">89, CEDH 2004-VIII, </w:t>
      </w:r>
      <w:bookmarkStart w:name="_cl16476" w:id="31"/>
      <w:r w:rsidRPr="003E3F83">
        <w:rPr>
          <w:i/>
          <w:iCs/>
        </w:rPr>
        <w:t>Šilih</w:t>
      </w:r>
      <w:r w:rsidRPr="003E3F83">
        <w:rPr>
          <w:i/>
          <w:iCs/>
        </w:rPr>
        <w:t xml:space="preserve"> c. Slovénie</w:t>
      </w:r>
      <w:bookmarkEnd w:id="31"/>
      <w:r w:rsidRPr="003E3F83">
        <w:t xml:space="preserve"> [GC], n</w:t>
      </w:r>
      <w:r w:rsidRPr="003E3F83">
        <w:rPr>
          <w:vertAlign w:val="superscript"/>
        </w:rPr>
        <w:t>o</w:t>
      </w:r>
      <w:r w:rsidRPr="003E3F83">
        <w:t xml:space="preserve"> 71463/01, §§ 155 et</w:t>
      </w:r>
      <w:r w:rsidRPr="003E3F83" w:rsidR="001B1741">
        <w:t> </w:t>
      </w:r>
      <w:r w:rsidRPr="003E3F83">
        <w:t>192, 9</w:t>
      </w:r>
      <w:r w:rsidRPr="003E3F83" w:rsidR="001B1741">
        <w:t> </w:t>
      </w:r>
      <w:r w:rsidRPr="003E3F83">
        <w:t xml:space="preserve">avril 2009, et </w:t>
      </w:r>
      <w:bookmarkStart w:name="_cl10612" w:id="32"/>
      <w:r w:rsidRPr="003E3F83">
        <w:rPr>
          <w:i/>
          <w:iCs/>
        </w:rPr>
        <w:t>Lopes de Sousa Fernandes c. Portugal</w:t>
      </w:r>
      <w:bookmarkEnd w:id="32"/>
      <w:r w:rsidRPr="003E3F83">
        <w:t xml:space="preserve"> [GC], n</w:t>
      </w:r>
      <w:r w:rsidRPr="003E3F83">
        <w:rPr>
          <w:vertAlign w:val="superscript"/>
        </w:rPr>
        <w:t>o</w:t>
      </w:r>
      <w:r w:rsidRPr="003E3F83" w:rsidR="001B1741">
        <w:t> </w:t>
      </w:r>
      <w:r w:rsidRPr="003E3F83">
        <w:t>56080/13, §</w:t>
      </w:r>
      <w:r w:rsidRPr="003E3F83" w:rsidR="001B1741">
        <w:t> </w:t>
      </w:r>
      <w:r w:rsidRPr="003E3F83">
        <w:t>214, 19 décembre 2017).</w:t>
      </w:r>
    </w:p>
    <w:p w:rsidRPr="003E3F83" w:rsidR="005B4F8B" w:rsidP="003E3F83" w14:paraId="740D8B05" w14:textId="1C5CBE70">
      <w:pPr>
        <w:pStyle w:val="JuPara"/>
        <w:rPr>
          <w:rFonts w:cstheme="minorHAnsi"/>
        </w:rPr>
      </w:pPr>
      <w:r>
        <w:fldChar w:fldCharType="begin"/>
      </w:r>
      <w:r>
        <w:instrText xml:space="preserve"> SEQ level0 \*arabic \* MERGEFORMAT </w:instrText>
      </w:r>
      <w:r>
        <w:fldChar w:fldCharType="separate"/>
      </w:r>
      <w:r w:rsidRPr="003E3F83" w:rsidR="003E3F83">
        <w:rPr>
          <w:noProof/>
        </w:rPr>
        <w:t>112</w:t>
      </w:r>
      <w:r>
        <w:rPr>
          <w:noProof/>
        </w:rPr>
        <w:fldChar w:fldCharType="end"/>
      </w:r>
      <w:r w:rsidRPr="003E3F83">
        <w:t>.  </w:t>
      </w:r>
      <w:r w:rsidRPr="003E3F83">
        <w:rPr>
          <w:rFonts w:cstheme="minorHAnsi"/>
        </w:rPr>
        <w:t>En l</w:t>
      </w:r>
      <w:r w:rsidRPr="003E3F83" w:rsidR="003E3F83">
        <w:rPr>
          <w:rFonts w:cstheme="minorHAnsi"/>
        </w:rPr>
        <w:t>’</w:t>
      </w:r>
      <w:r w:rsidRPr="003E3F83">
        <w:rPr>
          <w:rFonts w:cstheme="minorHAnsi"/>
        </w:rPr>
        <w:t>espèce, la Cour relève que les autorités ont mené un certain nombre d</w:t>
      </w:r>
      <w:r w:rsidRPr="003E3F83" w:rsidR="003E3F83">
        <w:rPr>
          <w:rFonts w:cstheme="minorHAnsi"/>
        </w:rPr>
        <w:t>’</w:t>
      </w:r>
      <w:r w:rsidRPr="003E3F83">
        <w:rPr>
          <w:rFonts w:cstheme="minorHAnsi"/>
        </w:rPr>
        <w:t>investigations et d</w:t>
      </w:r>
      <w:r w:rsidRPr="003E3F83" w:rsidR="003E3F83">
        <w:rPr>
          <w:rFonts w:cstheme="minorHAnsi"/>
        </w:rPr>
        <w:t>’</w:t>
      </w:r>
      <w:r w:rsidRPr="003E3F83">
        <w:rPr>
          <w:rFonts w:cstheme="minorHAnsi"/>
        </w:rPr>
        <w:t>enquêtes afin de reconstituer les faits, d</w:t>
      </w:r>
      <w:r w:rsidRPr="003E3F83" w:rsidR="003E3F83">
        <w:rPr>
          <w:rFonts w:cstheme="minorHAnsi"/>
        </w:rPr>
        <w:t>’</w:t>
      </w:r>
      <w:r w:rsidRPr="003E3F83">
        <w:rPr>
          <w:rFonts w:cstheme="minorHAnsi"/>
        </w:rPr>
        <w:t>en rechercher les responsables pour les traduire en justice et d</w:t>
      </w:r>
      <w:r w:rsidRPr="003E3F83" w:rsidR="003E3F83">
        <w:rPr>
          <w:rFonts w:cstheme="minorHAnsi"/>
        </w:rPr>
        <w:t>’</w:t>
      </w:r>
      <w:r w:rsidRPr="003E3F83">
        <w:rPr>
          <w:rFonts w:cstheme="minorHAnsi"/>
        </w:rPr>
        <w:t>assurer l</w:t>
      </w:r>
      <w:r w:rsidRPr="003E3F83" w:rsidR="003E3F83">
        <w:rPr>
          <w:rFonts w:cstheme="minorHAnsi"/>
        </w:rPr>
        <w:t>’</w:t>
      </w:r>
      <w:r w:rsidRPr="003E3F83">
        <w:rPr>
          <w:rFonts w:cstheme="minorHAnsi"/>
        </w:rPr>
        <w:t>accès des victimes à la justice. Le 3 août 2018, la cour d</w:t>
      </w:r>
      <w:r w:rsidRPr="003E3F83" w:rsidR="003E3F83">
        <w:rPr>
          <w:rFonts w:cstheme="minorHAnsi"/>
        </w:rPr>
        <w:t>’</w:t>
      </w:r>
      <w:r w:rsidRPr="003E3F83">
        <w:rPr>
          <w:rFonts w:cstheme="minorHAnsi"/>
        </w:rPr>
        <w:t>assises d</w:t>
      </w:r>
      <w:r w:rsidRPr="003E3F83" w:rsidR="003E3F83">
        <w:rPr>
          <w:rFonts w:cstheme="minorHAnsi"/>
        </w:rPr>
        <w:t>’</w:t>
      </w:r>
      <w:r w:rsidRPr="003E3F83">
        <w:rPr>
          <w:rFonts w:cstheme="minorHAnsi"/>
        </w:rPr>
        <w:t>Ankara a ainsi reconnu dix-neuf personnes coupables d</w:t>
      </w:r>
      <w:r w:rsidRPr="003E3F83" w:rsidR="003E3F83">
        <w:rPr>
          <w:rFonts w:cstheme="minorHAnsi"/>
        </w:rPr>
        <w:t>’</w:t>
      </w:r>
      <w:r w:rsidRPr="003E3F83">
        <w:rPr>
          <w:rFonts w:cstheme="minorHAnsi"/>
        </w:rPr>
        <w:t>avoir participé à l</w:t>
      </w:r>
      <w:r w:rsidRPr="003E3F83" w:rsidR="003E3F83">
        <w:rPr>
          <w:rFonts w:cstheme="minorHAnsi"/>
        </w:rPr>
        <w:t>’</w:t>
      </w:r>
      <w:r w:rsidRPr="003E3F83">
        <w:rPr>
          <w:rFonts w:cstheme="minorHAnsi"/>
        </w:rPr>
        <w:t>attentat du 10 octobre 2015, et elle les a condamnées à la réclusion criminelle à perpétuité pour homicide volontaire, tentative d</w:t>
      </w:r>
      <w:r w:rsidRPr="003E3F83" w:rsidR="003E3F83">
        <w:rPr>
          <w:rFonts w:cstheme="minorHAnsi"/>
        </w:rPr>
        <w:t>’</w:t>
      </w:r>
      <w:r w:rsidRPr="003E3F83">
        <w:rPr>
          <w:rFonts w:cstheme="minorHAnsi"/>
        </w:rPr>
        <w:t>homicide et tentative de renversement</w:t>
      </w:r>
      <w:r w:rsidRPr="003E3F83" w:rsidR="008A0867">
        <w:rPr>
          <w:rFonts w:cstheme="minorHAnsi"/>
        </w:rPr>
        <w:t xml:space="preserve"> </w:t>
      </w:r>
      <w:r w:rsidRPr="003E3F83">
        <w:rPr>
          <w:rFonts w:cstheme="minorHAnsi"/>
        </w:rPr>
        <w:t>de l</w:t>
      </w:r>
      <w:r w:rsidRPr="003E3F83" w:rsidR="003E3F83">
        <w:rPr>
          <w:rFonts w:cstheme="minorHAnsi"/>
        </w:rPr>
        <w:t>’</w:t>
      </w:r>
      <w:r w:rsidRPr="003E3F83">
        <w:rPr>
          <w:rFonts w:cstheme="minorHAnsi"/>
        </w:rPr>
        <w:t>ordre constitutionnel. Certes, selon les éléments du dossier, la procédure menée contre certains des accusés est toujours pendante et elle a connu un retard considérable. Toutefois, la Cour constate que celui-ci n</w:t>
      </w:r>
      <w:r w:rsidRPr="003E3F83" w:rsidR="003E3F83">
        <w:rPr>
          <w:rFonts w:cstheme="minorHAnsi"/>
        </w:rPr>
        <w:t>’</w:t>
      </w:r>
      <w:r w:rsidRPr="003E3F83">
        <w:rPr>
          <w:rFonts w:cstheme="minorHAnsi"/>
        </w:rPr>
        <w:t>a pas été de nature à nuire à l</w:t>
      </w:r>
      <w:r w:rsidRPr="003E3F83" w:rsidR="003E3F83">
        <w:rPr>
          <w:rFonts w:cstheme="minorHAnsi"/>
        </w:rPr>
        <w:t>’</w:t>
      </w:r>
      <w:r w:rsidRPr="003E3F83">
        <w:rPr>
          <w:rFonts w:cstheme="minorHAnsi"/>
        </w:rPr>
        <w:t>établissement des faits et des responsabilités. Par ailleurs, rien n</w:t>
      </w:r>
      <w:r w:rsidRPr="003E3F83" w:rsidR="003E3F83">
        <w:rPr>
          <w:rFonts w:cstheme="minorHAnsi"/>
        </w:rPr>
        <w:t>’</w:t>
      </w:r>
      <w:r w:rsidRPr="003E3F83">
        <w:rPr>
          <w:rFonts w:cstheme="minorHAnsi"/>
        </w:rPr>
        <w:t>indique à ce stade que les juridictions pénales entendent laisser impunies les atteintes injustifiées au droit à la vie commises dans la présente affaire.</w:t>
      </w:r>
    </w:p>
    <w:p w:rsidRPr="003E3F83" w:rsidR="005B4F8B" w:rsidP="003E3F83" w14:paraId="77D45E6A" w14:textId="55C6A5BA">
      <w:pPr>
        <w:pStyle w:val="JuPara"/>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113</w:t>
      </w:r>
      <w:r w:rsidRPr="003E3F83">
        <w:rPr>
          <w:rFonts w:cstheme="minorHAnsi"/>
        </w:rPr>
        <w:fldChar w:fldCharType="end"/>
      </w:r>
      <w:r w:rsidRPr="003E3F83">
        <w:rPr>
          <w:rFonts w:cstheme="minorHAnsi"/>
        </w:rPr>
        <w:t>.  À cet égard, la Cour entend rappeler</w:t>
      </w:r>
      <w:r w:rsidRPr="003E3F83">
        <w:t xml:space="preserve"> sa jurisprudence relative à la protection procédurale du droit à la vie, et notamment l</w:t>
      </w:r>
      <w:r w:rsidRPr="003E3F83" w:rsidR="003E3F83">
        <w:t>’</w:t>
      </w:r>
      <w:r w:rsidRPr="003E3F83">
        <w:t xml:space="preserve">obligation de diligence qui incombe aux autorités nationales dans la conduite des enquêtes et des procédures judiciaires (voir, pour les principes généraux, </w:t>
      </w:r>
      <w:r w:rsidRPr="003E3F83">
        <w:rPr>
          <w:i/>
          <w:iCs/>
        </w:rPr>
        <w:t xml:space="preserve">Mustafa </w:t>
      </w:r>
      <w:r w:rsidRPr="003E3F83">
        <w:rPr>
          <w:i/>
          <w:iCs/>
        </w:rPr>
        <w:t>Tunç</w:t>
      </w:r>
      <w:r w:rsidRPr="003E3F83">
        <w:rPr>
          <w:i/>
          <w:iCs/>
        </w:rPr>
        <w:t xml:space="preserve"> et </w:t>
      </w:r>
      <w:r w:rsidRPr="003E3F83">
        <w:rPr>
          <w:i/>
          <w:iCs/>
        </w:rPr>
        <w:t>Fecire</w:t>
      </w:r>
      <w:r w:rsidRPr="003E3F83">
        <w:rPr>
          <w:i/>
          <w:iCs/>
        </w:rPr>
        <w:t xml:space="preserve"> </w:t>
      </w:r>
      <w:r w:rsidRPr="003E3F83">
        <w:rPr>
          <w:i/>
          <w:iCs/>
        </w:rPr>
        <w:t>Tunç</w:t>
      </w:r>
      <w:r w:rsidRPr="003E3F83">
        <w:rPr>
          <w:i/>
          <w:iCs/>
        </w:rPr>
        <w:t xml:space="preserve"> c. Turquie</w:t>
      </w:r>
      <w:r w:rsidRPr="003E3F83">
        <w:t xml:space="preserve"> [GC], n</w:t>
      </w:r>
      <w:r w:rsidRPr="003E3F83">
        <w:rPr>
          <w:vertAlign w:val="superscript"/>
        </w:rPr>
        <w:t>o</w:t>
      </w:r>
      <w:r w:rsidRPr="003E3F83" w:rsidR="001B1741">
        <w:t xml:space="preserve"> </w:t>
      </w:r>
      <w:r w:rsidRPr="003E3F83">
        <w:t>24014/05, §§ 169 à</w:t>
      </w:r>
      <w:r w:rsidRPr="003E3F83" w:rsidR="008A0867">
        <w:t xml:space="preserve"> </w:t>
      </w:r>
      <w:r w:rsidRPr="003E3F83">
        <w:t xml:space="preserve">182, 14 avril 2015, </w:t>
      </w:r>
      <w:bookmarkStart w:name="_cl1091" w:id="33"/>
      <w:r w:rsidRPr="003E3F83">
        <w:rPr>
          <w:i/>
          <w:iCs/>
        </w:rPr>
        <w:t>Armani Da Silva c. Royaume-Uni</w:t>
      </w:r>
      <w:bookmarkEnd w:id="33"/>
      <w:r w:rsidRPr="003E3F83">
        <w:t xml:space="preserve"> [GC], n</w:t>
      </w:r>
      <w:r w:rsidRPr="003E3F83">
        <w:rPr>
          <w:vertAlign w:val="superscript"/>
        </w:rPr>
        <w:t>o</w:t>
      </w:r>
      <w:r w:rsidRPr="003E3F83">
        <w:t xml:space="preserve"> 5878/08, § 237, 30 mars 2016, et </w:t>
      </w:r>
      <w:bookmarkStart w:name="_cl6537" w:id="34"/>
      <w:r w:rsidRPr="003E3F83">
        <w:rPr>
          <w:i/>
          <w:iCs/>
        </w:rPr>
        <w:t xml:space="preserve">Giuliani et </w:t>
      </w:r>
      <w:r w:rsidRPr="003E3F83">
        <w:rPr>
          <w:i/>
          <w:iCs/>
        </w:rPr>
        <w:t>Gaggio</w:t>
      </w:r>
      <w:r w:rsidRPr="003E3F83">
        <w:rPr>
          <w:i/>
          <w:iCs/>
        </w:rPr>
        <w:t xml:space="preserve"> c. Italie</w:t>
      </w:r>
      <w:bookmarkEnd w:id="34"/>
      <w:r w:rsidRPr="003E3F83">
        <w:t xml:space="preserve"> [GC], n</w:t>
      </w:r>
      <w:r w:rsidRPr="003E3F83">
        <w:rPr>
          <w:vertAlign w:val="superscript"/>
        </w:rPr>
        <w:t>o</w:t>
      </w:r>
      <w:r w:rsidRPr="003E3F83">
        <w:t xml:space="preserve"> 23458/02, § 305, CEDH 2011 (extraits)).</w:t>
      </w:r>
    </w:p>
    <w:p w:rsidRPr="003E3F83" w:rsidR="005B4F8B" w:rsidP="003E3F83" w14:paraId="2936F5E8" w14:textId="1F74A7A0">
      <w:pPr>
        <w:pStyle w:val="JuPara"/>
        <w:rPr>
          <w:rFonts w:cstheme="minorHAnsi"/>
        </w:rPr>
      </w:pPr>
      <w:r>
        <w:fldChar w:fldCharType="begin"/>
      </w:r>
      <w:r>
        <w:instrText xml:space="preserve"> SEQ level0 \*arabic \* MERGEFORMAT </w:instrText>
      </w:r>
      <w:r>
        <w:fldChar w:fldCharType="separate"/>
      </w:r>
      <w:r w:rsidRPr="003E3F83" w:rsidR="003E3F83">
        <w:rPr>
          <w:noProof/>
        </w:rPr>
        <w:t>114</w:t>
      </w:r>
      <w:r>
        <w:rPr>
          <w:noProof/>
        </w:rPr>
        <w:fldChar w:fldCharType="end"/>
      </w:r>
      <w:r w:rsidRPr="003E3F83">
        <w:t>.  Outre la voie pénale, la Cour note que le système juridique turc offrait au requérant des recours en indemnisation fondés, d</w:t>
      </w:r>
      <w:r w:rsidRPr="003E3F83" w:rsidR="003E3F83">
        <w:t>’</w:t>
      </w:r>
      <w:r w:rsidRPr="003E3F83">
        <w:t>une part, sur la loi</w:t>
      </w:r>
      <w:r w:rsidRPr="003E3F83" w:rsidR="008A0867">
        <w:t xml:space="preserve"> </w:t>
      </w:r>
      <w:r w:rsidRPr="003E3F83">
        <w:t>n</w:t>
      </w:r>
      <w:r w:rsidRPr="003E3F83">
        <w:rPr>
          <w:vertAlign w:val="superscript"/>
        </w:rPr>
        <w:t>o</w:t>
      </w:r>
      <w:r w:rsidRPr="003E3F83">
        <w:t> 5233 et, d</w:t>
      </w:r>
      <w:r w:rsidRPr="003E3F83" w:rsidR="003E3F83">
        <w:t>’</w:t>
      </w:r>
      <w:r w:rsidRPr="003E3F83">
        <w:t>autre part, sur l</w:t>
      </w:r>
      <w:r w:rsidRPr="003E3F83" w:rsidR="003E3F83">
        <w:t>’</w:t>
      </w:r>
      <w:r w:rsidRPr="003E3F83">
        <w:t xml:space="preserve">article 125 de la Constitution et les </w:t>
      </w:r>
      <w:r w:rsidRPr="003E3F83">
        <w:rPr>
          <w:rFonts w:cstheme="minorHAnsi"/>
        </w:rPr>
        <w:t>articles 11 à</w:t>
      </w:r>
      <w:r w:rsidRPr="003E3F83" w:rsidR="008A0867">
        <w:rPr>
          <w:rFonts w:cstheme="minorHAnsi"/>
        </w:rPr>
        <w:t> </w:t>
      </w:r>
      <w:r w:rsidRPr="003E3F83">
        <w:rPr>
          <w:rFonts w:cstheme="minorHAnsi"/>
        </w:rPr>
        <w:t>13 de la loi n</w:t>
      </w:r>
      <w:r w:rsidRPr="003E3F83">
        <w:rPr>
          <w:rFonts w:cstheme="minorHAnsi"/>
          <w:vertAlign w:val="superscript"/>
        </w:rPr>
        <w:t>o</w:t>
      </w:r>
      <w:r w:rsidRPr="003E3F83">
        <w:rPr>
          <w:rFonts w:cstheme="minorHAnsi"/>
        </w:rPr>
        <w:t xml:space="preserve"> 2577 sur la procédure administrative.</w:t>
      </w:r>
    </w:p>
    <w:p w:rsidRPr="003E3F83" w:rsidR="005B4F8B" w:rsidP="003E3F83" w14:paraId="3C848040" w14:textId="5D5B786D">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115</w:t>
      </w:r>
      <w:r w:rsidRPr="003E3F83">
        <w:rPr>
          <w:rFonts w:cstheme="minorHAnsi"/>
        </w:rPr>
        <w:fldChar w:fldCharType="end"/>
      </w:r>
      <w:r w:rsidRPr="003E3F83">
        <w:rPr>
          <w:rFonts w:cstheme="minorHAnsi"/>
        </w:rPr>
        <w:t>.  Elle observe que la demande en réparation de préjudice matériel formée par le requérant a été rejetée par la Commission d</w:t>
      </w:r>
      <w:r w:rsidRPr="003E3F83" w:rsidR="003E3F83">
        <w:rPr>
          <w:rFonts w:cstheme="minorHAnsi"/>
        </w:rPr>
        <w:t>’</w:t>
      </w:r>
      <w:r w:rsidRPr="003E3F83">
        <w:rPr>
          <w:rFonts w:cstheme="minorHAnsi"/>
        </w:rPr>
        <w:t>indemnisation au motif que l</w:t>
      </w:r>
      <w:r w:rsidRPr="003E3F83" w:rsidR="003E3F83">
        <w:rPr>
          <w:rFonts w:cstheme="minorHAnsi"/>
        </w:rPr>
        <w:t>’</w:t>
      </w:r>
      <w:r w:rsidRPr="003E3F83">
        <w:rPr>
          <w:rFonts w:cstheme="minorHAnsi"/>
        </w:rPr>
        <w:t>intéressé n</w:t>
      </w:r>
      <w:r w:rsidRPr="003E3F83" w:rsidR="003E3F83">
        <w:rPr>
          <w:rFonts w:cstheme="minorHAnsi"/>
        </w:rPr>
        <w:t>’</w:t>
      </w:r>
      <w:r w:rsidRPr="003E3F83">
        <w:rPr>
          <w:rFonts w:cstheme="minorHAnsi"/>
        </w:rPr>
        <w:t>avait pas soumis tous les documents qui lui avaient été demandés.</w:t>
      </w:r>
    </w:p>
    <w:p w:rsidRPr="003E3F83" w:rsidR="005B4F8B" w:rsidP="003E3F83" w14:paraId="4238EF37" w14:textId="7C0C8A5B">
      <w:pPr>
        <w:pStyle w:val="JuPara"/>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116</w:t>
      </w:r>
      <w:r w:rsidRPr="003E3F83">
        <w:rPr>
          <w:rFonts w:cstheme="minorHAnsi"/>
        </w:rPr>
        <w:fldChar w:fldCharType="end"/>
      </w:r>
      <w:r w:rsidRPr="003E3F83">
        <w:rPr>
          <w:rFonts w:cstheme="minorHAnsi"/>
        </w:rPr>
        <w:t>.  </w:t>
      </w:r>
      <w:r w:rsidRPr="003E3F83">
        <w:t>Quant à la demande d</w:t>
      </w:r>
      <w:r w:rsidRPr="003E3F83" w:rsidR="003E3F83">
        <w:t>’</w:t>
      </w:r>
      <w:r w:rsidRPr="003E3F83">
        <w:t>indemnisation de préjudice moral introduite par l</w:t>
      </w:r>
      <w:r w:rsidRPr="003E3F83" w:rsidR="003E3F83">
        <w:t>’</w:t>
      </w:r>
      <w:r w:rsidRPr="003E3F83">
        <w:t>intéressé, la Cour relève que les juridictions administratives ont considéré que la responsabilité de l</w:t>
      </w:r>
      <w:r w:rsidRPr="003E3F83" w:rsidR="003E3F83">
        <w:t>’</w:t>
      </w:r>
      <w:r w:rsidRPr="003E3F83">
        <w:t>État du fait de carences des services de renseignement dans l</w:t>
      </w:r>
      <w:r w:rsidRPr="003E3F83" w:rsidR="003E3F83">
        <w:t>’</w:t>
      </w:r>
      <w:r w:rsidRPr="003E3F83">
        <w:t>évaluation du risque d</w:t>
      </w:r>
      <w:r w:rsidRPr="003E3F83" w:rsidR="003E3F83">
        <w:t>’</w:t>
      </w:r>
      <w:r w:rsidRPr="003E3F83">
        <w:t>attentat terroriste pouvait être engagée sur le fondement d</w:t>
      </w:r>
      <w:r w:rsidRPr="003E3F83" w:rsidR="003E3F83">
        <w:t>’</w:t>
      </w:r>
      <w:r w:rsidRPr="003E3F83">
        <w:t>une responsabilité objective.</w:t>
      </w:r>
    </w:p>
    <w:p w:rsidRPr="003E3F83" w:rsidR="005B4F8B" w:rsidP="003E3F83" w14:paraId="1D3DF443" w14:textId="0B9579DE">
      <w:pPr>
        <w:pStyle w:val="JuPara"/>
      </w:pPr>
      <w:r>
        <w:fldChar w:fldCharType="begin"/>
      </w:r>
      <w:r>
        <w:instrText xml:space="preserve"> SEQ level0 \*arabic \* MERGEFORMAT </w:instrText>
      </w:r>
      <w:r>
        <w:fldChar w:fldCharType="separate"/>
      </w:r>
      <w:r w:rsidRPr="003E3F83" w:rsidR="003E3F83">
        <w:rPr>
          <w:noProof/>
        </w:rPr>
        <w:t>117</w:t>
      </w:r>
      <w:r>
        <w:rPr>
          <w:noProof/>
        </w:rPr>
        <w:fldChar w:fldCharType="end"/>
      </w:r>
      <w:r w:rsidRPr="003E3F83">
        <w:t>.  Ce système de responsabilité poursuit un but indemnitaire et a pour objectif de faciliter l</w:t>
      </w:r>
      <w:r w:rsidRPr="003E3F83" w:rsidR="003E3F83">
        <w:t>’</w:t>
      </w:r>
      <w:r w:rsidRPr="003E3F83">
        <w:t>indemnisation de la victime en supprimant la nécessité de prouver une faute imputable à l</w:t>
      </w:r>
      <w:r w:rsidRPr="003E3F83" w:rsidR="003E3F83">
        <w:t>’</w:t>
      </w:r>
      <w:r w:rsidRPr="003E3F83">
        <w:t>administration. Ce système apparaît dès lors favorable à la victime dont la charge de la preuve est allégée.</w:t>
      </w:r>
    </w:p>
    <w:p w:rsidRPr="003E3F83" w:rsidR="005B4F8B" w:rsidP="003E3F83" w14:paraId="6CD07BAA" w14:textId="088A87B0">
      <w:pPr>
        <w:pStyle w:val="JuPara"/>
      </w:pPr>
      <w:r>
        <w:fldChar w:fldCharType="begin"/>
      </w:r>
      <w:r>
        <w:instrText xml:space="preserve"> SEQ level0 \*arabic \* MERGEFORMAT </w:instrText>
      </w:r>
      <w:r>
        <w:fldChar w:fldCharType="separate"/>
      </w:r>
      <w:r w:rsidRPr="003E3F83" w:rsidR="003E3F83">
        <w:rPr>
          <w:noProof/>
        </w:rPr>
        <w:t>118</w:t>
      </w:r>
      <w:r>
        <w:rPr>
          <w:noProof/>
        </w:rPr>
        <w:fldChar w:fldCharType="end"/>
      </w:r>
      <w:r w:rsidRPr="003E3F83">
        <w:t>.  Aux yeux de la Cour, dans les circonstances de la cause, qui concernent un attentat terroriste commis par deux kamikazes, l</w:t>
      </w:r>
      <w:r w:rsidRPr="003E3F83" w:rsidR="003E3F83">
        <w:t>’</w:t>
      </w:r>
      <w:r w:rsidRPr="003E3F83">
        <w:t>approche ainsi adoptée par les juridictions administratives peut être considérée comme répondant au critère du « système judiciaire efficace ».</w:t>
      </w:r>
    </w:p>
    <w:p w:rsidRPr="003E3F83" w:rsidR="005B4F8B" w:rsidP="003E3F83" w14:paraId="152513FC" w14:textId="14287236">
      <w:pPr>
        <w:pStyle w:val="JuPara"/>
      </w:pPr>
      <w:r>
        <w:fldChar w:fldCharType="begin"/>
      </w:r>
      <w:r>
        <w:instrText xml:space="preserve"> SEQ level0 \*arabic \* MERGEFORMAT </w:instrText>
      </w:r>
      <w:r>
        <w:fldChar w:fldCharType="separate"/>
      </w:r>
      <w:r w:rsidRPr="003E3F83" w:rsidR="003E3F83">
        <w:rPr>
          <w:noProof/>
        </w:rPr>
        <w:t>119</w:t>
      </w:r>
      <w:r>
        <w:rPr>
          <w:noProof/>
        </w:rPr>
        <w:fldChar w:fldCharType="end"/>
      </w:r>
      <w:r w:rsidRPr="003E3F83">
        <w:t>.  Quant à la question de savoir si le redressement offert au requérant était approprié et suffisant, la Cour rappelle que l</w:t>
      </w:r>
      <w:r w:rsidRPr="003E3F83" w:rsidR="003E3F83">
        <w:t>’</w:t>
      </w:r>
      <w:r w:rsidRPr="003E3F83">
        <w:t>appréciation portée sur ce point dépend de l</w:t>
      </w:r>
      <w:r w:rsidRPr="003E3F83" w:rsidR="003E3F83">
        <w:t>’</w:t>
      </w:r>
      <w:r w:rsidRPr="003E3F83">
        <w:t>ensemble des circonstances de la cause, eu égard en particulier à la nature de la violation de la Convention qui se trouve en jeu (</w:t>
      </w:r>
      <w:bookmarkStart w:name="_cl6092" w:id="35"/>
      <w:r w:rsidRPr="003E3F83">
        <w:rPr>
          <w:i/>
          <w:iCs/>
        </w:rPr>
        <w:t>Gäfgen</w:t>
      </w:r>
      <w:r w:rsidRPr="003E3F83">
        <w:rPr>
          <w:i/>
          <w:iCs/>
        </w:rPr>
        <w:t xml:space="preserve"> c. Allemagne</w:t>
      </w:r>
      <w:bookmarkEnd w:id="35"/>
      <w:r w:rsidRPr="003E3F83">
        <w:t xml:space="preserve"> [GC], n</w:t>
      </w:r>
      <w:r w:rsidRPr="003E3F83">
        <w:rPr>
          <w:vertAlign w:val="superscript"/>
        </w:rPr>
        <w:t>o</w:t>
      </w:r>
      <w:r w:rsidRPr="003E3F83">
        <w:t xml:space="preserve"> 22978/05, § 116, CEDH 2010).</w:t>
      </w:r>
    </w:p>
    <w:p w:rsidRPr="003E3F83" w:rsidR="005B4F8B" w:rsidP="003E3F83" w14:paraId="4A7C5B53" w14:textId="05298E76">
      <w:pPr>
        <w:pStyle w:val="JuPara"/>
      </w:pPr>
      <w:r>
        <w:fldChar w:fldCharType="begin"/>
      </w:r>
      <w:r>
        <w:instrText xml:space="preserve"> SEQ level0 \*arabic \* MERGEFORMAT </w:instrText>
      </w:r>
      <w:r>
        <w:fldChar w:fldCharType="separate"/>
      </w:r>
      <w:r w:rsidRPr="003E3F83" w:rsidR="003E3F83">
        <w:rPr>
          <w:noProof/>
        </w:rPr>
        <w:t>120</w:t>
      </w:r>
      <w:r>
        <w:rPr>
          <w:noProof/>
        </w:rPr>
        <w:fldChar w:fldCharType="end"/>
      </w:r>
      <w:r w:rsidRPr="003E3F83">
        <w:t>.  Elle observe que le tribunal administratif a octroyé, en l</w:t>
      </w:r>
      <w:r w:rsidRPr="003E3F83" w:rsidR="003E3F83">
        <w:t>’</w:t>
      </w:r>
      <w:r w:rsidRPr="003E3F83">
        <w:t>espèce, au requérant une indemnité d</w:t>
      </w:r>
      <w:r w:rsidRPr="003E3F83" w:rsidR="003E3F83">
        <w:t>’</w:t>
      </w:r>
      <w:r w:rsidRPr="003E3F83">
        <w:t>un montant équivalent à 3</w:t>
      </w:r>
      <w:r w:rsidRPr="003E3F83" w:rsidR="001B1741">
        <w:t> </w:t>
      </w:r>
      <w:r w:rsidRPr="003E3F83">
        <w:t>875</w:t>
      </w:r>
      <w:r w:rsidRPr="003E3F83" w:rsidR="001B1741">
        <w:t> </w:t>
      </w:r>
      <w:r w:rsidRPr="003E3F83">
        <w:t>EUR pour le dommage moral qu</w:t>
      </w:r>
      <w:r w:rsidRPr="003E3F83" w:rsidR="003E3F83">
        <w:t>’</w:t>
      </w:r>
      <w:r w:rsidRPr="003E3F83">
        <w:t>il avait subi. Elle estime que la réparation allouée peut passer pour adéquate et suffisante dans les circonstances de la cause, eu égard à la situation du requérant.</w:t>
      </w:r>
    </w:p>
    <w:p w:rsidRPr="003E3F83" w:rsidR="005B4F8B" w:rsidP="003E3F83" w14:paraId="1FC86282" w14:textId="02AF84A2">
      <w:pPr>
        <w:pStyle w:val="JuPara"/>
      </w:pPr>
      <w:r>
        <w:fldChar w:fldCharType="begin"/>
      </w:r>
      <w:r>
        <w:instrText xml:space="preserve"> SEQ level0 \*arabic \* MERGEFORMAT </w:instrText>
      </w:r>
      <w:r>
        <w:fldChar w:fldCharType="separate"/>
      </w:r>
      <w:r w:rsidRPr="003E3F83" w:rsidR="003E3F83">
        <w:rPr>
          <w:noProof/>
        </w:rPr>
        <w:t>121</w:t>
      </w:r>
      <w:r>
        <w:rPr>
          <w:noProof/>
        </w:rPr>
        <w:fldChar w:fldCharType="end"/>
      </w:r>
      <w:r w:rsidRPr="003E3F83">
        <w:t>.  En conclusion, et eu égard à tout ce qui précède, la Cour considère que le droit interne a offert au requérant des voies de recours propres à satisfaire à l</w:t>
      </w:r>
      <w:r w:rsidRPr="003E3F83" w:rsidR="003E3F83">
        <w:t>’</w:t>
      </w:r>
      <w:r w:rsidRPr="003E3F83">
        <w:t>obligation qui incombait à l</w:t>
      </w:r>
      <w:r w:rsidRPr="003E3F83" w:rsidR="003E3F83">
        <w:t>’</w:t>
      </w:r>
      <w:r w:rsidRPr="003E3F83">
        <w:t>État défendeur au titre de l</w:t>
      </w:r>
      <w:r w:rsidRPr="003E3F83" w:rsidR="003E3F83">
        <w:t>’</w:t>
      </w:r>
      <w:r w:rsidRPr="003E3F83">
        <w:t>article 2 de la Convention de mettre en place un système judiciaire efficace capable d</w:t>
      </w:r>
      <w:r w:rsidRPr="003E3F83" w:rsidR="003E3F83">
        <w:t>’</w:t>
      </w:r>
      <w:r w:rsidRPr="003E3F83">
        <w:t xml:space="preserve">apporter une réponse juridictionnelle appropriée dans les circonstances de la cause (voir </w:t>
      </w:r>
      <w:r w:rsidRPr="003E3F83">
        <w:rPr>
          <w:i/>
          <w:iCs/>
        </w:rPr>
        <w:t>Göktepe</w:t>
      </w:r>
      <w:r w:rsidRPr="003E3F83">
        <w:rPr>
          <w:i/>
          <w:iCs/>
        </w:rPr>
        <w:t xml:space="preserve"> et autres c. Turquie</w:t>
      </w:r>
      <w:r w:rsidRPr="003E3F83">
        <w:t xml:space="preserve"> (déc.), n</w:t>
      </w:r>
      <w:r w:rsidRPr="003E3F83">
        <w:rPr>
          <w:vertAlign w:val="superscript"/>
        </w:rPr>
        <w:t>o</w:t>
      </w:r>
      <w:r w:rsidRPr="003E3F83">
        <w:t xml:space="preserve"> 64731/01, 26 avril 2005).</w:t>
      </w:r>
    </w:p>
    <w:p w:rsidRPr="003E3F83" w:rsidR="005B4F8B" w:rsidP="003E3F83" w14:paraId="6577E985" w14:textId="58F8A404">
      <w:pPr>
        <w:pStyle w:val="JuPara"/>
        <w:rPr>
          <w:rFonts w:cstheme="minorHAnsi"/>
        </w:rPr>
      </w:pPr>
      <w:r w:rsidRPr="003E3F83">
        <w:rPr>
          <w:rFonts w:cstheme="minorHAnsi"/>
        </w:rPr>
        <w:fldChar w:fldCharType="begin"/>
      </w:r>
      <w:r w:rsidRPr="003E3F83">
        <w:rPr>
          <w:rFonts w:cstheme="minorHAnsi"/>
        </w:rPr>
        <w:instrText xml:space="preserve"> SEQ level0 \*arabic \* MERGEFORMAT </w:instrText>
      </w:r>
      <w:r w:rsidRPr="003E3F83">
        <w:rPr>
          <w:rFonts w:cstheme="minorHAnsi"/>
        </w:rPr>
        <w:fldChar w:fldCharType="separate"/>
      </w:r>
      <w:r w:rsidRPr="003E3F83" w:rsidR="003E3F83">
        <w:rPr>
          <w:rFonts w:cstheme="minorHAnsi"/>
          <w:noProof/>
        </w:rPr>
        <w:t>122</w:t>
      </w:r>
      <w:r w:rsidRPr="003E3F83">
        <w:rPr>
          <w:rFonts w:cstheme="minorHAnsi"/>
        </w:rPr>
        <w:fldChar w:fldCharType="end"/>
      </w:r>
      <w:r w:rsidRPr="003E3F83">
        <w:rPr>
          <w:rFonts w:cstheme="minorHAnsi"/>
        </w:rPr>
        <w:t>.  Partant, il n</w:t>
      </w:r>
      <w:r w:rsidRPr="003E3F83" w:rsidR="003E3F83">
        <w:rPr>
          <w:rFonts w:cstheme="minorHAnsi"/>
        </w:rPr>
        <w:t>’</w:t>
      </w:r>
      <w:r w:rsidRPr="003E3F83">
        <w:rPr>
          <w:rFonts w:cstheme="minorHAnsi"/>
        </w:rPr>
        <w:t>y a pas eu violation de l</w:t>
      </w:r>
      <w:r w:rsidRPr="003E3F83" w:rsidR="003E3F83">
        <w:rPr>
          <w:rFonts w:cstheme="minorHAnsi"/>
        </w:rPr>
        <w:t>’</w:t>
      </w:r>
      <w:r w:rsidRPr="003E3F83">
        <w:rPr>
          <w:rFonts w:cstheme="minorHAnsi"/>
        </w:rPr>
        <w:t>article 2 de la Convention sous son volet procédural.</w:t>
      </w:r>
    </w:p>
    <w:bookmarkEnd w:id="11"/>
    <w:p w:rsidRPr="003E3F83" w:rsidR="005B4F8B" w:rsidP="003E3F83" w14:paraId="44467A6B" w14:textId="2894D633">
      <w:pPr>
        <w:pStyle w:val="JuHHead"/>
      </w:pPr>
      <w:r w:rsidRPr="003E3F83">
        <w:t>PAR CES MOTIFS, LA COUR, À L</w:t>
      </w:r>
      <w:r w:rsidRPr="003E3F83" w:rsidR="003E3F83">
        <w:t>’</w:t>
      </w:r>
      <w:r w:rsidRPr="003E3F83">
        <w:t>UNANIMITÉ,</w:t>
      </w:r>
    </w:p>
    <w:p w:rsidRPr="003E3F83" w:rsidR="005B4F8B" w:rsidP="003E3F83" w14:paraId="5ED33250" w14:textId="31BC0EC9">
      <w:pPr>
        <w:pStyle w:val="JuList"/>
      </w:pPr>
      <w:r w:rsidRPr="003E3F83">
        <w:rPr>
          <w:i/>
        </w:rPr>
        <w:t>Déclare</w:t>
      </w:r>
      <w:r w:rsidRPr="003E3F83" w:rsidR="001B1741">
        <w:t xml:space="preserve"> </w:t>
      </w:r>
      <w:r w:rsidRPr="003E3F83">
        <w:t>la requête recevable ;</w:t>
      </w:r>
    </w:p>
    <w:p w:rsidRPr="003E3F83" w:rsidR="00876F03" w:rsidP="003E3F83" w14:paraId="673DFFED" w14:textId="53736DE8">
      <w:pPr>
        <w:pStyle w:val="JuList"/>
      </w:pPr>
      <w:r w:rsidRPr="003E3F83">
        <w:rPr>
          <w:i/>
        </w:rPr>
        <w:t>Dit</w:t>
      </w:r>
      <w:r w:rsidRPr="003E3F83" w:rsidR="001B1741">
        <w:t xml:space="preserve"> </w:t>
      </w:r>
      <w:r w:rsidRPr="003E3F83">
        <w:t>qu</w:t>
      </w:r>
      <w:r w:rsidRPr="003E3F83" w:rsidR="003E3F83">
        <w:t>’</w:t>
      </w:r>
      <w:r w:rsidRPr="003E3F83">
        <w:t>il n</w:t>
      </w:r>
      <w:r w:rsidRPr="003E3F83" w:rsidR="003E3F83">
        <w:t>’</w:t>
      </w:r>
      <w:r w:rsidRPr="003E3F83">
        <w:t>y a pas eu violation de l</w:t>
      </w:r>
      <w:r w:rsidRPr="003E3F83" w:rsidR="003E3F83">
        <w:t>’</w:t>
      </w:r>
      <w:r w:rsidRPr="003E3F83">
        <w:t>article 2 de la Convention</w:t>
      </w:r>
      <w:r w:rsidRPr="003E3F83" w:rsidR="00676A4E">
        <w:t>.</w:t>
      </w:r>
    </w:p>
    <w:p w:rsidRPr="003E3F83" w:rsidR="00893F30" w:rsidP="003E3F83" w14:paraId="50901145" w14:textId="1EA61E05">
      <w:pPr>
        <w:pStyle w:val="JuParaLast"/>
      </w:pPr>
      <w:r w:rsidRPr="003E3F83">
        <w:t xml:space="preserve">Fait en français, puis communiqué par écrit le </w:t>
      </w:r>
      <w:r w:rsidRPr="003E3F83" w:rsidR="005B4F8B">
        <w:t>9 juillet 2024</w:t>
      </w:r>
      <w:r w:rsidRPr="003E3F83">
        <w:t>, en application de l</w:t>
      </w:r>
      <w:r w:rsidRPr="003E3F83" w:rsidR="003E3F83">
        <w:t>’</w:t>
      </w:r>
      <w:r w:rsidRPr="003E3F83">
        <w:t>article 77 §§ 2 et 3 du règlement.</w:t>
      </w:r>
    </w:p>
    <w:p w:rsidRPr="003E3F83" w:rsidR="00F94531" w:rsidP="003E3F83" w14:paraId="41F36CAB" w14:textId="05D3B877">
      <w:pPr>
        <w:pStyle w:val="JuSigned"/>
        <w:keepNext/>
        <w:keepLines/>
        <w:rPr>
          <w:color w:val="F8F8F8" w:themeColor="background2"/>
        </w:rPr>
      </w:pPr>
      <w:r w:rsidRPr="003E3F83">
        <w:rPr>
          <w:color w:val="F8F8F8" w:themeColor="background2"/>
        </w:rPr>
        <w:tab/>
      </w:r>
    </w:p>
    <w:p w:rsidRPr="003E3F83" w:rsidR="00876F03" w:rsidP="003E3F83" w14:paraId="2ABFD365" w14:textId="02EFEB6B">
      <w:pPr>
        <w:pStyle w:val="JuSigned"/>
      </w:pPr>
      <w:r w:rsidRPr="003E3F83">
        <w:tab/>
      </w:r>
      <w:r w:rsidRPr="003E3F83" w:rsidR="005B4F8B">
        <w:t xml:space="preserve">Hasan </w:t>
      </w:r>
      <w:r w:rsidRPr="003E3F83" w:rsidR="005B4F8B">
        <w:t>Bakırcı</w:t>
      </w:r>
      <w:r w:rsidRPr="003E3F83" w:rsidR="004344E6">
        <w:tab/>
      </w:r>
      <w:r w:rsidRPr="003E3F83" w:rsidR="005B4F8B">
        <w:t>Arnfinn</w:t>
      </w:r>
      <w:r w:rsidRPr="003E3F83" w:rsidR="005B4F8B">
        <w:t xml:space="preserve"> </w:t>
      </w:r>
      <w:r w:rsidRPr="003E3F83" w:rsidR="005B4F8B">
        <w:t>Bårdsen</w:t>
      </w:r>
      <w:r w:rsidRPr="003E3F83" w:rsidR="004344E6">
        <w:br/>
      </w:r>
      <w:r w:rsidRPr="003E3F83" w:rsidR="004344E6">
        <w:tab/>
      </w:r>
      <w:r w:rsidRPr="003E3F83" w:rsidR="005B4F8B">
        <w:t>Greffier</w:t>
      </w:r>
      <w:r w:rsidRPr="003E3F83" w:rsidR="009E0E2A">
        <w:rPr>
          <w:iCs/>
        </w:rPr>
        <w:tab/>
      </w:r>
      <w:r w:rsidRPr="003E3F83" w:rsidR="005B4F8B">
        <w:t>Président</w:t>
      </w:r>
    </w:p>
    <w:sectPr>
      <w:headerReference w:type="even" r:id="rId10"/>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54AD6" w:rsidRPr="00F25EFC" w:rsidP="00954AD6" w14:paraId="308917C4" w14:textId="355A8386">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B4F8B" w:rsidRPr="00150BFA" w:rsidP="0020718E" w14:paraId="2C61CFB3" w14:textId="5815D560">
    <w:pPr>
      <w:jc w:val="center"/>
    </w:pPr>
    <w:r>
      <w:rPr>
        <w:noProof/>
        <w:lang w:val="en-US"/>
      </w:rPr>
      <w:drawing>
        <wp:inline distT="0" distB="0" distL="0" distR="0">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8A046A" w:rsidRPr="00F25EFC" w:rsidP="00F27D13" w14:paraId="711C6514" w14:textId="4ADE9563">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B4F8B" w:rsidRPr="00150BFA" w:rsidP="0020718E" w14:paraId="156549B1" w14:textId="469CBE35">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02601" w:rsidRPr="00F25EFC" w:rsidP="00902601" w14:paraId="099ABDCA" w14:textId="6012A6FA">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A046A" w:rsidRPr="00D01935" w:rsidP="00662882" w14:paraId="4BBB8579" w14:textId="2D41B305">
    <w:pPr>
      <w:pStyle w:val="JuHeader"/>
    </w:pPr>
    <w:r>
      <w:fldChar w:fldCharType="begin"/>
    </w:r>
    <w:r>
      <w:instrText xml:space="preserve"> PAGE  \* MERGEFORMAT </w:instrText>
    </w:r>
    <w:r>
      <w:fldChar w:fldCharType="separate"/>
    </w:r>
    <w:r>
      <w:rPr>
        <w:noProof/>
      </w:rPr>
      <w:t>2</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B4F8B" w:rsidRPr="00A45145" w:rsidP="00A45145" w14:paraId="1150E9F1" w14:textId="6C05D865">
    <w:pPr>
      <w:jc w:val="center"/>
    </w:pPr>
    <w:r>
      <w:rPr>
        <w:noProof/>
        <w:lang w:val="en-US"/>
      </w:rPr>
      <w:drawing>
        <wp:inline distT="0" distB="0" distL="0" distR="0">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A046A" w:rsidRPr="00F25EFC" w:rsidP="009840A2" w14:paraId="444F351F" w14:textId="5CA2C8F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B4F8B" w:rsidRPr="00A45145" w:rsidP="00A45145" w14:paraId="5F9AD4AA" w14:textId="332C4E0F">
    <w:pPr>
      <w:jc w:val="center"/>
    </w:pPr>
    <w:r>
      <w:rPr>
        <w:noProof/>
        <w:lang w:val="en-US"/>
      </w:rPr>
      <w:drawing>
        <wp:inline distT="0" distB="0" distL="0" distR="0">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F25EFC" w:rsidP="00902601" w14:paraId="6FD574CB" w14:textId="4423F9A0">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A046A" w:rsidRPr="00592C8D" w:rsidP="00A21624" w14:paraId="1A2227AA" w14:textId="5EFD4872">
    <w:pPr>
      <w:pStyle w:val="JuHeader"/>
      <w:rPr>
        <w:lang w:val="en-US"/>
      </w:rPr>
    </w:pPr>
    <w:r w:rsidRPr="00592C8D">
      <w:rPr>
        <w:lang w:val="en-US"/>
      </w:rPr>
      <w:t>ARRÊT</w:t>
    </w:r>
    <w:r w:rsidRPr="00592C8D" w:rsidR="00256F45">
      <w:rPr>
        <w:lang w:val="en-US"/>
      </w:rPr>
      <w:t xml:space="preserve"> </w:t>
    </w:r>
    <w:r w:rsidR="005B4F8B">
      <w:rPr>
        <w:lang w:val="en-US"/>
      </w:rPr>
      <w:t>SELÇUK c. TÜRKİYE</w:t>
    </w:r>
    <w:r w:rsidRPr="00592C8D" w:rsidR="005B4F8B">
      <w:rPr>
        <w:noProof/>
        <w:lang w:val="en-US"/>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A046A" w:rsidRPr="00662882" w:rsidP="00662882" w14:paraId="78297CDC" w14:textId="735234A5">
    <w:pPr>
      <w:pStyle w:val="JuHeader"/>
    </w:pPr>
    <w:r w:rsidRPr="00592C8D">
      <w:rPr>
        <w:lang w:val="en-US"/>
      </w:rPr>
      <w:t>ARRÊT</w:t>
    </w:r>
    <w:r w:rsidRPr="00592C8D" w:rsidR="00162967">
      <w:rPr>
        <w:lang w:val="en-US"/>
      </w:rPr>
      <w:t xml:space="preserve"> </w:t>
    </w:r>
    <w:r w:rsidR="005B4F8B">
      <w:rPr>
        <w:lang w:val="en-US"/>
      </w:rPr>
      <w:t>SELÇUK c. TÜRKİYE</w:t>
    </w:r>
    <w:r w:rsidRPr="00592C8D" w:rsidR="007971FF">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447500691">
    <w:abstractNumId w:val="13"/>
  </w:num>
  <w:num w:numId="2" w16cid:durableId="302195060">
    <w:abstractNumId w:val="11"/>
  </w:num>
  <w:num w:numId="3" w16cid:durableId="641234927">
    <w:abstractNumId w:val="10"/>
  </w:num>
  <w:num w:numId="4" w16cid:durableId="1862472236">
    <w:abstractNumId w:val="14"/>
  </w:num>
  <w:num w:numId="5" w16cid:durableId="1717005965">
    <w:abstractNumId w:val="12"/>
  </w:num>
  <w:num w:numId="6" w16cid:durableId="1643732588">
    <w:abstractNumId w:val="15"/>
  </w:num>
  <w:num w:numId="7" w16cid:durableId="1687945433">
    <w:abstractNumId w:val="16"/>
  </w:num>
  <w:num w:numId="8" w16cid:durableId="727533006">
    <w:abstractNumId w:val="7"/>
  </w:num>
  <w:num w:numId="9" w16cid:durableId="844981499">
    <w:abstractNumId w:val="6"/>
  </w:num>
  <w:num w:numId="10" w16cid:durableId="832990040">
    <w:abstractNumId w:val="5"/>
  </w:num>
  <w:num w:numId="11" w16cid:durableId="1641611956">
    <w:abstractNumId w:val="4"/>
  </w:num>
  <w:num w:numId="12" w16cid:durableId="1789933242">
    <w:abstractNumId w:val="8"/>
  </w:num>
  <w:num w:numId="13" w16cid:durableId="1196886304">
    <w:abstractNumId w:val="3"/>
  </w:num>
  <w:num w:numId="14" w16cid:durableId="1255934927">
    <w:abstractNumId w:val="2"/>
  </w:num>
  <w:num w:numId="15" w16cid:durableId="1145127560">
    <w:abstractNumId w:val="1"/>
  </w:num>
  <w:num w:numId="16" w16cid:durableId="216819719">
    <w:abstractNumId w:val="0"/>
  </w:num>
  <w:num w:numId="17" w16cid:durableId="1850871042">
    <w:abstractNumId w:val="9"/>
  </w:num>
  <w:num w:numId="18" w16cid:durableId="1195071224">
    <w:abstractNumId w:val="14"/>
  </w:num>
  <w:num w:numId="19" w16cid:durableId="576789892">
    <w:abstractNumId w:val="12"/>
  </w:num>
  <w:num w:numId="20" w16cid:durableId="162861033">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F8B"/>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675A9"/>
    <w:rsid w:val="00080ECE"/>
    <w:rsid w:val="0008621D"/>
    <w:rsid w:val="00086E4E"/>
    <w:rsid w:val="00086E70"/>
    <w:rsid w:val="0009057B"/>
    <w:rsid w:val="000925AD"/>
    <w:rsid w:val="000A20EB"/>
    <w:rsid w:val="000A24EB"/>
    <w:rsid w:val="000B5D17"/>
    <w:rsid w:val="000B64A3"/>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50BFA"/>
    <w:rsid w:val="001625AD"/>
    <w:rsid w:val="00162967"/>
    <w:rsid w:val="00162A12"/>
    <w:rsid w:val="00166530"/>
    <w:rsid w:val="00181508"/>
    <w:rsid w:val="001832BD"/>
    <w:rsid w:val="001943B5"/>
    <w:rsid w:val="00194C5B"/>
    <w:rsid w:val="00195134"/>
    <w:rsid w:val="001A145B"/>
    <w:rsid w:val="001A2684"/>
    <w:rsid w:val="001A674C"/>
    <w:rsid w:val="001B1741"/>
    <w:rsid w:val="001B3B24"/>
    <w:rsid w:val="001C0F98"/>
    <w:rsid w:val="001C2A42"/>
    <w:rsid w:val="001C2B5C"/>
    <w:rsid w:val="001C6A7B"/>
    <w:rsid w:val="001D63ED"/>
    <w:rsid w:val="001D7348"/>
    <w:rsid w:val="001E035B"/>
    <w:rsid w:val="001E0961"/>
    <w:rsid w:val="001E3EAE"/>
    <w:rsid w:val="001E6F32"/>
    <w:rsid w:val="001F2145"/>
    <w:rsid w:val="001F39F4"/>
    <w:rsid w:val="001F6262"/>
    <w:rsid w:val="001F67B0"/>
    <w:rsid w:val="001F7B3D"/>
    <w:rsid w:val="00204F24"/>
    <w:rsid w:val="00205F9F"/>
    <w:rsid w:val="0020718E"/>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1F46"/>
    <w:rsid w:val="00263CD7"/>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468DC"/>
    <w:rsid w:val="003471AF"/>
    <w:rsid w:val="003506B1"/>
    <w:rsid w:val="00356AC7"/>
    <w:rsid w:val="003609FA"/>
    <w:rsid w:val="00361D45"/>
    <w:rsid w:val="00367B4F"/>
    <w:rsid w:val="003710C8"/>
    <w:rsid w:val="003722CE"/>
    <w:rsid w:val="003750BE"/>
    <w:rsid w:val="00387B9D"/>
    <w:rsid w:val="00387DFB"/>
    <w:rsid w:val="0039364F"/>
    <w:rsid w:val="00396686"/>
    <w:rsid w:val="0039778E"/>
    <w:rsid w:val="003A37B8"/>
    <w:rsid w:val="003B4941"/>
    <w:rsid w:val="003B6A2E"/>
    <w:rsid w:val="003C5714"/>
    <w:rsid w:val="003C6B9F"/>
    <w:rsid w:val="003C6E2A"/>
    <w:rsid w:val="003D0299"/>
    <w:rsid w:val="003D32BE"/>
    <w:rsid w:val="003E3F83"/>
    <w:rsid w:val="003E3FE3"/>
    <w:rsid w:val="003E6D80"/>
    <w:rsid w:val="003E7A9C"/>
    <w:rsid w:val="003F05FA"/>
    <w:rsid w:val="003F244A"/>
    <w:rsid w:val="003F30B8"/>
    <w:rsid w:val="003F4C45"/>
    <w:rsid w:val="003F5F7B"/>
    <w:rsid w:val="003F7D64"/>
    <w:rsid w:val="00401F7D"/>
    <w:rsid w:val="00402ADA"/>
    <w:rsid w:val="00403E01"/>
    <w:rsid w:val="0041177B"/>
    <w:rsid w:val="00414300"/>
    <w:rsid w:val="00425C67"/>
    <w:rsid w:val="00427E7A"/>
    <w:rsid w:val="00431C07"/>
    <w:rsid w:val="004344E6"/>
    <w:rsid w:val="00436C49"/>
    <w:rsid w:val="0044318F"/>
    <w:rsid w:val="00445366"/>
    <w:rsid w:val="00447F5B"/>
    <w:rsid w:val="00456549"/>
    <w:rsid w:val="004604A0"/>
    <w:rsid w:val="00461DB0"/>
    <w:rsid w:val="00463926"/>
    <w:rsid w:val="00464C9A"/>
    <w:rsid w:val="00474F3D"/>
    <w:rsid w:val="00477E3A"/>
    <w:rsid w:val="00483E5F"/>
    <w:rsid w:val="00484EA4"/>
    <w:rsid w:val="00485FF9"/>
    <w:rsid w:val="004907F0"/>
    <w:rsid w:val="0049140B"/>
    <w:rsid w:val="004923A5"/>
    <w:rsid w:val="00496197"/>
    <w:rsid w:val="00496BFB"/>
    <w:rsid w:val="004A15C7"/>
    <w:rsid w:val="004B013B"/>
    <w:rsid w:val="004B112B"/>
    <w:rsid w:val="004C01E4"/>
    <w:rsid w:val="004C086C"/>
    <w:rsid w:val="004C14C4"/>
    <w:rsid w:val="004C1A3F"/>
    <w:rsid w:val="004C1F56"/>
    <w:rsid w:val="004C27BC"/>
    <w:rsid w:val="004D15F3"/>
    <w:rsid w:val="004D51C3"/>
    <w:rsid w:val="004D5311"/>
    <w:rsid w:val="004D5DCC"/>
    <w:rsid w:val="004E22F1"/>
    <w:rsid w:val="004F10AF"/>
    <w:rsid w:val="004F11A4"/>
    <w:rsid w:val="004F2389"/>
    <w:rsid w:val="004F304D"/>
    <w:rsid w:val="004F61BE"/>
    <w:rsid w:val="004F66B1"/>
    <w:rsid w:val="00510D77"/>
    <w:rsid w:val="00511C07"/>
    <w:rsid w:val="00516967"/>
    <w:rsid w:val="00516B59"/>
    <w:rsid w:val="005173A6"/>
    <w:rsid w:val="00520BAA"/>
    <w:rsid w:val="00520BC2"/>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4B9A"/>
    <w:rsid w:val="0059574A"/>
    <w:rsid w:val="005A1B9B"/>
    <w:rsid w:val="005A6751"/>
    <w:rsid w:val="005B092E"/>
    <w:rsid w:val="005B152C"/>
    <w:rsid w:val="005B1EE0"/>
    <w:rsid w:val="005B2B24"/>
    <w:rsid w:val="005B4425"/>
    <w:rsid w:val="005B4B94"/>
    <w:rsid w:val="005B4F8B"/>
    <w:rsid w:val="005C353F"/>
    <w:rsid w:val="005C3EE8"/>
    <w:rsid w:val="005C5494"/>
    <w:rsid w:val="005D34F9"/>
    <w:rsid w:val="005D4190"/>
    <w:rsid w:val="005D67A3"/>
    <w:rsid w:val="005E2988"/>
    <w:rsid w:val="005E3085"/>
    <w:rsid w:val="005F51E1"/>
    <w:rsid w:val="00610F7A"/>
    <w:rsid w:val="00611C80"/>
    <w:rsid w:val="00613B21"/>
    <w:rsid w:val="00620692"/>
    <w:rsid w:val="006242CA"/>
    <w:rsid w:val="00627507"/>
    <w:rsid w:val="00633717"/>
    <w:rsid w:val="006344E1"/>
    <w:rsid w:val="006361FD"/>
    <w:rsid w:val="006545C4"/>
    <w:rsid w:val="00654B7E"/>
    <w:rsid w:val="00657ADF"/>
    <w:rsid w:val="00661971"/>
    <w:rsid w:val="00661CE8"/>
    <w:rsid w:val="006623D9"/>
    <w:rsid w:val="00662882"/>
    <w:rsid w:val="0066550C"/>
    <w:rsid w:val="006716F2"/>
    <w:rsid w:val="00676A4E"/>
    <w:rsid w:val="006779BD"/>
    <w:rsid w:val="00682BF2"/>
    <w:rsid w:val="006859CE"/>
    <w:rsid w:val="00691270"/>
    <w:rsid w:val="00694BA8"/>
    <w:rsid w:val="006A037C"/>
    <w:rsid w:val="006A36F4"/>
    <w:rsid w:val="006A406F"/>
    <w:rsid w:val="006A5D3A"/>
    <w:rsid w:val="006C23D4"/>
    <w:rsid w:val="006C475E"/>
    <w:rsid w:val="006C7BB0"/>
    <w:rsid w:val="006D3237"/>
    <w:rsid w:val="006D760C"/>
    <w:rsid w:val="006E2E37"/>
    <w:rsid w:val="006E3CF1"/>
    <w:rsid w:val="006E7E80"/>
    <w:rsid w:val="006F48CA"/>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4E99"/>
    <w:rsid w:val="007971FF"/>
    <w:rsid w:val="007A4070"/>
    <w:rsid w:val="007A716F"/>
    <w:rsid w:val="007B270A"/>
    <w:rsid w:val="007C0695"/>
    <w:rsid w:val="007C1302"/>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84261"/>
    <w:rsid w:val="00891107"/>
    <w:rsid w:val="00893576"/>
    <w:rsid w:val="00893E73"/>
    <w:rsid w:val="00893F30"/>
    <w:rsid w:val="00895F5B"/>
    <w:rsid w:val="008A046A"/>
    <w:rsid w:val="008A0867"/>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1E57"/>
    <w:rsid w:val="009630C7"/>
    <w:rsid w:val="00972B55"/>
    <w:rsid w:val="009743B7"/>
    <w:rsid w:val="00975039"/>
    <w:rsid w:val="00977227"/>
    <w:rsid w:val="0098228B"/>
    <w:rsid w:val="009828DA"/>
    <w:rsid w:val="009840A2"/>
    <w:rsid w:val="00985394"/>
    <w:rsid w:val="00985BAB"/>
    <w:rsid w:val="009B1B5F"/>
    <w:rsid w:val="009B2895"/>
    <w:rsid w:val="009B6673"/>
    <w:rsid w:val="009C191B"/>
    <w:rsid w:val="009C2BD6"/>
    <w:rsid w:val="009D2F52"/>
    <w:rsid w:val="009E0E2A"/>
    <w:rsid w:val="009E1163"/>
    <w:rsid w:val="009E16D2"/>
    <w:rsid w:val="009E1F32"/>
    <w:rsid w:val="009E776C"/>
    <w:rsid w:val="00A00672"/>
    <w:rsid w:val="00A065BF"/>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4192"/>
    <w:rsid w:val="00A6035E"/>
    <w:rsid w:val="00A6144C"/>
    <w:rsid w:val="00A66617"/>
    <w:rsid w:val="00A671F8"/>
    <w:rsid w:val="00A673A4"/>
    <w:rsid w:val="00A724AE"/>
    <w:rsid w:val="00A73329"/>
    <w:rsid w:val="00A75785"/>
    <w:rsid w:val="00A8094B"/>
    <w:rsid w:val="00A82359"/>
    <w:rsid w:val="00A865D2"/>
    <w:rsid w:val="00A86E5B"/>
    <w:rsid w:val="00A94C20"/>
    <w:rsid w:val="00AA227F"/>
    <w:rsid w:val="00AA3BC7"/>
    <w:rsid w:val="00AA5E4E"/>
    <w:rsid w:val="00AA754A"/>
    <w:rsid w:val="00AB099E"/>
    <w:rsid w:val="00AB4328"/>
    <w:rsid w:val="00AB5628"/>
    <w:rsid w:val="00AC00C2"/>
    <w:rsid w:val="00AC5872"/>
    <w:rsid w:val="00AD2473"/>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5CA3"/>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61D3B"/>
    <w:rsid w:val="00C74810"/>
    <w:rsid w:val="00C81ACF"/>
    <w:rsid w:val="00C90D68"/>
    <w:rsid w:val="00C939FE"/>
    <w:rsid w:val="00CA0578"/>
    <w:rsid w:val="00CA4BDA"/>
    <w:rsid w:val="00CA7C61"/>
    <w:rsid w:val="00CB1F66"/>
    <w:rsid w:val="00CB2951"/>
    <w:rsid w:val="00CD282B"/>
    <w:rsid w:val="00CD4C35"/>
    <w:rsid w:val="00CD7369"/>
    <w:rsid w:val="00CE0B0E"/>
    <w:rsid w:val="00CE3831"/>
    <w:rsid w:val="00CE57AB"/>
    <w:rsid w:val="00D00ABB"/>
    <w:rsid w:val="00D01935"/>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10E5"/>
    <w:rsid w:val="00DD5382"/>
    <w:rsid w:val="00DD6EE5"/>
    <w:rsid w:val="00DE2362"/>
    <w:rsid w:val="00DE386C"/>
    <w:rsid w:val="00DE4D35"/>
    <w:rsid w:val="00DE64D0"/>
    <w:rsid w:val="00DF098B"/>
    <w:rsid w:val="00DF11C4"/>
    <w:rsid w:val="00DF210C"/>
    <w:rsid w:val="00DF4B6A"/>
    <w:rsid w:val="00E02C09"/>
    <w:rsid w:val="00E04D59"/>
    <w:rsid w:val="00E07DA1"/>
    <w:rsid w:val="00E123CB"/>
    <w:rsid w:val="00E20E13"/>
    <w:rsid w:val="00E21DBC"/>
    <w:rsid w:val="00E275D7"/>
    <w:rsid w:val="00E27DBE"/>
    <w:rsid w:val="00E32AB1"/>
    <w:rsid w:val="00E361A6"/>
    <w:rsid w:val="00E36C71"/>
    <w:rsid w:val="00E37E79"/>
    <w:rsid w:val="00E40404"/>
    <w:rsid w:val="00E459C6"/>
    <w:rsid w:val="00E47589"/>
    <w:rsid w:val="00E64915"/>
    <w:rsid w:val="00E64E80"/>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EF34CB"/>
    <w:rsid w:val="00EF6E2D"/>
    <w:rsid w:val="00F00A79"/>
    <w:rsid w:val="00F00E86"/>
    <w:rsid w:val="00F07C1E"/>
    <w:rsid w:val="00F105DB"/>
    <w:rsid w:val="00F132BC"/>
    <w:rsid w:val="00F13D80"/>
    <w:rsid w:val="00F16AAA"/>
    <w:rsid w:val="00F21161"/>
    <w:rsid w:val="00F218EF"/>
    <w:rsid w:val="00F21BC7"/>
    <w:rsid w:val="00F25EFC"/>
    <w:rsid w:val="00F266A2"/>
    <w:rsid w:val="00F27D13"/>
    <w:rsid w:val="00F32269"/>
    <w:rsid w:val="00F44C06"/>
    <w:rsid w:val="00F56A6F"/>
    <w:rsid w:val="00F5709C"/>
    <w:rsid w:val="00F626DA"/>
    <w:rsid w:val="00F64EF1"/>
    <w:rsid w:val="00F659F3"/>
    <w:rsid w:val="00F83589"/>
    <w:rsid w:val="00F8765F"/>
    <w:rsid w:val="00F90767"/>
    <w:rsid w:val="00F912E4"/>
    <w:rsid w:val="00F94531"/>
    <w:rsid w:val="00F9588E"/>
    <w:rsid w:val="00FA0688"/>
    <w:rsid w:val="00FA0AFC"/>
    <w:rsid w:val="00FA685B"/>
    <w:rsid w:val="00FB0C01"/>
    <w:rsid w:val="00FC04E5"/>
    <w:rsid w:val="00FC18F2"/>
    <w:rsid w:val="00FC39E5"/>
    <w:rsid w:val="00FC3A78"/>
    <w:rsid w:val="00FD1005"/>
    <w:rsid w:val="00FD61AA"/>
    <w:rsid w:val="00FD6C75"/>
    <w:rsid w:val="00FD7649"/>
    <w:rsid w:val="00FE71B3"/>
    <w:rsid w:val="00FF42C5"/>
    <w:rsid w:val="00FF5ADE"/>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B7C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3468DC"/>
    <w:rPr>
      <w:sz w:val="24"/>
      <w:szCs w:val="24"/>
      <w:lang w:val="fr-FR"/>
    </w:rPr>
  </w:style>
  <w:style w:type="paragraph" w:styleId="Heading1">
    <w:name w:val="heading 1"/>
    <w:basedOn w:val="Normal"/>
    <w:next w:val="Normal"/>
    <w:link w:val="Heading1Char"/>
    <w:uiPriority w:val="98"/>
    <w:semiHidden/>
    <w:rsid w:val="003468D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468D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468D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468D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468D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468D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468D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468D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468D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468DC"/>
    <w:rPr>
      <w:rFonts w:ascii="Tahoma" w:hAnsi="Tahoma" w:cs="Tahoma"/>
      <w:sz w:val="16"/>
      <w:szCs w:val="16"/>
    </w:rPr>
  </w:style>
  <w:style w:type="character" w:customStyle="1" w:styleId="BalloonTextChar">
    <w:name w:val="Balloon Text Char"/>
    <w:basedOn w:val="DefaultParagraphFont"/>
    <w:link w:val="BalloonText"/>
    <w:uiPriority w:val="98"/>
    <w:semiHidden/>
    <w:rsid w:val="003468DC"/>
    <w:rPr>
      <w:rFonts w:ascii="Tahoma" w:hAnsi="Tahoma" w:cs="Tahoma"/>
      <w:sz w:val="16"/>
      <w:szCs w:val="16"/>
      <w:lang w:val="fr-FR"/>
    </w:rPr>
  </w:style>
  <w:style w:type="character" w:styleId="BookTitle">
    <w:name w:val="Book Title"/>
    <w:uiPriority w:val="98"/>
    <w:semiHidden/>
    <w:qFormat/>
    <w:rsid w:val="003468DC"/>
    <w:rPr>
      <w:i/>
      <w:iCs/>
      <w:smallCaps/>
      <w:spacing w:val="5"/>
    </w:rPr>
  </w:style>
  <w:style w:type="paragraph" w:customStyle="1" w:styleId="JuHeader">
    <w:name w:val="Ju_Header"/>
    <w:aliases w:val="_Header"/>
    <w:basedOn w:val="Header0"/>
    <w:uiPriority w:val="29"/>
    <w:qFormat/>
    <w:rsid w:val="003468DC"/>
    <w:pPr>
      <w:tabs>
        <w:tab w:val="clear" w:pos="4536"/>
        <w:tab w:val="clear" w:pos="9072"/>
      </w:tabs>
      <w:jc w:val="center"/>
    </w:pPr>
    <w:rPr>
      <w:sz w:val="18"/>
    </w:rPr>
  </w:style>
  <w:style w:type="paragraph" w:customStyle="1" w:styleId="DummyStyle">
    <w:name w:val="Dummy_Style"/>
    <w:aliases w:val="_Dummy"/>
    <w:basedOn w:val="Normal"/>
    <w:semiHidden/>
    <w:qFormat/>
    <w:rsid w:val="003468DC"/>
    <w:rPr>
      <w:color w:val="00B050"/>
      <w:sz w:val="22"/>
    </w:rPr>
  </w:style>
  <w:style w:type="character" w:styleId="Strong">
    <w:name w:val="Strong"/>
    <w:uiPriority w:val="98"/>
    <w:semiHidden/>
    <w:qFormat/>
    <w:rsid w:val="003468DC"/>
    <w:rPr>
      <w:b/>
      <w:bCs/>
    </w:rPr>
  </w:style>
  <w:style w:type="paragraph" w:styleId="NoSpacing">
    <w:name w:val="No Spacing"/>
    <w:basedOn w:val="Normal"/>
    <w:link w:val="NoSpacingChar"/>
    <w:uiPriority w:val="98"/>
    <w:semiHidden/>
    <w:qFormat/>
    <w:rsid w:val="003468DC"/>
  </w:style>
  <w:style w:type="character" w:customStyle="1" w:styleId="NoSpacingChar">
    <w:name w:val="No Spacing Char"/>
    <w:basedOn w:val="DefaultParagraphFont"/>
    <w:link w:val="NoSpacing"/>
    <w:uiPriority w:val="98"/>
    <w:semiHidden/>
    <w:rsid w:val="003468DC"/>
    <w:rPr>
      <w:sz w:val="24"/>
      <w:szCs w:val="24"/>
      <w:lang w:val="fr-FR"/>
    </w:rPr>
  </w:style>
  <w:style w:type="paragraph" w:customStyle="1" w:styleId="JuQuot">
    <w:name w:val="Ju_Quot"/>
    <w:aliases w:val="_Quote"/>
    <w:basedOn w:val="NormalJustified"/>
    <w:uiPriority w:val="20"/>
    <w:qFormat/>
    <w:rsid w:val="003468DC"/>
    <w:pPr>
      <w:spacing w:before="120" w:after="120"/>
      <w:ind w:left="425" w:firstLine="142"/>
    </w:pPr>
    <w:rPr>
      <w:sz w:val="20"/>
    </w:rPr>
  </w:style>
  <w:style w:type="paragraph" w:customStyle="1" w:styleId="JuList">
    <w:name w:val="Ju_List"/>
    <w:aliases w:val="_List_1"/>
    <w:basedOn w:val="NormalJustified"/>
    <w:uiPriority w:val="23"/>
    <w:qFormat/>
    <w:rsid w:val="003468DC"/>
    <w:pPr>
      <w:numPr>
        <w:numId w:val="19"/>
      </w:numPr>
      <w:spacing w:before="280" w:after="60"/>
    </w:pPr>
  </w:style>
  <w:style w:type="paragraph" w:customStyle="1" w:styleId="JuLista">
    <w:name w:val="Ju_List_a"/>
    <w:aliases w:val="_List_2"/>
    <w:basedOn w:val="NormalJustified"/>
    <w:uiPriority w:val="23"/>
    <w:rsid w:val="003468DC"/>
    <w:pPr>
      <w:numPr>
        <w:ilvl w:val="1"/>
        <w:numId w:val="19"/>
      </w:numPr>
    </w:pPr>
  </w:style>
  <w:style w:type="paragraph" w:customStyle="1" w:styleId="JuListi">
    <w:name w:val="Ju_List_i"/>
    <w:aliases w:val="_List_3"/>
    <w:basedOn w:val="NormalJustified"/>
    <w:uiPriority w:val="23"/>
    <w:rsid w:val="003468DC"/>
    <w:pPr>
      <w:numPr>
        <w:ilvl w:val="2"/>
        <w:numId w:val="19"/>
      </w:numPr>
    </w:pPr>
  </w:style>
  <w:style w:type="paragraph" w:customStyle="1" w:styleId="DecHTitle">
    <w:name w:val="Dec_H_Title"/>
    <w:aliases w:val="_Title_1"/>
    <w:basedOn w:val="JuPara"/>
    <w:next w:val="JuPara"/>
    <w:uiPriority w:val="38"/>
    <w:qFormat/>
    <w:rsid w:val="003468DC"/>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3468DC"/>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3468DC"/>
    <w:pPr>
      <w:keepNext/>
      <w:keepLines/>
      <w:tabs>
        <w:tab w:val="right" w:pos="7938"/>
      </w:tabs>
      <w:ind w:firstLine="0"/>
      <w:jc w:val="center"/>
    </w:pPr>
    <w:rPr>
      <w:i/>
    </w:rPr>
  </w:style>
  <w:style w:type="numbering" w:customStyle="1" w:styleId="ECHRA1StyleBulletedSquare">
    <w:name w:val="ECHR_A1_Style_Bulleted_Square"/>
    <w:basedOn w:val="NoList"/>
    <w:rsid w:val="003468DC"/>
    <w:pPr>
      <w:numPr>
        <w:numId w:val="4"/>
      </w:numPr>
    </w:pPr>
  </w:style>
  <w:style w:type="paragraph" w:customStyle="1" w:styleId="JuHHead">
    <w:name w:val="Ju_H_Head"/>
    <w:aliases w:val="_Head_1"/>
    <w:basedOn w:val="Heading1"/>
    <w:next w:val="JuPara"/>
    <w:uiPriority w:val="17"/>
    <w:qFormat/>
    <w:rsid w:val="003468DC"/>
    <w:pPr>
      <w:keepNext/>
      <w:keepLines/>
      <w:numPr>
        <w:numId w:val="17"/>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3468DC"/>
    <w:pPr>
      <w:numPr>
        <w:numId w:val="5"/>
      </w:numPr>
    </w:pPr>
  </w:style>
  <w:style w:type="paragraph" w:customStyle="1" w:styleId="JuSigned">
    <w:name w:val="Ju_Signed"/>
    <w:aliases w:val="_Signature"/>
    <w:basedOn w:val="Normal"/>
    <w:next w:val="JuPara"/>
    <w:uiPriority w:val="31"/>
    <w:qFormat/>
    <w:rsid w:val="003468DC"/>
    <w:pPr>
      <w:tabs>
        <w:tab w:val="center" w:pos="1418"/>
        <w:tab w:val="center" w:pos="5954"/>
      </w:tabs>
      <w:spacing w:before="720"/>
    </w:pPr>
  </w:style>
  <w:style w:type="paragraph" w:styleId="Title">
    <w:name w:val="Title"/>
    <w:basedOn w:val="Normal"/>
    <w:next w:val="Normal"/>
    <w:link w:val="TitleChar"/>
    <w:uiPriority w:val="98"/>
    <w:semiHidden/>
    <w:qFormat/>
    <w:rsid w:val="003468D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468DC"/>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3468DC"/>
    <w:pPr>
      <w:numPr>
        <w:numId w:val="6"/>
      </w:numPr>
    </w:pPr>
  </w:style>
  <w:style w:type="table" w:customStyle="1" w:styleId="ECHRTable2019">
    <w:name w:val="ECHR_Table_2019"/>
    <w:basedOn w:val="TableNormal"/>
    <w:uiPriority w:val="99"/>
    <w:rsid w:val="003468D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3468DC"/>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3468DC"/>
    <w:pPr>
      <w:tabs>
        <w:tab w:val="center" w:pos="6407"/>
      </w:tabs>
      <w:spacing w:before="720"/>
      <w:jc w:val="right"/>
    </w:pPr>
  </w:style>
  <w:style w:type="paragraph" w:customStyle="1" w:styleId="JuHIRoman">
    <w:name w:val="Ju_H_I_Roman"/>
    <w:aliases w:val="_Head_2"/>
    <w:basedOn w:val="Heading2"/>
    <w:next w:val="JuPara"/>
    <w:uiPriority w:val="17"/>
    <w:qFormat/>
    <w:rsid w:val="003468DC"/>
    <w:pPr>
      <w:keepNext/>
      <w:keepLines/>
      <w:numPr>
        <w:ilvl w:val="1"/>
        <w:numId w:val="17"/>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468DC"/>
    <w:pPr>
      <w:keepNext/>
      <w:keepLines/>
      <w:numPr>
        <w:ilvl w:val="2"/>
        <w:numId w:val="17"/>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468DC"/>
    <w:pPr>
      <w:keepNext/>
      <w:keepLines/>
      <w:numPr>
        <w:ilvl w:val="3"/>
        <w:numId w:val="17"/>
      </w:numPr>
      <w:spacing w:before="100" w:beforeAutospacing="1" w:after="120"/>
      <w:jc w:val="both"/>
    </w:pPr>
    <w:rPr>
      <w:b w:val="0"/>
      <w:color w:val="auto"/>
      <w:sz w:val="24"/>
    </w:rPr>
  </w:style>
  <w:style w:type="paragraph" w:styleId="Header0">
    <w:name w:val="header"/>
    <w:basedOn w:val="Normal"/>
    <w:link w:val="HeaderChar"/>
    <w:uiPriority w:val="98"/>
    <w:semiHidden/>
    <w:rsid w:val="003468DC"/>
    <w:pPr>
      <w:tabs>
        <w:tab w:val="center" w:pos="4536"/>
        <w:tab w:val="right" w:pos="9072"/>
      </w:tabs>
    </w:pPr>
  </w:style>
  <w:style w:type="character" w:customStyle="1" w:styleId="HeaderChar">
    <w:name w:val="Header Char"/>
    <w:basedOn w:val="DefaultParagraphFont"/>
    <w:link w:val="Header0"/>
    <w:uiPriority w:val="98"/>
    <w:semiHidden/>
    <w:rsid w:val="003468DC"/>
    <w:rPr>
      <w:sz w:val="24"/>
      <w:szCs w:val="24"/>
      <w:lang w:val="fr-FR"/>
    </w:rPr>
  </w:style>
  <w:style w:type="character" w:customStyle="1" w:styleId="Heading1Char">
    <w:name w:val="Heading 1 Char"/>
    <w:basedOn w:val="DefaultParagraphFont"/>
    <w:link w:val="Heading1"/>
    <w:uiPriority w:val="98"/>
    <w:semiHidden/>
    <w:rsid w:val="003468DC"/>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3468DC"/>
    <w:pPr>
      <w:keepNext/>
      <w:keepLines/>
      <w:numPr>
        <w:ilvl w:val="4"/>
        <w:numId w:val="17"/>
      </w:numPr>
      <w:spacing w:before="100" w:beforeAutospacing="1" w:after="120"/>
      <w:jc w:val="both"/>
    </w:pPr>
    <w:rPr>
      <w:color w:val="auto"/>
      <w:sz w:val="20"/>
    </w:rPr>
  </w:style>
  <w:style w:type="paragraph" w:customStyle="1" w:styleId="JuHi">
    <w:name w:val="Ju_H_i"/>
    <w:aliases w:val="_Head_6"/>
    <w:basedOn w:val="Heading6"/>
    <w:next w:val="JuPara"/>
    <w:uiPriority w:val="17"/>
    <w:rsid w:val="003468DC"/>
    <w:pPr>
      <w:keepNext/>
      <w:keepLines/>
      <w:numPr>
        <w:ilvl w:val="5"/>
        <w:numId w:val="17"/>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468DC"/>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3468DC"/>
    <w:pPr>
      <w:keepNext/>
      <w:keepLines/>
      <w:numPr>
        <w:ilvl w:val="6"/>
        <w:numId w:val="17"/>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468DC"/>
    <w:pPr>
      <w:keepNext/>
      <w:keepLines/>
      <w:numPr>
        <w:ilvl w:val="7"/>
        <w:numId w:val="17"/>
      </w:numPr>
      <w:spacing w:before="100" w:beforeAutospacing="1" w:after="120"/>
      <w:jc w:val="both"/>
    </w:pPr>
    <w:rPr>
      <w:i/>
    </w:rPr>
  </w:style>
  <w:style w:type="character" w:customStyle="1" w:styleId="Heading3Char">
    <w:name w:val="Heading 3 Char"/>
    <w:basedOn w:val="DefaultParagraphFont"/>
    <w:link w:val="Heading3"/>
    <w:uiPriority w:val="98"/>
    <w:semiHidden/>
    <w:rsid w:val="003468DC"/>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3468DC"/>
    <w:pPr>
      <w:keepNext/>
      <w:keepLines/>
      <w:spacing w:before="240" w:after="240"/>
      <w:ind w:firstLine="284"/>
    </w:pPr>
  </w:style>
  <w:style w:type="paragraph" w:customStyle="1" w:styleId="JuJudges">
    <w:name w:val="Ju_Judges"/>
    <w:aliases w:val="_Judges"/>
    <w:basedOn w:val="Normal"/>
    <w:uiPriority w:val="32"/>
    <w:qFormat/>
    <w:rsid w:val="003468DC"/>
    <w:pPr>
      <w:tabs>
        <w:tab w:val="left" w:pos="567"/>
        <w:tab w:val="left" w:pos="1134"/>
      </w:tabs>
    </w:pPr>
  </w:style>
  <w:style w:type="character" w:customStyle="1" w:styleId="Heading4Char">
    <w:name w:val="Heading 4 Char"/>
    <w:basedOn w:val="DefaultParagraphFont"/>
    <w:link w:val="Heading4"/>
    <w:uiPriority w:val="98"/>
    <w:semiHidden/>
    <w:rsid w:val="003468DC"/>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3468DC"/>
    <w:rPr>
      <w:vanish w:val="0"/>
      <w:color w:val="auto"/>
      <w:sz w:val="14"/>
      <w:bdr w:val="none" w:sz="0" w:space="0" w:color="auto"/>
      <w:shd w:val="clear" w:color="auto" w:fill="FFFFFF" w:themeFill="background1" w:themeFillTint="33"/>
    </w:rPr>
  </w:style>
  <w:style w:type="character" w:customStyle="1" w:styleId="Heading5Char">
    <w:name w:val="Heading 5 Char"/>
    <w:basedOn w:val="DefaultParagraphFont"/>
    <w:link w:val="Heading5"/>
    <w:uiPriority w:val="98"/>
    <w:semiHidden/>
    <w:rsid w:val="003468DC"/>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3468DC"/>
    <w:rPr>
      <w:caps w:val="0"/>
      <w:smallCaps/>
    </w:rPr>
  </w:style>
  <w:style w:type="paragraph" w:customStyle="1" w:styleId="NormalJustified">
    <w:name w:val="Normal_Justified"/>
    <w:basedOn w:val="Normal"/>
    <w:semiHidden/>
    <w:rsid w:val="003468DC"/>
    <w:pPr>
      <w:jc w:val="both"/>
    </w:pPr>
  </w:style>
  <w:style w:type="character" w:styleId="SubtleEmphasis">
    <w:name w:val="Subtle Emphasis"/>
    <w:uiPriority w:val="98"/>
    <w:semiHidden/>
    <w:qFormat/>
    <w:rsid w:val="003468DC"/>
    <w:rPr>
      <w:i/>
      <w:iCs/>
    </w:rPr>
  </w:style>
  <w:style w:type="table" w:customStyle="1" w:styleId="ECHRTable">
    <w:name w:val="ECHR_Table"/>
    <w:basedOn w:val="TableNormal"/>
    <w:rsid w:val="003468DC"/>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468D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3468DC"/>
    <w:rPr>
      <w:b/>
      <w:bCs/>
      <w:i/>
      <w:iCs/>
      <w:spacing w:val="10"/>
      <w:bdr w:val="none" w:sz="0" w:space="0" w:color="auto"/>
      <w:shd w:val="clear" w:color="auto" w:fill="auto"/>
    </w:rPr>
  </w:style>
  <w:style w:type="paragraph" w:styleId="Footer1">
    <w:name w:val="footer"/>
    <w:basedOn w:val="Normal"/>
    <w:link w:val="FooterChar"/>
    <w:uiPriority w:val="98"/>
    <w:semiHidden/>
    <w:rsid w:val="003468DC"/>
    <w:pPr>
      <w:tabs>
        <w:tab w:val="center" w:pos="3686"/>
        <w:tab w:val="right" w:pos="7371"/>
      </w:tabs>
    </w:pPr>
  </w:style>
  <w:style w:type="character" w:customStyle="1" w:styleId="FooterChar">
    <w:name w:val="Footer Char"/>
    <w:basedOn w:val="DefaultParagraphFont"/>
    <w:link w:val="Footer1"/>
    <w:uiPriority w:val="98"/>
    <w:semiHidden/>
    <w:rsid w:val="003468DC"/>
    <w:rPr>
      <w:sz w:val="24"/>
      <w:szCs w:val="24"/>
      <w:lang w:val="fr-FR"/>
    </w:rPr>
  </w:style>
  <w:style w:type="character" w:styleId="FootnoteReference">
    <w:name w:val="footnote reference"/>
    <w:basedOn w:val="DefaultParagraphFont"/>
    <w:uiPriority w:val="98"/>
    <w:semiHidden/>
    <w:rsid w:val="003468DC"/>
    <w:rPr>
      <w:vertAlign w:val="superscript"/>
    </w:rPr>
  </w:style>
  <w:style w:type="paragraph" w:styleId="FootnoteText">
    <w:name w:val="footnote text"/>
    <w:basedOn w:val="NormalJustified"/>
    <w:link w:val="FootnoteTextChar"/>
    <w:uiPriority w:val="98"/>
    <w:semiHidden/>
    <w:rsid w:val="003468DC"/>
    <w:rPr>
      <w:sz w:val="20"/>
      <w:szCs w:val="20"/>
    </w:rPr>
  </w:style>
  <w:style w:type="character" w:customStyle="1" w:styleId="FootnoteTextChar">
    <w:name w:val="Footnote Text Char"/>
    <w:basedOn w:val="DefaultParagraphFont"/>
    <w:link w:val="FootnoteText"/>
    <w:uiPriority w:val="98"/>
    <w:semiHidden/>
    <w:rsid w:val="003468DC"/>
    <w:rPr>
      <w:sz w:val="20"/>
      <w:szCs w:val="20"/>
      <w:lang w:val="fr-FR"/>
    </w:rPr>
  </w:style>
  <w:style w:type="character" w:customStyle="1" w:styleId="Heading6Char">
    <w:name w:val="Heading 6 Char"/>
    <w:basedOn w:val="DefaultParagraphFont"/>
    <w:link w:val="Heading6"/>
    <w:uiPriority w:val="98"/>
    <w:semiHidden/>
    <w:rsid w:val="003468DC"/>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3468DC"/>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3468DC"/>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3468DC"/>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3468DC"/>
    <w:rPr>
      <w:color w:val="0072BC" w:themeColor="hyperlink"/>
      <w:u w:val="single"/>
    </w:rPr>
  </w:style>
  <w:style w:type="character" w:styleId="IntenseEmphasis">
    <w:name w:val="Intense Emphasis"/>
    <w:uiPriority w:val="98"/>
    <w:semiHidden/>
    <w:qFormat/>
    <w:rsid w:val="003468DC"/>
    <w:rPr>
      <w:b/>
      <w:bCs/>
    </w:rPr>
  </w:style>
  <w:style w:type="paragraph" w:styleId="IntenseQuote">
    <w:name w:val="Intense Quote"/>
    <w:basedOn w:val="Normal"/>
    <w:next w:val="Normal"/>
    <w:link w:val="IntenseQuoteChar"/>
    <w:uiPriority w:val="98"/>
    <w:semiHidden/>
    <w:qFormat/>
    <w:rsid w:val="003468D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468DC"/>
    <w:rPr>
      <w:b/>
      <w:bCs/>
      <w:i/>
      <w:iCs/>
      <w:sz w:val="24"/>
      <w:szCs w:val="24"/>
      <w:lang w:val="fr-FR" w:bidi="en-US"/>
    </w:rPr>
  </w:style>
  <w:style w:type="character" w:styleId="IntenseReference">
    <w:name w:val="Intense Reference"/>
    <w:uiPriority w:val="98"/>
    <w:semiHidden/>
    <w:qFormat/>
    <w:rsid w:val="003468DC"/>
    <w:rPr>
      <w:smallCaps/>
      <w:spacing w:val="5"/>
      <w:u w:val="single"/>
    </w:rPr>
  </w:style>
  <w:style w:type="paragraph" w:styleId="ListParagraph">
    <w:name w:val="List Paragraph"/>
    <w:basedOn w:val="Normal"/>
    <w:uiPriority w:val="98"/>
    <w:semiHidden/>
    <w:qFormat/>
    <w:rsid w:val="003468DC"/>
    <w:pPr>
      <w:ind w:left="720"/>
      <w:contextualSpacing/>
    </w:pPr>
  </w:style>
  <w:style w:type="table" w:customStyle="1" w:styleId="LtrTableAddress">
    <w:name w:val="Ltr_Table_Address"/>
    <w:aliases w:val="ECHR_Ltr_Table_Address"/>
    <w:basedOn w:val="TableNormal"/>
    <w:uiPriority w:val="99"/>
    <w:rsid w:val="003468DC"/>
    <w:rPr>
      <w:sz w:val="24"/>
      <w:szCs w:val="24"/>
    </w:rPr>
    <w:tblPr>
      <w:tblInd w:w="5103" w:type="dxa"/>
    </w:tblPr>
  </w:style>
  <w:style w:type="paragraph" w:styleId="Quote0">
    <w:name w:val="Quote"/>
    <w:basedOn w:val="Normal"/>
    <w:next w:val="Normal"/>
    <w:link w:val="QuoteChar"/>
    <w:uiPriority w:val="98"/>
    <w:semiHidden/>
    <w:qFormat/>
    <w:rsid w:val="003468DC"/>
    <w:pPr>
      <w:spacing w:before="200"/>
      <w:ind w:left="360" w:right="360"/>
    </w:pPr>
    <w:rPr>
      <w:i/>
      <w:iCs/>
      <w:lang w:bidi="en-US"/>
    </w:rPr>
  </w:style>
  <w:style w:type="character" w:customStyle="1" w:styleId="QuoteChar">
    <w:name w:val="Quote Char"/>
    <w:basedOn w:val="DefaultParagraphFont"/>
    <w:link w:val="Quote0"/>
    <w:uiPriority w:val="98"/>
    <w:semiHidden/>
    <w:rsid w:val="003468DC"/>
    <w:rPr>
      <w:i/>
      <w:iCs/>
      <w:sz w:val="24"/>
      <w:szCs w:val="24"/>
      <w:lang w:val="fr-FR" w:bidi="en-US"/>
    </w:rPr>
  </w:style>
  <w:style w:type="character" w:styleId="SubtleReference">
    <w:name w:val="Subtle Reference"/>
    <w:uiPriority w:val="98"/>
    <w:semiHidden/>
    <w:qFormat/>
    <w:rsid w:val="003468DC"/>
    <w:rPr>
      <w:smallCaps/>
    </w:rPr>
  </w:style>
  <w:style w:type="table" w:styleId="TableGrid">
    <w:name w:val="Table Grid"/>
    <w:basedOn w:val="TableNormal"/>
    <w:uiPriority w:val="59"/>
    <w:semiHidden/>
    <w:rsid w:val="003468D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468D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468D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468D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468D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468D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468DC"/>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3468D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468D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468DC"/>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468DC"/>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3468D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468DC"/>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468DC"/>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3468D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468DC"/>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3468DC"/>
    <w:pPr>
      <w:numPr>
        <w:numId w:val="1"/>
      </w:numPr>
    </w:pPr>
  </w:style>
  <w:style w:type="paragraph" w:customStyle="1" w:styleId="JuPara">
    <w:name w:val="Ju_Para"/>
    <w:aliases w:val="_Para"/>
    <w:basedOn w:val="NormalJustified"/>
    <w:link w:val="JuParaChar"/>
    <w:uiPriority w:val="4"/>
    <w:qFormat/>
    <w:rsid w:val="003468DC"/>
    <w:pPr>
      <w:ind w:firstLine="284"/>
    </w:pPr>
  </w:style>
  <w:style w:type="numbering" w:styleId="1ai">
    <w:name w:val="Outline List 1"/>
    <w:basedOn w:val="NoList"/>
    <w:uiPriority w:val="99"/>
    <w:semiHidden/>
    <w:unhideWhenUsed/>
    <w:rsid w:val="003468DC"/>
    <w:pPr>
      <w:numPr>
        <w:numId w:val="2"/>
      </w:numPr>
    </w:pPr>
  </w:style>
  <w:style w:type="table" w:customStyle="1" w:styleId="ECHRTableSimpleBox">
    <w:name w:val="ECHR_Table_Simple_Box"/>
    <w:basedOn w:val="TableNormal"/>
    <w:uiPriority w:val="99"/>
    <w:rsid w:val="003468DC"/>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3468DC"/>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3468DC"/>
    <w:pPr>
      <w:numPr>
        <w:numId w:val="3"/>
      </w:numPr>
    </w:pPr>
  </w:style>
  <w:style w:type="table" w:customStyle="1" w:styleId="ECHRTableForInternalUse">
    <w:name w:val="ECHR_Table_For_Internal_Use"/>
    <w:basedOn w:val="TableNormal"/>
    <w:uiPriority w:val="99"/>
    <w:rsid w:val="003468DC"/>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3468DC"/>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468DC"/>
  </w:style>
  <w:style w:type="paragraph" w:styleId="BlockText">
    <w:name w:val="Block Text"/>
    <w:basedOn w:val="Normal"/>
    <w:uiPriority w:val="98"/>
    <w:semiHidden/>
    <w:rsid w:val="003468D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468DC"/>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468DC"/>
    <w:pPr>
      <w:spacing w:after="120"/>
    </w:pPr>
  </w:style>
  <w:style w:type="character" w:customStyle="1" w:styleId="BodyTextChar">
    <w:name w:val="Body Text Char"/>
    <w:basedOn w:val="DefaultParagraphFont"/>
    <w:link w:val="BodyText"/>
    <w:uiPriority w:val="98"/>
    <w:semiHidden/>
    <w:rsid w:val="003468DC"/>
    <w:rPr>
      <w:sz w:val="24"/>
      <w:szCs w:val="24"/>
      <w:lang w:val="fr-FR"/>
    </w:rPr>
  </w:style>
  <w:style w:type="table" w:customStyle="1" w:styleId="ECHRTableOddBanded">
    <w:name w:val="ECHR_Table_Odd_Banded"/>
    <w:basedOn w:val="TableNormal"/>
    <w:uiPriority w:val="99"/>
    <w:rsid w:val="003468DC"/>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468DC"/>
    <w:pPr>
      <w:spacing w:after="120" w:line="480" w:lineRule="auto"/>
    </w:pPr>
  </w:style>
  <w:style w:type="table" w:customStyle="1" w:styleId="ECHRHeaderTableReduced">
    <w:name w:val="ECHR_Header_Table_Reduced"/>
    <w:basedOn w:val="TableNormal"/>
    <w:uiPriority w:val="99"/>
    <w:rsid w:val="003468D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468DC"/>
    <w:pPr>
      <w:ind w:firstLine="284"/>
    </w:pPr>
    <w:rPr>
      <w:b/>
    </w:rPr>
  </w:style>
  <w:style w:type="character" w:styleId="PageNumber">
    <w:name w:val="page number"/>
    <w:uiPriority w:val="98"/>
    <w:semiHidden/>
    <w:rsid w:val="003468DC"/>
    <w:rPr>
      <w:sz w:val="18"/>
    </w:rPr>
  </w:style>
  <w:style w:type="paragraph" w:styleId="ListBullet2">
    <w:name w:val="List Bullet 2"/>
    <w:basedOn w:val="Normal"/>
    <w:uiPriority w:val="98"/>
    <w:semiHidden/>
    <w:rsid w:val="003468DC"/>
    <w:pPr>
      <w:numPr>
        <w:numId w:val="8"/>
      </w:numPr>
      <w:contextualSpacing/>
    </w:pPr>
  </w:style>
  <w:style w:type="character" w:customStyle="1" w:styleId="BodyText2Char">
    <w:name w:val="Body Text 2 Char"/>
    <w:basedOn w:val="DefaultParagraphFont"/>
    <w:link w:val="BodyText2"/>
    <w:uiPriority w:val="98"/>
    <w:semiHidden/>
    <w:rsid w:val="003468DC"/>
    <w:rPr>
      <w:sz w:val="24"/>
      <w:szCs w:val="24"/>
      <w:lang w:val="fr-FR"/>
    </w:rPr>
  </w:style>
  <w:style w:type="paragraph" w:styleId="BodyText3">
    <w:name w:val="Body Text 3"/>
    <w:basedOn w:val="Normal"/>
    <w:link w:val="BodyText3Char"/>
    <w:uiPriority w:val="98"/>
    <w:semiHidden/>
    <w:rsid w:val="003468DC"/>
    <w:pPr>
      <w:spacing w:after="120"/>
    </w:pPr>
    <w:rPr>
      <w:sz w:val="16"/>
      <w:szCs w:val="16"/>
    </w:rPr>
  </w:style>
  <w:style w:type="character" w:customStyle="1" w:styleId="BodyText3Char">
    <w:name w:val="Body Text 3 Char"/>
    <w:basedOn w:val="DefaultParagraphFont"/>
    <w:link w:val="BodyText3"/>
    <w:uiPriority w:val="98"/>
    <w:semiHidden/>
    <w:rsid w:val="003468DC"/>
    <w:rPr>
      <w:sz w:val="16"/>
      <w:szCs w:val="16"/>
      <w:lang w:val="fr-FR"/>
    </w:rPr>
  </w:style>
  <w:style w:type="paragraph" w:styleId="BodyTextFirstIndent">
    <w:name w:val="Body Text First Indent"/>
    <w:basedOn w:val="BodyText"/>
    <w:link w:val="BodyTextFirstIndentChar"/>
    <w:uiPriority w:val="98"/>
    <w:semiHidden/>
    <w:rsid w:val="003468DC"/>
    <w:pPr>
      <w:spacing w:after="0"/>
      <w:ind w:firstLine="360"/>
    </w:pPr>
  </w:style>
  <w:style w:type="character" w:customStyle="1" w:styleId="BodyTextFirstIndentChar">
    <w:name w:val="Body Text First Indent Char"/>
    <w:basedOn w:val="BodyTextChar"/>
    <w:link w:val="BodyTextFirstIndent"/>
    <w:uiPriority w:val="98"/>
    <w:semiHidden/>
    <w:rsid w:val="003468DC"/>
    <w:rPr>
      <w:sz w:val="24"/>
      <w:szCs w:val="24"/>
      <w:lang w:val="fr-FR"/>
    </w:rPr>
  </w:style>
  <w:style w:type="paragraph" w:styleId="BodyTextIndent">
    <w:name w:val="Body Text Indent"/>
    <w:basedOn w:val="Normal"/>
    <w:link w:val="BodyTextIndentChar"/>
    <w:uiPriority w:val="98"/>
    <w:semiHidden/>
    <w:rsid w:val="003468DC"/>
    <w:pPr>
      <w:spacing w:after="120"/>
      <w:ind w:left="283"/>
    </w:pPr>
  </w:style>
  <w:style w:type="character" w:customStyle="1" w:styleId="BodyTextIndentChar">
    <w:name w:val="Body Text Indent Char"/>
    <w:basedOn w:val="DefaultParagraphFont"/>
    <w:link w:val="BodyTextIndent"/>
    <w:uiPriority w:val="98"/>
    <w:semiHidden/>
    <w:rsid w:val="003468DC"/>
    <w:rPr>
      <w:sz w:val="24"/>
      <w:szCs w:val="24"/>
      <w:lang w:val="fr-FR"/>
    </w:rPr>
  </w:style>
  <w:style w:type="paragraph" w:styleId="BodyTextFirstIndent2">
    <w:name w:val="Body Text First Indent 2"/>
    <w:basedOn w:val="BodyTextIndent"/>
    <w:link w:val="BodyTextFirstIndent2Char"/>
    <w:uiPriority w:val="98"/>
    <w:semiHidden/>
    <w:rsid w:val="003468DC"/>
    <w:pPr>
      <w:spacing w:after="0"/>
      <w:ind w:left="360" w:firstLine="360"/>
    </w:pPr>
  </w:style>
  <w:style w:type="character" w:customStyle="1" w:styleId="BodyTextFirstIndent2Char">
    <w:name w:val="Body Text First Indent 2 Char"/>
    <w:basedOn w:val="BodyTextIndentChar"/>
    <w:link w:val="BodyTextFirstIndent2"/>
    <w:uiPriority w:val="98"/>
    <w:semiHidden/>
    <w:rsid w:val="003468DC"/>
    <w:rPr>
      <w:sz w:val="24"/>
      <w:szCs w:val="24"/>
      <w:lang w:val="fr-FR"/>
    </w:rPr>
  </w:style>
  <w:style w:type="paragraph" w:styleId="BodyTextIndent2">
    <w:name w:val="Body Text Indent 2"/>
    <w:basedOn w:val="Normal"/>
    <w:link w:val="BodyTextIndent2Char"/>
    <w:uiPriority w:val="98"/>
    <w:semiHidden/>
    <w:rsid w:val="003468DC"/>
    <w:pPr>
      <w:spacing w:after="120" w:line="480" w:lineRule="auto"/>
      <w:ind w:left="283"/>
    </w:pPr>
  </w:style>
  <w:style w:type="character" w:customStyle="1" w:styleId="BodyTextIndent2Char">
    <w:name w:val="Body Text Indent 2 Char"/>
    <w:basedOn w:val="DefaultParagraphFont"/>
    <w:link w:val="BodyTextIndent2"/>
    <w:uiPriority w:val="98"/>
    <w:semiHidden/>
    <w:rsid w:val="003468DC"/>
    <w:rPr>
      <w:sz w:val="24"/>
      <w:szCs w:val="24"/>
      <w:lang w:val="fr-FR"/>
    </w:rPr>
  </w:style>
  <w:style w:type="paragraph" w:styleId="BodyTextIndent3">
    <w:name w:val="Body Text Indent 3"/>
    <w:basedOn w:val="Normal"/>
    <w:link w:val="BodyTextIndent3Char"/>
    <w:uiPriority w:val="98"/>
    <w:semiHidden/>
    <w:rsid w:val="003468D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468DC"/>
    <w:rPr>
      <w:sz w:val="16"/>
      <w:szCs w:val="16"/>
      <w:lang w:val="fr-FR"/>
    </w:rPr>
  </w:style>
  <w:style w:type="paragraph" w:styleId="Caption">
    <w:name w:val="caption"/>
    <w:basedOn w:val="Normal"/>
    <w:next w:val="Normal"/>
    <w:uiPriority w:val="98"/>
    <w:semiHidden/>
    <w:qFormat/>
    <w:rsid w:val="003468DC"/>
    <w:pPr>
      <w:spacing w:after="200"/>
    </w:pPr>
    <w:rPr>
      <w:b/>
      <w:bCs/>
      <w:color w:val="0072BC" w:themeColor="accent1"/>
      <w:sz w:val="18"/>
      <w:szCs w:val="18"/>
    </w:rPr>
  </w:style>
  <w:style w:type="paragraph" w:styleId="Closing">
    <w:name w:val="Closing"/>
    <w:basedOn w:val="Normal"/>
    <w:link w:val="ClosingChar"/>
    <w:uiPriority w:val="98"/>
    <w:semiHidden/>
    <w:rsid w:val="003468DC"/>
    <w:pPr>
      <w:ind w:left="4252"/>
    </w:pPr>
  </w:style>
  <w:style w:type="character" w:customStyle="1" w:styleId="ClosingChar">
    <w:name w:val="Closing Char"/>
    <w:basedOn w:val="DefaultParagraphFont"/>
    <w:link w:val="Closing"/>
    <w:uiPriority w:val="98"/>
    <w:semiHidden/>
    <w:rsid w:val="003468DC"/>
    <w:rPr>
      <w:sz w:val="24"/>
      <w:szCs w:val="24"/>
      <w:lang w:val="fr-FR"/>
    </w:rPr>
  </w:style>
  <w:style w:type="table" w:styleId="ColorfulGrid">
    <w:name w:val="Colorful Grid"/>
    <w:basedOn w:val="TableNormal"/>
    <w:uiPriority w:val="73"/>
    <w:semiHidden/>
    <w:rsid w:val="003468DC"/>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468DC"/>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468DC"/>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468DC"/>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3468DC"/>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468DC"/>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468DC"/>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468DC"/>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468DC"/>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468DC"/>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468DC"/>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3468DC"/>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468DC"/>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468DC"/>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468D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468D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468D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468DC"/>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3468DC"/>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468D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468D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468DC"/>
    <w:rPr>
      <w:sz w:val="16"/>
      <w:szCs w:val="16"/>
    </w:rPr>
  </w:style>
  <w:style w:type="paragraph" w:styleId="CommentText">
    <w:name w:val="annotation text"/>
    <w:basedOn w:val="Normal"/>
    <w:link w:val="CommentTextChar"/>
    <w:uiPriority w:val="98"/>
    <w:semiHidden/>
    <w:rsid w:val="003468DC"/>
    <w:rPr>
      <w:sz w:val="20"/>
      <w:szCs w:val="20"/>
    </w:rPr>
  </w:style>
  <w:style w:type="character" w:customStyle="1" w:styleId="CommentTextChar">
    <w:name w:val="Comment Text Char"/>
    <w:basedOn w:val="DefaultParagraphFont"/>
    <w:link w:val="CommentText"/>
    <w:uiPriority w:val="98"/>
    <w:semiHidden/>
    <w:rsid w:val="003468DC"/>
    <w:rPr>
      <w:sz w:val="20"/>
      <w:szCs w:val="20"/>
      <w:lang w:val="fr-FR"/>
    </w:rPr>
  </w:style>
  <w:style w:type="paragraph" w:styleId="CommentSubject">
    <w:name w:val="annotation subject"/>
    <w:basedOn w:val="CommentText"/>
    <w:next w:val="CommentText"/>
    <w:link w:val="CommentSubjectChar"/>
    <w:uiPriority w:val="98"/>
    <w:semiHidden/>
    <w:rsid w:val="003468DC"/>
    <w:rPr>
      <w:b/>
      <w:bCs/>
    </w:rPr>
  </w:style>
  <w:style w:type="character" w:customStyle="1" w:styleId="CommentSubjectChar">
    <w:name w:val="Comment Subject Char"/>
    <w:basedOn w:val="CommentTextChar"/>
    <w:link w:val="CommentSubject"/>
    <w:uiPriority w:val="98"/>
    <w:semiHidden/>
    <w:rsid w:val="003468DC"/>
    <w:rPr>
      <w:b/>
      <w:bCs/>
      <w:sz w:val="20"/>
      <w:szCs w:val="20"/>
      <w:lang w:val="fr-FR"/>
    </w:rPr>
  </w:style>
  <w:style w:type="table" w:styleId="DarkList">
    <w:name w:val="Dark List"/>
    <w:basedOn w:val="TableNormal"/>
    <w:uiPriority w:val="70"/>
    <w:semiHidden/>
    <w:rsid w:val="003468DC"/>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468DC"/>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468DC"/>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468DC"/>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3468DC"/>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468DC"/>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468DC"/>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468DC"/>
  </w:style>
  <w:style w:type="character" w:customStyle="1" w:styleId="DateChar">
    <w:name w:val="Date Char"/>
    <w:basedOn w:val="DefaultParagraphFont"/>
    <w:link w:val="Date"/>
    <w:uiPriority w:val="98"/>
    <w:semiHidden/>
    <w:rsid w:val="003468DC"/>
    <w:rPr>
      <w:sz w:val="24"/>
      <w:szCs w:val="24"/>
      <w:lang w:val="fr-FR"/>
    </w:rPr>
  </w:style>
  <w:style w:type="paragraph" w:styleId="DocumentMap">
    <w:name w:val="Document Map"/>
    <w:basedOn w:val="Normal"/>
    <w:link w:val="DocumentMapChar"/>
    <w:uiPriority w:val="98"/>
    <w:semiHidden/>
    <w:rsid w:val="003468DC"/>
    <w:rPr>
      <w:rFonts w:ascii="Tahoma" w:hAnsi="Tahoma" w:cs="Tahoma"/>
      <w:sz w:val="16"/>
      <w:szCs w:val="16"/>
    </w:rPr>
  </w:style>
  <w:style w:type="character" w:customStyle="1" w:styleId="DocumentMapChar">
    <w:name w:val="Document Map Char"/>
    <w:basedOn w:val="DefaultParagraphFont"/>
    <w:link w:val="DocumentMap"/>
    <w:uiPriority w:val="98"/>
    <w:semiHidden/>
    <w:rsid w:val="003468DC"/>
    <w:rPr>
      <w:rFonts w:ascii="Tahoma" w:hAnsi="Tahoma" w:cs="Tahoma"/>
      <w:sz w:val="16"/>
      <w:szCs w:val="16"/>
      <w:lang w:val="fr-FR"/>
    </w:rPr>
  </w:style>
  <w:style w:type="paragraph" w:styleId="E-mailSignature">
    <w:name w:val="E-mail Signature"/>
    <w:basedOn w:val="Normal"/>
    <w:link w:val="E-mailSignatureChar"/>
    <w:uiPriority w:val="98"/>
    <w:semiHidden/>
    <w:rsid w:val="003468DC"/>
  </w:style>
  <w:style w:type="character" w:customStyle="1" w:styleId="E-mailSignatureChar">
    <w:name w:val="E-mail Signature Char"/>
    <w:basedOn w:val="DefaultParagraphFont"/>
    <w:link w:val="E-mailSignature"/>
    <w:uiPriority w:val="98"/>
    <w:semiHidden/>
    <w:rsid w:val="003468DC"/>
    <w:rPr>
      <w:sz w:val="24"/>
      <w:szCs w:val="24"/>
      <w:lang w:val="fr-FR"/>
    </w:rPr>
  </w:style>
  <w:style w:type="character" w:styleId="EndnoteReference">
    <w:name w:val="endnote reference"/>
    <w:basedOn w:val="DefaultParagraphFont"/>
    <w:uiPriority w:val="98"/>
    <w:semiHidden/>
    <w:rsid w:val="003468DC"/>
    <w:rPr>
      <w:vertAlign w:val="superscript"/>
    </w:rPr>
  </w:style>
  <w:style w:type="paragraph" w:styleId="EndnoteText">
    <w:name w:val="endnote text"/>
    <w:basedOn w:val="Normal"/>
    <w:link w:val="EndnoteTextChar"/>
    <w:uiPriority w:val="98"/>
    <w:semiHidden/>
    <w:rsid w:val="003468DC"/>
    <w:rPr>
      <w:sz w:val="20"/>
      <w:szCs w:val="20"/>
    </w:rPr>
  </w:style>
  <w:style w:type="character" w:customStyle="1" w:styleId="EndnoteTextChar">
    <w:name w:val="Endnote Text Char"/>
    <w:basedOn w:val="DefaultParagraphFont"/>
    <w:link w:val="EndnoteText"/>
    <w:uiPriority w:val="98"/>
    <w:semiHidden/>
    <w:rsid w:val="003468DC"/>
    <w:rPr>
      <w:sz w:val="20"/>
      <w:szCs w:val="20"/>
      <w:lang w:val="fr-FR"/>
    </w:rPr>
  </w:style>
  <w:style w:type="paragraph" w:styleId="EnvelopeAddress">
    <w:name w:val="envelope address"/>
    <w:basedOn w:val="Normal"/>
    <w:uiPriority w:val="98"/>
    <w:semiHidden/>
    <w:rsid w:val="003468D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468D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468DC"/>
    <w:rPr>
      <w:color w:val="7030A0" w:themeColor="followedHyperlink"/>
      <w:u w:val="single"/>
    </w:rPr>
  </w:style>
  <w:style w:type="character" w:styleId="HTMLAcronym">
    <w:name w:val="HTML Acronym"/>
    <w:basedOn w:val="DefaultParagraphFont"/>
    <w:uiPriority w:val="98"/>
    <w:semiHidden/>
    <w:rsid w:val="003468DC"/>
  </w:style>
  <w:style w:type="paragraph" w:styleId="HTMLAddress">
    <w:name w:val="HTML Address"/>
    <w:basedOn w:val="Normal"/>
    <w:link w:val="HTMLAddressChar"/>
    <w:uiPriority w:val="98"/>
    <w:semiHidden/>
    <w:rsid w:val="003468DC"/>
    <w:rPr>
      <w:i/>
      <w:iCs/>
    </w:rPr>
  </w:style>
  <w:style w:type="character" w:customStyle="1" w:styleId="HTMLAddressChar">
    <w:name w:val="HTML Address Char"/>
    <w:basedOn w:val="DefaultParagraphFont"/>
    <w:link w:val="HTMLAddress"/>
    <w:uiPriority w:val="98"/>
    <w:semiHidden/>
    <w:rsid w:val="003468DC"/>
    <w:rPr>
      <w:i/>
      <w:iCs/>
      <w:sz w:val="24"/>
      <w:szCs w:val="24"/>
      <w:lang w:val="fr-FR"/>
    </w:rPr>
  </w:style>
  <w:style w:type="character" w:styleId="HTMLCite">
    <w:name w:val="HTML Cite"/>
    <w:basedOn w:val="DefaultParagraphFont"/>
    <w:uiPriority w:val="98"/>
    <w:semiHidden/>
    <w:rsid w:val="003468DC"/>
    <w:rPr>
      <w:i/>
      <w:iCs/>
    </w:rPr>
  </w:style>
  <w:style w:type="character" w:styleId="HTMLCode">
    <w:name w:val="HTML Code"/>
    <w:basedOn w:val="DefaultParagraphFont"/>
    <w:uiPriority w:val="98"/>
    <w:semiHidden/>
    <w:rsid w:val="003468DC"/>
    <w:rPr>
      <w:rFonts w:ascii="Consolas" w:hAnsi="Consolas" w:cs="Consolas"/>
      <w:sz w:val="20"/>
      <w:szCs w:val="20"/>
    </w:rPr>
  </w:style>
  <w:style w:type="character" w:styleId="HTMLDefinition">
    <w:name w:val="HTML Definition"/>
    <w:basedOn w:val="DefaultParagraphFont"/>
    <w:uiPriority w:val="98"/>
    <w:semiHidden/>
    <w:rsid w:val="003468DC"/>
    <w:rPr>
      <w:i/>
      <w:iCs/>
    </w:rPr>
  </w:style>
  <w:style w:type="character" w:styleId="HTMLKeyboard">
    <w:name w:val="HTML Keyboard"/>
    <w:basedOn w:val="DefaultParagraphFont"/>
    <w:uiPriority w:val="98"/>
    <w:semiHidden/>
    <w:rsid w:val="003468DC"/>
    <w:rPr>
      <w:rFonts w:ascii="Consolas" w:hAnsi="Consolas" w:cs="Consolas"/>
      <w:sz w:val="20"/>
      <w:szCs w:val="20"/>
    </w:rPr>
  </w:style>
  <w:style w:type="paragraph" w:styleId="HTMLPreformatted">
    <w:name w:val="HTML Preformatted"/>
    <w:basedOn w:val="Normal"/>
    <w:link w:val="HTMLPreformattedChar"/>
    <w:uiPriority w:val="98"/>
    <w:semiHidden/>
    <w:rsid w:val="003468D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468DC"/>
    <w:rPr>
      <w:rFonts w:ascii="Consolas" w:hAnsi="Consolas" w:cs="Consolas"/>
      <w:sz w:val="20"/>
      <w:szCs w:val="20"/>
      <w:lang w:val="fr-FR"/>
    </w:rPr>
  </w:style>
  <w:style w:type="character" w:styleId="HTMLSample">
    <w:name w:val="HTML Sample"/>
    <w:basedOn w:val="DefaultParagraphFont"/>
    <w:uiPriority w:val="98"/>
    <w:semiHidden/>
    <w:rsid w:val="003468DC"/>
    <w:rPr>
      <w:rFonts w:ascii="Consolas" w:hAnsi="Consolas" w:cs="Consolas"/>
      <w:sz w:val="24"/>
      <w:szCs w:val="24"/>
    </w:rPr>
  </w:style>
  <w:style w:type="character" w:styleId="HTMLTypewriter">
    <w:name w:val="HTML Typewriter"/>
    <w:basedOn w:val="DefaultParagraphFont"/>
    <w:uiPriority w:val="98"/>
    <w:semiHidden/>
    <w:rsid w:val="003468DC"/>
    <w:rPr>
      <w:rFonts w:ascii="Consolas" w:hAnsi="Consolas" w:cs="Consolas"/>
      <w:sz w:val="20"/>
      <w:szCs w:val="20"/>
    </w:rPr>
  </w:style>
  <w:style w:type="character" w:styleId="HTMLVariable">
    <w:name w:val="HTML Variable"/>
    <w:basedOn w:val="DefaultParagraphFont"/>
    <w:uiPriority w:val="98"/>
    <w:semiHidden/>
    <w:rsid w:val="003468DC"/>
    <w:rPr>
      <w:i/>
      <w:iCs/>
    </w:rPr>
  </w:style>
  <w:style w:type="paragraph" w:styleId="Index1">
    <w:name w:val="index 1"/>
    <w:basedOn w:val="Normal"/>
    <w:next w:val="Normal"/>
    <w:autoRedefine/>
    <w:uiPriority w:val="98"/>
    <w:semiHidden/>
    <w:rsid w:val="003468DC"/>
    <w:pPr>
      <w:ind w:left="240" w:hanging="240"/>
    </w:pPr>
  </w:style>
  <w:style w:type="paragraph" w:styleId="Index2">
    <w:name w:val="index 2"/>
    <w:basedOn w:val="Normal"/>
    <w:next w:val="Normal"/>
    <w:autoRedefine/>
    <w:uiPriority w:val="98"/>
    <w:semiHidden/>
    <w:rsid w:val="003468DC"/>
    <w:pPr>
      <w:ind w:left="480" w:hanging="240"/>
    </w:pPr>
  </w:style>
  <w:style w:type="paragraph" w:styleId="Index3">
    <w:name w:val="index 3"/>
    <w:basedOn w:val="Normal"/>
    <w:next w:val="Normal"/>
    <w:autoRedefine/>
    <w:uiPriority w:val="98"/>
    <w:semiHidden/>
    <w:rsid w:val="003468DC"/>
    <w:pPr>
      <w:ind w:left="720" w:hanging="240"/>
    </w:pPr>
  </w:style>
  <w:style w:type="paragraph" w:styleId="Index4">
    <w:name w:val="index 4"/>
    <w:basedOn w:val="Normal"/>
    <w:next w:val="Normal"/>
    <w:autoRedefine/>
    <w:uiPriority w:val="98"/>
    <w:semiHidden/>
    <w:rsid w:val="003468DC"/>
    <w:pPr>
      <w:ind w:left="960" w:hanging="240"/>
    </w:pPr>
  </w:style>
  <w:style w:type="paragraph" w:styleId="Index5">
    <w:name w:val="index 5"/>
    <w:basedOn w:val="Normal"/>
    <w:next w:val="Normal"/>
    <w:autoRedefine/>
    <w:uiPriority w:val="98"/>
    <w:semiHidden/>
    <w:rsid w:val="003468DC"/>
    <w:pPr>
      <w:ind w:left="1200" w:hanging="240"/>
    </w:pPr>
  </w:style>
  <w:style w:type="paragraph" w:styleId="Index6">
    <w:name w:val="index 6"/>
    <w:basedOn w:val="Normal"/>
    <w:next w:val="Normal"/>
    <w:autoRedefine/>
    <w:uiPriority w:val="98"/>
    <w:semiHidden/>
    <w:rsid w:val="003468DC"/>
    <w:pPr>
      <w:ind w:left="1440" w:hanging="240"/>
    </w:pPr>
  </w:style>
  <w:style w:type="paragraph" w:styleId="Index7">
    <w:name w:val="index 7"/>
    <w:basedOn w:val="Normal"/>
    <w:next w:val="Normal"/>
    <w:autoRedefine/>
    <w:uiPriority w:val="98"/>
    <w:semiHidden/>
    <w:rsid w:val="003468DC"/>
    <w:pPr>
      <w:ind w:left="1680" w:hanging="240"/>
    </w:pPr>
  </w:style>
  <w:style w:type="paragraph" w:styleId="Index8">
    <w:name w:val="index 8"/>
    <w:basedOn w:val="Normal"/>
    <w:next w:val="Normal"/>
    <w:autoRedefine/>
    <w:uiPriority w:val="98"/>
    <w:semiHidden/>
    <w:rsid w:val="003468DC"/>
    <w:pPr>
      <w:ind w:left="1920" w:hanging="240"/>
    </w:pPr>
  </w:style>
  <w:style w:type="paragraph" w:styleId="Index9">
    <w:name w:val="index 9"/>
    <w:basedOn w:val="Normal"/>
    <w:next w:val="Normal"/>
    <w:autoRedefine/>
    <w:uiPriority w:val="98"/>
    <w:semiHidden/>
    <w:rsid w:val="003468DC"/>
    <w:pPr>
      <w:ind w:left="2160" w:hanging="240"/>
    </w:pPr>
  </w:style>
  <w:style w:type="paragraph" w:styleId="IndexHeading">
    <w:name w:val="index heading"/>
    <w:basedOn w:val="Normal"/>
    <w:next w:val="Index1"/>
    <w:uiPriority w:val="98"/>
    <w:semiHidden/>
    <w:rsid w:val="003468DC"/>
    <w:rPr>
      <w:rFonts w:asciiTheme="majorHAnsi" w:eastAsiaTheme="majorEastAsia" w:hAnsiTheme="majorHAnsi" w:cstheme="majorBidi"/>
      <w:b/>
      <w:bCs/>
    </w:rPr>
  </w:style>
  <w:style w:type="table" w:styleId="LightGrid">
    <w:name w:val="Light Grid"/>
    <w:basedOn w:val="TableNormal"/>
    <w:uiPriority w:val="62"/>
    <w:semiHidden/>
    <w:rsid w:val="003468D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468D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468D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468D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3468D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468D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468D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468D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468D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468D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468D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3468D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468D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468D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468D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468D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468D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468DC"/>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3468D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468D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468D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468DC"/>
  </w:style>
  <w:style w:type="paragraph" w:styleId="List">
    <w:name w:val="List"/>
    <w:basedOn w:val="Normal"/>
    <w:uiPriority w:val="98"/>
    <w:semiHidden/>
    <w:rsid w:val="003468DC"/>
    <w:pPr>
      <w:ind w:left="283" w:hanging="283"/>
      <w:contextualSpacing/>
    </w:pPr>
  </w:style>
  <w:style w:type="paragraph" w:styleId="List20">
    <w:name w:val="List 2"/>
    <w:basedOn w:val="Normal"/>
    <w:uiPriority w:val="98"/>
    <w:semiHidden/>
    <w:rsid w:val="003468DC"/>
    <w:pPr>
      <w:ind w:left="566" w:hanging="283"/>
      <w:contextualSpacing/>
    </w:pPr>
  </w:style>
  <w:style w:type="paragraph" w:styleId="List30">
    <w:name w:val="List 3"/>
    <w:basedOn w:val="Normal"/>
    <w:uiPriority w:val="98"/>
    <w:semiHidden/>
    <w:rsid w:val="003468DC"/>
    <w:pPr>
      <w:ind w:left="849" w:hanging="283"/>
      <w:contextualSpacing/>
    </w:pPr>
  </w:style>
  <w:style w:type="paragraph" w:styleId="List4">
    <w:name w:val="List 4"/>
    <w:basedOn w:val="Normal"/>
    <w:uiPriority w:val="98"/>
    <w:semiHidden/>
    <w:rsid w:val="003468DC"/>
    <w:pPr>
      <w:ind w:left="1132" w:hanging="283"/>
      <w:contextualSpacing/>
    </w:pPr>
  </w:style>
  <w:style w:type="paragraph" w:styleId="List5">
    <w:name w:val="List 5"/>
    <w:basedOn w:val="Normal"/>
    <w:uiPriority w:val="98"/>
    <w:semiHidden/>
    <w:rsid w:val="003468DC"/>
    <w:pPr>
      <w:ind w:left="1415" w:hanging="283"/>
      <w:contextualSpacing/>
    </w:pPr>
  </w:style>
  <w:style w:type="paragraph" w:styleId="ListBullet">
    <w:name w:val="List Bullet"/>
    <w:basedOn w:val="Normal"/>
    <w:uiPriority w:val="98"/>
    <w:semiHidden/>
    <w:rsid w:val="003468DC"/>
    <w:pPr>
      <w:numPr>
        <w:numId w:val="7"/>
      </w:numPr>
    </w:pPr>
  </w:style>
  <w:style w:type="paragraph" w:styleId="ListBullet3">
    <w:name w:val="List Bullet 3"/>
    <w:basedOn w:val="Normal"/>
    <w:uiPriority w:val="98"/>
    <w:semiHidden/>
    <w:rsid w:val="003468DC"/>
    <w:pPr>
      <w:numPr>
        <w:numId w:val="9"/>
      </w:numPr>
      <w:contextualSpacing/>
    </w:pPr>
  </w:style>
  <w:style w:type="paragraph" w:styleId="ListBullet4">
    <w:name w:val="List Bullet 4"/>
    <w:basedOn w:val="Normal"/>
    <w:uiPriority w:val="98"/>
    <w:semiHidden/>
    <w:rsid w:val="003468DC"/>
    <w:pPr>
      <w:numPr>
        <w:numId w:val="10"/>
      </w:numPr>
      <w:contextualSpacing/>
    </w:pPr>
  </w:style>
  <w:style w:type="paragraph" w:styleId="ListBullet5">
    <w:name w:val="List Bullet 5"/>
    <w:basedOn w:val="Normal"/>
    <w:uiPriority w:val="98"/>
    <w:semiHidden/>
    <w:rsid w:val="003468DC"/>
    <w:pPr>
      <w:numPr>
        <w:numId w:val="11"/>
      </w:numPr>
      <w:contextualSpacing/>
    </w:pPr>
  </w:style>
  <w:style w:type="paragraph" w:styleId="ListContinue">
    <w:name w:val="List Continue"/>
    <w:basedOn w:val="Normal"/>
    <w:uiPriority w:val="98"/>
    <w:semiHidden/>
    <w:rsid w:val="003468DC"/>
    <w:pPr>
      <w:spacing w:after="120"/>
      <w:ind w:left="283"/>
      <w:contextualSpacing/>
    </w:pPr>
  </w:style>
  <w:style w:type="paragraph" w:styleId="ListContinue2">
    <w:name w:val="List Continue 2"/>
    <w:basedOn w:val="Normal"/>
    <w:uiPriority w:val="98"/>
    <w:semiHidden/>
    <w:rsid w:val="003468DC"/>
    <w:pPr>
      <w:spacing w:after="120"/>
      <w:ind w:left="566"/>
      <w:contextualSpacing/>
    </w:pPr>
  </w:style>
  <w:style w:type="paragraph" w:styleId="ListContinue3">
    <w:name w:val="List Continue 3"/>
    <w:basedOn w:val="Normal"/>
    <w:uiPriority w:val="98"/>
    <w:semiHidden/>
    <w:rsid w:val="003468DC"/>
    <w:pPr>
      <w:spacing w:after="120"/>
      <w:ind w:left="849"/>
      <w:contextualSpacing/>
    </w:pPr>
  </w:style>
  <w:style w:type="paragraph" w:styleId="ListContinue4">
    <w:name w:val="List Continue 4"/>
    <w:basedOn w:val="Normal"/>
    <w:uiPriority w:val="98"/>
    <w:semiHidden/>
    <w:rsid w:val="003468DC"/>
    <w:pPr>
      <w:spacing w:after="120"/>
      <w:ind w:left="1132"/>
      <w:contextualSpacing/>
    </w:pPr>
  </w:style>
  <w:style w:type="paragraph" w:styleId="ListContinue5">
    <w:name w:val="List Continue 5"/>
    <w:basedOn w:val="Normal"/>
    <w:uiPriority w:val="98"/>
    <w:semiHidden/>
    <w:rsid w:val="003468DC"/>
    <w:pPr>
      <w:spacing w:after="120"/>
      <w:ind w:left="1415"/>
      <w:contextualSpacing/>
    </w:pPr>
  </w:style>
  <w:style w:type="paragraph" w:styleId="ListNumber">
    <w:name w:val="List Number"/>
    <w:basedOn w:val="Normal"/>
    <w:uiPriority w:val="98"/>
    <w:semiHidden/>
    <w:rsid w:val="003468DC"/>
    <w:pPr>
      <w:numPr>
        <w:numId w:val="12"/>
      </w:numPr>
      <w:contextualSpacing/>
    </w:pPr>
  </w:style>
  <w:style w:type="paragraph" w:styleId="ListNumber2">
    <w:name w:val="List Number 2"/>
    <w:basedOn w:val="Normal"/>
    <w:uiPriority w:val="98"/>
    <w:semiHidden/>
    <w:rsid w:val="003468DC"/>
    <w:pPr>
      <w:numPr>
        <w:numId w:val="13"/>
      </w:numPr>
      <w:contextualSpacing/>
    </w:pPr>
  </w:style>
  <w:style w:type="paragraph" w:styleId="ListNumber3">
    <w:name w:val="List Number 3"/>
    <w:basedOn w:val="Normal"/>
    <w:uiPriority w:val="98"/>
    <w:semiHidden/>
    <w:rsid w:val="003468DC"/>
    <w:pPr>
      <w:numPr>
        <w:numId w:val="14"/>
      </w:numPr>
      <w:contextualSpacing/>
    </w:pPr>
  </w:style>
  <w:style w:type="paragraph" w:styleId="ListNumber4">
    <w:name w:val="List Number 4"/>
    <w:basedOn w:val="Normal"/>
    <w:uiPriority w:val="98"/>
    <w:semiHidden/>
    <w:rsid w:val="003468DC"/>
    <w:pPr>
      <w:numPr>
        <w:numId w:val="15"/>
      </w:numPr>
      <w:contextualSpacing/>
    </w:pPr>
  </w:style>
  <w:style w:type="paragraph" w:styleId="ListNumber5">
    <w:name w:val="List Number 5"/>
    <w:basedOn w:val="Normal"/>
    <w:uiPriority w:val="98"/>
    <w:semiHidden/>
    <w:rsid w:val="003468DC"/>
    <w:pPr>
      <w:numPr>
        <w:numId w:val="16"/>
      </w:numPr>
      <w:contextualSpacing/>
    </w:pPr>
  </w:style>
  <w:style w:type="paragraph" w:styleId="Macro">
    <w:name w:val="macro"/>
    <w:link w:val="MacroTextChar"/>
    <w:uiPriority w:val="98"/>
    <w:semiHidden/>
    <w:rsid w:val="003468D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3468DC"/>
    <w:rPr>
      <w:rFonts w:ascii="Consolas" w:hAnsi="Consolas" w:eastAsiaTheme="minorEastAsia" w:cs="Consolas"/>
      <w:sz w:val="20"/>
      <w:szCs w:val="20"/>
    </w:rPr>
  </w:style>
  <w:style w:type="table" w:styleId="MediumGrid1">
    <w:name w:val="Medium Grid 1"/>
    <w:basedOn w:val="TableNormal"/>
    <w:uiPriority w:val="67"/>
    <w:semiHidden/>
    <w:rsid w:val="003468D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468D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468D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468D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3468D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468D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468D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3468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3468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468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468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3468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468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468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3468D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468D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468D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468DC"/>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3468D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468D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468D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468D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3468D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468D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468D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468D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468D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468D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468D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46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46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46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46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46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46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46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468D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468DC"/>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3468DC"/>
    <w:rPr>
      <w:rFonts w:ascii="Times New Roman" w:hAnsi="Times New Roman" w:cs="Times New Roman"/>
    </w:rPr>
  </w:style>
  <w:style w:type="paragraph" w:styleId="NormalIndent">
    <w:name w:val="Normal Indent"/>
    <w:basedOn w:val="Normal"/>
    <w:uiPriority w:val="98"/>
    <w:semiHidden/>
    <w:rsid w:val="003468DC"/>
    <w:pPr>
      <w:ind w:left="720"/>
    </w:pPr>
  </w:style>
  <w:style w:type="paragraph" w:styleId="NoteHeading">
    <w:name w:val="Note Heading"/>
    <w:basedOn w:val="Normal"/>
    <w:next w:val="Normal"/>
    <w:link w:val="NoteHeadingChar"/>
    <w:uiPriority w:val="98"/>
    <w:semiHidden/>
    <w:rsid w:val="003468DC"/>
  </w:style>
  <w:style w:type="character" w:customStyle="1" w:styleId="NoteHeadingChar">
    <w:name w:val="Note Heading Char"/>
    <w:basedOn w:val="DefaultParagraphFont"/>
    <w:link w:val="NoteHeading"/>
    <w:uiPriority w:val="98"/>
    <w:semiHidden/>
    <w:rsid w:val="003468DC"/>
    <w:rPr>
      <w:sz w:val="24"/>
      <w:szCs w:val="24"/>
      <w:lang w:val="fr-FR"/>
    </w:rPr>
  </w:style>
  <w:style w:type="character" w:styleId="PlaceholderText">
    <w:name w:val="Placeholder Text"/>
    <w:basedOn w:val="DefaultParagraphFont"/>
    <w:uiPriority w:val="98"/>
    <w:semiHidden/>
    <w:rsid w:val="003468D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468DC"/>
    <w:rPr>
      <w:rFonts w:ascii="Consolas" w:hAnsi="Consolas" w:cs="Consolas"/>
      <w:sz w:val="21"/>
      <w:szCs w:val="21"/>
    </w:rPr>
  </w:style>
  <w:style w:type="character" w:customStyle="1" w:styleId="PlainTextChar">
    <w:name w:val="Plain Text Char"/>
    <w:basedOn w:val="DefaultParagraphFont"/>
    <w:link w:val="PlainText"/>
    <w:uiPriority w:val="98"/>
    <w:semiHidden/>
    <w:rsid w:val="003468DC"/>
    <w:rPr>
      <w:rFonts w:ascii="Consolas" w:hAnsi="Consolas" w:cs="Consolas"/>
      <w:sz w:val="21"/>
      <w:szCs w:val="21"/>
      <w:lang w:val="fr-FR"/>
    </w:rPr>
  </w:style>
  <w:style w:type="paragraph" w:styleId="Salutation">
    <w:name w:val="Salutation"/>
    <w:basedOn w:val="Normal"/>
    <w:next w:val="Normal"/>
    <w:link w:val="SalutationChar"/>
    <w:uiPriority w:val="98"/>
    <w:semiHidden/>
    <w:rsid w:val="003468DC"/>
  </w:style>
  <w:style w:type="character" w:customStyle="1" w:styleId="SalutationChar">
    <w:name w:val="Salutation Char"/>
    <w:basedOn w:val="DefaultParagraphFont"/>
    <w:link w:val="Salutation"/>
    <w:uiPriority w:val="98"/>
    <w:semiHidden/>
    <w:rsid w:val="003468DC"/>
    <w:rPr>
      <w:sz w:val="24"/>
      <w:szCs w:val="24"/>
      <w:lang w:val="fr-FR"/>
    </w:rPr>
  </w:style>
  <w:style w:type="paragraph" w:styleId="Signature0">
    <w:name w:val="Signature"/>
    <w:basedOn w:val="Normal"/>
    <w:link w:val="SignatureChar"/>
    <w:uiPriority w:val="98"/>
    <w:semiHidden/>
    <w:rsid w:val="003468DC"/>
    <w:pPr>
      <w:ind w:left="4252"/>
    </w:pPr>
  </w:style>
  <w:style w:type="character" w:customStyle="1" w:styleId="SignatureChar">
    <w:name w:val="Signature Char"/>
    <w:basedOn w:val="DefaultParagraphFont"/>
    <w:link w:val="Signature0"/>
    <w:uiPriority w:val="98"/>
    <w:semiHidden/>
    <w:rsid w:val="003468DC"/>
    <w:rPr>
      <w:sz w:val="24"/>
      <w:szCs w:val="24"/>
      <w:lang w:val="fr-FR"/>
    </w:rPr>
  </w:style>
  <w:style w:type="table" w:styleId="Table3Deffects1">
    <w:name w:val="Table 3D effects 1"/>
    <w:basedOn w:val="TableNormal"/>
    <w:uiPriority w:val="99"/>
    <w:semiHidden/>
    <w:unhideWhenUsed/>
    <w:rsid w:val="003468D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468D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468D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468D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468D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468D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468D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468D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468D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468D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468D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468D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468D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468D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468D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468D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468D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468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468D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468D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468D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468D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468D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468D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468D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468D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468D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468D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468D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468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468D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468D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468D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468DC"/>
    <w:pPr>
      <w:ind w:left="240" w:hanging="240"/>
    </w:pPr>
  </w:style>
  <w:style w:type="paragraph" w:styleId="TableofFigures">
    <w:name w:val="table of figures"/>
    <w:basedOn w:val="Normal"/>
    <w:next w:val="Normal"/>
    <w:uiPriority w:val="98"/>
    <w:semiHidden/>
    <w:rsid w:val="003468DC"/>
  </w:style>
  <w:style w:type="table" w:styleId="TableProfessional">
    <w:name w:val="Table Professional"/>
    <w:basedOn w:val="TableNormal"/>
    <w:uiPriority w:val="99"/>
    <w:semiHidden/>
    <w:unhideWhenUsed/>
    <w:rsid w:val="003468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468D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468D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468D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468D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468D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468D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468D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468D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468D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468D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468D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468DC"/>
    <w:pPr>
      <w:spacing w:after="100"/>
      <w:ind w:left="1680"/>
    </w:pPr>
  </w:style>
  <w:style w:type="paragraph" w:styleId="TOC9">
    <w:name w:val="toc 9"/>
    <w:basedOn w:val="Normal"/>
    <w:next w:val="Normal"/>
    <w:autoRedefine/>
    <w:uiPriority w:val="98"/>
    <w:semiHidden/>
    <w:rsid w:val="003468DC"/>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3468D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468D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468D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3468D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468DC"/>
    <w:pPr>
      <w:numPr>
        <w:numId w:val="18"/>
      </w:numPr>
      <w:spacing w:before="60" w:after="60"/>
    </w:pPr>
  </w:style>
  <w:style w:type="paragraph" w:customStyle="1" w:styleId="ECHRBullet2">
    <w:name w:val="ECHR_Bullet_2"/>
    <w:aliases w:val="_Bul_2"/>
    <w:basedOn w:val="ECHRBullet1"/>
    <w:uiPriority w:val="23"/>
    <w:semiHidden/>
    <w:rsid w:val="003468DC"/>
    <w:pPr>
      <w:numPr>
        <w:ilvl w:val="1"/>
      </w:numPr>
    </w:pPr>
  </w:style>
  <w:style w:type="paragraph" w:customStyle="1" w:styleId="ECHRBullet3">
    <w:name w:val="ECHR_Bullet_3"/>
    <w:aliases w:val="_Bul_3"/>
    <w:basedOn w:val="ECHRBullet2"/>
    <w:uiPriority w:val="23"/>
    <w:semiHidden/>
    <w:rsid w:val="003468DC"/>
    <w:pPr>
      <w:numPr>
        <w:ilvl w:val="2"/>
      </w:numPr>
    </w:pPr>
  </w:style>
  <w:style w:type="paragraph" w:customStyle="1" w:styleId="ECHRBullet4">
    <w:name w:val="ECHR_Bullet_4"/>
    <w:aliases w:val="_Bul_4"/>
    <w:basedOn w:val="ECHRBullet3"/>
    <w:uiPriority w:val="23"/>
    <w:semiHidden/>
    <w:rsid w:val="003468DC"/>
    <w:pPr>
      <w:numPr>
        <w:ilvl w:val="3"/>
      </w:numPr>
    </w:pPr>
  </w:style>
  <w:style w:type="paragraph" w:customStyle="1" w:styleId="ECHRConfidential">
    <w:name w:val="ECHR_Confidential"/>
    <w:aliases w:val="_Confidential"/>
    <w:basedOn w:val="Normal"/>
    <w:next w:val="Normal"/>
    <w:uiPriority w:val="42"/>
    <w:semiHidden/>
    <w:qFormat/>
    <w:rsid w:val="003468DC"/>
    <w:pPr>
      <w:jc w:val="right"/>
    </w:pPr>
    <w:rPr>
      <w:color w:val="C00000"/>
      <w:sz w:val="20"/>
    </w:rPr>
  </w:style>
  <w:style w:type="paragraph" w:customStyle="1" w:styleId="ECHRDecisionBody">
    <w:name w:val="ECHR_Decision_Body"/>
    <w:aliases w:val="_Decision_Body"/>
    <w:basedOn w:val="NormalJustified"/>
    <w:uiPriority w:val="54"/>
    <w:semiHidden/>
    <w:rsid w:val="003468D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468D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468DC"/>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3468DC"/>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3468DC"/>
    <w:pPr>
      <w:jc w:val="right"/>
    </w:pPr>
    <w:rPr>
      <w:sz w:val="20"/>
    </w:rPr>
  </w:style>
  <w:style w:type="paragraph" w:customStyle="1" w:styleId="ECHRHeaderRefIt">
    <w:name w:val="ECHR_Header_Ref_It"/>
    <w:aliases w:val="_Ref_Ital"/>
    <w:basedOn w:val="Normal"/>
    <w:next w:val="ECHRHeaderDate"/>
    <w:uiPriority w:val="43"/>
    <w:qFormat/>
    <w:rsid w:val="003468DC"/>
    <w:pPr>
      <w:jc w:val="right"/>
    </w:pPr>
    <w:rPr>
      <w:i/>
      <w:sz w:val="20"/>
    </w:rPr>
  </w:style>
  <w:style w:type="paragraph" w:customStyle="1" w:styleId="ECHRHeading9">
    <w:name w:val="ECHR_Heading_9"/>
    <w:aliases w:val="_Head_9"/>
    <w:basedOn w:val="Heading9"/>
    <w:uiPriority w:val="17"/>
    <w:semiHidden/>
    <w:rsid w:val="003468DC"/>
    <w:pPr>
      <w:keepNext/>
      <w:keepLines/>
      <w:numPr>
        <w:ilvl w:val="8"/>
        <w:numId w:val="17"/>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468DC"/>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468DC"/>
    <w:pPr>
      <w:numPr>
        <w:numId w:val="20"/>
      </w:numPr>
      <w:spacing w:before="60" w:after="60"/>
    </w:pPr>
  </w:style>
  <w:style w:type="paragraph" w:customStyle="1" w:styleId="ECHRNumberedList2">
    <w:name w:val="ECHR_Numbered_List_2"/>
    <w:aliases w:val="_Num_2"/>
    <w:basedOn w:val="ECHRNumberedList1"/>
    <w:uiPriority w:val="23"/>
    <w:semiHidden/>
    <w:rsid w:val="003468DC"/>
    <w:pPr>
      <w:numPr>
        <w:ilvl w:val="1"/>
      </w:numPr>
    </w:pPr>
  </w:style>
  <w:style w:type="paragraph" w:customStyle="1" w:styleId="ECHRNumberedList3">
    <w:name w:val="ECHR_Numbered_List_3"/>
    <w:aliases w:val="_Num_3"/>
    <w:basedOn w:val="ECHRNumberedList2"/>
    <w:uiPriority w:val="23"/>
    <w:semiHidden/>
    <w:rsid w:val="003468DC"/>
    <w:pPr>
      <w:numPr>
        <w:ilvl w:val="2"/>
      </w:numPr>
    </w:pPr>
  </w:style>
  <w:style w:type="paragraph" w:customStyle="1" w:styleId="ECHRParaHanging">
    <w:name w:val="ECHR_Para_Hanging"/>
    <w:aliases w:val="_Hanging"/>
    <w:basedOn w:val="NormalJustified"/>
    <w:uiPriority w:val="8"/>
    <w:semiHidden/>
    <w:qFormat/>
    <w:rsid w:val="003468DC"/>
    <w:pPr>
      <w:ind w:left="567" w:hanging="567"/>
    </w:pPr>
  </w:style>
  <w:style w:type="paragraph" w:customStyle="1" w:styleId="ECHRParaIndent">
    <w:name w:val="ECHR_Para_Indent"/>
    <w:aliases w:val="_Indent"/>
    <w:basedOn w:val="NormalJustified"/>
    <w:uiPriority w:val="7"/>
    <w:semiHidden/>
    <w:qFormat/>
    <w:rsid w:val="003468DC"/>
    <w:pPr>
      <w:spacing w:before="120" w:after="120"/>
      <w:ind w:left="567"/>
    </w:pPr>
  </w:style>
  <w:style w:type="character" w:customStyle="1" w:styleId="ECHRRed">
    <w:name w:val="ECHR_Red"/>
    <w:aliases w:val="_Red"/>
    <w:basedOn w:val="DefaultParagraphFont"/>
    <w:uiPriority w:val="15"/>
    <w:semiHidden/>
    <w:qFormat/>
    <w:rsid w:val="003468DC"/>
    <w:rPr>
      <w:color w:val="C00000" w:themeColor="accent2"/>
    </w:rPr>
  </w:style>
  <w:style w:type="paragraph" w:customStyle="1" w:styleId="DecList">
    <w:name w:val="Dec_List"/>
    <w:aliases w:val="_List"/>
    <w:basedOn w:val="JuList"/>
    <w:uiPriority w:val="22"/>
    <w:rsid w:val="003468DC"/>
    <w:pPr>
      <w:numPr>
        <w:numId w:val="0"/>
      </w:numPr>
      <w:ind w:left="284"/>
    </w:pPr>
  </w:style>
  <w:style w:type="table" w:customStyle="1" w:styleId="ECHRTable2">
    <w:name w:val="ECHR_Table_2"/>
    <w:basedOn w:val="TableNormal"/>
    <w:uiPriority w:val="99"/>
    <w:rsid w:val="003468D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468D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3468DC"/>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3468DC"/>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3468DC"/>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3468DC"/>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3468DC"/>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3468DC"/>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3468DC"/>
    <w:pPr>
      <w:outlineLvl w:val="0"/>
    </w:pPr>
  </w:style>
  <w:style w:type="paragraph" w:customStyle="1" w:styleId="ECHRTitleTOC1">
    <w:name w:val="ECHR_Title_TOC_1"/>
    <w:aliases w:val="_Title_L_TOC"/>
    <w:basedOn w:val="ECHRTitle1"/>
    <w:next w:val="Normal"/>
    <w:uiPriority w:val="27"/>
    <w:semiHidden/>
    <w:qFormat/>
    <w:rsid w:val="003468DC"/>
    <w:pPr>
      <w:outlineLvl w:val="0"/>
    </w:pPr>
  </w:style>
  <w:style w:type="paragraph" w:customStyle="1" w:styleId="ECHRPlaceholder">
    <w:name w:val="ECHR_Placeholder"/>
    <w:aliases w:val="_Placeholder"/>
    <w:basedOn w:val="JuSigned"/>
    <w:uiPriority w:val="31"/>
    <w:rsid w:val="003468DC"/>
    <w:rPr>
      <w:color w:val="FFFFFF"/>
    </w:rPr>
  </w:style>
  <w:style w:type="paragraph" w:customStyle="1" w:styleId="ECHRSpacer">
    <w:name w:val="ECHR_Spacer"/>
    <w:aliases w:val="_Spacer"/>
    <w:basedOn w:val="Normal"/>
    <w:uiPriority w:val="45"/>
    <w:semiHidden/>
    <w:rsid w:val="003468DC"/>
    <w:rPr>
      <w:sz w:val="4"/>
    </w:rPr>
  </w:style>
  <w:style w:type="table" w:customStyle="1" w:styleId="ECHRTableGrey">
    <w:name w:val="ECHR_Table_Grey"/>
    <w:basedOn w:val="TableNormal"/>
    <w:uiPriority w:val="99"/>
    <w:rsid w:val="003468DC"/>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5B4F8B"/>
    <w:rPr>
      <w:sz w:val="24"/>
      <w:szCs w:val="24"/>
      <w:lang w:val="fr-FR"/>
    </w:rPr>
  </w:style>
  <w:style w:type="character" w:customStyle="1" w:styleId="JuNames1">
    <w:name w:val="Ju_Names"/>
    <w:rsid w:val="005B4F8B"/>
    <w:rPr>
      <w:smallCaps/>
    </w:rPr>
  </w:style>
  <w:style w:type="paragraph" w:customStyle="1" w:styleId="JuList4">
    <w:name w:val="Ju_List_4"/>
    <w:aliases w:val="N_Bul_4"/>
    <w:basedOn w:val="JuListi"/>
    <w:uiPriority w:val="19"/>
    <w:rsid w:val="005B4F8B"/>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5B4F8B"/>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B4F8B"/>
    <w:rPr>
      <w:sz w:val="24"/>
      <w:szCs w:val="24"/>
    </w:rPr>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B4F8B"/>
    <w:rPr>
      <w:sz w:val="24"/>
      <w:szCs w:val="24"/>
    </w:rPr>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B4F8B"/>
    <w:rPr>
      <w:sz w:val="24"/>
      <w:szCs w:val="24"/>
    </w:rPr>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B4F8B"/>
    <w:rPr>
      <w:sz w:val="24"/>
      <w:szCs w:val="24"/>
    </w:rPr>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B4F8B"/>
    <w:rPr>
      <w:sz w:val="24"/>
      <w:szCs w:val="24"/>
    </w:r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B4F8B"/>
    <w:rPr>
      <w:sz w:val="24"/>
      <w:szCs w:val="24"/>
    </w:r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B4F8B"/>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B4F8B"/>
    <w:rPr>
      <w:sz w:val="24"/>
      <w:szCs w:val="24"/>
    </w:rPr>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B4F8B"/>
    <w:rPr>
      <w:sz w:val="24"/>
      <w:szCs w:val="24"/>
    </w:rPr>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B4F8B"/>
    <w:rPr>
      <w:sz w:val="24"/>
      <w:szCs w:val="24"/>
    </w:rPr>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5B4F8B"/>
    <w:rPr>
      <w:sz w:val="24"/>
      <w:szCs w:val="24"/>
    </w:rPr>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B4F8B"/>
    <w:rPr>
      <w:sz w:val="24"/>
      <w:szCs w:val="24"/>
    </w:r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B4F8B"/>
    <w:rPr>
      <w:sz w:val="24"/>
      <w:szCs w:val="24"/>
    </w:r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B4F8B"/>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B4F8B"/>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B4F8B"/>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B4F8B"/>
    <w:rPr>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5B4F8B"/>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B4F8B"/>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B4F8B"/>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B4F8B"/>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B4F8B"/>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B4F8B"/>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B4F8B"/>
    <w:rPr>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5B4F8B"/>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B4F8B"/>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B4F8B"/>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B4F8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B4F8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B4F8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B4F8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5B4F8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B4F8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B4F8B"/>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B4F8B"/>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B4F8B"/>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B4F8B"/>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B4F8B"/>
    <w:rPr>
      <w:color w:val="424242" w:themeColor="accent3" w:themeShade="BF"/>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5B4F8B"/>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B4F8B"/>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B4F8B"/>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B4F8B"/>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B4F8B"/>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B4F8B"/>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B4F8B"/>
    <w:rPr>
      <w:color w:val="424242" w:themeColor="accent3" w:themeShade="BF"/>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5B4F8B"/>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B4F8B"/>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B4F8B"/>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5B4F8B"/>
    <w:rPr>
      <w:color w:val="2B579A"/>
      <w:shd w:val="clear" w:color="auto" w:fill="E1DFDD"/>
    </w:rPr>
  </w:style>
  <w:style w:type="table" w:styleId="ListTable1Light">
    <w:name w:val="List Table 1 Light"/>
    <w:basedOn w:val="TableNormal"/>
    <w:uiPriority w:val="46"/>
    <w:semiHidden/>
    <w:rsid w:val="005B4F8B"/>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B4F8B"/>
    <w:rPr>
      <w:sz w:val="24"/>
      <w:szCs w:val="24"/>
    </w:rPr>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B4F8B"/>
    <w:rPr>
      <w:sz w:val="24"/>
      <w:szCs w:val="24"/>
    </w:rPr>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B4F8B"/>
    <w:rPr>
      <w:sz w:val="24"/>
      <w:szCs w:val="24"/>
    </w:rPr>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5B4F8B"/>
    <w:rPr>
      <w:sz w:val="24"/>
      <w:szCs w:val="24"/>
    </w:rPr>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B4F8B"/>
    <w:rPr>
      <w:sz w:val="24"/>
      <w:szCs w:val="24"/>
    </w:r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B4F8B"/>
    <w:rPr>
      <w:sz w:val="24"/>
      <w:szCs w:val="24"/>
    </w:r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B4F8B"/>
    <w:rPr>
      <w:sz w:val="24"/>
      <w:szCs w:val="24"/>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B4F8B"/>
    <w:rPr>
      <w:sz w:val="24"/>
      <w:szCs w:val="24"/>
    </w:rPr>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B4F8B"/>
    <w:rPr>
      <w:sz w:val="24"/>
      <w:szCs w:val="24"/>
    </w:rPr>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B4F8B"/>
    <w:rPr>
      <w:sz w:val="24"/>
      <w:szCs w:val="24"/>
    </w:rPr>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5B4F8B"/>
    <w:rPr>
      <w:sz w:val="24"/>
      <w:szCs w:val="24"/>
    </w:rPr>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B4F8B"/>
    <w:rPr>
      <w:sz w:val="24"/>
      <w:szCs w:val="24"/>
    </w:r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B4F8B"/>
    <w:rPr>
      <w:sz w:val="24"/>
      <w:szCs w:val="24"/>
    </w:r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B4F8B"/>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B4F8B"/>
    <w:rPr>
      <w:sz w:val="24"/>
      <w:szCs w:val="24"/>
    </w:rPr>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B4F8B"/>
    <w:rPr>
      <w:sz w:val="24"/>
      <w:szCs w:val="24"/>
    </w:rPr>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B4F8B"/>
    <w:rPr>
      <w:sz w:val="24"/>
      <w:szCs w:val="24"/>
    </w:rPr>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5B4F8B"/>
    <w:rPr>
      <w:sz w:val="24"/>
      <w:szCs w:val="24"/>
    </w:rPr>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B4F8B"/>
    <w:rPr>
      <w:sz w:val="24"/>
      <w:szCs w:val="24"/>
    </w:r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B4F8B"/>
    <w:rPr>
      <w:sz w:val="24"/>
      <w:szCs w:val="24"/>
    </w:r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B4F8B"/>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B4F8B"/>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B4F8B"/>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B4F8B"/>
    <w:rPr>
      <w:sz w:val="24"/>
      <w:szCs w:val="24"/>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5B4F8B"/>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B4F8B"/>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B4F8B"/>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B4F8B"/>
    <w:rPr>
      <w:color w:val="FFFFFF" w:themeColor="background1"/>
      <w:sz w:val="24"/>
      <w:szCs w:val="24"/>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B4F8B"/>
    <w:rPr>
      <w:color w:val="FFFFFF" w:themeColor="background1"/>
      <w:sz w:val="24"/>
      <w:szCs w:val="24"/>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B4F8B"/>
    <w:rPr>
      <w:color w:val="FFFFFF" w:themeColor="background1"/>
      <w:sz w:val="24"/>
      <w:szCs w:val="24"/>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B4F8B"/>
    <w:rPr>
      <w:color w:val="FFFFFF" w:themeColor="background1"/>
      <w:sz w:val="24"/>
      <w:szCs w:val="24"/>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B4F8B"/>
    <w:rPr>
      <w:color w:val="FFFFFF" w:themeColor="background1"/>
      <w:sz w:val="24"/>
      <w:szCs w:val="24"/>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B4F8B"/>
    <w:rPr>
      <w:color w:val="FFFFFF" w:themeColor="background1"/>
      <w:sz w:val="24"/>
      <w:szCs w:val="24"/>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B4F8B"/>
    <w:rPr>
      <w:color w:val="FFFFFF" w:themeColor="background1"/>
      <w:sz w:val="24"/>
      <w:szCs w:val="24"/>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B4F8B"/>
    <w:rPr>
      <w:color w:val="000000" w:themeColor="text1"/>
      <w:sz w:val="24"/>
      <w:szCs w:val="24"/>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B4F8B"/>
    <w:rPr>
      <w:color w:val="00548C" w:themeColor="accent1" w:themeShade="BF"/>
      <w:sz w:val="24"/>
      <w:szCs w:val="24"/>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B4F8B"/>
    <w:rPr>
      <w:color w:val="8F0000" w:themeColor="accent2" w:themeShade="BF"/>
      <w:sz w:val="24"/>
      <w:szCs w:val="24"/>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B4F8B"/>
    <w:rPr>
      <w:color w:val="424242" w:themeColor="accent3" w:themeShade="BF"/>
      <w:sz w:val="24"/>
      <w:szCs w:val="24"/>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5B4F8B"/>
    <w:rPr>
      <w:color w:val="707070" w:themeColor="accent4" w:themeShade="BF"/>
      <w:sz w:val="24"/>
      <w:szCs w:val="24"/>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B4F8B"/>
    <w:rPr>
      <w:color w:val="474747" w:themeColor="accent5" w:themeShade="BF"/>
      <w:sz w:val="24"/>
      <w:szCs w:val="24"/>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B4F8B"/>
    <w:rPr>
      <w:color w:val="393939" w:themeColor="accent6" w:themeShade="BF"/>
      <w:sz w:val="24"/>
      <w:szCs w:val="24"/>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B4F8B"/>
    <w:rPr>
      <w:color w:val="000000" w:themeColor="text1"/>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B4F8B"/>
    <w:rPr>
      <w:color w:val="00548C" w:themeColor="accent1"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B4F8B"/>
    <w:rPr>
      <w:color w:val="8F0000" w:themeColor="accent2"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B4F8B"/>
    <w:rPr>
      <w:color w:val="424242" w:themeColor="accent3"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B4F8B"/>
    <w:rPr>
      <w:color w:val="707070" w:themeColor="accent4"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B4F8B"/>
    <w:rPr>
      <w:color w:val="474747" w:themeColor="accent5"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B4F8B"/>
    <w:rPr>
      <w:color w:val="393939" w:themeColor="accent6"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5B4F8B"/>
    <w:rPr>
      <w:color w:val="2B579A"/>
      <w:shd w:val="clear" w:color="auto" w:fill="E1DFDD"/>
    </w:rPr>
  </w:style>
  <w:style w:type="table" w:styleId="PlainTable1">
    <w:name w:val="Plain Table 1"/>
    <w:basedOn w:val="TableNormal"/>
    <w:uiPriority w:val="41"/>
    <w:semiHidden/>
    <w:rsid w:val="005B4F8B"/>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5B4F8B"/>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B4F8B"/>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B4F8B"/>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B4F8B"/>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5B4F8B"/>
    <w:rPr>
      <w:u w:val="dotted"/>
    </w:rPr>
  </w:style>
  <w:style w:type="character" w:styleId="SmartLink">
    <w:name w:val="Smart Link"/>
    <w:basedOn w:val="DefaultParagraphFont"/>
    <w:uiPriority w:val="99"/>
    <w:semiHidden/>
    <w:unhideWhenUsed/>
    <w:rsid w:val="005B4F8B"/>
    <w:rPr>
      <w:color w:val="0000FF"/>
      <w:u w:val="single"/>
      <w:shd w:val="clear" w:color="auto" w:fill="F3F2F1"/>
    </w:rPr>
  </w:style>
  <w:style w:type="table" w:styleId="GridTableLight">
    <w:name w:val="Grid Table Light"/>
    <w:basedOn w:val="TableNormal"/>
    <w:uiPriority w:val="40"/>
    <w:semiHidden/>
    <w:rsid w:val="005B4F8B"/>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5B4F8B"/>
    <w:rPr>
      <w:sz w:val="24"/>
      <w:szCs w:val="24"/>
      <w:lang w:val="fr-FR"/>
    </w:rPr>
  </w:style>
  <w:style w:type="paragraph" w:customStyle="1" w:styleId="jupara0">
    <w:name w:val="jupara"/>
    <w:basedOn w:val="Normal"/>
    <w:rsid w:val="009E1163"/>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9E1163"/>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7440</Words>
  <Characters>40920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2024-07-08T13:52:00Z</dcterms:created>
  <dcterms:modified xsi:type="dcterms:W3CDTF">2024-10-18T13:26:00Z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1526507</vt:lpwstr>
  </property>
  <property fmtid="{D5CDD505-2E9C-101B-9397-08002B2CF9AE}" pid="3" name="cstLanguage">
    <vt:i4>1036</vt:i4>
  </property>
  <property fmtid="{D5CDD505-2E9C-101B-9397-08002B2CF9AE}" pid="4" name="RegisteredNo">
    <vt:lpwstr>23093/20</vt:lpwstr>
  </property>
</Properties>
</file>