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2.0 -->
  <w:body>
    <w:p w:rsidRPr="007034B5" w:rsidR="00305EE3" w:rsidP="007034B5" w14:paraId="0B10B962" w14:textId="77777777">
      <w:pPr>
        <w:jc w:val="center"/>
        <w:rPr>
          <w:rFonts w:ascii="Times New Roman" w:hAnsi="Times New Roman" w:cs="Times New Roman"/>
        </w:rPr>
      </w:pPr>
    </w:p>
    <w:p w:rsidRPr="007034B5" w:rsidR="0098410D" w:rsidP="007034B5" w14:paraId="16CC6D86" w14:textId="77777777">
      <w:pPr>
        <w:pStyle w:val="DecHTitle"/>
      </w:pPr>
      <w:r w:rsidRPr="007034B5">
        <w:t>FIRST SECTION</w:t>
      </w:r>
    </w:p>
    <w:p w:rsidRPr="007034B5" w:rsidR="008E6217" w:rsidP="007034B5" w14:paraId="3B926966" w14:textId="664F2D84">
      <w:pPr>
        <w:pStyle w:val="JuTitle"/>
        <w:spacing w:before="1080"/>
      </w:pPr>
      <w:r w:rsidRPr="007034B5">
        <w:rPr>
          <w:color w:val="000000" w:themeColor="text1"/>
        </w:rPr>
        <w:t xml:space="preserve">CASE OF </w:t>
      </w:r>
      <w:r w:rsidRPr="007034B5" w:rsidR="00903CD0">
        <w:rPr>
          <w:color w:val="000000" w:themeColor="text1"/>
        </w:rPr>
        <w:t xml:space="preserve">MÁRIA </w:t>
      </w:r>
      <w:r w:rsidRPr="007034B5" w:rsidR="00305EE3">
        <w:t>SOMOGYI v. HUNGARY</w:t>
      </w:r>
    </w:p>
    <w:p w:rsidRPr="007034B5" w:rsidR="00D74888" w:rsidP="007034B5" w14:paraId="7AE23EF9" w14:textId="77777777">
      <w:pPr>
        <w:pStyle w:val="ECHRCoverTitle4"/>
      </w:pPr>
      <w:r w:rsidRPr="007034B5">
        <w:t>(</w:t>
      </w:r>
      <w:r w:rsidRPr="007034B5" w:rsidR="00305EE3">
        <w:t>Application no.</w:t>
      </w:r>
      <w:r w:rsidRPr="007034B5">
        <w:t xml:space="preserve"> </w:t>
      </w:r>
      <w:r w:rsidRPr="007034B5" w:rsidR="00305EE3">
        <w:t>15076/17</w:t>
      </w:r>
      <w:r w:rsidRPr="007034B5">
        <w:t>)</w:t>
      </w:r>
    </w:p>
    <w:p w:rsidRPr="007034B5" w:rsidR="0098410D" w:rsidP="007034B5" w14:paraId="5496DD41" w14:textId="77777777">
      <w:pPr>
        <w:pStyle w:val="DecHCase"/>
      </w:pPr>
    </w:p>
    <w:p w:rsidRPr="007034B5" w:rsidR="0098410D" w:rsidP="007034B5" w14:paraId="3EA070A3" w14:textId="77777777">
      <w:pPr>
        <w:pStyle w:val="DecHCase"/>
      </w:pPr>
    </w:p>
    <w:p w:rsidRPr="007034B5" w:rsidR="007762B1" w:rsidP="007034B5" w14:paraId="40853855" w14:textId="77777777">
      <w:pPr>
        <w:pStyle w:val="DecHCase"/>
      </w:pPr>
      <w:r w:rsidRPr="007034B5">
        <w:t>JUDGMENT</w:t>
      </w:r>
      <w:r w:rsidRPr="007034B5" w:rsidR="00AC4CD4">
        <w:br/>
      </w:r>
    </w:p>
    <w:p w:rsidRPr="007034B5" w:rsidR="003C073A" w:rsidP="007034B5" w14:paraId="77930D9C" w14:textId="2CAB48CC">
      <w:pPr>
        <w:pStyle w:val="JuPara"/>
        <w:pBdr>
          <w:top w:val="single" w:color="auto" w:sz="4" w:space="1"/>
          <w:left w:val="single" w:color="auto" w:sz="4" w:space="4"/>
          <w:bottom w:val="single" w:color="auto" w:sz="4" w:space="1"/>
          <w:right w:val="single" w:color="auto" w:sz="4" w:space="4"/>
        </w:pBdr>
        <w:ind w:firstLine="0"/>
      </w:pPr>
      <w:r w:rsidRPr="007034B5">
        <w:t>Art 10 • Freedom of expression • Compensation order against the applicant for an infringement of a municipality</w:t>
      </w:r>
      <w:r w:rsidRPr="007034B5" w:rsidR="007034B5">
        <w:t>’</w:t>
      </w:r>
      <w:r w:rsidRPr="007034B5">
        <w:t>s personality rights for having shared a third party</w:t>
      </w:r>
      <w:r w:rsidRPr="007034B5" w:rsidR="007034B5">
        <w:t>’</w:t>
      </w:r>
      <w:r w:rsidRPr="007034B5">
        <w:t>s Facebook post concerning the management of municipality owned property and the use of public funds • Civil defamation proceedings seeking to protect the municipality</w:t>
      </w:r>
      <w:r w:rsidRPr="007034B5" w:rsidR="007034B5">
        <w:t>’</w:t>
      </w:r>
      <w:r w:rsidRPr="007034B5">
        <w:t>s reputation did not pursue any of the legitimate aims enumerated in Art</w:t>
      </w:r>
      <w:r w:rsidRPr="007034B5" w:rsidR="005E22FA">
        <w:t> </w:t>
      </w:r>
      <w:r w:rsidRPr="007034B5">
        <w:t>10 §</w:t>
      </w:r>
      <w:r w:rsidRPr="007034B5" w:rsidR="005E22FA">
        <w:t> </w:t>
      </w:r>
      <w:r w:rsidRPr="007034B5">
        <w:t>2</w:t>
      </w:r>
    </w:p>
    <w:p w:rsidRPr="007034B5" w:rsidR="003C073A" w:rsidP="007034B5" w14:paraId="3C2F2D1E" w14:textId="77777777">
      <w:pPr>
        <w:pStyle w:val="JuPara"/>
        <w:pBdr>
          <w:top w:val="single" w:color="auto" w:sz="4" w:space="1"/>
          <w:left w:val="single" w:color="auto" w:sz="4" w:space="4"/>
          <w:bottom w:val="single" w:color="auto" w:sz="4" w:space="1"/>
          <w:right w:val="single" w:color="auto" w:sz="4" w:space="4"/>
        </w:pBdr>
        <w:ind w:firstLine="0"/>
      </w:pPr>
    </w:p>
    <w:p w:rsidRPr="007034B5" w:rsidR="003C073A" w:rsidP="007034B5" w14:paraId="095A603F" w14:textId="77777777">
      <w:pPr>
        <w:pStyle w:val="JuPara"/>
        <w:pBdr>
          <w:top w:val="single" w:color="auto" w:sz="4" w:space="1"/>
          <w:left w:val="single" w:color="auto" w:sz="4" w:space="4"/>
          <w:bottom w:val="single" w:color="auto" w:sz="4" w:space="1"/>
          <w:right w:val="single" w:color="auto" w:sz="4" w:space="4"/>
        </w:pBdr>
        <w:jc w:val="center"/>
        <w:rPr>
          <w:sz w:val="20"/>
          <w:szCs w:val="20"/>
        </w:rPr>
      </w:pPr>
      <w:r w:rsidRPr="007034B5">
        <w:rPr>
          <w:sz w:val="20"/>
          <w:szCs w:val="20"/>
        </w:rPr>
        <w:t>Prepared by the Registry. Does not bind the Court.</w:t>
      </w:r>
    </w:p>
    <w:p w:rsidRPr="007034B5" w:rsidR="003C073A" w:rsidP="002460F9" w14:paraId="04740F89" w14:textId="77777777">
      <w:pPr>
        <w:pStyle w:val="JuPara"/>
        <w:spacing w:after="200"/>
      </w:pPr>
    </w:p>
    <w:p w:rsidRPr="007034B5" w:rsidR="0098410D" w:rsidP="007034B5" w14:paraId="2C4D8278" w14:textId="1BCA7207">
      <w:pPr>
        <w:pStyle w:val="DecHCase"/>
      </w:pPr>
      <w:r w:rsidRPr="007034B5">
        <w:t>STRASBOURG</w:t>
      </w:r>
    </w:p>
    <w:p w:rsidRPr="007034B5" w:rsidR="0098410D" w:rsidP="007034B5" w14:paraId="34930924" w14:textId="77777777">
      <w:pPr>
        <w:pStyle w:val="DecHCase"/>
      </w:pPr>
      <w:r w:rsidRPr="007034B5">
        <w:rPr>
          <w:rFonts w:ascii="Times New Roman" w:hAnsi="Times New Roman" w:cs="Times New Roman"/>
        </w:rPr>
        <w:t>16 May 2024</w:t>
      </w:r>
    </w:p>
    <w:p w:rsidRPr="007034B5" w:rsidR="00AC4CD4" w:rsidP="007034B5" w14:paraId="07D271DD" w14:textId="77777777">
      <w:pPr>
        <w:pStyle w:val="JuPara"/>
      </w:pPr>
    </w:p>
    <w:p w:rsidR="002460F9" w:rsidP="002460F9" w14:paraId="20A0AAA5" w14:textId="77777777">
      <w:pPr>
        <w:pStyle w:val="jucase0"/>
        <w:ind w:firstLine="0"/>
        <w:jc w:val="center"/>
        <w:rPr>
          <w:color w:val="FF0000"/>
          <w:sz w:val="28"/>
          <w:szCs w:val="28"/>
          <w:u w:val="single"/>
        </w:rPr>
      </w:pPr>
      <w:bookmarkStart w:name="_Hlk59706592" w:id="0"/>
      <w:bookmarkStart w:name="_Hlk59704667" w:id="1"/>
      <w:r w:rsidRPr="00261F46">
        <w:rPr>
          <w:color w:val="FF0000"/>
          <w:sz w:val="28"/>
          <w:szCs w:val="28"/>
          <w:u w:val="single"/>
        </w:rPr>
        <w:t>FINAL</w:t>
      </w:r>
    </w:p>
    <w:p w:rsidRPr="00D04090" w:rsidR="002460F9" w:rsidP="002460F9" w14:paraId="4EBF42F9" w14:textId="77777777">
      <w:pPr>
        <w:pStyle w:val="jucase0"/>
        <w:ind w:firstLine="0"/>
        <w:jc w:val="center"/>
        <w:rPr>
          <w:b w:val="0"/>
          <w:bCs w:val="0"/>
          <w:color w:val="FF0000"/>
          <w:u w:val="single"/>
        </w:rPr>
      </w:pPr>
    </w:p>
    <w:p w:rsidRPr="00502BB5" w:rsidR="002460F9" w:rsidP="002460F9" w14:paraId="1A792BCB" w14:textId="77777777">
      <w:pPr>
        <w:pStyle w:val="jucase0"/>
        <w:ind w:firstLine="0"/>
        <w:jc w:val="center"/>
        <w:rPr>
          <w:b w:val="0"/>
          <w:color w:val="FF0000"/>
          <w:sz w:val="28"/>
          <w:szCs w:val="28"/>
        </w:rPr>
      </w:pPr>
      <w:r>
        <w:rPr>
          <w:b w:val="0"/>
          <w:color w:val="FF0000"/>
          <w:sz w:val="28"/>
          <w:szCs w:val="28"/>
        </w:rPr>
        <w:t>16/08/2024</w:t>
      </w:r>
    </w:p>
    <w:p w:rsidRPr="00261F46" w:rsidR="002460F9" w:rsidP="002460F9" w14:paraId="3591BC59" w14:textId="77777777">
      <w:pPr>
        <w:pStyle w:val="jupara0"/>
        <w:ind w:firstLine="0"/>
        <w:jc w:val="center"/>
      </w:pPr>
    </w:p>
    <w:p w:rsidRPr="00261F46" w:rsidR="002460F9" w:rsidP="002460F9" w14:paraId="32F3859D" w14:textId="77777777">
      <w:pPr>
        <w:jc w:val="center"/>
        <w:rPr>
          <w:i/>
          <w:iCs/>
          <w:sz w:val="22"/>
          <w:szCs w:val="22"/>
        </w:rPr>
      </w:pPr>
      <w:r w:rsidRPr="00261F46">
        <w:rPr>
          <w:i/>
          <w:iCs/>
          <w:sz w:val="22"/>
          <w:szCs w:val="22"/>
        </w:rPr>
        <w:t xml:space="preserve">This judgment has become final under Article 44 § 2 of the Convention. </w:t>
      </w:r>
      <w:r>
        <w:rPr>
          <w:i/>
          <w:iCs/>
          <w:sz w:val="22"/>
          <w:szCs w:val="22"/>
        </w:rPr>
        <w:br/>
      </w:r>
      <w:r w:rsidRPr="00261F46">
        <w:rPr>
          <w:i/>
          <w:iCs/>
          <w:sz w:val="22"/>
          <w:szCs w:val="22"/>
        </w:rPr>
        <w:t>It may be subject to editorial revision.</w:t>
      </w:r>
      <w:bookmarkEnd w:id="0"/>
    </w:p>
    <w:bookmarkEnd w:id="1"/>
    <w:p w:rsidRPr="007034B5" w:rsidR="0098410D" w:rsidP="007034B5" w14:paraId="23F645A8" w14:textId="77777777"/>
    <w:p w:rsidRPr="007034B5" w:rsidR="003C073A" w:rsidP="007034B5" w14:paraId="188DEFBD" w14:textId="77777777">
      <w:pPr>
        <w:sectPr w:rsidSect="00D66471">
          <w:headerReference w:type="default" r:id="rId5"/>
          <w:footerReference w:type="default" r:id="rId6"/>
          <w:headerReference w:type="first" r:id="rId7"/>
          <w:footerReference w:type="first" r:id="rId8"/>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7034B5" w:rsidR="0098410D" w:rsidP="007034B5" w14:paraId="1832E653" w14:textId="30B42D76">
      <w:pPr>
        <w:pStyle w:val="JuCase"/>
      </w:pPr>
      <w:r w:rsidRPr="007034B5">
        <w:t xml:space="preserve">In the case of </w:t>
      </w:r>
      <w:r w:rsidRPr="007034B5" w:rsidR="00903CD0">
        <w:t>Mária</w:t>
      </w:r>
      <w:r w:rsidRPr="007034B5" w:rsidR="00903CD0">
        <w:t xml:space="preserve"> </w:t>
      </w:r>
      <w:r w:rsidRPr="007034B5" w:rsidR="00305EE3">
        <w:t>Somogyi v. Hungary</w:t>
      </w:r>
      <w:r w:rsidRPr="007034B5">
        <w:t>,</w:t>
      </w:r>
    </w:p>
    <w:p w:rsidRPr="007034B5" w:rsidR="009F4C8F" w:rsidP="007034B5" w14:paraId="73BACE9F" w14:textId="77777777">
      <w:pPr>
        <w:pStyle w:val="JuPara"/>
      </w:pPr>
      <w:r w:rsidRPr="007034B5">
        <w:t>The European Court of Human Rights (</w:t>
      </w:r>
      <w:r w:rsidRPr="007034B5" w:rsidR="00305EE3">
        <w:t>First Section</w:t>
      </w:r>
      <w:r w:rsidRPr="007034B5">
        <w:t xml:space="preserve">), sitting as a </w:t>
      </w:r>
      <w:r w:rsidRPr="007034B5" w:rsidR="00305EE3">
        <w:t>Chamber</w:t>
      </w:r>
      <w:r w:rsidRPr="007034B5">
        <w:t xml:space="preserve"> composed of:</w:t>
      </w:r>
    </w:p>
    <w:p w:rsidRPr="007034B5" w:rsidR="00A92625" w:rsidP="007034B5" w14:paraId="6095AD1C" w14:textId="18D9F1B2">
      <w:pPr>
        <w:pStyle w:val="JuJudges"/>
      </w:pPr>
      <w:r w:rsidRPr="007034B5">
        <w:tab/>
        <w:t xml:space="preserve">Marko </w:t>
      </w:r>
      <w:r w:rsidRPr="007034B5">
        <w:t>Bošnjak</w:t>
      </w:r>
      <w:r w:rsidRPr="007034B5">
        <w:rPr>
          <w:i/>
        </w:rPr>
        <w:t>, President</w:t>
      </w:r>
      <w:r w:rsidRPr="007034B5">
        <w:t>,</w:t>
      </w:r>
      <w:r w:rsidRPr="007034B5">
        <w:br/>
      </w:r>
      <w:r w:rsidRPr="007034B5">
        <w:tab/>
        <w:t xml:space="preserve">Alena </w:t>
      </w:r>
      <w:r w:rsidRPr="007034B5">
        <w:t>Poláčková</w:t>
      </w:r>
      <w:r w:rsidRPr="007034B5">
        <w:t>,</w:t>
      </w:r>
      <w:r w:rsidRPr="007034B5">
        <w:br/>
      </w:r>
      <w:r w:rsidRPr="007034B5">
        <w:tab/>
        <w:t xml:space="preserve">Krzysztof </w:t>
      </w:r>
      <w:r w:rsidRPr="007034B5">
        <w:t>Wojtyczek</w:t>
      </w:r>
      <w:r w:rsidRPr="007034B5">
        <w:t>,</w:t>
      </w:r>
      <w:r w:rsidRPr="007034B5">
        <w:br/>
      </w:r>
      <w:r w:rsidRPr="007034B5">
        <w:tab/>
      </w:r>
      <w:r w:rsidRPr="007034B5">
        <w:t>Lətif</w:t>
      </w:r>
      <w:r w:rsidRPr="007034B5">
        <w:t xml:space="preserve"> </w:t>
      </w:r>
      <w:r w:rsidRPr="007034B5">
        <w:t>Hüseynov</w:t>
      </w:r>
      <w:r w:rsidRPr="007034B5">
        <w:t>,</w:t>
      </w:r>
      <w:r w:rsidRPr="007034B5">
        <w:br/>
      </w:r>
      <w:r w:rsidRPr="007034B5">
        <w:tab/>
      </w:r>
      <w:r w:rsidRPr="007034B5">
        <w:t>Péter</w:t>
      </w:r>
      <w:r w:rsidRPr="007034B5">
        <w:t xml:space="preserve"> </w:t>
      </w:r>
      <w:r w:rsidRPr="007034B5">
        <w:t>Paczolay</w:t>
      </w:r>
      <w:r w:rsidRPr="007034B5">
        <w:t>,</w:t>
      </w:r>
      <w:r w:rsidRPr="007034B5">
        <w:br/>
      </w:r>
      <w:r w:rsidRPr="007034B5">
        <w:tab/>
        <w:t xml:space="preserve">Ivana </w:t>
      </w:r>
      <w:r w:rsidRPr="007034B5">
        <w:t>Jelić</w:t>
      </w:r>
      <w:r w:rsidRPr="007034B5">
        <w:t>,</w:t>
      </w:r>
      <w:r w:rsidRPr="007034B5">
        <w:br/>
      </w:r>
      <w:r w:rsidRPr="007034B5">
        <w:tab/>
        <w:t xml:space="preserve">Gilberto </w:t>
      </w:r>
      <w:r w:rsidRPr="007034B5">
        <w:t>Felici</w:t>
      </w:r>
      <w:r w:rsidRPr="007034B5">
        <w:rPr>
          <w:i/>
        </w:rPr>
        <w:t>, judges</w:t>
      </w:r>
      <w:r w:rsidRPr="007034B5">
        <w:t>,</w:t>
      </w:r>
      <w:r w:rsidRPr="007034B5">
        <w:br/>
      </w:r>
      <w:r w:rsidRPr="007034B5" w:rsidR="009F4C8F">
        <w:t>and</w:t>
      </w:r>
      <w:r w:rsidRPr="007034B5" w:rsidR="005C2C62">
        <w:t xml:space="preserve"> </w:t>
      </w:r>
      <w:r w:rsidRPr="007034B5" w:rsidR="00305EE3">
        <w:t xml:space="preserve">Ilse </w:t>
      </w:r>
      <w:r w:rsidRPr="007034B5" w:rsidR="00305EE3">
        <w:t>Freiwirth</w:t>
      </w:r>
      <w:r w:rsidRPr="007034B5">
        <w:t xml:space="preserve">, </w:t>
      </w:r>
      <w:r w:rsidRPr="007034B5" w:rsidR="00E744E0">
        <w:rPr>
          <w:i/>
        </w:rPr>
        <w:t xml:space="preserve">Section </w:t>
      </w:r>
      <w:r w:rsidRPr="007034B5" w:rsidR="00E744E0">
        <w:rPr>
          <w:i/>
          <w:iCs/>
        </w:rPr>
        <w:t>Registrar</w:t>
      </w:r>
      <w:r w:rsidRPr="007034B5" w:rsidR="008F2465">
        <w:rPr>
          <w:i/>
        </w:rPr>
        <w:t>,</w:t>
      </w:r>
    </w:p>
    <w:p w:rsidRPr="007034B5" w:rsidR="00305EE3" w:rsidP="007034B5" w14:paraId="691EF50B" w14:textId="77777777">
      <w:pPr>
        <w:pStyle w:val="JuPara"/>
      </w:pPr>
      <w:r w:rsidRPr="007034B5">
        <w:t>Having regard to:</w:t>
      </w:r>
    </w:p>
    <w:p w:rsidRPr="007034B5" w:rsidR="00305EE3" w:rsidP="007034B5" w14:paraId="63AB9A16" w14:textId="77777777">
      <w:pPr>
        <w:pStyle w:val="JuPara"/>
      </w:pPr>
      <w:r w:rsidRPr="007034B5">
        <w:t>the application (no. 15076/17) against Hungary lodged with the Court under Article 34 of the Convention for the Protection of Human Rights and Fundamental Freedoms (“the Convention”) by a Hungarian national, Ms </w:t>
      </w:r>
      <w:r w:rsidRPr="007034B5">
        <w:t>Mária</w:t>
      </w:r>
      <w:r w:rsidRPr="007034B5">
        <w:t xml:space="preserve"> Somogyi (“the applicant”), on 7 February 2017;</w:t>
      </w:r>
    </w:p>
    <w:p w:rsidRPr="007034B5" w:rsidR="00305EE3" w:rsidP="007034B5" w14:paraId="494317D5" w14:textId="77777777">
      <w:pPr>
        <w:pStyle w:val="JuPara"/>
      </w:pPr>
      <w:r w:rsidRPr="007034B5">
        <w:t>the decision to give notice to the Hungarian Government (“the Government”) of the application;</w:t>
      </w:r>
    </w:p>
    <w:p w:rsidRPr="007034B5" w:rsidR="00305EE3" w:rsidP="007034B5" w14:paraId="2DF6180D" w14:textId="03E1B6D5">
      <w:pPr>
        <w:pStyle w:val="JuPara"/>
      </w:pPr>
      <w:r w:rsidRPr="007034B5">
        <w:t>the parties</w:t>
      </w:r>
      <w:r w:rsidRPr="007034B5" w:rsidR="007034B5">
        <w:t>’</w:t>
      </w:r>
      <w:r w:rsidRPr="007034B5">
        <w:t xml:space="preserve"> observations;</w:t>
      </w:r>
    </w:p>
    <w:p w:rsidRPr="007034B5" w:rsidR="009F4C8F" w:rsidP="007034B5" w14:paraId="5505841C" w14:textId="77777777">
      <w:pPr>
        <w:pStyle w:val="JuPara"/>
      </w:pPr>
      <w:r w:rsidRPr="007034B5">
        <w:t xml:space="preserve">Having deliberated in private on </w:t>
      </w:r>
      <w:r w:rsidRPr="007034B5" w:rsidR="00305EE3">
        <w:t>9 April 2024</w:t>
      </w:r>
      <w:r w:rsidRPr="007034B5">
        <w:t>,</w:t>
      </w:r>
    </w:p>
    <w:p w:rsidRPr="007034B5" w:rsidR="009F4C8F" w:rsidP="007034B5" w14:paraId="4FAA1AC2" w14:textId="77777777">
      <w:pPr>
        <w:pStyle w:val="JuPara"/>
      </w:pPr>
      <w:r w:rsidRPr="007034B5">
        <w:t>Delivers the following judgment, which was adopted on that date:</w:t>
      </w:r>
    </w:p>
    <w:p w:rsidRPr="007034B5" w:rsidR="00305EE3" w:rsidP="007034B5" w14:paraId="4BD17698" w14:textId="77777777">
      <w:pPr>
        <w:pStyle w:val="JuHHead"/>
        <w:numPr>
          <w:ilvl w:val="0"/>
          <w:numId w:val="0"/>
        </w:numPr>
      </w:pPr>
      <w:r w:rsidRPr="007034B5">
        <w:t>INTRODUCTION</w:t>
      </w:r>
    </w:p>
    <w:p w:rsidRPr="007034B5" w:rsidR="00305EE3" w:rsidP="007034B5" w14:paraId="3DBF7132" w14:textId="384C8EB1">
      <w:pPr>
        <w:pStyle w:val="JuPara"/>
      </w:pPr>
      <w:r w:rsidRPr="007034B5">
        <w:fldChar w:fldCharType="begin"/>
      </w:r>
      <w:r w:rsidRPr="007034B5">
        <w:instrText xml:space="preserve"> SEQ level0 \*arabic </w:instrText>
      </w:r>
      <w:r w:rsidRPr="007034B5">
        <w:fldChar w:fldCharType="separate"/>
      </w:r>
      <w:r w:rsidRPr="007034B5" w:rsidR="007034B5">
        <w:rPr>
          <w:noProof/>
        </w:rPr>
        <w:t>1</w:t>
      </w:r>
      <w:r w:rsidRPr="007034B5">
        <w:fldChar w:fldCharType="end"/>
      </w:r>
      <w:r w:rsidRPr="007034B5">
        <w:t>.  </w:t>
      </w:r>
      <w:bookmarkStart w:name="lt_pId043" w:id="2"/>
      <w:r w:rsidRPr="007034B5">
        <w:rPr>
          <w:rFonts w:cstheme="minorHAnsi"/>
          <w:color w:val="000000"/>
        </w:rPr>
        <w:t>T</w:t>
      </w:r>
      <w:r w:rsidRPr="007034B5">
        <w:rPr>
          <w:rFonts w:asciiTheme="majorHAnsi" w:hAnsiTheme="majorHAnsi" w:cstheme="majorHAnsi"/>
          <w:color w:val="000000"/>
        </w:rPr>
        <w:t>he application concerns a complaint under Article 10 of the Convention about an order that the applicant was to pay compensation for an infringement of the personality rights of a municipality for having shared a Facebook post by a third party.</w:t>
      </w:r>
      <w:bookmarkEnd w:id="2"/>
    </w:p>
    <w:p w:rsidRPr="007034B5" w:rsidR="00305EE3" w:rsidP="007034B5" w14:paraId="74666C0B" w14:textId="77777777">
      <w:pPr>
        <w:pStyle w:val="JuHHead"/>
      </w:pPr>
      <w:r w:rsidRPr="007034B5">
        <w:t>THE FACTS</w:t>
      </w:r>
    </w:p>
    <w:p w:rsidRPr="007034B5" w:rsidR="00305EE3" w:rsidP="007034B5" w14:paraId="184BDCE2" w14:textId="09BA8976">
      <w:pPr>
        <w:pStyle w:val="JuPara"/>
      </w:pPr>
      <w:r w:rsidRPr="007034B5">
        <w:fldChar w:fldCharType="begin"/>
      </w:r>
      <w:r w:rsidRPr="007034B5">
        <w:instrText xml:space="preserve"> SEQ level0 \*arabic </w:instrText>
      </w:r>
      <w:r w:rsidRPr="007034B5">
        <w:fldChar w:fldCharType="separate"/>
      </w:r>
      <w:r w:rsidRPr="007034B5" w:rsidR="007034B5">
        <w:rPr>
          <w:noProof/>
        </w:rPr>
        <w:t>2</w:t>
      </w:r>
      <w:r w:rsidRPr="007034B5">
        <w:fldChar w:fldCharType="end"/>
      </w:r>
      <w:r w:rsidRPr="007034B5">
        <w:t xml:space="preserve">.  The applicant was born in 1954 and lives in Tata. She was represented by Mr T. </w:t>
      </w:r>
      <w:r w:rsidRPr="007034B5">
        <w:t>Hüttl</w:t>
      </w:r>
      <w:r w:rsidRPr="007034B5">
        <w:t>, a lawyer practising in Budapest.</w:t>
      </w:r>
    </w:p>
    <w:p w:rsidRPr="007034B5" w:rsidR="00305EE3" w:rsidP="007034B5" w14:paraId="31657962" w14:textId="3B6A3DDE">
      <w:pPr>
        <w:pStyle w:val="JuPara"/>
        <w:rPr>
          <w:rFonts w:ascii="Arial" w:hAnsi="Arial" w:cs="Arial"/>
          <w:color w:val="000000"/>
        </w:rPr>
      </w:pPr>
      <w:r w:rsidRPr="007034B5">
        <w:fldChar w:fldCharType="begin"/>
      </w:r>
      <w:r w:rsidRPr="007034B5">
        <w:instrText xml:space="preserve"> SEQ level0 \*arabic </w:instrText>
      </w:r>
      <w:r w:rsidRPr="007034B5">
        <w:fldChar w:fldCharType="separate"/>
      </w:r>
      <w:r w:rsidRPr="007034B5" w:rsidR="007034B5">
        <w:rPr>
          <w:noProof/>
        </w:rPr>
        <w:t>3</w:t>
      </w:r>
      <w:r w:rsidRPr="007034B5">
        <w:fldChar w:fldCharType="end"/>
      </w:r>
      <w:r w:rsidRPr="007034B5">
        <w:rPr>
          <w:rFonts w:asciiTheme="majorHAnsi" w:hAnsiTheme="majorHAnsi" w:cstheme="majorHAnsi"/>
        </w:rPr>
        <w:t>.  </w:t>
      </w:r>
      <w:r w:rsidRPr="007034B5">
        <w:rPr>
          <w:rFonts w:asciiTheme="majorHAnsi" w:hAnsiTheme="majorHAnsi" w:cstheme="majorHAnsi"/>
          <w:color w:val="000000"/>
        </w:rPr>
        <w:t xml:space="preserve">The Government were represented by their Agent, Mr Z. </w:t>
      </w:r>
      <w:r w:rsidRPr="007034B5">
        <w:rPr>
          <w:rFonts w:asciiTheme="majorHAnsi" w:hAnsiTheme="majorHAnsi" w:cstheme="majorHAnsi"/>
          <w:color w:val="000000"/>
        </w:rPr>
        <w:t>Tallódi</w:t>
      </w:r>
      <w:r w:rsidRPr="007034B5">
        <w:rPr>
          <w:rFonts w:asciiTheme="majorHAnsi" w:hAnsiTheme="majorHAnsi" w:cstheme="majorHAnsi"/>
          <w:color w:val="000000"/>
        </w:rPr>
        <w:t>,</w:t>
      </w:r>
      <w:bookmarkStart w:name="death_of_the_applicant" w:id="3"/>
      <w:r w:rsidRPr="007034B5">
        <w:rPr>
          <w:rFonts w:asciiTheme="majorHAnsi" w:hAnsiTheme="majorHAnsi" w:cstheme="majorHAnsi"/>
          <w:color w:val="000000"/>
        </w:rPr>
        <w:t xml:space="preserve"> of the Ministry of Justice.</w:t>
      </w:r>
      <w:bookmarkEnd w:id="3"/>
    </w:p>
    <w:p w:rsidRPr="007034B5" w:rsidR="00305EE3" w:rsidP="007034B5" w14:paraId="1CEE6FAF" w14:textId="2C1FF792">
      <w:pPr>
        <w:pStyle w:val="JuPara"/>
      </w:pPr>
      <w:r w:rsidRPr="007034B5">
        <w:fldChar w:fldCharType="begin"/>
      </w:r>
      <w:r w:rsidRPr="007034B5">
        <w:instrText xml:space="preserve"> SEQ level0 \*arabic </w:instrText>
      </w:r>
      <w:r w:rsidRPr="007034B5">
        <w:fldChar w:fldCharType="separate"/>
      </w:r>
      <w:r w:rsidRPr="007034B5" w:rsidR="007034B5">
        <w:rPr>
          <w:noProof/>
        </w:rPr>
        <w:t>4</w:t>
      </w:r>
      <w:r w:rsidRPr="007034B5">
        <w:fldChar w:fldCharType="end"/>
      </w:r>
      <w:r w:rsidRPr="007034B5">
        <w:t>.  The facts of the case may be summarised as follows.</w:t>
      </w:r>
    </w:p>
    <w:p w:rsidRPr="007034B5" w:rsidR="00305EE3" w:rsidP="007034B5" w14:paraId="023F4034" w14:textId="1DCE1407">
      <w:pPr>
        <w:pStyle w:val="JuPara"/>
      </w:pPr>
      <w:r w:rsidRPr="007034B5">
        <w:fldChar w:fldCharType="begin"/>
      </w:r>
      <w:r w:rsidRPr="007034B5">
        <w:instrText xml:space="preserve"> SEQ level0 \*arabic </w:instrText>
      </w:r>
      <w:r w:rsidRPr="007034B5">
        <w:fldChar w:fldCharType="separate"/>
      </w:r>
      <w:r w:rsidRPr="007034B5" w:rsidR="007034B5">
        <w:rPr>
          <w:noProof/>
        </w:rPr>
        <w:t>5</w:t>
      </w:r>
      <w:r w:rsidRPr="007034B5">
        <w:fldChar w:fldCharType="end"/>
      </w:r>
      <w:r w:rsidRPr="007034B5">
        <w:t xml:space="preserve">.  On 10 December 2014 K. published a post on his Facebook page calling on the inhabitants of Tata to participate in a demonstration. He stated that the reason for the demonstration was that the Tata municipality had sold a municipally owned heritage building for less than the market price to a local businessman, L., who had then rented out the same building, to municipal bodies, for a “crazy high price”. K. described that as “robbing the citizens of Tata”. He called on the local community to organise a demonstration so that the municipality did not “fill the pockets” of the businessman mentioned in </w:t>
      </w:r>
      <w:r w:rsidRPr="007034B5">
        <w:t>the post. He concluded his post as follows: “We need to reconsider whether the sale of the property was lawful. Was there an open call? Did the buyer pay the real price? Was there a need to sell the city</w:t>
      </w:r>
      <w:r w:rsidRPr="007034B5" w:rsidR="007034B5">
        <w:t>’</w:t>
      </w:r>
      <w:r w:rsidRPr="007034B5">
        <w:t>s property? Our property... Please share many times!” At the top of his post K. wrote: “Attention! Important! Please share K.</w:t>
      </w:r>
      <w:r w:rsidRPr="007034B5" w:rsidR="007034B5">
        <w:t>’</w:t>
      </w:r>
      <w:r w:rsidRPr="007034B5">
        <w:t>s call!”</w:t>
      </w:r>
    </w:p>
    <w:p w:rsidRPr="007034B5" w:rsidR="00305EE3" w:rsidP="007034B5" w14:paraId="4F8EC423" w14:textId="72D2F1D4">
      <w:pPr>
        <w:pStyle w:val="JuPara"/>
      </w:pPr>
      <w:r>
        <w:fldChar w:fldCharType="begin"/>
      </w:r>
      <w:r>
        <w:instrText xml:space="preserve"> SEQ level0 \*arabic \* MERGEFORMAT </w:instrText>
      </w:r>
      <w:r>
        <w:fldChar w:fldCharType="separate"/>
      </w:r>
      <w:r w:rsidRPr="007034B5" w:rsidR="007034B5">
        <w:rPr>
          <w:noProof/>
        </w:rPr>
        <w:t>6</w:t>
      </w:r>
      <w:r w:rsidRPr="007034B5" w:rsidR="007034B5">
        <w:rPr>
          <w:noProof/>
        </w:rPr>
        <w:fldChar w:fldCharType="end"/>
      </w:r>
      <w:r w:rsidRPr="007034B5">
        <w:t>.  The applicant shared K.</w:t>
      </w:r>
      <w:r w:rsidRPr="007034B5" w:rsidR="007034B5">
        <w:t>’</w:t>
      </w:r>
      <w:r w:rsidRPr="007034B5">
        <w:t>s post on her Facebook wall, adding a comment of her own, on another issue, questioning the amount paid by the municipality for new premises for the local registry office, which had had to change location as the mayor had been disturbed by the number of people visiting it.</w:t>
      </w:r>
    </w:p>
    <w:p w:rsidRPr="007034B5" w:rsidR="00305EE3" w:rsidP="007034B5" w14:paraId="330743DE" w14:textId="20567939">
      <w:pPr>
        <w:pStyle w:val="JuPara"/>
      </w:pPr>
      <w:r>
        <w:fldChar w:fldCharType="begin"/>
      </w:r>
      <w:r>
        <w:instrText xml:space="preserve"> SEQ level0 \*arabic \* MERGEFORMAT </w:instrText>
      </w:r>
      <w:r>
        <w:fldChar w:fldCharType="separate"/>
      </w:r>
      <w:r w:rsidRPr="007034B5" w:rsidR="007034B5">
        <w:rPr>
          <w:noProof/>
        </w:rPr>
        <w:t>7</w:t>
      </w:r>
      <w:r>
        <w:rPr>
          <w:noProof/>
        </w:rPr>
        <w:fldChar w:fldCharType="end"/>
      </w:r>
      <w:r w:rsidRPr="007034B5">
        <w:t>.  The Tata municipality (</w:t>
      </w:r>
      <w:r w:rsidRPr="007034B5">
        <w:rPr>
          <w:i/>
          <w:iCs/>
        </w:rPr>
        <w:t xml:space="preserve">Tata </w:t>
      </w:r>
      <w:r w:rsidRPr="007034B5">
        <w:rPr>
          <w:i/>
          <w:iCs/>
        </w:rPr>
        <w:t>Város</w:t>
      </w:r>
      <w:r w:rsidRPr="007034B5">
        <w:rPr>
          <w:i/>
          <w:iCs/>
        </w:rPr>
        <w:t xml:space="preserve"> </w:t>
      </w:r>
      <w:r w:rsidRPr="007034B5">
        <w:rPr>
          <w:i/>
          <w:iCs/>
        </w:rPr>
        <w:t>Önkormányzata</w:t>
      </w:r>
      <w:r w:rsidRPr="007034B5">
        <w:t>) and the Tata joint municipal office (</w:t>
      </w:r>
      <w:r w:rsidRPr="007034B5">
        <w:rPr>
          <w:i/>
          <w:iCs/>
        </w:rPr>
        <w:t xml:space="preserve">Tata </w:t>
      </w:r>
      <w:r w:rsidRPr="007034B5">
        <w:rPr>
          <w:i/>
          <w:iCs/>
        </w:rPr>
        <w:t>Közös</w:t>
      </w:r>
      <w:r w:rsidRPr="007034B5">
        <w:rPr>
          <w:i/>
          <w:iCs/>
        </w:rPr>
        <w:t xml:space="preserve"> </w:t>
      </w:r>
      <w:r w:rsidRPr="007034B5">
        <w:rPr>
          <w:i/>
          <w:iCs/>
        </w:rPr>
        <w:t>Önkormányzati</w:t>
      </w:r>
      <w:r w:rsidRPr="007034B5">
        <w:rPr>
          <w:i/>
          <w:iCs/>
        </w:rPr>
        <w:t xml:space="preserve"> </w:t>
      </w:r>
      <w:r w:rsidRPr="007034B5">
        <w:rPr>
          <w:i/>
          <w:iCs/>
        </w:rPr>
        <w:t>Hivatal</w:t>
      </w:r>
      <w:r w:rsidRPr="007034B5">
        <w:t>) brought a civil action against the applicant, seeking compensation for non-pecuniary damage in the amount of 5,000,000 Hungarian forints (HUF) (approximately 1,400</w:t>
      </w:r>
      <w:r w:rsidRPr="007034B5" w:rsidR="007762B1">
        <w:t> </w:t>
      </w:r>
      <w:r w:rsidRPr="007034B5">
        <w:t>euros (EUR)) for the violation of their right to reputation, and an injunction against the applicant, ordering her to terminate her unlawful conduct and not to engage in further unlawful conduct.</w:t>
      </w:r>
    </w:p>
    <w:p w:rsidRPr="007034B5" w:rsidR="00305EE3" w:rsidP="007034B5" w14:paraId="38C35B43" w14:textId="72DE7D4D">
      <w:pPr>
        <w:pStyle w:val="JuPara"/>
      </w:pPr>
      <w:r>
        <w:fldChar w:fldCharType="begin"/>
      </w:r>
      <w:r>
        <w:instrText xml:space="preserve"> SEQ level0 \*arabic \* MERGEFORMAT </w:instrText>
      </w:r>
      <w:r>
        <w:fldChar w:fldCharType="separate"/>
      </w:r>
      <w:r w:rsidRPr="007034B5" w:rsidR="007034B5">
        <w:rPr>
          <w:noProof/>
        </w:rPr>
        <w:t>8</w:t>
      </w:r>
      <w:r w:rsidRPr="007034B5" w:rsidR="007034B5">
        <w:rPr>
          <w:noProof/>
        </w:rPr>
        <w:fldChar w:fldCharType="end"/>
      </w:r>
      <w:r w:rsidRPr="007034B5">
        <w:t>.  The municipality published a press release stating that they had lodged a criminal complaint against the publisher of the original post and against any person who had shared it and disseminated untrue information. In the applicant</w:t>
      </w:r>
      <w:r w:rsidRPr="007034B5" w:rsidR="007034B5">
        <w:t>’</w:t>
      </w:r>
      <w:r w:rsidRPr="007034B5">
        <w:t>s case the prosecutor</w:t>
      </w:r>
      <w:r w:rsidRPr="007034B5" w:rsidR="007034B5">
        <w:t>’</w:t>
      </w:r>
      <w:r w:rsidRPr="007034B5">
        <w:t>s office decided not to open an investigation.</w:t>
      </w:r>
    </w:p>
    <w:p w:rsidRPr="007034B5" w:rsidR="00305EE3" w:rsidP="007034B5" w14:paraId="3990FB59" w14:textId="0A9D5937">
      <w:pPr>
        <w:pStyle w:val="JuPara"/>
      </w:pPr>
      <w:r>
        <w:fldChar w:fldCharType="begin"/>
      </w:r>
      <w:r>
        <w:instrText xml:space="preserve"> SEQ level0 \*arabic \* MERGEFORMAT </w:instrText>
      </w:r>
      <w:r>
        <w:fldChar w:fldCharType="separate"/>
      </w:r>
      <w:r w:rsidRPr="007034B5" w:rsidR="007034B5">
        <w:rPr>
          <w:noProof/>
        </w:rPr>
        <w:t>9</w:t>
      </w:r>
      <w:r w:rsidRPr="007034B5" w:rsidR="007034B5">
        <w:rPr>
          <w:noProof/>
        </w:rPr>
        <w:fldChar w:fldCharType="end"/>
      </w:r>
      <w:r w:rsidRPr="007034B5">
        <w:t xml:space="preserve">.  In its decision of 18 February 2015 in the civil proceedings, the </w:t>
      </w:r>
      <w:r w:rsidRPr="007034B5">
        <w:t>Tatabánya</w:t>
      </w:r>
      <w:r w:rsidRPr="007034B5">
        <w:t xml:space="preserve"> High Court found for the plaintiff and ordered the applicant to:</w:t>
      </w:r>
    </w:p>
    <w:p w:rsidRPr="007034B5" w:rsidR="00305EE3" w:rsidP="007034B5" w14:paraId="0A074F4A" w14:textId="77777777">
      <w:pPr>
        <w:pStyle w:val="JuPara"/>
      </w:pPr>
      <w:r w:rsidRPr="007034B5">
        <w:t>(a) post on her Facebook page an apology to the Tata municipality and the Tata joint municipal office for having infringed their personality rights;</w:t>
      </w:r>
    </w:p>
    <w:p w:rsidRPr="007034B5" w:rsidR="00305EE3" w:rsidP="007034B5" w14:paraId="55798813" w14:textId="77777777">
      <w:pPr>
        <w:pStyle w:val="JuPara"/>
      </w:pPr>
      <w:r w:rsidRPr="007034B5">
        <w:t>(b) post a notice on her Facebook page to the effect that the allegation that employees of the Tata municipality and the Tata joint municipal office had sold the property in question to L. in the knowledge that municipal bodies would subsequently rent the same property from L., and that they had collaborated with L., was false; and</w:t>
      </w:r>
    </w:p>
    <w:p w:rsidRPr="007034B5" w:rsidR="00305EE3" w:rsidP="007034B5" w14:paraId="3266119A" w14:textId="77777777">
      <w:pPr>
        <w:pStyle w:val="JuPara"/>
        <w:rPr>
          <w:rFonts w:asciiTheme="majorHAnsi" w:hAnsiTheme="majorHAnsi" w:cstheme="majorHAnsi"/>
          <w:color w:val="000000"/>
        </w:rPr>
      </w:pPr>
      <w:r w:rsidRPr="007034B5">
        <w:t xml:space="preserve">(c) </w:t>
      </w:r>
      <w:r w:rsidRPr="007034B5">
        <w:rPr>
          <w:rFonts w:asciiTheme="majorHAnsi" w:hAnsiTheme="majorHAnsi" w:cstheme="majorHAnsi"/>
        </w:rPr>
        <w:t xml:space="preserve">pay the municipality and the joint municipal office HUF 50,000 (approximately EUR 140 euros) each </w:t>
      </w:r>
      <w:r w:rsidRPr="007034B5">
        <w:rPr>
          <w:rFonts w:asciiTheme="majorHAnsi" w:hAnsiTheme="majorHAnsi" w:cstheme="majorHAnsi"/>
          <w:color w:val="000000"/>
        </w:rPr>
        <w:t>by way of compensation for non-pecuniary damage.</w:t>
      </w:r>
    </w:p>
    <w:p w:rsidRPr="007034B5" w:rsidR="00305EE3" w:rsidP="007034B5" w14:paraId="10BE0C7A" w14:textId="4B3C90A5">
      <w:pPr>
        <w:pStyle w:val="JuPara"/>
        <w:rPr>
          <w:rFonts w:asciiTheme="majorHAnsi" w:hAnsiTheme="majorHAnsi" w:cstheme="majorHAnsi"/>
          <w:color w:val="000000"/>
        </w:rPr>
      </w:pPr>
      <w:r w:rsidRPr="007034B5">
        <w:rPr>
          <w:rFonts w:asciiTheme="majorHAnsi" w:hAnsiTheme="majorHAnsi" w:cstheme="majorHAnsi"/>
          <w:color w:val="000000"/>
        </w:rPr>
        <w:fldChar w:fldCharType="begin"/>
      </w:r>
      <w:r w:rsidRPr="007034B5">
        <w:rPr>
          <w:rFonts w:asciiTheme="majorHAnsi" w:hAnsiTheme="majorHAnsi" w:cstheme="majorHAnsi"/>
          <w:color w:val="000000"/>
        </w:rPr>
        <w:instrText xml:space="preserve"> SEQ level0 \*arabic \* MERGEFORMAT </w:instrText>
      </w:r>
      <w:r w:rsidRPr="007034B5">
        <w:rPr>
          <w:rFonts w:asciiTheme="majorHAnsi" w:hAnsiTheme="majorHAnsi" w:cstheme="majorHAnsi"/>
          <w:color w:val="000000"/>
        </w:rPr>
        <w:fldChar w:fldCharType="separate"/>
      </w:r>
      <w:r w:rsidRPr="007034B5" w:rsidR="007034B5">
        <w:rPr>
          <w:rFonts w:asciiTheme="majorHAnsi" w:hAnsiTheme="majorHAnsi" w:cstheme="majorHAnsi"/>
          <w:noProof/>
          <w:color w:val="000000"/>
        </w:rPr>
        <w:t>10</w:t>
      </w:r>
      <w:r w:rsidRPr="007034B5">
        <w:rPr>
          <w:rFonts w:asciiTheme="majorHAnsi" w:hAnsiTheme="majorHAnsi" w:cstheme="majorHAnsi"/>
          <w:color w:val="000000"/>
        </w:rPr>
        <w:fldChar w:fldCharType="end"/>
      </w:r>
      <w:r w:rsidRPr="007034B5">
        <w:rPr>
          <w:rFonts w:asciiTheme="majorHAnsi" w:hAnsiTheme="majorHAnsi" w:cstheme="majorHAnsi"/>
          <w:color w:val="000000"/>
        </w:rPr>
        <w:t>.  The High Court held, in line with the case-law of the Constitutional Court, that State institutions had no fundamental rights. However, it stated that the subject matter of the case had not concerned the exercise of public power, but the exercise of property rights, and therefore the plaintiffs had been entitled to protection of their personality rights. The court found that it was necessary to restrict the applicant</w:t>
      </w:r>
      <w:r w:rsidRPr="007034B5" w:rsidR="007034B5">
        <w:rPr>
          <w:rFonts w:asciiTheme="majorHAnsi" w:hAnsiTheme="majorHAnsi" w:cstheme="majorHAnsi"/>
          <w:color w:val="000000"/>
        </w:rPr>
        <w:t>’</w:t>
      </w:r>
      <w:r w:rsidRPr="007034B5">
        <w:rPr>
          <w:rFonts w:asciiTheme="majorHAnsi" w:hAnsiTheme="majorHAnsi" w:cstheme="majorHAnsi"/>
          <w:color w:val="000000"/>
        </w:rPr>
        <w:t xml:space="preserve">s right to freedom of expression </w:t>
      </w:r>
      <w:r w:rsidRPr="007034B5">
        <w:rPr>
          <w:rFonts w:asciiTheme="majorHAnsi" w:hAnsiTheme="majorHAnsi" w:cstheme="majorHAnsi"/>
          <w:color w:val="000000"/>
        </w:rPr>
        <w:t>in order to</w:t>
      </w:r>
      <w:r w:rsidRPr="007034B5">
        <w:rPr>
          <w:rFonts w:asciiTheme="majorHAnsi" w:hAnsiTheme="majorHAnsi" w:cstheme="majorHAnsi"/>
          <w:color w:val="000000"/>
        </w:rPr>
        <w:t xml:space="preserve"> protect public trust in State institutions, because she had shared untrue information suggesting that the municipality had not acted in the best interest of citizens. It also held that the fact that the applicant had not been aware of the untrue nature of her statements exempted her only from criminal, but not from civil liability. The High Court had regard to the fact that the </w:t>
      </w:r>
      <w:r w:rsidRPr="007034B5">
        <w:rPr>
          <w:rFonts w:asciiTheme="majorHAnsi" w:hAnsiTheme="majorHAnsi" w:cstheme="majorHAnsi"/>
          <w:color w:val="000000"/>
        </w:rPr>
        <w:t>applicant had posted the text on Facebook and that the statements had been serious enough to tarnish the reputation of the plaintiffs.</w:t>
      </w:r>
    </w:p>
    <w:p w:rsidRPr="007034B5" w:rsidR="00305EE3" w:rsidP="007034B5" w14:paraId="65F15B64" w14:textId="7043EFFC">
      <w:pPr>
        <w:pStyle w:val="JuPara"/>
        <w:rPr>
          <w:rFonts w:asciiTheme="majorHAnsi" w:hAnsiTheme="majorHAnsi" w:cstheme="majorHAnsi"/>
          <w:color w:val="000000"/>
        </w:rPr>
      </w:pPr>
      <w:r w:rsidRPr="007034B5">
        <w:rPr>
          <w:rFonts w:asciiTheme="majorHAnsi" w:hAnsiTheme="majorHAnsi" w:cstheme="majorHAnsi"/>
          <w:color w:val="000000"/>
        </w:rPr>
        <w:fldChar w:fldCharType="begin"/>
      </w:r>
      <w:r w:rsidRPr="007034B5">
        <w:rPr>
          <w:rFonts w:asciiTheme="majorHAnsi" w:hAnsiTheme="majorHAnsi" w:cstheme="majorHAnsi"/>
          <w:color w:val="000000"/>
        </w:rPr>
        <w:instrText xml:space="preserve"> SEQ level0 \*arabic \* MERGEFORMAT </w:instrText>
      </w:r>
      <w:r w:rsidRPr="007034B5">
        <w:rPr>
          <w:rFonts w:asciiTheme="majorHAnsi" w:hAnsiTheme="majorHAnsi" w:cstheme="majorHAnsi"/>
          <w:color w:val="000000"/>
        </w:rPr>
        <w:fldChar w:fldCharType="separate"/>
      </w:r>
      <w:r w:rsidRPr="007034B5" w:rsidR="007034B5">
        <w:rPr>
          <w:rFonts w:asciiTheme="majorHAnsi" w:hAnsiTheme="majorHAnsi" w:cstheme="majorHAnsi"/>
          <w:noProof/>
          <w:color w:val="000000"/>
        </w:rPr>
        <w:t>11</w:t>
      </w:r>
      <w:r w:rsidRPr="007034B5">
        <w:rPr>
          <w:rFonts w:asciiTheme="majorHAnsi" w:hAnsiTheme="majorHAnsi" w:cstheme="majorHAnsi"/>
          <w:color w:val="000000"/>
        </w:rPr>
        <w:fldChar w:fldCharType="end"/>
      </w:r>
      <w:r w:rsidRPr="007034B5">
        <w:rPr>
          <w:rFonts w:asciiTheme="majorHAnsi" w:hAnsiTheme="majorHAnsi" w:cstheme="majorHAnsi"/>
          <w:color w:val="000000"/>
        </w:rPr>
        <w:t>.  The applicant appealed against that judgment.</w:t>
      </w:r>
    </w:p>
    <w:bookmarkStart w:name="cost1" w:id="4"/>
    <w:p w:rsidRPr="007034B5" w:rsidR="00305EE3" w:rsidP="007034B5" w14:paraId="774BF892" w14:textId="150033B5">
      <w:pPr>
        <w:pStyle w:val="JuPara"/>
        <w:rPr>
          <w:rFonts w:asciiTheme="majorHAnsi" w:hAnsiTheme="majorHAnsi" w:cstheme="majorHAnsi"/>
          <w:color w:val="000000"/>
        </w:rPr>
      </w:pPr>
      <w:r w:rsidRPr="007034B5">
        <w:rPr>
          <w:rFonts w:asciiTheme="majorHAnsi" w:hAnsiTheme="majorHAnsi" w:cstheme="majorHAnsi"/>
          <w:color w:val="000000"/>
        </w:rPr>
        <w:fldChar w:fldCharType="begin"/>
      </w:r>
      <w:r w:rsidRPr="007034B5">
        <w:rPr>
          <w:rFonts w:asciiTheme="majorHAnsi" w:hAnsiTheme="majorHAnsi" w:cstheme="majorHAnsi"/>
          <w:color w:val="000000"/>
        </w:rPr>
        <w:instrText xml:space="preserve"> SEQ level0 \*arabic \* MERGEFORMAT </w:instrText>
      </w:r>
      <w:r w:rsidRPr="007034B5">
        <w:rPr>
          <w:rFonts w:asciiTheme="majorHAnsi" w:hAnsiTheme="majorHAnsi" w:cstheme="majorHAnsi"/>
          <w:color w:val="000000"/>
        </w:rPr>
        <w:fldChar w:fldCharType="separate"/>
      </w:r>
      <w:r w:rsidRPr="007034B5" w:rsidR="007034B5">
        <w:rPr>
          <w:rFonts w:asciiTheme="majorHAnsi" w:hAnsiTheme="majorHAnsi" w:cstheme="majorHAnsi"/>
          <w:noProof/>
          <w:color w:val="000000"/>
        </w:rPr>
        <w:t>12</w:t>
      </w:r>
      <w:r w:rsidRPr="007034B5">
        <w:rPr>
          <w:rFonts w:asciiTheme="majorHAnsi" w:hAnsiTheme="majorHAnsi" w:cstheme="majorHAnsi"/>
          <w:color w:val="000000"/>
        </w:rPr>
        <w:fldChar w:fldCharType="end"/>
      </w:r>
      <w:bookmarkEnd w:id="4"/>
      <w:r w:rsidRPr="007034B5">
        <w:rPr>
          <w:rFonts w:asciiTheme="majorHAnsi" w:hAnsiTheme="majorHAnsi" w:cstheme="majorHAnsi"/>
          <w:color w:val="000000"/>
        </w:rPr>
        <w:t xml:space="preserve">.  On 10 September 2015 the </w:t>
      </w:r>
      <w:r w:rsidRPr="007034B5">
        <w:rPr>
          <w:rFonts w:asciiTheme="majorHAnsi" w:hAnsiTheme="majorHAnsi" w:cstheme="majorHAnsi"/>
          <w:color w:val="000000"/>
        </w:rPr>
        <w:t>Győr</w:t>
      </w:r>
      <w:r w:rsidRPr="007034B5">
        <w:rPr>
          <w:rFonts w:asciiTheme="majorHAnsi" w:hAnsiTheme="majorHAnsi" w:cstheme="majorHAnsi"/>
          <w:color w:val="000000"/>
        </w:rPr>
        <w:t xml:space="preserve"> Court of Appeal upheld the first-instance judgment in respect of Tata municipality and dismissed the case in respect of Tata joint municipal office. It considered that legal entities were also entitled to protection of their reputations, which in the case of public bodies corresponded to the public trust of citizens. It endorsed the first-instance court</w:t>
      </w:r>
      <w:r w:rsidRPr="007034B5" w:rsidR="007034B5">
        <w:rPr>
          <w:rFonts w:asciiTheme="majorHAnsi" w:hAnsiTheme="majorHAnsi" w:cstheme="majorHAnsi"/>
          <w:color w:val="000000"/>
        </w:rPr>
        <w:t>’</w:t>
      </w:r>
      <w:r w:rsidRPr="007034B5">
        <w:rPr>
          <w:rFonts w:asciiTheme="majorHAnsi" w:hAnsiTheme="majorHAnsi" w:cstheme="majorHAnsi"/>
          <w:color w:val="000000"/>
        </w:rPr>
        <w:t>s finding that the case had not concerned the municipality</w:t>
      </w:r>
      <w:r w:rsidRPr="007034B5" w:rsidR="007034B5">
        <w:rPr>
          <w:rFonts w:asciiTheme="majorHAnsi" w:hAnsiTheme="majorHAnsi" w:cstheme="majorHAnsi"/>
          <w:color w:val="000000"/>
        </w:rPr>
        <w:t>’</w:t>
      </w:r>
      <w:r w:rsidRPr="007034B5">
        <w:rPr>
          <w:rFonts w:asciiTheme="majorHAnsi" w:hAnsiTheme="majorHAnsi" w:cstheme="majorHAnsi"/>
          <w:color w:val="000000"/>
        </w:rPr>
        <w:t>s exercise of public power. It also held that the dissemination of untrue information was not protected by the right to freedom of expression. It reduced the compensation for non-pecuniary damage to HUF</w:t>
      </w:r>
      <w:r w:rsidRPr="007034B5" w:rsidR="007762B1">
        <w:rPr>
          <w:rFonts w:asciiTheme="majorHAnsi" w:hAnsiTheme="majorHAnsi" w:cstheme="majorHAnsi"/>
          <w:color w:val="000000"/>
        </w:rPr>
        <w:t> </w:t>
      </w:r>
      <w:r w:rsidRPr="007034B5">
        <w:rPr>
          <w:rFonts w:asciiTheme="majorHAnsi" w:hAnsiTheme="majorHAnsi" w:cstheme="majorHAnsi"/>
          <w:color w:val="000000"/>
        </w:rPr>
        <w:t>10,000 (approximately EUR 28) and ordered the applicant to pay costs and court fees in the amount of HUF 55,000 (EUR 152).</w:t>
      </w:r>
    </w:p>
    <w:bookmarkStart w:name="costs2" w:id="5"/>
    <w:p w:rsidRPr="007034B5" w:rsidR="00305EE3" w:rsidP="007034B5" w14:paraId="388BF2CC" w14:textId="435C3AB3">
      <w:pPr>
        <w:pStyle w:val="JuPara"/>
        <w:rPr>
          <w:rFonts w:asciiTheme="majorHAnsi" w:hAnsiTheme="majorHAnsi" w:cstheme="majorHAnsi"/>
          <w:color w:val="000000"/>
        </w:rPr>
      </w:pPr>
      <w:r w:rsidRPr="007034B5">
        <w:rPr>
          <w:rFonts w:asciiTheme="majorHAnsi" w:hAnsiTheme="majorHAnsi" w:cstheme="majorHAnsi"/>
          <w:color w:val="000000"/>
        </w:rPr>
        <w:fldChar w:fldCharType="begin"/>
      </w:r>
      <w:r w:rsidRPr="007034B5">
        <w:rPr>
          <w:rFonts w:asciiTheme="majorHAnsi" w:hAnsiTheme="majorHAnsi" w:cstheme="majorHAnsi"/>
          <w:color w:val="000000"/>
        </w:rPr>
        <w:instrText xml:space="preserve"> SEQ level0 \*arabic \* MERGEFORMAT </w:instrText>
      </w:r>
      <w:r w:rsidRPr="007034B5">
        <w:rPr>
          <w:rFonts w:asciiTheme="majorHAnsi" w:hAnsiTheme="majorHAnsi" w:cstheme="majorHAnsi"/>
          <w:color w:val="000000"/>
        </w:rPr>
        <w:fldChar w:fldCharType="separate"/>
      </w:r>
      <w:r w:rsidRPr="007034B5" w:rsidR="007034B5">
        <w:rPr>
          <w:rFonts w:asciiTheme="majorHAnsi" w:hAnsiTheme="majorHAnsi" w:cstheme="majorHAnsi"/>
          <w:noProof/>
          <w:color w:val="000000"/>
        </w:rPr>
        <w:t>13</w:t>
      </w:r>
      <w:r w:rsidRPr="007034B5">
        <w:rPr>
          <w:rFonts w:asciiTheme="majorHAnsi" w:hAnsiTheme="majorHAnsi" w:cstheme="majorHAnsi"/>
          <w:color w:val="000000"/>
        </w:rPr>
        <w:fldChar w:fldCharType="end"/>
      </w:r>
      <w:bookmarkEnd w:id="5"/>
      <w:r w:rsidRPr="007034B5">
        <w:rPr>
          <w:rFonts w:asciiTheme="majorHAnsi" w:hAnsiTheme="majorHAnsi" w:cstheme="majorHAnsi"/>
          <w:color w:val="000000"/>
        </w:rPr>
        <w:t xml:space="preserve">.  The applicant appealed against that judgment, but it was upheld by the </w:t>
      </w:r>
      <w:r w:rsidRPr="007034B5">
        <w:rPr>
          <w:rFonts w:asciiTheme="majorHAnsi" w:hAnsiTheme="majorHAnsi" w:cstheme="majorHAnsi"/>
          <w:i/>
          <w:iCs/>
          <w:color w:val="000000"/>
        </w:rPr>
        <w:t>Kúria</w:t>
      </w:r>
      <w:r w:rsidRPr="007034B5">
        <w:rPr>
          <w:rFonts w:asciiTheme="majorHAnsi" w:hAnsiTheme="majorHAnsi" w:cstheme="majorHAnsi"/>
          <w:i/>
          <w:iCs/>
          <w:color w:val="000000"/>
        </w:rPr>
        <w:t xml:space="preserve"> </w:t>
      </w:r>
      <w:r w:rsidRPr="007034B5">
        <w:rPr>
          <w:rFonts w:asciiTheme="majorHAnsi" w:hAnsiTheme="majorHAnsi" w:cstheme="majorHAnsi"/>
          <w:color w:val="000000"/>
        </w:rPr>
        <w:t>on 8 June 2016. The applicant was ordered to pay costs and court fees in the amount of HUF 80,000 (EUR 222).</w:t>
      </w:r>
    </w:p>
    <w:p w:rsidRPr="007034B5" w:rsidR="00305EE3" w:rsidP="007034B5" w14:paraId="6BEE5C64" w14:textId="42E8B0D6">
      <w:pPr>
        <w:pStyle w:val="JuPara"/>
        <w:rPr>
          <w:rFonts w:asciiTheme="majorHAnsi" w:hAnsiTheme="majorHAnsi" w:cstheme="majorHAnsi"/>
          <w:color w:val="000000"/>
        </w:rPr>
      </w:pPr>
      <w:r w:rsidRPr="007034B5">
        <w:rPr>
          <w:rFonts w:asciiTheme="majorHAnsi" w:hAnsiTheme="majorHAnsi" w:cstheme="majorHAnsi"/>
          <w:color w:val="000000"/>
        </w:rPr>
        <w:fldChar w:fldCharType="begin"/>
      </w:r>
      <w:r w:rsidRPr="007034B5">
        <w:rPr>
          <w:rFonts w:asciiTheme="majorHAnsi" w:hAnsiTheme="majorHAnsi" w:cstheme="majorHAnsi"/>
          <w:color w:val="000000"/>
        </w:rPr>
        <w:instrText xml:space="preserve"> SEQ level0 \*arabic \* MERGEFORMAT </w:instrText>
      </w:r>
      <w:r w:rsidRPr="007034B5">
        <w:rPr>
          <w:rFonts w:asciiTheme="majorHAnsi" w:hAnsiTheme="majorHAnsi" w:cstheme="majorHAnsi"/>
          <w:color w:val="000000"/>
        </w:rPr>
        <w:fldChar w:fldCharType="separate"/>
      </w:r>
      <w:r w:rsidRPr="007034B5" w:rsidR="007034B5">
        <w:rPr>
          <w:rFonts w:asciiTheme="majorHAnsi" w:hAnsiTheme="majorHAnsi" w:cstheme="majorHAnsi"/>
          <w:noProof/>
          <w:color w:val="000000"/>
        </w:rPr>
        <w:t>14</w:t>
      </w:r>
      <w:r w:rsidRPr="007034B5">
        <w:rPr>
          <w:rFonts w:asciiTheme="majorHAnsi" w:hAnsiTheme="majorHAnsi" w:cstheme="majorHAnsi"/>
          <w:color w:val="000000"/>
        </w:rPr>
        <w:fldChar w:fldCharType="end"/>
      </w:r>
      <w:r w:rsidRPr="007034B5">
        <w:rPr>
          <w:rFonts w:asciiTheme="majorHAnsi" w:hAnsiTheme="majorHAnsi" w:cstheme="majorHAnsi"/>
          <w:color w:val="000000"/>
        </w:rPr>
        <w:t>.  The applicant then lodged a constitutional complaint, which was declared inadmissible on 5 September 2017. The Constitutional Court found that her complaint had not challenged the constitutionality of the court judgments but rather the establishment of facts, in that she had argued that the statements shared by her had not constituted facts but value judgments.</w:t>
      </w:r>
    </w:p>
    <w:p w:rsidRPr="007034B5" w:rsidR="00305EE3" w:rsidP="007034B5" w14:paraId="325B51D4" w14:textId="77777777">
      <w:pPr>
        <w:pStyle w:val="JuHHead"/>
      </w:pPr>
      <w:r w:rsidRPr="007034B5">
        <w:t>RELEVANT LEGAL FRAMEWORK</w:t>
      </w:r>
    </w:p>
    <w:p w:rsidRPr="007034B5" w:rsidR="00305EE3" w:rsidP="007034B5" w14:paraId="745F0243" w14:textId="23E5F298">
      <w:pPr>
        <w:pStyle w:val="JuHIRoman"/>
      </w:pPr>
      <w:r w:rsidRPr="007034B5">
        <w:rPr>
          <w:caps w:val="0"/>
        </w:rPr>
        <w:t>RELEVANT DOMESTIC LAW AND PRACTICE</w:t>
      </w:r>
    </w:p>
    <w:p w:rsidRPr="007034B5" w:rsidR="00305EE3" w:rsidP="007034B5" w14:paraId="7BE6B2C8" w14:textId="5022C47A">
      <w:pPr>
        <w:pStyle w:val="JuPara"/>
        <w:rPr>
          <w:rFonts w:ascii="Arial" w:hAnsi="Arial" w:cs="Arial"/>
          <w:color w:val="000000"/>
        </w:rPr>
      </w:pPr>
      <w:r w:rsidRPr="007034B5">
        <w:fldChar w:fldCharType="begin"/>
      </w:r>
      <w:r w:rsidRPr="007034B5">
        <w:instrText xml:space="preserve"> SEQ level0 \*arabic </w:instrText>
      </w:r>
      <w:r w:rsidRPr="007034B5">
        <w:fldChar w:fldCharType="separate"/>
      </w:r>
      <w:r w:rsidRPr="007034B5" w:rsidR="007034B5">
        <w:rPr>
          <w:noProof/>
        </w:rPr>
        <w:t>15</w:t>
      </w:r>
      <w:r w:rsidRPr="007034B5">
        <w:fldChar w:fldCharType="end"/>
      </w:r>
      <w:r w:rsidRPr="007034B5">
        <w:t>.  </w:t>
      </w:r>
      <w:r w:rsidRPr="007034B5">
        <w:rPr>
          <w:rStyle w:val="JuParaChar"/>
        </w:rPr>
        <w:t xml:space="preserve">The </w:t>
      </w:r>
      <w:r w:rsidRPr="007034B5">
        <w:rPr>
          <w:rFonts w:asciiTheme="majorHAnsi" w:hAnsiTheme="majorHAnsi" w:cstheme="majorHAnsi"/>
          <w:color w:val="000000"/>
        </w:rPr>
        <w:t>relevant</w:t>
      </w:r>
      <w:r w:rsidRPr="007034B5">
        <w:rPr>
          <w:rStyle w:val="JuParaChar"/>
        </w:rPr>
        <w:t xml:space="preserve"> provisions of Act no. V of 2013 on the Civil Code provide as follows:</w:t>
      </w:r>
    </w:p>
    <w:p w:rsidRPr="007034B5" w:rsidR="00305EE3" w:rsidP="007034B5" w14:paraId="5C6598F7" w14:textId="77777777">
      <w:pPr>
        <w:pStyle w:val="JuHArticle"/>
      </w:pPr>
      <w:r w:rsidRPr="007034B5">
        <w:t>Article 2:42</w:t>
      </w:r>
    </w:p>
    <w:p w:rsidRPr="007034B5" w:rsidR="00305EE3" w:rsidP="007034B5" w14:paraId="40AA34BD" w14:textId="77777777">
      <w:pPr>
        <w:pStyle w:val="JuHArticle"/>
      </w:pPr>
      <w:r w:rsidRPr="007034B5">
        <w:t>General protection of personality rights</w:t>
      </w:r>
    </w:p>
    <w:p w:rsidRPr="007034B5" w:rsidR="00305EE3" w:rsidP="007034B5" w14:paraId="5CB61DE9" w14:textId="77777777">
      <w:pPr>
        <w:pStyle w:val="JuQuot"/>
        <w:rPr>
          <w:rFonts w:asciiTheme="majorHAnsi" w:hAnsiTheme="majorHAnsi" w:cstheme="majorHAnsi"/>
        </w:rPr>
      </w:pPr>
      <w:r w:rsidRPr="007034B5">
        <w:rPr>
          <w:rFonts w:asciiTheme="majorHAnsi" w:hAnsiTheme="majorHAnsi" w:cstheme="majorHAnsi"/>
          <w:color w:val="000000"/>
          <w:szCs w:val="20"/>
        </w:rPr>
        <w:t xml:space="preserve">“(1) Everyone shall have the right, subject to limitations by law and by the rights of others, to exercise his personality rights freely, </w:t>
      </w:r>
      <w:r w:rsidRPr="007034B5">
        <w:rPr>
          <w:rFonts w:asciiTheme="majorHAnsi" w:hAnsiTheme="majorHAnsi" w:cstheme="majorHAnsi"/>
          <w:color w:val="000000"/>
          <w:szCs w:val="20"/>
        </w:rPr>
        <w:t>in particular the</w:t>
      </w:r>
      <w:r w:rsidRPr="007034B5">
        <w:rPr>
          <w:rFonts w:asciiTheme="majorHAnsi" w:hAnsiTheme="majorHAnsi" w:cstheme="majorHAnsi"/>
          <w:color w:val="000000"/>
          <w:szCs w:val="20"/>
        </w:rPr>
        <w:t xml:space="preserve"> right to respect for his private and family life, for his home, and for his communications via any medium, and the right to a good reputation and not to be hindered by anyone from exercising these rights.</w:t>
      </w:r>
    </w:p>
    <w:p w:rsidRPr="007034B5" w:rsidR="00305EE3" w:rsidP="007034B5" w14:paraId="51A65906" w14:textId="77777777">
      <w:pPr>
        <w:pStyle w:val="JuQuot"/>
        <w:rPr>
          <w:rFonts w:asciiTheme="majorHAnsi" w:hAnsiTheme="majorHAnsi" w:cstheme="majorHAnsi"/>
        </w:rPr>
      </w:pPr>
      <w:r w:rsidRPr="007034B5">
        <w:rPr>
          <w:rFonts w:asciiTheme="majorHAnsi" w:hAnsiTheme="majorHAnsi" w:cstheme="majorHAnsi"/>
          <w:color w:val="000000"/>
          <w:szCs w:val="20"/>
        </w:rPr>
        <w:t>(2) Everyone shall respect human dignity and the personality rights derived from it. Personality rights are protected by this Act.</w:t>
      </w:r>
    </w:p>
    <w:p w:rsidRPr="007034B5" w:rsidR="00305EE3" w:rsidP="007034B5" w14:paraId="75B20BCD" w14:textId="77777777">
      <w:pPr>
        <w:pStyle w:val="JuQuot"/>
        <w:rPr>
          <w:rFonts w:asciiTheme="majorHAnsi" w:hAnsiTheme="majorHAnsi" w:cstheme="majorHAnsi"/>
        </w:rPr>
      </w:pPr>
      <w:r w:rsidRPr="007034B5">
        <w:rPr>
          <w:rFonts w:asciiTheme="majorHAnsi" w:hAnsiTheme="majorHAnsi" w:cstheme="majorHAnsi"/>
          <w:color w:val="000000"/>
          <w:szCs w:val="20"/>
        </w:rPr>
        <w:t>...”</w:t>
      </w:r>
    </w:p>
    <w:p w:rsidRPr="007034B5" w:rsidR="00305EE3" w:rsidP="007034B5" w14:paraId="4A7BA265" w14:textId="77777777">
      <w:pPr>
        <w:pStyle w:val="JuHArticle"/>
        <w:keepLines/>
      </w:pPr>
      <w:r w:rsidRPr="007034B5">
        <w:t>Article 2:45</w:t>
      </w:r>
    </w:p>
    <w:p w:rsidRPr="007034B5" w:rsidR="00305EE3" w:rsidP="007034B5" w14:paraId="0411DE54" w14:textId="77777777">
      <w:pPr>
        <w:pStyle w:val="JuHArticle"/>
        <w:keepLines/>
      </w:pPr>
      <w:r w:rsidRPr="007034B5">
        <w:t>Right to honour and reputation</w:t>
      </w:r>
    </w:p>
    <w:p w:rsidRPr="007034B5" w:rsidR="00305EE3" w:rsidP="007034B5" w14:paraId="3C8AE3A1" w14:textId="77777777">
      <w:pPr>
        <w:pStyle w:val="JuQuot"/>
        <w:keepNext/>
        <w:keepLines/>
        <w:rPr>
          <w:rFonts w:asciiTheme="majorHAnsi" w:hAnsiTheme="majorHAnsi" w:cstheme="majorHAnsi"/>
        </w:rPr>
      </w:pPr>
      <w:r w:rsidRPr="007034B5">
        <w:rPr>
          <w:rFonts w:asciiTheme="majorHAnsi" w:hAnsiTheme="majorHAnsi" w:cstheme="majorHAnsi"/>
          <w:color w:val="000000"/>
          <w:szCs w:val="20"/>
        </w:rPr>
        <w:t>“...</w:t>
      </w:r>
    </w:p>
    <w:p w:rsidRPr="007034B5" w:rsidR="00305EE3" w:rsidP="007034B5" w14:paraId="374B6A49" w14:textId="77777777">
      <w:pPr>
        <w:pStyle w:val="JuQuot"/>
        <w:keepNext/>
        <w:keepLines/>
        <w:rPr>
          <w:rFonts w:asciiTheme="majorHAnsi" w:hAnsiTheme="majorHAnsi" w:cstheme="majorHAnsi"/>
        </w:rPr>
      </w:pPr>
      <w:r w:rsidRPr="007034B5">
        <w:rPr>
          <w:rFonts w:asciiTheme="majorHAnsi" w:hAnsiTheme="majorHAnsi" w:cstheme="majorHAnsi"/>
          <w:color w:val="000000"/>
          <w:szCs w:val="20"/>
        </w:rPr>
        <w:t>(2) Infringement of reputation means</w:t>
      </w:r>
      <w:r w:rsidRPr="007034B5">
        <w:rPr>
          <w:rFonts w:asciiTheme="majorHAnsi" w:hAnsiTheme="majorHAnsi" w:cstheme="majorHAnsi"/>
          <w:color w:val="000000"/>
          <w:szCs w:val="20"/>
        </w:rPr>
        <w:t>, in particular, misrepresenting</w:t>
      </w:r>
      <w:r w:rsidRPr="007034B5">
        <w:rPr>
          <w:rFonts w:asciiTheme="majorHAnsi" w:hAnsiTheme="majorHAnsi" w:cstheme="majorHAnsi"/>
          <w:color w:val="000000"/>
          <w:szCs w:val="20"/>
        </w:rPr>
        <w:t xml:space="preserve"> or reporting untrue facts concerning and offending another person, or misrepresenting true facts.</w:t>
      </w:r>
    </w:p>
    <w:p w:rsidRPr="007034B5" w:rsidR="00305EE3" w:rsidP="007034B5" w14:paraId="63394158" w14:textId="77777777">
      <w:pPr>
        <w:pStyle w:val="JuQuot"/>
        <w:rPr>
          <w:rFonts w:asciiTheme="majorHAnsi" w:hAnsiTheme="majorHAnsi" w:cstheme="majorHAnsi"/>
        </w:rPr>
      </w:pPr>
      <w:r w:rsidRPr="007034B5">
        <w:rPr>
          <w:rFonts w:asciiTheme="majorHAnsi" w:hAnsiTheme="majorHAnsi" w:cstheme="majorHAnsi"/>
          <w:color w:val="000000"/>
          <w:szCs w:val="20"/>
        </w:rPr>
        <w:t>...”</w:t>
      </w:r>
    </w:p>
    <w:p w:rsidRPr="007034B5" w:rsidR="00305EE3" w:rsidP="007034B5" w14:paraId="268CAA1B" w14:textId="77777777">
      <w:pPr>
        <w:pStyle w:val="JuHArticle"/>
      </w:pPr>
      <w:r w:rsidRPr="007034B5">
        <w:rPr>
          <w:rFonts w:asciiTheme="majorHAnsi" w:hAnsiTheme="majorHAnsi" w:cstheme="majorHAnsi"/>
          <w:color w:val="000000"/>
          <w:szCs w:val="20"/>
        </w:rPr>
        <w:t>Article 2:52</w:t>
      </w:r>
    </w:p>
    <w:p w:rsidRPr="007034B5" w:rsidR="00305EE3" w:rsidP="007034B5" w14:paraId="7D669F2D" w14:textId="77777777">
      <w:pPr>
        <w:pStyle w:val="JuHArticle"/>
      </w:pPr>
      <w:r w:rsidRPr="007034B5">
        <w:rPr>
          <w:rFonts w:asciiTheme="majorHAnsi" w:hAnsiTheme="majorHAnsi" w:cstheme="majorHAnsi"/>
          <w:color w:val="000000"/>
          <w:szCs w:val="20"/>
        </w:rPr>
        <w:t>Damages</w:t>
      </w:r>
    </w:p>
    <w:p w:rsidRPr="007034B5" w:rsidR="00305EE3" w:rsidP="007034B5" w14:paraId="64F58B97" w14:textId="77777777">
      <w:pPr>
        <w:pStyle w:val="JuQuot"/>
        <w:rPr>
          <w:rFonts w:asciiTheme="majorHAnsi" w:hAnsiTheme="majorHAnsi" w:cstheme="majorHAnsi"/>
        </w:rPr>
      </w:pPr>
      <w:r w:rsidRPr="007034B5">
        <w:rPr>
          <w:rFonts w:asciiTheme="majorHAnsi" w:hAnsiTheme="majorHAnsi" w:cstheme="majorHAnsi"/>
          <w:color w:val="000000"/>
          <w:szCs w:val="20"/>
        </w:rPr>
        <w:t>“(1) Any person whose personality rights have been violated may seek compensation in respect of non-pecuniary damage done to him.</w:t>
      </w:r>
    </w:p>
    <w:p w:rsidRPr="007034B5" w:rsidR="00305EE3" w:rsidP="007034B5" w14:paraId="3AF8FEA4" w14:textId="77777777">
      <w:pPr>
        <w:pStyle w:val="JuQuot"/>
        <w:rPr>
          <w:rFonts w:asciiTheme="majorHAnsi" w:hAnsiTheme="majorHAnsi" w:cstheme="majorHAnsi"/>
          <w:color w:val="000000"/>
          <w:szCs w:val="20"/>
        </w:rPr>
      </w:pPr>
      <w:r w:rsidRPr="007034B5">
        <w:rPr>
          <w:rFonts w:asciiTheme="majorHAnsi" w:hAnsiTheme="majorHAnsi" w:cstheme="majorHAnsi"/>
          <w:color w:val="000000"/>
          <w:szCs w:val="20"/>
        </w:rPr>
        <w:t>...”</w:t>
      </w:r>
    </w:p>
    <w:p w:rsidRPr="007034B5" w:rsidR="00305EE3" w:rsidP="007034B5" w14:paraId="7D4DAACC" w14:textId="6A416549">
      <w:pPr>
        <w:pStyle w:val="JuHIRoman"/>
      </w:pPr>
      <w:r w:rsidRPr="007034B5">
        <w:t>RELEVANT COUNCIL OF EUROPEAN MATERIAL</w:t>
      </w:r>
    </w:p>
    <w:p w:rsidRPr="007034B5" w:rsidR="00305EE3" w:rsidP="007034B5" w14:paraId="279E506B" w14:textId="3D3412D8">
      <w:pPr>
        <w:pStyle w:val="JuPara"/>
        <w:rPr>
          <w:i/>
          <w:iCs/>
        </w:rPr>
      </w:pPr>
      <w:r>
        <w:fldChar w:fldCharType="begin"/>
      </w:r>
      <w:r>
        <w:instrText xml:space="preserve"> SEQ level0 \*arabic \* MERGEFORMAT </w:instrText>
      </w:r>
      <w:r>
        <w:fldChar w:fldCharType="separate"/>
      </w:r>
      <w:r w:rsidRPr="007034B5" w:rsidR="007034B5">
        <w:rPr>
          <w:noProof/>
        </w:rPr>
        <w:t>16</w:t>
      </w:r>
      <w:r w:rsidRPr="007034B5" w:rsidR="007034B5">
        <w:rPr>
          <w:noProof/>
        </w:rPr>
        <w:fldChar w:fldCharType="end"/>
      </w:r>
      <w:r w:rsidRPr="007034B5">
        <w:t xml:space="preserve">.  For the relevant Council of Europe material see </w:t>
      </w:r>
      <w:r w:rsidRPr="007034B5">
        <w:rPr>
          <w:i/>
          <w:iCs/>
        </w:rPr>
        <w:t>OOO Memo v. Russia</w:t>
      </w:r>
      <w:r w:rsidRPr="007034B5">
        <w:t>, (no.</w:t>
      </w:r>
      <w:r w:rsidRPr="007034B5" w:rsidR="007762B1">
        <w:t> </w:t>
      </w:r>
      <w:r w:rsidRPr="007034B5">
        <w:t>2840/10, § 23, 15 March 2022).</w:t>
      </w:r>
    </w:p>
    <w:p w:rsidRPr="007034B5" w:rsidR="00305EE3" w:rsidP="007034B5" w14:paraId="7F7FD988" w14:textId="77777777">
      <w:pPr>
        <w:pStyle w:val="JuHHead"/>
      </w:pPr>
      <w:r w:rsidRPr="007034B5">
        <w:t>THE LAW</w:t>
      </w:r>
    </w:p>
    <w:p w:rsidRPr="007034B5" w:rsidR="00305EE3" w:rsidP="007034B5" w14:paraId="66C92D3E" w14:textId="77777777">
      <w:pPr>
        <w:pStyle w:val="JuHIRoman"/>
      </w:pPr>
      <w:r w:rsidRPr="007034B5">
        <w:t>ALLEGED VIOLATION OF ARTICLE 10 OF THE CONVENTION</w:t>
      </w:r>
    </w:p>
    <w:p w:rsidRPr="007034B5" w:rsidR="00305EE3" w:rsidP="007034B5" w14:paraId="4ED980A9" w14:textId="13E1C1C3">
      <w:pPr>
        <w:pStyle w:val="JuPara"/>
        <w:rPr>
          <w:rFonts w:asciiTheme="majorHAnsi" w:hAnsiTheme="majorHAnsi" w:cstheme="majorHAnsi"/>
        </w:rPr>
      </w:pPr>
      <w:r w:rsidRPr="007034B5">
        <w:rPr>
          <w:rFonts w:asciiTheme="majorHAnsi" w:hAnsiTheme="majorHAnsi" w:cstheme="majorHAnsi"/>
        </w:rPr>
        <w:fldChar w:fldCharType="begin"/>
      </w:r>
      <w:r w:rsidRPr="007034B5">
        <w:rPr>
          <w:rFonts w:asciiTheme="majorHAnsi" w:hAnsiTheme="majorHAnsi" w:cstheme="majorHAnsi"/>
        </w:rPr>
        <w:instrText xml:space="preserve"> SEQ level0 \*arabic </w:instrText>
      </w:r>
      <w:r w:rsidRPr="007034B5">
        <w:rPr>
          <w:rFonts w:asciiTheme="majorHAnsi" w:hAnsiTheme="majorHAnsi" w:cstheme="majorHAnsi"/>
        </w:rPr>
        <w:fldChar w:fldCharType="separate"/>
      </w:r>
      <w:r w:rsidRPr="007034B5" w:rsidR="007034B5">
        <w:rPr>
          <w:rFonts w:asciiTheme="majorHAnsi" w:hAnsiTheme="majorHAnsi" w:cstheme="majorHAnsi"/>
          <w:noProof/>
        </w:rPr>
        <w:t>17</w:t>
      </w:r>
      <w:r w:rsidRPr="007034B5">
        <w:rPr>
          <w:rFonts w:asciiTheme="majorHAnsi" w:hAnsiTheme="majorHAnsi" w:cstheme="majorHAnsi"/>
        </w:rPr>
        <w:fldChar w:fldCharType="end"/>
      </w:r>
      <w:r w:rsidRPr="007034B5">
        <w:rPr>
          <w:rFonts w:asciiTheme="majorHAnsi" w:hAnsiTheme="majorHAnsi" w:cstheme="majorHAnsi"/>
        </w:rPr>
        <w:t>.  </w:t>
      </w:r>
      <w:bookmarkStart w:name="lt_pId345" w:id="6"/>
      <w:r w:rsidRPr="007034B5">
        <w:rPr>
          <w:rFonts w:asciiTheme="majorHAnsi" w:hAnsiTheme="majorHAnsi" w:cstheme="majorHAnsi"/>
          <w:color w:val="000000"/>
        </w:rPr>
        <w:t>The applicant argued that domestic courts</w:t>
      </w:r>
      <w:r w:rsidRPr="007034B5" w:rsidR="007034B5">
        <w:rPr>
          <w:rFonts w:asciiTheme="majorHAnsi" w:hAnsiTheme="majorHAnsi" w:cstheme="majorHAnsi"/>
          <w:color w:val="000000"/>
        </w:rPr>
        <w:t>’</w:t>
      </w:r>
      <w:r w:rsidRPr="007034B5">
        <w:rPr>
          <w:rFonts w:asciiTheme="majorHAnsi" w:hAnsiTheme="majorHAnsi" w:cstheme="majorHAnsi"/>
          <w:color w:val="000000"/>
        </w:rPr>
        <w:t xml:space="preserve"> decision to impose a penalty on her for sharing a Facebook post by a third party had breached Article 10 of the Convention, which reads as follows:</w:t>
      </w:r>
      <w:bookmarkEnd w:id="6"/>
    </w:p>
    <w:p w:rsidRPr="007034B5" w:rsidR="00305EE3" w:rsidP="007034B5" w14:paraId="0929A4C5" w14:textId="77777777">
      <w:pPr>
        <w:pStyle w:val="JuQuot"/>
      </w:pPr>
      <w:r w:rsidRPr="007034B5">
        <w:t xml:space="preserve">“1.  Everyone has the right to freedom of expression. This right shall include freedom to hold opinions and to receive and impart information and ideas without interference by public authority and regardless of frontiers. This Article shall not prevent States from requiring the licensing of broadcasting, </w:t>
      </w:r>
      <w:r w:rsidRPr="007034B5">
        <w:t>television</w:t>
      </w:r>
      <w:r w:rsidRPr="007034B5">
        <w:t xml:space="preserve"> or cinema enterprises.</w:t>
      </w:r>
    </w:p>
    <w:p w:rsidRPr="007034B5" w:rsidR="00305EE3" w:rsidP="007034B5" w14:paraId="1DA2D716" w14:textId="77777777">
      <w:pPr>
        <w:pStyle w:val="JuQuot"/>
      </w:pPr>
      <w:r w:rsidRPr="007034B5">
        <w:t>2.  The exercise of these freedoms, since it carries with it duties and responsibilities, may be subject to such formalities, conditions, restrictions or penalties as are prescribed by law and are necessary in a democratic society, in the interests of national security, territorial integrity or public safety, for the prevention of disorder or crime, for the protection of health or morals, for the protection of the reputation or rights of others, for preventing the disclosure of information received in confidence, or for maintaining the authority and impartiality of the judiciary.”</w:t>
      </w:r>
    </w:p>
    <w:p w:rsidRPr="007034B5" w:rsidR="00305EE3" w:rsidP="007034B5" w14:paraId="371916DC" w14:textId="77777777">
      <w:pPr>
        <w:pStyle w:val="JuHA"/>
      </w:pPr>
      <w:r w:rsidRPr="007034B5">
        <w:t>Admissibility</w:t>
      </w:r>
    </w:p>
    <w:p w:rsidRPr="007034B5" w:rsidR="00305EE3" w:rsidP="007034B5" w14:paraId="588ECFFC" w14:textId="50BE950A">
      <w:pPr>
        <w:pStyle w:val="JuPara"/>
      </w:pPr>
      <w:r w:rsidRPr="007034B5">
        <w:fldChar w:fldCharType="begin"/>
      </w:r>
      <w:r w:rsidRPr="007034B5">
        <w:instrText xml:space="preserve"> SEQ level0 \*arabic </w:instrText>
      </w:r>
      <w:r w:rsidRPr="007034B5">
        <w:fldChar w:fldCharType="separate"/>
      </w:r>
      <w:r w:rsidRPr="007034B5" w:rsidR="007034B5">
        <w:rPr>
          <w:noProof/>
        </w:rPr>
        <w:t>18</w:t>
      </w:r>
      <w:r w:rsidRPr="007034B5">
        <w:fldChar w:fldCharType="end"/>
      </w:r>
      <w:r w:rsidRPr="007034B5">
        <w:t>.  The Court notes that this complaint is not manifestly ill-founded within the meaning of Article 35 § 3 (a) of the Convention. It further notes that it is not inadmissible on any other grounds. It must therefore be declared admissible.</w:t>
      </w:r>
    </w:p>
    <w:p w:rsidRPr="007034B5" w:rsidR="00305EE3" w:rsidP="007034B5" w14:paraId="79CDDD1F" w14:textId="77777777">
      <w:pPr>
        <w:pStyle w:val="JuHA"/>
      </w:pPr>
      <w:r w:rsidRPr="007034B5">
        <w:t>Merits</w:t>
      </w:r>
    </w:p>
    <w:p w:rsidRPr="007034B5" w:rsidR="00305EE3" w:rsidP="007034B5" w14:paraId="69A8E1A6" w14:textId="70529836">
      <w:pPr>
        <w:pStyle w:val="JuH1"/>
      </w:pPr>
      <w:r w:rsidRPr="007034B5">
        <w:t>The parties</w:t>
      </w:r>
      <w:r w:rsidRPr="007034B5" w:rsidR="007034B5">
        <w:t>’</w:t>
      </w:r>
      <w:r w:rsidRPr="007034B5">
        <w:t xml:space="preserve"> submissions</w:t>
      </w:r>
    </w:p>
    <w:p w:rsidRPr="007034B5" w:rsidR="00305EE3" w:rsidP="007034B5" w14:paraId="0EE59305" w14:textId="77777777">
      <w:pPr>
        <w:pStyle w:val="JuHa0"/>
      </w:pPr>
      <w:r w:rsidRPr="007034B5">
        <w:t>The applicant</w:t>
      </w:r>
    </w:p>
    <w:p w:rsidRPr="007034B5" w:rsidR="00305EE3" w:rsidP="007034B5" w14:paraId="1845E802" w14:textId="03A4FA0D">
      <w:pPr>
        <w:pStyle w:val="JuPara"/>
        <w:rPr>
          <w:rFonts w:asciiTheme="majorHAnsi" w:hAnsiTheme="majorHAnsi" w:cstheme="majorHAnsi"/>
          <w:color w:val="000000"/>
        </w:rPr>
      </w:pPr>
      <w:r w:rsidRPr="007034B5">
        <w:rPr>
          <w:rFonts w:asciiTheme="majorHAnsi" w:hAnsiTheme="majorHAnsi" w:cstheme="majorHAnsi"/>
          <w:color w:val="000000"/>
        </w:rPr>
        <w:fldChar w:fldCharType="begin"/>
      </w:r>
      <w:r w:rsidRPr="007034B5">
        <w:rPr>
          <w:rFonts w:asciiTheme="majorHAnsi" w:hAnsiTheme="majorHAnsi" w:cstheme="majorHAnsi"/>
          <w:color w:val="000000"/>
        </w:rPr>
        <w:instrText xml:space="preserve"> SEQ level0 \*arabic \* MERGEFORMAT </w:instrText>
      </w:r>
      <w:r w:rsidRPr="007034B5">
        <w:rPr>
          <w:rFonts w:asciiTheme="majorHAnsi" w:hAnsiTheme="majorHAnsi" w:cstheme="majorHAnsi"/>
          <w:color w:val="000000"/>
        </w:rPr>
        <w:fldChar w:fldCharType="separate"/>
      </w:r>
      <w:r w:rsidRPr="007034B5" w:rsidR="007034B5">
        <w:rPr>
          <w:rFonts w:asciiTheme="majorHAnsi" w:hAnsiTheme="majorHAnsi" w:cstheme="majorHAnsi"/>
          <w:noProof/>
          <w:color w:val="000000"/>
        </w:rPr>
        <w:t>19</w:t>
      </w:r>
      <w:r w:rsidRPr="007034B5">
        <w:rPr>
          <w:rFonts w:asciiTheme="majorHAnsi" w:hAnsiTheme="majorHAnsi" w:cstheme="majorHAnsi"/>
          <w:color w:val="000000"/>
        </w:rPr>
        <w:fldChar w:fldCharType="end"/>
      </w:r>
      <w:r w:rsidRPr="007034B5">
        <w:rPr>
          <w:rFonts w:asciiTheme="majorHAnsi" w:hAnsiTheme="majorHAnsi" w:cstheme="majorHAnsi"/>
          <w:color w:val="000000"/>
        </w:rPr>
        <w:t>.  The applicant argued that it could not be claimed that the interference complained of had pursued the “legitimate aim” of protecting the reputation of others. She did not dispute that a legal entity exercising “public, political authority” might have a legitimate interest in the protection of its reputation. That interest was, however, of a public rather than private nature. In contrast to the judiciary, institutions belonging to the political branches of power had to protect their own reputation through their political activity and open engagement with the democratic public. Furthermore, and unlike courts, legal entities exercising public and political authority were not prohibited from responding to the wider public regarding matters pertaining to their performance. A municipality could not have a private life and had no right to the protection of its reputation under Article 8 of the Convention. Moreover, the applicant expressed doubts as to whether the municipality</w:t>
      </w:r>
      <w:r w:rsidRPr="007034B5" w:rsidR="007034B5">
        <w:rPr>
          <w:rFonts w:asciiTheme="majorHAnsi" w:hAnsiTheme="majorHAnsi" w:cstheme="majorHAnsi"/>
          <w:color w:val="000000"/>
        </w:rPr>
        <w:t>’</w:t>
      </w:r>
      <w:r w:rsidRPr="007034B5">
        <w:rPr>
          <w:rFonts w:asciiTheme="majorHAnsi" w:hAnsiTheme="majorHAnsi" w:cstheme="majorHAnsi"/>
          <w:color w:val="000000"/>
        </w:rPr>
        <w:t>s reputation had been involved in the present case, in view of the Court</w:t>
      </w:r>
      <w:r w:rsidRPr="007034B5" w:rsidR="007034B5">
        <w:rPr>
          <w:rFonts w:asciiTheme="majorHAnsi" w:hAnsiTheme="majorHAnsi" w:cstheme="majorHAnsi"/>
          <w:color w:val="000000"/>
        </w:rPr>
        <w:t>’</w:t>
      </w:r>
      <w:r w:rsidRPr="007034B5">
        <w:rPr>
          <w:rFonts w:asciiTheme="majorHAnsi" w:hAnsiTheme="majorHAnsi" w:cstheme="majorHAnsi"/>
          <w:color w:val="000000"/>
        </w:rPr>
        <w:t>s case-law requiring that an attack on personal honour and reputation had to attain a certain level of seriousness and must have been carried out in a manner causing prejudice.</w:t>
      </w:r>
    </w:p>
    <w:p w:rsidRPr="007034B5" w:rsidR="00305EE3" w:rsidP="007034B5" w14:paraId="4CE24940" w14:textId="667F48F2">
      <w:pPr>
        <w:pStyle w:val="JuPara"/>
        <w:rPr>
          <w:rFonts w:asciiTheme="majorHAnsi" w:hAnsiTheme="majorHAnsi" w:cstheme="majorHAnsi"/>
          <w:color w:val="000000"/>
        </w:rPr>
      </w:pPr>
      <w:r w:rsidRPr="007034B5">
        <w:rPr>
          <w:rFonts w:asciiTheme="majorHAnsi" w:hAnsiTheme="majorHAnsi" w:cstheme="majorHAnsi"/>
          <w:color w:val="000000"/>
        </w:rPr>
        <w:fldChar w:fldCharType="begin"/>
      </w:r>
      <w:r w:rsidRPr="007034B5">
        <w:rPr>
          <w:rFonts w:asciiTheme="majorHAnsi" w:hAnsiTheme="majorHAnsi" w:cstheme="majorHAnsi"/>
          <w:color w:val="000000"/>
        </w:rPr>
        <w:instrText xml:space="preserve"> SEQ level0 \*arabic \* MERGEFORMAT </w:instrText>
      </w:r>
      <w:r w:rsidRPr="007034B5">
        <w:rPr>
          <w:rFonts w:asciiTheme="majorHAnsi" w:hAnsiTheme="majorHAnsi" w:cstheme="majorHAnsi"/>
          <w:color w:val="000000"/>
        </w:rPr>
        <w:fldChar w:fldCharType="separate"/>
      </w:r>
      <w:r w:rsidRPr="007034B5" w:rsidR="007034B5">
        <w:rPr>
          <w:rFonts w:asciiTheme="majorHAnsi" w:hAnsiTheme="majorHAnsi" w:cstheme="majorHAnsi"/>
          <w:noProof/>
          <w:color w:val="000000"/>
        </w:rPr>
        <w:t>20</w:t>
      </w:r>
      <w:r w:rsidRPr="007034B5">
        <w:rPr>
          <w:rFonts w:asciiTheme="majorHAnsi" w:hAnsiTheme="majorHAnsi" w:cstheme="majorHAnsi"/>
          <w:color w:val="000000"/>
        </w:rPr>
        <w:fldChar w:fldCharType="end"/>
      </w:r>
      <w:r w:rsidRPr="007034B5">
        <w:rPr>
          <w:rFonts w:asciiTheme="majorHAnsi" w:hAnsiTheme="majorHAnsi" w:cstheme="majorHAnsi"/>
          <w:color w:val="000000"/>
        </w:rPr>
        <w:t>.  The applicant further argued that by sharing the impugned post she had intended to contribute, as a concerned citizen, to a debate of public interest. She had not been the original author of the post but had merely shared it, and it had been unreasonable to hold her to the same high standards of liability as expected of professional portals when they shared content. She had shared the post on her personal Facebook page, which did not have a particularly high profile, and she had not received any financial gain by doing so.</w:t>
      </w:r>
    </w:p>
    <w:p w:rsidRPr="007034B5" w:rsidR="00305EE3" w:rsidP="007034B5" w14:paraId="202102C1" w14:textId="7E3AEBDF">
      <w:pPr>
        <w:pStyle w:val="JuPara"/>
        <w:rPr>
          <w:rFonts w:asciiTheme="majorHAnsi" w:hAnsiTheme="majorHAnsi" w:cstheme="majorHAnsi"/>
          <w:color w:val="000000"/>
        </w:rPr>
      </w:pPr>
      <w:r w:rsidRPr="007034B5">
        <w:rPr>
          <w:rFonts w:asciiTheme="majorHAnsi" w:hAnsiTheme="majorHAnsi" w:cstheme="majorHAnsi"/>
          <w:color w:val="000000"/>
        </w:rPr>
        <w:fldChar w:fldCharType="begin"/>
      </w:r>
      <w:r w:rsidRPr="007034B5">
        <w:rPr>
          <w:rFonts w:asciiTheme="majorHAnsi" w:hAnsiTheme="majorHAnsi" w:cstheme="majorHAnsi"/>
          <w:color w:val="000000"/>
        </w:rPr>
        <w:instrText xml:space="preserve"> SEQ level0 \*arabic \* MERGEFORMAT </w:instrText>
      </w:r>
      <w:r w:rsidRPr="007034B5">
        <w:rPr>
          <w:rFonts w:asciiTheme="majorHAnsi" w:hAnsiTheme="majorHAnsi" w:cstheme="majorHAnsi"/>
          <w:color w:val="000000"/>
        </w:rPr>
        <w:fldChar w:fldCharType="separate"/>
      </w:r>
      <w:r w:rsidRPr="007034B5" w:rsidR="007034B5">
        <w:rPr>
          <w:rFonts w:asciiTheme="majorHAnsi" w:hAnsiTheme="majorHAnsi" w:cstheme="majorHAnsi"/>
          <w:noProof/>
          <w:color w:val="000000"/>
        </w:rPr>
        <w:t>21</w:t>
      </w:r>
      <w:r w:rsidRPr="007034B5">
        <w:rPr>
          <w:rFonts w:asciiTheme="majorHAnsi" w:hAnsiTheme="majorHAnsi" w:cstheme="majorHAnsi"/>
          <w:color w:val="000000"/>
        </w:rPr>
        <w:fldChar w:fldCharType="end"/>
      </w:r>
      <w:r w:rsidRPr="007034B5">
        <w:rPr>
          <w:rFonts w:asciiTheme="majorHAnsi" w:hAnsiTheme="majorHAnsi" w:cstheme="majorHAnsi"/>
          <w:color w:val="000000"/>
        </w:rPr>
        <w:t>.  Moreover, the municipality had had the means to refute the allegations and it had immediately done so. Even if the shared post had been factually erroneous, the mistake had been negligible and had not affected the overall message conveyed by the applicant, namely, that the municipality had mismanaged public funds. In any event, it would have been unreasonable to expect her to check the veracity of the post before sharing it.</w:t>
      </w:r>
    </w:p>
    <w:p w:rsidRPr="007034B5" w:rsidR="00305EE3" w:rsidP="007034B5" w14:paraId="2D736C2C" w14:textId="746D4E18">
      <w:pPr>
        <w:pStyle w:val="JuPara"/>
        <w:rPr>
          <w:rFonts w:asciiTheme="majorHAnsi" w:hAnsiTheme="majorHAnsi" w:cstheme="majorHAnsi"/>
          <w:color w:val="000000"/>
        </w:rPr>
      </w:pPr>
      <w:r w:rsidRPr="007034B5">
        <w:rPr>
          <w:rFonts w:asciiTheme="majorHAnsi" w:hAnsiTheme="majorHAnsi" w:cstheme="majorHAnsi"/>
          <w:color w:val="000000"/>
        </w:rPr>
        <w:fldChar w:fldCharType="begin"/>
      </w:r>
      <w:r w:rsidRPr="007034B5">
        <w:rPr>
          <w:rFonts w:asciiTheme="majorHAnsi" w:hAnsiTheme="majorHAnsi" w:cstheme="majorHAnsi"/>
          <w:color w:val="000000"/>
        </w:rPr>
        <w:instrText xml:space="preserve"> SEQ level0 \*arabic \* MERGEFORMAT </w:instrText>
      </w:r>
      <w:r w:rsidRPr="007034B5">
        <w:rPr>
          <w:rFonts w:asciiTheme="majorHAnsi" w:hAnsiTheme="majorHAnsi" w:cstheme="majorHAnsi"/>
          <w:color w:val="000000"/>
        </w:rPr>
        <w:fldChar w:fldCharType="separate"/>
      </w:r>
      <w:r w:rsidRPr="007034B5" w:rsidR="007034B5">
        <w:rPr>
          <w:rFonts w:asciiTheme="majorHAnsi" w:hAnsiTheme="majorHAnsi" w:cstheme="majorHAnsi"/>
          <w:noProof/>
          <w:color w:val="000000"/>
        </w:rPr>
        <w:t>22</w:t>
      </w:r>
      <w:r w:rsidRPr="007034B5">
        <w:rPr>
          <w:rFonts w:asciiTheme="majorHAnsi" w:hAnsiTheme="majorHAnsi" w:cstheme="majorHAnsi"/>
          <w:color w:val="000000"/>
        </w:rPr>
        <w:fldChar w:fldCharType="end"/>
      </w:r>
      <w:r w:rsidRPr="007034B5">
        <w:rPr>
          <w:rFonts w:asciiTheme="majorHAnsi" w:hAnsiTheme="majorHAnsi" w:cstheme="majorHAnsi"/>
          <w:color w:val="000000"/>
        </w:rPr>
        <w:t>.  The applicant further submitted that the fact that she had had to pay non-pecuniary damages and the costs associated with legal proceedings lasting for several years had been disproportionate to the triviality of the post.</w:t>
      </w:r>
    </w:p>
    <w:p w:rsidRPr="007034B5" w:rsidR="00305EE3" w:rsidP="007034B5" w14:paraId="4009A774" w14:textId="32E9623D">
      <w:pPr>
        <w:pStyle w:val="JuPara"/>
        <w:rPr>
          <w:rFonts w:asciiTheme="majorHAnsi" w:hAnsiTheme="majorHAnsi" w:cstheme="majorHAnsi"/>
          <w:color w:val="000000"/>
        </w:rPr>
      </w:pPr>
      <w:r w:rsidRPr="007034B5">
        <w:rPr>
          <w:rFonts w:asciiTheme="majorHAnsi" w:hAnsiTheme="majorHAnsi" w:cstheme="majorHAnsi"/>
          <w:color w:val="000000"/>
        </w:rPr>
        <w:fldChar w:fldCharType="begin"/>
      </w:r>
      <w:r w:rsidRPr="007034B5">
        <w:rPr>
          <w:rFonts w:asciiTheme="majorHAnsi" w:hAnsiTheme="majorHAnsi" w:cstheme="majorHAnsi"/>
          <w:color w:val="000000"/>
        </w:rPr>
        <w:instrText xml:space="preserve"> SEQ level0 \*arabic \* MERGEFORMAT </w:instrText>
      </w:r>
      <w:r w:rsidRPr="007034B5">
        <w:rPr>
          <w:rFonts w:asciiTheme="majorHAnsi" w:hAnsiTheme="majorHAnsi" w:cstheme="majorHAnsi"/>
          <w:color w:val="000000"/>
        </w:rPr>
        <w:fldChar w:fldCharType="separate"/>
      </w:r>
      <w:r w:rsidRPr="007034B5" w:rsidR="007034B5">
        <w:rPr>
          <w:rFonts w:asciiTheme="majorHAnsi" w:hAnsiTheme="majorHAnsi" w:cstheme="majorHAnsi"/>
          <w:noProof/>
          <w:color w:val="000000"/>
        </w:rPr>
        <w:t>23</w:t>
      </w:r>
      <w:r w:rsidRPr="007034B5">
        <w:rPr>
          <w:rFonts w:asciiTheme="majorHAnsi" w:hAnsiTheme="majorHAnsi" w:cstheme="majorHAnsi"/>
          <w:color w:val="000000"/>
        </w:rPr>
        <w:fldChar w:fldCharType="end"/>
      </w:r>
      <w:r w:rsidRPr="007034B5">
        <w:rPr>
          <w:rFonts w:asciiTheme="majorHAnsi" w:hAnsiTheme="majorHAnsi" w:cstheme="majorHAnsi"/>
          <w:color w:val="000000"/>
        </w:rPr>
        <w:t>.  Finally, the applicant called on the Court to consider the chilling effect of such civil-law sanctions on the use of social media platforms, which were the only public forum where the average citizen could actively participate in public discourse on matters of general interest.</w:t>
      </w:r>
    </w:p>
    <w:p w:rsidRPr="007034B5" w:rsidR="00305EE3" w:rsidP="007034B5" w14:paraId="4D69F451" w14:textId="77777777">
      <w:pPr>
        <w:pStyle w:val="JuHa0"/>
      </w:pPr>
      <w:r w:rsidRPr="007034B5">
        <w:t>The Government</w:t>
      </w:r>
    </w:p>
    <w:p w:rsidRPr="007034B5" w:rsidR="00305EE3" w:rsidP="007034B5" w14:paraId="74CEA5D5" w14:textId="679CF872">
      <w:pPr>
        <w:pStyle w:val="JuPara"/>
      </w:pPr>
      <w:r w:rsidRPr="007034B5">
        <w:fldChar w:fldCharType="begin"/>
      </w:r>
      <w:r w:rsidRPr="007034B5">
        <w:instrText xml:space="preserve"> SEQ level0 \*arabic </w:instrText>
      </w:r>
      <w:r w:rsidRPr="007034B5">
        <w:fldChar w:fldCharType="separate"/>
      </w:r>
      <w:r w:rsidRPr="007034B5" w:rsidR="007034B5">
        <w:rPr>
          <w:noProof/>
        </w:rPr>
        <w:t>24</w:t>
      </w:r>
      <w:r w:rsidRPr="007034B5">
        <w:fldChar w:fldCharType="end"/>
      </w:r>
      <w:r w:rsidRPr="007034B5">
        <w:t>.  The Government argued that the statements shared by the applicant had been partly untrue and were capable of adversely affecting public opinion and the reputation and prestige of the municipality, as had been established by the domestic courts. In their understanding the sharing of the Facebook post had constituted defamation by reporting.</w:t>
      </w:r>
    </w:p>
    <w:p w:rsidRPr="007034B5" w:rsidR="00305EE3" w:rsidP="007034B5" w14:paraId="36BCD77D" w14:textId="3D387EA3">
      <w:pPr>
        <w:pStyle w:val="JuPara"/>
      </w:pPr>
      <w:r>
        <w:fldChar w:fldCharType="begin"/>
      </w:r>
      <w:r>
        <w:instrText xml:space="preserve"> SEQ level0 \*arabic \* MERGEFORMAT </w:instrText>
      </w:r>
      <w:r>
        <w:fldChar w:fldCharType="separate"/>
      </w:r>
      <w:r w:rsidRPr="007034B5" w:rsidR="007034B5">
        <w:rPr>
          <w:noProof/>
        </w:rPr>
        <w:t>25</w:t>
      </w:r>
      <w:r w:rsidRPr="007034B5" w:rsidR="007034B5">
        <w:rPr>
          <w:noProof/>
        </w:rPr>
        <w:fldChar w:fldCharType="end"/>
      </w:r>
      <w:r w:rsidRPr="007034B5">
        <w:t>.  The circumstance that the statement had been shared on a social media platform and that the dissemination of the statement had been limited were relevant only to the gravity of the sanctions imposed, but not to the question whether the infringement of personality rights had taken place. In that respect the Government pointed out that this approach had been applied by three levels of domestic courts, with the higher instance courts reducing the fine imposed by the first-instance court. The High Court had had regard to the fact that it had been only a minor fault that the applicant had not checked the veracity of the shared content, that her Facebook page had not had a particularly high profile and that the infringement had had no significant effect on the plaintiffs.</w:t>
      </w:r>
    </w:p>
    <w:p w:rsidRPr="007034B5" w:rsidR="00305EE3" w:rsidP="007034B5" w14:paraId="05A39AAC" w14:textId="081F07A9">
      <w:pPr>
        <w:pStyle w:val="JuPara"/>
      </w:pPr>
      <w:r>
        <w:fldChar w:fldCharType="begin"/>
      </w:r>
      <w:r>
        <w:instrText xml:space="preserve"> SEQ level0 \*arabic \* MERGEFORMAT </w:instrText>
      </w:r>
      <w:r>
        <w:fldChar w:fldCharType="separate"/>
      </w:r>
      <w:r w:rsidRPr="007034B5" w:rsidR="007034B5">
        <w:rPr>
          <w:noProof/>
        </w:rPr>
        <w:t>26</w:t>
      </w:r>
      <w:r w:rsidRPr="007034B5" w:rsidR="007034B5">
        <w:rPr>
          <w:noProof/>
        </w:rPr>
        <w:fldChar w:fldCharType="end"/>
      </w:r>
      <w:r w:rsidRPr="007034B5">
        <w:t>.  The Government argued that the municipality, as a legal entity, had fundamental rights. The reputation of those acting in business life corresponded to the municipality</w:t>
      </w:r>
      <w:r w:rsidRPr="007034B5" w:rsidR="007034B5">
        <w:t>’</w:t>
      </w:r>
      <w:r w:rsidRPr="007034B5">
        <w:t>s interest in maintaining the public</w:t>
      </w:r>
      <w:r w:rsidRPr="007034B5" w:rsidR="007034B5">
        <w:t>’</w:t>
      </w:r>
      <w:r w:rsidRPr="007034B5">
        <w:t xml:space="preserve">s trust. They nonetheless endorsed the finding of the </w:t>
      </w:r>
      <w:r w:rsidRPr="007034B5">
        <w:rPr>
          <w:i/>
          <w:iCs/>
        </w:rPr>
        <w:t>Kúria</w:t>
      </w:r>
      <w:r w:rsidRPr="007034B5">
        <w:rPr>
          <w:i/>
          <w:iCs/>
        </w:rPr>
        <w:t xml:space="preserve"> </w:t>
      </w:r>
      <w:r w:rsidRPr="007034B5">
        <w:t>that those exercising public power had to tolerate broader criticism.</w:t>
      </w:r>
    </w:p>
    <w:p w:rsidRPr="007034B5" w:rsidR="00305EE3" w:rsidP="007034B5" w14:paraId="70717E2A" w14:textId="261DBAC3">
      <w:pPr>
        <w:pStyle w:val="JuPara"/>
      </w:pPr>
      <w:r>
        <w:fldChar w:fldCharType="begin"/>
      </w:r>
      <w:r>
        <w:instrText xml:space="preserve"> SEQ level0 \*arabic \* MERGEFORMAT </w:instrText>
      </w:r>
      <w:r>
        <w:fldChar w:fldCharType="separate"/>
      </w:r>
      <w:r w:rsidRPr="007034B5" w:rsidR="007034B5">
        <w:rPr>
          <w:noProof/>
        </w:rPr>
        <w:t>27</w:t>
      </w:r>
      <w:r w:rsidRPr="007034B5" w:rsidR="007034B5">
        <w:rPr>
          <w:noProof/>
        </w:rPr>
        <w:fldChar w:fldCharType="end"/>
      </w:r>
      <w:r w:rsidRPr="007034B5">
        <w:t>.  Lastly, the Government submitted that the sanction imposed on the applicant had been proportionate and corresponded to the gravity of the infringement.</w:t>
      </w:r>
    </w:p>
    <w:p w:rsidRPr="007034B5" w:rsidR="00305EE3" w:rsidP="007034B5" w14:paraId="4D020E9D" w14:textId="1E41AB7F">
      <w:pPr>
        <w:pStyle w:val="JuH1"/>
      </w:pPr>
      <w:r w:rsidRPr="007034B5">
        <w:t>The Court</w:t>
      </w:r>
      <w:r w:rsidRPr="007034B5" w:rsidR="007034B5">
        <w:t>’</w:t>
      </w:r>
      <w:r w:rsidRPr="007034B5">
        <w:t>s assessment</w:t>
      </w:r>
    </w:p>
    <w:p w:rsidRPr="007034B5" w:rsidR="00305EE3" w:rsidP="007034B5" w14:paraId="62F77287" w14:textId="000FEA1F">
      <w:pPr>
        <w:pStyle w:val="JuPara"/>
        <w:rPr>
          <w:rFonts w:asciiTheme="majorHAnsi" w:hAnsiTheme="majorHAnsi" w:cstheme="majorHAnsi"/>
          <w:color w:val="000000"/>
        </w:rPr>
      </w:pPr>
      <w:r w:rsidRPr="007034B5">
        <w:rPr>
          <w:rFonts w:asciiTheme="majorHAnsi" w:hAnsiTheme="majorHAnsi" w:cstheme="majorHAnsi"/>
          <w:color w:val="000000"/>
        </w:rPr>
        <w:fldChar w:fldCharType="begin"/>
      </w:r>
      <w:r w:rsidRPr="007034B5">
        <w:rPr>
          <w:rFonts w:asciiTheme="majorHAnsi" w:hAnsiTheme="majorHAnsi" w:cstheme="majorHAnsi"/>
          <w:color w:val="000000"/>
        </w:rPr>
        <w:instrText xml:space="preserve"> SEQ level0 \*arabic \* MERGEFORMAT </w:instrText>
      </w:r>
      <w:r w:rsidRPr="007034B5">
        <w:rPr>
          <w:rFonts w:asciiTheme="majorHAnsi" w:hAnsiTheme="majorHAnsi" w:cstheme="majorHAnsi"/>
          <w:color w:val="000000"/>
        </w:rPr>
        <w:fldChar w:fldCharType="separate"/>
      </w:r>
      <w:r w:rsidRPr="007034B5" w:rsidR="007034B5">
        <w:rPr>
          <w:rFonts w:asciiTheme="majorHAnsi" w:hAnsiTheme="majorHAnsi" w:cstheme="majorHAnsi"/>
          <w:noProof/>
          <w:color w:val="000000"/>
        </w:rPr>
        <w:t>28</w:t>
      </w:r>
      <w:r w:rsidRPr="007034B5">
        <w:rPr>
          <w:rFonts w:asciiTheme="majorHAnsi" w:hAnsiTheme="majorHAnsi" w:cstheme="majorHAnsi"/>
          <w:color w:val="000000"/>
        </w:rPr>
        <w:fldChar w:fldCharType="end"/>
      </w:r>
      <w:r w:rsidRPr="007034B5">
        <w:rPr>
          <w:rFonts w:asciiTheme="majorHAnsi" w:hAnsiTheme="majorHAnsi" w:cstheme="majorHAnsi"/>
          <w:color w:val="000000"/>
        </w:rPr>
        <w:t>.  While it is not in dispute between the parties that the judgments of the Hungarian courts constituted an interference with the applicant</w:t>
      </w:r>
      <w:r w:rsidRPr="007034B5" w:rsidR="007034B5">
        <w:rPr>
          <w:rFonts w:asciiTheme="majorHAnsi" w:hAnsiTheme="majorHAnsi" w:cstheme="majorHAnsi"/>
          <w:color w:val="000000"/>
        </w:rPr>
        <w:t>’</w:t>
      </w:r>
      <w:r w:rsidRPr="007034B5">
        <w:rPr>
          <w:rFonts w:asciiTheme="majorHAnsi" w:hAnsiTheme="majorHAnsi" w:cstheme="majorHAnsi"/>
          <w:color w:val="000000"/>
        </w:rPr>
        <w:t>s right to freedom of expression, and that the interference in question had a legal basis in domestic law, the parties have disagreed as to whether it pursued a “legitimate aim” within the meaning of Article 10 § 2 of the Convention, and whether it was proportionate to the aim sought.</w:t>
      </w:r>
    </w:p>
    <w:p w:rsidRPr="007034B5" w:rsidR="00305EE3" w:rsidP="007034B5" w14:paraId="49F1888C" w14:textId="7E944696">
      <w:pPr>
        <w:pStyle w:val="JuPara"/>
      </w:pPr>
      <w:r w:rsidRPr="007034B5">
        <w:rPr>
          <w:rFonts w:asciiTheme="majorHAnsi" w:hAnsiTheme="majorHAnsi" w:cstheme="majorHAnsi"/>
          <w:color w:val="000000"/>
        </w:rPr>
        <w:fldChar w:fldCharType="begin"/>
      </w:r>
      <w:r w:rsidRPr="007034B5">
        <w:rPr>
          <w:rFonts w:asciiTheme="majorHAnsi" w:hAnsiTheme="majorHAnsi" w:cstheme="majorHAnsi"/>
          <w:color w:val="000000"/>
        </w:rPr>
        <w:instrText xml:space="preserve"> SEQ level0 \*arabic \* MERGEFORMAT </w:instrText>
      </w:r>
      <w:r w:rsidRPr="007034B5">
        <w:rPr>
          <w:rFonts w:asciiTheme="majorHAnsi" w:hAnsiTheme="majorHAnsi" w:cstheme="majorHAnsi"/>
          <w:color w:val="000000"/>
        </w:rPr>
        <w:fldChar w:fldCharType="separate"/>
      </w:r>
      <w:r w:rsidRPr="007034B5" w:rsidR="007034B5">
        <w:rPr>
          <w:rFonts w:asciiTheme="majorHAnsi" w:hAnsiTheme="majorHAnsi" w:cstheme="majorHAnsi"/>
          <w:noProof/>
          <w:color w:val="000000"/>
        </w:rPr>
        <w:t>29</w:t>
      </w:r>
      <w:r w:rsidRPr="007034B5">
        <w:rPr>
          <w:rFonts w:asciiTheme="majorHAnsi" w:hAnsiTheme="majorHAnsi" w:cstheme="majorHAnsi"/>
          <w:color w:val="000000"/>
        </w:rPr>
        <w:fldChar w:fldCharType="end"/>
      </w:r>
      <w:r w:rsidRPr="007034B5">
        <w:rPr>
          <w:rFonts w:asciiTheme="majorHAnsi" w:hAnsiTheme="majorHAnsi" w:cstheme="majorHAnsi"/>
          <w:color w:val="000000"/>
        </w:rPr>
        <w:t>.  The Court reiterates that the list of legitimate aims provided in paragraph 2 of Article 10 is exhaustive. Strictly construed, that paragraph accords – as an exception in view of its special role in society – protection to only one branch of public power, the judiciary (see, for details, </w:t>
      </w:r>
      <w:r w:rsidRPr="007034B5">
        <w:rPr>
          <w:rFonts w:asciiTheme="majorHAnsi" w:hAnsiTheme="majorHAnsi" w:cstheme="majorHAnsi"/>
          <w:i/>
          <w:iCs/>
          <w:color w:val="000000"/>
        </w:rPr>
        <w:t>Morice</w:t>
      </w:r>
      <w:r w:rsidRPr="007034B5">
        <w:rPr>
          <w:rFonts w:asciiTheme="majorHAnsi" w:hAnsiTheme="majorHAnsi" w:cstheme="majorHAnsi"/>
          <w:i/>
          <w:iCs/>
          <w:color w:val="000000"/>
        </w:rPr>
        <w:t xml:space="preserve"> v. France</w:t>
      </w:r>
      <w:r w:rsidRPr="007034B5">
        <w:rPr>
          <w:rFonts w:asciiTheme="majorHAnsi" w:hAnsiTheme="majorHAnsi" w:cstheme="majorHAnsi"/>
          <w:color w:val="000000"/>
        </w:rPr>
        <w:t> [GC], no. 29369/10, §§ 128-30, ECHR 2015).</w:t>
      </w:r>
    </w:p>
    <w:p w:rsidRPr="007034B5" w:rsidR="00305EE3" w:rsidP="007034B5" w14:paraId="52104517" w14:textId="654E1BC3">
      <w:pPr>
        <w:pStyle w:val="JuPara"/>
      </w:pPr>
      <w:r w:rsidRPr="007034B5">
        <w:rPr>
          <w:rFonts w:asciiTheme="majorHAnsi" w:hAnsiTheme="majorHAnsi" w:cstheme="majorHAnsi"/>
          <w:color w:val="000000"/>
        </w:rPr>
        <w:fldChar w:fldCharType="begin"/>
      </w:r>
      <w:r w:rsidRPr="007034B5">
        <w:rPr>
          <w:rFonts w:asciiTheme="majorHAnsi" w:hAnsiTheme="majorHAnsi" w:cstheme="majorHAnsi"/>
          <w:color w:val="000000"/>
        </w:rPr>
        <w:instrText xml:space="preserve"> SEQ level0 \*arabic \* MERGEFORMAT </w:instrText>
      </w:r>
      <w:r w:rsidRPr="007034B5">
        <w:rPr>
          <w:rFonts w:asciiTheme="majorHAnsi" w:hAnsiTheme="majorHAnsi" w:cstheme="majorHAnsi"/>
          <w:color w:val="000000"/>
        </w:rPr>
        <w:fldChar w:fldCharType="separate"/>
      </w:r>
      <w:r w:rsidRPr="007034B5" w:rsidR="007034B5">
        <w:rPr>
          <w:rFonts w:asciiTheme="majorHAnsi" w:hAnsiTheme="majorHAnsi" w:cstheme="majorHAnsi"/>
          <w:noProof/>
          <w:color w:val="000000"/>
        </w:rPr>
        <w:t>30</w:t>
      </w:r>
      <w:r w:rsidRPr="007034B5">
        <w:rPr>
          <w:rFonts w:asciiTheme="majorHAnsi" w:hAnsiTheme="majorHAnsi" w:cstheme="majorHAnsi"/>
          <w:color w:val="000000"/>
        </w:rPr>
        <w:fldChar w:fldCharType="end"/>
      </w:r>
      <w:r w:rsidRPr="007034B5">
        <w:rPr>
          <w:rFonts w:asciiTheme="majorHAnsi" w:hAnsiTheme="majorHAnsi" w:cstheme="majorHAnsi"/>
          <w:color w:val="000000"/>
        </w:rPr>
        <w:t xml:space="preserve">.  The Court has long held that the right to protection of reputation is a right which is protected by Article 8 of the Convention as part of the right to respect for private life. The concept of “private life” is a broad term not susceptible to exhaustive definition, which also covers the physical and psychological integrity of a person. In order for Article 8 to come into play, </w:t>
      </w:r>
      <w:r w:rsidRPr="007034B5">
        <w:rPr>
          <w:rFonts w:asciiTheme="majorHAnsi" w:hAnsiTheme="majorHAnsi" w:cstheme="majorHAnsi"/>
          <w:color w:val="000000"/>
        </w:rPr>
        <w:t>however, an attack on a person</w:t>
      </w:r>
      <w:r w:rsidRPr="007034B5" w:rsidR="007034B5">
        <w:rPr>
          <w:rFonts w:asciiTheme="majorHAnsi" w:hAnsiTheme="majorHAnsi" w:cstheme="majorHAnsi"/>
          <w:color w:val="000000"/>
        </w:rPr>
        <w:t>’</w:t>
      </w:r>
      <w:r w:rsidRPr="007034B5">
        <w:rPr>
          <w:rFonts w:asciiTheme="majorHAnsi" w:hAnsiTheme="majorHAnsi" w:cstheme="majorHAnsi"/>
          <w:color w:val="000000"/>
        </w:rPr>
        <w:t xml:space="preserve">s reputation must attain a certain level of seriousness and [have been carried out] in a manner causing prejudice to personal enjoyment of the right to respect for private life (see, with further references, </w:t>
      </w:r>
      <w:r w:rsidRPr="007034B5">
        <w:rPr>
          <w:rFonts w:asciiTheme="majorHAnsi" w:hAnsiTheme="majorHAnsi" w:cstheme="majorHAnsi"/>
          <w:i/>
          <w:iCs/>
          <w:color w:val="000000"/>
        </w:rPr>
        <w:t>Medžlis</w:t>
      </w:r>
      <w:r w:rsidRPr="007034B5">
        <w:rPr>
          <w:rFonts w:asciiTheme="majorHAnsi" w:hAnsiTheme="majorHAnsi" w:cstheme="majorHAnsi"/>
          <w:i/>
          <w:iCs/>
          <w:color w:val="000000"/>
        </w:rPr>
        <w:t xml:space="preserve"> </w:t>
      </w:r>
      <w:r w:rsidRPr="007034B5">
        <w:rPr>
          <w:rFonts w:asciiTheme="majorHAnsi" w:hAnsiTheme="majorHAnsi" w:cstheme="majorHAnsi"/>
          <w:i/>
          <w:iCs/>
          <w:color w:val="000000"/>
        </w:rPr>
        <w:t>Islamske</w:t>
      </w:r>
      <w:r w:rsidRPr="007034B5">
        <w:rPr>
          <w:rFonts w:asciiTheme="majorHAnsi" w:hAnsiTheme="majorHAnsi" w:cstheme="majorHAnsi"/>
          <w:i/>
          <w:iCs/>
          <w:color w:val="000000"/>
        </w:rPr>
        <w:t xml:space="preserve"> </w:t>
      </w:r>
      <w:r w:rsidRPr="007034B5">
        <w:rPr>
          <w:rFonts w:asciiTheme="majorHAnsi" w:hAnsiTheme="majorHAnsi" w:cstheme="majorHAnsi"/>
          <w:i/>
          <w:iCs/>
          <w:color w:val="000000"/>
        </w:rPr>
        <w:t>Zajednice</w:t>
      </w:r>
      <w:r w:rsidRPr="007034B5">
        <w:rPr>
          <w:rFonts w:asciiTheme="majorHAnsi" w:hAnsiTheme="majorHAnsi" w:cstheme="majorHAnsi"/>
          <w:i/>
          <w:iCs/>
          <w:color w:val="000000"/>
        </w:rPr>
        <w:t xml:space="preserve"> Brčko and Others v. Bosnia and Herzegovina</w:t>
      </w:r>
      <w:r w:rsidRPr="007034B5">
        <w:rPr>
          <w:rFonts w:asciiTheme="majorHAnsi" w:hAnsiTheme="majorHAnsi" w:cstheme="majorHAnsi"/>
          <w:color w:val="000000"/>
        </w:rPr>
        <w:t> [GC], no. </w:t>
      </w:r>
      <w:r w:rsidRPr="007034B5">
        <w:rPr>
          <w:rFonts w:asciiTheme="majorHAnsi" w:hAnsiTheme="majorHAnsi" w:cstheme="majorHAnsi"/>
        </w:rPr>
        <w:t>17224/11</w:t>
      </w:r>
      <w:r w:rsidRPr="007034B5">
        <w:rPr>
          <w:rFonts w:asciiTheme="majorHAnsi" w:hAnsiTheme="majorHAnsi" w:cstheme="majorHAnsi"/>
          <w:color w:val="000000"/>
        </w:rPr>
        <w:t>, § 76, 27 June 2017).</w:t>
      </w:r>
    </w:p>
    <w:p w:rsidRPr="007034B5" w:rsidR="00305EE3" w:rsidP="007034B5" w14:paraId="55376237" w14:textId="164E68FB">
      <w:pPr>
        <w:pStyle w:val="JuPara"/>
        <w:rPr>
          <w:color w:val="000000"/>
          <w:sz w:val="22"/>
          <w:szCs w:val="22"/>
        </w:rPr>
      </w:pPr>
      <w:r w:rsidRPr="007034B5">
        <w:rPr>
          <w:rFonts w:asciiTheme="majorHAnsi" w:hAnsiTheme="majorHAnsi" w:cstheme="majorHAnsi"/>
          <w:color w:val="000000"/>
        </w:rPr>
        <w:fldChar w:fldCharType="begin"/>
      </w:r>
      <w:r w:rsidRPr="007034B5">
        <w:rPr>
          <w:rFonts w:asciiTheme="majorHAnsi" w:hAnsiTheme="majorHAnsi" w:cstheme="majorHAnsi"/>
          <w:color w:val="000000"/>
        </w:rPr>
        <w:instrText xml:space="preserve"> SEQ level0 \*arabic \* MERGEFORMAT </w:instrText>
      </w:r>
      <w:r w:rsidRPr="007034B5">
        <w:rPr>
          <w:rFonts w:asciiTheme="majorHAnsi" w:hAnsiTheme="majorHAnsi" w:cstheme="majorHAnsi"/>
          <w:color w:val="000000"/>
        </w:rPr>
        <w:fldChar w:fldCharType="separate"/>
      </w:r>
      <w:r w:rsidRPr="007034B5" w:rsidR="007034B5">
        <w:rPr>
          <w:rFonts w:asciiTheme="majorHAnsi" w:hAnsiTheme="majorHAnsi" w:cstheme="majorHAnsi"/>
          <w:noProof/>
          <w:color w:val="000000"/>
        </w:rPr>
        <w:t>31</w:t>
      </w:r>
      <w:r w:rsidRPr="007034B5">
        <w:rPr>
          <w:rFonts w:asciiTheme="majorHAnsi" w:hAnsiTheme="majorHAnsi" w:cstheme="majorHAnsi"/>
          <w:color w:val="000000"/>
        </w:rPr>
        <w:fldChar w:fldCharType="end"/>
      </w:r>
      <w:r w:rsidRPr="007034B5">
        <w:rPr>
          <w:rFonts w:asciiTheme="majorHAnsi" w:hAnsiTheme="majorHAnsi" w:cstheme="majorHAnsi"/>
          <w:color w:val="000000"/>
        </w:rPr>
        <w:t>.  </w:t>
      </w:r>
      <w:r w:rsidRPr="007034B5">
        <w:rPr>
          <w:color w:val="000000"/>
        </w:rPr>
        <w:t>However, the ambit of the “protection of the reputation ... of others” clause of paragraph 2 of Article 10 is not restricted to natural persons, notwithstanding a difference between the reputational interests of a legal entity and the reputation of an individual as a member of society. Whereas the latter might have repercussions on one</w:t>
      </w:r>
      <w:r w:rsidRPr="007034B5" w:rsidR="007034B5">
        <w:rPr>
          <w:color w:val="000000"/>
        </w:rPr>
        <w:t>’</w:t>
      </w:r>
      <w:r w:rsidRPr="007034B5">
        <w:rPr>
          <w:color w:val="000000"/>
        </w:rPr>
        <w:t xml:space="preserve">s dignity, the former are devoid of that moral dimension (see </w:t>
      </w:r>
      <w:r w:rsidRPr="007034B5">
        <w:rPr>
          <w:i/>
          <w:iCs/>
          <w:color w:val="000000"/>
        </w:rPr>
        <w:t>OOO Regnum v.</w:t>
      </w:r>
      <w:r w:rsidRPr="007034B5" w:rsidR="009434E6">
        <w:rPr>
          <w:i/>
          <w:iCs/>
          <w:color w:val="000000"/>
        </w:rPr>
        <w:t xml:space="preserve"> </w:t>
      </w:r>
      <w:r w:rsidRPr="007034B5">
        <w:rPr>
          <w:i/>
          <w:iCs/>
          <w:color w:val="000000"/>
        </w:rPr>
        <w:t>Russia</w:t>
      </w:r>
      <w:r w:rsidRPr="007034B5">
        <w:rPr>
          <w:color w:val="000000"/>
        </w:rPr>
        <w:t>, no.</w:t>
      </w:r>
      <w:r w:rsidRPr="007034B5" w:rsidR="009434E6">
        <w:rPr>
          <w:color w:val="000000"/>
        </w:rPr>
        <w:t xml:space="preserve"> </w:t>
      </w:r>
      <w:r w:rsidRPr="007034B5">
        <w:t>22649/08</w:t>
      </w:r>
      <w:r w:rsidRPr="007034B5">
        <w:rPr>
          <w:color w:val="000000"/>
        </w:rPr>
        <w:t>, § 66, 8 September 2020).</w:t>
      </w:r>
    </w:p>
    <w:p w:rsidRPr="007034B5" w:rsidR="00305EE3" w:rsidP="007034B5" w14:paraId="48BFB02C" w14:textId="5D082050">
      <w:pPr>
        <w:pStyle w:val="JuPara"/>
      </w:pPr>
      <w:r>
        <w:fldChar w:fldCharType="begin"/>
      </w:r>
      <w:r>
        <w:instrText xml:space="preserve"> SEQ level0 \*arabic \* MERGEFORMAT </w:instrText>
      </w:r>
      <w:r>
        <w:fldChar w:fldCharType="separate"/>
      </w:r>
      <w:r w:rsidRPr="007034B5" w:rsidR="007034B5">
        <w:rPr>
          <w:noProof/>
        </w:rPr>
        <w:t>32</w:t>
      </w:r>
      <w:r>
        <w:rPr>
          <w:noProof/>
        </w:rPr>
        <w:fldChar w:fldCharType="end"/>
      </w:r>
      <w:r w:rsidRPr="007034B5">
        <w:t>.  </w:t>
      </w:r>
      <w:r w:rsidRPr="007034B5">
        <w:rPr>
          <w:rFonts w:asciiTheme="majorHAnsi" w:hAnsiTheme="majorHAnsi" w:cstheme="majorHAnsi"/>
          <w:color w:val="000000"/>
        </w:rPr>
        <w:t>The Court has recognised that there exists a legitimate “interest in protecting the commercial success and viability of companies, for the benefit of shareholders and employees, but also for the wider economic good” (see </w:t>
      </w:r>
      <w:r w:rsidRPr="007034B5">
        <w:rPr>
          <w:rFonts w:asciiTheme="majorHAnsi" w:hAnsiTheme="majorHAnsi" w:cstheme="majorHAnsi"/>
          <w:i/>
          <w:iCs/>
          <w:color w:val="000000"/>
        </w:rPr>
        <w:t>Steel and Morris v. the United Kingdom</w:t>
      </w:r>
      <w:r w:rsidRPr="007034B5">
        <w:rPr>
          <w:rFonts w:asciiTheme="majorHAnsi" w:hAnsiTheme="majorHAnsi" w:cstheme="majorHAnsi"/>
          <w:color w:val="000000"/>
        </w:rPr>
        <w:t>, no. 68416/01, § 94, ECHR 2005</w:t>
      </w:r>
      <w:r w:rsidRPr="007034B5">
        <w:rPr>
          <w:rFonts w:asciiTheme="majorHAnsi" w:hAnsiTheme="majorHAnsi" w:cstheme="majorHAnsi"/>
          <w:color w:val="000000"/>
        </w:rPr>
        <w:noBreakHyphen/>
        <w:t xml:space="preserve">II, and </w:t>
      </w:r>
      <w:r w:rsidRPr="007034B5">
        <w:rPr>
          <w:rFonts w:asciiTheme="majorHAnsi" w:hAnsiTheme="majorHAnsi" w:cstheme="majorHAnsi"/>
          <w:i/>
          <w:iCs/>
          <w:color w:val="000000"/>
        </w:rPr>
        <w:t>Uj</w:t>
      </w:r>
      <w:r w:rsidRPr="007034B5">
        <w:rPr>
          <w:rFonts w:asciiTheme="majorHAnsi" w:hAnsiTheme="majorHAnsi" w:cstheme="majorHAnsi"/>
          <w:i/>
          <w:iCs/>
          <w:color w:val="000000"/>
        </w:rPr>
        <w:t xml:space="preserve"> v. Hungary</w:t>
      </w:r>
      <w:r w:rsidRPr="007034B5">
        <w:rPr>
          <w:rFonts w:asciiTheme="majorHAnsi" w:hAnsiTheme="majorHAnsi" w:cstheme="majorHAnsi"/>
          <w:color w:val="000000"/>
        </w:rPr>
        <w:t>, no. 23954/10, § 22, 19 July 2011). However, as regards public bodies seeking legal protection of their reputation, in the case of </w:t>
      </w:r>
      <w:r w:rsidRPr="007034B5">
        <w:rPr>
          <w:rFonts w:asciiTheme="majorHAnsi" w:hAnsiTheme="majorHAnsi" w:cstheme="majorHAnsi"/>
          <w:i/>
          <w:iCs/>
          <w:color w:val="000000"/>
        </w:rPr>
        <w:t>Steel and Morris</w:t>
      </w:r>
      <w:r w:rsidRPr="007034B5">
        <w:rPr>
          <w:rFonts w:asciiTheme="majorHAnsi" w:hAnsiTheme="majorHAnsi" w:cstheme="majorHAnsi"/>
          <w:color w:val="000000"/>
        </w:rPr>
        <w:t xml:space="preserve"> (cited above, § 40) the Court noted the position under the laws of England and Wales, whereby “local authorities, government-owned corporations and political parties ... [cannot] sue in defamation, because of the public interest that a democratically elected organisation, or a body controlled by such an organisation, should be open to uninhibited public criticism”. In the context of publications by the media, the Court has considered that shielding bodies of the executive branch of State power, which had the ability to respond to any adverse allegations in the “court of public opinion” through their public relations capabilities, from media criticism by way of </w:t>
      </w:r>
      <w:r w:rsidRPr="007034B5">
        <w:rPr>
          <w:rFonts w:asciiTheme="majorHAnsi" w:hAnsiTheme="majorHAnsi" w:cstheme="majorHAnsi"/>
          <w:color w:val="000000"/>
        </w:rPr>
        <w:t>according</w:t>
      </w:r>
      <w:r w:rsidRPr="007034B5">
        <w:rPr>
          <w:rFonts w:asciiTheme="majorHAnsi" w:hAnsiTheme="majorHAnsi" w:cstheme="majorHAnsi"/>
          <w:color w:val="000000"/>
        </w:rPr>
        <w:t xml:space="preserve"> them protection of their “business reputation” might seriously hamper freedom of the media. That executive bodies be allowed to bring defamation proceedings against members of the media places an excessive and disproportionate burden on the media and could have an inevitable chilling effect on the media in the performance of their role of purveyor of information and public watchdog (see, </w:t>
      </w:r>
      <w:r w:rsidRPr="007034B5">
        <w:rPr>
          <w:rFonts w:asciiTheme="majorHAnsi" w:hAnsiTheme="majorHAnsi" w:cstheme="majorHAnsi"/>
          <w:i/>
          <w:iCs/>
          <w:color w:val="000000"/>
        </w:rPr>
        <w:t>mutatis mutandis</w:t>
      </w:r>
      <w:r w:rsidRPr="007034B5">
        <w:rPr>
          <w:rFonts w:asciiTheme="majorHAnsi" w:hAnsiTheme="majorHAnsi" w:cstheme="majorHAnsi"/>
          <w:color w:val="000000"/>
        </w:rPr>
        <w:t xml:space="preserve">, </w:t>
      </w:r>
      <w:r w:rsidRPr="007034B5">
        <w:rPr>
          <w:rFonts w:asciiTheme="majorHAnsi" w:hAnsiTheme="majorHAnsi" w:cstheme="majorHAnsi"/>
          <w:i/>
          <w:iCs/>
          <w:color w:val="000000"/>
        </w:rPr>
        <w:t>Dyuldin</w:t>
      </w:r>
      <w:r w:rsidRPr="007034B5">
        <w:rPr>
          <w:rFonts w:asciiTheme="majorHAnsi" w:hAnsiTheme="majorHAnsi" w:cstheme="majorHAnsi"/>
          <w:i/>
          <w:iCs/>
          <w:color w:val="000000"/>
        </w:rPr>
        <w:t xml:space="preserve"> and </w:t>
      </w:r>
      <w:r w:rsidRPr="007034B5">
        <w:rPr>
          <w:rFonts w:asciiTheme="majorHAnsi" w:hAnsiTheme="majorHAnsi" w:cstheme="majorHAnsi"/>
          <w:i/>
          <w:iCs/>
          <w:color w:val="000000"/>
        </w:rPr>
        <w:t>Kislov</w:t>
      </w:r>
      <w:r w:rsidRPr="007034B5">
        <w:rPr>
          <w:rFonts w:asciiTheme="majorHAnsi" w:hAnsiTheme="majorHAnsi" w:cstheme="majorHAnsi"/>
          <w:i/>
          <w:iCs/>
          <w:color w:val="000000"/>
        </w:rPr>
        <w:t xml:space="preserve"> v. Russia </w:t>
      </w:r>
      <w:r w:rsidRPr="007034B5">
        <w:rPr>
          <w:rFonts w:asciiTheme="majorHAnsi" w:hAnsiTheme="majorHAnsi" w:cstheme="majorHAnsi"/>
          <w:color w:val="000000"/>
        </w:rPr>
        <w:t>(no. 25968/02, § 43, 31 July 2007)).</w:t>
      </w:r>
    </w:p>
    <w:p w:rsidRPr="007034B5" w:rsidR="00305EE3" w:rsidP="007034B5" w14:paraId="7CD659CD" w14:textId="12797EE8">
      <w:pPr>
        <w:pStyle w:val="JuPara"/>
        <w:rPr>
          <w:rFonts w:asciiTheme="majorHAnsi" w:hAnsiTheme="majorHAnsi" w:cstheme="majorHAnsi"/>
          <w:color w:val="000000"/>
        </w:rPr>
      </w:pPr>
      <w:r w:rsidRPr="007034B5">
        <w:rPr>
          <w:rFonts w:asciiTheme="majorHAnsi" w:hAnsiTheme="majorHAnsi" w:cstheme="majorHAnsi"/>
          <w:color w:val="000000"/>
        </w:rPr>
        <w:fldChar w:fldCharType="begin"/>
      </w:r>
      <w:r w:rsidRPr="007034B5">
        <w:rPr>
          <w:rFonts w:asciiTheme="majorHAnsi" w:hAnsiTheme="majorHAnsi" w:cstheme="majorHAnsi"/>
          <w:color w:val="000000"/>
        </w:rPr>
        <w:instrText xml:space="preserve"> SEQ level0 \*arabic \* MERGEFORMAT </w:instrText>
      </w:r>
      <w:r w:rsidRPr="007034B5">
        <w:rPr>
          <w:rFonts w:asciiTheme="majorHAnsi" w:hAnsiTheme="majorHAnsi" w:cstheme="majorHAnsi"/>
          <w:color w:val="000000"/>
        </w:rPr>
        <w:fldChar w:fldCharType="separate"/>
      </w:r>
      <w:r w:rsidRPr="007034B5" w:rsidR="007034B5">
        <w:rPr>
          <w:rFonts w:asciiTheme="majorHAnsi" w:hAnsiTheme="majorHAnsi" w:cstheme="majorHAnsi"/>
          <w:noProof/>
          <w:color w:val="000000"/>
        </w:rPr>
        <w:t>33</w:t>
      </w:r>
      <w:r w:rsidRPr="007034B5">
        <w:rPr>
          <w:rFonts w:asciiTheme="majorHAnsi" w:hAnsiTheme="majorHAnsi" w:cstheme="majorHAnsi"/>
          <w:color w:val="000000"/>
        </w:rPr>
        <w:fldChar w:fldCharType="end"/>
      </w:r>
      <w:r w:rsidRPr="007034B5">
        <w:rPr>
          <w:rFonts w:asciiTheme="majorHAnsi" w:hAnsiTheme="majorHAnsi" w:cstheme="majorHAnsi"/>
          <w:color w:val="000000"/>
        </w:rPr>
        <w:t>.  Similarly, in the case of </w:t>
      </w:r>
      <w:r w:rsidRPr="007034B5">
        <w:rPr>
          <w:rFonts w:asciiTheme="majorHAnsi" w:hAnsiTheme="majorHAnsi" w:cstheme="majorHAnsi"/>
          <w:i/>
          <w:iCs/>
          <w:color w:val="000000"/>
        </w:rPr>
        <w:t>Lombardo and Others v. Malta</w:t>
      </w:r>
      <w:r w:rsidRPr="007034B5">
        <w:rPr>
          <w:rFonts w:asciiTheme="majorHAnsi" w:hAnsiTheme="majorHAnsi" w:cstheme="majorHAnsi"/>
          <w:color w:val="000000"/>
        </w:rPr>
        <w:t> (no. </w:t>
      </w:r>
      <w:r w:rsidRPr="007034B5">
        <w:rPr>
          <w:rFonts w:asciiTheme="majorHAnsi" w:hAnsiTheme="majorHAnsi" w:cstheme="majorHAnsi"/>
        </w:rPr>
        <w:t>7333/06</w:t>
      </w:r>
      <w:r w:rsidRPr="007034B5">
        <w:rPr>
          <w:rFonts w:asciiTheme="majorHAnsi" w:hAnsiTheme="majorHAnsi" w:cstheme="majorHAnsi"/>
          <w:color w:val="000000"/>
        </w:rPr>
        <w:t>, § 50, 24 April 2007) the Court held that it was only in exceptional circumstances that a measure proscribing statements criticising the acts or omissions of an elected body could be justified with reference to “the protection of the rights or reputations of others”.</w:t>
      </w:r>
    </w:p>
    <w:p w:rsidRPr="007034B5" w:rsidR="00305EE3" w:rsidP="007034B5" w14:paraId="46401B29" w14:textId="76CC78B7">
      <w:pPr>
        <w:pStyle w:val="JuPara"/>
        <w:rPr>
          <w:rFonts w:asciiTheme="majorHAnsi" w:hAnsiTheme="majorHAnsi" w:cstheme="majorHAnsi"/>
          <w:strike/>
          <w:color w:val="000000"/>
        </w:rPr>
      </w:pPr>
      <w:r w:rsidRPr="007034B5">
        <w:rPr>
          <w:rFonts w:asciiTheme="majorHAnsi" w:hAnsiTheme="majorHAnsi" w:cstheme="majorHAnsi"/>
          <w:color w:val="000000"/>
        </w:rPr>
        <w:fldChar w:fldCharType="begin"/>
      </w:r>
      <w:r w:rsidRPr="007034B5">
        <w:rPr>
          <w:rFonts w:asciiTheme="majorHAnsi" w:hAnsiTheme="majorHAnsi" w:cstheme="majorHAnsi"/>
          <w:color w:val="000000"/>
        </w:rPr>
        <w:instrText xml:space="preserve"> SEQ level0 \*arabic \* MERGEFORMAT </w:instrText>
      </w:r>
      <w:r w:rsidRPr="007034B5">
        <w:rPr>
          <w:rFonts w:asciiTheme="majorHAnsi" w:hAnsiTheme="majorHAnsi" w:cstheme="majorHAnsi"/>
          <w:color w:val="000000"/>
        </w:rPr>
        <w:fldChar w:fldCharType="separate"/>
      </w:r>
      <w:r w:rsidRPr="007034B5" w:rsidR="007034B5">
        <w:rPr>
          <w:rFonts w:asciiTheme="majorHAnsi" w:hAnsiTheme="majorHAnsi" w:cstheme="majorHAnsi"/>
          <w:noProof/>
          <w:color w:val="000000"/>
        </w:rPr>
        <w:t>34</w:t>
      </w:r>
      <w:r w:rsidRPr="007034B5">
        <w:rPr>
          <w:rFonts w:asciiTheme="majorHAnsi" w:hAnsiTheme="majorHAnsi" w:cstheme="majorHAnsi"/>
          <w:color w:val="000000"/>
        </w:rPr>
        <w:fldChar w:fldCharType="end"/>
      </w:r>
      <w:r w:rsidRPr="007034B5">
        <w:rPr>
          <w:rFonts w:asciiTheme="majorHAnsi" w:hAnsiTheme="majorHAnsi" w:cstheme="majorHAnsi"/>
          <w:color w:val="000000"/>
        </w:rPr>
        <w:t xml:space="preserve">.  In the case of </w:t>
      </w:r>
      <w:r w:rsidRPr="007034B5">
        <w:rPr>
          <w:rFonts w:asciiTheme="majorHAnsi" w:hAnsiTheme="majorHAnsi" w:cstheme="majorHAnsi"/>
          <w:i/>
          <w:iCs/>
          <w:color w:val="000000"/>
        </w:rPr>
        <w:t>Romanenko</w:t>
      </w:r>
      <w:r w:rsidRPr="007034B5">
        <w:rPr>
          <w:rFonts w:asciiTheme="majorHAnsi" w:hAnsiTheme="majorHAnsi" w:cstheme="majorHAnsi"/>
          <w:i/>
          <w:iCs/>
          <w:color w:val="000000"/>
        </w:rPr>
        <w:t xml:space="preserve"> and Others v. Russia</w:t>
      </w:r>
      <w:r w:rsidRPr="007034B5">
        <w:rPr>
          <w:rFonts w:asciiTheme="majorHAnsi" w:hAnsiTheme="majorHAnsi" w:cstheme="majorHAnsi"/>
          <w:color w:val="000000"/>
        </w:rPr>
        <w:t xml:space="preserve"> (no. </w:t>
      </w:r>
      <w:r w:rsidRPr="007034B5">
        <w:rPr>
          <w:rFonts w:asciiTheme="majorHAnsi" w:hAnsiTheme="majorHAnsi" w:cstheme="majorHAnsi"/>
        </w:rPr>
        <w:t>11751/03</w:t>
      </w:r>
      <w:r w:rsidRPr="007034B5">
        <w:rPr>
          <w:rFonts w:asciiTheme="majorHAnsi" w:hAnsiTheme="majorHAnsi" w:cstheme="majorHAnsi"/>
          <w:color w:val="000000"/>
        </w:rPr>
        <w:t>, § 39, 8 October 2009) concerning a court</w:t>
      </w:r>
      <w:r w:rsidRPr="007034B5" w:rsidR="007034B5">
        <w:rPr>
          <w:rFonts w:asciiTheme="majorHAnsi" w:hAnsiTheme="majorHAnsi" w:cstheme="majorHAnsi"/>
          <w:color w:val="000000"/>
        </w:rPr>
        <w:t>’</w:t>
      </w:r>
      <w:r w:rsidRPr="007034B5">
        <w:rPr>
          <w:rFonts w:asciiTheme="majorHAnsi" w:hAnsiTheme="majorHAnsi" w:cstheme="majorHAnsi"/>
          <w:color w:val="000000"/>
        </w:rPr>
        <w:t xml:space="preserve">s management department, which was a public body, the Court acknowledged “that there may be sound policy reasons to decide that public bodies should not have </w:t>
      </w:r>
      <w:r w:rsidRPr="007034B5">
        <w:rPr>
          <w:rFonts w:asciiTheme="majorHAnsi" w:hAnsiTheme="majorHAnsi" w:cstheme="majorHAnsi"/>
          <w:color w:val="000000"/>
        </w:rPr>
        <w:t>standing</w:t>
      </w:r>
      <w:r w:rsidRPr="007034B5">
        <w:rPr>
          <w:rFonts w:asciiTheme="majorHAnsi" w:hAnsiTheme="majorHAnsi" w:cstheme="majorHAnsi"/>
          <w:color w:val="000000"/>
        </w:rPr>
        <w:t xml:space="preserve"> to sue in defamation in their own capacity.</w:t>
      </w:r>
    </w:p>
    <w:p w:rsidRPr="007034B5" w:rsidR="00305EE3" w:rsidP="007034B5" w14:paraId="245EE051" w14:textId="39D5B85B">
      <w:pPr>
        <w:pStyle w:val="JuPara"/>
        <w:rPr>
          <w:rFonts w:asciiTheme="majorHAnsi" w:hAnsiTheme="majorHAnsi" w:cstheme="majorHAnsi"/>
          <w:color w:val="000000"/>
        </w:rPr>
      </w:pPr>
      <w:r w:rsidRPr="007034B5">
        <w:rPr>
          <w:rFonts w:asciiTheme="majorHAnsi" w:hAnsiTheme="majorHAnsi" w:cstheme="majorHAnsi"/>
          <w:color w:val="000000"/>
        </w:rPr>
        <w:fldChar w:fldCharType="begin"/>
      </w:r>
      <w:r w:rsidRPr="007034B5">
        <w:rPr>
          <w:rFonts w:asciiTheme="majorHAnsi" w:hAnsiTheme="majorHAnsi" w:cstheme="majorHAnsi"/>
          <w:color w:val="000000"/>
        </w:rPr>
        <w:instrText xml:space="preserve"> SEQ level0 \*arabic \* MERGEFORMAT </w:instrText>
      </w:r>
      <w:r w:rsidRPr="007034B5">
        <w:rPr>
          <w:rFonts w:asciiTheme="majorHAnsi" w:hAnsiTheme="majorHAnsi" w:cstheme="majorHAnsi"/>
          <w:color w:val="000000"/>
        </w:rPr>
        <w:fldChar w:fldCharType="separate"/>
      </w:r>
      <w:r w:rsidRPr="007034B5" w:rsidR="007034B5">
        <w:rPr>
          <w:rFonts w:asciiTheme="majorHAnsi" w:hAnsiTheme="majorHAnsi" w:cstheme="majorHAnsi"/>
          <w:noProof/>
          <w:color w:val="000000"/>
        </w:rPr>
        <w:t>35</w:t>
      </w:r>
      <w:r w:rsidRPr="007034B5">
        <w:rPr>
          <w:rFonts w:asciiTheme="majorHAnsi" w:hAnsiTheme="majorHAnsi" w:cstheme="majorHAnsi"/>
          <w:color w:val="000000"/>
        </w:rPr>
        <w:fldChar w:fldCharType="end"/>
      </w:r>
      <w:r w:rsidRPr="007034B5">
        <w:rPr>
          <w:rFonts w:asciiTheme="majorHAnsi" w:hAnsiTheme="majorHAnsi" w:cstheme="majorHAnsi"/>
          <w:color w:val="000000"/>
        </w:rPr>
        <w:t xml:space="preserve">.  Where there is no dispute between the parties regarding the existence of a legitimate aim, the Court has focused on assessing the proportionality of an interference when examining complaints under Article 10 stemming from defamation proceedings brought by a municipal council (see </w:t>
      </w:r>
      <w:bookmarkStart w:name="_cl34196" w:id="7"/>
      <w:r w:rsidRPr="007034B5">
        <w:rPr>
          <w:i/>
          <w:iCs/>
        </w:rPr>
        <w:t>Pinto Pinheiro Marques v. Portugal</w:t>
      </w:r>
      <w:bookmarkEnd w:id="7"/>
      <w:r w:rsidRPr="007034B5">
        <w:t xml:space="preserve">, no. 26671/09, </w:t>
      </w:r>
      <w:r w:rsidRPr="007034B5">
        <w:rPr>
          <w:rFonts w:cstheme="minorHAnsi"/>
        </w:rPr>
        <w:t>§§</w:t>
      </w:r>
      <w:r w:rsidRPr="007034B5">
        <w:t xml:space="preserve"> 39-47, 22 January 2015), by a </w:t>
      </w:r>
      <w:r w:rsidRPr="007034B5">
        <w:rPr>
          <w:rFonts w:asciiTheme="majorHAnsi" w:hAnsiTheme="majorHAnsi" w:cstheme="majorHAnsi"/>
        </w:rPr>
        <w:t xml:space="preserve">remand </w:t>
      </w:r>
      <w:r w:rsidRPr="007034B5">
        <w:rPr>
          <w:rFonts w:asciiTheme="majorHAnsi" w:hAnsiTheme="majorHAnsi" w:cstheme="majorHAnsi"/>
          <w:color w:val="000000"/>
        </w:rPr>
        <w:t>prison and two of its officers (see </w:t>
      </w:r>
      <w:r w:rsidRPr="007034B5">
        <w:rPr>
          <w:rFonts w:asciiTheme="majorHAnsi" w:hAnsiTheme="majorHAnsi" w:cstheme="majorHAnsi"/>
          <w:i/>
          <w:iCs/>
          <w:color w:val="000000"/>
        </w:rPr>
        <w:t>Reznik v. Russia</w:t>
      </w:r>
      <w:r w:rsidRPr="007034B5">
        <w:rPr>
          <w:rFonts w:asciiTheme="majorHAnsi" w:hAnsiTheme="majorHAnsi" w:cstheme="majorHAnsi"/>
          <w:color w:val="000000"/>
        </w:rPr>
        <w:t>, no. 4977/05, §§</w:t>
      </w:r>
      <w:r w:rsidRPr="007034B5" w:rsidR="009434E6">
        <w:rPr>
          <w:rFonts w:asciiTheme="majorHAnsi" w:hAnsiTheme="majorHAnsi" w:cstheme="majorHAnsi"/>
          <w:color w:val="000000"/>
        </w:rPr>
        <w:t> </w:t>
      </w:r>
      <w:r w:rsidRPr="007034B5">
        <w:rPr>
          <w:rFonts w:asciiTheme="majorHAnsi" w:hAnsiTheme="majorHAnsi" w:cstheme="majorHAnsi"/>
          <w:color w:val="000000"/>
        </w:rPr>
        <w:t>41-51, 4</w:t>
      </w:r>
      <w:r w:rsidRPr="007034B5" w:rsidR="00E66FC9">
        <w:rPr>
          <w:rFonts w:asciiTheme="majorHAnsi" w:hAnsiTheme="majorHAnsi" w:cstheme="majorHAnsi"/>
          <w:color w:val="000000"/>
        </w:rPr>
        <w:t> </w:t>
      </w:r>
      <w:r w:rsidRPr="007034B5">
        <w:rPr>
          <w:rFonts w:asciiTheme="majorHAnsi" w:hAnsiTheme="majorHAnsi" w:cstheme="majorHAnsi"/>
          <w:color w:val="000000"/>
        </w:rPr>
        <w:t>April 2013), by the Chief Military Prosecutor</w:t>
      </w:r>
      <w:r w:rsidRPr="007034B5" w:rsidR="007034B5">
        <w:rPr>
          <w:rFonts w:asciiTheme="majorHAnsi" w:hAnsiTheme="majorHAnsi" w:cstheme="majorHAnsi"/>
          <w:color w:val="000000"/>
        </w:rPr>
        <w:t>’</w:t>
      </w:r>
      <w:r w:rsidRPr="007034B5">
        <w:rPr>
          <w:rFonts w:asciiTheme="majorHAnsi" w:hAnsiTheme="majorHAnsi" w:cstheme="majorHAnsi"/>
          <w:color w:val="000000"/>
        </w:rPr>
        <w:t>s Office of Russia (see </w:t>
      </w:r>
      <w:r w:rsidRPr="007034B5">
        <w:rPr>
          <w:rFonts w:asciiTheme="majorHAnsi" w:hAnsiTheme="majorHAnsi" w:cstheme="majorHAnsi"/>
          <w:i/>
          <w:iCs/>
          <w:color w:val="000000"/>
        </w:rPr>
        <w:t xml:space="preserve">Novaya Gazeta and </w:t>
      </w:r>
      <w:r w:rsidRPr="007034B5">
        <w:rPr>
          <w:rFonts w:asciiTheme="majorHAnsi" w:hAnsiTheme="majorHAnsi" w:cstheme="majorHAnsi"/>
          <w:i/>
          <w:iCs/>
          <w:color w:val="000000"/>
        </w:rPr>
        <w:t>Milashina</w:t>
      </w:r>
      <w:r w:rsidRPr="007034B5">
        <w:rPr>
          <w:rFonts w:asciiTheme="majorHAnsi" w:hAnsiTheme="majorHAnsi" w:cstheme="majorHAnsi"/>
          <w:i/>
          <w:iCs/>
          <w:color w:val="000000"/>
        </w:rPr>
        <w:t xml:space="preserve"> v. Russia</w:t>
      </w:r>
      <w:r w:rsidRPr="007034B5">
        <w:rPr>
          <w:rFonts w:asciiTheme="majorHAnsi" w:hAnsiTheme="majorHAnsi" w:cstheme="majorHAnsi"/>
          <w:color w:val="000000"/>
        </w:rPr>
        <w:t xml:space="preserve">, no. 45083/06, § 62, 3 October 2017), by the electoral commission and the executive body of a constituent entity of the Russian Federation and a regional branch of the United Russia party (see </w:t>
      </w:r>
      <w:r w:rsidRPr="007034B5">
        <w:rPr>
          <w:rFonts w:asciiTheme="majorHAnsi" w:hAnsiTheme="majorHAnsi" w:cstheme="majorHAnsi"/>
          <w:i/>
          <w:iCs/>
          <w:color w:val="000000"/>
        </w:rPr>
        <w:t>Ostanina</w:t>
      </w:r>
      <w:r w:rsidRPr="007034B5">
        <w:rPr>
          <w:rFonts w:asciiTheme="majorHAnsi" w:hAnsiTheme="majorHAnsi" w:cstheme="majorHAnsi"/>
          <w:i/>
          <w:iCs/>
          <w:color w:val="000000"/>
        </w:rPr>
        <w:t xml:space="preserve"> v. Russia</w:t>
      </w:r>
      <w:r w:rsidRPr="007034B5">
        <w:rPr>
          <w:rFonts w:asciiTheme="majorHAnsi" w:hAnsiTheme="majorHAnsi" w:cstheme="majorHAnsi"/>
          <w:color w:val="000000"/>
        </w:rPr>
        <w:t>, no. </w:t>
      </w:r>
      <w:r w:rsidRPr="007034B5">
        <w:rPr>
          <w:rFonts w:asciiTheme="majorHAnsi" w:hAnsiTheme="majorHAnsi" w:cstheme="majorHAnsi"/>
        </w:rPr>
        <w:t>22169/11</w:t>
      </w:r>
      <w:r w:rsidRPr="007034B5">
        <w:rPr>
          <w:rFonts w:asciiTheme="majorHAnsi" w:hAnsiTheme="majorHAnsi" w:cstheme="majorHAnsi"/>
          <w:color w:val="000000"/>
        </w:rPr>
        <w:t>, 17 April 2018), and by the executive body of a constituent entity of the Russian Federation (see</w:t>
      </w:r>
      <w:r w:rsidRPr="007034B5">
        <w:rPr>
          <w:rFonts w:asciiTheme="majorHAnsi" w:hAnsiTheme="majorHAnsi" w:cstheme="majorHAnsi"/>
          <w:i/>
          <w:iCs/>
          <w:color w:val="000000"/>
        </w:rPr>
        <w:t> </w:t>
      </w:r>
      <w:r w:rsidRPr="007034B5">
        <w:rPr>
          <w:rFonts w:asciiTheme="majorHAnsi" w:hAnsiTheme="majorHAnsi" w:cstheme="majorHAnsi"/>
          <w:i/>
          <w:iCs/>
          <w:color w:val="000000"/>
        </w:rPr>
        <w:t>Margulev</w:t>
      </w:r>
      <w:r w:rsidRPr="007034B5">
        <w:rPr>
          <w:rFonts w:asciiTheme="majorHAnsi" w:hAnsiTheme="majorHAnsi" w:cstheme="majorHAnsi"/>
          <w:i/>
          <w:iCs/>
          <w:color w:val="000000"/>
        </w:rPr>
        <w:t xml:space="preserve"> v. Russia</w:t>
      </w:r>
      <w:r w:rsidRPr="007034B5">
        <w:rPr>
          <w:rFonts w:asciiTheme="majorHAnsi" w:hAnsiTheme="majorHAnsi" w:cstheme="majorHAnsi"/>
          <w:color w:val="000000"/>
        </w:rPr>
        <w:t>, no. </w:t>
      </w:r>
      <w:r w:rsidRPr="007034B5">
        <w:rPr>
          <w:rFonts w:asciiTheme="majorHAnsi" w:hAnsiTheme="majorHAnsi" w:cstheme="majorHAnsi"/>
        </w:rPr>
        <w:t>15449/09</w:t>
      </w:r>
      <w:r w:rsidRPr="007034B5">
        <w:rPr>
          <w:rFonts w:asciiTheme="majorHAnsi" w:hAnsiTheme="majorHAnsi" w:cstheme="majorHAnsi"/>
          <w:color w:val="000000"/>
        </w:rPr>
        <w:t>, § 45, 8 October 2019,</w:t>
      </w:r>
      <w:r w:rsidRPr="007034B5">
        <w:t xml:space="preserve"> and </w:t>
      </w:r>
      <w:r w:rsidRPr="007034B5">
        <w:rPr>
          <w:i/>
        </w:rPr>
        <w:t>Kommersant</w:t>
      </w:r>
      <w:r w:rsidRPr="007034B5">
        <w:rPr>
          <w:i/>
        </w:rPr>
        <w:t xml:space="preserve"> and Others v. Russia</w:t>
      </w:r>
      <w:r w:rsidRPr="007034B5">
        <w:t xml:space="preserve"> [Committee], nos. 37482/10 and 37486/10, 23 June 2020</w:t>
      </w:r>
      <w:r w:rsidRPr="007034B5">
        <w:rPr>
          <w:rFonts w:asciiTheme="majorHAnsi" w:hAnsiTheme="majorHAnsi" w:cstheme="majorHAnsi"/>
          <w:color w:val="000000"/>
        </w:rPr>
        <w:t>).</w:t>
      </w:r>
    </w:p>
    <w:p w:rsidRPr="007034B5" w:rsidR="00305EE3" w:rsidP="007034B5" w14:paraId="66D056E5" w14:textId="594C6B3A">
      <w:pPr>
        <w:pStyle w:val="JuPara"/>
      </w:pPr>
      <w:r>
        <w:fldChar w:fldCharType="begin"/>
      </w:r>
      <w:r>
        <w:instrText xml:space="preserve"> SEQ level0 \*arabic \* MERGEFORMAT </w:instrText>
      </w:r>
      <w:r>
        <w:fldChar w:fldCharType="separate"/>
      </w:r>
      <w:r w:rsidRPr="007034B5" w:rsidR="007034B5">
        <w:rPr>
          <w:noProof/>
        </w:rPr>
        <w:t>36</w:t>
      </w:r>
      <w:r w:rsidRPr="007034B5" w:rsidR="007034B5">
        <w:rPr>
          <w:noProof/>
        </w:rPr>
        <w:fldChar w:fldCharType="end"/>
      </w:r>
      <w:r w:rsidRPr="007034B5">
        <w:t xml:space="preserve">.  In the case of </w:t>
      </w:r>
      <w:bookmarkStart w:name="_cl41469" w:id="8"/>
      <w:r w:rsidRPr="007034B5">
        <w:rPr>
          <w:i/>
          <w:iCs/>
        </w:rPr>
        <w:t xml:space="preserve">OOO Memo </w:t>
      </w:r>
      <w:bookmarkEnd w:id="8"/>
      <w:r w:rsidRPr="007034B5">
        <w:t xml:space="preserve">(cited above, </w:t>
      </w:r>
      <w:r w:rsidRPr="007034B5">
        <w:rPr>
          <w:rFonts w:cstheme="minorHAnsi"/>
        </w:rPr>
        <w:t>§§</w:t>
      </w:r>
      <w:r w:rsidRPr="007034B5">
        <w:t xml:space="preserve"> 44 and 46) the Court considered that bodies of the executive vested with State powers were essentially different from legal entities, including public or State-owned corporations, engaged in competitive activities in the marketplace, in that the latter relied on their good reputation to attract customers with a view to making a profit and the former existed to serve the public and were funded by taxpayers. By virtue of its role in a democratic society, the interests of a body of the executive vested with State powers in maintaining a good reputation essentially differed from both the right to reputation of natural persons and the reputational interests of legal entities, private or public, which competed in the marketplace.</w:t>
      </w:r>
    </w:p>
    <w:p w:rsidRPr="007034B5" w:rsidR="00305EE3" w:rsidP="007034B5" w14:paraId="61A2765E" w14:textId="4BE386A5">
      <w:pPr>
        <w:pStyle w:val="JuPara"/>
        <w:rPr>
          <w:rFonts w:eastAsia="Times New Roman"/>
          <w:lang w:eastAsia="fr-FR"/>
        </w:rPr>
      </w:pPr>
      <w:r w:rsidRPr="007034B5">
        <w:rPr>
          <w:rFonts w:eastAsia="Times New Roman"/>
          <w:lang w:eastAsia="fr-FR"/>
        </w:rPr>
        <w:fldChar w:fldCharType="begin"/>
      </w:r>
      <w:r w:rsidRPr="007034B5">
        <w:rPr>
          <w:rFonts w:eastAsia="Times New Roman"/>
          <w:lang w:eastAsia="fr-FR"/>
        </w:rPr>
        <w:instrText xml:space="preserve"> SEQ level0 \*arabic \* MERGEFORMAT </w:instrText>
      </w:r>
      <w:r w:rsidRPr="007034B5">
        <w:rPr>
          <w:rFonts w:eastAsia="Times New Roman"/>
          <w:lang w:eastAsia="fr-FR"/>
        </w:rPr>
        <w:fldChar w:fldCharType="separate"/>
      </w:r>
      <w:r w:rsidRPr="007034B5" w:rsidR="007034B5">
        <w:rPr>
          <w:rFonts w:eastAsia="Times New Roman"/>
          <w:noProof/>
          <w:lang w:eastAsia="fr-FR"/>
        </w:rPr>
        <w:t>37</w:t>
      </w:r>
      <w:r w:rsidRPr="007034B5">
        <w:rPr>
          <w:rFonts w:eastAsia="Times New Roman"/>
          <w:lang w:eastAsia="fr-FR"/>
        </w:rPr>
        <w:fldChar w:fldCharType="end"/>
      </w:r>
      <w:r w:rsidRPr="007034B5">
        <w:rPr>
          <w:rFonts w:eastAsia="Times New Roman"/>
          <w:lang w:eastAsia="fr-FR"/>
        </w:rPr>
        <w:t>.  The Court thus held that civil defamation proceedings brought</w:t>
      </w:r>
      <w:r w:rsidRPr="007034B5">
        <w:rPr>
          <w:rFonts w:asciiTheme="majorHAnsi" w:hAnsiTheme="majorHAnsi" w:cstheme="majorHAnsi"/>
          <w:color w:val="000000"/>
        </w:rPr>
        <w:t xml:space="preserve"> by a legal entity that exercised public power could not, </w:t>
      </w:r>
      <w:r w:rsidRPr="007034B5">
        <w:rPr>
          <w:rFonts w:asciiTheme="majorHAnsi" w:hAnsiTheme="majorHAnsi" w:cstheme="majorHAnsi"/>
          <w:color w:val="000000"/>
        </w:rPr>
        <w:t>as a general rule</w:t>
      </w:r>
      <w:r w:rsidRPr="007034B5">
        <w:rPr>
          <w:rFonts w:asciiTheme="majorHAnsi" w:hAnsiTheme="majorHAnsi" w:cstheme="majorHAnsi"/>
          <w:color w:val="000000"/>
        </w:rPr>
        <w:t xml:space="preserve">, be regarded to be in pursuance of the legitimate aim of the “protection of the reputation ... of others” under Article 10 § 2 of the Convention. It nonetheless has not excluded the possibility that individual members of a public body, who could be “easily identifiable” in view of the limited number of its members and the nature of the allegations made against them, might be entitled to bring defamation proceedings individually in their own names (see </w:t>
      </w:r>
      <w:r w:rsidRPr="007034B5">
        <w:rPr>
          <w:rFonts w:eastAsia="Times New Roman"/>
          <w:i/>
          <w:iCs/>
          <w:lang w:eastAsia="fr-FR"/>
        </w:rPr>
        <w:t xml:space="preserve">OOO Memo, </w:t>
      </w:r>
      <w:r w:rsidRPr="007034B5">
        <w:rPr>
          <w:rFonts w:eastAsia="Times New Roman"/>
          <w:lang w:eastAsia="fr-FR"/>
        </w:rPr>
        <w:t xml:space="preserve">cited above, § </w:t>
      </w:r>
      <w:r w:rsidRPr="007034B5">
        <w:t>47</w:t>
      </w:r>
      <w:r w:rsidRPr="007034B5">
        <w:rPr>
          <w:rFonts w:eastAsia="Times New Roman"/>
          <w:lang w:eastAsia="fr-FR"/>
        </w:rPr>
        <w:t>).</w:t>
      </w:r>
    </w:p>
    <w:p w:rsidRPr="007034B5" w:rsidR="00305EE3" w:rsidP="007034B5" w14:paraId="30A3D28F" w14:textId="0C8302A1">
      <w:pPr>
        <w:pStyle w:val="JuPara"/>
        <w:rPr>
          <w:rFonts w:asciiTheme="majorHAnsi" w:hAnsiTheme="majorHAnsi" w:cstheme="majorHAnsi"/>
          <w:color w:val="000000"/>
        </w:rPr>
      </w:pPr>
      <w:r w:rsidRPr="007034B5">
        <w:rPr>
          <w:rFonts w:asciiTheme="majorHAnsi" w:hAnsiTheme="majorHAnsi" w:cstheme="majorHAnsi"/>
          <w:color w:val="000000"/>
        </w:rPr>
        <w:fldChar w:fldCharType="begin"/>
      </w:r>
      <w:r w:rsidRPr="007034B5">
        <w:rPr>
          <w:rFonts w:asciiTheme="majorHAnsi" w:hAnsiTheme="majorHAnsi" w:cstheme="majorHAnsi"/>
          <w:color w:val="000000"/>
        </w:rPr>
        <w:instrText xml:space="preserve"> SEQ level0 \*arabic \* MERGEFORMAT </w:instrText>
      </w:r>
      <w:r w:rsidRPr="007034B5">
        <w:rPr>
          <w:rFonts w:asciiTheme="majorHAnsi" w:hAnsiTheme="majorHAnsi" w:cstheme="majorHAnsi"/>
          <w:color w:val="000000"/>
        </w:rPr>
        <w:fldChar w:fldCharType="separate"/>
      </w:r>
      <w:r w:rsidRPr="007034B5" w:rsidR="007034B5">
        <w:rPr>
          <w:rFonts w:asciiTheme="majorHAnsi" w:hAnsiTheme="majorHAnsi" w:cstheme="majorHAnsi"/>
          <w:noProof/>
          <w:color w:val="000000"/>
        </w:rPr>
        <w:t>38</w:t>
      </w:r>
      <w:r w:rsidRPr="007034B5">
        <w:rPr>
          <w:rFonts w:asciiTheme="majorHAnsi" w:hAnsiTheme="majorHAnsi" w:cstheme="majorHAnsi"/>
          <w:color w:val="000000"/>
        </w:rPr>
        <w:fldChar w:fldCharType="end"/>
      </w:r>
      <w:r w:rsidRPr="007034B5">
        <w:rPr>
          <w:rFonts w:asciiTheme="majorHAnsi" w:hAnsiTheme="majorHAnsi" w:cstheme="majorHAnsi"/>
          <w:color w:val="000000"/>
        </w:rPr>
        <w:t>.</w:t>
      </w:r>
      <w:r w:rsidRPr="007034B5" w:rsidR="00F95B7A">
        <w:rPr>
          <w:rFonts w:asciiTheme="majorHAnsi" w:hAnsiTheme="majorHAnsi" w:cstheme="majorHAnsi"/>
          <w:color w:val="000000"/>
        </w:rPr>
        <w:t>  </w:t>
      </w:r>
      <w:r w:rsidRPr="007034B5">
        <w:rPr>
          <w:rFonts w:asciiTheme="majorHAnsi" w:hAnsiTheme="majorHAnsi" w:cstheme="majorHAnsi"/>
          <w:color w:val="000000"/>
        </w:rPr>
        <w:t>Based on the above considerations, the Court considers it apt to establish whether the interference complained of – namely, the civil claim concerning personality rights lodged by the Tata municipality and the Tata joint municipal office against the applicant, a private person, for sharing a Facebook post – was in pursuance of the legitimate aim of “the protection of the reputation ... of others” within the meaning of Article 10 § 2 of the Convention.</w:t>
      </w:r>
    </w:p>
    <w:p w:rsidRPr="007034B5" w:rsidR="00305EE3" w:rsidP="007034B5" w14:paraId="17D18CB2" w14:textId="5C5767AA">
      <w:pPr>
        <w:pStyle w:val="JuPara"/>
        <w:rPr>
          <w:rFonts w:ascii="Arial" w:hAnsi="Arial" w:cs="Arial"/>
        </w:rPr>
      </w:pPr>
      <w:r w:rsidRPr="007034B5">
        <w:rPr>
          <w:rFonts w:asciiTheme="majorHAnsi" w:hAnsiTheme="majorHAnsi" w:cstheme="majorHAnsi"/>
          <w:color w:val="000000"/>
        </w:rPr>
        <w:fldChar w:fldCharType="begin"/>
      </w:r>
      <w:r w:rsidRPr="007034B5">
        <w:rPr>
          <w:rFonts w:asciiTheme="majorHAnsi" w:hAnsiTheme="majorHAnsi" w:cstheme="majorHAnsi"/>
          <w:color w:val="000000"/>
        </w:rPr>
        <w:instrText xml:space="preserve"> SEQ level0 \*arabic \* MERGEFORMAT </w:instrText>
      </w:r>
      <w:r w:rsidRPr="007034B5">
        <w:rPr>
          <w:rFonts w:asciiTheme="majorHAnsi" w:hAnsiTheme="majorHAnsi" w:cstheme="majorHAnsi"/>
          <w:color w:val="000000"/>
        </w:rPr>
        <w:fldChar w:fldCharType="separate"/>
      </w:r>
      <w:r w:rsidRPr="007034B5" w:rsidR="007034B5">
        <w:rPr>
          <w:rFonts w:asciiTheme="majorHAnsi" w:hAnsiTheme="majorHAnsi" w:cstheme="majorHAnsi"/>
          <w:noProof/>
          <w:color w:val="000000"/>
        </w:rPr>
        <w:t>39</w:t>
      </w:r>
      <w:r w:rsidRPr="007034B5">
        <w:rPr>
          <w:rFonts w:asciiTheme="majorHAnsi" w:hAnsiTheme="majorHAnsi" w:cstheme="majorHAnsi"/>
          <w:color w:val="000000"/>
        </w:rPr>
        <w:fldChar w:fldCharType="end"/>
      </w:r>
      <w:r w:rsidRPr="007034B5">
        <w:rPr>
          <w:rFonts w:asciiTheme="majorHAnsi" w:hAnsiTheme="majorHAnsi" w:cstheme="majorHAnsi"/>
          <w:color w:val="000000"/>
        </w:rPr>
        <w:t xml:space="preserve">.  The Court notes the reasoning of the Tata High Court, drawing attention to the case-law of the Constitutional Court according to which </w:t>
      </w:r>
      <w:r w:rsidRPr="007034B5">
        <w:rPr>
          <w:rFonts w:asciiTheme="majorHAnsi" w:hAnsiTheme="majorHAnsi" w:cstheme="majorHAnsi"/>
          <w:color w:val="000000"/>
        </w:rPr>
        <w:t>public bodies did not have fundamental rights. However, in the understanding of the High Court, that principle was irrelevant for the circumstances of the applicant</w:t>
      </w:r>
      <w:r w:rsidRPr="007034B5" w:rsidR="007034B5">
        <w:rPr>
          <w:rFonts w:asciiTheme="majorHAnsi" w:hAnsiTheme="majorHAnsi" w:cstheme="majorHAnsi"/>
          <w:color w:val="000000"/>
        </w:rPr>
        <w:t>’</w:t>
      </w:r>
      <w:r w:rsidRPr="007034B5">
        <w:rPr>
          <w:rFonts w:asciiTheme="majorHAnsi" w:hAnsiTheme="majorHAnsi" w:cstheme="majorHAnsi"/>
          <w:color w:val="000000"/>
        </w:rPr>
        <w:t>s case, because the plaintiffs had not been exercising their public power but rather their right to property.</w:t>
      </w:r>
    </w:p>
    <w:p w:rsidRPr="007034B5" w:rsidR="00305EE3" w:rsidP="007034B5" w14:paraId="5D0F4CD9" w14:textId="7B5A9309">
      <w:pPr>
        <w:pStyle w:val="JuPara"/>
        <w:rPr>
          <w:rFonts w:eastAsia="Times New Roman" w:asciiTheme="majorHAnsi" w:hAnsiTheme="majorHAnsi" w:cstheme="majorHAnsi"/>
          <w:lang w:eastAsia="fr-FR"/>
        </w:rPr>
      </w:pPr>
      <w:r w:rsidRPr="007034B5">
        <w:rPr>
          <w:rFonts w:eastAsia="Times New Roman" w:asciiTheme="majorHAnsi" w:hAnsiTheme="majorHAnsi" w:cstheme="majorHAnsi"/>
          <w:lang w:eastAsia="fr-FR"/>
        </w:rPr>
        <w:fldChar w:fldCharType="begin"/>
      </w:r>
      <w:r w:rsidRPr="007034B5">
        <w:rPr>
          <w:rFonts w:eastAsia="Times New Roman" w:asciiTheme="majorHAnsi" w:hAnsiTheme="majorHAnsi" w:cstheme="majorHAnsi"/>
          <w:lang w:eastAsia="fr-FR"/>
        </w:rPr>
        <w:instrText xml:space="preserve"> SEQ level0 \*arabic \* MERGEFORMAT </w:instrText>
      </w:r>
      <w:r w:rsidRPr="007034B5">
        <w:rPr>
          <w:rFonts w:eastAsia="Times New Roman" w:asciiTheme="majorHAnsi" w:hAnsiTheme="majorHAnsi" w:cstheme="majorHAnsi"/>
          <w:lang w:eastAsia="fr-FR"/>
        </w:rPr>
        <w:fldChar w:fldCharType="separate"/>
      </w:r>
      <w:r w:rsidRPr="007034B5" w:rsidR="007034B5">
        <w:rPr>
          <w:rFonts w:eastAsia="Times New Roman" w:asciiTheme="majorHAnsi" w:hAnsiTheme="majorHAnsi" w:cstheme="majorHAnsi"/>
          <w:noProof/>
          <w:lang w:eastAsia="fr-FR"/>
        </w:rPr>
        <w:t>40</w:t>
      </w:r>
      <w:r w:rsidRPr="007034B5">
        <w:rPr>
          <w:rFonts w:eastAsia="Times New Roman" w:asciiTheme="majorHAnsi" w:hAnsiTheme="majorHAnsi" w:cstheme="majorHAnsi"/>
          <w:lang w:eastAsia="fr-FR"/>
        </w:rPr>
        <w:fldChar w:fldCharType="end"/>
      </w:r>
      <w:r w:rsidRPr="007034B5">
        <w:rPr>
          <w:rFonts w:eastAsia="Times New Roman" w:asciiTheme="majorHAnsi" w:hAnsiTheme="majorHAnsi" w:cstheme="majorHAnsi"/>
          <w:lang w:eastAsia="fr-FR"/>
        </w:rPr>
        <w:t xml:space="preserve">.  The Court notes that </w:t>
      </w:r>
      <w:r w:rsidRPr="007034B5">
        <w:t>the statement for which the applicant was held liable had targeted the behaviour of the municipal administration. The</w:t>
      </w:r>
      <w:r w:rsidRPr="007034B5">
        <w:rPr>
          <w:rFonts w:eastAsia="Times New Roman" w:asciiTheme="majorHAnsi" w:hAnsiTheme="majorHAnsi" w:cstheme="majorHAnsi"/>
          <w:lang w:eastAsia="fr-FR"/>
        </w:rPr>
        <w:t xml:space="preserve"> plaintiffs in the domestic proceedings were the Tata municipality and the Tata joint municipal office.</w:t>
      </w:r>
    </w:p>
    <w:p w:rsidRPr="007034B5" w:rsidR="00305EE3" w:rsidP="007034B5" w14:paraId="2F0405E9" w14:textId="178B3D87">
      <w:pPr>
        <w:pStyle w:val="JuPara"/>
        <w:rPr>
          <w:rFonts w:asciiTheme="majorHAnsi" w:hAnsiTheme="majorHAnsi" w:cstheme="majorHAnsi"/>
          <w:color w:val="000000"/>
        </w:rPr>
      </w:pPr>
      <w:r w:rsidRPr="007034B5">
        <w:rPr>
          <w:rFonts w:eastAsia="Times New Roman" w:asciiTheme="majorHAnsi" w:hAnsiTheme="majorHAnsi" w:cstheme="majorHAnsi"/>
          <w:lang w:eastAsia="fr-FR"/>
        </w:rPr>
        <w:fldChar w:fldCharType="begin"/>
      </w:r>
      <w:r w:rsidRPr="007034B5">
        <w:rPr>
          <w:rFonts w:eastAsia="Times New Roman" w:asciiTheme="majorHAnsi" w:hAnsiTheme="majorHAnsi" w:cstheme="majorHAnsi"/>
          <w:lang w:eastAsia="fr-FR"/>
        </w:rPr>
        <w:instrText xml:space="preserve"> SEQ level0 \*arabic \* MERGEFORMAT </w:instrText>
      </w:r>
      <w:r w:rsidRPr="007034B5">
        <w:rPr>
          <w:rFonts w:eastAsia="Times New Roman" w:asciiTheme="majorHAnsi" w:hAnsiTheme="majorHAnsi" w:cstheme="majorHAnsi"/>
          <w:lang w:eastAsia="fr-FR"/>
        </w:rPr>
        <w:fldChar w:fldCharType="separate"/>
      </w:r>
      <w:r w:rsidRPr="007034B5" w:rsidR="007034B5">
        <w:rPr>
          <w:rFonts w:eastAsia="Times New Roman" w:asciiTheme="majorHAnsi" w:hAnsiTheme="majorHAnsi" w:cstheme="majorHAnsi"/>
          <w:noProof/>
          <w:lang w:eastAsia="fr-FR"/>
        </w:rPr>
        <w:t>41</w:t>
      </w:r>
      <w:r w:rsidRPr="007034B5">
        <w:rPr>
          <w:rFonts w:eastAsia="Times New Roman" w:asciiTheme="majorHAnsi" w:hAnsiTheme="majorHAnsi" w:cstheme="majorHAnsi"/>
          <w:lang w:eastAsia="fr-FR"/>
        </w:rPr>
        <w:fldChar w:fldCharType="end"/>
      </w:r>
      <w:r w:rsidRPr="007034B5">
        <w:rPr>
          <w:rFonts w:eastAsia="Times New Roman" w:asciiTheme="majorHAnsi" w:hAnsiTheme="majorHAnsi" w:cstheme="majorHAnsi"/>
          <w:lang w:eastAsia="fr-FR"/>
        </w:rPr>
        <w:t xml:space="preserve">.  The contested sale did not concern privately owned property or direct economic activities, but the management of municipally owned property and the use of public funds. Notwithstanding the reasoning of the domestic courts, the Court is not convinced that the municipality had an “interest in protecting its commercial success and viability”, whether for </w:t>
      </w:r>
      <w:r w:rsidRPr="007034B5">
        <w:rPr>
          <w:rFonts w:asciiTheme="majorHAnsi" w:hAnsiTheme="majorHAnsi" w:cstheme="majorHAnsi"/>
          <w:color w:val="000000"/>
        </w:rPr>
        <w:t>“the benefit of shareholders and employees” or “for the wider economic good” (see </w:t>
      </w:r>
      <w:r w:rsidRPr="007034B5">
        <w:rPr>
          <w:rFonts w:asciiTheme="majorHAnsi" w:hAnsiTheme="majorHAnsi" w:cstheme="majorHAnsi"/>
          <w:i/>
          <w:iCs/>
          <w:color w:val="000000"/>
        </w:rPr>
        <w:t>Steel and Morris</w:t>
      </w:r>
      <w:r w:rsidRPr="007034B5">
        <w:rPr>
          <w:rFonts w:asciiTheme="majorHAnsi" w:hAnsiTheme="majorHAnsi" w:cstheme="majorHAnsi"/>
          <w:color w:val="000000"/>
        </w:rPr>
        <w:t xml:space="preserve">, cited above, § 94; compare </w:t>
      </w:r>
      <w:r w:rsidRPr="007034B5">
        <w:rPr>
          <w:rFonts w:asciiTheme="majorHAnsi" w:hAnsiTheme="majorHAnsi" w:cstheme="majorHAnsi"/>
          <w:i/>
          <w:iCs/>
          <w:color w:val="000000"/>
        </w:rPr>
        <w:t>OOO Memo</w:t>
      </w:r>
      <w:r w:rsidRPr="007034B5">
        <w:rPr>
          <w:rFonts w:asciiTheme="majorHAnsi" w:hAnsiTheme="majorHAnsi" w:cstheme="majorHAnsi"/>
          <w:color w:val="000000"/>
        </w:rPr>
        <w:t>, cited above, § 48), that would warrant legal protection. It was not a competitive actor in the immovable property market seeking to maximise their profits by attracting customers. Even in the exercise of their right to property, it was supposed to serve the public and was funded by taxpayers.</w:t>
      </w:r>
    </w:p>
    <w:p w:rsidRPr="007034B5" w:rsidR="00305EE3" w:rsidP="007034B5" w14:paraId="486396C2" w14:textId="58E74911">
      <w:pPr>
        <w:pStyle w:val="JuPara"/>
        <w:rPr>
          <w:rFonts w:asciiTheme="majorHAnsi" w:hAnsiTheme="majorHAnsi" w:cstheme="majorHAnsi"/>
        </w:rPr>
      </w:pPr>
      <w:r w:rsidRPr="007034B5">
        <w:rPr>
          <w:rFonts w:asciiTheme="majorHAnsi" w:hAnsiTheme="majorHAnsi" w:cstheme="majorHAnsi"/>
          <w:color w:val="000000"/>
        </w:rPr>
        <w:fldChar w:fldCharType="begin"/>
      </w:r>
      <w:r w:rsidRPr="007034B5">
        <w:rPr>
          <w:rFonts w:asciiTheme="majorHAnsi" w:hAnsiTheme="majorHAnsi" w:cstheme="majorHAnsi"/>
          <w:color w:val="000000"/>
        </w:rPr>
        <w:instrText xml:space="preserve"> SEQ level0 \*arabic \* MERGEFORMAT </w:instrText>
      </w:r>
      <w:r w:rsidRPr="007034B5">
        <w:rPr>
          <w:rFonts w:asciiTheme="majorHAnsi" w:hAnsiTheme="majorHAnsi" w:cstheme="majorHAnsi"/>
          <w:color w:val="000000"/>
        </w:rPr>
        <w:fldChar w:fldCharType="separate"/>
      </w:r>
      <w:r w:rsidRPr="007034B5" w:rsidR="007034B5">
        <w:rPr>
          <w:rFonts w:asciiTheme="majorHAnsi" w:hAnsiTheme="majorHAnsi" w:cstheme="majorHAnsi"/>
          <w:noProof/>
          <w:color w:val="000000"/>
        </w:rPr>
        <w:t>42</w:t>
      </w:r>
      <w:r w:rsidRPr="007034B5">
        <w:rPr>
          <w:rFonts w:asciiTheme="majorHAnsi" w:hAnsiTheme="majorHAnsi" w:cstheme="majorHAnsi"/>
          <w:color w:val="000000"/>
        </w:rPr>
        <w:fldChar w:fldCharType="end"/>
      </w:r>
      <w:r w:rsidRPr="007034B5">
        <w:rPr>
          <w:rFonts w:asciiTheme="majorHAnsi" w:hAnsiTheme="majorHAnsi" w:cstheme="majorHAnsi"/>
          <w:color w:val="000000"/>
        </w:rPr>
        <w:t>.  Nor could it be said that its members were “easily identifiable” (</w:t>
      </w:r>
      <w:r w:rsidRPr="007034B5">
        <w:rPr>
          <w:rFonts w:asciiTheme="majorHAnsi" w:hAnsiTheme="majorHAnsi" w:cstheme="majorHAnsi"/>
          <w:color w:val="000000"/>
        </w:rPr>
        <w:t>compare and contrast</w:t>
      </w:r>
      <w:r w:rsidRPr="007034B5">
        <w:rPr>
          <w:rFonts w:asciiTheme="majorHAnsi" w:hAnsiTheme="majorHAnsi" w:cstheme="majorHAnsi"/>
          <w:color w:val="000000"/>
        </w:rPr>
        <w:t> </w:t>
      </w:r>
      <w:bookmarkStart w:name="_cl37802" w:id="9"/>
      <w:r w:rsidRPr="007034B5">
        <w:rPr>
          <w:rFonts w:asciiTheme="majorHAnsi" w:hAnsiTheme="majorHAnsi" w:cstheme="majorHAnsi"/>
          <w:i/>
          <w:iCs/>
        </w:rPr>
        <w:t>Thoma</w:t>
      </w:r>
      <w:r w:rsidRPr="007034B5">
        <w:rPr>
          <w:rFonts w:asciiTheme="majorHAnsi" w:hAnsiTheme="majorHAnsi" w:cstheme="majorHAnsi"/>
          <w:i/>
          <w:iCs/>
        </w:rPr>
        <w:t xml:space="preserve"> v. Luxembourg</w:t>
      </w:r>
      <w:bookmarkEnd w:id="9"/>
      <w:r w:rsidRPr="007034B5">
        <w:rPr>
          <w:rFonts w:asciiTheme="majorHAnsi" w:hAnsiTheme="majorHAnsi" w:cstheme="majorHAnsi"/>
        </w:rPr>
        <w:t xml:space="preserve">, no. 38432/97, § 56, ECHR 2001-III and </w:t>
      </w:r>
      <w:bookmarkStart w:name="_cl28700" w:id="10"/>
      <w:r w:rsidRPr="007034B5">
        <w:rPr>
          <w:rFonts w:asciiTheme="majorHAnsi" w:hAnsiTheme="majorHAnsi" w:cstheme="majorHAnsi"/>
          <w:i/>
          <w:iCs/>
        </w:rPr>
        <w:t>Kaperzyński</w:t>
      </w:r>
      <w:r w:rsidRPr="007034B5">
        <w:rPr>
          <w:rFonts w:asciiTheme="majorHAnsi" w:hAnsiTheme="majorHAnsi" w:cstheme="majorHAnsi"/>
          <w:i/>
          <w:iCs/>
        </w:rPr>
        <w:t xml:space="preserve"> v. Poland</w:t>
      </w:r>
      <w:bookmarkEnd w:id="10"/>
      <w:r w:rsidRPr="007034B5">
        <w:rPr>
          <w:rFonts w:asciiTheme="majorHAnsi" w:hAnsiTheme="majorHAnsi" w:cstheme="majorHAnsi"/>
        </w:rPr>
        <w:t>, no. 43206/07, § 61, 3 April 2012</w:t>
      </w:r>
      <w:r w:rsidRPr="007034B5">
        <w:t xml:space="preserve">) </w:t>
      </w:r>
      <w:r w:rsidRPr="007034B5">
        <w:rPr>
          <w:rFonts w:asciiTheme="majorHAnsi" w:hAnsiTheme="majorHAnsi" w:cstheme="majorHAnsi"/>
          <w:color w:val="000000"/>
        </w:rPr>
        <w:t>given that neither the original post shared by the applicant nor her own comment concerned alleged wrong-doing by any identified or identifiable employees. In any event, the defamation case was brought by the legal entities as such, not any by their individual members.</w:t>
      </w:r>
    </w:p>
    <w:p w:rsidRPr="007034B5" w:rsidR="00305EE3" w:rsidP="007034B5" w14:paraId="2F9B6586" w14:textId="2811ED18">
      <w:pPr>
        <w:pStyle w:val="JuPara"/>
        <w:rPr>
          <w:rFonts w:asciiTheme="majorHAnsi" w:hAnsiTheme="majorHAnsi" w:cstheme="majorHAnsi"/>
        </w:rPr>
      </w:pPr>
      <w:r w:rsidRPr="007034B5">
        <w:rPr>
          <w:rFonts w:asciiTheme="majorHAnsi" w:hAnsiTheme="majorHAnsi" w:cstheme="majorHAnsi"/>
          <w:color w:val="000000"/>
        </w:rPr>
        <w:fldChar w:fldCharType="begin"/>
      </w:r>
      <w:r w:rsidRPr="007034B5">
        <w:rPr>
          <w:rFonts w:asciiTheme="majorHAnsi" w:hAnsiTheme="majorHAnsi" w:cstheme="majorHAnsi"/>
          <w:color w:val="000000"/>
        </w:rPr>
        <w:instrText xml:space="preserve"> SEQ level0 \*arabic \* MERGEFORMAT </w:instrText>
      </w:r>
      <w:r w:rsidRPr="007034B5">
        <w:rPr>
          <w:rFonts w:asciiTheme="majorHAnsi" w:hAnsiTheme="majorHAnsi" w:cstheme="majorHAnsi"/>
          <w:color w:val="000000"/>
        </w:rPr>
        <w:fldChar w:fldCharType="separate"/>
      </w:r>
      <w:r w:rsidRPr="007034B5" w:rsidR="007034B5">
        <w:rPr>
          <w:rFonts w:asciiTheme="majorHAnsi" w:hAnsiTheme="majorHAnsi" w:cstheme="majorHAnsi"/>
          <w:noProof/>
          <w:color w:val="000000"/>
        </w:rPr>
        <w:t>43</w:t>
      </w:r>
      <w:r w:rsidRPr="007034B5">
        <w:rPr>
          <w:rFonts w:asciiTheme="majorHAnsi" w:hAnsiTheme="majorHAnsi" w:cstheme="majorHAnsi"/>
          <w:color w:val="000000"/>
        </w:rPr>
        <w:fldChar w:fldCharType="end"/>
      </w:r>
      <w:r w:rsidRPr="007034B5">
        <w:rPr>
          <w:rFonts w:asciiTheme="majorHAnsi" w:hAnsiTheme="majorHAnsi" w:cstheme="majorHAnsi"/>
          <w:color w:val="000000"/>
        </w:rPr>
        <w:t>.  Accordingly, the Court finds that the civil defamation proceedings brought by the Tata municipality against the applicant did not pursue any of the legitimate aims enumerated in paragraph 2 of Article 10 of the Convention. Where it has been shown that the interference did not pursue a legitimate aim, it is not necessary to investigate whether it was “necessary in a democratic society”.</w:t>
      </w:r>
    </w:p>
    <w:p w:rsidRPr="007034B5" w:rsidR="00305EE3" w:rsidP="007034B5" w14:paraId="77927F5F" w14:textId="04349784">
      <w:pPr>
        <w:pStyle w:val="JuPara"/>
        <w:rPr>
          <w:rFonts w:asciiTheme="majorHAnsi" w:hAnsiTheme="majorHAnsi" w:cstheme="majorHAnsi"/>
        </w:rPr>
      </w:pPr>
      <w:r w:rsidRPr="007034B5">
        <w:rPr>
          <w:rFonts w:asciiTheme="majorHAnsi" w:hAnsiTheme="majorHAnsi" w:cstheme="majorHAnsi"/>
          <w:color w:val="000000"/>
        </w:rPr>
        <w:fldChar w:fldCharType="begin"/>
      </w:r>
      <w:r w:rsidRPr="007034B5">
        <w:rPr>
          <w:rFonts w:asciiTheme="majorHAnsi" w:hAnsiTheme="majorHAnsi" w:cstheme="majorHAnsi"/>
          <w:color w:val="000000"/>
        </w:rPr>
        <w:instrText xml:space="preserve"> SEQ level0 \*arabic \* MERGEFORMAT </w:instrText>
      </w:r>
      <w:r w:rsidRPr="007034B5">
        <w:rPr>
          <w:rFonts w:asciiTheme="majorHAnsi" w:hAnsiTheme="majorHAnsi" w:cstheme="majorHAnsi"/>
          <w:color w:val="000000"/>
        </w:rPr>
        <w:fldChar w:fldCharType="separate"/>
      </w:r>
      <w:r w:rsidRPr="007034B5" w:rsidR="007034B5">
        <w:rPr>
          <w:rFonts w:asciiTheme="majorHAnsi" w:hAnsiTheme="majorHAnsi" w:cstheme="majorHAnsi"/>
          <w:noProof/>
          <w:color w:val="000000"/>
        </w:rPr>
        <w:t>44</w:t>
      </w:r>
      <w:r w:rsidRPr="007034B5">
        <w:rPr>
          <w:rFonts w:asciiTheme="majorHAnsi" w:hAnsiTheme="majorHAnsi" w:cstheme="majorHAnsi"/>
          <w:color w:val="000000"/>
        </w:rPr>
        <w:fldChar w:fldCharType="end"/>
      </w:r>
      <w:r w:rsidRPr="007034B5">
        <w:rPr>
          <w:rFonts w:asciiTheme="majorHAnsi" w:hAnsiTheme="majorHAnsi" w:cstheme="majorHAnsi"/>
          <w:color w:val="000000"/>
        </w:rPr>
        <w:t>.  It follows that there has been a violation of Article 10 of the Convention.</w:t>
      </w:r>
    </w:p>
    <w:p w:rsidRPr="007034B5" w:rsidR="00305EE3" w:rsidP="007034B5" w14:paraId="48F48A48" w14:textId="55A798EF">
      <w:pPr>
        <w:pStyle w:val="JuHIRoman"/>
      </w:pPr>
      <w:r w:rsidRPr="007034B5">
        <w:t>APPLICATION OF ARTICLE</w:t>
      </w:r>
      <w:r w:rsidRPr="007034B5" w:rsidR="009434E6">
        <w:t xml:space="preserve"> </w:t>
      </w:r>
      <w:r w:rsidRPr="007034B5">
        <w:t>41 OF THE CONVENTION</w:t>
      </w:r>
    </w:p>
    <w:p w:rsidRPr="007034B5" w:rsidR="00305EE3" w:rsidP="007034B5" w14:paraId="6869BA14" w14:textId="0B9E0A3E">
      <w:pPr>
        <w:pStyle w:val="JuPara"/>
      </w:pPr>
      <w:r w:rsidRPr="007034B5">
        <w:fldChar w:fldCharType="begin"/>
      </w:r>
      <w:r w:rsidRPr="007034B5">
        <w:instrText xml:space="preserve"> SEQ level0 \*arabic </w:instrText>
      </w:r>
      <w:r w:rsidRPr="007034B5">
        <w:fldChar w:fldCharType="separate"/>
      </w:r>
      <w:r w:rsidRPr="007034B5" w:rsidR="007034B5">
        <w:rPr>
          <w:noProof/>
        </w:rPr>
        <w:t>45</w:t>
      </w:r>
      <w:r w:rsidRPr="007034B5">
        <w:fldChar w:fldCharType="end"/>
      </w:r>
      <w:r w:rsidRPr="007034B5">
        <w:t>.  Article</w:t>
      </w:r>
      <w:r w:rsidRPr="007034B5" w:rsidR="009434E6">
        <w:t xml:space="preserve"> </w:t>
      </w:r>
      <w:r w:rsidRPr="007034B5">
        <w:t>41 of the Convention provides:</w:t>
      </w:r>
    </w:p>
    <w:p w:rsidRPr="007034B5" w:rsidR="00305EE3" w:rsidP="007034B5" w14:paraId="3B148DDF" w14:textId="77777777">
      <w:pPr>
        <w:pStyle w:val="JuQuot"/>
      </w:pPr>
      <w:r w:rsidRPr="007034B5">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7034B5" w:rsidR="00305EE3" w:rsidP="007034B5" w14:paraId="1E93807A" w14:textId="77777777">
      <w:pPr>
        <w:pStyle w:val="JuHA"/>
      </w:pPr>
      <w:r w:rsidRPr="007034B5">
        <w:t>Damage</w:t>
      </w:r>
    </w:p>
    <w:p w:rsidRPr="007034B5" w:rsidR="00305EE3" w:rsidP="007034B5" w14:paraId="1BB48158" w14:textId="00D178CE">
      <w:pPr>
        <w:pStyle w:val="JuPara"/>
      </w:pPr>
      <w:r w:rsidRPr="007034B5">
        <w:fldChar w:fldCharType="begin"/>
      </w:r>
      <w:r w:rsidRPr="007034B5">
        <w:instrText xml:space="preserve"> SEQ level0 \*arabic </w:instrText>
      </w:r>
      <w:r w:rsidRPr="007034B5">
        <w:fldChar w:fldCharType="separate"/>
      </w:r>
      <w:r w:rsidRPr="007034B5" w:rsidR="007034B5">
        <w:rPr>
          <w:noProof/>
        </w:rPr>
        <w:t>46</w:t>
      </w:r>
      <w:r w:rsidRPr="007034B5">
        <w:fldChar w:fldCharType="end"/>
      </w:r>
      <w:r w:rsidRPr="007034B5">
        <w:t>.  The applicant claimed HUF 145,000 (EUR 402) in respect of pecuniary damage and EUR 1,500 in respect of non-pecuniary damage.</w:t>
      </w:r>
    </w:p>
    <w:p w:rsidRPr="007034B5" w:rsidR="00305EE3" w:rsidP="007034B5" w14:paraId="76D2C935" w14:textId="16CA81F5">
      <w:pPr>
        <w:pStyle w:val="JuPara"/>
      </w:pPr>
      <w:r w:rsidRPr="007034B5">
        <w:fldChar w:fldCharType="begin"/>
      </w:r>
      <w:r w:rsidRPr="007034B5">
        <w:instrText xml:space="preserve"> SEQ level0 \*arabic </w:instrText>
      </w:r>
      <w:r w:rsidRPr="007034B5">
        <w:fldChar w:fldCharType="separate"/>
      </w:r>
      <w:r w:rsidRPr="007034B5" w:rsidR="007034B5">
        <w:rPr>
          <w:noProof/>
        </w:rPr>
        <w:t>47</w:t>
      </w:r>
      <w:r w:rsidRPr="007034B5">
        <w:fldChar w:fldCharType="end"/>
      </w:r>
      <w:r w:rsidRPr="007034B5">
        <w:t>.  The Government contested these claims.</w:t>
      </w:r>
    </w:p>
    <w:p w:rsidRPr="007034B5" w:rsidR="00305EE3" w:rsidP="007034B5" w14:paraId="0F7DF7F5" w14:textId="4DF5B3BF">
      <w:pPr>
        <w:pStyle w:val="JuPara"/>
        <w:rPr>
          <w:color w:val="000000"/>
        </w:rPr>
      </w:pPr>
      <w:r w:rsidRPr="007034B5">
        <w:rPr>
          <w:rFonts w:asciiTheme="majorHAnsi" w:hAnsiTheme="majorHAnsi" w:cstheme="majorHAnsi"/>
          <w:color w:val="000000"/>
        </w:rPr>
        <w:t>The Court considers that the applicant suffered pecuniary losses on account of the amounts that she was ordered to pay in compensation (see paragraphs</w:t>
      </w:r>
      <w:r w:rsidRPr="007034B5" w:rsidR="009434E6">
        <w:rPr>
          <w:rFonts w:asciiTheme="majorHAnsi" w:hAnsiTheme="majorHAnsi" w:cstheme="majorHAnsi"/>
          <w:color w:val="000000"/>
        </w:rPr>
        <w:t> </w:t>
      </w:r>
      <w:r w:rsidRPr="007034B5">
        <w:rPr>
          <w:rFonts w:asciiTheme="majorHAnsi" w:hAnsiTheme="majorHAnsi" w:cstheme="majorHAnsi"/>
          <w:color w:val="000000"/>
        </w:rPr>
        <w:fldChar w:fldCharType="begin"/>
      </w:r>
      <w:r w:rsidRPr="007034B5">
        <w:rPr>
          <w:rFonts w:asciiTheme="majorHAnsi" w:hAnsiTheme="majorHAnsi" w:cstheme="majorHAnsi"/>
          <w:color w:val="000000"/>
        </w:rPr>
        <w:instrText xml:space="preserve"> REF cost1 \h </w:instrText>
      </w:r>
      <w:r w:rsidRPr="007034B5">
        <w:rPr>
          <w:rFonts w:asciiTheme="majorHAnsi" w:hAnsiTheme="majorHAnsi" w:cstheme="majorHAnsi"/>
          <w:color w:val="000000"/>
        </w:rPr>
        <w:fldChar w:fldCharType="separate"/>
      </w:r>
      <w:r w:rsidRPr="007034B5" w:rsidR="007034B5">
        <w:rPr>
          <w:rFonts w:asciiTheme="majorHAnsi" w:hAnsiTheme="majorHAnsi" w:cstheme="majorHAnsi"/>
          <w:noProof/>
          <w:color w:val="000000"/>
        </w:rPr>
        <w:t>12</w:t>
      </w:r>
      <w:r w:rsidRPr="007034B5">
        <w:rPr>
          <w:rFonts w:asciiTheme="majorHAnsi" w:hAnsiTheme="majorHAnsi" w:cstheme="majorHAnsi"/>
          <w:color w:val="000000"/>
        </w:rPr>
        <w:fldChar w:fldCharType="end"/>
      </w:r>
      <w:r w:rsidRPr="007034B5">
        <w:rPr>
          <w:rFonts w:asciiTheme="majorHAnsi" w:hAnsiTheme="majorHAnsi" w:cstheme="majorHAnsi"/>
          <w:color w:val="000000"/>
        </w:rPr>
        <w:t>-</w:t>
      </w:r>
      <w:r w:rsidRPr="007034B5">
        <w:rPr>
          <w:rFonts w:asciiTheme="majorHAnsi" w:hAnsiTheme="majorHAnsi" w:cstheme="majorHAnsi"/>
          <w:color w:val="000000"/>
        </w:rPr>
        <w:fldChar w:fldCharType="begin"/>
      </w:r>
      <w:r w:rsidRPr="007034B5">
        <w:rPr>
          <w:rFonts w:asciiTheme="majorHAnsi" w:hAnsiTheme="majorHAnsi" w:cstheme="majorHAnsi"/>
          <w:color w:val="000000"/>
        </w:rPr>
        <w:instrText xml:space="preserve"> REF costs2 \h </w:instrText>
      </w:r>
      <w:r w:rsidRPr="007034B5">
        <w:rPr>
          <w:rFonts w:asciiTheme="majorHAnsi" w:hAnsiTheme="majorHAnsi" w:cstheme="majorHAnsi"/>
          <w:color w:val="000000"/>
        </w:rPr>
        <w:fldChar w:fldCharType="separate"/>
      </w:r>
      <w:r w:rsidRPr="007034B5" w:rsidR="007034B5">
        <w:rPr>
          <w:rFonts w:asciiTheme="majorHAnsi" w:hAnsiTheme="majorHAnsi" w:cstheme="majorHAnsi"/>
          <w:noProof/>
          <w:color w:val="000000"/>
        </w:rPr>
        <w:t>13</w:t>
      </w:r>
      <w:r w:rsidRPr="007034B5">
        <w:rPr>
          <w:rFonts w:asciiTheme="majorHAnsi" w:hAnsiTheme="majorHAnsi" w:cstheme="majorHAnsi"/>
          <w:color w:val="000000"/>
        </w:rPr>
        <w:fldChar w:fldCharType="end"/>
      </w:r>
      <w:r w:rsidRPr="007034B5">
        <w:rPr>
          <w:rFonts w:asciiTheme="majorHAnsi" w:hAnsiTheme="majorHAnsi" w:cstheme="majorHAnsi"/>
          <w:color w:val="000000"/>
        </w:rPr>
        <w:t xml:space="preserve"> above). It awards her the full sum claimed.</w:t>
      </w:r>
    </w:p>
    <w:p w:rsidRPr="007034B5" w:rsidR="00305EE3" w:rsidP="007034B5" w14:paraId="6E9E35A9" w14:textId="0B2C0CD1">
      <w:pPr>
        <w:pStyle w:val="JuPara"/>
        <w:rPr>
          <w:color w:val="000000"/>
        </w:rPr>
      </w:pPr>
      <w:r w:rsidRPr="007034B5">
        <w:rPr>
          <w:rFonts w:asciiTheme="majorHAnsi" w:hAnsiTheme="majorHAnsi" w:cstheme="majorHAnsi"/>
          <w:color w:val="000000"/>
        </w:rPr>
        <w:fldChar w:fldCharType="begin"/>
      </w:r>
      <w:r w:rsidRPr="007034B5">
        <w:rPr>
          <w:rFonts w:asciiTheme="majorHAnsi" w:hAnsiTheme="majorHAnsi" w:cstheme="majorHAnsi"/>
          <w:color w:val="000000"/>
        </w:rPr>
        <w:instrText xml:space="preserve"> SEQ level0 \*arabic \* MERGEFORMAT </w:instrText>
      </w:r>
      <w:r w:rsidRPr="007034B5">
        <w:rPr>
          <w:rFonts w:asciiTheme="majorHAnsi" w:hAnsiTheme="majorHAnsi" w:cstheme="majorHAnsi"/>
          <w:color w:val="000000"/>
        </w:rPr>
        <w:fldChar w:fldCharType="separate"/>
      </w:r>
      <w:r w:rsidRPr="007034B5" w:rsidR="007034B5">
        <w:rPr>
          <w:rFonts w:asciiTheme="majorHAnsi" w:hAnsiTheme="majorHAnsi" w:cstheme="majorHAnsi"/>
          <w:noProof/>
          <w:color w:val="000000"/>
        </w:rPr>
        <w:t>48</w:t>
      </w:r>
      <w:r w:rsidRPr="007034B5">
        <w:rPr>
          <w:rFonts w:asciiTheme="majorHAnsi" w:hAnsiTheme="majorHAnsi" w:cstheme="majorHAnsi"/>
          <w:color w:val="000000"/>
        </w:rPr>
        <w:fldChar w:fldCharType="end"/>
      </w:r>
      <w:r w:rsidRPr="007034B5">
        <w:rPr>
          <w:rFonts w:asciiTheme="majorHAnsi" w:hAnsiTheme="majorHAnsi" w:cstheme="majorHAnsi"/>
          <w:color w:val="000000"/>
        </w:rPr>
        <w:t>.  Moreover, it considers that the applicant must have suffered some non-pecuniary damage. Making its assessment on an equitable basis, the Court accepts the applicant</w:t>
      </w:r>
      <w:r w:rsidRPr="007034B5" w:rsidR="007034B5">
        <w:rPr>
          <w:rFonts w:asciiTheme="majorHAnsi" w:hAnsiTheme="majorHAnsi" w:cstheme="majorHAnsi"/>
          <w:color w:val="000000"/>
        </w:rPr>
        <w:t>’</w:t>
      </w:r>
      <w:r w:rsidRPr="007034B5">
        <w:rPr>
          <w:rFonts w:asciiTheme="majorHAnsi" w:hAnsiTheme="majorHAnsi" w:cstheme="majorHAnsi"/>
          <w:color w:val="000000"/>
        </w:rPr>
        <w:t>s claim in full and awards her EUR 1,500 under this head.</w:t>
      </w:r>
    </w:p>
    <w:p w:rsidRPr="007034B5" w:rsidR="00305EE3" w:rsidP="007034B5" w14:paraId="467D956C" w14:textId="77777777">
      <w:pPr>
        <w:pStyle w:val="JuHA"/>
      </w:pPr>
      <w:r w:rsidRPr="007034B5">
        <w:t>Costs and expenses</w:t>
      </w:r>
    </w:p>
    <w:p w:rsidRPr="007034B5" w:rsidR="00305EE3" w:rsidP="007034B5" w14:paraId="5ADA21FB" w14:textId="2EB0A478">
      <w:pPr>
        <w:pStyle w:val="JuPara"/>
        <w:rPr>
          <w:rFonts w:asciiTheme="majorHAnsi" w:hAnsiTheme="majorHAnsi" w:cstheme="majorHAnsi"/>
        </w:rPr>
      </w:pPr>
      <w:r w:rsidRPr="007034B5">
        <w:rPr>
          <w:rFonts w:asciiTheme="majorHAnsi" w:hAnsiTheme="majorHAnsi" w:cstheme="majorHAnsi"/>
        </w:rPr>
        <w:fldChar w:fldCharType="begin"/>
      </w:r>
      <w:r w:rsidRPr="007034B5">
        <w:rPr>
          <w:rFonts w:asciiTheme="majorHAnsi" w:hAnsiTheme="majorHAnsi" w:cstheme="majorHAnsi"/>
        </w:rPr>
        <w:instrText xml:space="preserve"> SEQ level0 \*arabic </w:instrText>
      </w:r>
      <w:r w:rsidRPr="007034B5">
        <w:rPr>
          <w:rFonts w:asciiTheme="majorHAnsi" w:hAnsiTheme="majorHAnsi" w:cstheme="majorHAnsi"/>
        </w:rPr>
        <w:fldChar w:fldCharType="separate"/>
      </w:r>
      <w:r w:rsidRPr="007034B5" w:rsidR="007034B5">
        <w:rPr>
          <w:rFonts w:asciiTheme="majorHAnsi" w:hAnsiTheme="majorHAnsi" w:cstheme="majorHAnsi"/>
          <w:noProof/>
        </w:rPr>
        <w:t>49</w:t>
      </w:r>
      <w:r w:rsidRPr="007034B5">
        <w:rPr>
          <w:rFonts w:asciiTheme="majorHAnsi" w:hAnsiTheme="majorHAnsi" w:cstheme="majorHAnsi"/>
        </w:rPr>
        <w:fldChar w:fldCharType="end"/>
      </w:r>
      <w:r w:rsidRPr="007034B5">
        <w:rPr>
          <w:rFonts w:asciiTheme="majorHAnsi" w:hAnsiTheme="majorHAnsi" w:cstheme="majorHAnsi"/>
        </w:rPr>
        <w:t xml:space="preserve">.  The applicant also claimed EUR 980 in respect of the costs and expenses incurred before the domestic courts and EUR 840 in respect of those incurred before the Court. Those sums correspond </w:t>
      </w:r>
      <w:r w:rsidRPr="007034B5">
        <w:rPr>
          <w:rFonts w:asciiTheme="majorHAnsi" w:hAnsiTheme="majorHAnsi" w:cstheme="majorHAnsi"/>
          <w:color w:val="000000"/>
        </w:rPr>
        <w:t>to thirty-five and thirty hours of legal work billable by her lawyer at an hourly rate of EUR 28.</w:t>
      </w:r>
    </w:p>
    <w:p w:rsidRPr="007034B5" w:rsidR="00305EE3" w:rsidP="007034B5" w14:paraId="7D567A8A" w14:textId="0AEAB7E8">
      <w:pPr>
        <w:pStyle w:val="JuPara"/>
      </w:pPr>
      <w:r w:rsidRPr="007034B5">
        <w:fldChar w:fldCharType="begin"/>
      </w:r>
      <w:r w:rsidRPr="007034B5">
        <w:instrText xml:space="preserve"> SEQ level0 \*arabic </w:instrText>
      </w:r>
      <w:r w:rsidRPr="007034B5">
        <w:fldChar w:fldCharType="separate"/>
      </w:r>
      <w:r w:rsidRPr="007034B5" w:rsidR="007034B5">
        <w:rPr>
          <w:noProof/>
        </w:rPr>
        <w:t>50</w:t>
      </w:r>
      <w:r w:rsidRPr="007034B5">
        <w:fldChar w:fldCharType="end"/>
      </w:r>
      <w:r w:rsidRPr="007034B5">
        <w:t>.  The Government contested these claims.</w:t>
      </w:r>
    </w:p>
    <w:p w:rsidRPr="007034B5" w:rsidR="00305EE3" w:rsidP="007034B5" w14:paraId="79A7F099" w14:textId="3F7AB2E9">
      <w:pPr>
        <w:pStyle w:val="JuPara"/>
        <w:rPr>
          <w:rFonts w:asciiTheme="majorHAnsi" w:hAnsiTheme="majorHAnsi" w:cstheme="majorHAnsi"/>
        </w:rPr>
      </w:pPr>
      <w:r w:rsidRPr="007034B5">
        <w:rPr>
          <w:rFonts w:asciiTheme="majorHAnsi" w:hAnsiTheme="majorHAnsi" w:cstheme="majorHAnsi"/>
        </w:rPr>
        <w:fldChar w:fldCharType="begin"/>
      </w:r>
      <w:r w:rsidRPr="007034B5">
        <w:rPr>
          <w:rFonts w:asciiTheme="majorHAnsi" w:hAnsiTheme="majorHAnsi" w:cstheme="majorHAnsi"/>
        </w:rPr>
        <w:instrText xml:space="preserve"> SEQ level0 \*arabic </w:instrText>
      </w:r>
      <w:r w:rsidRPr="007034B5">
        <w:rPr>
          <w:rFonts w:asciiTheme="majorHAnsi" w:hAnsiTheme="majorHAnsi" w:cstheme="majorHAnsi"/>
        </w:rPr>
        <w:fldChar w:fldCharType="separate"/>
      </w:r>
      <w:r w:rsidRPr="007034B5" w:rsidR="007034B5">
        <w:rPr>
          <w:rFonts w:asciiTheme="majorHAnsi" w:hAnsiTheme="majorHAnsi" w:cstheme="majorHAnsi"/>
          <w:noProof/>
        </w:rPr>
        <w:t>51</w:t>
      </w:r>
      <w:r w:rsidRPr="007034B5">
        <w:rPr>
          <w:rFonts w:asciiTheme="majorHAnsi" w:hAnsiTheme="majorHAnsi" w:cstheme="majorHAnsi"/>
        </w:rPr>
        <w:fldChar w:fldCharType="end"/>
      </w:r>
      <w:r w:rsidRPr="007034B5">
        <w:rPr>
          <w:rFonts w:asciiTheme="majorHAnsi" w:hAnsiTheme="majorHAnsi" w:cstheme="majorHAnsi"/>
        </w:rPr>
        <w:t>.  </w:t>
      </w:r>
      <w:r w:rsidRPr="007034B5">
        <w:rPr>
          <w:rFonts w:asciiTheme="majorHAnsi" w:hAnsiTheme="majorHAnsi" w:cstheme="majorHAnsi"/>
          <w:color w:val="000000"/>
        </w:rPr>
        <w:t>According to the Court</w:t>
      </w:r>
      <w:r w:rsidRPr="007034B5" w:rsidR="007034B5">
        <w:rPr>
          <w:rFonts w:asciiTheme="majorHAnsi" w:hAnsiTheme="majorHAnsi" w:cstheme="majorHAnsi"/>
          <w:color w:val="000000"/>
        </w:rPr>
        <w:t>’</w:t>
      </w:r>
      <w:r w:rsidRPr="007034B5">
        <w:rPr>
          <w:rFonts w:asciiTheme="majorHAnsi" w:hAnsiTheme="majorHAnsi" w:cstheme="majorHAnsi"/>
          <w:color w:val="000000"/>
        </w:rPr>
        <w:t>s case-law, an applicant is entitled to the reimbursement of costs and expenses only in so far as it has been shown that these were actually and necessarily incurred and are reasonable as to quantum. In the present case, regard being had to the documents in its possession and the above criteria, the Court considers it reasonable to award the full sum claimed covering costs under all heads, plus any tax that may be chargeable to the applicant.</w:t>
      </w:r>
    </w:p>
    <w:p w:rsidRPr="007034B5" w:rsidR="00305EE3" w:rsidP="007034B5" w14:paraId="3AC61026" w14:textId="77777777">
      <w:pPr>
        <w:pStyle w:val="JuHHead"/>
        <w:numPr>
          <w:ilvl w:val="0"/>
          <w:numId w:val="3"/>
        </w:numPr>
        <w:ind w:left="360" w:hanging="360"/>
      </w:pPr>
      <w:r w:rsidRPr="007034B5">
        <w:t>FOR THESE REASONS, THE COURT, UNANIMOUSLY,</w:t>
      </w:r>
    </w:p>
    <w:p w:rsidRPr="007034B5" w:rsidR="00305EE3" w:rsidP="007034B5" w14:paraId="5B66514D" w14:textId="77777777">
      <w:pPr>
        <w:pStyle w:val="JuList"/>
        <w:numPr>
          <w:ilvl w:val="0"/>
          <w:numId w:val="2"/>
        </w:numPr>
      </w:pPr>
      <w:r w:rsidRPr="007034B5">
        <w:rPr>
          <w:i/>
        </w:rPr>
        <w:t xml:space="preserve">Declares </w:t>
      </w:r>
      <w:r w:rsidRPr="007034B5">
        <w:t>the application admissible;</w:t>
      </w:r>
    </w:p>
    <w:p w:rsidRPr="007034B5" w:rsidR="00305EE3" w:rsidP="007034B5" w14:paraId="7F49EC75" w14:textId="77777777">
      <w:pPr>
        <w:pStyle w:val="JuList"/>
        <w:numPr>
          <w:ilvl w:val="0"/>
          <w:numId w:val="2"/>
        </w:numPr>
      </w:pPr>
      <w:r w:rsidRPr="007034B5">
        <w:rPr>
          <w:i/>
        </w:rPr>
        <w:t xml:space="preserve">Holds </w:t>
      </w:r>
      <w:r w:rsidRPr="007034B5">
        <w:t>that there has been a violation of Article 10 of the Convention;</w:t>
      </w:r>
    </w:p>
    <w:p w:rsidRPr="007034B5" w:rsidR="00305EE3" w:rsidP="007034B5" w14:paraId="52013D83" w14:textId="77777777">
      <w:pPr>
        <w:pStyle w:val="JuList"/>
        <w:numPr>
          <w:ilvl w:val="0"/>
          <w:numId w:val="2"/>
        </w:numPr>
      </w:pPr>
      <w:r w:rsidRPr="007034B5">
        <w:rPr>
          <w:i/>
        </w:rPr>
        <w:t>Holds</w:t>
      </w:r>
    </w:p>
    <w:p w:rsidRPr="007034B5" w:rsidR="00305EE3" w:rsidP="007034B5" w14:paraId="14A1B1EB" w14:textId="77777777">
      <w:pPr>
        <w:pStyle w:val="JuLista"/>
        <w:numPr>
          <w:ilvl w:val="1"/>
          <w:numId w:val="2"/>
        </w:numPr>
        <w:rPr>
          <w:bCs/>
        </w:rPr>
      </w:pPr>
      <w:r w:rsidRPr="007034B5">
        <w:t>that the respondent State is to pay the applicant, within three months from the date on which the judgment becomes final in accordance with Article 44 § 2 of the Convention, the following amounts</w:t>
      </w:r>
      <w:r w:rsidRPr="007034B5">
        <w:rPr>
          <w:bCs/>
        </w:rPr>
        <w:t xml:space="preserve">, to be converted into </w:t>
      </w:r>
      <w:r w:rsidRPr="007034B5">
        <w:rPr>
          <w:bCs/>
          <w:color w:val="000000"/>
        </w:rPr>
        <w:t xml:space="preserve">the currency of the respondent State </w:t>
      </w:r>
      <w:r w:rsidRPr="007034B5">
        <w:rPr>
          <w:bCs/>
        </w:rPr>
        <w:t>at the rate applicable at the date of settlement:</w:t>
      </w:r>
    </w:p>
    <w:p w:rsidRPr="007034B5" w:rsidR="00305EE3" w:rsidP="007034B5" w14:paraId="1A334A5B" w14:textId="77777777">
      <w:pPr>
        <w:pStyle w:val="JuListi"/>
        <w:numPr>
          <w:ilvl w:val="2"/>
          <w:numId w:val="2"/>
        </w:numPr>
      </w:pPr>
      <w:r w:rsidRPr="007034B5">
        <w:t>EUR 402 (four hundred and two euros), plus any tax that may be chargeable, in respect of pecuniary damage;</w:t>
      </w:r>
    </w:p>
    <w:p w:rsidRPr="007034B5" w:rsidR="00305EE3" w:rsidP="007034B5" w14:paraId="3CB85190" w14:textId="77777777">
      <w:pPr>
        <w:pStyle w:val="JuListi"/>
        <w:numPr>
          <w:ilvl w:val="2"/>
          <w:numId w:val="2"/>
        </w:numPr>
      </w:pPr>
      <w:r w:rsidRPr="007034B5">
        <w:t>EUR 1,500 (one thousand five hundred euros), plus any tax that may be chargeable, in respect of non-pecuniary damage;</w:t>
      </w:r>
    </w:p>
    <w:p w:rsidRPr="007034B5" w:rsidR="00305EE3" w:rsidP="007034B5" w14:paraId="061DC640" w14:textId="77777777">
      <w:pPr>
        <w:pStyle w:val="JuListi"/>
        <w:numPr>
          <w:ilvl w:val="2"/>
          <w:numId w:val="2"/>
        </w:numPr>
      </w:pPr>
      <w:r w:rsidRPr="007034B5">
        <w:t>EUR 1,820 (one thousand eight hundred and twenty euros), plus any tax that may be chargeable to the applicant, in respect of costs and expenses;</w:t>
      </w:r>
    </w:p>
    <w:p w:rsidRPr="007034B5" w:rsidR="004D0EC7" w:rsidP="00C47C27" w14:paraId="3F4B3CEC" w14:textId="77777777">
      <w:pPr>
        <w:pStyle w:val="JuLista"/>
        <w:numPr>
          <w:ilvl w:val="1"/>
          <w:numId w:val="2"/>
        </w:numPr>
      </w:pPr>
      <w:r w:rsidRPr="007034B5">
        <w:t>that from the expiry of the above-mentioned three months until settlement simple interest shall be payable on the above amounts at a rate equal to the marginal lending rate of the European Central Bank during the default period plus three percentage points.</w:t>
      </w:r>
    </w:p>
    <w:p w:rsidRPr="007034B5" w:rsidR="008E3A08" w:rsidP="007034B5" w14:paraId="446D0200" w14:textId="77777777">
      <w:pPr>
        <w:pStyle w:val="JuParaLast"/>
      </w:pPr>
      <w:r w:rsidRPr="007034B5">
        <w:t xml:space="preserve">Done in English, and notified in writing on </w:t>
      </w:r>
      <w:r w:rsidRPr="007034B5" w:rsidR="00305EE3">
        <w:rPr>
          <w:rFonts w:ascii="Times New Roman" w:hAnsi="Times New Roman" w:cs="Times New Roman"/>
        </w:rPr>
        <w:t>16 May 2024</w:t>
      </w:r>
      <w:r w:rsidRPr="007034B5">
        <w:t>, pursuant to Rule 77 §§ 2 and 3 of the Rules of Court.</w:t>
      </w:r>
    </w:p>
    <w:p w:rsidRPr="007034B5" w:rsidR="007E79A4" w:rsidP="007034B5" w14:paraId="24F292CB" w14:textId="02C1BCC7">
      <w:pPr>
        <w:pStyle w:val="ECHRPlaceholder"/>
        <w:rPr>
          <w:szCs w:val="22"/>
        </w:rPr>
      </w:pPr>
      <w:r w:rsidRPr="007034B5">
        <w:tab/>
      </w:r>
    </w:p>
    <w:p w:rsidRPr="007034B5" w:rsidR="007E79A4" w:rsidP="007034B5" w14:paraId="08F63297" w14:textId="77777777">
      <w:pPr>
        <w:pStyle w:val="JuSigned"/>
      </w:pPr>
      <w:r w:rsidRPr="007034B5">
        <w:tab/>
      </w:r>
      <w:r w:rsidRPr="007034B5" w:rsidR="00305EE3">
        <w:t xml:space="preserve">Ilse </w:t>
      </w:r>
      <w:r w:rsidRPr="007034B5" w:rsidR="00305EE3">
        <w:t>Freiwirth</w:t>
      </w:r>
      <w:r w:rsidRPr="007034B5">
        <w:tab/>
      </w:r>
      <w:r w:rsidRPr="007034B5" w:rsidR="00305EE3">
        <w:t xml:space="preserve">Marko </w:t>
      </w:r>
      <w:r w:rsidRPr="007034B5" w:rsidR="00305EE3">
        <w:t>Bošnjak</w:t>
      </w:r>
      <w:r w:rsidRPr="007034B5">
        <w:br/>
      </w:r>
      <w:r w:rsidRPr="007034B5">
        <w:tab/>
      </w:r>
      <w:r w:rsidRPr="007034B5" w:rsidR="00305EE3">
        <w:rPr>
          <w:iCs/>
        </w:rPr>
        <w:t>Registrar</w:t>
      </w:r>
      <w:r w:rsidRPr="007034B5">
        <w:tab/>
        <w:t>President</w:t>
      </w:r>
    </w:p>
    <w:p w:rsidRPr="007034B5" w:rsidR="00675AF2" w:rsidP="007034B5" w14:paraId="67FF9136" w14:textId="77777777">
      <w:pPr>
        <w:pStyle w:val="JuPara"/>
      </w:pPr>
    </w:p>
    <w:p w:rsidRPr="007034B5" w:rsidR="00182EBA" w:rsidP="007034B5" w14:paraId="5272B3F6" w14:textId="77777777"/>
    <w:sectPr w:rsidSect="007D3701">
      <w:headerReference w:type="even" r:id="rId9"/>
      <w:headerReference w:type="default" r:id="rId10"/>
      <w:footerReference w:type="even" r:id="rId11"/>
      <w:footerReference w:type="default" r:id="rId12"/>
      <w:footnotePr>
        <w:numRestart w:val="eachSect"/>
      </w:footnotePr>
      <w:pgSz w:w="11906" w:h="16838" w:code="9"/>
      <w:pgMar w:top="2274" w:right="2274" w:bottom="2274" w:left="2274" w:header="1701" w:footer="720" w:gutter="0"/>
      <w:pgNumType w:start="1"/>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05EE3" w:rsidRPr="00150BFA" w:rsidP="0020718E" w14:paraId="76807503" w14:textId="77777777">
    <w:pPr>
      <w:jc w:val="center"/>
    </w:pPr>
    <w:r>
      <w:rPr>
        <w:noProof/>
        <w:lang w:val="en-US"/>
      </w:rPr>
      <w:drawing>
        <wp:inline distT="0" distB="0" distL="0" distR="0">
          <wp:extent cx="771525" cy="619125"/>
          <wp:effectExtent l="0" t="0" r="9525" b="9525"/>
          <wp:docPr id="40" name="Picture 40"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8410D" w:rsidRPr="00E67565" w:rsidP="00AF12C5" w14:paraId="3915E6E1" w14:textId="77777777">
    <w:pPr>
      <w:pStyle w:val="Footer1"/>
      <w:jc w:val="center"/>
      <w:rPr>
        <w:sz w:val="4"/>
        <w:szCs w:val="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05EE3" w:rsidRPr="00150BFA" w:rsidP="0020718E" w14:paraId="4C924A0E" w14:textId="77777777">
    <w:pPr>
      <w:jc w:val="center"/>
    </w:pPr>
    <w:r>
      <w:rPr>
        <w:noProof/>
        <w:lang w:val="en-US"/>
      </w:rPr>
      <w:drawing>
        <wp:inline distT="0" distB="0" distL="0" distR="0">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E7A6F" w:rsidRPr="00E67565" w:rsidP="009E7A6F" w14:paraId="232FE1D1" w14:textId="77777777">
    <w:pPr>
      <w:pStyle w:val="Footer1"/>
      <w:jc w:val="center"/>
      <w:rPr>
        <w:sz w:val="4"/>
        <w:szCs w:val="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P="009A115C" w14:paraId="28DDCE29" w14:textId="77777777">
    <w:pPr>
      <w:pStyle w:val="JuHeader"/>
    </w:pPr>
    <w:r>
      <w:fldChar w:fldCharType="begin"/>
    </w:r>
    <w:r>
      <w:instrText xml:space="preserve"> PAGE  \* MERGEFORMAT </w:instrText>
    </w:r>
    <w:r>
      <w:fldChar w:fldCharType="separate"/>
    </w:r>
    <w:r>
      <w:rPr>
        <w:noProof/>
      </w:rPr>
      <w:t>1</w:t>
    </w:r>
    <w: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0B7195" w:rsidP="007D3701" w14:paraId="4AFD4D9C" w14:textId="77777777">
    <w:pPr>
      <w:pStyle w:val="JuHeader"/>
    </w:pPr>
    <w:r>
      <w:fldChar w:fldCharType="begin"/>
    </w:r>
    <w:r>
      <w:instrText xml:space="preserve"> PAGE  \* MERGEFORMAT </w:instrText>
    </w:r>
    <w:r>
      <w:fldChar w:fldCharType="separate"/>
    </w:r>
    <w:r>
      <w:rPr>
        <w:noProof/>
      </w:rPr>
      <w:t>1</w:t>
    </w:r>
    <w: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05EE3" w:rsidRPr="00A45145" w:rsidP="00A45145" w14:paraId="0F4E2FB6" w14:textId="77777777">
    <w:pPr>
      <w:jc w:val="center"/>
    </w:pPr>
    <w:r>
      <w:rPr>
        <w:noProof/>
        <w:lang w:val="en-US"/>
      </w:rPr>
      <w:drawing>
        <wp:inline distT="0" distB="0" distL="0" distR="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E67565" w:rsidP="00B14793" w14:paraId="45890074" w14:textId="77777777">
    <w:pPr>
      <w:jc w:val="center"/>
      <w:rPr>
        <w:sz w:val="4"/>
        <w:szCs w:val="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05EE3" w:rsidRPr="00A45145" w:rsidP="00A45145" w14:paraId="7D25B054" w14:textId="77777777">
    <w:pPr>
      <w:jc w:val="center"/>
    </w:pPr>
    <w:r>
      <w:rPr>
        <w:noProof/>
        <w:lang w:val="en-US"/>
      </w:rPr>
      <w:drawing>
        <wp:inline distT="0" distB="0" distL="0" distR="0">
          <wp:extent cx="2962275" cy="1219200"/>
          <wp:effectExtent l="0" t="0" r="9525" b="0"/>
          <wp:docPr id="35" name="Picture 35"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E67565" w14:paraId="29EA84C5"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4D0EC7" w:rsidP="004D0EC7" w14:paraId="5BB7D926" w14:textId="72CDBCB7">
    <w:pPr>
      <w:pStyle w:val="JuHeader"/>
    </w:pPr>
    <w:r>
      <w:t xml:space="preserve">MÁRIA </w:t>
    </w:r>
    <w:r w:rsidR="00305EE3">
      <w:t>SOMOGYI v. HUNGARY</w:t>
    </w:r>
    <w:r w:rsidRPr="004D0EC7">
      <w:t xml:space="preserve"> </w:t>
    </w:r>
    <w:r>
      <w:t>JUDGMENT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882CD5" w:rsidP="007D3701" w14:paraId="59401286" w14:textId="6A11FEEF">
    <w:pPr>
      <w:pStyle w:val="JuHeader"/>
    </w:pPr>
    <w:r>
      <w:t xml:space="preserve">MÁRIA </w:t>
    </w:r>
    <w:r w:rsidR="00305EE3">
      <w:t>SOMOGYI v. HUNGARY</w:t>
    </w:r>
    <w:r w:rsidRPr="00882CD5">
      <w:t xml:space="preserve"> JUDGMENT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0C0F5BFC"/>
    <w:multiLevelType w:val="multilevel"/>
    <w:tmpl w:val="E2B270DC"/>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FFFFFF" w:themeColor="background1"/>
      </w:rPr>
    </w:lvl>
    <w:lvl w:ilvl="1">
      <w:start w:val="1"/>
      <w:numFmt w:val="bullet"/>
      <w:pStyle w:val="ECHRBullet2"/>
      <w:lvlText w:val=""/>
      <w:lvlJc w:val="left"/>
      <w:pPr>
        <w:tabs>
          <w:tab w:val="num" w:pos="1134"/>
        </w:tabs>
        <w:ind w:left="1135" w:hanging="284"/>
      </w:pPr>
      <w:rPr>
        <w:rFonts w:ascii="Wingdings" w:hAnsi="Wingdings" w:hint="default"/>
        <w:color w:val="FFFFFF"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FFFFFF"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18">
    <w:nsid w:val="7D35409C"/>
    <w:multiLevelType w:val="multilevel"/>
    <w:tmpl w:val="EAA66700"/>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num w:numId="1" w16cid:durableId="1183782018">
    <w:abstractNumId w:val="10"/>
  </w:num>
  <w:num w:numId="2" w16cid:durableId="1201867154">
    <w:abstractNumId w:val="9"/>
  </w:num>
  <w:num w:numId="3" w16cid:durableId="2036154808">
    <w:abstractNumId w:val="18"/>
  </w:num>
  <w:num w:numId="4" w16cid:durableId="1400516550">
    <w:abstractNumId w:val="14"/>
  </w:num>
  <w:num w:numId="5" w16cid:durableId="100808307">
    <w:abstractNumId w:val="12"/>
  </w:num>
  <w:num w:numId="6" w16cid:durableId="584609302">
    <w:abstractNumId w:val="11"/>
  </w:num>
  <w:num w:numId="7" w16cid:durableId="502857952">
    <w:abstractNumId w:val="17"/>
  </w:num>
  <w:num w:numId="8" w16cid:durableId="1268200164">
    <w:abstractNumId w:val="7"/>
  </w:num>
  <w:num w:numId="9" w16cid:durableId="37436048">
    <w:abstractNumId w:val="6"/>
  </w:num>
  <w:num w:numId="10" w16cid:durableId="1903177124">
    <w:abstractNumId w:val="5"/>
  </w:num>
  <w:num w:numId="11" w16cid:durableId="699628744">
    <w:abstractNumId w:val="4"/>
  </w:num>
  <w:num w:numId="12" w16cid:durableId="1243296567">
    <w:abstractNumId w:val="8"/>
  </w:num>
  <w:num w:numId="13" w16cid:durableId="109980171">
    <w:abstractNumId w:val="3"/>
  </w:num>
  <w:num w:numId="14" w16cid:durableId="745490392">
    <w:abstractNumId w:val="2"/>
  </w:num>
  <w:num w:numId="15" w16cid:durableId="1900171177">
    <w:abstractNumId w:val="1"/>
  </w:num>
  <w:num w:numId="16" w16cid:durableId="1604025386">
    <w:abstractNumId w:val="0"/>
  </w:num>
  <w:num w:numId="17" w16cid:durableId="889002361">
    <w:abstractNumId w:val="15"/>
  </w:num>
  <w:num w:numId="18" w16cid:durableId="1981035992">
    <w:abstractNumId w:val="13"/>
  </w:num>
  <w:num w:numId="19" w16cid:durableId="1869103230">
    <w:abstractNumId w:val="16"/>
  </w:num>
  <w:num w:numId="20" w16cid:durableId="2113934625">
    <w:abstractNumId w:val="15"/>
  </w:num>
  <w:num w:numId="21" w16cid:durableId="1691376622">
    <w:abstractNumId w:val="16"/>
  </w:num>
  <w:num w:numId="22" w16cid:durableId="276986489">
    <w:abstractNumId w:val="10"/>
  </w:num>
  <w:num w:numId="23" w16cid:durableId="521096077">
    <w:abstractNumId w:val="9"/>
  </w:num>
  <w:num w:numId="24" w16cid:durableId="990327052">
    <w:abstractNumId w:val="9"/>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removePersonalInformation/>
  <w:proofState w:spelling="clean" w:grammar="clea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5EE3"/>
    <w:rsid w:val="000041F8"/>
    <w:rsid w:val="000042A8"/>
    <w:rsid w:val="00004308"/>
    <w:rsid w:val="00005BF0"/>
    <w:rsid w:val="0000617D"/>
    <w:rsid w:val="00007154"/>
    <w:rsid w:val="000103AE"/>
    <w:rsid w:val="00011D69"/>
    <w:rsid w:val="00012AD3"/>
    <w:rsid w:val="00015C2D"/>
    <w:rsid w:val="00015F00"/>
    <w:rsid w:val="00022C1D"/>
    <w:rsid w:val="0002592F"/>
    <w:rsid w:val="00031428"/>
    <w:rsid w:val="00034987"/>
    <w:rsid w:val="00041560"/>
    <w:rsid w:val="000602DF"/>
    <w:rsid w:val="00061B05"/>
    <w:rsid w:val="000632D5"/>
    <w:rsid w:val="000644EE"/>
    <w:rsid w:val="000712E3"/>
    <w:rsid w:val="0007780A"/>
    <w:rsid w:val="00085457"/>
    <w:rsid w:val="000925AD"/>
    <w:rsid w:val="00096FE1"/>
    <w:rsid w:val="00097A62"/>
    <w:rsid w:val="000A24EB"/>
    <w:rsid w:val="000B686A"/>
    <w:rsid w:val="000B6923"/>
    <w:rsid w:val="000B7195"/>
    <w:rsid w:val="000C5F3C"/>
    <w:rsid w:val="000C6DCC"/>
    <w:rsid w:val="000D47AA"/>
    <w:rsid w:val="000D721F"/>
    <w:rsid w:val="000E069B"/>
    <w:rsid w:val="000E0E82"/>
    <w:rsid w:val="000E1DC5"/>
    <w:rsid w:val="000E223F"/>
    <w:rsid w:val="000E46B8"/>
    <w:rsid w:val="000E7D45"/>
    <w:rsid w:val="000F52F4"/>
    <w:rsid w:val="000F7851"/>
    <w:rsid w:val="00101505"/>
    <w:rsid w:val="00104E23"/>
    <w:rsid w:val="00110DA8"/>
    <w:rsid w:val="00111B0C"/>
    <w:rsid w:val="00120D6C"/>
    <w:rsid w:val="001257EC"/>
    <w:rsid w:val="00133D33"/>
    <w:rsid w:val="00134B6A"/>
    <w:rsid w:val="00134D64"/>
    <w:rsid w:val="00135A30"/>
    <w:rsid w:val="0013612C"/>
    <w:rsid w:val="00137FF6"/>
    <w:rsid w:val="00141650"/>
    <w:rsid w:val="00150BFA"/>
    <w:rsid w:val="001561B6"/>
    <w:rsid w:val="00162A12"/>
    <w:rsid w:val="00165C9F"/>
    <w:rsid w:val="00166530"/>
    <w:rsid w:val="00170027"/>
    <w:rsid w:val="00182EBA"/>
    <w:rsid w:val="001832BD"/>
    <w:rsid w:val="001943B5"/>
    <w:rsid w:val="00195134"/>
    <w:rsid w:val="001A020C"/>
    <w:rsid w:val="001A145B"/>
    <w:rsid w:val="001A3E09"/>
    <w:rsid w:val="001A674C"/>
    <w:rsid w:val="001B3B24"/>
    <w:rsid w:val="001C055B"/>
    <w:rsid w:val="001C0F98"/>
    <w:rsid w:val="001C2A42"/>
    <w:rsid w:val="001D63ED"/>
    <w:rsid w:val="001D7348"/>
    <w:rsid w:val="001E035B"/>
    <w:rsid w:val="001E0961"/>
    <w:rsid w:val="001E3EAE"/>
    <w:rsid w:val="001E6857"/>
    <w:rsid w:val="001E6F32"/>
    <w:rsid w:val="001F2145"/>
    <w:rsid w:val="001F6262"/>
    <w:rsid w:val="001F67B0"/>
    <w:rsid w:val="001F7B3D"/>
    <w:rsid w:val="00202752"/>
    <w:rsid w:val="0020335A"/>
    <w:rsid w:val="002052BC"/>
    <w:rsid w:val="00205F9F"/>
    <w:rsid w:val="0020718E"/>
    <w:rsid w:val="00210338"/>
    <w:rsid w:val="002115FC"/>
    <w:rsid w:val="0021423C"/>
    <w:rsid w:val="00226C89"/>
    <w:rsid w:val="00230D00"/>
    <w:rsid w:val="00231DF7"/>
    <w:rsid w:val="00231FD1"/>
    <w:rsid w:val="002339E0"/>
    <w:rsid w:val="00233CF8"/>
    <w:rsid w:val="0023575D"/>
    <w:rsid w:val="00237148"/>
    <w:rsid w:val="0024222D"/>
    <w:rsid w:val="002422B6"/>
    <w:rsid w:val="00244B0E"/>
    <w:rsid w:val="00244F6C"/>
    <w:rsid w:val="002460F9"/>
    <w:rsid w:val="00246B89"/>
    <w:rsid w:val="00252C4E"/>
    <w:rsid w:val="002532C5"/>
    <w:rsid w:val="00254DF2"/>
    <w:rsid w:val="00260C03"/>
    <w:rsid w:val="00261F46"/>
    <w:rsid w:val="0026439A"/>
    <w:rsid w:val="0026540E"/>
    <w:rsid w:val="00275123"/>
    <w:rsid w:val="00281B7C"/>
    <w:rsid w:val="00282240"/>
    <w:rsid w:val="00282BD8"/>
    <w:rsid w:val="00287AD5"/>
    <w:rsid w:val="002934D0"/>
    <w:rsid w:val="00293676"/>
    <w:rsid w:val="00293BD9"/>
    <w:rsid w:val="002948AD"/>
    <w:rsid w:val="002A01CC"/>
    <w:rsid w:val="002A613A"/>
    <w:rsid w:val="002A61B1"/>
    <w:rsid w:val="002A663C"/>
    <w:rsid w:val="002B444B"/>
    <w:rsid w:val="002B5887"/>
    <w:rsid w:val="002B5B43"/>
    <w:rsid w:val="002C0E27"/>
    <w:rsid w:val="002C3040"/>
    <w:rsid w:val="002C4433"/>
    <w:rsid w:val="002C5ADD"/>
    <w:rsid w:val="002C7826"/>
    <w:rsid w:val="002D022D"/>
    <w:rsid w:val="002D24BB"/>
    <w:rsid w:val="002D2FA7"/>
    <w:rsid w:val="002D47BA"/>
    <w:rsid w:val="002D77B9"/>
    <w:rsid w:val="002E46DA"/>
    <w:rsid w:val="002E7764"/>
    <w:rsid w:val="002F2AF7"/>
    <w:rsid w:val="002F69C4"/>
    <w:rsid w:val="002F7D9E"/>
    <w:rsid w:val="002F7E1C"/>
    <w:rsid w:val="00301A75"/>
    <w:rsid w:val="00302F70"/>
    <w:rsid w:val="0030336F"/>
    <w:rsid w:val="0030375E"/>
    <w:rsid w:val="00305EE3"/>
    <w:rsid w:val="00312A30"/>
    <w:rsid w:val="003201D8"/>
    <w:rsid w:val="00320F72"/>
    <w:rsid w:val="0032463E"/>
    <w:rsid w:val="00326224"/>
    <w:rsid w:val="00337EE4"/>
    <w:rsid w:val="00340FFD"/>
    <w:rsid w:val="00345C41"/>
    <w:rsid w:val="003506B1"/>
    <w:rsid w:val="00355877"/>
    <w:rsid w:val="00356AC7"/>
    <w:rsid w:val="003609FA"/>
    <w:rsid w:val="003710C8"/>
    <w:rsid w:val="003750BE"/>
    <w:rsid w:val="00385A36"/>
    <w:rsid w:val="00385F3D"/>
    <w:rsid w:val="0038740C"/>
    <w:rsid w:val="00387B9D"/>
    <w:rsid w:val="00387C70"/>
    <w:rsid w:val="00390294"/>
    <w:rsid w:val="0039364F"/>
    <w:rsid w:val="00396686"/>
    <w:rsid w:val="0039778E"/>
    <w:rsid w:val="003B4941"/>
    <w:rsid w:val="003C073A"/>
    <w:rsid w:val="003C5714"/>
    <w:rsid w:val="003C6B9F"/>
    <w:rsid w:val="003C6E2A"/>
    <w:rsid w:val="003D0299"/>
    <w:rsid w:val="003E6D80"/>
    <w:rsid w:val="003E7BCC"/>
    <w:rsid w:val="003F05FA"/>
    <w:rsid w:val="003F244A"/>
    <w:rsid w:val="003F2517"/>
    <w:rsid w:val="003F30B8"/>
    <w:rsid w:val="003F4C45"/>
    <w:rsid w:val="003F5F7B"/>
    <w:rsid w:val="003F7D64"/>
    <w:rsid w:val="0040433A"/>
    <w:rsid w:val="00414300"/>
    <w:rsid w:val="00414F27"/>
    <w:rsid w:val="00420703"/>
    <w:rsid w:val="00425C67"/>
    <w:rsid w:val="00427E7A"/>
    <w:rsid w:val="004355AC"/>
    <w:rsid w:val="00436C49"/>
    <w:rsid w:val="00443D98"/>
    <w:rsid w:val="00445366"/>
    <w:rsid w:val="00447F5B"/>
    <w:rsid w:val="00461DB0"/>
    <w:rsid w:val="00463926"/>
    <w:rsid w:val="00464AB7"/>
    <w:rsid w:val="00464C9A"/>
    <w:rsid w:val="00474F3D"/>
    <w:rsid w:val="00477E3A"/>
    <w:rsid w:val="00483E5F"/>
    <w:rsid w:val="00485FF9"/>
    <w:rsid w:val="0049049B"/>
    <w:rsid w:val="004907F0"/>
    <w:rsid w:val="0049140B"/>
    <w:rsid w:val="004923A5"/>
    <w:rsid w:val="0049310E"/>
    <w:rsid w:val="004950E2"/>
    <w:rsid w:val="00496BFB"/>
    <w:rsid w:val="004A15C7"/>
    <w:rsid w:val="004A3201"/>
    <w:rsid w:val="004A7044"/>
    <w:rsid w:val="004B013B"/>
    <w:rsid w:val="004B112B"/>
    <w:rsid w:val="004B444E"/>
    <w:rsid w:val="004C01E4"/>
    <w:rsid w:val="004C086C"/>
    <w:rsid w:val="004C1F56"/>
    <w:rsid w:val="004C27BC"/>
    <w:rsid w:val="004C6621"/>
    <w:rsid w:val="004D0EC7"/>
    <w:rsid w:val="004D15F3"/>
    <w:rsid w:val="004D3B3D"/>
    <w:rsid w:val="004D4EF1"/>
    <w:rsid w:val="004D5311"/>
    <w:rsid w:val="004D5DCC"/>
    <w:rsid w:val="004D7E45"/>
    <w:rsid w:val="004F10AF"/>
    <w:rsid w:val="004F11A4"/>
    <w:rsid w:val="004F2389"/>
    <w:rsid w:val="004F304D"/>
    <w:rsid w:val="004F4290"/>
    <w:rsid w:val="004F61BE"/>
    <w:rsid w:val="004F66B1"/>
    <w:rsid w:val="00502BB5"/>
    <w:rsid w:val="00505F69"/>
    <w:rsid w:val="00511C07"/>
    <w:rsid w:val="005125CB"/>
    <w:rsid w:val="00512EC4"/>
    <w:rsid w:val="0051725A"/>
    <w:rsid w:val="005173A6"/>
    <w:rsid w:val="00517BB8"/>
    <w:rsid w:val="00520354"/>
    <w:rsid w:val="00520BAA"/>
    <w:rsid w:val="005217D8"/>
    <w:rsid w:val="00525208"/>
    <w:rsid w:val="005257A5"/>
    <w:rsid w:val="005264C0"/>
    <w:rsid w:val="00526A8A"/>
    <w:rsid w:val="00527FB1"/>
    <w:rsid w:val="00530FE6"/>
    <w:rsid w:val="00531DF2"/>
    <w:rsid w:val="0053315C"/>
    <w:rsid w:val="00537476"/>
    <w:rsid w:val="005442EE"/>
    <w:rsid w:val="00545DA6"/>
    <w:rsid w:val="00547353"/>
    <w:rsid w:val="005474E7"/>
    <w:rsid w:val="005512A3"/>
    <w:rsid w:val="005578CE"/>
    <w:rsid w:val="00562781"/>
    <w:rsid w:val="00562B6C"/>
    <w:rsid w:val="0057271C"/>
    <w:rsid w:val="00572845"/>
    <w:rsid w:val="005879A2"/>
    <w:rsid w:val="00592772"/>
    <w:rsid w:val="0059574A"/>
    <w:rsid w:val="005A1B9B"/>
    <w:rsid w:val="005A2221"/>
    <w:rsid w:val="005A2E79"/>
    <w:rsid w:val="005A6751"/>
    <w:rsid w:val="005B092E"/>
    <w:rsid w:val="005B152C"/>
    <w:rsid w:val="005B1EE0"/>
    <w:rsid w:val="005B2B24"/>
    <w:rsid w:val="005B4425"/>
    <w:rsid w:val="005B4B94"/>
    <w:rsid w:val="005C2C62"/>
    <w:rsid w:val="005C3EE8"/>
    <w:rsid w:val="005D2F2A"/>
    <w:rsid w:val="005D34F9"/>
    <w:rsid w:val="005D4190"/>
    <w:rsid w:val="005D67A3"/>
    <w:rsid w:val="005E22FA"/>
    <w:rsid w:val="005E2988"/>
    <w:rsid w:val="005E3085"/>
    <w:rsid w:val="005F0EB3"/>
    <w:rsid w:val="005F51E1"/>
    <w:rsid w:val="00611C80"/>
    <w:rsid w:val="00620692"/>
    <w:rsid w:val="006242CA"/>
    <w:rsid w:val="00627507"/>
    <w:rsid w:val="00633717"/>
    <w:rsid w:val="006344E1"/>
    <w:rsid w:val="00643524"/>
    <w:rsid w:val="0064393B"/>
    <w:rsid w:val="00645CF2"/>
    <w:rsid w:val="006545C4"/>
    <w:rsid w:val="00661971"/>
    <w:rsid w:val="00661CE8"/>
    <w:rsid w:val="006623D9"/>
    <w:rsid w:val="006642A5"/>
    <w:rsid w:val="0066550C"/>
    <w:rsid w:val="00665BD2"/>
    <w:rsid w:val="006716F2"/>
    <w:rsid w:val="00675AF2"/>
    <w:rsid w:val="00682BF2"/>
    <w:rsid w:val="0068573E"/>
    <w:rsid w:val="006859CE"/>
    <w:rsid w:val="00691270"/>
    <w:rsid w:val="00694BA8"/>
    <w:rsid w:val="006A037C"/>
    <w:rsid w:val="006A0C84"/>
    <w:rsid w:val="006A36F4"/>
    <w:rsid w:val="006A406F"/>
    <w:rsid w:val="006A4E97"/>
    <w:rsid w:val="006A5D3A"/>
    <w:rsid w:val="006B1942"/>
    <w:rsid w:val="006C23D4"/>
    <w:rsid w:val="006C7BB0"/>
    <w:rsid w:val="006D3237"/>
    <w:rsid w:val="006E2E37"/>
    <w:rsid w:val="006E3CF1"/>
    <w:rsid w:val="006E68A3"/>
    <w:rsid w:val="006E7E80"/>
    <w:rsid w:val="006F1C2D"/>
    <w:rsid w:val="006F48CA"/>
    <w:rsid w:val="006F64DD"/>
    <w:rsid w:val="006F712D"/>
    <w:rsid w:val="007034B5"/>
    <w:rsid w:val="00715127"/>
    <w:rsid w:val="00715E8E"/>
    <w:rsid w:val="00723580"/>
    <w:rsid w:val="00723755"/>
    <w:rsid w:val="0073136C"/>
    <w:rsid w:val="00731F0F"/>
    <w:rsid w:val="00733250"/>
    <w:rsid w:val="00741404"/>
    <w:rsid w:val="007449E5"/>
    <w:rsid w:val="0074750E"/>
    <w:rsid w:val="00747FF0"/>
    <w:rsid w:val="00751066"/>
    <w:rsid w:val="0075566E"/>
    <w:rsid w:val="00763602"/>
    <w:rsid w:val="00764D4E"/>
    <w:rsid w:val="00765A1F"/>
    <w:rsid w:val="00775B6D"/>
    <w:rsid w:val="007762B1"/>
    <w:rsid w:val="00776D68"/>
    <w:rsid w:val="00781140"/>
    <w:rsid w:val="0078323E"/>
    <w:rsid w:val="007849C2"/>
    <w:rsid w:val="007850EE"/>
    <w:rsid w:val="00785B95"/>
    <w:rsid w:val="00790E96"/>
    <w:rsid w:val="007926FD"/>
    <w:rsid w:val="00793366"/>
    <w:rsid w:val="0079666C"/>
    <w:rsid w:val="007A716F"/>
    <w:rsid w:val="007B270A"/>
    <w:rsid w:val="007B4182"/>
    <w:rsid w:val="007C0695"/>
    <w:rsid w:val="007C419A"/>
    <w:rsid w:val="007C4CC8"/>
    <w:rsid w:val="007C5426"/>
    <w:rsid w:val="007C5798"/>
    <w:rsid w:val="007D1ECD"/>
    <w:rsid w:val="007D3701"/>
    <w:rsid w:val="007D4832"/>
    <w:rsid w:val="007E21B2"/>
    <w:rsid w:val="007E2C4E"/>
    <w:rsid w:val="007E2C8C"/>
    <w:rsid w:val="007E51BA"/>
    <w:rsid w:val="007E73D7"/>
    <w:rsid w:val="007E79A4"/>
    <w:rsid w:val="007F1905"/>
    <w:rsid w:val="007F27E4"/>
    <w:rsid w:val="007F3437"/>
    <w:rsid w:val="00802C64"/>
    <w:rsid w:val="00805E52"/>
    <w:rsid w:val="008061D0"/>
    <w:rsid w:val="00810B38"/>
    <w:rsid w:val="008204C7"/>
    <w:rsid w:val="00820992"/>
    <w:rsid w:val="00823602"/>
    <w:rsid w:val="008255F5"/>
    <w:rsid w:val="00826890"/>
    <w:rsid w:val="0083014E"/>
    <w:rsid w:val="0083214A"/>
    <w:rsid w:val="00834220"/>
    <w:rsid w:val="00845723"/>
    <w:rsid w:val="008519E7"/>
    <w:rsid w:val="00851EF9"/>
    <w:rsid w:val="008577FD"/>
    <w:rsid w:val="00860B03"/>
    <w:rsid w:val="0086497A"/>
    <w:rsid w:val="0086538E"/>
    <w:rsid w:val="00867066"/>
    <w:rsid w:val="008713A1"/>
    <w:rsid w:val="00872584"/>
    <w:rsid w:val="008754AB"/>
    <w:rsid w:val="0088060C"/>
    <w:rsid w:val="00882CD5"/>
    <w:rsid w:val="00883151"/>
    <w:rsid w:val="00893576"/>
    <w:rsid w:val="00893E73"/>
    <w:rsid w:val="008B02DC"/>
    <w:rsid w:val="008B092C"/>
    <w:rsid w:val="008B57CE"/>
    <w:rsid w:val="008C26DE"/>
    <w:rsid w:val="008D1668"/>
    <w:rsid w:val="008D2225"/>
    <w:rsid w:val="008D4752"/>
    <w:rsid w:val="008D5A13"/>
    <w:rsid w:val="008E271C"/>
    <w:rsid w:val="008E3A08"/>
    <w:rsid w:val="008E418E"/>
    <w:rsid w:val="008E5BC6"/>
    <w:rsid w:val="008E6217"/>
    <w:rsid w:val="008E6A25"/>
    <w:rsid w:val="008F2465"/>
    <w:rsid w:val="008F2554"/>
    <w:rsid w:val="008F3AEC"/>
    <w:rsid w:val="008F4D80"/>
    <w:rsid w:val="008F5193"/>
    <w:rsid w:val="008F6B36"/>
    <w:rsid w:val="009013A7"/>
    <w:rsid w:val="009017FB"/>
    <w:rsid w:val="009017FC"/>
    <w:rsid w:val="00903CD0"/>
    <w:rsid w:val="0090506B"/>
    <w:rsid w:val="009050C9"/>
    <w:rsid w:val="009066FC"/>
    <w:rsid w:val="009140A3"/>
    <w:rsid w:val="009144A2"/>
    <w:rsid w:val="0091510C"/>
    <w:rsid w:val="009259AC"/>
    <w:rsid w:val="00926F38"/>
    <w:rsid w:val="00927BEB"/>
    <w:rsid w:val="009333DC"/>
    <w:rsid w:val="00934301"/>
    <w:rsid w:val="00936CD1"/>
    <w:rsid w:val="0094131C"/>
    <w:rsid w:val="00941747"/>
    <w:rsid w:val="00941EFB"/>
    <w:rsid w:val="009434E6"/>
    <w:rsid w:val="00947AFB"/>
    <w:rsid w:val="00951AA3"/>
    <w:rsid w:val="00951D7D"/>
    <w:rsid w:val="00956D0C"/>
    <w:rsid w:val="009630C7"/>
    <w:rsid w:val="00972B55"/>
    <w:rsid w:val="009743B7"/>
    <w:rsid w:val="0098228B"/>
    <w:rsid w:val="009828DA"/>
    <w:rsid w:val="0098410D"/>
    <w:rsid w:val="00985BAB"/>
    <w:rsid w:val="00986B3C"/>
    <w:rsid w:val="009A115C"/>
    <w:rsid w:val="009A7FC1"/>
    <w:rsid w:val="009B1606"/>
    <w:rsid w:val="009B1B5F"/>
    <w:rsid w:val="009B6673"/>
    <w:rsid w:val="009C191B"/>
    <w:rsid w:val="009C2BD6"/>
    <w:rsid w:val="009D57AA"/>
    <w:rsid w:val="009E1F32"/>
    <w:rsid w:val="009E2CC2"/>
    <w:rsid w:val="009E47A2"/>
    <w:rsid w:val="009E776C"/>
    <w:rsid w:val="009E7A6F"/>
    <w:rsid w:val="009F4C8F"/>
    <w:rsid w:val="00A02972"/>
    <w:rsid w:val="00A05588"/>
    <w:rsid w:val="00A15601"/>
    <w:rsid w:val="00A1726E"/>
    <w:rsid w:val="00A204CF"/>
    <w:rsid w:val="00A21D2B"/>
    <w:rsid w:val="00A22745"/>
    <w:rsid w:val="00A23D49"/>
    <w:rsid w:val="00A27004"/>
    <w:rsid w:val="00A308CE"/>
    <w:rsid w:val="00A30C29"/>
    <w:rsid w:val="00A34DD6"/>
    <w:rsid w:val="00A35683"/>
    <w:rsid w:val="00A36819"/>
    <w:rsid w:val="00A36989"/>
    <w:rsid w:val="00A41D86"/>
    <w:rsid w:val="00A43628"/>
    <w:rsid w:val="00A45145"/>
    <w:rsid w:val="00A51D0F"/>
    <w:rsid w:val="00A54192"/>
    <w:rsid w:val="00A57147"/>
    <w:rsid w:val="00A6035E"/>
    <w:rsid w:val="00A6144C"/>
    <w:rsid w:val="00A636F8"/>
    <w:rsid w:val="00A66617"/>
    <w:rsid w:val="00A671F8"/>
    <w:rsid w:val="00A673A4"/>
    <w:rsid w:val="00A724AE"/>
    <w:rsid w:val="00A73329"/>
    <w:rsid w:val="00A82359"/>
    <w:rsid w:val="00A865D2"/>
    <w:rsid w:val="00A87C10"/>
    <w:rsid w:val="00A90BCD"/>
    <w:rsid w:val="00A92625"/>
    <w:rsid w:val="00A94C20"/>
    <w:rsid w:val="00A95D81"/>
    <w:rsid w:val="00AA1B09"/>
    <w:rsid w:val="00AA227F"/>
    <w:rsid w:val="00AA3BC7"/>
    <w:rsid w:val="00AA754A"/>
    <w:rsid w:val="00AB099E"/>
    <w:rsid w:val="00AB4328"/>
    <w:rsid w:val="00AC38DE"/>
    <w:rsid w:val="00AC4CD4"/>
    <w:rsid w:val="00AC6566"/>
    <w:rsid w:val="00AE0A2E"/>
    <w:rsid w:val="00AE354C"/>
    <w:rsid w:val="00AF12C5"/>
    <w:rsid w:val="00AF4B07"/>
    <w:rsid w:val="00AF6186"/>
    <w:rsid w:val="00AF7A3A"/>
    <w:rsid w:val="00B02587"/>
    <w:rsid w:val="00B04317"/>
    <w:rsid w:val="00B049D1"/>
    <w:rsid w:val="00B14793"/>
    <w:rsid w:val="00B153A0"/>
    <w:rsid w:val="00B160DB"/>
    <w:rsid w:val="00B20836"/>
    <w:rsid w:val="00B235BB"/>
    <w:rsid w:val="00B27A44"/>
    <w:rsid w:val="00B30BBF"/>
    <w:rsid w:val="00B33C03"/>
    <w:rsid w:val="00B4421F"/>
    <w:rsid w:val="00B44E56"/>
    <w:rsid w:val="00B45917"/>
    <w:rsid w:val="00B46543"/>
    <w:rsid w:val="00B47D33"/>
    <w:rsid w:val="00B52BE0"/>
    <w:rsid w:val="00B54133"/>
    <w:rsid w:val="00B55A8D"/>
    <w:rsid w:val="00B701ED"/>
    <w:rsid w:val="00B748F7"/>
    <w:rsid w:val="00B8086C"/>
    <w:rsid w:val="00B81C58"/>
    <w:rsid w:val="00B861B4"/>
    <w:rsid w:val="00B86DFE"/>
    <w:rsid w:val="00B90990"/>
    <w:rsid w:val="00B922FF"/>
    <w:rsid w:val="00B9281E"/>
    <w:rsid w:val="00B93925"/>
    <w:rsid w:val="00B95187"/>
    <w:rsid w:val="00BA2D55"/>
    <w:rsid w:val="00BA71B1"/>
    <w:rsid w:val="00BB0637"/>
    <w:rsid w:val="00BB345F"/>
    <w:rsid w:val="00BB68EA"/>
    <w:rsid w:val="00BC0B99"/>
    <w:rsid w:val="00BC1C27"/>
    <w:rsid w:val="00BC56A7"/>
    <w:rsid w:val="00BC6BBF"/>
    <w:rsid w:val="00BD1572"/>
    <w:rsid w:val="00BE14E3"/>
    <w:rsid w:val="00BE3774"/>
    <w:rsid w:val="00BE41E5"/>
    <w:rsid w:val="00BE4CE2"/>
    <w:rsid w:val="00BF118F"/>
    <w:rsid w:val="00BF4109"/>
    <w:rsid w:val="00BF4CC3"/>
    <w:rsid w:val="00C054C7"/>
    <w:rsid w:val="00C057B5"/>
    <w:rsid w:val="00C07D0E"/>
    <w:rsid w:val="00C115C3"/>
    <w:rsid w:val="00C15547"/>
    <w:rsid w:val="00C1672D"/>
    <w:rsid w:val="00C22687"/>
    <w:rsid w:val="00C26A92"/>
    <w:rsid w:val="00C26B1C"/>
    <w:rsid w:val="00C32E4D"/>
    <w:rsid w:val="00C333A0"/>
    <w:rsid w:val="00C36A81"/>
    <w:rsid w:val="00C41974"/>
    <w:rsid w:val="00C44A2C"/>
    <w:rsid w:val="00C44F09"/>
    <w:rsid w:val="00C477F7"/>
    <w:rsid w:val="00C47C27"/>
    <w:rsid w:val="00C509A6"/>
    <w:rsid w:val="00C53F4A"/>
    <w:rsid w:val="00C54125"/>
    <w:rsid w:val="00C55B54"/>
    <w:rsid w:val="00C6098E"/>
    <w:rsid w:val="00C6152C"/>
    <w:rsid w:val="00C71424"/>
    <w:rsid w:val="00C74810"/>
    <w:rsid w:val="00C90D68"/>
    <w:rsid w:val="00C939FE"/>
    <w:rsid w:val="00CA4BDA"/>
    <w:rsid w:val="00CB13E3"/>
    <w:rsid w:val="00CB1F66"/>
    <w:rsid w:val="00CB232C"/>
    <w:rsid w:val="00CB2951"/>
    <w:rsid w:val="00CB4277"/>
    <w:rsid w:val="00CC5067"/>
    <w:rsid w:val="00CD11D3"/>
    <w:rsid w:val="00CD282B"/>
    <w:rsid w:val="00CD447B"/>
    <w:rsid w:val="00CD4C35"/>
    <w:rsid w:val="00CD7369"/>
    <w:rsid w:val="00CE0B0E"/>
    <w:rsid w:val="00CE3831"/>
    <w:rsid w:val="00CF2397"/>
    <w:rsid w:val="00D00ABB"/>
    <w:rsid w:val="00D02EEC"/>
    <w:rsid w:val="00D03551"/>
    <w:rsid w:val="00D04090"/>
    <w:rsid w:val="00D04315"/>
    <w:rsid w:val="00D06A63"/>
    <w:rsid w:val="00D07E0E"/>
    <w:rsid w:val="00D10CD6"/>
    <w:rsid w:val="00D11478"/>
    <w:rsid w:val="00D15ED0"/>
    <w:rsid w:val="00D164BF"/>
    <w:rsid w:val="00D21B3E"/>
    <w:rsid w:val="00D21FED"/>
    <w:rsid w:val="00D23048"/>
    <w:rsid w:val="00D24251"/>
    <w:rsid w:val="00D26E72"/>
    <w:rsid w:val="00D343E2"/>
    <w:rsid w:val="00D361A2"/>
    <w:rsid w:val="00D37272"/>
    <w:rsid w:val="00D44C2E"/>
    <w:rsid w:val="00D45414"/>
    <w:rsid w:val="00D50A0A"/>
    <w:rsid w:val="00D53548"/>
    <w:rsid w:val="00D5576B"/>
    <w:rsid w:val="00D566BD"/>
    <w:rsid w:val="00D57A4D"/>
    <w:rsid w:val="00D60AA7"/>
    <w:rsid w:val="00D6435F"/>
    <w:rsid w:val="00D66471"/>
    <w:rsid w:val="00D669D4"/>
    <w:rsid w:val="00D70641"/>
    <w:rsid w:val="00D74888"/>
    <w:rsid w:val="00D7488B"/>
    <w:rsid w:val="00D75E28"/>
    <w:rsid w:val="00D772C2"/>
    <w:rsid w:val="00D8008E"/>
    <w:rsid w:val="00D82C45"/>
    <w:rsid w:val="00D908A8"/>
    <w:rsid w:val="00D977B6"/>
    <w:rsid w:val="00DA1223"/>
    <w:rsid w:val="00DA4A31"/>
    <w:rsid w:val="00DA7B04"/>
    <w:rsid w:val="00DB36C2"/>
    <w:rsid w:val="00DC00A8"/>
    <w:rsid w:val="00DC169B"/>
    <w:rsid w:val="00DC2AB9"/>
    <w:rsid w:val="00DC63F0"/>
    <w:rsid w:val="00DD37EA"/>
    <w:rsid w:val="00DD6EE5"/>
    <w:rsid w:val="00DE386C"/>
    <w:rsid w:val="00DE4D35"/>
    <w:rsid w:val="00DF098B"/>
    <w:rsid w:val="00DF11C4"/>
    <w:rsid w:val="00DF210C"/>
    <w:rsid w:val="00DF4B6A"/>
    <w:rsid w:val="00E004C0"/>
    <w:rsid w:val="00E02C09"/>
    <w:rsid w:val="00E04D59"/>
    <w:rsid w:val="00E07DA1"/>
    <w:rsid w:val="00E123CB"/>
    <w:rsid w:val="00E13B09"/>
    <w:rsid w:val="00E20E13"/>
    <w:rsid w:val="00E21DBC"/>
    <w:rsid w:val="00E275D7"/>
    <w:rsid w:val="00E27DBE"/>
    <w:rsid w:val="00E32AB1"/>
    <w:rsid w:val="00E36C71"/>
    <w:rsid w:val="00E40404"/>
    <w:rsid w:val="00E4126A"/>
    <w:rsid w:val="00E42A06"/>
    <w:rsid w:val="00E459C6"/>
    <w:rsid w:val="00E47589"/>
    <w:rsid w:val="00E557AA"/>
    <w:rsid w:val="00E63EC7"/>
    <w:rsid w:val="00E64915"/>
    <w:rsid w:val="00E64D3A"/>
    <w:rsid w:val="00E661D4"/>
    <w:rsid w:val="00E66FC9"/>
    <w:rsid w:val="00E67565"/>
    <w:rsid w:val="00E70091"/>
    <w:rsid w:val="00E70D2E"/>
    <w:rsid w:val="00E720F5"/>
    <w:rsid w:val="00E744E0"/>
    <w:rsid w:val="00E76D47"/>
    <w:rsid w:val="00E827BC"/>
    <w:rsid w:val="00E849F7"/>
    <w:rsid w:val="00E90302"/>
    <w:rsid w:val="00E91D05"/>
    <w:rsid w:val="00E9262D"/>
    <w:rsid w:val="00E94245"/>
    <w:rsid w:val="00E95C1E"/>
    <w:rsid w:val="00E97396"/>
    <w:rsid w:val="00EA185E"/>
    <w:rsid w:val="00EA592A"/>
    <w:rsid w:val="00EB14E4"/>
    <w:rsid w:val="00EB32A5"/>
    <w:rsid w:val="00EB34ED"/>
    <w:rsid w:val="00EB447C"/>
    <w:rsid w:val="00EB7BE0"/>
    <w:rsid w:val="00EC315E"/>
    <w:rsid w:val="00ED077C"/>
    <w:rsid w:val="00ED10A9"/>
    <w:rsid w:val="00ED1190"/>
    <w:rsid w:val="00ED34AC"/>
    <w:rsid w:val="00ED6544"/>
    <w:rsid w:val="00EE0277"/>
    <w:rsid w:val="00EE2899"/>
    <w:rsid w:val="00EE3E00"/>
    <w:rsid w:val="00EE5DD2"/>
    <w:rsid w:val="00EF36C5"/>
    <w:rsid w:val="00EF3DB4"/>
    <w:rsid w:val="00F00A79"/>
    <w:rsid w:val="00F00D13"/>
    <w:rsid w:val="00F00E86"/>
    <w:rsid w:val="00F07C1E"/>
    <w:rsid w:val="00F105DB"/>
    <w:rsid w:val="00F132BC"/>
    <w:rsid w:val="00F13D80"/>
    <w:rsid w:val="00F15B4D"/>
    <w:rsid w:val="00F16A7C"/>
    <w:rsid w:val="00F16AAA"/>
    <w:rsid w:val="00F1709C"/>
    <w:rsid w:val="00F21161"/>
    <w:rsid w:val="00F218EF"/>
    <w:rsid w:val="00F21BC7"/>
    <w:rsid w:val="00F266A2"/>
    <w:rsid w:val="00F32269"/>
    <w:rsid w:val="00F35B7A"/>
    <w:rsid w:val="00F425E6"/>
    <w:rsid w:val="00F56A6F"/>
    <w:rsid w:val="00F5709C"/>
    <w:rsid w:val="00F60B85"/>
    <w:rsid w:val="00F64EF1"/>
    <w:rsid w:val="00F72498"/>
    <w:rsid w:val="00F72B14"/>
    <w:rsid w:val="00F7349B"/>
    <w:rsid w:val="00F8765F"/>
    <w:rsid w:val="00F90767"/>
    <w:rsid w:val="00F9263C"/>
    <w:rsid w:val="00F95B7A"/>
    <w:rsid w:val="00FA1637"/>
    <w:rsid w:val="00FA685B"/>
    <w:rsid w:val="00FB0C01"/>
    <w:rsid w:val="00FB5934"/>
    <w:rsid w:val="00FC18F2"/>
    <w:rsid w:val="00FC2A17"/>
    <w:rsid w:val="00FC38CF"/>
    <w:rsid w:val="00FC39E5"/>
    <w:rsid w:val="00FC3A78"/>
    <w:rsid w:val="00FD1005"/>
    <w:rsid w:val="00FD1F7F"/>
    <w:rsid w:val="00FD6C75"/>
    <w:rsid w:val="00FD7972"/>
    <w:rsid w:val="00FE0401"/>
    <w:rsid w:val="00FE71B3"/>
    <w:rsid w:val="00FF2BF6"/>
    <w:rsid w:val="00FF42C5"/>
    <w:rsid w:val="00FF7FF0"/>
  </w:rsids>
  <w:docVars>
    <w:docVar w:name="ApplicationsApp" w:val="1"/>
    <w:docVar w:name="EMM" w:val="0"/>
    <w:docVar w:name="NBEMMDOC" w:val="0"/>
    <w:docVar w:name="Plural" w:val="0"/>
  </w:docVar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doNotAutoCompressPictures/>
  <w14:docId w14:val="7AE4AE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semiHidden/>
    <w:rsid w:val="00F95B7A"/>
    <w:rPr>
      <w:sz w:val="24"/>
      <w:szCs w:val="24"/>
      <w:lang w:val="en-GB"/>
    </w:rPr>
  </w:style>
  <w:style w:type="paragraph" w:styleId="Heading1">
    <w:name w:val="heading 1"/>
    <w:basedOn w:val="Normal"/>
    <w:next w:val="Normal"/>
    <w:link w:val="Heading1Char"/>
    <w:uiPriority w:val="98"/>
    <w:semiHidden/>
    <w:rsid w:val="00F95B7A"/>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F95B7A"/>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F95B7A"/>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F95B7A"/>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F95B7A"/>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F95B7A"/>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F95B7A"/>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F95B7A"/>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F95B7A"/>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F95B7A"/>
    <w:rPr>
      <w:rFonts w:ascii="Tahoma" w:hAnsi="Tahoma" w:cs="Tahoma"/>
      <w:sz w:val="16"/>
      <w:szCs w:val="16"/>
    </w:rPr>
  </w:style>
  <w:style w:type="character" w:customStyle="1" w:styleId="BalloonTextChar">
    <w:name w:val="Balloon Text Char"/>
    <w:basedOn w:val="DefaultParagraphFont"/>
    <w:link w:val="BalloonText"/>
    <w:uiPriority w:val="98"/>
    <w:semiHidden/>
    <w:rsid w:val="00F95B7A"/>
    <w:rPr>
      <w:rFonts w:ascii="Tahoma" w:hAnsi="Tahoma" w:cs="Tahoma"/>
      <w:sz w:val="16"/>
      <w:szCs w:val="16"/>
      <w:lang w:val="en-GB"/>
    </w:rPr>
  </w:style>
  <w:style w:type="character" w:styleId="BookTitle">
    <w:name w:val="Book Title"/>
    <w:uiPriority w:val="98"/>
    <w:semiHidden/>
    <w:qFormat/>
    <w:rsid w:val="00F95B7A"/>
    <w:rPr>
      <w:i/>
      <w:iCs/>
      <w:smallCaps/>
      <w:spacing w:val="5"/>
    </w:rPr>
  </w:style>
  <w:style w:type="paragraph" w:customStyle="1" w:styleId="JuHeader">
    <w:name w:val="Ju_Header"/>
    <w:aliases w:val="_Header"/>
    <w:basedOn w:val="Header0"/>
    <w:uiPriority w:val="29"/>
    <w:qFormat/>
    <w:rsid w:val="00F95B7A"/>
    <w:pPr>
      <w:tabs>
        <w:tab w:val="clear" w:pos="4536"/>
        <w:tab w:val="clear" w:pos="9072"/>
      </w:tabs>
      <w:jc w:val="center"/>
    </w:pPr>
    <w:rPr>
      <w:sz w:val="18"/>
    </w:rPr>
  </w:style>
  <w:style w:type="paragraph" w:customStyle="1" w:styleId="NormalJustified">
    <w:name w:val="Normal_Justified"/>
    <w:basedOn w:val="Normal"/>
    <w:semiHidden/>
    <w:rsid w:val="00F95B7A"/>
    <w:pPr>
      <w:jc w:val="both"/>
    </w:pPr>
  </w:style>
  <w:style w:type="character" w:styleId="Strong">
    <w:name w:val="Strong"/>
    <w:uiPriority w:val="98"/>
    <w:semiHidden/>
    <w:qFormat/>
    <w:rsid w:val="00F95B7A"/>
    <w:rPr>
      <w:b/>
      <w:bCs/>
    </w:rPr>
  </w:style>
  <w:style w:type="paragraph" w:styleId="NoSpacing">
    <w:name w:val="No Spacing"/>
    <w:basedOn w:val="Normal"/>
    <w:link w:val="NoSpacingChar"/>
    <w:uiPriority w:val="98"/>
    <w:semiHidden/>
    <w:qFormat/>
    <w:rsid w:val="00F95B7A"/>
  </w:style>
  <w:style w:type="character" w:customStyle="1" w:styleId="NoSpacingChar">
    <w:name w:val="No Spacing Char"/>
    <w:basedOn w:val="DefaultParagraphFont"/>
    <w:link w:val="NoSpacing"/>
    <w:uiPriority w:val="98"/>
    <w:semiHidden/>
    <w:rsid w:val="00F95B7A"/>
    <w:rPr>
      <w:sz w:val="24"/>
      <w:szCs w:val="24"/>
      <w:lang w:val="en-GB"/>
    </w:rPr>
  </w:style>
  <w:style w:type="paragraph" w:customStyle="1" w:styleId="JuQuot">
    <w:name w:val="Ju_Quot"/>
    <w:aliases w:val="_Quote"/>
    <w:basedOn w:val="NormalJustified"/>
    <w:uiPriority w:val="20"/>
    <w:qFormat/>
    <w:rsid w:val="00F95B7A"/>
    <w:pPr>
      <w:spacing w:before="120" w:after="120"/>
      <w:ind w:left="425" w:firstLine="142"/>
    </w:pPr>
    <w:rPr>
      <w:sz w:val="20"/>
    </w:rPr>
  </w:style>
  <w:style w:type="paragraph" w:customStyle="1" w:styleId="JuList">
    <w:name w:val="Ju_List"/>
    <w:aliases w:val="_List_1"/>
    <w:basedOn w:val="NormalJustified"/>
    <w:uiPriority w:val="23"/>
    <w:qFormat/>
    <w:rsid w:val="00F95B7A"/>
    <w:pPr>
      <w:numPr>
        <w:numId w:val="23"/>
      </w:numPr>
      <w:spacing w:before="280" w:after="60"/>
    </w:pPr>
  </w:style>
  <w:style w:type="paragraph" w:customStyle="1" w:styleId="JuLista">
    <w:name w:val="Ju_List_a"/>
    <w:aliases w:val="_List_2"/>
    <w:basedOn w:val="NormalJustified"/>
    <w:uiPriority w:val="23"/>
    <w:rsid w:val="00F95B7A"/>
    <w:pPr>
      <w:numPr>
        <w:ilvl w:val="1"/>
        <w:numId w:val="23"/>
      </w:numPr>
    </w:pPr>
  </w:style>
  <w:style w:type="paragraph" w:customStyle="1" w:styleId="JuListi">
    <w:name w:val="Ju_List_i"/>
    <w:aliases w:val="_List_3"/>
    <w:basedOn w:val="NormalJustified"/>
    <w:uiPriority w:val="23"/>
    <w:rsid w:val="00F95B7A"/>
    <w:pPr>
      <w:numPr>
        <w:ilvl w:val="2"/>
        <w:numId w:val="23"/>
      </w:numPr>
    </w:pPr>
  </w:style>
  <w:style w:type="paragraph" w:customStyle="1" w:styleId="JuHArticle">
    <w:name w:val="Ju_H_Article"/>
    <w:aliases w:val="_Title_Quote"/>
    <w:basedOn w:val="Normal"/>
    <w:next w:val="JuQuot"/>
    <w:uiPriority w:val="19"/>
    <w:qFormat/>
    <w:rsid w:val="00F95B7A"/>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8"/>
    <w:qFormat/>
    <w:rsid w:val="00F95B7A"/>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F95B7A"/>
    <w:pPr>
      <w:keepNext/>
      <w:keepLines/>
      <w:tabs>
        <w:tab w:val="right" w:pos="7938"/>
      </w:tabs>
      <w:ind w:firstLine="0"/>
      <w:jc w:val="center"/>
    </w:pPr>
    <w:rPr>
      <w:i/>
    </w:rPr>
  </w:style>
  <w:style w:type="paragraph" w:customStyle="1" w:styleId="JuHHead">
    <w:name w:val="Ju_H_Head"/>
    <w:aliases w:val="_Head_1"/>
    <w:basedOn w:val="Heading1"/>
    <w:next w:val="JuPara"/>
    <w:uiPriority w:val="17"/>
    <w:qFormat/>
    <w:rsid w:val="00F95B7A"/>
    <w:pPr>
      <w:keepNext/>
      <w:keepLines/>
      <w:numPr>
        <w:numId w:val="22"/>
      </w:numPr>
      <w:spacing w:before="100" w:beforeAutospacing="1" w:after="240"/>
      <w:contextualSpacing w:val="0"/>
      <w:jc w:val="both"/>
    </w:pPr>
    <w:rPr>
      <w:b w:val="0"/>
      <w:caps/>
      <w:color w:val="auto"/>
    </w:rPr>
  </w:style>
  <w:style w:type="numbering" w:customStyle="1" w:styleId="ECHRA1StyleBulletedSquare">
    <w:name w:val="ECHR_A1_Style_Bulleted_Square"/>
    <w:basedOn w:val="NoList"/>
    <w:rsid w:val="00F95B7A"/>
    <w:pPr>
      <w:numPr>
        <w:numId w:val="17"/>
      </w:numPr>
    </w:pPr>
  </w:style>
  <w:style w:type="paragraph" w:customStyle="1" w:styleId="JuSigned">
    <w:name w:val="Ju_Signed"/>
    <w:aliases w:val="_Signature"/>
    <w:basedOn w:val="Normal"/>
    <w:next w:val="JuPara"/>
    <w:uiPriority w:val="31"/>
    <w:qFormat/>
    <w:rsid w:val="00F95B7A"/>
    <w:pPr>
      <w:tabs>
        <w:tab w:val="center" w:pos="1418"/>
        <w:tab w:val="center" w:pos="5954"/>
      </w:tabs>
      <w:spacing w:before="720"/>
    </w:pPr>
  </w:style>
  <w:style w:type="paragraph" w:styleId="Title">
    <w:name w:val="Title"/>
    <w:basedOn w:val="Normal"/>
    <w:next w:val="Normal"/>
    <w:link w:val="TitleChar"/>
    <w:uiPriority w:val="98"/>
    <w:semiHidden/>
    <w:qFormat/>
    <w:rsid w:val="00F95B7A"/>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F95B7A"/>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F95B7A"/>
    <w:pPr>
      <w:numPr>
        <w:numId w:val="18"/>
      </w:numPr>
    </w:pPr>
  </w:style>
  <w:style w:type="numbering" w:customStyle="1" w:styleId="ECHRA1StyleNumberedList">
    <w:name w:val="ECHR_A1_Style_Numbered_List"/>
    <w:basedOn w:val="NoList"/>
    <w:rsid w:val="00F95B7A"/>
    <w:pPr>
      <w:numPr>
        <w:numId w:val="19"/>
      </w:numPr>
    </w:pPr>
  </w:style>
  <w:style w:type="table" w:customStyle="1" w:styleId="ECHRTable2019">
    <w:name w:val="ECHR_Table_2019"/>
    <w:basedOn w:val="TableNormal"/>
    <w:uiPriority w:val="99"/>
    <w:rsid w:val="00F95B7A"/>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auto"/>
        <w:sz w:val="22"/>
      </w:rPr>
      <w:tblPr/>
      <w:tcPr>
        <w:shd w:val="clear" w:color="auto" w:fill="DDDDDD" w:themeFill="accent3" w:themeFillTint="3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band2Horz">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l2br w:val="nil"/>
          <w:tr2bl w:val="nil"/>
        </w:tcBorders>
        <w:shd w:val="clear" w:color="auto" w:fill="EFEFEF" w:themeFill="text2" w:themeFillTint="33"/>
      </w:tcPr>
    </w:tblStylePr>
  </w:style>
  <w:style w:type="paragraph" w:customStyle="1" w:styleId="Footer">
    <w:name w:val="_Footer"/>
    <w:aliases w:val="Footer_"/>
    <w:basedOn w:val="Footer1"/>
    <w:uiPriority w:val="57"/>
    <w:semiHidden/>
    <w:rsid w:val="007D3701"/>
    <w:rPr>
      <w:sz w:val="8"/>
    </w:rPr>
  </w:style>
  <w:style w:type="paragraph" w:customStyle="1" w:styleId="JuCourt">
    <w:name w:val="Ju_Court"/>
    <w:aliases w:val="_Court_Names"/>
    <w:basedOn w:val="Normal"/>
    <w:next w:val="Normal"/>
    <w:uiPriority w:val="32"/>
    <w:qFormat/>
    <w:rsid w:val="00F95B7A"/>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F95B7A"/>
    <w:pPr>
      <w:keepNext/>
      <w:keepLines/>
      <w:numPr>
        <w:ilvl w:val="1"/>
        <w:numId w:val="22"/>
      </w:numPr>
      <w:tabs>
        <w:tab w:val="left" w:pos="454"/>
        <w:tab w:val="left" w:pos="539"/>
        <w:tab w:val="left" w:pos="624"/>
        <w:tab w:val="left" w:pos="709"/>
        <w:tab w:val="left" w:pos="794"/>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F95B7A"/>
    <w:pPr>
      <w:keepNext/>
      <w:keepLines/>
      <w:numPr>
        <w:ilvl w:val="2"/>
        <w:numId w:val="22"/>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F95B7A"/>
    <w:pPr>
      <w:keepNext/>
      <w:keepLines/>
      <w:numPr>
        <w:ilvl w:val="3"/>
        <w:numId w:val="22"/>
      </w:numPr>
      <w:spacing w:before="100" w:beforeAutospacing="1" w:after="120"/>
      <w:jc w:val="both"/>
    </w:pPr>
    <w:rPr>
      <w:b w:val="0"/>
      <w:color w:val="auto"/>
      <w:sz w:val="24"/>
    </w:rPr>
  </w:style>
  <w:style w:type="paragraph" w:styleId="Header0">
    <w:name w:val="header"/>
    <w:basedOn w:val="Normal"/>
    <w:link w:val="HeaderChar"/>
    <w:uiPriority w:val="98"/>
    <w:semiHidden/>
    <w:rsid w:val="00F95B7A"/>
    <w:pPr>
      <w:tabs>
        <w:tab w:val="center" w:pos="4536"/>
        <w:tab w:val="right" w:pos="9072"/>
      </w:tabs>
    </w:pPr>
  </w:style>
  <w:style w:type="character" w:customStyle="1" w:styleId="HeaderChar">
    <w:name w:val="Header Char"/>
    <w:basedOn w:val="DefaultParagraphFont"/>
    <w:link w:val="Header0"/>
    <w:uiPriority w:val="98"/>
    <w:semiHidden/>
    <w:rsid w:val="00F95B7A"/>
    <w:rPr>
      <w:sz w:val="24"/>
      <w:szCs w:val="24"/>
      <w:lang w:val="en-GB"/>
    </w:rPr>
  </w:style>
  <w:style w:type="character" w:customStyle="1" w:styleId="Heading1Char">
    <w:name w:val="Heading 1 Char"/>
    <w:basedOn w:val="DefaultParagraphFont"/>
    <w:link w:val="Heading1"/>
    <w:uiPriority w:val="98"/>
    <w:semiHidden/>
    <w:rsid w:val="00F95B7A"/>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Heading5"/>
    <w:next w:val="JuPara"/>
    <w:uiPriority w:val="17"/>
    <w:rsid w:val="00F95B7A"/>
    <w:pPr>
      <w:keepNext/>
      <w:keepLines/>
      <w:numPr>
        <w:ilvl w:val="4"/>
        <w:numId w:val="22"/>
      </w:numPr>
      <w:spacing w:before="100" w:beforeAutospacing="1" w:after="120"/>
      <w:jc w:val="both"/>
    </w:pPr>
    <w:rPr>
      <w:color w:val="auto"/>
      <w:sz w:val="20"/>
    </w:rPr>
  </w:style>
  <w:style w:type="paragraph" w:customStyle="1" w:styleId="JuHi">
    <w:name w:val="Ju_H_i"/>
    <w:aliases w:val="_Head_6"/>
    <w:basedOn w:val="Heading6"/>
    <w:next w:val="JuPara"/>
    <w:uiPriority w:val="17"/>
    <w:rsid w:val="00F95B7A"/>
    <w:pPr>
      <w:keepNext/>
      <w:keepLines/>
      <w:numPr>
        <w:ilvl w:val="5"/>
        <w:numId w:val="22"/>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2Char">
    <w:name w:val="Heading 2 Char"/>
    <w:basedOn w:val="DefaultParagraphFont"/>
    <w:link w:val="Heading2"/>
    <w:uiPriority w:val="98"/>
    <w:semiHidden/>
    <w:rsid w:val="00F95B7A"/>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Heading7"/>
    <w:next w:val="JuPara"/>
    <w:uiPriority w:val="17"/>
    <w:rsid w:val="00F95B7A"/>
    <w:pPr>
      <w:keepNext/>
      <w:keepLines/>
      <w:numPr>
        <w:ilvl w:val="6"/>
        <w:numId w:val="22"/>
      </w:numPr>
      <w:tabs>
        <w:tab w:val="left" w:pos="1361"/>
      </w:tabs>
      <w:spacing w:before="100" w:beforeAutospacing="1" w:after="120"/>
      <w:jc w:val="both"/>
    </w:pPr>
    <w:rPr>
      <w:i w:val="0"/>
      <w:sz w:val="20"/>
    </w:rPr>
  </w:style>
  <w:style w:type="paragraph" w:customStyle="1" w:styleId="JuH">
    <w:name w:val="Ju_H_–"/>
    <w:aliases w:val="_Head_8"/>
    <w:basedOn w:val="Heading8"/>
    <w:next w:val="JuPara"/>
    <w:uiPriority w:val="17"/>
    <w:rsid w:val="00F95B7A"/>
    <w:pPr>
      <w:keepNext/>
      <w:keepLines/>
      <w:numPr>
        <w:ilvl w:val="7"/>
        <w:numId w:val="22"/>
      </w:numPr>
      <w:spacing w:before="100" w:beforeAutospacing="1" w:after="120"/>
      <w:jc w:val="both"/>
    </w:pPr>
    <w:rPr>
      <w:i/>
    </w:rPr>
  </w:style>
  <w:style w:type="character" w:customStyle="1" w:styleId="Heading3Char">
    <w:name w:val="Heading 3 Char"/>
    <w:basedOn w:val="DefaultParagraphFont"/>
    <w:link w:val="Heading3"/>
    <w:uiPriority w:val="98"/>
    <w:semiHidden/>
    <w:rsid w:val="00F95B7A"/>
    <w:rPr>
      <w:rFonts w:asciiTheme="majorHAnsi" w:eastAsiaTheme="majorEastAsia" w:hAnsiTheme="majorHAnsi" w:cstheme="majorBidi"/>
      <w:b/>
      <w:bCs/>
      <w:color w:val="5F5F5F"/>
      <w:lang w:val="en-GB"/>
    </w:rPr>
  </w:style>
  <w:style w:type="paragraph" w:customStyle="1" w:styleId="JuParaLast">
    <w:name w:val="Ju_Para_Last"/>
    <w:aliases w:val="_Para_Spaced"/>
    <w:basedOn w:val="NormalJustified"/>
    <w:uiPriority w:val="5"/>
    <w:qFormat/>
    <w:rsid w:val="00F95B7A"/>
    <w:pPr>
      <w:keepNext/>
      <w:keepLines/>
      <w:spacing w:before="240" w:after="240"/>
      <w:ind w:firstLine="284"/>
    </w:pPr>
  </w:style>
  <w:style w:type="paragraph" w:customStyle="1" w:styleId="JuJudges">
    <w:name w:val="Ju_Judges"/>
    <w:aliases w:val="_Judges"/>
    <w:basedOn w:val="Normal"/>
    <w:uiPriority w:val="32"/>
    <w:qFormat/>
    <w:rsid w:val="00F95B7A"/>
    <w:pPr>
      <w:tabs>
        <w:tab w:val="left" w:pos="567"/>
        <w:tab w:val="left" w:pos="1134"/>
      </w:tabs>
    </w:pPr>
  </w:style>
  <w:style w:type="character" w:customStyle="1" w:styleId="Heading4Char">
    <w:name w:val="Heading 4 Char"/>
    <w:basedOn w:val="DefaultParagraphFont"/>
    <w:link w:val="Heading4"/>
    <w:uiPriority w:val="98"/>
    <w:semiHidden/>
    <w:rsid w:val="00F95B7A"/>
    <w:rPr>
      <w:rFonts w:asciiTheme="majorHAnsi" w:eastAsiaTheme="majorEastAsia" w:hAnsiTheme="majorHAnsi" w:cstheme="majorBidi"/>
      <w:b/>
      <w:bCs/>
      <w:i/>
      <w:iCs/>
      <w:color w:val="777777"/>
      <w:lang w:val="en-GB"/>
    </w:rPr>
  </w:style>
  <w:style w:type="paragraph" w:customStyle="1" w:styleId="JuInitialled">
    <w:name w:val="Ju_Initialled"/>
    <w:aliases w:val="_Right"/>
    <w:basedOn w:val="Normal"/>
    <w:uiPriority w:val="30"/>
    <w:qFormat/>
    <w:rsid w:val="00F95B7A"/>
    <w:pPr>
      <w:tabs>
        <w:tab w:val="center" w:pos="6407"/>
      </w:tabs>
      <w:spacing w:before="720"/>
      <w:jc w:val="right"/>
    </w:pPr>
  </w:style>
  <w:style w:type="character" w:customStyle="1" w:styleId="Heading5Char">
    <w:name w:val="Heading 5 Char"/>
    <w:basedOn w:val="DefaultParagraphFont"/>
    <w:link w:val="Heading5"/>
    <w:uiPriority w:val="98"/>
    <w:semiHidden/>
    <w:rsid w:val="00F95B7A"/>
    <w:rPr>
      <w:rFonts w:asciiTheme="majorHAnsi" w:eastAsiaTheme="majorEastAsia" w:hAnsiTheme="majorHAnsi" w:cstheme="majorBidi"/>
      <w:b/>
      <w:bCs/>
      <w:color w:val="808080"/>
      <w:lang w:val="en-GB"/>
    </w:rPr>
  </w:style>
  <w:style w:type="character" w:customStyle="1" w:styleId="JuITMark">
    <w:name w:val="Ju_ITMark"/>
    <w:aliases w:val="_ITMark"/>
    <w:basedOn w:val="DefaultParagraphFont"/>
    <w:uiPriority w:val="54"/>
    <w:qFormat/>
    <w:rsid w:val="00F95B7A"/>
    <w:rPr>
      <w:vanish w:val="0"/>
      <w:color w:val="auto"/>
      <w:sz w:val="14"/>
      <w:bdr w:val="none" w:sz="0" w:space="0" w:color="auto"/>
      <w:shd w:val="clear" w:color="auto" w:fill="FFFFFF" w:themeFill="background1" w:themeFillTint="33"/>
    </w:rPr>
  </w:style>
  <w:style w:type="character" w:customStyle="1" w:styleId="JUNAMES">
    <w:name w:val="JU_NAMES"/>
    <w:aliases w:val="_Ju_Names"/>
    <w:uiPriority w:val="33"/>
    <w:qFormat/>
    <w:rsid w:val="00F95B7A"/>
    <w:rPr>
      <w:caps w:val="0"/>
      <w:smallCaps/>
    </w:rPr>
  </w:style>
  <w:style w:type="character" w:styleId="SubtleEmphasis">
    <w:name w:val="Subtle Emphasis"/>
    <w:uiPriority w:val="98"/>
    <w:semiHidden/>
    <w:qFormat/>
    <w:rsid w:val="00F95B7A"/>
    <w:rPr>
      <w:i/>
      <w:iCs/>
    </w:rPr>
  </w:style>
  <w:style w:type="table" w:customStyle="1" w:styleId="ECHRTable">
    <w:name w:val="ECHR_Table"/>
    <w:basedOn w:val="TableNormal"/>
    <w:rsid w:val="00F95B7A"/>
    <w:rPr>
      <w:rFonts w:eastAsia="Times New Roman" w:cs="Times New Roman"/>
      <w:sz w:val="20"/>
      <w:szCs w:val="20"/>
      <w:lang w:val="en-GB"/>
    </w:rPr>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F95B7A"/>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95959" w:themeColor="accent3"/>
      </w:rPr>
    </w:tblStylePr>
  </w:style>
  <w:style w:type="character" w:styleId="Emphasis">
    <w:name w:val="Emphasis"/>
    <w:uiPriority w:val="98"/>
    <w:semiHidden/>
    <w:qFormat/>
    <w:rsid w:val="00F95B7A"/>
    <w:rPr>
      <w:b/>
      <w:bCs/>
      <w:i/>
      <w:iCs/>
      <w:spacing w:val="10"/>
      <w:bdr w:val="none" w:sz="0" w:space="0" w:color="auto"/>
      <w:shd w:val="clear" w:color="auto" w:fill="auto"/>
    </w:rPr>
  </w:style>
  <w:style w:type="paragraph" w:styleId="Footer1">
    <w:name w:val="footer"/>
    <w:basedOn w:val="Normal"/>
    <w:link w:val="FooterChar"/>
    <w:uiPriority w:val="98"/>
    <w:semiHidden/>
    <w:rsid w:val="00F95B7A"/>
    <w:pPr>
      <w:tabs>
        <w:tab w:val="center" w:pos="3686"/>
        <w:tab w:val="right" w:pos="7371"/>
      </w:tabs>
    </w:pPr>
  </w:style>
  <w:style w:type="character" w:customStyle="1" w:styleId="FooterChar">
    <w:name w:val="Footer Char"/>
    <w:basedOn w:val="DefaultParagraphFont"/>
    <w:link w:val="Footer1"/>
    <w:uiPriority w:val="98"/>
    <w:semiHidden/>
    <w:rsid w:val="00F95B7A"/>
    <w:rPr>
      <w:sz w:val="24"/>
      <w:szCs w:val="24"/>
      <w:lang w:val="en-GB"/>
    </w:rPr>
  </w:style>
  <w:style w:type="character" w:styleId="FootnoteReference">
    <w:name w:val="footnote reference"/>
    <w:basedOn w:val="DefaultParagraphFont"/>
    <w:uiPriority w:val="98"/>
    <w:semiHidden/>
    <w:rsid w:val="00F95B7A"/>
    <w:rPr>
      <w:vertAlign w:val="superscript"/>
    </w:rPr>
  </w:style>
  <w:style w:type="paragraph" w:styleId="FootnoteText">
    <w:name w:val="footnote text"/>
    <w:basedOn w:val="NormalJustified"/>
    <w:link w:val="FootnoteTextChar"/>
    <w:uiPriority w:val="98"/>
    <w:semiHidden/>
    <w:rsid w:val="00F95B7A"/>
    <w:rPr>
      <w:sz w:val="20"/>
      <w:szCs w:val="20"/>
    </w:rPr>
  </w:style>
  <w:style w:type="character" w:customStyle="1" w:styleId="FootnoteTextChar">
    <w:name w:val="Footnote Text Char"/>
    <w:basedOn w:val="DefaultParagraphFont"/>
    <w:link w:val="FootnoteText"/>
    <w:uiPriority w:val="98"/>
    <w:semiHidden/>
    <w:rsid w:val="00F95B7A"/>
    <w:rPr>
      <w:sz w:val="20"/>
      <w:szCs w:val="20"/>
      <w:lang w:val="en-GB"/>
    </w:rPr>
  </w:style>
  <w:style w:type="character" w:customStyle="1" w:styleId="Heading6Char">
    <w:name w:val="Heading 6 Char"/>
    <w:basedOn w:val="DefaultParagraphFont"/>
    <w:link w:val="Heading6"/>
    <w:uiPriority w:val="98"/>
    <w:semiHidden/>
    <w:rsid w:val="00F95B7A"/>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F95B7A"/>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F95B7A"/>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F95B7A"/>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F95B7A"/>
    <w:rPr>
      <w:color w:val="0072BC" w:themeColor="hyperlink"/>
      <w:u w:val="single"/>
    </w:rPr>
  </w:style>
  <w:style w:type="character" w:styleId="IntenseEmphasis">
    <w:name w:val="Intense Emphasis"/>
    <w:uiPriority w:val="98"/>
    <w:semiHidden/>
    <w:qFormat/>
    <w:rsid w:val="00F95B7A"/>
    <w:rPr>
      <w:b/>
      <w:bCs/>
    </w:rPr>
  </w:style>
  <w:style w:type="paragraph" w:styleId="IntenseQuote">
    <w:name w:val="Intense Quote"/>
    <w:basedOn w:val="Normal"/>
    <w:next w:val="Normal"/>
    <w:link w:val="IntenseQuoteChar"/>
    <w:uiPriority w:val="98"/>
    <w:semiHidden/>
    <w:qFormat/>
    <w:rsid w:val="00F95B7A"/>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F95B7A"/>
    <w:rPr>
      <w:b/>
      <w:bCs/>
      <w:i/>
      <w:iCs/>
      <w:sz w:val="24"/>
      <w:szCs w:val="24"/>
      <w:lang w:val="en-GB" w:bidi="en-US"/>
    </w:rPr>
  </w:style>
  <w:style w:type="character" w:styleId="IntenseReference">
    <w:name w:val="Intense Reference"/>
    <w:uiPriority w:val="98"/>
    <w:semiHidden/>
    <w:qFormat/>
    <w:rsid w:val="00F95B7A"/>
    <w:rPr>
      <w:smallCaps/>
      <w:spacing w:val="5"/>
      <w:u w:val="single"/>
    </w:rPr>
  </w:style>
  <w:style w:type="paragraph" w:styleId="ListParagraph">
    <w:name w:val="List Paragraph"/>
    <w:basedOn w:val="Normal"/>
    <w:uiPriority w:val="98"/>
    <w:semiHidden/>
    <w:qFormat/>
    <w:rsid w:val="00F95B7A"/>
    <w:pPr>
      <w:ind w:left="720"/>
      <w:contextualSpacing/>
    </w:pPr>
  </w:style>
  <w:style w:type="table" w:customStyle="1" w:styleId="LtrTableAddress">
    <w:name w:val="Ltr_Table_Address"/>
    <w:aliases w:val="ECHR_Ltr_Table_Address"/>
    <w:basedOn w:val="TableNormal"/>
    <w:uiPriority w:val="99"/>
    <w:rsid w:val="00F95B7A"/>
    <w:rPr>
      <w:sz w:val="24"/>
      <w:szCs w:val="24"/>
    </w:rPr>
    <w:tblPr>
      <w:tblInd w:w="5103" w:type="dxa"/>
    </w:tblPr>
  </w:style>
  <w:style w:type="paragraph" w:styleId="Quote0">
    <w:name w:val="Quote"/>
    <w:basedOn w:val="Normal"/>
    <w:next w:val="Normal"/>
    <w:link w:val="QuoteChar"/>
    <w:uiPriority w:val="98"/>
    <w:semiHidden/>
    <w:qFormat/>
    <w:rsid w:val="00F95B7A"/>
    <w:pPr>
      <w:spacing w:before="200"/>
      <w:ind w:left="360" w:right="360"/>
    </w:pPr>
    <w:rPr>
      <w:i/>
      <w:iCs/>
      <w:lang w:bidi="en-US"/>
    </w:rPr>
  </w:style>
  <w:style w:type="character" w:customStyle="1" w:styleId="QuoteChar">
    <w:name w:val="Quote Char"/>
    <w:basedOn w:val="DefaultParagraphFont"/>
    <w:link w:val="Quote0"/>
    <w:uiPriority w:val="98"/>
    <w:semiHidden/>
    <w:rsid w:val="00F95B7A"/>
    <w:rPr>
      <w:i/>
      <w:iCs/>
      <w:sz w:val="24"/>
      <w:szCs w:val="24"/>
      <w:lang w:val="en-GB" w:bidi="en-US"/>
    </w:rPr>
  </w:style>
  <w:style w:type="character" w:styleId="SubtleReference">
    <w:name w:val="Subtle Reference"/>
    <w:uiPriority w:val="98"/>
    <w:semiHidden/>
    <w:qFormat/>
    <w:rsid w:val="00F95B7A"/>
    <w:rPr>
      <w:smallCaps/>
    </w:rPr>
  </w:style>
  <w:style w:type="table" w:styleId="TableGrid">
    <w:name w:val="Table Grid"/>
    <w:basedOn w:val="TableNormal"/>
    <w:uiPriority w:val="59"/>
    <w:semiHidden/>
    <w:rsid w:val="00F95B7A"/>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F95B7A"/>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F95B7A"/>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F95B7A"/>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F95B7A"/>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F95B7A"/>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F95B7A"/>
    <w:pPr>
      <w:keepNext/>
      <w:keepLines/>
      <w:spacing w:before="240"/>
      <w:contextualSpacing/>
      <w:jc w:val="center"/>
    </w:pPr>
    <w:rPr>
      <w:rFonts w:asciiTheme="majorHAnsi" w:hAnsiTheme="majorHAnsi"/>
      <w:b/>
      <w:color w:val="424242" w:themeColor="accent3" w:themeShade="BF"/>
      <w:sz w:val="28"/>
    </w:rPr>
  </w:style>
  <w:style w:type="table" w:customStyle="1" w:styleId="UGTable">
    <w:name w:val="UG_Table"/>
    <w:aliases w:val="ECHR_UG_Table"/>
    <w:basedOn w:val="TableNormal"/>
    <w:uiPriority w:val="99"/>
    <w:rsid w:val="00F95B7A"/>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F95B7A"/>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F95B7A"/>
    <w:rPr>
      <w:color w:val="000000" w:themeColor="text1"/>
      <w:sz w:val="18"/>
      <w:szCs w:val="24"/>
    </w:rPr>
    <w:tblPr>
      <w:tblBorders>
        <w:top w:val="single" w:sz="8" w:space="0" w:color="9B9B9B" w:themeColor="accent3" w:themeTint="99"/>
        <w:left w:val="single" w:sz="8" w:space="0" w:color="9B9B9B" w:themeColor="accent3" w:themeTint="99"/>
        <w:bottom w:val="single" w:sz="8" w:space="0" w:color="9B9B9B" w:themeColor="accent3" w:themeTint="99"/>
        <w:right w:val="single" w:sz="8" w:space="0" w:color="9B9B9B" w:themeColor="accent3" w:themeTint="99"/>
        <w:insideH w:val="single" w:sz="8" w:space="0" w:color="9B9B9B" w:themeColor="accent3" w:themeTint="99"/>
        <w:insideV w:val="single" w:sz="8" w:space="0" w:color="9B9B9B"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F95B7A"/>
    <w:rPr>
      <w:color w:val="000000" w:themeColor="text1"/>
      <w:sz w:val="24"/>
      <w:szCs w:val="24"/>
    </w:rPr>
    <w:tblPr>
      <w:tblInd w:w="-680" w:type="dxa"/>
      <w:tblBorders>
        <w:insideH w:val="single" w:sz="4" w:space="0" w:color="B0B0B0" w:themeColor="text2"/>
        <w:insideV w:val="single" w:sz="4" w:space="0" w:color="B0B0B0" w:themeColor="text2"/>
      </w:tblBorders>
      <w:tblCellMar>
        <w:top w:w="142" w:type="dxa"/>
        <w:bottom w:w="142" w:type="dxa"/>
      </w:tblCellMar>
    </w:tblPr>
    <w:trPr>
      <w:cantSplit/>
    </w:trPr>
  </w:style>
  <w:style w:type="table" w:customStyle="1" w:styleId="ECHRTableMemo">
    <w:name w:val="ECHR_Table_Memo"/>
    <w:basedOn w:val="TableNormal"/>
    <w:uiPriority w:val="99"/>
    <w:rsid w:val="00F95B7A"/>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838383" w:themeColor="text2" w:themeShade="BF"/>
          <w:right w:val="nil"/>
          <w:insideH w:val="nil"/>
          <w:insideV w:val="nil"/>
          <w:tl2br w:val="nil"/>
          <w:tr2bl w:val="nil"/>
        </w:tcBorders>
      </w:tcPr>
    </w:tblStylePr>
  </w:style>
  <w:style w:type="table" w:customStyle="1" w:styleId="ECHRDNTable">
    <w:name w:val="ECHR_DN_Table"/>
    <w:basedOn w:val="TableNormal"/>
    <w:uiPriority w:val="99"/>
    <w:rsid w:val="00F95B7A"/>
    <w:rPr>
      <w:sz w:val="24"/>
      <w:szCs w:val="24"/>
    </w:rPr>
    <w:tblPr>
      <w:jc w:val="center"/>
      <w:tblBorders>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nil"/>
          <w:right w:val="single" w:sz="4" w:space="0" w:color="838383"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F95B7A"/>
    <w:pPr>
      <w:keepNext/>
      <w:keepLines/>
      <w:spacing w:before="240"/>
      <w:contextualSpacing/>
      <w:jc w:val="center"/>
    </w:pPr>
    <w:rPr>
      <w:rFonts w:asciiTheme="majorHAnsi" w:eastAsiaTheme="majorEastAsia" w:hAnsiTheme="majorHAnsi" w:cstheme="majorBidi"/>
      <w:b/>
      <w:bCs/>
      <w:color w:val="424242" w:themeColor="accent3" w:themeShade="BF"/>
      <w:sz w:val="28"/>
    </w:rPr>
  </w:style>
  <w:style w:type="paragraph" w:styleId="Subtitle">
    <w:name w:val="Subtitle"/>
    <w:basedOn w:val="Normal"/>
    <w:next w:val="Normal"/>
    <w:link w:val="SubtitleChar"/>
    <w:uiPriority w:val="98"/>
    <w:semiHidden/>
    <w:qFormat/>
    <w:rsid w:val="00F95B7A"/>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F95B7A"/>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F95B7A"/>
    <w:pPr>
      <w:numPr>
        <w:numId w:val="4"/>
      </w:numPr>
    </w:pPr>
  </w:style>
  <w:style w:type="paragraph" w:customStyle="1" w:styleId="JuPara">
    <w:name w:val="Ju_Para"/>
    <w:aliases w:val="_Para"/>
    <w:basedOn w:val="NormalJustified"/>
    <w:link w:val="JuParaChar"/>
    <w:uiPriority w:val="4"/>
    <w:qFormat/>
    <w:rsid w:val="00F95B7A"/>
    <w:pPr>
      <w:ind w:firstLine="284"/>
    </w:pPr>
  </w:style>
  <w:style w:type="numbering" w:styleId="1ai">
    <w:name w:val="Outline List 1"/>
    <w:basedOn w:val="NoList"/>
    <w:uiPriority w:val="99"/>
    <w:semiHidden/>
    <w:unhideWhenUsed/>
    <w:rsid w:val="00F95B7A"/>
    <w:pPr>
      <w:numPr>
        <w:numId w:val="5"/>
      </w:numPr>
    </w:pPr>
  </w:style>
  <w:style w:type="table" w:customStyle="1" w:styleId="ECHRTableSimpleBox">
    <w:name w:val="ECHR_Table_Simple_Box"/>
    <w:basedOn w:val="TableNormal"/>
    <w:uiPriority w:val="99"/>
    <w:rsid w:val="00F95B7A"/>
    <w:rPr>
      <w:sz w:val="24"/>
      <w:szCs w:val="24"/>
    </w:rPr>
    <w:tblPr>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tblBorders>
      <w:tblCellMar>
        <w:top w:w="113" w:type="dxa"/>
        <w:bottom w:w="113" w:type="dxa"/>
      </w:tblCellMar>
    </w:tblPr>
  </w:style>
  <w:style w:type="table" w:customStyle="1" w:styleId="ECHRTableNoLines">
    <w:name w:val="ECHR_Table_No_Lines"/>
    <w:basedOn w:val="TableNormal"/>
    <w:uiPriority w:val="99"/>
    <w:rsid w:val="00F95B7A"/>
    <w:rPr>
      <w:sz w:val="24"/>
      <w:szCs w:val="24"/>
    </w:rPr>
    <w:tblPr>
      <w:tblCellMar>
        <w:top w:w="85" w:type="dxa"/>
        <w:left w:w="142" w:type="dxa"/>
        <w:bottom w:w="28" w:type="dxa"/>
        <w:right w:w="142" w:type="dxa"/>
      </w:tblCellMar>
    </w:tblPr>
    <w:tblStylePr w:type="firstRow">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tcPr>
    </w:tblStylePr>
  </w:style>
  <w:style w:type="numbering" w:styleId="ArticleSection">
    <w:name w:val="Outline List 3"/>
    <w:basedOn w:val="NoList"/>
    <w:uiPriority w:val="99"/>
    <w:semiHidden/>
    <w:unhideWhenUsed/>
    <w:rsid w:val="00F95B7A"/>
    <w:pPr>
      <w:numPr>
        <w:numId w:val="6"/>
      </w:numPr>
    </w:pPr>
  </w:style>
  <w:style w:type="table" w:customStyle="1" w:styleId="ECHRTableForInternalUse">
    <w:name w:val="ECHR_Table_For_Internal_Use"/>
    <w:basedOn w:val="TableNormal"/>
    <w:uiPriority w:val="99"/>
    <w:rsid w:val="00F95B7A"/>
    <w:rPr>
      <w:color w:val="585858"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tblStylePr w:type="band1Vert">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style>
  <w:style w:type="table" w:customStyle="1" w:styleId="ECHRListTable">
    <w:name w:val="ECHR_List_Table"/>
    <w:basedOn w:val="TableNormal"/>
    <w:uiPriority w:val="99"/>
    <w:rsid w:val="00F95B7A"/>
    <w:rPr>
      <w:sz w:val="24"/>
      <w:szCs w:val="24"/>
    </w:rPr>
    <w:tblPr>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b/>
        <w:color w:val="424242" w:themeColor="accent3" w:themeShade="BF"/>
      </w:rPr>
      <w:tblPr/>
      <w:trPr>
        <w:tblHeader/>
      </w:tr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F95B7A"/>
  </w:style>
  <w:style w:type="paragraph" w:styleId="BlockText">
    <w:name w:val="Block Text"/>
    <w:basedOn w:val="Normal"/>
    <w:uiPriority w:val="98"/>
    <w:semiHidden/>
    <w:rsid w:val="00F95B7A"/>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F95B7A"/>
    <w:rPr>
      <w:sz w:val="24"/>
      <w:szCs w:val="24"/>
    </w:rPr>
    <w:tblPr>
      <w:tblInd w:w="-1474" w:type="dxa"/>
      <w:tblBorders>
        <w:bottom w:val="single" w:sz="6" w:space="0" w:color="838383"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F95B7A"/>
    <w:pPr>
      <w:spacing w:after="120"/>
    </w:pPr>
  </w:style>
  <w:style w:type="character" w:customStyle="1" w:styleId="BodyTextChar">
    <w:name w:val="Body Text Char"/>
    <w:basedOn w:val="DefaultParagraphFont"/>
    <w:link w:val="BodyText"/>
    <w:uiPriority w:val="98"/>
    <w:semiHidden/>
    <w:rsid w:val="00F95B7A"/>
    <w:rPr>
      <w:sz w:val="24"/>
      <w:szCs w:val="24"/>
      <w:lang w:val="en-GB"/>
    </w:rPr>
  </w:style>
  <w:style w:type="table" w:customStyle="1" w:styleId="ECHRTableOddBanded">
    <w:name w:val="ECHR_Table_Odd_Banded"/>
    <w:basedOn w:val="TableNormal"/>
    <w:uiPriority w:val="99"/>
    <w:rsid w:val="00F95B7A"/>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single" w:sz="4" w:space="0" w:color="838383"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F95B7A"/>
    <w:pPr>
      <w:spacing w:after="120" w:line="480" w:lineRule="auto"/>
    </w:pPr>
  </w:style>
  <w:style w:type="table" w:customStyle="1" w:styleId="ECHRHeaderTableReduced">
    <w:name w:val="ECHR_Header_Table_Reduced"/>
    <w:basedOn w:val="TableNormal"/>
    <w:uiPriority w:val="99"/>
    <w:rsid w:val="00F95B7A"/>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838383" w:themeColor="text2" w:themeShade="BF"/>
          <w:right w:val="nil"/>
          <w:insideH w:val="nil"/>
          <w:insideV w:val="nil"/>
          <w:tl2br w:val="nil"/>
          <w:tr2bl w:val="nil"/>
        </w:tcBorders>
      </w:tcPr>
    </w:tblStylePr>
    <w:tblStylePr w:type="lastRow">
      <w:pPr>
        <w:jc w:val="right"/>
      </w:pPr>
      <w:tblPr/>
      <w:tcPr>
        <w:tcBorders>
          <w:top w:val="single" w:sz="6" w:space="0" w:color="838383"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Justified"/>
    <w:next w:val="JuPara"/>
    <w:uiPriority w:val="32"/>
    <w:rsid w:val="00F95B7A"/>
    <w:pPr>
      <w:ind w:firstLine="284"/>
    </w:pPr>
    <w:rPr>
      <w:b/>
    </w:rPr>
  </w:style>
  <w:style w:type="character" w:styleId="PageNumber">
    <w:name w:val="page number"/>
    <w:uiPriority w:val="98"/>
    <w:semiHidden/>
    <w:rsid w:val="00F95B7A"/>
    <w:rPr>
      <w:sz w:val="18"/>
    </w:rPr>
  </w:style>
  <w:style w:type="paragraph" w:styleId="ListBullet">
    <w:name w:val="List Bullet"/>
    <w:basedOn w:val="Normal"/>
    <w:uiPriority w:val="98"/>
    <w:semiHidden/>
    <w:rsid w:val="00F95B7A"/>
    <w:pPr>
      <w:numPr>
        <w:numId w:val="7"/>
      </w:numPr>
    </w:pPr>
  </w:style>
  <w:style w:type="paragraph" w:styleId="ListBullet3">
    <w:name w:val="List Bullet 3"/>
    <w:basedOn w:val="Normal"/>
    <w:uiPriority w:val="98"/>
    <w:semiHidden/>
    <w:rsid w:val="00F95B7A"/>
    <w:pPr>
      <w:numPr>
        <w:numId w:val="9"/>
      </w:numPr>
      <w:contextualSpacing/>
    </w:pPr>
  </w:style>
  <w:style w:type="character" w:customStyle="1" w:styleId="BodyText2Char">
    <w:name w:val="Body Text 2 Char"/>
    <w:basedOn w:val="DefaultParagraphFont"/>
    <w:link w:val="BodyText2"/>
    <w:uiPriority w:val="98"/>
    <w:semiHidden/>
    <w:rsid w:val="00F95B7A"/>
    <w:rPr>
      <w:sz w:val="24"/>
      <w:szCs w:val="24"/>
      <w:lang w:val="en-GB"/>
    </w:rPr>
  </w:style>
  <w:style w:type="paragraph" w:styleId="BodyText3">
    <w:name w:val="Body Text 3"/>
    <w:basedOn w:val="Normal"/>
    <w:link w:val="BodyText3Char"/>
    <w:uiPriority w:val="98"/>
    <w:semiHidden/>
    <w:rsid w:val="00F95B7A"/>
    <w:pPr>
      <w:spacing w:after="120"/>
    </w:pPr>
    <w:rPr>
      <w:sz w:val="16"/>
      <w:szCs w:val="16"/>
    </w:rPr>
  </w:style>
  <w:style w:type="character" w:customStyle="1" w:styleId="BodyText3Char">
    <w:name w:val="Body Text 3 Char"/>
    <w:basedOn w:val="DefaultParagraphFont"/>
    <w:link w:val="BodyText3"/>
    <w:uiPriority w:val="98"/>
    <w:semiHidden/>
    <w:rsid w:val="00F95B7A"/>
    <w:rPr>
      <w:sz w:val="16"/>
      <w:szCs w:val="16"/>
      <w:lang w:val="en-GB"/>
    </w:rPr>
  </w:style>
  <w:style w:type="paragraph" w:styleId="BodyTextFirstIndent">
    <w:name w:val="Body Text First Indent"/>
    <w:basedOn w:val="BodyText"/>
    <w:link w:val="BodyTextFirstIndentChar"/>
    <w:uiPriority w:val="98"/>
    <w:semiHidden/>
    <w:rsid w:val="00F95B7A"/>
    <w:pPr>
      <w:spacing w:after="0"/>
      <w:ind w:firstLine="360"/>
    </w:pPr>
  </w:style>
  <w:style w:type="character" w:customStyle="1" w:styleId="BodyTextFirstIndentChar">
    <w:name w:val="Body Text First Indent Char"/>
    <w:basedOn w:val="BodyTextChar"/>
    <w:link w:val="BodyTextFirstIndent"/>
    <w:uiPriority w:val="98"/>
    <w:semiHidden/>
    <w:rsid w:val="00F95B7A"/>
    <w:rPr>
      <w:sz w:val="24"/>
      <w:szCs w:val="24"/>
      <w:lang w:val="en-GB"/>
    </w:rPr>
  </w:style>
  <w:style w:type="paragraph" w:styleId="BodyTextIndent">
    <w:name w:val="Body Text Indent"/>
    <w:basedOn w:val="Normal"/>
    <w:link w:val="BodyTextIndentChar"/>
    <w:uiPriority w:val="98"/>
    <w:semiHidden/>
    <w:rsid w:val="00F95B7A"/>
    <w:pPr>
      <w:spacing w:after="120"/>
      <w:ind w:left="283"/>
    </w:pPr>
  </w:style>
  <w:style w:type="character" w:customStyle="1" w:styleId="BodyTextIndentChar">
    <w:name w:val="Body Text Indent Char"/>
    <w:basedOn w:val="DefaultParagraphFont"/>
    <w:link w:val="BodyTextIndent"/>
    <w:uiPriority w:val="98"/>
    <w:semiHidden/>
    <w:rsid w:val="00F95B7A"/>
    <w:rPr>
      <w:sz w:val="24"/>
      <w:szCs w:val="24"/>
      <w:lang w:val="en-GB"/>
    </w:rPr>
  </w:style>
  <w:style w:type="paragraph" w:styleId="BodyTextFirstIndent2">
    <w:name w:val="Body Text First Indent 2"/>
    <w:basedOn w:val="BodyTextIndent"/>
    <w:link w:val="BodyTextFirstIndent2Char"/>
    <w:uiPriority w:val="98"/>
    <w:semiHidden/>
    <w:rsid w:val="00F95B7A"/>
    <w:pPr>
      <w:spacing w:after="0"/>
      <w:ind w:left="360" w:firstLine="360"/>
    </w:pPr>
  </w:style>
  <w:style w:type="character" w:customStyle="1" w:styleId="BodyTextFirstIndent2Char">
    <w:name w:val="Body Text First Indent 2 Char"/>
    <w:basedOn w:val="BodyTextIndentChar"/>
    <w:link w:val="BodyTextFirstIndent2"/>
    <w:uiPriority w:val="98"/>
    <w:semiHidden/>
    <w:rsid w:val="00F95B7A"/>
    <w:rPr>
      <w:sz w:val="24"/>
      <w:szCs w:val="24"/>
      <w:lang w:val="en-GB"/>
    </w:rPr>
  </w:style>
  <w:style w:type="paragraph" w:styleId="BodyTextIndent2">
    <w:name w:val="Body Text Indent 2"/>
    <w:basedOn w:val="Normal"/>
    <w:link w:val="BodyTextIndent2Char"/>
    <w:uiPriority w:val="98"/>
    <w:semiHidden/>
    <w:rsid w:val="00F95B7A"/>
    <w:pPr>
      <w:spacing w:after="120" w:line="480" w:lineRule="auto"/>
      <w:ind w:left="283"/>
    </w:pPr>
  </w:style>
  <w:style w:type="character" w:customStyle="1" w:styleId="BodyTextIndent2Char">
    <w:name w:val="Body Text Indent 2 Char"/>
    <w:basedOn w:val="DefaultParagraphFont"/>
    <w:link w:val="BodyTextIndent2"/>
    <w:uiPriority w:val="98"/>
    <w:semiHidden/>
    <w:rsid w:val="00F95B7A"/>
    <w:rPr>
      <w:sz w:val="24"/>
      <w:szCs w:val="24"/>
      <w:lang w:val="en-GB"/>
    </w:rPr>
  </w:style>
  <w:style w:type="paragraph" w:styleId="BodyTextIndent3">
    <w:name w:val="Body Text Indent 3"/>
    <w:basedOn w:val="Normal"/>
    <w:link w:val="BodyTextIndent3Char"/>
    <w:uiPriority w:val="98"/>
    <w:semiHidden/>
    <w:rsid w:val="00F95B7A"/>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F95B7A"/>
    <w:rPr>
      <w:sz w:val="16"/>
      <w:szCs w:val="16"/>
      <w:lang w:val="en-GB"/>
    </w:rPr>
  </w:style>
  <w:style w:type="paragraph" w:styleId="Caption">
    <w:name w:val="caption"/>
    <w:basedOn w:val="Normal"/>
    <w:next w:val="Normal"/>
    <w:uiPriority w:val="98"/>
    <w:semiHidden/>
    <w:qFormat/>
    <w:rsid w:val="00F95B7A"/>
    <w:pPr>
      <w:spacing w:after="200"/>
    </w:pPr>
    <w:rPr>
      <w:b/>
      <w:bCs/>
      <w:color w:val="0072BC" w:themeColor="accent1"/>
      <w:sz w:val="18"/>
      <w:szCs w:val="18"/>
    </w:rPr>
  </w:style>
  <w:style w:type="paragraph" w:styleId="Closing">
    <w:name w:val="Closing"/>
    <w:basedOn w:val="Normal"/>
    <w:link w:val="ClosingChar"/>
    <w:uiPriority w:val="98"/>
    <w:semiHidden/>
    <w:rsid w:val="00F95B7A"/>
    <w:pPr>
      <w:ind w:left="4252"/>
    </w:pPr>
  </w:style>
  <w:style w:type="character" w:customStyle="1" w:styleId="ClosingChar">
    <w:name w:val="Closing Char"/>
    <w:basedOn w:val="DefaultParagraphFont"/>
    <w:link w:val="Closing"/>
    <w:uiPriority w:val="98"/>
    <w:semiHidden/>
    <w:rsid w:val="00F95B7A"/>
    <w:rPr>
      <w:sz w:val="24"/>
      <w:szCs w:val="24"/>
      <w:lang w:val="en-GB"/>
    </w:rPr>
  </w:style>
  <w:style w:type="table" w:styleId="ColorfulGrid">
    <w:name w:val="Colorful Grid"/>
    <w:basedOn w:val="TableNormal"/>
    <w:uiPriority w:val="73"/>
    <w:semiHidden/>
    <w:rsid w:val="00F95B7A"/>
    <w:rPr>
      <w:color w:val="000000" w:themeColor="text1"/>
      <w:sz w:val="24"/>
      <w:szCs w:val="24"/>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F95B7A"/>
    <w:rPr>
      <w:color w:val="000000" w:themeColor="text1"/>
      <w:sz w:val="24"/>
      <w:szCs w:val="24"/>
    </w:rPr>
    <w:tblPr>
      <w:tblStyleRowBandSize w:val="1"/>
      <w:tblStyleColBandSize w:val="1"/>
      <w:tblBorders>
        <w:insideH w:val="single" w:sz="4" w:space="0" w:color="FFFFFF"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FFFFFF" w:themeColor="background1"/>
      </w:rPr>
      <w:tblPr/>
      <w:tcPr>
        <w:shd w:val="clear" w:color="auto" w:fill="00548C" w:themeFill="accent1" w:themeFillShade="BF"/>
      </w:tcPr>
    </w:tblStylePr>
    <w:tblStylePr w:type="lastCol">
      <w:rPr>
        <w:color w:val="FFFFFF"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F95B7A"/>
    <w:rPr>
      <w:color w:val="000000" w:themeColor="text1"/>
      <w:sz w:val="24"/>
      <w:szCs w:val="24"/>
    </w:rPr>
    <w:tblPr>
      <w:tblStyleRowBandSize w:val="1"/>
      <w:tblStyleColBandSize w:val="1"/>
      <w:tblBorders>
        <w:insideH w:val="single" w:sz="4" w:space="0" w:color="FFFFFF"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FFFFFF" w:themeColor="background1"/>
      </w:rPr>
      <w:tblPr/>
      <w:tcPr>
        <w:shd w:val="clear" w:color="auto" w:fill="8F0000" w:themeFill="accent2" w:themeFillShade="BF"/>
      </w:tcPr>
    </w:tblStylePr>
    <w:tblStylePr w:type="lastCol">
      <w:rPr>
        <w:color w:val="FFFFFF"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F95B7A"/>
    <w:rPr>
      <w:color w:val="000000" w:themeColor="text1"/>
      <w:sz w:val="24"/>
      <w:szCs w:val="24"/>
    </w:rPr>
    <w:tblPr>
      <w:tblStyleRowBandSize w:val="1"/>
      <w:tblStyleColBandSize w:val="1"/>
      <w:tblBorders>
        <w:insideH w:val="single" w:sz="4" w:space="0" w:color="FFFFFF" w:themeColor="background1"/>
      </w:tblBorders>
    </w:tblPr>
    <w:tcPr>
      <w:shd w:val="clear" w:color="auto" w:fill="DDDDDD" w:themeFill="accent3" w:themeFillTint="33"/>
    </w:tcPr>
    <w:tblStylePr w:type="firstRow">
      <w:rPr>
        <w:b/>
        <w:bCs/>
      </w:rPr>
      <w:tblPr/>
      <w:tcPr>
        <w:shd w:val="clear" w:color="auto" w:fill="BCBCBC" w:themeFill="accent3" w:themeFillTint="66"/>
      </w:tcPr>
    </w:tblStylePr>
    <w:tblStylePr w:type="lastRow">
      <w:rPr>
        <w:b/>
        <w:bCs/>
        <w:color w:val="000000" w:themeColor="text1"/>
      </w:rPr>
      <w:tblPr/>
      <w:tcPr>
        <w:shd w:val="clear" w:color="auto" w:fill="BCBCBC" w:themeFill="accent3" w:themeFillTint="66"/>
      </w:tcPr>
    </w:tblStylePr>
    <w:tblStylePr w:type="firstCol">
      <w:rPr>
        <w:color w:val="FFFFFF" w:themeColor="background1"/>
      </w:rPr>
      <w:tblPr/>
      <w:tcPr>
        <w:shd w:val="clear" w:color="auto" w:fill="424242" w:themeFill="accent3" w:themeFillShade="BF"/>
      </w:tcPr>
    </w:tblStylePr>
    <w:tblStylePr w:type="lastCol">
      <w:rPr>
        <w:color w:val="FFFFFF" w:themeColor="background1"/>
      </w:rPr>
      <w:tblPr/>
      <w:tcPr>
        <w:shd w:val="clear" w:color="auto" w:fill="424242" w:themeFill="accent3" w:themeFillShade="BF"/>
      </w:tc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ColorfulGridAccent4">
    <w:name w:val="Colorful Grid Accent 4"/>
    <w:basedOn w:val="TableNormal"/>
    <w:uiPriority w:val="73"/>
    <w:semiHidden/>
    <w:rsid w:val="00F95B7A"/>
    <w:rPr>
      <w:color w:val="000000" w:themeColor="text1"/>
      <w:sz w:val="24"/>
      <w:szCs w:val="24"/>
    </w:rPr>
    <w:tblPr>
      <w:tblStyleRowBandSize w:val="1"/>
      <w:tblStyleColBandSize w:val="1"/>
      <w:tblBorders>
        <w:insideH w:val="single" w:sz="4" w:space="0" w:color="FFFFFF"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FFFFFF" w:themeColor="background1"/>
      </w:rPr>
      <w:tblPr/>
      <w:tcPr>
        <w:shd w:val="clear" w:color="auto" w:fill="707070" w:themeFill="accent4" w:themeFillShade="BF"/>
      </w:tcPr>
    </w:tblStylePr>
    <w:tblStylePr w:type="lastCol">
      <w:rPr>
        <w:color w:val="FFFFFF"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F95B7A"/>
    <w:rPr>
      <w:color w:val="000000" w:themeColor="text1"/>
      <w:sz w:val="24"/>
      <w:szCs w:val="24"/>
    </w:rPr>
    <w:tblPr>
      <w:tblStyleRowBandSize w:val="1"/>
      <w:tblStyleColBandSize w:val="1"/>
      <w:tblBorders>
        <w:insideH w:val="single" w:sz="4" w:space="0" w:color="FFFFFF"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FFFFFF" w:themeColor="background1"/>
      </w:rPr>
      <w:tblPr/>
      <w:tcPr>
        <w:shd w:val="clear" w:color="auto" w:fill="474747" w:themeFill="accent5" w:themeFillShade="BF"/>
      </w:tcPr>
    </w:tblStylePr>
    <w:tblStylePr w:type="lastCol">
      <w:rPr>
        <w:color w:val="FFFFFF"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F95B7A"/>
    <w:rPr>
      <w:color w:val="000000" w:themeColor="text1"/>
      <w:sz w:val="24"/>
      <w:szCs w:val="24"/>
    </w:rPr>
    <w:tblPr>
      <w:tblStyleRowBandSize w:val="1"/>
      <w:tblStyleColBandSize w:val="1"/>
      <w:tblBorders>
        <w:insideH w:val="single" w:sz="4" w:space="0" w:color="FFFFFF"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FFFFFF" w:themeColor="background1"/>
      </w:rPr>
      <w:tblPr/>
      <w:tcPr>
        <w:shd w:val="clear" w:color="auto" w:fill="393939" w:themeFill="accent6" w:themeFillShade="BF"/>
      </w:tcPr>
    </w:tblStylePr>
    <w:tblStylePr w:type="lastCol">
      <w:rPr>
        <w:color w:val="FFFFFF"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F95B7A"/>
    <w:rPr>
      <w:color w:val="000000" w:themeColor="text1"/>
      <w:sz w:val="24"/>
      <w:szCs w:val="24"/>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F95B7A"/>
    <w:rPr>
      <w:color w:val="000000" w:themeColor="text1"/>
      <w:sz w:val="24"/>
      <w:szCs w:val="24"/>
    </w:rPr>
    <w:tblPr>
      <w:tblStyleRowBandSize w:val="1"/>
      <w:tblStyleColBandSize w:val="1"/>
    </w:tblPr>
    <w:tcPr>
      <w:shd w:val="clear" w:color="auto" w:fill="DFF2FF" w:themeFill="accen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F95B7A"/>
    <w:rPr>
      <w:color w:val="000000" w:themeColor="text1"/>
      <w:sz w:val="24"/>
      <w:szCs w:val="24"/>
    </w:rPr>
    <w:tblPr>
      <w:tblStyleRowBandSize w:val="1"/>
      <w:tblStyleColBandSize w:val="1"/>
    </w:tblPr>
    <w:tcPr>
      <w:shd w:val="clear" w:color="auto" w:fill="FFDFDF" w:themeFill="accent2"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F95B7A"/>
    <w:rPr>
      <w:color w:val="000000" w:themeColor="text1"/>
      <w:sz w:val="24"/>
      <w:szCs w:val="24"/>
    </w:rPr>
    <w:tblPr>
      <w:tblStyleRowBandSize w:val="1"/>
      <w:tblStyleColBandSize w:val="1"/>
    </w:tblPr>
    <w:tcPr>
      <w:shd w:val="clear" w:color="auto" w:fill="EEEEEE" w:themeFill="accent3" w:themeFillTint="19"/>
    </w:tcPr>
    <w:tblStylePr w:type="firstRow">
      <w:rPr>
        <w:b/>
        <w:bCs/>
        <w:color w:val="FFFFFF" w:themeColor="background1"/>
      </w:rPr>
      <w:tblPr/>
      <w:tcPr>
        <w:tcBorders>
          <w:bottom w:val="single" w:sz="12" w:space="0" w:color="FFFFFF"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5D5D5" w:themeFill="accent3" w:themeFillTint="3F"/>
      </w:tcPr>
    </w:tblStylePr>
    <w:tblStylePr w:type="band1Horz">
      <w:tblPr/>
      <w:tcPr>
        <w:shd w:val="clear" w:color="auto" w:fill="DDDDDD" w:themeFill="accent3" w:themeFillTint="33"/>
      </w:tcPr>
    </w:tblStylePr>
  </w:style>
  <w:style w:type="table" w:styleId="ColorfulListAccent4">
    <w:name w:val="Colorful List Accent 4"/>
    <w:basedOn w:val="TableNormal"/>
    <w:uiPriority w:val="72"/>
    <w:semiHidden/>
    <w:rsid w:val="00F95B7A"/>
    <w:rPr>
      <w:color w:val="000000" w:themeColor="text1"/>
      <w:sz w:val="24"/>
      <w:szCs w:val="24"/>
    </w:rPr>
    <w:tblPr>
      <w:tblStyleRowBandSize w:val="1"/>
      <w:tblStyleColBandSize w:val="1"/>
    </w:tblPr>
    <w:tcPr>
      <w:shd w:val="clear" w:color="auto" w:fill="F4F4F4" w:themeFill="accent4" w:themeFillTint="19"/>
    </w:tcPr>
    <w:tblStylePr w:type="firstRow">
      <w:rPr>
        <w:b/>
        <w:bCs/>
        <w:color w:val="FFFFFF" w:themeColor="background1"/>
      </w:rPr>
      <w:tblPr/>
      <w:tcPr>
        <w:tcBorders>
          <w:bottom w:val="single" w:sz="12" w:space="0" w:color="FFFFFF" w:themeColor="background1"/>
        </w:tcBorders>
        <w:shd w:val="clear" w:color="auto" w:fill="474747" w:themeFill="accent3" w:themeFillShade="CC"/>
      </w:tcPr>
    </w:tblStylePr>
    <w:tblStylePr w:type="lastRow">
      <w:rPr>
        <w:b/>
        <w:bCs/>
        <w:color w:val="47474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F95B7A"/>
    <w:rPr>
      <w:color w:val="000000" w:themeColor="text1"/>
      <w:sz w:val="24"/>
      <w:szCs w:val="24"/>
    </w:rPr>
    <w:tblPr>
      <w:tblStyleRowBandSize w:val="1"/>
      <w:tblStyleColBandSize w:val="1"/>
    </w:tblPr>
    <w:tcPr>
      <w:shd w:val="clear" w:color="auto" w:fill="EFEFEF" w:themeFill="accent5" w:themeFillTint="19"/>
    </w:tcPr>
    <w:tblStylePr w:type="firstRow">
      <w:rPr>
        <w:b/>
        <w:bCs/>
        <w:color w:val="FFFFFF" w:themeColor="background1"/>
      </w:rPr>
      <w:tblPr/>
      <w:tcPr>
        <w:tcBorders>
          <w:bottom w:val="single" w:sz="12" w:space="0" w:color="FFFFFF"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F95B7A"/>
    <w:rPr>
      <w:color w:val="000000" w:themeColor="text1"/>
      <w:sz w:val="24"/>
      <w:szCs w:val="24"/>
    </w:rPr>
    <w:tblPr>
      <w:tblStyleRowBandSize w:val="1"/>
      <w:tblStyleColBandSize w:val="1"/>
    </w:tblPr>
    <w:tcPr>
      <w:shd w:val="clear" w:color="auto" w:fill="EDEDED" w:themeFill="accent6" w:themeFillTint="19"/>
    </w:tcPr>
    <w:tblStylePr w:type="firstRow">
      <w:rPr>
        <w:b/>
        <w:bCs/>
        <w:color w:val="FFFFFF" w:themeColor="background1"/>
      </w:rPr>
      <w:tblPr/>
      <w:tcPr>
        <w:tcBorders>
          <w:bottom w:val="single" w:sz="12" w:space="0" w:color="FFFFFF"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F95B7A"/>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F95B7A"/>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FFFFFF" w:themeColor="background1"/>
        <w:insideV w:val="single" w:sz="4" w:space="0" w:color="FFFFFF"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470" w:themeFill="accent1" w:themeFillShade="99"/>
      </w:tcPr>
    </w:tblStylePr>
    <w:tblStylePr w:type="firstCol">
      <w:rPr>
        <w:color w:val="FFFFFF"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F95B7A"/>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FFFFFF" w:themeColor="background1"/>
        <w:insideV w:val="single" w:sz="4" w:space="0" w:color="FFFFFF"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30000" w:themeFill="accent2" w:themeFillShade="99"/>
      </w:tcPr>
    </w:tblStylePr>
    <w:tblStylePr w:type="firstCol">
      <w:rPr>
        <w:color w:val="FFFFFF"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F95B7A"/>
    <w:rPr>
      <w:color w:val="000000" w:themeColor="text1"/>
      <w:sz w:val="24"/>
      <w:szCs w:val="24"/>
    </w:rPr>
    <w:tblPr>
      <w:tblStyleRowBandSize w:val="1"/>
      <w:tblStyleColBandSize w:val="1"/>
      <w:tblBorders>
        <w:top w:val="single" w:sz="24" w:space="0" w:color="969696" w:themeColor="accent4"/>
        <w:left w:val="single" w:sz="4" w:space="0" w:color="595959" w:themeColor="accent3"/>
        <w:bottom w:val="single" w:sz="4" w:space="0" w:color="595959" w:themeColor="accent3"/>
        <w:right w:val="single" w:sz="4" w:space="0" w:color="595959" w:themeColor="accent3"/>
        <w:insideH w:val="single" w:sz="4" w:space="0" w:color="FFFFFF" w:themeColor="background1"/>
        <w:insideV w:val="single" w:sz="4" w:space="0" w:color="FFFFFF" w:themeColor="background1"/>
      </w:tblBorders>
    </w:tblPr>
    <w:tcPr>
      <w:shd w:val="clear" w:color="auto" w:fill="EEEEEE"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3535" w:themeFill="accent3" w:themeFillShade="99"/>
      </w:tcPr>
    </w:tblStylePr>
    <w:tblStylePr w:type="firstCol">
      <w:rPr>
        <w:color w:val="FFFFFF" w:themeColor="background1"/>
      </w:rPr>
      <w:tblPr/>
      <w:tcPr>
        <w:tcBorders>
          <w:top w:val="nil"/>
          <w:left w:val="nil"/>
          <w:bottom w:val="nil"/>
          <w:right w:val="nil"/>
          <w:insideH w:val="single" w:sz="4" w:space="0" w:color="353535" w:themeColor="accent3" w:themeShade="99"/>
          <w:insideV w:val="nil"/>
        </w:tcBorders>
        <w:shd w:val="clear" w:color="auto" w:fill="35353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353535" w:themeFill="accent3" w:themeFillShade="99"/>
      </w:tcPr>
    </w:tblStylePr>
    <w:tblStylePr w:type="band1Vert">
      <w:tblPr/>
      <w:tcPr>
        <w:shd w:val="clear" w:color="auto" w:fill="BCBCBC" w:themeFill="accent3" w:themeFillTint="66"/>
      </w:tcPr>
    </w:tblStylePr>
    <w:tblStylePr w:type="band1Horz">
      <w:tblPr/>
      <w:tcPr>
        <w:shd w:val="clear" w:color="auto" w:fill="ACACAC" w:themeFill="accent3" w:themeFillTint="7F"/>
      </w:tcPr>
    </w:tblStylePr>
  </w:style>
  <w:style w:type="table" w:styleId="ColorfulShadingAccent4">
    <w:name w:val="Colorful Shading Accent 4"/>
    <w:basedOn w:val="TableNormal"/>
    <w:uiPriority w:val="71"/>
    <w:semiHidden/>
    <w:rsid w:val="00F95B7A"/>
    <w:rPr>
      <w:color w:val="000000" w:themeColor="text1"/>
      <w:sz w:val="24"/>
      <w:szCs w:val="24"/>
    </w:rPr>
    <w:tblPr>
      <w:tblStyleRowBandSize w:val="1"/>
      <w:tblStyleColBandSize w:val="1"/>
      <w:tblBorders>
        <w:top w:val="single" w:sz="24" w:space="0" w:color="595959" w:themeColor="accent3"/>
        <w:left w:val="single" w:sz="4" w:space="0" w:color="969696" w:themeColor="accent4"/>
        <w:bottom w:val="single" w:sz="4" w:space="0" w:color="969696" w:themeColor="accent4"/>
        <w:right w:val="single" w:sz="4" w:space="0" w:color="969696" w:themeColor="accent4"/>
        <w:insideH w:val="single" w:sz="4" w:space="0" w:color="FFFFFF" w:themeColor="background1"/>
        <w:insideV w:val="single" w:sz="4" w:space="0" w:color="FFFFFF" w:themeColor="background1"/>
      </w:tblBorders>
    </w:tblPr>
    <w:tcPr>
      <w:shd w:val="clear" w:color="auto" w:fill="F4F4F4" w:themeFill="accent4" w:themeFillTint="19"/>
    </w:tcPr>
    <w:tblStylePr w:type="firstRow">
      <w:rPr>
        <w:b/>
        <w:bCs/>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A5A5A" w:themeFill="accent4" w:themeFillShade="99"/>
      </w:tcPr>
    </w:tblStylePr>
    <w:tblStylePr w:type="firstCol">
      <w:rPr>
        <w:color w:val="FFFFFF"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F95B7A"/>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FFFFFF" w:themeColor="background1"/>
        <w:insideV w:val="single" w:sz="4" w:space="0" w:color="FFFFFF"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93939" w:themeFill="accent5" w:themeFillShade="99"/>
      </w:tcPr>
    </w:tblStylePr>
    <w:tblStylePr w:type="firstCol">
      <w:rPr>
        <w:color w:val="FFFFFF"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F95B7A"/>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FFFFFF" w:themeColor="background1"/>
        <w:insideV w:val="single" w:sz="4" w:space="0" w:color="FFFFFF"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2E2E" w:themeFill="accent6" w:themeFillShade="99"/>
      </w:tcPr>
    </w:tblStylePr>
    <w:tblStylePr w:type="firstCol">
      <w:rPr>
        <w:color w:val="FFFFFF"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F95B7A"/>
    <w:rPr>
      <w:sz w:val="16"/>
      <w:szCs w:val="16"/>
    </w:rPr>
  </w:style>
  <w:style w:type="paragraph" w:styleId="CommentText">
    <w:name w:val="annotation text"/>
    <w:basedOn w:val="Normal"/>
    <w:link w:val="CommentTextChar"/>
    <w:uiPriority w:val="98"/>
    <w:semiHidden/>
    <w:rsid w:val="00F95B7A"/>
    <w:rPr>
      <w:sz w:val="20"/>
      <w:szCs w:val="20"/>
    </w:rPr>
  </w:style>
  <w:style w:type="character" w:customStyle="1" w:styleId="CommentTextChar">
    <w:name w:val="Comment Text Char"/>
    <w:basedOn w:val="DefaultParagraphFont"/>
    <w:link w:val="CommentText"/>
    <w:uiPriority w:val="98"/>
    <w:semiHidden/>
    <w:rsid w:val="00F95B7A"/>
    <w:rPr>
      <w:sz w:val="20"/>
      <w:szCs w:val="20"/>
      <w:lang w:val="en-GB"/>
    </w:rPr>
  </w:style>
  <w:style w:type="paragraph" w:styleId="CommentSubject">
    <w:name w:val="annotation subject"/>
    <w:basedOn w:val="CommentText"/>
    <w:next w:val="CommentText"/>
    <w:link w:val="CommentSubjectChar"/>
    <w:uiPriority w:val="98"/>
    <w:semiHidden/>
    <w:rsid w:val="00F95B7A"/>
    <w:rPr>
      <w:b/>
      <w:bCs/>
    </w:rPr>
  </w:style>
  <w:style w:type="character" w:customStyle="1" w:styleId="CommentSubjectChar">
    <w:name w:val="Comment Subject Char"/>
    <w:basedOn w:val="CommentTextChar"/>
    <w:link w:val="CommentSubject"/>
    <w:uiPriority w:val="98"/>
    <w:semiHidden/>
    <w:rsid w:val="00F95B7A"/>
    <w:rPr>
      <w:b/>
      <w:bCs/>
      <w:sz w:val="20"/>
      <w:szCs w:val="20"/>
      <w:lang w:val="en-GB"/>
    </w:rPr>
  </w:style>
  <w:style w:type="table" w:styleId="DarkList">
    <w:name w:val="Dark List"/>
    <w:basedOn w:val="TableNormal"/>
    <w:uiPriority w:val="70"/>
    <w:semiHidden/>
    <w:rsid w:val="00F95B7A"/>
    <w:rPr>
      <w:color w:val="FFFFFF"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F95B7A"/>
    <w:rPr>
      <w:color w:val="FFFFFF"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548C"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F95B7A"/>
    <w:rPr>
      <w:color w:val="FFFFFF"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8F0000"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F95B7A"/>
    <w:rPr>
      <w:color w:val="FFFFFF" w:themeColor="background1"/>
      <w:sz w:val="24"/>
      <w:szCs w:val="24"/>
    </w:rPr>
    <w:tblPr>
      <w:tblStyleRowBandSize w:val="1"/>
      <w:tblStyleColBandSize w:val="1"/>
    </w:tblPr>
    <w:tcPr>
      <w:shd w:val="clear" w:color="auto" w:fill="5959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C2C2C"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424242"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424242" w:themeFill="accent3" w:themeFillShade="BF"/>
      </w:tcPr>
    </w:tblStylePr>
    <w:tblStylePr w:type="band1Vert">
      <w:tblPr/>
      <w:tcPr>
        <w:tcBorders>
          <w:top w:val="nil"/>
          <w:left w:val="nil"/>
          <w:bottom w:val="nil"/>
          <w:right w:val="nil"/>
          <w:insideH w:val="nil"/>
          <w:insideV w:val="nil"/>
        </w:tcBorders>
        <w:shd w:val="clear" w:color="auto" w:fill="424242" w:themeFill="accent3" w:themeFillShade="BF"/>
      </w:tcPr>
    </w:tblStylePr>
    <w:tblStylePr w:type="band1Horz">
      <w:tblPr/>
      <w:tcPr>
        <w:tcBorders>
          <w:top w:val="nil"/>
          <w:left w:val="nil"/>
          <w:bottom w:val="nil"/>
          <w:right w:val="nil"/>
          <w:insideH w:val="nil"/>
          <w:insideV w:val="nil"/>
        </w:tcBorders>
        <w:shd w:val="clear" w:color="auto" w:fill="424242" w:themeFill="accent3" w:themeFillShade="BF"/>
      </w:tcPr>
    </w:tblStylePr>
  </w:style>
  <w:style w:type="table" w:styleId="DarkListAccent4">
    <w:name w:val="Dark List Accent 4"/>
    <w:basedOn w:val="TableNormal"/>
    <w:uiPriority w:val="70"/>
    <w:semiHidden/>
    <w:rsid w:val="00F95B7A"/>
    <w:rPr>
      <w:color w:val="FFFFFF"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70707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F95B7A"/>
    <w:rPr>
      <w:color w:val="FFFFFF"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474747"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F95B7A"/>
    <w:rPr>
      <w:color w:val="FFFFFF"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93939"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F95B7A"/>
  </w:style>
  <w:style w:type="character" w:customStyle="1" w:styleId="DateChar">
    <w:name w:val="Date Char"/>
    <w:basedOn w:val="DefaultParagraphFont"/>
    <w:link w:val="Date"/>
    <w:uiPriority w:val="98"/>
    <w:semiHidden/>
    <w:rsid w:val="00F95B7A"/>
    <w:rPr>
      <w:sz w:val="24"/>
      <w:szCs w:val="24"/>
      <w:lang w:val="en-GB"/>
    </w:rPr>
  </w:style>
  <w:style w:type="paragraph" w:styleId="DocumentMap">
    <w:name w:val="Document Map"/>
    <w:basedOn w:val="Normal"/>
    <w:link w:val="DocumentMapChar"/>
    <w:uiPriority w:val="98"/>
    <w:semiHidden/>
    <w:rsid w:val="00F95B7A"/>
    <w:rPr>
      <w:rFonts w:ascii="Tahoma" w:hAnsi="Tahoma" w:cs="Tahoma"/>
      <w:sz w:val="16"/>
      <w:szCs w:val="16"/>
    </w:rPr>
  </w:style>
  <w:style w:type="character" w:customStyle="1" w:styleId="DocumentMapChar">
    <w:name w:val="Document Map Char"/>
    <w:basedOn w:val="DefaultParagraphFont"/>
    <w:link w:val="DocumentMap"/>
    <w:uiPriority w:val="98"/>
    <w:semiHidden/>
    <w:rsid w:val="00F95B7A"/>
    <w:rPr>
      <w:rFonts w:ascii="Tahoma" w:hAnsi="Tahoma" w:cs="Tahoma"/>
      <w:sz w:val="16"/>
      <w:szCs w:val="16"/>
      <w:lang w:val="en-GB"/>
    </w:rPr>
  </w:style>
  <w:style w:type="paragraph" w:styleId="E-mailSignature">
    <w:name w:val="E-mail Signature"/>
    <w:basedOn w:val="Normal"/>
    <w:link w:val="E-mailSignatureChar"/>
    <w:uiPriority w:val="98"/>
    <w:semiHidden/>
    <w:rsid w:val="00F95B7A"/>
  </w:style>
  <w:style w:type="character" w:customStyle="1" w:styleId="E-mailSignatureChar">
    <w:name w:val="E-mail Signature Char"/>
    <w:basedOn w:val="DefaultParagraphFont"/>
    <w:link w:val="E-mailSignature"/>
    <w:uiPriority w:val="98"/>
    <w:semiHidden/>
    <w:rsid w:val="00F95B7A"/>
    <w:rPr>
      <w:sz w:val="24"/>
      <w:szCs w:val="24"/>
      <w:lang w:val="en-GB"/>
    </w:rPr>
  </w:style>
  <w:style w:type="character" w:styleId="EndnoteReference">
    <w:name w:val="endnote reference"/>
    <w:basedOn w:val="DefaultParagraphFont"/>
    <w:uiPriority w:val="98"/>
    <w:semiHidden/>
    <w:rsid w:val="00F95B7A"/>
    <w:rPr>
      <w:vertAlign w:val="superscript"/>
    </w:rPr>
  </w:style>
  <w:style w:type="paragraph" w:styleId="EndnoteText">
    <w:name w:val="endnote text"/>
    <w:basedOn w:val="Normal"/>
    <w:link w:val="EndnoteTextChar"/>
    <w:uiPriority w:val="98"/>
    <w:semiHidden/>
    <w:rsid w:val="00F95B7A"/>
    <w:rPr>
      <w:sz w:val="20"/>
      <w:szCs w:val="20"/>
    </w:rPr>
  </w:style>
  <w:style w:type="character" w:customStyle="1" w:styleId="EndnoteTextChar">
    <w:name w:val="Endnote Text Char"/>
    <w:basedOn w:val="DefaultParagraphFont"/>
    <w:link w:val="EndnoteText"/>
    <w:uiPriority w:val="98"/>
    <w:semiHidden/>
    <w:rsid w:val="00F95B7A"/>
    <w:rPr>
      <w:sz w:val="20"/>
      <w:szCs w:val="20"/>
      <w:lang w:val="en-GB"/>
    </w:rPr>
  </w:style>
  <w:style w:type="paragraph" w:styleId="EnvelopeAddress">
    <w:name w:val="envelope address"/>
    <w:basedOn w:val="Normal"/>
    <w:uiPriority w:val="98"/>
    <w:semiHidden/>
    <w:rsid w:val="00F95B7A"/>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F95B7A"/>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F95B7A"/>
    <w:rPr>
      <w:color w:val="7030A0" w:themeColor="followedHyperlink"/>
      <w:u w:val="single"/>
    </w:rPr>
  </w:style>
  <w:style w:type="character" w:styleId="HTMLAcronym">
    <w:name w:val="HTML Acronym"/>
    <w:basedOn w:val="DefaultParagraphFont"/>
    <w:uiPriority w:val="98"/>
    <w:semiHidden/>
    <w:rsid w:val="00F95B7A"/>
  </w:style>
  <w:style w:type="paragraph" w:styleId="HTMLAddress">
    <w:name w:val="HTML Address"/>
    <w:basedOn w:val="Normal"/>
    <w:link w:val="HTMLAddressChar"/>
    <w:uiPriority w:val="98"/>
    <w:semiHidden/>
    <w:rsid w:val="00F95B7A"/>
    <w:rPr>
      <w:i/>
      <w:iCs/>
    </w:rPr>
  </w:style>
  <w:style w:type="character" w:customStyle="1" w:styleId="HTMLAddressChar">
    <w:name w:val="HTML Address Char"/>
    <w:basedOn w:val="DefaultParagraphFont"/>
    <w:link w:val="HTMLAddress"/>
    <w:uiPriority w:val="98"/>
    <w:semiHidden/>
    <w:rsid w:val="00F95B7A"/>
    <w:rPr>
      <w:i/>
      <w:iCs/>
      <w:sz w:val="24"/>
      <w:szCs w:val="24"/>
      <w:lang w:val="en-GB"/>
    </w:rPr>
  </w:style>
  <w:style w:type="character" w:styleId="HTMLCite">
    <w:name w:val="HTML Cite"/>
    <w:basedOn w:val="DefaultParagraphFont"/>
    <w:uiPriority w:val="98"/>
    <w:semiHidden/>
    <w:rsid w:val="00F95B7A"/>
    <w:rPr>
      <w:i/>
      <w:iCs/>
    </w:rPr>
  </w:style>
  <w:style w:type="character" w:styleId="HTMLCode">
    <w:name w:val="HTML Code"/>
    <w:basedOn w:val="DefaultParagraphFont"/>
    <w:uiPriority w:val="98"/>
    <w:semiHidden/>
    <w:rsid w:val="00F95B7A"/>
    <w:rPr>
      <w:rFonts w:ascii="Consolas" w:hAnsi="Consolas" w:cs="Consolas"/>
      <w:sz w:val="20"/>
      <w:szCs w:val="20"/>
    </w:rPr>
  </w:style>
  <w:style w:type="character" w:styleId="HTMLDefinition">
    <w:name w:val="HTML Definition"/>
    <w:basedOn w:val="DefaultParagraphFont"/>
    <w:uiPriority w:val="98"/>
    <w:semiHidden/>
    <w:rsid w:val="00F95B7A"/>
    <w:rPr>
      <w:i/>
      <w:iCs/>
    </w:rPr>
  </w:style>
  <w:style w:type="character" w:styleId="HTMLKeyboard">
    <w:name w:val="HTML Keyboard"/>
    <w:basedOn w:val="DefaultParagraphFont"/>
    <w:uiPriority w:val="98"/>
    <w:semiHidden/>
    <w:rsid w:val="00F95B7A"/>
    <w:rPr>
      <w:rFonts w:ascii="Consolas" w:hAnsi="Consolas" w:cs="Consolas"/>
      <w:sz w:val="20"/>
      <w:szCs w:val="20"/>
    </w:rPr>
  </w:style>
  <w:style w:type="paragraph" w:styleId="HTMLPreformatted">
    <w:name w:val="HTML Preformatted"/>
    <w:basedOn w:val="Normal"/>
    <w:link w:val="HTMLPreformattedChar"/>
    <w:uiPriority w:val="98"/>
    <w:semiHidden/>
    <w:rsid w:val="00F95B7A"/>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F95B7A"/>
    <w:rPr>
      <w:rFonts w:ascii="Consolas" w:hAnsi="Consolas" w:cs="Consolas"/>
      <w:sz w:val="20"/>
      <w:szCs w:val="20"/>
      <w:lang w:val="en-GB"/>
    </w:rPr>
  </w:style>
  <w:style w:type="character" w:styleId="HTMLSample">
    <w:name w:val="HTML Sample"/>
    <w:basedOn w:val="DefaultParagraphFont"/>
    <w:uiPriority w:val="98"/>
    <w:semiHidden/>
    <w:rsid w:val="00F95B7A"/>
    <w:rPr>
      <w:rFonts w:ascii="Consolas" w:hAnsi="Consolas" w:cs="Consolas"/>
      <w:sz w:val="24"/>
      <w:szCs w:val="24"/>
    </w:rPr>
  </w:style>
  <w:style w:type="character" w:styleId="HTMLTypewriter">
    <w:name w:val="HTML Typewriter"/>
    <w:basedOn w:val="DefaultParagraphFont"/>
    <w:uiPriority w:val="98"/>
    <w:semiHidden/>
    <w:rsid w:val="00F95B7A"/>
    <w:rPr>
      <w:rFonts w:ascii="Consolas" w:hAnsi="Consolas" w:cs="Consolas"/>
      <w:sz w:val="20"/>
      <w:szCs w:val="20"/>
    </w:rPr>
  </w:style>
  <w:style w:type="character" w:styleId="HTMLVariable">
    <w:name w:val="HTML Variable"/>
    <w:basedOn w:val="DefaultParagraphFont"/>
    <w:uiPriority w:val="98"/>
    <w:semiHidden/>
    <w:rsid w:val="00F95B7A"/>
    <w:rPr>
      <w:i/>
      <w:iCs/>
    </w:rPr>
  </w:style>
  <w:style w:type="paragraph" w:styleId="Index1">
    <w:name w:val="index 1"/>
    <w:basedOn w:val="Normal"/>
    <w:next w:val="Normal"/>
    <w:autoRedefine/>
    <w:uiPriority w:val="98"/>
    <w:semiHidden/>
    <w:rsid w:val="00F95B7A"/>
    <w:pPr>
      <w:ind w:left="240" w:hanging="240"/>
    </w:pPr>
  </w:style>
  <w:style w:type="paragraph" w:styleId="Index2">
    <w:name w:val="index 2"/>
    <w:basedOn w:val="Normal"/>
    <w:next w:val="Normal"/>
    <w:autoRedefine/>
    <w:uiPriority w:val="98"/>
    <w:semiHidden/>
    <w:rsid w:val="00F95B7A"/>
    <w:pPr>
      <w:ind w:left="480" w:hanging="240"/>
    </w:pPr>
  </w:style>
  <w:style w:type="paragraph" w:styleId="Index3">
    <w:name w:val="index 3"/>
    <w:basedOn w:val="Normal"/>
    <w:next w:val="Normal"/>
    <w:autoRedefine/>
    <w:uiPriority w:val="98"/>
    <w:semiHidden/>
    <w:rsid w:val="00F95B7A"/>
    <w:pPr>
      <w:ind w:left="720" w:hanging="240"/>
    </w:pPr>
  </w:style>
  <w:style w:type="paragraph" w:styleId="Index4">
    <w:name w:val="index 4"/>
    <w:basedOn w:val="Normal"/>
    <w:next w:val="Normal"/>
    <w:autoRedefine/>
    <w:uiPriority w:val="98"/>
    <w:semiHidden/>
    <w:rsid w:val="00F95B7A"/>
    <w:pPr>
      <w:ind w:left="960" w:hanging="240"/>
    </w:pPr>
  </w:style>
  <w:style w:type="paragraph" w:styleId="Index5">
    <w:name w:val="index 5"/>
    <w:basedOn w:val="Normal"/>
    <w:next w:val="Normal"/>
    <w:autoRedefine/>
    <w:uiPriority w:val="98"/>
    <w:semiHidden/>
    <w:rsid w:val="00F95B7A"/>
    <w:pPr>
      <w:ind w:left="1200" w:hanging="240"/>
    </w:pPr>
  </w:style>
  <w:style w:type="paragraph" w:styleId="Index6">
    <w:name w:val="index 6"/>
    <w:basedOn w:val="Normal"/>
    <w:next w:val="Normal"/>
    <w:autoRedefine/>
    <w:uiPriority w:val="98"/>
    <w:semiHidden/>
    <w:rsid w:val="00F95B7A"/>
    <w:pPr>
      <w:ind w:left="1440" w:hanging="240"/>
    </w:pPr>
  </w:style>
  <w:style w:type="paragraph" w:styleId="Index7">
    <w:name w:val="index 7"/>
    <w:basedOn w:val="Normal"/>
    <w:next w:val="Normal"/>
    <w:autoRedefine/>
    <w:uiPriority w:val="98"/>
    <w:semiHidden/>
    <w:rsid w:val="00F95B7A"/>
    <w:pPr>
      <w:ind w:left="1680" w:hanging="240"/>
    </w:pPr>
  </w:style>
  <w:style w:type="paragraph" w:styleId="Index8">
    <w:name w:val="index 8"/>
    <w:basedOn w:val="Normal"/>
    <w:next w:val="Normal"/>
    <w:autoRedefine/>
    <w:uiPriority w:val="98"/>
    <w:semiHidden/>
    <w:rsid w:val="00F95B7A"/>
    <w:pPr>
      <w:ind w:left="1920" w:hanging="240"/>
    </w:pPr>
  </w:style>
  <w:style w:type="paragraph" w:styleId="Index9">
    <w:name w:val="index 9"/>
    <w:basedOn w:val="Normal"/>
    <w:next w:val="Normal"/>
    <w:autoRedefine/>
    <w:uiPriority w:val="98"/>
    <w:semiHidden/>
    <w:rsid w:val="00F95B7A"/>
    <w:pPr>
      <w:ind w:left="2160" w:hanging="240"/>
    </w:pPr>
  </w:style>
  <w:style w:type="paragraph" w:styleId="IndexHeading">
    <w:name w:val="index heading"/>
    <w:basedOn w:val="Normal"/>
    <w:next w:val="Index1"/>
    <w:uiPriority w:val="98"/>
    <w:semiHidden/>
    <w:rsid w:val="00F95B7A"/>
    <w:rPr>
      <w:rFonts w:asciiTheme="majorHAnsi" w:eastAsiaTheme="majorEastAsia" w:hAnsiTheme="majorHAnsi" w:cstheme="majorBidi"/>
      <w:b/>
      <w:bCs/>
    </w:rPr>
  </w:style>
  <w:style w:type="table" w:styleId="LightGrid">
    <w:name w:val="Light Grid"/>
    <w:basedOn w:val="TableNormal"/>
    <w:uiPriority w:val="62"/>
    <w:semiHidden/>
    <w:rsid w:val="00F95B7A"/>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F95B7A"/>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F95B7A"/>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F95B7A"/>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18" w:space="0" w:color="595959" w:themeColor="accent3"/>
          <w:right w:val="single" w:sz="8" w:space="0" w:color="595959" w:themeColor="accent3"/>
          <w:insideH w:val="nil"/>
          <w:insideV w:val="single" w:sz="8" w:space="0" w:color="5959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insideH w:val="nil"/>
          <w:insideV w:val="single" w:sz="8" w:space="0" w:color="5959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shd w:val="clear" w:color="auto" w:fill="D5D5D5" w:themeFill="accent3" w:themeFillTint="3F"/>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shd w:val="clear" w:color="auto" w:fill="D5D5D5" w:themeFill="accent3" w:themeFillTint="3F"/>
      </w:tcPr>
    </w:tblStylePr>
    <w:tblStylePr w:type="band2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tcPr>
    </w:tblStylePr>
  </w:style>
  <w:style w:type="table" w:styleId="LightGridAccent4">
    <w:name w:val="Light Grid Accent 4"/>
    <w:basedOn w:val="TableNormal"/>
    <w:uiPriority w:val="62"/>
    <w:semiHidden/>
    <w:rsid w:val="00F95B7A"/>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F95B7A"/>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F95B7A"/>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F95B7A"/>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F95B7A"/>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FFFFFF"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F95B7A"/>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FFFFFF"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F95B7A"/>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pPr>
        <w:spacing w:before="0" w:after="0" w:line="240" w:lineRule="auto"/>
      </w:pPr>
      <w:rPr>
        <w:b/>
        <w:bCs/>
        <w:color w:val="FFFFFF" w:themeColor="background1"/>
      </w:rPr>
      <w:tblPr/>
      <w:tcPr>
        <w:shd w:val="clear" w:color="auto" w:fill="595959" w:themeFill="accent3"/>
      </w:tcPr>
    </w:tblStylePr>
    <w:tblStylePr w:type="lastRow">
      <w:pPr>
        <w:spacing w:before="0" w:after="0" w:line="240" w:lineRule="auto"/>
      </w:pPr>
      <w:rPr>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tcBorders>
      </w:tcPr>
    </w:tblStylePr>
    <w:tblStylePr w:type="firstCol">
      <w:rPr>
        <w:b/>
        <w:bCs/>
      </w:rPr>
    </w:tblStylePr>
    <w:tblStylePr w:type="lastCol">
      <w:rPr>
        <w:b/>
        <w:bCs/>
      </w:r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style>
  <w:style w:type="table" w:styleId="LightListAccent4">
    <w:name w:val="Light List Accent 4"/>
    <w:basedOn w:val="TableNormal"/>
    <w:uiPriority w:val="61"/>
    <w:semiHidden/>
    <w:rsid w:val="00F95B7A"/>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FFFFFF"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F95B7A"/>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FFFFFF"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F95B7A"/>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FFFFFF"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F95B7A"/>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F95B7A"/>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F95B7A"/>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F95B7A"/>
    <w:rPr>
      <w:color w:val="424242" w:themeColor="accent3" w:themeShade="BF"/>
      <w:sz w:val="24"/>
      <w:szCs w:val="24"/>
    </w:rPr>
    <w:tblPr>
      <w:tblStyleRowBandSize w:val="1"/>
      <w:tblStyleColBandSize w:val="1"/>
      <w:tblBorders>
        <w:top w:val="single" w:sz="8" w:space="0" w:color="595959" w:themeColor="accent3"/>
        <w:bottom w:val="single" w:sz="8" w:space="0" w:color="595959" w:themeColor="accent3"/>
      </w:tblBorders>
    </w:tblPr>
    <w:tblStylePr w:type="fir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la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left w:val="nil"/>
          <w:right w:val="nil"/>
          <w:insideH w:val="nil"/>
          <w:insideV w:val="nil"/>
        </w:tcBorders>
        <w:shd w:val="clear" w:color="auto" w:fill="D5D5D5" w:themeFill="accent3" w:themeFillTint="3F"/>
      </w:tcPr>
    </w:tblStylePr>
  </w:style>
  <w:style w:type="table" w:styleId="LightShadingAccent4">
    <w:name w:val="Light Shading Accent 4"/>
    <w:basedOn w:val="TableNormal"/>
    <w:uiPriority w:val="60"/>
    <w:semiHidden/>
    <w:rsid w:val="00F95B7A"/>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F95B7A"/>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F95B7A"/>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F95B7A"/>
  </w:style>
  <w:style w:type="paragraph" w:styleId="List">
    <w:name w:val="List"/>
    <w:basedOn w:val="Normal"/>
    <w:uiPriority w:val="98"/>
    <w:semiHidden/>
    <w:rsid w:val="00F95B7A"/>
    <w:pPr>
      <w:ind w:left="283" w:hanging="283"/>
      <w:contextualSpacing/>
    </w:pPr>
  </w:style>
  <w:style w:type="paragraph" w:styleId="List20">
    <w:name w:val="List 2"/>
    <w:basedOn w:val="Normal"/>
    <w:uiPriority w:val="98"/>
    <w:semiHidden/>
    <w:rsid w:val="00F95B7A"/>
    <w:pPr>
      <w:ind w:left="566" w:hanging="283"/>
      <w:contextualSpacing/>
    </w:pPr>
  </w:style>
  <w:style w:type="paragraph" w:styleId="List30">
    <w:name w:val="List 3"/>
    <w:basedOn w:val="Normal"/>
    <w:uiPriority w:val="98"/>
    <w:semiHidden/>
    <w:rsid w:val="00F95B7A"/>
    <w:pPr>
      <w:ind w:left="849" w:hanging="283"/>
      <w:contextualSpacing/>
    </w:pPr>
  </w:style>
  <w:style w:type="paragraph" w:styleId="List4">
    <w:name w:val="List 4"/>
    <w:basedOn w:val="Normal"/>
    <w:uiPriority w:val="98"/>
    <w:semiHidden/>
    <w:rsid w:val="00F95B7A"/>
    <w:pPr>
      <w:ind w:left="1132" w:hanging="283"/>
      <w:contextualSpacing/>
    </w:pPr>
  </w:style>
  <w:style w:type="paragraph" w:styleId="List5">
    <w:name w:val="List 5"/>
    <w:basedOn w:val="Normal"/>
    <w:uiPriority w:val="98"/>
    <w:semiHidden/>
    <w:rsid w:val="00F95B7A"/>
    <w:pPr>
      <w:ind w:left="1415" w:hanging="283"/>
      <w:contextualSpacing/>
    </w:pPr>
  </w:style>
  <w:style w:type="paragraph" w:styleId="ListBullet2">
    <w:name w:val="List Bullet 2"/>
    <w:basedOn w:val="Normal"/>
    <w:uiPriority w:val="98"/>
    <w:semiHidden/>
    <w:rsid w:val="00F95B7A"/>
    <w:pPr>
      <w:numPr>
        <w:numId w:val="8"/>
      </w:numPr>
      <w:contextualSpacing/>
    </w:pPr>
  </w:style>
  <w:style w:type="paragraph" w:styleId="ListBullet4">
    <w:name w:val="List Bullet 4"/>
    <w:basedOn w:val="Normal"/>
    <w:uiPriority w:val="98"/>
    <w:semiHidden/>
    <w:rsid w:val="00F95B7A"/>
    <w:pPr>
      <w:numPr>
        <w:numId w:val="10"/>
      </w:numPr>
      <w:contextualSpacing/>
    </w:pPr>
  </w:style>
  <w:style w:type="paragraph" w:styleId="ListBullet5">
    <w:name w:val="List Bullet 5"/>
    <w:basedOn w:val="Normal"/>
    <w:uiPriority w:val="98"/>
    <w:semiHidden/>
    <w:rsid w:val="00F95B7A"/>
    <w:pPr>
      <w:numPr>
        <w:numId w:val="11"/>
      </w:numPr>
      <w:contextualSpacing/>
    </w:pPr>
  </w:style>
  <w:style w:type="paragraph" w:styleId="ListContinue">
    <w:name w:val="List Continue"/>
    <w:basedOn w:val="Normal"/>
    <w:uiPriority w:val="98"/>
    <w:semiHidden/>
    <w:rsid w:val="00F95B7A"/>
    <w:pPr>
      <w:spacing w:after="120"/>
      <w:ind w:left="283"/>
      <w:contextualSpacing/>
    </w:pPr>
  </w:style>
  <w:style w:type="paragraph" w:styleId="ListContinue2">
    <w:name w:val="List Continue 2"/>
    <w:basedOn w:val="Normal"/>
    <w:uiPriority w:val="98"/>
    <w:semiHidden/>
    <w:rsid w:val="00F95B7A"/>
    <w:pPr>
      <w:spacing w:after="120"/>
      <w:ind w:left="566"/>
      <w:contextualSpacing/>
    </w:pPr>
  </w:style>
  <w:style w:type="paragraph" w:styleId="ListContinue3">
    <w:name w:val="List Continue 3"/>
    <w:basedOn w:val="Normal"/>
    <w:uiPriority w:val="98"/>
    <w:semiHidden/>
    <w:rsid w:val="00F95B7A"/>
    <w:pPr>
      <w:spacing w:after="120"/>
      <w:ind w:left="849"/>
      <w:contextualSpacing/>
    </w:pPr>
  </w:style>
  <w:style w:type="paragraph" w:styleId="ListContinue4">
    <w:name w:val="List Continue 4"/>
    <w:basedOn w:val="Normal"/>
    <w:uiPriority w:val="98"/>
    <w:semiHidden/>
    <w:rsid w:val="00F95B7A"/>
    <w:pPr>
      <w:spacing w:after="120"/>
      <w:ind w:left="1132"/>
      <w:contextualSpacing/>
    </w:pPr>
  </w:style>
  <w:style w:type="paragraph" w:styleId="ListContinue5">
    <w:name w:val="List Continue 5"/>
    <w:basedOn w:val="Normal"/>
    <w:uiPriority w:val="98"/>
    <w:semiHidden/>
    <w:rsid w:val="00F95B7A"/>
    <w:pPr>
      <w:spacing w:after="120"/>
      <w:ind w:left="1415"/>
      <w:contextualSpacing/>
    </w:pPr>
  </w:style>
  <w:style w:type="paragraph" w:styleId="ListNumber">
    <w:name w:val="List Number"/>
    <w:basedOn w:val="Normal"/>
    <w:uiPriority w:val="98"/>
    <w:semiHidden/>
    <w:rsid w:val="00F95B7A"/>
    <w:pPr>
      <w:numPr>
        <w:numId w:val="12"/>
      </w:numPr>
      <w:contextualSpacing/>
    </w:pPr>
  </w:style>
  <w:style w:type="paragraph" w:styleId="ListNumber2">
    <w:name w:val="List Number 2"/>
    <w:basedOn w:val="Normal"/>
    <w:uiPriority w:val="98"/>
    <w:semiHidden/>
    <w:rsid w:val="00F95B7A"/>
    <w:pPr>
      <w:numPr>
        <w:numId w:val="13"/>
      </w:numPr>
      <w:contextualSpacing/>
    </w:pPr>
  </w:style>
  <w:style w:type="paragraph" w:styleId="ListNumber3">
    <w:name w:val="List Number 3"/>
    <w:basedOn w:val="Normal"/>
    <w:uiPriority w:val="98"/>
    <w:semiHidden/>
    <w:rsid w:val="00F95B7A"/>
    <w:pPr>
      <w:numPr>
        <w:numId w:val="14"/>
      </w:numPr>
      <w:contextualSpacing/>
    </w:pPr>
  </w:style>
  <w:style w:type="paragraph" w:styleId="ListNumber4">
    <w:name w:val="List Number 4"/>
    <w:basedOn w:val="Normal"/>
    <w:uiPriority w:val="98"/>
    <w:semiHidden/>
    <w:rsid w:val="00F95B7A"/>
    <w:pPr>
      <w:numPr>
        <w:numId w:val="15"/>
      </w:numPr>
      <w:contextualSpacing/>
    </w:pPr>
  </w:style>
  <w:style w:type="paragraph" w:styleId="ListNumber5">
    <w:name w:val="List Number 5"/>
    <w:basedOn w:val="Normal"/>
    <w:uiPriority w:val="98"/>
    <w:semiHidden/>
    <w:rsid w:val="00F95B7A"/>
    <w:pPr>
      <w:numPr>
        <w:numId w:val="16"/>
      </w:numPr>
      <w:contextualSpacing/>
    </w:pPr>
  </w:style>
  <w:style w:type="paragraph" w:styleId="Macro">
    <w:name w:val="macro"/>
    <w:link w:val="MacroTextChar"/>
    <w:uiPriority w:val="98"/>
    <w:semiHidden/>
    <w:rsid w:val="00F95B7A"/>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F95B7A"/>
    <w:rPr>
      <w:rFonts w:ascii="Consolas" w:hAnsi="Consolas" w:eastAsiaTheme="minorEastAsia" w:cs="Consolas"/>
      <w:sz w:val="20"/>
      <w:szCs w:val="20"/>
    </w:rPr>
  </w:style>
  <w:style w:type="table" w:styleId="MediumGrid1">
    <w:name w:val="Medium Grid 1"/>
    <w:basedOn w:val="TableNormal"/>
    <w:uiPriority w:val="67"/>
    <w:semiHidden/>
    <w:rsid w:val="00F95B7A"/>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F95B7A"/>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F95B7A"/>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F95B7A"/>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insideV w:val="single" w:sz="8" w:space="0" w:color="828282" w:themeColor="accent3" w:themeTint="BF"/>
      </w:tblBorders>
    </w:tblPr>
    <w:tcPr>
      <w:shd w:val="clear" w:color="auto" w:fill="D5D5D5" w:themeFill="accent3" w:themeFillTint="3F"/>
    </w:tcPr>
    <w:tblStylePr w:type="firstRow">
      <w:rPr>
        <w:b/>
        <w:bCs/>
      </w:rPr>
    </w:tblStylePr>
    <w:tblStylePr w:type="lastRow">
      <w:rPr>
        <w:b/>
        <w:bCs/>
      </w:rPr>
      <w:tblPr/>
      <w:tcPr>
        <w:tcBorders>
          <w:top w:val="single" w:sz="18" w:space="0" w:color="828282" w:themeColor="accent3" w:themeTint="BF"/>
        </w:tcBorders>
      </w:tcPr>
    </w:tblStylePr>
    <w:tblStylePr w:type="firstCol">
      <w:rPr>
        <w:b/>
        <w:bCs/>
      </w:rPr>
    </w:tblStylePr>
    <w:tblStylePr w:type="lastCol">
      <w:rPr>
        <w:b/>
        <w:bCs/>
      </w:r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MediumGrid1Accent4">
    <w:name w:val="Medium Grid 1 Accent 4"/>
    <w:basedOn w:val="TableNormal"/>
    <w:uiPriority w:val="67"/>
    <w:semiHidden/>
    <w:rsid w:val="00F95B7A"/>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F95B7A"/>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F95B7A"/>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F95B7A"/>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F95B7A"/>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F95B7A"/>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F95B7A"/>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cPr>
      <w:shd w:val="clear" w:color="auto" w:fill="D5D5D5" w:themeFill="accent3" w:themeFillTint="3F"/>
    </w:tcPr>
    <w:tblStylePr w:type="firstRow">
      <w:rPr>
        <w:b/>
        <w:bCs/>
        <w:color w:val="000000" w:themeColor="text1"/>
      </w:rPr>
      <w:tblPr/>
      <w:tcPr>
        <w:shd w:val="clear" w:color="auto" w:fill="EEEE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DDDDD" w:themeFill="accent3" w:themeFillTint="33"/>
      </w:tcPr>
    </w:tblStylePr>
    <w:tblStylePr w:type="band1Vert">
      <w:tblPr/>
      <w:tcPr>
        <w:shd w:val="clear" w:color="auto" w:fill="ACACAC" w:themeFill="accent3" w:themeFillTint="7F"/>
      </w:tcPr>
    </w:tblStylePr>
    <w:tblStylePr w:type="band1Horz">
      <w:tblPr/>
      <w:tcPr>
        <w:tcBorders>
          <w:insideH w:val="single" w:sz="6" w:space="0" w:color="595959" w:themeColor="accent3"/>
          <w:insideV w:val="single" w:sz="6" w:space="0" w:color="595959" w:themeColor="accent3"/>
        </w:tcBorders>
        <w:shd w:val="clear" w:color="auto" w:fill="ACAC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F95B7A"/>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F95B7A"/>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F95B7A"/>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F95B7A"/>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rsid w:val="00F95B7A"/>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FDF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72BC"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72BC"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EBF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EBFFF" w:themeFill="accent1" w:themeFillTint="7F"/>
      </w:tcPr>
    </w:tblStylePr>
  </w:style>
  <w:style w:type="table" w:styleId="MediumGrid3Accent2">
    <w:name w:val="Medium Grid 3 Accent 2"/>
    <w:basedOn w:val="TableNormal"/>
    <w:uiPriority w:val="69"/>
    <w:semiHidden/>
    <w:rsid w:val="00F95B7A"/>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0B0"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0000"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0000"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6060"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6060" w:themeFill="accent2" w:themeFillTint="7F"/>
      </w:tcPr>
    </w:tblStylePr>
  </w:style>
  <w:style w:type="table" w:styleId="MediumGrid3Accent3">
    <w:name w:val="Medium Grid 3 Accent 3"/>
    <w:basedOn w:val="TableNormal"/>
    <w:uiPriority w:val="69"/>
    <w:semiHidden/>
    <w:rsid w:val="00F95B7A"/>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5D5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959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959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CAC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CACAC" w:themeFill="accent3" w:themeFillTint="7F"/>
      </w:tcPr>
    </w:tblStylePr>
  </w:style>
  <w:style w:type="table" w:styleId="MediumGrid3Accent4">
    <w:name w:val="Medium Grid 3 Accent 4"/>
    <w:basedOn w:val="TableNormal"/>
    <w:uiPriority w:val="69"/>
    <w:semiHidden/>
    <w:rsid w:val="00F95B7A"/>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5E5"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9696"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9696"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CACA"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CACA" w:themeFill="accent4" w:themeFillTint="7F"/>
      </w:tcPr>
    </w:tblStylePr>
  </w:style>
  <w:style w:type="table" w:styleId="MediumGrid3Accent5">
    <w:name w:val="Medium Grid 3 Accent 5"/>
    <w:basedOn w:val="TableNormal"/>
    <w:uiPriority w:val="69"/>
    <w:semiHidden/>
    <w:rsid w:val="00F95B7A"/>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7D7D7"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F5F5F"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F5F5F"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FAFAF"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FAFAF" w:themeFill="accent5" w:themeFillTint="7F"/>
      </w:tcPr>
    </w:tblStylePr>
  </w:style>
  <w:style w:type="table" w:styleId="MediumGrid3Accent6">
    <w:name w:val="Medium Grid 3 Accent 6"/>
    <w:basedOn w:val="TableNormal"/>
    <w:uiPriority w:val="69"/>
    <w:semiHidden/>
    <w:rsid w:val="00F95B7A"/>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3D3"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D4D4D"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D4D4D"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6A6A6"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6A6A6" w:themeFill="accent6" w:themeFillTint="7F"/>
      </w:tcPr>
    </w:tblStylePr>
  </w:style>
  <w:style w:type="table" w:styleId="MediumList1">
    <w:name w:val="Medium List 1"/>
    <w:basedOn w:val="TableNormal"/>
    <w:uiPriority w:val="65"/>
    <w:semiHidden/>
    <w:rsid w:val="00F95B7A"/>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B0B0B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F95B7A"/>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B0B0B0"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F95B7A"/>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B0B0B0"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F95B7A"/>
    <w:rPr>
      <w:color w:val="000000" w:themeColor="text1"/>
      <w:sz w:val="24"/>
      <w:szCs w:val="24"/>
    </w:rPr>
    <w:tblPr>
      <w:tblStyleRowBandSize w:val="1"/>
      <w:tblStyleColBandSize w:val="1"/>
      <w:tblBorders>
        <w:top w:val="single" w:sz="8" w:space="0" w:color="595959" w:themeColor="accent3"/>
        <w:bottom w:val="single" w:sz="8" w:space="0" w:color="595959" w:themeColor="accent3"/>
      </w:tblBorders>
    </w:tblPr>
    <w:tblStylePr w:type="firstRow">
      <w:rPr>
        <w:rFonts w:asciiTheme="majorHAnsi" w:eastAsiaTheme="majorEastAsia" w:hAnsiTheme="majorHAnsi" w:cstheme="majorBidi"/>
      </w:rPr>
      <w:tblPr/>
      <w:tcPr>
        <w:tcBorders>
          <w:top w:val="nil"/>
          <w:bottom w:val="single" w:sz="8" w:space="0" w:color="595959" w:themeColor="accent3"/>
        </w:tcBorders>
      </w:tcPr>
    </w:tblStylePr>
    <w:tblStylePr w:type="lastRow">
      <w:rPr>
        <w:b/>
        <w:bCs/>
        <w:color w:val="B0B0B0" w:themeColor="text2"/>
      </w:rPr>
      <w:tblPr/>
      <w:tcPr>
        <w:tcBorders>
          <w:top w:val="single" w:sz="8" w:space="0" w:color="595959" w:themeColor="accent3"/>
          <w:bottom w:val="single" w:sz="8" w:space="0" w:color="595959" w:themeColor="accent3"/>
        </w:tcBorders>
      </w:tcPr>
    </w:tblStylePr>
    <w:tblStylePr w:type="firstCol">
      <w:rPr>
        <w:b/>
        <w:bCs/>
      </w:rPr>
    </w:tblStylePr>
    <w:tblStylePr w:type="lastCol">
      <w:rPr>
        <w:b/>
        <w:bCs/>
      </w:rPr>
      <w:tblPr/>
      <w:tcPr>
        <w:tcBorders>
          <w:top w:val="single" w:sz="8" w:space="0" w:color="595959" w:themeColor="accent3"/>
          <w:bottom w:val="single" w:sz="8" w:space="0" w:color="595959" w:themeColor="accent3"/>
        </w:tcBorders>
      </w:tcPr>
    </w:tblStylePr>
    <w:tblStylePr w:type="band1Vert">
      <w:tblPr/>
      <w:tcPr>
        <w:shd w:val="clear" w:color="auto" w:fill="D5D5D5" w:themeFill="accent3" w:themeFillTint="3F"/>
      </w:tcPr>
    </w:tblStylePr>
    <w:tblStylePr w:type="band1Horz">
      <w:tblPr/>
      <w:tcPr>
        <w:shd w:val="clear" w:color="auto" w:fill="D5D5D5" w:themeFill="accent3" w:themeFillTint="3F"/>
      </w:tcPr>
    </w:tblStylePr>
  </w:style>
  <w:style w:type="table" w:styleId="MediumList1Accent4">
    <w:name w:val="Medium List 1 Accent 4"/>
    <w:basedOn w:val="TableNormal"/>
    <w:uiPriority w:val="65"/>
    <w:semiHidden/>
    <w:rsid w:val="00F95B7A"/>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B0B0B0"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F95B7A"/>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B0B0B0"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F95B7A"/>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B0B0B0"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F95B7A"/>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F95B7A"/>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FFFFFF" w:themeFill="background1"/>
      </w:tcPr>
    </w:tblStylePr>
    <w:tblStylePr w:type="lastRow">
      <w:tblPr/>
      <w:tcPr>
        <w:tcBorders>
          <w:top w:val="single" w:sz="8" w:space="0" w:color="0072BC"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72BC" w:themeColor="accent1"/>
          <w:insideH w:val="nil"/>
          <w:insideV w:val="nil"/>
        </w:tcBorders>
        <w:shd w:val="clear" w:color="auto" w:fill="FFFFFF" w:themeFill="background1"/>
      </w:tcPr>
    </w:tblStylePr>
    <w:tblStylePr w:type="lastCol">
      <w:tblPr/>
      <w:tcPr>
        <w:tcBorders>
          <w:top w:val="nil"/>
          <w:left w:val="single" w:sz="8" w:space="0" w:color="0072BC"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F95B7A"/>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tblPr/>
      <w:tcPr>
        <w:tcBorders>
          <w:top w:val="single" w:sz="8" w:space="0" w:color="C00000"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0000" w:themeColor="accent2"/>
          <w:insideH w:val="nil"/>
          <w:insideV w:val="nil"/>
        </w:tcBorders>
        <w:shd w:val="clear" w:color="auto" w:fill="FFFFFF" w:themeFill="background1"/>
      </w:tcPr>
    </w:tblStylePr>
    <w:tblStylePr w:type="lastCol">
      <w:tblPr/>
      <w:tcPr>
        <w:tcBorders>
          <w:top w:val="nil"/>
          <w:left w:val="single" w:sz="8" w:space="0" w:color="C00000"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F95B7A"/>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rPr>
        <w:sz w:val="24"/>
        <w:szCs w:val="24"/>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tblPr/>
      <w:tcPr>
        <w:tcBorders>
          <w:top w:val="single" w:sz="8" w:space="0" w:color="5959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95959" w:themeColor="accent3"/>
          <w:insideH w:val="nil"/>
          <w:insideV w:val="nil"/>
        </w:tcBorders>
        <w:shd w:val="clear" w:color="auto" w:fill="FFFFFF" w:themeFill="background1"/>
      </w:tcPr>
    </w:tblStylePr>
    <w:tblStylePr w:type="lastCol">
      <w:tblPr/>
      <w:tcPr>
        <w:tcBorders>
          <w:top w:val="nil"/>
          <w:left w:val="single" w:sz="8" w:space="0" w:color="5959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top w:val="nil"/>
          <w:bottom w:val="nil"/>
          <w:insideH w:val="nil"/>
          <w:insideV w:val="nil"/>
        </w:tcBorders>
        <w:shd w:val="clear" w:color="auto" w:fill="D5D5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F95B7A"/>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tblPr/>
      <w:tcPr>
        <w:tcBorders>
          <w:top w:val="single" w:sz="8" w:space="0" w:color="969696"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9696" w:themeColor="accent4"/>
          <w:insideH w:val="nil"/>
          <w:insideV w:val="nil"/>
        </w:tcBorders>
        <w:shd w:val="clear" w:color="auto" w:fill="FFFFFF" w:themeFill="background1"/>
      </w:tcPr>
    </w:tblStylePr>
    <w:tblStylePr w:type="lastCol">
      <w:tblPr/>
      <w:tcPr>
        <w:tcBorders>
          <w:top w:val="nil"/>
          <w:left w:val="single" w:sz="8" w:space="0" w:color="969696"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F95B7A"/>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tblPr/>
      <w:tcPr>
        <w:tcBorders>
          <w:top w:val="single" w:sz="8" w:space="0" w:color="5F5F5F"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F5F5F" w:themeColor="accent5"/>
          <w:insideH w:val="nil"/>
          <w:insideV w:val="nil"/>
        </w:tcBorders>
        <w:shd w:val="clear" w:color="auto" w:fill="FFFFFF" w:themeFill="background1"/>
      </w:tcPr>
    </w:tblStylePr>
    <w:tblStylePr w:type="lastCol">
      <w:tblPr/>
      <w:tcPr>
        <w:tcBorders>
          <w:top w:val="nil"/>
          <w:left w:val="single" w:sz="8" w:space="0" w:color="5F5F5F"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F95B7A"/>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tblPr/>
      <w:tcPr>
        <w:tcBorders>
          <w:top w:val="single" w:sz="8" w:space="0" w:color="4D4D4D"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D4D4D" w:themeColor="accent6"/>
          <w:insideH w:val="nil"/>
          <w:insideV w:val="nil"/>
        </w:tcBorders>
        <w:shd w:val="clear" w:color="auto" w:fill="FFFFFF" w:themeFill="background1"/>
      </w:tcPr>
    </w:tblStylePr>
    <w:tblStylePr w:type="lastCol">
      <w:tblPr/>
      <w:tcPr>
        <w:tcBorders>
          <w:top w:val="nil"/>
          <w:left w:val="single" w:sz="8" w:space="0" w:color="4D4D4D"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F95B7A"/>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F95B7A"/>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FFFFFF"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F95B7A"/>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FFFFFF"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F95B7A"/>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tblBorders>
    </w:tblPr>
    <w:tblStylePr w:type="firstRow">
      <w:pPr>
        <w:spacing w:before="0" w:after="0" w:line="240" w:lineRule="auto"/>
      </w:pPr>
      <w:rPr>
        <w:b/>
        <w:bCs/>
        <w:color w:val="FFFFFF" w:themeColor="background1"/>
      </w:rPr>
      <w:tblPr/>
      <w:tcPr>
        <w:tc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shd w:val="clear" w:color="auto" w:fill="595959" w:themeFill="accent3"/>
      </w:tcPr>
    </w:tblStylePr>
    <w:tblStylePr w:type="lastRow">
      <w:pPr>
        <w:spacing w:before="0" w:after="0" w:line="240" w:lineRule="auto"/>
      </w:pPr>
      <w:rPr>
        <w:b/>
        <w:bCs/>
      </w:rPr>
      <w:tblPr/>
      <w:tcPr>
        <w:tcBorders>
          <w:top w:val="double" w:sz="6"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D5D5D5" w:themeFill="accent3" w:themeFillTint="3F"/>
      </w:tcPr>
    </w:tblStylePr>
    <w:tblStylePr w:type="band1Horz">
      <w:tblPr/>
      <w:tcPr>
        <w:tcBorders>
          <w:insideH w:val="nil"/>
          <w:insideV w:val="nil"/>
        </w:tcBorders>
        <w:shd w:val="clear" w:color="auto" w:fill="D5D5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F95B7A"/>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FFFFFF"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F95B7A"/>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FFFFFF"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F95B7A"/>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FFFFFF"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F95B7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F95B7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FFFFFF"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F95B7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FFFFFF"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F95B7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959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95959" w:themeFill="accent3"/>
      </w:tcPr>
    </w:tblStylePr>
    <w:tblStylePr w:type="lastCol">
      <w:rPr>
        <w:b/>
        <w:bCs/>
        <w:color w:val="FFFFFF" w:themeColor="background1"/>
      </w:rPr>
      <w:tblPr/>
      <w:tcPr>
        <w:tcBorders>
          <w:left w:val="nil"/>
          <w:right w:val="nil"/>
          <w:insideH w:val="nil"/>
          <w:insideV w:val="nil"/>
        </w:tcBorders>
        <w:shd w:val="clear" w:color="auto" w:fill="5959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F95B7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FFFFFF"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F95B7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FFFFFF"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F95B7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FFFFFF"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F95B7A"/>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F95B7A"/>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F95B7A"/>
    <w:rPr>
      <w:rFonts w:ascii="Times New Roman" w:hAnsi="Times New Roman" w:cs="Times New Roman"/>
    </w:rPr>
  </w:style>
  <w:style w:type="paragraph" w:styleId="NormalIndent">
    <w:name w:val="Normal Indent"/>
    <w:basedOn w:val="Normal"/>
    <w:uiPriority w:val="98"/>
    <w:semiHidden/>
    <w:rsid w:val="00F95B7A"/>
    <w:pPr>
      <w:ind w:left="720"/>
    </w:pPr>
  </w:style>
  <w:style w:type="paragraph" w:styleId="NoteHeading">
    <w:name w:val="Note Heading"/>
    <w:basedOn w:val="Normal"/>
    <w:next w:val="Normal"/>
    <w:link w:val="NoteHeadingChar"/>
    <w:uiPriority w:val="98"/>
    <w:semiHidden/>
    <w:rsid w:val="00F95B7A"/>
  </w:style>
  <w:style w:type="character" w:customStyle="1" w:styleId="NoteHeadingChar">
    <w:name w:val="Note Heading Char"/>
    <w:basedOn w:val="DefaultParagraphFont"/>
    <w:link w:val="NoteHeading"/>
    <w:uiPriority w:val="98"/>
    <w:semiHidden/>
    <w:rsid w:val="00F95B7A"/>
    <w:rPr>
      <w:sz w:val="24"/>
      <w:szCs w:val="24"/>
      <w:lang w:val="en-GB"/>
    </w:rPr>
  </w:style>
  <w:style w:type="character" w:styleId="PlaceholderText">
    <w:name w:val="Placeholder Text"/>
    <w:basedOn w:val="DefaultParagraphFont"/>
    <w:uiPriority w:val="98"/>
    <w:semiHidden/>
    <w:rsid w:val="00F95B7A"/>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F95B7A"/>
    <w:rPr>
      <w:rFonts w:ascii="Consolas" w:hAnsi="Consolas" w:cs="Consolas"/>
      <w:sz w:val="21"/>
      <w:szCs w:val="21"/>
    </w:rPr>
  </w:style>
  <w:style w:type="character" w:customStyle="1" w:styleId="PlainTextChar">
    <w:name w:val="Plain Text Char"/>
    <w:basedOn w:val="DefaultParagraphFont"/>
    <w:link w:val="PlainText"/>
    <w:uiPriority w:val="98"/>
    <w:semiHidden/>
    <w:rsid w:val="00F95B7A"/>
    <w:rPr>
      <w:rFonts w:ascii="Consolas" w:hAnsi="Consolas" w:cs="Consolas"/>
      <w:sz w:val="21"/>
      <w:szCs w:val="21"/>
      <w:lang w:val="en-GB"/>
    </w:rPr>
  </w:style>
  <w:style w:type="paragraph" w:styleId="Salutation">
    <w:name w:val="Salutation"/>
    <w:basedOn w:val="Normal"/>
    <w:next w:val="Normal"/>
    <w:link w:val="SalutationChar"/>
    <w:uiPriority w:val="98"/>
    <w:semiHidden/>
    <w:rsid w:val="00F95B7A"/>
  </w:style>
  <w:style w:type="character" w:customStyle="1" w:styleId="SalutationChar">
    <w:name w:val="Salutation Char"/>
    <w:basedOn w:val="DefaultParagraphFont"/>
    <w:link w:val="Salutation"/>
    <w:uiPriority w:val="98"/>
    <w:semiHidden/>
    <w:rsid w:val="00F95B7A"/>
    <w:rPr>
      <w:sz w:val="24"/>
      <w:szCs w:val="24"/>
      <w:lang w:val="en-GB"/>
    </w:rPr>
  </w:style>
  <w:style w:type="paragraph" w:styleId="Signature0">
    <w:name w:val="Signature"/>
    <w:basedOn w:val="Normal"/>
    <w:link w:val="SignatureChar"/>
    <w:uiPriority w:val="98"/>
    <w:semiHidden/>
    <w:rsid w:val="00F95B7A"/>
    <w:pPr>
      <w:ind w:left="4252"/>
    </w:pPr>
  </w:style>
  <w:style w:type="character" w:customStyle="1" w:styleId="SignatureChar">
    <w:name w:val="Signature Char"/>
    <w:basedOn w:val="DefaultParagraphFont"/>
    <w:link w:val="Signature0"/>
    <w:uiPriority w:val="98"/>
    <w:semiHidden/>
    <w:rsid w:val="00F95B7A"/>
    <w:rPr>
      <w:sz w:val="24"/>
      <w:szCs w:val="24"/>
      <w:lang w:val="en-GB"/>
    </w:rPr>
  </w:style>
  <w:style w:type="table" w:styleId="Table3Deffects1">
    <w:name w:val="Table 3D effects 1"/>
    <w:basedOn w:val="TableNormal"/>
    <w:uiPriority w:val="99"/>
    <w:semiHidden/>
    <w:unhideWhenUsed/>
    <w:rsid w:val="00F95B7A"/>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F95B7A"/>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F95B7A"/>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F95B7A"/>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F95B7A"/>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F95B7A"/>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F95B7A"/>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F95B7A"/>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F95B7A"/>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F95B7A"/>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F95B7A"/>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F95B7A"/>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F95B7A"/>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F95B7A"/>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F95B7A"/>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F95B7A"/>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F95B7A"/>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F95B7A"/>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F95B7A"/>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F95B7A"/>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F95B7A"/>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F95B7A"/>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F95B7A"/>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F95B7A"/>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F95B7A"/>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F95B7A"/>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F95B7A"/>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F95B7A"/>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F95B7A"/>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F95B7A"/>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F95B7A"/>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F95B7A"/>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F95B7A"/>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F95B7A"/>
    <w:pPr>
      <w:ind w:left="240" w:hanging="240"/>
    </w:pPr>
  </w:style>
  <w:style w:type="paragraph" w:styleId="TableofFigures">
    <w:name w:val="table of figures"/>
    <w:basedOn w:val="Normal"/>
    <w:next w:val="Normal"/>
    <w:uiPriority w:val="98"/>
    <w:semiHidden/>
    <w:rsid w:val="00F95B7A"/>
  </w:style>
  <w:style w:type="table" w:styleId="TableProfessional">
    <w:name w:val="Table Professional"/>
    <w:basedOn w:val="TableNormal"/>
    <w:uiPriority w:val="99"/>
    <w:semiHidden/>
    <w:unhideWhenUsed/>
    <w:rsid w:val="00F95B7A"/>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F95B7A"/>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F95B7A"/>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F95B7A"/>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F95B7A"/>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F95B7A"/>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F95B7A"/>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F95B7A"/>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F95B7A"/>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F95B7A"/>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F95B7A"/>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F95B7A"/>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F95B7A"/>
    <w:pPr>
      <w:spacing w:after="100"/>
      <w:ind w:left="1680"/>
    </w:pPr>
  </w:style>
  <w:style w:type="paragraph" w:styleId="TOC9">
    <w:name w:val="toc 9"/>
    <w:basedOn w:val="Normal"/>
    <w:next w:val="Normal"/>
    <w:autoRedefine/>
    <w:uiPriority w:val="98"/>
    <w:semiHidden/>
    <w:rsid w:val="00F95B7A"/>
    <w:pPr>
      <w:spacing w:after="100"/>
      <w:ind w:left="1920"/>
    </w:pPr>
  </w:style>
  <w:style w:type="paragraph" w:customStyle="1" w:styleId="ECHRFooter">
    <w:name w:val="ECHR_Footer"/>
    <w:aliases w:val="Footer_ECHR"/>
    <w:basedOn w:val="Footer1"/>
    <w:uiPriority w:val="57"/>
    <w:semiHidden/>
    <w:rsid w:val="0064393B"/>
    <w:rPr>
      <w:sz w:val="8"/>
    </w:rPr>
  </w:style>
  <w:style w:type="paragraph" w:customStyle="1" w:styleId="ECHRFooterLine">
    <w:name w:val="ECHR_Footer_Line"/>
    <w:aliases w:val="_Footer_Line"/>
    <w:basedOn w:val="Normal"/>
    <w:next w:val="Normal"/>
    <w:uiPriority w:val="30"/>
    <w:semiHidden/>
    <w:rsid w:val="00F95B7A"/>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F95B7A"/>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F95B7A"/>
    <w:pPr>
      <w:keepNext/>
      <w:keepLines/>
      <w:spacing w:before="1320" w:after="280"/>
      <w:contextualSpacing/>
      <w:jc w:val="center"/>
    </w:pPr>
    <w:rPr>
      <w:b/>
    </w:rPr>
  </w:style>
  <w:style w:type="paragraph" w:customStyle="1" w:styleId="ECHRHeaderLandscape">
    <w:name w:val="ECHR_Header_Landscape"/>
    <w:aliases w:val="_Header_Landscape"/>
    <w:basedOn w:val="JuHeader"/>
    <w:uiPriority w:val="29"/>
    <w:semiHidden/>
    <w:rsid w:val="00F95B7A"/>
    <w:pPr>
      <w:tabs>
        <w:tab w:val="center" w:pos="6146"/>
        <w:tab w:val="right" w:pos="13778"/>
      </w:tabs>
      <w:ind w:left="-1474" w:right="-1474"/>
    </w:pPr>
  </w:style>
  <w:style w:type="paragraph" w:customStyle="1" w:styleId="ECHRBullet1">
    <w:name w:val="ECHR_Bullet_1"/>
    <w:aliases w:val="_Bul_1"/>
    <w:basedOn w:val="NormalJustified"/>
    <w:uiPriority w:val="23"/>
    <w:semiHidden/>
    <w:qFormat/>
    <w:rsid w:val="00F95B7A"/>
    <w:pPr>
      <w:numPr>
        <w:numId w:val="20"/>
      </w:numPr>
      <w:spacing w:before="60" w:after="60"/>
    </w:pPr>
  </w:style>
  <w:style w:type="paragraph" w:customStyle="1" w:styleId="ECHRBullet2">
    <w:name w:val="ECHR_Bullet_2"/>
    <w:aliases w:val="_Bul_2"/>
    <w:basedOn w:val="ECHRBullet1"/>
    <w:uiPriority w:val="23"/>
    <w:semiHidden/>
    <w:rsid w:val="00F95B7A"/>
    <w:pPr>
      <w:numPr>
        <w:ilvl w:val="1"/>
      </w:numPr>
    </w:pPr>
  </w:style>
  <w:style w:type="paragraph" w:customStyle="1" w:styleId="ECHRBullet3">
    <w:name w:val="ECHR_Bullet_3"/>
    <w:aliases w:val="_Bul_3"/>
    <w:basedOn w:val="ECHRBullet2"/>
    <w:uiPriority w:val="23"/>
    <w:semiHidden/>
    <w:rsid w:val="00F95B7A"/>
    <w:pPr>
      <w:numPr>
        <w:ilvl w:val="2"/>
      </w:numPr>
    </w:pPr>
  </w:style>
  <w:style w:type="paragraph" w:customStyle="1" w:styleId="ECHRBullet4">
    <w:name w:val="ECHR_Bullet_4"/>
    <w:aliases w:val="_Bul_4"/>
    <w:basedOn w:val="ECHRBullet3"/>
    <w:uiPriority w:val="23"/>
    <w:semiHidden/>
    <w:rsid w:val="00F95B7A"/>
    <w:pPr>
      <w:numPr>
        <w:ilvl w:val="3"/>
      </w:numPr>
    </w:pPr>
  </w:style>
  <w:style w:type="paragraph" w:customStyle="1" w:styleId="ECHRConfidential">
    <w:name w:val="ECHR_Confidential"/>
    <w:aliases w:val="_Confidential"/>
    <w:basedOn w:val="Normal"/>
    <w:next w:val="Normal"/>
    <w:uiPriority w:val="42"/>
    <w:semiHidden/>
    <w:qFormat/>
    <w:rsid w:val="00F95B7A"/>
    <w:pPr>
      <w:jc w:val="right"/>
    </w:pPr>
    <w:rPr>
      <w:color w:val="C00000"/>
      <w:sz w:val="20"/>
    </w:rPr>
  </w:style>
  <w:style w:type="paragraph" w:customStyle="1" w:styleId="ECHRDecisionBody">
    <w:name w:val="ECHR_Decision_Body"/>
    <w:aliases w:val="_Decision_Body"/>
    <w:basedOn w:val="NormalJustified"/>
    <w:uiPriority w:val="54"/>
    <w:semiHidden/>
    <w:rsid w:val="00F95B7A"/>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F95B7A"/>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F95B7A"/>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F95B7A"/>
    <w:pPr>
      <w:pBdr>
        <w:top w:val="single" w:sz="8" w:space="1" w:color="7F7F7F" w:themeColor="text1" w:themeTint="80"/>
      </w:pBdr>
      <w:tabs>
        <w:tab w:val="center" w:pos="6146"/>
        <w:tab w:val="right" w:pos="12293"/>
      </w:tabs>
      <w:ind w:left="-1474" w:right="-1474"/>
    </w:pPr>
    <w:rPr>
      <w:color w:val="424242" w:themeColor="accent3" w:themeShade="BF"/>
      <w:sz w:val="22"/>
    </w:rPr>
  </w:style>
  <w:style w:type="paragraph" w:customStyle="1" w:styleId="ECHRHeaderDate">
    <w:name w:val="ECHR_Header_Date"/>
    <w:aliases w:val="_Ref_Date"/>
    <w:basedOn w:val="Normal"/>
    <w:uiPriority w:val="44"/>
    <w:semiHidden/>
    <w:qFormat/>
    <w:rsid w:val="00F95B7A"/>
    <w:pPr>
      <w:jc w:val="right"/>
    </w:pPr>
    <w:rPr>
      <w:sz w:val="20"/>
    </w:rPr>
  </w:style>
  <w:style w:type="paragraph" w:customStyle="1" w:styleId="ECHRHeaderRefIt">
    <w:name w:val="ECHR_Header_Ref_It"/>
    <w:aliases w:val="_Ref_Ital"/>
    <w:basedOn w:val="Normal"/>
    <w:next w:val="ECHRHeaderDate"/>
    <w:uiPriority w:val="43"/>
    <w:semiHidden/>
    <w:qFormat/>
    <w:rsid w:val="00F95B7A"/>
    <w:pPr>
      <w:jc w:val="right"/>
    </w:pPr>
    <w:rPr>
      <w:i/>
      <w:sz w:val="20"/>
    </w:rPr>
  </w:style>
  <w:style w:type="paragraph" w:customStyle="1" w:styleId="ECHRHeading9">
    <w:name w:val="ECHR_Heading_9"/>
    <w:aliases w:val="_Head_9"/>
    <w:basedOn w:val="Heading9"/>
    <w:uiPriority w:val="17"/>
    <w:semiHidden/>
    <w:rsid w:val="00F95B7A"/>
    <w:pPr>
      <w:keepNext/>
      <w:keepLines/>
      <w:numPr>
        <w:ilvl w:val="8"/>
        <w:numId w:val="22"/>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F95B7A"/>
    <w:pPr>
      <w:pBdr>
        <w:bottom w:val="single" w:sz="12" w:space="1" w:color="838383" w:themeColor="text2" w:themeShade="BF"/>
      </w:pBdr>
      <w:spacing w:after="120"/>
    </w:pPr>
    <w:rPr>
      <w:sz w:val="12"/>
    </w:rPr>
  </w:style>
  <w:style w:type="paragraph" w:customStyle="1" w:styleId="ECHRNumberedList1">
    <w:name w:val="ECHR_Numbered_List_1"/>
    <w:aliases w:val="_Num_1"/>
    <w:basedOn w:val="NormalJustified"/>
    <w:uiPriority w:val="23"/>
    <w:semiHidden/>
    <w:qFormat/>
    <w:rsid w:val="00F95B7A"/>
    <w:pPr>
      <w:numPr>
        <w:numId w:val="21"/>
      </w:numPr>
      <w:spacing w:before="60" w:after="60"/>
    </w:pPr>
  </w:style>
  <w:style w:type="paragraph" w:customStyle="1" w:styleId="ECHRNumberedList2">
    <w:name w:val="ECHR_Numbered_List_2"/>
    <w:aliases w:val="_Num_2"/>
    <w:basedOn w:val="ECHRNumberedList1"/>
    <w:uiPriority w:val="23"/>
    <w:semiHidden/>
    <w:rsid w:val="00F95B7A"/>
    <w:pPr>
      <w:numPr>
        <w:ilvl w:val="1"/>
      </w:numPr>
    </w:pPr>
  </w:style>
  <w:style w:type="paragraph" w:customStyle="1" w:styleId="ECHRNumberedList3">
    <w:name w:val="ECHR_Numbered_List_3"/>
    <w:aliases w:val="_Num_3"/>
    <w:basedOn w:val="ECHRNumberedList2"/>
    <w:uiPriority w:val="23"/>
    <w:semiHidden/>
    <w:rsid w:val="00F95B7A"/>
    <w:pPr>
      <w:numPr>
        <w:ilvl w:val="2"/>
      </w:numPr>
    </w:pPr>
  </w:style>
  <w:style w:type="paragraph" w:customStyle="1" w:styleId="ECHRParaHanging">
    <w:name w:val="ECHR_Para_Hanging"/>
    <w:aliases w:val="_Hanging"/>
    <w:basedOn w:val="NormalJustified"/>
    <w:uiPriority w:val="8"/>
    <w:semiHidden/>
    <w:qFormat/>
    <w:rsid w:val="00F95B7A"/>
    <w:pPr>
      <w:ind w:left="567" w:hanging="567"/>
    </w:pPr>
  </w:style>
  <w:style w:type="paragraph" w:customStyle="1" w:styleId="ECHRParaIndent">
    <w:name w:val="ECHR_Para_Indent"/>
    <w:aliases w:val="_Indent"/>
    <w:basedOn w:val="NormalJustified"/>
    <w:uiPriority w:val="7"/>
    <w:semiHidden/>
    <w:qFormat/>
    <w:rsid w:val="00F95B7A"/>
    <w:pPr>
      <w:spacing w:before="120" w:after="120"/>
      <w:ind w:left="284"/>
    </w:pPr>
  </w:style>
  <w:style w:type="character" w:customStyle="1" w:styleId="ECHRRed">
    <w:name w:val="ECHR_Red"/>
    <w:aliases w:val="_Red"/>
    <w:basedOn w:val="DefaultParagraphFont"/>
    <w:uiPriority w:val="15"/>
    <w:semiHidden/>
    <w:qFormat/>
    <w:rsid w:val="00F95B7A"/>
    <w:rPr>
      <w:color w:val="C00000" w:themeColor="accent2"/>
    </w:rPr>
  </w:style>
  <w:style w:type="paragraph" w:customStyle="1" w:styleId="DecList">
    <w:name w:val="Dec_List"/>
    <w:aliases w:val="_List"/>
    <w:basedOn w:val="JuList"/>
    <w:uiPriority w:val="22"/>
    <w:rsid w:val="00F95B7A"/>
    <w:pPr>
      <w:numPr>
        <w:numId w:val="0"/>
      </w:numPr>
      <w:ind w:left="284"/>
    </w:pPr>
  </w:style>
  <w:style w:type="table" w:customStyle="1" w:styleId="ECHRTable2">
    <w:name w:val="ECHR_Table_2"/>
    <w:basedOn w:val="TableNormal"/>
    <w:uiPriority w:val="99"/>
    <w:rsid w:val="00F95B7A"/>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F95B7A"/>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F8F8F8" w:themeColor="background2"/>
          <w:tl2br w:val="nil"/>
          <w:tr2bl w:val="nil"/>
        </w:tcBorders>
        <w:shd w:val="clear" w:color="auto" w:fill="595959" w:themeFill="accent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DFDFDF" w:themeFill="text2" w:themeFillTint="66"/>
      </w:tcPr>
    </w:tblStylePr>
  </w:style>
  <w:style w:type="paragraph" w:customStyle="1" w:styleId="ECHRTitle1">
    <w:name w:val="ECHR_Title_1"/>
    <w:aliases w:val="_Title_L_1"/>
    <w:basedOn w:val="Normal"/>
    <w:next w:val="Normal"/>
    <w:uiPriority w:val="28"/>
    <w:semiHidden/>
    <w:qFormat/>
    <w:rsid w:val="00F95B7A"/>
    <w:pPr>
      <w:keepNext/>
      <w:keepLines/>
      <w:spacing w:before="240"/>
      <w:contextualSpacing/>
    </w:pPr>
    <w:rPr>
      <w:rFonts w:asciiTheme="majorHAnsi" w:hAnsiTheme="majorHAnsi"/>
      <w:b/>
      <w:color w:val="2C2C2C" w:themeColor="accent3" w:themeShade="80"/>
      <w:sz w:val="32"/>
    </w:rPr>
  </w:style>
  <w:style w:type="paragraph" w:customStyle="1" w:styleId="ECHRTitle2">
    <w:name w:val="ECHR_Title_2"/>
    <w:aliases w:val="_Title_L_2"/>
    <w:basedOn w:val="Normal"/>
    <w:next w:val="Normal"/>
    <w:uiPriority w:val="28"/>
    <w:semiHidden/>
    <w:qFormat/>
    <w:rsid w:val="00F95B7A"/>
    <w:pPr>
      <w:keepNext/>
      <w:keepLines/>
      <w:spacing w:before="240"/>
      <w:contextualSpacing/>
    </w:pPr>
    <w:rPr>
      <w:rFonts w:asciiTheme="majorHAnsi" w:hAnsiTheme="majorHAnsi"/>
      <w:b/>
      <w:color w:val="424242" w:themeColor="accent3" w:themeShade="BF"/>
      <w:sz w:val="28"/>
    </w:rPr>
  </w:style>
  <w:style w:type="paragraph" w:customStyle="1" w:styleId="ECHRTitle3">
    <w:name w:val="ECHR_Title_3"/>
    <w:aliases w:val="_Title_L_3"/>
    <w:basedOn w:val="Normal"/>
    <w:next w:val="Normal"/>
    <w:uiPriority w:val="28"/>
    <w:semiHidden/>
    <w:qFormat/>
    <w:rsid w:val="00F95B7A"/>
    <w:pPr>
      <w:keepNext/>
      <w:keepLines/>
      <w:spacing w:before="240"/>
      <w:contextualSpacing/>
    </w:pPr>
    <w:rPr>
      <w:rFonts w:asciiTheme="majorHAnsi" w:hAnsiTheme="majorHAnsi"/>
      <w:b/>
      <w:color w:val="424242" w:themeColor="accent3" w:themeShade="BF"/>
    </w:rPr>
  </w:style>
  <w:style w:type="paragraph" w:customStyle="1" w:styleId="ECHRTitleCentre1">
    <w:name w:val="ECHR_Title_Centre_1"/>
    <w:aliases w:val="_Title_C_1"/>
    <w:basedOn w:val="Normal"/>
    <w:next w:val="Normal"/>
    <w:uiPriority w:val="26"/>
    <w:semiHidden/>
    <w:qFormat/>
    <w:rsid w:val="00F95B7A"/>
    <w:pPr>
      <w:keepNext/>
      <w:keepLines/>
      <w:spacing w:before="240"/>
      <w:contextualSpacing/>
      <w:jc w:val="center"/>
    </w:pPr>
    <w:rPr>
      <w:rFonts w:asciiTheme="majorHAnsi" w:hAnsiTheme="majorHAnsi"/>
      <w:b/>
      <w:color w:val="2C2C2C" w:themeColor="accent3" w:themeShade="80"/>
      <w:sz w:val="32"/>
    </w:rPr>
  </w:style>
  <w:style w:type="paragraph" w:customStyle="1" w:styleId="ECHRTitleCentre2">
    <w:name w:val="ECHR_Title_Centre_2"/>
    <w:aliases w:val="_Title_C_2"/>
    <w:basedOn w:val="Normal"/>
    <w:next w:val="Normal"/>
    <w:uiPriority w:val="26"/>
    <w:semiHidden/>
    <w:qFormat/>
    <w:rsid w:val="00F95B7A"/>
    <w:pPr>
      <w:keepNext/>
      <w:keepLines/>
      <w:spacing w:before="240"/>
      <w:contextualSpacing/>
      <w:jc w:val="center"/>
    </w:pPr>
    <w:rPr>
      <w:rFonts w:asciiTheme="majorHAnsi" w:hAnsiTheme="majorHAnsi"/>
      <w:b/>
      <w:color w:val="424242" w:themeColor="accent3" w:themeShade="BF"/>
      <w:sz w:val="28"/>
    </w:rPr>
  </w:style>
  <w:style w:type="paragraph" w:customStyle="1" w:styleId="ECHRTitleCentre3">
    <w:name w:val="ECHR_Title_Centre_3"/>
    <w:aliases w:val="_Title_C_3"/>
    <w:basedOn w:val="Normal"/>
    <w:next w:val="Normal"/>
    <w:uiPriority w:val="26"/>
    <w:semiHidden/>
    <w:qFormat/>
    <w:rsid w:val="00F95B7A"/>
    <w:pPr>
      <w:keepNext/>
      <w:keepLines/>
      <w:spacing w:before="240"/>
      <w:contextualSpacing/>
      <w:jc w:val="center"/>
    </w:pPr>
    <w:rPr>
      <w:rFonts w:asciiTheme="majorHAnsi" w:hAnsiTheme="majorHAnsi"/>
      <w:b/>
      <w:color w:val="424242" w:themeColor="accent3" w:themeShade="BF"/>
    </w:rPr>
  </w:style>
  <w:style w:type="paragraph" w:customStyle="1" w:styleId="ECHRTitleCentreTOC1">
    <w:name w:val="ECHR_Title_Centre_TOC_1"/>
    <w:aliases w:val="_Title_C_TOC"/>
    <w:basedOn w:val="ECHRTitleCentre1"/>
    <w:next w:val="Normal"/>
    <w:uiPriority w:val="25"/>
    <w:semiHidden/>
    <w:qFormat/>
    <w:rsid w:val="00F95B7A"/>
    <w:pPr>
      <w:outlineLvl w:val="0"/>
    </w:pPr>
  </w:style>
  <w:style w:type="paragraph" w:customStyle="1" w:styleId="ECHRTitleTOC1">
    <w:name w:val="ECHR_Title_TOC_1"/>
    <w:aliases w:val="_Title_L_TOC"/>
    <w:basedOn w:val="ECHRTitle1"/>
    <w:next w:val="Normal"/>
    <w:uiPriority w:val="27"/>
    <w:semiHidden/>
    <w:qFormat/>
    <w:rsid w:val="00F95B7A"/>
    <w:pPr>
      <w:outlineLvl w:val="0"/>
    </w:pPr>
  </w:style>
  <w:style w:type="paragraph" w:customStyle="1" w:styleId="ECHRPlaceholder">
    <w:name w:val="ECHR_Placeholder"/>
    <w:aliases w:val="_Placeholder"/>
    <w:basedOn w:val="JuSigned"/>
    <w:uiPriority w:val="31"/>
    <w:rsid w:val="00F95B7A"/>
    <w:rPr>
      <w:color w:val="FFFFFF"/>
    </w:rPr>
  </w:style>
  <w:style w:type="paragraph" w:customStyle="1" w:styleId="ECHRSpacer">
    <w:name w:val="ECHR_Spacer"/>
    <w:aliases w:val="_Spacer"/>
    <w:basedOn w:val="Normal"/>
    <w:uiPriority w:val="45"/>
    <w:semiHidden/>
    <w:rsid w:val="00F95B7A"/>
    <w:rPr>
      <w:sz w:val="4"/>
    </w:rPr>
  </w:style>
  <w:style w:type="table" w:customStyle="1" w:styleId="ECHRTableGrey">
    <w:name w:val="ECHR_Table_Grey"/>
    <w:basedOn w:val="TableNormal"/>
    <w:uiPriority w:val="99"/>
    <w:rsid w:val="00F95B7A"/>
    <w:pPr>
      <w:tabs>
        <w:tab w:val="left" w:pos="397"/>
      </w:tabs>
    </w:pPr>
    <w:tblPr>
      <w:jc w:val="center"/>
      <w:tblBorders>
        <w:top w:val="single" w:sz="4" w:space="0" w:color="585858" w:themeColor="text2" w:themeShade="80"/>
        <w:left w:val="single" w:sz="4" w:space="0" w:color="585858" w:themeColor="text2" w:themeShade="80"/>
        <w:bottom w:val="single" w:sz="4" w:space="0" w:color="585858" w:themeColor="text2" w:themeShade="80"/>
        <w:right w:val="single" w:sz="4" w:space="0" w:color="585858"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styleId="UnresolvedMention">
    <w:name w:val="Unresolved Mention"/>
    <w:basedOn w:val="DefaultParagraphFont"/>
    <w:uiPriority w:val="99"/>
    <w:semiHidden/>
    <w:unhideWhenUsed/>
    <w:rsid w:val="00F95B7A"/>
    <w:rPr>
      <w:color w:val="605E5C"/>
      <w:shd w:val="clear" w:color="auto" w:fill="E1DFDD"/>
    </w:rPr>
  </w:style>
  <w:style w:type="character" w:customStyle="1" w:styleId="JuParaChar">
    <w:name w:val="Ju_Para Char"/>
    <w:aliases w:val="_Para Char"/>
    <w:link w:val="JuPara"/>
    <w:uiPriority w:val="4"/>
    <w:rsid w:val="00305EE3"/>
    <w:rPr>
      <w:sz w:val="24"/>
      <w:szCs w:val="24"/>
      <w:lang w:val="en-GB"/>
    </w:rPr>
  </w:style>
  <w:style w:type="table" w:styleId="GridTable1Light">
    <w:name w:val="Grid Table 1 Light"/>
    <w:basedOn w:val="TableNormal"/>
    <w:uiPriority w:val="46"/>
    <w:semiHidden/>
    <w:rsid w:val="00F95B7A"/>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F95B7A"/>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F95B7A"/>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F95B7A"/>
    <w:tblPr>
      <w:tblStyleRowBandSize w:val="1"/>
      <w:tblStyleColBandSize w:val="1"/>
      <w:tblBorders>
        <w:top w:val="single" w:sz="4" w:space="0" w:color="BCBCBC" w:themeColor="accent3" w:themeTint="66"/>
        <w:left w:val="single" w:sz="4" w:space="0" w:color="BCBCBC" w:themeColor="accent3" w:themeTint="66"/>
        <w:bottom w:val="single" w:sz="4" w:space="0" w:color="BCBCBC" w:themeColor="accent3" w:themeTint="66"/>
        <w:right w:val="single" w:sz="4" w:space="0" w:color="BCBCBC" w:themeColor="accent3" w:themeTint="66"/>
        <w:insideH w:val="single" w:sz="4" w:space="0" w:color="BCBCBC" w:themeColor="accent3" w:themeTint="66"/>
        <w:insideV w:val="single" w:sz="4" w:space="0" w:color="BCBCBC" w:themeColor="accent3" w:themeTint="66"/>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2" w:space="0" w:color="9B9B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F95B7A"/>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F95B7A"/>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F95B7A"/>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F95B7A"/>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F95B7A"/>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FFFFFF" w:themeFill="background1"/>
      </w:tcPr>
    </w:tblStylePr>
    <w:tblStylePr w:type="lastRow">
      <w:rPr>
        <w:b/>
        <w:bCs/>
      </w:rPr>
      <w:tblPr/>
      <w:tcPr>
        <w:tcBorders>
          <w:top w:val="double" w:sz="2" w:space="0" w:color="3DB2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2Accent2">
    <w:name w:val="Grid Table 2 Accent 2"/>
    <w:basedOn w:val="TableNormal"/>
    <w:uiPriority w:val="47"/>
    <w:semiHidden/>
    <w:rsid w:val="00F95B7A"/>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FFFFFF" w:themeFill="background1"/>
      </w:tcPr>
    </w:tblStylePr>
    <w:tblStylePr w:type="lastRow">
      <w:rPr>
        <w:b/>
        <w:bCs/>
      </w:rPr>
      <w:tblPr/>
      <w:tcPr>
        <w:tcBorders>
          <w:top w:val="double" w:sz="2" w:space="0" w:color="FF4040"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2Accent3">
    <w:name w:val="Grid Table 2 Accent 3"/>
    <w:basedOn w:val="TableNormal"/>
    <w:uiPriority w:val="47"/>
    <w:semiHidden/>
    <w:rsid w:val="00F95B7A"/>
    <w:tblPr>
      <w:tblStyleRowBandSize w:val="1"/>
      <w:tblStyleColBandSize w:val="1"/>
      <w:tblBorders>
        <w:top w:val="single" w:sz="2" w:space="0" w:color="9B9B9B" w:themeColor="accent3" w:themeTint="99"/>
        <w:bottom w:val="single" w:sz="2" w:space="0" w:color="9B9B9B" w:themeColor="accent3" w:themeTint="99"/>
        <w:insideH w:val="single" w:sz="2" w:space="0" w:color="9B9B9B" w:themeColor="accent3" w:themeTint="99"/>
        <w:insideV w:val="single" w:sz="2" w:space="0" w:color="9B9B9B" w:themeColor="accent3" w:themeTint="99"/>
      </w:tblBorders>
    </w:tblPr>
    <w:tblStylePr w:type="firstRow">
      <w:rPr>
        <w:b/>
        <w:bCs/>
      </w:rPr>
      <w:tblPr/>
      <w:tcPr>
        <w:tcBorders>
          <w:top w:val="nil"/>
          <w:bottom w:val="single" w:sz="12" w:space="0" w:color="9B9B9B" w:themeColor="accent3" w:themeTint="99"/>
          <w:insideH w:val="nil"/>
          <w:insideV w:val="nil"/>
        </w:tcBorders>
        <w:shd w:val="clear" w:color="auto" w:fill="FFFFFF" w:themeFill="background1"/>
      </w:tcPr>
    </w:tblStylePr>
    <w:tblStylePr w:type="lastRow">
      <w:rPr>
        <w:b/>
        <w:bCs/>
      </w:rPr>
      <w:tblPr/>
      <w:tcPr>
        <w:tcBorders>
          <w:top w:val="double" w:sz="2" w:space="0" w:color="9B9B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2Accent4">
    <w:name w:val="Grid Table 2 Accent 4"/>
    <w:basedOn w:val="TableNormal"/>
    <w:uiPriority w:val="47"/>
    <w:semiHidden/>
    <w:rsid w:val="00F95B7A"/>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FFFFFF" w:themeFill="background1"/>
      </w:tcPr>
    </w:tblStylePr>
    <w:tblStylePr w:type="lastRow">
      <w:rPr>
        <w:b/>
        <w:bCs/>
      </w:rPr>
      <w:tblPr/>
      <w:tcPr>
        <w:tcBorders>
          <w:top w:val="double" w:sz="2" w:space="0" w:color="C0C0C0"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2Accent5">
    <w:name w:val="Grid Table 2 Accent 5"/>
    <w:basedOn w:val="TableNormal"/>
    <w:uiPriority w:val="47"/>
    <w:semiHidden/>
    <w:rsid w:val="00F95B7A"/>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FFFFFF" w:themeFill="background1"/>
      </w:tcPr>
    </w:tblStylePr>
    <w:tblStylePr w:type="lastRow">
      <w:rPr>
        <w:b/>
        <w:bCs/>
      </w:rPr>
      <w:tblPr/>
      <w:tcPr>
        <w:tcBorders>
          <w:top w:val="double" w:sz="2" w:space="0" w:color="9F9F9F"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semiHidden/>
    <w:rsid w:val="00F95B7A"/>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FFFFFF" w:themeFill="background1"/>
      </w:tcPr>
    </w:tblStylePr>
    <w:tblStylePr w:type="lastRow">
      <w:rPr>
        <w:b/>
        <w:bCs/>
      </w:rPr>
      <w:tblPr/>
      <w:tcPr>
        <w:tcBorders>
          <w:top w:val="double" w:sz="2" w:space="0" w:color="949494"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48"/>
    <w:semiHidden/>
    <w:rsid w:val="00F95B7A"/>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F95B7A"/>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3Accent2">
    <w:name w:val="Grid Table 3 Accent 2"/>
    <w:basedOn w:val="TableNormal"/>
    <w:uiPriority w:val="48"/>
    <w:semiHidden/>
    <w:rsid w:val="00F95B7A"/>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3Accent3">
    <w:name w:val="Grid Table 3 Accent 3"/>
    <w:basedOn w:val="TableNormal"/>
    <w:uiPriority w:val="48"/>
    <w:semiHidden/>
    <w:rsid w:val="00F95B7A"/>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3Accent4">
    <w:name w:val="Grid Table 3 Accent 4"/>
    <w:basedOn w:val="TableNormal"/>
    <w:uiPriority w:val="48"/>
    <w:semiHidden/>
    <w:rsid w:val="00F95B7A"/>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3Accent5">
    <w:name w:val="Grid Table 3 Accent 5"/>
    <w:basedOn w:val="TableNormal"/>
    <w:uiPriority w:val="48"/>
    <w:semiHidden/>
    <w:rsid w:val="00F95B7A"/>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semiHidden/>
    <w:rsid w:val="00F95B7A"/>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semiHidden/>
    <w:rsid w:val="00F95B7A"/>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F95B7A"/>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4Accent2">
    <w:name w:val="Grid Table 4 Accent 2"/>
    <w:basedOn w:val="TableNormal"/>
    <w:uiPriority w:val="49"/>
    <w:semiHidden/>
    <w:rsid w:val="00F95B7A"/>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4Accent3">
    <w:name w:val="Grid Table 4 Accent 3"/>
    <w:basedOn w:val="TableNormal"/>
    <w:uiPriority w:val="49"/>
    <w:semiHidden/>
    <w:rsid w:val="00F95B7A"/>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cBorders>
        <w:shd w:val="clear" w:color="auto" w:fill="595959" w:themeFill="accent3"/>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4Accent4">
    <w:name w:val="Grid Table 4 Accent 4"/>
    <w:basedOn w:val="TableNormal"/>
    <w:uiPriority w:val="49"/>
    <w:semiHidden/>
    <w:rsid w:val="00F95B7A"/>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4Accent5">
    <w:name w:val="Grid Table 4 Accent 5"/>
    <w:basedOn w:val="TableNormal"/>
    <w:uiPriority w:val="49"/>
    <w:semiHidden/>
    <w:rsid w:val="00F95B7A"/>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semiHidden/>
    <w:rsid w:val="00F95B7A"/>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semiHidden/>
    <w:rsid w:val="00F95B7A"/>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F95B7A"/>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EE5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72BC"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72BC"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72BC"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styleId="GridTable5DarkAccent2">
    <w:name w:val="Grid Table 5 Dark Accent 2"/>
    <w:basedOn w:val="TableNormal"/>
    <w:uiPriority w:val="50"/>
    <w:semiHidden/>
    <w:rsid w:val="00F95B7A"/>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BFB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0000"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0000"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0000"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styleId="GridTable5DarkAccent3">
    <w:name w:val="Grid Table 5 Dark Accent 3"/>
    <w:basedOn w:val="TableNormal"/>
    <w:uiPriority w:val="50"/>
    <w:semiHidden/>
    <w:rsid w:val="00F95B7A"/>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DDD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959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959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959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95959" w:themeFill="accent3"/>
      </w:tcPr>
    </w:tblStylePr>
    <w:tblStylePr w:type="band1Vert">
      <w:tblPr/>
      <w:tcPr>
        <w:shd w:val="clear" w:color="auto" w:fill="BCBCBC" w:themeFill="accent3" w:themeFillTint="66"/>
      </w:tcPr>
    </w:tblStylePr>
    <w:tblStylePr w:type="band1Horz">
      <w:tblPr/>
      <w:tcPr>
        <w:shd w:val="clear" w:color="auto" w:fill="BCBCBC" w:themeFill="accent3" w:themeFillTint="66"/>
      </w:tcPr>
    </w:tblStylePr>
  </w:style>
  <w:style w:type="table" w:styleId="GridTable5DarkAccent4">
    <w:name w:val="Grid Table 5 Dark Accent 4"/>
    <w:basedOn w:val="TableNormal"/>
    <w:uiPriority w:val="50"/>
    <w:semiHidden/>
    <w:rsid w:val="00F95B7A"/>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EAEA"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69696"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69696"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69696"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styleId="GridTable5DarkAccent5">
    <w:name w:val="Grid Table 5 Dark Accent 5"/>
    <w:basedOn w:val="TableNormal"/>
    <w:uiPriority w:val="50"/>
    <w:semiHidden/>
    <w:rsid w:val="00F95B7A"/>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FDFDF"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F5F5F"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F5F5F"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F5F5F"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semiHidden/>
    <w:rsid w:val="00F95B7A"/>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DBD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D4D4D"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D4D4D"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D4D4D"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semiHidden/>
    <w:rsid w:val="00F95B7A"/>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F95B7A"/>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6ColorfulAccent2">
    <w:name w:val="Grid Table 6 Colorful Accent 2"/>
    <w:basedOn w:val="TableNormal"/>
    <w:uiPriority w:val="51"/>
    <w:semiHidden/>
    <w:rsid w:val="00F95B7A"/>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6ColorfulAccent3">
    <w:name w:val="Grid Table 6 Colorful Accent 3"/>
    <w:basedOn w:val="TableNormal"/>
    <w:uiPriority w:val="51"/>
    <w:semiHidden/>
    <w:rsid w:val="00F95B7A"/>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6ColorfulAccent4">
    <w:name w:val="Grid Table 6 Colorful Accent 4"/>
    <w:basedOn w:val="TableNormal"/>
    <w:uiPriority w:val="51"/>
    <w:semiHidden/>
    <w:rsid w:val="00F95B7A"/>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6ColorfulAccent5">
    <w:name w:val="Grid Table 6 Colorful Accent 5"/>
    <w:basedOn w:val="TableNormal"/>
    <w:uiPriority w:val="51"/>
    <w:semiHidden/>
    <w:rsid w:val="00F95B7A"/>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semiHidden/>
    <w:rsid w:val="00F95B7A"/>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semiHidden/>
    <w:rsid w:val="00F95B7A"/>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F95B7A"/>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7ColorfulAccent2">
    <w:name w:val="Grid Table 7 Colorful Accent 2"/>
    <w:basedOn w:val="TableNormal"/>
    <w:uiPriority w:val="52"/>
    <w:semiHidden/>
    <w:rsid w:val="00F95B7A"/>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7ColorfulAccent3">
    <w:name w:val="Grid Table 7 Colorful Accent 3"/>
    <w:basedOn w:val="TableNormal"/>
    <w:uiPriority w:val="52"/>
    <w:semiHidden/>
    <w:rsid w:val="00F95B7A"/>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7ColorfulAccent4">
    <w:name w:val="Grid Table 7 Colorful Accent 4"/>
    <w:basedOn w:val="TableNormal"/>
    <w:uiPriority w:val="52"/>
    <w:semiHidden/>
    <w:rsid w:val="00F95B7A"/>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7ColorfulAccent5">
    <w:name w:val="Grid Table 7 Colorful Accent 5"/>
    <w:basedOn w:val="TableNormal"/>
    <w:uiPriority w:val="52"/>
    <w:semiHidden/>
    <w:rsid w:val="00F95B7A"/>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semiHidden/>
    <w:rsid w:val="00F95B7A"/>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styleId="Hashtag">
    <w:name w:val="Hashtag"/>
    <w:basedOn w:val="DefaultParagraphFont"/>
    <w:uiPriority w:val="99"/>
    <w:semiHidden/>
    <w:unhideWhenUsed/>
    <w:rsid w:val="00F95B7A"/>
    <w:rPr>
      <w:color w:val="2B579A"/>
      <w:shd w:val="clear" w:color="auto" w:fill="E1DFDD"/>
    </w:rPr>
  </w:style>
  <w:style w:type="table" w:styleId="ListTable1Light">
    <w:name w:val="List Table 1 Light"/>
    <w:basedOn w:val="TableNormal"/>
    <w:uiPriority w:val="46"/>
    <w:semiHidden/>
    <w:rsid w:val="00F95B7A"/>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F95B7A"/>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1LightAccent2">
    <w:name w:val="List Table 1 Light Accent 2"/>
    <w:basedOn w:val="TableNormal"/>
    <w:uiPriority w:val="46"/>
    <w:semiHidden/>
    <w:rsid w:val="00F95B7A"/>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1LightAccent3">
    <w:name w:val="List Table 1 Light Accent 3"/>
    <w:basedOn w:val="TableNormal"/>
    <w:uiPriority w:val="46"/>
    <w:semiHidden/>
    <w:rsid w:val="00F95B7A"/>
    <w:tblPr>
      <w:tblStyleRowBandSize w:val="1"/>
      <w:tblStyleColBandSize w:val="1"/>
    </w:tblPr>
    <w:tblStylePr w:type="firstRow">
      <w:rPr>
        <w:b/>
        <w:bCs/>
      </w:rPr>
      <w:tblPr/>
      <w:tcPr>
        <w:tcBorders>
          <w:bottom w:val="single" w:sz="4" w:space="0" w:color="9B9B9B" w:themeColor="accent3" w:themeTint="99"/>
        </w:tcBorders>
      </w:tcPr>
    </w:tblStylePr>
    <w:tblStylePr w:type="lastRow">
      <w:rPr>
        <w:b/>
        <w:bCs/>
      </w:rPr>
      <w:tblPr/>
      <w:tcPr>
        <w:tcBorders>
          <w:top w:val="sing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1LightAccent4">
    <w:name w:val="List Table 1 Light Accent 4"/>
    <w:basedOn w:val="TableNormal"/>
    <w:uiPriority w:val="46"/>
    <w:semiHidden/>
    <w:rsid w:val="00F95B7A"/>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1LightAccent5">
    <w:name w:val="List Table 1 Light Accent 5"/>
    <w:basedOn w:val="TableNormal"/>
    <w:uiPriority w:val="46"/>
    <w:semiHidden/>
    <w:rsid w:val="00F95B7A"/>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semiHidden/>
    <w:rsid w:val="00F95B7A"/>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semiHidden/>
    <w:rsid w:val="00F95B7A"/>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F95B7A"/>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2Accent2">
    <w:name w:val="List Table 2 Accent 2"/>
    <w:basedOn w:val="TableNormal"/>
    <w:uiPriority w:val="47"/>
    <w:semiHidden/>
    <w:rsid w:val="00F95B7A"/>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2Accent3">
    <w:name w:val="List Table 2 Accent 3"/>
    <w:basedOn w:val="TableNormal"/>
    <w:uiPriority w:val="47"/>
    <w:semiHidden/>
    <w:rsid w:val="00F95B7A"/>
    <w:tblPr>
      <w:tblStyleRowBandSize w:val="1"/>
      <w:tblStyleColBandSize w:val="1"/>
      <w:tblBorders>
        <w:top w:val="single" w:sz="4" w:space="0" w:color="9B9B9B" w:themeColor="accent3" w:themeTint="99"/>
        <w:bottom w:val="single" w:sz="4" w:space="0" w:color="9B9B9B" w:themeColor="accent3" w:themeTint="99"/>
        <w:insideH w:val="single" w:sz="4" w:space="0" w:color="9B9B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2Accent4">
    <w:name w:val="List Table 2 Accent 4"/>
    <w:basedOn w:val="TableNormal"/>
    <w:uiPriority w:val="47"/>
    <w:semiHidden/>
    <w:rsid w:val="00F95B7A"/>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2Accent5">
    <w:name w:val="List Table 2 Accent 5"/>
    <w:basedOn w:val="TableNormal"/>
    <w:uiPriority w:val="47"/>
    <w:semiHidden/>
    <w:rsid w:val="00F95B7A"/>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semiHidden/>
    <w:rsid w:val="00F95B7A"/>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semiHidden/>
    <w:rsid w:val="00F95B7A"/>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F95B7A"/>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FFFFFF"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styleId="ListTable3Accent2">
    <w:name w:val="List Table 3 Accent 2"/>
    <w:basedOn w:val="TableNormal"/>
    <w:uiPriority w:val="48"/>
    <w:semiHidden/>
    <w:rsid w:val="00F95B7A"/>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FFFFFF"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styleId="ListTable3Accent3">
    <w:name w:val="List Table 3 Accent 3"/>
    <w:basedOn w:val="TableNormal"/>
    <w:uiPriority w:val="48"/>
    <w:semiHidden/>
    <w:rsid w:val="00F95B7A"/>
    <w:tblPr>
      <w:tblStyleRowBandSize w:val="1"/>
      <w:tblStyleColBandSize w:val="1"/>
      <w:tblBorders>
        <w:top w:val="single" w:sz="4" w:space="0" w:color="595959" w:themeColor="accent3"/>
        <w:left w:val="single" w:sz="4" w:space="0" w:color="595959" w:themeColor="accent3"/>
        <w:bottom w:val="single" w:sz="4" w:space="0" w:color="595959" w:themeColor="accent3"/>
        <w:right w:val="single" w:sz="4" w:space="0" w:color="595959" w:themeColor="accent3"/>
      </w:tblBorders>
    </w:tblPr>
    <w:tblStylePr w:type="firstRow">
      <w:rPr>
        <w:b/>
        <w:bCs/>
        <w:color w:val="FFFFFF" w:themeColor="background1"/>
      </w:rPr>
      <w:tblPr/>
      <w:tcPr>
        <w:shd w:val="clear" w:color="auto" w:fill="595959" w:themeFill="accent3"/>
      </w:tcPr>
    </w:tblStylePr>
    <w:tblStylePr w:type="lastRow">
      <w:rPr>
        <w:b/>
        <w:bCs/>
      </w:rPr>
      <w:tblPr/>
      <w:tcPr>
        <w:tcBorders>
          <w:top w:val="double" w:sz="4" w:space="0" w:color="5959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95959" w:themeColor="accent3"/>
          <w:right w:val="single" w:sz="4" w:space="0" w:color="595959" w:themeColor="accent3"/>
        </w:tcBorders>
      </w:tcPr>
    </w:tblStylePr>
    <w:tblStylePr w:type="band1Horz">
      <w:tblPr/>
      <w:tcPr>
        <w:tcBorders>
          <w:top w:val="single" w:sz="4" w:space="0" w:color="595959" w:themeColor="accent3"/>
          <w:bottom w:val="single" w:sz="4" w:space="0" w:color="5959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95959" w:themeColor="accent3"/>
          <w:left w:val="nil"/>
        </w:tcBorders>
      </w:tcPr>
    </w:tblStylePr>
    <w:tblStylePr w:type="swCell">
      <w:tblPr/>
      <w:tcPr>
        <w:tcBorders>
          <w:top w:val="double" w:sz="4" w:space="0" w:color="595959" w:themeColor="accent3"/>
          <w:right w:val="nil"/>
        </w:tcBorders>
      </w:tcPr>
    </w:tblStylePr>
  </w:style>
  <w:style w:type="table" w:styleId="ListTable3Accent4">
    <w:name w:val="List Table 3 Accent 4"/>
    <w:basedOn w:val="TableNormal"/>
    <w:uiPriority w:val="48"/>
    <w:semiHidden/>
    <w:rsid w:val="00F95B7A"/>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FFFFFF"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styleId="ListTable3Accent5">
    <w:name w:val="List Table 3 Accent 5"/>
    <w:basedOn w:val="TableNormal"/>
    <w:uiPriority w:val="48"/>
    <w:semiHidden/>
    <w:rsid w:val="00F95B7A"/>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FFFFFF"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semiHidden/>
    <w:rsid w:val="00F95B7A"/>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FFFFFF"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semiHidden/>
    <w:rsid w:val="00F95B7A"/>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F95B7A"/>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4Accent2">
    <w:name w:val="List Table 4 Accent 2"/>
    <w:basedOn w:val="TableNormal"/>
    <w:uiPriority w:val="49"/>
    <w:semiHidden/>
    <w:rsid w:val="00F95B7A"/>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4Accent3">
    <w:name w:val="List Table 4 Accent 3"/>
    <w:basedOn w:val="TableNormal"/>
    <w:uiPriority w:val="49"/>
    <w:semiHidden/>
    <w:rsid w:val="00F95B7A"/>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tcBorders>
        <w:shd w:val="clear" w:color="auto" w:fill="595959" w:themeFill="accent3"/>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4Accent4">
    <w:name w:val="List Table 4 Accent 4"/>
    <w:basedOn w:val="TableNormal"/>
    <w:uiPriority w:val="49"/>
    <w:semiHidden/>
    <w:rsid w:val="00F95B7A"/>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4Accent5">
    <w:name w:val="List Table 4 Accent 5"/>
    <w:basedOn w:val="TableNormal"/>
    <w:uiPriority w:val="49"/>
    <w:semiHidden/>
    <w:rsid w:val="00F95B7A"/>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semiHidden/>
    <w:rsid w:val="00F95B7A"/>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semiHidden/>
    <w:rsid w:val="00F95B7A"/>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F95B7A"/>
    <w:rPr>
      <w:color w:val="FFFFFF"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F95B7A"/>
    <w:rPr>
      <w:color w:val="FFFFFF"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F95B7A"/>
    <w:rPr>
      <w:color w:val="FFFFFF" w:themeColor="background1"/>
    </w:rPr>
    <w:tblPr>
      <w:tblStyleRowBandSize w:val="1"/>
      <w:tblStyleColBandSize w:val="1"/>
      <w:tblBorders>
        <w:top w:val="single" w:sz="24" w:space="0" w:color="595959" w:themeColor="accent3"/>
        <w:left w:val="single" w:sz="24" w:space="0" w:color="595959" w:themeColor="accent3"/>
        <w:bottom w:val="single" w:sz="24" w:space="0" w:color="595959" w:themeColor="accent3"/>
        <w:right w:val="single" w:sz="24" w:space="0" w:color="595959" w:themeColor="accent3"/>
      </w:tblBorders>
    </w:tblPr>
    <w:tcPr>
      <w:shd w:val="clear" w:color="auto" w:fill="5959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F95B7A"/>
    <w:rPr>
      <w:color w:val="FFFFFF"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F95B7A"/>
    <w:rPr>
      <w:color w:val="FFFFFF"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F95B7A"/>
    <w:rPr>
      <w:color w:val="FFFFFF"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F95B7A"/>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F95B7A"/>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6ColorfulAccent2">
    <w:name w:val="List Table 6 Colorful Accent 2"/>
    <w:basedOn w:val="TableNormal"/>
    <w:uiPriority w:val="51"/>
    <w:semiHidden/>
    <w:rsid w:val="00F95B7A"/>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6ColorfulAccent3">
    <w:name w:val="List Table 6 Colorful Accent 3"/>
    <w:basedOn w:val="TableNormal"/>
    <w:uiPriority w:val="51"/>
    <w:semiHidden/>
    <w:rsid w:val="00F95B7A"/>
    <w:rPr>
      <w:color w:val="424242" w:themeColor="accent3" w:themeShade="BF"/>
    </w:rPr>
    <w:tblPr>
      <w:tblStyleRowBandSize w:val="1"/>
      <w:tblStyleColBandSize w:val="1"/>
      <w:tblBorders>
        <w:top w:val="single" w:sz="4" w:space="0" w:color="595959" w:themeColor="accent3"/>
        <w:bottom w:val="single" w:sz="4" w:space="0" w:color="595959" w:themeColor="accent3"/>
      </w:tblBorders>
    </w:tblPr>
    <w:tblStylePr w:type="firstRow">
      <w:rPr>
        <w:b/>
        <w:bCs/>
      </w:rPr>
      <w:tblPr/>
      <w:tcPr>
        <w:tcBorders>
          <w:bottom w:val="single" w:sz="4" w:space="0" w:color="595959" w:themeColor="accent3"/>
        </w:tcBorders>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6ColorfulAccent4">
    <w:name w:val="List Table 6 Colorful Accent 4"/>
    <w:basedOn w:val="TableNormal"/>
    <w:uiPriority w:val="51"/>
    <w:semiHidden/>
    <w:rsid w:val="00F95B7A"/>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6ColorfulAccent5">
    <w:name w:val="List Table 6 Colorful Accent 5"/>
    <w:basedOn w:val="TableNormal"/>
    <w:uiPriority w:val="51"/>
    <w:semiHidden/>
    <w:rsid w:val="00F95B7A"/>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semiHidden/>
    <w:rsid w:val="00F95B7A"/>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semiHidden/>
    <w:rsid w:val="00F95B7A"/>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F95B7A"/>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F95B7A"/>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F95B7A"/>
    <w:rPr>
      <w:color w:val="424242"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959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959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959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95959" w:themeColor="accent3"/>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F95B7A"/>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F95B7A"/>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F95B7A"/>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Mention">
    <w:name w:val="Mention"/>
    <w:basedOn w:val="DefaultParagraphFont"/>
    <w:uiPriority w:val="99"/>
    <w:semiHidden/>
    <w:unhideWhenUsed/>
    <w:rsid w:val="00F95B7A"/>
    <w:rPr>
      <w:color w:val="2B579A"/>
      <w:shd w:val="clear" w:color="auto" w:fill="E1DFDD"/>
    </w:rPr>
  </w:style>
  <w:style w:type="table" w:styleId="PlainTable1">
    <w:name w:val="Plain Table 1"/>
    <w:basedOn w:val="TableNormal"/>
    <w:uiPriority w:val="41"/>
    <w:semiHidden/>
    <w:rsid w:val="00F95B7A"/>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semiHidden/>
    <w:rsid w:val="00F95B7A"/>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F95B7A"/>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F95B7A"/>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F95B7A"/>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SmartHyperlink">
    <w:name w:val="Smart Hyperlink"/>
    <w:basedOn w:val="DefaultParagraphFont"/>
    <w:uiPriority w:val="99"/>
    <w:semiHidden/>
    <w:unhideWhenUsed/>
    <w:rsid w:val="00F95B7A"/>
    <w:rPr>
      <w:u w:val="dotted"/>
    </w:rPr>
  </w:style>
  <w:style w:type="character" w:styleId="SmartLink">
    <w:name w:val="Smart Link"/>
    <w:basedOn w:val="DefaultParagraphFont"/>
    <w:uiPriority w:val="99"/>
    <w:semiHidden/>
    <w:unhideWhenUsed/>
    <w:rsid w:val="00F95B7A"/>
    <w:rPr>
      <w:color w:val="0000FF"/>
      <w:u w:val="single"/>
      <w:shd w:val="clear" w:color="auto" w:fill="F3F2F1"/>
    </w:rPr>
  </w:style>
  <w:style w:type="table" w:styleId="GridTableLight">
    <w:name w:val="Grid Table Light"/>
    <w:basedOn w:val="TableNormal"/>
    <w:uiPriority w:val="40"/>
    <w:semiHidden/>
    <w:rsid w:val="00F95B7A"/>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jupara0">
    <w:name w:val="jupara"/>
    <w:basedOn w:val="Normal"/>
    <w:rsid w:val="002460F9"/>
    <w:pPr>
      <w:ind w:firstLine="284"/>
      <w:jc w:val="both"/>
    </w:pPr>
    <w:rPr>
      <w:rFonts w:ascii="Times New Roman" w:eastAsia="Times New Roman" w:hAnsi="Times New Roman" w:cs="Times New Roman"/>
      <w:lang w:eastAsia="en-GB"/>
    </w:rPr>
  </w:style>
  <w:style w:type="paragraph" w:customStyle="1" w:styleId="jucase0">
    <w:name w:val="jucase"/>
    <w:basedOn w:val="Normal"/>
    <w:rsid w:val="002460F9"/>
    <w:pPr>
      <w:ind w:firstLine="284"/>
      <w:jc w:val="both"/>
    </w:pPr>
    <w:rPr>
      <w:rFonts w:ascii="Times New Roman" w:eastAsia="Times New Roman" w:hAnsi="Times New Roman" w:cs="Times New Roman"/>
      <w:b/>
      <w:bCs/>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3.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footer" Target="footer2.xml" /><Relationship Id="rId9" Type="http://schemas.openxmlformats.org/officeDocument/2006/relationships/header" Target="header3.xml" /></Relationships>
</file>

<file path=word/_rels/footer1.xml.rels><?xml version="1.0" encoding="utf-8" standalone="yes"?><Relationships xmlns="http://schemas.openxmlformats.org/package/2006/relationships"><Relationship Id="rId1" Type="http://schemas.openxmlformats.org/officeDocument/2006/relationships/image" Target="media/image2.png" /></Relationships>
</file>

<file path=word/_rels/footer2.xml.rels><?xml version="1.0" encoding="utf-8" standalone="yes"?><Relationships xmlns="http://schemas.openxmlformats.org/package/2006/relationships"><Relationship Id="rId1" Type="http://schemas.openxmlformats.org/officeDocument/2006/relationships/image" Target="media/image2.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_New">
      <a:dk1>
        <a:sysClr val="windowText" lastClr="000000"/>
      </a:dk1>
      <a:lt1>
        <a:srgbClr val="FFFFFF"/>
      </a:lt1>
      <a:dk2>
        <a:srgbClr val="B0B0B0"/>
      </a:dk2>
      <a:lt2>
        <a:srgbClr val="F8F8F8"/>
      </a:lt2>
      <a:accent1>
        <a:srgbClr val="0072BC"/>
      </a:accent1>
      <a:accent2>
        <a:srgbClr val="C00000"/>
      </a:accent2>
      <a:accent3>
        <a:srgbClr val="595959"/>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258DC8-8283-459E-B518-31F9750E73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4430</Words>
  <Characters>24368</Characters>
  <Application>Microsoft Office Word</Application>
  <DocSecurity>0</DocSecurity>
  <Lines>203</Lines>
  <Paragraphs>57</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28741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2024-05-15T09:38:00Z</dcterms:created>
  <dcterms:modified xsi:type="dcterms:W3CDTF">2025-01-21T08:20:00Z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1288332</vt:lpwstr>
  </property>
  <property fmtid="{D5CDD505-2E9C-101B-9397-08002B2CF9AE}" pid="3" name="cstLanguage">
    <vt:i4>2057</vt:i4>
  </property>
  <property fmtid="{D5CDD505-2E9C-101B-9397-08002B2CF9AE}" pid="4" name="RegisteredNo">
    <vt:lpwstr>15076/17</vt:lpwstr>
  </property>
</Properties>
</file>