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BC5787" w:rsidR="00F16A32" w:rsidP="00BC5787" w14:paraId="5E409FF6" w14:textId="77777777">
      <w:pPr>
        <w:jc w:val="center"/>
        <w:rPr>
          <w:rFonts w:ascii="Times New Roman" w:hAnsi="Times New Roman" w:cs="Times New Roman"/>
          <w:noProof/>
        </w:rPr>
      </w:pPr>
    </w:p>
    <w:p w:rsidRPr="00BC5787" w:rsidR="0098410D" w:rsidP="00BC5787" w14:paraId="2D5828F9" w14:textId="77777777">
      <w:pPr>
        <w:jc w:val="center"/>
      </w:pPr>
    </w:p>
    <w:p w:rsidRPr="00BC5787" w:rsidR="0098410D" w:rsidP="00BC5787" w14:paraId="2A28A3E9" w14:textId="1CCC2315">
      <w:pPr>
        <w:pStyle w:val="DecHTitle"/>
      </w:pPr>
      <w:r w:rsidRPr="00BC5787">
        <w:t>FOURTH SECTION</w:t>
      </w:r>
    </w:p>
    <w:p w:rsidRPr="00BC5787" w:rsidR="008E6217" w:rsidP="00BC5787" w14:paraId="7424F81C" w14:textId="39638AC4">
      <w:pPr>
        <w:pStyle w:val="JuTitle"/>
      </w:pPr>
      <w:r w:rsidRPr="00BC5787">
        <w:rPr>
          <w:color w:val="000000" w:themeColor="text1"/>
        </w:rPr>
        <w:t xml:space="preserve">CASE OF </w:t>
      </w:r>
      <w:r w:rsidRPr="00BC5787" w:rsidR="00F16A32">
        <w:t>VEIGA CARDOSO v. PORTUGAL</w:t>
      </w:r>
    </w:p>
    <w:p w:rsidRPr="00BC5787" w:rsidR="00D74888" w:rsidP="00BC5787" w14:paraId="494F3B8A" w14:textId="4B112A30">
      <w:pPr>
        <w:pStyle w:val="ECHRCoverTitle4"/>
      </w:pPr>
      <w:r w:rsidRPr="00BC5787">
        <w:t>(</w:t>
      </w:r>
      <w:r w:rsidRPr="00BC5787" w:rsidR="00F16A32">
        <w:rPr>
          <w:noProof/>
        </w:rPr>
        <w:t>Application no.</w:t>
      </w:r>
      <w:r w:rsidRPr="00BC5787">
        <w:t xml:space="preserve"> </w:t>
      </w:r>
      <w:r w:rsidRPr="00BC5787" w:rsidR="00F16A32">
        <w:t>48979/19</w:t>
      </w:r>
      <w:r w:rsidRPr="00BC5787">
        <w:t>)</w:t>
      </w:r>
    </w:p>
    <w:p w:rsidRPr="00BC5787" w:rsidR="0098410D" w:rsidP="00BC5787" w14:paraId="7FABF03A" w14:textId="77777777">
      <w:pPr>
        <w:pStyle w:val="DecHCase"/>
      </w:pPr>
    </w:p>
    <w:p w:rsidRPr="00BC5787" w:rsidR="0098410D" w:rsidP="00BC5787" w14:paraId="022BCBC6" w14:textId="77777777">
      <w:pPr>
        <w:pStyle w:val="DecHCase"/>
      </w:pPr>
    </w:p>
    <w:p w:rsidRPr="00BC5787" w:rsidR="00AC4CD4" w:rsidP="00BC5787" w14:paraId="65351137" w14:textId="77777777">
      <w:pPr>
        <w:pStyle w:val="DecHCase"/>
      </w:pPr>
    </w:p>
    <w:p w:rsidRPr="00BC5787" w:rsidR="0098410D" w:rsidP="00BC5787" w14:paraId="3FE26438" w14:textId="77777777">
      <w:pPr>
        <w:pStyle w:val="DecHCase"/>
      </w:pPr>
    </w:p>
    <w:p w:rsidRPr="00BC5787" w:rsidR="00BC5787" w:rsidP="00BC5787" w14:paraId="46C437BB" w14:textId="77777777">
      <w:pPr>
        <w:pStyle w:val="DecHCase"/>
      </w:pPr>
    </w:p>
    <w:p w:rsidRPr="00BC5787" w:rsidR="00BC5787" w:rsidP="00BC5787" w14:paraId="7DBC8723" w14:textId="77777777">
      <w:pPr>
        <w:pStyle w:val="DecHCase"/>
      </w:pPr>
    </w:p>
    <w:p w:rsidRPr="00BC5787" w:rsidR="0098410D" w:rsidP="00BC5787" w14:paraId="6B2B7EC6" w14:textId="709ACD22">
      <w:pPr>
        <w:pStyle w:val="DecHCase"/>
      </w:pPr>
      <w:r w:rsidRPr="00BC5787">
        <w:t>JUDGMENT</w:t>
      </w:r>
      <w:r w:rsidRPr="00BC5787" w:rsidR="00AC4CD4">
        <w:br/>
      </w:r>
    </w:p>
    <w:p w:rsidRPr="00BC5787" w:rsidR="0098410D" w:rsidP="00BC5787" w14:paraId="7EAB683D" w14:textId="77777777">
      <w:pPr>
        <w:pStyle w:val="DecHCase"/>
      </w:pPr>
      <w:r w:rsidRPr="00BC5787">
        <w:t>STRASBOURG</w:t>
      </w:r>
    </w:p>
    <w:p w:rsidRPr="00BC5787" w:rsidR="0098410D" w:rsidP="00BC5787" w14:paraId="10CAE52C" w14:textId="243300B0">
      <w:pPr>
        <w:pStyle w:val="DecHCase"/>
      </w:pPr>
      <w:r w:rsidRPr="00BC5787">
        <w:rPr>
          <w:rFonts w:ascii="Times New Roman" w:hAnsi="Times New Roman" w:cs="Times New Roman"/>
        </w:rPr>
        <w:t>16 January 2024</w:t>
      </w:r>
    </w:p>
    <w:p w:rsidRPr="00BC5787" w:rsidR="00AC4CD4" w:rsidP="00BC5787" w14:paraId="52C689F2" w14:textId="77777777">
      <w:pPr>
        <w:pStyle w:val="JuPara"/>
      </w:pPr>
    </w:p>
    <w:p w:rsidRPr="00BC5787" w:rsidR="002422B6" w:rsidP="00BC5787" w14:paraId="25A6F543" w14:textId="430076F0">
      <w:pPr>
        <w:rPr>
          <w:i/>
          <w:sz w:val="22"/>
        </w:rPr>
      </w:pPr>
      <w:r w:rsidRPr="00BC5787">
        <w:rPr>
          <w:i/>
          <w:sz w:val="22"/>
        </w:rPr>
        <w:t xml:space="preserve">This judgment </w:t>
      </w:r>
      <w:r w:rsidRPr="00BC5787" w:rsidR="00F16A32">
        <w:rPr>
          <w:i/>
          <w:noProof/>
          <w:sz w:val="22"/>
        </w:rPr>
        <w:t>is final but it</w:t>
      </w:r>
      <w:r w:rsidRPr="00BC5787">
        <w:rPr>
          <w:i/>
          <w:sz w:val="22"/>
        </w:rPr>
        <w:t xml:space="preserve"> may be subject to editorial revision.</w:t>
      </w:r>
    </w:p>
    <w:p w:rsidRPr="00BC5787" w:rsidR="0098410D" w:rsidP="00BC5787" w14:paraId="111BD7D8"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BC5787" w:rsidR="0098410D" w:rsidP="00BC5787" w14:paraId="74343E66" w14:textId="358A0564">
      <w:pPr>
        <w:pStyle w:val="JuCase"/>
      </w:pPr>
      <w:r w:rsidRPr="00BC5787">
        <w:t xml:space="preserve">In the case of </w:t>
      </w:r>
      <w:r w:rsidRPr="00BC5787" w:rsidR="00F16A32">
        <w:t>Veiga</w:t>
      </w:r>
      <w:r w:rsidRPr="00BC5787" w:rsidR="00F16A32">
        <w:t xml:space="preserve"> Cardoso v. Portugal</w:t>
      </w:r>
      <w:r w:rsidRPr="00BC5787">
        <w:t>,</w:t>
      </w:r>
    </w:p>
    <w:p w:rsidRPr="00BC5787" w:rsidR="009F4C8F" w:rsidP="00BC5787" w14:paraId="134AD375" w14:textId="61DF58EE">
      <w:pPr>
        <w:pStyle w:val="JuPara"/>
      </w:pPr>
      <w:r w:rsidRPr="00BC5787">
        <w:t>The European Court of Human Rights (</w:t>
      </w:r>
      <w:r w:rsidRPr="00BC5787" w:rsidR="00F16A32">
        <w:t>Fourth Section</w:t>
      </w:r>
      <w:r w:rsidRPr="00BC5787">
        <w:t xml:space="preserve">), sitting as a </w:t>
      </w:r>
      <w:r w:rsidRPr="00BC5787" w:rsidR="00F16A32">
        <w:rPr>
          <w:noProof/>
        </w:rPr>
        <w:t>Committee</w:t>
      </w:r>
      <w:r w:rsidRPr="00BC5787">
        <w:t xml:space="preserve"> composed of:</w:t>
      </w:r>
    </w:p>
    <w:p w:rsidRPr="00BC5787" w:rsidR="00A92625" w:rsidP="00BC5787" w14:paraId="389EE17B" w14:textId="228AB633">
      <w:pPr>
        <w:pStyle w:val="JuJudges"/>
      </w:pPr>
      <w:r w:rsidRPr="00BC5787">
        <w:tab/>
        <w:t xml:space="preserve">Tim Eicke, </w:t>
      </w:r>
      <w:r w:rsidRPr="00BC5787">
        <w:rPr>
          <w:i/>
          <w:iCs/>
        </w:rPr>
        <w:t>President</w:t>
      </w:r>
      <w:r w:rsidRPr="00BC5787">
        <w:t>,</w:t>
      </w:r>
      <w:r w:rsidRPr="00BC5787">
        <w:br/>
      </w:r>
      <w:r w:rsidRPr="00BC5787">
        <w:tab/>
        <w:t>Branko Lubarda,</w:t>
      </w:r>
      <w:r w:rsidRPr="00BC5787">
        <w:br/>
      </w:r>
      <w:r w:rsidRPr="00BC5787">
        <w:tab/>
        <w:t>Ana Maria Guerra Martins</w:t>
      </w:r>
      <w:r w:rsidRPr="00BC5787">
        <w:rPr>
          <w:i/>
        </w:rPr>
        <w:t>, judges</w:t>
      </w:r>
      <w:r w:rsidRPr="00BC5787">
        <w:t>,</w:t>
      </w:r>
      <w:r w:rsidRPr="00BC5787" w:rsidR="009F4C8F">
        <w:br/>
        <w:t>and</w:t>
      </w:r>
      <w:r w:rsidRPr="00BC5787" w:rsidR="005C2C62">
        <w:t xml:space="preserve"> </w:t>
      </w:r>
      <w:r w:rsidRPr="00BC5787" w:rsidR="00D5362C">
        <w:rPr>
          <w:rFonts w:eastAsia="PMingLiU"/>
          <w:noProof/>
        </w:rPr>
        <w:t>Crina Kaufman</w:t>
      </w:r>
      <w:r w:rsidRPr="00BC5787">
        <w:t xml:space="preserve">, </w:t>
      </w:r>
      <w:r w:rsidRPr="00BC5787" w:rsidR="00D5362C">
        <w:rPr>
          <w:rFonts w:cstheme="minorHAnsi"/>
          <w:i/>
          <w:iCs/>
          <w:lang w:eastAsia="fr-FR"/>
        </w:rPr>
        <w:t xml:space="preserve">Acting </w:t>
      </w:r>
      <w:r w:rsidRPr="00BC5787" w:rsidR="00F16A32">
        <w:rPr>
          <w:i/>
          <w:iCs/>
          <w:noProof/>
        </w:rPr>
        <w:t xml:space="preserve">Deputy </w:t>
      </w:r>
      <w:r w:rsidRPr="00BC5787" w:rsidR="00E744E0">
        <w:rPr>
          <w:i/>
          <w:iCs/>
        </w:rPr>
        <w:t>Section Registrar</w:t>
      </w:r>
      <w:r w:rsidRPr="00BC5787" w:rsidR="008F2465">
        <w:t>,</w:t>
      </w:r>
    </w:p>
    <w:p w:rsidRPr="00BC5787" w:rsidR="00F16A32" w:rsidP="00BC5787" w14:paraId="423D0B71" w14:textId="77777777">
      <w:pPr>
        <w:pStyle w:val="JuPara"/>
      </w:pPr>
      <w:r w:rsidRPr="00BC5787">
        <w:t>Having regard to:</w:t>
      </w:r>
    </w:p>
    <w:p w:rsidRPr="00BC5787" w:rsidR="00F16A32" w:rsidP="00BC5787" w14:paraId="3AECCD23" w14:textId="1C9DAB9B">
      <w:pPr>
        <w:pStyle w:val="JuPara"/>
      </w:pPr>
      <w:r w:rsidRPr="00BC5787">
        <w:t>the application (no. 48979/19) against the Portuguese Republic lodged with the Court under Article 34 of the Convention for the Protection of Human Rights and Fundamental Freedoms (“the Convention”) on 12</w:t>
      </w:r>
      <w:r w:rsidRPr="00BC5787" w:rsidR="006D507A">
        <w:t> </w:t>
      </w:r>
      <w:r w:rsidRPr="00BC5787">
        <w:t xml:space="preserve">September 2019 by a Portuguese national, Mr Victor Manuel </w:t>
      </w:r>
      <w:r w:rsidRPr="00BC5787">
        <w:t>Veiga</w:t>
      </w:r>
      <w:r w:rsidRPr="00BC5787">
        <w:t xml:space="preserve"> Cardoso (“the applicant”), who was born in 1957 and lives in </w:t>
      </w:r>
      <w:r w:rsidRPr="00BC5787">
        <w:t>Barcarena</w:t>
      </w:r>
      <w:r w:rsidRPr="00BC5787">
        <w:t xml:space="preserve">, and who was represented by Ms A. Reis </w:t>
      </w:r>
      <w:r w:rsidRPr="00BC5787">
        <w:t>Mota</w:t>
      </w:r>
      <w:r w:rsidRPr="00BC5787">
        <w:t xml:space="preserve">, a lawyer practising in </w:t>
      </w:r>
      <w:r w:rsidRPr="00BC5787">
        <w:t>Lisbon;</w:t>
      </w:r>
    </w:p>
    <w:p w:rsidRPr="00BC5787" w:rsidR="00F16A32" w:rsidP="00BC5787" w14:paraId="29867E73" w14:textId="40D7C809">
      <w:pPr>
        <w:pStyle w:val="JuPara"/>
      </w:pPr>
      <w:r w:rsidRPr="00BC5787">
        <w:t>the decision to give notice of the application to the Portuguese Government (“the Government”), represented by their Agent at the time, Ms</w:t>
      </w:r>
      <w:r w:rsidRPr="00BC5787" w:rsidR="006D507A">
        <w:t> </w:t>
      </w:r>
      <w:r w:rsidRPr="00BC5787">
        <w:t xml:space="preserve">M.F. da </w:t>
      </w:r>
      <w:r w:rsidRPr="00BC5787">
        <w:t>Graça</w:t>
      </w:r>
      <w:r w:rsidRPr="00BC5787">
        <w:t xml:space="preserve"> Carvalho, Deputy Attorney </w:t>
      </w:r>
      <w:r w:rsidRPr="00BC5787">
        <w:t>General;</w:t>
      </w:r>
    </w:p>
    <w:p w:rsidRPr="00BC5787" w:rsidR="00F16A32" w:rsidP="00BC5787" w14:paraId="27ADC73D" w14:textId="1F703AA4">
      <w:pPr>
        <w:pStyle w:val="JuPara"/>
      </w:pPr>
      <w:r w:rsidRPr="00BC5787">
        <w:t>the parties</w:t>
      </w:r>
      <w:r w:rsidRPr="00BC5787" w:rsidR="00BC5787">
        <w:t>’</w:t>
      </w:r>
      <w:r w:rsidRPr="00BC5787">
        <w:t xml:space="preserve"> </w:t>
      </w:r>
      <w:r w:rsidRPr="00BC5787">
        <w:t>observations;</w:t>
      </w:r>
    </w:p>
    <w:p w:rsidRPr="00BC5787" w:rsidR="009F4C8F" w:rsidP="00BC5787" w14:paraId="1E8B1FAC" w14:textId="670E9600">
      <w:pPr>
        <w:pStyle w:val="JuPara"/>
      </w:pPr>
      <w:r w:rsidRPr="00BC5787">
        <w:t xml:space="preserve">Having deliberated in private on </w:t>
      </w:r>
      <w:r w:rsidRPr="00BC5787" w:rsidR="00F16A32">
        <w:t>5 December 2023</w:t>
      </w:r>
      <w:r w:rsidRPr="00BC5787">
        <w:t>,</w:t>
      </w:r>
    </w:p>
    <w:p w:rsidRPr="00BC5787" w:rsidR="009F4C8F" w:rsidP="00BC5787" w14:paraId="5A4ABE88" w14:textId="77777777">
      <w:pPr>
        <w:pStyle w:val="JuPara"/>
      </w:pPr>
      <w:r w:rsidRPr="00BC5787">
        <w:t>Delivers the following judgment, which was adopted on that date:</w:t>
      </w:r>
    </w:p>
    <w:p w:rsidRPr="00BC5787" w:rsidR="00F16A32" w:rsidP="00BC5787" w14:paraId="007C5854" w14:textId="7DE23B63">
      <w:pPr>
        <w:pStyle w:val="JuHHead"/>
        <w:numPr>
          <w:ilvl w:val="0"/>
          <w:numId w:val="0"/>
        </w:numPr>
      </w:pPr>
      <w:r w:rsidRPr="00BC5787">
        <w:t>SUBJECT MATTER OF THE CASE</w:t>
      </w:r>
    </w:p>
    <w:p w:rsidRPr="00BC5787" w:rsidR="00F16A32" w:rsidP="00BC5787" w14:paraId="3D5537BA" w14:textId="54910C07">
      <w:pPr>
        <w:pStyle w:val="JuPara"/>
      </w:pPr>
      <w:r>
        <w:fldChar w:fldCharType="begin"/>
      </w:r>
      <w:r>
        <w:instrText xml:space="preserve"> SEQ level0 \*arabic \* MERGEFORMAT </w:instrText>
      </w:r>
      <w:r>
        <w:fldChar w:fldCharType="separate"/>
      </w:r>
      <w:r w:rsidRPr="00BC5787" w:rsidR="00BC5787">
        <w:rPr>
          <w:noProof/>
        </w:rPr>
        <w:t>1</w:t>
      </w:r>
      <w:r w:rsidRPr="00BC5787" w:rsidR="00BC5787">
        <w:rPr>
          <w:noProof/>
        </w:rPr>
        <w:fldChar w:fldCharType="end"/>
      </w:r>
      <w:r w:rsidRPr="00BC5787">
        <w:t>.  The case concerns the applicant</w:t>
      </w:r>
      <w:r w:rsidRPr="00BC5787" w:rsidR="00BC5787">
        <w:t>’</w:t>
      </w:r>
      <w:r w:rsidRPr="00BC5787">
        <w:t>s criminal conviction for aggravated defamation of a public prosecutor.</w:t>
      </w:r>
    </w:p>
    <w:p w:rsidRPr="00BC5787" w:rsidR="00F16A32" w:rsidP="00BC5787" w14:paraId="0947B0AB" w14:textId="6F2739FA">
      <w:pPr>
        <w:pStyle w:val="JuPara"/>
      </w:pPr>
      <w:r>
        <w:fldChar w:fldCharType="begin"/>
      </w:r>
      <w:r>
        <w:instrText xml:space="preserve"> SEQ level0 \*arabic \* MERGEFORMAT </w:instrText>
      </w:r>
      <w:r>
        <w:fldChar w:fldCharType="separate"/>
      </w:r>
      <w:bookmarkStart w:name="paragraph00002" w:id="0"/>
      <w:r w:rsidRPr="00BC5787" w:rsidR="00BC5787">
        <w:rPr>
          <w:noProof/>
        </w:rPr>
        <w:t>2</w:t>
      </w:r>
      <w:bookmarkEnd w:id="0"/>
      <w:r>
        <w:fldChar w:fldCharType="end"/>
      </w:r>
      <w:r w:rsidRPr="00BC5787">
        <w:t>.  During a meeting with professionals responsible for the supervision of the applicant</w:t>
      </w:r>
      <w:r w:rsidRPr="00BC5787" w:rsidR="00BC5787">
        <w:t>’</w:t>
      </w:r>
      <w:r w:rsidRPr="00BC5787">
        <w:t>s contact with his daughter, the applicant made the following statements regarding the public prosecutor who was representing his daughter in the proceedings in respect of his parental rights and responsibilities towards her (</w:t>
      </w:r>
      <w:r w:rsidRPr="00BC5787">
        <w:rPr>
          <w:i/>
          <w:iCs/>
        </w:rPr>
        <w:t>regulação</w:t>
      </w:r>
      <w:r w:rsidRPr="00BC5787">
        <w:rPr>
          <w:i/>
          <w:iCs/>
        </w:rPr>
        <w:t xml:space="preserve"> do </w:t>
      </w:r>
      <w:r w:rsidRPr="00BC5787">
        <w:rPr>
          <w:i/>
          <w:iCs/>
        </w:rPr>
        <w:t>poder</w:t>
      </w:r>
      <w:r w:rsidRPr="00BC5787">
        <w:rPr>
          <w:i/>
          <w:iCs/>
        </w:rPr>
        <w:t xml:space="preserve"> paternal</w:t>
      </w:r>
      <w:r w:rsidRPr="00BC5787">
        <w:t>):</w:t>
      </w:r>
    </w:p>
    <w:p w:rsidRPr="00BC5787" w:rsidR="00F16A32" w:rsidP="00BC5787" w14:paraId="1E5143C0" w14:textId="0C1EFF6C">
      <w:pPr>
        <w:pStyle w:val="JuQuot"/>
      </w:pPr>
      <w:r w:rsidRPr="00BC5787">
        <w:t>“</w:t>
      </w:r>
      <w:r w:rsidRPr="00BC5787">
        <w:t>this</w:t>
      </w:r>
      <w:r w:rsidRPr="00BC5787">
        <w:t xml:space="preserve"> is an affront, it</w:t>
      </w:r>
      <w:r w:rsidRPr="00BC5787" w:rsidR="00BC5787">
        <w:t>’</w:t>
      </w:r>
      <w:r w:rsidRPr="00BC5787">
        <w:t>s not a court, it</w:t>
      </w:r>
      <w:r w:rsidRPr="00BC5787" w:rsidR="00BC5787">
        <w:t>’</w:t>
      </w:r>
      <w:r w:rsidRPr="00BC5787">
        <w:t>s nothing, that prosecutor, that B., he drinks, or I don</w:t>
      </w:r>
      <w:r w:rsidRPr="00BC5787" w:rsidR="00BC5787">
        <w:t>’</w:t>
      </w:r>
      <w:r w:rsidRPr="00BC5787">
        <w:t>t know... he doesn</w:t>
      </w:r>
      <w:r w:rsidRPr="00BC5787" w:rsidR="00BC5787">
        <w:t>’</w:t>
      </w:r>
      <w:r w:rsidRPr="00BC5787">
        <w:t>t open his mouth.”</w:t>
      </w:r>
    </w:p>
    <w:p w:rsidRPr="00BC5787" w:rsidR="00F16A32" w:rsidP="00BC5787" w14:paraId="2EA0D5FF" w14:textId="3717DDFE">
      <w:pPr>
        <w:pStyle w:val="JuPara"/>
      </w:pPr>
      <w:r>
        <w:fldChar w:fldCharType="begin"/>
      </w:r>
      <w:r>
        <w:instrText xml:space="preserve"> SEQ level0 \*arabic \* MERGEFORMAT </w:instrText>
      </w:r>
      <w:r>
        <w:fldChar w:fldCharType="separate"/>
      </w:r>
      <w:r w:rsidRPr="00BC5787" w:rsidR="00BC5787">
        <w:rPr>
          <w:noProof/>
        </w:rPr>
        <w:t>3</w:t>
      </w:r>
      <w:r w:rsidRPr="00BC5787" w:rsidR="00BC5787">
        <w:rPr>
          <w:noProof/>
        </w:rPr>
        <w:fldChar w:fldCharType="end"/>
      </w:r>
      <w:r w:rsidRPr="00BC5787">
        <w:t>.  The social workers facilitating the meeting wrote down the comments in a report and sent it to the family court to which the proceedings had been allocated. The applicant was then sued by B. for aggravated defamation.</w:t>
      </w:r>
    </w:p>
    <w:bookmarkStart w:name="paragraph00004" w:id="1"/>
    <w:p w:rsidRPr="00BC5787" w:rsidR="00F16A32" w:rsidP="00BC5787" w14:paraId="6B3E68C8" w14:textId="1CEE328B">
      <w:pPr>
        <w:pStyle w:val="JuPara"/>
      </w:pPr>
      <w:r w:rsidRPr="00BC5787">
        <w:fldChar w:fldCharType="begin"/>
      </w:r>
      <w:r w:rsidRPr="00BC5787">
        <w:instrText xml:space="preserve"> SEQ level0 \*arabic \* MERGEFORMAT </w:instrText>
      </w:r>
      <w:r w:rsidRPr="00BC5787">
        <w:fldChar w:fldCharType="separate"/>
      </w:r>
      <w:r w:rsidRPr="00BC5787" w:rsidR="00BC5787">
        <w:rPr>
          <w:noProof/>
        </w:rPr>
        <w:t>4</w:t>
      </w:r>
      <w:r w:rsidRPr="00BC5787">
        <w:fldChar w:fldCharType="end"/>
      </w:r>
      <w:bookmarkEnd w:id="1"/>
      <w:r w:rsidRPr="00BC5787">
        <w:t>.  By a judgment of the Lisbon District Court of 28 November 2018, the applicant was convicted of aggravated defamation and sentenced to a fine in the amount of 1,600 euros (EUR).</w:t>
      </w:r>
    </w:p>
    <w:p w:rsidRPr="00BC5787" w:rsidR="00F16A32" w:rsidP="00BC5787" w14:paraId="5446B5FE" w14:textId="63290186">
      <w:pPr>
        <w:pStyle w:val="JuPara"/>
        <w:rPr>
          <w:rStyle w:val="JuParaChar"/>
        </w:rPr>
      </w:pPr>
      <w:r w:rsidRPr="00BC5787">
        <w:rPr>
          <w:rStyle w:val="JuParaChar"/>
        </w:rPr>
        <w:fldChar w:fldCharType="begin"/>
      </w:r>
      <w:r w:rsidRPr="00BC5787">
        <w:rPr>
          <w:rStyle w:val="JuParaChar"/>
        </w:rPr>
        <w:instrText xml:space="preserve"> SEQ level0 \*arabic \* MERGEFORMAT </w:instrText>
      </w:r>
      <w:r w:rsidRPr="00BC5787">
        <w:rPr>
          <w:rStyle w:val="JuParaChar"/>
        </w:rPr>
        <w:fldChar w:fldCharType="separate"/>
      </w:r>
      <w:bookmarkStart w:name="paragraph00005" w:id="2"/>
      <w:r w:rsidRPr="00BC5787" w:rsidR="00BC5787">
        <w:rPr>
          <w:rStyle w:val="JuParaChar"/>
          <w:noProof/>
        </w:rPr>
        <w:t>5</w:t>
      </w:r>
      <w:bookmarkEnd w:id="2"/>
      <w:r w:rsidRPr="00BC5787">
        <w:rPr>
          <w:rStyle w:val="JuParaChar"/>
        </w:rPr>
        <w:fldChar w:fldCharType="end"/>
      </w:r>
      <w:r w:rsidRPr="00BC5787">
        <w:rPr>
          <w:rStyle w:val="JuParaChar"/>
        </w:rPr>
        <w:t>.  It held as follows:</w:t>
      </w:r>
    </w:p>
    <w:p w:rsidRPr="00BC5787" w:rsidR="00F16A32" w:rsidP="00BC5787" w14:paraId="37C0BC7F" w14:textId="665E0231">
      <w:pPr>
        <w:pStyle w:val="JuQuot"/>
        <w:ind w:firstLine="0"/>
      </w:pPr>
      <w:r w:rsidRPr="00BC5787">
        <w:t>“... [the applicant] intended to raise doubts regarding the public prosecutor</w:t>
      </w:r>
      <w:r w:rsidRPr="00BC5787" w:rsidR="00BC5787">
        <w:t>’</w:t>
      </w:r>
      <w:r w:rsidRPr="00BC5787">
        <w:t>s personal and professional honour and to challenge his personal and professional ethics, harming him as a private individual and as a public prosecutor ...</w:t>
      </w:r>
    </w:p>
    <w:p w:rsidRPr="00BC5787" w:rsidR="00F16A32" w:rsidP="00BC5787" w14:paraId="780C2B33" w14:textId="40E1BABA">
      <w:pPr>
        <w:pStyle w:val="JuQuot"/>
      </w:pPr>
      <w:r w:rsidRPr="00BC5787">
        <w:t>...those statements ... imply that the public prosecutor doesn</w:t>
      </w:r>
      <w:r w:rsidRPr="00BC5787" w:rsidR="00BC5787">
        <w:t>’</w:t>
      </w:r>
      <w:r w:rsidRPr="00BC5787">
        <w:t>t do his job properly – doesn</w:t>
      </w:r>
      <w:r w:rsidRPr="00BC5787" w:rsidR="00BC5787">
        <w:t>’</w:t>
      </w:r>
      <w:r w:rsidRPr="00BC5787">
        <w:t>t open his mouth – is drunk in court – and likes to drink. Those statements are extremely serious ... [the applicant] cannot legitimise his conduct by arguing that he was unhappy or disappointed by the length or the outcome of the proceedings since there were legal mechanisms at his disposal to challenge possible delays or failures during the proceedings. In addition, those statements cannot be considered as mere venting. In fact, [the applicant] knew that the meeting was part of the judicial proceedings ... and that he was neither acting in a private sphere, nor amongst friends or family with whom he could vent, rather within an institutional domain. In addition, [the applicant] knew that the social workers would report to the court. Those statements show that [the applicant] did not agree with the implementation by the family court of supervised visits with his daughter.</w:t>
      </w:r>
    </w:p>
    <w:p w:rsidRPr="00BC5787" w:rsidR="00F16A32" w:rsidP="00BC5787" w14:paraId="05E24648" w14:textId="0C23CFED">
      <w:pPr>
        <w:pStyle w:val="JuQuot"/>
      </w:pPr>
      <w:r w:rsidRPr="00BC5787">
        <w:t>...”</w:t>
      </w:r>
      <w:r w:rsidRPr="00BC5787" w:rsidR="00355150">
        <w:t>.</w:t>
      </w:r>
    </w:p>
    <w:p w:rsidRPr="00BC5787" w:rsidR="00F16A32" w:rsidP="00BC5787" w14:paraId="54AEEA48" w14:textId="7B66A3C2">
      <w:pPr>
        <w:pStyle w:val="JuPara"/>
      </w:pPr>
      <w:r>
        <w:fldChar w:fldCharType="begin"/>
      </w:r>
      <w:r>
        <w:instrText xml:space="preserve"> SEQ level0 \*arabic \* MERGEFORMAT </w:instrText>
      </w:r>
      <w:r>
        <w:fldChar w:fldCharType="separate"/>
      </w:r>
      <w:r w:rsidRPr="00BC5787" w:rsidR="00BC5787">
        <w:rPr>
          <w:noProof/>
        </w:rPr>
        <w:t>6</w:t>
      </w:r>
      <w:r w:rsidRPr="00BC5787" w:rsidR="00BC5787">
        <w:rPr>
          <w:noProof/>
        </w:rPr>
        <w:fldChar w:fldCharType="end"/>
      </w:r>
      <w:r w:rsidRPr="00BC5787">
        <w:t>.  On 15 May 2019 the Lisbon Court of Appeal upheld that judgment.</w:t>
      </w:r>
    </w:p>
    <w:p w:rsidRPr="00BC5787" w:rsidR="00F16A32" w:rsidP="00BC5787" w14:paraId="555EB9DA" w14:textId="12F5E599">
      <w:pPr>
        <w:pStyle w:val="JuPara"/>
      </w:pPr>
      <w:r>
        <w:fldChar w:fldCharType="begin"/>
      </w:r>
      <w:r>
        <w:instrText xml:space="preserve"> SEQ level0 \*arabic \* MERGEFORMAT </w:instrText>
      </w:r>
      <w:r>
        <w:fldChar w:fldCharType="separate"/>
      </w:r>
      <w:r w:rsidRPr="00BC5787" w:rsidR="00BC5787">
        <w:rPr>
          <w:noProof/>
        </w:rPr>
        <w:t>7</w:t>
      </w:r>
      <w:r w:rsidRPr="00BC5787" w:rsidR="00BC5787">
        <w:rPr>
          <w:noProof/>
        </w:rPr>
        <w:fldChar w:fldCharType="end"/>
      </w:r>
      <w:r w:rsidRPr="00BC5787">
        <w:t>.  Under Article 10 of the Convention, the applicant alleged that his conviction amounted to a breach of his right to freedom of expression.</w:t>
      </w:r>
    </w:p>
    <w:p w:rsidRPr="00BC5787" w:rsidR="00F16A32" w:rsidP="00BC5787" w14:paraId="2E0CB70A" w14:textId="600AC26A">
      <w:pPr>
        <w:pStyle w:val="JuHHead"/>
      </w:pPr>
      <w:r w:rsidRPr="00BC5787">
        <w:t>THE COURT</w:t>
      </w:r>
      <w:r w:rsidRPr="00BC5787" w:rsidR="00BC5787">
        <w:t>’</w:t>
      </w:r>
      <w:r w:rsidRPr="00BC5787">
        <w:t>S ASSESSMENT</w:t>
      </w:r>
    </w:p>
    <w:p w:rsidRPr="00BC5787" w:rsidR="00F16A32" w:rsidP="00BC5787" w14:paraId="38D6C21D" w14:textId="77777777">
      <w:pPr>
        <w:pStyle w:val="JuHIRoman"/>
        <w:numPr>
          <w:ilvl w:val="0"/>
          <w:numId w:val="0"/>
        </w:numPr>
        <w:ind w:left="369" w:hanging="369"/>
      </w:pPr>
      <w:r w:rsidRPr="00BC5787">
        <w:t>ALLEGED VIOLATION OF ARTICLE 10 OF THE CONVENTION</w:t>
      </w:r>
    </w:p>
    <w:p w:rsidRPr="00BC5787" w:rsidR="00F16A32" w:rsidP="00BC5787" w14:paraId="21E1B751" w14:textId="43C925BF">
      <w:pPr>
        <w:pStyle w:val="JuPara"/>
      </w:pPr>
      <w:r w:rsidRPr="00BC5787">
        <w:fldChar w:fldCharType="begin"/>
      </w:r>
      <w:r w:rsidRPr="00BC5787">
        <w:instrText xml:space="preserve"> SEQ level0 \*arabic </w:instrText>
      </w:r>
      <w:r w:rsidRPr="00BC5787">
        <w:fldChar w:fldCharType="separate"/>
      </w:r>
      <w:r w:rsidRPr="00BC5787" w:rsidR="00BC5787">
        <w:rPr>
          <w:noProof/>
        </w:rPr>
        <w:t>8</w:t>
      </w:r>
      <w:r w:rsidRPr="00BC5787">
        <w:fldChar w:fldCharType="end"/>
      </w:r>
      <w:r w:rsidRPr="00BC5787">
        <w:t>.  The Court notes that the application is not manifestly ill-founded within the meaning of Article 35 § 3 (a) of the Convention or inadmissible on any other grounds. It must therefore be declared admissible.</w:t>
      </w:r>
    </w:p>
    <w:p w:rsidRPr="00BC5787" w:rsidR="00F16A32" w:rsidP="00BC5787" w14:paraId="6B425DAA" w14:textId="3D0C3BD6">
      <w:pPr>
        <w:pStyle w:val="JuPara"/>
      </w:pPr>
      <w:r>
        <w:fldChar w:fldCharType="begin"/>
      </w:r>
      <w:r>
        <w:instrText xml:space="preserve"> SEQ level0 \*arabic \* MERGEFORMAT </w:instrText>
      </w:r>
      <w:r>
        <w:fldChar w:fldCharType="separate"/>
      </w:r>
      <w:r w:rsidRPr="00BC5787" w:rsidR="00BC5787">
        <w:rPr>
          <w:noProof/>
        </w:rPr>
        <w:t>9</w:t>
      </w:r>
      <w:r w:rsidRPr="00BC5787" w:rsidR="00BC5787">
        <w:rPr>
          <w:noProof/>
        </w:rPr>
        <w:fldChar w:fldCharType="end"/>
      </w:r>
      <w:r w:rsidRPr="00BC5787">
        <w:t>.  The parties agreed that the domestic court</w:t>
      </w:r>
      <w:r w:rsidRPr="00BC5787" w:rsidR="00BC5787">
        <w:t>’</w:t>
      </w:r>
      <w:r w:rsidRPr="00BC5787">
        <w:t>s judgment constituted an interference with the applicant</w:t>
      </w:r>
      <w:r w:rsidRPr="00BC5787" w:rsidR="00BC5787">
        <w:t>’</w:t>
      </w:r>
      <w:r w:rsidRPr="00BC5787">
        <w:t>s right to freedom of expression and the Court sees no reason to hold otherwise. The Court also notes that the interference was prescribed by law – envisaged under Articles 180 § 1, 184 and 132 §</w:t>
      </w:r>
      <w:r w:rsidRPr="00BC5787" w:rsidR="006D507A">
        <w:t> </w:t>
      </w:r>
      <w:r w:rsidRPr="00BC5787">
        <w:t>2</w:t>
      </w:r>
      <w:r w:rsidRPr="00BC5787" w:rsidR="006E3FD9">
        <w:t> </w:t>
      </w:r>
      <w:r w:rsidRPr="00BC5787">
        <w:t>(l) of the Portuguese Criminal Code – and was aimed at the protection of the reputation of others, more specifically of the public prosecutor concerned. The issue is, therefore, whether it was “necessary in a democratic society”.</w:t>
      </w:r>
    </w:p>
    <w:p w:rsidRPr="00BC5787" w:rsidR="00F16A32" w:rsidP="00BC5787" w14:paraId="6C102849" w14:textId="14FCD3E1">
      <w:pPr>
        <w:pStyle w:val="JuPara"/>
      </w:pPr>
      <w:r w:rsidRPr="00BC5787">
        <w:fldChar w:fldCharType="begin"/>
      </w:r>
      <w:r w:rsidRPr="00BC5787">
        <w:instrText xml:space="preserve"> SEQ level0 \*arabic </w:instrText>
      </w:r>
      <w:r w:rsidRPr="00BC5787">
        <w:fldChar w:fldCharType="separate"/>
      </w:r>
      <w:r w:rsidRPr="00BC5787" w:rsidR="00BC5787">
        <w:rPr>
          <w:noProof/>
        </w:rPr>
        <w:t>10</w:t>
      </w:r>
      <w:r w:rsidRPr="00BC5787">
        <w:fldChar w:fldCharType="end"/>
      </w:r>
      <w:r w:rsidRPr="00BC5787">
        <w:t>.  The general principles of the Court</w:t>
      </w:r>
      <w:r w:rsidRPr="00BC5787" w:rsidR="00BC5787">
        <w:t>’</w:t>
      </w:r>
      <w:r w:rsidRPr="00BC5787">
        <w:t xml:space="preserve">s case-law for assessing the necessity of an interference with the exercise of freedom of expression in the interest of the “protection of the reputation or rights of others” have been summarised in </w:t>
      </w:r>
      <w:r w:rsidRPr="00BC5787">
        <w:rPr>
          <w:i/>
          <w:iCs/>
        </w:rPr>
        <w:t>Lešník</w:t>
      </w:r>
      <w:r w:rsidRPr="00BC5787">
        <w:rPr>
          <w:i/>
          <w:iCs/>
        </w:rPr>
        <w:t xml:space="preserve"> v. Slovakia</w:t>
      </w:r>
      <w:r w:rsidRPr="00BC5787">
        <w:t xml:space="preserve"> (no. 35640/97, §§ 51-56, ECHR 2003-IV); </w:t>
      </w:r>
      <w:r w:rsidRPr="00BC5787">
        <w:rPr>
          <w:i/>
        </w:rPr>
        <w:t>Morice</w:t>
      </w:r>
      <w:r w:rsidRPr="00BC5787">
        <w:rPr>
          <w:i/>
        </w:rPr>
        <w:t xml:space="preserve"> v. France</w:t>
      </w:r>
      <w:r w:rsidRPr="00BC5787">
        <w:t xml:space="preserve"> ([GC] no. 29369/10, §§ 124-27, ECHR 2015); </w:t>
      </w:r>
      <w:r w:rsidRPr="00BC5787">
        <w:rPr>
          <w:i/>
          <w:iCs/>
        </w:rPr>
        <w:t>Gouveia Gomes Fernandes and Freitas e Costa v. Portugal</w:t>
      </w:r>
      <w:r w:rsidRPr="00BC5787">
        <w:t xml:space="preserve"> (no. 1529/08, §§</w:t>
      </w:r>
      <w:r w:rsidRPr="00BC5787" w:rsidR="006D507A">
        <w:t> </w:t>
      </w:r>
      <w:r w:rsidRPr="00BC5787">
        <w:t>42-46, 29</w:t>
      </w:r>
      <w:r w:rsidRPr="00BC5787" w:rsidR="006D507A">
        <w:t> </w:t>
      </w:r>
      <w:r w:rsidRPr="00BC5787">
        <w:t xml:space="preserve">March 2011); and </w:t>
      </w:r>
      <w:r w:rsidRPr="00BC5787">
        <w:rPr>
          <w:i/>
        </w:rPr>
        <w:t>Pais</w:t>
      </w:r>
      <w:r w:rsidRPr="00BC5787">
        <w:rPr>
          <w:i/>
        </w:rPr>
        <w:t xml:space="preserve"> Pires de Lima v. Portugal</w:t>
      </w:r>
      <w:r w:rsidRPr="00BC5787">
        <w:t xml:space="preserve"> (no.</w:t>
      </w:r>
      <w:r w:rsidRPr="00BC5787">
        <w:rPr>
          <w:rFonts w:cs="Times New Roman"/>
        </w:rPr>
        <w:t xml:space="preserve"> 70465/12, §§</w:t>
      </w:r>
      <w:r w:rsidRPr="00BC5787" w:rsidR="006D507A">
        <w:rPr>
          <w:rFonts w:cs="Times New Roman"/>
        </w:rPr>
        <w:t> </w:t>
      </w:r>
      <w:r w:rsidRPr="00BC5787">
        <w:rPr>
          <w:rFonts w:cs="Times New Roman"/>
        </w:rPr>
        <w:t>57</w:t>
      </w:r>
      <w:r w:rsidRPr="00BC5787">
        <w:rPr>
          <w:rFonts w:cs="Times New Roman"/>
        </w:rPr>
        <w:noBreakHyphen/>
        <w:t>63, 12</w:t>
      </w:r>
      <w:r w:rsidRPr="00BC5787" w:rsidR="006D507A">
        <w:rPr>
          <w:rFonts w:cs="Times New Roman"/>
        </w:rPr>
        <w:t> </w:t>
      </w:r>
      <w:r w:rsidRPr="00BC5787">
        <w:rPr>
          <w:rFonts w:cs="Times New Roman"/>
        </w:rPr>
        <w:t>February 2019</w:t>
      </w:r>
      <w:r w:rsidRPr="00BC5787">
        <w:t>).</w:t>
      </w:r>
    </w:p>
    <w:p w:rsidRPr="00BC5787" w:rsidR="00F16A32" w:rsidP="00BC5787" w14:paraId="42E65727" w14:textId="51B107BF">
      <w:pPr>
        <w:pStyle w:val="JuPara"/>
      </w:pPr>
      <w:r>
        <w:fldChar w:fldCharType="begin"/>
      </w:r>
      <w:r>
        <w:instrText xml:space="preserve"> SEQ level0 \*arabic \* MERGEFORMAT </w:instrText>
      </w:r>
      <w:r>
        <w:fldChar w:fldCharType="separate"/>
      </w:r>
      <w:r w:rsidRPr="00BC5787" w:rsidR="00BC5787">
        <w:rPr>
          <w:noProof/>
        </w:rPr>
        <w:t>11</w:t>
      </w:r>
      <w:r w:rsidRPr="00BC5787" w:rsidR="00BC5787">
        <w:rPr>
          <w:noProof/>
        </w:rPr>
        <w:fldChar w:fldCharType="end"/>
      </w:r>
      <w:r w:rsidRPr="00BC5787">
        <w:t>.  In the present case, the Court notes that the applicant was convicted for aggravated defamation following statements he had made about a public prosecutor. The Court</w:t>
      </w:r>
      <w:r w:rsidRPr="00BC5787" w:rsidR="00BC5787">
        <w:t>’</w:t>
      </w:r>
      <w:r w:rsidRPr="00BC5787">
        <w:t>s task is therefore to examine whether a fair balance was struck between the competing rights and interests: the applicant</w:t>
      </w:r>
      <w:r w:rsidRPr="00BC5787" w:rsidR="00BC5787">
        <w:t>’</w:t>
      </w:r>
      <w:r w:rsidRPr="00BC5787">
        <w:t>s right to freedom of expression on the one hand and the public prosecutor</w:t>
      </w:r>
      <w:r w:rsidRPr="00BC5787" w:rsidR="00BC5787">
        <w:t>’</w:t>
      </w:r>
      <w:r w:rsidRPr="00BC5787">
        <w:t>s right to have his personal rights protected on the other.</w:t>
      </w:r>
    </w:p>
    <w:p w:rsidRPr="00BC5787" w:rsidR="00F16A32" w:rsidP="00BC5787" w14:paraId="19AA5CE5" w14:textId="2F600117">
      <w:pPr>
        <w:pStyle w:val="JuPara"/>
      </w:pPr>
      <w:r>
        <w:fldChar w:fldCharType="begin"/>
      </w:r>
      <w:r>
        <w:instrText xml:space="preserve"> SEQ level0 \*arabic \* MERGEFORMAT </w:instrText>
      </w:r>
      <w:r>
        <w:fldChar w:fldCharType="separate"/>
      </w:r>
      <w:r w:rsidRPr="00BC5787" w:rsidR="00BC5787">
        <w:rPr>
          <w:noProof/>
        </w:rPr>
        <w:t>12</w:t>
      </w:r>
      <w:r w:rsidRPr="00BC5787" w:rsidR="00BC5787">
        <w:rPr>
          <w:noProof/>
        </w:rPr>
        <w:fldChar w:fldCharType="end"/>
      </w:r>
      <w:r w:rsidRPr="00BC5787">
        <w:t>.  The Court observes that the applicant made the impugned statements during a meeting with social workers as part of the proceedings concerning his parental rights responsibilities in respect of his daughter (see paragraph</w:t>
      </w:r>
      <w:r w:rsidRPr="00BC5787" w:rsidR="002079F9">
        <w:t> </w:t>
      </w:r>
      <w:r w:rsidRPr="00BC5787">
        <w:fldChar w:fldCharType="begin"/>
      </w:r>
      <w:r w:rsidRPr="00BC5787">
        <w:instrText xml:space="preserve"> REF paragraph00002 \h  \* CharFormat </w:instrText>
      </w:r>
      <w:r w:rsidRPr="00BC5787">
        <w:fldChar w:fldCharType="separate"/>
      </w:r>
      <w:r w:rsidRPr="00BC5787" w:rsidR="00BC5787">
        <w:t>2</w:t>
      </w:r>
      <w:r w:rsidRPr="00BC5787">
        <w:fldChar w:fldCharType="end"/>
      </w:r>
      <w:r w:rsidRPr="00BC5787">
        <w:t xml:space="preserve"> above). It notes that it is not unreasonable to consider that the applicant expected some discretion and reserve on the part of the professionals. According to the handbook on best practices for the specialised unit working with family courts, such meetings imply an atmosphere of trust, so that parents feel free to express their thoughts openly. Therefore, in the particular circumstances of the case, the Court does not share the domestic court</w:t>
      </w:r>
      <w:r w:rsidRPr="00BC5787" w:rsidR="00BC5787">
        <w:t>’</w:t>
      </w:r>
      <w:r w:rsidRPr="00BC5787">
        <w:t xml:space="preserve">s view that the applicant knew </w:t>
      </w:r>
      <w:r w:rsidRPr="00BC5787">
        <w:t>that,</w:t>
      </w:r>
      <w:r w:rsidRPr="00BC5787">
        <w:t xml:space="preserve"> being in an institutional environment, the professionals would report his words to the court (see paragraph </w:t>
      </w:r>
      <w:r w:rsidRPr="00BC5787">
        <w:fldChar w:fldCharType="begin"/>
      </w:r>
      <w:r w:rsidRPr="00BC5787">
        <w:instrText xml:space="preserve"> REF paragraph00005 \h  \* CharFormat </w:instrText>
      </w:r>
      <w:r w:rsidRPr="00BC5787">
        <w:fldChar w:fldCharType="separate"/>
      </w:r>
      <w:r w:rsidRPr="00BC5787" w:rsidR="00BC5787">
        <w:t>5</w:t>
      </w:r>
      <w:r w:rsidRPr="00BC5787">
        <w:fldChar w:fldCharType="end"/>
      </w:r>
      <w:r w:rsidRPr="00BC5787">
        <w:t xml:space="preserve"> above).</w:t>
      </w:r>
    </w:p>
    <w:p w:rsidRPr="00BC5787" w:rsidR="00F16A32" w:rsidP="00BC5787" w14:paraId="37BA7BFB" w14:textId="17CF3F59">
      <w:pPr>
        <w:pStyle w:val="JuPara"/>
      </w:pPr>
      <w:r>
        <w:fldChar w:fldCharType="begin"/>
      </w:r>
      <w:r>
        <w:instrText xml:space="preserve"> SEQ level0 \*arabic \* MERGEFORMAT </w:instrText>
      </w:r>
      <w:r>
        <w:fldChar w:fldCharType="separate"/>
      </w:r>
      <w:r w:rsidRPr="00BC5787" w:rsidR="00BC5787">
        <w:rPr>
          <w:noProof/>
        </w:rPr>
        <w:t>13</w:t>
      </w:r>
      <w:r w:rsidRPr="00BC5787" w:rsidR="00BC5787">
        <w:rPr>
          <w:noProof/>
        </w:rPr>
        <w:fldChar w:fldCharType="end"/>
      </w:r>
      <w:r w:rsidRPr="00BC5787">
        <w:t>.  Furthermore, it notes that the domestic courts did not categorise the impugned statements as either a statement of fact or as a value judgment (see</w:t>
      </w:r>
      <w:r w:rsidRPr="00BC5787" w:rsidR="00BC5787">
        <w:rPr>
          <w:i/>
          <w:iCs/>
        </w:rPr>
        <w:t xml:space="preserve"> </w:t>
      </w:r>
      <w:r w:rsidRPr="00BC5787">
        <w:rPr>
          <w:i/>
          <w:iCs/>
        </w:rPr>
        <w:t>Ungváry</w:t>
      </w:r>
      <w:r w:rsidRPr="00BC5787">
        <w:rPr>
          <w:i/>
          <w:iCs/>
        </w:rPr>
        <w:t xml:space="preserve"> and </w:t>
      </w:r>
      <w:r w:rsidRPr="00BC5787">
        <w:rPr>
          <w:i/>
          <w:iCs/>
        </w:rPr>
        <w:t>Irodalom</w:t>
      </w:r>
      <w:r w:rsidRPr="00BC5787">
        <w:rPr>
          <w:i/>
          <w:iCs/>
        </w:rPr>
        <w:t xml:space="preserve"> </w:t>
      </w:r>
      <w:r w:rsidRPr="00BC5787">
        <w:rPr>
          <w:i/>
          <w:iCs/>
        </w:rPr>
        <w:t>Kft</w:t>
      </w:r>
      <w:r w:rsidRPr="00BC5787">
        <w:rPr>
          <w:i/>
          <w:iCs/>
        </w:rPr>
        <w:t xml:space="preserve"> v. Hungary</w:t>
      </w:r>
      <w:r w:rsidRPr="00BC5787">
        <w:t>, no. 64520/10, § 46, 3</w:t>
      </w:r>
      <w:r w:rsidRPr="00BC5787" w:rsidR="006D507A">
        <w:t> </w:t>
      </w:r>
      <w:r w:rsidRPr="00BC5787">
        <w:t xml:space="preserve">December 2013). Nevertheless, they considered that the impugned statements showed that the applicant was not satisfied with the implementation by the family court of supervised visits with his daughter (see paragraph </w:t>
      </w:r>
      <w:r w:rsidRPr="00BC5787">
        <w:fldChar w:fldCharType="begin"/>
      </w:r>
      <w:r w:rsidRPr="00BC5787">
        <w:instrText xml:space="preserve"> REF paragraph00004 \h  \* CharFormat </w:instrText>
      </w:r>
      <w:r w:rsidRPr="00BC5787">
        <w:fldChar w:fldCharType="separate"/>
      </w:r>
      <w:r w:rsidRPr="00BC5787" w:rsidR="00BC5787">
        <w:t>4</w:t>
      </w:r>
      <w:r w:rsidRPr="00BC5787">
        <w:fldChar w:fldCharType="end"/>
      </w:r>
      <w:r w:rsidRPr="00BC5787">
        <w:t xml:space="preserve"> above). The</w:t>
      </w:r>
      <w:r w:rsidRPr="00BC5787" w:rsidR="006D507A">
        <w:t> </w:t>
      </w:r>
      <w:r w:rsidRPr="00BC5787">
        <w:t>Court concludes that the impugned statements consisted of the expression of an opinion, therefore a value judgment.</w:t>
      </w:r>
    </w:p>
    <w:p w:rsidRPr="00BC5787" w:rsidR="00F16A32" w:rsidP="00BC5787" w14:paraId="08332E45" w14:textId="2AFE9083">
      <w:pPr>
        <w:pStyle w:val="JuPara"/>
      </w:pPr>
      <w:r>
        <w:fldChar w:fldCharType="begin"/>
      </w:r>
      <w:r>
        <w:instrText xml:space="preserve"> SEQ level0 \*arabic \* MERGEFORMAT </w:instrText>
      </w:r>
      <w:r>
        <w:fldChar w:fldCharType="separate"/>
      </w:r>
      <w:r w:rsidRPr="00BC5787" w:rsidR="00BC5787">
        <w:rPr>
          <w:noProof/>
        </w:rPr>
        <w:t>14</w:t>
      </w:r>
      <w:r w:rsidRPr="00BC5787" w:rsidR="00BC5787">
        <w:rPr>
          <w:noProof/>
        </w:rPr>
        <w:fldChar w:fldCharType="end"/>
      </w:r>
      <w:r w:rsidRPr="00BC5787">
        <w:t xml:space="preserve">.  Moreover, </w:t>
      </w:r>
      <w:r w:rsidRPr="00BC5787">
        <w:t>taking into account</w:t>
      </w:r>
      <w:r w:rsidRPr="00BC5787">
        <w:t xml:space="preserve"> the fact that the applicant made his statements in reaction to the implementation by the family court of supervised visits with his daughter in the context of family law proceedings, and considering the ironic tone used, the Court shares the applicant</w:t>
      </w:r>
      <w:r w:rsidRPr="00BC5787" w:rsidR="00BC5787">
        <w:t>’</w:t>
      </w:r>
      <w:r w:rsidRPr="00BC5787">
        <w:t>s view that the comments constituted a form of venting.</w:t>
      </w:r>
    </w:p>
    <w:p w:rsidRPr="00BC5787" w:rsidR="00F16A32" w:rsidP="00BC5787" w14:paraId="2E82B7A1" w14:textId="427B2319">
      <w:pPr>
        <w:pStyle w:val="JuPara"/>
      </w:pPr>
      <w:r>
        <w:fldChar w:fldCharType="begin"/>
      </w:r>
      <w:r>
        <w:instrText xml:space="preserve"> SEQ level0 \*arabic \* MERGEFORMAT </w:instrText>
      </w:r>
      <w:r>
        <w:fldChar w:fldCharType="separate"/>
      </w:r>
      <w:r w:rsidRPr="00BC5787" w:rsidR="00BC5787">
        <w:rPr>
          <w:noProof/>
        </w:rPr>
        <w:t>15</w:t>
      </w:r>
      <w:r w:rsidRPr="00BC5787" w:rsidR="00BC5787">
        <w:rPr>
          <w:noProof/>
        </w:rPr>
        <w:fldChar w:fldCharType="end"/>
      </w:r>
      <w:r w:rsidRPr="00BC5787">
        <w:t>.  There is nothing to suggest that the applicant was referring to the public prosecutor</w:t>
      </w:r>
      <w:r w:rsidRPr="00BC5787" w:rsidR="00BC5787">
        <w:t>’</w:t>
      </w:r>
      <w:r w:rsidRPr="00BC5787">
        <w:t>s personal integrity or ethics. On the contrary, it appears that he was referring exclusively to the professional aspect of the public prosecutor</w:t>
      </w:r>
      <w:r w:rsidRPr="00BC5787" w:rsidR="00BC5787">
        <w:t>’</w:t>
      </w:r>
      <w:r w:rsidRPr="00BC5787">
        <w:t xml:space="preserve">s performance and </w:t>
      </w:r>
      <w:r w:rsidRPr="00BC5787">
        <w:t>in particular to</w:t>
      </w:r>
      <w:r w:rsidRPr="00BC5787">
        <w:t xml:space="preserve"> his lack of action (see paragraph</w:t>
      </w:r>
      <w:r w:rsidRPr="00BC5787" w:rsidR="002079F9">
        <w:t> </w:t>
      </w:r>
      <w:r w:rsidRPr="00BC5787">
        <w:fldChar w:fldCharType="begin"/>
      </w:r>
      <w:r w:rsidRPr="00BC5787">
        <w:instrText xml:space="preserve"> REF paragraph00002 \h  \* CharFormat </w:instrText>
      </w:r>
      <w:r w:rsidRPr="00BC5787">
        <w:fldChar w:fldCharType="separate"/>
      </w:r>
      <w:r w:rsidRPr="00BC5787" w:rsidR="00BC5787">
        <w:t>2</w:t>
      </w:r>
      <w:r w:rsidRPr="00BC5787">
        <w:fldChar w:fldCharType="end"/>
      </w:r>
      <w:r w:rsidRPr="00BC5787">
        <w:t xml:space="preserve"> above). The Court notes that pursuant to Article 72 §§</w:t>
      </w:r>
      <w:r w:rsidRPr="00BC5787" w:rsidR="002079F9">
        <w:t> </w:t>
      </w:r>
      <w:r w:rsidRPr="00BC5787">
        <w:t>1 and 3 of Law no. 147/99 of 1 September 1999, public prosecutors represent children in the promotion and defence of their rights. With this function in mind, it appears that the applicant was criticising the public prosecutor</w:t>
      </w:r>
      <w:r w:rsidRPr="00BC5787" w:rsidR="00BC5787">
        <w:t>’</w:t>
      </w:r>
      <w:r w:rsidRPr="00BC5787">
        <w:t>s inertia in relation to his contact with his daughter which he considered to be his daughter</w:t>
      </w:r>
      <w:r w:rsidRPr="00BC5787" w:rsidR="00BC5787">
        <w:t>’</w:t>
      </w:r>
      <w:r w:rsidRPr="00BC5787">
        <w:t>s right and in her best interests.</w:t>
      </w:r>
    </w:p>
    <w:p w:rsidRPr="00BC5787" w:rsidR="00F16A32" w:rsidP="00BC5787" w14:paraId="67CB558E" w14:textId="0F817FB6">
      <w:pPr>
        <w:pStyle w:val="JuPara"/>
      </w:pPr>
      <w:r>
        <w:fldChar w:fldCharType="begin"/>
      </w:r>
      <w:r>
        <w:instrText xml:space="preserve"> SEQ level0 \*arabic \* MERGEFORMAT </w:instrText>
      </w:r>
      <w:r>
        <w:fldChar w:fldCharType="separate"/>
      </w:r>
      <w:r w:rsidRPr="00BC5787" w:rsidR="00BC5787">
        <w:rPr>
          <w:noProof/>
        </w:rPr>
        <w:t>16</w:t>
      </w:r>
      <w:r w:rsidRPr="00BC5787" w:rsidR="00BC5787">
        <w:rPr>
          <w:noProof/>
        </w:rPr>
        <w:fldChar w:fldCharType="end"/>
      </w:r>
      <w:r w:rsidRPr="00BC5787">
        <w:t>.  Regarding the way in which the applicant expressed himself (see</w:t>
      </w:r>
      <w:r w:rsidRPr="00BC5787" w:rsidR="00BC5787">
        <w:t xml:space="preserve"> </w:t>
      </w:r>
      <w:r w:rsidRPr="00BC5787">
        <w:t xml:space="preserve">paragraph </w:t>
      </w:r>
      <w:r w:rsidRPr="00BC5787">
        <w:fldChar w:fldCharType="begin"/>
      </w:r>
      <w:r w:rsidRPr="00BC5787">
        <w:instrText xml:space="preserve"> REF paragraph00002 \h  \* CharFormat </w:instrText>
      </w:r>
      <w:r w:rsidRPr="00BC5787">
        <w:fldChar w:fldCharType="separate"/>
      </w:r>
      <w:r w:rsidRPr="00BC5787" w:rsidR="00BC5787">
        <w:t>2</w:t>
      </w:r>
      <w:r w:rsidRPr="00BC5787">
        <w:fldChar w:fldCharType="end"/>
      </w:r>
      <w:r w:rsidRPr="00BC5787">
        <w:t xml:space="preserve"> above), the Court acknowledges that the applicant made use of vulgar language and the accusations at issue can be considered as serious.</w:t>
      </w:r>
    </w:p>
    <w:p w:rsidRPr="00BC5787" w:rsidR="00F16A32" w:rsidP="00BC5787" w14:paraId="7E9E2005" w14:textId="18254B6C">
      <w:pPr>
        <w:pStyle w:val="JuPara"/>
      </w:pPr>
      <w:r>
        <w:fldChar w:fldCharType="begin"/>
      </w:r>
      <w:r>
        <w:instrText xml:space="preserve"> SEQ level0 \*arabic \* MERGEFORMAT </w:instrText>
      </w:r>
      <w:r>
        <w:fldChar w:fldCharType="separate"/>
      </w:r>
      <w:r w:rsidRPr="00BC5787" w:rsidR="00BC5787">
        <w:rPr>
          <w:noProof/>
        </w:rPr>
        <w:t>17</w:t>
      </w:r>
      <w:r w:rsidRPr="00BC5787" w:rsidR="00BC5787">
        <w:rPr>
          <w:noProof/>
        </w:rPr>
        <w:fldChar w:fldCharType="end"/>
      </w:r>
      <w:r w:rsidRPr="00BC5787">
        <w:t xml:space="preserve">.  The Court reiterates that public prosecutors are civil servants whose task it is to contribute to the proper administration of justice. In that connection they form part of the judicial machinery in the broader sense of that term. There is no doubt that in </w:t>
      </w:r>
      <w:r w:rsidRPr="00BC5787">
        <w:t>a democratic society individuals</w:t>
      </w:r>
      <w:r w:rsidRPr="00BC5787">
        <w:t xml:space="preserve"> are entitled to comment on and to criticise the administration of justice and the officials involved in it (see </w:t>
      </w:r>
      <w:r w:rsidRPr="00BC5787">
        <w:rPr>
          <w:i/>
          <w:iCs/>
        </w:rPr>
        <w:t>Lešník</w:t>
      </w:r>
      <w:r w:rsidRPr="00BC5787">
        <w:t xml:space="preserve">, cited above, §§ 54-55). In other words, it also imposes on those officials a high degree of tolerance, albeit not identical to that expected of politicians (see </w:t>
      </w:r>
      <w:r w:rsidRPr="00BC5787">
        <w:rPr>
          <w:i/>
        </w:rPr>
        <w:t>Mamère</w:t>
      </w:r>
      <w:r w:rsidRPr="00BC5787">
        <w:rPr>
          <w:i/>
        </w:rPr>
        <w:t xml:space="preserve"> v. France</w:t>
      </w:r>
      <w:r w:rsidRPr="00BC5787">
        <w:t>, no. 12697/03, §</w:t>
      </w:r>
      <w:r w:rsidRPr="00BC5787" w:rsidR="002079F9">
        <w:t> </w:t>
      </w:r>
      <w:r w:rsidRPr="00BC5787">
        <w:t>27, ECHR 2006</w:t>
      </w:r>
      <w:r w:rsidRPr="00BC5787">
        <w:noBreakHyphen/>
        <w:t xml:space="preserve">XIII). Similarly, with reference to judges, the Court in </w:t>
      </w:r>
      <w:r w:rsidRPr="00BC5787">
        <w:rPr>
          <w:i/>
        </w:rPr>
        <w:t>Morice</w:t>
      </w:r>
      <w:r w:rsidRPr="00BC5787">
        <w:rPr>
          <w:i/>
        </w:rPr>
        <w:t xml:space="preserve"> </w:t>
      </w:r>
      <w:r w:rsidRPr="00BC5787">
        <w:rPr>
          <w:iCs/>
        </w:rPr>
        <w:t>(</w:t>
      </w:r>
      <w:r w:rsidRPr="00BC5787">
        <w:t xml:space="preserve">cited above, § 131) stated that, bearing in mind that they formed part of a fundamental institution of the State, they might as such be subject to personal criticism within the permissible limits, and not only in a theoretical and general manner (compare </w:t>
      </w:r>
      <w:r w:rsidRPr="00BC5787">
        <w:rPr>
          <w:i/>
          <w:iCs/>
        </w:rPr>
        <w:t>Gouveia Gomes Fernandes and Freitas e Costa</w:t>
      </w:r>
      <w:r w:rsidRPr="00BC5787">
        <w:t>, cited above).</w:t>
      </w:r>
    </w:p>
    <w:p w:rsidRPr="00BC5787" w:rsidR="00F16A32" w:rsidP="00BC5787" w14:paraId="133F4E30" w14:textId="1D6CD802">
      <w:pPr>
        <w:pStyle w:val="JuPara"/>
      </w:pPr>
      <w:r>
        <w:fldChar w:fldCharType="begin"/>
      </w:r>
      <w:r>
        <w:instrText xml:space="preserve"> SEQ level0 \*arabic \* MERGEFORMAT </w:instrText>
      </w:r>
      <w:r>
        <w:fldChar w:fldCharType="separate"/>
      </w:r>
      <w:r w:rsidRPr="00BC5787" w:rsidR="00BC5787">
        <w:rPr>
          <w:noProof/>
        </w:rPr>
        <w:t>18</w:t>
      </w:r>
      <w:r w:rsidRPr="00BC5787" w:rsidR="00BC5787">
        <w:rPr>
          <w:noProof/>
        </w:rPr>
        <w:fldChar w:fldCharType="end"/>
      </w:r>
      <w:r w:rsidRPr="00BC5787">
        <w:t>.  In addition, the impugned statements as a whole (see paragraph</w:t>
      </w:r>
      <w:r w:rsidRPr="00BC5787" w:rsidR="002079F9">
        <w:t> </w:t>
      </w:r>
      <w:r w:rsidRPr="00BC5787">
        <w:fldChar w:fldCharType="begin"/>
      </w:r>
      <w:r w:rsidRPr="00BC5787">
        <w:instrText xml:space="preserve"> REF paragraph00002 \h  \* CharFormat </w:instrText>
      </w:r>
      <w:r w:rsidRPr="00BC5787">
        <w:fldChar w:fldCharType="separate"/>
      </w:r>
      <w:r w:rsidRPr="00BC5787" w:rsidR="00BC5787">
        <w:t>2</w:t>
      </w:r>
      <w:r w:rsidRPr="00BC5787">
        <w:fldChar w:fldCharType="end"/>
      </w:r>
      <w:r w:rsidRPr="00BC5787">
        <w:t xml:space="preserve"> above) can be seen as a broader comment on the functioning of the judiciary, an area where a degree of hostility and potentially serious remarks can be accepted (see </w:t>
      </w:r>
      <w:r w:rsidRPr="00BC5787">
        <w:rPr>
          <w:i/>
        </w:rPr>
        <w:t>Bédat</w:t>
      </w:r>
      <w:r w:rsidRPr="00BC5787">
        <w:t xml:space="preserve"> </w:t>
      </w:r>
      <w:r w:rsidRPr="00BC5787">
        <w:rPr>
          <w:i/>
          <w:iCs/>
        </w:rPr>
        <w:t>v. Switzerland</w:t>
      </w:r>
      <w:r w:rsidRPr="00BC5787">
        <w:t xml:space="preserve"> [GC], no. 56925/08, § 49, 29 March 2016). In the Court</w:t>
      </w:r>
      <w:r w:rsidRPr="00BC5787" w:rsidR="00BC5787">
        <w:t>’</w:t>
      </w:r>
      <w:r w:rsidRPr="00BC5787">
        <w:t xml:space="preserve">s view, the domestic courts did not sufficiently explain how the applicant had gone beyond his right to criticism and why his right to express his opinion should have been limited (see, in this respect, </w:t>
      </w:r>
      <w:r w:rsidRPr="00BC5787">
        <w:rPr>
          <w:i/>
        </w:rPr>
        <w:t>Morice</w:t>
      </w:r>
      <w:r w:rsidRPr="00BC5787">
        <w:rPr>
          <w:iCs/>
        </w:rPr>
        <w:t>, cited above, §</w:t>
      </w:r>
      <w:r w:rsidRPr="00BC5787" w:rsidR="002079F9">
        <w:rPr>
          <w:iCs/>
        </w:rPr>
        <w:t> </w:t>
      </w:r>
      <w:r w:rsidRPr="00BC5787">
        <w:rPr>
          <w:iCs/>
        </w:rPr>
        <w:t xml:space="preserve">131, and compare </w:t>
      </w:r>
      <w:r w:rsidRPr="00BC5787">
        <w:rPr>
          <w:i/>
          <w:iCs/>
        </w:rPr>
        <w:t xml:space="preserve">Gouveia Gomes Fernandes and Freitas e Costa, </w:t>
      </w:r>
      <w:r w:rsidRPr="00BC5787">
        <w:t>cited above, § 52).</w:t>
      </w:r>
    </w:p>
    <w:p w:rsidRPr="00BC5787" w:rsidR="00F16A32" w:rsidP="00BC5787" w14:paraId="7EA75057" w14:textId="7A50D958">
      <w:pPr>
        <w:pStyle w:val="JuPara"/>
      </w:pPr>
      <w:r>
        <w:fldChar w:fldCharType="begin"/>
      </w:r>
      <w:r>
        <w:instrText xml:space="preserve"> SEQ level0 \*arabic \* MERGEFORMAT </w:instrText>
      </w:r>
      <w:r>
        <w:fldChar w:fldCharType="separate"/>
      </w:r>
      <w:r w:rsidRPr="00BC5787" w:rsidR="00BC5787">
        <w:rPr>
          <w:noProof/>
        </w:rPr>
        <w:t>19</w:t>
      </w:r>
      <w:r w:rsidRPr="00BC5787" w:rsidR="00BC5787">
        <w:rPr>
          <w:noProof/>
        </w:rPr>
        <w:fldChar w:fldCharType="end"/>
      </w:r>
      <w:r w:rsidRPr="00BC5787">
        <w:t xml:space="preserve">.  Finally, as to the assessment of the nature and severity of the sanctions imposed on the applicant, the Court notes that he was convicted of aggravated defamation and sentenced to a fine of EUR 1,600 (see paragraph </w:t>
      </w:r>
      <w:r w:rsidRPr="00BC5787">
        <w:fldChar w:fldCharType="begin"/>
      </w:r>
      <w:r w:rsidRPr="00BC5787">
        <w:instrText xml:space="preserve"> REF paragraph00004 \h  \* CharFormat </w:instrText>
      </w:r>
      <w:r w:rsidRPr="00BC5787">
        <w:fldChar w:fldCharType="separate"/>
      </w:r>
      <w:r w:rsidRPr="00BC5787" w:rsidR="00BC5787">
        <w:t>4</w:t>
      </w:r>
      <w:r w:rsidRPr="00BC5787">
        <w:fldChar w:fldCharType="end"/>
      </w:r>
      <w:r w:rsidRPr="00BC5787">
        <w:t xml:space="preserve"> above) which appears manifestly disproportionate, especially as the Civil Code provides for a specific remedy in respect of the protection of a person</w:t>
      </w:r>
      <w:r w:rsidRPr="00BC5787" w:rsidR="00BC5787">
        <w:t>’</w:t>
      </w:r>
      <w:r w:rsidRPr="00BC5787">
        <w:t xml:space="preserve">s honour and reputation (compare </w:t>
      </w:r>
      <w:r w:rsidRPr="00BC5787">
        <w:rPr>
          <w:i/>
        </w:rPr>
        <w:t xml:space="preserve">Amorim </w:t>
      </w:r>
      <w:r w:rsidRPr="00BC5787">
        <w:rPr>
          <w:i/>
        </w:rPr>
        <w:t>Giestas</w:t>
      </w:r>
      <w:r w:rsidRPr="00BC5787">
        <w:rPr>
          <w:i/>
        </w:rPr>
        <w:t xml:space="preserve"> and Jesus Costa </w:t>
      </w:r>
      <w:r w:rsidRPr="00BC5787">
        <w:rPr>
          <w:i/>
        </w:rPr>
        <w:t>Bordalo</w:t>
      </w:r>
      <w:r w:rsidRPr="00BC5787">
        <w:t xml:space="preserve"> </w:t>
      </w:r>
      <w:r w:rsidRPr="00BC5787">
        <w:rPr>
          <w:i/>
        </w:rPr>
        <w:t>v. Portugal</w:t>
      </w:r>
      <w:r w:rsidRPr="00BC5787">
        <w:t>, no. 37840/10, § 36, 3 April 2014).</w:t>
      </w:r>
    </w:p>
    <w:p w:rsidRPr="00BC5787" w:rsidR="00F16A32" w:rsidP="00BC5787" w14:paraId="73C20FB1" w14:textId="4DCF7BB3">
      <w:pPr>
        <w:pStyle w:val="JuPara"/>
        <w:rPr>
          <w:rStyle w:val="JuParaChar"/>
        </w:rPr>
      </w:pPr>
      <w:r>
        <w:fldChar w:fldCharType="begin"/>
      </w:r>
      <w:r>
        <w:instrText xml:space="preserve"> SEQ level0 \*arabic \* MERGEFORMAT </w:instrText>
      </w:r>
      <w:r>
        <w:fldChar w:fldCharType="separate"/>
      </w:r>
      <w:r w:rsidRPr="00BC5787" w:rsidR="00BC5787">
        <w:rPr>
          <w:noProof/>
        </w:rPr>
        <w:t>20</w:t>
      </w:r>
      <w:r w:rsidRPr="00BC5787" w:rsidR="00BC5787">
        <w:rPr>
          <w:noProof/>
        </w:rPr>
        <w:fldChar w:fldCharType="end"/>
      </w:r>
      <w:r w:rsidRPr="00BC5787">
        <w:t>.  </w:t>
      </w:r>
      <w:r w:rsidRPr="00BC5787">
        <w:rPr>
          <w:rStyle w:val="JuParaChar"/>
        </w:rPr>
        <w:t>Having regard to the foregoing, and notwithstanding the respondent State</w:t>
      </w:r>
      <w:r w:rsidRPr="00BC5787" w:rsidR="00BC5787">
        <w:rPr>
          <w:rStyle w:val="JuParaChar"/>
        </w:rPr>
        <w:t>’</w:t>
      </w:r>
      <w:r w:rsidRPr="00BC5787">
        <w:rPr>
          <w:rStyle w:val="JuParaChar"/>
        </w:rPr>
        <w:t xml:space="preserve">s margin of appreciation in such matters (see </w:t>
      </w:r>
      <w:r w:rsidRPr="00BC5787">
        <w:rPr>
          <w:rStyle w:val="JuParaChar"/>
          <w:i/>
          <w:iCs/>
        </w:rPr>
        <w:t>Aksu v. Turkey</w:t>
      </w:r>
      <w:r w:rsidRPr="00BC5787">
        <w:rPr>
          <w:rStyle w:val="JuParaChar"/>
        </w:rPr>
        <w:t xml:space="preserve"> [GC], nos. 4149/04 and 41029/04, § 67, ECHR 2012), the Court concludes that the applicant</w:t>
      </w:r>
      <w:r w:rsidRPr="00BC5787" w:rsidR="00BC5787">
        <w:rPr>
          <w:rStyle w:val="JuParaChar"/>
        </w:rPr>
        <w:t>’</w:t>
      </w:r>
      <w:r w:rsidRPr="00BC5787">
        <w:rPr>
          <w:rStyle w:val="JuParaChar"/>
        </w:rPr>
        <w:t>s criminal conviction cannot be regarded as proportionate in the light of the legitimate aim pursued, and it was thus not necessary in a democratic society.</w:t>
      </w:r>
    </w:p>
    <w:p w:rsidRPr="00BC5787" w:rsidR="00F16A32" w:rsidP="00BC5787" w14:paraId="76E0DD54" w14:textId="68E6D1AC">
      <w:pPr>
        <w:pStyle w:val="JuPara"/>
      </w:pPr>
      <w:r w:rsidRPr="00BC5787">
        <w:fldChar w:fldCharType="begin"/>
      </w:r>
      <w:r w:rsidRPr="00BC5787">
        <w:instrText xml:space="preserve"> SEQ level0 \*arabic </w:instrText>
      </w:r>
      <w:r w:rsidRPr="00BC5787">
        <w:fldChar w:fldCharType="separate"/>
      </w:r>
      <w:r w:rsidRPr="00BC5787" w:rsidR="00BC5787">
        <w:rPr>
          <w:noProof/>
        </w:rPr>
        <w:t>21</w:t>
      </w:r>
      <w:r w:rsidRPr="00BC5787">
        <w:fldChar w:fldCharType="end"/>
      </w:r>
      <w:r w:rsidRPr="00BC5787">
        <w:t>.  There has accordingly been a violation of Article 10 of the Convention.</w:t>
      </w:r>
    </w:p>
    <w:p w:rsidRPr="00BC5787" w:rsidR="00F16A32" w:rsidP="00BC5787" w14:paraId="2B97CC3D" w14:textId="77777777">
      <w:pPr>
        <w:pStyle w:val="JuHHead"/>
      </w:pPr>
      <w:r w:rsidRPr="00BC5787">
        <w:rPr>
          <w:caps w:val="0"/>
        </w:rPr>
        <w:t>APPLICATION OF ARTICLE 41 OF THE CONVENTION</w:t>
      </w:r>
    </w:p>
    <w:p w:rsidRPr="00BC5787" w:rsidR="00F16A32" w:rsidP="00BC5787" w14:paraId="79830936" w14:textId="17083BCA">
      <w:pPr>
        <w:pStyle w:val="JuPara"/>
      </w:pPr>
      <w:r w:rsidRPr="00BC5787">
        <w:fldChar w:fldCharType="begin"/>
      </w:r>
      <w:r w:rsidRPr="00BC5787">
        <w:instrText xml:space="preserve"> SEQ level0 \*arabic </w:instrText>
      </w:r>
      <w:r w:rsidRPr="00BC5787">
        <w:fldChar w:fldCharType="separate"/>
      </w:r>
      <w:r w:rsidRPr="00BC5787" w:rsidR="00BC5787">
        <w:rPr>
          <w:noProof/>
        </w:rPr>
        <w:t>22</w:t>
      </w:r>
      <w:r w:rsidRPr="00BC5787">
        <w:fldChar w:fldCharType="end"/>
      </w:r>
      <w:r w:rsidRPr="00BC5787">
        <w:t>.  The applicant claimed 1,600 euros (EUR) in respect of pecuniary damage corresponding to the fine paid following the criminal proceedings at issue. He further claimed EUR 10,000 for non-pecuniary damage sustained. As regards costs and expenses, he claimed EUR 16,484.15</w:t>
      </w:r>
      <w:r w:rsidRPr="00BC5787">
        <w:rPr>
          <w:b/>
          <w:bCs/>
        </w:rPr>
        <w:t xml:space="preserve"> </w:t>
      </w:r>
      <w:r w:rsidRPr="00BC5787">
        <w:t>in respect of those incurred before the domestic courts and EUR 6,150 for those incurred before the Court.</w:t>
      </w:r>
    </w:p>
    <w:p w:rsidRPr="00BC5787" w:rsidR="00F16A32" w:rsidP="00BC5787" w14:paraId="330560A4" w14:textId="7E89EBE4">
      <w:pPr>
        <w:pStyle w:val="JuPara"/>
      </w:pPr>
      <w:r w:rsidRPr="00BC5787">
        <w:fldChar w:fldCharType="begin"/>
      </w:r>
      <w:r w:rsidRPr="00BC5787">
        <w:instrText xml:space="preserve"> SEQ level0 \*arabic </w:instrText>
      </w:r>
      <w:r w:rsidRPr="00BC5787">
        <w:fldChar w:fldCharType="separate"/>
      </w:r>
      <w:r w:rsidRPr="00BC5787" w:rsidR="00BC5787">
        <w:rPr>
          <w:noProof/>
        </w:rPr>
        <w:t>23</w:t>
      </w:r>
      <w:r w:rsidRPr="00BC5787">
        <w:fldChar w:fldCharType="end"/>
      </w:r>
      <w:r w:rsidRPr="00BC5787">
        <w:t>.  The Government considered those amounts exaggerated and invited the Court to apply its case-law regarding costs and expenses.</w:t>
      </w:r>
    </w:p>
    <w:p w:rsidRPr="00BC5787" w:rsidR="00F16A32" w:rsidP="00BC5787" w14:paraId="70594F83" w14:textId="6E892CCF">
      <w:pPr>
        <w:pStyle w:val="JuPara"/>
      </w:pPr>
      <w:r w:rsidRPr="00BC5787">
        <w:fldChar w:fldCharType="begin"/>
      </w:r>
      <w:r w:rsidRPr="00BC5787">
        <w:instrText xml:space="preserve"> SEQ level0 \*arabic </w:instrText>
      </w:r>
      <w:r w:rsidRPr="00BC5787">
        <w:fldChar w:fldCharType="separate"/>
      </w:r>
      <w:r w:rsidRPr="00BC5787" w:rsidR="00BC5787">
        <w:rPr>
          <w:noProof/>
        </w:rPr>
        <w:t>24</w:t>
      </w:r>
      <w:r w:rsidRPr="00BC5787">
        <w:fldChar w:fldCharType="end"/>
      </w:r>
      <w:r w:rsidRPr="00BC5787">
        <w:t>.  The Court notes that there is a causal link between the domestic court ruling and the amount claimed in respect of pecuniary damage. It thus awards EUR</w:t>
      </w:r>
      <w:r w:rsidRPr="00BC5787" w:rsidR="002079F9">
        <w:t> </w:t>
      </w:r>
      <w:r w:rsidRPr="00BC5787">
        <w:t>1,600 to the applicant, corresponding to the fine paid. Regarding non-pecuniary damage, the Court considers that the finding of a violation constitutes sufficient just satisfaction.</w:t>
      </w:r>
    </w:p>
    <w:p w:rsidRPr="00BC5787" w:rsidR="00F16A32" w:rsidP="00BC5787" w14:paraId="2D4C4FEC" w14:textId="5103070A">
      <w:pPr>
        <w:pStyle w:val="JuPara"/>
      </w:pPr>
      <w:r w:rsidRPr="00BC5787">
        <w:fldChar w:fldCharType="begin"/>
      </w:r>
      <w:r w:rsidRPr="00BC5787">
        <w:instrText xml:space="preserve"> SEQ level0 \*arabic </w:instrText>
      </w:r>
      <w:r w:rsidRPr="00BC5787">
        <w:fldChar w:fldCharType="separate"/>
      </w:r>
      <w:r w:rsidRPr="00BC5787" w:rsidR="00BC5787">
        <w:rPr>
          <w:noProof/>
        </w:rPr>
        <w:t>25</w:t>
      </w:r>
      <w:r w:rsidRPr="00BC5787">
        <w:fldChar w:fldCharType="end"/>
      </w:r>
      <w:r w:rsidRPr="00BC5787">
        <w:t>.  Having regard to the documents in its possession, the Court considers it reasonable to award 17,096.15 EUR covering costs under all heads, plus any tax that may be chargeable to the applicant.</w:t>
      </w:r>
    </w:p>
    <w:p w:rsidRPr="00BC5787" w:rsidR="00F16A32" w:rsidP="00BC5787" w14:paraId="7BF6DC1B" w14:textId="343B93A9">
      <w:pPr>
        <w:pStyle w:val="JuHHead"/>
      </w:pPr>
      <w:r w:rsidRPr="00BC5787">
        <w:t>FOR THESE REASONS, THE COURT, UNANIMOUSLY,</w:t>
      </w:r>
    </w:p>
    <w:p w:rsidRPr="00BC5787" w:rsidR="00F16A32" w:rsidP="00BC5787" w14:paraId="4866F22B" w14:textId="77777777">
      <w:pPr>
        <w:pStyle w:val="JuList"/>
      </w:pPr>
      <w:r w:rsidRPr="00BC5787">
        <w:rPr>
          <w:i/>
        </w:rPr>
        <w:t>Declares</w:t>
      </w:r>
      <w:r w:rsidRPr="00BC5787">
        <w:t xml:space="preserve"> the application </w:t>
      </w:r>
      <w:r w:rsidRPr="00BC5787">
        <w:t>admissible;</w:t>
      </w:r>
    </w:p>
    <w:p w:rsidRPr="00BC5787" w:rsidR="00F16A32" w:rsidP="00BC5787" w14:paraId="306526ED" w14:textId="77777777">
      <w:pPr>
        <w:pStyle w:val="JuList"/>
      </w:pPr>
      <w:r w:rsidRPr="00BC5787">
        <w:rPr>
          <w:i/>
        </w:rPr>
        <w:t>Holds</w:t>
      </w:r>
      <w:r w:rsidRPr="00BC5787">
        <w:t xml:space="preserve"> that there has been a violation of Article 10 of the </w:t>
      </w:r>
      <w:r w:rsidRPr="00BC5787">
        <w:t>Convention;</w:t>
      </w:r>
    </w:p>
    <w:p w:rsidRPr="00BC5787" w:rsidR="00F16A32" w:rsidP="00BC5787" w14:paraId="33931AA1" w14:textId="77777777">
      <w:pPr>
        <w:pStyle w:val="JuList"/>
      </w:pPr>
      <w:r w:rsidRPr="00BC5787">
        <w:rPr>
          <w:i/>
        </w:rPr>
        <w:t>Holds</w:t>
      </w:r>
      <w:r w:rsidRPr="00BC5787">
        <w:rPr>
          <w:color w:val="000000"/>
        </w:rPr>
        <w:t xml:space="preserve"> </w:t>
      </w:r>
      <w:r w:rsidRPr="00BC5787">
        <w:t xml:space="preserve">that the finding of a violation constitutes in itself sufficient just satisfaction for any non-pecuniary damage sustained by the </w:t>
      </w:r>
      <w:r w:rsidRPr="00BC5787">
        <w:t>applicant;</w:t>
      </w:r>
    </w:p>
    <w:p w:rsidRPr="00BC5787" w:rsidR="00F16A32" w:rsidP="00BC5787" w14:paraId="2D7165BC" w14:textId="77777777">
      <w:pPr>
        <w:pStyle w:val="JuList"/>
      </w:pPr>
      <w:r w:rsidRPr="00BC5787">
        <w:rPr>
          <w:i/>
          <w:iCs/>
        </w:rPr>
        <w:t>Holds</w:t>
      </w:r>
    </w:p>
    <w:p w:rsidRPr="00BC5787" w:rsidR="00F16A32" w:rsidP="00BC5787" w14:paraId="7258AF91" w14:textId="77777777">
      <w:pPr>
        <w:pStyle w:val="JuLista"/>
        <w:numPr>
          <w:ilvl w:val="1"/>
          <w:numId w:val="5"/>
        </w:numPr>
      </w:pPr>
      <w:r w:rsidRPr="00BC5787">
        <w:t>that the respondent State is to pay the applicant, within three months, the following amounts:</w:t>
      </w:r>
    </w:p>
    <w:p w:rsidRPr="00BC5787" w:rsidR="00F16A32" w:rsidP="00BC5787" w14:paraId="4F543873" w14:textId="77777777">
      <w:pPr>
        <w:pStyle w:val="JuListi"/>
        <w:numPr>
          <w:ilvl w:val="2"/>
          <w:numId w:val="5"/>
        </w:numPr>
      </w:pPr>
      <w:r w:rsidRPr="00BC5787">
        <w:t xml:space="preserve">EUR 1,600 (one thousand six hundred euros), plus any tax that may be chargeable, in respect of pecuniary </w:t>
      </w:r>
      <w:r w:rsidRPr="00BC5787">
        <w:t>damage;</w:t>
      </w:r>
    </w:p>
    <w:p w:rsidRPr="00BC5787" w:rsidR="00F16A32" w:rsidP="00BC5787" w14:paraId="6D066778" w14:textId="77777777">
      <w:pPr>
        <w:pStyle w:val="JuListi"/>
        <w:numPr>
          <w:ilvl w:val="2"/>
          <w:numId w:val="5"/>
        </w:numPr>
      </w:pPr>
      <w:r w:rsidRPr="00BC5787">
        <w:t xml:space="preserve">EUR 17,096.15 (seventeen thousand, ninety-six euros and fifteen cents), plus any tax that may be chargeable to the applicant, in respect of costs and </w:t>
      </w:r>
      <w:r w:rsidRPr="00BC5787">
        <w:t>expenses;</w:t>
      </w:r>
    </w:p>
    <w:p w:rsidRPr="00BC5787" w:rsidR="00F16A32" w:rsidP="00BC5787" w14:paraId="29BC62AD" w14:textId="77777777">
      <w:pPr>
        <w:pStyle w:val="JuLista"/>
        <w:numPr>
          <w:ilvl w:val="1"/>
          <w:numId w:val="5"/>
        </w:numPr>
      </w:pPr>
      <w:r w:rsidRPr="00BC5787">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BC5787">
        <w:t>points;</w:t>
      </w:r>
    </w:p>
    <w:p w:rsidRPr="00BC5787" w:rsidR="004D0EC7" w:rsidP="00BC5787" w14:paraId="3B2258E5" w14:textId="688831CA">
      <w:pPr>
        <w:pStyle w:val="JuList"/>
      </w:pPr>
      <w:r w:rsidRPr="00BC5787">
        <w:rPr>
          <w:i/>
        </w:rPr>
        <w:t xml:space="preserve">Dismisses </w:t>
      </w:r>
      <w:r w:rsidRPr="00BC5787">
        <w:t>the remainder of the applicant</w:t>
      </w:r>
      <w:r w:rsidRPr="00BC5787" w:rsidR="00BC5787">
        <w:t>’</w:t>
      </w:r>
      <w:r w:rsidRPr="00BC5787">
        <w:t>s claim for just satisfaction.</w:t>
      </w:r>
    </w:p>
    <w:p w:rsidRPr="00BC5787" w:rsidR="008E3A08" w:rsidP="00BC5787" w14:paraId="2FB91F10" w14:textId="7192D584">
      <w:pPr>
        <w:pStyle w:val="JuParaLast"/>
      </w:pPr>
      <w:r w:rsidRPr="00BC5787">
        <w:t xml:space="preserve">Done in English, and notified in writing on </w:t>
      </w:r>
      <w:r w:rsidRPr="00BC5787" w:rsidR="00F16A32">
        <w:rPr>
          <w:rFonts w:ascii="Times New Roman" w:hAnsi="Times New Roman" w:cs="Times New Roman"/>
        </w:rPr>
        <w:t>16 January 2024</w:t>
      </w:r>
      <w:r w:rsidRPr="00BC5787">
        <w:t>, pursuant to Rule 77 §§ 2 and 3 of the Rules of Court.</w:t>
      </w:r>
    </w:p>
    <w:p w:rsidRPr="00BC5787" w:rsidR="00182EBA" w:rsidP="00BC5787" w14:paraId="1943723C" w14:textId="3723123B">
      <w:pPr>
        <w:pStyle w:val="JuSigned"/>
      </w:pPr>
      <w:r w:rsidRPr="00BC5787">
        <w:tab/>
      </w:r>
      <w:r w:rsidRPr="00BC5787" w:rsidR="00D5362C">
        <w:rPr>
          <w:noProof/>
        </w:rPr>
        <w:t>Crina Kaufman</w:t>
      </w:r>
      <w:r w:rsidRPr="00BC5787">
        <w:tab/>
      </w:r>
      <w:r w:rsidRPr="00BC5787" w:rsidR="00F16A32">
        <w:rPr>
          <w:noProof/>
        </w:rPr>
        <w:t>Tim Eicke</w:t>
      </w:r>
      <w:r w:rsidRPr="00BC5787">
        <w:br/>
      </w:r>
      <w:r w:rsidRPr="00BC5787">
        <w:tab/>
      </w:r>
      <w:r w:rsidRPr="00BC5787" w:rsidR="00D5362C">
        <w:rPr>
          <w:noProof/>
        </w:rPr>
        <w:t>Acting Deputy Registrar</w:t>
      </w:r>
      <w:r w:rsidRPr="00BC5787">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6A32" w:rsidRPr="00150BFA" w:rsidP="0020718E" w14:paraId="45FDBA03" w14:textId="7051F068">
    <w:pPr>
      <w:jc w:val="center"/>
    </w:pPr>
    <w:r>
      <w:rPr>
        <w:noProof/>
        <w:lang w:val="en-US"/>
      </w:rPr>
      <w:drawing>
        <wp:inline distT="0" distB="0" distL="0" distR="0">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F16A32" w:rsidP="00AF12C5" w14:paraId="337B1ECF" w14:textId="06972ACF">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6A32" w:rsidRPr="00150BFA" w:rsidP="0020718E" w14:paraId="26230084" w14:textId="0B5673A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F16A32" w:rsidP="009E7A6F" w14:paraId="58813410" w14:textId="70DA8CBF">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29707C5A" w14:textId="078EC84E">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72E9EF3E" w14:textId="36710D5F">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6A32" w:rsidRPr="00A45145" w:rsidP="00A45145" w14:paraId="49BCB4E3" w14:textId="74478DA6">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16A32" w:rsidP="00B14793" w14:paraId="2F0CAC1A" w14:textId="67B3B58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6A32" w:rsidRPr="00A45145" w:rsidP="00A45145" w14:paraId="08AE327D" w14:textId="2F4D7488">
    <w:pPr>
      <w:jc w:val="center"/>
    </w:pPr>
    <w:r>
      <w:rPr>
        <w:noProof/>
        <w:lang w:val="en-US"/>
      </w:rPr>
      <w:drawing>
        <wp:inline distT="0" distB="0" distL="0" distR="0">
          <wp:extent cx="2962275" cy="1219200"/>
          <wp:effectExtent l="0" t="0" r="9525" b="0"/>
          <wp:docPr id="39" name="Picture 39"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F16A32" w14:paraId="0839B9D0" w14:textId="424A167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7E927145" w14:textId="60A3E74D">
    <w:pPr>
      <w:pStyle w:val="JuHeader"/>
    </w:pPr>
    <w:r>
      <w:t>VEIGA CARDOSO v. PORTUGAL</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368780F4" w14:textId="78F510A6">
    <w:pPr>
      <w:pStyle w:val="JuHeader"/>
    </w:pPr>
    <w:r>
      <w:t>VEIGA CARDOSO v. PORTUGAL</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1878196408">
    <w:abstractNumId w:val="14"/>
  </w:num>
  <w:num w:numId="2" w16cid:durableId="754978352">
    <w:abstractNumId w:val="12"/>
  </w:num>
  <w:num w:numId="3" w16cid:durableId="1794904661">
    <w:abstractNumId w:val="11"/>
  </w:num>
  <w:num w:numId="4" w16cid:durableId="196163834">
    <w:abstractNumId w:val="15"/>
  </w:num>
  <w:num w:numId="5" w16cid:durableId="1751272099">
    <w:abstractNumId w:val="13"/>
  </w:num>
  <w:num w:numId="6" w16cid:durableId="1642692146">
    <w:abstractNumId w:val="16"/>
  </w:num>
  <w:num w:numId="7" w16cid:durableId="434135136">
    <w:abstractNumId w:val="15"/>
  </w:num>
  <w:num w:numId="8" w16cid:durableId="578097284">
    <w:abstractNumId w:val="16"/>
  </w:num>
  <w:num w:numId="9" w16cid:durableId="1183782018">
    <w:abstractNumId w:val="10"/>
  </w:num>
  <w:num w:numId="10" w16cid:durableId="1201867154">
    <w:abstractNumId w:val="9"/>
  </w:num>
  <w:num w:numId="11" w16cid:durableId="468593734">
    <w:abstractNumId w:val="17"/>
  </w:num>
  <w:num w:numId="12" w16cid:durableId="1467626488">
    <w:abstractNumId w:val="7"/>
  </w:num>
  <w:num w:numId="13" w16cid:durableId="736516085">
    <w:abstractNumId w:val="6"/>
  </w:num>
  <w:num w:numId="14" w16cid:durableId="1900626135">
    <w:abstractNumId w:val="5"/>
  </w:num>
  <w:num w:numId="15" w16cid:durableId="180165164">
    <w:abstractNumId w:val="4"/>
  </w:num>
  <w:num w:numId="16" w16cid:durableId="287588751">
    <w:abstractNumId w:val="8"/>
  </w:num>
  <w:num w:numId="17" w16cid:durableId="1293171956">
    <w:abstractNumId w:val="3"/>
  </w:num>
  <w:num w:numId="18" w16cid:durableId="1010371988">
    <w:abstractNumId w:val="2"/>
  </w:num>
  <w:num w:numId="19" w16cid:durableId="2002387366">
    <w:abstractNumId w:val="1"/>
  </w:num>
  <w:num w:numId="20" w16cid:durableId="324631445">
    <w:abstractNumId w:val="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6A32"/>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079F9"/>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150"/>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D507A"/>
    <w:rsid w:val="006E2E37"/>
    <w:rsid w:val="006E3CF1"/>
    <w:rsid w:val="006E3FD9"/>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56A7"/>
    <w:rsid w:val="00BC578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362C"/>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0858"/>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32"/>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AppNatAutre" w:val="0"/>
    <w:docVar w:name="DocVarPREMATURE" w:val="0"/>
    <w:docVar w:name="EMM" w:val="0"/>
    <w:docVar w:name="ETRANSMISSION" w:val="BY E-TRANSMISSION ONLY"/>
    <w:docVar w:name="L4_1Annex" w:val="0"/>
    <w:docVar w:name="L4_1Anonymity" w:val="0"/>
    <w:docVar w:name="NBEMMDOC" w:val="0"/>
    <w:docVar w:name="Plural" w:val="0"/>
    <w:docVar w:name="SignForeName" w:val="0"/>
    <w:docVar w:name="SndCaseNumber" w:val="Error!Nodocumentvariablesupplied."/>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69E32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2B5B43"/>
    <w:rPr>
      <w:sz w:val="24"/>
      <w:szCs w:val="24"/>
      <w:lang w:val="en-GB"/>
    </w:rPr>
  </w:style>
  <w:style w:type="paragraph" w:styleId="Heading1">
    <w:name w:val="heading 1"/>
    <w:basedOn w:val="Normal"/>
    <w:next w:val="Normal"/>
    <w:link w:val="Heading1Char"/>
    <w:uiPriority w:val="98"/>
    <w:semiHidden/>
    <w:rsid w:val="002B5B43"/>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5B43"/>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5B43"/>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5B43"/>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5B43"/>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5B43"/>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5B43"/>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5B43"/>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5B43"/>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5B43"/>
    <w:rPr>
      <w:rFonts w:ascii="Tahoma" w:hAnsi="Tahoma" w:cs="Tahoma"/>
      <w:sz w:val="16"/>
      <w:szCs w:val="16"/>
    </w:rPr>
  </w:style>
  <w:style w:type="character" w:customStyle="1" w:styleId="BalloonTextChar">
    <w:name w:val="Balloon Text Char"/>
    <w:basedOn w:val="DefaultParagraphFont"/>
    <w:link w:val="BalloonText"/>
    <w:uiPriority w:val="98"/>
    <w:semiHidden/>
    <w:rsid w:val="002B5B43"/>
    <w:rPr>
      <w:rFonts w:ascii="Tahoma" w:hAnsi="Tahoma" w:cs="Tahoma"/>
      <w:sz w:val="16"/>
      <w:szCs w:val="16"/>
      <w:lang w:val="en-GB"/>
    </w:rPr>
  </w:style>
  <w:style w:type="character" w:styleId="BookTitle">
    <w:name w:val="Book Title"/>
    <w:uiPriority w:val="98"/>
    <w:semiHidden/>
    <w:qFormat/>
    <w:rsid w:val="002B5B43"/>
    <w:rPr>
      <w:i/>
      <w:iCs/>
      <w:smallCaps/>
      <w:spacing w:val="5"/>
    </w:rPr>
  </w:style>
  <w:style w:type="paragraph" w:customStyle="1" w:styleId="JuHeader">
    <w:name w:val="Ju_Header"/>
    <w:aliases w:val="_Header"/>
    <w:basedOn w:val="Header0"/>
    <w:uiPriority w:val="29"/>
    <w:qFormat/>
    <w:rsid w:val="002B5B43"/>
    <w:pPr>
      <w:tabs>
        <w:tab w:val="clear" w:pos="4536"/>
        <w:tab w:val="clear" w:pos="9072"/>
      </w:tabs>
      <w:jc w:val="center"/>
    </w:pPr>
    <w:rPr>
      <w:sz w:val="18"/>
    </w:rPr>
  </w:style>
  <w:style w:type="paragraph" w:customStyle="1" w:styleId="NormalJustified">
    <w:name w:val="Normal_Justified"/>
    <w:basedOn w:val="Normal"/>
    <w:semiHidden/>
    <w:rsid w:val="002B5B43"/>
    <w:pPr>
      <w:jc w:val="both"/>
    </w:pPr>
  </w:style>
  <w:style w:type="character" w:styleId="Strong">
    <w:name w:val="Strong"/>
    <w:uiPriority w:val="98"/>
    <w:semiHidden/>
    <w:qFormat/>
    <w:rsid w:val="002B5B43"/>
    <w:rPr>
      <w:b/>
      <w:bCs/>
    </w:rPr>
  </w:style>
  <w:style w:type="paragraph" w:styleId="NoSpacing">
    <w:name w:val="No Spacing"/>
    <w:basedOn w:val="Normal"/>
    <w:link w:val="NoSpacingChar"/>
    <w:uiPriority w:val="98"/>
    <w:semiHidden/>
    <w:qFormat/>
    <w:rsid w:val="002B5B43"/>
  </w:style>
  <w:style w:type="character" w:customStyle="1" w:styleId="NoSpacingChar">
    <w:name w:val="No Spacing Char"/>
    <w:basedOn w:val="DefaultParagraphFont"/>
    <w:link w:val="NoSpacing"/>
    <w:uiPriority w:val="98"/>
    <w:semiHidden/>
    <w:rsid w:val="002B5B43"/>
    <w:rPr>
      <w:sz w:val="24"/>
      <w:szCs w:val="24"/>
      <w:lang w:val="en-GB"/>
    </w:rPr>
  </w:style>
  <w:style w:type="paragraph" w:customStyle="1" w:styleId="JuQuot">
    <w:name w:val="Ju_Quot"/>
    <w:aliases w:val="_Quote"/>
    <w:basedOn w:val="NormalJustified"/>
    <w:uiPriority w:val="20"/>
    <w:qFormat/>
    <w:rsid w:val="002B5B43"/>
    <w:pPr>
      <w:spacing w:before="120" w:after="120"/>
      <w:ind w:left="425" w:firstLine="142"/>
    </w:pPr>
    <w:rPr>
      <w:sz w:val="20"/>
    </w:rPr>
  </w:style>
  <w:style w:type="paragraph" w:customStyle="1" w:styleId="DummyStyle">
    <w:name w:val="Dummy_Style"/>
    <w:aliases w:val="_Dummy"/>
    <w:basedOn w:val="Normal"/>
    <w:semiHidden/>
    <w:qFormat/>
    <w:rsid w:val="002B5B43"/>
    <w:rPr>
      <w:color w:val="00B050"/>
      <w:sz w:val="22"/>
    </w:rPr>
  </w:style>
  <w:style w:type="paragraph" w:customStyle="1" w:styleId="JuList">
    <w:name w:val="Ju_List"/>
    <w:aliases w:val="_List_1"/>
    <w:basedOn w:val="NormalJustified"/>
    <w:uiPriority w:val="23"/>
    <w:qFormat/>
    <w:rsid w:val="002B5B43"/>
    <w:pPr>
      <w:numPr>
        <w:numId w:val="10"/>
      </w:numPr>
      <w:spacing w:before="280" w:after="60"/>
    </w:pPr>
  </w:style>
  <w:style w:type="paragraph" w:customStyle="1" w:styleId="JuLista">
    <w:name w:val="Ju_List_a"/>
    <w:aliases w:val="_List_2"/>
    <w:basedOn w:val="NormalJustified"/>
    <w:uiPriority w:val="23"/>
    <w:rsid w:val="002B5B43"/>
    <w:pPr>
      <w:numPr>
        <w:ilvl w:val="1"/>
        <w:numId w:val="10"/>
      </w:numPr>
    </w:pPr>
  </w:style>
  <w:style w:type="paragraph" w:customStyle="1" w:styleId="JuListi">
    <w:name w:val="Ju_List_i"/>
    <w:aliases w:val="_List_3"/>
    <w:basedOn w:val="NormalJustified"/>
    <w:uiPriority w:val="23"/>
    <w:rsid w:val="002B5B43"/>
    <w:pPr>
      <w:numPr>
        <w:ilvl w:val="2"/>
        <w:numId w:val="10"/>
      </w:numPr>
    </w:pPr>
  </w:style>
  <w:style w:type="paragraph" w:customStyle="1" w:styleId="JuHArticle">
    <w:name w:val="Ju_H_Article"/>
    <w:aliases w:val="_Title_Quote"/>
    <w:basedOn w:val="Normal"/>
    <w:next w:val="JuQuot"/>
    <w:uiPriority w:val="19"/>
    <w:qFormat/>
    <w:rsid w:val="002B5B43"/>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5B43"/>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5B43"/>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5B43"/>
    <w:pPr>
      <w:keepNext/>
      <w:keepLines/>
      <w:numPr>
        <w:numId w:val="9"/>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5B43"/>
    <w:pPr>
      <w:numPr>
        <w:numId w:val="4"/>
      </w:numPr>
    </w:pPr>
  </w:style>
  <w:style w:type="paragraph" w:customStyle="1" w:styleId="JuSigned">
    <w:name w:val="Ju_Signed"/>
    <w:aliases w:val="_Signature"/>
    <w:basedOn w:val="Normal"/>
    <w:next w:val="JuPara"/>
    <w:uiPriority w:val="31"/>
    <w:qFormat/>
    <w:rsid w:val="002B5B43"/>
    <w:pPr>
      <w:tabs>
        <w:tab w:val="center" w:pos="1418"/>
        <w:tab w:val="center" w:pos="5954"/>
      </w:tabs>
      <w:spacing w:before="720"/>
    </w:pPr>
  </w:style>
  <w:style w:type="paragraph" w:styleId="Title">
    <w:name w:val="Title"/>
    <w:basedOn w:val="Normal"/>
    <w:next w:val="Normal"/>
    <w:link w:val="TitleChar"/>
    <w:uiPriority w:val="98"/>
    <w:semiHidden/>
    <w:qFormat/>
    <w:rsid w:val="002B5B43"/>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5B43"/>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5B43"/>
    <w:pPr>
      <w:numPr>
        <w:numId w:val="5"/>
      </w:numPr>
    </w:pPr>
  </w:style>
  <w:style w:type="numbering" w:customStyle="1" w:styleId="ECHRA1StyleNumberedList">
    <w:name w:val="ECHR_A1_Style_Numbered_List"/>
    <w:basedOn w:val="NoList"/>
    <w:rsid w:val="002B5B43"/>
    <w:pPr>
      <w:numPr>
        <w:numId w:val="6"/>
      </w:numPr>
    </w:pPr>
  </w:style>
  <w:style w:type="table" w:customStyle="1" w:styleId="ECHRTable2019">
    <w:name w:val="ECHR_Table_2019"/>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5B43"/>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5B43"/>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5B43"/>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5B43"/>
    <w:pPr>
      <w:keepNext/>
      <w:keepLines/>
      <w:numPr>
        <w:ilvl w:val="3"/>
        <w:numId w:val="9"/>
      </w:numPr>
      <w:spacing w:before="100" w:beforeAutospacing="1" w:after="120"/>
      <w:jc w:val="both"/>
    </w:pPr>
    <w:rPr>
      <w:b w:val="0"/>
      <w:color w:val="auto"/>
      <w:sz w:val="24"/>
    </w:rPr>
  </w:style>
  <w:style w:type="paragraph" w:styleId="Header0">
    <w:name w:val="header"/>
    <w:basedOn w:val="Normal"/>
    <w:link w:val="HeaderChar"/>
    <w:uiPriority w:val="98"/>
    <w:semiHidden/>
    <w:rsid w:val="002B5B43"/>
    <w:pPr>
      <w:tabs>
        <w:tab w:val="center" w:pos="4536"/>
        <w:tab w:val="right" w:pos="9072"/>
      </w:tabs>
    </w:pPr>
  </w:style>
  <w:style w:type="character" w:customStyle="1" w:styleId="HeaderChar">
    <w:name w:val="Header Char"/>
    <w:basedOn w:val="DefaultParagraphFont"/>
    <w:link w:val="Header0"/>
    <w:uiPriority w:val="98"/>
    <w:semiHidden/>
    <w:rsid w:val="002B5B43"/>
    <w:rPr>
      <w:sz w:val="24"/>
      <w:szCs w:val="24"/>
      <w:lang w:val="en-GB"/>
    </w:rPr>
  </w:style>
  <w:style w:type="character" w:customStyle="1" w:styleId="Heading1Char">
    <w:name w:val="Heading 1 Char"/>
    <w:basedOn w:val="DefaultParagraphFont"/>
    <w:link w:val="Heading1"/>
    <w:uiPriority w:val="98"/>
    <w:semiHidden/>
    <w:rsid w:val="002B5B43"/>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5B43"/>
    <w:pPr>
      <w:keepNext/>
      <w:keepLines/>
      <w:numPr>
        <w:ilvl w:val="4"/>
        <w:numId w:val="9"/>
      </w:numPr>
      <w:spacing w:before="100" w:beforeAutospacing="1" w:after="120"/>
      <w:jc w:val="both"/>
    </w:pPr>
    <w:rPr>
      <w:color w:val="auto"/>
      <w:sz w:val="20"/>
    </w:rPr>
  </w:style>
  <w:style w:type="paragraph" w:customStyle="1" w:styleId="JuHi">
    <w:name w:val="Ju_H_i"/>
    <w:aliases w:val="_Head_6"/>
    <w:basedOn w:val="Heading6"/>
    <w:next w:val="JuPara"/>
    <w:uiPriority w:val="17"/>
    <w:rsid w:val="002B5B43"/>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5B43"/>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5B43"/>
    <w:pPr>
      <w:keepNext/>
      <w:keepLines/>
      <w:numPr>
        <w:ilvl w:val="6"/>
        <w:numId w:val="9"/>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5B43"/>
    <w:pPr>
      <w:keepNext/>
      <w:keepLines/>
      <w:numPr>
        <w:ilvl w:val="7"/>
        <w:numId w:val="9"/>
      </w:numPr>
      <w:spacing w:before="100" w:beforeAutospacing="1" w:after="120"/>
      <w:jc w:val="both"/>
    </w:pPr>
    <w:rPr>
      <w:i/>
    </w:rPr>
  </w:style>
  <w:style w:type="character" w:customStyle="1" w:styleId="Heading3Char">
    <w:name w:val="Heading 3 Char"/>
    <w:basedOn w:val="DefaultParagraphFont"/>
    <w:link w:val="Heading3"/>
    <w:uiPriority w:val="98"/>
    <w:semiHidden/>
    <w:rsid w:val="002B5B43"/>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5B43"/>
    <w:pPr>
      <w:keepNext/>
      <w:keepLines/>
      <w:spacing w:before="240" w:after="240"/>
      <w:ind w:firstLine="284"/>
    </w:pPr>
  </w:style>
  <w:style w:type="paragraph" w:customStyle="1" w:styleId="JuJudges">
    <w:name w:val="Ju_Judges"/>
    <w:aliases w:val="_Judges"/>
    <w:basedOn w:val="Normal"/>
    <w:uiPriority w:val="32"/>
    <w:qFormat/>
    <w:rsid w:val="002B5B43"/>
    <w:pPr>
      <w:tabs>
        <w:tab w:val="left" w:pos="567"/>
        <w:tab w:val="left" w:pos="1134"/>
      </w:tabs>
    </w:pPr>
  </w:style>
  <w:style w:type="character" w:customStyle="1" w:styleId="Heading4Char">
    <w:name w:val="Heading 4 Char"/>
    <w:basedOn w:val="DefaultParagraphFont"/>
    <w:link w:val="Heading4"/>
    <w:uiPriority w:val="98"/>
    <w:semiHidden/>
    <w:rsid w:val="002B5B43"/>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5B43"/>
    <w:pPr>
      <w:tabs>
        <w:tab w:val="center" w:pos="6407"/>
      </w:tabs>
      <w:spacing w:before="720"/>
      <w:jc w:val="right"/>
    </w:pPr>
  </w:style>
  <w:style w:type="character" w:customStyle="1" w:styleId="Heading5Char">
    <w:name w:val="Heading 5 Char"/>
    <w:basedOn w:val="DefaultParagraphFont"/>
    <w:link w:val="Heading5"/>
    <w:uiPriority w:val="98"/>
    <w:semiHidden/>
    <w:rsid w:val="002B5B43"/>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5B43"/>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5B43"/>
    <w:rPr>
      <w:caps w:val="0"/>
      <w:smallCaps/>
    </w:rPr>
  </w:style>
  <w:style w:type="character" w:styleId="SubtleEmphasis">
    <w:name w:val="Subtle Emphasis"/>
    <w:uiPriority w:val="98"/>
    <w:semiHidden/>
    <w:qFormat/>
    <w:rsid w:val="002B5B43"/>
    <w:rPr>
      <w:i/>
      <w:iCs/>
    </w:rPr>
  </w:style>
  <w:style w:type="table" w:customStyle="1" w:styleId="ECHRTable">
    <w:name w:val="ECHR_Table"/>
    <w:basedOn w:val="TableNormal"/>
    <w:rsid w:val="002B5B4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5B43"/>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5B43"/>
    <w:rPr>
      <w:b/>
      <w:bCs/>
      <w:i/>
      <w:iCs/>
      <w:spacing w:val="10"/>
      <w:bdr w:val="none" w:sz="0" w:space="0" w:color="auto"/>
      <w:shd w:val="clear" w:color="auto" w:fill="auto"/>
    </w:rPr>
  </w:style>
  <w:style w:type="paragraph" w:styleId="Footer1">
    <w:name w:val="footer"/>
    <w:basedOn w:val="Normal"/>
    <w:link w:val="FooterChar"/>
    <w:uiPriority w:val="98"/>
    <w:semiHidden/>
    <w:rsid w:val="002B5B43"/>
    <w:pPr>
      <w:tabs>
        <w:tab w:val="center" w:pos="3686"/>
        <w:tab w:val="right" w:pos="7371"/>
      </w:tabs>
    </w:pPr>
  </w:style>
  <w:style w:type="character" w:customStyle="1" w:styleId="FooterChar">
    <w:name w:val="Footer Char"/>
    <w:basedOn w:val="DefaultParagraphFont"/>
    <w:link w:val="Footer1"/>
    <w:uiPriority w:val="98"/>
    <w:semiHidden/>
    <w:rsid w:val="002B5B43"/>
    <w:rPr>
      <w:sz w:val="24"/>
      <w:szCs w:val="24"/>
      <w:lang w:val="en-GB"/>
    </w:rPr>
  </w:style>
  <w:style w:type="character" w:styleId="FootnoteReference">
    <w:name w:val="footnote reference"/>
    <w:basedOn w:val="DefaultParagraphFont"/>
    <w:uiPriority w:val="98"/>
    <w:semiHidden/>
    <w:rsid w:val="002B5B43"/>
    <w:rPr>
      <w:vertAlign w:val="superscript"/>
    </w:rPr>
  </w:style>
  <w:style w:type="paragraph" w:styleId="FootnoteText">
    <w:name w:val="footnote text"/>
    <w:basedOn w:val="NormalJustified"/>
    <w:link w:val="FootnoteTextChar"/>
    <w:uiPriority w:val="98"/>
    <w:semiHidden/>
    <w:rsid w:val="002B5B43"/>
    <w:rPr>
      <w:sz w:val="20"/>
      <w:szCs w:val="20"/>
    </w:rPr>
  </w:style>
  <w:style w:type="character" w:customStyle="1" w:styleId="FootnoteTextChar">
    <w:name w:val="Footnote Text Char"/>
    <w:basedOn w:val="DefaultParagraphFont"/>
    <w:link w:val="FootnoteText"/>
    <w:uiPriority w:val="98"/>
    <w:semiHidden/>
    <w:rsid w:val="002B5B43"/>
    <w:rPr>
      <w:sz w:val="20"/>
      <w:szCs w:val="20"/>
      <w:lang w:val="en-GB"/>
    </w:rPr>
  </w:style>
  <w:style w:type="character" w:customStyle="1" w:styleId="Heading6Char">
    <w:name w:val="Heading 6 Char"/>
    <w:basedOn w:val="DefaultParagraphFont"/>
    <w:link w:val="Heading6"/>
    <w:uiPriority w:val="98"/>
    <w:semiHidden/>
    <w:rsid w:val="002B5B43"/>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5B43"/>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5B43"/>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5B43"/>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5B43"/>
    <w:rPr>
      <w:color w:val="0072BC" w:themeColor="hyperlink"/>
      <w:u w:val="single"/>
    </w:rPr>
  </w:style>
  <w:style w:type="character" w:styleId="IntenseEmphasis">
    <w:name w:val="Intense Emphasis"/>
    <w:uiPriority w:val="98"/>
    <w:semiHidden/>
    <w:qFormat/>
    <w:rsid w:val="002B5B43"/>
    <w:rPr>
      <w:b/>
      <w:bCs/>
    </w:rPr>
  </w:style>
  <w:style w:type="paragraph" w:styleId="IntenseQuote">
    <w:name w:val="Intense Quote"/>
    <w:basedOn w:val="Normal"/>
    <w:next w:val="Normal"/>
    <w:link w:val="IntenseQuoteChar"/>
    <w:uiPriority w:val="98"/>
    <w:semiHidden/>
    <w:qFormat/>
    <w:rsid w:val="002B5B43"/>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5B43"/>
    <w:rPr>
      <w:b/>
      <w:bCs/>
      <w:i/>
      <w:iCs/>
      <w:sz w:val="24"/>
      <w:szCs w:val="24"/>
      <w:lang w:val="en-GB" w:bidi="en-US"/>
    </w:rPr>
  </w:style>
  <w:style w:type="character" w:styleId="IntenseReference">
    <w:name w:val="Intense Reference"/>
    <w:uiPriority w:val="98"/>
    <w:semiHidden/>
    <w:qFormat/>
    <w:rsid w:val="002B5B43"/>
    <w:rPr>
      <w:smallCaps/>
      <w:spacing w:val="5"/>
      <w:u w:val="single"/>
    </w:rPr>
  </w:style>
  <w:style w:type="paragraph" w:styleId="ListParagraph">
    <w:name w:val="List Paragraph"/>
    <w:basedOn w:val="Normal"/>
    <w:uiPriority w:val="98"/>
    <w:semiHidden/>
    <w:qFormat/>
    <w:rsid w:val="002B5B43"/>
    <w:pPr>
      <w:ind w:left="720"/>
      <w:contextualSpacing/>
    </w:pPr>
  </w:style>
  <w:style w:type="table" w:customStyle="1" w:styleId="LtrTableAddress">
    <w:name w:val="Ltr_Table_Address"/>
    <w:aliases w:val="ECHR_Ltr_Table_Address"/>
    <w:basedOn w:val="TableNormal"/>
    <w:uiPriority w:val="99"/>
    <w:rsid w:val="002B5B43"/>
    <w:rPr>
      <w:sz w:val="24"/>
      <w:szCs w:val="24"/>
    </w:rPr>
    <w:tblPr>
      <w:tblInd w:w="5103" w:type="dxa"/>
    </w:tblPr>
  </w:style>
  <w:style w:type="paragraph" w:styleId="Quote0">
    <w:name w:val="Quote"/>
    <w:basedOn w:val="Normal"/>
    <w:next w:val="Normal"/>
    <w:link w:val="QuoteChar"/>
    <w:uiPriority w:val="98"/>
    <w:semiHidden/>
    <w:qFormat/>
    <w:rsid w:val="002B5B43"/>
    <w:pPr>
      <w:spacing w:before="200"/>
      <w:ind w:left="360" w:right="360"/>
    </w:pPr>
    <w:rPr>
      <w:i/>
      <w:iCs/>
      <w:lang w:bidi="en-US"/>
    </w:rPr>
  </w:style>
  <w:style w:type="character" w:customStyle="1" w:styleId="QuoteChar">
    <w:name w:val="Quote Char"/>
    <w:basedOn w:val="DefaultParagraphFont"/>
    <w:link w:val="Quote0"/>
    <w:uiPriority w:val="98"/>
    <w:semiHidden/>
    <w:rsid w:val="002B5B43"/>
    <w:rPr>
      <w:i/>
      <w:iCs/>
      <w:sz w:val="24"/>
      <w:szCs w:val="24"/>
      <w:lang w:val="en-GB" w:bidi="en-US"/>
    </w:rPr>
  </w:style>
  <w:style w:type="character" w:styleId="SubtleReference">
    <w:name w:val="Subtle Reference"/>
    <w:uiPriority w:val="98"/>
    <w:semiHidden/>
    <w:qFormat/>
    <w:rsid w:val="002B5B43"/>
    <w:rPr>
      <w:smallCaps/>
    </w:rPr>
  </w:style>
  <w:style w:type="table" w:styleId="TableGrid">
    <w:name w:val="Table Grid"/>
    <w:basedOn w:val="TableNormal"/>
    <w:uiPriority w:val="59"/>
    <w:semiHidden/>
    <w:rsid w:val="002B5B43"/>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5B43"/>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5B43"/>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5B43"/>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5B43"/>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5B43"/>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5B43"/>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5B43"/>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5B43"/>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5B43"/>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5B43"/>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5B43"/>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5B43"/>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5B43"/>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5B43"/>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5B43"/>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5B43"/>
    <w:pPr>
      <w:numPr>
        <w:numId w:val="1"/>
      </w:numPr>
    </w:pPr>
  </w:style>
  <w:style w:type="paragraph" w:customStyle="1" w:styleId="JuPara">
    <w:name w:val="Ju_Para"/>
    <w:aliases w:val="_Para"/>
    <w:basedOn w:val="NormalJustified"/>
    <w:link w:val="JuParaChar"/>
    <w:uiPriority w:val="4"/>
    <w:qFormat/>
    <w:rsid w:val="002B5B43"/>
    <w:pPr>
      <w:ind w:firstLine="284"/>
    </w:pPr>
  </w:style>
  <w:style w:type="numbering" w:styleId="1ai">
    <w:name w:val="Outline List 1"/>
    <w:basedOn w:val="NoList"/>
    <w:uiPriority w:val="99"/>
    <w:semiHidden/>
    <w:unhideWhenUsed/>
    <w:rsid w:val="002B5B43"/>
    <w:pPr>
      <w:numPr>
        <w:numId w:val="2"/>
      </w:numPr>
    </w:pPr>
  </w:style>
  <w:style w:type="table" w:customStyle="1" w:styleId="ECHRTableSimpleBox">
    <w:name w:val="ECHR_Table_Simple_Box"/>
    <w:basedOn w:val="TableNormal"/>
    <w:uiPriority w:val="99"/>
    <w:rsid w:val="002B5B43"/>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5B43"/>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5B43"/>
    <w:pPr>
      <w:numPr>
        <w:numId w:val="3"/>
      </w:numPr>
    </w:pPr>
  </w:style>
  <w:style w:type="table" w:customStyle="1" w:styleId="ECHRTableForInternalUse">
    <w:name w:val="ECHR_Table_For_Internal_Use"/>
    <w:basedOn w:val="TableNormal"/>
    <w:uiPriority w:val="99"/>
    <w:rsid w:val="002B5B43"/>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5B43"/>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5B43"/>
  </w:style>
  <w:style w:type="paragraph" w:styleId="BlockText">
    <w:name w:val="Block Text"/>
    <w:basedOn w:val="Normal"/>
    <w:uiPriority w:val="98"/>
    <w:semiHidden/>
    <w:rsid w:val="002B5B43"/>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5B43"/>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5B43"/>
    <w:pPr>
      <w:spacing w:after="120"/>
    </w:pPr>
  </w:style>
  <w:style w:type="character" w:customStyle="1" w:styleId="BodyTextChar">
    <w:name w:val="Body Text Char"/>
    <w:basedOn w:val="DefaultParagraphFont"/>
    <w:link w:val="BodyText"/>
    <w:uiPriority w:val="98"/>
    <w:semiHidden/>
    <w:rsid w:val="002B5B43"/>
    <w:rPr>
      <w:sz w:val="24"/>
      <w:szCs w:val="24"/>
      <w:lang w:val="en-GB"/>
    </w:rPr>
  </w:style>
  <w:style w:type="table" w:customStyle="1" w:styleId="ECHRTableOddBanded">
    <w:name w:val="ECHR_Table_Odd_Banded"/>
    <w:basedOn w:val="TableNormal"/>
    <w:uiPriority w:val="99"/>
    <w:rsid w:val="002B5B4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5B43"/>
    <w:pPr>
      <w:spacing w:after="120" w:line="480" w:lineRule="auto"/>
    </w:pPr>
  </w:style>
  <w:style w:type="table" w:customStyle="1" w:styleId="ECHRHeaderTableReduced">
    <w:name w:val="ECHR_Header_Table_Reduced"/>
    <w:basedOn w:val="TableNormal"/>
    <w:uiPriority w:val="99"/>
    <w:rsid w:val="002B5B43"/>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5B43"/>
    <w:pPr>
      <w:ind w:firstLine="284"/>
    </w:pPr>
    <w:rPr>
      <w:b/>
    </w:rPr>
  </w:style>
  <w:style w:type="character" w:styleId="PageNumber">
    <w:name w:val="page number"/>
    <w:uiPriority w:val="98"/>
    <w:semiHidden/>
    <w:rsid w:val="002B5B43"/>
    <w:rPr>
      <w:sz w:val="18"/>
    </w:rPr>
  </w:style>
  <w:style w:type="paragraph" w:styleId="ListBullet">
    <w:name w:val="List Bullet"/>
    <w:basedOn w:val="Normal"/>
    <w:uiPriority w:val="98"/>
    <w:semiHidden/>
    <w:rsid w:val="002B5B43"/>
    <w:pPr>
      <w:numPr>
        <w:numId w:val="11"/>
      </w:numPr>
    </w:pPr>
  </w:style>
  <w:style w:type="paragraph" w:styleId="ListBullet3">
    <w:name w:val="List Bullet 3"/>
    <w:basedOn w:val="Normal"/>
    <w:uiPriority w:val="98"/>
    <w:semiHidden/>
    <w:rsid w:val="002B5B43"/>
    <w:pPr>
      <w:numPr>
        <w:numId w:val="13"/>
      </w:numPr>
      <w:contextualSpacing/>
    </w:pPr>
  </w:style>
  <w:style w:type="character" w:customStyle="1" w:styleId="BodyText2Char">
    <w:name w:val="Body Text 2 Char"/>
    <w:basedOn w:val="DefaultParagraphFont"/>
    <w:link w:val="BodyText2"/>
    <w:uiPriority w:val="98"/>
    <w:semiHidden/>
    <w:rsid w:val="002B5B43"/>
    <w:rPr>
      <w:sz w:val="24"/>
      <w:szCs w:val="24"/>
      <w:lang w:val="en-GB"/>
    </w:rPr>
  </w:style>
  <w:style w:type="paragraph" w:styleId="BodyText3">
    <w:name w:val="Body Text 3"/>
    <w:basedOn w:val="Normal"/>
    <w:link w:val="BodyText3Char"/>
    <w:uiPriority w:val="98"/>
    <w:semiHidden/>
    <w:rsid w:val="002B5B43"/>
    <w:pPr>
      <w:spacing w:after="120"/>
    </w:pPr>
    <w:rPr>
      <w:sz w:val="16"/>
      <w:szCs w:val="16"/>
    </w:rPr>
  </w:style>
  <w:style w:type="character" w:customStyle="1" w:styleId="BodyText3Char">
    <w:name w:val="Body Text 3 Char"/>
    <w:basedOn w:val="DefaultParagraphFont"/>
    <w:link w:val="BodyText3"/>
    <w:uiPriority w:val="98"/>
    <w:semiHidden/>
    <w:rsid w:val="002B5B43"/>
    <w:rPr>
      <w:sz w:val="16"/>
      <w:szCs w:val="16"/>
      <w:lang w:val="en-GB"/>
    </w:rPr>
  </w:style>
  <w:style w:type="paragraph" w:styleId="BodyTextFirstIndent">
    <w:name w:val="Body Text First Indent"/>
    <w:basedOn w:val="BodyText"/>
    <w:link w:val="BodyTextFirstIndentChar"/>
    <w:uiPriority w:val="98"/>
    <w:semiHidden/>
    <w:rsid w:val="002B5B43"/>
    <w:pPr>
      <w:spacing w:after="0"/>
      <w:ind w:firstLine="360"/>
    </w:pPr>
  </w:style>
  <w:style w:type="character" w:customStyle="1" w:styleId="BodyTextFirstIndentChar">
    <w:name w:val="Body Text First Indent Char"/>
    <w:basedOn w:val="BodyTextChar"/>
    <w:link w:val="BodyTextFirstIndent"/>
    <w:uiPriority w:val="98"/>
    <w:semiHidden/>
    <w:rsid w:val="002B5B43"/>
    <w:rPr>
      <w:sz w:val="24"/>
      <w:szCs w:val="24"/>
      <w:lang w:val="en-GB"/>
    </w:rPr>
  </w:style>
  <w:style w:type="paragraph" w:styleId="BodyTextIndent">
    <w:name w:val="Body Text Indent"/>
    <w:basedOn w:val="Normal"/>
    <w:link w:val="BodyTextIndentChar"/>
    <w:uiPriority w:val="98"/>
    <w:semiHidden/>
    <w:rsid w:val="002B5B43"/>
    <w:pPr>
      <w:spacing w:after="120"/>
      <w:ind w:left="283"/>
    </w:pPr>
  </w:style>
  <w:style w:type="character" w:customStyle="1" w:styleId="BodyTextIndentChar">
    <w:name w:val="Body Text Indent Char"/>
    <w:basedOn w:val="DefaultParagraphFont"/>
    <w:link w:val="BodyTextIndent"/>
    <w:uiPriority w:val="98"/>
    <w:semiHidden/>
    <w:rsid w:val="002B5B43"/>
    <w:rPr>
      <w:sz w:val="24"/>
      <w:szCs w:val="24"/>
      <w:lang w:val="en-GB"/>
    </w:rPr>
  </w:style>
  <w:style w:type="paragraph" w:styleId="BodyTextFirstIndent2">
    <w:name w:val="Body Text First Indent 2"/>
    <w:basedOn w:val="BodyTextIndent"/>
    <w:link w:val="BodyTextFirstIndent2Char"/>
    <w:uiPriority w:val="98"/>
    <w:semiHidden/>
    <w:rsid w:val="002B5B43"/>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5B43"/>
    <w:rPr>
      <w:sz w:val="24"/>
      <w:szCs w:val="24"/>
      <w:lang w:val="en-GB"/>
    </w:rPr>
  </w:style>
  <w:style w:type="paragraph" w:styleId="BodyTextIndent2">
    <w:name w:val="Body Text Indent 2"/>
    <w:basedOn w:val="Normal"/>
    <w:link w:val="BodyTextIndent2Char"/>
    <w:uiPriority w:val="98"/>
    <w:semiHidden/>
    <w:rsid w:val="002B5B43"/>
    <w:pPr>
      <w:spacing w:after="120" w:line="480" w:lineRule="auto"/>
      <w:ind w:left="283"/>
    </w:pPr>
  </w:style>
  <w:style w:type="character" w:customStyle="1" w:styleId="BodyTextIndent2Char">
    <w:name w:val="Body Text Indent 2 Char"/>
    <w:basedOn w:val="DefaultParagraphFont"/>
    <w:link w:val="BodyTextIndent2"/>
    <w:uiPriority w:val="98"/>
    <w:semiHidden/>
    <w:rsid w:val="002B5B43"/>
    <w:rPr>
      <w:sz w:val="24"/>
      <w:szCs w:val="24"/>
      <w:lang w:val="en-GB"/>
    </w:rPr>
  </w:style>
  <w:style w:type="paragraph" w:styleId="BodyTextIndent3">
    <w:name w:val="Body Text Indent 3"/>
    <w:basedOn w:val="Normal"/>
    <w:link w:val="BodyTextIndent3Char"/>
    <w:uiPriority w:val="98"/>
    <w:semiHidden/>
    <w:rsid w:val="002B5B43"/>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5B43"/>
    <w:rPr>
      <w:sz w:val="16"/>
      <w:szCs w:val="16"/>
      <w:lang w:val="en-GB"/>
    </w:rPr>
  </w:style>
  <w:style w:type="paragraph" w:styleId="Caption">
    <w:name w:val="caption"/>
    <w:basedOn w:val="Normal"/>
    <w:next w:val="Normal"/>
    <w:uiPriority w:val="98"/>
    <w:semiHidden/>
    <w:qFormat/>
    <w:rsid w:val="002B5B43"/>
    <w:pPr>
      <w:spacing w:after="200"/>
    </w:pPr>
    <w:rPr>
      <w:b/>
      <w:bCs/>
      <w:color w:val="0072BC" w:themeColor="accent1"/>
      <w:sz w:val="18"/>
      <w:szCs w:val="18"/>
    </w:rPr>
  </w:style>
  <w:style w:type="paragraph" w:styleId="Closing">
    <w:name w:val="Closing"/>
    <w:basedOn w:val="Normal"/>
    <w:link w:val="ClosingChar"/>
    <w:uiPriority w:val="98"/>
    <w:semiHidden/>
    <w:rsid w:val="002B5B43"/>
    <w:pPr>
      <w:ind w:left="4252"/>
    </w:pPr>
  </w:style>
  <w:style w:type="character" w:customStyle="1" w:styleId="ClosingChar">
    <w:name w:val="Closing Char"/>
    <w:basedOn w:val="DefaultParagraphFont"/>
    <w:link w:val="Closing"/>
    <w:uiPriority w:val="98"/>
    <w:semiHidden/>
    <w:rsid w:val="002B5B43"/>
    <w:rPr>
      <w:sz w:val="24"/>
      <w:szCs w:val="24"/>
      <w:lang w:val="en-GB"/>
    </w:rPr>
  </w:style>
  <w:style w:type="table" w:styleId="ColorfulGrid">
    <w:name w:val="Colorful Grid"/>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5B43"/>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5B43"/>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5B43"/>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5B43"/>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5B43"/>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5B43"/>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5B43"/>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5B43"/>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5B43"/>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5B43"/>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5B43"/>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5B43"/>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5B43"/>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5B43"/>
    <w:rPr>
      <w:sz w:val="16"/>
      <w:szCs w:val="16"/>
    </w:rPr>
  </w:style>
  <w:style w:type="paragraph" w:styleId="CommentText">
    <w:name w:val="annotation text"/>
    <w:basedOn w:val="Normal"/>
    <w:link w:val="CommentTextChar"/>
    <w:uiPriority w:val="98"/>
    <w:semiHidden/>
    <w:rsid w:val="002B5B43"/>
    <w:rPr>
      <w:sz w:val="20"/>
      <w:szCs w:val="20"/>
    </w:rPr>
  </w:style>
  <w:style w:type="character" w:customStyle="1" w:styleId="CommentTextChar">
    <w:name w:val="Comment Text Char"/>
    <w:basedOn w:val="DefaultParagraphFont"/>
    <w:link w:val="CommentText"/>
    <w:uiPriority w:val="98"/>
    <w:semiHidden/>
    <w:rsid w:val="002B5B43"/>
    <w:rPr>
      <w:sz w:val="20"/>
      <w:szCs w:val="20"/>
      <w:lang w:val="en-GB"/>
    </w:rPr>
  </w:style>
  <w:style w:type="paragraph" w:styleId="CommentSubject">
    <w:name w:val="annotation subject"/>
    <w:basedOn w:val="CommentText"/>
    <w:next w:val="CommentText"/>
    <w:link w:val="CommentSubjectChar"/>
    <w:uiPriority w:val="98"/>
    <w:semiHidden/>
    <w:rsid w:val="002B5B43"/>
    <w:rPr>
      <w:b/>
      <w:bCs/>
    </w:rPr>
  </w:style>
  <w:style w:type="character" w:customStyle="1" w:styleId="CommentSubjectChar">
    <w:name w:val="Comment Subject Char"/>
    <w:basedOn w:val="CommentTextChar"/>
    <w:link w:val="CommentSubject"/>
    <w:uiPriority w:val="98"/>
    <w:semiHidden/>
    <w:rsid w:val="002B5B43"/>
    <w:rPr>
      <w:b/>
      <w:bCs/>
      <w:sz w:val="20"/>
      <w:szCs w:val="20"/>
      <w:lang w:val="en-GB"/>
    </w:rPr>
  </w:style>
  <w:style w:type="table" w:styleId="DarkList">
    <w:name w:val="Dark List"/>
    <w:basedOn w:val="TableNormal"/>
    <w:uiPriority w:val="70"/>
    <w:semiHidden/>
    <w:rsid w:val="002B5B43"/>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5B43"/>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5B43"/>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5B43"/>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5B43"/>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5B43"/>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5B43"/>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5B43"/>
  </w:style>
  <w:style w:type="character" w:customStyle="1" w:styleId="DateChar">
    <w:name w:val="Date Char"/>
    <w:basedOn w:val="DefaultParagraphFont"/>
    <w:link w:val="Date"/>
    <w:uiPriority w:val="98"/>
    <w:semiHidden/>
    <w:rsid w:val="002B5B43"/>
    <w:rPr>
      <w:sz w:val="24"/>
      <w:szCs w:val="24"/>
      <w:lang w:val="en-GB"/>
    </w:rPr>
  </w:style>
  <w:style w:type="paragraph" w:styleId="DocumentMap">
    <w:name w:val="Document Map"/>
    <w:basedOn w:val="Normal"/>
    <w:link w:val="DocumentMapChar"/>
    <w:uiPriority w:val="98"/>
    <w:semiHidden/>
    <w:rsid w:val="002B5B43"/>
    <w:rPr>
      <w:rFonts w:ascii="Tahoma" w:hAnsi="Tahoma" w:cs="Tahoma"/>
      <w:sz w:val="16"/>
      <w:szCs w:val="16"/>
    </w:rPr>
  </w:style>
  <w:style w:type="character" w:customStyle="1" w:styleId="DocumentMapChar">
    <w:name w:val="Document Map Char"/>
    <w:basedOn w:val="DefaultParagraphFont"/>
    <w:link w:val="DocumentMap"/>
    <w:uiPriority w:val="98"/>
    <w:semiHidden/>
    <w:rsid w:val="002B5B43"/>
    <w:rPr>
      <w:rFonts w:ascii="Tahoma" w:hAnsi="Tahoma" w:cs="Tahoma"/>
      <w:sz w:val="16"/>
      <w:szCs w:val="16"/>
      <w:lang w:val="en-GB"/>
    </w:rPr>
  </w:style>
  <w:style w:type="paragraph" w:styleId="E-mailSignature">
    <w:name w:val="E-mail Signature"/>
    <w:basedOn w:val="Normal"/>
    <w:link w:val="E-mailSignatureChar"/>
    <w:uiPriority w:val="98"/>
    <w:semiHidden/>
    <w:rsid w:val="002B5B43"/>
  </w:style>
  <w:style w:type="character" w:customStyle="1" w:styleId="E-mailSignatureChar">
    <w:name w:val="E-mail Signature Char"/>
    <w:basedOn w:val="DefaultParagraphFont"/>
    <w:link w:val="E-mailSignature"/>
    <w:uiPriority w:val="98"/>
    <w:semiHidden/>
    <w:rsid w:val="002B5B43"/>
    <w:rPr>
      <w:sz w:val="24"/>
      <w:szCs w:val="24"/>
      <w:lang w:val="en-GB"/>
    </w:rPr>
  </w:style>
  <w:style w:type="character" w:styleId="EndnoteReference">
    <w:name w:val="endnote reference"/>
    <w:basedOn w:val="DefaultParagraphFont"/>
    <w:uiPriority w:val="98"/>
    <w:semiHidden/>
    <w:rsid w:val="002B5B43"/>
    <w:rPr>
      <w:vertAlign w:val="superscript"/>
    </w:rPr>
  </w:style>
  <w:style w:type="paragraph" w:styleId="EndnoteText">
    <w:name w:val="endnote text"/>
    <w:basedOn w:val="Normal"/>
    <w:link w:val="EndnoteTextChar"/>
    <w:uiPriority w:val="98"/>
    <w:semiHidden/>
    <w:rsid w:val="002B5B43"/>
    <w:rPr>
      <w:sz w:val="20"/>
      <w:szCs w:val="20"/>
    </w:rPr>
  </w:style>
  <w:style w:type="character" w:customStyle="1" w:styleId="EndnoteTextChar">
    <w:name w:val="Endnote Text Char"/>
    <w:basedOn w:val="DefaultParagraphFont"/>
    <w:link w:val="EndnoteText"/>
    <w:uiPriority w:val="98"/>
    <w:semiHidden/>
    <w:rsid w:val="002B5B43"/>
    <w:rPr>
      <w:sz w:val="20"/>
      <w:szCs w:val="20"/>
      <w:lang w:val="en-GB"/>
    </w:rPr>
  </w:style>
  <w:style w:type="paragraph" w:styleId="EnvelopeAddress">
    <w:name w:val="envelope address"/>
    <w:basedOn w:val="Normal"/>
    <w:uiPriority w:val="98"/>
    <w:semiHidden/>
    <w:rsid w:val="002B5B43"/>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5B43"/>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5B43"/>
    <w:rPr>
      <w:color w:val="7030A0" w:themeColor="followedHyperlink"/>
      <w:u w:val="single"/>
    </w:rPr>
  </w:style>
  <w:style w:type="character" w:styleId="HTMLAcronym">
    <w:name w:val="HTML Acronym"/>
    <w:basedOn w:val="DefaultParagraphFont"/>
    <w:uiPriority w:val="98"/>
    <w:semiHidden/>
    <w:rsid w:val="002B5B43"/>
  </w:style>
  <w:style w:type="paragraph" w:styleId="HTMLAddress">
    <w:name w:val="HTML Address"/>
    <w:basedOn w:val="Normal"/>
    <w:link w:val="HTMLAddressChar"/>
    <w:uiPriority w:val="98"/>
    <w:semiHidden/>
    <w:rsid w:val="002B5B43"/>
    <w:rPr>
      <w:i/>
      <w:iCs/>
    </w:rPr>
  </w:style>
  <w:style w:type="character" w:customStyle="1" w:styleId="HTMLAddressChar">
    <w:name w:val="HTML Address Char"/>
    <w:basedOn w:val="DefaultParagraphFont"/>
    <w:link w:val="HTMLAddress"/>
    <w:uiPriority w:val="98"/>
    <w:semiHidden/>
    <w:rsid w:val="002B5B43"/>
    <w:rPr>
      <w:i/>
      <w:iCs/>
      <w:sz w:val="24"/>
      <w:szCs w:val="24"/>
      <w:lang w:val="en-GB"/>
    </w:rPr>
  </w:style>
  <w:style w:type="character" w:styleId="HTMLCite">
    <w:name w:val="HTML Cite"/>
    <w:basedOn w:val="DefaultParagraphFont"/>
    <w:uiPriority w:val="98"/>
    <w:semiHidden/>
    <w:rsid w:val="002B5B43"/>
    <w:rPr>
      <w:i/>
      <w:iCs/>
    </w:rPr>
  </w:style>
  <w:style w:type="character" w:styleId="HTMLCode">
    <w:name w:val="HTML Code"/>
    <w:basedOn w:val="DefaultParagraphFont"/>
    <w:uiPriority w:val="98"/>
    <w:semiHidden/>
    <w:rsid w:val="002B5B43"/>
    <w:rPr>
      <w:rFonts w:ascii="Consolas" w:hAnsi="Consolas" w:cs="Consolas"/>
      <w:sz w:val="20"/>
      <w:szCs w:val="20"/>
    </w:rPr>
  </w:style>
  <w:style w:type="character" w:styleId="HTMLDefinition">
    <w:name w:val="HTML Definition"/>
    <w:basedOn w:val="DefaultParagraphFont"/>
    <w:uiPriority w:val="98"/>
    <w:semiHidden/>
    <w:rsid w:val="002B5B43"/>
    <w:rPr>
      <w:i/>
      <w:iCs/>
    </w:rPr>
  </w:style>
  <w:style w:type="character" w:styleId="HTMLKeyboard">
    <w:name w:val="HTML Keyboard"/>
    <w:basedOn w:val="DefaultParagraphFont"/>
    <w:uiPriority w:val="98"/>
    <w:semiHidden/>
    <w:rsid w:val="002B5B43"/>
    <w:rPr>
      <w:rFonts w:ascii="Consolas" w:hAnsi="Consolas" w:cs="Consolas"/>
      <w:sz w:val="20"/>
      <w:szCs w:val="20"/>
    </w:rPr>
  </w:style>
  <w:style w:type="paragraph" w:styleId="HTMLPreformatted">
    <w:name w:val="HTML Preformatted"/>
    <w:basedOn w:val="Normal"/>
    <w:link w:val="HTMLPreformattedChar"/>
    <w:uiPriority w:val="98"/>
    <w:semiHidden/>
    <w:rsid w:val="002B5B43"/>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5B43"/>
    <w:rPr>
      <w:rFonts w:ascii="Consolas" w:hAnsi="Consolas" w:cs="Consolas"/>
      <w:sz w:val="20"/>
      <w:szCs w:val="20"/>
      <w:lang w:val="en-GB"/>
    </w:rPr>
  </w:style>
  <w:style w:type="character" w:styleId="HTMLSample">
    <w:name w:val="HTML Sample"/>
    <w:basedOn w:val="DefaultParagraphFont"/>
    <w:uiPriority w:val="98"/>
    <w:semiHidden/>
    <w:rsid w:val="002B5B43"/>
    <w:rPr>
      <w:rFonts w:ascii="Consolas" w:hAnsi="Consolas" w:cs="Consolas"/>
      <w:sz w:val="24"/>
      <w:szCs w:val="24"/>
    </w:rPr>
  </w:style>
  <w:style w:type="character" w:styleId="HTMLTypewriter">
    <w:name w:val="HTML Typewriter"/>
    <w:basedOn w:val="DefaultParagraphFont"/>
    <w:uiPriority w:val="98"/>
    <w:semiHidden/>
    <w:rsid w:val="002B5B43"/>
    <w:rPr>
      <w:rFonts w:ascii="Consolas" w:hAnsi="Consolas" w:cs="Consolas"/>
      <w:sz w:val="20"/>
      <w:szCs w:val="20"/>
    </w:rPr>
  </w:style>
  <w:style w:type="character" w:styleId="HTMLVariable">
    <w:name w:val="HTML Variable"/>
    <w:basedOn w:val="DefaultParagraphFont"/>
    <w:uiPriority w:val="98"/>
    <w:semiHidden/>
    <w:rsid w:val="002B5B43"/>
    <w:rPr>
      <w:i/>
      <w:iCs/>
    </w:rPr>
  </w:style>
  <w:style w:type="paragraph" w:styleId="Index1">
    <w:name w:val="index 1"/>
    <w:basedOn w:val="Normal"/>
    <w:next w:val="Normal"/>
    <w:autoRedefine/>
    <w:uiPriority w:val="98"/>
    <w:semiHidden/>
    <w:rsid w:val="002B5B43"/>
    <w:pPr>
      <w:ind w:left="240" w:hanging="240"/>
    </w:pPr>
  </w:style>
  <w:style w:type="paragraph" w:styleId="Index2">
    <w:name w:val="index 2"/>
    <w:basedOn w:val="Normal"/>
    <w:next w:val="Normal"/>
    <w:autoRedefine/>
    <w:uiPriority w:val="98"/>
    <w:semiHidden/>
    <w:rsid w:val="002B5B43"/>
    <w:pPr>
      <w:ind w:left="480" w:hanging="240"/>
    </w:pPr>
  </w:style>
  <w:style w:type="paragraph" w:styleId="Index3">
    <w:name w:val="index 3"/>
    <w:basedOn w:val="Normal"/>
    <w:next w:val="Normal"/>
    <w:autoRedefine/>
    <w:uiPriority w:val="98"/>
    <w:semiHidden/>
    <w:rsid w:val="002B5B43"/>
    <w:pPr>
      <w:ind w:left="720" w:hanging="240"/>
    </w:pPr>
  </w:style>
  <w:style w:type="paragraph" w:styleId="Index4">
    <w:name w:val="index 4"/>
    <w:basedOn w:val="Normal"/>
    <w:next w:val="Normal"/>
    <w:autoRedefine/>
    <w:uiPriority w:val="98"/>
    <w:semiHidden/>
    <w:rsid w:val="002B5B43"/>
    <w:pPr>
      <w:ind w:left="960" w:hanging="240"/>
    </w:pPr>
  </w:style>
  <w:style w:type="paragraph" w:styleId="Index5">
    <w:name w:val="index 5"/>
    <w:basedOn w:val="Normal"/>
    <w:next w:val="Normal"/>
    <w:autoRedefine/>
    <w:uiPriority w:val="98"/>
    <w:semiHidden/>
    <w:rsid w:val="002B5B43"/>
    <w:pPr>
      <w:ind w:left="1200" w:hanging="240"/>
    </w:pPr>
  </w:style>
  <w:style w:type="paragraph" w:styleId="Index6">
    <w:name w:val="index 6"/>
    <w:basedOn w:val="Normal"/>
    <w:next w:val="Normal"/>
    <w:autoRedefine/>
    <w:uiPriority w:val="98"/>
    <w:semiHidden/>
    <w:rsid w:val="002B5B43"/>
    <w:pPr>
      <w:ind w:left="1440" w:hanging="240"/>
    </w:pPr>
  </w:style>
  <w:style w:type="paragraph" w:styleId="Index7">
    <w:name w:val="index 7"/>
    <w:basedOn w:val="Normal"/>
    <w:next w:val="Normal"/>
    <w:autoRedefine/>
    <w:uiPriority w:val="98"/>
    <w:semiHidden/>
    <w:rsid w:val="002B5B43"/>
    <w:pPr>
      <w:ind w:left="1680" w:hanging="240"/>
    </w:pPr>
  </w:style>
  <w:style w:type="paragraph" w:styleId="Index8">
    <w:name w:val="index 8"/>
    <w:basedOn w:val="Normal"/>
    <w:next w:val="Normal"/>
    <w:autoRedefine/>
    <w:uiPriority w:val="98"/>
    <w:semiHidden/>
    <w:rsid w:val="002B5B43"/>
    <w:pPr>
      <w:ind w:left="1920" w:hanging="240"/>
    </w:pPr>
  </w:style>
  <w:style w:type="paragraph" w:styleId="Index9">
    <w:name w:val="index 9"/>
    <w:basedOn w:val="Normal"/>
    <w:next w:val="Normal"/>
    <w:autoRedefine/>
    <w:uiPriority w:val="98"/>
    <w:semiHidden/>
    <w:rsid w:val="002B5B43"/>
    <w:pPr>
      <w:ind w:left="2160" w:hanging="240"/>
    </w:pPr>
  </w:style>
  <w:style w:type="paragraph" w:styleId="IndexHeading">
    <w:name w:val="index heading"/>
    <w:basedOn w:val="Normal"/>
    <w:next w:val="Index1"/>
    <w:uiPriority w:val="98"/>
    <w:semiHidden/>
    <w:rsid w:val="002B5B43"/>
    <w:rPr>
      <w:rFonts w:asciiTheme="majorHAnsi" w:eastAsiaTheme="majorEastAsia" w:hAnsiTheme="majorHAnsi" w:cstheme="majorBidi"/>
      <w:b/>
      <w:bCs/>
    </w:rPr>
  </w:style>
  <w:style w:type="table" w:styleId="LightGrid">
    <w:name w:val="Light Grid"/>
    <w:basedOn w:val="TableNormal"/>
    <w:uiPriority w:val="62"/>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5B43"/>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5B43"/>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5B43"/>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5B43"/>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5B43"/>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5B43"/>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5B43"/>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5B43"/>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5B43"/>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5B43"/>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5B43"/>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5B43"/>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5B43"/>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5B43"/>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5B43"/>
  </w:style>
  <w:style w:type="paragraph" w:styleId="List">
    <w:name w:val="List"/>
    <w:basedOn w:val="Normal"/>
    <w:uiPriority w:val="98"/>
    <w:semiHidden/>
    <w:rsid w:val="002B5B43"/>
    <w:pPr>
      <w:ind w:left="283" w:hanging="283"/>
      <w:contextualSpacing/>
    </w:pPr>
  </w:style>
  <w:style w:type="paragraph" w:styleId="List20">
    <w:name w:val="List 2"/>
    <w:basedOn w:val="Normal"/>
    <w:uiPriority w:val="98"/>
    <w:semiHidden/>
    <w:rsid w:val="002B5B43"/>
    <w:pPr>
      <w:ind w:left="566" w:hanging="283"/>
      <w:contextualSpacing/>
    </w:pPr>
  </w:style>
  <w:style w:type="paragraph" w:styleId="List30">
    <w:name w:val="List 3"/>
    <w:basedOn w:val="Normal"/>
    <w:uiPriority w:val="98"/>
    <w:semiHidden/>
    <w:rsid w:val="002B5B43"/>
    <w:pPr>
      <w:ind w:left="849" w:hanging="283"/>
      <w:contextualSpacing/>
    </w:pPr>
  </w:style>
  <w:style w:type="paragraph" w:styleId="List4">
    <w:name w:val="List 4"/>
    <w:basedOn w:val="Normal"/>
    <w:uiPriority w:val="98"/>
    <w:semiHidden/>
    <w:rsid w:val="002B5B43"/>
    <w:pPr>
      <w:ind w:left="1132" w:hanging="283"/>
      <w:contextualSpacing/>
    </w:pPr>
  </w:style>
  <w:style w:type="paragraph" w:styleId="List5">
    <w:name w:val="List 5"/>
    <w:basedOn w:val="Normal"/>
    <w:uiPriority w:val="98"/>
    <w:semiHidden/>
    <w:rsid w:val="002B5B43"/>
    <w:pPr>
      <w:ind w:left="1415" w:hanging="283"/>
      <w:contextualSpacing/>
    </w:pPr>
  </w:style>
  <w:style w:type="paragraph" w:styleId="ListBullet2">
    <w:name w:val="List Bullet 2"/>
    <w:basedOn w:val="Normal"/>
    <w:uiPriority w:val="98"/>
    <w:semiHidden/>
    <w:rsid w:val="002B5B43"/>
    <w:pPr>
      <w:numPr>
        <w:numId w:val="12"/>
      </w:numPr>
      <w:contextualSpacing/>
    </w:pPr>
  </w:style>
  <w:style w:type="paragraph" w:styleId="ListBullet4">
    <w:name w:val="List Bullet 4"/>
    <w:basedOn w:val="Normal"/>
    <w:uiPriority w:val="98"/>
    <w:semiHidden/>
    <w:rsid w:val="002B5B43"/>
    <w:pPr>
      <w:numPr>
        <w:numId w:val="14"/>
      </w:numPr>
      <w:contextualSpacing/>
    </w:pPr>
  </w:style>
  <w:style w:type="paragraph" w:styleId="ListBullet5">
    <w:name w:val="List Bullet 5"/>
    <w:basedOn w:val="Normal"/>
    <w:uiPriority w:val="98"/>
    <w:semiHidden/>
    <w:rsid w:val="002B5B43"/>
    <w:pPr>
      <w:numPr>
        <w:numId w:val="15"/>
      </w:numPr>
      <w:contextualSpacing/>
    </w:pPr>
  </w:style>
  <w:style w:type="paragraph" w:styleId="ListContinue">
    <w:name w:val="List Continue"/>
    <w:basedOn w:val="Normal"/>
    <w:uiPriority w:val="98"/>
    <w:semiHidden/>
    <w:rsid w:val="002B5B43"/>
    <w:pPr>
      <w:spacing w:after="120"/>
      <w:ind w:left="283"/>
      <w:contextualSpacing/>
    </w:pPr>
  </w:style>
  <w:style w:type="paragraph" w:styleId="ListContinue2">
    <w:name w:val="List Continue 2"/>
    <w:basedOn w:val="Normal"/>
    <w:uiPriority w:val="98"/>
    <w:semiHidden/>
    <w:rsid w:val="002B5B43"/>
    <w:pPr>
      <w:spacing w:after="120"/>
      <w:ind w:left="566"/>
      <w:contextualSpacing/>
    </w:pPr>
  </w:style>
  <w:style w:type="paragraph" w:styleId="ListContinue3">
    <w:name w:val="List Continue 3"/>
    <w:basedOn w:val="Normal"/>
    <w:uiPriority w:val="98"/>
    <w:semiHidden/>
    <w:rsid w:val="002B5B43"/>
    <w:pPr>
      <w:spacing w:after="120"/>
      <w:ind w:left="849"/>
      <w:contextualSpacing/>
    </w:pPr>
  </w:style>
  <w:style w:type="paragraph" w:styleId="ListContinue4">
    <w:name w:val="List Continue 4"/>
    <w:basedOn w:val="Normal"/>
    <w:uiPriority w:val="98"/>
    <w:semiHidden/>
    <w:rsid w:val="002B5B43"/>
    <w:pPr>
      <w:spacing w:after="120"/>
      <w:ind w:left="1132"/>
      <w:contextualSpacing/>
    </w:pPr>
  </w:style>
  <w:style w:type="paragraph" w:styleId="ListContinue5">
    <w:name w:val="List Continue 5"/>
    <w:basedOn w:val="Normal"/>
    <w:uiPriority w:val="98"/>
    <w:semiHidden/>
    <w:rsid w:val="002B5B43"/>
    <w:pPr>
      <w:spacing w:after="120"/>
      <w:ind w:left="1415"/>
      <w:contextualSpacing/>
    </w:pPr>
  </w:style>
  <w:style w:type="paragraph" w:styleId="ListNumber">
    <w:name w:val="List Number"/>
    <w:basedOn w:val="Normal"/>
    <w:uiPriority w:val="98"/>
    <w:semiHidden/>
    <w:rsid w:val="002B5B43"/>
    <w:pPr>
      <w:numPr>
        <w:numId w:val="16"/>
      </w:numPr>
      <w:contextualSpacing/>
    </w:pPr>
  </w:style>
  <w:style w:type="paragraph" w:styleId="ListNumber2">
    <w:name w:val="List Number 2"/>
    <w:basedOn w:val="Normal"/>
    <w:uiPriority w:val="98"/>
    <w:semiHidden/>
    <w:rsid w:val="002B5B43"/>
    <w:pPr>
      <w:numPr>
        <w:numId w:val="17"/>
      </w:numPr>
      <w:contextualSpacing/>
    </w:pPr>
  </w:style>
  <w:style w:type="paragraph" w:styleId="ListNumber3">
    <w:name w:val="List Number 3"/>
    <w:basedOn w:val="Normal"/>
    <w:uiPriority w:val="98"/>
    <w:semiHidden/>
    <w:rsid w:val="002B5B43"/>
    <w:pPr>
      <w:numPr>
        <w:numId w:val="18"/>
      </w:numPr>
      <w:contextualSpacing/>
    </w:pPr>
  </w:style>
  <w:style w:type="paragraph" w:styleId="ListNumber4">
    <w:name w:val="List Number 4"/>
    <w:basedOn w:val="Normal"/>
    <w:uiPriority w:val="98"/>
    <w:semiHidden/>
    <w:rsid w:val="002B5B43"/>
    <w:pPr>
      <w:numPr>
        <w:numId w:val="19"/>
      </w:numPr>
      <w:contextualSpacing/>
    </w:pPr>
  </w:style>
  <w:style w:type="paragraph" w:styleId="ListNumber5">
    <w:name w:val="List Number 5"/>
    <w:basedOn w:val="Normal"/>
    <w:uiPriority w:val="98"/>
    <w:semiHidden/>
    <w:rsid w:val="002B5B43"/>
    <w:pPr>
      <w:numPr>
        <w:numId w:val="20"/>
      </w:numPr>
      <w:contextualSpacing/>
    </w:pPr>
  </w:style>
  <w:style w:type="paragraph" w:styleId="Macro">
    <w:name w:val="macro"/>
    <w:link w:val="MacroTextChar"/>
    <w:uiPriority w:val="98"/>
    <w:semiHidden/>
    <w:rsid w:val="002B5B4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5B43"/>
    <w:rPr>
      <w:rFonts w:ascii="Consolas" w:hAnsi="Consolas" w:eastAsiaTheme="minorEastAsia" w:cs="Consolas"/>
      <w:sz w:val="20"/>
      <w:szCs w:val="20"/>
    </w:rPr>
  </w:style>
  <w:style w:type="table" w:styleId="MediumGrid1">
    <w:name w:val="Medium Grid 1"/>
    <w:basedOn w:val="TableNormal"/>
    <w:uiPriority w:val="67"/>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5B43"/>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5B43"/>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5B43"/>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5B43"/>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5B43"/>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5B43"/>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5B43"/>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5B43"/>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5B43"/>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5B43"/>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5B43"/>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5B43"/>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5B43"/>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5B43"/>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5B43"/>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5B43"/>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5B43"/>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5B4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5B43"/>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5B43"/>
    <w:rPr>
      <w:rFonts w:ascii="Times New Roman" w:hAnsi="Times New Roman" w:cs="Times New Roman"/>
    </w:rPr>
  </w:style>
  <w:style w:type="paragraph" w:styleId="NormalIndent">
    <w:name w:val="Normal Indent"/>
    <w:basedOn w:val="Normal"/>
    <w:uiPriority w:val="98"/>
    <w:semiHidden/>
    <w:rsid w:val="002B5B43"/>
    <w:pPr>
      <w:ind w:left="720"/>
    </w:pPr>
  </w:style>
  <w:style w:type="paragraph" w:styleId="NoteHeading">
    <w:name w:val="Note Heading"/>
    <w:basedOn w:val="Normal"/>
    <w:next w:val="Normal"/>
    <w:link w:val="NoteHeadingChar"/>
    <w:uiPriority w:val="98"/>
    <w:semiHidden/>
    <w:rsid w:val="002B5B43"/>
  </w:style>
  <w:style w:type="character" w:customStyle="1" w:styleId="NoteHeadingChar">
    <w:name w:val="Note Heading Char"/>
    <w:basedOn w:val="DefaultParagraphFont"/>
    <w:link w:val="NoteHeading"/>
    <w:uiPriority w:val="98"/>
    <w:semiHidden/>
    <w:rsid w:val="002B5B43"/>
    <w:rPr>
      <w:sz w:val="24"/>
      <w:szCs w:val="24"/>
      <w:lang w:val="en-GB"/>
    </w:rPr>
  </w:style>
  <w:style w:type="character" w:styleId="PlaceholderText">
    <w:name w:val="Placeholder Text"/>
    <w:basedOn w:val="DefaultParagraphFont"/>
    <w:uiPriority w:val="98"/>
    <w:semiHidden/>
    <w:rsid w:val="002B5B43"/>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5B43"/>
    <w:rPr>
      <w:rFonts w:ascii="Consolas" w:hAnsi="Consolas" w:cs="Consolas"/>
      <w:sz w:val="21"/>
      <w:szCs w:val="21"/>
    </w:rPr>
  </w:style>
  <w:style w:type="character" w:customStyle="1" w:styleId="PlainTextChar">
    <w:name w:val="Plain Text Char"/>
    <w:basedOn w:val="DefaultParagraphFont"/>
    <w:link w:val="PlainText"/>
    <w:uiPriority w:val="98"/>
    <w:semiHidden/>
    <w:rsid w:val="002B5B43"/>
    <w:rPr>
      <w:rFonts w:ascii="Consolas" w:hAnsi="Consolas" w:cs="Consolas"/>
      <w:sz w:val="21"/>
      <w:szCs w:val="21"/>
      <w:lang w:val="en-GB"/>
    </w:rPr>
  </w:style>
  <w:style w:type="paragraph" w:styleId="Salutation">
    <w:name w:val="Salutation"/>
    <w:basedOn w:val="Normal"/>
    <w:next w:val="Normal"/>
    <w:link w:val="SalutationChar"/>
    <w:uiPriority w:val="98"/>
    <w:semiHidden/>
    <w:rsid w:val="002B5B43"/>
  </w:style>
  <w:style w:type="character" w:customStyle="1" w:styleId="SalutationChar">
    <w:name w:val="Salutation Char"/>
    <w:basedOn w:val="DefaultParagraphFont"/>
    <w:link w:val="Salutation"/>
    <w:uiPriority w:val="98"/>
    <w:semiHidden/>
    <w:rsid w:val="002B5B43"/>
    <w:rPr>
      <w:sz w:val="24"/>
      <w:szCs w:val="24"/>
      <w:lang w:val="en-GB"/>
    </w:rPr>
  </w:style>
  <w:style w:type="paragraph" w:styleId="Signature0">
    <w:name w:val="Signature"/>
    <w:basedOn w:val="Normal"/>
    <w:link w:val="SignatureChar"/>
    <w:uiPriority w:val="98"/>
    <w:semiHidden/>
    <w:rsid w:val="002B5B43"/>
    <w:pPr>
      <w:ind w:left="4252"/>
    </w:pPr>
  </w:style>
  <w:style w:type="character" w:customStyle="1" w:styleId="SignatureChar">
    <w:name w:val="Signature Char"/>
    <w:basedOn w:val="DefaultParagraphFont"/>
    <w:link w:val="Signature0"/>
    <w:uiPriority w:val="98"/>
    <w:semiHidden/>
    <w:rsid w:val="002B5B43"/>
    <w:rPr>
      <w:sz w:val="24"/>
      <w:szCs w:val="24"/>
      <w:lang w:val="en-GB"/>
    </w:rPr>
  </w:style>
  <w:style w:type="table" w:styleId="Table3Deffects1">
    <w:name w:val="Table 3D effects 1"/>
    <w:basedOn w:val="TableNormal"/>
    <w:uiPriority w:val="99"/>
    <w:semiHidden/>
    <w:unhideWhenUsed/>
    <w:rsid w:val="002B5B43"/>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5B43"/>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5B43"/>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5B43"/>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5B43"/>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5B43"/>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5B43"/>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5B43"/>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5B43"/>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5B43"/>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5B43"/>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5B43"/>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5B43"/>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5B43"/>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5B43"/>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5B43"/>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5B43"/>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5B43"/>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5B43"/>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5B43"/>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5B43"/>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5B43"/>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5B43"/>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5B43"/>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5B43"/>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5B43"/>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5B43"/>
    <w:pPr>
      <w:ind w:left="240" w:hanging="240"/>
    </w:pPr>
  </w:style>
  <w:style w:type="paragraph" w:styleId="TableofFigures">
    <w:name w:val="table of figures"/>
    <w:basedOn w:val="Normal"/>
    <w:next w:val="Normal"/>
    <w:uiPriority w:val="98"/>
    <w:semiHidden/>
    <w:rsid w:val="002B5B43"/>
  </w:style>
  <w:style w:type="table" w:styleId="TableProfessional">
    <w:name w:val="Table Professional"/>
    <w:basedOn w:val="TableNormal"/>
    <w:uiPriority w:val="99"/>
    <w:semiHidden/>
    <w:unhideWhenUsed/>
    <w:rsid w:val="002B5B43"/>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5B43"/>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5B43"/>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5B43"/>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5B43"/>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5B43"/>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5B43"/>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5B43"/>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5B43"/>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5B43"/>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5B43"/>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5B43"/>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5B43"/>
    <w:pPr>
      <w:spacing w:after="100"/>
      <w:ind w:left="1680"/>
    </w:pPr>
  </w:style>
  <w:style w:type="paragraph" w:styleId="TOC9">
    <w:name w:val="toc 9"/>
    <w:basedOn w:val="Normal"/>
    <w:next w:val="Normal"/>
    <w:autoRedefine/>
    <w:uiPriority w:val="98"/>
    <w:semiHidden/>
    <w:rsid w:val="002B5B43"/>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5B43"/>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5B43"/>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5B43"/>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2B5B43"/>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5B43"/>
    <w:pPr>
      <w:numPr>
        <w:numId w:val="7"/>
      </w:numPr>
      <w:spacing w:before="60" w:after="60"/>
    </w:pPr>
  </w:style>
  <w:style w:type="paragraph" w:customStyle="1" w:styleId="ECHRBullet2">
    <w:name w:val="ECHR_Bullet_2"/>
    <w:aliases w:val="_Bul_2"/>
    <w:basedOn w:val="ECHRBullet1"/>
    <w:uiPriority w:val="23"/>
    <w:semiHidden/>
    <w:rsid w:val="002B5B43"/>
    <w:pPr>
      <w:numPr>
        <w:ilvl w:val="1"/>
      </w:numPr>
    </w:pPr>
  </w:style>
  <w:style w:type="paragraph" w:customStyle="1" w:styleId="ECHRBullet3">
    <w:name w:val="ECHR_Bullet_3"/>
    <w:aliases w:val="_Bul_3"/>
    <w:basedOn w:val="ECHRBullet2"/>
    <w:uiPriority w:val="23"/>
    <w:semiHidden/>
    <w:rsid w:val="002B5B43"/>
    <w:pPr>
      <w:numPr>
        <w:ilvl w:val="2"/>
      </w:numPr>
    </w:pPr>
  </w:style>
  <w:style w:type="paragraph" w:customStyle="1" w:styleId="ECHRBullet4">
    <w:name w:val="ECHR_Bullet_4"/>
    <w:aliases w:val="_Bul_4"/>
    <w:basedOn w:val="ECHRBullet3"/>
    <w:uiPriority w:val="23"/>
    <w:semiHidden/>
    <w:rsid w:val="002B5B43"/>
    <w:pPr>
      <w:numPr>
        <w:ilvl w:val="3"/>
      </w:numPr>
    </w:pPr>
  </w:style>
  <w:style w:type="paragraph" w:customStyle="1" w:styleId="ECHRConfidential">
    <w:name w:val="ECHR_Confidential"/>
    <w:aliases w:val="_Confidential"/>
    <w:basedOn w:val="Normal"/>
    <w:next w:val="Normal"/>
    <w:uiPriority w:val="42"/>
    <w:semiHidden/>
    <w:qFormat/>
    <w:rsid w:val="002B5B43"/>
    <w:pPr>
      <w:jc w:val="right"/>
    </w:pPr>
    <w:rPr>
      <w:color w:val="C00000"/>
      <w:sz w:val="20"/>
    </w:rPr>
  </w:style>
  <w:style w:type="paragraph" w:customStyle="1" w:styleId="ECHRDecisionBody">
    <w:name w:val="ECHR_Decision_Body"/>
    <w:aliases w:val="_Decision_Body"/>
    <w:basedOn w:val="NormalJustified"/>
    <w:uiPriority w:val="54"/>
    <w:semiHidden/>
    <w:rsid w:val="002B5B43"/>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5B43"/>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5B43"/>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5B43"/>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5B43"/>
    <w:pPr>
      <w:jc w:val="right"/>
    </w:pPr>
    <w:rPr>
      <w:sz w:val="20"/>
    </w:rPr>
  </w:style>
  <w:style w:type="paragraph" w:customStyle="1" w:styleId="ECHRHeaderRefIt">
    <w:name w:val="ECHR_Header_Ref_It"/>
    <w:aliases w:val="_Ref_Ital"/>
    <w:basedOn w:val="Normal"/>
    <w:next w:val="ECHRHeaderDate"/>
    <w:uiPriority w:val="43"/>
    <w:semiHidden/>
    <w:qFormat/>
    <w:rsid w:val="002B5B43"/>
    <w:pPr>
      <w:jc w:val="right"/>
    </w:pPr>
    <w:rPr>
      <w:i/>
      <w:sz w:val="20"/>
    </w:rPr>
  </w:style>
  <w:style w:type="paragraph" w:customStyle="1" w:styleId="ECHRHeading9">
    <w:name w:val="ECHR_Heading_9"/>
    <w:aliases w:val="_Head_9"/>
    <w:basedOn w:val="Heading9"/>
    <w:uiPriority w:val="17"/>
    <w:semiHidden/>
    <w:rsid w:val="002B5B43"/>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5B43"/>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5B43"/>
    <w:pPr>
      <w:numPr>
        <w:numId w:val="8"/>
      </w:numPr>
      <w:spacing w:before="60" w:after="60"/>
    </w:pPr>
  </w:style>
  <w:style w:type="paragraph" w:customStyle="1" w:styleId="ECHRNumberedList2">
    <w:name w:val="ECHR_Numbered_List_2"/>
    <w:aliases w:val="_Num_2"/>
    <w:basedOn w:val="ECHRNumberedList1"/>
    <w:uiPriority w:val="23"/>
    <w:semiHidden/>
    <w:rsid w:val="002B5B43"/>
    <w:pPr>
      <w:numPr>
        <w:ilvl w:val="1"/>
      </w:numPr>
    </w:pPr>
  </w:style>
  <w:style w:type="paragraph" w:customStyle="1" w:styleId="ECHRNumberedList3">
    <w:name w:val="ECHR_Numbered_List_3"/>
    <w:aliases w:val="_Num_3"/>
    <w:basedOn w:val="ECHRNumberedList2"/>
    <w:uiPriority w:val="23"/>
    <w:semiHidden/>
    <w:rsid w:val="002B5B43"/>
    <w:pPr>
      <w:numPr>
        <w:ilvl w:val="2"/>
      </w:numPr>
    </w:pPr>
  </w:style>
  <w:style w:type="paragraph" w:customStyle="1" w:styleId="ECHRParaHanging">
    <w:name w:val="ECHR_Para_Hanging"/>
    <w:aliases w:val="_Hanging"/>
    <w:basedOn w:val="NormalJustified"/>
    <w:uiPriority w:val="8"/>
    <w:semiHidden/>
    <w:qFormat/>
    <w:rsid w:val="002B5B43"/>
    <w:pPr>
      <w:ind w:left="567" w:hanging="567"/>
    </w:pPr>
  </w:style>
  <w:style w:type="paragraph" w:customStyle="1" w:styleId="ECHRParaIndent">
    <w:name w:val="ECHR_Para_Indent"/>
    <w:aliases w:val="_Indent"/>
    <w:basedOn w:val="NormalJustified"/>
    <w:uiPriority w:val="7"/>
    <w:semiHidden/>
    <w:qFormat/>
    <w:rsid w:val="002B5B43"/>
    <w:pPr>
      <w:spacing w:before="120" w:after="120"/>
      <w:ind w:left="284"/>
    </w:pPr>
  </w:style>
  <w:style w:type="character" w:customStyle="1" w:styleId="ECHRRed">
    <w:name w:val="ECHR_Red"/>
    <w:aliases w:val="_Red"/>
    <w:basedOn w:val="DefaultParagraphFont"/>
    <w:uiPriority w:val="15"/>
    <w:semiHidden/>
    <w:qFormat/>
    <w:rsid w:val="002B5B43"/>
    <w:rPr>
      <w:color w:val="C00000" w:themeColor="accent2"/>
    </w:rPr>
  </w:style>
  <w:style w:type="paragraph" w:customStyle="1" w:styleId="DecList">
    <w:name w:val="Dec_List"/>
    <w:aliases w:val="_List"/>
    <w:basedOn w:val="JuList"/>
    <w:uiPriority w:val="22"/>
    <w:rsid w:val="002B5B43"/>
    <w:pPr>
      <w:numPr>
        <w:numId w:val="0"/>
      </w:numPr>
      <w:ind w:left="284"/>
    </w:pPr>
  </w:style>
  <w:style w:type="table" w:customStyle="1" w:styleId="ECHRTable2">
    <w:name w:val="ECHR_Table_2"/>
    <w:basedOn w:val="TableNormal"/>
    <w:uiPriority w:val="99"/>
    <w:rsid w:val="002B5B43"/>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5B43"/>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5B43"/>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5B43"/>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5B43"/>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5B43"/>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5B43"/>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5B43"/>
    <w:pPr>
      <w:outlineLvl w:val="0"/>
    </w:pPr>
  </w:style>
  <w:style w:type="paragraph" w:customStyle="1" w:styleId="ECHRTitleTOC1">
    <w:name w:val="ECHR_Title_TOC_1"/>
    <w:aliases w:val="_Title_L_TOC"/>
    <w:basedOn w:val="ECHRTitle1"/>
    <w:next w:val="Normal"/>
    <w:uiPriority w:val="27"/>
    <w:semiHidden/>
    <w:qFormat/>
    <w:rsid w:val="002B5B43"/>
    <w:pPr>
      <w:outlineLvl w:val="0"/>
    </w:pPr>
  </w:style>
  <w:style w:type="paragraph" w:customStyle="1" w:styleId="ECHRPlaceholder">
    <w:name w:val="ECHR_Placeholder"/>
    <w:aliases w:val="_Placeholder"/>
    <w:basedOn w:val="JuSigned"/>
    <w:uiPriority w:val="31"/>
    <w:rsid w:val="002B5B43"/>
    <w:rPr>
      <w:color w:val="FFFFFF"/>
    </w:rPr>
  </w:style>
  <w:style w:type="paragraph" w:customStyle="1" w:styleId="ECHRSpacer">
    <w:name w:val="ECHR_Spacer"/>
    <w:aliases w:val="_Spacer"/>
    <w:basedOn w:val="Normal"/>
    <w:uiPriority w:val="45"/>
    <w:semiHidden/>
    <w:rsid w:val="002B5B43"/>
    <w:rPr>
      <w:sz w:val="4"/>
    </w:rPr>
  </w:style>
  <w:style w:type="table" w:customStyle="1" w:styleId="ECHRTableGrey">
    <w:name w:val="ECHR_Table_Grey"/>
    <w:basedOn w:val="TableNormal"/>
    <w:uiPriority w:val="99"/>
    <w:rsid w:val="002B5B43"/>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5B43"/>
    <w:rPr>
      <w:color w:val="605E5C"/>
      <w:shd w:val="clear" w:color="auto" w:fill="E1DFDD"/>
    </w:rPr>
  </w:style>
  <w:style w:type="character" w:customStyle="1" w:styleId="JuParaChar">
    <w:name w:val="Ju_Para Char"/>
    <w:aliases w:val="_Para Char"/>
    <w:link w:val="JuPara"/>
    <w:uiPriority w:val="4"/>
    <w:rsid w:val="00F16A32"/>
    <w:rPr>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2100</Words>
  <Characters>12048</Characters>
  <Application>Microsoft Office Word</Application>
  <DocSecurity>0</DocSecurity>
  <Lines>240</Lines>
  <Paragraphs>79</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14069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2024-01-12T09:11:00Z</dcterms:created>
  <dcterms:modified xsi:type="dcterms:W3CDTF">2024-01-12T09:14:00Z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1477005</vt:lpwstr>
  </property>
  <property fmtid="{D5CDD505-2E9C-101B-9397-08002B2CF9AE}" pid="3" name="cstLanguage">
    <vt:i4>2057</vt:i4>
  </property>
  <property fmtid="{D5CDD505-2E9C-101B-9397-08002B2CF9AE}" pid="4" name="RegisteredNo">
    <vt:lpwstr>48979/19</vt:lpwstr>
  </property>
</Properties>
</file>