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F97474" w:rsidP="00432751" w14:paraId="1A9E798D" w14:textId="6860B511">
      <w:pPr>
        <w:jc w:val="center"/>
        <w:rPr>
          <w:rFonts w:ascii="Times New Roman" w:hAnsi="Times New Roman" w:cs="Times New Roman"/>
          <w:noProof/>
        </w:rPr>
      </w:pPr>
    </w:p>
    <w:p w:rsidRPr="00432751" w:rsidR="00364EAC" w:rsidP="00432751" w14:paraId="610F45CF" w14:textId="77777777">
      <w:pPr>
        <w:jc w:val="center"/>
        <w:rPr>
          <w:rFonts w:ascii="Times New Roman" w:hAnsi="Times New Roman" w:cs="Times New Roman"/>
          <w:noProof/>
        </w:rPr>
      </w:pPr>
    </w:p>
    <w:p w:rsidRPr="00432751" w:rsidR="0098410D" w:rsidP="00432751" w14:paraId="105E1E1F" w14:textId="77777777">
      <w:pPr>
        <w:jc w:val="center"/>
      </w:pPr>
    </w:p>
    <w:p w:rsidRPr="00432751" w:rsidR="0098410D" w:rsidP="00432751" w14:paraId="05B6578B" w14:textId="5AE5337D">
      <w:pPr>
        <w:pStyle w:val="DecHTitle"/>
      </w:pPr>
      <w:r w:rsidRPr="00432751">
        <w:t>FIRST SECTION</w:t>
      </w:r>
    </w:p>
    <w:p w:rsidRPr="00432751" w:rsidR="008E6217" w:rsidP="00432751" w14:paraId="3F491F87" w14:textId="490720E0">
      <w:pPr>
        <w:pStyle w:val="JuTitle"/>
      </w:pPr>
      <w:r w:rsidRPr="00432751">
        <w:rPr>
          <w:color w:val="000000" w:themeColor="text1"/>
        </w:rPr>
        <w:t xml:space="preserve">CASE OF </w:t>
      </w:r>
      <w:r w:rsidRPr="00432751" w:rsidR="00F97474">
        <w:t>ROMANIUK v. POLAND</w:t>
      </w:r>
    </w:p>
    <w:p w:rsidRPr="00432751" w:rsidR="00D74888" w:rsidP="00432751" w14:paraId="734B4213" w14:textId="3C0E6AD8">
      <w:pPr>
        <w:pStyle w:val="ECHRCoverTitle4"/>
      </w:pPr>
      <w:r w:rsidRPr="00432751">
        <w:t>(</w:t>
      </w:r>
      <w:r w:rsidRPr="00432751" w:rsidR="00F97474">
        <w:rPr>
          <w:noProof/>
        </w:rPr>
        <w:t>Application no.</w:t>
      </w:r>
      <w:r w:rsidRPr="00432751">
        <w:t xml:space="preserve"> </w:t>
      </w:r>
      <w:r w:rsidRPr="00432751" w:rsidR="00F97474">
        <w:t>42179/14</w:t>
      </w:r>
      <w:r w:rsidRPr="00432751">
        <w:t>)</w:t>
      </w:r>
    </w:p>
    <w:p w:rsidRPr="00432751" w:rsidR="0098410D" w:rsidP="00432751" w14:paraId="2932D069" w14:textId="77777777">
      <w:pPr>
        <w:pStyle w:val="DecHCase"/>
      </w:pPr>
    </w:p>
    <w:p w:rsidRPr="00432751" w:rsidR="00364EAC" w:rsidP="00364EAC" w14:paraId="1449B9D2" w14:textId="77777777">
      <w:pPr>
        <w:pStyle w:val="DecHCase"/>
      </w:pPr>
    </w:p>
    <w:p w:rsidRPr="00432751" w:rsidR="00364EAC" w:rsidP="00364EAC" w14:paraId="6B6A66AF" w14:textId="77777777">
      <w:pPr>
        <w:pStyle w:val="DecHCase"/>
      </w:pPr>
    </w:p>
    <w:p w:rsidRPr="00432751" w:rsidR="0098410D" w:rsidP="00432751" w14:paraId="1D720937" w14:textId="533DB541">
      <w:pPr>
        <w:pStyle w:val="DecHCase"/>
      </w:pPr>
    </w:p>
    <w:p w:rsidRPr="00432751" w:rsidR="00FE7759" w:rsidP="00432751" w14:paraId="015F6A70" w14:textId="44830CC6">
      <w:pPr>
        <w:pStyle w:val="DecHCase"/>
      </w:pPr>
    </w:p>
    <w:p w:rsidRPr="00432751" w:rsidR="00364EAC" w:rsidP="00364EAC" w14:paraId="6B44DB93" w14:textId="77777777">
      <w:pPr>
        <w:pStyle w:val="DecHCase"/>
      </w:pPr>
      <w:r w:rsidRPr="00432751">
        <w:t>JUDGMENT</w:t>
      </w:r>
      <w:r w:rsidRPr="00432751" w:rsidR="00AC4CD4">
        <w:br/>
      </w:r>
    </w:p>
    <w:p w:rsidRPr="00432751" w:rsidR="00364EAC" w:rsidP="00364EAC" w14:paraId="4BA89089" w14:textId="77777777">
      <w:pPr>
        <w:pStyle w:val="DecHCase"/>
      </w:pPr>
    </w:p>
    <w:p w:rsidRPr="00432751" w:rsidR="00364EAC" w:rsidP="00364EAC" w14:paraId="1CBDB49C" w14:textId="77777777">
      <w:pPr>
        <w:pStyle w:val="DecHCase"/>
      </w:pPr>
    </w:p>
    <w:p w:rsidRPr="00432751" w:rsidR="0098410D" w:rsidP="00432751" w14:paraId="43508BA9" w14:textId="34C67A2C">
      <w:pPr>
        <w:pStyle w:val="DecHCase"/>
      </w:pPr>
    </w:p>
    <w:p w:rsidRPr="00432751" w:rsidR="0098410D" w:rsidP="00432751" w14:paraId="040AA7BE" w14:textId="77777777">
      <w:pPr>
        <w:pStyle w:val="DecHCase"/>
      </w:pPr>
      <w:r w:rsidRPr="00432751">
        <w:t>STRASBOURG</w:t>
      </w:r>
    </w:p>
    <w:p w:rsidRPr="00432751" w:rsidR="0098410D" w:rsidP="00432751" w14:paraId="27D1D33B" w14:textId="59C6255C">
      <w:pPr>
        <w:pStyle w:val="DecHCase"/>
      </w:pPr>
      <w:r w:rsidRPr="00432751">
        <w:rPr>
          <w:rFonts w:ascii="Times New Roman" w:hAnsi="Times New Roman" w:cs="Times New Roman"/>
        </w:rPr>
        <w:t>26 October 2023</w:t>
      </w:r>
    </w:p>
    <w:p w:rsidRPr="00432751" w:rsidR="002422B6" w:rsidP="00432751" w14:paraId="4082AC9B" w14:textId="79A11F08">
      <w:pPr>
        <w:rPr>
          <w:i/>
          <w:sz w:val="22"/>
        </w:rPr>
      </w:pPr>
      <w:r w:rsidRPr="00432751">
        <w:rPr>
          <w:i/>
          <w:sz w:val="22"/>
        </w:rPr>
        <w:t xml:space="preserve">This judgment </w:t>
      </w:r>
      <w:r w:rsidRPr="00432751" w:rsidR="00F97474">
        <w:rPr>
          <w:i/>
          <w:noProof/>
          <w:sz w:val="22"/>
        </w:rPr>
        <w:t>is final but it</w:t>
      </w:r>
      <w:r w:rsidRPr="00432751">
        <w:rPr>
          <w:i/>
          <w:sz w:val="22"/>
        </w:rPr>
        <w:t xml:space="preserve"> may be subject to editorial revision.</w:t>
      </w:r>
    </w:p>
    <w:p w:rsidRPr="00432751" w:rsidR="0098410D" w:rsidP="00432751" w14:paraId="7024958A"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32751" w:rsidR="0098410D" w:rsidP="00432751" w14:paraId="4689CA2A" w14:textId="1BDA2868">
      <w:pPr>
        <w:pStyle w:val="JuCase"/>
      </w:pPr>
      <w:r w:rsidRPr="00432751">
        <w:t xml:space="preserve">In the case of </w:t>
      </w:r>
      <w:r w:rsidRPr="00432751" w:rsidR="00F97474">
        <w:t>Romaniuk v. Poland</w:t>
      </w:r>
      <w:r w:rsidRPr="00432751">
        <w:t>,</w:t>
      </w:r>
    </w:p>
    <w:p w:rsidRPr="00432751" w:rsidR="009F4C8F" w:rsidP="00432751" w14:paraId="2F1D90FD" w14:textId="67D632BF">
      <w:pPr>
        <w:pStyle w:val="JuPara"/>
      </w:pPr>
      <w:r w:rsidRPr="00432751">
        <w:t>The European Court of Human Rights (</w:t>
      </w:r>
      <w:r w:rsidRPr="00432751" w:rsidR="00F97474">
        <w:t>First Section</w:t>
      </w:r>
      <w:r w:rsidRPr="00432751">
        <w:t xml:space="preserve">), sitting as a </w:t>
      </w:r>
      <w:r w:rsidRPr="00432751" w:rsidR="00F97474">
        <w:rPr>
          <w:noProof/>
        </w:rPr>
        <w:t>Committee</w:t>
      </w:r>
      <w:r w:rsidRPr="00432751">
        <w:t xml:space="preserve"> composed of:</w:t>
      </w:r>
    </w:p>
    <w:p w:rsidRPr="00432751" w:rsidR="00A92625" w:rsidP="00432751" w14:paraId="1C500AAF" w14:textId="00E8B18E">
      <w:pPr>
        <w:pStyle w:val="JuJudges"/>
      </w:pPr>
      <w:r w:rsidRPr="00432751">
        <w:rPr>
          <w:bCs/>
        </w:rPr>
        <w:tab/>
        <w:t xml:space="preserve">Ivana </w:t>
      </w:r>
      <w:r w:rsidRPr="00432751">
        <w:rPr>
          <w:bCs/>
        </w:rPr>
        <w:t>Jelić</w:t>
      </w:r>
      <w:r w:rsidRPr="00432751">
        <w:t xml:space="preserve">, </w:t>
      </w:r>
      <w:r w:rsidRPr="00432751">
        <w:rPr>
          <w:i/>
          <w:iCs/>
        </w:rPr>
        <w:t>President</w:t>
      </w:r>
      <w:r w:rsidRPr="00432751">
        <w:t>,</w:t>
      </w:r>
      <w:r w:rsidRPr="00432751">
        <w:br/>
      </w:r>
      <w:r w:rsidRPr="00432751">
        <w:tab/>
        <w:t xml:space="preserve">Krzysztof </w:t>
      </w:r>
      <w:r w:rsidRPr="00432751">
        <w:t>Wojtyczek</w:t>
      </w:r>
      <w:r w:rsidRPr="00432751">
        <w:t>,</w:t>
      </w:r>
      <w:r w:rsidRPr="00432751">
        <w:br/>
      </w:r>
      <w:r w:rsidRPr="00432751">
        <w:tab/>
        <w:t xml:space="preserve">Erik </w:t>
      </w:r>
      <w:r w:rsidRPr="00432751">
        <w:t>Wennerström</w:t>
      </w:r>
      <w:r w:rsidRPr="00432751">
        <w:rPr>
          <w:i/>
        </w:rPr>
        <w:t>, judges</w:t>
      </w:r>
      <w:r w:rsidRPr="00432751">
        <w:t>,</w:t>
      </w:r>
      <w:r w:rsidRPr="00432751" w:rsidR="009F4C8F">
        <w:br/>
        <w:t>and</w:t>
      </w:r>
      <w:r w:rsidRPr="00432751" w:rsidR="005C2C62">
        <w:t xml:space="preserve"> </w:t>
      </w:r>
      <w:r w:rsidRPr="00432751" w:rsidR="00F97474">
        <w:rPr>
          <w:rFonts w:eastAsia="PMingLiU"/>
          <w:noProof/>
        </w:rPr>
        <w:t>Liv Tigerstedt</w:t>
      </w:r>
      <w:r w:rsidRPr="00432751">
        <w:t xml:space="preserve">, </w:t>
      </w:r>
      <w:r w:rsidRPr="00432751" w:rsidR="00F97474">
        <w:rPr>
          <w:i/>
          <w:noProof/>
        </w:rPr>
        <w:t xml:space="preserve">Deputy </w:t>
      </w:r>
      <w:r w:rsidRPr="00432751" w:rsidR="00E744E0">
        <w:rPr>
          <w:i/>
        </w:rPr>
        <w:t>Section Registrar</w:t>
      </w:r>
      <w:r w:rsidRPr="00432751" w:rsidR="008F2465">
        <w:rPr>
          <w:i/>
        </w:rPr>
        <w:t>,</w:t>
      </w:r>
    </w:p>
    <w:p w:rsidRPr="00432751" w:rsidR="00F97474" w:rsidP="00432751" w14:paraId="45B6AE12" w14:textId="77777777">
      <w:pPr>
        <w:pStyle w:val="JuPara"/>
      </w:pPr>
      <w:r w:rsidRPr="00432751">
        <w:t>Having regard to:</w:t>
      </w:r>
    </w:p>
    <w:p w:rsidRPr="00432751" w:rsidR="00F97474" w:rsidP="00432751" w14:paraId="0C40C1DB" w14:textId="77777777">
      <w:pPr>
        <w:pStyle w:val="JuPara"/>
      </w:pPr>
      <w:r w:rsidRPr="00432751">
        <w:t xml:space="preserve">the application (no. 42179/14) against the Republic of Poland lodged with the Court under Article 34 of the Convention for the Protection of Human Rights and Fundamental Freedoms (“the Convention”) on 7 May 2014 by a Polish national, Mr Tomasz Romaniuk, born in 1985 and detained in </w:t>
      </w:r>
      <w:r w:rsidRPr="00432751">
        <w:t>Sokołów</w:t>
      </w:r>
      <w:r w:rsidRPr="00432751">
        <w:t xml:space="preserve"> </w:t>
      </w:r>
      <w:r w:rsidRPr="00432751">
        <w:t>Podlaski</w:t>
      </w:r>
      <w:r w:rsidRPr="00432751">
        <w:t xml:space="preserve"> (“the applicant”) who was represented by Mr </w:t>
      </w:r>
      <w:bookmarkStart w:name="_Hlk149069438" w:id="0"/>
      <w:r w:rsidRPr="00432751">
        <w:t xml:space="preserve">P. </w:t>
      </w:r>
      <w:r w:rsidRPr="00432751">
        <w:t>Sieńko</w:t>
      </w:r>
      <w:bookmarkEnd w:id="0"/>
      <w:r w:rsidRPr="00432751">
        <w:t>, a lawyer practising in Warsaw;</w:t>
      </w:r>
    </w:p>
    <w:p w:rsidRPr="00432751" w:rsidR="00F97474" w:rsidP="00432751" w14:paraId="2B59B5D1" w14:textId="77777777">
      <w:pPr>
        <w:pStyle w:val="JuPara"/>
      </w:pPr>
      <w:r w:rsidRPr="00432751">
        <w:t xml:space="preserve">the decision to give notice of the application to the Polish Government (“the Government”), represented by their Agent, Mr. J. </w:t>
      </w:r>
      <w:r w:rsidRPr="00432751">
        <w:t>Sobczak</w:t>
      </w:r>
      <w:r w:rsidRPr="00432751">
        <w:t xml:space="preserve"> of the Ministry of Foreign Affairs;</w:t>
      </w:r>
    </w:p>
    <w:p w:rsidRPr="00432751" w:rsidR="00F97474" w:rsidP="00432751" w14:paraId="2BA0E2CD" w14:textId="5B083941">
      <w:pPr>
        <w:pStyle w:val="JuPara"/>
      </w:pPr>
      <w:r w:rsidRPr="00432751">
        <w:t>the parties</w:t>
      </w:r>
      <w:r w:rsidRPr="00432751" w:rsidR="00432751">
        <w:t>’</w:t>
      </w:r>
      <w:r w:rsidRPr="00432751">
        <w:t xml:space="preserve"> observations;</w:t>
      </w:r>
    </w:p>
    <w:p w:rsidRPr="00432751" w:rsidR="009F4C8F" w:rsidP="00432751" w14:paraId="15A2234F" w14:textId="33924023">
      <w:pPr>
        <w:pStyle w:val="JuPara"/>
      </w:pPr>
      <w:r w:rsidRPr="00432751">
        <w:t xml:space="preserve">Having deliberated in private on </w:t>
      </w:r>
      <w:r w:rsidRPr="00432751" w:rsidR="00F97474">
        <w:t>3 October 2023</w:t>
      </w:r>
      <w:r w:rsidRPr="00432751">
        <w:t>,</w:t>
      </w:r>
    </w:p>
    <w:p w:rsidRPr="00432751" w:rsidR="009F4C8F" w:rsidP="00432751" w14:paraId="08315077" w14:textId="77777777">
      <w:pPr>
        <w:pStyle w:val="JuPara"/>
      </w:pPr>
      <w:r w:rsidRPr="00432751">
        <w:t>Delivers the following judgment, which was adopted on that date:</w:t>
      </w:r>
    </w:p>
    <w:p w:rsidRPr="00432751" w:rsidR="00F97474" w:rsidP="00432751" w14:paraId="66E892A3" w14:textId="1AB435E0">
      <w:pPr>
        <w:pStyle w:val="JuHHead"/>
        <w:numPr>
          <w:ilvl w:val="0"/>
          <w:numId w:val="0"/>
        </w:numPr>
      </w:pPr>
      <w:r w:rsidRPr="00432751">
        <w:t>SUBJECT MATTER OF THE CASE</w:t>
      </w:r>
    </w:p>
    <w:p w:rsidRPr="00432751" w:rsidR="00F97474" w:rsidP="00432751" w14:paraId="034E53E8" w14:textId="35C898E2">
      <w:pPr>
        <w:pStyle w:val="JuPara"/>
      </w:pPr>
      <w:r w:rsidRPr="00432751">
        <w:fldChar w:fldCharType="begin"/>
      </w:r>
      <w:r w:rsidRPr="00432751">
        <w:instrText xml:space="preserve"> SEQ level0 \*arabic \* MERGEF</w:instrText>
      </w:r>
      <w:r w:rsidRPr="00432751">
        <w:instrText xml:space="preserve">ORMAT </w:instrText>
      </w:r>
      <w:r w:rsidRPr="00432751">
        <w:fldChar w:fldCharType="separate"/>
      </w:r>
      <w:r w:rsidRPr="00432751" w:rsidR="00432751">
        <w:rPr>
          <w:noProof/>
        </w:rPr>
        <w:t>1</w:t>
      </w:r>
      <w:r w:rsidRPr="00432751">
        <w:rPr>
          <w:noProof/>
        </w:rPr>
        <w:fldChar w:fldCharType="end"/>
      </w:r>
      <w:r w:rsidRPr="00432751">
        <w:t>.  The issue in the case is whether the criminal proceedings against the applicant had been fair considering that he was not given an opportunity to examine or to have examined his co-defendant whose evidence was decisive for his conviction.</w:t>
      </w:r>
    </w:p>
    <w:p w:rsidRPr="00432751" w:rsidR="00F97474" w:rsidP="00432751" w14:paraId="6EF592D7" w14:textId="0D9A0E0A">
      <w:pPr>
        <w:pStyle w:val="JuPara"/>
      </w:pPr>
      <w:r w:rsidRPr="00432751">
        <w:fldChar w:fldCharType="begin"/>
      </w:r>
      <w:r w:rsidRPr="00432751">
        <w:instrText xml:space="preserve"> SEQ</w:instrText>
      </w:r>
      <w:r w:rsidRPr="00432751">
        <w:instrText xml:space="preserve"> level0 \*arabic \* MERGEFORMAT </w:instrText>
      </w:r>
      <w:r w:rsidRPr="00432751">
        <w:fldChar w:fldCharType="separate"/>
      </w:r>
      <w:r w:rsidRPr="00432751" w:rsidR="00432751">
        <w:rPr>
          <w:noProof/>
        </w:rPr>
        <w:t>2</w:t>
      </w:r>
      <w:r w:rsidRPr="00432751">
        <w:rPr>
          <w:noProof/>
        </w:rPr>
        <w:fldChar w:fldCharType="end"/>
      </w:r>
      <w:r w:rsidRPr="00432751">
        <w:t>.  On 8 August 2008 two rival criminal gangs engaged in a riot over the informal protection of a restaurant in O.M. Many participants carried melee weapons and multiple shots were fired by several persons. Four persons sustained gunshot wounds and one died as a result.</w:t>
      </w:r>
    </w:p>
    <w:p w:rsidRPr="00432751" w:rsidR="00F97474" w:rsidP="00432751" w14:paraId="5E0F3EB6" w14:textId="63714B94">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3</w:t>
      </w:r>
      <w:r w:rsidRPr="00432751">
        <w:rPr>
          <w:noProof/>
        </w:rPr>
        <w:fldChar w:fldCharType="end"/>
      </w:r>
      <w:r w:rsidRPr="00432751">
        <w:t>.  The applicant was tried, alongside nineteen other defendants, for participating in a riot with the use of dangerous instruments (Article 159 of the Criminal Code). Based on the evidence given by one of his co-defendants (R.W., who was involved in the fight on the same side as the applicant), the applicant was also charged with illegal possession of a firearm (Article 263 § 2 of the Criminal Code), using that firearm during the events and shooting all four victims, including one fatally (Articles 148 § 1, 156 § 1, and 157 § 1 of the Criminal Code). The applicant was represented by defence lawyers throughout the domestic proceedings.</w:t>
      </w:r>
    </w:p>
    <w:p w:rsidRPr="00432751" w:rsidR="00F97474" w:rsidP="00432751" w14:paraId="09E5BF96" w14:textId="08B1083F">
      <w:pPr>
        <w:pStyle w:val="JuPara"/>
      </w:pPr>
      <w:r w:rsidRPr="00432751">
        <w:fldChar w:fldCharType="begin"/>
      </w:r>
      <w:r w:rsidRPr="00432751">
        <w:instrText xml:space="preserve"> SEQ level0 \*arabic \* MERGEFORMAT</w:instrText>
      </w:r>
      <w:r w:rsidRPr="00432751">
        <w:instrText xml:space="preserve"> </w:instrText>
      </w:r>
      <w:r w:rsidRPr="00432751">
        <w:fldChar w:fldCharType="separate"/>
      </w:r>
      <w:r w:rsidRPr="00432751" w:rsidR="00432751">
        <w:rPr>
          <w:noProof/>
        </w:rPr>
        <w:t>4</w:t>
      </w:r>
      <w:r w:rsidRPr="00432751">
        <w:rPr>
          <w:noProof/>
        </w:rPr>
        <w:fldChar w:fldCharType="end"/>
      </w:r>
      <w:r w:rsidRPr="00432751">
        <w:t xml:space="preserve">.  Within the investigation, R.W. was questioned nine times by a prosecutor, without the applicant or his </w:t>
      </w:r>
      <w:r w:rsidRPr="00432751">
        <w:t>lawyer being present. During the first interview he did not identify the gunman. During the second one he gave the gunman</w:t>
      </w:r>
      <w:r w:rsidRPr="00432751" w:rsidR="00432751">
        <w:t>’</w:t>
      </w:r>
      <w:r w:rsidRPr="00432751">
        <w:t>s criminal alias and later identified the applicant in a photograph. R.W.</w:t>
      </w:r>
      <w:r w:rsidRPr="00432751" w:rsidR="00432751">
        <w:t>’</w:t>
      </w:r>
      <w:r w:rsidRPr="00432751">
        <w:t>s testimony identifying the applicant was not completely coherent – it varied as regards the applicant</w:t>
      </w:r>
      <w:r w:rsidRPr="00432751" w:rsidR="00432751">
        <w:t>’</w:t>
      </w:r>
      <w:r w:rsidRPr="00432751">
        <w:t>s positioning, way of shooting and statements made after firing the shots. No audio or video recordings of R.W.</w:t>
      </w:r>
      <w:r w:rsidRPr="00432751" w:rsidR="00432751">
        <w:t>’</w:t>
      </w:r>
      <w:r w:rsidRPr="00432751">
        <w:t>s testimony were made in the investigation.</w:t>
      </w:r>
    </w:p>
    <w:p w:rsidRPr="00432751" w:rsidR="00F97474" w:rsidP="00432751" w14:paraId="4DF38D72" w14:textId="78DE47F1">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5</w:t>
      </w:r>
      <w:r w:rsidRPr="00432751">
        <w:rPr>
          <w:noProof/>
        </w:rPr>
        <w:fldChar w:fldCharType="end"/>
      </w:r>
      <w:r w:rsidRPr="00432751">
        <w:t>.  Before the court, benefiting from his right not to incriminate himself, R.W. only indicated that he wished to maintain his testimony incriminating the applicant, explained that he had initially omitted the identity of the gunman as he had felt intimidated by another member of the group and refused to answer any questions, including those of the court. He was exempted from having to appear before the court after the first three hearings. His testimony was read out at the trial. The applicant gave his own version of the events but was only considered credible as regards his admission that he had been present at the crime scene.</w:t>
      </w:r>
    </w:p>
    <w:p w:rsidRPr="00432751" w:rsidR="00F97474" w:rsidP="00432751" w14:paraId="138631D9" w14:textId="3AC3CDAE">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6</w:t>
      </w:r>
      <w:r w:rsidRPr="00432751">
        <w:rPr>
          <w:noProof/>
        </w:rPr>
        <w:fldChar w:fldCharType="end"/>
      </w:r>
      <w:r w:rsidRPr="00432751">
        <w:t xml:space="preserve">.  On 2 December 2011, the </w:t>
      </w:r>
      <w:r w:rsidRPr="00432751">
        <w:t>Ostrołęka</w:t>
      </w:r>
      <w:r w:rsidRPr="00432751">
        <w:t xml:space="preserve"> Regional Court acquitted the applicant of shooting two persons, including the one who died, and convicted him of the remaining charges, notably the attempted murder by shooting of Ł.W. and M.K. The applicant was sentenced to a cumulative penalty of 12 years</w:t>
      </w:r>
      <w:r w:rsidRPr="00432751" w:rsidR="00432751">
        <w:t>’</w:t>
      </w:r>
      <w:r w:rsidRPr="00432751">
        <w:t xml:space="preserve"> imprisonment. R.W. was convicted of participating in a riot and sentenced to a fine of 1,200 Polish zlotys (approximately 270 euros).</w:t>
      </w:r>
    </w:p>
    <w:p w:rsidRPr="00432751" w:rsidR="00F97474" w:rsidP="00432751" w14:paraId="1E3306BC" w14:textId="63C95A27">
      <w:pPr>
        <w:pStyle w:val="JuPara"/>
      </w:pPr>
      <w:r w:rsidRPr="00432751">
        <w:fldChar w:fldCharType="begin"/>
      </w:r>
      <w:r w:rsidRPr="00432751">
        <w:instrText xml:space="preserve"> SEQ level0 \*arabic \* MERGEFORMAT </w:instrText>
      </w:r>
      <w:r w:rsidRPr="00432751">
        <w:fldChar w:fldCharType="separate"/>
      </w:r>
      <w:bookmarkStart w:name="paragraph00007" w:id="1"/>
      <w:r w:rsidRPr="00432751" w:rsidR="00432751">
        <w:rPr>
          <w:noProof/>
        </w:rPr>
        <w:t>7</w:t>
      </w:r>
      <w:bookmarkEnd w:id="1"/>
      <w:r w:rsidRPr="00432751">
        <w:rPr>
          <w:noProof/>
        </w:rPr>
        <w:fldChar w:fldCharType="end"/>
      </w:r>
      <w:r w:rsidRPr="00432751">
        <w:t>.  Based on testimony from multiple witnesses, the court established that there had been several gunmen at the scene but concluded that none other than the applicant could be identified. Based on the applicant</w:t>
      </w:r>
      <w:r w:rsidRPr="00432751" w:rsidR="00432751">
        <w:t>’</w:t>
      </w:r>
      <w:r w:rsidRPr="00432751">
        <w:t>s approximate position during the events (near the restaurant entrance, among other “defenders” of the building) his involvement in the shooting of two persons was ruled out, as their wounds could not have been inflicted from that position.</w:t>
      </w:r>
    </w:p>
    <w:p w:rsidRPr="00432751" w:rsidR="00F97474" w:rsidP="00432751" w14:paraId="269616EA" w14:textId="604B95B0">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8</w:t>
      </w:r>
      <w:r w:rsidRPr="00432751">
        <w:rPr>
          <w:noProof/>
        </w:rPr>
        <w:fldChar w:fldCharType="end"/>
      </w:r>
      <w:r w:rsidRPr="00432751">
        <w:t>.  The court found that the gunman</w:t>
      </w:r>
      <w:r w:rsidRPr="00432751" w:rsidR="00432751">
        <w:t>’</w:t>
      </w:r>
      <w:r w:rsidRPr="00432751">
        <w:t>s identity could not be established from CCTV footage from the scene. The weapon itself was never recovered. Out of the 19 co-defendants and 101 witnesses, only R.W. claimed that the applicant had carried or used a firearm at the scene.</w:t>
      </w:r>
    </w:p>
    <w:p w:rsidRPr="00432751" w:rsidR="00F97474" w:rsidP="00432751" w14:paraId="66F9E6D2" w14:textId="5F084CA7">
      <w:pPr>
        <w:pStyle w:val="JuPara"/>
      </w:pPr>
      <w:r w:rsidRPr="00432751">
        <w:fldChar w:fldCharType="begin"/>
      </w:r>
      <w:r w:rsidRPr="00432751">
        <w:instrText xml:space="preserve"> SEQ level0 \*arabic \* MERGEFORMAT </w:instrText>
      </w:r>
      <w:r w:rsidRPr="00432751">
        <w:fldChar w:fldCharType="separate"/>
      </w:r>
      <w:bookmarkStart w:name="paragraph00009" w:id="2"/>
      <w:r w:rsidRPr="00432751" w:rsidR="00432751">
        <w:rPr>
          <w:noProof/>
        </w:rPr>
        <w:t>9</w:t>
      </w:r>
      <w:bookmarkEnd w:id="2"/>
      <w:r w:rsidRPr="00432751">
        <w:rPr>
          <w:noProof/>
        </w:rPr>
        <w:fldChar w:fldCharType="end"/>
      </w:r>
      <w:r w:rsidRPr="00432751">
        <w:t xml:space="preserve">.  Noting the discrepancies in the testimony given by R.W. the court found one version, given during his second interview held on 18 February 2009, to be the sole credible version. The court accepted it as sufficient to establish that the applicant had carried a firearm, participated actively in the fight by firing the gun from near the restaurant entrance and had shot Ł.W. and M.K. In so far as some of the witnesses gave a description of the gunman which did not match the applicant or claimed that shots had been fired from a different direction than the </w:t>
      </w:r>
      <w:r w:rsidRPr="00432751">
        <w:t>applicant</w:t>
      </w:r>
      <w:r w:rsidRPr="00432751" w:rsidR="00432751">
        <w:t>’</w:t>
      </w:r>
      <w:r w:rsidRPr="00432751">
        <w:t>s position, the court found them unreliable. The court concluded that none of evidence which was considered reliable disproved the version presented by R.W.</w:t>
      </w:r>
    </w:p>
    <w:p w:rsidRPr="00432751" w:rsidR="00F97474" w:rsidP="00432751" w14:paraId="1C190200" w14:textId="68D87E6E">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10</w:t>
      </w:r>
      <w:r w:rsidRPr="00432751">
        <w:rPr>
          <w:noProof/>
        </w:rPr>
        <w:fldChar w:fldCharType="end"/>
      </w:r>
      <w:r w:rsidRPr="00432751">
        <w:t>.  The applicant appealed against the first-instance judgment. R.W did not.</w:t>
      </w:r>
    </w:p>
    <w:p w:rsidRPr="00432751" w:rsidR="00F97474" w:rsidP="00432751" w14:paraId="066E6935" w14:textId="0A0C4D72">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11</w:t>
      </w:r>
      <w:r w:rsidRPr="00432751">
        <w:rPr>
          <w:noProof/>
        </w:rPr>
        <w:fldChar w:fldCharType="end"/>
      </w:r>
      <w:r w:rsidRPr="00432751">
        <w:t xml:space="preserve">.  During the appellate proceedings, the applicant requested that the court admit as evidence the testimony of R.W., with simultaneous playback of the CCTV footage. On 25 October 2012 the </w:t>
      </w:r>
      <w:r w:rsidRPr="00432751">
        <w:t>Białystok</w:t>
      </w:r>
      <w:r w:rsidRPr="00432751">
        <w:t xml:space="preserve"> Court of Appeal dismissed the request on the grounds that these two pieces of evidence had already been gathered at first instance and that the request had clearly been aimed at prolonging the proceedings.</w:t>
      </w:r>
    </w:p>
    <w:p w:rsidRPr="00432751" w:rsidR="00F97474" w:rsidP="00432751" w14:paraId="54C6DA5D" w14:textId="7FEEC175">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12</w:t>
      </w:r>
      <w:r w:rsidRPr="00432751">
        <w:rPr>
          <w:noProof/>
        </w:rPr>
        <w:fldChar w:fldCharType="end"/>
      </w:r>
      <w:r w:rsidRPr="00432751">
        <w:t>.  On 31 October 2012 the appellate court slightly amended the impugned judgment. The relevant charges against the applicant and his sentence remained unchanged.</w:t>
      </w:r>
    </w:p>
    <w:p w:rsidRPr="00432751" w:rsidR="00F97474" w:rsidP="00432751" w14:paraId="6BB3FFE5" w14:textId="0A380817">
      <w:pPr>
        <w:pStyle w:val="JuPara"/>
      </w:pPr>
      <w:r w:rsidRPr="00432751">
        <w:fldChar w:fldCharType="begin"/>
      </w:r>
      <w:r w:rsidRPr="00432751">
        <w:instrText xml:space="preserve"> SEQ level0 \*arabic \* MERGEFORMAT </w:instrText>
      </w:r>
      <w:r w:rsidRPr="00432751">
        <w:fldChar w:fldCharType="separate"/>
      </w:r>
      <w:bookmarkStart w:name="paragraph00013" w:id="3"/>
      <w:r w:rsidRPr="00432751" w:rsidR="00432751">
        <w:rPr>
          <w:noProof/>
        </w:rPr>
        <w:t>13</w:t>
      </w:r>
      <w:bookmarkEnd w:id="3"/>
      <w:r w:rsidRPr="00432751">
        <w:rPr>
          <w:noProof/>
        </w:rPr>
        <w:fldChar w:fldCharType="end"/>
      </w:r>
      <w:r w:rsidRPr="00432751">
        <w:t>.  The appellate court explicitly stated that R.W.</w:t>
      </w:r>
      <w:r w:rsidRPr="00432751" w:rsidR="00432751">
        <w:t>’</w:t>
      </w:r>
      <w:r w:rsidRPr="00432751">
        <w:t>s testimony had been the sole evidence linking the applicant to the injuries sustained by Ł.W. It concluded, however, that the fact that it was the only evidence did not mean that it was not sufficient.</w:t>
      </w:r>
    </w:p>
    <w:p w:rsidRPr="00432751" w:rsidR="00F97474" w:rsidP="00432751" w14:paraId="736CD36C" w14:textId="3025AB32">
      <w:pPr>
        <w:pStyle w:val="JuPara"/>
      </w:pPr>
      <w:r w:rsidRPr="00432751">
        <w:fldChar w:fldCharType="begin"/>
      </w:r>
      <w:r w:rsidRPr="00432751">
        <w:instrText xml:space="preserve"> SEQ level0 \*arabic \* MERGEFORMAT </w:instrText>
      </w:r>
      <w:r w:rsidRPr="00432751">
        <w:fldChar w:fldCharType="separate"/>
      </w:r>
      <w:bookmarkStart w:name="paragraph00014" w:id="4"/>
      <w:r w:rsidRPr="00432751" w:rsidR="00432751">
        <w:rPr>
          <w:noProof/>
        </w:rPr>
        <w:t>14</w:t>
      </w:r>
      <w:bookmarkEnd w:id="4"/>
      <w:r w:rsidRPr="00432751">
        <w:rPr>
          <w:noProof/>
        </w:rPr>
        <w:fldChar w:fldCharType="end"/>
      </w:r>
      <w:r w:rsidRPr="00432751">
        <w:t>.  As regards the shooting of M.K., the court similarly invoked R.W.</w:t>
      </w:r>
      <w:r w:rsidRPr="00432751" w:rsidR="00432751">
        <w:t>’</w:t>
      </w:r>
      <w:r w:rsidRPr="00432751">
        <w:t>s testimony as the only evidence which identified the applicant as the gunman. It further cited evidence with which the impugned testimony was confronted – namely, that indicating the gunman</w:t>
      </w:r>
      <w:r w:rsidRPr="00432751" w:rsidR="00432751">
        <w:t>’</w:t>
      </w:r>
      <w:r w:rsidRPr="00432751">
        <w:t>s approximate position, but not his identity – and concluded that this had been sufficient to find the applicant guilty of that charge.</w:t>
      </w:r>
    </w:p>
    <w:p w:rsidRPr="00432751" w:rsidR="00F97474" w:rsidP="00432751" w14:paraId="30F7D158" w14:textId="162925F5">
      <w:pPr>
        <w:pStyle w:val="JuPara"/>
      </w:pPr>
      <w:r w:rsidRPr="00432751">
        <w:fldChar w:fldCharType="begin"/>
      </w:r>
      <w:r w:rsidRPr="00432751">
        <w:instrText xml:space="preserve"> SEQ level0 \*arabic \* MERGEFORMAT </w:instrText>
      </w:r>
      <w:r w:rsidRPr="00432751">
        <w:fldChar w:fldCharType="separate"/>
      </w:r>
      <w:bookmarkStart w:name="paragraph00015" w:id="5"/>
      <w:r w:rsidRPr="00432751" w:rsidR="00432751">
        <w:rPr>
          <w:noProof/>
        </w:rPr>
        <w:t>15</w:t>
      </w:r>
      <w:bookmarkEnd w:id="5"/>
      <w:r w:rsidRPr="00432751">
        <w:rPr>
          <w:noProof/>
        </w:rPr>
        <w:fldChar w:fldCharType="end"/>
      </w:r>
      <w:r w:rsidRPr="00432751">
        <w:t>.  The applicant lodged a cassation appeal, complaining notably under Article 6 of the Convention about the dismissal of his request for R.W.</w:t>
      </w:r>
      <w:r w:rsidRPr="00432751" w:rsidR="00432751">
        <w:t>’</w:t>
      </w:r>
      <w:r w:rsidRPr="00432751">
        <w:t>s questioning and indicating that, as R.W.</w:t>
      </w:r>
      <w:r w:rsidRPr="00432751" w:rsidR="00432751">
        <w:t>’</w:t>
      </w:r>
      <w:r w:rsidRPr="00432751">
        <w:t>s sentence had already become final, the latter would have been obliged to testify before the appellate court.</w:t>
      </w:r>
    </w:p>
    <w:p w:rsidRPr="00432751" w:rsidR="00F97474" w:rsidP="00432751" w14:paraId="2E26E13B" w14:textId="0A3FE100">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16</w:t>
      </w:r>
      <w:r w:rsidRPr="00432751">
        <w:rPr>
          <w:noProof/>
        </w:rPr>
        <w:fldChar w:fldCharType="end"/>
      </w:r>
      <w:r w:rsidRPr="00432751">
        <w:t>.  On 8 November 2013 the Supreme Court dismissed the cassation appeal as manifestly ill-founded without giving written reasons.</w:t>
      </w:r>
    </w:p>
    <w:p w:rsidRPr="00432751" w:rsidR="00F97474" w:rsidP="00432751" w14:paraId="249B5A1E" w14:textId="3310C41E">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17</w:t>
      </w:r>
      <w:r w:rsidRPr="00432751">
        <w:rPr>
          <w:noProof/>
        </w:rPr>
        <w:fldChar w:fldCharType="end"/>
      </w:r>
      <w:r w:rsidRPr="00432751">
        <w:t>.  The applicant complained, under Article 6 §§ 1 and 3 (d) of the Convention, that his conviction was based to a decisive extent on the statements of a witness whom he was unable to examine or have examined.</w:t>
      </w:r>
    </w:p>
    <w:p w:rsidRPr="00432751" w:rsidR="00F97474" w:rsidP="00432751" w14:paraId="76DD07E3" w14:textId="373F2363">
      <w:pPr>
        <w:pStyle w:val="JuHHead"/>
      </w:pPr>
      <w:r w:rsidRPr="00432751">
        <w:t>THE COURT</w:t>
      </w:r>
      <w:r w:rsidRPr="00432751" w:rsidR="00432751">
        <w:t>’</w:t>
      </w:r>
      <w:r w:rsidRPr="00432751">
        <w:t>S ASSESSMENT</w:t>
      </w:r>
    </w:p>
    <w:p w:rsidRPr="00432751" w:rsidR="00F97474" w:rsidP="00432751" w14:paraId="18848B40" w14:textId="77777777">
      <w:pPr>
        <w:pStyle w:val="JuHIRoman"/>
        <w:numPr>
          <w:ilvl w:val="0"/>
          <w:numId w:val="0"/>
        </w:numPr>
      </w:pPr>
      <w:r w:rsidRPr="00432751">
        <w:t>ALLEGED VIOLATION OF ARTICLE 6 §§ 1 AND 3 (D) OF THE CONVENTION</w:t>
      </w:r>
    </w:p>
    <w:p w:rsidRPr="00432751" w:rsidR="00F97474" w:rsidP="00432751" w14:paraId="2FDECC6D" w14:textId="2E716155">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18</w:t>
      </w:r>
      <w:r w:rsidRPr="00432751">
        <w:rPr>
          <w:noProof/>
        </w:rPr>
        <w:fldChar w:fldCharType="end"/>
      </w:r>
      <w:r w:rsidRPr="00432751">
        <w:t>.  The Court notes that this complaint is not manifestly ill-founded within the meaning of Article 35 § 3 (a) of the Convention or inadmissible on any other grounds. It must therefore be declared admissible.</w:t>
      </w:r>
    </w:p>
    <w:p w:rsidRPr="00432751" w:rsidR="00F97474" w:rsidP="00432751" w14:paraId="11553197" w14:textId="3FB385CA">
      <w:pPr>
        <w:pStyle w:val="JuPara"/>
      </w:pPr>
      <w:r>
        <w:fldChar w:fldCharType="begin"/>
      </w:r>
      <w:r>
        <w:instrText xml:space="preserve"> SEQ level0 \*arabic \* MERGEFORMAT </w:instrText>
      </w:r>
      <w:r>
        <w:fldChar w:fldCharType="separate"/>
      </w:r>
      <w:r w:rsidRPr="00432751" w:rsidR="00432751">
        <w:rPr>
          <w:noProof/>
        </w:rPr>
        <w:t>19</w:t>
      </w:r>
      <w:r w:rsidRPr="00432751" w:rsidR="00432751">
        <w:rPr>
          <w:noProof/>
        </w:rPr>
        <w:fldChar w:fldCharType="end"/>
      </w:r>
      <w:r w:rsidRPr="00432751">
        <w:t xml:space="preserve">.  The general principles concerning the examination of absent witnesses and use by the courts of the evidence given by those witnesses, laying down a tripartite test, have been summarised in </w:t>
      </w:r>
      <w:r w:rsidRPr="00432751">
        <w:rPr>
          <w:i/>
          <w:iCs/>
        </w:rPr>
        <w:t>Schatschaschwili</w:t>
      </w:r>
      <w:r w:rsidRPr="00432751">
        <w:rPr>
          <w:i/>
          <w:iCs/>
        </w:rPr>
        <w:t xml:space="preserve"> v. Germany</w:t>
      </w:r>
      <w:r w:rsidRPr="00432751">
        <w:t xml:space="preserve"> ([GC], no. 9154/10, §§ 100-31, ECHR 2015), </w:t>
      </w:r>
      <w:r w:rsidRPr="00432751">
        <w:rPr>
          <w:i/>
          <w:iCs/>
        </w:rPr>
        <w:t xml:space="preserve">Al-Khawaja and </w:t>
      </w:r>
      <w:r w:rsidRPr="00432751">
        <w:rPr>
          <w:i/>
          <w:iCs/>
        </w:rPr>
        <w:t>Tahery</w:t>
      </w:r>
      <w:r w:rsidRPr="00432751">
        <w:rPr>
          <w:i/>
          <w:iCs/>
        </w:rPr>
        <w:t xml:space="preserve"> v.</w:t>
      </w:r>
      <w:r w:rsidRPr="00432751" w:rsidR="002656E9">
        <w:rPr>
          <w:i/>
          <w:iCs/>
        </w:rPr>
        <w:t xml:space="preserve"> </w:t>
      </w:r>
      <w:r w:rsidRPr="00432751">
        <w:rPr>
          <w:i/>
          <w:iCs/>
        </w:rPr>
        <w:t>the United Kingdom</w:t>
      </w:r>
      <w:r w:rsidRPr="00432751">
        <w:t xml:space="preserve"> ([GC], nos. 26766/05 and 22228/06, §§ 118‑47, ECHR 2011) and </w:t>
      </w:r>
      <w:r w:rsidRPr="00432751">
        <w:rPr>
          <w:i/>
          <w:iCs/>
        </w:rPr>
        <w:t>Kuchta</w:t>
      </w:r>
      <w:r w:rsidRPr="00432751">
        <w:rPr>
          <w:i/>
          <w:iCs/>
        </w:rPr>
        <w:t xml:space="preserve"> v. Poland</w:t>
      </w:r>
      <w:r w:rsidRPr="00432751">
        <w:rPr>
          <w:lang w:eastAsia="en-GB"/>
        </w:rPr>
        <w:t xml:space="preserve"> (no. </w:t>
      </w:r>
      <w:r w:rsidRPr="00432751">
        <w:t>58683/08</w:t>
      </w:r>
      <w:r w:rsidRPr="00432751">
        <w:rPr>
          <w:lang w:eastAsia="en-GB"/>
        </w:rPr>
        <w:t xml:space="preserve">, </w:t>
      </w:r>
      <w:r w:rsidRPr="00432751">
        <w:t>§§</w:t>
      </w:r>
      <w:r w:rsidRPr="00432751" w:rsidR="00624823">
        <w:t> </w:t>
      </w:r>
      <w:r w:rsidRPr="00432751">
        <w:t>44-49, 23 January 2018).</w:t>
      </w:r>
    </w:p>
    <w:p w:rsidRPr="00432751" w:rsidR="00F97474" w:rsidP="00432751" w14:paraId="0C5C25FB" w14:textId="278A21F2">
      <w:pPr>
        <w:pStyle w:val="JuHA"/>
      </w:pPr>
      <w:r w:rsidRPr="00432751">
        <w:t>Whether there was a good reason for admitting pre-trial evidence from R.W., as absent witness, at the applicant</w:t>
      </w:r>
      <w:r w:rsidRPr="00432751" w:rsidR="00432751">
        <w:t>’</w:t>
      </w:r>
      <w:r w:rsidRPr="00432751">
        <w:t>s trial</w:t>
      </w:r>
    </w:p>
    <w:p w:rsidRPr="00432751" w:rsidR="00F97474" w:rsidP="00432751" w14:paraId="4629C388" w14:textId="0DFFD108">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20</w:t>
      </w:r>
      <w:r w:rsidRPr="00432751">
        <w:rPr>
          <w:noProof/>
        </w:rPr>
        <w:fldChar w:fldCharType="end"/>
      </w:r>
      <w:r w:rsidRPr="00432751">
        <w:t xml:space="preserve">.  Unlike in </w:t>
      </w:r>
      <w:r w:rsidRPr="00432751">
        <w:rPr>
          <w:i/>
          <w:iCs/>
        </w:rPr>
        <w:t>Kuchta</w:t>
      </w:r>
      <w:r w:rsidRPr="00432751">
        <w:rPr>
          <w:i/>
          <w:iCs/>
        </w:rPr>
        <w:t xml:space="preserve"> </w:t>
      </w:r>
      <w:r w:rsidRPr="00432751">
        <w:t>(cited above), it was not disputed by either party that R.W., as a co-defendant, had the right not to testify until the end of the first</w:t>
      </w:r>
      <w:r w:rsidRPr="00432751">
        <w:noBreakHyphen/>
        <w:t>instance proceedings and that, as a result, there were solid grounds for his non-attendance at that stage.</w:t>
      </w:r>
    </w:p>
    <w:p w:rsidRPr="00432751" w:rsidR="00F97474" w:rsidP="00432751" w14:paraId="4B3F1ED5" w14:textId="4AF4169D">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21</w:t>
      </w:r>
      <w:r w:rsidRPr="00432751">
        <w:rPr>
          <w:noProof/>
        </w:rPr>
        <w:fldChar w:fldCharType="end"/>
      </w:r>
      <w:r w:rsidRPr="00432751">
        <w:t>.  The parties disagreed as to whether it was admissible and expedient to question R.W. in the appellate proceedings.</w:t>
      </w:r>
    </w:p>
    <w:p w:rsidRPr="00432751" w:rsidR="00F97474" w:rsidP="00432751" w14:paraId="4F8EB6D5" w14:textId="67CD5610">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22</w:t>
      </w:r>
      <w:r w:rsidRPr="00432751">
        <w:rPr>
          <w:noProof/>
        </w:rPr>
        <w:fldChar w:fldCharType="end"/>
      </w:r>
      <w:r w:rsidRPr="00432751">
        <w:t xml:space="preserve">.  The applicant maintained his stance expressed in his cassation appeal (paragraph </w:t>
      </w:r>
      <w:r w:rsidRPr="00432751">
        <w:fldChar w:fldCharType="begin"/>
      </w:r>
      <w:r w:rsidRPr="00432751">
        <w:instrText xml:space="preserve"> REF paragraph00015 \h  \* CharFormat </w:instrText>
      </w:r>
      <w:r w:rsidRPr="00432751">
        <w:fldChar w:fldCharType="separate"/>
      </w:r>
      <w:r w:rsidRPr="00432751" w:rsidR="00432751">
        <w:t>15</w:t>
      </w:r>
      <w:r w:rsidRPr="00432751">
        <w:fldChar w:fldCharType="end"/>
      </w:r>
      <w:r w:rsidRPr="00432751">
        <w:t xml:space="preserve"> above), submitting that R.W.</w:t>
      </w:r>
      <w:r w:rsidRPr="00432751" w:rsidR="00432751">
        <w:t>’</w:t>
      </w:r>
      <w:r w:rsidRPr="00432751">
        <w:t>s testimony could have been tested before the appellate court.</w:t>
      </w:r>
    </w:p>
    <w:p w:rsidRPr="00432751" w:rsidR="00F97474" w:rsidP="00432751" w14:paraId="3108E0F9" w14:textId="09CC6463">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23</w:t>
      </w:r>
      <w:r w:rsidRPr="00432751">
        <w:rPr>
          <w:noProof/>
        </w:rPr>
        <w:fldChar w:fldCharType="end"/>
      </w:r>
      <w:r w:rsidRPr="00432751">
        <w:t>.  The Government stated that, within the appellate proceedings, the first-instance judgment remained subject to being quashed in respect of all defendants, including R.W., even in the absence of their own appeals and that, as a result, the latter remained a co-defendant until the end of that stage of the proceedings. The Government concluded that questioning R.W. as a witness would have amounted to circumventing the law and confusing the role of defendant and witness which would, in turn, have resulted in the violation of his rights of defence.</w:t>
      </w:r>
    </w:p>
    <w:p w:rsidRPr="00432751" w:rsidR="00F97474" w:rsidP="00432751" w14:paraId="3CAB70E5" w14:textId="6284B9DA">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24</w:t>
      </w:r>
      <w:r w:rsidRPr="00432751">
        <w:rPr>
          <w:noProof/>
        </w:rPr>
        <w:fldChar w:fldCharType="end"/>
      </w:r>
      <w:r w:rsidRPr="00432751">
        <w:t>.  The Court notes, however, that there appears to have been no general procedural obstacles for the appellate court to summon R.W. It was only the capacity in which he would have had to appear before that court (as a co</w:t>
      </w:r>
      <w:r w:rsidRPr="00432751">
        <w:noBreakHyphen/>
        <w:t>defendant or a witness) that was at stake. Thus, the Government</w:t>
      </w:r>
      <w:r w:rsidRPr="00432751" w:rsidR="00432751">
        <w:t>’</w:t>
      </w:r>
      <w:r w:rsidRPr="00432751">
        <w:t xml:space="preserve">s argument would only have become relevant </w:t>
      </w:r>
      <w:r w:rsidRPr="00432751">
        <w:t xml:space="preserve">if the appellate court had summoned R.W. and questioned him as a witness rather than as a defendant. Instead, the </w:t>
      </w:r>
      <w:r w:rsidRPr="00432751">
        <w:t>Białystok</w:t>
      </w:r>
      <w:r w:rsidRPr="00432751">
        <w:t xml:space="preserve"> Court of Appeal dismissed the applicant</w:t>
      </w:r>
      <w:r w:rsidRPr="00432751" w:rsidR="00432751">
        <w:t>’</w:t>
      </w:r>
      <w:r w:rsidRPr="00432751">
        <w:t>s request solely on the grounds that the requested evidence had already been gathered and that its alleged sole aim was to prolong the proceedings.</w:t>
      </w:r>
    </w:p>
    <w:p w:rsidRPr="00432751" w:rsidR="00F97474" w:rsidP="00432751" w14:paraId="1816E320" w14:textId="01B0D864">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25</w:t>
      </w:r>
      <w:r w:rsidRPr="00432751">
        <w:rPr>
          <w:noProof/>
        </w:rPr>
        <w:fldChar w:fldCharType="end"/>
      </w:r>
      <w:r w:rsidRPr="00432751">
        <w:t>.  In the light of that court</w:t>
      </w:r>
      <w:r w:rsidRPr="00432751" w:rsidR="00432751">
        <w:t>’</w:t>
      </w:r>
      <w:r w:rsidRPr="00432751">
        <w:t>s own findings as regards the importance of R.W.</w:t>
      </w:r>
      <w:r w:rsidRPr="00432751" w:rsidR="00432751">
        <w:t>’</w:t>
      </w:r>
      <w:r w:rsidRPr="00432751">
        <w:t>s testimony for the applicant</w:t>
      </w:r>
      <w:r w:rsidRPr="00432751" w:rsidR="00432751">
        <w:t>’</w:t>
      </w:r>
      <w:r w:rsidRPr="00432751">
        <w:t xml:space="preserve">s conviction (paragraphs </w:t>
      </w:r>
      <w:r w:rsidRPr="00432751">
        <w:fldChar w:fldCharType="begin"/>
      </w:r>
      <w:r w:rsidRPr="00432751">
        <w:instrText xml:space="preserve"> REF paragraph00013 \h  \* CharFormat </w:instrText>
      </w:r>
      <w:r w:rsidRPr="00432751">
        <w:fldChar w:fldCharType="separate"/>
      </w:r>
      <w:r w:rsidRPr="00432751" w:rsidR="00432751">
        <w:t>13</w:t>
      </w:r>
      <w:r w:rsidRPr="00432751">
        <w:fldChar w:fldCharType="end"/>
      </w:r>
      <w:r w:rsidRPr="00432751">
        <w:t>-</w:t>
      </w:r>
      <w:r w:rsidRPr="00432751">
        <w:fldChar w:fldCharType="begin"/>
      </w:r>
      <w:r w:rsidRPr="00432751">
        <w:instrText xml:space="preserve"> REF paragraph00014 \h  \* CharFormat </w:instrText>
      </w:r>
      <w:r w:rsidRPr="00432751">
        <w:fldChar w:fldCharType="separate"/>
      </w:r>
      <w:r w:rsidRPr="00432751" w:rsidR="00432751">
        <w:t>14</w:t>
      </w:r>
      <w:r w:rsidRPr="00432751">
        <w:fldChar w:fldCharType="end"/>
      </w:r>
      <w:r w:rsidRPr="00432751">
        <w:t xml:space="preserve"> above), the concern for the speed of the proceedings, cited for the purposes of dismissing the applicant</w:t>
      </w:r>
      <w:r w:rsidRPr="00432751" w:rsidR="00432751">
        <w:t>’</w:t>
      </w:r>
      <w:r w:rsidRPr="00432751">
        <w:t>s evidentiary request, does not appear convincing. Swiftness of proceedings cannot outweigh the difficulties which resulted for the defence from the refusal to hear a key witness.</w:t>
      </w:r>
    </w:p>
    <w:p w:rsidRPr="00432751" w:rsidR="00F97474" w:rsidP="00432751" w14:paraId="4114059C" w14:textId="4297B5B4">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26</w:t>
      </w:r>
      <w:r w:rsidRPr="00432751">
        <w:rPr>
          <w:noProof/>
        </w:rPr>
        <w:fldChar w:fldCharType="end"/>
      </w:r>
      <w:r w:rsidRPr="00432751">
        <w:t>.  Had the second-instance court summoned R.W., and assuming that the latter remained a co-defendant exercising his right to remain silent in the appellate proceedings (</w:t>
      </w:r>
      <w:r w:rsidRPr="00432751">
        <w:rPr>
          <w:i/>
          <w:iCs/>
        </w:rPr>
        <w:t xml:space="preserve">mutatis mutandis </w:t>
      </w:r>
      <w:r w:rsidRPr="00432751">
        <w:rPr>
          <w:i/>
          <w:iCs/>
        </w:rPr>
        <w:t>Kuchta</w:t>
      </w:r>
      <w:r w:rsidRPr="00432751">
        <w:t>, cited above, § 51), the respondent State could not have been criticised for allowing him to exercise his right not to answer any questions (</w:t>
      </w:r>
      <w:r w:rsidRPr="00432751">
        <w:rPr>
          <w:i/>
        </w:rPr>
        <w:t>Vidgen</w:t>
      </w:r>
      <w:r w:rsidRPr="00432751">
        <w:rPr>
          <w:i/>
        </w:rPr>
        <w:t xml:space="preserve"> v.</w:t>
      </w:r>
      <w:r w:rsidRPr="00432751" w:rsidR="002656E9">
        <w:rPr>
          <w:i/>
        </w:rPr>
        <w:t xml:space="preserve"> </w:t>
      </w:r>
      <w:r w:rsidRPr="00432751">
        <w:rPr>
          <w:i/>
        </w:rPr>
        <w:t>the Netherlands</w:t>
      </w:r>
      <w:r w:rsidRPr="00432751">
        <w:t xml:space="preserve">, no. 29353/06, § 42, 10 July 2012). However, as the </w:t>
      </w:r>
      <w:r w:rsidRPr="00432751">
        <w:t>Białystok</w:t>
      </w:r>
      <w:r w:rsidRPr="00432751">
        <w:t xml:space="preserve"> Court of Appeal dismissed the applicant</w:t>
      </w:r>
      <w:r w:rsidRPr="00432751" w:rsidR="00432751">
        <w:t>’</w:t>
      </w:r>
      <w:r w:rsidRPr="00432751">
        <w:t xml:space="preserve">s evidentiary request </w:t>
      </w:r>
      <w:r w:rsidRPr="00432751">
        <w:rPr>
          <w:i/>
          <w:iCs/>
        </w:rPr>
        <w:t xml:space="preserve">a </w:t>
      </w:r>
      <w:r w:rsidRPr="00432751">
        <w:rPr>
          <w:i/>
          <w:iCs/>
        </w:rPr>
        <w:t>limine</w:t>
      </w:r>
      <w:r w:rsidRPr="00432751">
        <w:t xml:space="preserve"> without any reference to R.W.</w:t>
      </w:r>
      <w:r w:rsidRPr="00432751" w:rsidR="00432751">
        <w:t>’</w:t>
      </w:r>
      <w:r w:rsidRPr="00432751">
        <w:t xml:space="preserve">s status, the Court is not satisfied that all reasonable attempts were made by domestic authorities to allow the applicant to obtain answers from R.W. at the stage of the appellate proceedings (compare and contrast </w:t>
      </w:r>
      <w:r w:rsidRPr="00432751">
        <w:rPr>
          <w:i/>
        </w:rPr>
        <w:t>Vidgen</w:t>
      </w:r>
      <w:r w:rsidRPr="00432751">
        <w:t>, cited above, §§ 14-16 and 47).</w:t>
      </w:r>
    </w:p>
    <w:p w:rsidRPr="00432751" w:rsidR="00F97474" w:rsidP="00432751" w14:paraId="38281A59" w14:textId="5AA0DDD9">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27</w:t>
      </w:r>
      <w:r w:rsidRPr="00432751">
        <w:rPr>
          <w:noProof/>
        </w:rPr>
        <w:fldChar w:fldCharType="end"/>
      </w:r>
      <w:r w:rsidRPr="00432751">
        <w:t xml:space="preserve">.  In any event, the absence of good reason for the non-attendance of a witness cannot of itself be conclusive of the unfairness of a trial. It remains, however, a very important factor to be weighed in the balance when assessing the overall fairness of a trial and one which may tip the balance in favour of finding a breach of Article 6 §§ 1 and 3 (d) (see </w:t>
      </w:r>
      <w:r w:rsidRPr="00432751">
        <w:rPr>
          <w:i/>
          <w:iCs/>
        </w:rPr>
        <w:t>Schatschaschwili</w:t>
      </w:r>
      <w:r w:rsidRPr="00432751">
        <w:t>, cited above, §</w:t>
      </w:r>
      <w:r w:rsidRPr="00432751" w:rsidR="00624823">
        <w:t> </w:t>
      </w:r>
      <w:r w:rsidRPr="00432751">
        <w:t>113).</w:t>
      </w:r>
    </w:p>
    <w:p w:rsidRPr="00432751" w:rsidR="00F97474" w:rsidP="00432751" w14:paraId="758798A7" w14:textId="7E98427B">
      <w:pPr>
        <w:pStyle w:val="JuHA"/>
      </w:pPr>
      <w:r w:rsidRPr="00432751">
        <w:t>Whether the applicant</w:t>
      </w:r>
      <w:r w:rsidRPr="00432751" w:rsidR="00432751">
        <w:t>’</w:t>
      </w:r>
      <w:r w:rsidRPr="00432751">
        <w:t>s conviction was based solely or mainly on R.W.</w:t>
      </w:r>
      <w:r w:rsidRPr="00432751" w:rsidR="00432751">
        <w:t>’</w:t>
      </w:r>
      <w:r w:rsidRPr="00432751" w:rsidR="005834D1">
        <w:t>s testimony</w:t>
      </w:r>
    </w:p>
    <w:p w:rsidRPr="00432751" w:rsidR="00F97474" w:rsidP="00432751" w14:paraId="6DF83414" w14:textId="2D810F36">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28</w:t>
      </w:r>
      <w:r w:rsidRPr="00432751">
        <w:rPr>
          <w:noProof/>
        </w:rPr>
        <w:fldChar w:fldCharType="end"/>
      </w:r>
      <w:r w:rsidRPr="00432751">
        <w:t>.  It was not contested by the Government that R.W.</w:t>
      </w:r>
      <w:r w:rsidRPr="00432751" w:rsidR="00432751">
        <w:t>’</w:t>
      </w:r>
      <w:r w:rsidRPr="00432751">
        <w:t xml:space="preserve">s testimony constituted the main evidence against the applicant. The reasons given by the domestic courts (summarised in paragraphs </w:t>
      </w:r>
      <w:r w:rsidRPr="00432751">
        <w:fldChar w:fldCharType="begin"/>
      </w:r>
      <w:r w:rsidRPr="00432751">
        <w:instrText xml:space="preserve"> REF paragraph00007 \h  \* CharFormat </w:instrText>
      </w:r>
      <w:r w:rsidRPr="00432751">
        <w:fldChar w:fldCharType="separate"/>
      </w:r>
      <w:r w:rsidRPr="00432751" w:rsidR="00432751">
        <w:t>7</w:t>
      </w:r>
      <w:r w:rsidRPr="00432751">
        <w:fldChar w:fldCharType="end"/>
      </w:r>
      <w:r w:rsidRPr="00432751">
        <w:t>-</w:t>
      </w:r>
      <w:r w:rsidRPr="00432751">
        <w:fldChar w:fldCharType="begin"/>
      </w:r>
      <w:r w:rsidRPr="00432751">
        <w:instrText xml:space="preserve"> REF paragraph00009 \h  \* CharFormat </w:instrText>
      </w:r>
      <w:r w:rsidRPr="00432751">
        <w:fldChar w:fldCharType="separate"/>
      </w:r>
      <w:r w:rsidRPr="00432751" w:rsidR="00432751">
        <w:t>9</w:t>
      </w:r>
      <w:r w:rsidRPr="00432751">
        <w:fldChar w:fldCharType="end"/>
      </w:r>
      <w:r w:rsidRPr="00432751">
        <w:t xml:space="preserve"> and </w:t>
      </w:r>
      <w:r w:rsidRPr="00432751">
        <w:fldChar w:fldCharType="begin"/>
      </w:r>
      <w:r w:rsidRPr="00432751">
        <w:instrText xml:space="preserve"> REF paragraph00013 \h  \* CharFormat </w:instrText>
      </w:r>
      <w:r w:rsidRPr="00432751">
        <w:fldChar w:fldCharType="separate"/>
      </w:r>
      <w:r w:rsidRPr="00432751" w:rsidR="00432751">
        <w:t>13</w:t>
      </w:r>
      <w:r w:rsidRPr="00432751">
        <w:fldChar w:fldCharType="end"/>
      </w:r>
      <w:r w:rsidRPr="00432751">
        <w:t>-</w:t>
      </w:r>
      <w:r w:rsidRPr="00432751">
        <w:fldChar w:fldCharType="begin"/>
      </w:r>
      <w:r w:rsidRPr="00432751">
        <w:instrText xml:space="preserve"> REF paragraph00014 \h  \* CharFormat </w:instrText>
      </w:r>
      <w:r w:rsidRPr="00432751">
        <w:fldChar w:fldCharType="separate"/>
      </w:r>
      <w:r w:rsidRPr="00432751" w:rsidR="00432751">
        <w:t>14</w:t>
      </w:r>
      <w:r w:rsidRPr="00432751">
        <w:fldChar w:fldCharType="end"/>
      </w:r>
      <w:r w:rsidRPr="00432751">
        <w:t xml:space="preserve"> above) point to the testimony as the sole evidence against the applicant on gun-related charges, either explicitly (as regards the shooting of Ł.W.) or implicitly (regarding the possession of a firearm and shooting of M.K.).</w:t>
      </w:r>
    </w:p>
    <w:p w:rsidRPr="00432751" w:rsidR="00F97474" w:rsidP="00432751" w14:paraId="65F2D561" w14:textId="3F3B6172">
      <w:pPr>
        <w:pStyle w:val="JuPara"/>
      </w:pPr>
      <w:r w:rsidRPr="00432751">
        <w:fldChar w:fldCharType="begin"/>
      </w:r>
      <w:r w:rsidRPr="00432751">
        <w:instrText xml:space="preserve"> SEQ level0 \*arabic \* MERG</w:instrText>
      </w:r>
      <w:r w:rsidRPr="00432751">
        <w:instrText xml:space="preserve">EFORMAT </w:instrText>
      </w:r>
      <w:r w:rsidRPr="00432751">
        <w:fldChar w:fldCharType="separate"/>
      </w:r>
      <w:r w:rsidRPr="00432751" w:rsidR="00432751">
        <w:rPr>
          <w:noProof/>
        </w:rPr>
        <w:t>29</w:t>
      </w:r>
      <w:r w:rsidRPr="00432751">
        <w:rPr>
          <w:noProof/>
        </w:rPr>
        <w:fldChar w:fldCharType="end"/>
      </w:r>
      <w:r w:rsidRPr="00432751">
        <w:t>.  In view of the above, the evidence in question, if not the sole evidence, was clearly decisive for the applicant</w:t>
      </w:r>
      <w:r w:rsidRPr="00432751" w:rsidR="00432751">
        <w:t>’</w:t>
      </w:r>
      <w:r w:rsidRPr="00432751">
        <w:t>s conviction. Such untested evidence weighs heavily in the balance and requires sufficient counterbalancing factors to compensate for the consequential difficulties caused to the defence by its admission (see</w:t>
      </w:r>
      <w:r w:rsidRPr="00432751">
        <w:rPr>
          <w:i/>
          <w:iCs/>
        </w:rPr>
        <w:t xml:space="preserve"> Al-Khawaja and </w:t>
      </w:r>
      <w:r w:rsidRPr="00432751">
        <w:rPr>
          <w:i/>
          <w:iCs/>
        </w:rPr>
        <w:t>Tahery</w:t>
      </w:r>
      <w:r w:rsidRPr="00432751">
        <w:rPr>
          <w:i/>
          <w:iCs/>
        </w:rPr>
        <w:t xml:space="preserve">, </w:t>
      </w:r>
      <w:r w:rsidRPr="00432751">
        <w:t>cited above, §§</w:t>
      </w:r>
      <w:r w:rsidRPr="00432751" w:rsidR="00624823">
        <w:t> </w:t>
      </w:r>
      <w:r w:rsidRPr="00432751">
        <w:t>160-61).</w:t>
      </w:r>
    </w:p>
    <w:p w:rsidRPr="00432751" w:rsidR="00F97474" w:rsidP="00432751" w14:paraId="2FF0DCA8" w14:textId="77777777">
      <w:pPr>
        <w:pStyle w:val="JuHA"/>
      </w:pPr>
      <w:r w:rsidRPr="00432751">
        <w:t>Whether there were sufficient counterbalancing factors</w:t>
      </w:r>
    </w:p>
    <w:p w:rsidRPr="00432751" w:rsidR="00F97474" w:rsidP="00432751" w14:paraId="464DDA85" w14:textId="41A3EBAC">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30</w:t>
      </w:r>
      <w:r w:rsidRPr="00432751">
        <w:rPr>
          <w:noProof/>
        </w:rPr>
        <w:fldChar w:fldCharType="end"/>
      </w:r>
      <w:r w:rsidRPr="00432751">
        <w:t xml:space="preserve">.  Although, unlike in </w:t>
      </w:r>
      <w:r w:rsidRPr="00432751">
        <w:rPr>
          <w:i/>
          <w:iCs/>
        </w:rPr>
        <w:t>Kuchta</w:t>
      </w:r>
      <w:r w:rsidRPr="00432751">
        <w:rPr>
          <w:i/>
          <w:iCs/>
        </w:rPr>
        <w:t xml:space="preserve"> </w:t>
      </w:r>
      <w:r w:rsidRPr="00432751">
        <w:t>(cited above), the first instance court came into direct, albeit brief, contact with R.W., the fact remains that the latter</w:t>
      </w:r>
      <w:r w:rsidRPr="00432751" w:rsidR="00432751">
        <w:t>’</w:t>
      </w:r>
      <w:r w:rsidRPr="00432751">
        <w:t>s testimony, given at the pre-trial stage and incriminating the applicant, was never tested through direct interrogation by the court or the defence.</w:t>
      </w:r>
    </w:p>
    <w:p w:rsidRPr="00432751" w:rsidR="00F97474" w:rsidP="00432751" w14:paraId="33C4F0B7" w14:textId="0A5DE077">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31</w:t>
      </w:r>
      <w:r w:rsidRPr="00432751">
        <w:rPr>
          <w:noProof/>
        </w:rPr>
        <w:fldChar w:fldCharType="end"/>
      </w:r>
      <w:r w:rsidRPr="00432751">
        <w:t>.  Moreover, while the domestic courts indicated that they approached R.W.</w:t>
      </w:r>
      <w:r w:rsidRPr="00432751" w:rsidR="00432751">
        <w:t>’</w:t>
      </w:r>
      <w:r w:rsidRPr="00432751">
        <w:t xml:space="preserve">s statements with caution, they failed to reason their rulings in accordance with the criteria laid down in </w:t>
      </w:r>
      <w:r w:rsidRPr="00432751">
        <w:rPr>
          <w:i/>
          <w:iCs/>
        </w:rPr>
        <w:t xml:space="preserve">Al‑Khawaja and </w:t>
      </w:r>
      <w:r w:rsidRPr="00432751">
        <w:rPr>
          <w:i/>
          <w:iCs/>
        </w:rPr>
        <w:t>Tahery</w:t>
      </w:r>
      <w:r w:rsidRPr="00432751">
        <w:t xml:space="preserve">. They referred to the general formal admissibility of relying on statements given by a co-defendant (rather than by a witness </w:t>
      </w:r>
      <w:r w:rsidRPr="00432751">
        <w:rPr>
          <w:i/>
          <w:iCs/>
        </w:rPr>
        <w:t>stricto</w:t>
      </w:r>
      <w:r w:rsidRPr="00432751">
        <w:rPr>
          <w:i/>
          <w:iCs/>
        </w:rPr>
        <w:t xml:space="preserve"> </w:t>
      </w:r>
      <w:r w:rsidRPr="00432751">
        <w:rPr>
          <w:i/>
          <w:iCs/>
        </w:rPr>
        <w:t>sensu</w:t>
      </w:r>
      <w:r w:rsidRPr="00432751">
        <w:t>) and assessed the credibility of R.W.</w:t>
      </w:r>
      <w:r w:rsidRPr="00432751" w:rsidR="00432751">
        <w:t>’</w:t>
      </w:r>
      <w:r w:rsidRPr="00432751">
        <w:t>s statements as well as the contradictions within the gathered evidence.</w:t>
      </w:r>
    </w:p>
    <w:p w:rsidRPr="00432751" w:rsidR="00F97474" w:rsidP="00432751" w14:paraId="25537280" w14:textId="0FBDB6D8">
      <w:pPr>
        <w:pStyle w:val="JuPara"/>
      </w:pPr>
      <w:r w:rsidRPr="00432751">
        <w:rPr>
          <w:noProof/>
        </w:rPr>
        <w:fldChar w:fldCharType="begin"/>
      </w:r>
      <w:r w:rsidRPr="00432751">
        <w:rPr>
          <w:noProof/>
        </w:rPr>
        <w:instrText xml:space="preserve"> SEQ level0 \*arabic \* MERGEFORMAT </w:instrText>
      </w:r>
      <w:r w:rsidRPr="00432751">
        <w:rPr>
          <w:noProof/>
        </w:rPr>
        <w:fldChar w:fldCharType="separate"/>
      </w:r>
      <w:r w:rsidRPr="00432751" w:rsidR="00432751">
        <w:rPr>
          <w:noProof/>
        </w:rPr>
        <w:t>32</w:t>
      </w:r>
      <w:r w:rsidRPr="00432751">
        <w:rPr>
          <w:noProof/>
        </w:rPr>
        <w:fldChar w:fldCharType="end"/>
      </w:r>
      <w:r w:rsidRPr="00432751">
        <w:rPr>
          <w:noProof/>
        </w:rPr>
        <w:t>.  </w:t>
      </w:r>
      <w:r w:rsidRPr="00432751">
        <w:t>The domestic courts cited R.W.</w:t>
      </w:r>
      <w:r w:rsidRPr="00432751" w:rsidR="00432751">
        <w:t>’</w:t>
      </w:r>
      <w:r w:rsidRPr="00432751">
        <w:t xml:space="preserve">s statements as particularly important and where certain pieces of evidence collided with the version of R.W., the courts considered them unreliable (paragraph </w:t>
      </w:r>
      <w:r w:rsidRPr="00432751">
        <w:fldChar w:fldCharType="begin"/>
      </w:r>
      <w:r w:rsidRPr="00432751">
        <w:instrText xml:space="preserve"> REF paragraph00009 \h  \* CharFormat </w:instrText>
      </w:r>
      <w:r w:rsidRPr="00432751">
        <w:fldChar w:fldCharType="separate"/>
      </w:r>
      <w:r w:rsidRPr="00432751" w:rsidR="00432751">
        <w:t>9</w:t>
      </w:r>
      <w:r w:rsidRPr="00432751">
        <w:fldChar w:fldCharType="end"/>
      </w:r>
      <w:r w:rsidRPr="00432751">
        <w:t xml:space="preserve"> above).</w:t>
      </w:r>
    </w:p>
    <w:p w:rsidRPr="00432751" w:rsidR="00F97474" w:rsidP="00432751" w14:paraId="0D5C600F" w14:textId="5F7C7330">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33</w:t>
      </w:r>
      <w:r w:rsidRPr="00432751">
        <w:rPr>
          <w:noProof/>
        </w:rPr>
        <w:fldChar w:fldCharType="end"/>
      </w:r>
      <w:r w:rsidRPr="00432751">
        <w:t>.  While it is true that R.W.</w:t>
      </w:r>
      <w:r w:rsidRPr="00432751" w:rsidR="00432751">
        <w:t>’</w:t>
      </w:r>
      <w:r w:rsidRPr="00432751">
        <w:t xml:space="preserve">s testimony was read out at the trial, that the applicant had the opportunity to give his own version of the events and that he availed himself of that opportunity, it has not been shown that there have been sufficient counterbalancing factors to compensate for the handicap under which the defence laboured (see </w:t>
      </w:r>
      <w:r w:rsidRPr="00432751">
        <w:rPr>
          <w:i/>
          <w:iCs/>
        </w:rPr>
        <w:t>Kuchta</w:t>
      </w:r>
      <w:r w:rsidRPr="00432751">
        <w:t xml:space="preserve">, cited above, § 66, and </w:t>
      </w:r>
      <w:r w:rsidRPr="00432751">
        <w:rPr>
          <w:i/>
          <w:iCs/>
        </w:rPr>
        <w:t>Paić</w:t>
      </w:r>
      <w:r w:rsidRPr="00432751">
        <w:rPr>
          <w:i/>
          <w:iCs/>
        </w:rPr>
        <w:t xml:space="preserve"> v. Croatia</w:t>
      </w:r>
      <w:r w:rsidRPr="00432751">
        <w:t>, no. 47082/12, § 51, 29</w:t>
      </w:r>
      <w:r w:rsidRPr="00432751" w:rsidR="00624823">
        <w:t> </w:t>
      </w:r>
      <w:r w:rsidRPr="00432751">
        <w:t>March 2016).</w:t>
      </w:r>
    </w:p>
    <w:p w:rsidRPr="00432751" w:rsidR="00F97474" w:rsidP="00432751" w14:paraId="2BDDE4D6" w14:textId="77777777">
      <w:pPr>
        <w:pStyle w:val="JuHA"/>
      </w:pPr>
      <w:r w:rsidRPr="00432751">
        <w:t>Conclusion</w:t>
      </w:r>
    </w:p>
    <w:p w:rsidRPr="00432751" w:rsidR="00F97474" w:rsidP="00432751" w14:paraId="7AA0A0DB" w14:textId="16338AB4">
      <w:pPr>
        <w:pStyle w:val="JuPara"/>
      </w:pPr>
      <w:r w:rsidRPr="00432751">
        <w:fldChar w:fldCharType="begin"/>
      </w:r>
      <w:r w:rsidRPr="00432751">
        <w:instrText xml:space="preserve"> SEQ level0 \*arabic \* MERGEFORMAT </w:instrText>
      </w:r>
      <w:r w:rsidRPr="00432751">
        <w:fldChar w:fldCharType="separate"/>
      </w:r>
      <w:r w:rsidRPr="00432751" w:rsidR="00432751">
        <w:rPr>
          <w:noProof/>
        </w:rPr>
        <w:t>34</w:t>
      </w:r>
      <w:r w:rsidRPr="00432751">
        <w:rPr>
          <w:noProof/>
        </w:rPr>
        <w:fldChar w:fldCharType="end"/>
      </w:r>
      <w:r w:rsidRPr="00432751">
        <w:t>.  Noting the particular circumstances of the present case, the Court considers that the applicant was not given a sufficient and adequate opportunity to challenge R.W.</w:t>
      </w:r>
      <w:r w:rsidRPr="00432751" w:rsidR="00432751">
        <w:t>’</w:t>
      </w:r>
      <w:r w:rsidRPr="00432751">
        <w:t>s testimony, which constituted the decisive evidence for his conviction on gun-related charges. Having regard to the importance of respect for the rights of the defence in criminal proceedings the Court considers that, in the instant case, the applicant did not receive a fair trial in respect of the charges of shooting Ł.W. and M.K. as well as of illegal possession of a firearm.</w:t>
      </w:r>
    </w:p>
    <w:p w:rsidRPr="00432751" w:rsidR="00F97474" w:rsidP="00432751" w14:paraId="7F47FDD2" w14:textId="7D31F9BE">
      <w:pPr>
        <w:pStyle w:val="JuPara"/>
      </w:pPr>
      <w:r w:rsidRPr="00432751">
        <w:fldChar w:fldCharType="begin"/>
      </w:r>
      <w:r w:rsidRPr="00432751">
        <w:instrText xml:space="preserve"> SEQ level0 \*arabic \</w:instrText>
      </w:r>
      <w:r w:rsidRPr="00432751">
        <w:instrText xml:space="preserve">* MERGEFORMAT </w:instrText>
      </w:r>
      <w:r w:rsidRPr="00432751">
        <w:fldChar w:fldCharType="separate"/>
      </w:r>
      <w:r w:rsidRPr="00432751" w:rsidR="00432751">
        <w:rPr>
          <w:noProof/>
        </w:rPr>
        <w:t>35</w:t>
      </w:r>
      <w:r w:rsidRPr="00432751">
        <w:rPr>
          <w:noProof/>
        </w:rPr>
        <w:fldChar w:fldCharType="end"/>
      </w:r>
      <w:r w:rsidRPr="00432751">
        <w:t>.  There has accordingly been a violation of Article 6 §§ 1 and 3 (d) of the Convention.</w:t>
      </w:r>
    </w:p>
    <w:p w:rsidRPr="00432751" w:rsidR="00F97474" w:rsidP="00432751" w14:paraId="07E162B2" w14:textId="77777777">
      <w:pPr>
        <w:pStyle w:val="JuHHead"/>
      </w:pPr>
      <w:r w:rsidRPr="00432751">
        <w:t>APPLICATION OF ARTICLE 41 OF THE CONVENTION</w:t>
      </w:r>
    </w:p>
    <w:p w:rsidRPr="00432751" w:rsidR="00F97474" w:rsidP="00432751" w14:paraId="6C93EE73" w14:textId="0912C83B">
      <w:pPr>
        <w:pStyle w:val="JuPara"/>
      </w:pPr>
      <w:r w:rsidRPr="00432751">
        <w:fldChar w:fldCharType="begin"/>
      </w:r>
      <w:r w:rsidRPr="00432751">
        <w:instrText xml:space="preserve"> SEQ level0 \*arabic </w:instrText>
      </w:r>
      <w:r w:rsidRPr="00432751">
        <w:fldChar w:fldCharType="separate"/>
      </w:r>
      <w:r w:rsidRPr="00432751" w:rsidR="00432751">
        <w:rPr>
          <w:noProof/>
        </w:rPr>
        <w:t>36</w:t>
      </w:r>
      <w:r w:rsidRPr="00432751">
        <w:fldChar w:fldCharType="end"/>
      </w:r>
      <w:r w:rsidRPr="00432751">
        <w:t>.  The applicant did not submit a claim for just satisfaction. Accordingly, the Court considers that there is no call to award him any sum on that account.</w:t>
      </w:r>
    </w:p>
    <w:p w:rsidRPr="00432751" w:rsidR="00F97474" w:rsidP="00432751" w14:paraId="022F9CEE" w14:textId="782024F3">
      <w:pPr>
        <w:pStyle w:val="JuHHead"/>
      </w:pPr>
      <w:r w:rsidRPr="00432751">
        <w:t>FOR THESE REASONS, THE COURT, UNANIMOUSLY,</w:t>
      </w:r>
    </w:p>
    <w:p w:rsidRPr="00432751" w:rsidR="00F97474" w:rsidP="00432751" w14:paraId="77A40058" w14:textId="77777777">
      <w:pPr>
        <w:pStyle w:val="JuList"/>
        <w:numPr>
          <w:ilvl w:val="0"/>
          <w:numId w:val="1"/>
        </w:numPr>
      </w:pPr>
      <w:r w:rsidRPr="00432751">
        <w:rPr>
          <w:i/>
        </w:rPr>
        <w:t>Declares</w:t>
      </w:r>
      <w:r w:rsidRPr="00432751">
        <w:t xml:space="preserve"> the application admissible;</w:t>
      </w:r>
    </w:p>
    <w:p w:rsidRPr="00432751" w:rsidR="004D0EC7" w:rsidP="00432751" w14:paraId="69AE1E6A" w14:textId="77777777">
      <w:pPr>
        <w:pStyle w:val="JuList"/>
      </w:pPr>
      <w:r w:rsidRPr="00432751">
        <w:rPr>
          <w:i/>
        </w:rPr>
        <w:t>Holds</w:t>
      </w:r>
      <w:r w:rsidRPr="00432751">
        <w:t xml:space="preserve"> that there has been a violation of Article 6 §§ 1 and 3 (d) of the Convention.</w:t>
      </w:r>
    </w:p>
    <w:p w:rsidRPr="00432751" w:rsidR="008E3A08" w:rsidP="00432751" w14:paraId="57D1AF62" w14:textId="5581A677">
      <w:pPr>
        <w:pStyle w:val="JuParaLast"/>
      </w:pPr>
      <w:r w:rsidRPr="00432751">
        <w:t xml:space="preserve">Done in English, and notified in writing on </w:t>
      </w:r>
      <w:r w:rsidRPr="00432751" w:rsidR="00F97474">
        <w:rPr>
          <w:rFonts w:ascii="Times New Roman" w:hAnsi="Times New Roman" w:cs="Times New Roman"/>
        </w:rPr>
        <w:t>26 October 2023</w:t>
      </w:r>
      <w:r w:rsidRPr="00432751">
        <w:t>, pursuant to Rule 77 §§ 2 and 3 of the Rules of Court.</w:t>
      </w:r>
    </w:p>
    <w:p w:rsidRPr="00432751" w:rsidR="007E79A4" w:rsidP="00432751" w14:paraId="22422B81" w14:textId="059CCA37">
      <w:pPr>
        <w:pStyle w:val="ECHRPlaceholder"/>
        <w:rPr>
          <w:szCs w:val="22"/>
        </w:rPr>
      </w:pPr>
      <w:r w:rsidRPr="00432751">
        <w:tab/>
      </w:r>
    </w:p>
    <w:p w:rsidRPr="00432751" w:rsidR="00182EBA" w:rsidP="00432751" w14:paraId="31637E54" w14:textId="2E65BA94">
      <w:pPr>
        <w:pStyle w:val="JuSigned"/>
        <w:rPr>
          <w:lang w:val="nb-NO"/>
        </w:rPr>
      </w:pPr>
      <w:r w:rsidRPr="00432751">
        <w:tab/>
      </w:r>
      <w:r w:rsidRPr="00432751" w:rsidR="00F97474">
        <w:rPr>
          <w:noProof/>
          <w:lang w:val="nb-NO"/>
        </w:rPr>
        <w:t>Liv Tigerstedt</w:t>
      </w:r>
      <w:r w:rsidRPr="00432751">
        <w:rPr>
          <w:lang w:val="nb-NO"/>
        </w:rPr>
        <w:tab/>
      </w:r>
      <w:r w:rsidRPr="00432751" w:rsidR="00F97474">
        <w:rPr>
          <w:noProof/>
          <w:lang w:val="nb-NO"/>
        </w:rPr>
        <w:t>Ivana Jelić</w:t>
      </w:r>
      <w:r w:rsidRPr="00432751">
        <w:rPr>
          <w:lang w:val="nb-NO"/>
        </w:rPr>
        <w:br/>
      </w:r>
      <w:r w:rsidRPr="00432751">
        <w:rPr>
          <w:lang w:val="nb-NO"/>
        </w:rPr>
        <w:tab/>
      </w:r>
      <w:r w:rsidRPr="00432751" w:rsidR="00F97474">
        <w:rPr>
          <w:noProof/>
          <w:lang w:val="nb-NO"/>
        </w:rPr>
        <w:t>Deputy Registrar</w:t>
      </w:r>
      <w:r w:rsidRPr="00432751">
        <w:rPr>
          <w:lang w:val="nb-NO"/>
        </w:rPr>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7474" w14:paraId="3D3E6C4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7474" w:rsidRPr="00150BFA" w:rsidP="0020718E" w14:paraId="6CB3232E" w14:textId="3A87C2BA">
    <w:pPr>
      <w:jc w:val="center"/>
    </w:pPr>
    <w:r>
      <w:rPr>
        <w:noProof/>
        <w:lang w:val="en-US"/>
      </w:rPr>
      <w:drawing>
        <wp:inline distT="0" distB="0" distL="0" distR="0">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97474" w:rsidP="00AF12C5" w14:paraId="75E6F14E" w14:textId="7FF0235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7474" w:rsidRPr="00150BFA" w:rsidP="0020718E" w14:paraId="54FEF04A" w14:textId="2C5E64C7">
    <w:pPr>
      <w:jc w:val="center"/>
    </w:pPr>
    <w:r>
      <w:rPr>
        <w:noProof/>
        <w:lang w:val="en-US"/>
      </w:rPr>
      <w:drawing>
        <wp:inline distT="0" distB="0" distL="0" distR="0">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F97474" w:rsidP="009E7A6F" w14:paraId="2F76AB65" w14:textId="178A36A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CA35BC5" w14:textId="090E5DF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50E386A" w14:textId="3A54B547">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7474" w14:paraId="68FE43D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7474" w:rsidRPr="00A45145" w:rsidP="00A45145" w14:paraId="0F67BE57" w14:textId="6273A59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97474" w:rsidP="00B14793" w14:paraId="287BD928" w14:textId="1F38D5E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7474" w:rsidRPr="00A45145" w:rsidP="00A45145" w14:paraId="2B8AE082" w14:textId="01701045">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97474" w14:paraId="5D824C57" w14:textId="2E0499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DBCEBAF" w14:textId="63D61900">
    <w:pPr>
      <w:pStyle w:val="JuHeader"/>
    </w:pPr>
    <w:r>
      <w:t>ROMANIUK v. POLAND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1102EEC" w14:textId="2B61CA65">
    <w:pPr>
      <w:pStyle w:val="JuHeader"/>
    </w:pPr>
    <w:r>
      <w:t>ROMANIUK v. 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01867154">
    <w:abstractNumId w:val="9"/>
  </w:num>
  <w:num w:numId="2" w16cid:durableId="896548941">
    <w:abstractNumId w:val="14"/>
  </w:num>
  <w:num w:numId="3" w16cid:durableId="2111973871">
    <w:abstractNumId w:val="12"/>
  </w:num>
  <w:num w:numId="4" w16cid:durableId="1855027033">
    <w:abstractNumId w:val="11"/>
  </w:num>
  <w:num w:numId="5" w16cid:durableId="1780566360">
    <w:abstractNumId w:val="17"/>
  </w:num>
  <w:num w:numId="6" w16cid:durableId="2103068765">
    <w:abstractNumId w:val="7"/>
  </w:num>
  <w:num w:numId="7" w16cid:durableId="1715229454">
    <w:abstractNumId w:val="6"/>
  </w:num>
  <w:num w:numId="8" w16cid:durableId="1997149369">
    <w:abstractNumId w:val="5"/>
  </w:num>
  <w:num w:numId="9" w16cid:durableId="723677234">
    <w:abstractNumId w:val="4"/>
  </w:num>
  <w:num w:numId="10" w16cid:durableId="2041054632">
    <w:abstractNumId w:val="8"/>
  </w:num>
  <w:num w:numId="11" w16cid:durableId="1083644751">
    <w:abstractNumId w:val="3"/>
  </w:num>
  <w:num w:numId="12" w16cid:durableId="1236477256">
    <w:abstractNumId w:val="2"/>
  </w:num>
  <w:num w:numId="13" w16cid:durableId="1831674089">
    <w:abstractNumId w:val="1"/>
  </w:num>
  <w:num w:numId="14" w16cid:durableId="1222986990">
    <w:abstractNumId w:val="0"/>
  </w:num>
  <w:num w:numId="15" w16cid:durableId="208345438">
    <w:abstractNumId w:val="15"/>
  </w:num>
  <w:num w:numId="16" w16cid:durableId="1747532498">
    <w:abstractNumId w:val="13"/>
  </w:num>
  <w:num w:numId="17" w16cid:durableId="1283262974">
    <w:abstractNumId w:val="16"/>
  </w:num>
  <w:num w:numId="18" w16cid:durableId="69040660">
    <w:abstractNumId w:val="15"/>
  </w:num>
  <w:num w:numId="19" w16cid:durableId="1853294680">
    <w:abstractNumId w:val="16"/>
  </w:num>
  <w:num w:numId="20" w16cid:durableId="1247302346">
    <w:abstractNumId w:val="10"/>
  </w:num>
  <w:num w:numId="21" w16cid:durableId="213170643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74"/>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4756F"/>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656E9"/>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4EAC"/>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2751"/>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34D1"/>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6DE9"/>
    <w:rsid w:val="00611C80"/>
    <w:rsid w:val="00620692"/>
    <w:rsid w:val="006242CA"/>
    <w:rsid w:val="00624823"/>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0A3E"/>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22B1"/>
    <w:rsid w:val="00F8765F"/>
    <w:rsid w:val="00F90767"/>
    <w:rsid w:val="00F9263C"/>
    <w:rsid w:val="00F97474"/>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E7759"/>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C34D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32751"/>
    <w:rPr>
      <w:sz w:val="24"/>
      <w:szCs w:val="24"/>
      <w:lang w:val="en-GB"/>
    </w:rPr>
  </w:style>
  <w:style w:type="paragraph" w:styleId="Heading1">
    <w:name w:val="heading 1"/>
    <w:basedOn w:val="Normal"/>
    <w:next w:val="Normal"/>
    <w:link w:val="Heading1Char"/>
    <w:uiPriority w:val="98"/>
    <w:semiHidden/>
    <w:rsid w:val="0043275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3275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3275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3275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3275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3275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3275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3275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3275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432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751"/>
  </w:style>
  <w:style w:type="paragraph" w:styleId="BalloonText">
    <w:name w:val="Balloon Text"/>
    <w:basedOn w:val="Normal"/>
    <w:link w:val="BalloonTextChar"/>
    <w:uiPriority w:val="98"/>
    <w:semiHidden/>
    <w:rsid w:val="00432751"/>
    <w:rPr>
      <w:rFonts w:ascii="Tahoma" w:hAnsi="Tahoma" w:cs="Tahoma"/>
      <w:sz w:val="16"/>
      <w:szCs w:val="16"/>
    </w:rPr>
  </w:style>
  <w:style w:type="character" w:customStyle="1" w:styleId="BalloonTextChar">
    <w:name w:val="Balloon Text Char"/>
    <w:basedOn w:val="DefaultParagraphFont"/>
    <w:link w:val="BalloonText"/>
    <w:uiPriority w:val="98"/>
    <w:semiHidden/>
    <w:rsid w:val="00432751"/>
    <w:rPr>
      <w:rFonts w:ascii="Tahoma" w:hAnsi="Tahoma" w:cs="Tahoma"/>
      <w:sz w:val="16"/>
      <w:szCs w:val="16"/>
      <w:lang w:val="en-GB"/>
    </w:rPr>
  </w:style>
  <w:style w:type="character" w:styleId="BookTitle">
    <w:name w:val="Book Title"/>
    <w:uiPriority w:val="98"/>
    <w:semiHidden/>
    <w:qFormat/>
    <w:rsid w:val="00432751"/>
    <w:rPr>
      <w:i/>
      <w:iCs/>
      <w:smallCaps/>
      <w:spacing w:val="5"/>
    </w:rPr>
  </w:style>
  <w:style w:type="paragraph" w:customStyle="1" w:styleId="JuHeader">
    <w:name w:val="Ju_Header"/>
    <w:aliases w:val="_Header"/>
    <w:basedOn w:val="Header0"/>
    <w:uiPriority w:val="29"/>
    <w:qFormat/>
    <w:rsid w:val="00432751"/>
    <w:pPr>
      <w:tabs>
        <w:tab w:val="clear" w:pos="4536"/>
        <w:tab w:val="clear" w:pos="9072"/>
      </w:tabs>
      <w:jc w:val="center"/>
    </w:pPr>
    <w:rPr>
      <w:sz w:val="18"/>
    </w:rPr>
  </w:style>
  <w:style w:type="paragraph" w:customStyle="1" w:styleId="NormalJustified">
    <w:name w:val="Normal_Justified"/>
    <w:basedOn w:val="Normal"/>
    <w:semiHidden/>
    <w:rsid w:val="00432751"/>
    <w:pPr>
      <w:jc w:val="both"/>
    </w:pPr>
  </w:style>
  <w:style w:type="character" w:styleId="Strong">
    <w:name w:val="Strong"/>
    <w:uiPriority w:val="98"/>
    <w:semiHidden/>
    <w:qFormat/>
    <w:rsid w:val="00432751"/>
    <w:rPr>
      <w:b/>
      <w:bCs/>
    </w:rPr>
  </w:style>
  <w:style w:type="paragraph" w:styleId="NoSpacing">
    <w:name w:val="No Spacing"/>
    <w:basedOn w:val="Normal"/>
    <w:link w:val="NoSpacingChar"/>
    <w:uiPriority w:val="98"/>
    <w:semiHidden/>
    <w:qFormat/>
    <w:rsid w:val="00432751"/>
  </w:style>
  <w:style w:type="character" w:customStyle="1" w:styleId="NoSpacingChar">
    <w:name w:val="No Spacing Char"/>
    <w:basedOn w:val="DefaultParagraphFont"/>
    <w:link w:val="NoSpacing"/>
    <w:uiPriority w:val="98"/>
    <w:semiHidden/>
    <w:rsid w:val="00432751"/>
    <w:rPr>
      <w:sz w:val="24"/>
      <w:szCs w:val="24"/>
      <w:lang w:val="en-GB"/>
    </w:rPr>
  </w:style>
  <w:style w:type="paragraph" w:customStyle="1" w:styleId="JuQuot">
    <w:name w:val="Ju_Quot"/>
    <w:aliases w:val="_Quote"/>
    <w:basedOn w:val="NormalJustified"/>
    <w:uiPriority w:val="20"/>
    <w:qFormat/>
    <w:rsid w:val="00432751"/>
    <w:pPr>
      <w:spacing w:before="120" w:after="120"/>
      <w:ind w:left="425" w:firstLine="142"/>
    </w:pPr>
    <w:rPr>
      <w:sz w:val="20"/>
    </w:rPr>
  </w:style>
  <w:style w:type="paragraph" w:customStyle="1" w:styleId="JuList">
    <w:name w:val="Ju_List"/>
    <w:aliases w:val="_List_1"/>
    <w:basedOn w:val="NormalJustified"/>
    <w:uiPriority w:val="23"/>
    <w:qFormat/>
    <w:rsid w:val="00432751"/>
    <w:pPr>
      <w:numPr>
        <w:numId w:val="21"/>
      </w:numPr>
      <w:spacing w:before="280" w:after="60"/>
    </w:pPr>
  </w:style>
  <w:style w:type="paragraph" w:customStyle="1" w:styleId="JuLista">
    <w:name w:val="Ju_List_a"/>
    <w:aliases w:val="_List_2"/>
    <w:basedOn w:val="NormalJustified"/>
    <w:uiPriority w:val="23"/>
    <w:rsid w:val="00432751"/>
    <w:pPr>
      <w:numPr>
        <w:ilvl w:val="1"/>
        <w:numId w:val="21"/>
      </w:numPr>
    </w:pPr>
  </w:style>
  <w:style w:type="paragraph" w:customStyle="1" w:styleId="JuListi">
    <w:name w:val="Ju_List_i"/>
    <w:aliases w:val="_List_3"/>
    <w:basedOn w:val="NormalJustified"/>
    <w:uiPriority w:val="23"/>
    <w:rsid w:val="00432751"/>
    <w:pPr>
      <w:numPr>
        <w:ilvl w:val="2"/>
        <w:numId w:val="21"/>
      </w:numPr>
    </w:pPr>
  </w:style>
  <w:style w:type="paragraph" w:customStyle="1" w:styleId="JuHArticle">
    <w:name w:val="Ju_H_Article"/>
    <w:aliases w:val="_Title_Quote"/>
    <w:basedOn w:val="Normal"/>
    <w:next w:val="JuQuot"/>
    <w:uiPriority w:val="19"/>
    <w:qFormat/>
    <w:rsid w:val="0043275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3275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3275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32751"/>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32751"/>
    <w:pPr>
      <w:numPr>
        <w:numId w:val="15"/>
      </w:numPr>
    </w:pPr>
  </w:style>
  <w:style w:type="paragraph" w:customStyle="1" w:styleId="JuSigned">
    <w:name w:val="Ju_Signed"/>
    <w:aliases w:val="_Signature"/>
    <w:basedOn w:val="Normal"/>
    <w:next w:val="JuPara"/>
    <w:uiPriority w:val="31"/>
    <w:qFormat/>
    <w:rsid w:val="00432751"/>
    <w:pPr>
      <w:tabs>
        <w:tab w:val="center" w:pos="1418"/>
        <w:tab w:val="center" w:pos="5954"/>
      </w:tabs>
      <w:spacing w:before="720"/>
    </w:pPr>
  </w:style>
  <w:style w:type="paragraph" w:styleId="Title">
    <w:name w:val="Title"/>
    <w:basedOn w:val="Normal"/>
    <w:next w:val="Normal"/>
    <w:link w:val="TitleChar"/>
    <w:uiPriority w:val="98"/>
    <w:semiHidden/>
    <w:qFormat/>
    <w:rsid w:val="0043275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3275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32751"/>
    <w:pPr>
      <w:numPr>
        <w:numId w:val="16"/>
      </w:numPr>
    </w:pPr>
  </w:style>
  <w:style w:type="numbering" w:customStyle="1" w:styleId="ECHRA1StyleNumberedList">
    <w:name w:val="ECHR_A1_Style_Numbered_List"/>
    <w:basedOn w:val="NoList"/>
    <w:rsid w:val="00432751"/>
    <w:pPr>
      <w:numPr>
        <w:numId w:val="17"/>
      </w:numPr>
    </w:pPr>
  </w:style>
  <w:style w:type="table" w:customStyle="1" w:styleId="ECHRTable2019">
    <w:name w:val="ECHR_Table_2019"/>
    <w:basedOn w:val="TableNormal"/>
    <w:uiPriority w:val="99"/>
    <w:rsid w:val="0043275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3275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32751"/>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32751"/>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32751"/>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432751"/>
    <w:pPr>
      <w:tabs>
        <w:tab w:val="center" w:pos="4536"/>
        <w:tab w:val="right" w:pos="9072"/>
      </w:tabs>
    </w:pPr>
  </w:style>
  <w:style w:type="character" w:customStyle="1" w:styleId="HeaderChar">
    <w:name w:val="Header Char"/>
    <w:basedOn w:val="DefaultParagraphFont"/>
    <w:link w:val="Header0"/>
    <w:uiPriority w:val="98"/>
    <w:semiHidden/>
    <w:rsid w:val="00432751"/>
    <w:rPr>
      <w:sz w:val="24"/>
      <w:szCs w:val="24"/>
      <w:lang w:val="en-GB"/>
    </w:rPr>
  </w:style>
  <w:style w:type="character" w:customStyle="1" w:styleId="Heading1Char">
    <w:name w:val="Heading 1 Char"/>
    <w:basedOn w:val="DefaultParagraphFont"/>
    <w:link w:val="Heading1"/>
    <w:uiPriority w:val="98"/>
    <w:semiHidden/>
    <w:rsid w:val="0043275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32751"/>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432751"/>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3275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32751"/>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32751"/>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43275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32751"/>
    <w:pPr>
      <w:keepNext/>
      <w:keepLines/>
      <w:spacing w:before="240" w:after="240"/>
      <w:ind w:firstLine="284"/>
    </w:pPr>
  </w:style>
  <w:style w:type="paragraph" w:customStyle="1" w:styleId="JuJudges">
    <w:name w:val="Ju_Judges"/>
    <w:aliases w:val="_Judges"/>
    <w:basedOn w:val="Normal"/>
    <w:uiPriority w:val="32"/>
    <w:qFormat/>
    <w:rsid w:val="00432751"/>
    <w:pPr>
      <w:tabs>
        <w:tab w:val="left" w:pos="567"/>
        <w:tab w:val="left" w:pos="1134"/>
      </w:tabs>
    </w:pPr>
  </w:style>
  <w:style w:type="character" w:customStyle="1" w:styleId="Heading4Char">
    <w:name w:val="Heading 4 Char"/>
    <w:basedOn w:val="DefaultParagraphFont"/>
    <w:link w:val="Heading4"/>
    <w:uiPriority w:val="98"/>
    <w:semiHidden/>
    <w:rsid w:val="0043275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32751"/>
    <w:pPr>
      <w:tabs>
        <w:tab w:val="center" w:pos="6407"/>
      </w:tabs>
      <w:spacing w:before="720"/>
      <w:jc w:val="right"/>
    </w:pPr>
  </w:style>
  <w:style w:type="character" w:customStyle="1" w:styleId="Heading5Char">
    <w:name w:val="Heading 5 Char"/>
    <w:basedOn w:val="DefaultParagraphFont"/>
    <w:link w:val="Heading5"/>
    <w:uiPriority w:val="98"/>
    <w:semiHidden/>
    <w:rsid w:val="0043275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3275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32751"/>
    <w:rPr>
      <w:caps w:val="0"/>
      <w:smallCaps/>
    </w:rPr>
  </w:style>
  <w:style w:type="character" w:styleId="SubtleEmphasis">
    <w:name w:val="Subtle Emphasis"/>
    <w:uiPriority w:val="98"/>
    <w:semiHidden/>
    <w:qFormat/>
    <w:rsid w:val="00432751"/>
    <w:rPr>
      <w:i/>
      <w:iCs/>
    </w:rPr>
  </w:style>
  <w:style w:type="table" w:customStyle="1" w:styleId="ECHRTable">
    <w:name w:val="ECHR_Table"/>
    <w:basedOn w:val="TableNormal"/>
    <w:rsid w:val="0043275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3275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32751"/>
    <w:rPr>
      <w:b/>
      <w:bCs/>
      <w:i/>
      <w:iCs/>
      <w:spacing w:val="10"/>
      <w:bdr w:val="none" w:sz="0" w:space="0" w:color="auto"/>
      <w:shd w:val="clear" w:color="auto" w:fill="auto"/>
    </w:rPr>
  </w:style>
  <w:style w:type="paragraph" w:styleId="Footer1">
    <w:name w:val="footer"/>
    <w:basedOn w:val="Normal"/>
    <w:link w:val="FooterChar"/>
    <w:uiPriority w:val="98"/>
    <w:semiHidden/>
    <w:rsid w:val="00432751"/>
    <w:pPr>
      <w:tabs>
        <w:tab w:val="center" w:pos="3686"/>
        <w:tab w:val="right" w:pos="7371"/>
      </w:tabs>
    </w:pPr>
  </w:style>
  <w:style w:type="character" w:customStyle="1" w:styleId="FooterChar">
    <w:name w:val="Footer Char"/>
    <w:basedOn w:val="DefaultParagraphFont"/>
    <w:link w:val="Footer1"/>
    <w:uiPriority w:val="98"/>
    <w:semiHidden/>
    <w:rsid w:val="00432751"/>
    <w:rPr>
      <w:sz w:val="24"/>
      <w:szCs w:val="24"/>
      <w:lang w:val="en-GB"/>
    </w:rPr>
  </w:style>
  <w:style w:type="character" w:styleId="FootnoteReference">
    <w:name w:val="footnote reference"/>
    <w:basedOn w:val="DefaultParagraphFont"/>
    <w:uiPriority w:val="98"/>
    <w:semiHidden/>
    <w:rsid w:val="00432751"/>
    <w:rPr>
      <w:vertAlign w:val="superscript"/>
    </w:rPr>
  </w:style>
  <w:style w:type="paragraph" w:styleId="FootnoteText">
    <w:name w:val="footnote text"/>
    <w:basedOn w:val="NormalJustified"/>
    <w:link w:val="FootnoteTextChar"/>
    <w:uiPriority w:val="98"/>
    <w:semiHidden/>
    <w:rsid w:val="00432751"/>
    <w:rPr>
      <w:sz w:val="20"/>
      <w:szCs w:val="20"/>
    </w:rPr>
  </w:style>
  <w:style w:type="character" w:customStyle="1" w:styleId="FootnoteTextChar">
    <w:name w:val="Footnote Text Char"/>
    <w:basedOn w:val="DefaultParagraphFont"/>
    <w:link w:val="FootnoteText"/>
    <w:uiPriority w:val="98"/>
    <w:semiHidden/>
    <w:rsid w:val="00432751"/>
    <w:rPr>
      <w:sz w:val="20"/>
      <w:szCs w:val="20"/>
      <w:lang w:val="en-GB"/>
    </w:rPr>
  </w:style>
  <w:style w:type="character" w:customStyle="1" w:styleId="Heading6Char">
    <w:name w:val="Heading 6 Char"/>
    <w:basedOn w:val="DefaultParagraphFont"/>
    <w:link w:val="Heading6"/>
    <w:uiPriority w:val="98"/>
    <w:semiHidden/>
    <w:rsid w:val="0043275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3275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3275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3275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32751"/>
    <w:rPr>
      <w:color w:val="0072BC" w:themeColor="hyperlink"/>
      <w:u w:val="single"/>
    </w:rPr>
  </w:style>
  <w:style w:type="character" w:styleId="IntenseEmphasis">
    <w:name w:val="Intense Emphasis"/>
    <w:uiPriority w:val="98"/>
    <w:semiHidden/>
    <w:qFormat/>
    <w:rsid w:val="00432751"/>
    <w:rPr>
      <w:b/>
      <w:bCs/>
    </w:rPr>
  </w:style>
  <w:style w:type="paragraph" w:styleId="IntenseQuote">
    <w:name w:val="Intense Quote"/>
    <w:basedOn w:val="Normal"/>
    <w:next w:val="Normal"/>
    <w:link w:val="IntenseQuoteChar"/>
    <w:uiPriority w:val="98"/>
    <w:semiHidden/>
    <w:qFormat/>
    <w:rsid w:val="0043275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32751"/>
    <w:rPr>
      <w:b/>
      <w:bCs/>
      <w:i/>
      <w:iCs/>
      <w:sz w:val="24"/>
      <w:szCs w:val="24"/>
      <w:lang w:val="en-GB" w:bidi="en-US"/>
    </w:rPr>
  </w:style>
  <w:style w:type="character" w:styleId="IntenseReference">
    <w:name w:val="Intense Reference"/>
    <w:uiPriority w:val="98"/>
    <w:semiHidden/>
    <w:qFormat/>
    <w:rsid w:val="00432751"/>
    <w:rPr>
      <w:smallCaps/>
      <w:spacing w:val="5"/>
      <w:u w:val="single"/>
    </w:rPr>
  </w:style>
  <w:style w:type="paragraph" w:styleId="ListParagraph">
    <w:name w:val="List Paragraph"/>
    <w:basedOn w:val="Normal"/>
    <w:uiPriority w:val="98"/>
    <w:semiHidden/>
    <w:qFormat/>
    <w:rsid w:val="00432751"/>
    <w:pPr>
      <w:ind w:left="720"/>
      <w:contextualSpacing/>
    </w:pPr>
  </w:style>
  <w:style w:type="table" w:customStyle="1" w:styleId="LtrTableAddress">
    <w:name w:val="Ltr_Table_Address"/>
    <w:aliases w:val="ECHR_Ltr_Table_Address"/>
    <w:basedOn w:val="TableNormal"/>
    <w:uiPriority w:val="99"/>
    <w:rsid w:val="00432751"/>
    <w:rPr>
      <w:sz w:val="24"/>
      <w:szCs w:val="24"/>
    </w:rPr>
    <w:tblPr>
      <w:tblInd w:w="5103" w:type="dxa"/>
    </w:tblPr>
  </w:style>
  <w:style w:type="paragraph" w:styleId="Quote0">
    <w:name w:val="Quote"/>
    <w:basedOn w:val="Normal"/>
    <w:next w:val="Normal"/>
    <w:link w:val="QuoteChar"/>
    <w:uiPriority w:val="98"/>
    <w:semiHidden/>
    <w:qFormat/>
    <w:rsid w:val="00432751"/>
    <w:pPr>
      <w:spacing w:before="200"/>
      <w:ind w:left="360" w:right="360"/>
    </w:pPr>
    <w:rPr>
      <w:i/>
      <w:iCs/>
      <w:lang w:bidi="en-US"/>
    </w:rPr>
  </w:style>
  <w:style w:type="character" w:customStyle="1" w:styleId="QuoteChar">
    <w:name w:val="Quote Char"/>
    <w:basedOn w:val="DefaultParagraphFont"/>
    <w:link w:val="Quote0"/>
    <w:uiPriority w:val="98"/>
    <w:semiHidden/>
    <w:rsid w:val="00432751"/>
    <w:rPr>
      <w:i/>
      <w:iCs/>
      <w:sz w:val="24"/>
      <w:szCs w:val="24"/>
      <w:lang w:val="en-GB" w:bidi="en-US"/>
    </w:rPr>
  </w:style>
  <w:style w:type="character" w:styleId="SubtleReference">
    <w:name w:val="Subtle Reference"/>
    <w:uiPriority w:val="98"/>
    <w:semiHidden/>
    <w:qFormat/>
    <w:rsid w:val="00432751"/>
    <w:rPr>
      <w:smallCaps/>
    </w:rPr>
  </w:style>
  <w:style w:type="table" w:styleId="TableGrid">
    <w:name w:val="Table Grid"/>
    <w:basedOn w:val="TableNormal"/>
    <w:uiPriority w:val="59"/>
    <w:semiHidden/>
    <w:rsid w:val="0043275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3275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3275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3275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3275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3275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3275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3275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3275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3275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3275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3275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3275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3275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3275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3275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32751"/>
    <w:pPr>
      <w:numPr>
        <w:numId w:val="2"/>
      </w:numPr>
    </w:pPr>
  </w:style>
  <w:style w:type="paragraph" w:customStyle="1" w:styleId="JuPara">
    <w:name w:val="Ju_Para"/>
    <w:aliases w:val="_Para"/>
    <w:basedOn w:val="NormalJustified"/>
    <w:link w:val="JuParaChar"/>
    <w:uiPriority w:val="4"/>
    <w:qFormat/>
    <w:rsid w:val="00432751"/>
    <w:pPr>
      <w:ind w:firstLine="284"/>
    </w:pPr>
  </w:style>
  <w:style w:type="numbering" w:styleId="1ai">
    <w:name w:val="Outline List 1"/>
    <w:basedOn w:val="NoList"/>
    <w:uiPriority w:val="99"/>
    <w:semiHidden/>
    <w:unhideWhenUsed/>
    <w:rsid w:val="00432751"/>
    <w:pPr>
      <w:numPr>
        <w:numId w:val="3"/>
      </w:numPr>
    </w:pPr>
  </w:style>
  <w:style w:type="table" w:customStyle="1" w:styleId="ECHRTableSimpleBox">
    <w:name w:val="ECHR_Table_Simple_Box"/>
    <w:basedOn w:val="TableNormal"/>
    <w:uiPriority w:val="99"/>
    <w:rsid w:val="0043275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3275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32751"/>
    <w:pPr>
      <w:numPr>
        <w:numId w:val="4"/>
      </w:numPr>
    </w:pPr>
  </w:style>
  <w:style w:type="table" w:customStyle="1" w:styleId="ECHRTableForInternalUse">
    <w:name w:val="ECHR_Table_For_Internal_Use"/>
    <w:basedOn w:val="TableNormal"/>
    <w:uiPriority w:val="99"/>
    <w:rsid w:val="0043275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3275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32751"/>
  </w:style>
  <w:style w:type="paragraph" w:styleId="BlockText">
    <w:name w:val="Block Text"/>
    <w:basedOn w:val="Normal"/>
    <w:uiPriority w:val="98"/>
    <w:semiHidden/>
    <w:rsid w:val="0043275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3275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32751"/>
    <w:pPr>
      <w:spacing w:after="120"/>
    </w:pPr>
  </w:style>
  <w:style w:type="character" w:customStyle="1" w:styleId="BodyTextChar">
    <w:name w:val="Body Text Char"/>
    <w:basedOn w:val="DefaultParagraphFont"/>
    <w:link w:val="BodyText"/>
    <w:uiPriority w:val="98"/>
    <w:semiHidden/>
    <w:rsid w:val="00432751"/>
    <w:rPr>
      <w:sz w:val="24"/>
      <w:szCs w:val="24"/>
      <w:lang w:val="en-GB"/>
    </w:rPr>
  </w:style>
  <w:style w:type="table" w:customStyle="1" w:styleId="ECHRTableOddBanded">
    <w:name w:val="ECHR_Table_Odd_Banded"/>
    <w:basedOn w:val="TableNormal"/>
    <w:uiPriority w:val="99"/>
    <w:rsid w:val="0043275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32751"/>
    <w:pPr>
      <w:spacing w:after="120" w:line="480" w:lineRule="auto"/>
    </w:pPr>
  </w:style>
  <w:style w:type="table" w:customStyle="1" w:styleId="ECHRHeaderTableReduced">
    <w:name w:val="ECHR_Header_Table_Reduced"/>
    <w:basedOn w:val="TableNormal"/>
    <w:uiPriority w:val="99"/>
    <w:rsid w:val="0043275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32751"/>
    <w:pPr>
      <w:ind w:firstLine="284"/>
    </w:pPr>
    <w:rPr>
      <w:b/>
    </w:rPr>
  </w:style>
  <w:style w:type="character" w:styleId="PageNumber">
    <w:name w:val="page number"/>
    <w:uiPriority w:val="98"/>
    <w:semiHidden/>
    <w:rsid w:val="00432751"/>
    <w:rPr>
      <w:sz w:val="18"/>
    </w:rPr>
  </w:style>
  <w:style w:type="paragraph" w:styleId="ListBullet">
    <w:name w:val="List Bullet"/>
    <w:basedOn w:val="Normal"/>
    <w:uiPriority w:val="98"/>
    <w:semiHidden/>
    <w:rsid w:val="00432751"/>
    <w:pPr>
      <w:numPr>
        <w:numId w:val="5"/>
      </w:numPr>
    </w:pPr>
  </w:style>
  <w:style w:type="paragraph" w:styleId="ListBullet3">
    <w:name w:val="List Bullet 3"/>
    <w:basedOn w:val="Normal"/>
    <w:uiPriority w:val="98"/>
    <w:semiHidden/>
    <w:rsid w:val="00432751"/>
    <w:pPr>
      <w:numPr>
        <w:numId w:val="7"/>
      </w:numPr>
      <w:contextualSpacing/>
    </w:pPr>
  </w:style>
  <w:style w:type="character" w:customStyle="1" w:styleId="BodyText2Char">
    <w:name w:val="Body Text 2 Char"/>
    <w:basedOn w:val="DefaultParagraphFont"/>
    <w:link w:val="BodyText2"/>
    <w:uiPriority w:val="98"/>
    <w:semiHidden/>
    <w:rsid w:val="00432751"/>
    <w:rPr>
      <w:sz w:val="24"/>
      <w:szCs w:val="24"/>
      <w:lang w:val="en-GB"/>
    </w:rPr>
  </w:style>
  <w:style w:type="paragraph" w:styleId="BodyText3">
    <w:name w:val="Body Text 3"/>
    <w:basedOn w:val="Normal"/>
    <w:link w:val="BodyText3Char"/>
    <w:uiPriority w:val="98"/>
    <w:semiHidden/>
    <w:rsid w:val="00432751"/>
    <w:pPr>
      <w:spacing w:after="120"/>
    </w:pPr>
    <w:rPr>
      <w:sz w:val="16"/>
      <w:szCs w:val="16"/>
    </w:rPr>
  </w:style>
  <w:style w:type="character" w:customStyle="1" w:styleId="BodyText3Char">
    <w:name w:val="Body Text 3 Char"/>
    <w:basedOn w:val="DefaultParagraphFont"/>
    <w:link w:val="BodyText3"/>
    <w:uiPriority w:val="98"/>
    <w:semiHidden/>
    <w:rsid w:val="00432751"/>
    <w:rPr>
      <w:sz w:val="16"/>
      <w:szCs w:val="16"/>
      <w:lang w:val="en-GB"/>
    </w:rPr>
  </w:style>
  <w:style w:type="paragraph" w:styleId="BodyTextFirstIndent">
    <w:name w:val="Body Text First Indent"/>
    <w:basedOn w:val="BodyText"/>
    <w:link w:val="BodyTextFirstIndentChar"/>
    <w:uiPriority w:val="98"/>
    <w:semiHidden/>
    <w:rsid w:val="00432751"/>
    <w:pPr>
      <w:spacing w:after="0"/>
      <w:ind w:firstLine="360"/>
    </w:pPr>
  </w:style>
  <w:style w:type="character" w:customStyle="1" w:styleId="BodyTextFirstIndentChar">
    <w:name w:val="Body Text First Indent Char"/>
    <w:basedOn w:val="BodyTextChar"/>
    <w:link w:val="BodyTextFirstIndent"/>
    <w:uiPriority w:val="98"/>
    <w:semiHidden/>
    <w:rsid w:val="00432751"/>
    <w:rPr>
      <w:sz w:val="24"/>
      <w:szCs w:val="24"/>
      <w:lang w:val="en-GB"/>
    </w:rPr>
  </w:style>
  <w:style w:type="paragraph" w:styleId="BodyTextIndent">
    <w:name w:val="Body Text Indent"/>
    <w:basedOn w:val="Normal"/>
    <w:link w:val="BodyTextIndentChar"/>
    <w:uiPriority w:val="98"/>
    <w:semiHidden/>
    <w:rsid w:val="00432751"/>
    <w:pPr>
      <w:spacing w:after="120"/>
      <w:ind w:left="283"/>
    </w:pPr>
  </w:style>
  <w:style w:type="character" w:customStyle="1" w:styleId="BodyTextIndentChar">
    <w:name w:val="Body Text Indent Char"/>
    <w:basedOn w:val="DefaultParagraphFont"/>
    <w:link w:val="BodyTextIndent"/>
    <w:uiPriority w:val="98"/>
    <w:semiHidden/>
    <w:rsid w:val="00432751"/>
    <w:rPr>
      <w:sz w:val="24"/>
      <w:szCs w:val="24"/>
      <w:lang w:val="en-GB"/>
    </w:rPr>
  </w:style>
  <w:style w:type="paragraph" w:styleId="BodyTextFirstIndent2">
    <w:name w:val="Body Text First Indent 2"/>
    <w:basedOn w:val="BodyTextIndent"/>
    <w:link w:val="BodyTextFirstIndent2Char"/>
    <w:uiPriority w:val="98"/>
    <w:semiHidden/>
    <w:rsid w:val="00432751"/>
    <w:pPr>
      <w:spacing w:after="0"/>
      <w:ind w:left="360" w:firstLine="360"/>
    </w:pPr>
  </w:style>
  <w:style w:type="character" w:customStyle="1" w:styleId="BodyTextFirstIndent2Char">
    <w:name w:val="Body Text First Indent 2 Char"/>
    <w:basedOn w:val="BodyTextIndentChar"/>
    <w:link w:val="BodyTextFirstIndent2"/>
    <w:uiPriority w:val="98"/>
    <w:semiHidden/>
    <w:rsid w:val="00432751"/>
    <w:rPr>
      <w:sz w:val="24"/>
      <w:szCs w:val="24"/>
      <w:lang w:val="en-GB"/>
    </w:rPr>
  </w:style>
  <w:style w:type="paragraph" w:styleId="BodyTextIndent2">
    <w:name w:val="Body Text Indent 2"/>
    <w:basedOn w:val="Normal"/>
    <w:link w:val="BodyTextIndent2Char"/>
    <w:uiPriority w:val="98"/>
    <w:semiHidden/>
    <w:rsid w:val="00432751"/>
    <w:pPr>
      <w:spacing w:after="120" w:line="480" w:lineRule="auto"/>
      <w:ind w:left="283"/>
    </w:pPr>
  </w:style>
  <w:style w:type="character" w:customStyle="1" w:styleId="BodyTextIndent2Char">
    <w:name w:val="Body Text Indent 2 Char"/>
    <w:basedOn w:val="DefaultParagraphFont"/>
    <w:link w:val="BodyTextIndent2"/>
    <w:uiPriority w:val="98"/>
    <w:semiHidden/>
    <w:rsid w:val="00432751"/>
    <w:rPr>
      <w:sz w:val="24"/>
      <w:szCs w:val="24"/>
      <w:lang w:val="en-GB"/>
    </w:rPr>
  </w:style>
  <w:style w:type="paragraph" w:styleId="BodyTextIndent3">
    <w:name w:val="Body Text Indent 3"/>
    <w:basedOn w:val="Normal"/>
    <w:link w:val="BodyTextIndent3Char"/>
    <w:uiPriority w:val="98"/>
    <w:semiHidden/>
    <w:rsid w:val="0043275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32751"/>
    <w:rPr>
      <w:sz w:val="16"/>
      <w:szCs w:val="16"/>
      <w:lang w:val="en-GB"/>
    </w:rPr>
  </w:style>
  <w:style w:type="paragraph" w:styleId="Caption">
    <w:name w:val="caption"/>
    <w:basedOn w:val="Normal"/>
    <w:next w:val="Normal"/>
    <w:uiPriority w:val="98"/>
    <w:semiHidden/>
    <w:qFormat/>
    <w:rsid w:val="00432751"/>
    <w:pPr>
      <w:spacing w:after="200"/>
    </w:pPr>
    <w:rPr>
      <w:b/>
      <w:bCs/>
      <w:color w:val="0072BC" w:themeColor="accent1"/>
      <w:sz w:val="18"/>
      <w:szCs w:val="18"/>
    </w:rPr>
  </w:style>
  <w:style w:type="paragraph" w:styleId="Closing">
    <w:name w:val="Closing"/>
    <w:basedOn w:val="Normal"/>
    <w:link w:val="ClosingChar"/>
    <w:uiPriority w:val="98"/>
    <w:semiHidden/>
    <w:rsid w:val="00432751"/>
    <w:pPr>
      <w:ind w:left="4252"/>
    </w:pPr>
  </w:style>
  <w:style w:type="character" w:customStyle="1" w:styleId="ClosingChar">
    <w:name w:val="Closing Char"/>
    <w:basedOn w:val="DefaultParagraphFont"/>
    <w:link w:val="Closing"/>
    <w:uiPriority w:val="98"/>
    <w:semiHidden/>
    <w:rsid w:val="00432751"/>
    <w:rPr>
      <w:sz w:val="24"/>
      <w:szCs w:val="24"/>
      <w:lang w:val="en-GB"/>
    </w:rPr>
  </w:style>
  <w:style w:type="table" w:styleId="ColorfulGrid">
    <w:name w:val="Colorful Grid"/>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3275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3275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3275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3275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3275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3275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3275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3275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3275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3275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3275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3275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3275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3275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3275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32751"/>
    <w:rPr>
      <w:sz w:val="16"/>
      <w:szCs w:val="16"/>
    </w:rPr>
  </w:style>
  <w:style w:type="paragraph" w:styleId="CommentText">
    <w:name w:val="annotation text"/>
    <w:basedOn w:val="Normal"/>
    <w:link w:val="CommentTextChar"/>
    <w:uiPriority w:val="98"/>
    <w:semiHidden/>
    <w:rsid w:val="00432751"/>
    <w:rPr>
      <w:sz w:val="20"/>
      <w:szCs w:val="20"/>
    </w:rPr>
  </w:style>
  <w:style w:type="character" w:customStyle="1" w:styleId="CommentTextChar">
    <w:name w:val="Comment Text Char"/>
    <w:basedOn w:val="DefaultParagraphFont"/>
    <w:link w:val="CommentText"/>
    <w:uiPriority w:val="98"/>
    <w:semiHidden/>
    <w:rsid w:val="00432751"/>
    <w:rPr>
      <w:sz w:val="20"/>
      <w:szCs w:val="20"/>
      <w:lang w:val="en-GB"/>
    </w:rPr>
  </w:style>
  <w:style w:type="paragraph" w:styleId="CommentSubject">
    <w:name w:val="annotation subject"/>
    <w:basedOn w:val="CommentText"/>
    <w:next w:val="CommentText"/>
    <w:link w:val="CommentSubjectChar"/>
    <w:uiPriority w:val="98"/>
    <w:semiHidden/>
    <w:rsid w:val="00432751"/>
    <w:rPr>
      <w:b/>
      <w:bCs/>
    </w:rPr>
  </w:style>
  <w:style w:type="character" w:customStyle="1" w:styleId="CommentSubjectChar">
    <w:name w:val="Comment Subject Char"/>
    <w:basedOn w:val="CommentTextChar"/>
    <w:link w:val="CommentSubject"/>
    <w:uiPriority w:val="98"/>
    <w:semiHidden/>
    <w:rsid w:val="00432751"/>
    <w:rPr>
      <w:b/>
      <w:bCs/>
      <w:sz w:val="20"/>
      <w:szCs w:val="20"/>
      <w:lang w:val="en-GB"/>
    </w:rPr>
  </w:style>
  <w:style w:type="table" w:styleId="DarkList">
    <w:name w:val="Dark List"/>
    <w:basedOn w:val="TableNormal"/>
    <w:uiPriority w:val="70"/>
    <w:semiHidden/>
    <w:rsid w:val="0043275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3275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3275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3275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3275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3275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3275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32751"/>
  </w:style>
  <w:style w:type="character" w:customStyle="1" w:styleId="DateChar">
    <w:name w:val="Date Char"/>
    <w:basedOn w:val="DefaultParagraphFont"/>
    <w:link w:val="Date"/>
    <w:uiPriority w:val="98"/>
    <w:semiHidden/>
    <w:rsid w:val="00432751"/>
    <w:rPr>
      <w:sz w:val="24"/>
      <w:szCs w:val="24"/>
      <w:lang w:val="en-GB"/>
    </w:rPr>
  </w:style>
  <w:style w:type="paragraph" w:styleId="DocumentMap">
    <w:name w:val="Document Map"/>
    <w:basedOn w:val="Normal"/>
    <w:link w:val="DocumentMapChar"/>
    <w:uiPriority w:val="98"/>
    <w:semiHidden/>
    <w:rsid w:val="00432751"/>
    <w:rPr>
      <w:rFonts w:ascii="Tahoma" w:hAnsi="Tahoma" w:cs="Tahoma"/>
      <w:sz w:val="16"/>
      <w:szCs w:val="16"/>
    </w:rPr>
  </w:style>
  <w:style w:type="character" w:customStyle="1" w:styleId="DocumentMapChar">
    <w:name w:val="Document Map Char"/>
    <w:basedOn w:val="DefaultParagraphFont"/>
    <w:link w:val="DocumentMap"/>
    <w:uiPriority w:val="98"/>
    <w:semiHidden/>
    <w:rsid w:val="00432751"/>
    <w:rPr>
      <w:rFonts w:ascii="Tahoma" w:hAnsi="Tahoma" w:cs="Tahoma"/>
      <w:sz w:val="16"/>
      <w:szCs w:val="16"/>
      <w:lang w:val="en-GB"/>
    </w:rPr>
  </w:style>
  <w:style w:type="paragraph" w:styleId="E-mailSignature">
    <w:name w:val="E-mail Signature"/>
    <w:basedOn w:val="Normal"/>
    <w:link w:val="E-mailSignatureChar"/>
    <w:uiPriority w:val="98"/>
    <w:semiHidden/>
    <w:rsid w:val="00432751"/>
  </w:style>
  <w:style w:type="character" w:customStyle="1" w:styleId="E-mailSignatureChar">
    <w:name w:val="E-mail Signature Char"/>
    <w:basedOn w:val="DefaultParagraphFont"/>
    <w:link w:val="E-mailSignature"/>
    <w:uiPriority w:val="98"/>
    <w:semiHidden/>
    <w:rsid w:val="00432751"/>
    <w:rPr>
      <w:sz w:val="24"/>
      <w:szCs w:val="24"/>
      <w:lang w:val="en-GB"/>
    </w:rPr>
  </w:style>
  <w:style w:type="character" w:styleId="EndnoteReference">
    <w:name w:val="endnote reference"/>
    <w:basedOn w:val="DefaultParagraphFont"/>
    <w:uiPriority w:val="98"/>
    <w:semiHidden/>
    <w:rsid w:val="00432751"/>
    <w:rPr>
      <w:vertAlign w:val="superscript"/>
    </w:rPr>
  </w:style>
  <w:style w:type="paragraph" w:styleId="EndnoteText">
    <w:name w:val="endnote text"/>
    <w:basedOn w:val="Normal"/>
    <w:link w:val="EndnoteTextChar"/>
    <w:uiPriority w:val="98"/>
    <w:semiHidden/>
    <w:rsid w:val="00432751"/>
    <w:rPr>
      <w:sz w:val="20"/>
      <w:szCs w:val="20"/>
    </w:rPr>
  </w:style>
  <w:style w:type="character" w:customStyle="1" w:styleId="EndnoteTextChar">
    <w:name w:val="Endnote Text Char"/>
    <w:basedOn w:val="DefaultParagraphFont"/>
    <w:link w:val="EndnoteText"/>
    <w:uiPriority w:val="98"/>
    <w:semiHidden/>
    <w:rsid w:val="00432751"/>
    <w:rPr>
      <w:sz w:val="20"/>
      <w:szCs w:val="20"/>
      <w:lang w:val="en-GB"/>
    </w:rPr>
  </w:style>
  <w:style w:type="paragraph" w:styleId="EnvelopeAddress">
    <w:name w:val="envelope address"/>
    <w:basedOn w:val="Normal"/>
    <w:uiPriority w:val="98"/>
    <w:semiHidden/>
    <w:rsid w:val="0043275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3275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32751"/>
    <w:rPr>
      <w:color w:val="7030A0" w:themeColor="followedHyperlink"/>
      <w:u w:val="single"/>
    </w:rPr>
  </w:style>
  <w:style w:type="character" w:styleId="HTMLAcronym">
    <w:name w:val="HTML Acronym"/>
    <w:basedOn w:val="DefaultParagraphFont"/>
    <w:uiPriority w:val="98"/>
    <w:semiHidden/>
    <w:rsid w:val="00432751"/>
  </w:style>
  <w:style w:type="paragraph" w:styleId="HTMLAddress">
    <w:name w:val="HTML Address"/>
    <w:basedOn w:val="Normal"/>
    <w:link w:val="HTMLAddressChar"/>
    <w:uiPriority w:val="98"/>
    <w:semiHidden/>
    <w:rsid w:val="00432751"/>
    <w:rPr>
      <w:i/>
      <w:iCs/>
    </w:rPr>
  </w:style>
  <w:style w:type="character" w:customStyle="1" w:styleId="HTMLAddressChar">
    <w:name w:val="HTML Address Char"/>
    <w:basedOn w:val="DefaultParagraphFont"/>
    <w:link w:val="HTMLAddress"/>
    <w:uiPriority w:val="98"/>
    <w:semiHidden/>
    <w:rsid w:val="00432751"/>
    <w:rPr>
      <w:i/>
      <w:iCs/>
      <w:sz w:val="24"/>
      <w:szCs w:val="24"/>
      <w:lang w:val="en-GB"/>
    </w:rPr>
  </w:style>
  <w:style w:type="character" w:styleId="HTMLCite">
    <w:name w:val="HTML Cite"/>
    <w:basedOn w:val="DefaultParagraphFont"/>
    <w:uiPriority w:val="98"/>
    <w:semiHidden/>
    <w:rsid w:val="00432751"/>
    <w:rPr>
      <w:i/>
      <w:iCs/>
    </w:rPr>
  </w:style>
  <w:style w:type="character" w:styleId="HTMLCode">
    <w:name w:val="HTML Code"/>
    <w:basedOn w:val="DefaultParagraphFont"/>
    <w:uiPriority w:val="98"/>
    <w:semiHidden/>
    <w:rsid w:val="00432751"/>
    <w:rPr>
      <w:rFonts w:ascii="Consolas" w:hAnsi="Consolas" w:cs="Consolas"/>
      <w:sz w:val="20"/>
      <w:szCs w:val="20"/>
    </w:rPr>
  </w:style>
  <w:style w:type="character" w:styleId="HTMLDefinition">
    <w:name w:val="HTML Definition"/>
    <w:basedOn w:val="DefaultParagraphFont"/>
    <w:uiPriority w:val="98"/>
    <w:semiHidden/>
    <w:rsid w:val="00432751"/>
    <w:rPr>
      <w:i/>
      <w:iCs/>
    </w:rPr>
  </w:style>
  <w:style w:type="character" w:styleId="HTMLKeyboard">
    <w:name w:val="HTML Keyboard"/>
    <w:basedOn w:val="DefaultParagraphFont"/>
    <w:uiPriority w:val="98"/>
    <w:semiHidden/>
    <w:rsid w:val="00432751"/>
    <w:rPr>
      <w:rFonts w:ascii="Consolas" w:hAnsi="Consolas" w:cs="Consolas"/>
      <w:sz w:val="20"/>
      <w:szCs w:val="20"/>
    </w:rPr>
  </w:style>
  <w:style w:type="paragraph" w:styleId="HTMLPreformatted">
    <w:name w:val="HTML Preformatted"/>
    <w:basedOn w:val="Normal"/>
    <w:link w:val="HTMLPreformattedChar"/>
    <w:uiPriority w:val="98"/>
    <w:semiHidden/>
    <w:rsid w:val="0043275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32751"/>
    <w:rPr>
      <w:rFonts w:ascii="Consolas" w:hAnsi="Consolas" w:cs="Consolas"/>
      <w:sz w:val="20"/>
      <w:szCs w:val="20"/>
      <w:lang w:val="en-GB"/>
    </w:rPr>
  </w:style>
  <w:style w:type="character" w:styleId="HTMLSample">
    <w:name w:val="HTML Sample"/>
    <w:basedOn w:val="DefaultParagraphFont"/>
    <w:uiPriority w:val="98"/>
    <w:semiHidden/>
    <w:rsid w:val="00432751"/>
    <w:rPr>
      <w:rFonts w:ascii="Consolas" w:hAnsi="Consolas" w:cs="Consolas"/>
      <w:sz w:val="24"/>
      <w:szCs w:val="24"/>
    </w:rPr>
  </w:style>
  <w:style w:type="character" w:styleId="HTMLTypewriter">
    <w:name w:val="HTML Typewriter"/>
    <w:basedOn w:val="DefaultParagraphFont"/>
    <w:uiPriority w:val="98"/>
    <w:semiHidden/>
    <w:rsid w:val="00432751"/>
    <w:rPr>
      <w:rFonts w:ascii="Consolas" w:hAnsi="Consolas" w:cs="Consolas"/>
      <w:sz w:val="20"/>
      <w:szCs w:val="20"/>
    </w:rPr>
  </w:style>
  <w:style w:type="character" w:styleId="HTMLVariable">
    <w:name w:val="HTML Variable"/>
    <w:basedOn w:val="DefaultParagraphFont"/>
    <w:uiPriority w:val="98"/>
    <w:semiHidden/>
    <w:rsid w:val="00432751"/>
    <w:rPr>
      <w:i/>
      <w:iCs/>
    </w:rPr>
  </w:style>
  <w:style w:type="paragraph" w:styleId="Index1">
    <w:name w:val="index 1"/>
    <w:basedOn w:val="Normal"/>
    <w:next w:val="Normal"/>
    <w:autoRedefine/>
    <w:uiPriority w:val="98"/>
    <w:semiHidden/>
    <w:rsid w:val="00432751"/>
    <w:pPr>
      <w:ind w:left="240" w:hanging="240"/>
    </w:pPr>
  </w:style>
  <w:style w:type="paragraph" w:styleId="Index2">
    <w:name w:val="index 2"/>
    <w:basedOn w:val="Normal"/>
    <w:next w:val="Normal"/>
    <w:autoRedefine/>
    <w:uiPriority w:val="98"/>
    <w:semiHidden/>
    <w:rsid w:val="00432751"/>
    <w:pPr>
      <w:ind w:left="480" w:hanging="240"/>
    </w:pPr>
  </w:style>
  <w:style w:type="paragraph" w:styleId="Index3">
    <w:name w:val="index 3"/>
    <w:basedOn w:val="Normal"/>
    <w:next w:val="Normal"/>
    <w:autoRedefine/>
    <w:uiPriority w:val="98"/>
    <w:semiHidden/>
    <w:rsid w:val="00432751"/>
    <w:pPr>
      <w:ind w:left="720" w:hanging="240"/>
    </w:pPr>
  </w:style>
  <w:style w:type="paragraph" w:styleId="Index4">
    <w:name w:val="index 4"/>
    <w:basedOn w:val="Normal"/>
    <w:next w:val="Normal"/>
    <w:autoRedefine/>
    <w:uiPriority w:val="98"/>
    <w:semiHidden/>
    <w:rsid w:val="00432751"/>
    <w:pPr>
      <w:ind w:left="960" w:hanging="240"/>
    </w:pPr>
  </w:style>
  <w:style w:type="paragraph" w:styleId="Index5">
    <w:name w:val="index 5"/>
    <w:basedOn w:val="Normal"/>
    <w:next w:val="Normal"/>
    <w:autoRedefine/>
    <w:uiPriority w:val="98"/>
    <w:semiHidden/>
    <w:rsid w:val="00432751"/>
    <w:pPr>
      <w:ind w:left="1200" w:hanging="240"/>
    </w:pPr>
  </w:style>
  <w:style w:type="paragraph" w:styleId="Index6">
    <w:name w:val="index 6"/>
    <w:basedOn w:val="Normal"/>
    <w:next w:val="Normal"/>
    <w:autoRedefine/>
    <w:uiPriority w:val="98"/>
    <w:semiHidden/>
    <w:rsid w:val="00432751"/>
    <w:pPr>
      <w:ind w:left="1440" w:hanging="240"/>
    </w:pPr>
  </w:style>
  <w:style w:type="paragraph" w:styleId="Index7">
    <w:name w:val="index 7"/>
    <w:basedOn w:val="Normal"/>
    <w:next w:val="Normal"/>
    <w:autoRedefine/>
    <w:uiPriority w:val="98"/>
    <w:semiHidden/>
    <w:rsid w:val="00432751"/>
    <w:pPr>
      <w:ind w:left="1680" w:hanging="240"/>
    </w:pPr>
  </w:style>
  <w:style w:type="paragraph" w:styleId="Index8">
    <w:name w:val="index 8"/>
    <w:basedOn w:val="Normal"/>
    <w:next w:val="Normal"/>
    <w:autoRedefine/>
    <w:uiPriority w:val="98"/>
    <w:semiHidden/>
    <w:rsid w:val="00432751"/>
    <w:pPr>
      <w:ind w:left="1920" w:hanging="240"/>
    </w:pPr>
  </w:style>
  <w:style w:type="paragraph" w:styleId="Index9">
    <w:name w:val="index 9"/>
    <w:basedOn w:val="Normal"/>
    <w:next w:val="Normal"/>
    <w:autoRedefine/>
    <w:uiPriority w:val="98"/>
    <w:semiHidden/>
    <w:rsid w:val="00432751"/>
    <w:pPr>
      <w:ind w:left="2160" w:hanging="240"/>
    </w:pPr>
  </w:style>
  <w:style w:type="paragraph" w:styleId="IndexHeading">
    <w:name w:val="index heading"/>
    <w:basedOn w:val="Normal"/>
    <w:next w:val="Index1"/>
    <w:uiPriority w:val="98"/>
    <w:semiHidden/>
    <w:rsid w:val="00432751"/>
    <w:rPr>
      <w:rFonts w:asciiTheme="majorHAnsi" w:eastAsiaTheme="majorEastAsia" w:hAnsiTheme="majorHAnsi" w:cstheme="majorBidi"/>
      <w:b/>
      <w:bCs/>
    </w:rPr>
  </w:style>
  <w:style w:type="table" w:styleId="LightGrid">
    <w:name w:val="Light Grid"/>
    <w:basedOn w:val="TableNormal"/>
    <w:uiPriority w:val="62"/>
    <w:semiHidden/>
    <w:rsid w:val="0043275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3275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3275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3275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3275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3275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3275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3275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3275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3275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3275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3275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3275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3275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3275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3275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3275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3275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3275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3275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3275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32751"/>
  </w:style>
  <w:style w:type="paragraph" w:styleId="List">
    <w:name w:val="List"/>
    <w:basedOn w:val="Normal"/>
    <w:uiPriority w:val="98"/>
    <w:semiHidden/>
    <w:rsid w:val="00432751"/>
    <w:pPr>
      <w:ind w:left="283" w:hanging="283"/>
      <w:contextualSpacing/>
    </w:pPr>
  </w:style>
  <w:style w:type="paragraph" w:styleId="List20">
    <w:name w:val="List 2"/>
    <w:basedOn w:val="Normal"/>
    <w:uiPriority w:val="98"/>
    <w:semiHidden/>
    <w:rsid w:val="00432751"/>
    <w:pPr>
      <w:ind w:left="566" w:hanging="283"/>
      <w:contextualSpacing/>
    </w:pPr>
  </w:style>
  <w:style w:type="paragraph" w:styleId="List30">
    <w:name w:val="List 3"/>
    <w:basedOn w:val="Normal"/>
    <w:uiPriority w:val="98"/>
    <w:semiHidden/>
    <w:rsid w:val="00432751"/>
    <w:pPr>
      <w:ind w:left="849" w:hanging="283"/>
      <w:contextualSpacing/>
    </w:pPr>
  </w:style>
  <w:style w:type="paragraph" w:styleId="List4">
    <w:name w:val="List 4"/>
    <w:basedOn w:val="Normal"/>
    <w:uiPriority w:val="98"/>
    <w:semiHidden/>
    <w:rsid w:val="00432751"/>
    <w:pPr>
      <w:ind w:left="1132" w:hanging="283"/>
      <w:contextualSpacing/>
    </w:pPr>
  </w:style>
  <w:style w:type="paragraph" w:styleId="List5">
    <w:name w:val="List 5"/>
    <w:basedOn w:val="Normal"/>
    <w:uiPriority w:val="98"/>
    <w:semiHidden/>
    <w:rsid w:val="00432751"/>
    <w:pPr>
      <w:ind w:left="1415" w:hanging="283"/>
      <w:contextualSpacing/>
    </w:pPr>
  </w:style>
  <w:style w:type="paragraph" w:styleId="ListBullet2">
    <w:name w:val="List Bullet 2"/>
    <w:basedOn w:val="Normal"/>
    <w:uiPriority w:val="98"/>
    <w:semiHidden/>
    <w:rsid w:val="00432751"/>
    <w:pPr>
      <w:numPr>
        <w:numId w:val="6"/>
      </w:numPr>
      <w:contextualSpacing/>
    </w:pPr>
  </w:style>
  <w:style w:type="paragraph" w:styleId="ListBullet4">
    <w:name w:val="List Bullet 4"/>
    <w:basedOn w:val="Normal"/>
    <w:uiPriority w:val="98"/>
    <w:semiHidden/>
    <w:rsid w:val="00432751"/>
    <w:pPr>
      <w:numPr>
        <w:numId w:val="8"/>
      </w:numPr>
      <w:contextualSpacing/>
    </w:pPr>
  </w:style>
  <w:style w:type="paragraph" w:styleId="ListBullet5">
    <w:name w:val="List Bullet 5"/>
    <w:basedOn w:val="Normal"/>
    <w:uiPriority w:val="98"/>
    <w:semiHidden/>
    <w:rsid w:val="00432751"/>
    <w:pPr>
      <w:numPr>
        <w:numId w:val="9"/>
      </w:numPr>
      <w:contextualSpacing/>
    </w:pPr>
  </w:style>
  <w:style w:type="paragraph" w:styleId="ListContinue">
    <w:name w:val="List Continue"/>
    <w:basedOn w:val="Normal"/>
    <w:uiPriority w:val="98"/>
    <w:semiHidden/>
    <w:rsid w:val="00432751"/>
    <w:pPr>
      <w:spacing w:after="120"/>
      <w:ind w:left="283"/>
      <w:contextualSpacing/>
    </w:pPr>
  </w:style>
  <w:style w:type="paragraph" w:styleId="ListContinue2">
    <w:name w:val="List Continue 2"/>
    <w:basedOn w:val="Normal"/>
    <w:uiPriority w:val="98"/>
    <w:semiHidden/>
    <w:rsid w:val="00432751"/>
    <w:pPr>
      <w:spacing w:after="120"/>
      <w:ind w:left="566"/>
      <w:contextualSpacing/>
    </w:pPr>
  </w:style>
  <w:style w:type="paragraph" w:styleId="ListContinue3">
    <w:name w:val="List Continue 3"/>
    <w:basedOn w:val="Normal"/>
    <w:uiPriority w:val="98"/>
    <w:semiHidden/>
    <w:rsid w:val="00432751"/>
    <w:pPr>
      <w:spacing w:after="120"/>
      <w:ind w:left="849"/>
      <w:contextualSpacing/>
    </w:pPr>
  </w:style>
  <w:style w:type="paragraph" w:styleId="ListContinue4">
    <w:name w:val="List Continue 4"/>
    <w:basedOn w:val="Normal"/>
    <w:uiPriority w:val="98"/>
    <w:semiHidden/>
    <w:rsid w:val="00432751"/>
    <w:pPr>
      <w:spacing w:after="120"/>
      <w:ind w:left="1132"/>
      <w:contextualSpacing/>
    </w:pPr>
  </w:style>
  <w:style w:type="paragraph" w:styleId="ListContinue5">
    <w:name w:val="List Continue 5"/>
    <w:basedOn w:val="Normal"/>
    <w:uiPriority w:val="98"/>
    <w:semiHidden/>
    <w:rsid w:val="00432751"/>
    <w:pPr>
      <w:spacing w:after="120"/>
      <w:ind w:left="1415"/>
      <w:contextualSpacing/>
    </w:pPr>
  </w:style>
  <w:style w:type="paragraph" w:styleId="ListNumber">
    <w:name w:val="List Number"/>
    <w:basedOn w:val="Normal"/>
    <w:uiPriority w:val="98"/>
    <w:semiHidden/>
    <w:rsid w:val="00432751"/>
    <w:pPr>
      <w:numPr>
        <w:numId w:val="10"/>
      </w:numPr>
      <w:contextualSpacing/>
    </w:pPr>
  </w:style>
  <w:style w:type="paragraph" w:styleId="ListNumber2">
    <w:name w:val="List Number 2"/>
    <w:basedOn w:val="Normal"/>
    <w:uiPriority w:val="98"/>
    <w:semiHidden/>
    <w:rsid w:val="00432751"/>
    <w:pPr>
      <w:numPr>
        <w:numId w:val="11"/>
      </w:numPr>
      <w:contextualSpacing/>
    </w:pPr>
  </w:style>
  <w:style w:type="paragraph" w:styleId="ListNumber3">
    <w:name w:val="List Number 3"/>
    <w:basedOn w:val="Normal"/>
    <w:uiPriority w:val="98"/>
    <w:semiHidden/>
    <w:rsid w:val="00432751"/>
    <w:pPr>
      <w:numPr>
        <w:numId w:val="12"/>
      </w:numPr>
      <w:contextualSpacing/>
    </w:pPr>
  </w:style>
  <w:style w:type="paragraph" w:styleId="ListNumber4">
    <w:name w:val="List Number 4"/>
    <w:basedOn w:val="Normal"/>
    <w:uiPriority w:val="98"/>
    <w:semiHidden/>
    <w:rsid w:val="00432751"/>
    <w:pPr>
      <w:numPr>
        <w:numId w:val="13"/>
      </w:numPr>
      <w:contextualSpacing/>
    </w:pPr>
  </w:style>
  <w:style w:type="paragraph" w:styleId="ListNumber5">
    <w:name w:val="List Number 5"/>
    <w:basedOn w:val="Normal"/>
    <w:uiPriority w:val="98"/>
    <w:semiHidden/>
    <w:rsid w:val="00432751"/>
    <w:pPr>
      <w:numPr>
        <w:numId w:val="14"/>
      </w:numPr>
      <w:contextualSpacing/>
    </w:pPr>
  </w:style>
  <w:style w:type="paragraph" w:styleId="Macro">
    <w:name w:val="macro"/>
    <w:link w:val="MacroTextChar"/>
    <w:uiPriority w:val="98"/>
    <w:semiHidden/>
    <w:rsid w:val="004327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32751"/>
    <w:rPr>
      <w:rFonts w:ascii="Consolas" w:hAnsi="Consolas" w:eastAsiaTheme="minorEastAsia" w:cs="Consolas"/>
      <w:sz w:val="20"/>
      <w:szCs w:val="20"/>
    </w:rPr>
  </w:style>
  <w:style w:type="table" w:styleId="MediumGrid1">
    <w:name w:val="Medium Grid 1"/>
    <w:basedOn w:val="TableNormal"/>
    <w:uiPriority w:val="67"/>
    <w:semiHidden/>
    <w:rsid w:val="0043275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3275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3275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3275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3275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3275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3275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327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3275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3275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3275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3275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3275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3275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3275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3275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3275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3275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3275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3275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3275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3275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3275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327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3275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3275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32751"/>
    <w:rPr>
      <w:rFonts w:ascii="Times New Roman" w:hAnsi="Times New Roman" w:cs="Times New Roman"/>
    </w:rPr>
  </w:style>
  <w:style w:type="paragraph" w:styleId="NormalIndent">
    <w:name w:val="Normal Indent"/>
    <w:basedOn w:val="Normal"/>
    <w:uiPriority w:val="98"/>
    <w:semiHidden/>
    <w:rsid w:val="00432751"/>
    <w:pPr>
      <w:ind w:left="720"/>
    </w:pPr>
  </w:style>
  <w:style w:type="paragraph" w:styleId="NoteHeading">
    <w:name w:val="Note Heading"/>
    <w:basedOn w:val="Normal"/>
    <w:next w:val="Normal"/>
    <w:link w:val="NoteHeadingChar"/>
    <w:uiPriority w:val="98"/>
    <w:semiHidden/>
    <w:rsid w:val="00432751"/>
  </w:style>
  <w:style w:type="character" w:customStyle="1" w:styleId="NoteHeadingChar">
    <w:name w:val="Note Heading Char"/>
    <w:basedOn w:val="DefaultParagraphFont"/>
    <w:link w:val="NoteHeading"/>
    <w:uiPriority w:val="98"/>
    <w:semiHidden/>
    <w:rsid w:val="00432751"/>
    <w:rPr>
      <w:sz w:val="24"/>
      <w:szCs w:val="24"/>
      <w:lang w:val="en-GB"/>
    </w:rPr>
  </w:style>
  <w:style w:type="character" w:styleId="PlaceholderText">
    <w:name w:val="Placeholder Text"/>
    <w:basedOn w:val="DefaultParagraphFont"/>
    <w:uiPriority w:val="98"/>
    <w:semiHidden/>
    <w:rsid w:val="0043275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32751"/>
    <w:rPr>
      <w:rFonts w:ascii="Consolas" w:hAnsi="Consolas" w:cs="Consolas"/>
      <w:sz w:val="21"/>
      <w:szCs w:val="21"/>
    </w:rPr>
  </w:style>
  <w:style w:type="character" w:customStyle="1" w:styleId="PlainTextChar">
    <w:name w:val="Plain Text Char"/>
    <w:basedOn w:val="DefaultParagraphFont"/>
    <w:link w:val="PlainText"/>
    <w:uiPriority w:val="98"/>
    <w:semiHidden/>
    <w:rsid w:val="00432751"/>
    <w:rPr>
      <w:rFonts w:ascii="Consolas" w:hAnsi="Consolas" w:cs="Consolas"/>
      <w:sz w:val="21"/>
      <w:szCs w:val="21"/>
      <w:lang w:val="en-GB"/>
    </w:rPr>
  </w:style>
  <w:style w:type="paragraph" w:styleId="Salutation">
    <w:name w:val="Salutation"/>
    <w:basedOn w:val="Normal"/>
    <w:next w:val="Normal"/>
    <w:link w:val="SalutationChar"/>
    <w:uiPriority w:val="98"/>
    <w:semiHidden/>
    <w:rsid w:val="00432751"/>
  </w:style>
  <w:style w:type="character" w:customStyle="1" w:styleId="SalutationChar">
    <w:name w:val="Salutation Char"/>
    <w:basedOn w:val="DefaultParagraphFont"/>
    <w:link w:val="Salutation"/>
    <w:uiPriority w:val="98"/>
    <w:semiHidden/>
    <w:rsid w:val="00432751"/>
    <w:rPr>
      <w:sz w:val="24"/>
      <w:szCs w:val="24"/>
      <w:lang w:val="en-GB"/>
    </w:rPr>
  </w:style>
  <w:style w:type="paragraph" w:styleId="Signature0">
    <w:name w:val="Signature"/>
    <w:basedOn w:val="Normal"/>
    <w:link w:val="SignatureChar"/>
    <w:uiPriority w:val="98"/>
    <w:semiHidden/>
    <w:rsid w:val="00432751"/>
    <w:pPr>
      <w:ind w:left="4252"/>
    </w:pPr>
  </w:style>
  <w:style w:type="character" w:customStyle="1" w:styleId="SignatureChar">
    <w:name w:val="Signature Char"/>
    <w:basedOn w:val="DefaultParagraphFont"/>
    <w:link w:val="Signature0"/>
    <w:uiPriority w:val="98"/>
    <w:semiHidden/>
    <w:rsid w:val="00432751"/>
    <w:rPr>
      <w:sz w:val="24"/>
      <w:szCs w:val="24"/>
      <w:lang w:val="en-GB"/>
    </w:rPr>
  </w:style>
  <w:style w:type="table" w:styleId="Table3Deffects1">
    <w:name w:val="Table 3D effects 1"/>
    <w:basedOn w:val="TableNormal"/>
    <w:uiPriority w:val="99"/>
    <w:semiHidden/>
    <w:unhideWhenUsed/>
    <w:rsid w:val="0043275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275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275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275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275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275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275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275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275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275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275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275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275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275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275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275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275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275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275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275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275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275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275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275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275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3275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275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275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275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275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275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275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275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32751"/>
    <w:pPr>
      <w:ind w:left="240" w:hanging="240"/>
    </w:pPr>
  </w:style>
  <w:style w:type="paragraph" w:styleId="TableofFigures">
    <w:name w:val="table of figures"/>
    <w:basedOn w:val="Normal"/>
    <w:next w:val="Normal"/>
    <w:uiPriority w:val="98"/>
    <w:semiHidden/>
    <w:rsid w:val="00432751"/>
  </w:style>
  <w:style w:type="table" w:styleId="TableProfessional">
    <w:name w:val="Table Professional"/>
    <w:basedOn w:val="TableNormal"/>
    <w:uiPriority w:val="99"/>
    <w:semiHidden/>
    <w:unhideWhenUsed/>
    <w:rsid w:val="0043275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275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275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275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275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275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275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275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275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275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3275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3275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32751"/>
    <w:pPr>
      <w:spacing w:after="100"/>
      <w:ind w:left="1680"/>
    </w:pPr>
  </w:style>
  <w:style w:type="paragraph" w:styleId="TOC9">
    <w:name w:val="toc 9"/>
    <w:basedOn w:val="Normal"/>
    <w:next w:val="Normal"/>
    <w:autoRedefine/>
    <w:uiPriority w:val="98"/>
    <w:semiHidden/>
    <w:rsid w:val="0043275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3275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3275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3275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43275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32751"/>
    <w:pPr>
      <w:numPr>
        <w:numId w:val="18"/>
      </w:numPr>
      <w:spacing w:before="60" w:after="60"/>
    </w:pPr>
  </w:style>
  <w:style w:type="paragraph" w:customStyle="1" w:styleId="ECHRBullet2">
    <w:name w:val="ECHR_Bullet_2"/>
    <w:aliases w:val="_Bul_2"/>
    <w:basedOn w:val="ECHRBullet1"/>
    <w:uiPriority w:val="23"/>
    <w:semiHidden/>
    <w:rsid w:val="00432751"/>
    <w:pPr>
      <w:numPr>
        <w:ilvl w:val="1"/>
      </w:numPr>
    </w:pPr>
  </w:style>
  <w:style w:type="paragraph" w:customStyle="1" w:styleId="ECHRBullet3">
    <w:name w:val="ECHR_Bullet_3"/>
    <w:aliases w:val="_Bul_3"/>
    <w:basedOn w:val="ECHRBullet2"/>
    <w:uiPriority w:val="23"/>
    <w:semiHidden/>
    <w:rsid w:val="00432751"/>
    <w:pPr>
      <w:numPr>
        <w:ilvl w:val="2"/>
      </w:numPr>
    </w:pPr>
  </w:style>
  <w:style w:type="paragraph" w:customStyle="1" w:styleId="ECHRBullet4">
    <w:name w:val="ECHR_Bullet_4"/>
    <w:aliases w:val="_Bul_4"/>
    <w:basedOn w:val="ECHRBullet3"/>
    <w:uiPriority w:val="23"/>
    <w:semiHidden/>
    <w:rsid w:val="00432751"/>
    <w:pPr>
      <w:numPr>
        <w:ilvl w:val="3"/>
      </w:numPr>
    </w:pPr>
  </w:style>
  <w:style w:type="paragraph" w:customStyle="1" w:styleId="ECHRConfidential">
    <w:name w:val="ECHR_Confidential"/>
    <w:aliases w:val="_Confidential"/>
    <w:basedOn w:val="Normal"/>
    <w:next w:val="Normal"/>
    <w:uiPriority w:val="42"/>
    <w:semiHidden/>
    <w:qFormat/>
    <w:rsid w:val="00432751"/>
    <w:pPr>
      <w:jc w:val="right"/>
    </w:pPr>
    <w:rPr>
      <w:color w:val="C00000"/>
      <w:sz w:val="20"/>
    </w:rPr>
  </w:style>
  <w:style w:type="paragraph" w:customStyle="1" w:styleId="ECHRDecisionBody">
    <w:name w:val="ECHR_Decision_Body"/>
    <w:aliases w:val="_Decision_Body"/>
    <w:basedOn w:val="NormalJustified"/>
    <w:uiPriority w:val="54"/>
    <w:semiHidden/>
    <w:rsid w:val="0043275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3275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3275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3275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32751"/>
    <w:pPr>
      <w:jc w:val="right"/>
    </w:pPr>
    <w:rPr>
      <w:sz w:val="20"/>
    </w:rPr>
  </w:style>
  <w:style w:type="paragraph" w:customStyle="1" w:styleId="ECHRHeaderRefIt">
    <w:name w:val="ECHR_Header_Ref_It"/>
    <w:aliases w:val="_Ref_Ital"/>
    <w:basedOn w:val="Normal"/>
    <w:next w:val="ECHRHeaderDate"/>
    <w:uiPriority w:val="43"/>
    <w:semiHidden/>
    <w:qFormat/>
    <w:rsid w:val="00432751"/>
    <w:pPr>
      <w:jc w:val="right"/>
    </w:pPr>
    <w:rPr>
      <w:i/>
      <w:sz w:val="20"/>
    </w:rPr>
  </w:style>
  <w:style w:type="paragraph" w:customStyle="1" w:styleId="ECHRHeading9">
    <w:name w:val="ECHR_Heading_9"/>
    <w:aliases w:val="_Head_9"/>
    <w:basedOn w:val="Heading9"/>
    <w:uiPriority w:val="17"/>
    <w:semiHidden/>
    <w:rsid w:val="00432751"/>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3275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32751"/>
    <w:pPr>
      <w:numPr>
        <w:numId w:val="19"/>
      </w:numPr>
      <w:spacing w:before="60" w:after="60"/>
    </w:pPr>
  </w:style>
  <w:style w:type="paragraph" w:customStyle="1" w:styleId="ECHRNumberedList2">
    <w:name w:val="ECHR_Numbered_List_2"/>
    <w:aliases w:val="_Num_2"/>
    <w:basedOn w:val="ECHRNumberedList1"/>
    <w:uiPriority w:val="23"/>
    <w:semiHidden/>
    <w:rsid w:val="00432751"/>
    <w:pPr>
      <w:numPr>
        <w:ilvl w:val="1"/>
      </w:numPr>
    </w:pPr>
  </w:style>
  <w:style w:type="paragraph" w:customStyle="1" w:styleId="ECHRNumberedList3">
    <w:name w:val="ECHR_Numbered_List_3"/>
    <w:aliases w:val="_Num_3"/>
    <w:basedOn w:val="ECHRNumberedList2"/>
    <w:uiPriority w:val="23"/>
    <w:semiHidden/>
    <w:rsid w:val="00432751"/>
    <w:pPr>
      <w:numPr>
        <w:ilvl w:val="2"/>
      </w:numPr>
    </w:pPr>
  </w:style>
  <w:style w:type="paragraph" w:customStyle="1" w:styleId="ECHRParaHanging">
    <w:name w:val="ECHR_Para_Hanging"/>
    <w:aliases w:val="_Hanging"/>
    <w:basedOn w:val="NormalJustified"/>
    <w:uiPriority w:val="8"/>
    <w:semiHidden/>
    <w:qFormat/>
    <w:rsid w:val="00432751"/>
    <w:pPr>
      <w:ind w:left="567" w:hanging="567"/>
    </w:pPr>
  </w:style>
  <w:style w:type="paragraph" w:customStyle="1" w:styleId="ECHRParaIndent">
    <w:name w:val="ECHR_Para_Indent"/>
    <w:aliases w:val="_Indent"/>
    <w:basedOn w:val="NormalJustified"/>
    <w:uiPriority w:val="7"/>
    <w:semiHidden/>
    <w:qFormat/>
    <w:rsid w:val="00432751"/>
    <w:pPr>
      <w:spacing w:before="120" w:after="120"/>
      <w:ind w:left="284"/>
    </w:pPr>
  </w:style>
  <w:style w:type="character" w:customStyle="1" w:styleId="ECHRRed">
    <w:name w:val="ECHR_Red"/>
    <w:aliases w:val="_Red"/>
    <w:basedOn w:val="DefaultParagraphFont"/>
    <w:uiPriority w:val="15"/>
    <w:semiHidden/>
    <w:qFormat/>
    <w:rsid w:val="00432751"/>
    <w:rPr>
      <w:color w:val="C00000" w:themeColor="accent2"/>
    </w:rPr>
  </w:style>
  <w:style w:type="paragraph" w:customStyle="1" w:styleId="DecList">
    <w:name w:val="Dec_List"/>
    <w:aliases w:val="_List"/>
    <w:basedOn w:val="JuList"/>
    <w:uiPriority w:val="22"/>
    <w:rsid w:val="00432751"/>
    <w:pPr>
      <w:numPr>
        <w:numId w:val="0"/>
      </w:numPr>
      <w:ind w:left="284"/>
    </w:pPr>
  </w:style>
  <w:style w:type="table" w:customStyle="1" w:styleId="ECHRTable2">
    <w:name w:val="ECHR_Table_2"/>
    <w:basedOn w:val="TableNormal"/>
    <w:uiPriority w:val="99"/>
    <w:rsid w:val="0043275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3275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3275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3275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3275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3275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3275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3275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32751"/>
    <w:pPr>
      <w:outlineLvl w:val="0"/>
    </w:pPr>
  </w:style>
  <w:style w:type="paragraph" w:customStyle="1" w:styleId="ECHRTitleTOC1">
    <w:name w:val="ECHR_Title_TOC_1"/>
    <w:aliases w:val="_Title_L_TOC"/>
    <w:basedOn w:val="ECHRTitle1"/>
    <w:next w:val="Normal"/>
    <w:uiPriority w:val="27"/>
    <w:semiHidden/>
    <w:qFormat/>
    <w:rsid w:val="00432751"/>
    <w:pPr>
      <w:outlineLvl w:val="0"/>
    </w:pPr>
  </w:style>
  <w:style w:type="paragraph" w:customStyle="1" w:styleId="ECHRPlaceholder">
    <w:name w:val="ECHR_Placeholder"/>
    <w:aliases w:val="_Placeholder"/>
    <w:basedOn w:val="JuSigned"/>
    <w:uiPriority w:val="31"/>
    <w:rsid w:val="00432751"/>
    <w:rPr>
      <w:color w:val="FFFFFF"/>
    </w:rPr>
  </w:style>
  <w:style w:type="paragraph" w:customStyle="1" w:styleId="ECHRSpacer">
    <w:name w:val="ECHR_Spacer"/>
    <w:aliases w:val="_Spacer"/>
    <w:basedOn w:val="Normal"/>
    <w:uiPriority w:val="45"/>
    <w:semiHidden/>
    <w:rsid w:val="00432751"/>
    <w:rPr>
      <w:sz w:val="4"/>
    </w:rPr>
  </w:style>
  <w:style w:type="table" w:customStyle="1" w:styleId="ECHRTableGrey">
    <w:name w:val="ECHR_Table_Grey"/>
    <w:basedOn w:val="TableNormal"/>
    <w:uiPriority w:val="99"/>
    <w:rsid w:val="0043275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32751"/>
    <w:rPr>
      <w:color w:val="605E5C"/>
      <w:shd w:val="clear" w:color="auto" w:fill="E1DFDD"/>
    </w:rPr>
  </w:style>
  <w:style w:type="character" w:customStyle="1" w:styleId="JuParaChar">
    <w:name w:val="Ju_Para Char"/>
    <w:aliases w:val="_Para Char"/>
    <w:link w:val="JuPara"/>
    <w:uiPriority w:val="4"/>
    <w:rsid w:val="00F97474"/>
    <w:rPr>
      <w:sz w:val="24"/>
      <w:szCs w:val="24"/>
      <w:lang w:val="en-GB"/>
    </w:rPr>
  </w:style>
  <w:style w:type="table" w:styleId="GridTable1Light">
    <w:name w:val="Grid Table 1 Light"/>
    <w:basedOn w:val="TableNormal"/>
    <w:uiPriority w:val="46"/>
    <w:semiHidden/>
    <w:rsid w:val="0062482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2482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2482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2482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2482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2482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2482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2482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2482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2482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2482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2482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2482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2482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248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248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248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248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248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248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248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248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248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248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248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248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248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248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248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248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248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248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248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248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248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248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248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248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248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248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248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248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248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24823"/>
    <w:rPr>
      <w:color w:val="2B579A"/>
      <w:shd w:val="clear" w:color="auto" w:fill="E1DFDD"/>
    </w:rPr>
  </w:style>
  <w:style w:type="table" w:styleId="ListTable1Light">
    <w:name w:val="List Table 1 Light"/>
    <w:basedOn w:val="TableNormal"/>
    <w:uiPriority w:val="46"/>
    <w:semiHidden/>
    <w:rsid w:val="0062482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2482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2482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2482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2482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2482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2482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2482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2482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2482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2482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2482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2482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2482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2482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2482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2482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2482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2482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2482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2482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248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248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248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248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248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248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248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2482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2482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2482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2482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2482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2482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2482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2482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2482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2482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2482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2482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2482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2482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2482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2482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2482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2482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2482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2482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2482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24823"/>
    <w:rPr>
      <w:color w:val="2B579A"/>
      <w:shd w:val="clear" w:color="auto" w:fill="E1DFDD"/>
    </w:rPr>
  </w:style>
  <w:style w:type="table" w:styleId="PlainTable1">
    <w:name w:val="Plain Table 1"/>
    <w:basedOn w:val="TableNormal"/>
    <w:uiPriority w:val="41"/>
    <w:semiHidden/>
    <w:rsid w:val="0062482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2482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248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2482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2482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24823"/>
    <w:rPr>
      <w:u w:val="dotted"/>
    </w:rPr>
  </w:style>
  <w:style w:type="character" w:styleId="SmartLink">
    <w:name w:val="Smart Link"/>
    <w:basedOn w:val="DefaultParagraphFont"/>
    <w:uiPriority w:val="99"/>
    <w:semiHidden/>
    <w:unhideWhenUsed/>
    <w:rsid w:val="00624823"/>
    <w:rPr>
      <w:color w:val="0000FF"/>
      <w:u w:val="single"/>
      <w:shd w:val="clear" w:color="auto" w:fill="F3F2F1"/>
    </w:rPr>
  </w:style>
  <w:style w:type="table" w:styleId="GridTableLight">
    <w:name w:val="Grid Table Light"/>
    <w:basedOn w:val="TableNormal"/>
    <w:uiPriority w:val="40"/>
    <w:semiHidden/>
    <w:rsid w:val="0062482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ummyStyle">
    <w:name w:val="Dummy_Style"/>
    <w:aliases w:val="_Dummy"/>
    <w:basedOn w:val="Normal"/>
    <w:semiHidden/>
    <w:qFormat/>
    <w:rsid w:val="00432751"/>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2569</Words>
  <Characters>14259</Characters>
  <Application>Microsoft Office Word</Application>
  <DocSecurity>0</DocSecurity>
  <Lines>1096</Lines>
  <Paragraphs>494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2023-10-24T17:48:00Z</dcterms:created>
  <dcterms:modified xsi:type="dcterms:W3CDTF">2023-10-24T17:51:00Z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1023904</vt:lpwstr>
  </property>
  <property fmtid="{D5CDD505-2E9C-101B-9397-08002B2CF9AE}" pid="3" name="cstLanguage">
    <vt:i4>2057</vt:i4>
  </property>
  <property fmtid="{D5CDD505-2E9C-101B-9397-08002B2CF9AE}" pid="4" name="RegisteredNo">
    <vt:lpwstr>42179/14</vt:lpwstr>
  </property>
</Properties>
</file>