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F5302" w:rsidR="00DC5B61" w:rsidP="008F5302" w14:paraId="7B66B238" w14:textId="77777777">
      <w:pPr>
        <w:rPr>
          <w:rFonts w:ascii="Times New Roman" w:hAnsi="Times New Roman" w:cs="Times New Roman"/>
        </w:rPr>
      </w:pPr>
    </w:p>
    <w:p w:rsidRPr="008F5302" w:rsidR="007A4070" w:rsidP="008F5302" w14:paraId="7DE4BE41" w14:textId="556F751E">
      <w:pPr>
        <w:pStyle w:val="DecHTitle"/>
      </w:pPr>
      <w:r w:rsidRPr="008F5302">
        <w:t>DEUXIÈME SECTION</w:t>
      </w:r>
    </w:p>
    <w:p w:rsidRPr="008F5302" w:rsidR="007A4070" w:rsidP="00CB7078" w14:paraId="4B63C29E" w14:textId="2CEE3362">
      <w:pPr>
        <w:pStyle w:val="JuTitle"/>
        <w:spacing w:before="520" w:after="200"/>
      </w:pPr>
      <w:r w:rsidRPr="008F5302">
        <w:t xml:space="preserve">AFFAIRE </w:t>
      </w:r>
      <w:r w:rsidRPr="008F5302" w:rsidR="00DC5B61">
        <w:t>STOIANOGLO c. RÉPUBLIQUE DE MOLDOVA</w:t>
      </w:r>
    </w:p>
    <w:p w:rsidRPr="008F5302" w:rsidR="007A4070" w:rsidP="008F5302" w14:paraId="7845DA97" w14:textId="2021D9B7">
      <w:pPr>
        <w:pStyle w:val="ECHRCoverTitle4"/>
      </w:pPr>
      <w:r w:rsidRPr="008F5302">
        <w:t>(</w:t>
      </w:r>
      <w:r w:rsidRPr="008F5302" w:rsidR="00DC5B61">
        <w:t>Requête n</w:t>
      </w:r>
      <w:r w:rsidRPr="008F5302" w:rsidR="00DC5B61">
        <w:rPr>
          <w:vertAlign w:val="superscript"/>
        </w:rPr>
        <w:t>o</w:t>
      </w:r>
      <w:r w:rsidRPr="008F5302">
        <w:t xml:space="preserve"> </w:t>
      </w:r>
      <w:r w:rsidRPr="008F5302" w:rsidR="00DC5B61">
        <w:t>19371/22</w:t>
      </w:r>
      <w:r w:rsidRPr="008F5302">
        <w:t>)</w:t>
      </w:r>
    </w:p>
    <w:p w:rsidRPr="008F5302" w:rsidR="007A4070" w:rsidP="00BC5765" w14:paraId="2ADFBD55" w14:textId="77777777">
      <w:pPr>
        <w:pStyle w:val="DecHCase"/>
        <w:spacing w:after="120"/>
      </w:pPr>
    </w:p>
    <w:p w:rsidRPr="008F5302" w:rsidR="007A4070" w:rsidP="008F5302" w14:paraId="2CDA6AD4" w14:textId="4FB3FC32">
      <w:pPr>
        <w:pStyle w:val="DecHCase"/>
        <w:spacing w:after="240"/>
      </w:pPr>
      <w:r w:rsidRPr="008F5302">
        <w:t>ARRÊT</w:t>
      </w:r>
      <w:r w:rsidRPr="008F5302">
        <w:br/>
      </w:r>
    </w:p>
    <w:p w:rsidRPr="00BC5765" w:rsidR="008F5302" w:rsidP="008F5302" w14:paraId="46DEE2A7" w14:textId="7D4931E1">
      <w:pPr>
        <w:pStyle w:val="JuPara"/>
        <w:pBdr>
          <w:top w:val="single" w:color="auto" w:sz="4" w:space="1"/>
          <w:left w:val="single" w:color="auto" w:sz="4" w:space="4"/>
          <w:bottom w:val="single" w:color="auto" w:sz="4" w:space="1"/>
          <w:right w:val="single" w:color="auto" w:sz="4" w:space="4"/>
        </w:pBdr>
        <w:ind w:firstLine="0"/>
        <w:rPr>
          <w:sz w:val="21"/>
          <w:szCs w:val="21"/>
        </w:rPr>
      </w:pPr>
      <w:r w:rsidRPr="00BC5765">
        <w:rPr>
          <w:sz w:val="21"/>
          <w:szCs w:val="21"/>
        </w:rPr>
        <w:t xml:space="preserve">Art 6 § 1 (civil) • Accès à un tribunal • Absence de contrôle judiciaire de la suspension automatique, </w:t>
      </w:r>
      <w:r w:rsidRPr="00BC5765">
        <w:rPr>
          <w:iCs/>
          <w:sz w:val="21"/>
          <w:szCs w:val="21"/>
        </w:rPr>
        <w:t xml:space="preserve">intervenant </w:t>
      </w:r>
      <w:r w:rsidRPr="00BC5765">
        <w:rPr>
          <w:sz w:val="21"/>
          <w:szCs w:val="21"/>
        </w:rPr>
        <w:t xml:space="preserve">par l’effet de la loi, des fonctions d’un procureur général, </w:t>
      </w:r>
      <w:r w:rsidRPr="00BC5765">
        <w:rPr>
          <w:bCs/>
          <w:iCs/>
          <w:sz w:val="21"/>
          <w:szCs w:val="21"/>
        </w:rPr>
        <w:t>pour plus de deux</w:t>
      </w:r>
      <w:r w:rsidRPr="00BC5765">
        <w:rPr>
          <w:iCs/>
          <w:sz w:val="21"/>
          <w:szCs w:val="21"/>
        </w:rPr>
        <w:t> </w:t>
      </w:r>
      <w:r w:rsidRPr="00BC5765">
        <w:rPr>
          <w:bCs/>
          <w:iCs/>
          <w:sz w:val="21"/>
          <w:szCs w:val="21"/>
        </w:rPr>
        <w:t>ans,</w:t>
      </w:r>
      <w:r w:rsidRPr="00BC5765">
        <w:rPr>
          <w:iCs/>
          <w:sz w:val="21"/>
          <w:szCs w:val="21"/>
        </w:rPr>
        <w:t xml:space="preserve"> </w:t>
      </w:r>
      <w:r w:rsidRPr="00BC5765">
        <w:rPr>
          <w:sz w:val="21"/>
          <w:szCs w:val="21"/>
        </w:rPr>
        <w:t>au moment de l’ouverture de poursuites pénales à son encontre</w:t>
      </w:r>
      <w:bookmarkStart w:name="lt_pId026" w:id="0"/>
      <w:r w:rsidRPr="00BC5765">
        <w:rPr>
          <w:sz w:val="21"/>
          <w:szCs w:val="21"/>
        </w:rPr>
        <w:t xml:space="preserve"> </w:t>
      </w:r>
      <w:bookmarkEnd w:id="0"/>
      <w:r w:rsidRPr="00BC5765">
        <w:rPr>
          <w:sz w:val="21"/>
          <w:szCs w:val="21"/>
        </w:rPr>
        <w:t>• Art</w:t>
      </w:r>
      <w:r w:rsidRPr="00BC5765">
        <w:rPr>
          <w:bCs/>
          <w:iCs/>
          <w:sz w:val="21"/>
          <w:szCs w:val="21"/>
        </w:rPr>
        <w:t> </w:t>
      </w:r>
      <w:r w:rsidRPr="00BC5765">
        <w:rPr>
          <w:bCs/>
          <w:sz w:val="21"/>
          <w:szCs w:val="21"/>
        </w:rPr>
        <w:t>6 §</w:t>
      </w:r>
      <w:r w:rsidRPr="00BC5765">
        <w:rPr>
          <w:bCs/>
          <w:iCs/>
          <w:sz w:val="21"/>
          <w:szCs w:val="21"/>
        </w:rPr>
        <w:t> </w:t>
      </w:r>
      <w:r w:rsidRPr="00BC5765">
        <w:rPr>
          <w:bCs/>
          <w:sz w:val="21"/>
          <w:szCs w:val="21"/>
        </w:rPr>
        <w:t xml:space="preserve">1 applicable </w:t>
      </w:r>
      <w:r w:rsidRPr="00BC5765">
        <w:rPr>
          <w:sz w:val="21"/>
          <w:szCs w:val="21"/>
        </w:rPr>
        <w:t xml:space="preserve">• Contestation réelle et sérieuse sur un « droit » en droit interne • Première condition du critère </w:t>
      </w:r>
      <w:r w:rsidRPr="00BC5765">
        <w:rPr>
          <w:i/>
          <w:iCs/>
          <w:sz w:val="21"/>
          <w:szCs w:val="21"/>
        </w:rPr>
        <w:t xml:space="preserve">Eskelinen </w:t>
      </w:r>
      <w:r w:rsidRPr="00BC5765">
        <w:rPr>
          <w:sz w:val="21"/>
          <w:szCs w:val="21"/>
        </w:rPr>
        <w:t xml:space="preserve">remplie, aucune disposition du droit interne ne permettait au requérant de contester la mesure en question • </w:t>
      </w:r>
      <w:r w:rsidRPr="00BC5765">
        <w:rPr>
          <w:bCs/>
          <w:sz w:val="21"/>
          <w:szCs w:val="21"/>
        </w:rPr>
        <w:t xml:space="preserve">Législation interne modifiée par la suite ayant donné au Conseil supérieur des procureurs la possibilité de faire vérifier l’opportunité de maintien ou non d’une telle mesure </w:t>
      </w:r>
      <w:r w:rsidRPr="00BC5765">
        <w:rPr>
          <w:sz w:val="21"/>
          <w:szCs w:val="21"/>
        </w:rPr>
        <w:t xml:space="preserve">• </w:t>
      </w:r>
      <w:r w:rsidRPr="00BC5765">
        <w:rPr>
          <w:bCs/>
          <w:sz w:val="21"/>
          <w:szCs w:val="21"/>
        </w:rPr>
        <w:t xml:space="preserve">Seconde condition du critère </w:t>
      </w:r>
      <w:r w:rsidRPr="00BC5765">
        <w:rPr>
          <w:bCs/>
          <w:i/>
          <w:iCs/>
          <w:sz w:val="21"/>
          <w:szCs w:val="21"/>
        </w:rPr>
        <w:t>Eskelinen</w:t>
      </w:r>
      <w:r w:rsidRPr="00BC5765">
        <w:rPr>
          <w:bCs/>
          <w:sz w:val="21"/>
          <w:szCs w:val="21"/>
        </w:rPr>
        <w:t xml:space="preserve"> non remplie, l’impossibilité faite au requérant d’accéder à un tribunal n’étant pas justifiée par des motifs objectifs liés à l’intérêt de l’État </w:t>
      </w:r>
      <w:r w:rsidRPr="00BC5765">
        <w:rPr>
          <w:sz w:val="21"/>
          <w:szCs w:val="21"/>
        </w:rPr>
        <w:t xml:space="preserve">• </w:t>
      </w:r>
      <w:r w:rsidRPr="00BC5765">
        <w:rPr>
          <w:bCs/>
          <w:iCs/>
          <w:sz w:val="21"/>
          <w:szCs w:val="21"/>
        </w:rPr>
        <w:t xml:space="preserve">Exigence d’indépendance énoncée à l’art 6 § 1 s’appliquant aux juges et aux tribunaux et non aux procureurs </w:t>
      </w:r>
      <w:r w:rsidRPr="00BC5765">
        <w:rPr>
          <w:sz w:val="21"/>
          <w:szCs w:val="21"/>
        </w:rPr>
        <w:t xml:space="preserve">• </w:t>
      </w:r>
      <w:r w:rsidRPr="00BC5765">
        <w:rPr>
          <w:bCs/>
          <w:iCs/>
          <w:sz w:val="21"/>
          <w:szCs w:val="21"/>
        </w:rPr>
        <w:t>L</w:t>
      </w:r>
      <w:r w:rsidRPr="00BC5765">
        <w:rPr>
          <w:bCs/>
          <w:sz w:val="21"/>
          <w:szCs w:val="21"/>
        </w:rPr>
        <w:t>igne nette entre des juges et des procureurs ne pouvant pas être tracée</w:t>
      </w:r>
      <w:r w:rsidRPr="00BC5765">
        <w:rPr>
          <w:bCs/>
          <w:iCs/>
          <w:sz w:val="21"/>
          <w:szCs w:val="21"/>
        </w:rPr>
        <w:t xml:space="preserve"> s’agissant de la nécessité d’une protection contre l’ingérence arbitraire dans leurs fonctions de la part des pouvoirs publics</w:t>
      </w:r>
      <w:r w:rsidRPr="00BC5765" w:rsidR="00BC5765">
        <w:rPr>
          <w:bCs/>
          <w:iCs/>
          <w:sz w:val="21"/>
          <w:szCs w:val="21"/>
        </w:rPr>
        <w:t xml:space="preserve"> </w:t>
      </w:r>
      <w:r w:rsidRPr="00BC5765">
        <w:rPr>
          <w:sz w:val="21"/>
          <w:szCs w:val="21"/>
        </w:rPr>
        <w:t xml:space="preserve">• </w:t>
      </w:r>
      <w:r w:rsidRPr="00BC5765">
        <w:rPr>
          <w:bCs/>
          <w:sz w:val="21"/>
          <w:szCs w:val="21"/>
        </w:rPr>
        <w:t>Supervision par un organe judiciaire indépendant de mesures telles que la révocation à même d’assurer effectivement pareille protection</w:t>
      </w:r>
      <w:r w:rsidRPr="00BC5765">
        <w:rPr>
          <w:bCs/>
          <w:iCs/>
          <w:sz w:val="21"/>
          <w:szCs w:val="21"/>
        </w:rPr>
        <w:t xml:space="preserve"> </w:t>
      </w:r>
      <w:r w:rsidRPr="00BC5765">
        <w:rPr>
          <w:sz w:val="21"/>
          <w:szCs w:val="21"/>
        </w:rPr>
        <w:t xml:space="preserve">• </w:t>
      </w:r>
      <w:r w:rsidRPr="00BC5765">
        <w:rPr>
          <w:bCs/>
          <w:iCs/>
          <w:sz w:val="21"/>
          <w:szCs w:val="21"/>
        </w:rPr>
        <w:t>Procureurs placés expressément dans la même situation que les magistrats concernant leur indépendance</w:t>
      </w:r>
      <w:r w:rsidRPr="00BC5765">
        <w:rPr>
          <w:bCs/>
          <w:sz w:val="21"/>
          <w:szCs w:val="21"/>
        </w:rPr>
        <w:t xml:space="preserve"> par la </w:t>
      </w:r>
      <w:r w:rsidRPr="00BC5765">
        <w:rPr>
          <w:bCs/>
          <w:iCs/>
          <w:sz w:val="21"/>
          <w:szCs w:val="21"/>
        </w:rPr>
        <w:t xml:space="preserve">législation nationale </w:t>
      </w:r>
      <w:r w:rsidRPr="00BC5765">
        <w:rPr>
          <w:sz w:val="21"/>
          <w:szCs w:val="21"/>
        </w:rPr>
        <w:t>• Justification insuffisante en l’espèce de la s</w:t>
      </w:r>
      <w:r w:rsidRPr="00BC5765">
        <w:rPr>
          <w:bCs/>
          <w:sz w:val="21"/>
          <w:szCs w:val="21"/>
        </w:rPr>
        <w:t>imple crainte d’une influence du procureur général suspendu sur les procédures pénales menées contre lui • Atteinte à la substance même du droit d’accès à un tribunal</w:t>
      </w:r>
    </w:p>
    <w:p w:rsidRPr="008F5302" w:rsidR="008F5302" w:rsidP="008F5302" w14:paraId="69F5DCA0" w14:textId="77777777">
      <w:pPr>
        <w:pStyle w:val="JuPara"/>
      </w:pPr>
    </w:p>
    <w:p w:rsidRPr="008F5302" w:rsidR="007A4070" w:rsidP="00CB7078" w14:paraId="52410697" w14:textId="77777777">
      <w:pPr>
        <w:pStyle w:val="DecHCase"/>
        <w:spacing w:after="200"/>
      </w:pPr>
      <w:r w:rsidRPr="008F5302">
        <w:t>STRASBOURG</w:t>
      </w:r>
    </w:p>
    <w:p w:rsidRPr="008F5302" w:rsidR="007A4070" w:rsidP="00CB7078" w14:paraId="23A6C090" w14:textId="2896B625">
      <w:pPr>
        <w:pStyle w:val="DecHCase"/>
        <w:spacing w:after="0"/>
      </w:pPr>
      <w:r w:rsidRPr="008F5302">
        <w:t>24 octobre 2023</w:t>
      </w:r>
    </w:p>
    <w:p w:rsidRPr="008F5302" w:rsidR="007A4070" w:rsidP="00BC5765" w14:paraId="4F360D1C" w14:textId="77777777">
      <w:pPr>
        <w:pStyle w:val="DecHCase"/>
        <w:spacing w:after="0"/>
      </w:pPr>
    </w:p>
    <w:p w:rsidRPr="00CB7078" w:rsidR="00CB7078" w:rsidP="00CB7078" w14:paraId="5240642C" w14:textId="77777777">
      <w:pPr>
        <w:pStyle w:val="jucase0"/>
        <w:ind w:firstLine="0"/>
        <w:jc w:val="center"/>
        <w:rPr>
          <w:color w:val="FF0000"/>
          <w:sz w:val="26"/>
          <w:szCs w:val="26"/>
          <w:u w:val="single"/>
          <w:lang w:val="fr-FR"/>
        </w:rPr>
      </w:pPr>
      <w:bookmarkStart w:name="_Hlk159345740" w:id="1"/>
      <w:bookmarkStart w:name="_Hlk59705989" w:id="2"/>
      <w:bookmarkStart w:name="_Hlk65662728" w:id="3"/>
      <w:r w:rsidRPr="00CB7078">
        <w:rPr>
          <w:color w:val="FF0000"/>
          <w:sz w:val="26"/>
          <w:szCs w:val="26"/>
          <w:u w:val="single"/>
          <w:lang w:val="fr-FR"/>
        </w:rPr>
        <w:t>DÉFINITIF</w:t>
      </w:r>
    </w:p>
    <w:p w:rsidRPr="00CB7078" w:rsidR="00CB7078" w:rsidP="00CB7078" w14:paraId="0B4FBE42" w14:textId="77777777">
      <w:pPr>
        <w:pStyle w:val="jucase0"/>
        <w:ind w:firstLine="0"/>
        <w:jc w:val="center"/>
        <w:rPr>
          <w:b w:val="0"/>
          <w:bCs w:val="0"/>
          <w:color w:val="FF0000"/>
          <w:sz w:val="20"/>
          <w:szCs w:val="20"/>
          <w:u w:val="single"/>
          <w:lang w:val="fr-FR"/>
        </w:rPr>
      </w:pPr>
    </w:p>
    <w:p w:rsidRPr="00CB7078" w:rsidR="00CB7078" w:rsidP="00CB7078" w14:paraId="0D42AE64" w14:textId="77777777">
      <w:pPr>
        <w:pStyle w:val="jucase0"/>
        <w:ind w:firstLine="0"/>
        <w:jc w:val="center"/>
        <w:rPr>
          <w:b w:val="0"/>
          <w:color w:val="FF0000"/>
          <w:sz w:val="26"/>
          <w:szCs w:val="26"/>
          <w:lang w:val="fr-FR"/>
        </w:rPr>
      </w:pPr>
      <w:r w:rsidRPr="00CB7078">
        <w:rPr>
          <w:b w:val="0"/>
          <w:color w:val="FF0000"/>
          <w:sz w:val="26"/>
          <w:szCs w:val="26"/>
          <w:lang w:val="fr-FR"/>
        </w:rPr>
        <w:t>24/01/2024</w:t>
      </w:r>
    </w:p>
    <w:p w:rsidRPr="00261F46" w:rsidR="00CB7078" w:rsidP="00CB7078" w14:paraId="5228DF96" w14:textId="77777777">
      <w:pPr>
        <w:pStyle w:val="jupara0"/>
        <w:ind w:firstLine="0"/>
        <w:jc w:val="center"/>
        <w:rPr>
          <w:u w:val="single"/>
          <w:lang w:val="fr-FR"/>
        </w:rPr>
      </w:pPr>
    </w:p>
    <w:p w:rsidRPr="008F5302" w:rsidR="00516B59" w:rsidP="00CB7078" w14:paraId="67A1B8DF" w14:textId="0C4E5ACA">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1"/>
      <w:r w:rsidRPr="00E361A6">
        <w:rPr>
          <w:i/>
          <w:iCs/>
          <w:sz w:val="22"/>
          <w:szCs w:val="22"/>
        </w:rPr>
        <w:t>.</w:t>
      </w:r>
      <w:bookmarkEnd w:id="2"/>
      <w:bookmarkEnd w:id="3"/>
    </w:p>
    <w:p w:rsidRPr="008F5302" w:rsidR="00516B59" w:rsidP="008F5302" w14:paraId="423E2AB6"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F5302" w:rsidR="004344E6" w:rsidP="008F5302" w14:paraId="65F970F1" w14:textId="52AC9088">
      <w:pPr>
        <w:pStyle w:val="JuCase"/>
      </w:pPr>
      <w:r w:rsidRPr="008F5302">
        <w:t>En l</w:t>
      </w:r>
      <w:r w:rsidRPr="008F5302" w:rsidR="008F5302">
        <w:t>’</w:t>
      </w:r>
      <w:r w:rsidRPr="008F5302">
        <w:t xml:space="preserve">affaire </w:t>
      </w:r>
      <w:r w:rsidRPr="008F5302" w:rsidR="00DC5B61">
        <w:t>Stoianoglo</w:t>
      </w:r>
      <w:r w:rsidRPr="008F5302" w:rsidR="00DC5B61">
        <w:t xml:space="preserve"> c. République de Moldova</w:t>
      </w:r>
      <w:r w:rsidRPr="008F5302">
        <w:t>,</w:t>
      </w:r>
    </w:p>
    <w:p w:rsidRPr="008F5302" w:rsidR="004344E6" w:rsidP="008F5302" w14:paraId="2D6EABD0" w14:textId="25027E33">
      <w:pPr>
        <w:pStyle w:val="JuPara"/>
      </w:pPr>
      <w:r w:rsidRPr="008F5302">
        <w:t>La Cour européenne des droits de l</w:t>
      </w:r>
      <w:r w:rsidRPr="008F5302" w:rsidR="008F5302">
        <w:t>’</w:t>
      </w:r>
      <w:r w:rsidRPr="008F5302">
        <w:t>homme (</w:t>
      </w:r>
      <w:r w:rsidRPr="008F5302" w:rsidR="00DC5B61">
        <w:t>deuxième section</w:t>
      </w:r>
      <w:r w:rsidRPr="008F5302">
        <w:t xml:space="preserve">), siégeant en </w:t>
      </w:r>
      <w:r w:rsidRPr="008F5302" w:rsidR="00DC5B61">
        <w:rPr>
          <w:color w:val="000000"/>
        </w:rPr>
        <w:t>une</w:t>
      </w:r>
      <w:r w:rsidRPr="008F5302" w:rsidR="00DC5B61">
        <w:t xml:space="preserve"> chambre</w:t>
      </w:r>
      <w:r w:rsidRPr="008F5302" w:rsidR="00D6491D">
        <w:t xml:space="preserve"> </w:t>
      </w:r>
      <w:r w:rsidRPr="008F5302" w:rsidR="00DC5B61">
        <w:t>composée</w:t>
      </w:r>
      <w:r w:rsidRPr="008F5302">
        <w:t xml:space="preserve"> de :</w:t>
      </w:r>
    </w:p>
    <w:p w:rsidRPr="008F5302" w:rsidR="004344E6" w:rsidP="008F5302" w14:paraId="09C21160" w14:textId="07C5D92B">
      <w:pPr>
        <w:pStyle w:val="JuJudges"/>
      </w:pPr>
      <w:r w:rsidRPr="008F5302">
        <w:tab/>
        <w:t xml:space="preserve">Arnfinn </w:t>
      </w:r>
      <w:r w:rsidRPr="008F5302">
        <w:t>Bårdsen</w:t>
      </w:r>
      <w:r w:rsidRPr="008F5302">
        <w:rPr>
          <w:i/>
        </w:rPr>
        <w:t>, président</w:t>
      </w:r>
      <w:r w:rsidRPr="008F5302">
        <w:t>,</w:t>
      </w:r>
      <w:r w:rsidRPr="008F5302">
        <w:br/>
      </w:r>
      <w:r w:rsidRPr="008F5302">
        <w:tab/>
        <w:t xml:space="preserve">Jovan </w:t>
      </w:r>
      <w:r w:rsidRPr="008F5302">
        <w:t>Ilievski</w:t>
      </w:r>
      <w:r w:rsidRPr="008F5302">
        <w:t>,</w:t>
      </w:r>
      <w:r w:rsidRPr="008F5302">
        <w:br/>
      </w:r>
      <w:r w:rsidRPr="008F5302">
        <w:tab/>
      </w:r>
      <w:r w:rsidRPr="008F5302">
        <w:t>Egidijus</w:t>
      </w:r>
      <w:r w:rsidRPr="008F5302">
        <w:t xml:space="preserve"> </w:t>
      </w:r>
      <w:r w:rsidRPr="008F5302">
        <w:t>Kūris</w:t>
      </w:r>
      <w:r w:rsidRPr="008F5302">
        <w:t>,</w:t>
      </w:r>
      <w:r w:rsidRPr="008F5302">
        <w:br/>
      </w:r>
      <w:r w:rsidRPr="008F5302">
        <w:tab/>
      </w:r>
      <w:r w:rsidRPr="008F5302">
        <w:t>Pauliine</w:t>
      </w:r>
      <w:r w:rsidRPr="008F5302">
        <w:t xml:space="preserve"> </w:t>
      </w:r>
      <w:r w:rsidRPr="008F5302">
        <w:t>Koskelo</w:t>
      </w:r>
      <w:r w:rsidRPr="008F5302">
        <w:t>,</w:t>
      </w:r>
      <w:r w:rsidRPr="008F5302">
        <w:br/>
      </w:r>
      <w:r w:rsidRPr="008F5302">
        <w:tab/>
        <w:t>Frédéric Krenc,</w:t>
      </w:r>
      <w:r w:rsidRPr="008F5302">
        <w:br/>
      </w:r>
      <w:r w:rsidRPr="008F5302">
        <w:tab/>
        <w:t xml:space="preserve">Diana </w:t>
      </w:r>
      <w:r w:rsidRPr="008F5302">
        <w:t>Sârcu</w:t>
      </w:r>
      <w:r w:rsidRPr="008F5302">
        <w:t>,</w:t>
      </w:r>
      <w:r w:rsidRPr="008F5302">
        <w:br/>
      </w:r>
      <w:r w:rsidRPr="008F5302">
        <w:tab/>
        <w:t xml:space="preserve">Davor </w:t>
      </w:r>
      <w:r w:rsidRPr="008F5302">
        <w:t>Derenčinović</w:t>
      </w:r>
      <w:r w:rsidRPr="008F5302">
        <w:rPr>
          <w:i/>
        </w:rPr>
        <w:t>, juges</w:t>
      </w:r>
      <w:r w:rsidRPr="008F5302">
        <w:t>,</w:t>
      </w:r>
      <w:r w:rsidRPr="008F5302">
        <w:br/>
        <w:t xml:space="preserve">et de </w:t>
      </w:r>
      <w:r w:rsidRPr="008F5302" w:rsidR="00DC5B61">
        <w:t xml:space="preserve">Hasan </w:t>
      </w:r>
      <w:r w:rsidRPr="008F5302" w:rsidR="00DC5B61">
        <w:t>Bakırcı</w:t>
      </w:r>
      <w:r w:rsidRPr="008F5302">
        <w:t xml:space="preserve">, </w:t>
      </w:r>
      <w:r w:rsidRPr="008F5302" w:rsidR="00DC5B61">
        <w:rPr>
          <w:i/>
        </w:rPr>
        <w:t>greffier</w:t>
      </w:r>
      <w:r w:rsidRPr="008F5302" w:rsidR="001C6A7B">
        <w:rPr>
          <w:i/>
          <w:iCs/>
        </w:rPr>
        <w:t xml:space="preserve"> d</w:t>
      </w:r>
      <w:r w:rsidRPr="008F5302" w:rsidR="001C6A7B">
        <w:rPr>
          <w:i/>
        </w:rPr>
        <w:t>e section</w:t>
      </w:r>
      <w:r w:rsidRPr="008F5302">
        <w:t>,</w:t>
      </w:r>
    </w:p>
    <w:p w:rsidRPr="008F5302" w:rsidR="00DC5B61" w:rsidP="008F5302" w14:paraId="752135F0" w14:textId="18B6ADA4">
      <w:pPr>
        <w:pStyle w:val="JuPara"/>
      </w:pPr>
      <w:r w:rsidRPr="008F5302">
        <w:t>Vu la requête (n</w:t>
      </w:r>
      <w:r w:rsidRPr="008F5302">
        <w:rPr>
          <w:vertAlign w:val="superscript"/>
        </w:rPr>
        <w:t>o</w:t>
      </w:r>
      <w:r w:rsidRPr="008F5302" w:rsidR="00E17BAE">
        <w:t xml:space="preserve"> </w:t>
      </w:r>
      <w:r w:rsidRPr="008F5302">
        <w:t>19371/22) dirigée contre la République de Moldova et dont un ressortissant de cet État, M. </w:t>
      </w:r>
      <w:r w:rsidRPr="008F5302">
        <w:t>Alexandr</w:t>
      </w:r>
      <w:r w:rsidRPr="008F5302">
        <w:t xml:space="preserve"> </w:t>
      </w:r>
      <w:r w:rsidRPr="008F5302">
        <w:t>Stoianoglo</w:t>
      </w:r>
      <w:r w:rsidRPr="008F5302">
        <w:t xml:space="preserve"> (« le requérant »), a saisi la Cour en vertu de l</w:t>
      </w:r>
      <w:r w:rsidRPr="008F5302" w:rsidR="008F5302">
        <w:t>’</w:t>
      </w:r>
      <w:r w:rsidRPr="008F5302">
        <w:t>article</w:t>
      </w:r>
      <w:r w:rsidRPr="008F5302" w:rsidR="00E17BAE">
        <w:t xml:space="preserve"> </w:t>
      </w:r>
      <w:r w:rsidRPr="008F5302">
        <w:t>34 de la Convention de sauvegarde des droits de l</w:t>
      </w:r>
      <w:r w:rsidRPr="008F5302" w:rsidR="008F5302">
        <w:t>’</w:t>
      </w:r>
      <w:r w:rsidRPr="008F5302">
        <w:t>homme et des libertés fondamentales (« la Convention ») le 19 janvier 2022,</w:t>
      </w:r>
    </w:p>
    <w:p w:rsidRPr="008F5302" w:rsidR="00DC5B61" w:rsidP="008F5302" w14:paraId="161F1C85" w14:textId="4DC6278D">
      <w:pPr>
        <w:pStyle w:val="JuPara"/>
      </w:pPr>
      <w:r w:rsidRPr="008F5302">
        <w:t>Vu la décision, d</w:t>
      </w:r>
      <w:r w:rsidRPr="008F5302" w:rsidR="008F5302">
        <w:t>’</w:t>
      </w:r>
      <w:r w:rsidRPr="008F5302">
        <w:t>une part, de porter à la connaissance du gouvernement moldave (« le Gouvernement ») le grief de défaut d</w:t>
      </w:r>
      <w:r w:rsidRPr="008F5302" w:rsidR="008F5302">
        <w:t>’</w:t>
      </w:r>
      <w:r w:rsidRPr="008F5302">
        <w:t>accès à un tribunal à raison de l</w:t>
      </w:r>
      <w:r w:rsidRPr="008F5302" w:rsidR="008F5302">
        <w:t>’</w:t>
      </w:r>
      <w:r w:rsidRPr="008F5302">
        <w:t>impossibilité alléguée par le requérant de contester sa suspension de fonctions et, d</w:t>
      </w:r>
      <w:r w:rsidRPr="008F5302" w:rsidR="008F5302">
        <w:t>’</w:t>
      </w:r>
      <w:r w:rsidRPr="008F5302">
        <w:t>autre part, de ne pas adopter de décision partielle quant au grief formulé dans le même contexte sur le terrain de l</w:t>
      </w:r>
      <w:r w:rsidRPr="008F5302" w:rsidR="008F5302">
        <w:t>’</w:t>
      </w:r>
      <w:r w:rsidRPr="008F5302">
        <w:t>article</w:t>
      </w:r>
      <w:r w:rsidRPr="008F5302" w:rsidR="00BB7776">
        <w:t xml:space="preserve"> </w:t>
      </w:r>
      <w:r w:rsidRPr="008F5302">
        <w:t>13 de la Convention,</w:t>
      </w:r>
    </w:p>
    <w:p w:rsidRPr="008F5302" w:rsidR="00DC5B61" w:rsidP="008F5302" w14:paraId="4295D62F" w14:textId="4E261313">
      <w:pPr>
        <w:pStyle w:val="JuPara"/>
        <w:rPr>
          <w:rFonts w:eastAsia="Times New Roman" w:cstheme="minorHAnsi"/>
          <w:lang w:eastAsia="fr-FR"/>
        </w:rPr>
      </w:pPr>
      <w:r w:rsidRPr="008F5302">
        <w:rPr>
          <w:rFonts w:cstheme="minorHAnsi"/>
        </w:rPr>
        <w:t xml:space="preserve">Vu la décision de rejeter la demande de récusation du Gouvernement </w:t>
      </w:r>
      <w:r w:rsidRPr="008F5302">
        <w:rPr>
          <w:rFonts w:eastAsia="Times New Roman" w:cstheme="minorHAnsi"/>
          <w:lang w:eastAsia="fr-FR"/>
        </w:rPr>
        <w:t>visant la juge élue au titre de l</w:t>
      </w:r>
      <w:r w:rsidRPr="008F5302" w:rsidR="008F5302">
        <w:rPr>
          <w:rFonts w:eastAsia="Times New Roman" w:cstheme="minorHAnsi"/>
          <w:lang w:eastAsia="fr-FR"/>
        </w:rPr>
        <w:t>’</w:t>
      </w:r>
      <w:r w:rsidRPr="008F5302">
        <w:rPr>
          <w:rFonts w:eastAsia="Times New Roman" w:cstheme="minorHAnsi"/>
          <w:lang w:eastAsia="fr-FR"/>
        </w:rPr>
        <w:t>État défendeur (l</w:t>
      </w:r>
      <w:r w:rsidRPr="008F5302" w:rsidR="008F5302">
        <w:rPr>
          <w:rFonts w:eastAsia="Times New Roman" w:cstheme="minorHAnsi"/>
          <w:lang w:eastAsia="fr-FR"/>
        </w:rPr>
        <w:t>’</w:t>
      </w:r>
      <w:r w:rsidRPr="008F5302">
        <w:rPr>
          <w:rFonts w:eastAsia="Times New Roman" w:cstheme="minorHAnsi"/>
          <w:lang w:eastAsia="fr-FR"/>
        </w:rPr>
        <w:t>article 28 § 2 d, du règlement),</w:t>
      </w:r>
    </w:p>
    <w:p w:rsidRPr="008F5302" w:rsidR="00DC5B61" w:rsidP="008F5302" w14:paraId="0946A7F0" w14:textId="77777777">
      <w:pPr>
        <w:pStyle w:val="JuPara"/>
      </w:pPr>
      <w:r w:rsidRPr="008F5302">
        <w:t>Vu les observations des parties,</w:t>
      </w:r>
    </w:p>
    <w:p w:rsidRPr="008F5302" w:rsidR="004344E6" w:rsidP="008F5302" w14:paraId="76A55403" w14:textId="25E94BC9">
      <w:pPr>
        <w:pStyle w:val="JuPara"/>
      </w:pPr>
      <w:r w:rsidRPr="008F5302">
        <w:t xml:space="preserve">Après en avoir délibéré en chambre du conseil le </w:t>
      </w:r>
      <w:r w:rsidRPr="008F5302" w:rsidR="00DC5B61">
        <w:t>3 octobre 2023</w:t>
      </w:r>
      <w:r w:rsidRPr="008F5302">
        <w:t>,</w:t>
      </w:r>
    </w:p>
    <w:p w:rsidRPr="008F5302" w:rsidR="00876F03" w:rsidP="008F5302" w14:paraId="3F94EF46" w14:textId="6931FFD3">
      <w:pPr>
        <w:pStyle w:val="JuPara"/>
      </w:pPr>
      <w:r w:rsidRPr="008F5302">
        <w:t>Rend l</w:t>
      </w:r>
      <w:r w:rsidRPr="008F5302" w:rsidR="008F5302">
        <w:t>’</w:t>
      </w:r>
      <w:r w:rsidRPr="008F5302">
        <w:t>arrêt que voici</w:t>
      </w:r>
      <w:r w:rsidRPr="008F5302">
        <w:t>, adopté à cette date :</w:t>
      </w:r>
    </w:p>
    <w:p w:rsidRPr="008F5302" w:rsidR="00DC5B61" w:rsidP="008F5302" w14:paraId="4FAC37C1" w14:textId="77777777">
      <w:pPr>
        <w:pStyle w:val="JuHHead"/>
      </w:pPr>
      <w:r w:rsidRPr="008F5302">
        <w:t>INTRODUCTION</w:t>
      </w:r>
    </w:p>
    <w:p w:rsidRPr="008F5302" w:rsidR="00DC5B61" w:rsidP="008F5302" w14:paraId="1CE3D376" w14:textId="4D4CBF11">
      <w:pPr>
        <w:pStyle w:val="JuPara"/>
      </w:pPr>
      <w:r w:rsidRPr="008F5302">
        <w:fldChar w:fldCharType="begin"/>
      </w:r>
      <w:r w:rsidRPr="008F5302">
        <w:instrText xml:space="preserve"> SEQ level0 \*arabic </w:instrText>
      </w:r>
      <w:r w:rsidRPr="008F5302">
        <w:fldChar w:fldCharType="separate"/>
      </w:r>
      <w:r w:rsidRPr="008F5302" w:rsidR="008F5302">
        <w:rPr>
          <w:noProof/>
        </w:rPr>
        <w:t>1</w:t>
      </w:r>
      <w:r w:rsidRPr="008F5302">
        <w:fldChar w:fldCharType="end"/>
      </w:r>
      <w:r w:rsidRPr="008F5302">
        <w:t>.  La requête concerne l</w:t>
      </w:r>
      <w:r w:rsidRPr="008F5302" w:rsidR="008F5302">
        <w:t>’</w:t>
      </w:r>
      <w:r w:rsidRPr="008F5302">
        <w:t>impossibilité alléguée par le requérant, procureur général, de contester la mesure de suspension de fonctions qui l</w:t>
      </w:r>
      <w:r w:rsidRPr="008F5302" w:rsidR="008F5302">
        <w:t>’</w:t>
      </w:r>
      <w:r w:rsidRPr="008F5302">
        <w:t>a visé au moment où des poursuites pénales ont été engagées contre lui. L</w:t>
      </w:r>
      <w:r w:rsidRPr="008F5302" w:rsidR="008F5302">
        <w:t>’</w:t>
      </w:r>
      <w:r w:rsidRPr="008F5302">
        <w:t>intéressé invoque les articles</w:t>
      </w:r>
      <w:r w:rsidRPr="008F5302" w:rsidR="00BB7776">
        <w:t xml:space="preserve"> </w:t>
      </w:r>
      <w:r w:rsidRPr="008F5302">
        <w:t>6 §</w:t>
      </w:r>
      <w:r w:rsidRPr="008F5302" w:rsidR="00BB7776">
        <w:t xml:space="preserve"> </w:t>
      </w:r>
      <w:r w:rsidRPr="008F5302">
        <w:t>1 et 13 de la Convention.</w:t>
      </w:r>
    </w:p>
    <w:p w:rsidRPr="008F5302" w:rsidR="00DC5B61" w:rsidP="008F5302" w14:paraId="6B34225E" w14:textId="77777777">
      <w:pPr>
        <w:pStyle w:val="JuHHead"/>
      </w:pPr>
      <w:r w:rsidRPr="008F5302">
        <w:t>EN FAIT</w:t>
      </w:r>
    </w:p>
    <w:p w:rsidRPr="008F5302" w:rsidR="00DC5B61" w:rsidP="008F5302" w14:paraId="4A175B72" w14:textId="651F3CD2">
      <w:pPr>
        <w:pStyle w:val="JuPara"/>
      </w:pPr>
      <w:r w:rsidRPr="008F5302">
        <w:fldChar w:fldCharType="begin"/>
      </w:r>
      <w:r w:rsidRPr="008F5302">
        <w:instrText xml:space="preserve"> SEQ level0 \*arabic </w:instrText>
      </w:r>
      <w:r w:rsidRPr="008F5302">
        <w:fldChar w:fldCharType="separate"/>
      </w:r>
      <w:r w:rsidRPr="008F5302" w:rsidR="008F5302">
        <w:rPr>
          <w:noProof/>
        </w:rPr>
        <w:t>2</w:t>
      </w:r>
      <w:r w:rsidRPr="008F5302">
        <w:fldChar w:fldCharType="end"/>
      </w:r>
      <w:r w:rsidRPr="008F5302">
        <w:t xml:space="preserve">.  Le requérant est né en 1967 et réside à </w:t>
      </w:r>
      <w:r w:rsidRPr="008F5302">
        <w:rPr>
          <w:lang w:val="ro-RO"/>
        </w:rPr>
        <w:t>Chișinău</w:t>
      </w:r>
      <w:r w:rsidRPr="008F5302">
        <w:t>. Il a été représenté par M</w:t>
      </w:r>
      <w:r w:rsidRPr="008F5302">
        <w:rPr>
          <w:vertAlign w:val="superscript"/>
        </w:rPr>
        <w:t>e</w:t>
      </w:r>
      <w:r w:rsidRPr="008F5302">
        <w:t> V. </w:t>
      </w:r>
      <w:r w:rsidRPr="008F5302">
        <w:t>Munteanu</w:t>
      </w:r>
      <w:r w:rsidRPr="008F5302">
        <w:t>, avocat.</w:t>
      </w:r>
    </w:p>
    <w:p w:rsidRPr="008F5302" w:rsidR="00DC5B61" w:rsidP="008F5302" w14:paraId="7D1C0272" w14:textId="79A74A6D">
      <w:pPr>
        <w:pStyle w:val="JuPara"/>
      </w:pPr>
      <w:r w:rsidRPr="008F5302">
        <w:fldChar w:fldCharType="begin"/>
      </w:r>
      <w:r w:rsidRPr="008F5302">
        <w:instrText xml:space="preserve"> SEQ level0 \*arabic </w:instrText>
      </w:r>
      <w:r w:rsidRPr="008F5302">
        <w:fldChar w:fldCharType="separate"/>
      </w:r>
      <w:r w:rsidRPr="008F5302" w:rsidR="008F5302">
        <w:rPr>
          <w:noProof/>
        </w:rPr>
        <w:t>3</w:t>
      </w:r>
      <w:r w:rsidRPr="008F5302">
        <w:fldChar w:fldCharType="end"/>
      </w:r>
      <w:r w:rsidRPr="008F5302">
        <w:t>.  Le Gouvernement a été représenté par son agent, D.</w:t>
      </w:r>
      <w:r w:rsidRPr="008F5302" w:rsidR="00185B2A">
        <w:t xml:space="preserve"> </w:t>
      </w:r>
      <w:r w:rsidRPr="008F5302">
        <w:t>Obad</w:t>
      </w:r>
      <w:r w:rsidRPr="008F5302">
        <w:rPr>
          <w:lang w:val="ro-RO"/>
        </w:rPr>
        <w:t>ă</w:t>
      </w:r>
      <w:r w:rsidRPr="008F5302">
        <w:t>.</w:t>
      </w:r>
    </w:p>
    <w:p w:rsidRPr="008F5302" w:rsidR="00DC5B61" w:rsidP="008F5302" w14:paraId="3696CE0B" w14:textId="77777777">
      <w:pPr>
        <w:pStyle w:val="JuHIRoman"/>
      </w:pPr>
      <w:r w:rsidRPr="008F5302">
        <w:t>La nomination du requérant en tant que procureur général</w:t>
      </w:r>
    </w:p>
    <w:bookmarkStart w:name="para4" w:id="4"/>
    <w:p w:rsidRPr="008F5302" w:rsidR="00DC5B61" w:rsidP="008F5302" w14:paraId="526B54EF" w14:textId="24C6171C">
      <w:pPr>
        <w:pStyle w:val="JuPara"/>
      </w:pPr>
      <w:r w:rsidRPr="008F5302">
        <w:fldChar w:fldCharType="begin"/>
      </w:r>
      <w:r w:rsidRPr="008F5302">
        <w:instrText xml:space="preserve"> SEQ level0 \*arabic </w:instrText>
      </w:r>
      <w:r w:rsidRPr="008F5302">
        <w:fldChar w:fldCharType="separate"/>
      </w:r>
      <w:r w:rsidRPr="008F5302" w:rsidR="008F5302">
        <w:rPr>
          <w:noProof/>
        </w:rPr>
        <w:t>4</w:t>
      </w:r>
      <w:r w:rsidRPr="008F5302">
        <w:fldChar w:fldCharType="end"/>
      </w:r>
      <w:bookmarkEnd w:id="4"/>
      <w:r w:rsidRPr="008F5302">
        <w:t>.  Membre du Parlement de la République de Moldova de 2009 à 2014, président de la Commission parlementaire de sécurité nationale, de défense et d</w:t>
      </w:r>
      <w:r w:rsidRPr="008F5302" w:rsidR="008F5302">
        <w:t>’</w:t>
      </w:r>
      <w:r w:rsidRPr="008F5302">
        <w:t>ordre public, le requérant fut, à l</w:t>
      </w:r>
      <w:r w:rsidRPr="008F5302" w:rsidR="008F5302">
        <w:t>’</w:t>
      </w:r>
      <w:r w:rsidRPr="008F5302">
        <w:t>issue d</w:t>
      </w:r>
      <w:r w:rsidRPr="008F5302" w:rsidR="008F5302">
        <w:t>’</w:t>
      </w:r>
      <w:r w:rsidRPr="008F5302">
        <w:t>une procédure publique de sélection, nommé procureur général le 29</w:t>
      </w:r>
      <w:r w:rsidRPr="008F5302" w:rsidR="00185B2A">
        <w:t xml:space="preserve"> </w:t>
      </w:r>
      <w:r w:rsidRPr="008F5302">
        <w:t>novembre 2019 pour un mandat de sept ans.</w:t>
      </w:r>
    </w:p>
    <w:p w:rsidRPr="008F5302" w:rsidR="00DC5B61" w:rsidP="008F5302" w14:paraId="4C1F973D" w14:textId="74BC99F3">
      <w:pPr>
        <w:pStyle w:val="JuHIRoman"/>
      </w:pPr>
      <w:r w:rsidRPr="008F5302">
        <w:t>L</w:t>
      </w:r>
      <w:r w:rsidRPr="008F5302">
        <w:t>a plainte formulée par le député l.c. devant le conseil supérieur des procureurs (« CSP »)</w:t>
      </w:r>
    </w:p>
    <w:p w:rsidRPr="008F5302" w:rsidR="00DC5B61" w:rsidP="008F5302" w14:paraId="57D6F935" w14:textId="2BC82B07">
      <w:pPr>
        <w:pStyle w:val="JuPara"/>
      </w:pPr>
      <w:r>
        <w:fldChar w:fldCharType="begin"/>
      </w:r>
      <w:r>
        <w:instrText xml:space="preserve"> SEQ level0 \*arabic </w:instrText>
      </w:r>
      <w:r>
        <w:instrText xml:space="preserve">\* MERGEFORMAT </w:instrText>
      </w:r>
      <w:r>
        <w:fldChar w:fldCharType="separate"/>
      </w:r>
      <w:r w:rsidRPr="008F5302" w:rsidR="008F5302">
        <w:rPr>
          <w:noProof/>
        </w:rPr>
        <w:t>5</w:t>
      </w:r>
      <w:r>
        <w:rPr>
          <w:noProof/>
        </w:rPr>
        <w:fldChar w:fldCharType="end"/>
      </w:r>
      <w:r w:rsidRPr="008F5302">
        <w:t>.  Le 30</w:t>
      </w:r>
      <w:r w:rsidRPr="008F5302" w:rsidR="004337C1">
        <w:t xml:space="preserve"> </w:t>
      </w:r>
      <w:r w:rsidRPr="008F5302">
        <w:t>septembre 2021, L.C., député et président de la Commission parlementaire de sécurité nationale, de défense et d</w:t>
      </w:r>
      <w:r w:rsidRPr="008F5302" w:rsidR="008F5302">
        <w:t>’</w:t>
      </w:r>
      <w:r w:rsidRPr="008F5302">
        <w:t>ordre public, saisit le CSP d</w:t>
      </w:r>
      <w:r w:rsidRPr="008F5302" w:rsidR="008F5302">
        <w:t>’</w:t>
      </w:r>
      <w:r w:rsidRPr="008F5302">
        <w:t>une plainte relative à des faits qu</w:t>
      </w:r>
      <w:r w:rsidRPr="008F5302" w:rsidR="008F5302">
        <w:t>’</w:t>
      </w:r>
      <w:r w:rsidRPr="008F5302">
        <w:t>il reprochait au requérant et qu</w:t>
      </w:r>
      <w:r w:rsidRPr="008F5302" w:rsidR="008F5302">
        <w:t>’</w:t>
      </w:r>
      <w:r w:rsidRPr="008F5302">
        <w:t>il estimait susceptibles d</w:t>
      </w:r>
      <w:r w:rsidRPr="008F5302" w:rsidR="008F5302">
        <w:t>’</w:t>
      </w:r>
      <w:r w:rsidRPr="008F5302">
        <w:t>être à l</w:t>
      </w:r>
      <w:r w:rsidRPr="008F5302" w:rsidR="008F5302">
        <w:t>’</w:t>
      </w:r>
      <w:r w:rsidRPr="008F5302">
        <w:t>origine de plusieurs infractions (abus de pouvoir, corruption passive, faux et excès de fonctions).</w:t>
      </w:r>
    </w:p>
    <w:p w:rsidRPr="008F5302" w:rsidR="00DC5B61" w:rsidP="008F5302" w14:paraId="6D23566B" w14:textId="3B297E4D">
      <w:pPr>
        <w:pStyle w:val="JuPara"/>
      </w:pPr>
      <w:r>
        <w:fldChar w:fldCharType="begin"/>
      </w:r>
      <w:r>
        <w:instrText xml:space="preserve"> SEQ level0 \*arabic \* MERGEFORMAT </w:instrText>
      </w:r>
      <w:r>
        <w:fldChar w:fldCharType="separate"/>
      </w:r>
      <w:r w:rsidRPr="008F5302" w:rsidR="008F5302">
        <w:rPr>
          <w:noProof/>
        </w:rPr>
        <w:t>6</w:t>
      </w:r>
      <w:r>
        <w:rPr>
          <w:noProof/>
        </w:rPr>
        <w:fldChar w:fldCharType="end"/>
      </w:r>
      <w:r w:rsidRPr="008F5302">
        <w:t>.  Par la même occasion, L.C. demanda au CSP de désigner, conformément aux dispositions du code de procédure pénale (« CPP »), un procureur chargé d</w:t>
      </w:r>
      <w:r w:rsidRPr="008F5302" w:rsidR="008F5302">
        <w:t>’</w:t>
      </w:r>
      <w:r w:rsidRPr="008F5302">
        <w:t xml:space="preserve">enquêter sur les faits allégués (paragraphe </w:t>
      </w:r>
      <w:r w:rsidRPr="008F5302">
        <w:fldChar w:fldCharType="begin"/>
      </w:r>
      <w:r w:rsidRPr="008F5302">
        <w:instrText xml:space="preserve"> REF para20 \h </w:instrText>
      </w:r>
      <w:r w:rsidRPr="008F5302">
        <w:fldChar w:fldCharType="separate"/>
      </w:r>
      <w:r w:rsidRPr="008F5302" w:rsidR="008F5302">
        <w:rPr>
          <w:noProof/>
        </w:rPr>
        <w:t>21</w:t>
      </w:r>
      <w:r w:rsidRPr="008F5302">
        <w:fldChar w:fldCharType="end"/>
      </w:r>
      <w:r w:rsidRPr="008F5302">
        <w:t xml:space="preserve"> ci-dessous).</w:t>
      </w:r>
    </w:p>
    <w:p w:rsidRPr="008F5302" w:rsidR="00DC5B61" w:rsidP="008F5302" w14:paraId="7FB743D9" w14:textId="293443A9">
      <w:pPr>
        <w:pStyle w:val="JuHIRoman"/>
      </w:pPr>
      <w:r w:rsidRPr="008F5302">
        <w:t>L</w:t>
      </w:r>
      <w:r w:rsidRPr="008F5302" w:rsidR="008F5302">
        <w:t>’</w:t>
      </w:r>
      <w:r w:rsidRPr="008F5302">
        <w:t>ouverture de poursuites contre le requérant et la mesure de suspension de fonctions prise à son égard</w:t>
      </w:r>
    </w:p>
    <w:bookmarkStart w:name="para7" w:id="5"/>
    <w:p w:rsidRPr="008F5302" w:rsidR="00DC5B61" w:rsidP="008F5302" w14:paraId="78DDE5F3" w14:textId="77D31588">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7</w:t>
      </w:r>
      <w:r w:rsidRPr="008F5302">
        <w:fldChar w:fldCharType="end"/>
      </w:r>
      <w:bookmarkEnd w:id="5"/>
      <w:r w:rsidRPr="008F5302">
        <w:t>.  Le 5</w:t>
      </w:r>
      <w:r w:rsidRPr="008F5302" w:rsidR="004337C1">
        <w:t xml:space="preserve"> </w:t>
      </w:r>
      <w:r w:rsidRPr="008F5302">
        <w:t>octobre 2021, après avoir entendu le député L.C. et examiné sa plainte, le CSP chargea le procureur V.F., du parquet anticorruption, d</w:t>
      </w:r>
      <w:r w:rsidRPr="008F5302" w:rsidR="008F5302">
        <w:t>’</w:t>
      </w:r>
      <w:r w:rsidRPr="008F5302">
        <w:t xml:space="preserve">enquêter sur les faits allégués. Le requérant ne fut pas entendu par le CSP, qui prononça sa décision à </w:t>
      </w:r>
      <w:r w:rsidRPr="008F5302" w:rsidR="002F018B">
        <w:t xml:space="preserve">la </w:t>
      </w:r>
      <w:r w:rsidRPr="008F5302">
        <w:t>majorité des voix (parmi les opinions dissidentes figurait celle de la présidente du CSP). Il était indiqué dans la décision rendue à cette fin, au point n</w:t>
      </w:r>
      <w:r w:rsidRPr="008F5302">
        <w:rPr>
          <w:vertAlign w:val="superscript"/>
        </w:rPr>
        <w:t>o</w:t>
      </w:r>
      <w:r w:rsidRPr="008F5302" w:rsidR="004337C1">
        <w:t xml:space="preserve"> </w:t>
      </w:r>
      <w:r w:rsidRPr="008F5302">
        <w:t>4 du dispositif, qu</w:t>
      </w:r>
      <w:r w:rsidRPr="008F5302" w:rsidR="008F5302">
        <w:t>’</w:t>
      </w:r>
      <w:r w:rsidRPr="008F5302">
        <w:t>elle pouvait être contestée devant la cour d</w:t>
      </w:r>
      <w:r w:rsidRPr="008F5302" w:rsidR="008F5302">
        <w:t>’</w:t>
      </w:r>
      <w:r w:rsidRPr="008F5302">
        <w:t xml:space="preserve">appel de </w:t>
      </w:r>
      <w:r w:rsidRPr="008F5302">
        <w:rPr>
          <w:lang w:val="ro-RO"/>
        </w:rPr>
        <w:t>Chișinău</w:t>
      </w:r>
      <w:r w:rsidRPr="008F5302">
        <w:t xml:space="preserve"> en vertu de l</w:t>
      </w:r>
      <w:r w:rsidRPr="008F5302" w:rsidR="008F5302">
        <w:t>’</w:t>
      </w:r>
      <w:r w:rsidRPr="008F5302">
        <w:t>article</w:t>
      </w:r>
      <w:r w:rsidRPr="008F5302" w:rsidR="004337C1">
        <w:t xml:space="preserve"> </w:t>
      </w:r>
      <w:r w:rsidRPr="008F5302">
        <w:t xml:space="preserve">191 du code administratif (paragraphe </w:t>
      </w:r>
      <w:r w:rsidRPr="008F5302">
        <w:fldChar w:fldCharType="begin"/>
      </w:r>
      <w:r w:rsidRPr="008F5302">
        <w:instrText xml:space="preserve"> REF para19 \h </w:instrText>
      </w:r>
      <w:r w:rsidRPr="008F5302">
        <w:fldChar w:fldCharType="separate"/>
      </w:r>
      <w:r w:rsidRPr="008F5302" w:rsidR="008F5302">
        <w:rPr>
          <w:noProof/>
        </w:rPr>
        <w:t>20</w:t>
      </w:r>
      <w:r w:rsidRPr="008F5302">
        <w:fldChar w:fldCharType="end"/>
      </w:r>
      <w:r w:rsidRPr="008F5302">
        <w:t xml:space="preserve"> ci-dessous). Le même jour, alors qu</w:t>
      </w:r>
      <w:r w:rsidRPr="008F5302" w:rsidR="008F5302">
        <w:t>’</w:t>
      </w:r>
      <w:r w:rsidRPr="008F5302">
        <w:t>il allait s</w:t>
      </w:r>
      <w:r w:rsidRPr="008F5302" w:rsidR="008F5302">
        <w:t>’</w:t>
      </w:r>
      <w:r w:rsidRPr="008F5302">
        <w:t>exprimer dans le cadre d</w:t>
      </w:r>
      <w:r w:rsidRPr="008F5302" w:rsidR="008F5302">
        <w:t>’</w:t>
      </w:r>
      <w:r w:rsidRPr="008F5302">
        <w:t>une conférence de presse qu</w:t>
      </w:r>
      <w:r w:rsidRPr="008F5302" w:rsidR="008F5302">
        <w:t>’</w:t>
      </w:r>
      <w:r w:rsidRPr="008F5302">
        <w:t xml:space="preserve">il avait organisée, le requérant fut appréhendé et placé en détention dans les locaux de la police de </w:t>
      </w:r>
      <w:r w:rsidRPr="008F5302">
        <w:rPr>
          <w:lang w:val="ro-RO"/>
        </w:rPr>
        <w:t>Chișinău</w:t>
      </w:r>
      <w:r w:rsidRPr="008F5302">
        <w:t>. Le requérant a été ensuite assigné à domicile et ultérieurement placé sous contrôle judiciaire.</w:t>
      </w:r>
    </w:p>
    <w:bookmarkStart w:name="para8" w:id="6"/>
    <w:p w:rsidRPr="008F5302" w:rsidR="00DC5B61" w:rsidP="008F5302" w14:paraId="4C8D9891" w14:textId="7ED46DE9">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8</w:t>
      </w:r>
      <w:r w:rsidRPr="008F5302">
        <w:fldChar w:fldCharType="end"/>
      </w:r>
      <w:bookmarkEnd w:id="6"/>
      <w:r w:rsidRPr="008F5302">
        <w:t>.  À la même date, selon les informations fournies par le Gouvernement dans ses observations sur la recevabilité de la requête, le procureur V.F. engagea des poursuites contre le requérant pour cinq infractions présumées relevant des chefs d</w:t>
      </w:r>
      <w:r w:rsidRPr="008F5302" w:rsidR="008F5302">
        <w:t>’</w:t>
      </w:r>
      <w:r w:rsidRPr="008F5302">
        <w:t>abus de pouvoir, de corruption passive, de faux et d</w:t>
      </w:r>
      <w:r w:rsidRPr="008F5302" w:rsidR="008F5302">
        <w:t>’</w:t>
      </w:r>
      <w:r w:rsidRPr="008F5302">
        <w:t>excès de fonctions. À compter du même jour, ainsi qu</w:t>
      </w:r>
      <w:r w:rsidRPr="008F5302" w:rsidR="008F5302">
        <w:t>’</w:t>
      </w:r>
      <w:r w:rsidRPr="008F5302">
        <w:t>il ressort desdites observations et d</w:t>
      </w:r>
      <w:r w:rsidRPr="008F5302" w:rsidR="008F5302">
        <w:t>’</w:t>
      </w:r>
      <w:r w:rsidRPr="008F5302">
        <w:t>une ordonnance du 7</w:t>
      </w:r>
      <w:r w:rsidRPr="008F5302" w:rsidR="00A970D6">
        <w:t xml:space="preserve"> </w:t>
      </w:r>
      <w:r w:rsidRPr="008F5302">
        <w:t>octobre 2021 du procureur V.F., l</w:t>
      </w:r>
      <w:r w:rsidRPr="008F5302" w:rsidR="008F5302">
        <w:t>’</w:t>
      </w:r>
      <w:r w:rsidRPr="008F5302">
        <w:t xml:space="preserve">intéressé fut suspendu de droit de ses fonctions en application de </w:t>
      </w:r>
      <w:r w:rsidRPr="008F5302">
        <w:t>l</w:t>
      </w:r>
      <w:r w:rsidRPr="008F5302" w:rsidR="008F5302">
        <w:t>’</w:t>
      </w:r>
      <w:r w:rsidRPr="008F5302">
        <w:t>article 55-1</w:t>
      </w:r>
      <w:r w:rsidRPr="008F5302">
        <w:rPr>
          <w:vertAlign w:val="superscript"/>
        </w:rPr>
        <w:t xml:space="preserve"> </w:t>
      </w:r>
      <w:r w:rsidRPr="008F5302">
        <w:t>de la loi n</w:t>
      </w:r>
      <w:r w:rsidRPr="008F5302">
        <w:rPr>
          <w:vertAlign w:val="superscript"/>
        </w:rPr>
        <w:t>o</w:t>
      </w:r>
      <w:r w:rsidRPr="008F5302" w:rsidR="00E34476">
        <w:t xml:space="preserve"> </w:t>
      </w:r>
      <w:r w:rsidRPr="008F5302">
        <w:t>3 du 25</w:t>
      </w:r>
      <w:r w:rsidRPr="008F5302" w:rsidR="00E34476">
        <w:t xml:space="preserve"> </w:t>
      </w:r>
      <w:r w:rsidRPr="008F5302">
        <w:t>février 2016 sur le ministère public, laquelle prévoyait que le procureur général visé par des poursuites pénales fût suspendu de droit de ses fonctions au moment de l</w:t>
      </w:r>
      <w:r w:rsidRPr="008F5302" w:rsidR="008F5302">
        <w:t>’</w:t>
      </w:r>
      <w:r w:rsidRPr="008F5302">
        <w:t>ouverture contre lui de poursuites pénales (paragraphe</w:t>
      </w:r>
      <w:r w:rsidRPr="008F5302" w:rsidR="0078381F">
        <w:t xml:space="preserve"> </w:t>
      </w:r>
      <w:r w:rsidRPr="008F5302">
        <w:fldChar w:fldCharType="begin"/>
      </w:r>
      <w:r w:rsidRPr="008F5302">
        <w:instrText xml:space="preserve"> REF para16 \h  \* MERGEFORMAT </w:instrText>
      </w:r>
      <w:r w:rsidRPr="008F5302">
        <w:fldChar w:fldCharType="separate"/>
      </w:r>
      <w:r w:rsidRPr="008F5302" w:rsidR="008F5302">
        <w:t>17</w:t>
      </w:r>
      <w:r w:rsidRPr="008F5302">
        <w:fldChar w:fldCharType="end"/>
      </w:r>
      <w:r w:rsidRPr="008F5302">
        <w:t xml:space="preserve"> ci-dessous).</w:t>
      </w:r>
    </w:p>
    <w:p w:rsidRPr="008F5302" w:rsidR="00DC5B61" w:rsidP="008F5302" w14:paraId="6F22DE1F" w14:textId="487DCECE">
      <w:pPr>
        <w:pStyle w:val="JuHIRoman"/>
      </w:pPr>
      <w:r w:rsidRPr="008F5302">
        <w:t>L</w:t>
      </w:r>
      <w:r w:rsidRPr="008F5302">
        <w:t>a contestation de la décision du csp</w:t>
      </w:r>
    </w:p>
    <w:bookmarkStart w:name="para9" w:id="7"/>
    <w:p w:rsidRPr="008F5302" w:rsidR="00DC5B61" w:rsidP="008F5302" w14:paraId="27B0373C" w14:textId="7758DCEA">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9</w:t>
      </w:r>
      <w:r w:rsidRPr="008F5302">
        <w:fldChar w:fldCharType="end"/>
      </w:r>
      <w:bookmarkEnd w:id="7"/>
      <w:r w:rsidRPr="008F5302">
        <w:t>.  Le 5</w:t>
      </w:r>
      <w:r w:rsidRPr="008F5302" w:rsidR="00E34476">
        <w:t xml:space="preserve"> </w:t>
      </w:r>
      <w:r w:rsidRPr="008F5302">
        <w:t>octobre 2021, le requérant contesta devant la cour d</w:t>
      </w:r>
      <w:r w:rsidRPr="008F5302" w:rsidR="008F5302">
        <w:t>’</w:t>
      </w:r>
      <w:r w:rsidRPr="008F5302">
        <w:t xml:space="preserve">appel de </w:t>
      </w:r>
      <w:r w:rsidRPr="008F5302">
        <w:rPr>
          <w:lang w:val="ro-RO"/>
        </w:rPr>
        <w:t>Chișinău</w:t>
      </w:r>
      <w:r w:rsidRPr="008F5302">
        <w:t xml:space="preserve"> la décision du CSP chargeant le procureur V.F. d</w:t>
      </w:r>
      <w:r w:rsidRPr="008F5302" w:rsidR="008F5302">
        <w:t>’</w:t>
      </w:r>
      <w:r w:rsidRPr="008F5302">
        <w:t>enquêter sur les faits allégués par le député L.C. Il demandait la suspension de la partie de la décision portant désignation du procureur V.F., faisant valoir que ladite décision avait été adoptée en son absence et que la procédure n</w:t>
      </w:r>
      <w:r w:rsidRPr="008F5302" w:rsidR="008F5302">
        <w:t>’</w:t>
      </w:r>
      <w:r w:rsidRPr="008F5302">
        <w:t>avait pas été respectée. Il arguait à cette fin que c</w:t>
      </w:r>
      <w:r w:rsidRPr="008F5302" w:rsidR="008F5302">
        <w:t>’</w:t>
      </w:r>
      <w:r w:rsidRPr="008F5302">
        <w:t>était au parquet d</w:t>
      </w:r>
      <w:r w:rsidRPr="008F5302" w:rsidR="008F5302">
        <w:t>’</w:t>
      </w:r>
      <w:r w:rsidRPr="008F5302">
        <w:t>examiner l</w:t>
      </w:r>
      <w:r w:rsidRPr="008F5302" w:rsidR="008F5302">
        <w:t>’</w:t>
      </w:r>
      <w:r w:rsidRPr="008F5302">
        <w:t>opportunité d</w:t>
      </w:r>
      <w:r w:rsidRPr="008F5302" w:rsidR="008F5302">
        <w:t>’</w:t>
      </w:r>
      <w:r w:rsidRPr="008F5302">
        <w:t>initier des poursuites, et non au CSP, lequel n</w:t>
      </w:r>
      <w:r w:rsidRPr="008F5302" w:rsidR="008F5302">
        <w:t>’</w:t>
      </w:r>
      <w:r w:rsidRPr="008F5302">
        <w:t>était pas selon lui un organe de poursuites.</w:t>
      </w:r>
    </w:p>
    <w:bookmarkStart w:name="para10" w:id="8"/>
    <w:p w:rsidRPr="008F5302" w:rsidR="00DC5B61" w:rsidP="008F5302" w14:paraId="2E43C8E6" w14:textId="2C081E40">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10</w:t>
      </w:r>
      <w:r w:rsidRPr="008F5302">
        <w:fldChar w:fldCharType="end"/>
      </w:r>
      <w:bookmarkEnd w:id="8"/>
      <w:r w:rsidRPr="008F5302">
        <w:t>.  Dans cette contestation, le requérant soulignait par ailleurs qu</w:t>
      </w:r>
      <w:r w:rsidRPr="008F5302" w:rsidR="008F5302">
        <w:t>’</w:t>
      </w:r>
      <w:r w:rsidRPr="008F5302">
        <w:t>il n</w:t>
      </w:r>
      <w:r w:rsidRPr="008F5302" w:rsidR="008F5302">
        <w:t>’</w:t>
      </w:r>
      <w:r w:rsidRPr="008F5302">
        <w:t>avait pas pu prendre connaissance du contenu de la plainte formée par le député L.C., qu</w:t>
      </w:r>
      <w:r w:rsidRPr="008F5302" w:rsidR="008F5302">
        <w:t>’</w:t>
      </w:r>
      <w:r w:rsidRPr="008F5302">
        <w:t>on avait rejeté sa demande tendant à faire reporter la réunion de quelques heures afin qu</w:t>
      </w:r>
      <w:r w:rsidRPr="008F5302" w:rsidR="008F5302">
        <w:t>’</w:t>
      </w:r>
      <w:r w:rsidRPr="008F5302">
        <w:t>il pût solliciter la récusation de cinq membres du CSP, et qu</w:t>
      </w:r>
      <w:r w:rsidRPr="008F5302" w:rsidR="008F5302">
        <w:t>’</w:t>
      </w:r>
      <w:r w:rsidRPr="008F5302">
        <w:t>on avait refusé qu</w:t>
      </w:r>
      <w:r w:rsidRPr="008F5302" w:rsidR="008F5302">
        <w:t>’</w:t>
      </w:r>
      <w:r w:rsidRPr="008F5302">
        <w:t>il répondît aux arguments avancés par l</w:t>
      </w:r>
      <w:r w:rsidRPr="008F5302" w:rsidR="008F5302">
        <w:t>’</w:t>
      </w:r>
      <w:r w:rsidRPr="008F5302">
        <w:t>auteur de la plainte. Il présentait également ses arguments en réponse aux allégations formulées dans sa plainte par le député L.C., et demandait enfin à la cour d</w:t>
      </w:r>
      <w:r w:rsidRPr="008F5302" w:rsidR="008F5302">
        <w:t>’</w:t>
      </w:r>
      <w:r w:rsidRPr="008F5302">
        <w:t>appel de constater l</w:t>
      </w:r>
      <w:r w:rsidRPr="008F5302" w:rsidR="008F5302">
        <w:t>’</w:t>
      </w:r>
      <w:r w:rsidRPr="008F5302">
        <w:t>illégalité de la décision attaquée.</w:t>
      </w:r>
    </w:p>
    <w:bookmarkStart w:name="para11" w:id="9"/>
    <w:p w:rsidRPr="008F5302" w:rsidR="00DC5B61" w:rsidP="008F5302" w14:paraId="797ED9B2" w14:textId="10461534">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11</w:t>
      </w:r>
      <w:r w:rsidRPr="008F5302">
        <w:fldChar w:fldCharType="end"/>
      </w:r>
      <w:bookmarkEnd w:id="9"/>
      <w:r w:rsidRPr="008F5302">
        <w:t>.  Le 2</w:t>
      </w:r>
      <w:r w:rsidRPr="008F5302" w:rsidR="00E34476">
        <w:t xml:space="preserve"> </w:t>
      </w:r>
      <w:r w:rsidRPr="008F5302">
        <w:t>novembre 2021</w:t>
      </w:r>
      <w:r w:rsidRPr="008F5302">
        <w:rPr>
          <w:b/>
          <w:bCs/>
        </w:rPr>
        <w:t xml:space="preserve">, </w:t>
      </w:r>
      <w:r w:rsidRPr="008F5302">
        <w:t>la cour d</w:t>
      </w:r>
      <w:r w:rsidRPr="008F5302" w:rsidR="008F5302">
        <w:t>’</w:t>
      </w:r>
      <w:r w:rsidRPr="008F5302">
        <w:t xml:space="preserve">appel de </w:t>
      </w:r>
      <w:r w:rsidRPr="008F5302">
        <w:rPr>
          <w:lang w:val="ro-RO"/>
        </w:rPr>
        <w:t>Chișinău</w:t>
      </w:r>
      <w:r w:rsidRPr="008F5302">
        <w:t xml:space="preserve"> rejeta la contestation comme irrecevable. Pour parvenir à cette conclusion, elle jugea tout d</w:t>
      </w:r>
      <w:r w:rsidRPr="008F5302" w:rsidR="008F5302">
        <w:t>’</w:t>
      </w:r>
      <w:r w:rsidRPr="008F5302">
        <w:t>abord que la décision contestée ne constituait pas un acte administratif individuel au sens du code administratif. Elle expliqua qu</w:t>
      </w:r>
      <w:r w:rsidRPr="008F5302" w:rsidR="008F5302">
        <w:t>’</w:t>
      </w:r>
      <w:r w:rsidRPr="008F5302">
        <w:t>en effet la désignation du procureur V.F. ne pouvait être contestée que si la suspension de fonctions du requérant ne pouvait faire l</w:t>
      </w:r>
      <w:r w:rsidRPr="008F5302" w:rsidR="008F5302">
        <w:t>’</w:t>
      </w:r>
      <w:r w:rsidRPr="008F5302">
        <w:t>objet d</w:t>
      </w:r>
      <w:r w:rsidRPr="008F5302" w:rsidR="008F5302">
        <w:t>’</w:t>
      </w:r>
      <w:r w:rsidRPr="008F5302">
        <w:t>un recours par ailleurs. Or, précisa-t-elle, étant donné que la mesure de suspension de fonctions s</w:t>
      </w:r>
      <w:r w:rsidRPr="008F5302" w:rsidR="008F5302">
        <w:t>’</w:t>
      </w:r>
      <w:r w:rsidRPr="008F5302">
        <w:t>appliquait automatiquement</w:t>
      </w:r>
      <w:r w:rsidRPr="008F5302" w:rsidR="00E34476">
        <w:t xml:space="preserve"> </w:t>
      </w:r>
      <w:r w:rsidRPr="008F5302">
        <w:t>- c</w:t>
      </w:r>
      <w:r w:rsidRPr="008F5302" w:rsidR="008F5302">
        <w:t>’</w:t>
      </w:r>
      <w:r w:rsidRPr="008F5302">
        <w:t>est-à-dire sans qu</w:t>
      </w:r>
      <w:r w:rsidRPr="008F5302" w:rsidR="008F5302">
        <w:t>’</w:t>
      </w:r>
      <w:r w:rsidRPr="008F5302">
        <w:t>une décision individuelle fût nécessaire à cette fin - au moment de l</w:t>
      </w:r>
      <w:r w:rsidRPr="008F5302" w:rsidR="008F5302">
        <w:t>’</w:t>
      </w:r>
      <w:r w:rsidRPr="008F5302">
        <w:t>ouverture des poursuites, il convenait, pour toute éventuelle contestation d</w:t>
      </w:r>
      <w:r w:rsidRPr="008F5302" w:rsidR="008F5302">
        <w:t>’</w:t>
      </w:r>
      <w:r w:rsidRPr="008F5302">
        <w:t>une telle mesure, de se conformer à la loi régissant la procédure pénale. Elle jugea par ailleurs que la décision contestée ne visait que la désignation d</w:t>
      </w:r>
      <w:r w:rsidRPr="008F5302" w:rsidR="008F5302">
        <w:t>’</w:t>
      </w:r>
      <w:r w:rsidRPr="008F5302">
        <w:t>un procureur chargé d</w:t>
      </w:r>
      <w:r w:rsidRPr="008F5302" w:rsidR="008F5302">
        <w:t>’</w:t>
      </w:r>
      <w:r w:rsidRPr="008F5302">
        <w:t>examiner les faits à l</w:t>
      </w:r>
      <w:r w:rsidRPr="008F5302" w:rsidR="008F5302">
        <w:t>’</w:t>
      </w:r>
      <w:r w:rsidRPr="008F5302">
        <w:t>origine de la plainte pénale et ne concernait pas la recevabilité ou l</w:t>
      </w:r>
      <w:r w:rsidRPr="008F5302" w:rsidR="008F5302">
        <w:t>’</w:t>
      </w:r>
      <w:r w:rsidRPr="008F5302">
        <w:t>opportunité des poursuites, lesquelles questions étaient du ressort des juridictions en charge d</w:t>
      </w:r>
      <w:r w:rsidRPr="008F5302" w:rsidR="008F5302">
        <w:t>’</w:t>
      </w:r>
      <w:r w:rsidRPr="008F5302">
        <w:t>appliquer les dispositions du CPP. Elle déclara enfin qu</w:t>
      </w:r>
      <w:r w:rsidRPr="008F5302" w:rsidR="008F5302">
        <w:t>’</w:t>
      </w:r>
      <w:r w:rsidRPr="008F5302">
        <w:t>en vertu du code administratif, les rapports avec les autorités publiques agissant en vertu de la loi pénale, comme c</w:t>
      </w:r>
      <w:r w:rsidRPr="008F5302" w:rsidR="008F5302">
        <w:t>’</w:t>
      </w:r>
      <w:r w:rsidRPr="008F5302">
        <w:t>était le cas en l</w:t>
      </w:r>
      <w:r w:rsidRPr="008F5302" w:rsidR="008F5302">
        <w:t>’</w:t>
      </w:r>
      <w:r w:rsidRPr="008F5302">
        <w:t>espèce, ne relevaient pas du contentieux administratif. Elle conclut qu</w:t>
      </w:r>
      <w:r w:rsidRPr="008F5302" w:rsidR="008F5302">
        <w:t>’</w:t>
      </w:r>
      <w:r w:rsidRPr="008F5302">
        <w:t>il n</w:t>
      </w:r>
      <w:r w:rsidRPr="008F5302" w:rsidR="008F5302">
        <w:t>’</w:t>
      </w:r>
      <w:r w:rsidRPr="008F5302">
        <w:t>y avait pas lieu de statuer sur la demande de suspension formulée par le requérant.</w:t>
      </w:r>
    </w:p>
    <w:bookmarkStart w:name="para12" w:id="10"/>
    <w:p w:rsidRPr="008F5302" w:rsidR="00DC5B61" w:rsidP="008F5302" w14:paraId="12728012" w14:textId="36409CD4">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12</w:t>
      </w:r>
      <w:r w:rsidRPr="008F5302">
        <w:fldChar w:fldCharType="end"/>
      </w:r>
      <w:bookmarkEnd w:id="10"/>
      <w:r w:rsidRPr="008F5302">
        <w:t xml:space="preserve">.  Le requérant recourut contre cette décision devant la Cour suprême de justice (« la Cour suprême »). Expliquant que la décision contestée, en tant </w:t>
      </w:r>
      <w:r w:rsidRPr="008F5302">
        <w:t>qu</w:t>
      </w:r>
      <w:r w:rsidRPr="008F5302" w:rsidR="008F5302">
        <w:t>’</w:t>
      </w:r>
      <w:r w:rsidRPr="008F5302">
        <w:t>elle portait suspension de ses fonctions et désignation d</w:t>
      </w:r>
      <w:r w:rsidRPr="008F5302" w:rsidR="008F5302">
        <w:t>’</w:t>
      </w:r>
      <w:r w:rsidRPr="008F5302">
        <w:t>un procureur aux fins d</w:t>
      </w:r>
      <w:r w:rsidRPr="008F5302" w:rsidR="008F5302">
        <w:t>’</w:t>
      </w:r>
      <w:r w:rsidRPr="008F5302">
        <w:t>examen de la plainte pénale formulée par le député L.C., constituait un acte administratif qui lui portait préjudice, il se plaignait d</w:t>
      </w:r>
      <w:r w:rsidRPr="008F5302" w:rsidR="008F5302">
        <w:t>’</w:t>
      </w:r>
      <w:r w:rsidRPr="008F5302">
        <w:t>un défaut d</w:t>
      </w:r>
      <w:r w:rsidRPr="008F5302" w:rsidR="008F5302">
        <w:t>’</w:t>
      </w:r>
      <w:r w:rsidRPr="008F5302">
        <w:t>accès à un tribunal et renvoyait à la jurisprudence de la Cour en la matière.</w:t>
      </w:r>
    </w:p>
    <w:bookmarkStart w:name="para13" w:id="11"/>
    <w:p w:rsidRPr="008F5302" w:rsidR="00DC5B61" w:rsidP="008F5302" w14:paraId="4DA7F680" w14:textId="5629B635">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13</w:t>
      </w:r>
      <w:r w:rsidRPr="008F5302">
        <w:fldChar w:fldCharType="end"/>
      </w:r>
      <w:bookmarkEnd w:id="11"/>
      <w:r w:rsidRPr="008F5302">
        <w:t>.  Par un arrêt du 29</w:t>
      </w:r>
      <w:r w:rsidRPr="008F5302" w:rsidR="00E34476">
        <w:t xml:space="preserve"> </w:t>
      </w:r>
      <w:r w:rsidRPr="008F5302">
        <w:t>décembre 2021, la Cour suprême rejeta le recours comme mal fondé et confirma le jugement du 2</w:t>
      </w:r>
      <w:r w:rsidRPr="008F5302" w:rsidR="00E34476">
        <w:t xml:space="preserve"> </w:t>
      </w:r>
      <w:r w:rsidRPr="008F5302">
        <w:t>novembre 2021. Après avoir rappelé les dispositions pertinentes du code administratif ainsi que celles qui régissaient le fonctionnement du CSP, elle jugea que la décision de désigner le procureur V.F. aux fins d</w:t>
      </w:r>
      <w:r w:rsidRPr="008F5302" w:rsidR="008F5302">
        <w:t>’</w:t>
      </w:r>
      <w:r w:rsidRPr="008F5302">
        <w:t>examen de la plainte visant le requérant ne constituait pas un acte administratif individuel. Elle expliqua que le CSP avait agi en tant qu</w:t>
      </w:r>
      <w:r w:rsidRPr="008F5302" w:rsidR="008F5302">
        <w:t>’</w:t>
      </w:r>
      <w:r w:rsidRPr="008F5302">
        <w:t>autorité publique en vertu du CPP, circonstance qui, selon la Cour suprême, ne le plaçait pas à l</w:t>
      </w:r>
      <w:r w:rsidRPr="008F5302" w:rsidR="008F5302">
        <w:t>’</w:t>
      </w:r>
      <w:r w:rsidRPr="008F5302">
        <w:t>égard du requérant dans un rapport susceptible d</w:t>
      </w:r>
      <w:r w:rsidRPr="008F5302" w:rsidR="008F5302">
        <w:t>’</w:t>
      </w:r>
      <w:r w:rsidRPr="008F5302">
        <w:t>être soumis à contrôle par la voie du contentieux administratif. La mention dans la décision du 5</w:t>
      </w:r>
      <w:r w:rsidRPr="008F5302" w:rsidR="00E34476">
        <w:t xml:space="preserve"> </w:t>
      </w:r>
      <w:r w:rsidRPr="008F5302">
        <w:t>octobre 2021 d</w:t>
      </w:r>
      <w:r w:rsidRPr="008F5302" w:rsidR="008F5302">
        <w:t>’</w:t>
      </w:r>
      <w:r w:rsidRPr="008F5302">
        <w:t>un droit de contestation par la voie administrative (paragraphe</w:t>
      </w:r>
      <w:r w:rsidRPr="008F5302" w:rsidR="00880589">
        <w:t xml:space="preserve"> </w:t>
      </w:r>
      <w:r w:rsidRPr="008F5302">
        <w:fldChar w:fldCharType="begin"/>
      </w:r>
      <w:r w:rsidRPr="008F5302">
        <w:instrText xml:space="preserve"> REF para7 \h </w:instrText>
      </w:r>
      <w:r w:rsidRPr="008F5302">
        <w:fldChar w:fldCharType="separate"/>
      </w:r>
      <w:r w:rsidRPr="008F5302" w:rsidR="008F5302">
        <w:rPr>
          <w:noProof/>
        </w:rPr>
        <w:t>7</w:t>
      </w:r>
      <w:r w:rsidRPr="008F5302">
        <w:fldChar w:fldCharType="end"/>
      </w:r>
      <w:r w:rsidRPr="008F5302">
        <w:t xml:space="preserve"> ci-dessus) aurait représenté une simple erreur matérielle ne conférant pas à l</w:t>
      </w:r>
      <w:r w:rsidRPr="008F5302" w:rsidR="008F5302">
        <w:t>’</w:t>
      </w:r>
      <w:r w:rsidRPr="008F5302">
        <w:t>acte en question un caractère administratif ni ne constituant un motif d</w:t>
      </w:r>
      <w:r w:rsidRPr="008F5302" w:rsidR="008F5302">
        <w:t>’</w:t>
      </w:r>
      <w:r w:rsidRPr="008F5302">
        <w:t>annulation de la décision contestée.</w:t>
      </w:r>
    </w:p>
    <w:p w:rsidRPr="008F5302" w:rsidR="00DC5B61" w:rsidP="008F5302" w14:paraId="3649C100" w14:textId="1BD530D3">
      <w:pPr>
        <w:pStyle w:val="JuPara"/>
      </w:pPr>
      <w:r>
        <w:fldChar w:fldCharType="begin"/>
      </w:r>
      <w:r>
        <w:instrText xml:space="preserve"> SEQ level0 \*arabic \* MERGEFORMAT </w:instrText>
      </w:r>
      <w:r>
        <w:fldChar w:fldCharType="separate"/>
      </w:r>
      <w:r w:rsidRPr="008F5302" w:rsidR="008F5302">
        <w:rPr>
          <w:noProof/>
        </w:rPr>
        <w:t>14</w:t>
      </w:r>
      <w:r>
        <w:rPr>
          <w:noProof/>
        </w:rPr>
        <w:fldChar w:fldCharType="end"/>
      </w:r>
      <w:r w:rsidRPr="008F5302">
        <w:t>.  Il en ressort que le 26 septembre 2023 la Présidente de la République de Moldavie a signé un décret mettant fin aux fonctions de procureur général occupées par le requérant.</w:t>
      </w:r>
    </w:p>
    <w:p w:rsidRPr="008F5302" w:rsidR="00DC5B61" w:rsidP="008F5302" w14:paraId="38F819F6" w14:textId="698534DC">
      <w:pPr>
        <w:pStyle w:val="JuHHead"/>
      </w:pPr>
      <w:r w:rsidRPr="008F5302">
        <w:t>LE CADRE JURIDIQUE</w:t>
      </w:r>
      <w:r w:rsidRPr="008F5302">
        <w:rPr>
          <w:rFonts w:ascii="Arial" w:hAnsi="Arial" w:cs="Arial" w:eastAsiaTheme="minorHAnsi"/>
          <w:bCs w:val="0"/>
          <w:caps w:val="0"/>
          <w:color w:val="000000"/>
        </w:rPr>
        <w:t xml:space="preserve"> </w:t>
      </w:r>
      <w:r w:rsidRPr="008F5302">
        <w:t>ET LA PRATIQUE INTERNEs PERTINENTs</w:t>
      </w:r>
    </w:p>
    <w:p w:rsidRPr="008F5302" w:rsidR="00DC5B61" w:rsidP="008F5302" w14:paraId="2108C64A" w14:textId="77777777">
      <w:pPr>
        <w:pStyle w:val="JuHIRoman"/>
      </w:pPr>
      <w:r w:rsidRPr="008F5302">
        <w:t>La Constitution</w:t>
      </w:r>
    </w:p>
    <w:bookmarkStart w:name="para14" w:id="12"/>
    <w:p w:rsidRPr="008F5302" w:rsidR="00DC5B61" w:rsidP="008F5302" w14:paraId="68ABC924" w14:textId="4FD6D607">
      <w:pPr>
        <w:pStyle w:val="JuPara"/>
      </w:pPr>
      <w:r w:rsidRPr="008F5302">
        <w:fldChar w:fldCharType="begin"/>
      </w:r>
      <w:r w:rsidRPr="008F5302">
        <w:instrText xml:space="preserve"> SEQ level0 \*arabic </w:instrText>
      </w:r>
      <w:r w:rsidRPr="008F5302">
        <w:fldChar w:fldCharType="separate"/>
      </w:r>
      <w:r w:rsidRPr="008F5302" w:rsidR="008F5302">
        <w:rPr>
          <w:noProof/>
        </w:rPr>
        <w:t>15</w:t>
      </w:r>
      <w:r w:rsidRPr="008F5302">
        <w:fldChar w:fldCharType="end"/>
      </w:r>
      <w:bookmarkEnd w:id="12"/>
      <w:r w:rsidRPr="008F5302">
        <w:t>.  La partie pertinente en l</w:t>
      </w:r>
      <w:r w:rsidRPr="008F5302" w:rsidR="008F5302">
        <w:t>’</w:t>
      </w:r>
      <w:r w:rsidRPr="008F5302">
        <w:t>espèce de la Constitution de la République de Moldova se lisait comme suit dans sa rédaction en vigueur à l</w:t>
      </w:r>
      <w:r w:rsidRPr="008F5302" w:rsidR="008F5302">
        <w:t>’</w:t>
      </w:r>
      <w:r w:rsidRPr="008F5302">
        <w:t>époque des faits :</w:t>
      </w:r>
    </w:p>
    <w:p w:rsidRPr="008F5302" w:rsidR="00DC5B61" w:rsidP="008F5302" w14:paraId="21505620" w14:textId="77777777">
      <w:pPr>
        <w:pStyle w:val="JuHArticle"/>
      </w:pPr>
      <w:r w:rsidRPr="008F5302">
        <w:t>Article 124</w:t>
      </w:r>
    </w:p>
    <w:p w:rsidRPr="008F5302" w:rsidR="00DC5B61" w:rsidP="008F5302" w14:paraId="2204E09E" w14:textId="77777777">
      <w:pPr>
        <w:pStyle w:val="JuHArticle"/>
      </w:pPr>
      <w:r w:rsidRPr="008F5302">
        <w:t>Le parquet</w:t>
      </w:r>
    </w:p>
    <w:p w:rsidRPr="008F5302" w:rsidR="00DC5B61" w:rsidP="008F5302" w14:paraId="3029E2D1" w14:textId="7A73245B">
      <w:pPr>
        <w:pStyle w:val="JuQuot"/>
      </w:pPr>
      <w:r w:rsidRPr="008F5302">
        <w:t>« 1.  Le parquet est une institution publique autonome dans le cadre de l</w:t>
      </w:r>
      <w:r w:rsidRPr="008F5302" w:rsidR="008F5302">
        <w:t>’</w:t>
      </w:r>
      <w:r w:rsidRPr="008F5302">
        <w:t>autorité judiciaire. Il contribue à l</w:t>
      </w:r>
      <w:r w:rsidRPr="008F5302" w:rsidR="008F5302">
        <w:t>’</w:t>
      </w:r>
      <w:r w:rsidRPr="008F5302">
        <w:t>administration de la justice et à la défense des droits, des libertés et des intérêts légitimes de la personne, de la société et de l</w:t>
      </w:r>
      <w:r w:rsidRPr="008F5302" w:rsidR="008F5302">
        <w:t>’</w:t>
      </w:r>
      <w:r w:rsidRPr="008F5302">
        <w:t>État par le biais des procédures, pénales et autres, prévues par la loi.</w:t>
      </w:r>
    </w:p>
    <w:p w:rsidRPr="008F5302" w:rsidR="00DC5B61" w:rsidP="008F5302" w14:paraId="51EF4876" w14:textId="77777777">
      <w:pPr>
        <w:pStyle w:val="JuQuot"/>
      </w:pPr>
      <w:r w:rsidRPr="008F5302">
        <w:t>2.  Les attributions du parquet sont exercées par des procureurs.</w:t>
      </w:r>
    </w:p>
    <w:p w:rsidRPr="008F5302" w:rsidR="00DC5B61" w:rsidP="008F5302" w14:paraId="63BBBD38" w14:textId="662E6255">
      <w:pPr>
        <w:pStyle w:val="JuQuot"/>
      </w:pPr>
      <w:r w:rsidRPr="008F5302">
        <w:t>3.  Les compétences, l</w:t>
      </w:r>
      <w:r w:rsidRPr="008F5302" w:rsidR="008F5302">
        <w:t>’</w:t>
      </w:r>
      <w:r w:rsidRPr="008F5302">
        <w:t>organisation et le fonctionnement du parquet sont établis par la loi. »</w:t>
      </w:r>
    </w:p>
    <w:p w:rsidRPr="008F5302" w:rsidR="00DC5B61" w:rsidP="008F5302" w14:paraId="3456EBD4" w14:textId="77777777">
      <w:pPr>
        <w:pStyle w:val="JuHArticle"/>
      </w:pPr>
      <w:r w:rsidRPr="008F5302">
        <w:t>Article 125</w:t>
      </w:r>
    </w:p>
    <w:p w:rsidRPr="008F5302" w:rsidR="00DC5B61" w:rsidP="008F5302" w14:paraId="05A1FFBB" w14:textId="77777777">
      <w:pPr>
        <w:pStyle w:val="JuHArticle"/>
      </w:pPr>
      <w:r w:rsidRPr="008F5302">
        <w:t>Les procureurs</w:t>
      </w:r>
    </w:p>
    <w:p w:rsidRPr="008F5302" w:rsidR="00DC5B61" w:rsidP="008F5302" w14:paraId="32DC6900" w14:textId="77777777">
      <w:pPr>
        <w:pStyle w:val="JuQuot"/>
      </w:pPr>
      <w:r w:rsidRPr="008F5302">
        <w:t>« 1.  Le procureur général est nommé par le président de la République de Moldova, sur proposition du Conseil supérieur des procureurs, pour un mandat de sept ans non renouvelable.</w:t>
      </w:r>
    </w:p>
    <w:p w:rsidRPr="008F5302" w:rsidR="00DC5B61" w:rsidP="008F5302" w14:paraId="4CB4E417" w14:textId="7821445F">
      <w:pPr>
        <w:pStyle w:val="JuQuot"/>
      </w:pPr>
      <w:r w:rsidRPr="008F5302">
        <w:t>2.  Le procureur général peut être démis de ses fonctions par le président de la République de Moldova, sur proposition du Conseil supérieur des procureurs, dans les conditions prévues par la loi, pour des raisons objectives et à l</w:t>
      </w:r>
      <w:r w:rsidRPr="008F5302" w:rsidR="008F5302">
        <w:t>’</w:t>
      </w:r>
      <w:r w:rsidRPr="008F5302">
        <w:t>issue d</w:t>
      </w:r>
      <w:r w:rsidRPr="008F5302" w:rsidR="008F5302">
        <w:t>’</w:t>
      </w:r>
      <w:r w:rsidRPr="008F5302">
        <w:t>une procédure transparente.</w:t>
      </w:r>
    </w:p>
    <w:p w:rsidRPr="008F5302" w:rsidR="00DC5B61" w:rsidP="008F5302" w14:paraId="529F1DF2" w14:textId="77777777">
      <w:pPr>
        <w:pStyle w:val="JuQuot"/>
      </w:pPr>
      <w:r w:rsidRPr="008F5302">
        <w:t>3.  La nomination, le transfert, la promotion et la révocation des procureurs de rang inférieur dans la hiérarchie judiciaire sont effectués par le procureur général sur proposition du Conseil supérieur des procureurs. »</w:t>
      </w:r>
    </w:p>
    <w:p w:rsidRPr="008F5302" w:rsidR="00DC5B61" w:rsidP="008F5302" w14:paraId="3D4CB3B7" w14:textId="77777777">
      <w:pPr>
        <w:pStyle w:val="JuHArticle"/>
        <w:rPr>
          <w:vertAlign w:val="superscript"/>
        </w:rPr>
      </w:pPr>
      <w:r w:rsidRPr="008F5302">
        <w:t>Article 125-1</w:t>
      </w:r>
    </w:p>
    <w:p w:rsidRPr="008F5302" w:rsidR="00DC5B61" w:rsidP="008F5302" w14:paraId="42975569" w14:textId="6A51B84A">
      <w:pPr>
        <w:pStyle w:val="JuQuot"/>
      </w:pPr>
      <w:r w:rsidRPr="008F5302">
        <w:t>« 1.  Le Conseil supérieur des procureurs est le garant de l</w:t>
      </w:r>
      <w:r w:rsidRPr="008F5302" w:rsidR="008F5302">
        <w:t>’</w:t>
      </w:r>
      <w:r w:rsidRPr="008F5302">
        <w:t>indépendance et de l</w:t>
      </w:r>
      <w:r w:rsidRPr="008F5302" w:rsidR="008F5302">
        <w:t>’</w:t>
      </w:r>
      <w:r w:rsidRPr="008F5302">
        <w:t>impartialité des procureurs.</w:t>
      </w:r>
    </w:p>
    <w:p w:rsidRPr="008F5302" w:rsidR="00DC5B61" w:rsidP="008F5302" w14:paraId="42B4867E" w14:textId="59BCDF0C">
      <w:pPr>
        <w:pStyle w:val="JuQuot"/>
      </w:pPr>
      <w:r w:rsidRPr="008F5302">
        <w:t>2.  Le Conseil supérieur des procureurs est composé, conformément à la loi, de procureurs élus parmi les procureurs des parquets (</w:t>
      </w:r>
      <w:r w:rsidRPr="008F5302">
        <w:rPr>
          <w:i/>
          <w:iCs/>
        </w:rPr>
        <w:t>procuraturile</w:t>
      </w:r>
      <w:r w:rsidRPr="008F5302">
        <w:t>) de tous les niveaux ainsi que de représentants d</w:t>
      </w:r>
      <w:r w:rsidRPr="008F5302" w:rsidR="008F5302">
        <w:t>’</w:t>
      </w:r>
      <w:r w:rsidRPr="008F5302">
        <w:t>autres autorités, d</w:t>
      </w:r>
      <w:r w:rsidRPr="008F5302" w:rsidR="008F5302">
        <w:t>’</w:t>
      </w:r>
      <w:r w:rsidRPr="008F5302">
        <w:t>institutions publiques ou de la société civile. Les procureurs constituent une part importante du Conseil supérieur des procureurs.</w:t>
      </w:r>
    </w:p>
    <w:p w:rsidRPr="008F5302" w:rsidR="00DC5B61" w:rsidP="008F5302" w14:paraId="22987873" w14:textId="77777777">
      <w:pPr>
        <w:pStyle w:val="JuQuot"/>
      </w:pPr>
      <w:r w:rsidRPr="008F5302">
        <w:t>3.  Le Conseil supérieur des procureurs est chargé de la nomination des procureurs, de leur transfert, de leur promotion et des mesures disciplinaires prises à leur égard.</w:t>
      </w:r>
    </w:p>
    <w:p w:rsidRPr="008F5302" w:rsidR="00DC5B61" w:rsidP="008F5302" w14:paraId="4E51A41A" w14:textId="643DAC95">
      <w:pPr>
        <w:pStyle w:val="JuQuot"/>
      </w:pPr>
      <w:r w:rsidRPr="008F5302">
        <w:t>4.  L</w:t>
      </w:r>
      <w:r w:rsidRPr="008F5302" w:rsidR="008F5302">
        <w:t>’</w:t>
      </w:r>
      <w:r w:rsidRPr="008F5302">
        <w:t>organisation et le fonctionnement du Conseil supérieur des procureurs sont établis par la loi. »</w:t>
      </w:r>
    </w:p>
    <w:p w:rsidRPr="008F5302" w:rsidR="00DC5B61" w:rsidP="008F5302" w14:paraId="2D11487F" w14:textId="4C5DE2E5">
      <w:pPr>
        <w:pStyle w:val="JuHIRoman"/>
      </w:pPr>
      <w:r w:rsidRPr="008F5302">
        <w:t>L</w:t>
      </w:r>
      <w:r w:rsidRPr="008F5302">
        <w:t>e statut des procureurs dans le système judiciaire moldave</w:t>
      </w:r>
    </w:p>
    <w:bookmarkStart w:name="para15" w:id="13"/>
    <w:p w:rsidRPr="008F5302" w:rsidR="00DC5B61" w:rsidP="008F5302" w14:paraId="0B16FBD1" w14:textId="0E8E7C4E">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16</w:t>
      </w:r>
      <w:r w:rsidRPr="008F5302">
        <w:fldChar w:fldCharType="end"/>
      </w:r>
      <w:bookmarkEnd w:id="13"/>
      <w:r w:rsidRPr="008F5302">
        <w:t>.  Le ministère public moldave a fait l</w:t>
      </w:r>
      <w:r w:rsidRPr="008F5302" w:rsidR="008F5302">
        <w:t>’</w:t>
      </w:r>
      <w:r w:rsidRPr="008F5302">
        <w:t>objet de nombreuses réformes. Dans son état actuel, tel qu</w:t>
      </w:r>
      <w:r w:rsidRPr="008F5302" w:rsidR="008F5302">
        <w:t>’</w:t>
      </w:r>
      <w:r w:rsidRPr="008F5302">
        <w:t>établi par la Constitution et par les lois n</w:t>
      </w:r>
      <w:r w:rsidRPr="008F5302">
        <w:rPr>
          <w:vertAlign w:val="superscript"/>
        </w:rPr>
        <w:t>o</w:t>
      </w:r>
      <w:r w:rsidRPr="008F5302" w:rsidR="008A53C8">
        <w:t xml:space="preserve"> </w:t>
      </w:r>
      <w:r w:rsidRPr="008F5302">
        <w:t>3 du 25 février 2016 sur le ministère public, n</w:t>
      </w:r>
      <w:r w:rsidRPr="008F5302">
        <w:rPr>
          <w:vertAlign w:val="superscript"/>
        </w:rPr>
        <w:t>o</w:t>
      </w:r>
      <w:r w:rsidRPr="008F5302" w:rsidR="008A53C8">
        <w:t xml:space="preserve"> </w:t>
      </w:r>
      <w:r w:rsidRPr="008F5302">
        <w:t>544-XIII du 20</w:t>
      </w:r>
      <w:r w:rsidRPr="008F5302" w:rsidR="008A53C8">
        <w:t xml:space="preserve"> </w:t>
      </w:r>
      <w:r w:rsidRPr="008F5302">
        <w:t>juillet 1995 sur le statut des juges, n</w:t>
      </w:r>
      <w:r w:rsidRPr="008F5302">
        <w:rPr>
          <w:vertAlign w:val="superscript"/>
        </w:rPr>
        <w:t>o</w:t>
      </w:r>
      <w:r w:rsidRPr="008F5302" w:rsidR="008A53C8">
        <w:t xml:space="preserve"> </w:t>
      </w:r>
      <w:r w:rsidRPr="008F5302">
        <w:t>154 du 5</w:t>
      </w:r>
      <w:r w:rsidRPr="008F5302" w:rsidR="008A53C8">
        <w:t xml:space="preserve"> </w:t>
      </w:r>
      <w:r w:rsidRPr="008F5302">
        <w:t>juillet 2012 sur la sélection, l</w:t>
      </w:r>
      <w:r w:rsidRPr="008F5302" w:rsidR="008F5302">
        <w:t>’</w:t>
      </w:r>
      <w:r w:rsidRPr="008F5302">
        <w:t>évaluation des performances et la carrière des juges, n</w:t>
      </w:r>
      <w:r w:rsidRPr="008F5302">
        <w:rPr>
          <w:vertAlign w:val="superscript"/>
        </w:rPr>
        <w:t>o</w:t>
      </w:r>
      <w:r w:rsidRPr="008F5302" w:rsidR="008A53C8">
        <w:t xml:space="preserve"> </w:t>
      </w:r>
      <w:r w:rsidRPr="008F5302">
        <w:t>178 du 25</w:t>
      </w:r>
      <w:r w:rsidRPr="008F5302" w:rsidR="008A53C8">
        <w:t xml:space="preserve"> </w:t>
      </w:r>
      <w:r w:rsidRPr="008F5302">
        <w:t>juillet 2014 sur la responsabilité disciplinaire des juges et n</w:t>
      </w:r>
      <w:r w:rsidRPr="008F5302">
        <w:rPr>
          <w:vertAlign w:val="superscript"/>
        </w:rPr>
        <w:t>o</w:t>
      </w:r>
      <w:r w:rsidRPr="008F5302" w:rsidR="008A53C8">
        <w:t xml:space="preserve"> </w:t>
      </w:r>
      <w:r w:rsidRPr="008F5302">
        <w:t>947-XIII du 19</w:t>
      </w:r>
      <w:r w:rsidRPr="008F5302" w:rsidR="008A53C8">
        <w:t xml:space="preserve"> </w:t>
      </w:r>
      <w:r w:rsidRPr="008F5302">
        <w:t>juillet 1996 sur le Conseil supérieur de la magistrature, le système judiciaire moldave n</w:t>
      </w:r>
      <w:r w:rsidRPr="008F5302" w:rsidR="008F5302">
        <w:t>’</w:t>
      </w:r>
      <w:r w:rsidRPr="008F5302">
        <w:t>opère aucune distinction fondamentale entre le statut des juges et celui des procureurs</w:t>
      </w:r>
      <w:r w:rsidRPr="008F5302" w:rsidR="007B19C5">
        <w:t>.</w:t>
      </w:r>
    </w:p>
    <w:p w:rsidRPr="008F5302" w:rsidR="00DC5B61" w:rsidP="008F5302" w14:paraId="0BC745F0" w14:textId="5DBEA59D">
      <w:pPr>
        <w:pStyle w:val="JuHIRoman"/>
      </w:pPr>
      <w:r w:rsidRPr="008F5302">
        <w:t>L</w:t>
      </w:r>
      <w:r w:rsidRPr="008F5302">
        <w:t>a loi sur le ministère public</w:t>
      </w:r>
    </w:p>
    <w:bookmarkStart w:name="para16" w:id="14"/>
    <w:p w:rsidRPr="008F5302" w:rsidR="00DC5B61" w:rsidP="008F5302" w14:paraId="76D2C6D3" w14:textId="06193936">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17</w:t>
      </w:r>
      <w:r w:rsidRPr="008F5302">
        <w:fldChar w:fldCharType="end"/>
      </w:r>
      <w:bookmarkEnd w:id="14"/>
      <w:r w:rsidRPr="008F5302">
        <w:t>.  La loi n</w:t>
      </w:r>
      <w:r w:rsidRPr="008F5302">
        <w:rPr>
          <w:vertAlign w:val="superscript"/>
        </w:rPr>
        <w:t>o</w:t>
      </w:r>
      <w:r w:rsidRPr="008F5302" w:rsidR="008A53C8">
        <w:t xml:space="preserve"> </w:t>
      </w:r>
      <w:r w:rsidRPr="008F5302">
        <w:t>3 du 25</w:t>
      </w:r>
      <w:r w:rsidRPr="008F5302" w:rsidR="008A53C8">
        <w:t xml:space="preserve"> </w:t>
      </w:r>
      <w:r w:rsidRPr="008F5302">
        <w:t>février 2016 sur le ministère public, telle qu</w:t>
      </w:r>
      <w:r w:rsidRPr="008F5302" w:rsidR="008F5302">
        <w:t>’</w:t>
      </w:r>
      <w:r w:rsidRPr="008F5302">
        <w:t>en vigueur au moment où le requérant a été nommé procureur général, se lisait comme suit dans ses parties pertinentes en l</w:t>
      </w:r>
      <w:r w:rsidRPr="008F5302" w:rsidR="008F5302">
        <w:t>’</w:t>
      </w:r>
      <w:r w:rsidRPr="008F5302">
        <w:t>espèce :</w:t>
      </w:r>
    </w:p>
    <w:p w:rsidRPr="008F5302" w:rsidR="00DC5B61" w:rsidP="008F5302" w14:paraId="1DCCC9B0" w14:textId="77777777">
      <w:pPr>
        <w:pStyle w:val="JuHArticle"/>
      </w:pPr>
      <w:r w:rsidRPr="008F5302">
        <w:t>Article 34</w:t>
      </w:r>
    </w:p>
    <w:p w:rsidRPr="008F5302" w:rsidR="00DC5B61" w:rsidP="008F5302" w14:paraId="3AA80923" w14:textId="765E1900">
      <w:pPr>
        <w:pStyle w:val="JuHArticle"/>
      </w:pPr>
      <w:r w:rsidRPr="008F5302">
        <w:t>L</w:t>
      </w:r>
      <w:r w:rsidRPr="008F5302" w:rsidR="008F5302">
        <w:t>’</w:t>
      </w:r>
      <w:r w:rsidRPr="008F5302">
        <w:t>inviolabilité du procureur</w:t>
      </w:r>
    </w:p>
    <w:p w:rsidRPr="008F5302" w:rsidR="00DC5B61" w:rsidP="008F5302" w14:paraId="5B734401" w14:textId="6CDF1527">
      <w:pPr>
        <w:pStyle w:val="JuQuot"/>
      </w:pPr>
      <w:r w:rsidRPr="008F5302">
        <w:t>« (...) 4.  Des poursuites pénales contre un procureur ne peuvent être engagées que par le procureur général. En même temps (...), le procureur général saisit le Conseil supérieur des procureurs aux fins d</w:t>
      </w:r>
      <w:r w:rsidRPr="008F5302" w:rsidR="008F5302">
        <w:t>’</w:t>
      </w:r>
      <w:r w:rsidRPr="008F5302">
        <w:t>ouverture de poursuites disciplinaires.</w:t>
      </w:r>
    </w:p>
    <w:p w:rsidRPr="008F5302" w:rsidR="00DC5B61" w:rsidP="008F5302" w14:paraId="7004AE5B" w14:textId="77777777">
      <w:pPr>
        <w:pStyle w:val="JuQuot"/>
      </w:pPr>
      <w:r w:rsidRPr="008F5302">
        <w:t>5.  Des poursuites pénales contre le procureur général ne peuvent être engagées que par le procureur désigné [à cette fin] par le Conseil supérieur des procureurs (...). »</w:t>
      </w:r>
    </w:p>
    <w:p w:rsidRPr="008F5302" w:rsidR="00DC5B61" w:rsidP="008F5302" w14:paraId="53B0FC46" w14:textId="77777777">
      <w:pPr>
        <w:pStyle w:val="JuHArticle"/>
      </w:pPr>
      <w:r w:rsidRPr="008F5302">
        <w:t>Article 55</w:t>
      </w:r>
    </w:p>
    <w:p w:rsidRPr="008F5302" w:rsidR="00DC5B61" w:rsidP="008F5302" w14:paraId="1FE82A3C" w14:textId="546221A1">
      <w:pPr>
        <w:pStyle w:val="JuHArticle"/>
      </w:pPr>
      <w:r w:rsidRPr="008F5302">
        <w:t>La suspension de fonctions</w:t>
      </w:r>
    </w:p>
    <w:p w:rsidRPr="008F5302" w:rsidR="00DC5B61" w:rsidP="008F5302" w14:paraId="28A8F0E0" w14:textId="15B4A2F3">
      <w:pPr>
        <w:pStyle w:val="JuQuot"/>
      </w:pPr>
      <w:r w:rsidRPr="008F5302">
        <w:t>« 1.  Le procureur visé par des poursuites pénales peut être suspendu de ses fonctions par le procureur général avec l</w:t>
      </w:r>
      <w:r w:rsidRPr="008F5302" w:rsidR="008F5302">
        <w:t>’</w:t>
      </w:r>
      <w:r w:rsidRPr="008F5302">
        <w:t>accord écrit du Conseil supérieur des procureurs. (...)</w:t>
      </w:r>
    </w:p>
    <w:p w:rsidRPr="008F5302" w:rsidR="00DC5B61" w:rsidP="008F5302" w14:paraId="742D9A3D" w14:textId="358E7305">
      <w:pPr>
        <w:pStyle w:val="JuQuot"/>
      </w:pPr>
      <w:r w:rsidRPr="008F5302">
        <w:t>6.  Le procureur peut contester la décision de suspension de fonctions devant le tribunal dans les conditions prévues par la loi. » (...)</w:t>
      </w:r>
    </w:p>
    <w:p w:rsidRPr="008F5302" w:rsidR="00DC5B61" w:rsidP="008F5302" w14:paraId="14830056" w14:textId="77777777">
      <w:pPr>
        <w:pStyle w:val="JuHArticle"/>
      </w:pPr>
      <w:r w:rsidRPr="008F5302">
        <w:t>Article 77</w:t>
      </w:r>
    </w:p>
    <w:p w:rsidRPr="008F5302" w:rsidR="00DC5B61" w:rsidP="008F5302" w14:paraId="00B0A58F" w14:textId="77777777">
      <w:pPr>
        <w:pStyle w:val="JuHArticle"/>
      </w:pPr>
      <w:r w:rsidRPr="008F5302">
        <w:t>Les réunions du Conseil supérieur des procureurs</w:t>
      </w:r>
    </w:p>
    <w:p w:rsidRPr="008F5302" w:rsidR="00DC5B61" w:rsidP="008F5302" w14:paraId="13CC08E9" w14:textId="78388273">
      <w:pPr>
        <w:pStyle w:val="JuQuot"/>
      </w:pPr>
      <w:r w:rsidRPr="008F5302">
        <w:t>« (...) 6. Les décisions [du Conseil supérieur des procureurs] doivent être adoptées dans une réunion publique, par un vote ouvert, à la majorité de ses membres présents.</w:t>
      </w:r>
    </w:p>
    <w:p w:rsidRPr="008F5302" w:rsidR="00DC5B61" w:rsidP="008F5302" w14:paraId="157EA1B3" w14:textId="01BE3C41">
      <w:pPr>
        <w:pStyle w:val="JuQuot"/>
      </w:pPr>
      <w:r w:rsidRPr="008F5302">
        <w:t>7. Les décisions du Conseil supérieur des procureurs doivent être motivées et signées par tous les membres participant à la réunion, et elles doivent être publiées (...) sur le site Internet du Conseil supérieur des procureurs (...). »</w:t>
      </w:r>
    </w:p>
    <w:bookmarkStart w:name="para17" w:id="15"/>
    <w:p w:rsidRPr="008F5302" w:rsidR="00DC5B61" w:rsidP="008F5302" w14:paraId="360E00D8" w14:textId="0AE796D9">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18</w:t>
      </w:r>
      <w:r w:rsidRPr="008F5302">
        <w:fldChar w:fldCharType="end"/>
      </w:r>
      <w:bookmarkEnd w:id="15"/>
      <w:r w:rsidRPr="008F5302">
        <w:t>.  Les dispositions de l</w:t>
      </w:r>
      <w:r w:rsidRPr="008F5302" w:rsidR="008F5302">
        <w:t>’</w:t>
      </w:r>
      <w:r w:rsidRPr="008F5302">
        <w:t>article</w:t>
      </w:r>
      <w:r w:rsidRPr="008F5302" w:rsidR="00117025">
        <w:t xml:space="preserve"> </w:t>
      </w:r>
      <w:r w:rsidRPr="008F5302">
        <w:t>55-1 de la loi sur le ministère public ont été introduites le 24</w:t>
      </w:r>
      <w:r w:rsidRPr="008F5302" w:rsidR="00117025">
        <w:t xml:space="preserve"> </w:t>
      </w:r>
      <w:r w:rsidRPr="008F5302">
        <w:t>août 2021 par la loi n</w:t>
      </w:r>
      <w:r w:rsidRPr="008F5302">
        <w:rPr>
          <w:vertAlign w:val="superscript"/>
        </w:rPr>
        <w:t>o</w:t>
      </w:r>
      <w:r w:rsidRPr="008F5302" w:rsidR="00117025">
        <w:t xml:space="preserve"> </w:t>
      </w:r>
      <w:r w:rsidRPr="008F5302">
        <w:t>102/2021 (entrée en vigueur le 3 septembre 2021) portant modification de certaines dispositions de la loi n</w:t>
      </w:r>
      <w:r w:rsidRPr="008F5302">
        <w:rPr>
          <w:vertAlign w:val="superscript"/>
        </w:rPr>
        <w:t>o</w:t>
      </w:r>
      <w:r w:rsidRPr="008F5302">
        <w:t> 3 du 25</w:t>
      </w:r>
      <w:r w:rsidRPr="008F5302" w:rsidR="00117025">
        <w:t xml:space="preserve"> </w:t>
      </w:r>
      <w:r w:rsidRPr="008F5302">
        <w:t>février 2016 sur le ministère public. Cet article se lit comme suit :</w:t>
      </w:r>
    </w:p>
    <w:p w:rsidRPr="008F5302" w:rsidR="00DC5B61" w:rsidP="008F5302" w14:paraId="52433220" w14:textId="77777777">
      <w:pPr>
        <w:pStyle w:val="JuHArticle"/>
      </w:pPr>
      <w:r w:rsidRPr="008F5302">
        <w:t>Article 55-1</w:t>
      </w:r>
    </w:p>
    <w:p w:rsidRPr="008F5302" w:rsidR="00DC5B61" w:rsidP="008F5302" w14:paraId="76E6DB13" w14:textId="77777777">
      <w:pPr>
        <w:pStyle w:val="JuHArticle"/>
      </w:pPr>
      <w:r w:rsidRPr="008F5302">
        <w:t>La suspension de fonctions du procureur général</w:t>
      </w:r>
    </w:p>
    <w:p w:rsidRPr="008F5302" w:rsidR="00DC5B61" w:rsidP="008F5302" w14:paraId="116F65DC" w14:textId="2020DA26">
      <w:pPr>
        <w:pStyle w:val="JuQuot"/>
      </w:pPr>
      <w:r w:rsidRPr="008F5302">
        <w:t>« Le procureur général visé par des poursuites pénales dans les conditions prévues par l</w:t>
      </w:r>
      <w:r w:rsidRPr="008F5302" w:rsidR="008F5302">
        <w:t>’</w:t>
      </w:r>
      <w:r w:rsidRPr="008F5302">
        <w:t xml:space="preserve">article 270 § 7 du code de procédure pénale est suspendu de droit de ses fonctions pendant la durée des poursuites. Le président de la République, sur proposition du Conseil supérieur des procureurs, désigne un procureur général </w:t>
      </w:r>
      <w:r w:rsidRPr="008F5302">
        <w:rPr>
          <w:i/>
          <w:iCs/>
        </w:rPr>
        <w:t xml:space="preserve">ad </w:t>
      </w:r>
      <w:r w:rsidRPr="008F5302">
        <w:rPr>
          <w:i/>
          <w:iCs/>
        </w:rPr>
        <w:t>interim</w:t>
      </w:r>
      <w:r w:rsidRPr="008F5302">
        <w:t xml:space="preserve"> pendant la période de suspension dans les conditions prévues par l</w:t>
      </w:r>
      <w:r w:rsidRPr="008F5302" w:rsidR="008F5302">
        <w:t>’</w:t>
      </w:r>
      <w:r w:rsidRPr="008F5302">
        <w:t>article 17 § 16 de la présente loi. »</w:t>
      </w:r>
    </w:p>
    <w:p w:rsidRPr="008F5302" w:rsidR="00DC5B61" w:rsidP="008F5302" w14:paraId="79A3696F" w14:textId="77777777">
      <w:pPr>
        <w:pStyle w:val="JuPara"/>
      </w:pPr>
    </w:p>
    <w:bookmarkStart w:name="para18" w:id="16"/>
    <w:p w:rsidRPr="008F5302" w:rsidR="00DC5B61" w:rsidP="008F5302" w14:paraId="0D10B03A" w14:textId="1EF323F4">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19</w:t>
      </w:r>
      <w:r w:rsidRPr="008F5302">
        <w:fldChar w:fldCharType="end"/>
      </w:r>
      <w:bookmarkEnd w:id="16"/>
      <w:r w:rsidRPr="008F5302">
        <w:t>.  Le 6</w:t>
      </w:r>
      <w:r w:rsidRPr="008F5302" w:rsidR="00DC503D">
        <w:t xml:space="preserve"> </w:t>
      </w:r>
      <w:r w:rsidRPr="008F5302">
        <w:t>octobre 2022, l</w:t>
      </w:r>
      <w:r w:rsidRPr="008F5302" w:rsidR="008F5302">
        <w:t>’</w:t>
      </w:r>
      <w:r w:rsidRPr="008F5302">
        <w:t>article</w:t>
      </w:r>
      <w:r w:rsidRPr="008F5302" w:rsidR="00DC503D">
        <w:t xml:space="preserve"> </w:t>
      </w:r>
      <w:r w:rsidRPr="008F5302">
        <w:t>55-1 de la loi sur le ministère public a été à nouveau modifié à la suite de l</w:t>
      </w:r>
      <w:r w:rsidRPr="008F5302" w:rsidR="008F5302">
        <w:t>’</w:t>
      </w:r>
      <w:r w:rsidRPr="008F5302">
        <w:t>adoption de la loi n</w:t>
      </w:r>
      <w:r w:rsidRPr="008F5302">
        <w:rPr>
          <w:vertAlign w:val="superscript"/>
        </w:rPr>
        <w:t>o</w:t>
      </w:r>
      <w:r w:rsidRPr="008F5302" w:rsidR="00DC503D">
        <w:t xml:space="preserve"> </w:t>
      </w:r>
      <w:r w:rsidRPr="008F5302">
        <w:t>280/2022. Cet article se lit désormais comme suit :</w:t>
      </w:r>
    </w:p>
    <w:p w:rsidRPr="008F5302" w:rsidR="00DC5B61" w:rsidP="008F5302" w14:paraId="54455FEF" w14:textId="0B9B859E">
      <w:pPr>
        <w:pStyle w:val="JuQuot"/>
      </w:pPr>
      <w:r w:rsidRPr="008F5302">
        <w:t>« 1.  Le procureur général visé par des poursuites pénales (...) est considéré comme suspendu de droit pendant 3 jours. Avant l</w:t>
      </w:r>
      <w:r w:rsidRPr="008F5302" w:rsidR="008F5302">
        <w:t>’</w:t>
      </w:r>
      <w:r w:rsidRPr="008F5302">
        <w:t>expiration de ce délai, le Conseil supérieur des procureurs convoque une réunion extraordinaire et décide, à la majorité des voix des membres présents, du maintien ou de la levée de la suspension. Les dispositions de l</w:t>
      </w:r>
      <w:r w:rsidRPr="008F5302" w:rsidR="008F5302">
        <w:t>’</w:t>
      </w:r>
      <w:r w:rsidRPr="008F5302">
        <w:t>article 55 § 4 s</w:t>
      </w:r>
      <w:r w:rsidRPr="008F5302" w:rsidR="008F5302">
        <w:t>’</w:t>
      </w:r>
      <w:r w:rsidRPr="008F5302">
        <w:t>appliquent par analogie.</w:t>
      </w:r>
    </w:p>
    <w:p w:rsidRPr="008F5302" w:rsidR="00DC5B61" w:rsidP="008F5302" w14:paraId="4C330E9C" w14:textId="64031605">
      <w:pPr>
        <w:pStyle w:val="JuQuot"/>
      </w:pPr>
      <w:r w:rsidRPr="008F5302">
        <w:t>2.  Lorsqu</w:t>
      </w:r>
      <w:r w:rsidRPr="008F5302" w:rsidR="008F5302">
        <w:t>’</w:t>
      </w:r>
      <w:r w:rsidRPr="008F5302">
        <w:t>il n</w:t>
      </w:r>
      <w:r w:rsidRPr="008F5302" w:rsidR="008F5302">
        <w:t>’</w:t>
      </w:r>
      <w:r w:rsidRPr="008F5302">
        <w:t>est pas possible de convoquer une réunion extraordinaire du Conseil supérieur des procureurs, la décision de maintenir la suspension du procureur général ou d</w:t>
      </w:r>
      <w:r w:rsidRPr="008F5302" w:rsidR="008F5302">
        <w:t>’</w:t>
      </w:r>
      <w:r w:rsidRPr="008F5302">
        <w:t>y mettre fin peut être prise par le président du Conseil supérieur des procureurs. La décision du président du Conseil supérieur des procureurs est validée à la réunion suivante du Conseil supérieur des procureurs, convoquée au plus tard quinze jours après la date de la décision. »</w:t>
      </w:r>
    </w:p>
    <w:p w:rsidRPr="008F5302" w:rsidR="00DC5B61" w:rsidP="008F5302" w14:paraId="79F22A2C" w14:textId="631C9DBA">
      <w:pPr>
        <w:pStyle w:val="JuHIRoman"/>
      </w:pPr>
      <w:r w:rsidRPr="008F5302">
        <w:t>L</w:t>
      </w:r>
      <w:r w:rsidRPr="008F5302">
        <w:t>e code adminisratif</w:t>
      </w:r>
    </w:p>
    <w:bookmarkStart w:name="para19" w:id="17"/>
    <w:p w:rsidRPr="008F5302" w:rsidR="00DC5B61" w:rsidP="008F5302" w14:paraId="5A48E127" w14:textId="77B9D87B">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20</w:t>
      </w:r>
      <w:r w:rsidRPr="008F5302">
        <w:fldChar w:fldCharType="end"/>
      </w:r>
      <w:bookmarkEnd w:id="17"/>
      <w:r w:rsidRPr="008F5302">
        <w:t>.  La loi n</w:t>
      </w:r>
      <w:r w:rsidRPr="008F5302">
        <w:rPr>
          <w:vertAlign w:val="superscript"/>
        </w:rPr>
        <w:t>o</w:t>
      </w:r>
      <w:r w:rsidRPr="008F5302" w:rsidR="00DC503D">
        <w:t xml:space="preserve"> </w:t>
      </w:r>
      <w:r w:rsidRPr="008F5302">
        <w:t>116 du 19</w:t>
      </w:r>
      <w:r w:rsidRPr="008F5302" w:rsidR="00DC503D">
        <w:t xml:space="preserve"> </w:t>
      </w:r>
      <w:r w:rsidRPr="008F5302">
        <w:t>juillet 2018 (le « code administratif »), telle qu</w:t>
      </w:r>
      <w:r w:rsidRPr="008F5302" w:rsidR="008F5302">
        <w:t>’</w:t>
      </w:r>
      <w:r w:rsidRPr="008F5302">
        <w:t>en vigueur à l</w:t>
      </w:r>
      <w:r w:rsidRPr="008F5302" w:rsidR="008F5302">
        <w:t>’</w:t>
      </w:r>
      <w:r w:rsidRPr="008F5302">
        <w:t>époque des faits, se lisait comme suit dans ses parties pertinentes en l</w:t>
      </w:r>
      <w:r w:rsidRPr="008F5302" w:rsidR="008F5302">
        <w:t>’</w:t>
      </w:r>
      <w:r w:rsidRPr="008F5302">
        <w:t>espèce :</w:t>
      </w:r>
    </w:p>
    <w:p w:rsidRPr="008F5302" w:rsidR="00DC5B61" w:rsidP="008F5302" w14:paraId="51488CA1" w14:textId="77777777">
      <w:pPr>
        <w:pStyle w:val="JuHArticle"/>
      </w:pPr>
      <w:r w:rsidRPr="008F5302">
        <w:t>Article 2</w:t>
      </w:r>
    </w:p>
    <w:p w:rsidRPr="008F5302" w:rsidR="00DC5B61" w:rsidP="008F5302" w14:paraId="4B81C465" w14:textId="5DC45D9F">
      <w:pPr>
        <w:pStyle w:val="JuHArticle"/>
      </w:pPr>
      <w:r w:rsidRPr="008F5302">
        <w:t>La réglementation des rapports administratifs</w:t>
      </w:r>
    </w:p>
    <w:p w:rsidRPr="008F5302" w:rsidR="00DC5B61" w:rsidP="008F5302" w14:paraId="4C582165" w14:textId="7C47F01B">
      <w:pPr>
        <w:pStyle w:val="JuQuot"/>
      </w:pPr>
      <w:r w:rsidRPr="008F5302">
        <w:t>« (...) 3.  Les dispositions du présent code ne s</w:t>
      </w:r>
      <w:r w:rsidRPr="008F5302" w:rsidR="008F5302">
        <w:t>’</w:t>
      </w:r>
      <w:r w:rsidRPr="008F5302">
        <w:t>appliquent pas :</w:t>
      </w:r>
    </w:p>
    <w:p w:rsidRPr="008F5302" w:rsidR="00DC5B61" w:rsidP="008F5302" w14:paraId="6C05FD33" w14:textId="4A1123BA">
      <w:pPr>
        <w:pStyle w:val="JuQuot"/>
      </w:pPr>
      <w:r w:rsidRPr="008F5302">
        <w:t>(...) b) aux rapports juridiques [impliquant] des autorités publiques (...) [et] fondés sur le code des contraventions ou le code pénal. (...) »</w:t>
      </w:r>
    </w:p>
    <w:p w:rsidRPr="008F5302" w:rsidR="00DC5B61" w:rsidP="008F5302" w14:paraId="4B0CF9A4" w14:textId="77777777">
      <w:pPr>
        <w:pStyle w:val="JuHArticle"/>
      </w:pPr>
      <w:r w:rsidRPr="008F5302">
        <w:t>Article 17</w:t>
      </w:r>
    </w:p>
    <w:p w:rsidRPr="008F5302" w:rsidR="00DC5B61" w:rsidP="008F5302" w14:paraId="7FB1255E" w14:textId="6747DD98">
      <w:pPr>
        <w:pStyle w:val="JuHArticle"/>
      </w:pPr>
      <w:r w:rsidRPr="008F5302">
        <w:t>Le droit lésé</w:t>
      </w:r>
    </w:p>
    <w:p w:rsidRPr="008F5302" w:rsidR="00DC5B61" w:rsidP="008F5302" w14:paraId="49F39510" w14:textId="38FFAD6C">
      <w:pPr>
        <w:pStyle w:val="JuQuot"/>
      </w:pPr>
      <w:r w:rsidRPr="008F5302">
        <w:t>« Par droit lésé, on entend tout droit ou liberté établi par la loi et atteint par l</w:t>
      </w:r>
      <w:r w:rsidRPr="008F5302" w:rsidR="008F5302">
        <w:t>’</w:t>
      </w:r>
      <w:r w:rsidRPr="008F5302">
        <w:t>activité administrative. »</w:t>
      </w:r>
    </w:p>
    <w:p w:rsidRPr="008F5302" w:rsidR="00DC5B61" w:rsidP="008F5302" w14:paraId="20AA61DA" w14:textId="77777777">
      <w:pPr>
        <w:pStyle w:val="JuHArticle"/>
      </w:pPr>
      <w:r w:rsidRPr="008F5302">
        <w:t>Article 191</w:t>
      </w:r>
    </w:p>
    <w:p w:rsidRPr="008F5302" w:rsidR="00DC5B61" w:rsidP="008F5302" w14:paraId="4378B645" w14:textId="77777777">
      <w:pPr>
        <w:pStyle w:val="JuQuot"/>
      </w:pPr>
      <w:r w:rsidRPr="008F5302">
        <w:t>« La compétence juridictionnelle pour les actions sur la voie du contentieux administratif [appartient à] :</w:t>
      </w:r>
    </w:p>
    <w:p w:rsidRPr="008F5302" w:rsidR="00DC5B61" w:rsidP="008F5302" w14:paraId="08F55940" w14:textId="6D9295DE">
      <w:pPr>
        <w:pStyle w:val="JuQuot"/>
      </w:pPr>
      <w:r w:rsidRPr="008F5302">
        <w:t>(...)</w:t>
      </w:r>
    </w:p>
    <w:p w:rsidRPr="008F5302" w:rsidR="00DC5B61" w:rsidP="008F5302" w14:paraId="512C6EE9" w14:textId="5744E8C9">
      <w:pPr>
        <w:pStyle w:val="JuQuot"/>
      </w:pPr>
      <w:r w:rsidRPr="008F5302">
        <w:t>3. La cour d</w:t>
      </w:r>
      <w:r w:rsidRPr="008F5302" w:rsidR="008F5302">
        <w:t>’</w:t>
      </w:r>
      <w:r w:rsidRPr="008F5302">
        <w:t xml:space="preserve">appel de </w:t>
      </w:r>
      <w:r w:rsidRPr="008F5302">
        <w:rPr>
          <w:lang w:val="ro-RO"/>
        </w:rPr>
        <w:t>Chișinău</w:t>
      </w:r>
      <w:r w:rsidRPr="008F5302">
        <w:t>, qui juge, en premier ressort, les actions en contentieux administratif visant les décisions du Conseil supérieur de la magistrature, du Conseil supérieur des procureurs (...).</w:t>
      </w:r>
    </w:p>
    <w:p w:rsidRPr="008F5302" w:rsidR="00DC5B61" w:rsidP="008F5302" w14:paraId="52BDDDF1" w14:textId="575DC532">
      <w:pPr>
        <w:pStyle w:val="JuQuot"/>
      </w:pPr>
      <w:r w:rsidRPr="008F5302">
        <w:t>5.  La Cour suprême de justice juge les demandes de recours formulées contre les arrêts de la cour d</w:t>
      </w:r>
      <w:r w:rsidRPr="008F5302" w:rsidR="008F5302">
        <w:t>’</w:t>
      </w:r>
      <w:r w:rsidRPr="008F5302">
        <w:t>appel. »</w:t>
      </w:r>
    </w:p>
    <w:p w:rsidRPr="008F5302" w:rsidR="00DC5B61" w:rsidP="008F5302" w14:paraId="2C1A6AB2" w14:textId="77777777">
      <w:pPr>
        <w:pStyle w:val="JuHArticle"/>
      </w:pPr>
      <w:r w:rsidRPr="008F5302">
        <w:t>Article 207</w:t>
      </w:r>
    </w:p>
    <w:p w:rsidRPr="008F5302" w:rsidR="00DC5B61" w:rsidP="008F5302" w14:paraId="0CE933D7" w14:textId="3C3D737F">
      <w:pPr>
        <w:pStyle w:val="JuHArticle"/>
      </w:pPr>
      <w:r w:rsidRPr="008F5302">
        <w:t>L</w:t>
      </w:r>
      <w:r w:rsidRPr="008F5302" w:rsidR="008F5302">
        <w:t>’</w:t>
      </w:r>
      <w:r w:rsidRPr="008F5302">
        <w:t>examen de la recevabilité de l</w:t>
      </w:r>
      <w:r w:rsidRPr="008F5302" w:rsidR="008F5302">
        <w:t>’</w:t>
      </w:r>
      <w:r w:rsidRPr="008F5302">
        <w:t>action en contentieux administratif</w:t>
      </w:r>
    </w:p>
    <w:p w:rsidRPr="008F5302" w:rsidR="00DC5B61" w:rsidP="008F5302" w14:paraId="5F3872E0" w14:textId="276D5AD7">
      <w:pPr>
        <w:pStyle w:val="JuQuot"/>
      </w:pPr>
      <w:r w:rsidRPr="008F5302">
        <w:t>« (...) 2.  L</w:t>
      </w:r>
      <w:r w:rsidRPr="008F5302" w:rsidR="008F5302">
        <w:t>’</w:t>
      </w:r>
      <w:r w:rsidRPr="008F5302">
        <w:t>action en contentieux administratif est déclarée irrecevable notamment si :</w:t>
      </w:r>
    </w:p>
    <w:p w:rsidRPr="008F5302" w:rsidR="00DC5B61" w:rsidP="008F5302" w14:paraId="139BD238" w14:textId="21578FF5">
      <w:pPr>
        <w:pStyle w:val="JuQuot"/>
      </w:pPr>
      <w:r w:rsidRPr="008F5302">
        <w:t>(...) e) le requérant ne peut pas alléguer la violation du fait de l</w:t>
      </w:r>
      <w:r w:rsidRPr="008F5302" w:rsidR="008F5302">
        <w:t>’</w:t>
      </w:r>
      <w:r w:rsidRPr="008F5302">
        <w:t>activité administrative d</w:t>
      </w:r>
      <w:r w:rsidRPr="008F5302" w:rsidR="008F5302">
        <w:t>’</w:t>
      </w:r>
      <w:r w:rsidRPr="008F5302">
        <w:t>un droit au sens de l</w:t>
      </w:r>
      <w:r w:rsidRPr="008F5302" w:rsidR="008F5302">
        <w:t>’</w:t>
      </w:r>
      <w:r w:rsidRPr="008F5302">
        <w:t>article 17 (...). »</w:t>
      </w:r>
    </w:p>
    <w:p w:rsidRPr="008F5302" w:rsidR="00DC5B61" w:rsidP="008F5302" w14:paraId="025855CF" w14:textId="46D57B78">
      <w:pPr>
        <w:pStyle w:val="JuHIRoman"/>
      </w:pPr>
      <w:r w:rsidRPr="008F5302">
        <w:t>L</w:t>
      </w:r>
      <w:r w:rsidRPr="008F5302">
        <w:t>e code de procédure pénale</w:t>
      </w:r>
    </w:p>
    <w:bookmarkStart w:name="para20" w:id="18"/>
    <w:p w:rsidRPr="008F5302" w:rsidR="00DC5B61" w:rsidP="008F5302" w14:paraId="33A1046F" w14:textId="3C4D8442">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21</w:t>
      </w:r>
      <w:r w:rsidRPr="008F5302">
        <w:fldChar w:fldCharType="end"/>
      </w:r>
      <w:bookmarkEnd w:id="18"/>
      <w:r w:rsidRPr="008F5302">
        <w:t>.  Les dispositions pertinentes en l</w:t>
      </w:r>
      <w:r w:rsidRPr="008F5302" w:rsidR="008F5302">
        <w:t>’</w:t>
      </w:r>
      <w:r w:rsidRPr="008F5302">
        <w:t>espèce du code de procédure pénale se lisaient comme suit dans leur rédaction en vigueur à l</w:t>
      </w:r>
      <w:r w:rsidRPr="008F5302" w:rsidR="008F5302">
        <w:t>’</w:t>
      </w:r>
      <w:r w:rsidRPr="008F5302">
        <w:t>époque des faits :</w:t>
      </w:r>
    </w:p>
    <w:p w:rsidRPr="008F5302" w:rsidR="00DC5B61" w:rsidP="008F5302" w14:paraId="4333D590" w14:textId="77777777">
      <w:pPr>
        <w:pStyle w:val="JuHArticle"/>
      </w:pPr>
      <w:r w:rsidRPr="008F5302">
        <w:t>Article 262</w:t>
      </w:r>
    </w:p>
    <w:p w:rsidRPr="008F5302" w:rsidR="00DC5B61" w:rsidP="008F5302" w14:paraId="3694DAD7" w14:textId="5FD6673A">
      <w:pPr>
        <w:pStyle w:val="JuHArticle"/>
      </w:pPr>
      <w:r w:rsidRPr="008F5302">
        <w:t xml:space="preserve">La saisine </w:t>
      </w:r>
      <w:r w:rsidRPr="008F5302">
        <w:rPr>
          <w:i/>
          <w:iCs/>
        </w:rPr>
        <w:t>(</w:t>
      </w:r>
      <w:r w:rsidRPr="008F5302">
        <w:rPr>
          <w:i/>
          <w:iCs/>
        </w:rPr>
        <w:t>sesizarea</w:t>
      </w:r>
      <w:r w:rsidRPr="008F5302">
        <w:rPr>
          <w:i/>
          <w:iCs/>
        </w:rPr>
        <w:t>)</w:t>
      </w:r>
      <w:r w:rsidRPr="008F5302">
        <w:t xml:space="preserve"> de l</w:t>
      </w:r>
      <w:r w:rsidRPr="008F5302" w:rsidR="008F5302">
        <w:t>’</w:t>
      </w:r>
      <w:r w:rsidRPr="008F5302">
        <w:t>autorité de poursuite pénale</w:t>
      </w:r>
    </w:p>
    <w:p w:rsidRPr="008F5302" w:rsidR="00DC5B61" w:rsidP="008F5302" w14:paraId="079C48AB" w14:textId="2EC752DE">
      <w:pPr>
        <w:pStyle w:val="JuQuot"/>
      </w:pPr>
      <w:r w:rsidRPr="008F5302">
        <w:t>« 1.  L</w:t>
      </w:r>
      <w:r w:rsidRPr="008F5302" w:rsidR="008F5302">
        <w:t>’</w:t>
      </w:r>
      <w:r w:rsidRPr="008F5302">
        <w:t>autorité de poursuite pénale peut être saisie de la commission ou de la préparation d</w:t>
      </w:r>
      <w:r w:rsidRPr="008F5302" w:rsidR="008F5302">
        <w:t>’</w:t>
      </w:r>
      <w:r w:rsidRPr="008F5302">
        <w:t>une infraction (...) par :</w:t>
      </w:r>
    </w:p>
    <w:p w:rsidRPr="008F5302" w:rsidR="00DC5B61" w:rsidP="008F5302" w14:paraId="119C8471" w14:textId="77777777">
      <w:pPr>
        <w:pStyle w:val="JuQuot"/>
      </w:pPr>
      <w:r w:rsidRPr="008F5302">
        <w:t>1)  une plainte ;</w:t>
      </w:r>
    </w:p>
    <w:p w:rsidRPr="008F5302" w:rsidR="00DC5B61" w:rsidP="008F5302" w14:paraId="3C919EFE" w14:textId="76E55DEF">
      <w:pPr>
        <w:pStyle w:val="JuQuot"/>
      </w:pPr>
      <w:r w:rsidRPr="008F5302">
        <w:t>2)  une dénonciation (...).</w:t>
      </w:r>
    </w:p>
    <w:p w:rsidRPr="008F5302" w:rsidR="00DC5B61" w:rsidP="008F5302" w14:paraId="398D5C1A" w14:textId="5D6D92DC">
      <w:pPr>
        <w:pStyle w:val="JuQuot"/>
      </w:pPr>
      <w:r w:rsidRPr="008F5302">
        <w:t>5.  L</w:t>
      </w:r>
      <w:r w:rsidRPr="008F5302" w:rsidR="008F5302">
        <w:t>’</w:t>
      </w:r>
      <w:r w:rsidRPr="008F5302">
        <w:t>examen des demandes d</w:t>
      </w:r>
      <w:r w:rsidRPr="008F5302" w:rsidR="008F5302">
        <w:t>’</w:t>
      </w:r>
      <w:r w:rsidRPr="008F5302">
        <w:t>instruction (</w:t>
      </w:r>
      <w:r w:rsidRPr="008F5302">
        <w:rPr>
          <w:i/>
          <w:iCs/>
        </w:rPr>
        <w:t>sesizarilor</w:t>
      </w:r>
      <w:r w:rsidRPr="008F5302">
        <w:t>) relatives aux actions du président du Parlement, du président de la République de Moldova ou du premier ministre et l</w:t>
      </w:r>
      <w:r w:rsidRPr="008F5302" w:rsidR="008F5302">
        <w:t>’</w:t>
      </w:r>
      <w:r w:rsidRPr="008F5302">
        <w:t xml:space="preserve">examen des infractions commises par eux sont effectués par le procureur général ou par un procureur </w:t>
      </w:r>
      <w:r w:rsidRPr="008F5302">
        <w:t>désiné</w:t>
      </w:r>
      <w:r w:rsidRPr="008F5302">
        <w:t xml:space="preserve"> par lui. L</w:t>
      </w:r>
      <w:r w:rsidRPr="008F5302" w:rsidR="008F5302">
        <w:t>’</w:t>
      </w:r>
      <w:r w:rsidRPr="008F5302">
        <w:t>examen des demandes d</w:t>
      </w:r>
      <w:r w:rsidRPr="008F5302" w:rsidR="008F5302">
        <w:t>’</w:t>
      </w:r>
      <w:r w:rsidRPr="008F5302">
        <w:t>instruction concernant des infractions commises par le procureur général est effectué par un procureur désigné par le Conseil supérieur des procureurs. L</w:t>
      </w:r>
      <w:r w:rsidRPr="008F5302" w:rsidR="008F5302">
        <w:t>’</w:t>
      </w:r>
      <w:r w:rsidRPr="008F5302">
        <w:t>autorité de poursuite pénale saisie d</w:t>
      </w:r>
      <w:r w:rsidRPr="008F5302" w:rsidR="008F5302">
        <w:t>’</w:t>
      </w:r>
      <w:r w:rsidRPr="008F5302">
        <w:t>une demande d</w:t>
      </w:r>
      <w:r w:rsidRPr="008F5302" w:rsidR="008F5302">
        <w:t>’</w:t>
      </w:r>
      <w:r w:rsidRPr="008F5302">
        <w:t>instruction concernant des infractions commises par les personnes susmentionnées est obligée de la transmettre immédiatement au procureur général ou, selon le cas, au Conseil supérieur des procureurs. »</w:t>
      </w:r>
    </w:p>
    <w:p w:rsidRPr="008F5302" w:rsidR="00DC5B61" w:rsidP="008F5302" w14:paraId="644F57DE" w14:textId="77777777">
      <w:pPr>
        <w:pStyle w:val="JuHArticle"/>
      </w:pPr>
      <w:r w:rsidRPr="008F5302">
        <w:t>Article 270</w:t>
      </w:r>
    </w:p>
    <w:p w:rsidRPr="008F5302" w:rsidR="00DC5B61" w:rsidP="008F5302" w14:paraId="1C930B27" w14:textId="75F715E3">
      <w:pPr>
        <w:pStyle w:val="JuHArticle"/>
      </w:pPr>
      <w:r w:rsidRPr="008F5302">
        <w:t>Compétence du procureur pour l</w:t>
      </w:r>
      <w:r w:rsidRPr="008F5302" w:rsidR="008F5302">
        <w:t>’</w:t>
      </w:r>
      <w:r w:rsidRPr="008F5302">
        <w:t>exercice des poursuites pénales</w:t>
      </w:r>
    </w:p>
    <w:p w:rsidRPr="008F5302" w:rsidR="00DC5B61" w:rsidP="008F5302" w14:paraId="501F94AF" w14:textId="4E974464">
      <w:pPr>
        <w:pStyle w:val="JuQuot"/>
      </w:pPr>
      <w:r w:rsidRPr="008F5302">
        <w:t>« (...) 7.  Les poursuites pénales visant le procureur général sont engagées par le procureur désigné par le Conseil supérieur des procureurs. (...) »</w:t>
      </w:r>
    </w:p>
    <w:p w:rsidRPr="008F5302" w:rsidR="00DC5B61" w:rsidP="008F5302" w14:paraId="174163E1" w14:textId="77777777">
      <w:pPr>
        <w:pStyle w:val="JuHArticle"/>
      </w:pPr>
      <w:r w:rsidRPr="008F5302">
        <w:t>Article 313</w:t>
      </w:r>
    </w:p>
    <w:p w:rsidRPr="008F5302" w:rsidR="00DC5B61" w:rsidP="008F5302" w14:paraId="6AEAA6C5" w14:textId="2A36A42A">
      <w:pPr>
        <w:pStyle w:val="JuHArticle"/>
      </w:pPr>
      <w:r w:rsidRPr="008F5302">
        <w:t>La plainte contre les actions et actes illégaux de l</w:t>
      </w:r>
      <w:r w:rsidRPr="008F5302" w:rsidR="008F5302">
        <w:t>’</w:t>
      </w:r>
      <w:r w:rsidRPr="008F5302">
        <w:t>autorité de poursuite pénale</w:t>
      </w:r>
    </w:p>
    <w:p w:rsidRPr="008F5302" w:rsidR="00DC5B61" w:rsidP="008F5302" w14:paraId="470CD3FE" w14:textId="085E229F">
      <w:pPr>
        <w:pStyle w:val="JuHArticle"/>
      </w:pPr>
      <w:r w:rsidRPr="008F5302">
        <w:t>ou de l</w:t>
      </w:r>
      <w:r w:rsidRPr="008F5302" w:rsidR="008F5302">
        <w:t>’</w:t>
      </w:r>
      <w:r w:rsidRPr="008F5302">
        <w:t>autorité chargée des activités spéciales d</w:t>
      </w:r>
      <w:r w:rsidRPr="008F5302" w:rsidR="008F5302">
        <w:t>’</w:t>
      </w:r>
      <w:r w:rsidRPr="008F5302">
        <w:t>enquête</w:t>
      </w:r>
    </w:p>
    <w:p w:rsidRPr="008F5302" w:rsidR="00DC5B61" w:rsidP="008F5302" w14:paraId="522D9E00" w14:textId="7C0CEEEC">
      <w:pPr>
        <w:pStyle w:val="JuQuot"/>
      </w:pPr>
      <w:r w:rsidRPr="008F5302">
        <w:t>« 1.  Les plaintes contre les actions et les actes de l</w:t>
      </w:r>
      <w:r w:rsidRPr="008F5302" w:rsidR="008F5302">
        <w:t>’</w:t>
      </w:r>
      <w:r w:rsidRPr="008F5302">
        <w:t>autorité de poursuite pénale ou de l</w:t>
      </w:r>
      <w:r w:rsidRPr="008F5302" w:rsidR="008F5302">
        <w:t>’</w:t>
      </w:r>
      <w:r w:rsidRPr="008F5302">
        <w:t>autorité chargée des activités spéciales d</w:t>
      </w:r>
      <w:r w:rsidRPr="008F5302" w:rsidR="008F5302">
        <w:t>’</w:t>
      </w:r>
      <w:r w:rsidRPr="008F5302">
        <w:t>enquête peuvent être déposées auprès du juge d</w:t>
      </w:r>
      <w:r w:rsidRPr="008F5302" w:rsidR="008F5302">
        <w:t>’</w:t>
      </w:r>
      <w:r w:rsidRPr="008F5302">
        <w:t>instruction par le suspect, l</w:t>
      </w:r>
      <w:r w:rsidRPr="008F5302" w:rsidR="008F5302">
        <w:t>’</w:t>
      </w:r>
      <w:r w:rsidRPr="008F5302">
        <w:t>accusé, l</w:t>
      </w:r>
      <w:r w:rsidRPr="008F5302" w:rsidR="008F5302">
        <w:t>’</w:t>
      </w:r>
      <w:r w:rsidRPr="008F5302">
        <w:t>avocat de la défense, la partie lésée, d</w:t>
      </w:r>
      <w:r w:rsidRPr="008F5302" w:rsidR="008F5302">
        <w:t>’</w:t>
      </w:r>
      <w:r w:rsidRPr="008F5302">
        <w:t>autres parties à la procédure ou par des personnes dont les droits et les intérêts légitimes ont été violés par ces autorités, si la personne en question n</w:t>
      </w:r>
      <w:r w:rsidRPr="008F5302" w:rsidR="008F5302">
        <w:t>’</w:t>
      </w:r>
      <w:r w:rsidRPr="008F5302">
        <w:t>est pas d</w:t>
      </w:r>
      <w:r w:rsidRPr="008F5302" w:rsidR="008F5302">
        <w:t>’</w:t>
      </w:r>
      <w:r w:rsidRPr="008F5302">
        <w:t>accord avec le résultat de l</w:t>
      </w:r>
      <w:r w:rsidRPr="008F5302" w:rsidR="008F5302">
        <w:t>’</w:t>
      </w:r>
      <w:r w:rsidRPr="008F5302">
        <w:t>examen de sa plainte par le procureur ou si elle n</w:t>
      </w:r>
      <w:r w:rsidRPr="008F5302" w:rsidR="008F5302">
        <w:t>’</w:t>
      </w:r>
      <w:r w:rsidRPr="008F5302">
        <w:t>a pas reçu du procureur dans le délai légal une réponse à sa plainte.</w:t>
      </w:r>
    </w:p>
    <w:p w:rsidRPr="008F5302" w:rsidR="00DC5B61" w:rsidP="008F5302" w14:paraId="3B1340F7" w14:textId="2CB0F7E2">
      <w:pPr>
        <w:pStyle w:val="JuQuot"/>
      </w:pPr>
      <w:r w:rsidRPr="008F5302">
        <w:t>2.  Les personnes visées à l</w:t>
      </w:r>
      <w:r w:rsidRPr="008F5302" w:rsidR="008F5302">
        <w:t>’</w:t>
      </w:r>
      <w:r w:rsidRPr="008F5302">
        <w:t>alinéa (1) peuvent contester devant le juge d</w:t>
      </w:r>
      <w:r w:rsidRPr="008F5302" w:rsidR="008F5302">
        <w:t>’</w:t>
      </w:r>
      <w:r w:rsidRPr="008F5302">
        <w:t>instruction :</w:t>
      </w:r>
    </w:p>
    <w:p w:rsidRPr="008F5302" w:rsidR="00DC5B61" w:rsidP="008F5302" w14:paraId="6CB00AD6" w14:textId="6C0E6DDB">
      <w:pPr>
        <w:pStyle w:val="JuQuot"/>
      </w:pPr>
      <w:r w:rsidRPr="008F5302">
        <w:t>1)  le refus de l</w:t>
      </w:r>
      <w:r w:rsidRPr="008F5302" w:rsidR="008F5302">
        <w:t>’</w:t>
      </w:r>
      <w:r w:rsidRPr="008F5302">
        <w:t>autorité de poursuite pénale :</w:t>
      </w:r>
    </w:p>
    <w:p w:rsidRPr="008F5302" w:rsidR="00DC5B61" w:rsidP="008F5302" w14:paraId="389C9C0B" w14:textId="16F53FEF">
      <w:pPr>
        <w:pStyle w:val="JuQuot"/>
      </w:pPr>
      <w:r w:rsidRPr="008F5302">
        <w:t>a)  de recevoir la plainte ou la dénonciation (...) d</w:t>
      </w:r>
      <w:r w:rsidRPr="008F5302" w:rsidR="008F5302">
        <w:t>’</w:t>
      </w:r>
      <w:r w:rsidRPr="008F5302">
        <w:t>une infraction ;</w:t>
      </w:r>
    </w:p>
    <w:p w:rsidRPr="008F5302" w:rsidR="00DC5B61" w:rsidP="008F5302" w14:paraId="6B1B25D7" w14:textId="77777777">
      <w:pPr>
        <w:pStyle w:val="JuQuot"/>
      </w:pPr>
      <w:r w:rsidRPr="008F5302">
        <w:t>b)  de donner suite à une demande conforme à la loi ;</w:t>
      </w:r>
    </w:p>
    <w:p w:rsidRPr="008F5302" w:rsidR="00DC5B61" w:rsidP="008F5302" w14:paraId="0B878CC3" w14:textId="486FDA7B">
      <w:pPr>
        <w:pStyle w:val="JuQuot"/>
      </w:pPr>
      <w:r w:rsidRPr="008F5302">
        <w:t>c)  d</w:t>
      </w:r>
      <w:r w:rsidRPr="008F5302" w:rsidR="008F5302">
        <w:t>’</w:t>
      </w:r>
      <w:r w:rsidRPr="008F5302">
        <w:t>engager des poursuites pénales ;</w:t>
      </w:r>
    </w:p>
    <w:p w:rsidRPr="008F5302" w:rsidR="00DC5B61" w:rsidP="008F5302" w14:paraId="6A2FDECB" w14:textId="77777777">
      <w:pPr>
        <w:pStyle w:val="JuQuot"/>
      </w:pPr>
      <w:r w:rsidRPr="008F5302">
        <w:t>d)  de libérer une personne détenue en violation des articles 165 et 166 du présent code ;</w:t>
      </w:r>
    </w:p>
    <w:p w:rsidRPr="008F5302" w:rsidR="00DC5B61" w:rsidP="008F5302" w14:paraId="4982F64D" w14:textId="77777777">
      <w:pPr>
        <w:pStyle w:val="JuQuot"/>
      </w:pPr>
      <w:r w:rsidRPr="008F5302">
        <w:t>e)  de libérer une personne détenue au-delà de la période de garde à vue ou de la période pour laquelle la détention a été autorisée ;</w:t>
      </w:r>
    </w:p>
    <w:p w:rsidRPr="008F5302" w:rsidR="00DC5B61" w:rsidP="008F5302" w14:paraId="402FB8AC" w14:textId="5C194269">
      <w:pPr>
        <w:pStyle w:val="JuQuot"/>
      </w:pPr>
      <w:r w:rsidRPr="008F5302">
        <w:t>2)  les ordonnances relatives à l</w:t>
      </w:r>
      <w:r w:rsidRPr="008F5302" w:rsidR="008F5302">
        <w:t>’</w:t>
      </w:r>
      <w:r w:rsidRPr="008F5302">
        <w:t>abandon des poursuites, au classement sans suite ou à l</w:t>
      </w:r>
      <w:r w:rsidRPr="008F5302" w:rsidR="008F5302">
        <w:t>’</w:t>
      </w:r>
      <w:r w:rsidRPr="008F5302">
        <w:t>abandon des charges ;</w:t>
      </w:r>
    </w:p>
    <w:p w:rsidRPr="008F5302" w:rsidR="00DC5B61" w:rsidP="008F5302" w14:paraId="01CC6A04" w14:textId="77777777">
      <w:pPr>
        <w:pStyle w:val="JuQuot"/>
      </w:pPr>
      <w:r w:rsidRPr="008F5302">
        <w:t>3)  toute autre action touchant aux droits et libertés constitutionnels de la personne.</w:t>
      </w:r>
    </w:p>
    <w:p w:rsidRPr="008F5302" w:rsidR="00DC5B61" w:rsidP="008F5302" w14:paraId="1A0BD287" w14:textId="7F6AF947">
      <w:pPr>
        <w:pStyle w:val="JuQuot"/>
      </w:pPr>
      <w:r w:rsidRPr="008F5302">
        <w:t>3.  La plainte peut être déposée auprès du juge d</w:t>
      </w:r>
      <w:r w:rsidRPr="008F5302" w:rsidR="008F5302">
        <w:t>’</w:t>
      </w:r>
      <w:r w:rsidRPr="008F5302">
        <w:t>instruction (...) dans un délai de 10 jours à compter de la date à laquelle l</w:t>
      </w:r>
      <w:r w:rsidRPr="008F5302" w:rsidR="008F5302">
        <w:t>’</w:t>
      </w:r>
      <w:r w:rsidRPr="008F5302">
        <w:t>intéressé a pris connaissance du résultat de l</w:t>
      </w:r>
      <w:r w:rsidRPr="008F5302" w:rsidR="008F5302">
        <w:t>’</w:t>
      </w:r>
      <w:r w:rsidRPr="008F5302">
        <w:t>examen de la plainte ou à compter de la date d</w:t>
      </w:r>
      <w:r w:rsidRPr="008F5302" w:rsidR="008F5302">
        <w:t>’</w:t>
      </w:r>
      <w:r w:rsidRPr="008F5302">
        <w:t>expiration du délai légal prévu pour une réponse.</w:t>
      </w:r>
    </w:p>
    <w:p w:rsidRPr="008F5302" w:rsidR="00DC5B61" w:rsidP="008F5302" w14:paraId="52984BED" w14:textId="6AE81418">
      <w:pPr>
        <w:pStyle w:val="JuQuot"/>
      </w:pPr>
      <w:r w:rsidRPr="008F5302">
        <w:t>4.  Le juge d</w:t>
      </w:r>
      <w:r w:rsidRPr="008F5302" w:rsidR="008F5302">
        <w:t>’</w:t>
      </w:r>
      <w:r w:rsidRPr="008F5302">
        <w:t>instruction, avec la participation du procureur, examine la plainte dans un délai de 10 jours et convoque le plaignant ainsi que les personnes dont les droits et les libertés peuvent être affectés si la plainte est accueillie. La non</w:t>
      </w:r>
      <w:r w:rsidRPr="008F5302">
        <w:noBreakHyphen/>
        <w:t>comparution de la personne qui a déposé la plainte et/ou des personnes dont les droits et libertés peuvent être affectés en cas d</w:t>
      </w:r>
      <w:r w:rsidRPr="008F5302" w:rsidR="008F5302">
        <w:t>’</w:t>
      </w:r>
      <w:r w:rsidRPr="008F5302">
        <w:t>admission de la plainte ne fait pas obstacle à l</w:t>
      </w:r>
      <w:r w:rsidRPr="008F5302" w:rsidR="008F5302">
        <w:t>’</w:t>
      </w:r>
      <w:r w:rsidRPr="008F5302">
        <w:t>examen de celle-</w:t>
      </w:r>
      <w:r w:rsidRPr="008F5302">
        <w:t>ci. Le procureur est tenu de mettre à la disposition du tribunal les documents appropriés. Au cours de l</w:t>
      </w:r>
      <w:r w:rsidRPr="008F5302" w:rsidR="008F5302">
        <w:t>’</w:t>
      </w:r>
      <w:r w:rsidRPr="008F5302">
        <w:t>examen de la plainte, le procureur et le plaignant, ainsi que les personnes dont les droits et libertés peuvent être affectés si la plainte est accueillie, sont tenus de fournir les explications requises.</w:t>
      </w:r>
    </w:p>
    <w:p w:rsidRPr="008F5302" w:rsidR="00DC5B61" w:rsidP="008F5302" w14:paraId="37A5AD7F" w14:textId="3D6F87EA">
      <w:pPr>
        <w:pStyle w:val="JuQuot"/>
      </w:pPr>
      <w:r w:rsidRPr="008F5302">
        <w:t>5.  S</w:t>
      </w:r>
      <w:r w:rsidRPr="008F5302" w:rsidR="008F5302">
        <w:t>’</w:t>
      </w:r>
      <w:r w:rsidRPr="008F5302">
        <w:t>il estime la plainte fondée, le juge d</w:t>
      </w:r>
      <w:r w:rsidRPr="008F5302" w:rsidR="008F5302">
        <w:t>’</w:t>
      </w:r>
      <w:r w:rsidRPr="008F5302">
        <w:t>instruction adopte une décision ordonnant au procureur de remédier aux violations des droits et libertés de la personne physique ou morale concernée et, le cas échéant, déclare la nullité de l</w:t>
      </w:r>
      <w:r w:rsidRPr="008F5302" w:rsidR="008F5302">
        <w:t>’</w:t>
      </w:r>
      <w:r w:rsidRPr="008F5302">
        <w:t>acte ou de l</w:t>
      </w:r>
      <w:r w:rsidRPr="008F5302" w:rsidR="008F5302">
        <w:t>’</w:t>
      </w:r>
      <w:r w:rsidRPr="008F5302">
        <w:t>action contestés. S</w:t>
      </w:r>
      <w:r w:rsidRPr="008F5302" w:rsidR="008F5302">
        <w:t>’</w:t>
      </w:r>
      <w:r w:rsidRPr="008F5302">
        <w:t>il constate que les actes ou les actions contestés ont été accomplis conformément à la loi et qu</w:t>
      </w:r>
      <w:r w:rsidRPr="008F5302" w:rsidR="008F5302">
        <w:t>’</w:t>
      </w:r>
      <w:r w:rsidRPr="008F5302">
        <w:t>ils n</w:t>
      </w:r>
      <w:r w:rsidRPr="008F5302" w:rsidR="008F5302">
        <w:t>’</w:t>
      </w:r>
      <w:r w:rsidRPr="008F5302">
        <w:t>ont pas porté atteinte aux droits et libertés de la personne physique ou morale concernée, le juge d</w:t>
      </w:r>
      <w:r w:rsidRPr="008F5302" w:rsidR="008F5302">
        <w:t>’</w:t>
      </w:r>
      <w:r w:rsidRPr="008F5302">
        <w:t>instruction rend une décision de rejet. Copie de la décision est envoyée au plaignant et au procureur.</w:t>
      </w:r>
    </w:p>
    <w:p w:rsidRPr="008F5302" w:rsidR="00DC5B61" w:rsidP="008F5302" w14:paraId="69FDB847" w14:textId="03749915">
      <w:pPr>
        <w:pStyle w:val="JuQuot"/>
      </w:pPr>
      <w:r w:rsidRPr="008F5302">
        <w:t>6.  La décision du juge d</w:t>
      </w:r>
      <w:r w:rsidRPr="008F5302" w:rsidR="008F5302">
        <w:t>’</w:t>
      </w:r>
      <w:r w:rsidRPr="008F5302">
        <w:t>instruction est irrévocable, à l</w:t>
      </w:r>
      <w:r w:rsidRPr="008F5302" w:rsidR="008F5302">
        <w:t>’</w:t>
      </w:r>
      <w:r w:rsidRPr="008F5302">
        <w:t>exception des décisions portant refus d</w:t>
      </w:r>
      <w:r w:rsidRPr="008F5302" w:rsidR="008F5302">
        <w:t>’</w:t>
      </w:r>
      <w:r w:rsidRPr="008F5302">
        <w:t>engager des poursuites, abandon des charges ou des poursuites, classement sans suite ou reprise des poursuites, lesquelles peuvent faire l</w:t>
      </w:r>
      <w:r w:rsidRPr="008F5302" w:rsidR="008F5302">
        <w:t>’</w:t>
      </w:r>
      <w:r w:rsidRPr="008F5302">
        <w:t>objet d</w:t>
      </w:r>
      <w:r w:rsidRPr="008F5302" w:rsidR="008F5302">
        <w:t>’</w:t>
      </w:r>
      <w:r w:rsidRPr="008F5302">
        <w:t>un recours devant la cour d</w:t>
      </w:r>
      <w:r w:rsidRPr="008F5302" w:rsidR="008F5302">
        <w:t>’</w:t>
      </w:r>
      <w:r w:rsidRPr="008F5302">
        <w:t>appel dans un délai de 15 jours à compter de la date de la décision [du juge d</w:t>
      </w:r>
      <w:r w:rsidRPr="008F5302" w:rsidR="008F5302">
        <w:t>’</w:t>
      </w:r>
      <w:r w:rsidRPr="008F5302">
        <w:t>instruction]. »</w:t>
      </w:r>
    </w:p>
    <w:p w:rsidRPr="008F5302" w:rsidR="00DC5B61" w:rsidP="008F5302" w14:paraId="45935F26" w14:textId="04C9259E">
      <w:pPr>
        <w:pStyle w:val="JuHIRoman"/>
      </w:pPr>
      <w:r w:rsidRPr="008F5302">
        <w:t>L</w:t>
      </w:r>
      <w:r w:rsidRPr="008F5302">
        <w:t>a jurisprudence pertinente de la cour constitutionnelle</w:t>
      </w:r>
    </w:p>
    <w:bookmarkStart w:name="para21" w:id="19"/>
    <w:p w:rsidRPr="008F5302" w:rsidR="00DC5B61" w:rsidP="008F5302" w14:paraId="41B60919" w14:textId="7CB56C76">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22</w:t>
      </w:r>
      <w:r w:rsidRPr="008F5302">
        <w:fldChar w:fldCharType="end"/>
      </w:r>
      <w:bookmarkEnd w:id="19"/>
      <w:r w:rsidRPr="008F5302">
        <w:t>.  Par une décision du 30</w:t>
      </w:r>
      <w:r w:rsidRPr="008F5302" w:rsidR="000B1FBD">
        <w:t xml:space="preserve"> </w:t>
      </w:r>
      <w:r w:rsidRPr="008F5302">
        <w:t>septembre 2021, la Cour constitutionnelle a rejeté, entre autres, une exception d</w:t>
      </w:r>
      <w:r w:rsidRPr="008F5302" w:rsidR="008F5302">
        <w:t>’</w:t>
      </w:r>
      <w:r w:rsidRPr="008F5302">
        <w:t>inconstitutionnalité visant, pour autant qu</w:t>
      </w:r>
      <w:r w:rsidRPr="008F5302" w:rsidR="008F5302">
        <w:t>’</w:t>
      </w:r>
      <w:r w:rsidRPr="008F5302">
        <w:t xml:space="preserve">il prévoyait la suspension de fonctions </w:t>
      </w:r>
      <w:r w:rsidRPr="008F5302">
        <w:rPr>
          <w:i/>
          <w:iCs/>
        </w:rPr>
        <w:t xml:space="preserve">ope </w:t>
      </w:r>
      <w:r w:rsidRPr="008F5302">
        <w:rPr>
          <w:i/>
          <w:iCs/>
        </w:rPr>
        <w:t>legis</w:t>
      </w:r>
      <w:r w:rsidRPr="008F5302">
        <w:t xml:space="preserve"> du procureur général, l</w:t>
      </w:r>
      <w:r w:rsidRPr="008F5302" w:rsidR="008F5302">
        <w:t>’</w:t>
      </w:r>
      <w:r w:rsidRPr="008F5302">
        <w:t>article 55-1 de la loi sur le ministère public. Cette décision se lit comme suit dans sa partie pertinente en l</w:t>
      </w:r>
      <w:r w:rsidRPr="008F5302" w:rsidR="008F5302">
        <w:t>’</w:t>
      </w:r>
      <w:r w:rsidRPr="008F5302">
        <w:t>espèce :</w:t>
      </w:r>
    </w:p>
    <w:p w:rsidRPr="008F5302" w:rsidR="00DC5B61" w:rsidP="008F5302" w14:paraId="7F87EB2E" w14:textId="791A0676">
      <w:pPr>
        <w:pStyle w:val="JuQuot"/>
      </w:pPr>
      <w:r w:rsidRPr="008F5302">
        <w:t>« 72.  (...) Le procureur général est au sommet de la hiérarchie des procureurs du ministère public. (...) La Cour admet donc que si le procureur général n</w:t>
      </w:r>
      <w:r w:rsidRPr="008F5302" w:rsidR="008F5302">
        <w:t>’</w:t>
      </w:r>
      <w:r w:rsidRPr="008F5302">
        <w:t>était pas suspendu de ses fonctions, le procureur désigné pour le poursuivre pourrait ne pas disposer d</w:t>
      </w:r>
      <w:r w:rsidRPr="008F5302" w:rsidR="008F5302">
        <w:t>’</w:t>
      </w:r>
      <w:r w:rsidRPr="008F5302">
        <w:t>une autonomie suffisante pour prendre les décisions qui s</w:t>
      </w:r>
      <w:r w:rsidRPr="008F5302" w:rsidR="008F5302">
        <w:t>’</w:t>
      </w:r>
      <w:r w:rsidRPr="008F5302">
        <w:t>imposent au cours de l</w:t>
      </w:r>
      <w:r w:rsidRPr="008F5302" w:rsidR="008F5302">
        <w:t>’</w:t>
      </w:r>
      <w:r w:rsidRPr="008F5302">
        <w:t>enquête. (...)</w:t>
      </w:r>
    </w:p>
    <w:p w:rsidRPr="008F5302" w:rsidR="00DC5B61" w:rsidP="008F5302" w14:paraId="1C564185" w14:textId="35526715">
      <w:pPr>
        <w:pStyle w:val="JuQuot"/>
      </w:pPr>
      <w:r w:rsidRPr="008F5302">
        <w:t xml:space="preserve">73.  (...) La suspension </w:t>
      </w:r>
      <w:r w:rsidRPr="008F5302">
        <w:rPr>
          <w:i/>
          <w:iCs/>
        </w:rPr>
        <w:t xml:space="preserve">ope </w:t>
      </w:r>
      <w:r w:rsidRPr="008F5302">
        <w:rPr>
          <w:i/>
          <w:iCs/>
        </w:rPr>
        <w:t>legis</w:t>
      </w:r>
      <w:r w:rsidRPr="008F5302">
        <w:t xml:space="preserve"> du mandat du procureur général visé par des poursuites interfère, dans l</w:t>
      </w:r>
      <w:r w:rsidRPr="008F5302" w:rsidR="008F5302">
        <w:t>’</w:t>
      </w:r>
      <w:r w:rsidRPr="008F5302">
        <w:t>abstrait, de manière proportionnée avec les articles 20, 26 et 125-1 de la Constitution. Le maintien en fonctions du procureur général visé par des poursuites pénales pourrait, dans certains cas, priver l</w:t>
      </w:r>
      <w:r w:rsidRPr="008F5302" w:rsidR="008F5302">
        <w:t>’</w:t>
      </w:r>
      <w:r w:rsidRPr="008F5302">
        <w:t>enquête d</w:t>
      </w:r>
      <w:r w:rsidRPr="008F5302" w:rsidR="008F5302">
        <w:t>’</w:t>
      </w:r>
      <w:r w:rsidRPr="008F5302">
        <w:t>effectivité (voir l</w:t>
      </w:r>
      <w:r w:rsidRPr="008F5302" w:rsidR="008F5302">
        <w:t>’</w:t>
      </w:r>
      <w:r w:rsidRPr="008F5302">
        <w:t>arrêt rendu le 5 novembre 2009 par la Cour européenne des droits de l</w:t>
      </w:r>
      <w:r w:rsidRPr="008F5302" w:rsidR="008F5302">
        <w:t>’</w:t>
      </w:r>
      <w:r w:rsidRPr="008F5302">
        <w:t>homme en l</w:t>
      </w:r>
      <w:r w:rsidRPr="008F5302" w:rsidR="008F5302">
        <w:t>’</w:t>
      </w:r>
      <w:r w:rsidRPr="008F5302">
        <w:t xml:space="preserve">affaire </w:t>
      </w:r>
      <w:r w:rsidRPr="008F5302">
        <w:rPr>
          <w:i/>
          <w:iCs/>
        </w:rPr>
        <w:t>Kolevi</w:t>
      </w:r>
      <w:r w:rsidRPr="008F5302">
        <w:rPr>
          <w:i/>
          <w:iCs/>
        </w:rPr>
        <w:t xml:space="preserve"> c. Bulgarie, </w:t>
      </w:r>
      <w:r w:rsidRPr="008F5302">
        <w:t>où elle a constaté une violation du droit à la vie à raison de l</w:t>
      </w:r>
      <w:r w:rsidRPr="008F5302" w:rsidR="008F5302">
        <w:t>’</w:t>
      </w:r>
      <w:r w:rsidRPr="008F5302">
        <w:t>impossibilité d</w:t>
      </w:r>
      <w:r w:rsidRPr="008F5302" w:rsidR="008F5302">
        <w:t>’</w:t>
      </w:r>
      <w:r w:rsidRPr="008F5302">
        <w:t>effectuer une enquête effective sur les allégations de meurtre formulées à l</w:t>
      </w:r>
      <w:r w:rsidRPr="008F5302" w:rsidR="008F5302">
        <w:t>’</w:t>
      </w:r>
      <w:r w:rsidRPr="008F5302">
        <w:t>égard du procureur général par les membres de la famille de la victime).</w:t>
      </w:r>
    </w:p>
    <w:p w:rsidRPr="008F5302" w:rsidR="00DC5B61" w:rsidP="008F5302" w14:paraId="341C3DE5" w14:textId="6312D562">
      <w:pPr>
        <w:pStyle w:val="JuQuot"/>
      </w:pPr>
      <w:r w:rsidRPr="008F5302">
        <w:t>74.  Qui plus est, dans l</w:t>
      </w:r>
      <w:r w:rsidRPr="008F5302" w:rsidR="008F5302">
        <w:t>’</w:t>
      </w:r>
      <w:r w:rsidRPr="008F5302">
        <w:t xml:space="preserve">affaire </w:t>
      </w:r>
      <w:r w:rsidRPr="008F5302">
        <w:rPr>
          <w:i/>
          <w:iCs/>
        </w:rPr>
        <w:t>Kolevi</w:t>
      </w:r>
      <w:r w:rsidRPr="008F5302">
        <w:rPr>
          <w:i/>
          <w:iCs/>
        </w:rPr>
        <w:t xml:space="preserve"> c. Bulgarie</w:t>
      </w:r>
      <w:r w:rsidRPr="008F5302">
        <w:t>, la Cour a réalisé, aux §§ 35-152, une étude de droit comparé au sujet des garanties en matière d</w:t>
      </w:r>
      <w:r w:rsidRPr="008F5302" w:rsidR="008F5302">
        <w:t>’</w:t>
      </w:r>
      <w:r w:rsidRPr="008F5302">
        <w:t>effectivité de l</w:t>
      </w:r>
      <w:r w:rsidRPr="008F5302" w:rsidR="008F5302">
        <w:t>’</w:t>
      </w:r>
      <w:r w:rsidRPr="008F5302">
        <w:t>enquête dans des affaires impliquant des suspicions à l</w:t>
      </w:r>
      <w:r w:rsidRPr="008F5302" w:rsidR="008F5302">
        <w:t>’</w:t>
      </w:r>
      <w:r w:rsidRPr="008F5302">
        <w:t>égard de procureurs de rang supérieur. La Cour a constaté que plusieurs États européens (...) prévoyaient une réglementation relative à la suspension de fonctions des procureurs de haut rang visés par des poursuites pénales.</w:t>
      </w:r>
      <w:r w:rsidRPr="008F5302" w:rsidR="001014F8">
        <w:t> »</w:t>
      </w:r>
    </w:p>
    <w:p w:rsidRPr="008F5302" w:rsidR="00DC5B61" w:rsidP="008F5302" w14:paraId="3A7F44F8" w14:textId="2BE56485">
      <w:pPr>
        <w:pStyle w:val="JuHHead"/>
      </w:pPr>
      <w:r w:rsidRPr="008F5302">
        <w:t>LES DOCUMENTS DU CONSEIL DE L</w:t>
      </w:r>
      <w:r w:rsidRPr="008F5302" w:rsidR="008F5302">
        <w:t>’</w:t>
      </w:r>
      <w:r w:rsidRPr="008F5302">
        <w:t>EUROPE</w:t>
      </w:r>
    </w:p>
    <w:bookmarkStart w:name="para22" w:id="20"/>
    <w:p w:rsidRPr="008F5302" w:rsidR="00DC5B61" w:rsidP="008F5302" w14:paraId="3F85C293" w14:textId="3DAFC957">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23</w:t>
      </w:r>
      <w:r w:rsidRPr="008F5302">
        <w:fldChar w:fldCharType="end"/>
      </w:r>
      <w:bookmarkEnd w:id="20"/>
      <w:r w:rsidRPr="008F5302">
        <w:t>.  Lors de sa 129</w:t>
      </w:r>
      <w:r w:rsidRPr="008F5302">
        <w:rPr>
          <w:vertAlign w:val="superscript"/>
        </w:rPr>
        <w:t>e</w:t>
      </w:r>
      <w:r w:rsidRPr="008F5302" w:rsidR="00FB543E">
        <w:t xml:space="preserve"> </w:t>
      </w:r>
      <w:r w:rsidRPr="008F5302">
        <w:t>séance plénière, tenue à Venise et en ligne les 10 et 11 décembre 2021, la Commission de Venise a adopté l</w:t>
      </w:r>
      <w:r w:rsidRPr="008F5302" w:rsidR="008F5302">
        <w:t>’</w:t>
      </w:r>
      <w:r w:rsidRPr="008F5302">
        <w:t>Avis n</w:t>
      </w:r>
      <w:r w:rsidRPr="008F5302">
        <w:rPr>
          <w:vertAlign w:val="superscript"/>
        </w:rPr>
        <w:t>o</w:t>
      </w:r>
      <w:r w:rsidRPr="008F5302">
        <w:t> 105</w:t>
      </w:r>
      <w:r w:rsidRPr="008F5302" w:rsidR="006F4889">
        <w:t>8</w:t>
      </w:r>
      <w:r w:rsidRPr="008F5302">
        <w:t>/2021 sur les amendements du 24</w:t>
      </w:r>
      <w:r w:rsidRPr="008F5302" w:rsidR="00FB543E">
        <w:t xml:space="preserve"> </w:t>
      </w:r>
      <w:r w:rsidRPr="008F5302">
        <w:t>août 2021 à la loi sur le ministère public (document CDL-AD(2021)047), dont les passages pertinents se lisent comme suit :</w:t>
      </w:r>
    </w:p>
    <w:p w:rsidRPr="008F5302" w:rsidR="00DC5B61" w:rsidP="008F5302" w14:paraId="46163492" w14:textId="75A1B19D">
      <w:pPr>
        <w:pStyle w:val="JuQuot"/>
        <w:rPr>
          <w:i/>
          <w:iCs/>
        </w:rPr>
      </w:pPr>
      <w:r w:rsidRPr="008F5302">
        <w:t xml:space="preserve">« (...) </w:t>
      </w:r>
      <w:r w:rsidRPr="008F5302">
        <w:rPr>
          <w:b/>
          <w:bCs/>
        </w:rPr>
        <w:t>G.  Suspension du Procureur général (PG) et nomination d</w:t>
      </w:r>
      <w:r w:rsidRPr="008F5302" w:rsidR="008F5302">
        <w:rPr>
          <w:b/>
          <w:bCs/>
        </w:rPr>
        <w:t>’</w:t>
      </w:r>
      <w:r w:rsidRPr="008F5302">
        <w:rPr>
          <w:b/>
          <w:bCs/>
        </w:rPr>
        <w:t xml:space="preserve">un Procureur général </w:t>
      </w:r>
      <w:r w:rsidRPr="008F5302">
        <w:rPr>
          <w:b/>
          <w:bCs/>
          <w:i/>
          <w:iCs/>
        </w:rPr>
        <w:t xml:space="preserve">ad </w:t>
      </w:r>
      <w:r w:rsidRPr="008F5302">
        <w:rPr>
          <w:b/>
          <w:bCs/>
          <w:i/>
          <w:iCs/>
        </w:rPr>
        <w:t>interim</w:t>
      </w:r>
    </w:p>
    <w:p w:rsidRPr="008F5302" w:rsidR="00DC5B61" w:rsidP="008F5302" w14:paraId="58FB2FB9" w14:textId="77777777">
      <w:pPr>
        <w:pStyle w:val="JuQuot"/>
        <w:rPr>
          <w:b/>
          <w:bCs/>
        </w:rPr>
      </w:pPr>
      <w:r w:rsidRPr="008F5302">
        <w:rPr>
          <w:b/>
          <w:bCs/>
        </w:rPr>
        <w:t>1.  Suspension automatique du Procureur général</w:t>
      </w:r>
    </w:p>
    <w:p w:rsidRPr="008F5302" w:rsidR="00DC5B61" w:rsidP="008F5302" w14:paraId="6262DFAC" w14:textId="77777777">
      <w:pPr>
        <w:pStyle w:val="JuQuot"/>
      </w:pPr>
      <w:r w:rsidRPr="008F5302">
        <w:t>87.  Le nouvel article 55-1 prévoit la suspension du PG si une procédure pénale est ouverte à son encontre. Cette suspension est automatique, de plein droit.</w:t>
      </w:r>
    </w:p>
    <w:p w:rsidRPr="008F5302" w:rsidR="00DC5B61" w:rsidP="008F5302" w14:paraId="5418185E" w14:textId="796496EA">
      <w:pPr>
        <w:pStyle w:val="JuQuot"/>
      </w:pPr>
      <w:r w:rsidRPr="008F5302">
        <w:t>88.  Cette disposition a été examinée par la Cour constitutionnelle de la République de Moldova (CCRM), qui a estimé que la suspension du PG et de ses adjoints ne constituait pas une violation de la présomption d</w:t>
      </w:r>
      <w:r w:rsidRPr="008F5302" w:rsidR="008F5302">
        <w:t>’</w:t>
      </w:r>
      <w:r w:rsidRPr="008F5302">
        <w:t>innocence. Selon la CCRM, la suspension du PG, qui est le supérieur hiérarchique de tous les procureurs et enquêteurs, garantit une enquête indépendante sur les affaires dans lesquelles le PG peut être impliqué. À l</w:t>
      </w:r>
      <w:r w:rsidRPr="008F5302" w:rsidR="008F5302">
        <w:t>’</w:t>
      </w:r>
      <w:r w:rsidRPr="008F5302">
        <w:t>appui de sa conclusion, la CCRM cite l</w:t>
      </w:r>
      <w:r w:rsidRPr="008F5302" w:rsidR="008F5302">
        <w:t>’</w:t>
      </w:r>
      <w:r w:rsidRPr="008F5302">
        <w:t>arrêt de la Cour européenne des droits de l</w:t>
      </w:r>
      <w:r w:rsidRPr="008F5302" w:rsidR="008F5302">
        <w:t>’</w:t>
      </w:r>
      <w:r w:rsidRPr="008F5302">
        <w:t>homme dans l</w:t>
      </w:r>
      <w:r w:rsidRPr="008F5302" w:rsidR="008F5302">
        <w:t>’</w:t>
      </w:r>
      <w:r w:rsidRPr="008F5302">
        <w:t xml:space="preserve">affaire </w:t>
      </w:r>
      <w:r w:rsidRPr="008F5302">
        <w:rPr>
          <w:i/>
          <w:iCs/>
        </w:rPr>
        <w:t>Kolevi</w:t>
      </w:r>
      <w:r w:rsidRPr="008F5302">
        <w:rPr>
          <w:i/>
          <w:iCs/>
        </w:rPr>
        <w:t xml:space="preserve"> c. Bulgarie</w:t>
      </w:r>
      <w:r w:rsidRPr="008F5302">
        <w:t>. Dans cette affaire, la Cour a estimé que l</w:t>
      </w:r>
      <w:r w:rsidRPr="008F5302" w:rsidR="008F5302">
        <w:t>’</w:t>
      </w:r>
      <w:r w:rsidRPr="008F5302">
        <w:t>article 2 de la Convention européenne exigeait qu</w:t>
      </w:r>
      <w:r w:rsidRPr="008F5302" w:rsidR="008F5302">
        <w:t>’</w:t>
      </w:r>
      <w:r w:rsidRPr="008F5302">
        <w:t>une enquête sur un meurtre présumé impliquant le Procureur général de Bulgarie de l</w:t>
      </w:r>
      <w:r w:rsidRPr="008F5302" w:rsidR="008F5302">
        <w:t>’</w:t>
      </w:r>
      <w:r w:rsidRPr="008F5302">
        <w:t>époque ne soit pas menée par des enquêteurs hiérarchiquement subordonnés à ce même Procureur général. Quant à la suspension des adjoints du PG, selon la CCRM, ils sont nommés à leur poste en raison de la confiance personnelle que leur accorde le PG, de sorte que leur suspension servirait le même objectif légitime.</w:t>
      </w:r>
    </w:p>
    <w:p w:rsidRPr="008F5302" w:rsidR="00DC5B61" w:rsidP="008F5302" w14:paraId="53F74F62" w14:textId="13359D64">
      <w:pPr>
        <w:pStyle w:val="JuQuot"/>
      </w:pPr>
      <w:r w:rsidRPr="008F5302">
        <w:t>89.  La Commission de Venise convient qu</w:t>
      </w:r>
      <w:r w:rsidRPr="008F5302" w:rsidR="008F5302">
        <w:t>’</w:t>
      </w:r>
      <w:r w:rsidRPr="008F5302">
        <w:t>en principe, la suspension du PG dans un cas où une affaire pénale est en cours à son encontre n</w:t>
      </w:r>
      <w:r w:rsidRPr="008F5302" w:rsidR="008F5302">
        <w:t>’</w:t>
      </w:r>
      <w:r w:rsidRPr="008F5302">
        <w:t>est pas incompatible avec la présomption d</w:t>
      </w:r>
      <w:r w:rsidRPr="008F5302" w:rsidR="008F5302">
        <w:t>’</w:t>
      </w:r>
      <w:r w:rsidRPr="008F5302">
        <w:t>innocence, pour les raisons expliquées par la CCRM et aussi parce que le maintien du PG dans ses fonctions malgré de graves allégations à son encontre pourrait saper la confiance du public dans le parquet. Toutefois, des garanties procédurales devraient être mises en place pour s</w:t>
      </w:r>
      <w:r w:rsidRPr="008F5302" w:rsidR="008F5302">
        <w:t>’</w:t>
      </w:r>
      <w:r w:rsidRPr="008F5302">
        <w:t>assurer que le mécanisme de suspension n</w:t>
      </w:r>
      <w:r w:rsidRPr="008F5302" w:rsidR="008F5302">
        <w:t>’</w:t>
      </w:r>
      <w:r w:rsidRPr="008F5302">
        <w:t>est pas utilisé de manière arbitraire. La Commission de Venise réitère sa remarque précédente à cet égard : l</w:t>
      </w:r>
      <w:r w:rsidRPr="008F5302" w:rsidR="008F5302">
        <w:t>’</w:t>
      </w:r>
      <w:r w:rsidRPr="008F5302">
        <w:t>ouverture de la procédure pénale et son déroulement doivent s</w:t>
      </w:r>
      <w:r w:rsidRPr="008F5302" w:rsidR="008F5302">
        <w:t>’</w:t>
      </w:r>
      <w:r w:rsidRPr="008F5302">
        <w:t>accompagner de garanties procédurales adéquates, et la présomption d</w:t>
      </w:r>
      <w:r w:rsidRPr="008F5302" w:rsidR="008F5302">
        <w:t>’</w:t>
      </w:r>
      <w:r w:rsidRPr="008F5302">
        <w:t>innocence de l</w:t>
      </w:r>
      <w:r w:rsidRPr="008F5302" w:rsidR="008F5302">
        <w:t>’</w:t>
      </w:r>
      <w:r w:rsidRPr="008F5302">
        <w:t>accusé doit être respectée par tout organe officiel ou titulaire d</w:t>
      </w:r>
      <w:r w:rsidRPr="008F5302" w:rsidR="008F5302">
        <w:t>’</w:t>
      </w:r>
      <w:r w:rsidRPr="008F5302">
        <w:t>une fonction amené à commenter l</w:t>
      </w:r>
      <w:r w:rsidRPr="008F5302" w:rsidR="008F5302">
        <w:t>’</w:t>
      </w:r>
      <w:r w:rsidRPr="008F5302">
        <w:t>affaire pénale.</w:t>
      </w:r>
    </w:p>
    <w:p w:rsidRPr="008F5302" w:rsidR="00DC5B61" w:rsidP="008F5302" w14:paraId="7ECC2305" w14:textId="019DFF9C">
      <w:pPr>
        <w:pStyle w:val="JuQuot"/>
      </w:pPr>
      <w:r w:rsidRPr="008F5302">
        <w:t>90.  Dans un avis sur la Bulgarie, la Commission de Venise a mis en garde contre une suspension automatique des juges : elle a recommandé que la Chambre judiciaire du Conseil supérieur de la magistrature « examine la substance des accusations et décide si les preuves contre le juge sont suffisamment convaincantes [...] et si elles appellent une suspension ». Sinon, les procureurs auraient « le pouvoir d</w:t>
      </w:r>
      <w:r w:rsidRPr="008F5302" w:rsidR="008F5302">
        <w:t>’</w:t>
      </w:r>
      <w:r w:rsidRPr="008F5302">
        <w:t>initier la suspension de juges pour une période potentiellement longue sur la base de preuves (relativement) minces », ce qui pourrait mettre en danger l</w:t>
      </w:r>
      <w:r w:rsidRPr="008F5302" w:rsidR="008F5302">
        <w:t>’</w:t>
      </w:r>
      <w:r w:rsidRPr="008F5302">
        <w:t>indépendance judiciaire.</w:t>
      </w:r>
    </w:p>
    <w:p w:rsidRPr="008F5302" w:rsidR="00DC5B61" w:rsidP="008F5302" w14:paraId="5A463103" w14:textId="089F7D75">
      <w:pPr>
        <w:pStyle w:val="JuQuot"/>
      </w:pPr>
      <w:r w:rsidRPr="008F5302">
        <w:t>91.  Comme expliqué aux rapporteurs, le nouvel article 55-1 doit être lu conjointement avec l</w:t>
      </w:r>
      <w:r w:rsidRPr="008F5302" w:rsidR="008F5302">
        <w:t>’</w:t>
      </w:r>
      <w:r w:rsidRPr="008F5302">
        <w:t>article 34 § 5 qui prévoit que l</w:t>
      </w:r>
      <w:r w:rsidRPr="008F5302" w:rsidR="008F5302">
        <w:t>’</w:t>
      </w:r>
      <w:r w:rsidRPr="008F5302">
        <w:t>ouverture d</w:t>
      </w:r>
      <w:r w:rsidRPr="008F5302" w:rsidR="008F5302">
        <w:t>’</w:t>
      </w:r>
      <w:r w:rsidRPr="008F5302">
        <w:t xml:space="preserve">une procédure pénale contre le PG doit être autorisée par le CSP, lequel, dans ce cas, doit également désigner un procureur spécial pour traiter cette affaire. Ainsi, le PG ne peut pas être </w:t>
      </w:r>
      <w:r w:rsidRPr="008F5302">
        <w:t>poursuivi – et donc ne peut pas être suspendu – sans l</w:t>
      </w:r>
      <w:r w:rsidRPr="008F5302" w:rsidR="008F5302">
        <w:t>’</w:t>
      </w:r>
      <w:r w:rsidRPr="008F5302">
        <w:t>implication du CSP. Les autorités considèrent que cela constitue une garantie suffisante de l</w:t>
      </w:r>
      <w:r w:rsidRPr="008F5302" w:rsidR="008F5302">
        <w:t>’</w:t>
      </w:r>
      <w:r w:rsidRPr="008F5302">
        <w:t>indépendance du PG.</w:t>
      </w:r>
    </w:p>
    <w:p w:rsidRPr="008F5302" w:rsidR="00DC5B61" w:rsidP="008F5302" w14:paraId="2EE65F79" w14:textId="0FA67A0C">
      <w:pPr>
        <w:pStyle w:val="JuQuot"/>
      </w:pPr>
      <w:r w:rsidRPr="008F5302">
        <w:t>92.  Toutefois, comme il ressort de l</w:t>
      </w:r>
      <w:r w:rsidRPr="008F5302" w:rsidR="008F5302">
        <w:t>’</w:t>
      </w:r>
      <w:r w:rsidRPr="008F5302">
        <w:t xml:space="preserve">avis sur la Bulgarie, toute enquête pénale ne nécessite pas la suspension automatique du PG. Il serait plus approprié de laisser le CSP décider, sur une base </w:t>
      </w:r>
      <w:r w:rsidRPr="008F5302">
        <w:rPr>
          <w:i/>
          <w:iCs/>
        </w:rPr>
        <w:t xml:space="preserve">ad hoc </w:t>
      </w:r>
      <w:r w:rsidRPr="008F5302">
        <w:t>et à la lumière de la gravité des accusations portées contre le PG, si la suspension est nécessaire. La suspension automatique peut être réservée aux cas où le PG est soupçonné d</w:t>
      </w:r>
      <w:r w:rsidRPr="008F5302" w:rsidR="008F5302">
        <w:t>’</w:t>
      </w:r>
      <w:r w:rsidRPr="008F5302">
        <w:t>un crime d</w:t>
      </w:r>
      <w:r w:rsidRPr="008F5302" w:rsidR="008F5302">
        <w:t>’</w:t>
      </w:r>
      <w:r w:rsidRPr="008F5302">
        <w:t>une certaine gravité, mais même dans ces cas, le CSP devrait être impliqué pour évaluer si les preuves préliminaires contre le PG sont raisonnablement suffisantes pour ouvrir un dossier. En effet, la qualité et la nature des preuves préliminaires recueillies aux fins de l</w:t>
      </w:r>
      <w:r w:rsidRPr="008F5302" w:rsidR="008F5302">
        <w:t>’</w:t>
      </w:r>
      <w:r w:rsidRPr="008F5302">
        <w:t>ouverture d</w:t>
      </w:r>
      <w:r w:rsidRPr="008F5302" w:rsidR="008F5302">
        <w:t>’</w:t>
      </w:r>
      <w:r w:rsidRPr="008F5302">
        <w:t>une affaire ne sont pas censées être suffisantes pour obtenir une condamnation. Toutefois, le CSP doit lui</w:t>
      </w:r>
      <w:r w:rsidRPr="008F5302">
        <w:noBreakHyphen/>
        <w:t>même vérifier que même ces preuves préliminaires ne sont pas clairement fabriquées ou non pertinentes.</w:t>
      </w:r>
    </w:p>
    <w:p w:rsidRPr="008F5302" w:rsidR="00DC5B61" w:rsidP="008F5302" w14:paraId="5530FB1C" w14:textId="2008315E">
      <w:pPr>
        <w:pStyle w:val="JuQuot"/>
      </w:pPr>
      <w:r w:rsidRPr="008F5302">
        <w:t>93.  Le ministère de la Justice, dans ses commentaires écrits, a souligné qu</w:t>
      </w:r>
      <w:r w:rsidRPr="008F5302" w:rsidR="008F5302">
        <w:t>’</w:t>
      </w:r>
      <w:r w:rsidRPr="008F5302">
        <w:t>il serait préjudiciable au prestige du ministère public et à l</w:t>
      </w:r>
      <w:r w:rsidRPr="008F5302" w:rsidR="008F5302">
        <w:t>’</w:t>
      </w:r>
      <w:r w:rsidRPr="008F5302">
        <w:t>indépendance de l</w:t>
      </w:r>
      <w:r w:rsidRPr="008F5302" w:rsidR="008F5302">
        <w:t>’</w:t>
      </w:r>
      <w:r w:rsidRPr="008F5302">
        <w:t>enquête de maintenir un PG en fonction alors qu</w:t>
      </w:r>
      <w:r w:rsidRPr="008F5302" w:rsidR="008F5302">
        <w:t>’</w:t>
      </w:r>
      <w:r w:rsidRPr="008F5302">
        <w:t>une enquête pénale est en cours à son encontre. Cet argument est valable : la Commission de Venise n</w:t>
      </w:r>
      <w:r w:rsidRPr="008F5302" w:rsidR="008F5302">
        <w:t>’</w:t>
      </w:r>
      <w:r w:rsidRPr="008F5302">
        <w:t>est pas opposée à la suspension du PG au moment de l</w:t>
      </w:r>
      <w:r w:rsidRPr="008F5302" w:rsidR="008F5302">
        <w:t>’</w:t>
      </w:r>
      <w:r w:rsidRPr="008F5302">
        <w:t>ouverture de l</w:t>
      </w:r>
      <w:r w:rsidRPr="008F5302" w:rsidR="008F5302">
        <w:t>’</w:t>
      </w:r>
      <w:r w:rsidRPr="008F5302">
        <w:t>affaire pénale, à condition que le CSP soit dûment impliqué et puisse garantir que les accusations portées contre le PG ne sont pas frivoles, politiquement motivées ou trop faibles, et que la suspension temporaire du PG est nécessaire pour protéger le prestige du ministère public et l</w:t>
      </w:r>
      <w:r w:rsidRPr="008F5302" w:rsidR="008F5302">
        <w:t>’</w:t>
      </w:r>
      <w:r w:rsidRPr="008F5302">
        <w:t>indépendance de toute enquête future. Aucune suspension automatique du PG n</w:t>
      </w:r>
      <w:r w:rsidRPr="008F5302" w:rsidR="008F5302">
        <w:t>’</w:t>
      </w:r>
      <w:r w:rsidRPr="008F5302">
        <w:t>est admissible, et une participation significative du CSP est nécessaire pour décider de la suspension.</w:t>
      </w:r>
    </w:p>
    <w:p w:rsidRPr="008F5302" w:rsidR="00DC5B61" w:rsidP="008F5302" w14:paraId="1BA0780C" w14:textId="56E974C1">
      <w:pPr>
        <w:pStyle w:val="JuQuot"/>
      </w:pPr>
      <w:r w:rsidRPr="008F5302">
        <w:t>(...)</w:t>
      </w:r>
    </w:p>
    <w:p w:rsidRPr="008F5302" w:rsidR="00DC5B61" w:rsidP="008F5302" w14:paraId="4BFE1A6A" w14:textId="77777777">
      <w:pPr>
        <w:pStyle w:val="JuQuot"/>
      </w:pPr>
      <w:r w:rsidRPr="008F5302">
        <w:t>105.  La Commission de Venise invite les autorités de la République de Moldova à envisager le retour du PG au sein du CSP en tant que membre de droit (avec un ajustement correspondant de la composition du CSP, si nécessaire). En outre, certains autres amendements sont contestables du point de vue des normes internationales et/ou des meilleures pratiques et doivent donc être révisés. La Commission de Venise formule tout particulièrement les recommandations suivantes :</w:t>
      </w:r>
    </w:p>
    <w:p w:rsidRPr="008F5302" w:rsidR="00DC5B61" w:rsidP="008F5302" w14:paraId="61C52266" w14:textId="2F31AB39">
      <w:pPr>
        <w:pStyle w:val="JuQuot"/>
        <w:ind w:left="567" w:firstLine="0"/>
      </w:pPr>
      <w:r w:rsidRPr="008F5302">
        <w:t>– la perspective qu</w:t>
      </w:r>
      <w:r w:rsidRPr="008F5302" w:rsidR="008F5302">
        <w:t>’</w:t>
      </w:r>
      <w:r w:rsidRPr="008F5302">
        <w:t>entretiennent légitimement les membres de mener leur mandat à son terme ne devrait pas être perturbée sans des raisons très sérieuses ;</w:t>
      </w:r>
    </w:p>
    <w:p w:rsidRPr="008F5302" w:rsidR="00DC5B61" w:rsidP="008F5302" w14:paraId="51040472" w14:textId="6D93BD5B">
      <w:pPr>
        <w:pStyle w:val="JuQuot"/>
        <w:ind w:left="567" w:firstLine="0"/>
      </w:pPr>
      <w:r w:rsidRPr="008F5302">
        <w:t>– la procédure d</w:t>
      </w:r>
      <w:r w:rsidRPr="008F5302" w:rsidR="008F5302">
        <w:t>’</w:t>
      </w:r>
      <w:r w:rsidRPr="008F5302">
        <w:t>« évaluation des performances » du PG devrait être considérablement révisée. En particulier, la loi devrait décrire clairement la nature et les principaux indicateurs de l</w:t>
      </w:r>
      <w:r w:rsidRPr="008F5302" w:rsidR="008F5302">
        <w:t>’</w:t>
      </w:r>
      <w:r w:rsidRPr="008F5302">
        <w:t>évaluation des performances et préciser en quoi elle diffère de la responsabilité disciplinaire. Le CSP peut se voir confier la tâche de définir des règlements plus spécifiques, mais toujours dans le cadre fixé par la loi. La Commission d</w:t>
      </w:r>
      <w:r w:rsidRPr="008F5302" w:rsidR="008F5302">
        <w:t>’</w:t>
      </w:r>
      <w:r w:rsidRPr="008F5302">
        <w:t>évaluation (CE) ne devrait pas pouvoir fonctionner sans membres du parquet et la loi devrait clairement stipuler que les recommandations de la CE ne lient pas le CSP ;</w:t>
      </w:r>
    </w:p>
    <w:p w:rsidRPr="008F5302" w:rsidR="00DC5B61" w:rsidP="008F5302" w14:paraId="74215694" w14:textId="048D2E8A">
      <w:pPr>
        <w:pStyle w:val="JuQuot"/>
        <w:ind w:left="567" w:firstLine="0"/>
      </w:pPr>
      <w:r w:rsidRPr="008F5302">
        <w:t>– le CSP devrait avoir le pouvoir de décider si la suspension du PG dans le cadre d</w:t>
      </w:r>
      <w:r w:rsidRPr="008F5302" w:rsidR="008F5302">
        <w:t>’</w:t>
      </w:r>
      <w:r w:rsidRPr="008F5302">
        <w:t>une affaire pénale engagée contre lui est justifiée ; la suspension du PG ne devrait pas automatiquement mettre fin aux mandats de ses adjoints ;</w:t>
      </w:r>
    </w:p>
    <w:p w:rsidRPr="008F5302" w:rsidR="00DC5B61" w:rsidP="008F5302" w14:paraId="794420A7" w14:textId="7760F6BD">
      <w:pPr>
        <w:pStyle w:val="JuQuot"/>
        <w:ind w:left="567" w:firstLine="0"/>
      </w:pPr>
      <w:r w:rsidRPr="008F5302">
        <w:t>– en cas de suspension du PG ou si son poste devient vacant, l</w:t>
      </w:r>
      <w:r w:rsidRPr="008F5302" w:rsidR="008F5302">
        <w:t>’</w:t>
      </w:r>
      <w:r w:rsidRPr="008F5302">
        <w:t>un des adjoints devrait être nommé par le CSP en tant que PG intérimaire jusqu</w:t>
      </w:r>
      <w:r w:rsidRPr="008F5302" w:rsidR="008F5302">
        <w:t>’</w:t>
      </w:r>
      <w:r w:rsidRPr="008F5302">
        <w:t>à la conclusion de la procédure pénale et/ou l</w:t>
      </w:r>
      <w:r w:rsidRPr="008F5302" w:rsidR="008F5302">
        <w:t>’</w:t>
      </w:r>
      <w:r w:rsidRPr="008F5302">
        <w:t>élection d</w:t>
      </w:r>
      <w:r w:rsidRPr="008F5302" w:rsidR="008F5302">
        <w:t>’</w:t>
      </w:r>
      <w:r w:rsidRPr="008F5302">
        <w:t>un nouveau PG. Des garanties supplémentaires pourraient être mises en place pour exclure toute influence du PG suspendu ou révoqué sur les procédures pénales ou autres à son encontre. »</w:t>
      </w:r>
    </w:p>
    <w:bookmarkStart w:name="para23" w:id="21"/>
    <w:p w:rsidRPr="008F5302" w:rsidR="00DC5B61" w:rsidP="008F5302" w14:paraId="45A59DBB" w14:textId="2F55295C">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24</w:t>
      </w:r>
      <w:r w:rsidRPr="008F5302">
        <w:fldChar w:fldCharType="end"/>
      </w:r>
      <w:bookmarkEnd w:id="21"/>
      <w:r w:rsidRPr="008F5302">
        <w:t>.  Le passage pertinent de l</w:t>
      </w:r>
      <w:r w:rsidRPr="008F5302" w:rsidR="008F5302">
        <w:t>’</w:t>
      </w:r>
      <w:r w:rsidRPr="008F5302">
        <w:t>Avis n</w:t>
      </w:r>
      <w:r w:rsidRPr="008F5302">
        <w:rPr>
          <w:vertAlign w:val="superscript"/>
        </w:rPr>
        <w:t>o</w:t>
      </w:r>
      <w:r w:rsidRPr="008F5302" w:rsidR="0054698D">
        <w:rPr>
          <w:vertAlign w:val="superscript"/>
        </w:rPr>
        <w:t xml:space="preserve"> </w:t>
      </w:r>
      <w:r w:rsidRPr="008F5302">
        <w:t>855/2016 sur la loi régissant le système judiciaire adopté à l</w:t>
      </w:r>
      <w:r w:rsidRPr="008F5302" w:rsidR="008F5302">
        <w:t>’</w:t>
      </w:r>
      <w:r w:rsidRPr="008F5302">
        <w:t>égard de la Bulgarie par la Commission de Venise lors de sa 112</w:t>
      </w:r>
      <w:r w:rsidRPr="008F5302">
        <w:rPr>
          <w:vertAlign w:val="superscript"/>
        </w:rPr>
        <w:t>e</w:t>
      </w:r>
      <w:r w:rsidRPr="008F5302" w:rsidR="0054698D">
        <w:t xml:space="preserve"> </w:t>
      </w:r>
      <w:r w:rsidRPr="008F5302">
        <w:t>séance plénière, tenue à Venise les 6 et 7 octobre 2017 (document CDL</w:t>
      </w:r>
      <w:r w:rsidRPr="008F5302">
        <w:noBreakHyphen/>
        <w:t>AD(2017)018), est ainsi libellé :</w:t>
      </w:r>
    </w:p>
    <w:p w:rsidRPr="008F5302" w:rsidR="00DC5B61" w:rsidP="008F5302" w14:paraId="7DA0DA88" w14:textId="419362CF">
      <w:pPr>
        <w:pStyle w:val="JuQuot"/>
      </w:pPr>
      <w:r w:rsidRPr="008F5302">
        <w:t>« (...) 40.  La Commission de Venise rappelle que la réforme des mécanismes de responsabilité liés au PG n</w:t>
      </w:r>
      <w:r w:rsidRPr="008F5302" w:rsidR="008F5302">
        <w:t>’</w:t>
      </w:r>
      <w:r w:rsidRPr="008F5302">
        <w:t>appelle pas un assouplissement symétrique des procédures liées à la révocation des deux juges en chef ou membres judiciaires du Conseil judiciaire suprême. Alors que les juges devraient être indépendants, ce concept n</w:t>
      </w:r>
      <w:r w:rsidRPr="008F5302" w:rsidR="008F5302">
        <w:t>’</w:t>
      </w:r>
      <w:r w:rsidRPr="008F5302">
        <w:t>est pas entièrement applicable aux procureurs ; il est plus juste de parler d</w:t>
      </w:r>
      <w:r w:rsidRPr="008F5302" w:rsidR="008F5302">
        <w:t>’</w:t>
      </w:r>
      <w:r w:rsidRPr="008F5302">
        <w:t>« autonomie » plutôt que d</w:t>
      </w:r>
      <w:r w:rsidRPr="008F5302" w:rsidR="008F5302">
        <w:t>’</w:t>
      </w:r>
      <w:r w:rsidRPr="008F5302">
        <w:t>« indépendance » à part entière du ministère public. Une certaine asymétrie des institutions et des procédures applicables aux deux branches de la justice est inévitable (...). »</w:t>
      </w:r>
    </w:p>
    <w:p w:rsidRPr="008F5302" w:rsidR="00DC5B61" w:rsidP="008F5302" w14:paraId="1EEC9E2D" w14:textId="1DC76393">
      <w:pPr>
        <w:pStyle w:val="JuHHead"/>
      </w:pPr>
      <w:r w:rsidRPr="008F5302">
        <w:t>EN DROIT</w:t>
      </w:r>
    </w:p>
    <w:p w:rsidRPr="008F5302" w:rsidR="00DC5B61" w:rsidP="008F5302" w14:paraId="767CE71B" w14:textId="644A6769">
      <w:pPr>
        <w:pStyle w:val="JuHIRoman"/>
      </w:pPr>
      <w:r w:rsidRPr="008F5302">
        <w:t>SUR LA VIOLATION ALLÉGUÉE DE L</w:t>
      </w:r>
      <w:r w:rsidRPr="008F5302" w:rsidR="008F5302">
        <w:t>’</w:t>
      </w:r>
      <w:r w:rsidRPr="008F5302">
        <w:t>ARTICLE</w:t>
      </w:r>
      <w:r w:rsidRPr="008F5302" w:rsidR="0054698D">
        <w:t xml:space="preserve"> </w:t>
      </w:r>
      <w:r w:rsidRPr="008F5302">
        <w:t>6 DE LA CONVENTION</w:t>
      </w:r>
    </w:p>
    <w:p w:rsidRPr="008F5302" w:rsidR="00DC5B61" w:rsidP="008F5302" w14:paraId="30BAF0F1" w14:textId="581144E9">
      <w:pPr>
        <w:pStyle w:val="JuPara"/>
      </w:pPr>
      <w:r w:rsidRPr="008F5302">
        <w:fldChar w:fldCharType="begin"/>
      </w:r>
      <w:r w:rsidRPr="008F5302">
        <w:instrText xml:space="preserve"> SEQ level0 \*arabic </w:instrText>
      </w:r>
      <w:r w:rsidRPr="008F5302">
        <w:fldChar w:fldCharType="separate"/>
      </w:r>
      <w:r w:rsidRPr="008F5302" w:rsidR="008F5302">
        <w:rPr>
          <w:noProof/>
        </w:rPr>
        <w:t>25</w:t>
      </w:r>
      <w:r w:rsidRPr="008F5302">
        <w:fldChar w:fldCharType="end"/>
      </w:r>
      <w:r w:rsidRPr="008F5302">
        <w:t>.  Le requérant se plaint de n</w:t>
      </w:r>
      <w:r w:rsidRPr="008F5302" w:rsidR="008F5302">
        <w:t>’</w:t>
      </w:r>
      <w:r w:rsidRPr="008F5302">
        <w:t>avoir pas eu accès à un tribunal pour contester sa suspension de fonctions. Il invoque l</w:t>
      </w:r>
      <w:r w:rsidRPr="008F5302" w:rsidR="008F5302">
        <w:t>’</w:t>
      </w:r>
      <w:r w:rsidRPr="008F5302">
        <w:t>article</w:t>
      </w:r>
      <w:r w:rsidRPr="008F5302" w:rsidR="00DF55DE">
        <w:t xml:space="preserve"> </w:t>
      </w:r>
      <w:r w:rsidRPr="008F5302">
        <w:t>6 §</w:t>
      </w:r>
      <w:r w:rsidRPr="008F5302" w:rsidR="00DF55DE">
        <w:t xml:space="preserve"> </w:t>
      </w:r>
      <w:r w:rsidRPr="008F5302">
        <w:t>1 de la Convention, qui est ainsi libellé en ses parties pertinentes en l</w:t>
      </w:r>
      <w:r w:rsidRPr="008F5302" w:rsidR="008F5302">
        <w:t>’</w:t>
      </w:r>
      <w:r w:rsidRPr="008F5302">
        <w:t>espèce :</w:t>
      </w:r>
    </w:p>
    <w:p w:rsidRPr="008F5302" w:rsidR="00DC5B61" w:rsidP="008F5302" w14:paraId="0EBA2A64" w14:textId="2FE19039">
      <w:pPr>
        <w:pStyle w:val="JuQuot"/>
      </w:pPr>
      <w:r w:rsidRPr="008F5302">
        <w:t>« Toute personne a droit à ce que sa cause soit entendue équitablement (...) par un tribunal (...), qui décidera (...) des contestations sur ses droits et obligations de caractère civil (...). »</w:t>
      </w:r>
    </w:p>
    <w:p w:rsidRPr="008F5302" w:rsidR="00DC5B61" w:rsidP="008F5302" w14:paraId="16F8F3D4" w14:textId="77777777">
      <w:pPr>
        <w:pStyle w:val="JuHA"/>
        <w:numPr>
          <w:ilvl w:val="2"/>
          <w:numId w:val="23"/>
        </w:numPr>
        <w:ind w:left="1224" w:hanging="504"/>
      </w:pPr>
      <w:r w:rsidRPr="008F5302">
        <w:t>Sur la recevabilité</w:t>
      </w:r>
    </w:p>
    <w:p w:rsidRPr="008F5302" w:rsidR="00DC5B61" w:rsidP="008F5302" w14:paraId="67AEDA04" w14:textId="77777777">
      <w:pPr>
        <w:pStyle w:val="JuH1"/>
      </w:pPr>
      <w:r w:rsidRPr="008F5302">
        <w:t>Les observations des parties</w:t>
      </w:r>
    </w:p>
    <w:bookmarkStart w:name="para25" w:id="22"/>
    <w:p w:rsidRPr="008F5302" w:rsidR="00DC5B61" w:rsidP="008F5302" w14:paraId="21947A66" w14:textId="60C720D2">
      <w:pPr>
        <w:pStyle w:val="JuPara"/>
      </w:pPr>
      <w:r w:rsidRPr="008F5302">
        <w:fldChar w:fldCharType="begin"/>
      </w:r>
      <w:r w:rsidRPr="008F5302">
        <w:instrText xml:space="preserve"> SEQ level0 \*arabic </w:instrText>
      </w:r>
      <w:r w:rsidRPr="008F5302">
        <w:fldChar w:fldCharType="separate"/>
      </w:r>
      <w:r w:rsidRPr="008F5302" w:rsidR="008F5302">
        <w:rPr>
          <w:noProof/>
        </w:rPr>
        <w:t>26</w:t>
      </w:r>
      <w:r w:rsidRPr="008F5302">
        <w:fldChar w:fldCharType="end"/>
      </w:r>
      <w:bookmarkEnd w:id="22"/>
      <w:r w:rsidRPr="008F5302">
        <w:t>.  Le Gouvernement soulève deux exceptions, l</w:t>
      </w:r>
      <w:r w:rsidRPr="008F5302" w:rsidR="008F5302">
        <w:t>’</w:t>
      </w:r>
      <w:r w:rsidRPr="008F5302">
        <w:t>une d</w:t>
      </w:r>
      <w:r w:rsidRPr="008F5302" w:rsidR="008F5302">
        <w:t>’</w:t>
      </w:r>
      <w:r w:rsidRPr="008F5302">
        <w:t>inapplicabilité de l</w:t>
      </w:r>
      <w:r w:rsidRPr="008F5302" w:rsidR="008F5302">
        <w:t>’</w:t>
      </w:r>
      <w:r w:rsidRPr="008F5302">
        <w:t>article 6 §</w:t>
      </w:r>
      <w:r w:rsidRPr="008F5302" w:rsidR="00DF55DE">
        <w:t xml:space="preserve"> </w:t>
      </w:r>
      <w:r w:rsidRPr="008F5302">
        <w:t>1 de la Convention et l</w:t>
      </w:r>
      <w:r w:rsidRPr="008F5302" w:rsidR="008F5302">
        <w:t>’</w:t>
      </w:r>
      <w:r w:rsidRPr="008F5302">
        <w:t>autre de non-épuisement des voies de recours internes. En ce qui concerne la première exception, le Gouvernement plaide que le requérant, en sa qualité de haut fonctionnaire, n</w:t>
      </w:r>
      <w:r w:rsidRPr="008F5302" w:rsidR="008F5302">
        <w:t>’</w:t>
      </w:r>
      <w:r w:rsidRPr="008F5302">
        <w:t>avait pas en l</w:t>
      </w:r>
      <w:r w:rsidRPr="008F5302" w:rsidR="008F5302">
        <w:t>’</w:t>
      </w:r>
      <w:r w:rsidRPr="008F5302">
        <w:t>espèce un droit civil au sens de l</w:t>
      </w:r>
      <w:r w:rsidRPr="008F5302" w:rsidR="008F5302">
        <w:t>’</w:t>
      </w:r>
      <w:r w:rsidRPr="008F5302">
        <w:t>article</w:t>
      </w:r>
      <w:r w:rsidRPr="008F5302" w:rsidR="00DF55DE">
        <w:t xml:space="preserve"> </w:t>
      </w:r>
      <w:r w:rsidRPr="008F5302">
        <w:t>6 §</w:t>
      </w:r>
      <w:r w:rsidRPr="008F5302" w:rsidR="00DF55DE">
        <w:t xml:space="preserve"> </w:t>
      </w:r>
      <w:r w:rsidRPr="008F5302">
        <w:t>1. En effet, la suspension de fonctions du requérant s</w:t>
      </w:r>
      <w:r w:rsidRPr="008F5302" w:rsidR="008F5302">
        <w:t>’</w:t>
      </w:r>
      <w:r w:rsidRPr="008F5302">
        <w:t xml:space="preserve">appliquait </w:t>
      </w:r>
      <w:r w:rsidRPr="008F5302">
        <w:rPr>
          <w:i/>
          <w:iCs/>
        </w:rPr>
        <w:t xml:space="preserve">ope </w:t>
      </w:r>
      <w:r w:rsidRPr="008F5302">
        <w:rPr>
          <w:i/>
          <w:iCs/>
        </w:rPr>
        <w:t>legis</w:t>
      </w:r>
      <w:r w:rsidRPr="008F5302">
        <w:rPr>
          <w:i/>
          <w:iCs/>
        </w:rPr>
        <w:t xml:space="preserve"> </w:t>
      </w:r>
      <w:r w:rsidRPr="008F5302">
        <w:t>au moment de l</w:t>
      </w:r>
      <w:r w:rsidRPr="008F5302" w:rsidR="008F5302">
        <w:t>’</w:t>
      </w:r>
      <w:r w:rsidRPr="008F5302">
        <w:t>engagement de poursuites contre lui, et le droit interne ne prévoyait pas que cette mesure pût être contestée (paragraphe</w:t>
      </w:r>
      <w:r w:rsidRPr="008F5302" w:rsidR="00880589">
        <w:t xml:space="preserve"> </w:t>
      </w:r>
      <w:r w:rsidRPr="008F5302">
        <w:fldChar w:fldCharType="begin"/>
      </w:r>
      <w:r w:rsidRPr="008F5302">
        <w:instrText xml:space="preserve"> REF para17 \h </w:instrText>
      </w:r>
      <w:r w:rsidRPr="008F5302">
        <w:fldChar w:fldCharType="separate"/>
      </w:r>
      <w:r w:rsidRPr="008F5302" w:rsidR="008F5302">
        <w:rPr>
          <w:noProof/>
        </w:rPr>
        <w:t>18</w:t>
      </w:r>
      <w:r w:rsidRPr="008F5302">
        <w:fldChar w:fldCharType="end"/>
      </w:r>
      <w:r w:rsidRPr="008F5302">
        <w:t xml:space="preserve"> ci-dessus). Selon le Gouvernement, de telles dispositions se justifiaient dans un cas comme celui du requérant – haut fonctionnaire disposant de compétences étendues en matière de supervision des poursuites pénales – par la nécessité de garantir l</w:t>
      </w:r>
      <w:r w:rsidRPr="008F5302" w:rsidR="008F5302">
        <w:t>’</w:t>
      </w:r>
      <w:r w:rsidRPr="008F5302">
        <w:t>autonomie du procureur désigné par le CSP aux fins de mener les poursuites qui visaient l</w:t>
      </w:r>
      <w:r w:rsidRPr="008F5302" w:rsidR="008F5302">
        <w:t>’</w:t>
      </w:r>
      <w:r w:rsidRPr="008F5302">
        <w:t>intéressé. Quant à la seconde exception, le Gouvernement explique que s</w:t>
      </w:r>
      <w:r w:rsidRPr="008F5302" w:rsidR="008F5302">
        <w:t>’</w:t>
      </w:r>
      <w:r w:rsidRPr="008F5302">
        <w:t>agissant d</w:t>
      </w:r>
      <w:r w:rsidRPr="008F5302" w:rsidR="008F5302">
        <w:t>’</w:t>
      </w:r>
      <w:r w:rsidRPr="008F5302">
        <w:t>une procédure pénale, le requérant devait, pour contester la décision litigieuse, non pas exercer comme il l</w:t>
      </w:r>
      <w:r w:rsidRPr="008F5302" w:rsidR="008F5302">
        <w:t>’</w:t>
      </w:r>
      <w:r w:rsidRPr="008F5302">
        <w:t xml:space="preserve">a fait un recours administratif, mais se conformer aux dispositions pertinentes du code de procédure pénale (« CPP ») (paragraphe </w:t>
      </w:r>
      <w:r w:rsidRPr="008F5302">
        <w:fldChar w:fldCharType="begin"/>
      </w:r>
      <w:r w:rsidRPr="008F5302">
        <w:instrText xml:space="preserve"> REF para20 \h  \* CharFormat  \* MERGEFORMAT </w:instrText>
      </w:r>
      <w:r w:rsidRPr="008F5302">
        <w:fldChar w:fldCharType="separate"/>
      </w:r>
      <w:r w:rsidRPr="008F5302" w:rsidR="008F5302">
        <w:t>21</w:t>
      </w:r>
      <w:r w:rsidRPr="008F5302">
        <w:fldChar w:fldCharType="end"/>
      </w:r>
      <w:r w:rsidRPr="008F5302">
        <w:t xml:space="preserve"> ci-dessus).</w:t>
      </w:r>
    </w:p>
    <w:bookmarkStart w:name="para26" w:id="23"/>
    <w:p w:rsidRPr="008F5302" w:rsidR="00DC5B61" w:rsidP="008F5302" w14:paraId="1F8A0FDD" w14:textId="389B94FC">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27</w:t>
      </w:r>
      <w:r w:rsidRPr="008F5302">
        <w:fldChar w:fldCharType="end"/>
      </w:r>
      <w:bookmarkEnd w:id="23"/>
      <w:r w:rsidRPr="008F5302">
        <w:t>.  Le requérant conteste l</w:t>
      </w:r>
      <w:r w:rsidRPr="008F5302" w:rsidR="008F5302">
        <w:t>’</w:t>
      </w:r>
      <w:r w:rsidRPr="008F5302">
        <w:t>une et l</w:t>
      </w:r>
      <w:r w:rsidRPr="008F5302" w:rsidR="008F5302">
        <w:t>’</w:t>
      </w:r>
      <w:r w:rsidRPr="008F5302">
        <w:t xml:space="preserve">autre exceptions. Quant à la compatibilité </w:t>
      </w:r>
      <w:r w:rsidRPr="008F5302">
        <w:rPr>
          <w:i/>
          <w:iCs/>
        </w:rPr>
        <w:t>ratione</w:t>
      </w:r>
      <w:r w:rsidRPr="008F5302">
        <w:rPr>
          <w:i/>
          <w:iCs/>
        </w:rPr>
        <w:t xml:space="preserve"> materiae</w:t>
      </w:r>
      <w:r w:rsidRPr="008F5302">
        <w:t xml:space="preserve"> de l</w:t>
      </w:r>
      <w:r w:rsidRPr="008F5302" w:rsidR="008F5302">
        <w:t>’</w:t>
      </w:r>
      <w:r w:rsidRPr="008F5302">
        <w:t>article</w:t>
      </w:r>
      <w:r w:rsidRPr="008F5302" w:rsidR="00DC7727">
        <w:t xml:space="preserve"> </w:t>
      </w:r>
      <w:r w:rsidRPr="008F5302">
        <w:t>6 §</w:t>
      </w:r>
      <w:r w:rsidRPr="008F5302" w:rsidR="00DC7727">
        <w:t xml:space="preserve"> </w:t>
      </w:r>
      <w:r w:rsidRPr="008F5302">
        <w:t xml:space="preserve">1 de la Convention, il appelle la Cour à faire application de la jurisprudence </w:t>
      </w:r>
      <w:r w:rsidRPr="008F5302">
        <w:rPr>
          <w:i/>
        </w:rPr>
        <w:t>Kövesi</w:t>
      </w:r>
      <w:r w:rsidRPr="008F5302">
        <w:rPr>
          <w:i/>
        </w:rPr>
        <w:t xml:space="preserve"> c. Roumanie</w:t>
      </w:r>
      <w:r w:rsidRPr="008F5302">
        <w:t xml:space="preserve"> (n</w:t>
      </w:r>
      <w:r w:rsidRPr="008F5302">
        <w:rPr>
          <w:vertAlign w:val="superscript"/>
        </w:rPr>
        <w:t>o</w:t>
      </w:r>
      <w:r w:rsidRPr="008F5302">
        <w:t> 3594/19, §§</w:t>
      </w:r>
      <w:r w:rsidRPr="008F5302" w:rsidR="00DC7727">
        <w:t xml:space="preserve"> </w:t>
      </w:r>
      <w:r w:rsidRPr="008F5302">
        <w:t>154-158, 5</w:t>
      </w:r>
      <w:r w:rsidRPr="008F5302" w:rsidR="00DC7727">
        <w:t xml:space="preserve"> </w:t>
      </w:r>
      <w:r w:rsidRPr="008F5302">
        <w:t>mai 2020), affaire dans laquelle la Cour a conclu, dans le cas d</w:t>
      </w:r>
      <w:r w:rsidRPr="008F5302" w:rsidR="008F5302">
        <w:t>’</w:t>
      </w:r>
      <w:r w:rsidRPr="008F5302">
        <w:t>une procureure générale dont le mandat avait été interrompu avant son terme, que le défaut d</w:t>
      </w:r>
      <w:r w:rsidRPr="008F5302" w:rsidR="008F5302">
        <w:t>’</w:t>
      </w:r>
      <w:r w:rsidRPr="008F5302">
        <w:t>accès à un tribunal emportait violation dans le chef de l</w:t>
      </w:r>
      <w:r w:rsidRPr="008F5302" w:rsidR="008F5302">
        <w:t>’</w:t>
      </w:r>
      <w:r w:rsidRPr="008F5302">
        <w:t>intéressée des droits garantis par l</w:t>
      </w:r>
      <w:r w:rsidRPr="008F5302" w:rsidR="008F5302">
        <w:t>’</w:t>
      </w:r>
      <w:r w:rsidRPr="008F5302">
        <w:t>article</w:t>
      </w:r>
      <w:r w:rsidRPr="008F5302" w:rsidR="00DC7727">
        <w:t xml:space="preserve"> </w:t>
      </w:r>
      <w:r w:rsidRPr="008F5302">
        <w:t>6 §</w:t>
      </w:r>
      <w:r w:rsidRPr="008F5302" w:rsidR="00DC7727">
        <w:t xml:space="preserve"> </w:t>
      </w:r>
      <w:r w:rsidRPr="008F5302">
        <w:t>1. En ce qui concerne l</w:t>
      </w:r>
      <w:r w:rsidRPr="008F5302" w:rsidR="008F5302">
        <w:t>’</w:t>
      </w:r>
      <w:r w:rsidRPr="008F5302">
        <w:t>épuisement des voies de recours internes, il soutient qu</w:t>
      </w:r>
      <w:r w:rsidRPr="008F5302" w:rsidR="008F5302">
        <w:t>’</w:t>
      </w:r>
      <w:r w:rsidRPr="008F5302">
        <w:t>il a exercé le recours indiqué par le CSP dans sa décision du 5</w:t>
      </w:r>
      <w:r w:rsidRPr="008F5302" w:rsidR="00DC7727">
        <w:t xml:space="preserve"> </w:t>
      </w:r>
      <w:r w:rsidRPr="008F5302">
        <w:t>octobre 2021 et que la voie suggérée par le Gouvernement ne constituait pas un recours effectif.</w:t>
      </w:r>
    </w:p>
    <w:p w:rsidRPr="008F5302" w:rsidR="00DC5B61" w:rsidP="008F5302" w14:paraId="2E9250D7" w14:textId="3A5B5D56">
      <w:pPr>
        <w:pStyle w:val="JuH1"/>
      </w:pPr>
      <w:r w:rsidRPr="008F5302">
        <w:t>Sur l</w:t>
      </w:r>
      <w:r w:rsidRPr="008F5302" w:rsidR="008F5302">
        <w:t>’</w:t>
      </w:r>
      <w:r w:rsidRPr="008F5302">
        <w:t>applicabilité de l</w:t>
      </w:r>
      <w:r w:rsidRPr="008F5302" w:rsidR="008F5302">
        <w:t>’</w:t>
      </w:r>
      <w:r w:rsidRPr="008F5302">
        <w:t>article 6</w:t>
      </w:r>
    </w:p>
    <w:p w:rsidRPr="008F5302" w:rsidR="00DC5B61" w:rsidP="008F5302" w14:paraId="3E342731" w14:textId="5A0F72AC">
      <w:pPr>
        <w:pStyle w:val="JuHa0"/>
      </w:pPr>
      <w:r w:rsidRPr="008F5302">
        <w:t>Principes pertinents relatifs à l</w:t>
      </w:r>
      <w:r w:rsidRPr="008F5302" w:rsidR="008F5302">
        <w:t>’</w:t>
      </w:r>
      <w:r w:rsidRPr="008F5302">
        <w:t>applicabilité du volet civil de l</w:t>
      </w:r>
      <w:r w:rsidRPr="008F5302" w:rsidR="008F5302">
        <w:t>’</w:t>
      </w:r>
      <w:r w:rsidRPr="008F5302">
        <w:t>article 6 § 1</w:t>
      </w:r>
    </w:p>
    <w:bookmarkStart w:name="para28" w:id="24"/>
    <w:p w:rsidRPr="008F5302" w:rsidR="00DC5B61" w:rsidP="008F5302" w14:paraId="71D04988" w14:textId="30EB69F1">
      <w:pPr>
        <w:pStyle w:val="JuPara"/>
        <w:rPr>
          <w:rFonts w:cstheme="minorHAnsi"/>
        </w:rPr>
      </w:pPr>
      <w:r w:rsidRPr="008F5302">
        <w:fldChar w:fldCharType="begin"/>
      </w:r>
      <w:r w:rsidRPr="008F5302">
        <w:instrText xml:space="preserve"> SEQ level0 \*arabic \* MERGEFORMAT </w:instrText>
      </w:r>
      <w:r w:rsidRPr="008F5302">
        <w:fldChar w:fldCharType="separate"/>
      </w:r>
      <w:r w:rsidRPr="008F5302" w:rsidR="008F5302">
        <w:rPr>
          <w:noProof/>
        </w:rPr>
        <w:t>28</w:t>
      </w:r>
      <w:r w:rsidRPr="008F5302">
        <w:fldChar w:fldCharType="end"/>
      </w:r>
      <w:bookmarkEnd w:id="24"/>
      <w:r w:rsidRPr="008F5302">
        <w:t>.  </w:t>
      </w:r>
      <w:r w:rsidRPr="008F5302">
        <w:rPr>
          <w:rFonts w:cstheme="minorHAnsi"/>
        </w:rPr>
        <w:t>La Cour renvoie aux principes pertinents en matière d</w:t>
      </w:r>
      <w:r w:rsidRPr="008F5302" w:rsidR="008F5302">
        <w:rPr>
          <w:rFonts w:cstheme="minorHAnsi"/>
        </w:rPr>
        <w:t>’</w:t>
      </w:r>
      <w:r w:rsidRPr="008F5302">
        <w:rPr>
          <w:rFonts w:cstheme="minorHAnsi"/>
        </w:rPr>
        <w:t>applicabilité du volet civil de l</w:t>
      </w:r>
      <w:r w:rsidRPr="008F5302" w:rsidR="008F5302">
        <w:rPr>
          <w:rFonts w:cstheme="minorHAnsi"/>
        </w:rPr>
        <w:t>’</w:t>
      </w:r>
      <w:r w:rsidRPr="008F5302">
        <w:rPr>
          <w:rFonts w:cstheme="minorHAnsi"/>
        </w:rPr>
        <w:t>article</w:t>
      </w:r>
      <w:r w:rsidRPr="008F5302" w:rsidR="0079425F">
        <w:rPr>
          <w:rFonts w:cstheme="minorHAnsi"/>
        </w:rPr>
        <w:t xml:space="preserve"> </w:t>
      </w:r>
      <w:r w:rsidRPr="008F5302">
        <w:rPr>
          <w:rFonts w:cstheme="minorHAnsi"/>
        </w:rPr>
        <w:t>6 §</w:t>
      </w:r>
      <w:r w:rsidRPr="008F5302" w:rsidR="0079425F">
        <w:rPr>
          <w:rFonts w:cstheme="minorHAnsi"/>
        </w:rPr>
        <w:t xml:space="preserve"> </w:t>
      </w:r>
      <w:r w:rsidRPr="008F5302">
        <w:rPr>
          <w:rFonts w:cstheme="minorHAnsi"/>
        </w:rPr>
        <w:t>1 tels que résumés dans les affaires</w:t>
      </w:r>
      <w:r w:rsidRPr="008F5302">
        <w:rPr>
          <w:rFonts w:cstheme="minorHAnsi"/>
          <w:i/>
        </w:rPr>
        <w:t xml:space="preserve"> </w:t>
      </w:r>
      <w:r w:rsidRPr="008F5302">
        <w:rPr>
          <w:i/>
        </w:rPr>
        <w:t>Grzęda</w:t>
      </w:r>
      <w:r w:rsidRPr="008F5302">
        <w:rPr>
          <w:i/>
        </w:rPr>
        <w:t xml:space="preserve"> c. Pologne</w:t>
      </w:r>
      <w:r w:rsidRPr="008F5302">
        <w:rPr>
          <w:iCs/>
        </w:rPr>
        <w:t xml:space="preserve"> ([GC], </w:t>
      </w:r>
      <w:r w:rsidRPr="008F5302">
        <w:t>n</w:t>
      </w:r>
      <w:r w:rsidRPr="008F5302">
        <w:rPr>
          <w:vertAlign w:val="superscript"/>
        </w:rPr>
        <w:t>o</w:t>
      </w:r>
      <w:r w:rsidRPr="008F5302" w:rsidR="0079425F">
        <w:rPr>
          <w:iCs/>
        </w:rPr>
        <w:t xml:space="preserve"> </w:t>
      </w:r>
      <w:r w:rsidRPr="008F5302">
        <w:rPr>
          <w:iCs/>
        </w:rPr>
        <w:t>43572/18, §§</w:t>
      </w:r>
      <w:r w:rsidRPr="008F5302" w:rsidR="0079425F">
        <w:rPr>
          <w:iCs/>
        </w:rPr>
        <w:t xml:space="preserve"> </w:t>
      </w:r>
      <w:r w:rsidRPr="008F5302">
        <w:rPr>
          <w:iCs/>
        </w:rPr>
        <w:t>257-264, 15</w:t>
      </w:r>
      <w:r w:rsidRPr="008F5302" w:rsidR="0079425F">
        <w:rPr>
          <w:iCs/>
        </w:rPr>
        <w:t xml:space="preserve"> </w:t>
      </w:r>
      <w:r w:rsidRPr="008F5302">
        <w:rPr>
          <w:iCs/>
        </w:rPr>
        <w:t xml:space="preserve">mars 2022) et </w:t>
      </w:r>
      <w:r w:rsidRPr="008F5302">
        <w:rPr>
          <w:i/>
          <w:iCs/>
        </w:rPr>
        <w:t>Eminağaoğlu</w:t>
      </w:r>
      <w:r w:rsidRPr="008F5302">
        <w:rPr>
          <w:i/>
          <w:iCs/>
        </w:rPr>
        <w:t xml:space="preserve"> c. Turquie</w:t>
      </w:r>
      <w:r w:rsidRPr="008F5302">
        <w:rPr>
          <w:iCs/>
        </w:rPr>
        <w:t xml:space="preserve"> (n</w:t>
      </w:r>
      <w:r w:rsidRPr="008F5302">
        <w:rPr>
          <w:iCs/>
          <w:vertAlign w:val="superscript"/>
        </w:rPr>
        <w:t>o</w:t>
      </w:r>
      <w:r w:rsidRPr="008F5302" w:rsidR="0079425F">
        <w:rPr>
          <w:iCs/>
        </w:rPr>
        <w:t xml:space="preserve"> </w:t>
      </w:r>
      <w:r w:rsidRPr="008F5302">
        <w:rPr>
          <w:iCs/>
        </w:rPr>
        <w:t>76521/12, §§ 59-63, 9</w:t>
      </w:r>
      <w:r w:rsidRPr="008F5302" w:rsidR="0079425F">
        <w:rPr>
          <w:iCs/>
        </w:rPr>
        <w:t xml:space="preserve"> </w:t>
      </w:r>
      <w:r w:rsidRPr="008F5302">
        <w:rPr>
          <w:iCs/>
        </w:rPr>
        <w:t>mars 2021)</w:t>
      </w:r>
      <w:r w:rsidRPr="008F5302">
        <w:rPr>
          <w:rFonts w:cstheme="minorHAnsi"/>
          <w:iCs/>
        </w:rPr>
        <w:t>.</w:t>
      </w:r>
      <w:r w:rsidRPr="008F5302">
        <w:rPr>
          <w:rFonts w:cstheme="minorHAnsi"/>
        </w:rPr>
        <w:t xml:space="preserve"> Elle rappelle également avoir déjà conclu à l</w:t>
      </w:r>
      <w:r w:rsidRPr="008F5302" w:rsidR="008F5302">
        <w:rPr>
          <w:rFonts w:cstheme="minorHAnsi"/>
        </w:rPr>
        <w:t>’</w:t>
      </w:r>
      <w:r w:rsidRPr="008F5302">
        <w:rPr>
          <w:rFonts w:cstheme="minorHAnsi"/>
        </w:rPr>
        <w:t>applicabilité de l</w:t>
      </w:r>
      <w:r w:rsidRPr="008F5302" w:rsidR="008F5302">
        <w:rPr>
          <w:rFonts w:cstheme="minorHAnsi"/>
        </w:rPr>
        <w:t>’</w:t>
      </w:r>
      <w:r w:rsidRPr="008F5302">
        <w:rPr>
          <w:rFonts w:cstheme="minorHAnsi"/>
        </w:rPr>
        <w:t>article</w:t>
      </w:r>
      <w:r w:rsidRPr="008F5302" w:rsidR="0079425F">
        <w:rPr>
          <w:rFonts w:cstheme="minorHAnsi"/>
        </w:rPr>
        <w:t xml:space="preserve"> </w:t>
      </w:r>
      <w:r w:rsidRPr="008F5302">
        <w:rPr>
          <w:rFonts w:cstheme="minorHAnsi"/>
        </w:rPr>
        <w:t>6 §</w:t>
      </w:r>
      <w:r w:rsidRPr="008F5302" w:rsidR="0079425F">
        <w:rPr>
          <w:rFonts w:cstheme="minorHAnsi"/>
        </w:rPr>
        <w:t xml:space="preserve"> </w:t>
      </w:r>
      <w:r w:rsidRPr="008F5302">
        <w:rPr>
          <w:rFonts w:cstheme="minorHAnsi"/>
        </w:rPr>
        <w:t>1 de la Convention sous son volet civil dans des affaires portant sur des mesures temporaires de suspension de fonctions prises à l</w:t>
      </w:r>
      <w:r w:rsidRPr="008F5302" w:rsidR="008F5302">
        <w:rPr>
          <w:rFonts w:cstheme="minorHAnsi"/>
        </w:rPr>
        <w:t>’</w:t>
      </w:r>
      <w:r w:rsidRPr="008F5302">
        <w:rPr>
          <w:rFonts w:cstheme="minorHAnsi"/>
        </w:rPr>
        <w:t xml:space="preserve">égard de magistrats dans le cadre de procédures disciplinaires dirigées contre eux (voir, </w:t>
      </w:r>
      <w:r w:rsidRPr="008F5302">
        <w:rPr>
          <w:rFonts w:cstheme="minorHAnsi"/>
          <w:i/>
          <w:iCs/>
        </w:rPr>
        <w:t>mutatis mutandis</w:t>
      </w:r>
      <w:r w:rsidRPr="008F5302">
        <w:rPr>
          <w:rFonts w:cstheme="minorHAnsi"/>
        </w:rPr>
        <w:t xml:space="preserve">, </w:t>
      </w:r>
      <w:r w:rsidRPr="008F5302">
        <w:rPr>
          <w:rFonts w:cstheme="minorHAnsi"/>
          <w:i/>
          <w:iCs/>
        </w:rPr>
        <w:t>Paluda</w:t>
      </w:r>
      <w:r w:rsidRPr="008F5302">
        <w:rPr>
          <w:rFonts w:cstheme="minorHAnsi"/>
          <w:i/>
          <w:iCs/>
        </w:rPr>
        <w:t xml:space="preserve"> c. Slovaquie</w:t>
      </w:r>
      <w:r w:rsidRPr="008F5302">
        <w:rPr>
          <w:rFonts w:cstheme="minorHAnsi"/>
        </w:rPr>
        <w:t>, n</w:t>
      </w:r>
      <w:r w:rsidRPr="008F5302">
        <w:rPr>
          <w:rFonts w:cstheme="minorHAnsi"/>
          <w:vertAlign w:val="superscript"/>
        </w:rPr>
        <w:t>o</w:t>
      </w:r>
      <w:r w:rsidRPr="008F5302" w:rsidR="0079425F">
        <w:rPr>
          <w:rFonts w:cstheme="minorHAnsi"/>
        </w:rPr>
        <w:t xml:space="preserve"> </w:t>
      </w:r>
      <w:r w:rsidRPr="008F5302">
        <w:rPr>
          <w:rFonts w:cstheme="minorHAnsi"/>
        </w:rPr>
        <w:t>33392/12, §§</w:t>
      </w:r>
      <w:r w:rsidRPr="008F5302" w:rsidR="0079425F">
        <w:rPr>
          <w:rFonts w:cstheme="minorHAnsi"/>
        </w:rPr>
        <w:t xml:space="preserve"> </w:t>
      </w:r>
      <w:r w:rsidRPr="008F5302">
        <w:rPr>
          <w:rFonts w:cstheme="minorHAnsi"/>
        </w:rPr>
        <w:t>29-35, 23</w:t>
      </w:r>
      <w:r w:rsidRPr="008F5302" w:rsidR="0079425F">
        <w:rPr>
          <w:rFonts w:cstheme="minorHAnsi"/>
        </w:rPr>
        <w:t xml:space="preserve"> </w:t>
      </w:r>
      <w:r w:rsidRPr="008F5302">
        <w:rPr>
          <w:rFonts w:cstheme="minorHAnsi"/>
        </w:rPr>
        <w:t xml:space="preserve">mai 2017, </w:t>
      </w:r>
      <w:r w:rsidRPr="008F5302">
        <w:rPr>
          <w:rFonts w:cstheme="minorHAnsi"/>
          <w:i/>
        </w:rPr>
        <w:t>Camelia</w:t>
      </w:r>
      <w:r w:rsidRPr="008F5302">
        <w:rPr>
          <w:rFonts w:cstheme="minorHAnsi"/>
          <w:i/>
        </w:rPr>
        <w:t xml:space="preserve"> Bogdan c. Roumanie</w:t>
      </w:r>
      <w:r w:rsidRPr="008F5302">
        <w:rPr>
          <w:rFonts w:cstheme="minorHAnsi"/>
        </w:rPr>
        <w:t>, n</w:t>
      </w:r>
      <w:r w:rsidRPr="008F5302">
        <w:rPr>
          <w:rFonts w:cstheme="minorHAnsi"/>
          <w:vertAlign w:val="superscript"/>
        </w:rPr>
        <w:t>o</w:t>
      </w:r>
      <w:r w:rsidRPr="008F5302" w:rsidR="0079425F">
        <w:rPr>
          <w:rFonts w:cstheme="minorHAnsi"/>
        </w:rPr>
        <w:t xml:space="preserve"> </w:t>
      </w:r>
      <w:r w:rsidRPr="008F5302">
        <w:rPr>
          <w:rFonts w:cstheme="minorHAnsi"/>
        </w:rPr>
        <w:t>36889/18, §</w:t>
      </w:r>
      <w:r w:rsidRPr="008F5302" w:rsidR="0079425F">
        <w:rPr>
          <w:rFonts w:cstheme="minorHAnsi"/>
        </w:rPr>
        <w:t xml:space="preserve"> </w:t>
      </w:r>
      <w:r w:rsidRPr="008F5302">
        <w:rPr>
          <w:rFonts w:cstheme="minorHAnsi"/>
        </w:rPr>
        <w:t>70, 20</w:t>
      </w:r>
      <w:r w:rsidRPr="008F5302" w:rsidR="0079425F">
        <w:rPr>
          <w:rFonts w:cstheme="minorHAnsi"/>
        </w:rPr>
        <w:t xml:space="preserve"> </w:t>
      </w:r>
      <w:r w:rsidRPr="008F5302">
        <w:rPr>
          <w:rFonts w:cstheme="minorHAnsi"/>
        </w:rPr>
        <w:t xml:space="preserve">octobre 2020 et </w:t>
      </w:r>
      <w:r w:rsidRPr="008F5302">
        <w:rPr>
          <w:rFonts w:cstheme="minorHAnsi"/>
          <w:i/>
          <w:iCs/>
        </w:rPr>
        <w:t>Juszczyszyn</w:t>
      </w:r>
      <w:r w:rsidRPr="008F5302">
        <w:rPr>
          <w:rFonts w:cstheme="minorHAnsi"/>
          <w:i/>
          <w:iCs/>
        </w:rPr>
        <w:t xml:space="preserve"> c. Pologne</w:t>
      </w:r>
      <w:r w:rsidRPr="008F5302">
        <w:rPr>
          <w:rFonts w:cstheme="minorHAnsi"/>
        </w:rPr>
        <w:t>, n</w:t>
      </w:r>
      <w:r w:rsidRPr="008F5302">
        <w:rPr>
          <w:rFonts w:cstheme="minorHAnsi"/>
          <w:vertAlign w:val="superscript"/>
        </w:rPr>
        <w:t>o</w:t>
      </w:r>
      <w:r w:rsidRPr="008F5302">
        <w:rPr>
          <w:rFonts w:cstheme="minorHAnsi"/>
        </w:rPr>
        <w:t> 35599/20, §§</w:t>
      </w:r>
      <w:r w:rsidRPr="008F5302" w:rsidR="0079425F">
        <w:rPr>
          <w:rFonts w:cstheme="minorHAnsi"/>
        </w:rPr>
        <w:t xml:space="preserve"> </w:t>
      </w:r>
      <w:r w:rsidRPr="008F5302">
        <w:rPr>
          <w:rFonts w:cstheme="minorHAnsi"/>
        </w:rPr>
        <w:t>134-137, 6</w:t>
      </w:r>
      <w:r w:rsidRPr="008F5302" w:rsidR="0079425F">
        <w:rPr>
          <w:rFonts w:cstheme="minorHAnsi"/>
        </w:rPr>
        <w:t xml:space="preserve"> </w:t>
      </w:r>
      <w:r w:rsidRPr="008F5302">
        <w:rPr>
          <w:rFonts w:cstheme="minorHAnsi"/>
        </w:rPr>
        <w:t>octobre 2022).</w:t>
      </w:r>
    </w:p>
    <w:p w:rsidRPr="008F5302" w:rsidR="00DC5B61" w:rsidP="008F5302" w14:paraId="5EA1D23A" w14:textId="4AC212D5">
      <w:pPr>
        <w:pStyle w:val="JuHa0"/>
      </w:pPr>
      <w:bookmarkStart w:name="_Toc125624291" w:id="25"/>
      <w:r w:rsidRPr="008F5302">
        <w:t>Application de ces principes au cas d</w:t>
      </w:r>
      <w:r w:rsidRPr="008F5302" w:rsidR="008F5302">
        <w:t>’</w:t>
      </w:r>
      <w:r w:rsidRPr="008F5302">
        <w:t>espèce</w:t>
      </w:r>
      <w:bookmarkEnd w:id="25"/>
    </w:p>
    <w:p w:rsidRPr="008F5302" w:rsidR="00DC5B61" w:rsidP="008F5302" w14:paraId="010AE399" w14:textId="356C1A59">
      <w:pPr>
        <w:pStyle w:val="JuPara"/>
        <w:rPr>
          <w:rFonts w:cstheme="minorHAnsi"/>
        </w:rPr>
      </w:pPr>
      <w:r w:rsidRPr="008F5302">
        <w:rPr>
          <w:rFonts w:cstheme="minorHAnsi"/>
        </w:rPr>
        <w:fldChar w:fldCharType="begin"/>
      </w:r>
      <w:r w:rsidRPr="008F5302">
        <w:rPr>
          <w:rFonts w:cstheme="minorHAnsi"/>
        </w:rPr>
        <w:instrText xml:space="preserve"> SEQ level0 \*arabic \* MERGEFORMAT </w:instrText>
      </w:r>
      <w:r w:rsidRPr="008F5302">
        <w:rPr>
          <w:rFonts w:cstheme="minorHAnsi"/>
        </w:rPr>
        <w:fldChar w:fldCharType="separate"/>
      </w:r>
      <w:r w:rsidRPr="008F5302" w:rsidR="008F5302">
        <w:rPr>
          <w:rFonts w:cstheme="minorHAnsi"/>
          <w:noProof/>
        </w:rPr>
        <w:t>29</w:t>
      </w:r>
      <w:r w:rsidRPr="008F5302">
        <w:rPr>
          <w:rFonts w:cstheme="minorHAnsi"/>
        </w:rPr>
        <w:fldChar w:fldCharType="end"/>
      </w:r>
      <w:r w:rsidRPr="008F5302">
        <w:rPr>
          <w:rFonts w:cstheme="minorHAnsi"/>
        </w:rPr>
        <w:t>.  La Cour note d</w:t>
      </w:r>
      <w:r w:rsidRPr="008F5302" w:rsidR="008F5302">
        <w:rPr>
          <w:rFonts w:cstheme="minorHAnsi"/>
        </w:rPr>
        <w:t>’</w:t>
      </w:r>
      <w:r w:rsidRPr="008F5302">
        <w:rPr>
          <w:rFonts w:cstheme="minorHAnsi"/>
        </w:rPr>
        <w:t>emblée que conformément aux dispositions pertinentes de la Constitution, le requérant avait été investi en 2019 par le CSP d</w:t>
      </w:r>
      <w:r w:rsidRPr="008F5302" w:rsidR="008F5302">
        <w:rPr>
          <w:rFonts w:cstheme="minorHAnsi"/>
        </w:rPr>
        <w:t>’</w:t>
      </w:r>
      <w:r w:rsidRPr="008F5302">
        <w:rPr>
          <w:rFonts w:cstheme="minorHAnsi"/>
        </w:rPr>
        <w:t>un mandat de sept ans (paragraphes</w:t>
      </w:r>
      <w:r w:rsidRPr="008F5302" w:rsidR="00880589">
        <w:rPr>
          <w:rFonts w:cstheme="minorHAnsi"/>
        </w:rPr>
        <w:t xml:space="preserve"> </w:t>
      </w:r>
      <w:r w:rsidRPr="008F5302">
        <w:rPr>
          <w:rFonts w:cstheme="minorHAnsi"/>
        </w:rPr>
        <w:fldChar w:fldCharType="begin"/>
      </w:r>
      <w:r w:rsidRPr="008F5302">
        <w:rPr>
          <w:rFonts w:cstheme="minorHAnsi"/>
        </w:rPr>
        <w:instrText xml:space="preserve"> REF para4 \h </w:instrText>
      </w:r>
      <w:r w:rsidRPr="008F5302">
        <w:rPr>
          <w:rFonts w:cstheme="minorHAnsi"/>
        </w:rPr>
        <w:fldChar w:fldCharType="separate"/>
      </w:r>
      <w:r w:rsidRPr="008F5302" w:rsidR="008F5302">
        <w:rPr>
          <w:noProof/>
        </w:rPr>
        <w:t>4</w:t>
      </w:r>
      <w:r w:rsidRPr="008F5302">
        <w:rPr>
          <w:rFonts w:cstheme="minorHAnsi"/>
        </w:rPr>
        <w:fldChar w:fldCharType="end"/>
      </w:r>
      <w:r w:rsidRPr="008F5302">
        <w:rPr>
          <w:rFonts w:cstheme="minorHAnsi"/>
        </w:rPr>
        <w:t xml:space="preserve"> et </w:t>
      </w:r>
      <w:r w:rsidRPr="008F5302">
        <w:rPr>
          <w:rFonts w:cstheme="minorHAnsi"/>
        </w:rPr>
        <w:fldChar w:fldCharType="begin"/>
      </w:r>
      <w:r w:rsidRPr="008F5302">
        <w:rPr>
          <w:rFonts w:cstheme="minorHAnsi"/>
        </w:rPr>
        <w:instrText xml:space="preserve"> REF para14 \h </w:instrText>
      </w:r>
      <w:r w:rsidRPr="008F5302">
        <w:rPr>
          <w:rFonts w:cstheme="minorHAnsi"/>
        </w:rPr>
        <w:fldChar w:fldCharType="separate"/>
      </w:r>
      <w:r w:rsidRPr="008F5302" w:rsidR="008F5302">
        <w:rPr>
          <w:noProof/>
        </w:rPr>
        <w:t>15</w:t>
      </w:r>
      <w:r w:rsidRPr="008F5302">
        <w:rPr>
          <w:rFonts w:cstheme="minorHAnsi"/>
        </w:rPr>
        <w:fldChar w:fldCharType="end"/>
      </w:r>
      <w:r w:rsidRPr="008F5302">
        <w:rPr>
          <w:rFonts w:cstheme="minorHAnsi"/>
        </w:rPr>
        <w:t xml:space="preserve"> ci-dessus). La législation nationale en vigueur à la date de sa nomination prévoyait clairement la durée de ses fonctions et énonçait de manière exhaustive les motifs précis pour lesquels il pouvait y être mis fin. Ce n</w:t>
      </w:r>
      <w:r w:rsidRPr="008F5302" w:rsidR="008F5302">
        <w:rPr>
          <w:rFonts w:cstheme="minorHAnsi"/>
        </w:rPr>
        <w:t>’</w:t>
      </w:r>
      <w:r w:rsidRPr="008F5302">
        <w:rPr>
          <w:rFonts w:cstheme="minorHAnsi"/>
        </w:rPr>
        <w:t>est qu</w:t>
      </w:r>
      <w:r w:rsidRPr="008F5302" w:rsidR="008F5302">
        <w:rPr>
          <w:rFonts w:cstheme="minorHAnsi"/>
        </w:rPr>
        <w:t>’</w:t>
      </w:r>
      <w:r w:rsidRPr="008F5302">
        <w:rPr>
          <w:rFonts w:cstheme="minorHAnsi"/>
        </w:rPr>
        <w:t>en août 2021, c</w:t>
      </w:r>
      <w:r w:rsidRPr="008F5302" w:rsidR="008F5302">
        <w:rPr>
          <w:rFonts w:cstheme="minorHAnsi"/>
        </w:rPr>
        <w:t>’</w:t>
      </w:r>
      <w:r w:rsidRPr="008F5302">
        <w:rPr>
          <w:rFonts w:cstheme="minorHAnsi"/>
        </w:rPr>
        <w:t>est-à-dire après l</w:t>
      </w:r>
      <w:r w:rsidRPr="008F5302" w:rsidR="008F5302">
        <w:rPr>
          <w:rFonts w:cstheme="minorHAnsi"/>
        </w:rPr>
        <w:t>’</w:t>
      </w:r>
      <w:r w:rsidRPr="008F5302">
        <w:rPr>
          <w:rFonts w:cstheme="minorHAnsi"/>
        </w:rPr>
        <w:t>installation du requérant dans les fonctions de procureur général, qu</w:t>
      </w:r>
      <w:r w:rsidRPr="008F5302" w:rsidR="008F5302">
        <w:rPr>
          <w:rFonts w:cstheme="minorHAnsi"/>
        </w:rPr>
        <w:t>’</w:t>
      </w:r>
      <w:r w:rsidRPr="008F5302">
        <w:rPr>
          <w:rFonts w:cstheme="minorHAnsi"/>
        </w:rPr>
        <w:t>une modification législative a introduit la règle de la suspension de droit des fonctions du procureur général au moment de l</w:t>
      </w:r>
      <w:r w:rsidRPr="008F5302" w:rsidR="008F5302">
        <w:rPr>
          <w:rFonts w:cstheme="minorHAnsi"/>
        </w:rPr>
        <w:t>’</w:t>
      </w:r>
      <w:r w:rsidRPr="008F5302">
        <w:rPr>
          <w:rFonts w:cstheme="minorHAnsi"/>
        </w:rPr>
        <w:t>engagement contre lui de poursuites pénales (paragraphe</w:t>
      </w:r>
      <w:r w:rsidRPr="008F5302" w:rsidR="00880589">
        <w:rPr>
          <w:rFonts w:cstheme="minorHAnsi"/>
        </w:rPr>
        <w:t xml:space="preserve"> </w:t>
      </w:r>
      <w:r w:rsidRPr="008F5302">
        <w:rPr>
          <w:rFonts w:cstheme="minorHAnsi"/>
        </w:rPr>
        <w:fldChar w:fldCharType="begin"/>
      </w:r>
      <w:r w:rsidRPr="008F5302">
        <w:rPr>
          <w:rFonts w:cstheme="minorHAnsi"/>
        </w:rPr>
        <w:instrText xml:space="preserve"> REF para17 \h  \* MERGEFORMAT </w:instrText>
      </w:r>
      <w:r w:rsidRPr="008F5302">
        <w:rPr>
          <w:rFonts w:cstheme="minorHAnsi"/>
        </w:rPr>
        <w:fldChar w:fldCharType="separate"/>
      </w:r>
      <w:r w:rsidRPr="008F5302" w:rsidR="008F5302">
        <w:rPr>
          <w:rFonts w:cstheme="minorHAnsi"/>
        </w:rPr>
        <w:t>18</w:t>
      </w:r>
      <w:r w:rsidRPr="008F5302">
        <w:rPr>
          <w:rFonts w:cstheme="minorHAnsi"/>
        </w:rPr>
        <w:fldChar w:fldCharType="end"/>
      </w:r>
      <w:r w:rsidRPr="008F5302">
        <w:rPr>
          <w:rFonts w:cstheme="minorHAnsi"/>
        </w:rPr>
        <w:t xml:space="preserve"> ci-dessus). Cette nouvelle législation ayant annulé les anciennes règles, c</w:t>
      </w:r>
      <w:r w:rsidRPr="008F5302" w:rsidR="008F5302">
        <w:rPr>
          <w:rFonts w:cstheme="minorHAnsi"/>
        </w:rPr>
        <w:t>’</w:t>
      </w:r>
      <w:r w:rsidRPr="008F5302">
        <w:rPr>
          <w:rFonts w:cstheme="minorHAnsi"/>
        </w:rPr>
        <w:t>est elle qui constitue l</w:t>
      </w:r>
      <w:r w:rsidRPr="008F5302" w:rsidR="008F5302">
        <w:rPr>
          <w:rFonts w:cstheme="minorHAnsi"/>
        </w:rPr>
        <w:t>’</w:t>
      </w:r>
      <w:r w:rsidRPr="008F5302">
        <w:rPr>
          <w:rFonts w:cstheme="minorHAnsi"/>
        </w:rPr>
        <w:t>objet même du litige auquel il s</w:t>
      </w:r>
      <w:r w:rsidRPr="008F5302" w:rsidR="008F5302">
        <w:rPr>
          <w:rFonts w:cstheme="minorHAnsi"/>
        </w:rPr>
        <w:t>’</w:t>
      </w:r>
      <w:r w:rsidRPr="008F5302">
        <w:rPr>
          <w:rFonts w:cstheme="minorHAnsi"/>
        </w:rPr>
        <w:t>agit de savoir si les garanties d</w:t>
      </w:r>
      <w:r w:rsidRPr="008F5302" w:rsidR="008F5302">
        <w:rPr>
          <w:rFonts w:cstheme="minorHAnsi"/>
        </w:rPr>
        <w:t>’</w:t>
      </w:r>
      <w:r w:rsidRPr="008F5302">
        <w:rPr>
          <w:rFonts w:cstheme="minorHAnsi"/>
        </w:rPr>
        <w:t>équité de la procédure découlant de l</w:t>
      </w:r>
      <w:r w:rsidRPr="008F5302" w:rsidR="008F5302">
        <w:rPr>
          <w:rFonts w:cstheme="minorHAnsi"/>
        </w:rPr>
        <w:t>’</w:t>
      </w:r>
      <w:r w:rsidRPr="008F5302">
        <w:rPr>
          <w:rFonts w:cstheme="minorHAnsi"/>
        </w:rPr>
        <w:t>article</w:t>
      </w:r>
      <w:r w:rsidRPr="008F5302" w:rsidR="003E1122">
        <w:rPr>
          <w:rFonts w:cstheme="minorHAnsi"/>
        </w:rPr>
        <w:t xml:space="preserve"> </w:t>
      </w:r>
      <w:r w:rsidRPr="008F5302">
        <w:rPr>
          <w:rFonts w:cstheme="minorHAnsi"/>
        </w:rPr>
        <w:t>6 §</w:t>
      </w:r>
      <w:r w:rsidRPr="008F5302" w:rsidR="003E1122">
        <w:rPr>
          <w:rFonts w:cstheme="minorHAnsi"/>
        </w:rPr>
        <w:t xml:space="preserve"> </w:t>
      </w:r>
      <w:r w:rsidRPr="008F5302">
        <w:rPr>
          <w:rFonts w:cstheme="minorHAnsi"/>
        </w:rPr>
        <w:t>1 devaient s</w:t>
      </w:r>
      <w:r w:rsidRPr="008F5302" w:rsidR="008F5302">
        <w:rPr>
          <w:rFonts w:cstheme="minorHAnsi"/>
        </w:rPr>
        <w:t>’</w:t>
      </w:r>
      <w:r w:rsidRPr="008F5302">
        <w:rPr>
          <w:rFonts w:cstheme="minorHAnsi"/>
        </w:rPr>
        <w:t>appliquer. Dans les circonstances de la présente affaire, on ne peut donc pas trancher sur la base de la nouvelle législation la question de savoir s</w:t>
      </w:r>
      <w:r w:rsidRPr="008F5302" w:rsidR="008F5302">
        <w:rPr>
          <w:rFonts w:cstheme="minorHAnsi"/>
        </w:rPr>
        <w:t>’</w:t>
      </w:r>
      <w:r w:rsidRPr="008F5302">
        <w:rPr>
          <w:rFonts w:cstheme="minorHAnsi"/>
        </w:rPr>
        <w:t>il existait un droit en droit interne. Il résulte de ces considérations qu</w:t>
      </w:r>
      <w:r w:rsidRPr="008F5302" w:rsidR="008F5302">
        <w:rPr>
          <w:rFonts w:cstheme="minorHAnsi"/>
        </w:rPr>
        <w:t>’</w:t>
      </w:r>
      <w:r w:rsidRPr="008F5302">
        <w:rPr>
          <w:rFonts w:cstheme="minorHAnsi"/>
        </w:rPr>
        <w:t>il y avait de la part du requérant une contestation réelle et sérieuse sur un « droit » qu</w:t>
      </w:r>
      <w:r w:rsidRPr="008F5302" w:rsidR="008F5302">
        <w:rPr>
          <w:rFonts w:cstheme="minorHAnsi"/>
        </w:rPr>
        <w:t>’</w:t>
      </w:r>
      <w:r w:rsidRPr="008F5302">
        <w:rPr>
          <w:rFonts w:cstheme="minorHAnsi"/>
        </w:rPr>
        <w:t xml:space="preserve">il pouvait prétendre, de manière défendable, </w:t>
      </w:r>
      <w:r w:rsidRPr="008F5302">
        <w:rPr>
          <w:rFonts w:cstheme="minorHAnsi"/>
        </w:rPr>
        <w:t xml:space="preserve">reconnu en droit interne (voir, </w:t>
      </w:r>
      <w:r w:rsidRPr="008F5302">
        <w:rPr>
          <w:rFonts w:cstheme="minorHAnsi"/>
          <w:i/>
          <w:iCs/>
        </w:rPr>
        <w:t>mutatis mutandis</w:t>
      </w:r>
      <w:r w:rsidRPr="008F5302">
        <w:rPr>
          <w:rFonts w:cstheme="minorHAnsi"/>
        </w:rPr>
        <w:t xml:space="preserve">, </w:t>
      </w:r>
      <w:r w:rsidRPr="008F5302">
        <w:rPr>
          <w:rFonts w:cstheme="minorHAnsi"/>
          <w:i/>
        </w:rPr>
        <w:t>Grzęda</w:t>
      </w:r>
      <w:r w:rsidRPr="008F5302">
        <w:rPr>
          <w:rFonts w:cstheme="minorHAnsi"/>
        </w:rPr>
        <w:t xml:space="preserve">, précité, § 285-286 et </w:t>
      </w:r>
      <w:r w:rsidRPr="008F5302">
        <w:rPr>
          <w:rFonts w:cstheme="minorHAnsi"/>
          <w:i/>
          <w:iCs/>
        </w:rPr>
        <w:t>Baka</w:t>
      </w:r>
      <w:r w:rsidRPr="008F5302">
        <w:rPr>
          <w:rFonts w:cstheme="minorHAnsi"/>
          <w:b/>
          <w:i/>
        </w:rPr>
        <w:t xml:space="preserve"> </w:t>
      </w:r>
      <w:r w:rsidRPr="008F5302">
        <w:rPr>
          <w:rFonts w:cstheme="minorHAnsi"/>
          <w:bCs/>
          <w:i/>
          <w:iCs/>
        </w:rPr>
        <w:t>c.</w:t>
      </w:r>
      <w:r w:rsidRPr="008F5302" w:rsidR="003E1122">
        <w:rPr>
          <w:rFonts w:cstheme="minorHAnsi"/>
          <w:bCs/>
          <w:i/>
          <w:iCs/>
        </w:rPr>
        <w:t xml:space="preserve"> </w:t>
      </w:r>
      <w:r w:rsidRPr="008F5302">
        <w:rPr>
          <w:rFonts w:cstheme="minorHAnsi"/>
          <w:bCs/>
          <w:i/>
          <w:iCs/>
        </w:rPr>
        <w:t xml:space="preserve">Hongrie </w:t>
      </w:r>
      <w:r w:rsidRPr="008F5302">
        <w:rPr>
          <w:rFonts w:cstheme="minorHAnsi"/>
          <w:bCs/>
        </w:rPr>
        <w:t>([GC], n</w:t>
      </w:r>
      <w:r w:rsidRPr="008F5302">
        <w:rPr>
          <w:rFonts w:cstheme="minorHAnsi"/>
          <w:bCs/>
          <w:vertAlign w:val="superscript"/>
        </w:rPr>
        <w:t>o</w:t>
      </w:r>
      <w:r w:rsidRPr="008F5302" w:rsidR="003E1122">
        <w:rPr>
          <w:rFonts w:cstheme="minorHAnsi"/>
          <w:bCs/>
        </w:rPr>
        <w:t xml:space="preserve"> </w:t>
      </w:r>
      <w:r w:rsidRPr="008F5302">
        <w:rPr>
          <w:rFonts w:cstheme="minorHAnsi"/>
          <w:bCs/>
        </w:rPr>
        <w:t>20261/12, §</w:t>
      </w:r>
      <w:r w:rsidRPr="008F5302" w:rsidR="003E1122">
        <w:rPr>
          <w:rFonts w:cstheme="minorHAnsi"/>
          <w:bCs/>
        </w:rPr>
        <w:t xml:space="preserve"> </w:t>
      </w:r>
      <w:r w:rsidRPr="008F5302">
        <w:rPr>
          <w:rFonts w:cstheme="minorHAnsi"/>
          <w:bCs/>
        </w:rPr>
        <w:t>111, 23</w:t>
      </w:r>
      <w:r w:rsidRPr="008F5302" w:rsidR="003E1122">
        <w:rPr>
          <w:rFonts w:cstheme="minorHAnsi"/>
          <w:bCs/>
        </w:rPr>
        <w:t xml:space="preserve"> </w:t>
      </w:r>
      <w:r w:rsidRPr="008F5302">
        <w:rPr>
          <w:rFonts w:cstheme="minorHAnsi"/>
          <w:bCs/>
        </w:rPr>
        <w:t>juin 2016)</w:t>
      </w:r>
      <w:r w:rsidRPr="008F5302">
        <w:rPr>
          <w:rFonts w:cstheme="minorHAnsi"/>
        </w:rPr>
        <w:t xml:space="preserve">, pour les situations de cessation de mandats de juge, et </w:t>
      </w:r>
      <w:r w:rsidRPr="008F5302" w:rsidR="00947878">
        <w:rPr>
          <w:rFonts w:cstheme="minorHAnsi"/>
          <w:bCs/>
          <w:i/>
          <w:iCs/>
        </w:rPr>
        <w:t>Kövesi</w:t>
      </w:r>
      <w:r w:rsidRPr="008F5302">
        <w:rPr>
          <w:rFonts w:cstheme="minorHAnsi"/>
        </w:rPr>
        <w:t>, précité, §§ 111</w:t>
      </w:r>
      <w:r w:rsidRPr="008F5302">
        <w:rPr>
          <w:rFonts w:cstheme="minorHAnsi"/>
        </w:rPr>
        <w:noBreakHyphen/>
        <w:t>116, pour la cessation du mandat de procureur général</w:t>
      </w:r>
      <w:r w:rsidRPr="008F5302" w:rsidR="006E1CF1">
        <w:rPr>
          <w:rFonts w:cstheme="minorHAnsi"/>
        </w:rPr>
        <w:t>)</w:t>
      </w:r>
      <w:r w:rsidRPr="008F5302">
        <w:rPr>
          <w:rFonts w:cstheme="minorHAnsi"/>
        </w:rPr>
        <w:t>.</w:t>
      </w:r>
    </w:p>
    <w:p w:rsidRPr="008F5302" w:rsidR="00DC5B61" w:rsidP="008F5302" w14:paraId="19CA26F9" w14:textId="7D3B91AB">
      <w:pPr>
        <w:pStyle w:val="JuPara"/>
        <w:rPr>
          <w:rFonts w:cstheme="minorHAnsi"/>
        </w:rPr>
      </w:pPr>
      <w:r w:rsidRPr="008F5302">
        <w:rPr>
          <w:rFonts w:cstheme="minorHAnsi"/>
        </w:rPr>
        <w:fldChar w:fldCharType="begin"/>
      </w:r>
      <w:r w:rsidRPr="008F5302">
        <w:rPr>
          <w:rFonts w:cstheme="minorHAnsi"/>
        </w:rPr>
        <w:instrText xml:space="preserve"> SEQ level0 \*arabic \* MERGEFORMAT </w:instrText>
      </w:r>
      <w:r w:rsidRPr="008F5302">
        <w:rPr>
          <w:rFonts w:cstheme="minorHAnsi"/>
        </w:rPr>
        <w:fldChar w:fldCharType="separate"/>
      </w:r>
      <w:r w:rsidRPr="008F5302" w:rsidR="008F5302">
        <w:rPr>
          <w:rFonts w:cstheme="minorHAnsi"/>
          <w:noProof/>
        </w:rPr>
        <w:t>30</w:t>
      </w:r>
      <w:r w:rsidRPr="008F5302">
        <w:rPr>
          <w:rFonts w:cstheme="minorHAnsi"/>
        </w:rPr>
        <w:fldChar w:fldCharType="end"/>
      </w:r>
      <w:r w:rsidRPr="008F5302">
        <w:rPr>
          <w:rFonts w:cstheme="minorHAnsi"/>
        </w:rPr>
        <w:t>.  S</w:t>
      </w:r>
      <w:r w:rsidRPr="008F5302" w:rsidR="008F5302">
        <w:rPr>
          <w:rFonts w:cstheme="minorHAnsi"/>
        </w:rPr>
        <w:t>’</w:t>
      </w:r>
      <w:r w:rsidRPr="008F5302">
        <w:rPr>
          <w:rFonts w:cstheme="minorHAnsi"/>
        </w:rPr>
        <w:t>agissant ensuite de la question de savoir si</w:t>
      </w:r>
      <w:r w:rsidRPr="008F5302" w:rsidR="006B2802">
        <w:rPr>
          <w:rFonts w:cstheme="minorHAnsi"/>
        </w:rPr>
        <w:t xml:space="preserve"> </w:t>
      </w:r>
      <w:r w:rsidRPr="008F5302">
        <w:rPr>
          <w:rFonts w:cstheme="minorHAnsi"/>
        </w:rPr>
        <w:t>le droit revendiqué par le requérant revêt un caractère « civil » au sens autonome de l</w:t>
      </w:r>
      <w:r w:rsidRPr="008F5302" w:rsidR="008F5302">
        <w:rPr>
          <w:rFonts w:cstheme="minorHAnsi"/>
        </w:rPr>
        <w:t>’</w:t>
      </w:r>
      <w:r w:rsidRPr="008F5302">
        <w:rPr>
          <w:rFonts w:cstheme="minorHAnsi"/>
        </w:rPr>
        <w:t>article</w:t>
      </w:r>
      <w:r w:rsidRPr="008F5302" w:rsidR="006B2802">
        <w:rPr>
          <w:rFonts w:cstheme="minorHAnsi"/>
        </w:rPr>
        <w:t xml:space="preserve"> </w:t>
      </w:r>
      <w:r w:rsidRPr="008F5302">
        <w:rPr>
          <w:rFonts w:cstheme="minorHAnsi"/>
        </w:rPr>
        <w:t>6 §</w:t>
      </w:r>
      <w:r w:rsidRPr="008F5302" w:rsidR="006B2802">
        <w:rPr>
          <w:rFonts w:cstheme="minorHAnsi"/>
        </w:rPr>
        <w:t xml:space="preserve"> </w:t>
      </w:r>
      <w:r w:rsidRPr="008F5302">
        <w:rPr>
          <w:rFonts w:cstheme="minorHAnsi"/>
        </w:rPr>
        <w:t xml:space="preserve">1 de la Convention, la Cour est disposée à admettre que la première des conditions </w:t>
      </w:r>
      <w:r w:rsidRPr="008F5302">
        <w:rPr>
          <w:rFonts w:cstheme="minorHAnsi"/>
          <w:i/>
          <w:iCs/>
        </w:rPr>
        <w:t>Eskelinen</w:t>
      </w:r>
      <w:r w:rsidRPr="008F5302">
        <w:rPr>
          <w:rFonts w:cstheme="minorHAnsi"/>
        </w:rPr>
        <w:t xml:space="preserve"> (</w:t>
      </w:r>
      <w:r w:rsidRPr="008F5302">
        <w:rPr>
          <w:rFonts w:cstheme="minorHAnsi"/>
          <w:i/>
        </w:rPr>
        <w:t>Vilho</w:t>
      </w:r>
      <w:r w:rsidRPr="008F5302">
        <w:rPr>
          <w:rFonts w:cstheme="minorHAnsi"/>
          <w:i/>
        </w:rPr>
        <w:t xml:space="preserve"> Eskelinen et autres c.</w:t>
      </w:r>
      <w:r w:rsidRPr="008F5302" w:rsidR="006B2802">
        <w:rPr>
          <w:rFonts w:cstheme="minorHAnsi"/>
          <w:i/>
        </w:rPr>
        <w:t xml:space="preserve"> </w:t>
      </w:r>
      <w:r w:rsidRPr="008F5302">
        <w:rPr>
          <w:rFonts w:cstheme="minorHAnsi"/>
          <w:i/>
        </w:rPr>
        <w:t>Finlande</w:t>
      </w:r>
      <w:r w:rsidRPr="008F5302">
        <w:rPr>
          <w:rFonts w:cstheme="minorHAnsi"/>
        </w:rPr>
        <w:t>, [GC], n</w:t>
      </w:r>
      <w:r w:rsidRPr="008F5302">
        <w:rPr>
          <w:rFonts w:cstheme="minorHAnsi"/>
          <w:vertAlign w:val="superscript"/>
        </w:rPr>
        <w:t>o</w:t>
      </w:r>
      <w:r w:rsidRPr="008F5302" w:rsidR="006B2802">
        <w:rPr>
          <w:rFonts w:cstheme="minorHAnsi"/>
        </w:rPr>
        <w:t xml:space="preserve"> </w:t>
      </w:r>
      <w:r w:rsidRPr="008F5302">
        <w:rPr>
          <w:rFonts w:cstheme="minorHAnsi"/>
        </w:rPr>
        <w:t>63235/00, § 62, CEDH 2007</w:t>
      </w:r>
      <w:r w:rsidRPr="008F5302">
        <w:rPr>
          <w:rFonts w:cstheme="minorHAnsi"/>
        </w:rPr>
        <w:noBreakHyphen/>
        <w:t>II, paragraphe</w:t>
      </w:r>
      <w:r w:rsidRPr="008F5302" w:rsidR="00DC68DA">
        <w:rPr>
          <w:rFonts w:cstheme="minorHAnsi"/>
        </w:rPr>
        <w:t xml:space="preserve"> </w:t>
      </w:r>
      <w:r w:rsidRPr="008F5302">
        <w:rPr>
          <w:rFonts w:cstheme="minorHAnsi"/>
        </w:rPr>
        <w:fldChar w:fldCharType="begin"/>
      </w:r>
      <w:r w:rsidRPr="008F5302">
        <w:rPr>
          <w:rFonts w:cstheme="minorHAnsi"/>
        </w:rPr>
        <w:instrText xml:space="preserve"> REF para36 \h  \* CharFormat </w:instrText>
      </w:r>
      <w:r w:rsidRPr="008F5302">
        <w:rPr>
          <w:rFonts w:cstheme="minorHAnsi"/>
        </w:rPr>
        <w:fldChar w:fldCharType="separate"/>
      </w:r>
      <w:r w:rsidRPr="008F5302" w:rsidR="008F5302">
        <w:rPr>
          <w:rFonts w:cstheme="minorHAnsi"/>
        </w:rPr>
        <w:t>50</w:t>
      </w:r>
      <w:r w:rsidRPr="008F5302">
        <w:rPr>
          <w:rFonts w:cstheme="minorHAnsi"/>
        </w:rPr>
        <w:fldChar w:fldCharType="end"/>
      </w:r>
      <w:r w:rsidRPr="008F5302">
        <w:rPr>
          <w:rFonts w:cstheme="minorHAnsi"/>
        </w:rPr>
        <w:t xml:space="preserve"> ci-dess</w:t>
      </w:r>
      <w:r w:rsidRPr="008F5302" w:rsidR="00483CE2">
        <w:rPr>
          <w:rFonts w:cstheme="minorHAnsi"/>
        </w:rPr>
        <w:t>o</w:t>
      </w:r>
      <w:r w:rsidRPr="008F5302">
        <w:rPr>
          <w:rFonts w:cstheme="minorHAnsi"/>
        </w:rPr>
        <w:t>us) peut être considérée comme satisfaite lorsque, même en l</w:t>
      </w:r>
      <w:r w:rsidRPr="008F5302" w:rsidR="008F5302">
        <w:rPr>
          <w:rFonts w:cstheme="minorHAnsi"/>
        </w:rPr>
        <w:t>’</w:t>
      </w:r>
      <w:r w:rsidRPr="008F5302">
        <w:rPr>
          <w:rFonts w:cstheme="minorHAnsi"/>
        </w:rPr>
        <w:t>absence d</w:t>
      </w:r>
      <w:r w:rsidRPr="008F5302" w:rsidR="008F5302">
        <w:rPr>
          <w:rFonts w:cstheme="minorHAnsi"/>
        </w:rPr>
        <w:t>’</w:t>
      </w:r>
      <w:r w:rsidRPr="008F5302">
        <w:rPr>
          <w:rFonts w:cstheme="minorHAnsi"/>
        </w:rPr>
        <w:t>une disposition expresse à cette fin, il a été démontré sans ambiguïté que le droit interne exclut l</w:t>
      </w:r>
      <w:r w:rsidRPr="008F5302" w:rsidR="008F5302">
        <w:rPr>
          <w:rFonts w:cstheme="minorHAnsi"/>
        </w:rPr>
        <w:t>’</w:t>
      </w:r>
      <w:r w:rsidRPr="008F5302">
        <w:rPr>
          <w:rFonts w:cstheme="minorHAnsi"/>
        </w:rPr>
        <w:t>accès à un tribunal pour le type de contestation concerné.</w:t>
      </w:r>
      <w:r w:rsidRPr="008F5302" w:rsidR="00076F6D">
        <w:rPr>
          <w:rFonts w:cstheme="minorHAnsi"/>
        </w:rPr>
        <w:t xml:space="preserve"> </w:t>
      </w:r>
      <w:r w:rsidRPr="008F5302">
        <w:rPr>
          <w:rFonts w:cstheme="minorHAnsi"/>
        </w:rPr>
        <w:t>Elle considère donc d</w:t>
      </w:r>
      <w:r w:rsidRPr="008F5302" w:rsidR="008F5302">
        <w:rPr>
          <w:rFonts w:cstheme="minorHAnsi"/>
        </w:rPr>
        <w:t>’</w:t>
      </w:r>
      <w:r w:rsidRPr="008F5302">
        <w:rPr>
          <w:rFonts w:cstheme="minorHAnsi"/>
        </w:rPr>
        <w:t>abord que cette condition est remplie lorsque le droit interne renferme une exclusion explicite du droit d</w:t>
      </w:r>
      <w:r w:rsidRPr="008F5302" w:rsidR="008F5302">
        <w:rPr>
          <w:rFonts w:cstheme="minorHAnsi"/>
        </w:rPr>
        <w:t>’</w:t>
      </w:r>
      <w:r w:rsidRPr="008F5302">
        <w:rPr>
          <w:rFonts w:cstheme="minorHAnsi"/>
        </w:rPr>
        <w:t>accès à un tribunal, ensuite qu</w:t>
      </w:r>
      <w:r w:rsidRPr="008F5302" w:rsidR="008F5302">
        <w:rPr>
          <w:rFonts w:cstheme="minorHAnsi"/>
        </w:rPr>
        <w:t>’</w:t>
      </w:r>
      <w:r w:rsidRPr="008F5302">
        <w:rPr>
          <w:rFonts w:cstheme="minorHAnsi"/>
        </w:rPr>
        <w:t>elle peut aussi l</w:t>
      </w:r>
      <w:r w:rsidRPr="008F5302" w:rsidR="008F5302">
        <w:rPr>
          <w:rFonts w:cstheme="minorHAnsi"/>
        </w:rPr>
        <w:t>’</w:t>
      </w:r>
      <w:r w:rsidRPr="008F5302">
        <w:rPr>
          <w:rFonts w:cstheme="minorHAnsi"/>
        </w:rPr>
        <w:t>être lorsque l</w:t>
      </w:r>
      <w:r w:rsidRPr="008F5302" w:rsidR="008F5302">
        <w:rPr>
          <w:rFonts w:cstheme="minorHAnsi"/>
        </w:rPr>
        <w:t>’</w:t>
      </w:r>
      <w:r w:rsidRPr="008F5302">
        <w:rPr>
          <w:rFonts w:cstheme="minorHAnsi"/>
        </w:rPr>
        <w:t>exclusion en question est de nature implicite, en particulier lorsqu</w:t>
      </w:r>
      <w:r w:rsidRPr="008F5302" w:rsidR="008F5302">
        <w:rPr>
          <w:rFonts w:cstheme="minorHAnsi"/>
        </w:rPr>
        <w:t>’</w:t>
      </w:r>
      <w:r w:rsidRPr="008F5302">
        <w:rPr>
          <w:rFonts w:cstheme="minorHAnsi"/>
        </w:rPr>
        <w:t>elle découle d</w:t>
      </w:r>
      <w:r w:rsidRPr="008F5302" w:rsidR="008F5302">
        <w:rPr>
          <w:rFonts w:cstheme="minorHAnsi"/>
        </w:rPr>
        <w:t>’</w:t>
      </w:r>
      <w:r w:rsidRPr="008F5302">
        <w:rPr>
          <w:rFonts w:cstheme="minorHAnsi"/>
        </w:rPr>
        <w:t>une interprétation systémique du cadre juridique applicable ou du corpus législatif dans sa globalité (</w:t>
      </w:r>
      <w:r w:rsidRPr="008F5302">
        <w:rPr>
          <w:rFonts w:cstheme="minorHAnsi"/>
          <w:i/>
        </w:rPr>
        <w:t>Grzęda</w:t>
      </w:r>
      <w:r w:rsidRPr="008F5302">
        <w:rPr>
          <w:rFonts w:cstheme="minorHAnsi"/>
        </w:rPr>
        <w:t>, §</w:t>
      </w:r>
      <w:r w:rsidRPr="008F5302" w:rsidR="00076F6D">
        <w:rPr>
          <w:rFonts w:cstheme="minorHAnsi"/>
        </w:rPr>
        <w:t xml:space="preserve"> </w:t>
      </w:r>
      <w:r w:rsidRPr="008F5302">
        <w:rPr>
          <w:rFonts w:cstheme="minorHAnsi"/>
        </w:rPr>
        <w:t>292).</w:t>
      </w:r>
    </w:p>
    <w:p w:rsidRPr="008F5302" w:rsidR="00DC5B61" w:rsidP="008F5302" w14:paraId="7B45CF62" w14:textId="01A1EC34">
      <w:pPr>
        <w:pStyle w:val="JuPara"/>
        <w:rPr>
          <w:rFonts w:cstheme="minorHAnsi"/>
        </w:rPr>
      </w:pPr>
      <w:r w:rsidRPr="008F5302">
        <w:rPr>
          <w:rFonts w:cstheme="minorHAnsi"/>
        </w:rPr>
        <w:fldChar w:fldCharType="begin"/>
      </w:r>
      <w:r w:rsidRPr="008F5302">
        <w:rPr>
          <w:rFonts w:cstheme="minorHAnsi"/>
        </w:rPr>
        <w:instrText xml:space="preserve"> SEQ level0 \*arabic \* MERGEFORMAT </w:instrText>
      </w:r>
      <w:r w:rsidRPr="008F5302">
        <w:rPr>
          <w:rFonts w:cstheme="minorHAnsi"/>
        </w:rPr>
        <w:fldChar w:fldCharType="separate"/>
      </w:r>
      <w:r w:rsidRPr="008F5302" w:rsidR="008F5302">
        <w:rPr>
          <w:rFonts w:cstheme="minorHAnsi"/>
          <w:noProof/>
        </w:rPr>
        <w:t>31</w:t>
      </w:r>
      <w:r w:rsidRPr="008F5302">
        <w:rPr>
          <w:rFonts w:cstheme="minorHAnsi"/>
        </w:rPr>
        <w:fldChar w:fldCharType="end"/>
      </w:r>
      <w:r w:rsidRPr="008F5302">
        <w:rPr>
          <w:rFonts w:cstheme="minorHAnsi"/>
        </w:rPr>
        <w:t>.  Le Gouvernement, de son côté, soutient que le système juridique interne excluait tout recours contre la suspension de fonctions et explique que le requérant devait emprunter la voie pénale pour contester la décision prise par le procureur V.F. d</w:t>
      </w:r>
      <w:r w:rsidRPr="008F5302" w:rsidR="008F5302">
        <w:rPr>
          <w:rFonts w:cstheme="minorHAnsi"/>
        </w:rPr>
        <w:t>’</w:t>
      </w:r>
      <w:r w:rsidRPr="008F5302">
        <w:rPr>
          <w:rFonts w:cstheme="minorHAnsi"/>
        </w:rPr>
        <w:t>engager des poursuites contre lui (paragraphes </w:t>
      </w:r>
      <w:r w:rsidRPr="008F5302">
        <w:rPr>
          <w:rFonts w:cstheme="minorHAnsi"/>
        </w:rPr>
        <w:fldChar w:fldCharType="begin"/>
      </w:r>
      <w:r w:rsidRPr="008F5302">
        <w:rPr>
          <w:rFonts w:cstheme="minorHAnsi"/>
        </w:rPr>
        <w:instrText xml:space="preserve"> REF para33 \h </w:instrText>
      </w:r>
      <w:r w:rsidRPr="008F5302">
        <w:rPr>
          <w:rFonts w:cstheme="minorHAnsi"/>
        </w:rPr>
        <w:fldChar w:fldCharType="separate"/>
      </w:r>
      <w:r w:rsidRPr="008F5302" w:rsidR="008F5302">
        <w:rPr>
          <w:noProof/>
        </w:rPr>
        <w:t>47</w:t>
      </w:r>
      <w:r w:rsidRPr="008F5302">
        <w:rPr>
          <w:rFonts w:cstheme="minorHAnsi"/>
        </w:rPr>
        <w:fldChar w:fldCharType="end"/>
      </w:r>
      <w:r w:rsidRPr="008F5302">
        <w:rPr>
          <w:rFonts w:cstheme="minorHAnsi"/>
        </w:rPr>
        <w:t>-</w:t>
      </w:r>
      <w:r w:rsidRPr="008F5302">
        <w:rPr>
          <w:rFonts w:cstheme="minorHAnsi"/>
        </w:rPr>
        <w:fldChar w:fldCharType="begin"/>
      </w:r>
      <w:r w:rsidRPr="008F5302">
        <w:rPr>
          <w:rFonts w:cstheme="minorHAnsi"/>
        </w:rPr>
        <w:instrText xml:space="preserve"> REF para36 \h </w:instrText>
      </w:r>
      <w:r w:rsidRPr="008F5302">
        <w:rPr>
          <w:rFonts w:cstheme="minorHAnsi"/>
        </w:rPr>
        <w:fldChar w:fldCharType="separate"/>
      </w:r>
      <w:r w:rsidRPr="008F5302" w:rsidR="008F5302">
        <w:rPr>
          <w:noProof/>
        </w:rPr>
        <w:t>50</w:t>
      </w:r>
      <w:r w:rsidRPr="008F5302">
        <w:rPr>
          <w:rFonts w:cstheme="minorHAnsi"/>
        </w:rPr>
        <w:fldChar w:fldCharType="end"/>
      </w:r>
      <w:r w:rsidRPr="008F5302">
        <w:rPr>
          <w:rFonts w:cstheme="minorHAnsi"/>
        </w:rPr>
        <w:t xml:space="preserve"> ci-dess</w:t>
      </w:r>
      <w:r w:rsidRPr="008F5302" w:rsidR="009C32B2">
        <w:rPr>
          <w:rFonts w:cstheme="minorHAnsi"/>
        </w:rPr>
        <w:t>o</w:t>
      </w:r>
      <w:r w:rsidRPr="008F5302">
        <w:rPr>
          <w:rFonts w:cstheme="minorHAnsi"/>
        </w:rPr>
        <w:t>us). C</w:t>
      </w:r>
      <w:r w:rsidRPr="008F5302" w:rsidR="008F5302">
        <w:rPr>
          <w:rFonts w:cstheme="minorHAnsi"/>
        </w:rPr>
        <w:t>’</w:t>
      </w:r>
      <w:r w:rsidRPr="008F5302">
        <w:rPr>
          <w:rFonts w:cstheme="minorHAnsi"/>
        </w:rPr>
        <w:t>est là la thèse soutenue par les tribunaux internes, qui ont expliqué que la mention dans la décision du CSP d</w:t>
      </w:r>
      <w:r w:rsidRPr="008F5302" w:rsidR="008F5302">
        <w:rPr>
          <w:rFonts w:cstheme="minorHAnsi"/>
        </w:rPr>
        <w:t>’</w:t>
      </w:r>
      <w:r w:rsidRPr="008F5302">
        <w:rPr>
          <w:rFonts w:cstheme="minorHAnsi"/>
        </w:rPr>
        <w:t>un recours administratif résultait d</w:t>
      </w:r>
      <w:r w:rsidRPr="008F5302" w:rsidR="008F5302">
        <w:rPr>
          <w:rFonts w:cstheme="minorHAnsi"/>
        </w:rPr>
        <w:t>’</w:t>
      </w:r>
      <w:r w:rsidRPr="008F5302">
        <w:rPr>
          <w:rFonts w:cstheme="minorHAnsi"/>
        </w:rPr>
        <w:t>une erreur matérielle et ont en conséquence rejeté comme ne relevant pas de leur compétence la contestation administrative formée par le requérant (paragraphes</w:t>
      </w:r>
      <w:r w:rsidRPr="008F5302" w:rsidR="003B116B">
        <w:rPr>
          <w:rFonts w:cstheme="minorHAnsi"/>
        </w:rPr>
        <w:t xml:space="preserve"> </w:t>
      </w:r>
      <w:r w:rsidRPr="008F5302">
        <w:rPr>
          <w:rFonts w:cstheme="minorHAnsi"/>
        </w:rPr>
        <w:fldChar w:fldCharType="begin"/>
      </w:r>
      <w:r w:rsidRPr="008F5302">
        <w:rPr>
          <w:rFonts w:cstheme="minorHAnsi"/>
        </w:rPr>
        <w:instrText xml:space="preserve"> REF para11 \h </w:instrText>
      </w:r>
      <w:r w:rsidRPr="008F5302">
        <w:rPr>
          <w:rFonts w:cstheme="minorHAnsi"/>
        </w:rPr>
        <w:fldChar w:fldCharType="separate"/>
      </w:r>
      <w:r w:rsidRPr="008F5302" w:rsidR="008F5302">
        <w:rPr>
          <w:noProof/>
        </w:rPr>
        <w:t>11</w:t>
      </w:r>
      <w:r w:rsidRPr="008F5302">
        <w:rPr>
          <w:rFonts w:cstheme="minorHAnsi"/>
        </w:rPr>
        <w:fldChar w:fldCharType="end"/>
      </w:r>
      <w:r w:rsidRPr="008F5302">
        <w:rPr>
          <w:rFonts w:cstheme="minorHAnsi"/>
        </w:rPr>
        <w:t>-</w:t>
      </w:r>
      <w:r w:rsidRPr="008F5302">
        <w:rPr>
          <w:rFonts w:cstheme="minorHAnsi"/>
        </w:rPr>
        <w:fldChar w:fldCharType="begin"/>
      </w:r>
      <w:r w:rsidRPr="008F5302">
        <w:rPr>
          <w:rFonts w:cstheme="minorHAnsi"/>
        </w:rPr>
        <w:instrText xml:space="preserve"> REF para13 \h </w:instrText>
      </w:r>
      <w:r w:rsidRPr="008F5302">
        <w:rPr>
          <w:rFonts w:cstheme="minorHAnsi"/>
        </w:rPr>
        <w:fldChar w:fldCharType="separate"/>
      </w:r>
      <w:r w:rsidRPr="008F5302" w:rsidR="008F5302">
        <w:rPr>
          <w:noProof/>
        </w:rPr>
        <w:t>13</w:t>
      </w:r>
      <w:r w:rsidRPr="008F5302">
        <w:rPr>
          <w:rFonts w:cstheme="minorHAnsi"/>
        </w:rPr>
        <w:fldChar w:fldCharType="end"/>
      </w:r>
      <w:r w:rsidRPr="008F5302">
        <w:rPr>
          <w:rFonts w:cstheme="minorHAnsi"/>
        </w:rPr>
        <w:t xml:space="preserve"> ci-dessus). Le requérant, quant à lui, conteste le raisonnement du Gouvernement (paragraphe </w:t>
      </w:r>
      <w:r w:rsidRPr="008F5302">
        <w:rPr>
          <w:rFonts w:cstheme="minorHAnsi"/>
        </w:rPr>
        <w:fldChar w:fldCharType="begin"/>
      </w:r>
      <w:r w:rsidRPr="008F5302">
        <w:rPr>
          <w:rFonts w:cstheme="minorHAnsi"/>
        </w:rPr>
        <w:instrText xml:space="preserve"> REF para26 \h </w:instrText>
      </w:r>
      <w:r w:rsidRPr="008F5302">
        <w:rPr>
          <w:rFonts w:cstheme="minorHAnsi"/>
        </w:rPr>
        <w:fldChar w:fldCharType="separate"/>
      </w:r>
      <w:r w:rsidRPr="008F5302" w:rsidR="008F5302">
        <w:rPr>
          <w:noProof/>
        </w:rPr>
        <w:t>27</w:t>
      </w:r>
      <w:r w:rsidRPr="008F5302">
        <w:rPr>
          <w:rFonts w:cstheme="minorHAnsi"/>
        </w:rPr>
        <w:fldChar w:fldCharType="end"/>
      </w:r>
      <w:r w:rsidRPr="008F5302">
        <w:rPr>
          <w:rFonts w:cstheme="minorHAnsi"/>
        </w:rPr>
        <w:t xml:space="preserve"> ci-dessus).</w:t>
      </w:r>
    </w:p>
    <w:p w:rsidRPr="008F5302" w:rsidR="00DC5B61" w:rsidP="008F5302" w14:paraId="4031DF65" w14:textId="5296CD2F">
      <w:pPr>
        <w:pStyle w:val="JuPara"/>
        <w:rPr>
          <w:rFonts w:cstheme="minorHAnsi"/>
          <w:b/>
          <w:bCs/>
        </w:rPr>
      </w:pPr>
      <w:r w:rsidRPr="008F5302">
        <w:rPr>
          <w:rFonts w:cstheme="minorHAnsi"/>
        </w:rPr>
        <w:fldChar w:fldCharType="begin"/>
      </w:r>
      <w:r w:rsidRPr="008F5302">
        <w:rPr>
          <w:rFonts w:cstheme="minorHAnsi"/>
        </w:rPr>
        <w:instrText xml:space="preserve"> SEQ level0 \*arabic \* MERGEFORMAT </w:instrText>
      </w:r>
      <w:r w:rsidRPr="008F5302">
        <w:rPr>
          <w:rFonts w:cstheme="minorHAnsi"/>
        </w:rPr>
        <w:fldChar w:fldCharType="separate"/>
      </w:r>
      <w:r w:rsidRPr="008F5302" w:rsidR="008F5302">
        <w:rPr>
          <w:rFonts w:cstheme="minorHAnsi"/>
          <w:noProof/>
        </w:rPr>
        <w:t>32</w:t>
      </w:r>
      <w:r w:rsidRPr="008F5302">
        <w:rPr>
          <w:rFonts w:cstheme="minorHAnsi"/>
        </w:rPr>
        <w:fldChar w:fldCharType="end"/>
      </w:r>
      <w:r w:rsidRPr="008F5302">
        <w:rPr>
          <w:rFonts w:cstheme="minorHAnsi"/>
        </w:rPr>
        <w:t>.  La Cour observe qu</w:t>
      </w:r>
      <w:r w:rsidRPr="008F5302" w:rsidR="008F5302">
        <w:rPr>
          <w:rFonts w:cstheme="minorHAnsi"/>
        </w:rPr>
        <w:t>’</w:t>
      </w:r>
      <w:r w:rsidRPr="008F5302">
        <w:rPr>
          <w:rFonts w:cstheme="minorHAnsi"/>
        </w:rPr>
        <w:t>en vertu de la décision du CSP du 5</w:t>
      </w:r>
      <w:r w:rsidRPr="008F5302" w:rsidR="004755CE">
        <w:rPr>
          <w:rFonts w:cstheme="minorHAnsi"/>
        </w:rPr>
        <w:t xml:space="preserve"> </w:t>
      </w:r>
      <w:r w:rsidRPr="008F5302">
        <w:rPr>
          <w:rFonts w:cstheme="minorHAnsi"/>
        </w:rPr>
        <w:t>octobre 2021, un procureur (V.F.) a été désigné pour enquêter sur les faits allégués par le député L.C. (paragraphe</w:t>
      </w:r>
      <w:r w:rsidRPr="008F5302" w:rsidR="004755CE">
        <w:rPr>
          <w:rFonts w:cstheme="minorHAnsi"/>
        </w:rPr>
        <w:t xml:space="preserve"> </w:t>
      </w:r>
      <w:r w:rsidRPr="008F5302">
        <w:rPr>
          <w:rFonts w:cstheme="minorHAnsi"/>
        </w:rPr>
        <w:fldChar w:fldCharType="begin"/>
      </w:r>
      <w:r w:rsidRPr="008F5302">
        <w:rPr>
          <w:rFonts w:cstheme="minorHAnsi"/>
        </w:rPr>
        <w:instrText xml:space="preserve"> REF para7 \h </w:instrText>
      </w:r>
      <w:r w:rsidRPr="008F5302">
        <w:rPr>
          <w:rFonts w:cstheme="minorHAnsi"/>
        </w:rPr>
        <w:fldChar w:fldCharType="separate"/>
      </w:r>
      <w:r w:rsidRPr="008F5302" w:rsidR="008F5302">
        <w:rPr>
          <w:noProof/>
        </w:rPr>
        <w:t>7</w:t>
      </w:r>
      <w:r w:rsidRPr="008F5302">
        <w:rPr>
          <w:rFonts w:cstheme="minorHAnsi"/>
        </w:rPr>
        <w:fldChar w:fldCharType="end"/>
      </w:r>
      <w:r w:rsidRPr="008F5302">
        <w:rPr>
          <w:rFonts w:cstheme="minorHAnsi"/>
        </w:rPr>
        <w:t xml:space="preserve"> ci-dessus). Elle note que des poursuites pénales ont été engagées le même jour et que le requérant a été suspendu de droit de ses fonctions (paragraphes</w:t>
      </w:r>
      <w:r w:rsidRPr="008F5302" w:rsidR="004755CE">
        <w:rPr>
          <w:rFonts w:cstheme="minorHAnsi"/>
        </w:rPr>
        <w:t xml:space="preserve"> </w:t>
      </w:r>
      <w:r w:rsidRPr="008F5302">
        <w:rPr>
          <w:rFonts w:cstheme="minorHAnsi"/>
        </w:rPr>
        <w:fldChar w:fldCharType="begin"/>
      </w:r>
      <w:r w:rsidRPr="008F5302">
        <w:rPr>
          <w:rFonts w:cstheme="minorHAnsi"/>
        </w:rPr>
        <w:instrText xml:space="preserve"> REF para8 \h </w:instrText>
      </w:r>
      <w:r w:rsidRPr="008F5302">
        <w:rPr>
          <w:rFonts w:cstheme="minorHAnsi"/>
        </w:rPr>
        <w:fldChar w:fldCharType="separate"/>
      </w:r>
      <w:r w:rsidRPr="008F5302" w:rsidR="008F5302">
        <w:rPr>
          <w:noProof/>
        </w:rPr>
        <w:t>8</w:t>
      </w:r>
      <w:r w:rsidRPr="008F5302">
        <w:rPr>
          <w:rFonts w:cstheme="minorHAnsi"/>
        </w:rPr>
        <w:fldChar w:fldCharType="end"/>
      </w:r>
      <w:r w:rsidRPr="008F5302">
        <w:rPr>
          <w:rFonts w:cstheme="minorHAnsi"/>
        </w:rPr>
        <w:t xml:space="preserve"> et </w:t>
      </w:r>
      <w:r w:rsidRPr="008F5302">
        <w:rPr>
          <w:rFonts w:cstheme="minorHAnsi"/>
        </w:rPr>
        <w:fldChar w:fldCharType="begin"/>
      </w:r>
      <w:r w:rsidRPr="008F5302">
        <w:rPr>
          <w:rFonts w:cstheme="minorHAnsi"/>
        </w:rPr>
        <w:instrText xml:space="preserve"> REF para17 \h </w:instrText>
      </w:r>
      <w:r w:rsidRPr="008F5302">
        <w:rPr>
          <w:rFonts w:cstheme="minorHAnsi"/>
        </w:rPr>
        <w:fldChar w:fldCharType="separate"/>
      </w:r>
      <w:r w:rsidRPr="008F5302" w:rsidR="008F5302">
        <w:rPr>
          <w:noProof/>
        </w:rPr>
        <w:t>18</w:t>
      </w:r>
      <w:r w:rsidRPr="008F5302">
        <w:rPr>
          <w:rFonts w:cstheme="minorHAnsi"/>
        </w:rPr>
        <w:fldChar w:fldCharType="end"/>
      </w:r>
      <w:r w:rsidRPr="008F5302">
        <w:rPr>
          <w:rFonts w:cstheme="minorHAnsi"/>
        </w:rPr>
        <w:t xml:space="preserve"> ci-dessus) puis, mécontent de la manière dont avait été prise la décision du CSP ainsi que des effets qu</w:t>
      </w:r>
      <w:r w:rsidRPr="008F5302" w:rsidR="008F5302">
        <w:rPr>
          <w:rFonts w:cstheme="minorHAnsi"/>
        </w:rPr>
        <w:t>’</w:t>
      </w:r>
      <w:r w:rsidRPr="008F5302">
        <w:rPr>
          <w:rFonts w:cstheme="minorHAnsi"/>
        </w:rPr>
        <w:t>elle avait produits, a dûment emprunté, sans succès, la voie de recours indiquée par le CSP (paragraphes</w:t>
      </w:r>
      <w:r w:rsidRPr="008F5302" w:rsidR="004755CE">
        <w:rPr>
          <w:rFonts w:cstheme="minorHAnsi"/>
        </w:rPr>
        <w:t xml:space="preserve"> </w:t>
      </w:r>
      <w:r w:rsidRPr="008F5302">
        <w:rPr>
          <w:rFonts w:cstheme="minorHAnsi"/>
        </w:rPr>
        <w:fldChar w:fldCharType="begin"/>
      </w:r>
      <w:r w:rsidRPr="008F5302">
        <w:rPr>
          <w:rFonts w:cstheme="minorHAnsi"/>
        </w:rPr>
        <w:instrText xml:space="preserve"> REF para7 \h </w:instrText>
      </w:r>
      <w:r w:rsidRPr="008F5302">
        <w:rPr>
          <w:rFonts w:cstheme="minorHAnsi"/>
        </w:rPr>
        <w:fldChar w:fldCharType="separate"/>
      </w:r>
      <w:r w:rsidRPr="008F5302" w:rsidR="008F5302">
        <w:rPr>
          <w:noProof/>
        </w:rPr>
        <w:t>7</w:t>
      </w:r>
      <w:r w:rsidRPr="008F5302">
        <w:rPr>
          <w:rFonts w:cstheme="minorHAnsi"/>
        </w:rPr>
        <w:fldChar w:fldCharType="end"/>
      </w:r>
      <w:r w:rsidRPr="008F5302">
        <w:rPr>
          <w:rFonts w:cstheme="minorHAnsi"/>
        </w:rPr>
        <w:t xml:space="preserve"> et</w:t>
      </w:r>
      <w:r w:rsidRPr="008F5302" w:rsidR="004755CE">
        <w:rPr>
          <w:rFonts w:cstheme="minorHAnsi"/>
        </w:rPr>
        <w:t xml:space="preserve"> </w:t>
      </w:r>
      <w:r w:rsidRPr="008F5302">
        <w:rPr>
          <w:rFonts w:cstheme="minorHAnsi"/>
        </w:rPr>
        <w:fldChar w:fldCharType="begin"/>
      </w:r>
      <w:r w:rsidRPr="008F5302">
        <w:rPr>
          <w:rFonts w:cstheme="minorHAnsi"/>
        </w:rPr>
        <w:instrText xml:space="preserve"> REF para9 \h </w:instrText>
      </w:r>
      <w:r w:rsidRPr="008F5302">
        <w:rPr>
          <w:rFonts w:cstheme="minorHAnsi"/>
        </w:rPr>
        <w:fldChar w:fldCharType="separate"/>
      </w:r>
      <w:r w:rsidRPr="008F5302" w:rsidR="008F5302">
        <w:rPr>
          <w:noProof/>
        </w:rPr>
        <w:t>9</w:t>
      </w:r>
      <w:r w:rsidRPr="008F5302">
        <w:rPr>
          <w:rFonts w:cstheme="minorHAnsi"/>
        </w:rPr>
        <w:fldChar w:fldCharType="end"/>
      </w:r>
      <w:r w:rsidRPr="008F5302">
        <w:rPr>
          <w:rFonts w:cstheme="minorHAnsi"/>
        </w:rPr>
        <w:t>-</w:t>
      </w:r>
      <w:r w:rsidRPr="008F5302">
        <w:rPr>
          <w:rFonts w:cstheme="minorHAnsi"/>
        </w:rPr>
        <w:fldChar w:fldCharType="begin"/>
      </w:r>
      <w:r w:rsidRPr="008F5302">
        <w:rPr>
          <w:rFonts w:cstheme="minorHAnsi"/>
        </w:rPr>
        <w:instrText xml:space="preserve"> REF para10 \h </w:instrText>
      </w:r>
      <w:r w:rsidRPr="008F5302">
        <w:rPr>
          <w:rFonts w:cstheme="minorHAnsi"/>
        </w:rPr>
        <w:fldChar w:fldCharType="separate"/>
      </w:r>
      <w:r w:rsidRPr="008F5302" w:rsidR="008F5302">
        <w:rPr>
          <w:noProof/>
        </w:rPr>
        <w:t>10</w:t>
      </w:r>
      <w:r w:rsidRPr="008F5302">
        <w:rPr>
          <w:rFonts w:cstheme="minorHAnsi"/>
        </w:rPr>
        <w:fldChar w:fldCharType="end"/>
      </w:r>
      <w:r w:rsidRPr="008F5302">
        <w:rPr>
          <w:rFonts w:cstheme="minorHAnsi"/>
        </w:rPr>
        <w:t xml:space="preserve"> ci-dessus). À ce titre, la Cour note que le requérant n</w:t>
      </w:r>
      <w:r w:rsidRPr="008F5302" w:rsidR="008F5302">
        <w:rPr>
          <w:rFonts w:cstheme="minorHAnsi"/>
        </w:rPr>
        <w:t>’</w:t>
      </w:r>
      <w:r w:rsidRPr="008F5302">
        <w:rPr>
          <w:rFonts w:cstheme="minorHAnsi"/>
        </w:rPr>
        <w:t>a pas eu la possibilité d</w:t>
      </w:r>
      <w:r w:rsidRPr="008F5302" w:rsidR="008F5302">
        <w:rPr>
          <w:rFonts w:cstheme="minorHAnsi"/>
        </w:rPr>
        <w:t>’</w:t>
      </w:r>
      <w:r w:rsidRPr="008F5302">
        <w:rPr>
          <w:rFonts w:cstheme="minorHAnsi"/>
        </w:rPr>
        <w:t xml:space="preserve">être entendu par le CSP (paragraphe </w:t>
      </w:r>
      <w:r w:rsidRPr="008F5302">
        <w:rPr>
          <w:rFonts w:cstheme="minorHAnsi"/>
        </w:rPr>
        <w:fldChar w:fldCharType="begin"/>
      </w:r>
      <w:r w:rsidRPr="008F5302">
        <w:rPr>
          <w:rFonts w:cstheme="minorHAnsi"/>
        </w:rPr>
        <w:instrText xml:space="preserve"> REF para7 \h  \* MERGEFORMAT </w:instrText>
      </w:r>
      <w:r w:rsidRPr="008F5302">
        <w:rPr>
          <w:rFonts w:cstheme="minorHAnsi"/>
        </w:rPr>
        <w:fldChar w:fldCharType="separate"/>
      </w:r>
      <w:r w:rsidRPr="008F5302" w:rsidR="008F5302">
        <w:t>7</w:t>
      </w:r>
      <w:r w:rsidRPr="008F5302">
        <w:rPr>
          <w:rFonts w:cstheme="minorHAnsi"/>
        </w:rPr>
        <w:fldChar w:fldCharType="end"/>
      </w:r>
      <w:r w:rsidRPr="008F5302">
        <w:rPr>
          <w:rFonts w:cstheme="minorHAnsi"/>
        </w:rPr>
        <w:t xml:space="preserve"> ci</w:t>
      </w:r>
      <w:r w:rsidRPr="008F5302" w:rsidR="004755CE">
        <w:rPr>
          <w:rFonts w:cstheme="minorHAnsi"/>
        </w:rPr>
        <w:noBreakHyphen/>
      </w:r>
      <w:r w:rsidRPr="008F5302">
        <w:rPr>
          <w:rFonts w:cstheme="minorHAnsi"/>
        </w:rPr>
        <w:t>dessus).</w:t>
      </w:r>
    </w:p>
    <w:bookmarkStart w:name="para39" w:id="26"/>
    <w:p w:rsidRPr="008F5302" w:rsidR="00DC5B61" w:rsidP="008F5302" w14:paraId="5454006E" w14:textId="0AA438F5">
      <w:pPr>
        <w:pStyle w:val="JuPara"/>
        <w:rPr>
          <w:rFonts w:cstheme="minorHAnsi"/>
        </w:rPr>
      </w:pPr>
      <w:r w:rsidRPr="008F5302">
        <w:rPr>
          <w:rFonts w:cstheme="minorHAnsi"/>
        </w:rPr>
        <w:fldChar w:fldCharType="begin"/>
      </w:r>
      <w:r w:rsidRPr="008F5302">
        <w:rPr>
          <w:rFonts w:cstheme="minorHAnsi"/>
        </w:rPr>
        <w:instrText xml:space="preserve"> SEQ level0 \*arabic \* MERGEFORMAT </w:instrText>
      </w:r>
      <w:r w:rsidRPr="008F5302">
        <w:rPr>
          <w:rFonts w:cstheme="minorHAnsi"/>
        </w:rPr>
        <w:fldChar w:fldCharType="separate"/>
      </w:r>
      <w:r w:rsidRPr="008F5302" w:rsidR="008F5302">
        <w:rPr>
          <w:rFonts w:cstheme="minorHAnsi"/>
          <w:noProof/>
        </w:rPr>
        <w:t>33</w:t>
      </w:r>
      <w:r w:rsidRPr="008F5302">
        <w:rPr>
          <w:rFonts w:cstheme="minorHAnsi"/>
        </w:rPr>
        <w:fldChar w:fldCharType="end"/>
      </w:r>
      <w:bookmarkEnd w:id="26"/>
      <w:r w:rsidRPr="008F5302">
        <w:rPr>
          <w:rFonts w:cstheme="minorHAnsi"/>
        </w:rPr>
        <w:t>.  La Cour constate qu</w:t>
      </w:r>
      <w:r w:rsidRPr="008F5302" w:rsidR="008F5302">
        <w:rPr>
          <w:rFonts w:cstheme="minorHAnsi"/>
        </w:rPr>
        <w:t>’</w:t>
      </w:r>
      <w:r w:rsidRPr="008F5302">
        <w:rPr>
          <w:rFonts w:cstheme="minorHAnsi"/>
        </w:rPr>
        <w:t>il ressort de la motivation des juridictions internes ayant interprété la législation nationale en matière administrative (paragraphe</w:t>
      </w:r>
      <w:r w:rsidRPr="008F5302" w:rsidR="00880589">
        <w:rPr>
          <w:rFonts w:cstheme="minorHAnsi"/>
        </w:rPr>
        <w:t xml:space="preserve"> </w:t>
      </w:r>
      <w:r w:rsidRPr="008F5302">
        <w:rPr>
          <w:rFonts w:cstheme="minorHAnsi"/>
        </w:rPr>
        <w:fldChar w:fldCharType="begin"/>
      </w:r>
      <w:r w:rsidRPr="008F5302">
        <w:rPr>
          <w:rFonts w:cstheme="minorHAnsi"/>
        </w:rPr>
        <w:instrText xml:space="preserve"> REF para19 \h </w:instrText>
      </w:r>
      <w:r w:rsidRPr="008F5302">
        <w:rPr>
          <w:rFonts w:cstheme="minorHAnsi"/>
        </w:rPr>
        <w:fldChar w:fldCharType="separate"/>
      </w:r>
      <w:r w:rsidRPr="008F5302" w:rsidR="008F5302">
        <w:rPr>
          <w:noProof/>
        </w:rPr>
        <w:t>20</w:t>
      </w:r>
      <w:r w:rsidRPr="008F5302">
        <w:rPr>
          <w:rFonts w:cstheme="minorHAnsi"/>
        </w:rPr>
        <w:fldChar w:fldCharType="end"/>
      </w:r>
      <w:r w:rsidRPr="008F5302">
        <w:rPr>
          <w:rFonts w:cstheme="minorHAnsi"/>
        </w:rPr>
        <w:t xml:space="preserve"> ci-dessus) que la contestation formée par le requérant ne représentait pas une voie de recours effective permettant de faire contrôler la légalité de la décision du CSP et de sa suspension de fonctions (paragraphes </w:t>
      </w:r>
      <w:r w:rsidRPr="008F5302">
        <w:rPr>
          <w:rFonts w:cstheme="minorHAnsi"/>
        </w:rPr>
        <w:fldChar w:fldCharType="begin"/>
      </w:r>
      <w:r w:rsidRPr="008F5302">
        <w:rPr>
          <w:rFonts w:cstheme="minorHAnsi"/>
        </w:rPr>
        <w:instrText xml:space="preserve"> REF para11 \h </w:instrText>
      </w:r>
      <w:r w:rsidRPr="008F5302">
        <w:rPr>
          <w:rFonts w:cstheme="minorHAnsi"/>
        </w:rPr>
        <w:fldChar w:fldCharType="separate"/>
      </w:r>
      <w:r w:rsidRPr="008F5302" w:rsidR="008F5302">
        <w:rPr>
          <w:noProof/>
        </w:rPr>
        <w:t>11</w:t>
      </w:r>
      <w:r w:rsidRPr="008F5302">
        <w:rPr>
          <w:rFonts w:cstheme="minorHAnsi"/>
        </w:rPr>
        <w:fldChar w:fldCharType="end"/>
      </w:r>
      <w:r w:rsidRPr="008F5302">
        <w:rPr>
          <w:rFonts w:cstheme="minorHAnsi"/>
        </w:rPr>
        <w:t>-</w:t>
      </w:r>
      <w:r w:rsidRPr="008F5302">
        <w:rPr>
          <w:rFonts w:cstheme="minorHAnsi"/>
        </w:rPr>
        <w:fldChar w:fldCharType="begin"/>
      </w:r>
      <w:r w:rsidRPr="008F5302">
        <w:rPr>
          <w:rFonts w:cstheme="minorHAnsi"/>
        </w:rPr>
        <w:instrText xml:space="preserve"> REF para13 \h </w:instrText>
      </w:r>
      <w:r w:rsidRPr="008F5302">
        <w:rPr>
          <w:rFonts w:cstheme="minorHAnsi"/>
        </w:rPr>
        <w:fldChar w:fldCharType="separate"/>
      </w:r>
      <w:r w:rsidRPr="008F5302" w:rsidR="008F5302">
        <w:rPr>
          <w:noProof/>
        </w:rPr>
        <w:t>13</w:t>
      </w:r>
      <w:r w:rsidRPr="008F5302">
        <w:rPr>
          <w:rFonts w:cstheme="minorHAnsi"/>
        </w:rPr>
        <w:fldChar w:fldCharType="end"/>
      </w:r>
      <w:r w:rsidRPr="008F5302">
        <w:rPr>
          <w:rFonts w:cstheme="minorHAnsi"/>
        </w:rPr>
        <w:t xml:space="preserve"> ci-dessus). Elle relève également qu</w:t>
      </w:r>
      <w:r w:rsidRPr="008F5302" w:rsidR="008F5302">
        <w:rPr>
          <w:rFonts w:cstheme="minorHAnsi"/>
        </w:rPr>
        <w:t>’</w:t>
      </w:r>
      <w:r w:rsidRPr="008F5302">
        <w:rPr>
          <w:rFonts w:cstheme="minorHAnsi"/>
        </w:rPr>
        <w:t>en vertu du droit interne en vigueur à l</w:t>
      </w:r>
      <w:r w:rsidRPr="008F5302" w:rsidR="008F5302">
        <w:rPr>
          <w:rFonts w:cstheme="minorHAnsi"/>
        </w:rPr>
        <w:t>’</w:t>
      </w:r>
      <w:r w:rsidRPr="008F5302">
        <w:rPr>
          <w:rFonts w:cstheme="minorHAnsi"/>
        </w:rPr>
        <w:t xml:space="preserve">époque des faits, la suspension des fonctions du </w:t>
      </w:r>
      <w:r w:rsidRPr="008F5302">
        <w:rPr>
          <w:rFonts w:cstheme="minorHAnsi"/>
        </w:rPr>
        <w:t>procureur général opérait automatiquement, par l</w:t>
      </w:r>
      <w:r w:rsidRPr="008F5302" w:rsidR="008F5302">
        <w:rPr>
          <w:rFonts w:cstheme="minorHAnsi"/>
        </w:rPr>
        <w:t>’</w:t>
      </w:r>
      <w:r w:rsidRPr="008F5302">
        <w:rPr>
          <w:rFonts w:cstheme="minorHAnsi"/>
        </w:rPr>
        <w:t>effet de la loi, au moment de l</w:t>
      </w:r>
      <w:r w:rsidRPr="008F5302" w:rsidR="008F5302">
        <w:rPr>
          <w:rFonts w:cstheme="minorHAnsi"/>
        </w:rPr>
        <w:t>’</w:t>
      </w:r>
      <w:r w:rsidRPr="008F5302">
        <w:rPr>
          <w:rFonts w:cstheme="minorHAnsi"/>
        </w:rPr>
        <w:t>engagement contre lui de poursuites pénales (paragraphes</w:t>
      </w:r>
      <w:r w:rsidRPr="008F5302" w:rsidR="00FB2F7A">
        <w:rPr>
          <w:rFonts w:cstheme="minorHAnsi"/>
        </w:rPr>
        <w:t xml:space="preserve"> </w:t>
      </w:r>
      <w:r w:rsidRPr="008F5302">
        <w:rPr>
          <w:rFonts w:cstheme="minorHAnsi"/>
        </w:rPr>
        <w:fldChar w:fldCharType="begin"/>
      </w:r>
      <w:r w:rsidRPr="008F5302">
        <w:rPr>
          <w:rFonts w:cstheme="minorHAnsi"/>
        </w:rPr>
        <w:instrText xml:space="preserve"> REF para17 \h </w:instrText>
      </w:r>
      <w:r w:rsidRPr="008F5302">
        <w:rPr>
          <w:rFonts w:cstheme="minorHAnsi"/>
        </w:rPr>
        <w:fldChar w:fldCharType="separate"/>
      </w:r>
      <w:r w:rsidRPr="008F5302" w:rsidR="008F5302">
        <w:rPr>
          <w:noProof/>
        </w:rPr>
        <w:t>18</w:t>
      </w:r>
      <w:r w:rsidRPr="008F5302">
        <w:rPr>
          <w:rFonts w:cstheme="minorHAnsi"/>
        </w:rPr>
        <w:fldChar w:fldCharType="end"/>
      </w:r>
      <w:r w:rsidRPr="008F5302">
        <w:rPr>
          <w:rFonts w:cstheme="minorHAnsi"/>
        </w:rPr>
        <w:t xml:space="preserve"> et</w:t>
      </w:r>
      <w:r w:rsidRPr="008F5302" w:rsidR="00FB2F7A">
        <w:rPr>
          <w:rFonts w:cstheme="minorHAnsi"/>
        </w:rPr>
        <w:t xml:space="preserve"> </w:t>
      </w:r>
      <w:r w:rsidRPr="008F5302">
        <w:rPr>
          <w:rFonts w:cstheme="minorHAnsi"/>
        </w:rPr>
        <w:fldChar w:fldCharType="begin"/>
      </w:r>
      <w:r w:rsidRPr="008F5302">
        <w:rPr>
          <w:rFonts w:cstheme="minorHAnsi"/>
        </w:rPr>
        <w:instrText xml:space="preserve"> REF para21 \h </w:instrText>
      </w:r>
      <w:r w:rsidRPr="008F5302">
        <w:rPr>
          <w:rFonts w:cstheme="minorHAnsi"/>
        </w:rPr>
        <w:fldChar w:fldCharType="separate"/>
      </w:r>
      <w:r w:rsidRPr="008F5302" w:rsidR="008F5302">
        <w:rPr>
          <w:noProof/>
        </w:rPr>
        <w:t>22</w:t>
      </w:r>
      <w:r w:rsidRPr="008F5302">
        <w:rPr>
          <w:rFonts w:cstheme="minorHAnsi"/>
        </w:rPr>
        <w:fldChar w:fldCharType="end"/>
      </w:r>
      <w:r w:rsidRPr="008F5302">
        <w:rPr>
          <w:rFonts w:cstheme="minorHAnsi"/>
        </w:rPr>
        <w:t xml:space="preserve"> ci</w:t>
      </w:r>
      <w:r w:rsidRPr="008F5302" w:rsidR="00FB2F7A">
        <w:rPr>
          <w:rFonts w:cstheme="minorHAnsi"/>
        </w:rPr>
        <w:noBreakHyphen/>
      </w:r>
      <w:r w:rsidRPr="008F5302">
        <w:rPr>
          <w:rFonts w:cstheme="minorHAnsi"/>
        </w:rPr>
        <w:t>dessus), et qu</w:t>
      </w:r>
      <w:r w:rsidRPr="008F5302" w:rsidR="008F5302">
        <w:rPr>
          <w:rFonts w:cstheme="minorHAnsi"/>
        </w:rPr>
        <w:t>’</w:t>
      </w:r>
      <w:r w:rsidRPr="008F5302">
        <w:rPr>
          <w:rFonts w:cstheme="minorHAnsi"/>
        </w:rPr>
        <w:t>aucune disposition du droit interne – celle qu</w:t>
      </w:r>
      <w:r w:rsidRPr="008F5302" w:rsidR="008F5302">
        <w:rPr>
          <w:rFonts w:cstheme="minorHAnsi"/>
        </w:rPr>
        <w:t>’</w:t>
      </w:r>
      <w:r w:rsidRPr="008F5302">
        <w:rPr>
          <w:rFonts w:cstheme="minorHAnsi"/>
        </w:rPr>
        <w:t>invoque le Gouvernement à l</w:t>
      </w:r>
      <w:r w:rsidRPr="008F5302" w:rsidR="008F5302">
        <w:rPr>
          <w:rFonts w:cstheme="minorHAnsi"/>
        </w:rPr>
        <w:t>’</w:t>
      </w:r>
      <w:r w:rsidRPr="008F5302">
        <w:rPr>
          <w:rFonts w:cstheme="minorHAnsi"/>
        </w:rPr>
        <w:t>appui de son exception de non-épuisement des voies de recours internes pas plus qu</w:t>
      </w:r>
      <w:r w:rsidRPr="008F5302" w:rsidR="008F5302">
        <w:rPr>
          <w:rFonts w:cstheme="minorHAnsi"/>
        </w:rPr>
        <w:t>’</w:t>
      </w:r>
      <w:r w:rsidRPr="008F5302">
        <w:rPr>
          <w:rFonts w:cstheme="minorHAnsi"/>
        </w:rPr>
        <w:t>une autre – ne permettait au requérant de contester une telle mesure (paragraphes</w:t>
      </w:r>
      <w:r w:rsidRPr="008F5302" w:rsidR="00827018">
        <w:rPr>
          <w:rFonts w:cstheme="minorHAnsi"/>
        </w:rPr>
        <w:t xml:space="preserve"> </w:t>
      </w:r>
      <w:r w:rsidRPr="008F5302">
        <w:rPr>
          <w:rFonts w:cstheme="minorHAnsi"/>
        </w:rPr>
        <w:fldChar w:fldCharType="begin"/>
      </w:r>
      <w:r w:rsidRPr="008F5302">
        <w:rPr>
          <w:rFonts w:cstheme="minorHAnsi"/>
        </w:rPr>
        <w:instrText xml:space="preserve"> REF para14 \h </w:instrText>
      </w:r>
      <w:r w:rsidRPr="008F5302">
        <w:rPr>
          <w:rFonts w:cstheme="minorHAnsi"/>
        </w:rPr>
        <w:fldChar w:fldCharType="separate"/>
      </w:r>
      <w:r w:rsidRPr="008F5302" w:rsidR="008F5302">
        <w:rPr>
          <w:noProof/>
        </w:rPr>
        <w:t>15</w:t>
      </w:r>
      <w:r w:rsidRPr="008F5302">
        <w:rPr>
          <w:rFonts w:cstheme="minorHAnsi"/>
        </w:rPr>
        <w:fldChar w:fldCharType="end"/>
      </w:r>
      <w:r w:rsidRPr="008F5302">
        <w:rPr>
          <w:rFonts w:cstheme="minorHAnsi"/>
        </w:rPr>
        <w:t>-</w:t>
      </w:r>
      <w:r w:rsidRPr="008F5302">
        <w:rPr>
          <w:rFonts w:cstheme="minorHAnsi"/>
        </w:rPr>
        <w:fldChar w:fldCharType="begin"/>
      </w:r>
      <w:r w:rsidRPr="008F5302">
        <w:rPr>
          <w:rFonts w:cstheme="minorHAnsi"/>
        </w:rPr>
        <w:instrText xml:space="preserve"> REF para21 \h </w:instrText>
      </w:r>
      <w:r w:rsidRPr="008F5302">
        <w:rPr>
          <w:rFonts w:cstheme="minorHAnsi"/>
        </w:rPr>
        <w:fldChar w:fldCharType="separate"/>
      </w:r>
      <w:r w:rsidRPr="008F5302" w:rsidR="008F5302">
        <w:rPr>
          <w:noProof/>
        </w:rPr>
        <w:t>22</w:t>
      </w:r>
      <w:r w:rsidRPr="008F5302">
        <w:rPr>
          <w:rFonts w:cstheme="minorHAnsi"/>
        </w:rPr>
        <w:fldChar w:fldCharType="end"/>
      </w:r>
      <w:r w:rsidRPr="008F5302">
        <w:rPr>
          <w:rFonts w:cstheme="minorHAnsi"/>
        </w:rPr>
        <w:t xml:space="preserve"> ci-dessus).</w:t>
      </w:r>
    </w:p>
    <w:bookmarkStart w:name="para40" w:id="27"/>
    <w:p w:rsidRPr="008F5302" w:rsidR="00DC5B61" w:rsidP="008F5302" w14:paraId="35A15487" w14:textId="0ACB4BD7">
      <w:pPr>
        <w:pStyle w:val="JuPara"/>
        <w:rPr>
          <w:rFonts w:cstheme="minorHAnsi"/>
          <w:bCs/>
        </w:rPr>
      </w:pPr>
      <w:r w:rsidRPr="008F5302">
        <w:rPr>
          <w:rFonts w:cstheme="minorHAnsi"/>
        </w:rPr>
        <w:fldChar w:fldCharType="begin"/>
      </w:r>
      <w:r w:rsidRPr="008F5302">
        <w:rPr>
          <w:rFonts w:cstheme="minorHAnsi"/>
        </w:rPr>
        <w:instrText xml:space="preserve"> SEQ level0 \*arabic \* MERGEFORMAT </w:instrText>
      </w:r>
      <w:r w:rsidRPr="008F5302">
        <w:rPr>
          <w:rFonts w:cstheme="minorHAnsi"/>
        </w:rPr>
        <w:fldChar w:fldCharType="separate"/>
      </w:r>
      <w:r w:rsidRPr="008F5302" w:rsidR="008F5302">
        <w:rPr>
          <w:rFonts w:cstheme="minorHAnsi"/>
          <w:noProof/>
        </w:rPr>
        <w:t>34</w:t>
      </w:r>
      <w:r w:rsidRPr="008F5302">
        <w:rPr>
          <w:rFonts w:cstheme="minorHAnsi"/>
        </w:rPr>
        <w:fldChar w:fldCharType="end"/>
      </w:r>
      <w:bookmarkEnd w:id="27"/>
      <w:r w:rsidRPr="008F5302">
        <w:rPr>
          <w:rFonts w:cstheme="minorHAnsi"/>
        </w:rPr>
        <w:t>.  Sur ce dernier point, la Cour observe que la voie prévue à l</w:t>
      </w:r>
      <w:r w:rsidRPr="008F5302" w:rsidR="008F5302">
        <w:rPr>
          <w:rFonts w:cstheme="minorHAnsi"/>
        </w:rPr>
        <w:t>’</w:t>
      </w:r>
      <w:r w:rsidRPr="008F5302">
        <w:rPr>
          <w:rFonts w:cstheme="minorHAnsi"/>
        </w:rPr>
        <w:t>article 313 du CPP régissant la plainte contre les actions et actes illégaux de l</w:t>
      </w:r>
      <w:r w:rsidRPr="008F5302" w:rsidR="008F5302">
        <w:rPr>
          <w:rFonts w:cstheme="minorHAnsi"/>
        </w:rPr>
        <w:t>’</w:t>
      </w:r>
      <w:r w:rsidRPr="008F5302">
        <w:rPr>
          <w:rFonts w:cstheme="minorHAnsi"/>
        </w:rPr>
        <w:t>autorité de poursuite pénale et de l</w:t>
      </w:r>
      <w:r w:rsidRPr="008F5302" w:rsidR="008F5302">
        <w:rPr>
          <w:rFonts w:cstheme="minorHAnsi"/>
        </w:rPr>
        <w:t>’</w:t>
      </w:r>
      <w:r w:rsidRPr="008F5302">
        <w:rPr>
          <w:rFonts w:cstheme="minorHAnsi"/>
        </w:rPr>
        <w:t>autorité chargée des activités spéciales d</w:t>
      </w:r>
      <w:r w:rsidRPr="008F5302" w:rsidR="008F5302">
        <w:rPr>
          <w:rFonts w:cstheme="minorHAnsi"/>
        </w:rPr>
        <w:t>’</w:t>
      </w:r>
      <w:r w:rsidRPr="008F5302">
        <w:rPr>
          <w:rFonts w:cstheme="minorHAnsi"/>
        </w:rPr>
        <w:t>enquête ne représentait pas une voie de recours effective au sens de l</w:t>
      </w:r>
      <w:r w:rsidRPr="008F5302" w:rsidR="008F5302">
        <w:rPr>
          <w:rFonts w:cstheme="minorHAnsi"/>
        </w:rPr>
        <w:t>’</w:t>
      </w:r>
      <w:r w:rsidRPr="008F5302">
        <w:rPr>
          <w:rFonts w:cstheme="minorHAnsi"/>
        </w:rPr>
        <w:t>article</w:t>
      </w:r>
      <w:r w:rsidRPr="008F5302" w:rsidR="00827018">
        <w:rPr>
          <w:rFonts w:cstheme="minorHAnsi"/>
        </w:rPr>
        <w:t xml:space="preserve"> </w:t>
      </w:r>
      <w:r w:rsidRPr="008F5302">
        <w:rPr>
          <w:rFonts w:cstheme="minorHAnsi"/>
        </w:rPr>
        <w:t>35 §</w:t>
      </w:r>
      <w:r w:rsidRPr="008F5302" w:rsidR="00827018">
        <w:rPr>
          <w:rFonts w:cstheme="minorHAnsi"/>
        </w:rPr>
        <w:t xml:space="preserve"> </w:t>
      </w:r>
      <w:r w:rsidRPr="008F5302">
        <w:rPr>
          <w:rFonts w:cstheme="minorHAnsi"/>
        </w:rPr>
        <w:t>1 de la Convention. Elle observe également que le CSP n</w:t>
      </w:r>
      <w:r w:rsidRPr="008F5302" w:rsidR="008F5302">
        <w:rPr>
          <w:rFonts w:cstheme="minorHAnsi"/>
        </w:rPr>
        <w:t>’</w:t>
      </w:r>
      <w:r w:rsidRPr="008F5302">
        <w:rPr>
          <w:rFonts w:cstheme="minorHAnsi"/>
        </w:rPr>
        <w:t>est pas un organe visé par l</w:t>
      </w:r>
      <w:r w:rsidRPr="008F5302" w:rsidR="008F5302">
        <w:rPr>
          <w:rFonts w:cstheme="minorHAnsi"/>
        </w:rPr>
        <w:t>’</w:t>
      </w:r>
      <w:r w:rsidRPr="008F5302">
        <w:rPr>
          <w:rFonts w:cstheme="minorHAnsi"/>
        </w:rPr>
        <w:t>article 313 du CPP. En effet, le recours en question offre au suspect la possibilité de saisir le juge d</w:t>
      </w:r>
      <w:r w:rsidRPr="008F5302" w:rsidR="008F5302">
        <w:rPr>
          <w:rFonts w:cstheme="minorHAnsi"/>
        </w:rPr>
        <w:t>’</w:t>
      </w:r>
      <w:r w:rsidRPr="008F5302">
        <w:rPr>
          <w:rFonts w:cstheme="minorHAnsi"/>
        </w:rPr>
        <w:t>instruction d</w:t>
      </w:r>
      <w:r w:rsidRPr="008F5302" w:rsidR="008F5302">
        <w:rPr>
          <w:rFonts w:cstheme="minorHAnsi"/>
        </w:rPr>
        <w:t>’</w:t>
      </w:r>
      <w:r w:rsidRPr="008F5302">
        <w:rPr>
          <w:rFonts w:cstheme="minorHAnsi"/>
        </w:rPr>
        <w:t>une plainte contre les actions et les actes de l</w:t>
      </w:r>
      <w:r w:rsidRPr="008F5302" w:rsidR="008F5302">
        <w:rPr>
          <w:rFonts w:cstheme="minorHAnsi"/>
        </w:rPr>
        <w:t>’</w:t>
      </w:r>
      <w:r w:rsidRPr="008F5302">
        <w:rPr>
          <w:rFonts w:cstheme="minorHAnsi"/>
        </w:rPr>
        <w:t>autorité de poursuite pénale ou contre les mesures indiquées au paragraphe</w:t>
      </w:r>
      <w:r w:rsidRPr="008F5302" w:rsidR="00827018">
        <w:rPr>
          <w:rFonts w:cstheme="minorHAnsi"/>
        </w:rPr>
        <w:t xml:space="preserve"> </w:t>
      </w:r>
      <w:r w:rsidRPr="008F5302">
        <w:rPr>
          <w:rFonts w:cstheme="minorHAnsi"/>
        </w:rPr>
        <w:t>2 du même article (paragraphe</w:t>
      </w:r>
      <w:r w:rsidRPr="008F5302" w:rsidR="00827018">
        <w:rPr>
          <w:rFonts w:cstheme="minorHAnsi"/>
        </w:rPr>
        <w:t xml:space="preserve"> </w:t>
      </w:r>
      <w:r w:rsidRPr="008F5302">
        <w:rPr>
          <w:rFonts w:cstheme="minorHAnsi"/>
        </w:rPr>
        <w:fldChar w:fldCharType="begin"/>
      </w:r>
      <w:r w:rsidRPr="008F5302">
        <w:rPr>
          <w:rFonts w:cstheme="minorHAnsi"/>
        </w:rPr>
        <w:instrText xml:space="preserve"> REF para20 \h </w:instrText>
      </w:r>
      <w:r w:rsidRPr="008F5302">
        <w:rPr>
          <w:rFonts w:cstheme="minorHAnsi"/>
        </w:rPr>
        <w:fldChar w:fldCharType="separate"/>
      </w:r>
      <w:r w:rsidRPr="008F5302" w:rsidR="008F5302">
        <w:rPr>
          <w:noProof/>
        </w:rPr>
        <w:t>21</w:t>
      </w:r>
      <w:r w:rsidRPr="008F5302">
        <w:rPr>
          <w:rFonts w:cstheme="minorHAnsi"/>
        </w:rPr>
        <w:fldChar w:fldCharType="end"/>
      </w:r>
      <w:r w:rsidRPr="008F5302">
        <w:rPr>
          <w:rFonts w:cstheme="minorHAnsi"/>
        </w:rPr>
        <w:t xml:space="preserve"> ci-dessus), alors que le requérant souhaitait contester la suspension de ses fonctions, mesure qui intervenait automatiquement, par l</w:t>
      </w:r>
      <w:r w:rsidRPr="008F5302" w:rsidR="008F5302">
        <w:rPr>
          <w:rFonts w:cstheme="minorHAnsi"/>
        </w:rPr>
        <w:t>’</w:t>
      </w:r>
      <w:r w:rsidRPr="008F5302">
        <w:rPr>
          <w:rFonts w:cstheme="minorHAnsi"/>
        </w:rPr>
        <w:t>effet de la loi, et qui n</w:t>
      </w:r>
      <w:r w:rsidRPr="008F5302" w:rsidR="008F5302">
        <w:rPr>
          <w:rFonts w:cstheme="minorHAnsi"/>
        </w:rPr>
        <w:t>’</w:t>
      </w:r>
      <w:r w:rsidRPr="008F5302">
        <w:rPr>
          <w:rFonts w:cstheme="minorHAnsi"/>
        </w:rPr>
        <w:t>est pas visée à l</w:t>
      </w:r>
      <w:r w:rsidRPr="008F5302" w:rsidR="008F5302">
        <w:rPr>
          <w:rFonts w:cstheme="minorHAnsi"/>
        </w:rPr>
        <w:t>’</w:t>
      </w:r>
      <w:r w:rsidRPr="008F5302">
        <w:rPr>
          <w:rFonts w:cstheme="minorHAnsi"/>
        </w:rPr>
        <w:t>article</w:t>
      </w:r>
      <w:r w:rsidRPr="008F5302" w:rsidR="00827018">
        <w:rPr>
          <w:rFonts w:cstheme="minorHAnsi"/>
        </w:rPr>
        <w:t xml:space="preserve"> </w:t>
      </w:r>
      <w:r w:rsidRPr="008F5302">
        <w:rPr>
          <w:rFonts w:cstheme="minorHAnsi"/>
        </w:rPr>
        <w:t>313 du CPP.</w:t>
      </w:r>
      <w:r w:rsidRPr="008F5302">
        <w:rPr>
          <w:rFonts w:cstheme="minorHAnsi"/>
          <w:b/>
        </w:rPr>
        <w:t xml:space="preserve"> </w:t>
      </w:r>
      <w:r w:rsidRPr="008F5302">
        <w:rPr>
          <w:rFonts w:cstheme="minorHAnsi"/>
          <w:bCs/>
        </w:rPr>
        <w:t>Au demeurant, la Cour constate que la législation interne a été modifiée par la suite et que le CSP dispose désormais de la possibilité de faire vérifier l</w:t>
      </w:r>
      <w:r w:rsidRPr="008F5302" w:rsidR="008F5302">
        <w:rPr>
          <w:rFonts w:cstheme="minorHAnsi"/>
          <w:bCs/>
        </w:rPr>
        <w:t>’</w:t>
      </w:r>
      <w:r w:rsidRPr="008F5302">
        <w:rPr>
          <w:rFonts w:cstheme="minorHAnsi"/>
          <w:bCs/>
        </w:rPr>
        <w:t>opportunité de maintien ou non d</w:t>
      </w:r>
      <w:r w:rsidRPr="008F5302" w:rsidR="008F5302">
        <w:rPr>
          <w:rFonts w:cstheme="minorHAnsi"/>
          <w:bCs/>
        </w:rPr>
        <w:t>’</w:t>
      </w:r>
      <w:r w:rsidRPr="008F5302">
        <w:rPr>
          <w:rFonts w:cstheme="minorHAnsi"/>
          <w:bCs/>
        </w:rPr>
        <w:t>une telle mesure (paragraphe</w:t>
      </w:r>
      <w:r w:rsidRPr="008F5302" w:rsidR="00827018">
        <w:rPr>
          <w:rFonts w:cstheme="minorHAnsi"/>
          <w:bCs/>
        </w:rPr>
        <w:t xml:space="preserve"> </w:t>
      </w:r>
      <w:r w:rsidRPr="008F5302">
        <w:rPr>
          <w:rFonts w:cstheme="minorHAnsi"/>
          <w:bCs/>
        </w:rPr>
        <w:fldChar w:fldCharType="begin"/>
      </w:r>
      <w:r w:rsidRPr="008F5302">
        <w:rPr>
          <w:rFonts w:cstheme="minorHAnsi"/>
          <w:bCs/>
        </w:rPr>
        <w:instrText xml:space="preserve"> REF para18 \h </w:instrText>
      </w:r>
      <w:r w:rsidRPr="008F5302">
        <w:rPr>
          <w:rFonts w:cstheme="minorHAnsi"/>
          <w:bCs/>
        </w:rPr>
        <w:fldChar w:fldCharType="separate"/>
      </w:r>
      <w:r w:rsidRPr="008F5302" w:rsidR="008F5302">
        <w:rPr>
          <w:noProof/>
        </w:rPr>
        <w:t>19</w:t>
      </w:r>
      <w:r w:rsidRPr="008F5302">
        <w:rPr>
          <w:rFonts w:cstheme="minorHAnsi"/>
        </w:rPr>
        <w:fldChar w:fldCharType="end"/>
      </w:r>
      <w:r w:rsidRPr="008F5302">
        <w:rPr>
          <w:rFonts w:cstheme="minorHAnsi"/>
          <w:bCs/>
        </w:rPr>
        <w:t xml:space="preserve"> ci-dessus), ce qui confirme la volonté des autorités de prévoir un contrôle de la mesure automatique de suspension des fonctions du procureur général et correspond aux propositions formulées par la Commission de Venise à cet égard (paragraphe</w:t>
      </w:r>
      <w:r w:rsidRPr="008F5302" w:rsidR="00827018">
        <w:rPr>
          <w:rFonts w:cstheme="minorHAnsi"/>
          <w:bCs/>
        </w:rPr>
        <w:t xml:space="preserve"> </w:t>
      </w:r>
      <w:r w:rsidRPr="008F5302">
        <w:rPr>
          <w:rFonts w:cstheme="minorHAnsi"/>
          <w:bCs/>
        </w:rPr>
        <w:fldChar w:fldCharType="begin"/>
      </w:r>
      <w:r w:rsidRPr="008F5302">
        <w:rPr>
          <w:rFonts w:cstheme="minorHAnsi"/>
          <w:bCs/>
        </w:rPr>
        <w:instrText xml:space="preserve"> REF para22 \h </w:instrText>
      </w:r>
      <w:r w:rsidRPr="008F5302">
        <w:rPr>
          <w:rFonts w:cstheme="minorHAnsi"/>
          <w:bCs/>
        </w:rPr>
        <w:fldChar w:fldCharType="separate"/>
      </w:r>
      <w:r w:rsidRPr="008F5302" w:rsidR="008F5302">
        <w:rPr>
          <w:noProof/>
        </w:rPr>
        <w:t>23</w:t>
      </w:r>
      <w:r w:rsidRPr="008F5302">
        <w:rPr>
          <w:rFonts w:cstheme="minorHAnsi"/>
        </w:rPr>
        <w:fldChar w:fldCharType="end"/>
      </w:r>
      <w:r w:rsidRPr="008F5302">
        <w:rPr>
          <w:rFonts w:cstheme="minorHAnsi"/>
          <w:bCs/>
        </w:rPr>
        <w:t xml:space="preserve"> ci-dessus).</w:t>
      </w:r>
    </w:p>
    <w:bookmarkStart w:name="para34" w:id="28"/>
    <w:p w:rsidRPr="008F5302" w:rsidR="00DC5B61" w:rsidP="008F5302" w14:paraId="09348D59" w14:textId="14A616F9">
      <w:pPr>
        <w:pStyle w:val="JuPara"/>
        <w:rPr>
          <w:rFonts w:cstheme="minorHAnsi"/>
          <w:bCs/>
        </w:rPr>
      </w:pPr>
      <w:r w:rsidRPr="008F5302">
        <w:rPr>
          <w:rFonts w:cstheme="minorHAnsi"/>
          <w:bCs/>
        </w:rPr>
        <w:fldChar w:fldCharType="begin"/>
      </w:r>
      <w:r w:rsidRPr="008F5302">
        <w:rPr>
          <w:rFonts w:cstheme="minorHAnsi"/>
          <w:bCs/>
        </w:rPr>
        <w:instrText xml:space="preserve"> SEQ level0 \*arabic \* MERGEFORMAT </w:instrText>
      </w:r>
      <w:r w:rsidRPr="008F5302">
        <w:rPr>
          <w:rFonts w:cstheme="minorHAnsi"/>
          <w:bCs/>
        </w:rPr>
        <w:fldChar w:fldCharType="separate"/>
      </w:r>
      <w:r w:rsidRPr="008F5302" w:rsidR="008F5302">
        <w:rPr>
          <w:rFonts w:cstheme="minorHAnsi"/>
          <w:bCs/>
          <w:noProof/>
        </w:rPr>
        <w:t>35</w:t>
      </w:r>
      <w:r w:rsidRPr="008F5302">
        <w:rPr>
          <w:rFonts w:cstheme="minorHAnsi"/>
        </w:rPr>
        <w:fldChar w:fldCharType="end"/>
      </w:r>
      <w:bookmarkEnd w:id="28"/>
      <w:r w:rsidRPr="008F5302">
        <w:rPr>
          <w:rFonts w:cstheme="minorHAnsi"/>
          <w:bCs/>
        </w:rPr>
        <w:t xml:space="preserve">.  La Cour estime donc remplie la première des conditions </w:t>
      </w:r>
      <w:r w:rsidRPr="008F5302">
        <w:rPr>
          <w:rFonts w:cstheme="minorHAnsi"/>
          <w:bCs/>
          <w:i/>
          <w:iCs/>
        </w:rPr>
        <w:t>Eskelinen</w:t>
      </w:r>
      <w:r w:rsidRPr="008F5302">
        <w:rPr>
          <w:rFonts w:cstheme="minorHAnsi"/>
          <w:bCs/>
        </w:rPr>
        <w:t xml:space="preserve"> susmentionnées. Elle rappelle que les deux conditions en question sont cumulatives (</w:t>
      </w:r>
      <w:r w:rsidRPr="008F5302">
        <w:rPr>
          <w:rFonts w:cstheme="minorHAnsi"/>
          <w:bCs/>
          <w:i/>
        </w:rPr>
        <w:t>Grzęda</w:t>
      </w:r>
      <w:r w:rsidRPr="008F5302">
        <w:rPr>
          <w:rFonts w:cstheme="minorHAnsi"/>
          <w:bCs/>
        </w:rPr>
        <w:t xml:space="preserve">, précité, § 291 </w:t>
      </w:r>
      <w:r w:rsidRPr="008F5302">
        <w:rPr>
          <w:rFonts w:cstheme="minorHAnsi"/>
          <w:bCs/>
          <w:i/>
          <w:iCs/>
        </w:rPr>
        <w:t>in fine</w:t>
      </w:r>
      <w:r w:rsidRPr="008F5302">
        <w:rPr>
          <w:rFonts w:cstheme="minorHAnsi"/>
          <w:bCs/>
        </w:rPr>
        <w:t>).</w:t>
      </w:r>
      <w:bookmarkStart w:name="lt_pId004" w:id="29"/>
    </w:p>
    <w:p w:rsidRPr="008F5302" w:rsidR="00DC5B61" w:rsidP="008F5302" w14:paraId="401F3BB1" w14:textId="58F51A11">
      <w:pPr>
        <w:pStyle w:val="JuPara"/>
        <w:rPr>
          <w:rFonts w:cstheme="minorHAnsi"/>
          <w:bCs/>
        </w:rPr>
      </w:pPr>
      <w:r w:rsidRPr="008F5302">
        <w:rPr>
          <w:rFonts w:cstheme="minorHAnsi"/>
          <w:bCs/>
        </w:rPr>
        <w:fldChar w:fldCharType="begin"/>
      </w:r>
      <w:r w:rsidRPr="008F5302">
        <w:rPr>
          <w:rFonts w:cstheme="minorHAnsi"/>
          <w:bCs/>
        </w:rPr>
        <w:instrText xml:space="preserve"> SEQ level0 \*arabic \* MERGEFORMAT </w:instrText>
      </w:r>
      <w:r w:rsidRPr="008F5302">
        <w:rPr>
          <w:rFonts w:cstheme="minorHAnsi"/>
          <w:bCs/>
        </w:rPr>
        <w:fldChar w:fldCharType="separate"/>
      </w:r>
      <w:r w:rsidRPr="008F5302" w:rsidR="008F5302">
        <w:rPr>
          <w:rFonts w:cstheme="minorHAnsi"/>
          <w:bCs/>
          <w:noProof/>
        </w:rPr>
        <w:t>36</w:t>
      </w:r>
      <w:r w:rsidRPr="008F5302">
        <w:rPr>
          <w:rFonts w:cstheme="minorHAnsi"/>
          <w:bCs/>
        </w:rPr>
        <w:fldChar w:fldCharType="end"/>
      </w:r>
      <w:r w:rsidRPr="008F5302">
        <w:rPr>
          <w:rFonts w:cstheme="minorHAnsi"/>
          <w:bCs/>
        </w:rPr>
        <w:t>.  La Cour doit donc à présent déterminer si, en l</w:t>
      </w:r>
      <w:r w:rsidRPr="008F5302" w:rsidR="008F5302">
        <w:rPr>
          <w:rFonts w:cstheme="minorHAnsi"/>
          <w:bCs/>
        </w:rPr>
        <w:t>’</w:t>
      </w:r>
      <w:r w:rsidRPr="008F5302">
        <w:rPr>
          <w:rFonts w:cstheme="minorHAnsi"/>
          <w:bCs/>
        </w:rPr>
        <w:t>espèce, l</w:t>
      </w:r>
      <w:r w:rsidRPr="008F5302" w:rsidR="008F5302">
        <w:rPr>
          <w:rFonts w:cstheme="minorHAnsi"/>
          <w:bCs/>
        </w:rPr>
        <w:t>’</w:t>
      </w:r>
      <w:r w:rsidRPr="008F5302">
        <w:rPr>
          <w:rFonts w:cstheme="minorHAnsi"/>
          <w:bCs/>
        </w:rPr>
        <w:t>impossibilité où se trouvait le requérant d</w:t>
      </w:r>
      <w:r w:rsidRPr="008F5302" w:rsidR="008F5302">
        <w:rPr>
          <w:rFonts w:cstheme="minorHAnsi"/>
          <w:bCs/>
        </w:rPr>
        <w:t>’</w:t>
      </w:r>
      <w:r w:rsidRPr="008F5302">
        <w:rPr>
          <w:rFonts w:cstheme="minorHAnsi"/>
          <w:bCs/>
        </w:rPr>
        <w:t>accéder à un tribunal était, comme le Gouvernement le soutient, justifiée par des motifs objectifs liés à l</w:t>
      </w:r>
      <w:r w:rsidRPr="008F5302" w:rsidR="008F5302">
        <w:rPr>
          <w:rFonts w:cstheme="minorHAnsi"/>
          <w:bCs/>
        </w:rPr>
        <w:t>’</w:t>
      </w:r>
      <w:r w:rsidRPr="008F5302">
        <w:rPr>
          <w:rFonts w:cstheme="minorHAnsi"/>
          <w:bCs/>
        </w:rPr>
        <w:t>intérêt de l</w:t>
      </w:r>
      <w:r w:rsidRPr="008F5302" w:rsidR="008F5302">
        <w:rPr>
          <w:rFonts w:cstheme="minorHAnsi"/>
          <w:bCs/>
        </w:rPr>
        <w:t>’</w:t>
      </w:r>
      <w:r w:rsidRPr="008F5302">
        <w:rPr>
          <w:rFonts w:cstheme="minorHAnsi"/>
          <w:bCs/>
        </w:rPr>
        <w:t>État</w:t>
      </w:r>
      <w:bookmarkEnd w:id="29"/>
      <w:r w:rsidRPr="008F5302">
        <w:rPr>
          <w:rFonts w:cstheme="minorHAnsi"/>
          <w:bCs/>
        </w:rPr>
        <w:t>.</w:t>
      </w:r>
    </w:p>
    <w:bookmarkStart w:name="para37" w:id="30"/>
    <w:p w:rsidRPr="008F5302" w:rsidR="00DC5B61" w:rsidP="008F5302" w14:paraId="0941BD29" w14:textId="35356142">
      <w:pPr>
        <w:pStyle w:val="JuPara"/>
        <w:rPr>
          <w:rFonts w:cstheme="minorHAnsi"/>
          <w:bCs/>
          <w:iCs/>
        </w:rPr>
      </w:pPr>
      <w:r w:rsidRPr="008F5302">
        <w:rPr>
          <w:rFonts w:cstheme="minorHAnsi"/>
          <w:bCs/>
        </w:rPr>
        <w:fldChar w:fldCharType="begin"/>
      </w:r>
      <w:r w:rsidRPr="008F5302">
        <w:rPr>
          <w:rFonts w:cstheme="minorHAnsi"/>
          <w:bCs/>
        </w:rPr>
        <w:instrText xml:space="preserve"> SEQ level0 \*arabic \* MERGEFORMAT </w:instrText>
      </w:r>
      <w:r w:rsidRPr="008F5302">
        <w:rPr>
          <w:rFonts w:cstheme="minorHAnsi"/>
          <w:bCs/>
        </w:rPr>
        <w:fldChar w:fldCharType="separate"/>
      </w:r>
      <w:r w:rsidRPr="008F5302" w:rsidR="008F5302">
        <w:rPr>
          <w:rFonts w:cstheme="minorHAnsi"/>
          <w:bCs/>
          <w:noProof/>
        </w:rPr>
        <w:t>37</w:t>
      </w:r>
      <w:r w:rsidRPr="008F5302">
        <w:rPr>
          <w:rFonts w:cstheme="minorHAnsi"/>
          <w:bCs/>
        </w:rPr>
        <w:fldChar w:fldCharType="end"/>
      </w:r>
      <w:bookmarkEnd w:id="30"/>
      <w:r w:rsidRPr="008F5302">
        <w:rPr>
          <w:rFonts w:cstheme="minorHAnsi"/>
          <w:bCs/>
        </w:rPr>
        <w:t>.  Avant de procéder à cette analyse, la Cour tient à rappeler que, dans le cas des juges, eu égard au rôle particulier du pouvoir judiciaire dans la société, de la place éminente</w:t>
      </w:r>
      <w:r w:rsidRPr="008F5302">
        <w:rPr>
          <w:rFonts w:ascii="Times New Roman" w:hAnsi="Times New Roman" w:eastAsia="Times New Roman" w:cs="Times New Roman"/>
          <w:bCs/>
        </w:rPr>
        <w:t xml:space="preserve"> </w:t>
      </w:r>
      <w:r w:rsidRPr="008F5302">
        <w:rPr>
          <w:rFonts w:cstheme="minorHAnsi"/>
          <w:bCs/>
        </w:rPr>
        <w:t>qu</w:t>
      </w:r>
      <w:r w:rsidRPr="008F5302" w:rsidR="008F5302">
        <w:rPr>
          <w:rFonts w:cstheme="minorHAnsi"/>
          <w:bCs/>
        </w:rPr>
        <w:t>’</w:t>
      </w:r>
      <w:r w:rsidRPr="008F5302">
        <w:rPr>
          <w:rFonts w:cstheme="minorHAnsi"/>
          <w:bCs/>
        </w:rPr>
        <w:t>occupe la magistrature dans une société démocratique et de l</w:t>
      </w:r>
      <w:r w:rsidRPr="008F5302" w:rsidR="008F5302">
        <w:rPr>
          <w:rFonts w:cstheme="minorHAnsi"/>
          <w:bCs/>
        </w:rPr>
        <w:t>’</w:t>
      </w:r>
      <w:r w:rsidRPr="008F5302">
        <w:rPr>
          <w:rFonts w:cstheme="minorHAnsi"/>
          <w:bCs/>
        </w:rPr>
        <w:t>importance croissante attachée à la séparation des pouvoirs et à la nécessité de préserver l</w:t>
      </w:r>
      <w:r w:rsidRPr="008F5302" w:rsidR="008F5302">
        <w:rPr>
          <w:rFonts w:cstheme="minorHAnsi"/>
          <w:bCs/>
        </w:rPr>
        <w:t>’</w:t>
      </w:r>
      <w:r w:rsidRPr="008F5302">
        <w:rPr>
          <w:rFonts w:cstheme="minorHAnsi"/>
          <w:bCs/>
        </w:rPr>
        <w:t>indépendance de la justice, elle accorde une attention particulière lorsque des mesures sont prises à l</w:t>
      </w:r>
      <w:r w:rsidRPr="008F5302" w:rsidR="008F5302">
        <w:rPr>
          <w:rFonts w:cstheme="minorHAnsi"/>
          <w:bCs/>
        </w:rPr>
        <w:t>’</w:t>
      </w:r>
      <w:r w:rsidRPr="008F5302">
        <w:rPr>
          <w:rFonts w:cstheme="minorHAnsi"/>
          <w:bCs/>
        </w:rPr>
        <w:t>égard des juges en fonction (</w:t>
      </w:r>
      <w:r w:rsidRPr="008F5302">
        <w:rPr>
          <w:rFonts w:cstheme="minorHAnsi"/>
          <w:bCs/>
          <w:i/>
        </w:rPr>
        <w:t>Baka précité</w:t>
      </w:r>
      <w:r w:rsidRPr="008F5302">
        <w:rPr>
          <w:rFonts w:cstheme="minorHAnsi"/>
          <w:bCs/>
        </w:rPr>
        <w:t>, §</w:t>
      </w:r>
      <w:r w:rsidRPr="008F5302" w:rsidR="00E06E44">
        <w:rPr>
          <w:rFonts w:cstheme="minorHAnsi"/>
          <w:bCs/>
        </w:rPr>
        <w:t xml:space="preserve"> </w:t>
      </w:r>
      <w:r w:rsidRPr="008F5302">
        <w:rPr>
          <w:rFonts w:cstheme="minorHAnsi"/>
          <w:bCs/>
        </w:rPr>
        <w:t xml:space="preserve">164, et les références qui y sont citées et </w:t>
      </w:r>
      <w:r w:rsidRPr="008F5302">
        <w:rPr>
          <w:rFonts w:cstheme="minorHAnsi"/>
          <w:bCs/>
          <w:i/>
          <w:iCs/>
        </w:rPr>
        <w:t xml:space="preserve">Ramos Nunes de Carvalho e </w:t>
      </w:r>
      <w:r w:rsidRPr="008F5302">
        <w:rPr>
          <w:rFonts w:cstheme="minorHAnsi"/>
          <w:bCs/>
          <w:i/>
          <w:iCs/>
        </w:rPr>
        <w:t>Sá</w:t>
      </w:r>
      <w:r w:rsidRPr="008F5302">
        <w:rPr>
          <w:rFonts w:cstheme="minorHAnsi"/>
          <w:bCs/>
          <w:i/>
          <w:iCs/>
        </w:rPr>
        <w:t xml:space="preserve"> c.</w:t>
      </w:r>
      <w:r w:rsidRPr="008F5302" w:rsidR="00E06E44">
        <w:rPr>
          <w:rFonts w:cstheme="minorHAnsi"/>
          <w:bCs/>
          <w:i/>
          <w:iCs/>
        </w:rPr>
        <w:t xml:space="preserve"> </w:t>
      </w:r>
      <w:r w:rsidRPr="008F5302">
        <w:rPr>
          <w:rFonts w:cstheme="minorHAnsi"/>
          <w:bCs/>
          <w:i/>
          <w:iCs/>
        </w:rPr>
        <w:t>Portugal</w:t>
      </w:r>
      <w:r w:rsidRPr="008F5302">
        <w:rPr>
          <w:rFonts w:cstheme="minorHAnsi"/>
          <w:bCs/>
        </w:rPr>
        <w:t xml:space="preserve"> [GC], n</w:t>
      </w:r>
      <w:r w:rsidRPr="008F5302">
        <w:rPr>
          <w:rFonts w:cstheme="minorHAnsi"/>
          <w:bCs/>
          <w:vertAlign w:val="superscript"/>
        </w:rPr>
        <w:t>os</w:t>
      </w:r>
      <w:r w:rsidRPr="008F5302" w:rsidR="00E06E44">
        <w:rPr>
          <w:rFonts w:cstheme="minorHAnsi"/>
          <w:bCs/>
        </w:rPr>
        <w:t xml:space="preserve"> </w:t>
      </w:r>
      <w:r w:rsidRPr="008F5302">
        <w:rPr>
          <w:rFonts w:cstheme="minorHAnsi"/>
          <w:bCs/>
        </w:rPr>
        <w:t>55391/13 et 2</w:t>
      </w:r>
      <w:r w:rsidRPr="008F5302" w:rsidR="00E06E44">
        <w:rPr>
          <w:rFonts w:cstheme="minorHAnsi"/>
          <w:bCs/>
        </w:rPr>
        <w:t xml:space="preserve"> </w:t>
      </w:r>
      <w:r w:rsidRPr="008F5302">
        <w:rPr>
          <w:rFonts w:cstheme="minorHAnsi"/>
          <w:bCs/>
        </w:rPr>
        <w:t>autres, § 196, 6</w:t>
      </w:r>
      <w:r w:rsidRPr="008F5302" w:rsidR="009B44EF">
        <w:rPr>
          <w:rFonts w:cstheme="minorHAnsi"/>
          <w:bCs/>
        </w:rPr>
        <w:t xml:space="preserve"> </w:t>
      </w:r>
      <w:r w:rsidRPr="008F5302">
        <w:rPr>
          <w:rFonts w:cstheme="minorHAnsi"/>
          <w:bCs/>
        </w:rPr>
        <w:t>novembre 2018).</w:t>
      </w:r>
      <w:r w:rsidRPr="008F5302">
        <w:rPr>
          <w:rFonts w:ascii="Times New Roman" w:hAnsi="Times New Roman" w:eastAsia="Times New Roman" w:cs="Times New Roman"/>
          <w:bCs/>
        </w:rPr>
        <w:t xml:space="preserve"> </w:t>
      </w:r>
      <w:r w:rsidRPr="008F5302">
        <w:rPr>
          <w:rFonts w:cstheme="minorHAnsi"/>
          <w:bCs/>
        </w:rPr>
        <w:t>Il serait illusoire de croire que les juges peuvent faire respecter l</w:t>
      </w:r>
      <w:r w:rsidRPr="008F5302" w:rsidR="008F5302">
        <w:rPr>
          <w:rFonts w:cstheme="minorHAnsi"/>
          <w:bCs/>
        </w:rPr>
        <w:t>’</w:t>
      </w:r>
      <w:r w:rsidRPr="008F5302">
        <w:rPr>
          <w:rFonts w:cstheme="minorHAnsi"/>
          <w:bCs/>
        </w:rPr>
        <w:t>État de droit et donner effet à la Convention s</w:t>
      </w:r>
      <w:r w:rsidRPr="008F5302" w:rsidR="008F5302">
        <w:rPr>
          <w:rFonts w:cstheme="minorHAnsi"/>
          <w:bCs/>
        </w:rPr>
        <w:t>’</w:t>
      </w:r>
      <w:r w:rsidRPr="008F5302">
        <w:rPr>
          <w:rFonts w:cstheme="minorHAnsi"/>
          <w:bCs/>
        </w:rPr>
        <w:t>ils sont privés par le droit interne des garanties posées par la Convention sur les questions touchant directement à leur indépendance et à leur impartialité (</w:t>
      </w:r>
      <w:bookmarkStart w:name="_cl40559" w:id="31"/>
      <w:r w:rsidRPr="008F5302">
        <w:rPr>
          <w:rFonts w:cstheme="minorHAnsi"/>
          <w:bCs/>
          <w:i/>
          <w:iCs/>
        </w:rPr>
        <w:t>Bilgen</w:t>
      </w:r>
      <w:r w:rsidRPr="008F5302">
        <w:rPr>
          <w:rFonts w:cstheme="minorHAnsi"/>
          <w:bCs/>
          <w:i/>
          <w:iCs/>
        </w:rPr>
        <w:t xml:space="preserve"> c. Turquie</w:t>
      </w:r>
      <w:r w:rsidRPr="008F5302">
        <w:rPr>
          <w:rFonts w:cstheme="minorHAnsi"/>
          <w:bCs/>
        </w:rPr>
        <w:t>, n</w:t>
      </w:r>
      <w:r w:rsidRPr="008F5302">
        <w:rPr>
          <w:rFonts w:cstheme="minorHAnsi"/>
          <w:bCs/>
          <w:vertAlign w:val="superscript"/>
        </w:rPr>
        <w:t>o</w:t>
      </w:r>
      <w:r w:rsidRPr="008F5302" w:rsidR="009B44EF">
        <w:rPr>
          <w:rFonts w:cstheme="minorHAnsi"/>
          <w:bCs/>
          <w:vertAlign w:val="superscript"/>
        </w:rPr>
        <w:t xml:space="preserve"> </w:t>
      </w:r>
      <w:r w:rsidRPr="008F5302">
        <w:rPr>
          <w:rFonts w:cstheme="minorHAnsi"/>
          <w:bCs/>
        </w:rPr>
        <w:t>1571/07, §</w:t>
      </w:r>
      <w:r w:rsidRPr="008F5302" w:rsidR="009B44EF">
        <w:rPr>
          <w:rFonts w:cstheme="minorHAnsi"/>
          <w:bCs/>
        </w:rPr>
        <w:t xml:space="preserve"> </w:t>
      </w:r>
      <w:r w:rsidRPr="008F5302">
        <w:rPr>
          <w:rFonts w:cstheme="minorHAnsi"/>
          <w:bCs/>
        </w:rPr>
        <w:t>79, 9</w:t>
      </w:r>
      <w:r w:rsidRPr="008F5302" w:rsidR="009B44EF">
        <w:rPr>
          <w:rFonts w:cstheme="minorHAnsi"/>
          <w:bCs/>
        </w:rPr>
        <w:t xml:space="preserve"> </w:t>
      </w:r>
      <w:r w:rsidRPr="008F5302">
        <w:rPr>
          <w:rFonts w:cstheme="minorHAnsi"/>
          <w:bCs/>
        </w:rPr>
        <w:t xml:space="preserve">mars 2021, </w:t>
      </w:r>
      <w:r w:rsidRPr="008F5302">
        <w:rPr>
          <w:rFonts w:cstheme="minorHAnsi"/>
          <w:bCs/>
          <w:i/>
        </w:rPr>
        <w:t>Grzęda</w:t>
      </w:r>
      <w:r w:rsidRPr="008F5302">
        <w:rPr>
          <w:rFonts w:cstheme="minorHAnsi"/>
          <w:bCs/>
          <w:iCs/>
        </w:rPr>
        <w:t>, précité,</w:t>
      </w:r>
      <w:bookmarkEnd w:id="31"/>
      <w:r w:rsidRPr="008F5302">
        <w:rPr>
          <w:rFonts w:cstheme="minorHAnsi"/>
          <w:bCs/>
          <w:iCs/>
        </w:rPr>
        <w:t xml:space="preserve"> §</w:t>
      </w:r>
      <w:r w:rsidRPr="008F5302" w:rsidR="009B44EF">
        <w:rPr>
          <w:rFonts w:cstheme="minorHAnsi"/>
          <w:bCs/>
          <w:iCs/>
        </w:rPr>
        <w:t xml:space="preserve"> </w:t>
      </w:r>
      <w:r w:rsidRPr="008F5302">
        <w:rPr>
          <w:rFonts w:cstheme="minorHAnsi"/>
          <w:bCs/>
          <w:iCs/>
        </w:rPr>
        <w:t xml:space="preserve">264, et les </w:t>
      </w:r>
      <w:r w:rsidRPr="008F5302">
        <w:rPr>
          <w:rFonts w:cstheme="minorHAnsi"/>
          <w:bCs/>
          <w:iCs/>
        </w:rPr>
        <w:t xml:space="preserve">références y citées). Ainsi, dans le contexte de la deuxième condition </w:t>
      </w:r>
      <w:r w:rsidRPr="008F5302">
        <w:rPr>
          <w:rFonts w:cstheme="minorHAnsi"/>
          <w:bCs/>
          <w:i/>
          <w:iCs/>
        </w:rPr>
        <w:t>Eskelinen</w:t>
      </w:r>
      <w:r w:rsidRPr="008F5302">
        <w:rPr>
          <w:rFonts w:cstheme="minorHAnsi"/>
          <w:bCs/>
          <w:iCs/>
        </w:rPr>
        <w:t>, lorsqu</w:t>
      </w:r>
      <w:r w:rsidRPr="008F5302" w:rsidR="008F5302">
        <w:rPr>
          <w:rFonts w:cstheme="minorHAnsi"/>
          <w:bCs/>
          <w:iCs/>
        </w:rPr>
        <w:t>’</w:t>
      </w:r>
      <w:r w:rsidRPr="008F5302">
        <w:rPr>
          <w:rFonts w:cstheme="minorHAnsi"/>
          <w:bCs/>
          <w:iCs/>
        </w:rPr>
        <w:t>il est fait référence à « la confiance et à la loyauté spéciales » exigées des juges, il s</w:t>
      </w:r>
      <w:r w:rsidRPr="008F5302" w:rsidR="008F5302">
        <w:rPr>
          <w:rFonts w:cstheme="minorHAnsi"/>
          <w:bCs/>
          <w:iCs/>
        </w:rPr>
        <w:t>’</w:t>
      </w:r>
      <w:r w:rsidRPr="008F5302">
        <w:rPr>
          <w:rFonts w:cstheme="minorHAnsi"/>
          <w:bCs/>
          <w:iCs/>
        </w:rPr>
        <w:t>agit de la loyauté envers la prééminence du droit et la démocratie, et non envers les détenteurs de la puissance publique (</w:t>
      </w:r>
      <w:r w:rsidRPr="008F5302">
        <w:rPr>
          <w:rFonts w:cstheme="minorHAnsi"/>
          <w:bCs/>
          <w:i/>
        </w:rPr>
        <w:t>Bilgen</w:t>
      </w:r>
      <w:r w:rsidRPr="008F5302">
        <w:rPr>
          <w:rFonts w:cstheme="minorHAnsi"/>
          <w:bCs/>
          <w:iCs/>
        </w:rPr>
        <w:t>, précité, § 79).</w:t>
      </w:r>
    </w:p>
    <w:p w:rsidRPr="008F5302" w:rsidR="00DC5B61" w:rsidP="008F5302" w14:paraId="3A0288CA" w14:textId="50722CA3">
      <w:pPr>
        <w:pStyle w:val="JuPara"/>
        <w:rPr>
          <w:rFonts w:cstheme="minorHAnsi"/>
          <w:bCs/>
          <w:iCs/>
        </w:rPr>
      </w:pPr>
      <w:r w:rsidRPr="008F5302">
        <w:rPr>
          <w:rFonts w:cstheme="minorHAnsi"/>
          <w:bCs/>
          <w:iCs/>
        </w:rPr>
        <w:fldChar w:fldCharType="begin"/>
      </w:r>
      <w:r w:rsidRPr="008F5302">
        <w:rPr>
          <w:rFonts w:cstheme="minorHAnsi"/>
          <w:bCs/>
          <w:iCs/>
        </w:rPr>
        <w:instrText xml:space="preserve"> SEQ level0 \*arabic \* MERGEFORMAT </w:instrText>
      </w:r>
      <w:r w:rsidRPr="008F5302">
        <w:rPr>
          <w:rFonts w:cstheme="minorHAnsi"/>
          <w:bCs/>
          <w:iCs/>
        </w:rPr>
        <w:fldChar w:fldCharType="separate"/>
      </w:r>
      <w:r w:rsidRPr="008F5302" w:rsidR="008F5302">
        <w:rPr>
          <w:rFonts w:cstheme="minorHAnsi"/>
          <w:bCs/>
          <w:iCs/>
          <w:noProof/>
        </w:rPr>
        <w:t>38</w:t>
      </w:r>
      <w:r w:rsidRPr="008F5302">
        <w:rPr>
          <w:rFonts w:cstheme="minorHAnsi"/>
          <w:bCs/>
          <w:iCs/>
        </w:rPr>
        <w:fldChar w:fldCharType="end"/>
      </w:r>
      <w:r w:rsidRPr="008F5302">
        <w:rPr>
          <w:rFonts w:cstheme="minorHAnsi"/>
          <w:bCs/>
          <w:iCs/>
        </w:rPr>
        <w:t>.  Certes, en principe, les constats ci-dessus ne sont valables que dans le cas des juges,</w:t>
      </w:r>
      <w:r w:rsidRPr="008F5302">
        <w:rPr>
          <w:bCs/>
        </w:rPr>
        <w:t xml:space="preserve"> </w:t>
      </w:r>
      <w:r w:rsidRPr="008F5302">
        <w:rPr>
          <w:rFonts w:cstheme="minorHAnsi"/>
          <w:bCs/>
          <w:iCs/>
        </w:rPr>
        <w:t>dont le statut n</w:t>
      </w:r>
      <w:r w:rsidRPr="008F5302" w:rsidR="008F5302">
        <w:rPr>
          <w:rFonts w:cstheme="minorHAnsi"/>
          <w:bCs/>
          <w:iCs/>
        </w:rPr>
        <w:t>’</w:t>
      </w:r>
      <w:r w:rsidRPr="008F5302">
        <w:rPr>
          <w:rFonts w:cstheme="minorHAnsi"/>
          <w:bCs/>
          <w:iCs/>
        </w:rPr>
        <w:t>est pas en tout point similaire à celui des procureurs. La Cour note à cet égard que l</w:t>
      </w:r>
      <w:r w:rsidRPr="008F5302" w:rsidR="008F5302">
        <w:rPr>
          <w:rFonts w:cstheme="minorHAnsi"/>
          <w:bCs/>
          <w:iCs/>
        </w:rPr>
        <w:t>’</w:t>
      </w:r>
      <w:r w:rsidRPr="008F5302">
        <w:rPr>
          <w:rFonts w:cstheme="minorHAnsi"/>
          <w:bCs/>
          <w:iCs/>
        </w:rPr>
        <w:t>exigence d</w:t>
      </w:r>
      <w:r w:rsidRPr="008F5302" w:rsidR="008F5302">
        <w:rPr>
          <w:rFonts w:cstheme="minorHAnsi"/>
          <w:bCs/>
          <w:iCs/>
        </w:rPr>
        <w:t>’</w:t>
      </w:r>
      <w:r w:rsidRPr="008F5302">
        <w:rPr>
          <w:rFonts w:cstheme="minorHAnsi"/>
          <w:bCs/>
          <w:iCs/>
        </w:rPr>
        <w:t>indépendance énoncée à l</w:t>
      </w:r>
      <w:r w:rsidRPr="008F5302" w:rsidR="008F5302">
        <w:rPr>
          <w:rFonts w:cstheme="minorHAnsi"/>
          <w:bCs/>
          <w:iCs/>
        </w:rPr>
        <w:t>’</w:t>
      </w:r>
      <w:r w:rsidRPr="008F5302">
        <w:rPr>
          <w:rFonts w:cstheme="minorHAnsi"/>
          <w:bCs/>
          <w:iCs/>
        </w:rPr>
        <w:t>article 6 § 1 de la Convention s</w:t>
      </w:r>
      <w:r w:rsidRPr="008F5302" w:rsidR="008F5302">
        <w:rPr>
          <w:rFonts w:cstheme="minorHAnsi"/>
          <w:bCs/>
          <w:iCs/>
        </w:rPr>
        <w:t>’</w:t>
      </w:r>
      <w:r w:rsidRPr="008F5302">
        <w:rPr>
          <w:rFonts w:cstheme="minorHAnsi"/>
          <w:bCs/>
          <w:iCs/>
        </w:rPr>
        <w:t>applique aux juges et aux tribunaux et non aux procureurs (</w:t>
      </w:r>
      <w:r w:rsidRPr="008F5302">
        <w:rPr>
          <w:rFonts w:cstheme="minorHAnsi"/>
          <w:bCs/>
          <w:i/>
          <w:iCs/>
        </w:rPr>
        <w:t>Thiam c. France</w:t>
      </w:r>
      <w:r w:rsidRPr="008F5302">
        <w:rPr>
          <w:rFonts w:cstheme="minorHAnsi"/>
          <w:bCs/>
          <w:iCs/>
        </w:rPr>
        <w:t>, n</w:t>
      </w:r>
      <w:r w:rsidRPr="008F5302">
        <w:rPr>
          <w:rFonts w:cstheme="minorHAnsi"/>
          <w:bCs/>
          <w:iCs/>
          <w:vertAlign w:val="superscript"/>
        </w:rPr>
        <w:t>o</w:t>
      </w:r>
      <w:r w:rsidRPr="008F5302">
        <w:rPr>
          <w:rFonts w:cstheme="minorHAnsi"/>
          <w:bCs/>
          <w:iCs/>
        </w:rPr>
        <w:t xml:space="preserve"> 80018/12, §§ 70-71, 18 octobre 2018). Néanmoins, la Cour a déjà relevé que, quand il s</w:t>
      </w:r>
      <w:r w:rsidRPr="008F5302" w:rsidR="008F5302">
        <w:rPr>
          <w:rFonts w:cstheme="minorHAnsi"/>
          <w:bCs/>
          <w:iCs/>
        </w:rPr>
        <w:t>’</w:t>
      </w:r>
      <w:r w:rsidRPr="008F5302">
        <w:rPr>
          <w:rFonts w:cstheme="minorHAnsi"/>
          <w:bCs/>
          <w:iCs/>
        </w:rPr>
        <w:t>agit de la nécessité d</w:t>
      </w:r>
      <w:r w:rsidRPr="008F5302" w:rsidR="008F5302">
        <w:rPr>
          <w:rFonts w:cstheme="minorHAnsi"/>
          <w:bCs/>
          <w:iCs/>
        </w:rPr>
        <w:t>’</w:t>
      </w:r>
      <w:r w:rsidRPr="008F5302">
        <w:rPr>
          <w:rFonts w:cstheme="minorHAnsi"/>
          <w:bCs/>
          <w:iCs/>
        </w:rPr>
        <w:t>une protection contre l</w:t>
      </w:r>
      <w:r w:rsidRPr="008F5302" w:rsidR="008F5302">
        <w:rPr>
          <w:rFonts w:cstheme="minorHAnsi"/>
          <w:bCs/>
          <w:iCs/>
        </w:rPr>
        <w:t>’</w:t>
      </w:r>
      <w:r w:rsidRPr="008F5302">
        <w:rPr>
          <w:rFonts w:cstheme="minorHAnsi"/>
          <w:bCs/>
          <w:iCs/>
        </w:rPr>
        <w:t>ingérence arbitraire dans leurs fonctions de la part des pouvoirs publics, notamment à savoir si l</w:t>
      </w:r>
      <w:r w:rsidRPr="008F5302" w:rsidR="008F5302">
        <w:rPr>
          <w:rFonts w:cstheme="minorHAnsi"/>
          <w:bCs/>
          <w:iCs/>
        </w:rPr>
        <w:t>’</w:t>
      </w:r>
      <w:r w:rsidRPr="008F5302">
        <w:rPr>
          <w:rFonts w:cstheme="minorHAnsi"/>
          <w:bCs/>
          <w:iCs/>
        </w:rPr>
        <w:t>absence d</w:t>
      </w:r>
      <w:r w:rsidRPr="008F5302" w:rsidR="008F5302">
        <w:rPr>
          <w:rFonts w:cstheme="minorHAnsi"/>
          <w:bCs/>
          <w:iCs/>
        </w:rPr>
        <w:t>’</w:t>
      </w:r>
      <w:r w:rsidRPr="008F5302">
        <w:rPr>
          <w:rFonts w:cstheme="minorHAnsi"/>
          <w:bCs/>
          <w:iCs/>
        </w:rPr>
        <w:t>accès à un contrôle indépendant était justifiée par des motifs objectifs liés à l</w:t>
      </w:r>
      <w:r w:rsidRPr="008F5302" w:rsidR="008F5302">
        <w:rPr>
          <w:rFonts w:cstheme="minorHAnsi"/>
          <w:bCs/>
          <w:iCs/>
        </w:rPr>
        <w:t>’</w:t>
      </w:r>
      <w:r w:rsidRPr="008F5302">
        <w:rPr>
          <w:rFonts w:cstheme="minorHAnsi"/>
          <w:bCs/>
          <w:iCs/>
        </w:rPr>
        <w:t>intérêt de l</w:t>
      </w:r>
      <w:r w:rsidRPr="008F5302" w:rsidR="008F5302">
        <w:rPr>
          <w:rFonts w:cstheme="minorHAnsi"/>
          <w:bCs/>
          <w:iCs/>
        </w:rPr>
        <w:t>’</w:t>
      </w:r>
      <w:r w:rsidRPr="008F5302">
        <w:rPr>
          <w:rFonts w:cstheme="minorHAnsi"/>
          <w:bCs/>
          <w:iCs/>
        </w:rPr>
        <w:t>État, une ligne nette entre des juges et des procureurs ne peut pas être tracée (</w:t>
      </w:r>
      <w:r w:rsidRPr="008F5302">
        <w:rPr>
          <w:rFonts w:cstheme="minorHAnsi"/>
          <w:bCs/>
          <w:i/>
          <w:iCs/>
        </w:rPr>
        <w:t>Eminağaoğlu</w:t>
      </w:r>
      <w:r w:rsidRPr="008F5302">
        <w:rPr>
          <w:rFonts w:cstheme="minorHAnsi"/>
          <w:bCs/>
          <w:i/>
          <w:iCs/>
        </w:rPr>
        <w:t xml:space="preserve">, </w:t>
      </w:r>
      <w:r w:rsidRPr="008F5302">
        <w:rPr>
          <w:rFonts w:cstheme="minorHAnsi"/>
          <w:bCs/>
          <w:iCs/>
        </w:rPr>
        <w:t>précité, §§ 75-80). Ainsi, tous les membres du corps judiciaire, qu</w:t>
      </w:r>
      <w:r w:rsidRPr="008F5302" w:rsidR="008F5302">
        <w:rPr>
          <w:rFonts w:cstheme="minorHAnsi"/>
          <w:bCs/>
          <w:iCs/>
        </w:rPr>
        <w:t>’</w:t>
      </w:r>
      <w:r w:rsidRPr="008F5302">
        <w:rPr>
          <w:rFonts w:cstheme="minorHAnsi"/>
          <w:bCs/>
          <w:iCs/>
        </w:rPr>
        <w:t>ils soient magistrats ou procureurs, devraient bénéficier – tout comme les autres citoyens – d</w:t>
      </w:r>
      <w:r w:rsidRPr="008F5302" w:rsidR="008F5302">
        <w:rPr>
          <w:rFonts w:cstheme="minorHAnsi"/>
          <w:bCs/>
          <w:iCs/>
        </w:rPr>
        <w:t>’</w:t>
      </w:r>
      <w:r w:rsidRPr="008F5302">
        <w:rPr>
          <w:rFonts w:cstheme="minorHAnsi"/>
          <w:bCs/>
          <w:iCs/>
        </w:rPr>
        <w:t>une protection contre l</w:t>
      </w:r>
      <w:r w:rsidRPr="008F5302" w:rsidR="008F5302">
        <w:rPr>
          <w:rFonts w:cstheme="minorHAnsi"/>
          <w:bCs/>
          <w:iCs/>
        </w:rPr>
        <w:t>’</w:t>
      </w:r>
      <w:r w:rsidRPr="008F5302">
        <w:rPr>
          <w:rFonts w:cstheme="minorHAnsi"/>
          <w:bCs/>
          <w:iCs/>
        </w:rPr>
        <w:t>arbitraire susceptible d</w:t>
      </w:r>
      <w:r w:rsidRPr="008F5302" w:rsidR="008F5302">
        <w:rPr>
          <w:rFonts w:cstheme="minorHAnsi"/>
          <w:bCs/>
          <w:iCs/>
        </w:rPr>
        <w:t>’</w:t>
      </w:r>
      <w:r w:rsidRPr="008F5302">
        <w:rPr>
          <w:rFonts w:cstheme="minorHAnsi"/>
          <w:bCs/>
          <w:iCs/>
        </w:rPr>
        <w:t>émaner des pouvoirs législatif et exécutif ; or seule une supervision par un organe judiciaire indépendant de mesures telles que la révocation est à même d</w:t>
      </w:r>
      <w:r w:rsidRPr="008F5302" w:rsidR="008F5302">
        <w:rPr>
          <w:rFonts w:cstheme="minorHAnsi"/>
          <w:bCs/>
          <w:iCs/>
        </w:rPr>
        <w:t>’</w:t>
      </w:r>
      <w:r w:rsidRPr="008F5302">
        <w:rPr>
          <w:rFonts w:cstheme="minorHAnsi"/>
          <w:bCs/>
          <w:iCs/>
        </w:rPr>
        <w:t xml:space="preserve">assurer effectivement pareille protection (voir, </w:t>
      </w:r>
      <w:r w:rsidRPr="008F5302">
        <w:rPr>
          <w:rFonts w:cstheme="minorHAnsi"/>
          <w:bCs/>
          <w:i/>
          <w:iCs/>
        </w:rPr>
        <w:t>mutatis mutandis</w:t>
      </w:r>
      <w:r w:rsidRPr="008F5302">
        <w:rPr>
          <w:rFonts w:cstheme="minorHAnsi"/>
          <w:bCs/>
          <w:iCs/>
        </w:rPr>
        <w:t xml:space="preserve">, </w:t>
      </w:r>
      <w:r w:rsidRPr="008F5302">
        <w:rPr>
          <w:rFonts w:cstheme="minorHAnsi"/>
          <w:bCs/>
          <w:i/>
          <w:iCs/>
        </w:rPr>
        <w:t>Kövesi</w:t>
      </w:r>
      <w:r w:rsidRPr="008F5302">
        <w:rPr>
          <w:rFonts w:cstheme="minorHAnsi"/>
          <w:bCs/>
          <w:iCs/>
        </w:rPr>
        <w:t>, précité, §</w:t>
      </w:r>
      <w:r w:rsidRPr="008F5302" w:rsidR="00D5321C">
        <w:rPr>
          <w:rFonts w:cstheme="minorHAnsi"/>
          <w:bCs/>
          <w:iCs/>
        </w:rPr>
        <w:t xml:space="preserve"> </w:t>
      </w:r>
      <w:r w:rsidRPr="008F5302">
        <w:rPr>
          <w:rFonts w:cstheme="minorHAnsi"/>
          <w:bCs/>
          <w:iCs/>
        </w:rPr>
        <w:t xml:space="preserve">124, et </w:t>
      </w:r>
      <w:r w:rsidRPr="008F5302">
        <w:rPr>
          <w:rFonts w:cstheme="minorHAnsi"/>
          <w:bCs/>
          <w:i/>
          <w:iCs/>
        </w:rPr>
        <w:t>Bilgen</w:t>
      </w:r>
      <w:r w:rsidRPr="008F5302">
        <w:rPr>
          <w:rFonts w:cstheme="minorHAnsi"/>
          <w:bCs/>
          <w:i/>
          <w:iCs/>
        </w:rPr>
        <w:t xml:space="preserve">, </w:t>
      </w:r>
      <w:r w:rsidRPr="008F5302">
        <w:rPr>
          <w:rFonts w:cstheme="minorHAnsi"/>
          <w:bCs/>
          <w:iCs/>
        </w:rPr>
        <w:t>précité, §</w:t>
      </w:r>
      <w:r w:rsidRPr="008F5302" w:rsidR="00D5321C">
        <w:rPr>
          <w:rFonts w:cstheme="minorHAnsi"/>
          <w:bCs/>
          <w:iCs/>
        </w:rPr>
        <w:t xml:space="preserve"> </w:t>
      </w:r>
      <w:r w:rsidRPr="008F5302">
        <w:rPr>
          <w:rFonts w:cstheme="minorHAnsi"/>
          <w:bCs/>
          <w:iCs/>
        </w:rPr>
        <w:t>79). Par ailleurs, ce qui est crucial pour la présente affaire, il ressort de la jurisprudence de la Cour qu</w:t>
      </w:r>
      <w:r w:rsidRPr="008F5302" w:rsidR="008F5302">
        <w:rPr>
          <w:rFonts w:cstheme="minorHAnsi"/>
          <w:bCs/>
          <w:iCs/>
        </w:rPr>
        <w:t>’</w:t>
      </w:r>
      <w:r w:rsidRPr="008F5302">
        <w:rPr>
          <w:rFonts w:cstheme="minorHAnsi"/>
          <w:bCs/>
          <w:iCs/>
        </w:rPr>
        <w:t>il est particulièrement difficile d</w:t>
      </w:r>
      <w:r w:rsidRPr="008F5302" w:rsidR="008F5302">
        <w:rPr>
          <w:rFonts w:cstheme="minorHAnsi"/>
          <w:bCs/>
          <w:iCs/>
        </w:rPr>
        <w:t>’</w:t>
      </w:r>
      <w:r w:rsidRPr="008F5302">
        <w:rPr>
          <w:rFonts w:cstheme="minorHAnsi"/>
          <w:bCs/>
          <w:iCs/>
        </w:rPr>
        <w:t>admettre que les limitations concernant l</w:t>
      </w:r>
      <w:r w:rsidRPr="008F5302" w:rsidR="008F5302">
        <w:rPr>
          <w:rFonts w:cstheme="minorHAnsi"/>
          <w:bCs/>
          <w:iCs/>
        </w:rPr>
        <w:t>’</w:t>
      </w:r>
      <w:r w:rsidRPr="008F5302">
        <w:rPr>
          <w:rFonts w:cstheme="minorHAnsi"/>
          <w:bCs/>
          <w:iCs/>
        </w:rPr>
        <w:t>accès d</w:t>
      </w:r>
      <w:r w:rsidRPr="008F5302" w:rsidR="008F5302">
        <w:rPr>
          <w:rFonts w:cstheme="minorHAnsi"/>
          <w:bCs/>
          <w:iCs/>
        </w:rPr>
        <w:t>’</w:t>
      </w:r>
      <w:r w:rsidRPr="008F5302">
        <w:rPr>
          <w:rFonts w:cstheme="minorHAnsi"/>
          <w:bCs/>
          <w:iCs/>
        </w:rPr>
        <w:t>un procureur à un tribunal indépendant soient justifiées par des motifs objectifs liés à l</w:t>
      </w:r>
      <w:r w:rsidRPr="008F5302" w:rsidR="008F5302">
        <w:rPr>
          <w:rFonts w:cstheme="minorHAnsi"/>
          <w:bCs/>
          <w:iCs/>
        </w:rPr>
        <w:t>’</w:t>
      </w:r>
      <w:r w:rsidRPr="008F5302">
        <w:rPr>
          <w:rFonts w:cstheme="minorHAnsi"/>
          <w:bCs/>
          <w:iCs/>
        </w:rPr>
        <w:t>intérêt de l</w:t>
      </w:r>
      <w:r w:rsidRPr="008F5302" w:rsidR="008F5302">
        <w:rPr>
          <w:rFonts w:cstheme="minorHAnsi"/>
          <w:bCs/>
          <w:iCs/>
        </w:rPr>
        <w:t>’</w:t>
      </w:r>
      <w:r w:rsidRPr="008F5302">
        <w:rPr>
          <w:rFonts w:cstheme="minorHAnsi"/>
          <w:bCs/>
          <w:iCs/>
        </w:rPr>
        <w:t>État, alors que la législation de cet État membre place expressément les procureurs dans la même situation que les magistrats en ce qui concerne leur indépendance (</w:t>
      </w:r>
      <w:r w:rsidRPr="008F5302">
        <w:rPr>
          <w:rFonts w:cstheme="minorHAnsi"/>
          <w:bCs/>
          <w:i/>
          <w:iCs/>
        </w:rPr>
        <w:t>Eminağaoğlu</w:t>
      </w:r>
      <w:r w:rsidRPr="008F5302">
        <w:rPr>
          <w:rFonts w:cstheme="minorHAnsi"/>
          <w:bCs/>
          <w:i/>
          <w:iCs/>
        </w:rPr>
        <w:t xml:space="preserve">, </w:t>
      </w:r>
      <w:r w:rsidRPr="008F5302">
        <w:rPr>
          <w:rFonts w:cstheme="minorHAnsi"/>
          <w:bCs/>
          <w:iCs/>
        </w:rPr>
        <w:t xml:space="preserve">précité, §§ 36, 75-80 ; </w:t>
      </w:r>
      <w:r w:rsidRPr="008F5302">
        <w:rPr>
          <w:rFonts w:cstheme="minorHAnsi"/>
          <w:bCs/>
          <w:i/>
          <w:iCs/>
        </w:rPr>
        <w:t>Kövesi</w:t>
      </w:r>
      <w:r w:rsidRPr="008F5302">
        <w:rPr>
          <w:rFonts w:cstheme="minorHAnsi"/>
          <w:bCs/>
          <w:iCs/>
        </w:rPr>
        <w:t>, précité, §</w:t>
      </w:r>
      <w:r w:rsidRPr="008F5302" w:rsidR="00D5321C">
        <w:rPr>
          <w:rFonts w:cstheme="minorHAnsi"/>
          <w:bCs/>
          <w:iCs/>
        </w:rPr>
        <w:t xml:space="preserve"> </w:t>
      </w:r>
      <w:r w:rsidRPr="008F5302">
        <w:rPr>
          <w:rFonts w:cstheme="minorHAnsi"/>
          <w:bCs/>
          <w:iCs/>
        </w:rPr>
        <w:t>124).</w:t>
      </w:r>
    </w:p>
    <w:bookmarkStart w:name="para38" w:id="32"/>
    <w:p w:rsidRPr="008F5302" w:rsidR="00DC5B61" w:rsidP="008F5302" w14:paraId="0E467E62" w14:textId="541A7A02">
      <w:pPr>
        <w:pStyle w:val="JuPara"/>
        <w:rPr>
          <w:rFonts w:cstheme="minorHAnsi"/>
          <w:bCs/>
          <w:iCs/>
        </w:rPr>
      </w:pPr>
      <w:r w:rsidRPr="008F5302">
        <w:rPr>
          <w:rFonts w:cstheme="minorHAnsi"/>
          <w:bCs/>
          <w:iCs/>
        </w:rPr>
        <w:fldChar w:fldCharType="begin"/>
      </w:r>
      <w:r w:rsidRPr="008F5302">
        <w:rPr>
          <w:rFonts w:cstheme="minorHAnsi"/>
          <w:bCs/>
          <w:iCs/>
        </w:rPr>
        <w:instrText xml:space="preserve"> SEQ level0 \*arabic \* MERGEFORMAT </w:instrText>
      </w:r>
      <w:r w:rsidRPr="008F5302">
        <w:rPr>
          <w:rFonts w:cstheme="minorHAnsi"/>
          <w:bCs/>
          <w:iCs/>
        </w:rPr>
        <w:fldChar w:fldCharType="separate"/>
      </w:r>
      <w:r w:rsidRPr="008F5302" w:rsidR="008F5302">
        <w:rPr>
          <w:rFonts w:cstheme="minorHAnsi"/>
          <w:bCs/>
          <w:iCs/>
          <w:noProof/>
        </w:rPr>
        <w:t>39</w:t>
      </w:r>
      <w:r w:rsidRPr="008F5302">
        <w:rPr>
          <w:rFonts w:cstheme="minorHAnsi"/>
          <w:bCs/>
          <w:iCs/>
        </w:rPr>
        <w:fldChar w:fldCharType="end"/>
      </w:r>
      <w:bookmarkEnd w:id="32"/>
      <w:r w:rsidRPr="008F5302">
        <w:rPr>
          <w:rFonts w:cstheme="minorHAnsi"/>
          <w:bCs/>
          <w:iCs/>
        </w:rPr>
        <w:t>.  </w:t>
      </w:r>
      <w:r w:rsidRPr="008F5302">
        <w:rPr>
          <w:bCs/>
        </w:rPr>
        <w:t>L</w:t>
      </w:r>
      <w:r w:rsidRPr="008F5302">
        <w:rPr>
          <w:rFonts w:cstheme="minorHAnsi"/>
          <w:bCs/>
        </w:rPr>
        <w:t>a Cour considère que la suspension automatique des fonctions d</w:t>
      </w:r>
      <w:r w:rsidRPr="008F5302" w:rsidR="008F5302">
        <w:rPr>
          <w:rFonts w:cstheme="minorHAnsi"/>
          <w:bCs/>
        </w:rPr>
        <w:t>’</w:t>
      </w:r>
      <w:r w:rsidRPr="008F5302">
        <w:rPr>
          <w:rFonts w:cstheme="minorHAnsi"/>
          <w:bCs/>
        </w:rPr>
        <w:t>un procureur général visé par des poursuites ne saurait, en l</w:t>
      </w:r>
      <w:r w:rsidRPr="008F5302" w:rsidR="008F5302">
        <w:rPr>
          <w:rFonts w:cstheme="minorHAnsi"/>
          <w:bCs/>
        </w:rPr>
        <w:t>’</w:t>
      </w:r>
      <w:r w:rsidRPr="008F5302">
        <w:rPr>
          <w:rFonts w:cstheme="minorHAnsi"/>
          <w:bCs/>
        </w:rPr>
        <w:t>absence de toute forme de contrôle judiciaire, être justifiée par des motifs objectifs liés à l</w:t>
      </w:r>
      <w:r w:rsidRPr="008F5302" w:rsidR="008F5302">
        <w:rPr>
          <w:rFonts w:cstheme="minorHAnsi"/>
          <w:bCs/>
        </w:rPr>
        <w:t>’</w:t>
      </w:r>
      <w:r w:rsidRPr="008F5302">
        <w:rPr>
          <w:rFonts w:cstheme="minorHAnsi"/>
          <w:bCs/>
        </w:rPr>
        <w:t>intérêt de l</w:t>
      </w:r>
      <w:r w:rsidRPr="008F5302" w:rsidR="008F5302">
        <w:rPr>
          <w:rFonts w:cstheme="minorHAnsi"/>
          <w:bCs/>
        </w:rPr>
        <w:t>’</w:t>
      </w:r>
      <w:r w:rsidRPr="008F5302">
        <w:rPr>
          <w:rFonts w:cstheme="minorHAnsi"/>
          <w:bCs/>
        </w:rPr>
        <w:t xml:space="preserve">État (voir, </w:t>
      </w:r>
      <w:r w:rsidRPr="008F5302">
        <w:rPr>
          <w:rFonts w:cstheme="minorHAnsi"/>
          <w:bCs/>
          <w:i/>
          <w:iCs/>
        </w:rPr>
        <w:t>mutatis mutandis</w:t>
      </w:r>
      <w:r w:rsidRPr="008F5302">
        <w:rPr>
          <w:rFonts w:cstheme="minorHAnsi"/>
          <w:bCs/>
        </w:rPr>
        <w:t xml:space="preserve">, </w:t>
      </w:r>
      <w:r w:rsidRPr="008F5302">
        <w:rPr>
          <w:rFonts w:cstheme="minorHAnsi"/>
          <w:bCs/>
          <w:i/>
          <w:iCs/>
        </w:rPr>
        <w:t>Kövesi</w:t>
      </w:r>
      <w:r w:rsidRPr="008F5302">
        <w:rPr>
          <w:rFonts w:cstheme="minorHAnsi"/>
          <w:bCs/>
        </w:rPr>
        <w:t>, précité, §</w:t>
      </w:r>
      <w:r w:rsidRPr="008F5302" w:rsidR="00D5321C">
        <w:rPr>
          <w:rFonts w:cstheme="minorHAnsi"/>
          <w:bCs/>
        </w:rPr>
        <w:t xml:space="preserve"> </w:t>
      </w:r>
      <w:r w:rsidRPr="008F5302">
        <w:rPr>
          <w:rFonts w:cstheme="minorHAnsi"/>
          <w:bCs/>
        </w:rPr>
        <w:t>124). En effet, la simple crainte – en principe totalement justifiée en soi - que le procureur général suspendu puisse exercer une influence sur les procédures pénales menées contre lui ne suffit pas à justifier l</w:t>
      </w:r>
      <w:r w:rsidRPr="008F5302" w:rsidR="008F5302">
        <w:rPr>
          <w:rFonts w:cstheme="minorHAnsi"/>
          <w:bCs/>
        </w:rPr>
        <w:t>’</w:t>
      </w:r>
      <w:r w:rsidRPr="008F5302">
        <w:rPr>
          <w:rFonts w:cstheme="minorHAnsi"/>
          <w:bCs/>
        </w:rPr>
        <w:t xml:space="preserve">absence de toute forme de contrôle de quelque nature que ce soit, pendant plus de deux ans, de la mesure litigieuse (voir, </w:t>
      </w:r>
      <w:r w:rsidRPr="008F5302">
        <w:rPr>
          <w:rFonts w:cstheme="minorHAnsi"/>
          <w:bCs/>
          <w:i/>
          <w:iCs/>
        </w:rPr>
        <w:t>mutatis mutandis</w:t>
      </w:r>
      <w:r w:rsidRPr="008F5302">
        <w:rPr>
          <w:rFonts w:cstheme="minorHAnsi"/>
          <w:bCs/>
        </w:rPr>
        <w:t xml:space="preserve">, </w:t>
      </w:r>
      <w:r w:rsidRPr="008F5302">
        <w:rPr>
          <w:rFonts w:cstheme="minorHAnsi"/>
          <w:bCs/>
          <w:i/>
          <w:iCs/>
        </w:rPr>
        <w:t>Camelia</w:t>
      </w:r>
      <w:r w:rsidRPr="008F5302">
        <w:rPr>
          <w:rFonts w:cstheme="minorHAnsi"/>
          <w:bCs/>
          <w:i/>
          <w:iCs/>
        </w:rPr>
        <w:t xml:space="preserve"> Bogdan</w:t>
      </w:r>
      <w:r w:rsidRPr="008F5302">
        <w:rPr>
          <w:rFonts w:cstheme="minorHAnsi"/>
          <w:bCs/>
        </w:rPr>
        <w:t>, précité, §</w:t>
      </w:r>
      <w:r w:rsidRPr="008F5302" w:rsidR="0079190D">
        <w:rPr>
          <w:rFonts w:cstheme="minorHAnsi"/>
          <w:bCs/>
        </w:rPr>
        <w:t xml:space="preserve"> </w:t>
      </w:r>
      <w:r w:rsidRPr="008F5302">
        <w:rPr>
          <w:rFonts w:cstheme="minorHAnsi"/>
          <w:bCs/>
        </w:rPr>
        <w:t>76).</w:t>
      </w:r>
      <w:r w:rsidRPr="008F5302">
        <w:rPr>
          <w:rFonts w:cstheme="minorHAnsi"/>
          <w:bCs/>
          <w:iCs/>
        </w:rPr>
        <w:t xml:space="preserve"> En droit moldave, s</w:t>
      </w:r>
      <w:r w:rsidRPr="008F5302" w:rsidR="008F5302">
        <w:rPr>
          <w:rFonts w:cstheme="minorHAnsi"/>
          <w:bCs/>
          <w:iCs/>
        </w:rPr>
        <w:t>’</w:t>
      </w:r>
      <w:r w:rsidRPr="008F5302">
        <w:rPr>
          <w:rFonts w:cstheme="minorHAnsi"/>
          <w:bCs/>
          <w:iCs/>
        </w:rPr>
        <w:t>il est vrai que les procureurs exercent leurs fonctions de manière autonome et les juges de manière indépendante (paragraphe</w:t>
      </w:r>
      <w:r w:rsidRPr="008F5302" w:rsidR="0079190D">
        <w:rPr>
          <w:rFonts w:cstheme="minorHAnsi"/>
          <w:bCs/>
          <w:iCs/>
        </w:rPr>
        <w:t xml:space="preserve"> </w:t>
      </w:r>
      <w:r w:rsidRPr="008F5302">
        <w:rPr>
          <w:rFonts w:cstheme="minorHAnsi"/>
          <w:bCs/>
          <w:iCs/>
        </w:rPr>
        <w:fldChar w:fldCharType="begin"/>
      </w:r>
      <w:r w:rsidRPr="008F5302">
        <w:rPr>
          <w:rFonts w:cstheme="minorHAnsi"/>
          <w:bCs/>
          <w:iCs/>
        </w:rPr>
        <w:instrText xml:space="preserve"> REF para14 \h  \* CharFormat  \* MERGEFORMAT </w:instrText>
      </w:r>
      <w:r w:rsidRPr="008F5302">
        <w:rPr>
          <w:rFonts w:cstheme="minorHAnsi"/>
          <w:bCs/>
          <w:iCs/>
        </w:rPr>
        <w:fldChar w:fldCharType="separate"/>
      </w:r>
      <w:r w:rsidRPr="008F5302" w:rsidR="008F5302">
        <w:rPr>
          <w:rFonts w:cstheme="minorHAnsi"/>
          <w:bCs/>
          <w:iCs/>
        </w:rPr>
        <w:t>15</w:t>
      </w:r>
      <w:r w:rsidRPr="008F5302">
        <w:rPr>
          <w:rFonts w:cstheme="minorHAnsi"/>
          <w:bCs/>
          <w:iCs/>
        </w:rPr>
        <w:fldChar w:fldCharType="end"/>
      </w:r>
      <w:r w:rsidRPr="008F5302">
        <w:rPr>
          <w:rFonts w:cstheme="minorHAnsi"/>
          <w:bCs/>
          <w:iCs/>
        </w:rPr>
        <w:t xml:space="preserve"> ci-dessus), le système judiciaire national ne fait cependant aucune distinction fondamentale entre le statut des uns et des autres (paragraphe</w:t>
      </w:r>
      <w:r w:rsidRPr="008F5302" w:rsidR="0079190D">
        <w:rPr>
          <w:rFonts w:cstheme="minorHAnsi"/>
          <w:bCs/>
          <w:iCs/>
        </w:rPr>
        <w:t xml:space="preserve"> </w:t>
      </w:r>
      <w:r w:rsidRPr="008F5302">
        <w:rPr>
          <w:rFonts w:cstheme="minorHAnsi"/>
          <w:bCs/>
          <w:iCs/>
        </w:rPr>
        <w:fldChar w:fldCharType="begin"/>
      </w:r>
      <w:r w:rsidRPr="008F5302">
        <w:rPr>
          <w:rFonts w:cstheme="minorHAnsi"/>
          <w:bCs/>
          <w:iCs/>
        </w:rPr>
        <w:instrText xml:space="preserve"> REF para15 \h  \* MERGEFORMAT </w:instrText>
      </w:r>
      <w:r w:rsidRPr="008F5302">
        <w:rPr>
          <w:rFonts w:cstheme="minorHAnsi"/>
          <w:bCs/>
          <w:iCs/>
        </w:rPr>
        <w:fldChar w:fldCharType="separate"/>
      </w:r>
      <w:r w:rsidRPr="008F5302" w:rsidR="008F5302">
        <w:rPr>
          <w:bCs/>
        </w:rPr>
        <w:t>16</w:t>
      </w:r>
      <w:r w:rsidRPr="008F5302">
        <w:rPr>
          <w:rFonts w:cstheme="minorHAnsi"/>
          <w:bCs/>
          <w:iCs/>
        </w:rPr>
        <w:fldChar w:fldCharType="end"/>
      </w:r>
      <w:r w:rsidRPr="008F5302">
        <w:rPr>
          <w:rFonts w:cstheme="minorHAnsi"/>
          <w:bCs/>
          <w:iCs/>
        </w:rPr>
        <w:t xml:space="preserve"> ci-dessus ; voir, </w:t>
      </w:r>
      <w:r w:rsidRPr="008F5302">
        <w:rPr>
          <w:rFonts w:cstheme="minorHAnsi"/>
          <w:bCs/>
          <w:i/>
          <w:iCs/>
        </w:rPr>
        <w:t>mutatis mutandis</w:t>
      </w:r>
      <w:r w:rsidRPr="008F5302">
        <w:rPr>
          <w:rFonts w:cstheme="minorHAnsi"/>
          <w:bCs/>
          <w:iCs/>
        </w:rPr>
        <w:t xml:space="preserve">, </w:t>
      </w:r>
      <w:r w:rsidRPr="008F5302">
        <w:rPr>
          <w:rFonts w:cstheme="minorHAnsi"/>
          <w:bCs/>
          <w:i/>
          <w:iCs/>
        </w:rPr>
        <w:t>Eminağaoğlu</w:t>
      </w:r>
      <w:r w:rsidRPr="008F5302">
        <w:rPr>
          <w:rFonts w:cstheme="minorHAnsi"/>
          <w:bCs/>
          <w:i/>
          <w:iCs/>
        </w:rPr>
        <w:t xml:space="preserve">, </w:t>
      </w:r>
      <w:r w:rsidRPr="008F5302">
        <w:rPr>
          <w:rFonts w:cstheme="minorHAnsi"/>
          <w:bCs/>
          <w:iCs/>
        </w:rPr>
        <w:t>précité, §</w:t>
      </w:r>
      <w:r w:rsidRPr="008F5302" w:rsidR="005B2FE4">
        <w:rPr>
          <w:rFonts w:cstheme="minorHAnsi"/>
          <w:bCs/>
          <w:iCs/>
        </w:rPr>
        <w:t xml:space="preserve"> </w:t>
      </w:r>
      <w:r w:rsidRPr="008F5302">
        <w:rPr>
          <w:rFonts w:cstheme="minorHAnsi"/>
          <w:bCs/>
          <w:iCs/>
        </w:rPr>
        <w:t xml:space="preserve">76, </w:t>
      </w:r>
      <w:r w:rsidRPr="008F5302">
        <w:rPr>
          <w:rFonts w:cstheme="minorHAnsi"/>
          <w:bCs/>
          <w:i/>
          <w:iCs/>
        </w:rPr>
        <w:t>Kövesi</w:t>
      </w:r>
      <w:r w:rsidRPr="008F5302">
        <w:rPr>
          <w:rFonts w:cstheme="minorHAnsi"/>
          <w:bCs/>
          <w:iCs/>
        </w:rPr>
        <w:t>, précité, §</w:t>
      </w:r>
      <w:r w:rsidRPr="008F5302" w:rsidR="005B2FE4">
        <w:rPr>
          <w:rFonts w:cstheme="minorHAnsi"/>
          <w:bCs/>
          <w:iCs/>
        </w:rPr>
        <w:t xml:space="preserve"> </w:t>
      </w:r>
      <w:r w:rsidRPr="008F5302">
        <w:rPr>
          <w:rFonts w:cstheme="minorHAnsi"/>
          <w:bCs/>
          <w:iCs/>
        </w:rPr>
        <w:t>124 et, sous l</w:t>
      </w:r>
      <w:r w:rsidRPr="008F5302" w:rsidR="008F5302">
        <w:rPr>
          <w:rFonts w:cstheme="minorHAnsi"/>
          <w:bCs/>
          <w:iCs/>
        </w:rPr>
        <w:t>’</w:t>
      </w:r>
      <w:r w:rsidRPr="008F5302">
        <w:rPr>
          <w:rFonts w:cstheme="minorHAnsi"/>
          <w:bCs/>
          <w:iCs/>
        </w:rPr>
        <w:t>angle de l</w:t>
      </w:r>
      <w:r w:rsidRPr="008F5302" w:rsidR="008F5302">
        <w:rPr>
          <w:rFonts w:cstheme="minorHAnsi"/>
          <w:bCs/>
          <w:iCs/>
        </w:rPr>
        <w:t>’</w:t>
      </w:r>
      <w:r w:rsidRPr="008F5302">
        <w:rPr>
          <w:rFonts w:cstheme="minorHAnsi"/>
          <w:bCs/>
          <w:iCs/>
        </w:rPr>
        <w:t>article</w:t>
      </w:r>
      <w:r w:rsidRPr="008F5302" w:rsidR="005B2FE4">
        <w:rPr>
          <w:rFonts w:cstheme="minorHAnsi"/>
          <w:bCs/>
          <w:iCs/>
        </w:rPr>
        <w:t xml:space="preserve"> </w:t>
      </w:r>
      <w:r w:rsidRPr="008F5302">
        <w:rPr>
          <w:rFonts w:cstheme="minorHAnsi"/>
          <w:bCs/>
          <w:iCs/>
        </w:rPr>
        <w:t xml:space="preserve">10 de la Convention, </w:t>
      </w:r>
      <w:r w:rsidRPr="008F5302">
        <w:rPr>
          <w:rFonts w:cstheme="minorHAnsi"/>
          <w:bCs/>
          <w:i/>
          <w:iCs/>
        </w:rPr>
        <w:t>Stancu</w:t>
      </w:r>
      <w:r w:rsidRPr="008F5302">
        <w:rPr>
          <w:rFonts w:cstheme="minorHAnsi"/>
          <w:bCs/>
          <w:i/>
          <w:iCs/>
        </w:rPr>
        <w:t xml:space="preserve"> et autres c.</w:t>
      </w:r>
      <w:r w:rsidRPr="008F5302" w:rsidR="005B2FE4">
        <w:rPr>
          <w:rFonts w:cstheme="minorHAnsi"/>
          <w:bCs/>
          <w:i/>
          <w:iCs/>
        </w:rPr>
        <w:t xml:space="preserve"> </w:t>
      </w:r>
      <w:r w:rsidRPr="008F5302">
        <w:rPr>
          <w:rFonts w:cstheme="minorHAnsi"/>
          <w:bCs/>
          <w:i/>
          <w:iCs/>
        </w:rPr>
        <w:t>Roumanie</w:t>
      </w:r>
      <w:r w:rsidRPr="008F5302">
        <w:rPr>
          <w:rFonts w:cstheme="minorHAnsi"/>
          <w:bCs/>
          <w:iCs/>
        </w:rPr>
        <w:t>, n</w:t>
      </w:r>
      <w:r w:rsidRPr="008F5302">
        <w:rPr>
          <w:rFonts w:cstheme="minorHAnsi"/>
          <w:bCs/>
          <w:iCs/>
          <w:vertAlign w:val="superscript"/>
        </w:rPr>
        <w:t>o</w:t>
      </w:r>
      <w:r w:rsidRPr="008F5302">
        <w:rPr>
          <w:rFonts w:cstheme="minorHAnsi"/>
          <w:bCs/>
          <w:iCs/>
        </w:rPr>
        <w:t xml:space="preserve"> 22953/16, </w:t>
      </w:r>
      <w:r w:rsidRPr="008F5302">
        <w:rPr>
          <w:rFonts w:cstheme="minorHAnsi"/>
          <w:bCs/>
          <w:iCs/>
        </w:rPr>
        <w:t>§§ 113 et 115, 18</w:t>
      </w:r>
      <w:r w:rsidRPr="008F5302" w:rsidR="005B2FE4">
        <w:rPr>
          <w:rFonts w:cstheme="minorHAnsi"/>
          <w:bCs/>
          <w:iCs/>
        </w:rPr>
        <w:t xml:space="preserve"> </w:t>
      </w:r>
      <w:r w:rsidRPr="008F5302">
        <w:rPr>
          <w:rFonts w:cstheme="minorHAnsi"/>
          <w:bCs/>
          <w:iCs/>
        </w:rPr>
        <w:t xml:space="preserve">octobre 2022 et voir également, </w:t>
      </w:r>
      <w:r w:rsidRPr="008F5302">
        <w:rPr>
          <w:rFonts w:cstheme="minorHAnsi"/>
          <w:bCs/>
          <w:i/>
        </w:rPr>
        <w:t>a contrario,</w:t>
      </w:r>
      <w:r w:rsidRPr="008F5302">
        <w:rPr>
          <w:rFonts w:cstheme="minorHAnsi"/>
          <w:bCs/>
          <w:iCs/>
        </w:rPr>
        <w:t xml:space="preserve"> </w:t>
      </w:r>
      <w:bookmarkStart w:name="_cl41460" w:id="33"/>
      <w:r w:rsidRPr="008F5302">
        <w:rPr>
          <w:rFonts w:cstheme="minorHAnsi"/>
          <w:bCs/>
          <w:i/>
          <w:iCs/>
        </w:rPr>
        <w:t>Thiam c.</w:t>
      </w:r>
      <w:r w:rsidRPr="008F5302" w:rsidR="005B2FE4">
        <w:rPr>
          <w:rFonts w:cstheme="minorHAnsi"/>
          <w:bCs/>
          <w:i/>
          <w:iCs/>
        </w:rPr>
        <w:t> </w:t>
      </w:r>
      <w:r w:rsidRPr="008F5302">
        <w:rPr>
          <w:rFonts w:cstheme="minorHAnsi"/>
          <w:bCs/>
          <w:i/>
          <w:iCs/>
        </w:rPr>
        <w:t>France</w:t>
      </w:r>
      <w:bookmarkEnd w:id="33"/>
      <w:r w:rsidRPr="008F5302">
        <w:rPr>
          <w:rFonts w:cstheme="minorHAnsi"/>
          <w:bCs/>
          <w:iCs/>
        </w:rPr>
        <w:t>, n</w:t>
      </w:r>
      <w:r w:rsidRPr="008F5302">
        <w:rPr>
          <w:rFonts w:cstheme="minorHAnsi"/>
          <w:bCs/>
          <w:iCs/>
          <w:vertAlign w:val="superscript"/>
        </w:rPr>
        <w:t>o</w:t>
      </w:r>
      <w:r w:rsidRPr="008F5302">
        <w:rPr>
          <w:rFonts w:cstheme="minorHAnsi"/>
          <w:bCs/>
          <w:iCs/>
        </w:rPr>
        <w:t xml:space="preserve"> 80018/12, §§ 70-71, 18 octobre 2018</w:t>
      </w:r>
      <w:r w:rsidRPr="008F5302">
        <w:rPr>
          <w:bCs/>
        </w:rPr>
        <w:t>).</w:t>
      </w:r>
    </w:p>
    <w:bookmarkStart w:name="para58" w:id="34"/>
    <w:p w:rsidRPr="008F5302" w:rsidR="00DC5B61" w:rsidP="008F5302" w14:paraId="416B36A4" w14:textId="330182B5">
      <w:pPr>
        <w:pStyle w:val="JuPara"/>
        <w:rPr>
          <w:rFonts w:cstheme="minorHAnsi"/>
          <w:bCs/>
        </w:rPr>
      </w:pPr>
      <w:r w:rsidRPr="008F5302">
        <w:rPr>
          <w:rFonts w:cstheme="minorHAnsi"/>
          <w:bCs/>
        </w:rPr>
        <w:fldChar w:fldCharType="begin"/>
      </w:r>
      <w:r w:rsidRPr="008F5302">
        <w:rPr>
          <w:rFonts w:cstheme="minorHAnsi"/>
          <w:bCs/>
        </w:rPr>
        <w:instrText xml:space="preserve"> SEQ level0 \*arabic \* MERGEFORMAT </w:instrText>
      </w:r>
      <w:r w:rsidRPr="008F5302">
        <w:rPr>
          <w:rFonts w:cstheme="minorHAnsi"/>
          <w:bCs/>
        </w:rPr>
        <w:fldChar w:fldCharType="separate"/>
      </w:r>
      <w:r w:rsidRPr="008F5302" w:rsidR="008F5302">
        <w:rPr>
          <w:rFonts w:cstheme="minorHAnsi"/>
          <w:bCs/>
          <w:noProof/>
        </w:rPr>
        <w:t>40</w:t>
      </w:r>
      <w:r w:rsidRPr="008F5302">
        <w:rPr>
          <w:rFonts w:cstheme="minorHAnsi"/>
        </w:rPr>
        <w:fldChar w:fldCharType="end"/>
      </w:r>
      <w:bookmarkEnd w:id="34"/>
      <w:r w:rsidRPr="008F5302">
        <w:rPr>
          <w:rFonts w:cstheme="minorHAnsi"/>
          <w:bCs/>
        </w:rPr>
        <w:t xml:space="preserve">.  Eu égard à ce qui précède, la Cour considère que le second critère </w:t>
      </w:r>
      <w:r w:rsidRPr="008F5302">
        <w:rPr>
          <w:rFonts w:cstheme="minorHAnsi"/>
          <w:bCs/>
          <w:i/>
          <w:iCs/>
        </w:rPr>
        <w:t>Eskelinen</w:t>
      </w:r>
      <w:r w:rsidRPr="008F5302">
        <w:rPr>
          <w:rFonts w:cstheme="minorHAnsi"/>
          <w:bCs/>
        </w:rPr>
        <w:t xml:space="preserve"> n</w:t>
      </w:r>
      <w:r w:rsidRPr="008F5302" w:rsidR="008F5302">
        <w:rPr>
          <w:rFonts w:cstheme="minorHAnsi"/>
          <w:bCs/>
        </w:rPr>
        <w:t>’</w:t>
      </w:r>
      <w:r w:rsidRPr="008F5302">
        <w:rPr>
          <w:rFonts w:cstheme="minorHAnsi"/>
          <w:bCs/>
        </w:rPr>
        <w:t>est pas satisfait en l</w:t>
      </w:r>
      <w:r w:rsidRPr="008F5302" w:rsidR="008F5302">
        <w:rPr>
          <w:rFonts w:cstheme="minorHAnsi"/>
          <w:bCs/>
        </w:rPr>
        <w:t>’</w:t>
      </w:r>
      <w:r w:rsidRPr="008F5302">
        <w:rPr>
          <w:rFonts w:cstheme="minorHAnsi"/>
          <w:bCs/>
        </w:rPr>
        <w:t>occurrence, et elle conclut en conséquence que l</w:t>
      </w:r>
      <w:r w:rsidRPr="008F5302" w:rsidR="008F5302">
        <w:rPr>
          <w:rFonts w:cstheme="minorHAnsi"/>
          <w:bCs/>
        </w:rPr>
        <w:t>’</w:t>
      </w:r>
      <w:r w:rsidRPr="008F5302">
        <w:rPr>
          <w:rFonts w:cstheme="minorHAnsi"/>
          <w:bCs/>
        </w:rPr>
        <w:t>article</w:t>
      </w:r>
      <w:r w:rsidRPr="008F5302" w:rsidR="00CF5959">
        <w:rPr>
          <w:rFonts w:cstheme="minorHAnsi"/>
          <w:bCs/>
        </w:rPr>
        <w:t xml:space="preserve"> </w:t>
      </w:r>
      <w:r w:rsidRPr="008F5302">
        <w:rPr>
          <w:rFonts w:cstheme="minorHAnsi"/>
          <w:bCs/>
        </w:rPr>
        <w:t>6 §</w:t>
      </w:r>
      <w:r w:rsidRPr="008F5302" w:rsidR="00CF5959">
        <w:rPr>
          <w:rFonts w:cstheme="minorHAnsi"/>
          <w:bCs/>
        </w:rPr>
        <w:t xml:space="preserve"> </w:t>
      </w:r>
      <w:r w:rsidRPr="008F5302">
        <w:rPr>
          <w:rFonts w:cstheme="minorHAnsi"/>
          <w:bCs/>
        </w:rPr>
        <w:t>1 sous son volet civil est applicable en l</w:t>
      </w:r>
      <w:r w:rsidRPr="008F5302" w:rsidR="008F5302">
        <w:rPr>
          <w:rFonts w:cstheme="minorHAnsi"/>
          <w:bCs/>
        </w:rPr>
        <w:t>’</w:t>
      </w:r>
      <w:r w:rsidRPr="008F5302">
        <w:rPr>
          <w:rFonts w:cstheme="minorHAnsi"/>
          <w:bCs/>
        </w:rPr>
        <w:t>espèce.</w:t>
      </w:r>
      <w:r w:rsidRPr="008F5302">
        <w:rPr>
          <w:rFonts w:cstheme="minorHAnsi"/>
        </w:rPr>
        <w:t xml:space="preserve"> </w:t>
      </w:r>
      <w:r w:rsidRPr="008F5302">
        <w:rPr>
          <w:rFonts w:cstheme="minorHAnsi"/>
          <w:bCs/>
        </w:rPr>
        <w:t>Il s</w:t>
      </w:r>
      <w:r w:rsidRPr="008F5302" w:rsidR="008F5302">
        <w:rPr>
          <w:rFonts w:cstheme="minorHAnsi"/>
          <w:bCs/>
        </w:rPr>
        <w:t>’</w:t>
      </w:r>
      <w:r w:rsidRPr="008F5302">
        <w:rPr>
          <w:rFonts w:cstheme="minorHAnsi"/>
          <w:bCs/>
        </w:rPr>
        <w:t>ensuit que l</w:t>
      </w:r>
      <w:r w:rsidRPr="008F5302" w:rsidR="008F5302">
        <w:rPr>
          <w:rFonts w:cstheme="minorHAnsi"/>
          <w:bCs/>
        </w:rPr>
        <w:t>’</w:t>
      </w:r>
      <w:r w:rsidRPr="008F5302">
        <w:rPr>
          <w:rFonts w:cstheme="minorHAnsi"/>
          <w:bCs/>
        </w:rPr>
        <w:t>exception d</w:t>
      </w:r>
      <w:r w:rsidRPr="008F5302" w:rsidR="008F5302">
        <w:rPr>
          <w:rFonts w:cstheme="minorHAnsi"/>
          <w:bCs/>
        </w:rPr>
        <w:t>’</w:t>
      </w:r>
      <w:r w:rsidRPr="008F5302">
        <w:rPr>
          <w:rFonts w:cstheme="minorHAnsi"/>
          <w:bCs/>
        </w:rPr>
        <w:t>inapplicabilité de l</w:t>
      </w:r>
      <w:r w:rsidRPr="008F5302" w:rsidR="008F5302">
        <w:rPr>
          <w:rFonts w:cstheme="minorHAnsi"/>
          <w:bCs/>
        </w:rPr>
        <w:t>’</w:t>
      </w:r>
      <w:r w:rsidRPr="008F5302">
        <w:rPr>
          <w:rFonts w:cstheme="minorHAnsi"/>
          <w:bCs/>
        </w:rPr>
        <w:t>article</w:t>
      </w:r>
      <w:r w:rsidRPr="008F5302" w:rsidR="00CF5959">
        <w:rPr>
          <w:rFonts w:cstheme="minorHAnsi"/>
          <w:bCs/>
        </w:rPr>
        <w:t xml:space="preserve"> </w:t>
      </w:r>
      <w:r w:rsidRPr="008F5302">
        <w:rPr>
          <w:rFonts w:cstheme="minorHAnsi"/>
          <w:bCs/>
        </w:rPr>
        <w:t>6</w:t>
      </w:r>
      <w:r w:rsidRPr="008F5302" w:rsidR="00CF5959">
        <w:rPr>
          <w:rFonts w:cstheme="minorHAnsi"/>
          <w:bCs/>
        </w:rPr>
        <w:t xml:space="preserve"> </w:t>
      </w:r>
      <w:r w:rsidRPr="008F5302">
        <w:rPr>
          <w:rFonts w:cstheme="minorHAnsi"/>
          <w:bCs/>
        </w:rPr>
        <w:t>§</w:t>
      </w:r>
      <w:r w:rsidRPr="008F5302" w:rsidR="00CF5959">
        <w:rPr>
          <w:rFonts w:cstheme="minorHAnsi"/>
          <w:bCs/>
        </w:rPr>
        <w:t xml:space="preserve"> </w:t>
      </w:r>
      <w:r w:rsidRPr="008F5302">
        <w:rPr>
          <w:rFonts w:cstheme="minorHAnsi"/>
          <w:bCs/>
        </w:rPr>
        <w:t>1 soulevée par le Gouvernement doit être rejetée.</w:t>
      </w:r>
    </w:p>
    <w:p w:rsidRPr="008F5302" w:rsidR="00DC5B61" w:rsidP="008F5302" w14:paraId="491BFE87" w14:textId="0DB9EC0D">
      <w:pPr>
        <w:pStyle w:val="JuH1"/>
      </w:pPr>
      <w:r w:rsidRPr="008F5302">
        <w:t>Sur l</w:t>
      </w:r>
      <w:r w:rsidRPr="008F5302" w:rsidR="008F5302">
        <w:t>’</w:t>
      </w:r>
      <w:r w:rsidRPr="008F5302">
        <w:t>épuisement des voies de recours internes</w:t>
      </w:r>
    </w:p>
    <w:bookmarkStart w:name="para47" w:id="35"/>
    <w:p w:rsidRPr="008F5302" w:rsidR="00DC5B61" w:rsidP="008F5302" w14:paraId="52006FC9" w14:textId="7A7F97AE">
      <w:pPr>
        <w:pStyle w:val="JuPara"/>
        <w:rPr>
          <w:bCs/>
        </w:rPr>
      </w:pPr>
      <w:r w:rsidRPr="008F5302">
        <w:fldChar w:fldCharType="begin"/>
      </w:r>
      <w:r w:rsidRPr="008F5302">
        <w:instrText xml:space="preserve"> SEQ level0 \*arabic \* MERGEFORMAT </w:instrText>
      </w:r>
      <w:r w:rsidRPr="008F5302">
        <w:fldChar w:fldCharType="separate"/>
      </w:r>
      <w:r w:rsidRPr="008F5302" w:rsidR="008F5302">
        <w:rPr>
          <w:noProof/>
        </w:rPr>
        <w:t>41</w:t>
      </w:r>
      <w:r w:rsidRPr="008F5302">
        <w:fldChar w:fldCharType="end"/>
      </w:r>
      <w:bookmarkEnd w:id="35"/>
      <w:r w:rsidRPr="008F5302">
        <w:t>.  À la lumière de l</w:t>
      </w:r>
      <w:r w:rsidRPr="008F5302" w:rsidR="008F5302">
        <w:t>’</w:t>
      </w:r>
      <w:r w:rsidRPr="008F5302">
        <w:t>ensemble des considérations qui précèdent (paragraphes</w:t>
      </w:r>
      <w:r w:rsidRPr="008F5302">
        <w:rPr>
          <w:bCs/>
        </w:rPr>
        <w:t xml:space="preserve"> </w:t>
      </w:r>
      <w:r w:rsidRPr="008F5302">
        <w:rPr>
          <w:bCs/>
        </w:rPr>
        <w:fldChar w:fldCharType="begin"/>
      </w:r>
      <w:r w:rsidRPr="008F5302">
        <w:rPr>
          <w:bCs/>
        </w:rPr>
        <w:instrText xml:space="preserve"> REF para39 \h </w:instrText>
      </w:r>
      <w:r w:rsidRPr="008F5302">
        <w:rPr>
          <w:bCs/>
        </w:rPr>
        <w:fldChar w:fldCharType="separate"/>
      </w:r>
      <w:r w:rsidRPr="008F5302" w:rsidR="008F5302">
        <w:rPr>
          <w:rFonts w:cstheme="minorHAnsi"/>
          <w:noProof/>
        </w:rPr>
        <w:t>33</w:t>
      </w:r>
      <w:r w:rsidRPr="008F5302">
        <w:rPr>
          <w:bCs/>
        </w:rPr>
        <w:fldChar w:fldCharType="end"/>
      </w:r>
      <w:r w:rsidRPr="008F5302">
        <w:rPr>
          <w:bCs/>
        </w:rPr>
        <w:t>-</w:t>
      </w:r>
      <w:r w:rsidRPr="008F5302">
        <w:rPr>
          <w:bCs/>
        </w:rPr>
        <w:fldChar w:fldCharType="begin"/>
      </w:r>
      <w:r w:rsidRPr="008F5302">
        <w:rPr>
          <w:bCs/>
        </w:rPr>
        <w:instrText xml:space="preserve"> REF para40 \h </w:instrText>
      </w:r>
      <w:r w:rsidRPr="008F5302">
        <w:rPr>
          <w:bCs/>
        </w:rPr>
        <w:fldChar w:fldCharType="separate"/>
      </w:r>
      <w:r w:rsidRPr="008F5302" w:rsidR="008F5302">
        <w:rPr>
          <w:rFonts w:cstheme="minorHAnsi"/>
          <w:noProof/>
        </w:rPr>
        <w:t>34</w:t>
      </w:r>
      <w:r w:rsidRPr="008F5302">
        <w:rPr>
          <w:bCs/>
        </w:rPr>
        <w:fldChar w:fldCharType="end"/>
      </w:r>
      <w:r w:rsidRPr="008F5302">
        <w:rPr>
          <w:bCs/>
        </w:rPr>
        <w:t xml:space="preserve"> ci-dessus), la Cour conclut que le requérant ne disposait à l</w:t>
      </w:r>
      <w:r w:rsidRPr="008F5302" w:rsidR="008F5302">
        <w:rPr>
          <w:bCs/>
        </w:rPr>
        <w:t>’</w:t>
      </w:r>
      <w:r w:rsidRPr="008F5302">
        <w:rPr>
          <w:bCs/>
        </w:rPr>
        <w:t>époque des faits, pour faire contrôler la mesure qui le visait, d</w:t>
      </w:r>
      <w:r w:rsidRPr="008F5302" w:rsidR="008F5302">
        <w:rPr>
          <w:bCs/>
        </w:rPr>
        <w:t>’</w:t>
      </w:r>
      <w:r w:rsidRPr="008F5302">
        <w:rPr>
          <w:bCs/>
        </w:rPr>
        <w:t>aucune voie de recours effective au sens de l</w:t>
      </w:r>
      <w:r w:rsidRPr="008F5302" w:rsidR="008F5302">
        <w:rPr>
          <w:bCs/>
        </w:rPr>
        <w:t>’</w:t>
      </w:r>
      <w:r w:rsidRPr="008F5302">
        <w:rPr>
          <w:bCs/>
        </w:rPr>
        <w:t>article</w:t>
      </w:r>
      <w:r w:rsidRPr="008F5302" w:rsidR="00CF5959">
        <w:rPr>
          <w:bCs/>
        </w:rPr>
        <w:t xml:space="preserve"> </w:t>
      </w:r>
      <w:r w:rsidRPr="008F5302">
        <w:rPr>
          <w:bCs/>
        </w:rPr>
        <w:t>35 §</w:t>
      </w:r>
      <w:r w:rsidRPr="008F5302" w:rsidR="00CF5959">
        <w:rPr>
          <w:bCs/>
        </w:rPr>
        <w:t xml:space="preserve"> </w:t>
      </w:r>
      <w:r w:rsidRPr="008F5302">
        <w:rPr>
          <w:bCs/>
        </w:rPr>
        <w:t>1 de la Convention. Il s</w:t>
      </w:r>
      <w:r w:rsidRPr="008F5302" w:rsidR="008F5302">
        <w:rPr>
          <w:bCs/>
        </w:rPr>
        <w:t>’</w:t>
      </w:r>
      <w:r w:rsidRPr="008F5302">
        <w:rPr>
          <w:bCs/>
        </w:rPr>
        <w:t>ensuit que l</w:t>
      </w:r>
      <w:r w:rsidRPr="008F5302" w:rsidR="008F5302">
        <w:rPr>
          <w:bCs/>
        </w:rPr>
        <w:t>’</w:t>
      </w:r>
      <w:r w:rsidRPr="008F5302">
        <w:rPr>
          <w:bCs/>
        </w:rPr>
        <w:t>exception de non</w:t>
      </w:r>
      <w:r w:rsidRPr="008F5302">
        <w:rPr>
          <w:bCs/>
        </w:rPr>
        <w:noBreakHyphen/>
        <w:t>épuisement des voies de recours internes soulevée par le Gouvernement à cet égard ne saurait être retenue.</w:t>
      </w:r>
    </w:p>
    <w:p w:rsidRPr="008F5302" w:rsidR="00DC5B61" w:rsidP="008F5302" w14:paraId="75CD5DB0" w14:textId="1CF86809">
      <w:pPr>
        <w:pStyle w:val="JuPara"/>
      </w:pPr>
      <w:r>
        <w:fldChar w:fldCharType="begin"/>
      </w:r>
      <w:r>
        <w:instrText xml:space="preserve"> SEQ level0 \*arabic \* MERGEFORMAT </w:instrText>
      </w:r>
      <w:r>
        <w:fldChar w:fldCharType="separate"/>
      </w:r>
      <w:r w:rsidRPr="008F5302" w:rsidR="008F5302">
        <w:rPr>
          <w:noProof/>
        </w:rPr>
        <w:t>42</w:t>
      </w:r>
      <w:r w:rsidRPr="008F5302" w:rsidR="008F5302">
        <w:rPr>
          <w:noProof/>
        </w:rPr>
        <w:fldChar w:fldCharType="end"/>
      </w:r>
      <w:r w:rsidRPr="008F5302">
        <w:t>.  Constatant que ce grief n</w:t>
      </w:r>
      <w:r w:rsidRPr="008F5302" w:rsidR="008F5302">
        <w:t>’</w:t>
      </w:r>
      <w:r w:rsidRPr="008F5302">
        <w:t>est pas manifestement mal fondé ni irrecevable pour un autre motif visé à l</w:t>
      </w:r>
      <w:r w:rsidRPr="008F5302" w:rsidR="008F5302">
        <w:t>’</w:t>
      </w:r>
      <w:r w:rsidRPr="008F5302">
        <w:t>article</w:t>
      </w:r>
      <w:r w:rsidRPr="008F5302" w:rsidR="00CF5959">
        <w:t xml:space="preserve"> </w:t>
      </w:r>
      <w:r w:rsidRPr="008F5302">
        <w:t>35 de la Convention, la Cour le déclare recevable.</w:t>
      </w:r>
    </w:p>
    <w:p w:rsidRPr="008F5302" w:rsidR="00DC5B61" w:rsidP="008F5302" w14:paraId="629029D0" w14:textId="77777777">
      <w:pPr>
        <w:pStyle w:val="JuHA"/>
        <w:numPr>
          <w:ilvl w:val="2"/>
          <w:numId w:val="23"/>
        </w:numPr>
        <w:ind w:left="1224" w:hanging="504"/>
      </w:pPr>
      <w:r w:rsidRPr="008F5302">
        <w:t>Sur le fond</w:t>
      </w:r>
    </w:p>
    <w:p w:rsidRPr="008F5302" w:rsidR="00DC5B61" w:rsidP="008F5302" w14:paraId="4FA0FA96" w14:textId="77777777">
      <w:pPr>
        <w:pStyle w:val="JuH1"/>
        <w:numPr>
          <w:ilvl w:val="0"/>
          <w:numId w:val="0"/>
        </w:numPr>
        <w:ind w:left="680" w:hanging="340"/>
      </w:pPr>
      <w:r w:rsidRPr="008F5302">
        <w:t>1.</w:t>
      </w:r>
      <w:r w:rsidRPr="008F5302">
        <w:tab/>
        <w:t>Thèses des parties</w:t>
      </w:r>
    </w:p>
    <w:p w:rsidRPr="008F5302" w:rsidR="00DC5B61" w:rsidP="008F5302" w14:paraId="6DBA2727" w14:textId="77777777">
      <w:pPr>
        <w:pStyle w:val="JuHa0"/>
      </w:pPr>
      <w:r w:rsidRPr="008F5302">
        <w:t>Le requérant</w:t>
      </w:r>
    </w:p>
    <w:bookmarkStart w:name="para49" w:id="36"/>
    <w:p w:rsidRPr="008F5302" w:rsidR="00DC5B61" w:rsidP="008F5302" w14:paraId="197CFB21" w14:textId="06EB239F">
      <w:pPr>
        <w:pStyle w:val="JuPara"/>
        <w:rPr>
          <w:iCs/>
        </w:rPr>
      </w:pPr>
      <w:r w:rsidRPr="008F5302">
        <w:fldChar w:fldCharType="begin"/>
      </w:r>
      <w:r w:rsidRPr="008F5302">
        <w:instrText xml:space="preserve"> SEQ level0 \*arabic </w:instrText>
      </w:r>
      <w:r w:rsidRPr="008F5302">
        <w:fldChar w:fldCharType="separate"/>
      </w:r>
      <w:r w:rsidRPr="008F5302" w:rsidR="008F5302">
        <w:rPr>
          <w:noProof/>
        </w:rPr>
        <w:t>43</w:t>
      </w:r>
      <w:r w:rsidRPr="008F5302">
        <w:fldChar w:fldCharType="end"/>
      </w:r>
      <w:bookmarkEnd w:id="36"/>
      <w:r w:rsidRPr="008F5302">
        <w:t>.  Le requérant soutient avoir exercé sans succès le recours indiqué par le CSP dans sa décision du 5</w:t>
      </w:r>
      <w:r w:rsidRPr="008F5302" w:rsidR="00D3540D">
        <w:t xml:space="preserve"> </w:t>
      </w:r>
      <w:r w:rsidRPr="008F5302">
        <w:t xml:space="preserve">octobre 2021 pour contester la désignation du procureur V.F. et demander la levée de sa suspension de fonctions. Selon lui, </w:t>
      </w:r>
      <w:r w:rsidRPr="008F5302">
        <w:rPr>
          <w:iCs/>
        </w:rPr>
        <w:t>les procureurs doivent bénéficier des mêmes garanties que les juges en matière d</w:t>
      </w:r>
      <w:r w:rsidRPr="008F5302" w:rsidR="008F5302">
        <w:rPr>
          <w:iCs/>
        </w:rPr>
        <w:t>’</w:t>
      </w:r>
      <w:r w:rsidRPr="008F5302">
        <w:rPr>
          <w:iCs/>
        </w:rPr>
        <w:t>accès à un tribunal. Il argue que la présente affaire est similaire à l</w:t>
      </w:r>
      <w:r w:rsidRPr="008F5302" w:rsidR="008F5302">
        <w:rPr>
          <w:iCs/>
        </w:rPr>
        <w:t>’</w:t>
      </w:r>
      <w:r w:rsidRPr="008F5302">
        <w:rPr>
          <w:iCs/>
        </w:rPr>
        <w:t xml:space="preserve">affaire </w:t>
      </w:r>
      <w:r w:rsidRPr="008F5302">
        <w:rPr>
          <w:i/>
        </w:rPr>
        <w:t>Kövesi</w:t>
      </w:r>
      <w:r w:rsidRPr="008F5302">
        <w:rPr>
          <w:i/>
        </w:rPr>
        <w:t xml:space="preserve"> </w:t>
      </w:r>
      <w:r w:rsidRPr="008F5302">
        <w:rPr>
          <w:iCs/>
        </w:rPr>
        <w:t>précitée. Il explique que le droit interne ne prévoit pas d</w:t>
      </w:r>
      <w:r w:rsidRPr="008F5302" w:rsidR="008F5302">
        <w:rPr>
          <w:iCs/>
        </w:rPr>
        <w:t>’</w:t>
      </w:r>
      <w:r w:rsidRPr="008F5302">
        <w:rPr>
          <w:iCs/>
        </w:rPr>
        <w:t>une manière claire le mode de désignation par le CSP du procureur chargé des poursuites contre le procureur général. Il estime enfin qu</w:t>
      </w:r>
      <w:r w:rsidRPr="008F5302" w:rsidR="008F5302">
        <w:rPr>
          <w:iCs/>
        </w:rPr>
        <w:t>’</w:t>
      </w:r>
      <w:r w:rsidRPr="008F5302">
        <w:rPr>
          <w:iCs/>
        </w:rPr>
        <w:t>il était fondé à s</w:t>
      </w:r>
      <w:r w:rsidRPr="008F5302" w:rsidR="008F5302">
        <w:rPr>
          <w:iCs/>
        </w:rPr>
        <w:t>’</w:t>
      </w:r>
      <w:r w:rsidRPr="008F5302">
        <w:rPr>
          <w:iCs/>
        </w:rPr>
        <w:t>attendre à ce que les tribunaux internes examinassent sa contestation.</w:t>
      </w:r>
    </w:p>
    <w:p w:rsidRPr="008F5302" w:rsidR="00DC5B61" w:rsidP="008F5302" w14:paraId="6ABAF37B" w14:textId="1F04DBF1">
      <w:pPr>
        <w:pStyle w:val="JuPara"/>
        <w:rPr>
          <w:iCs/>
        </w:rPr>
      </w:pPr>
      <w:r w:rsidRPr="008F5302">
        <w:rPr>
          <w:iCs/>
        </w:rPr>
        <w:fldChar w:fldCharType="begin"/>
      </w:r>
      <w:r w:rsidRPr="008F5302">
        <w:rPr>
          <w:iCs/>
        </w:rPr>
        <w:instrText xml:space="preserve"> SEQ level0 \*arabic \* MERGEFORMAT </w:instrText>
      </w:r>
      <w:r w:rsidRPr="008F5302">
        <w:rPr>
          <w:iCs/>
        </w:rPr>
        <w:fldChar w:fldCharType="separate"/>
      </w:r>
      <w:r w:rsidRPr="008F5302" w:rsidR="008F5302">
        <w:rPr>
          <w:iCs/>
          <w:noProof/>
        </w:rPr>
        <w:t>44</w:t>
      </w:r>
      <w:r w:rsidRPr="008F5302">
        <w:rPr>
          <w:iCs/>
        </w:rPr>
        <w:fldChar w:fldCharType="end"/>
      </w:r>
      <w:r w:rsidRPr="008F5302">
        <w:rPr>
          <w:iCs/>
        </w:rPr>
        <w:t>.  Il insiste sur la double circonstance que, d</w:t>
      </w:r>
      <w:r w:rsidRPr="008F5302" w:rsidR="008F5302">
        <w:rPr>
          <w:iCs/>
        </w:rPr>
        <w:t>’</w:t>
      </w:r>
      <w:r w:rsidRPr="008F5302">
        <w:rPr>
          <w:iCs/>
        </w:rPr>
        <w:t>une part, la voie de recours qu</w:t>
      </w:r>
      <w:r w:rsidRPr="008F5302" w:rsidR="008F5302">
        <w:rPr>
          <w:iCs/>
        </w:rPr>
        <w:t>’</w:t>
      </w:r>
      <w:r w:rsidRPr="008F5302">
        <w:rPr>
          <w:iCs/>
        </w:rPr>
        <w:t>il a utilisée était expressément indiquée dans le dispositif de la décision du CSP du 5</w:t>
      </w:r>
      <w:r w:rsidRPr="008F5302" w:rsidR="00D3540D">
        <w:rPr>
          <w:iCs/>
        </w:rPr>
        <w:t xml:space="preserve"> </w:t>
      </w:r>
      <w:r w:rsidRPr="008F5302">
        <w:rPr>
          <w:iCs/>
        </w:rPr>
        <w:t>octobre 2021 et que, d</w:t>
      </w:r>
      <w:r w:rsidRPr="008F5302" w:rsidR="008F5302">
        <w:rPr>
          <w:iCs/>
        </w:rPr>
        <w:t>’</w:t>
      </w:r>
      <w:r w:rsidRPr="008F5302">
        <w:rPr>
          <w:iCs/>
        </w:rPr>
        <w:t>autre part, le CPP ne prévoit pas de recours contre la désignation d</w:t>
      </w:r>
      <w:r w:rsidRPr="008F5302" w:rsidR="008F5302">
        <w:rPr>
          <w:iCs/>
        </w:rPr>
        <w:t>’</w:t>
      </w:r>
      <w:r w:rsidRPr="008F5302">
        <w:rPr>
          <w:iCs/>
        </w:rPr>
        <w:t>un procureur dans les conditions de l</w:t>
      </w:r>
      <w:r w:rsidRPr="008F5302" w:rsidR="008F5302">
        <w:rPr>
          <w:iCs/>
        </w:rPr>
        <w:t>’</w:t>
      </w:r>
      <w:r w:rsidRPr="008F5302">
        <w:rPr>
          <w:iCs/>
        </w:rPr>
        <w:t>article 34 de la loi sur le ministère public (paragraphe</w:t>
      </w:r>
      <w:r w:rsidRPr="008F5302" w:rsidR="002A43CC">
        <w:rPr>
          <w:iCs/>
        </w:rPr>
        <w:t xml:space="preserve"> </w:t>
      </w:r>
      <w:r w:rsidRPr="008F5302">
        <w:rPr>
          <w:iCs/>
        </w:rPr>
        <w:fldChar w:fldCharType="begin"/>
      </w:r>
      <w:r w:rsidRPr="008F5302">
        <w:rPr>
          <w:iCs/>
        </w:rPr>
        <w:instrText xml:space="preserve"> REF para17 \h </w:instrText>
      </w:r>
      <w:r w:rsidRPr="008F5302">
        <w:rPr>
          <w:iCs/>
        </w:rPr>
        <w:fldChar w:fldCharType="separate"/>
      </w:r>
      <w:r w:rsidRPr="008F5302" w:rsidR="008F5302">
        <w:rPr>
          <w:noProof/>
        </w:rPr>
        <w:t>18</w:t>
      </w:r>
      <w:r w:rsidRPr="008F5302">
        <w:rPr>
          <w:iCs/>
        </w:rPr>
        <w:fldChar w:fldCharType="end"/>
      </w:r>
      <w:r w:rsidRPr="008F5302">
        <w:rPr>
          <w:iCs/>
        </w:rPr>
        <w:t xml:space="preserve"> ci</w:t>
      </w:r>
      <w:r w:rsidRPr="008F5302">
        <w:rPr>
          <w:iCs/>
        </w:rPr>
        <w:noBreakHyphen/>
        <w:t>dessus). Selon lui, la base légale indiquée par le Gouvernement à l</w:t>
      </w:r>
      <w:r w:rsidRPr="008F5302" w:rsidR="008F5302">
        <w:rPr>
          <w:iCs/>
        </w:rPr>
        <w:t>’</w:t>
      </w:r>
      <w:r w:rsidRPr="008F5302">
        <w:rPr>
          <w:iCs/>
        </w:rPr>
        <w:t>appui de l</w:t>
      </w:r>
      <w:r w:rsidRPr="008F5302" w:rsidR="008F5302">
        <w:rPr>
          <w:iCs/>
        </w:rPr>
        <w:t>’</w:t>
      </w:r>
      <w:r w:rsidRPr="008F5302">
        <w:rPr>
          <w:iCs/>
        </w:rPr>
        <w:t>exception de non-épuisement qu</w:t>
      </w:r>
      <w:r w:rsidRPr="008F5302" w:rsidR="008F5302">
        <w:rPr>
          <w:iCs/>
        </w:rPr>
        <w:t>’</w:t>
      </w:r>
      <w:r w:rsidRPr="008F5302">
        <w:rPr>
          <w:iCs/>
        </w:rPr>
        <w:t>il soulève, notamment l</w:t>
      </w:r>
      <w:r w:rsidRPr="008F5302" w:rsidR="008F5302">
        <w:rPr>
          <w:iCs/>
        </w:rPr>
        <w:t>’</w:t>
      </w:r>
      <w:r w:rsidRPr="008F5302">
        <w:rPr>
          <w:iCs/>
        </w:rPr>
        <w:t>article</w:t>
      </w:r>
      <w:r w:rsidRPr="008F5302" w:rsidR="00F27073">
        <w:rPr>
          <w:iCs/>
        </w:rPr>
        <w:t xml:space="preserve"> </w:t>
      </w:r>
      <w:r w:rsidRPr="008F5302">
        <w:rPr>
          <w:iCs/>
        </w:rPr>
        <w:t>313 du CPP, est sans rapport avec les circonstances de l</w:t>
      </w:r>
      <w:r w:rsidRPr="008F5302" w:rsidR="008F5302">
        <w:rPr>
          <w:iCs/>
        </w:rPr>
        <w:t>’</w:t>
      </w:r>
      <w:r w:rsidRPr="008F5302">
        <w:rPr>
          <w:iCs/>
        </w:rPr>
        <w:t xml:space="preserve">espèce. En effet, explique-t-il, la disposition en question prévoit la possibilité de formuler une contestation </w:t>
      </w:r>
      <w:r w:rsidRPr="008F5302">
        <w:rPr>
          <w:iCs/>
        </w:rPr>
        <w:t>contre le résultat d</w:t>
      </w:r>
      <w:r w:rsidRPr="008F5302" w:rsidR="008F5302">
        <w:rPr>
          <w:iCs/>
        </w:rPr>
        <w:t>’</w:t>
      </w:r>
      <w:r w:rsidRPr="008F5302">
        <w:rPr>
          <w:iCs/>
        </w:rPr>
        <w:t>une plainte pénale ou contre l</w:t>
      </w:r>
      <w:r w:rsidRPr="008F5302" w:rsidR="008F5302">
        <w:rPr>
          <w:iCs/>
        </w:rPr>
        <w:t>’</w:t>
      </w:r>
      <w:r w:rsidRPr="008F5302">
        <w:rPr>
          <w:iCs/>
        </w:rPr>
        <w:t xml:space="preserve">inactivité du procureur, et concerne donc un autre stade de la procédure (paragraphe </w:t>
      </w:r>
      <w:r w:rsidRPr="008F5302">
        <w:rPr>
          <w:iCs/>
        </w:rPr>
        <w:fldChar w:fldCharType="begin"/>
      </w:r>
      <w:r w:rsidRPr="008F5302">
        <w:rPr>
          <w:iCs/>
        </w:rPr>
        <w:instrText xml:space="preserve"> REF para20 \h  \* CharFormat </w:instrText>
      </w:r>
      <w:r w:rsidRPr="008F5302">
        <w:rPr>
          <w:iCs/>
        </w:rPr>
        <w:fldChar w:fldCharType="separate"/>
      </w:r>
      <w:r w:rsidRPr="008F5302" w:rsidR="008F5302">
        <w:rPr>
          <w:iCs/>
        </w:rPr>
        <w:t>21</w:t>
      </w:r>
      <w:r w:rsidRPr="008F5302">
        <w:rPr>
          <w:iCs/>
        </w:rPr>
        <w:fldChar w:fldCharType="end"/>
      </w:r>
      <w:r w:rsidRPr="008F5302">
        <w:rPr>
          <w:iCs/>
        </w:rPr>
        <w:t xml:space="preserve"> ci-dessus).</w:t>
      </w:r>
    </w:p>
    <w:p w:rsidRPr="008F5302" w:rsidR="00DC5B61" w:rsidP="008F5302" w14:paraId="211BB55D" w14:textId="6C0FE599">
      <w:pPr>
        <w:pStyle w:val="JuPara"/>
        <w:rPr>
          <w:iCs/>
        </w:rPr>
      </w:pPr>
      <w:r w:rsidRPr="008F5302">
        <w:rPr>
          <w:iCs/>
        </w:rPr>
        <w:fldChar w:fldCharType="begin"/>
      </w:r>
      <w:r w:rsidRPr="008F5302">
        <w:rPr>
          <w:iCs/>
        </w:rPr>
        <w:instrText xml:space="preserve"> SEQ level0 \*arabic \* MERGEFORMAT </w:instrText>
      </w:r>
      <w:r w:rsidRPr="008F5302">
        <w:rPr>
          <w:iCs/>
        </w:rPr>
        <w:fldChar w:fldCharType="separate"/>
      </w:r>
      <w:r w:rsidRPr="008F5302" w:rsidR="008F5302">
        <w:rPr>
          <w:iCs/>
          <w:noProof/>
        </w:rPr>
        <w:t>45</w:t>
      </w:r>
      <w:r w:rsidRPr="008F5302">
        <w:rPr>
          <w:iCs/>
        </w:rPr>
        <w:fldChar w:fldCharType="end"/>
      </w:r>
      <w:r w:rsidRPr="008F5302">
        <w:rPr>
          <w:iCs/>
        </w:rPr>
        <w:t>.  Le requérant estime en somme que la législation nationale excluait tout recours contre la décision du CSP portant désignation du procureur V.F. aux fins d</w:t>
      </w:r>
      <w:r w:rsidRPr="008F5302" w:rsidR="008F5302">
        <w:rPr>
          <w:iCs/>
        </w:rPr>
        <w:t>’</w:t>
      </w:r>
      <w:r w:rsidRPr="008F5302">
        <w:rPr>
          <w:iCs/>
        </w:rPr>
        <w:t>enquêter sur les faits à l</w:t>
      </w:r>
      <w:r w:rsidRPr="008F5302" w:rsidR="008F5302">
        <w:rPr>
          <w:iCs/>
        </w:rPr>
        <w:t>’</w:t>
      </w:r>
      <w:r w:rsidRPr="008F5302">
        <w:rPr>
          <w:iCs/>
        </w:rPr>
        <w:t xml:space="preserve">origine de la plainte formulée par le député L.C., et, implicitement, suspension de ses fonctions. Il renvoie également aux recommandations de la Commission de Venise, laquelle a appelé à ce que soit donnée au CSP la possibilité de décider dans chaque cas si la suspension de fonctions du procureur général est justifiée (paragraphe </w:t>
      </w:r>
      <w:r w:rsidRPr="008F5302">
        <w:rPr>
          <w:iCs/>
        </w:rPr>
        <w:fldChar w:fldCharType="begin"/>
      </w:r>
      <w:r w:rsidRPr="008F5302">
        <w:rPr>
          <w:iCs/>
        </w:rPr>
        <w:instrText xml:space="preserve"> REF para22 \h  \* CharFormat </w:instrText>
      </w:r>
      <w:r w:rsidRPr="008F5302">
        <w:rPr>
          <w:iCs/>
        </w:rPr>
        <w:fldChar w:fldCharType="separate"/>
      </w:r>
      <w:r w:rsidRPr="008F5302" w:rsidR="008F5302">
        <w:rPr>
          <w:iCs/>
        </w:rPr>
        <w:t>23</w:t>
      </w:r>
      <w:r w:rsidRPr="008F5302">
        <w:rPr>
          <w:iCs/>
        </w:rPr>
        <w:fldChar w:fldCharType="end"/>
      </w:r>
      <w:r w:rsidRPr="008F5302">
        <w:rPr>
          <w:iCs/>
        </w:rPr>
        <w:t xml:space="preserve"> ci-dessus).</w:t>
      </w:r>
    </w:p>
    <w:p w:rsidRPr="008F5302" w:rsidR="00DC5B61" w:rsidP="008F5302" w14:paraId="3F09780B" w14:textId="34B1ED93">
      <w:pPr>
        <w:pStyle w:val="JuPara"/>
        <w:rPr>
          <w:iCs/>
        </w:rPr>
      </w:pPr>
      <w:r w:rsidRPr="008F5302">
        <w:rPr>
          <w:iCs/>
        </w:rPr>
        <w:fldChar w:fldCharType="begin"/>
      </w:r>
      <w:r w:rsidRPr="008F5302">
        <w:rPr>
          <w:iCs/>
        </w:rPr>
        <w:instrText xml:space="preserve"> SEQ level0 \*arabic \* MERGEFORMAT </w:instrText>
      </w:r>
      <w:r w:rsidRPr="008F5302">
        <w:rPr>
          <w:iCs/>
        </w:rPr>
        <w:fldChar w:fldCharType="separate"/>
      </w:r>
      <w:r w:rsidRPr="008F5302" w:rsidR="008F5302">
        <w:rPr>
          <w:iCs/>
          <w:noProof/>
        </w:rPr>
        <w:t>46</w:t>
      </w:r>
      <w:r w:rsidRPr="008F5302">
        <w:rPr>
          <w:iCs/>
        </w:rPr>
        <w:fldChar w:fldCharType="end"/>
      </w:r>
      <w:r w:rsidRPr="008F5302">
        <w:rPr>
          <w:iCs/>
        </w:rPr>
        <w:t>.  En conséquence, le requérant invite la Cour à raisonner en l</w:t>
      </w:r>
      <w:r w:rsidRPr="008F5302" w:rsidR="008F5302">
        <w:rPr>
          <w:iCs/>
        </w:rPr>
        <w:t>’</w:t>
      </w:r>
      <w:r w:rsidRPr="008F5302">
        <w:rPr>
          <w:iCs/>
        </w:rPr>
        <w:t>espèce comme elle a fait dans l</w:t>
      </w:r>
      <w:r w:rsidRPr="008F5302" w:rsidR="008F5302">
        <w:rPr>
          <w:iCs/>
        </w:rPr>
        <w:t>’</w:t>
      </w:r>
      <w:r w:rsidRPr="008F5302">
        <w:rPr>
          <w:iCs/>
        </w:rPr>
        <w:t xml:space="preserve">affaire </w:t>
      </w:r>
      <w:r w:rsidRPr="008F5302">
        <w:rPr>
          <w:i/>
          <w:iCs/>
        </w:rPr>
        <w:t>Kövesi</w:t>
      </w:r>
      <w:r w:rsidRPr="008F5302">
        <w:rPr>
          <w:i/>
          <w:iCs/>
        </w:rPr>
        <w:t xml:space="preserve"> </w:t>
      </w:r>
      <w:r w:rsidRPr="008F5302">
        <w:rPr>
          <w:iCs/>
        </w:rPr>
        <w:t>précitée (§§</w:t>
      </w:r>
      <w:r w:rsidRPr="008F5302" w:rsidR="00F27073">
        <w:rPr>
          <w:iCs/>
        </w:rPr>
        <w:t xml:space="preserve"> </w:t>
      </w:r>
      <w:r w:rsidRPr="008F5302">
        <w:rPr>
          <w:iCs/>
        </w:rPr>
        <w:t>154-158), c</w:t>
      </w:r>
      <w:r w:rsidRPr="008F5302" w:rsidR="008F5302">
        <w:rPr>
          <w:iCs/>
        </w:rPr>
        <w:t>’</w:t>
      </w:r>
      <w:r w:rsidRPr="008F5302">
        <w:rPr>
          <w:iCs/>
        </w:rPr>
        <w:t>est-à-dire à constater que l</w:t>
      </w:r>
      <w:r w:rsidRPr="008F5302" w:rsidR="008F5302">
        <w:rPr>
          <w:iCs/>
        </w:rPr>
        <w:t>’</w:t>
      </w:r>
      <w:r w:rsidRPr="008F5302">
        <w:rPr>
          <w:iCs/>
        </w:rPr>
        <w:t>article</w:t>
      </w:r>
      <w:r w:rsidRPr="008F5302" w:rsidR="00F27073">
        <w:rPr>
          <w:iCs/>
        </w:rPr>
        <w:t xml:space="preserve"> </w:t>
      </w:r>
      <w:r w:rsidRPr="008F5302">
        <w:rPr>
          <w:iCs/>
        </w:rPr>
        <w:t>6 §</w:t>
      </w:r>
      <w:r w:rsidRPr="008F5302" w:rsidR="00F27073">
        <w:rPr>
          <w:iCs/>
        </w:rPr>
        <w:t xml:space="preserve"> </w:t>
      </w:r>
      <w:r w:rsidRPr="008F5302">
        <w:rPr>
          <w:iCs/>
        </w:rPr>
        <w:t>1 de la Convention trouve à s</w:t>
      </w:r>
      <w:r w:rsidRPr="008F5302" w:rsidR="008F5302">
        <w:rPr>
          <w:iCs/>
        </w:rPr>
        <w:t>’</w:t>
      </w:r>
      <w:r w:rsidRPr="008F5302">
        <w:rPr>
          <w:iCs/>
        </w:rPr>
        <w:t>appliquer et qu</w:t>
      </w:r>
      <w:r w:rsidRPr="008F5302" w:rsidR="008F5302">
        <w:rPr>
          <w:iCs/>
        </w:rPr>
        <w:t>’</w:t>
      </w:r>
      <w:r w:rsidRPr="008F5302">
        <w:rPr>
          <w:iCs/>
        </w:rPr>
        <w:t>il y a eu violation dans son chef du droit d</w:t>
      </w:r>
      <w:r w:rsidRPr="008F5302" w:rsidR="008F5302">
        <w:rPr>
          <w:iCs/>
        </w:rPr>
        <w:t>’</w:t>
      </w:r>
      <w:r w:rsidRPr="008F5302">
        <w:rPr>
          <w:iCs/>
        </w:rPr>
        <w:t>accès à un tribunal.</w:t>
      </w:r>
    </w:p>
    <w:p w:rsidRPr="008F5302" w:rsidR="00DC5B61" w:rsidP="008F5302" w14:paraId="694F0DDE" w14:textId="77777777">
      <w:pPr>
        <w:pStyle w:val="JuHa0"/>
      </w:pPr>
      <w:r w:rsidRPr="008F5302">
        <w:t>Le Gouvernement</w:t>
      </w:r>
    </w:p>
    <w:bookmarkStart w:name="para33" w:id="37"/>
    <w:p w:rsidRPr="008F5302" w:rsidR="00DC5B61" w:rsidP="008F5302" w14:paraId="298A1BCC" w14:textId="5607A8A7">
      <w:pPr>
        <w:pStyle w:val="JuPara"/>
      </w:pPr>
      <w:r w:rsidRPr="008F5302">
        <w:fldChar w:fldCharType="begin"/>
      </w:r>
      <w:r w:rsidRPr="008F5302">
        <w:instrText xml:space="preserve"> SEQ level0 \*arabic </w:instrText>
      </w:r>
      <w:r w:rsidRPr="008F5302">
        <w:fldChar w:fldCharType="separate"/>
      </w:r>
      <w:r w:rsidRPr="008F5302" w:rsidR="008F5302">
        <w:rPr>
          <w:noProof/>
        </w:rPr>
        <w:t>47</w:t>
      </w:r>
      <w:r w:rsidRPr="008F5302">
        <w:fldChar w:fldCharType="end"/>
      </w:r>
      <w:bookmarkEnd w:id="37"/>
      <w:r w:rsidRPr="008F5302">
        <w:t>.  Le Gouvernement souligne tout d</w:t>
      </w:r>
      <w:r w:rsidRPr="008F5302" w:rsidR="008F5302">
        <w:t>’</w:t>
      </w:r>
      <w:r w:rsidRPr="008F5302">
        <w:t>abord que la procédure close par l</w:t>
      </w:r>
      <w:r w:rsidRPr="008F5302" w:rsidR="008F5302">
        <w:t>’</w:t>
      </w:r>
      <w:r w:rsidRPr="008F5302">
        <w:t>arrêt du 29</w:t>
      </w:r>
      <w:r w:rsidRPr="008F5302" w:rsidR="00C30E5F">
        <w:t xml:space="preserve"> </w:t>
      </w:r>
      <w:r w:rsidRPr="008F5302">
        <w:t>décembre 2021 de la Cour suprême portait non pas sur la suspension de fonctions du requérant, mais sur la désignation par le CSP du procureur V.F. aux fins d</w:t>
      </w:r>
      <w:r w:rsidRPr="008F5302" w:rsidR="008F5302">
        <w:t>’</w:t>
      </w:r>
      <w:r w:rsidRPr="008F5302">
        <w:t>enquêter sur les faits dénoncés par le député L.C.</w:t>
      </w:r>
    </w:p>
    <w:p w:rsidRPr="008F5302" w:rsidR="00DC5B61" w:rsidP="008F5302" w14:paraId="159C3E71" w14:textId="1DBFF385">
      <w:pPr>
        <w:pStyle w:val="JuPara"/>
      </w:pPr>
      <w:r>
        <w:fldChar w:fldCharType="begin"/>
      </w:r>
      <w:r>
        <w:instrText xml:space="preserve"> SEQ level0 \*arabic \* MERGEFORMAT </w:instrText>
      </w:r>
      <w:r>
        <w:fldChar w:fldCharType="separate"/>
      </w:r>
      <w:r w:rsidRPr="008F5302" w:rsidR="008F5302">
        <w:rPr>
          <w:noProof/>
        </w:rPr>
        <w:t>48</w:t>
      </w:r>
      <w:r>
        <w:rPr>
          <w:noProof/>
        </w:rPr>
        <w:fldChar w:fldCharType="end"/>
      </w:r>
      <w:r w:rsidRPr="008F5302">
        <w:t>.  Concernant la mention, dans le dispositif de la décision du 5 octobre 2021, de la possibilité d</w:t>
      </w:r>
      <w:r w:rsidRPr="008F5302" w:rsidR="008F5302">
        <w:t>’</w:t>
      </w:r>
      <w:r w:rsidRPr="008F5302">
        <w:t>une contestation par la voie du contentieux administratif, le Gouvernement admet, tout comme les juridictions internes, qu</w:t>
      </w:r>
      <w:r w:rsidRPr="008F5302" w:rsidR="008F5302">
        <w:t>’</w:t>
      </w:r>
      <w:r w:rsidRPr="008F5302">
        <w:t>elle résultait d</w:t>
      </w:r>
      <w:r w:rsidRPr="008F5302" w:rsidR="008F5302">
        <w:t>’</w:t>
      </w:r>
      <w:r w:rsidRPr="008F5302">
        <w:t>une erreur technique, la décision litigieuse ne constituant pas un acte administratif au sens du code administratif (paragraphe </w:t>
      </w:r>
      <w:r w:rsidRPr="008F5302">
        <w:fldChar w:fldCharType="begin"/>
      </w:r>
      <w:r w:rsidRPr="008F5302">
        <w:instrText xml:space="preserve"> REF para19 \h  \* CharFormat </w:instrText>
      </w:r>
      <w:r w:rsidRPr="008F5302">
        <w:fldChar w:fldCharType="separate"/>
      </w:r>
      <w:r w:rsidRPr="008F5302" w:rsidR="008F5302">
        <w:t>20</w:t>
      </w:r>
      <w:r w:rsidRPr="008F5302">
        <w:fldChar w:fldCharType="end"/>
      </w:r>
      <w:r w:rsidRPr="008F5302">
        <w:t xml:space="preserve"> ci</w:t>
      </w:r>
      <w:r w:rsidRPr="008F5302">
        <w:noBreakHyphen/>
        <w:t>dessus). En effet, si les décisions du CSP peuvent en principe faire l</w:t>
      </w:r>
      <w:r w:rsidRPr="008F5302" w:rsidR="008F5302">
        <w:t>’</w:t>
      </w:r>
      <w:r w:rsidRPr="008F5302">
        <w:t>objet d</w:t>
      </w:r>
      <w:r w:rsidRPr="008F5302" w:rsidR="008F5302">
        <w:t>’</w:t>
      </w:r>
      <w:r w:rsidRPr="008F5302">
        <w:t xml:space="preserve">une contestation administrative, la décision en question avait quant à elle été adoptée en vertu des pouvoirs conférés au CSP dans le domaine de la procédure pénale (paragraphe </w:t>
      </w:r>
      <w:r w:rsidRPr="008F5302">
        <w:fldChar w:fldCharType="begin"/>
      </w:r>
      <w:r w:rsidRPr="008F5302">
        <w:instrText xml:space="preserve"> REF para20 \h  \* CharFormat </w:instrText>
      </w:r>
      <w:r w:rsidRPr="008F5302">
        <w:fldChar w:fldCharType="separate"/>
      </w:r>
      <w:r w:rsidRPr="008F5302" w:rsidR="008F5302">
        <w:t>21</w:t>
      </w:r>
      <w:r w:rsidRPr="008F5302">
        <w:fldChar w:fldCharType="end"/>
      </w:r>
      <w:r w:rsidRPr="008F5302">
        <w:t xml:space="preserve"> ci-dessus). Le Gouvernement indique que le droit interne autorisait le CSP à désigner un procureur dans les conditions de l</w:t>
      </w:r>
      <w:r w:rsidRPr="008F5302" w:rsidR="008F5302">
        <w:t>’</w:t>
      </w:r>
      <w:r w:rsidRPr="008F5302">
        <w:t>article</w:t>
      </w:r>
      <w:r w:rsidRPr="008F5302" w:rsidR="00C30E5F">
        <w:t xml:space="preserve"> </w:t>
      </w:r>
      <w:r w:rsidRPr="008F5302">
        <w:t>55-1 de la loi sur le ministère public sans solliciter l</w:t>
      </w:r>
      <w:r w:rsidRPr="008F5302" w:rsidR="008F5302">
        <w:t>’</w:t>
      </w:r>
      <w:r w:rsidRPr="008F5302">
        <w:t>opinion du procureur général à cet égard, tout comme ce dernier pouvait désigner un procureur aux fins d</w:t>
      </w:r>
      <w:r w:rsidRPr="008F5302" w:rsidR="008F5302">
        <w:t>’</w:t>
      </w:r>
      <w:r w:rsidRPr="008F5302">
        <w:t>enquête sur des faits éventuellement commis par le porte</w:t>
      </w:r>
      <w:r w:rsidRPr="008F5302">
        <w:noBreakHyphen/>
        <w:t>parole du parlement, par le président de la République ou par le premier ministre. Il estime que la simple désignation par le CSP du procureur V.F. n</w:t>
      </w:r>
      <w:r w:rsidRPr="008F5302" w:rsidR="008F5302">
        <w:t>’</w:t>
      </w:r>
      <w:r w:rsidRPr="008F5302">
        <w:t>affectait pas les droits du requérant, étant donné qu</w:t>
      </w:r>
      <w:r w:rsidRPr="008F5302" w:rsidR="008F5302">
        <w:t>’</w:t>
      </w:r>
      <w:r w:rsidRPr="008F5302">
        <w:t>une telle décision ne visait pas selon lui à examiner la recevabilité de la plainte déposée par le député L.C. ou le bien-fondé de l</w:t>
      </w:r>
      <w:r w:rsidRPr="008F5302" w:rsidR="008F5302">
        <w:t>’</w:t>
      </w:r>
      <w:r w:rsidRPr="008F5302">
        <w:t>ouverture de poursuites pénales contre l</w:t>
      </w:r>
      <w:r w:rsidRPr="008F5302" w:rsidR="008F5302">
        <w:t>’</w:t>
      </w:r>
      <w:r w:rsidRPr="008F5302">
        <w:t>auteur présumé des faits qu</w:t>
      </w:r>
      <w:r w:rsidRPr="008F5302" w:rsidR="008F5302">
        <w:t>’</w:t>
      </w:r>
      <w:r w:rsidRPr="008F5302">
        <w:t>il y dénonçait.</w:t>
      </w:r>
    </w:p>
    <w:bookmarkStart w:name="para35" w:id="38"/>
    <w:p w:rsidRPr="008F5302" w:rsidR="00DC5B61" w:rsidP="008F5302" w14:paraId="261437D0" w14:textId="39566D30">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49</w:t>
      </w:r>
      <w:r w:rsidRPr="008F5302">
        <w:fldChar w:fldCharType="end"/>
      </w:r>
      <w:bookmarkEnd w:id="38"/>
      <w:r w:rsidRPr="008F5302">
        <w:t>.  Renvoyant aux opinions formulées au sujet de la présente affaire par la cour d</w:t>
      </w:r>
      <w:r w:rsidRPr="008F5302" w:rsidR="008F5302">
        <w:t>’</w:t>
      </w:r>
      <w:r w:rsidRPr="008F5302">
        <w:t xml:space="preserve">appel de </w:t>
      </w:r>
      <w:r w:rsidRPr="008F5302">
        <w:rPr>
          <w:lang w:val="ro-RO"/>
        </w:rPr>
        <w:t>Chișinău</w:t>
      </w:r>
      <w:r w:rsidRPr="008F5302">
        <w:t>, la Cour suprême et le CSP, le Gouvernement soutient que le requérant pouvait contester la désignation du procureur V.F. non pas par la voie d</w:t>
      </w:r>
      <w:r w:rsidRPr="008F5302" w:rsidR="008F5302">
        <w:t>’</w:t>
      </w:r>
      <w:r w:rsidRPr="008F5302">
        <w:t>un recours administratif, mais en déposant une plainte auprès du juge d</w:t>
      </w:r>
      <w:r w:rsidRPr="008F5302" w:rsidR="008F5302">
        <w:t>’</w:t>
      </w:r>
      <w:r w:rsidRPr="008F5302">
        <w:t>instruction sur le fondement de l</w:t>
      </w:r>
      <w:r w:rsidRPr="008F5302" w:rsidR="008F5302">
        <w:t>’</w:t>
      </w:r>
      <w:r w:rsidRPr="008F5302">
        <w:t>article</w:t>
      </w:r>
      <w:r w:rsidRPr="008F5302" w:rsidR="00C30E5F">
        <w:t xml:space="preserve"> </w:t>
      </w:r>
      <w:r w:rsidRPr="008F5302">
        <w:t xml:space="preserve">313 du CPP pour protester contre les poursuites qui le visaient (paragraphe </w:t>
      </w:r>
      <w:r w:rsidRPr="008F5302">
        <w:fldChar w:fldCharType="begin"/>
      </w:r>
      <w:r w:rsidRPr="008F5302">
        <w:instrText xml:space="preserve"> REF para20 \h </w:instrText>
      </w:r>
      <w:r w:rsidRPr="008F5302">
        <w:fldChar w:fldCharType="separate"/>
      </w:r>
      <w:r w:rsidRPr="008F5302" w:rsidR="008F5302">
        <w:rPr>
          <w:noProof/>
        </w:rPr>
        <w:t>21</w:t>
      </w:r>
      <w:r w:rsidRPr="008F5302">
        <w:fldChar w:fldCharType="end"/>
      </w:r>
      <w:r w:rsidRPr="008F5302">
        <w:t xml:space="preserve"> ci-dessus).</w:t>
      </w:r>
    </w:p>
    <w:bookmarkStart w:name="para36" w:id="39"/>
    <w:p w:rsidRPr="008F5302" w:rsidR="00DC5B61" w:rsidP="008F5302" w14:paraId="70ADFA54" w14:textId="1E6340BC">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50</w:t>
      </w:r>
      <w:r w:rsidRPr="008F5302">
        <w:fldChar w:fldCharType="end"/>
      </w:r>
      <w:bookmarkEnd w:id="39"/>
      <w:r w:rsidRPr="008F5302">
        <w:t>.  Quant à la suspension de fonctions du requérant, le Gouvernement rappelle qu</w:t>
      </w:r>
      <w:r w:rsidRPr="008F5302" w:rsidR="008F5302">
        <w:t>’</w:t>
      </w:r>
      <w:r w:rsidRPr="008F5302">
        <w:t>elle s</w:t>
      </w:r>
      <w:r w:rsidRPr="008F5302" w:rsidR="008F5302">
        <w:t>’</w:t>
      </w:r>
      <w:r w:rsidRPr="008F5302">
        <w:t xml:space="preserve">appliquait </w:t>
      </w:r>
      <w:r w:rsidRPr="008F5302">
        <w:rPr>
          <w:i/>
          <w:iCs/>
        </w:rPr>
        <w:t xml:space="preserve">ope </w:t>
      </w:r>
      <w:r w:rsidRPr="008F5302">
        <w:rPr>
          <w:i/>
          <w:iCs/>
        </w:rPr>
        <w:t>legis</w:t>
      </w:r>
      <w:r w:rsidRPr="008F5302">
        <w:t xml:space="preserve"> dès lors que des poursuites étaient engagées contre l</w:t>
      </w:r>
      <w:r w:rsidRPr="008F5302" w:rsidR="008F5302">
        <w:t>’</w:t>
      </w:r>
      <w:r w:rsidRPr="008F5302">
        <w:t>intéressé (paragraphe</w:t>
      </w:r>
      <w:r w:rsidRPr="008F5302" w:rsidR="00C30E5F">
        <w:t xml:space="preserve"> </w:t>
      </w:r>
      <w:r w:rsidRPr="008F5302">
        <w:fldChar w:fldCharType="begin"/>
      </w:r>
      <w:r w:rsidRPr="008F5302">
        <w:instrText xml:space="preserve"> REF para17 \h </w:instrText>
      </w:r>
      <w:r w:rsidRPr="008F5302">
        <w:fldChar w:fldCharType="separate"/>
      </w:r>
      <w:r w:rsidRPr="008F5302" w:rsidR="008F5302">
        <w:rPr>
          <w:noProof/>
        </w:rPr>
        <w:t>18</w:t>
      </w:r>
      <w:r w:rsidRPr="008F5302">
        <w:fldChar w:fldCharType="end"/>
      </w:r>
      <w:r w:rsidRPr="008F5302">
        <w:t xml:space="preserve"> ci</w:t>
      </w:r>
      <w:r w:rsidRPr="008F5302">
        <w:noBreakHyphen/>
        <w:t>dessus). Il réitère les arguments sur lesquels il s</w:t>
      </w:r>
      <w:r w:rsidRPr="008F5302" w:rsidR="008F5302">
        <w:t>’</w:t>
      </w:r>
      <w:r w:rsidRPr="008F5302">
        <w:t>est fondé pour exciper d</w:t>
      </w:r>
      <w:r w:rsidRPr="008F5302" w:rsidR="008F5302">
        <w:t>’</w:t>
      </w:r>
      <w:r w:rsidRPr="008F5302">
        <w:t xml:space="preserve">une incompatibilité </w:t>
      </w:r>
      <w:r w:rsidRPr="008F5302">
        <w:rPr>
          <w:i/>
          <w:iCs/>
        </w:rPr>
        <w:t>ratione</w:t>
      </w:r>
      <w:r w:rsidRPr="008F5302">
        <w:rPr>
          <w:i/>
          <w:iCs/>
        </w:rPr>
        <w:t xml:space="preserve"> materiae</w:t>
      </w:r>
      <w:r w:rsidRPr="008F5302">
        <w:t xml:space="preserve"> et souligne que les deux critères établis par la Cour dans l</w:t>
      </w:r>
      <w:r w:rsidRPr="008F5302" w:rsidR="008F5302">
        <w:t>’</w:t>
      </w:r>
      <w:r w:rsidRPr="008F5302">
        <w:t xml:space="preserve">affaire </w:t>
      </w:r>
      <w:r w:rsidRPr="008F5302">
        <w:rPr>
          <w:i/>
        </w:rPr>
        <w:t>Vilho</w:t>
      </w:r>
      <w:r w:rsidRPr="008F5302">
        <w:rPr>
          <w:i/>
        </w:rPr>
        <w:t xml:space="preserve"> Eskelinen, </w:t>
      </w:r>
      <w:r w:rsidRPr="008F5302">
        <w:rPr>
          <w:iCs/>
        </w:rPr>
        <w:t>précité,</w:t>
      </w:r>
      <w:r w:rsidRPr="008F5302">
        <w:t xml:space="preserve"> §</w:t>
      </w:r>
      <w:r w:rsidRPr="008F5302" w:rsidR="00C30E5F">
        <w:t xml:space="preserve"> </w:t>
      </w:r>
      <w:r w:rsidRPr="008F5302">
        <w:t xml:space="preserve">62, pour juger si un </w:t>
      </w:r>
      <w:r w:rsidRPr="008F5302">
        <w:rPr>
          <w:rFonts w:cstheme="minorHAnsi"/>
        </w:rPr>
        <w:t>É</w:t>
      </w:r>
      <w:r w:rsidRPr="008F5302">
        <w:t>tat peut valablement invoquer le statut de fonctionnaire d</w:t>
      </w:r>
      <w:r w:rsidRPr="008F5302" w:rsidR="008F5302">
        <w:t>’</w:t>
      </w:r>
      <w:r w:rsidRPr="008F5302">
        <w:t>un requérant afin de le soustraire à la protection de l</w:t>
      </w:r>
      <w:r w:rsidRPr="008F5302" w:rsidR="008F5302">
        <w:t>’</w:t>
      </w:r>
      <w:r w:rsidRPr="008F5302">
        <w:t>article 6</w:t>
      </w:r>
      <w:r w:rsidRPr="008F5302" w:rsidR="00C30E5F">
        <w:t xml:space="preserve"> </w:t>
      </w:r>
      <w:r w:rsidRPr="008F5302">
        <w:t>étaient remplis en l</w:t>
      </w:r>
      <w:r w:rsidRPr="008F5302" w:rsidR="008F5302">
        <w:t>’</w:t>
      </w:r>
      <w:r w:rsidRPr="008F5302">
        <w:t>espèce. Il se réfère, d</w:t>
      </w:r>
      <w:r w:rsidRPr="008F5302" w:rsidR="008F5302">
        <w:t>’</w:t>
      </w:r>
      <w:r w:rsidRPr="008F5302">
        <w:t>une part, à l</w:t>
      </w:r>
      <w:r w:rsidRPr="008F5302" w:rsidR="008F5302">
        <w:t>’</w:t>
      </w:r>
      <w:r w:rsidRPr="008F5302">
        <w:t>existence d</w:t>
      </w:r>
      <w:r w:rsidRPr="008F5302" w:rsidR="008F5302">
        <w:t>’</w:t>
      </w:r>
      <w:r w:rsidRPr="008F5302">
        <w:t>une disposition expresse du droit national prévoyant pour le titulaire de la fonction assurée par l</w:t>
      </w:r>
      <w:r w:rsidRPr="008F5302" w:rsidR="008F5302">
        <w:t>’</w:t>
      </w:r>
      <w:r w:rsidRPr="008F5302">
        <w:t>intéressé une exception au droit d</w:t>
      </w:r>
      <w:r w:rsidRPr="008F5302" w:rsidR="008F5302">
        <w:t>’</w:t>
      </w:r>
      <w:r w:rsidRPr="008F5302">
        <w:t>accès à un tribunal et, d</w:t>
      </w:r>
      <w:r w:rsidRPr="008F5302" w:rsidR="008F5302">
        <w:t>’</w:t>
      </w:r>
      <w:r w:rsidRPr="008F5302">
        <w:t>autre part, à la justification d</w:t>
      </w:r>
      <w:r w:rsidRPr="008F5302" w:rsidR="008F5302">
        <w:t>’</w:t>
      </w:r>
      <w:r w:rsidRPr="008F5302">
        <w:t>une telle dérogation par des motifs objectifs liés à l</w:t>
      </w:r>
      <w:r w:rsidRPr="008F5302" w:rsidR="008F5302">
        <w:t>’</w:t>
      </w:r>
      <w:r w:rsidRPr="008F5302">
        <w:t>intérêt de l</w:t>
      </w:r>
      <w:r w:rsidRPr="008F5302" w:rsidR="008F5302">
        <w:t>’</w:t>
      </w:r>
      <w:r w:rsidRPr="008F5302">
        <w:rPr>
          <w:rFonts w:cstheme="minorHAnsi"/>
        </w:rPr>
        <w:t>État</w:t>
      </w:r>
      <w:r w:rsidRPr="008F5302">
        <w:t>.</w:t>
      </w:r>
    </w:p>
    <w:bookmarkStart w:name="para53" w:id="40"/>
    <w:p w:rsidRPr="008F5302" w:rsidR="00DC5B61" w:rsidP="008F5302" w14:paraId="5D696B90" w14:textId="708357E1">
      <w:pPr>
        <w:pStyle w:val="JuPara"/>
      </w:pPr>
      <w:r w:rsidRPr="008F5302">
        <w:fldChar w:fldCharType="begin"/>
      </w:r>
      <w:r w:rsidRPr="008F5302">
        <w:instrText xml:space="preserve"> SEQ level0 \*arabic \* MERGEFORMAT </w:instrText>
      </w:r>
      <w:r w:rsidRPr="008F5302">
        <w:fldChar w:fldCharType="separate"/>
      </w:r>
      <w:bookmarkStart w:name="paragraph00037" w:id="41"/>
      <w:r w:rsidRPr="008F5302" w:rsidR="008F5302">
        <w:rPr>
          <w:noProof/>
        </w:rPr>
        <w:t>51</w:t>
      </w:r>
      <w:bookmarkEnd w:id="41"/>
      <w:r w:rsidRPr="008F5302">
        <w:fldChar w:fldCharType="end"/>
      </w:r>
      <w:bookmarkEnd w:id="40"/>
      <w:r w:rsidRPr="008F5302">
        <w:t xml:space="preserve">.  Le Gouvernement explique que la législation nationale ne prévoyait pas la possibilité pour le requérant, en sa qualité de haut fonctionnaire, de contester sa suspension de fonctions. Renvoyant à la décision de la Cour constitutionnelle à cet égard (paragraphe </w:t>
      </w:r>
      <w:r w:rsidRPr="008F5302">
        <w:fldChar w:fldCharType="begin"/>
      </w:r>
      <w:r w:rsidRPr="008F5302">
        <w:instrText xml:space="preserve"> REF para21 \h </w:instrText>
      </w:r>
      <w:r w:rsidRPr="008F5302">
        <w:fldChar w:fldCharType="separate"/>
      </w:r>
      <w:r w:rsidRPr="008F5302" w:rsidR="008F5302">
        <w:rPr>
          <w:noProof/>
        </w:rPr>
        <w:t>22</w:t>
      </w:r>
      <w:r w:rsidRPr="008F5302">
        <w:fldChar w:fldCharType="end"/>
      </w:r>
      <w:r w:rsidRPr="008F5302">
        <w:t xml:space="preserve"> ci-dessus), il rappelle que la suspension de fonctions litigieuse était justifiée par la fonction de procureur général qu</w:t>
      </w:r>
      <w:r w:rsidRPr="008F5302" w:rsidR="008F5302">
        <w:t>’</w:t>
      </w:r>
      <w:r w:rsidRPr="008F5302">
        <w:t>occupait le requérant, laquelle conférait à celui-ci des compétences étendues en matière de supervision des poursuites pénales, ce qui réduisait le degré d</w:t>
      </w:r>
      <w:r w:rsidRPr="008F5302" w:rsidR="008F5302">
        <w:t>’</w:t>
      </w:r>
      <w:r w:rsidRPr="008F5302">
        <w:t>autonomie et d</w:t>
      </w:r>
      <w:r w:rsidRPr="008F5302" w:rsidR="008F5302">
        <w:t>’</w:t>
      </w:r>
      <w:r w:rsidRPr="008F5302">
        <w:t>indépendance du procureur chargé des poursuites pénales dont l</w:t>
      </w:r>
      <w:r w:rsidRPr="008F5302" w:rsidR="008F5302">
        <w:t>’</w:t>
      </w:r>
      <w:r w:rsidRPr="008F5302">
        <w:t>intéressé était l</w:t>
      </w:r>
      <w:r w:rsidRPr="008F5302" w:rsidR="008F5302">
        <w:t>’</w:t>
      </w:r>
      <w:r w:rsidRPr="008F5302">
        <w:t>objet. Le Gouvernement ajoute que la Commission de Venise, dans l</w:t>
      </w:r>
      <w:r w:rsidRPr="008F5302" w:rsidR="008F5302">
        <w:t>’</w:t>
      </w:r>
      <w:r w:rsidRPr="008F5302">
        <w:t>avis qu</w:t>
      </w:r>
      <w:r w:rsidRPr="008F5302" w:rsidR="008F5302">
        <w:t>’</w:t>
      </w:r>
      <w:r w:rsidRPr="008F5302">
        <w:t>elle a adopté sur ce point, n</w:t>
      </w:r>
      <w:r w:rsidRPr="008F5302" w:rsidR="008F5302">
        <w:t>’</w:t>
      </w:r>
      <w:r w:rsidRPr="008F5302">
        <w:t>a pas estimé qu</w:t>
      </w:r>
      <w:r w:rsidRPr="008F5302" w:rsidR="008F5302">
        <w:t>’</w:t>
      </w:r>
      <w:r w:rsidRPr="008F5302">
        <w:t xml:space="preserve">il était nécessaire de prévoir la possibilité pour le procureur général de contester une telle mesure (paragraphe </w:t>
      </w:r>
      <w:r w:rsidRPr="008F5302">
        <w:fldChar w:fldCharType="begin"/>
      </w:r>
      <w:r w:rsidRPr="008F5302">
        <w:instrText xml:space="preserve"> REF para22 \h  \* CharFormat  \* MERGEFORMAT </w:instrText>
      </w:r>
      <w:r w:rsidRPr="008F5302">
        <w:fldChar w:fldCharType="separate"/>
      </w:r>
      <w:r w:rsidRPr="008F5302" w:rsidR="008F5302">
        <w:t>23</w:t>
      </w:r>
      <w:r w:rsidRPr="008F5302">
        <w:fldChar w:fldCharType="end"/>
      </w:r>
      <w:r w:rsidRPr="008F5302">
        <w:t xml:space="preserve"> ci</w:t>
      </w:r>
      <w:r w:rsidRPr="008F5302">
        <w:noBreakHyphen/>
        <w:t>dessus). Ces arguments justifieraient, d</w:t>
      </w:r>
      <w:r w:rsidRPr="008F5302" w:rsidR="008F5302">
        <w:t>’</w:t>
      </w:r>
      <w:r w:rsidRPr="008F5302">
        <w:t>après le Gouvernement, qu</w:t>
      </w:r>
      <w:r w:rsidRPr="008F5302" w:rsidR="008F5302">
        <w:t>’</w:t>
      </w:r>
      <w:r w:rsidRPr="008F5302">
        <w:t>il soit dérogé dans ce cas au droit d</w:t>
      </w:r>
      <w:r w:rsidRPr="008F5302" w:rsidR="008F5302">
        <w:t>’</w:t>
      </w:r>
      <w:r w:rsidRPr="008F5302">
        <w:t>accès à un tribunal. Le Gouvernement estime enfin qu</w:t>
      </w:r>
      <w:r w:rsidRPr="008F5302" w:rsidR="008F5302">
        <w:t>’</w:t>
      </w:r>
      <w:r w:rsidRPr="008F5302">
        <w:t>il convient d</w:t>
      </w:r>
      <w:r w:rsidRPr="008F5302" w:rsidR="008F5302">
        <w:t>’</w:t>
      </w:r>
      <w:r w:rsidRPr="008F5302">
        <w:t>opérer une distinction entre les standards applicables aux juges et ceux applicables aux procureurs, et il renvoie à cet égard à l</w:t>
      </w:r>
      <w:r w:rsidRPr="008F5302" w:rsidR="008F5302">
        <w:t>’</w:t>
      </w:r>
      <w:r w:rsidRPr="008F5302">
        <w:t xml:space="preserve">avis adopté par la Commission de Venise sur la loi régissant le système judiciaire en Bulgarie (paragraphe </w:t>
      </w:r>
      <w:r w:rsidRPr="008F5302">
        <w:fldChar w:fldCharType="begin"/>
      </w:r>
      <w:r w:rsidRPr="008F5302">
        <w:instrText xml:space="preserve"> REF para23 \h  \* CharFormat </w:instrText>
      </w:r>
      <w:r w:rsidRPr="008F5302">
        <w:fldChar w:fldCharType="separate"/>
      </w:r>
      <w:r w:rsidRPr="008F5302" w:rsidR="008F5302">
        <w:t>24</w:t>
      </w:r>
      <w:r w:rsidRPr="008F5302">
        <w:fldChar w:fldCharType="end"/>
      </w:r>
      <w:r w:rsidRPr="008F5302">
        <w:t xml:space="preserve"> ci-dessus).</w:t>
      </w:r>
    </w:p>
    <w:p w:rsidRPr="008F5302" w:rsidR="00DC5B61" w:rsidP="008F5302" w14:paraId="22AD7FAB" w14:textId="77777777">
      <w:pPr>
        <w:pStyle w:val="JuH1"/>
        <w:numPr>
          <w:ilvl w:val="0"/>
          <w:numId w:val="0"/>
        </w:numPr>
        <w:ind w:firstLine="284"/>
      </w:pPr>
      <w:r w:rsidRPr="008F5302">
        <w:t>2.</w:t>
      </w:r>
      <w:r w:rsidRPr="008F5302">
        <w:tab/>
        <w:t>Appréciation de la Cour</w:t>
      </w:r>
    </w:p>
    <w:p w:rsidRPr="008F5302" w:rsidR="00DC5B61" w:rsidP="008F5302" w14:paraId="17A63510" w14:textId="3304CF5B">
      <w:pPr>
        <w:pStyle w:val="JuPara"/>
        <w:rPr>
          <w:rFonts w:cstheme="minorHAnsi"/>
          <w:bCs/>
          <w:color w:val="000000"/>
        </w:rPr>
      </w:pPr>
      <w:r w:rsidRPr="008F5302">
        <w:rPr>
          <w:rFonts w:cstheme="minorHAnsi"/>
          <w:bCs/>
          <w:color w:val="000000"/>
        </w:rPr>
        <w:fldChar w:fldCharType="begin"/>
      </w:r>
      <w:r w:rsidRPr="008F5302">
        <w:rPr>
          <w:rFonts w:cstheme="minorHAnsi"/>
          <w:bCs/>
          <w:color w:val="000000"/>
        </w:rPr>
        <w:instrText xml:space="preserve"> SEQ level0 \*arabic \* MERGEFORMAT </w:instrText>
      </w:r>
      <w:r w:rsidRPr="008F5302">
        <w:rPr>
          <w:rFonts w:cstheme="minorHAnsi"/>
          <w:bCs/>
          <w:color w:val="000000"/>
        </w:rPr>
        <w:fldChar w:fldCharType="separate"/>
      </w:r>
      <w:r w:rsidRPr="008F5302" w:rsidR="008F5302">
        <w:rPr>
          <w:rFonts w:cstheme="minorHAnsi"/>
          <w:bCs/>
          <w:noProof/>
          <w:color w:val="000000"/>
        </w:rPr>
        <w:t>52</w:t>
      </w:r>
      <w:r w:rsidRPr="008F5302">
        <w:rPr>
          <w:rFonts w:cstheme="minorHAnsi"/>
          <w:bCs/>
          <w:color w:val="000000"/>
        </w:rPr>
        <w:fldChar w:fldCharType="end"/>
      </w:r>
      <w:r w:rsidRPr="008F5302">
        <w:rPr>
          <w:rFonts w:cstheme="minorHAnsi"/>
          <w:bCs/>
          <w:color w:val="000000"/>
        </w:rPr>
        <w:t>.  La Cour rappelle que le droit d</w:t>
      </w:r>
      <w:r w:rsidRPr="008F5302" w:rsidR="008F5302">
        <w:rPr>
          <w:rFonts w:cstheme="minorHAnsi"/>
          <w:bCs/>
          <w:color w:val="000000"/>
        </w:rPr>
        <w:t>’</w:t>
      </w:r>
      <w:r w:rsidRPr="008F5302">
        <w:rPr>
          <w:rFonts w:cstheme="minorHAnsi"/>
          <w:bCs/>
          <w:color w:val="000000"/>
        </w:rPr>
        <w:t>accès à un tribunal n</w:t>
      </w:r>
      <w:r w:rsidRPr="008F5302" w:rsidR="008F5302">
        <w:rPr>
          <w:rFonts w:cstheme="minorHAnsi"/>
          <w:bCs/>
          <w:color w:val="000000"/>
        </w:rPr>
        <w:t>’</w:t>
      </w:r>
      <w:r w:rsidRPr="008F5302">
        <w:rPr>
          <w:rFonts w:cstheme="minorHAnsi"/>
          <w:bCs/>
          <w:color w:val="000000"/>
        </w:rPr>
        <w:t>est pas absolu. Il peut être soumis à des limitations, pour autant que celles-ci ne restreignent ni ne réduisent l</w:t>
      </w:r>
      <w:r w:rsidRPr="008F5302" w:rsidR="008F5302">
        <w:rPr>
          <w:rFonts w:cstheme="minorHAnsi"/>
          <w:bCs/>
          <w:color w:val="000000"/>
        </w:rPr>
        <w:t>’</w:t>
      </w:r>
      <w:r w:rsidRPr="008F5302">
        <w:rPr>
          <w:rFonts w:cstheme="minorHAnsi"/>
          <w:bCs/>
          <w:color w:val="000000"/>
        </w:rPr>
        <w:t>accès des justiciables au juge d</w:t>
      </w:r>
      <w:r w:rsidRPr="008F5302" w:rsidR="008F5302">
        <w:rPr>
          <w:rFonts w:cstheme="minorHAnsi"/>
          <w:bCs/>
          <w:color w:val="000000"/>
        </w:rPr>
        <w:t>’</w:t>
      </w:r>
      <w:r w:rsidRPr="008F5302">
        <w:rPr>
          <w:rFonts w:cstheme="minorHAnsi"/>
          <w:bCs/>
          <w:color w:val="000000"/>
        </w:rPr>
        <w:t>une manière ou à un point tels qu</w:t>
      </w:r>
      <w:r w:rsidRPr="008F5302" w:rsidR="008F5302">
        <w:rPr>
          <w:rFonts w:cstheme="minorHAnsi"/>
          <w:bCs/>
          <w:color w:val="000000"/>
        </w:rPr>
        <w:t>’</w:t>
      </w:r>
      <w:r w:rsidRPr="008F5302">
        <w:rPr>
          <w:rFonts w:cstheme="minorHAnsi"/>
          <w:bCs/>
          <w:color w:val="000000"/>
        </w:rPr>
        <w:t>il s</w:t>
      </w:r>
      <w:r w:rsidRPr="008F5302" w:rsidR="008F5302">
        <w:rPr>
          <w:rFonts w:cstheme="minorHAnsi"/>
          <w:bCs/>
          <w:color w:val="000000"/>
        </w:rPr>
        <w:t>’</w:t>
      </w:r>
      <w:r w:rsidRPr="008F5302">
        <w:rPr>
          <w:rFonts w:cstheme="minorHAnsi"/>
          <w:bCs/>
          <w:color w:val="000000"/>
        </w:rPr>
        <w:t>en trouve atteint dans sa substance même. En outre, ces limitations ne se concilient avec l</w:t>
      </w:r>
      <w:r w:rsidRPr="008F5302" w:rsidR="008F5302">
        <w:rPr>
          <w:rFonts w:cstheme="minorHAnsi"/>
          <w:bCs/>
          <w:color w:val="000000"/>
        </w:rPr>
        <w:t>’</w:t>
      </w:r>
      <w:r w:rsidRPr="008F5302">
        <w:rPr>
          <w:rFonts w:cstheme="minorHAnsi"/>
          <w:bCs/>
          <w:color w:val="000000"/>
        </w:rPr>
        <w:t>article</w:t>
      </w:r>
      <w:r w:rsidRPr="008F5302" w:rsidR="00C30E5F">
        <w:rPr>
          <w:rFonts w:cstheme="minorHAnsi"/>
          <w:bCs/>
          <w:color w:val="000000"/>
        </w:rPr>
        <w:t xml:space="preserve"> </w:t>
      </w:r>
      <w:r w:rsidRPr="008F5302">
        <w:rPr>
          <w:rFonts w:cstheme="minorHAnsi"/>
          <w:bCs/>
          <w:color w:val="000000"/>
        </w:rPr>
        <w:t>6 §</w:t>
      </w:r>
      <w:r w:rsidRPr="008F5302" w:rsidR="00C30E5F">
        <w:rPr>
          <w:rFonts w:cstheme="minorHAnsi"/>
          <w:bCs/>
          <w:color w:val="000000"/>
        </w:rPr>
        <w:t xml:space="preserve"> </w:t>
      </w:r>
      <w:r w:rsidRPr="008F5302">
        <w:rPr>
          <w:rFonts w:cstheme="minorHAnsi"/>
          <w:bCs/>
          <w:color w:val="000000"/>
        </w:rPr>
        <w:t>1 que si elles poursuivent un but légitime et s</w:t>
      </w:r>
      <w:r w:rsidRPr="008F5302" w:rsidR="008F5302">
        <w:rPr>
          <w:rFonts w:cstheme="minorHAnsi"/>
          <w:bCs/>
          <w:color w:val="000000"/>
        </w:rPr>
        <w:t>’</w:t>
      </w:r>
      <w:r w:rsidRPr="008F5302">
        <w:rPr>
          <w:rFonts w:cstheme="minorHAnsi"/>
          <w:bCs/>
          <w:color w:val="000000"/>
        </w:rPr>
        <w:t>il existe un rapport raisonnable de proportionnalité entre les moyens employés et le but visé (</w:t>
      </w:r>
      <w:r w:rsidRPr="008F5302">
        <w:rPr>
          <w:rFonts w:cstheme="minorHAnsi"/>
          <w:bCs/>
          <w:i/>
          <w:iCs/>
          <w:color w:val="000000"/>
        </w:rPr>
        <w:t>Baka</w:t>
      </w:r>
      <w:r w:rsidRPr="008F5302">
        <w:rPr>
          <w:rFonts w:cstheme="minorHAnsi"/>
          <w:bCs/>
          <w:color w:val="000000"/>
        </w:rPr>
        <w:t>,</w:t>
      </w:r>
      <w:r w:rsidRPr="008F5302" w:rsidR="00C30E5F">
        <w:rPr>
          <w:rFonts w:cstheme="minorHAnsi"/>
          <w:bCs/>
          <w:i/>
          <w:iCs/>
          <w:color w:val="000000"/>
        </w:rPr>
        <w:t xml:space="preserve"> </w:t>
      </w:r>
      <w:r w:rsidRPr="008F5302">
        <w:rPr>
          <w:rFonts w:cstheme="minorHAnsi"/>
          <w:bCs/>
          <w:color w:val="000000"/>
        </w:rPr>
        <w:t>précité, §</w:t>
      </w:r>
      <w:r w:rsidRPr="008F5302" w:rsidR="00C30E5F">
        <w:rPr>
          <w:rFonts w:cstheme="minorHAnsi"/>
          <w:bCs/>
          <w:color w:val="000000"/>
        </w:rPr>
        <w:t xml:space="preserve"> </w:t>
      </w:r>
      <w:r w:rsidRPr="008F5302">
        <w:rPr>
          <w:rFonts w:cstheme="minorHAnsi"/>
          <w:bCs/>
          <w:color w:val="000000"/>
        </w:rPr>
        <w:t>120, et la jurisprudence y citée).</w:t>
      </w:r>
    </w:p>
    <w:p w:rsidRPr="008F5302" w:rsidR="00DC5B61" w:rsidP="008F5302" w14:paraId="5E4E58CA" w14:textId="7E0DC045">
      <w:pPr>
        <w:pStyle w:val="JuPara"/>
        <w:rPr>
          <w:rFonts w:cstheme="minorHAnsi"/>
          <w:bCs/>
        </w:rPr>
      </w:pPr>
      <w:r w:rsidRPr="008F5302">
        <w:rPr>
          <w:rFonts w:cstheme="minorHAnsi"/>
          <w:bCs/>
        </w:rPr>
        <w:fldChar w:fldCharType="begin"/>
      </w:r>
      <w:r w:rsidRPr="008F5302">
        <w:rPr>
          <w:rFonts w:cstheme="minorHAnsi"/>
          <w:bCs/>
        </w:rPr>
        <w:instrText xml:space="preserve"> SEQ level0 \*arabic \* MERGEFORMAT </w:instrText>
      </w:r>
      <w:r w:rsidRPr="008F5302">
        <w:rPr>
          <w:rFonts w:cstheme="minorHAnsi"/>
          <w:bCs/>
        </w:rPr>
        <w:fldChar w:fldCharType="separate"/>
      </w:r>
      <w:r w:rsidRPr="008F5302" w:rsidR="008F5302">
        <w:rPr>
          <w:rFonts w:cstheme="minorHAnsi"/>
          <w:bCs/>
          <w:noProof/>
        </w:rPr>
        <w:t>53</w:t>
      </w:r>
      <w:r w:rsidRPr="008F5302">
        <w:rPr>
          <w:rFonts w:cstheme="minorHAnsi"/>
          <w:bCs/>
        </w:rPr>
        <w:fldChar w:fldCharType="end"/>
      </w:r>
      <w:r w:rsidRPr="008F5302">
        <w:rPr>
          <w:rFonts w:cstheme="minorHAnsi"/>
          <w:bCs/>
        </w:rPr>
        <w:t>.  La Cour note, avec le Gouvernement, la Cour constitutionnelle et la Commission de Venise que la mesure de suspension, en soi, pouvait en principe être justifiée par la qualité de procureur général du requérant, qui lui conférait des pouvoirs étendus de contrôle des enquêtes pénales, et que l</w:t>
      </w:r>
      <w:r w:rsidRPr="008F5302" w:rsidR="008F5302">
        <w:rPr>
          <w:rFonts w:cstheme="minorHAnsi"/>
          <w:bCs/>
        </w:rPr>
        <w:t>’</w:t>
      </w:r>
      <w:r w:rsidRPr="008F5302">
        <w:rPr>
          <w:rFonts w:cstheme="minorHAnsi"/>
          <w:bCs/>
        </w:rPr>
        <w:t>application d</w:t>
      </w:r>
      <w:r w:rsidRPr="008F5302" w:rsidR="008F5302">
        <w:rPr>
          <w:rFonts w:cstheme="minorHAnsi"/>
          <w:bCs/>
        </w:rPr>
        <w:t>’</w:t>
      </w:r>
      <w:r w:rsidRPr="008F5302">
        <w:rPr>
          <w:rFonts w:cstheme="minorHAnsi"/>
          <w:bCs/>
        </w:rPr>
        <w:t xml:space="preserve">une telle mesure envers un procureur général ne pose pas, en </w:t>
      </w:r>
      <w:r w:rsidRPr="008F5302">
        <w:rPr>
          <w:rFonts w:cstheme="minorHAnsi"/>
          <w:bCs/>
        </w:rPr>
        <w:t xml:space="preserve">soi, de problème au regard de la Convention (paragraphes </w:t>
      </w:r>
      <w:r w:rsidRPr="008F5302">
        <w:rPr>
          <w:rFonts w:cstheme="minorHAnsi"/>
          <w:bCs/>
        </w:rPr>
        <w:fldChar w:fldCharType="begin"/>
      </w:r>
      <w:r w:rsidRPr="008F5302">
        <w:rPr>
          <w:rFonts w:cstheme="minorHAnsi"/>
          <w:bCs/>
        </w:rPr>
        <w:instrText xml:space="preserve"> REF para53 \h  \* MERGEFORMAT </w:instrText>
      </w:r>
      <w:r w:rsidRPr="008F5302">
        <w:rPr>
          <w:rFonts w:cstheme="minorHAnsi"/>
          <w:bCs/>
        </w:rPr>
        <w:fldChar w:fldCharType="separate"/>
      </w:r>
      <w:r w:rsidRPr="008F5302" w:rsidR="008F5302">
        <w:rPr>
          <w:bCs/>
        </w:rPr>
        <w:t>51</w:t>
      </w:r>
      <w:r w:rsidRPr="008F5302">
        <w:rPr>
          <w:rFonts w:cstheme="minorHAnsi"/>
          <w:bCs/>
        </w:rPr>
        <w:fldChar w:fldCharType="end"/>
      </w:r>
      <w:r w:rsidRPr="008F5302">
        <w:rPr>
          <w:rFonts w:cstheme="minorHAnsi"/>
          <w:bCs/>
        </w:rPr>
        <w:t xml:space="preserve"> et </w:t>
      </w:r>
      <w:r w:rsidRPr="008F5302">
        <w:rPr>
          <w:rFonts w:cstheme="minorHAnsi"/>
          <w:bCs/>
        </w:rPr>
        <w:fldChar w:fldCharType="begin"/>
      </w:r>
      <w:r w:rsidRPr="008F5302">
        <w:rPr>
          <w:rFonts w:cstheme="minorHAnsi"/>
          <w:bCs/>
        </w:rPr>
        <w:instrText xml:space="preserve"> REF para21 \h  \* MERGEFORMAT </w:instrText>
      </w:r>
      <w:r w:rsidRPr="008F5302">
        <w:rPr>
          <w:rFonts w:cstheme="minorHAnsi"/>
          <w:bCs/>
        </w:rPr>
        <w:fldChar w:fldCharType="separate"/>
      </w:r>
      <w:r w:rsidRPr="008F5302" w:rsidR="008F5302">
        <w:rPr>
          <w:bCs/>
        </w:rPr>
        <w:t>22</w:t>
      </w:r>
      <w:r w:rsidRPr="008F5302">
        <w:rPr>
          <w:rFonts w:cstheme="minorHAnsi"/>
          <w:bCs/>
        </w:rPr>
        <w:fldChar w:fldCharType="end"/>
      </w:r>
      <w:r w:rsidRPr="008F5302">
        <w:rPr>
          <w:rFonts w:cstheme="minorHAnsi"/>
          <w:bCs/>
        </w:rPr>
        <w:t>-</w:t>
      </w:r>
      <w:r w:rsidRPr="008F5302">
        <w:rPr>
          <w:rFonts w:cstheme="minorHAnsi"/>
          <w:bCs/>
        </w:rPr>
        <w:fldChar w:fldCharType="begin"/>
      </w:r>
      <w:r w:rsidRPr="008F5302">
        <w:rPr>
          <w:rFonts w:cstheme="minorHAnsi"/>
          <w:bCs/>
        </w:rPr>
        <w:instrText xml:space="preserve"> REF para22 \h  \* MERGEFORMAT </w:instrText>
      </w:r>
      <w:r w:rsidRPr="008F5302">
        <w:rPr>
          <w:rFonts w:cstheme="minorHAnsi"/>
          <w:bCs/>
        </w:rPr>
        <w:fldChar w:fldCharType="separate"/>
      </w:r>
      <w:r w:rsidRPr="008F5302" w:rsidR="008F5302">
        <w:rPr>
          <w:bCs/>
        </w:rPr>
        <w:t>23</w:t>
      </w:r>
      <w:r w:rsidRPr="008F5302">
        <w:rPr>
          <w:rFonts w:cstheme="minorHAnsi"/>
          <w:bCs/>
        </w:rPr>
        <w:fldChar w:fldCharType="end"/>
      </w:r>
      <w:r w:rsidRPr="008F5302">
        <w:rPr>
          <w:rFonts w:cstheme="minorHAnsi"/>
          <w:bCs/>
        </w:rPr>
        <w:t xml:space="preserve"> ci</w:t>
      </w:r>
      <w:r w:rsidRPr="008F5302">
        <w:rPr>
          <w:rFonts w:cstheme="minorHAnsi"/>
          <w:bCs/>
        </w:rPr>
        <w:noBreakHyphen/>
        <w:t>dessus).</w:t>
      </w:r>
    </w:p>
    <w:p w:rsidRPr="008F5302" w:rsidR="00DC5B61" w:rsidP="008F5302" w14:paraId="7EB11D23" w14:textId="7BBC53FA">
      <w:pPr>
        <w:pStyle w:val="JuPara"/>
        <w:rPr>
          <w:rFonts w:cstheme="minorHAnsi"/>
          <w:bCs/>
          <w:color w:val="000000"/>
        </w:rPr>
      </w:pPr>
      <w:r w:rsidRPr="008F5302">
        <w:rPr>
          <w:rFonts w:cstheme="minorHAnsi"/>
          <w:bCs/>
          <w:color w:val="000000"/>
        </w:rPr>
        <w:fldChar w:fldCharType="begin"/>
      </w:r>
      <w:r w:rsidRPr="008F5302">
        <w:rPr>
          <w:rFonts w:cstheme="minorHAnsi"/>
          <w:bCs/>
          <w:color w:val="000000"/>
        </w:rPr>
        <w:instrText xml:space="preserve"> SEQ level0 \*arabic \* MERGEFORMAT </w:instrText>
      </w:r>
      <w:r w:rsidRPr="008F5302">
        <w:rPr>
          <w:rFonts w:cstheme="minorHAnsi"/>
          <w:bCs/>
          <w:color w:val="000000"/>
        </w:rPr>
        <w:fldChar w:fldCharType="separate"/>
      </w:r>
      <w:r w:rsidRPr="008F5302" w:rsidR="008F5302">
        <w:rPr>
          <w:rFonts w:cstheme="minorHAnsi"/>
          <w:bCs/>
          <w:noProof/>
          <w:color w:val="000000"/>
        </w:rPr>
        <w:t>54</w:t>
      </w:r>
      <w:r w:rsidRPr="008F5302">
        <w:rPr>
          <w:rFonts w:cstheme="minorHAnsi"/>
          <w:bCs/>
          <w:color w:val="000000"/>
        </w:rPr>
        <w:fldChar w:fldCharType="end"/>
      </w:r>
      <w:r w:rsidRPr="008F5302">
        <w:rPr>
          <w:rFonts w:cstheme="minorHAnsi"/>
          <w:bCs/>
          <w:color w:val="000000"/>
        </w:rPr>
        <w:t>.  Cependant, la Cour rappelle – comme l</w:t>
      </w:r>
      <w:r w:rsidRPr="008F5302" w:rsidR="008F5302">
        <w:rPr>
          <w:rFonts w:cstheme="minorHAnsi"/>
          <w:bCs/>
          <w:color w:val="000000"/>
        </w:rPr>
        <w:t>’</w:t>
      </w:r>
      <w:r w:rsidRPr="008F5302">
        <w:rPr>
          <w:rFonts w:cstheme="minorHAnsi"/>
          <w:bCs/>
          <w:color w:val="000000"/>
        </w:rPr>
        <w:t>a soulevé également la Commission de Veni</w:t>
      </w:r>
      <w:r w:rsidRPr="008F5302" w:rsidR="002F018B">
        <w:rPr>
          <w:rFonts w:cstheme="minorHAnsi"/>
          <w:bCs/>
          <w:color w:val="000000"/>
        </w:rPr>
        <w:t>s</w:t>
      </w:r>
      <w:r w:rsidRPr="008F5302">
        <w:rPr>
          <w:rFonts w:cstheme="minorHAnsi"/>
          <w:bCs/>
          <w:color w:val="000000"/>
        </w:rPr>
        <w:t xml:space="preserve">e (paragraphe </w:t>
      </w:r>
      <w:r w:rsidRPr="008F5302">
        <w:rPr>
          <w:rFonts w:cstheme="minorHAnsi"/>
          <w:bCs/>
          <w:color w:val="000000"/>
        </w:rPr>
        <w:fldChar w:fldCharType="begin"/>
      </w:r>
      <w:r w:rsidRPr="008F5302">
        <w:rPr>
          <w:rFonts w:cstheme="minorHAnsi"/>
          <w:bCs/>
          <w:color w:val="000000"/>
        </w:rPr>
        <w:instrText xml:space="preserve"> REF para22 \h  \* MERGEFORMAT </w:instrText>
      </w:r>
      <w:r w:rsidRPr="008F5302">
        <w:rPr>
          <w:rFonts w:cstheme="minorHAnsi"/>
          <w:bCs/>
          <w:color w:val="000000"/>
        </w:rPr>
        <w:fldChar w:fldCharType="separate"/>
      </w:r>
      <w:r w:rsidRPr="008F5302" w:rsidR="008F5302">
        <w:rPr>
          <w:bCs/>
        </w:rPr>
        <w:t>23</w:t>
      </w:r>
      <w:r w:rsidRPr="008F5302">
        <w:rPr>
          <w:rFonts w:cstheme="minorHAnsi"/>
          <w:bCs/>
          <w:color w:val="000000"/>
        </w:rPr>
        <w:fldChar w:fldCharType="end"/>
      </w:r>
      <w:r w:rsidRPr="008F5302">
        <w:rPr>
          <w:rFonts w:cstheme="minorHAnsi"/>
          <w:bCs/>
          <w:color w:val="000000"/>
        </w:rPr>
        <w:t xml:space="preserve"> ci-dessus) – que des garanties procédurales devraient être mises en place pour s</w:t>
      </w:r>
      <w:r w:rsidRPr="008F5302" w:rsidR="008F5302">
        <w:rPr>
          <w:rFonts w:cstheme="minorHAnsi"/>
          <w:bCs/>
          <w:color w:val="000000"/>
        </w:rPr>
        <w:t>’</w:t>
      </w:r>
      <w:r w:rsidRPr="008F5302">
        <w:rPr>
          <w:rFonts w:cstheme="minorHAnsi"/>
          <w:bCs/>
          <w:color w:val="000000"/>
        </w:rPr>
        <w:t>assurer que le mécanisme de suspension n</w:t>
      </w:r>
      <w:r w:rsidRPr="008F5302" w:rsidR="008F5302">
        <w:rPr>
          <w:rFonts w:cstheme="minorHAnsi"/>
          <w:bCs/>
          <w:color w:val="000000"/>
        </w:rPr>
        <w:t>’</w:t>
      </w:r>
      <w:r w:rsidRPr="008F5302">
        <w:rPr>
          <w:rFonts w:cstheme="minorHAnsi"/>
          <w:bCs/>
          <w:color w:val="000000"/>
        </w:rPr>
        <w:t>est pas utilisé de manière arbitraire. Dans ce contexte, la Cour note également l</w:t>
      </w:r>
      <w:r w:rsidRPr="008F5302" w:rsidR="008F5302">
        <w:rPr>
          <w:rFonts w:cstheme="minorHAnsi"/>
          <w:bCs/>
          <w:color w:val="000000"/>
        </w:rPr>
        <w:t>’</w:t>
      </w:r>
      <w:r w:rsidRPr="008F5302">
        <w:rPr>
          <w:rFonts w:cstheme="minorHAnsi"/>
          <w:bCs/>
          <w:color w:val="000000"/>
        </w:rPr>
        <w:t>importance croissante de l</w:t>
      </w:r>
      <w:r w:rsidRPr="008F5302" w:rsidR="008F5302">
        <w:rPr>
          <w:rFonts w:cstheme="minorHAnsi"/>
          <w:bCs/>
          <w:color w:val="000000"/>
        </w:rPr>
        <w:t>’</w:t>
      </w:r>
      <w:r w:rsidRPr="008F5302">
        <w:rPr>
          <w:rFonts w:cstheme="minorHAnsi"/>
          <w:bCs/>
          <w:color w:val="000000"/>
        </w:rPr>
        <w:t>équité procédurale dans les affaires impliquant la révocation des procureurs, y compris l</w:t>
      </w:r>
      <w:r w:rsidRPr="008F5302" w:rsidR="008F5302">
        <w:rPr>
          <w:rFonts w:cstheme="minorHAnsi"/>
          <w:bCs/>
          <w:color w:val="000000"/>
        </w:rPr>
        <w:t>’</w:t>
      </w:r>
      <w:r w:rsidRPr="008F5302">
        <w:rPr>
          <w:rFonts w:cstheme="minorHAnsi"/>
          <w:bCs/>
          <w:color w:val="000000"/>
        </w:rPr>
        <w:t>intervention d</w:t>
      </w:r>
      <w:r w:rsidRPr="008F5302" w:rsidR="008F5302">
        <w:rPr>
          <w:rFonts w:cstheme="minorHAnsi"/>
          <w:bCs/>
          <w:color w:val="000000"/>
        </w:rPr>
        <w:t>’</w:t>
      </w:r>
      <w:r w:rsidRPr="008F5302">
        <w:rPr>
          <w:rFonts w:cstheme="minorHAnsi"/>
          <w:bCs/>
          <w:color w:val="000000"/>
        </w:rPr>
        <w:t>une autorité indépendante de l</w:t>
      </w:r>
      <w:r w:rsidRPr="008F5302" w:rsidR="008F5302">
        <w:rPr>
          <w:rFonts w:cstheme="minorHAnsi"/>
          <w:bCs/>
          <w:color w:val="000000"/>
        </w:rPr>
        <w:t>’</w:t>
      </w:r>
      <w:r w:rsidRPr="008F5302">
        <w:rPr>
          <w:rFonts w:cstheme="minorHAnsi"/>
          <w:bCs/>
          <w:color w:val="000000"/>
        </w:rPr>
        <w:t>exécutif et du législatif en ce qui concerne les décisions affectant la nomination et la révocation des procureurs (</w:t>
      </w:r>
      <w:r w:rsidRPr="008F5302">
        <w:rPr>
          <w:rFonts w:cstheme="minorHAnsi"/>
          <w:bCs/>
          <w:i/>
          <w:iCs/>
          <w:color w:val="000000"/>
        </w:rPr>
        <w:t>Kövesi</w:t>
      </w:r>
      <w:r w:rsidRPr="008F5302">
        <w:rPr>
          <w:rFonts w:cstheme="minorHAnsi"/>
          <w:bCs/>
          <w:color w:val="000000"/>
        </w:rPr>
        <w:t>, précité, § 156).</w:t>
      </w:r>
    </w:p>
    <w:p w:rsidRPr="008F5302" w:rsidR="00DC5B61" w:rsidP="008F5302" w14:paraId="6BB7CD29" w14:textId="3E60F575">
      <w:pPr>
        <w:pStyle w:val="JuPara"/>
        <w:rPr>
          <w:rFonts w:cstheme="minorHAnsi"/>
          <w:bCs/>
          <w:color w:val="000000"/>
        </w:rPr>
      </w:pPr>
      <w:r w:rsidRPr="008F5302">
        <w:rPr>
          <w:rFonts w:cstheme="minorHAnsi"/>
          <w:bCs/>
          <w:color w:val="000000"/>
        </w:rPr>
        <w:fldChar w:fldCharType="begin"/>
      </w:r>
      <w:r w:rsidRPr="008F5302">
        <w:rPr>
          <w:rFonts w:cstheme="minorHAnsi"/>
          <w:bCs/>
          <w:color w:val="000000"/>
        </w:rPr>
        <w:instrText xml:space="preserve"> SEQ level0 \*arabic \* MERGEFORMAT </w:instrText>
      </w:r>
      <w:r w:rsidRPr="008F5302">
        <w:rPr>
          <w:rFonts w:cstheme="minorHAnsi"/>
          <w:bCs/>
          <w:color w:val="000000"/>
        </w:rPr>
        <w:fldChar w:fldCharType="separate"/>
      </w:r>
      <w:r w:rsidRPr="008F5302" w:rsidR="008F5302">
        <w:rPr>
          <w:rFonts w:cstheme="minorHAnsi"/>
          <w:bCs/>
          <w:noProof/>
          <w:color w:val="000000"/>
        </w:rPr>
        <w:t>55</w:t>
      </w:r>
      <w:r w:rsidRPr="008F5302">
        <w:rPr>
          <w:rFonts w:cstheme="minorHAnsi"/>
          <w:bCs/>
          <w:color w:val="000000"/>
        </w:rPr>
        <w:fldChar w:fldCharType="end"/>
      </w:r>
      <w:r w:rsidRPr="008F5302">
        <w:rPr>
          <w:rFonts w:cstheme="minorHAnsi"/>
          <w:bCs/>
          <w:color w:val="000000"/>
        </w:rPr>
        <w:t>.  En l</w:t>
      </w:r>
      <w:r w:rsidRPr="008F5302" w:rsidR="008F5302">
        <w:rPr>
          <w:rFonts w:cstheme="minorHAnsi"/>
          <w:bCs/>
          <w:color w:val="000000"/>
        </w:rPr>
        <w:t>’</w:t>
      </w:r>
      <w:r w:rsidRPr="008F5302">
        <w:rPr>
          <w:rFonts w:cstheme="minorHAnsi"/>
          <w:bCs/>
          <w:color w:val="000000"/>
        </w:rPr>
        <w:t>espèce, la Cour ne peut que constater que le requérant n</w:t>
      </w:r>
      <w:r w:rsidRPr="008F5302" w:rsidR="008F5302">
        <w:rPr>
          <w:rFonts w:cstheme="minorHAnsi"/>
          <w:bCs/>
          <w:color w:val="000000"/>
        </w:rPr>
        <w:t>’</w:t>
      </w:r>
      <w:r w:rsidRPr="008F5302">
        <w:rPr>
          <w:rFonts w:cstheme="minorHAnsi"/>
          <w:bCs/>
          <w:color w:val="000000"/>
        </w:rPr>
        <w:t>a bénéficié d</w:t>
      </w:r>
      <w:r w:rsidRPr="008F5302" w:rsidR="008F5302">
        <w:rPr>
          <w:rFonts w:cstheme="minorHAnsi"/>
          <w:bCs/>
          <w:color w:val="000000"/>
        </w:rPr>
        <w:t>’</w:t>
      </w:r>
      <w:r w:rsidRPr="008F5302">
        <w:rPr>
          <w:rFonts w:cstheme="minorHAnsi"/>
          <w:bCs/>
          <w:color w:val="000000"/>
        </w:rPr>
        <w:t>aucune forme de protection judiciaire relativement à la mesure de suspension de fonctions qui l</w:t>
      </w:r>
      <w:r w:rsidRPr="008F5302" w:rsidR="008F5302">
        <w:rPr>
          <w:rFonts w:cstheme="minorHAnsi"/>
          <w:bCs/>
          <w:color w:val="000000"/>
        </w:rPr>
        <w:t>’</w:t>
      </w:r>
      <w:r w:rsidRPr="008F5302">
        <w:rPr>
          <w:rFonts w:cstheme="minorHAnsi"/>
          <w:bCs/>
          <w:color w:val="000000"/>
        </w:rPr>
        <w:t>a visé, laquelle l</w:t>
      </w:r>
      <w:r w:rsidRPr="008F5302" w:rsidR="008F5302">
        <w:rPr>
          <w:rFonts w:cstheme="minorHAnsi"/>
          <w:bCs/>
          <w:color w:val="000000"/>
        </w:rPr>
        <w:t>’</w:t>
      </w:r>
      <w:r w:rsidRPr="008F5302">
        <w:rPr>
          <w:rFonts w:cstheme="minorHAnsi"/>
          <w:bCs/>
          <w:color w:val="000000"/>
        </w:rPr>
        <w:t>a privé pendant plus de deux ans de la possibilité d</w:t>
      </w:r>
      <w:r w:rsidRPr="008F5302" w:rsidR="008F5302">
        <w:rPr>
          <w:rFonts w:cstheme="minorHAnsi"/>
          <w:bCs/>
          <w:color w:val="000000"/>
        </w:rPr>
        <w:t>’</w:t>
      </w:r>
      <w:r w:rsidRPr="008F5302">
        <w:rPr>
          <w:rFonts w:cstheme="minorHAnsi"/>
          <w:bCs/>
          <w:color w:val="000000"/>
        </w:rPr>
        <w:t xml:space="preserve">exercer ses fonctions de procureur général et de percevoir les traitements correspondants (voir, </w:t>
      </w:r>
      <w:r w:rsidRPr="008F5302">
        <w:rPr>
          <w:rFonts w:cstheme="minorHAnsi"/>
          <w:bCs/>
          <w:i/>
          <w:iCs/>
          <w:color w:val="000000"/>
        </w:rPr>
        <w:t>mutatis mutandis</w:t>
      </w:r>
      <w:r w:rsidRPr="008F5302">
        <w:rPr>
          <w:rFonts w:cstheme="minorHAnsi"/>
          <w:bCs/>
          <w:color w:val="000000"/>
        </w:rPr>
        <w:t xml:space="preserve">, </w:t>
      </w:r>
      <w:r w:rsidRPr="008F5302">
        <w:rPr>
          <w:rFonts w:cstheme="minorHAnsi"/>
          <w:bCs/>
          <w:i/>
          <w:iCs/>
          <w:color w:val="000000"/>
        </w:rPr>
        <w:t>Paluda</w:t>
      </w:r>
      <w:r w:rsidRPr="008F5302">
        <w:rPr>
          <w:rFonts w:cstheme="minorHAnsi"/>
          <w:bCs/>
          <w:color w:val="000000"/>
        </w:rPr>
        <w:t xml:space="preserve">, §§ 52-53 et </w:t>
      </w:r>
      <w:r w:rsidRPr="008F5302">
        <w:rPr>
          <w:rFonts w:cstheme="minorHAnsi"/>
          <w:bCs/>
          <w:i/>
          <w:iCs/>
          <w:color w:val="000000"/>
        </w:rPr>
        <w:t>Camelia</w:t>
      </w:r>
      <w:r w:rsidRPr="008F5302">
        <w:rPr>
          <w:rFonts w:cstheme="minorHAnsi"/>
          <w:bCs/>
          <w:i/>
          <w:iCs/>
          <w:color w:val="000000"/>
        </w:rPr>
        <w:t xml:space="preserve"> Bogdan</w:t>
      </w:r>
      <w:r w:rsidRPr="008F5302">
        <w:rPr>
          <w:rFonts w:cstheme="minorHAnsi"/>
          <w:bCs/>
          <w:color w:val="000000"/>
        </w:rPr>
        <w:t>, §</w:t>
      </w:r>
      <w:r w:rsidRPr="008F5302" w:rsidR="000C184A">
        <w:rPr>
          <w:rFonts w:cstheme="minorHAnsi"/>
          <w:bCs/>
          <w:color w:val="000000"/>
        </w:rPr>
        <w:t xml:space="preserve"> </w:t>
      </w:r>
      <w:r w:rsidRPr="008F5302">
        <w:rPr>
          <w:rFonts w:cstheme="minorHAnsi"/>
          <w:bCs/>
          <w:color w:val="000000"/>
        </w:rPr>
        <w:t>75, précités, paragraphe</w:t>
      </w:r>
      <w:r w:rsidRPr="008F5302" w:rsidR="000C184A">
        <w:rPr>
          <w:rFonts w:cstheme="minorHAnsi"/>
          <w:bCs/>
          <w:color w:val="000000"/>
        </w:rPr>
        <w:t xml:space="preserve"> </w:t>
      </w:r>
      <w:r w:rsidRPr="008F5302">
        <w:rPr>
          <w:rFonts w:cstheme="minorHAnsi"/>
          <w:bCs/>
          <w:color w:val="000000"/>
        </w:rPr>
        <w:fldChar w:fldCharType="begin"/>
      </w:r>
      <w:r w:rsidRPr="008F5302">
        <w:rPr>
          <w:rFonts w:cstheme="minorHAnsi"/>
          <w:bCs/>
          <w:color w:val="000000"/>
        </w:rPr>
        <w:instrText xml:space="preserve"> REF para34 \h  \* MERGEFORMAT </w:instrText>
      </w:r>
      <w:r w:rsidRPr="008F5302">
        <w:rPr>
          <w:rFonts w:cstheme="minorHAnsi"/>
          <w:bCs/>
          <w:color w:val="000000"/>
        </w:rPr>
        <w:fldChar w:fldCharType="separate"/>
      </w:r>
      <w:r w:rsidRPr="008F5302" w:rsidR="008F5302">
        <w:rPr>
          <w:rFonts w:cstheme="minorHAnsi"/>
          <w:bCs/>
        </w:rPr>
        <w:t>35</w:t>
      </w:r>
      <w:r w:rsidRPr="008F5302">
        <w:rPr>
          <w:rFonts w:cstheme="minorHAnsi"/>
          <w:bCs/>
          <w:color w:val="000000"/>
        </w:rPr>
        <w:fldChar w:fldCharType="end"/>
      </w:r>
      <w:r w:rsidRPr="008F5302">
        <w:rPr>
          <w:rFonts w:cstheme="minorHAnsi"/>
          <w:bCs/>
          <w:color w:val="000000"/>
        </w:rPr>
        <w:t xml:space="preserve"> ci-dessus).</w:t>
      </w:r>
    </w:p>
    <w:p w:rsidRPr="008F5302" w:rsidR="00DC5B61" w:rsidP="008F5302" w14:paraId="3E6B4E91" w14:textId="2A105193">
      <w:pPr>
        <w:pStyle w:val="JuPara"/>
        <w:rPr>
          <w:rFonts w:cstheme="minorHAnsi"/>
          <w:bCs/>
          <w:color w:val="000000"/>
        </w:rPr>
      </w:pPr>
      <w:r w:rsidRPr="008F5302">
        <w:rPr>
          <w:rFonts w:cstheme="minorHAnsi"/>
          <w:bCs/>
          <w:color w:val="000000"/>
        </w:rPr>
        <w:fldChar w:fldCharType="begin"/>
      </w:r>
      <w:r w:rsidRPr="008F5302">
        <w:rPr>
          <w:rFonts w:cstheme="minorHAnsi"/>
          <w:bCs/>
          <w:color w:val="000000"/>
        </w:rPr>
        <w:instrText xml:space="preserve"> SEQ level0 \*arabic \* MERGEFORMAT </w:instrText>
      </w:r>
      <w:r w:rsidRPr="008F5302">
        <w:rPr>
          <w:rFonts w:cstheme="minorHAnsi"/>
          <w:bCs/>
          <w:color w:val="000000"/>
        </w:rPr>
        <w:fldChar w:fldCharType="separate"/>
      </w:r>
      <w:r w:rsidRPr="008F5302" w:rsidR="008F5302">
        <w:rPr>
          <w:rFonts w:cstheme="minorHAnsi"/>
          <w:bCs/>
          <w:noProof/>
          <w:color w:val="000000"/>
        </w:rPr>
        <w:t>56</w:t>
      </w:r>
      <w:r w:rsidRPr="008F5302">
        <w:rPr>
          <w:rFonts w:cstheme="minorHAnsi"/>
          <w:bCs/>
          <w:color w:val="000000"/>
        </w:rPr>
        <w:fldChar w:fldCharType="end"/>
      </w:r>
      <w:r w:rsidRPr="008F5302">
        <w:rPr>
          <w:rFonts w:cstheme="minorHAnsi"/>
          <w:bCs/>
          <w:color w:val="000000"/>
        </w:rPr>
        <w:t>.  Dans ces conditions, la Cour considère que l</w:t>
      </w:r>
      <w:r w:rsidRPr="008F5302" w:rsidR="008F5302">
        <w:rPr>
          <w:rFonts w:cstheme="minorHAnsi"/>
          <w:bCs/>
          <w:color w:val="000000"/>
        </w:rPr>
        <w:t>’</w:t>
      </w:r>
      <w:r w:rsidRPr="008F5302">
        <w:rPr>
          <w:rFonts w:cstheme="minorHAnsi"/>
          <w:bCs/>
          <w:color w:val="000000"/>
        </w:rPr>
        <w:t>État défendeur a porté atteinte à la substance même du droit pour le requérant d</w:t>
      </w:r>
      <w:r w:rsidRPr="008F5302" w:rsidR="008F5302">
        <w:rPr>
          <w:rFonts w:cstheme="minorHAnsi"/>
          <w:bCs/>
          <w:color w:val="000000"/>
        </w:rPr>
        <w:t>’</w:t>
      </w:r>
      <w:r w:rsidRPr="008F5302">
        <w:rPr>
          <w:rFonts w:cstheme="minorHAnsi"/>
          <w:bCs/>
          <w:color w:val="000000"/>
        </w:rPr>
        <w:t xml:space="preserve">accéder à un tribunal (voir, </w:t>
      </w:r>
      <w:r w:rsidRPr="008F5302">
        <w:rPr>
          <w:rFonts w:cstheme="minorHAnsi"/>
          <w:bCs/>
          <w:i/>
          <w:iCs/>
          <w:color w:val="000000"/>
        </w:rPr>
        <w:t>mutatis mutandis</w:t>
      </w:r>
      <w:r w:rsidRPr="008F5302">
        <w:rPr>
          <w:rFonts w:cstheme="minorHAnsi"/>
          <w:bCs/>
          <w:color w:val="000000"/>
        </w:rPr>
        <w:t xml:space="preserve">, </w:t>
      </w:r>
      <w:r w:rsidRPr="008F5302">
        <w:rPr>
          <w:rFonts w:cstheme="minorHAnsi"/>
          <w:bCs/>
          <w:i/>
          <w:iCs/>
          <w:color w:val="000000"/>
        </w:rPr>
        <w:t>Paluda</w:t>
      </w:r>
      <w:r w:rsidRPr="008F5302">
        <w:rPr>
          <w:rFonts w:cstheme="minorHAnsi"/>
          <w:bCs/>
          <w:color w:val="000000"/>
        </w:rPr>
        <w:t>, §</w:t>
      </w:r>
      <w:r w:rsidRPr="008F5302" w:rsidR="004676EC">
        <w:rPr>
          <w:rFonts w:cstheme="minorHAnsi"/>
          <w:bCs/>
          <w:color w:val="000000"/>
        </w:rPr>
        <w:t xml:space="preserve"> </w:t>
      </w:r>
      <w:r w:rsidRPr="008F5302">
        <w:rPr>
          <w:rFonts w:cstheme="minorHAnsi"/>
          <w:bCs/>
          <w:color w:val="000000"/>
        </w:rPr>
        <w:t xml:space="preserve">46-55, </w:t>
      </w:r>
      <w:r w:rsidRPr="008F5302">
        <w:rPr>
          <w:rFonts w:cstheme="minorHAnsi"/>
          <w:bCs/>
          <w:i/>
          <w:iCs/>
          <w:color w:val="000000"/>
        </w:rPr>
        <w:t>Camelia</w:t>
      </w:r>
      <w:r w:rsidRPr="008F5302">
        <w:rPr>
          <w:rFonts w:cstheme="minorHAnsi"/>
          <w:bCs/>
          <w:i/>
          <w:iCs/>
          <w:color w:val="000000"/>
        </w:rPr>
        <w:t xml:space="preserve"> Bogdan</w:t>
      </w:r>
      <w:r w:rsidRPr="008F5302">
        <w:rPr>
          <w:rFonts w:cstheme="minorHAnsi"/>
          <w:bCs/>
          <w:color w:val="000000"/>
        </w:rPr>
        <w:t>, §§</w:t>
      </w:r>
      <w:r w:rsidRPr="008F5302" w:rsidR="004676EC">
        <w:rPr>
          <w:rFonts w:cstheme="minorHAnsi"/>
          <w:bCs/>
          <w:color w:val="000000"/>
        </w:rPr>
        <w:t xml:space="preserve"> </w:t>
      </w:r>
      <w:r w:rsidRPr="008F5302">
        <w:rPr>
          <w:rFonts w:cstheme="minorHAnsi"/>
          <w:bCs/>
          <w:color w:val="000000"/>
        </w:rPr>
        <w:t xml:space="preserve">71-79 et </w:t>
      </w:r>
      <w:r w:rsidRPr="008F5302">
        <w:rPr>
          <w:rFonts w:cstheme="minorHAnsi"/>
          <w:bCs/>
          <w:i/>
          <w:iCs/>
          <w:color w:val="000000"/>
        </w:rPr>
        <w:t>Kovesi</w:t>
      </w:r>
      <w:r w:rsidRPr="008F5302">
        <w:rPr>
          <w:rFonts w:cstheme="minorHAnsi"/>
          <w:bCs/>
          <w:color w:val="000000"/>
        </w:rPr>
        <w:t xml:space="preserve"> §§</w:t>
      </w:r>
      <w:r w:rsidRPr="008F5302" w:rsidR="004676EC">
        <w:rPr>
          <w:rFonts w:cstheme="minorHAnsi"/>
          <w:bCs/>
          <w:color w:val="000000"/>
        </w:rPr>
        <w:t xml:space="preserve"> </w:t>
      </w:r>
      <w:r w:rsidRPr="008F5302">
        <w:rPr>
          <w:rFonts w:cstheme="minorHAnsi"/>
          <w:bCs/>
          <w:color w:val="000000"/>
        </w:rPr>
        <w:t>156-158, tous précités).</w:t>
      </w:r>
    </w:p>
    <w:bookmarkStart w:name="para61" w:id="42"/>
    <w:p w:rsidRPr="008F5302" w:rsidR="00DC5B61" w:rsidP="008F5302" w14:paraId="7E51D7AD" w14:textId="22E1B36F">
      <w:pPr>
        <w:pStyle w:val="JuPara"/>
        <w:rPr>
          <w:rFonts w:cstheme="minorHAnsi"/>
          <w:bCs/>
          <w:color w:val="000000"/>
        </w:rPr>
      </w:pPr>
      <w:r w:rsidRPr="008F5302">
        <w:rPr>
          <w:rFonts w:cstheme="minorHAnsi"/>
          <w:bCs/>
          <w:color w:val="000000"/>
        </w:rPr>
        <w:fldChar w:fldCharType="begin"/>
      </w:r>
      <w:r w:rsidRPr="008F5302">
        <w:rPr>
          <w:rFonts w:cstheme="minorHAnsi"/>
          <w:bCs/>
          <w:color w:val="000000"/>
        </w:rPr>
        <w:instrText xml:space="preserve"> SEQ level0 \*arabic \* MERGEFORMAT </w:instrText>
      </w:r>
      <w:r w:rsidRPr="008F5302">
        <w:rPr>
          <w:rFonts w:cstheme="minorHAnsi"/>
          <w:bCs/>
          <w:color w:val="000000"/>
        </w:rPr>
        <w:fldChar w:fldCharType="separate"/>
      </w:r>
      <w:r w:rsidRPr="008F5302" w:rsidR="008F5302">
        <w:rPr>
          <w:rFonts w:cstheme="minorHAnsi"/>
          <w:bCs/>
          <w:noProof/>
          <w:color w:val="000000"/>
        </w:rPr>
        <w:t>57</w:t>
      </w:r>
      <w:r w:rsidRPr="008F5302">
        <w:rPr>
          <w:rFonts w:cstheme="minorHAnsi"/>
          <w:bCs/>
          <w:color w:val="000000"/>
        </w:rPr>
        <w:fldChar w:fldCharType="end"/>
      </w:r>
      <w:bookmarkEnd w:id="42"/>
      <w:r w:rsidRPr="008F5302">
        <w:rPr>
          <w:rFonts w:cstheme="minorHAnsi"/>
          <w:bCs/>
          <w:color w:val="000000"/>
        </w:rPr>
        <w:t>.  Partant, il y a eu violation de l</w:t>
      </w:r>
      <w:r w:rsidRPr="008F5302" w:rsidR="008F5302">
        <w:rPr>
          <w:rFonts w:cstheme="minorHAnsi"/>
          <w:bCs/>
          <w:color w:val="000000"/>
        </w:rPr>
        <w:t>’</w:t>
      </w:r>
      <w:r w:rsidRPr="008F5302">
        <w:rPr>
          <w:rFonts w:cstheme="minorHAnsi"/>
          <w:bCs/>
          <w:color w:val="000000"/>
        </w:rPr>
        <w:t>article</w:t>
      </w:r>
      <w:r w:rsidRPr="008F5302" w:rsidR="00512EDC">
        <w:rPr>
          <w:rFonts w:cstheme="minorHAnsi"/>
          <w:bCs/>
          <w:color w:val="000000"/>
        </w:rPr>
        <w:t xml:space="preserve"> </w:t>
      </w:r>
      <w:r w:rsidRPr="008F5302">
        <w:rPr>
          <w:rFonts w:cstheme="minorHAnsi"/>
          <w:bCs/>
          <w:color w:val="000000"/>
        </w:rPr>
        <w:t>6 §</w:t>
      </w:r>
      <w:r w:rsidRPr="008F5302" w:rsidR="00512EDC">
        <w:rPr>
          <w:rFonts w:cstheme="minorHAnsi"/>
          <w:bCs/>
          <w:color w:val="000000"/>
        </w:rPr>
        <w:t xml:space="preserve"> </w:t>
      </w:r>
      <w:r w:rsidRPr="008F5302">
        <w:rPr>
          <w:rFonts w:cstheme="minorHAnsi"/>
          <w:bCs/>
          <w:color w:val="000000"/>
        </w:rPr>
        <w:t>1 de la Convention.</w:t>
      </w:r>
    </w:p>
    <w:p w:rsidRPr="008F5302" w:rsidR="00DC5B61" w:rsidP="008F5302" w14:paraId="24CBF326" w14:textId="643AAEB3">
      <w:pPr>
        <w:pStyle w:val="JuHIRoman"/>
      </w:pPr>
      <w:r w:rsidRPr="008F5302">
        <w:t>SUR LA VIOLATION ALLÉGUÉE DE L</w:t>
      </w:r>
      <w:r w:rsidRPr="008F5302" w:rsidR="008F5302">
        <w:t>’</w:t>
      </w:r>
      <w:r w:rsidRPr="008F5302">
        <w:t>ARTICLE 13 DE LA CONVENTION</w:t>
      </w:r>
    </w:p>
    <w:p w:rsidRPr="008F5302" w:rsidR="00DC5B61" w:rsidP="008F5302" w14:paraId="3F3BB07A" w14:textId="35A6E366">
      <w:pPr>
        <w:pStyle w:val="JuPara"/>
      </w:pPr>
      <w:r>
        <w:fldChar w:fldCharType="begin"/>
      </w:r>
      <w:r>
        <w:instrText xml:space="preserve"> SEQ level0 \*arabic \* MERGEFORMAT </w:instrText>
      </w:r>
      <w:r>
        <w:fldChar w:fldCharType="separate"/>
      </w:r>
      <w:r w:rsidRPr="008F5302" w:rsidR="008F5302">
        <w:rPr>
          <w:noProof/>
        </w:rPr>
        <w:t>58</w:t>
      </w:r>
      <w:r>
        <w:rPr>
          <w:noProof/>
        </w:rPr>
        <w:fldChar w:fldCharType="end"/>
      </w:r>
      <w:r w:rsidRPr="008F5302">
        <w:t>.  Invoquant l</w:t>
      </w:r>
      <w:r w:rsidRPr="008F5302" w:rsidR="008F5302">
        <w:t>’</w:t>
      </w:r>
      <w:r w:rsidRPr="008F5302">
        <w:t>article</w:t>
      </w:r>
      <w:r w:rsidRPr="008F5302" w:rsidR="009D1053">
        <w:t xml:space="preserve"> </w:t>
      </w:r>
      <w:r w:rsidRPr="008F5302">
        <w:t>13 de la Convention, le requérant allègue qu</w:t>
      </w:r>
      <w:r w:rsidRPr="008F5302" w:rsidR="008F5302">
        <w:t>’</w:t>
      </w:r>
      <w:r w:rsidRPr="008F5302">
        <w:t>il n</w:t>
      </w:r>
      <w:r w:rsidRPr="008F5302" w:rsidR="008F5302">
        <w:t>’</w:t>
      </w:r>
      <w:r w:rsidRPr="008F5302">
        <w:t>a eu accès au niveau interne à aucun recours effectif lui permettant de contester la mesure de suspension de fonctions qui l</w:t>
      </w:r>
      <w:r w:rsidRPr="008F5302" w:rsidR="008F5302">
        <w:t>’</w:t>
      </w:r>
      <w:r w:rsidRPr="008F5302">
        <w:t>a visé. L</w:t>
      </w:r>
      <w:r w:rsidRPr="008F5302" w:rsidR="008F5302">
        <w:t>’</w:t>
      </w:r>
      <w:r w:rsidRPr="008F5302">
        <w:t>article</w:t>
      </w:r>
      <w:r w:rsidRPr="008F5302" w:rsidR="009D1053">
        <w:t xml:space="preserve"> </w:t>
      </w:r>
      <w:r w:rsidRPr="008F5302">
        <w:t>13 est libellé comme suit :</w:t>
      </w:r>
    </w:p>
    <w:p w:rsidRPr="008F5302" w:rsidR="00DC5B61" w:rsidP="008F5302" w14:paraId="6FEE1095" w14:textId="4382DD62">
      <w:pPr>
        <w:pStyle w:val="JuQuot"/>
      </w:pPr>
      <w:r w:rsidRPr="008F5302">
        <w:t>« Toute personne dont les droits et libertés reconnus dans la (...) Convention ont été violés, a droit à l</w:t>
      </w:r>
      <w:r w:rsidRPr="008F5302" w:rsidR="008F5302">
        <w:t>’</w:t>
      </w:r>
      <w:r w:rsidRPr="008F5302">
        <w:t>octroi d</w:t>
      </w:r>
      <w:r w:rsidRPr="008F5302" w:rsidR="008F5302">
        <w:t>’</w:t>
      </w:r>
      <w:r w:rsidRPr="008F5302">
        <w:t>un recours effectif devant une instance nationale, alors même que la violation aurait été commise par des personnes agissant dans l</w:t>
      </w:r>
      <w:r w:rsidRPr="008F5302" w:rsidR="008F5302">
        <w:t>’</w:t>
      </w:r>
      <w:r w:rsidRPr="008F5302">
        <w:t>exercice de leurs fonctions officielles. »</w:t>
      </w:r>
    </w:p>
    <w:bookmarkStart w:name="para63" w:id="43"/>
    <w:p w:rsidRPr="008F5302" w:rsidR="00DC5B61" w:rsidP="008F5302" w14:paraId="1AFF2349" w14:textId="16043DC7">
      <w:pPr>
        <w:pStyle w:val="JuPara"/>
      </w:pPr>
      <w:r w:rsidRPr="008F5302">
        <w:fldChar w:fldCharType="begin"/>
      </w:r>
      <w:r w:rsidRPr="008F5302">
        <w:instrText xml:space="preserve"> SEQ level0 \*arabic \* MERGEFORMAT </w:instrText>
      </w:r>
      <w:r w:rsidRPr="008F5302">
        <w:fldChar w:fldCharType="separate"/>
      </w:r>
      <w:r w:rsidRPr="008F5302" w:rsidR="008F5302">
        <w:rPr>
          <w:noProof/>
        </w:rPr>
        <w:t>59</w:t>
      </w:r>
      <w:r w:rsidRPr="008F5302">
        <w:fldChar w:fldCharType="end"/>
      </w:r>
      <w:bookmarkEnd w:id="43"/>
      <w:r w:rsidRPr="008F5302">
        <w:t>.  La Cour observe que le grief soulevé par le requérant sous l</w:t>
      </w:r>
      <w:r w:rsidRPr="008F5302" w:rsidR="008F5302">
        <w:t>’</w:t>
      </w:r>
      <w:r w:rsidRPr="008F5302">
        <w:t>angle de l</w:t>
      </w:r>
      <w:r w:rsidRPr="008F5302" w:rsidR="008F5302">
        <w:t>’</w:t>
      </w:r>
      <w:r w:rsidRPr="008F5302">
        <w:t>article 13 est en substance identique à celui qu</w:t>
      </w:r>
      <w:r w:rsidRPr="008F5302" w:rsidR="008F5302">
        <w:t>’</w:t>
      </w:r>
      <w:r w:rsidRPr="008F5302">
        <w:t>il a formulé sur le terrain de l</w:t>
      </w:r>
      <w:r w:rsidRPr="008F5302" w:rsidR="008F5302">
        <w:t>’</w:t>
      </w:r>
      <w:r w:rsidRPr="008F5302">
        <w:t>article 6 §</w:t>
      </w:r>
      <w:r w:rsidRPr="008F5302" w:rsidR="009D1053">
        <w:t xml:space="preserve"> </w:t>
      </w:r>
      <w:r w:rsidRPr="008F5302">
        <w:t>1. Elle rappelle que l</w:t>
      </w:r>
      <w:r w:rsidRPr="008F5302" w:rsidR="008F5302">
        <w:t>’</w:t>
      </w:r>
      <w:r w:rsidRPr="008F5302">
        <w:t>article</w:t>
      </w:r>
      <w:r w:rsidRPr="008F5302" w:rsidR="009D1053">
        <w:t xml:space="preserve"> </w:t>
      </w:r>
      <w:r w:rsidRPr="008F5302">
        <w:t xml:space="preserve">6 constitue une </w:t>
      </w:r>
      <w:r w:rsidRPr="008F5302">
        <w:rPr>
          <w:i/>
          <w:iCs/>
        </w:rPr>
        <w:t>lex</w:t>
      </w:r>
      <w:r w:rsidRPr="008F5302">
        <w:rPr>
          <w:i/>
          <w:iCs/>
        </w:rPr>
        <w:t xml:space="preserve"> </w:t>
      </w:r>
      <w:r w:rsidRPr="008F5302">
        <w:rPr>
          <w:i/>
          <w:iCs/>
        </w:rPr>
        <w:t>specialis</w:t>
      </w:r>
      <w:r w:rsidRPr="008F5302">
        <w:t xml:space="preserve"> par rapport à l</w:t>
      </w:r>
      <w:r w:rsidRPr="008F5302" w:rsidR="008F5302">
        <w:t>’</w:t>
      </w:r>
      <w:r w:rsidRPr="008F5302">
        <w:t>article</w:t>
      </w:r>
      <w:r w:rsidRPr="008F5302" w:rsidR="009D1053">
        <w:t xml:space="preserve"> </w:t>
      </w:r>
      <w:r w:rsidRPr="008F5302">
        <w:t>13, les exigences du second se trouvant comprises dans celles, plus strictes, du premier (voir, par exemple,</w:t>
      </w:r>
      <w:r w:rsidRPr="008F5302">
        <w:rPr>
          <w:i/>
          <w:iCs/>
        </w:rPr>
        <w:t xml:space="preserve"> </w:t>
      </w:r>
      <w:r w:rsidRPr="008F5302">
        <w:rPr>
          <w:i/>
          <w:iCs/>
        </w:rPr>
        <w:t>Kudła</w:t>
      </w:r>
      <w:r w:rsidRPr="008F5302">
        <w:rPr>
          <w:i/>
          <w:iCs/>
        </w:rPr>
        <w:t xml:space="preserve"> c. Pologne</w:t>
      </w:r>
      <w:r w:rsidRPr="008F5302">
        <w:t xml:space="preserve"> [GC], n</w:t>
      </w:r>
      <w:r w:rsidRPr="008F5302">
        <w:rPr>
          <w:vertAlign w:val="superscript"/>
        </w:rPr>
        <w:t>o</w:t>
      </w:r>
      <w:r w:rsidRPr="008F5302">
        <w:t> 30210/96 §</w:t>
      </w:r>
      <w:r w:rsidRPr="008F5302" w:rsidR="009D1053">
        <w:t xml:space="preserve"> </w:t>
      </w:r>
      <w:r w:rsidRPr="008F5302">
        <w:t>146, CEDH</w:t>
      </w:r>
      <w:r w:rsidRPr="008F5302" w:rsidR="009D1053">
        <w:t xml:space="preserve"> </w:t>
      </w:r>
      <w:r w:rsidRPr="008F5302">
        <w:t>2000</w:t>
      </w:r>
      <w:r w:rsidRPr="008F5302">
        <w:noBreakHyphen/>
        <w:t xml:space="preserve">XI, et </w:t>
      </w:r>
      <w:r w:rsidRPr="008F5302">
        <w:rPr>
          <w:i/>
          <w:iCs/>
        </w:rPr>
        <w:t>Baka</w:t>
      </w:r>
      <w:r w:rsidRPr="008F5302">
        <w:t>, §</w:t>
      </w:r>
      <w:r w:rsidRPr="008F5302" w:rsidR="009D1053">
        <w:t xml:space="preserve"> </w:t>
      </w:r>
      <w:r w:rsidRPr="008F5302">
        <w:t xml:space="preserve">181 et </w:t>
      </w:r>
      <w:r w:rsidRPr="008F5302">
        <w:rPr>
          <w:bCs/>
          <w:i/>
        </w:rPr>
        <w:t>Grzęda</w:t>
      </w:r>
      <w:r w:rsidRPr="008F5302">
        <w:rPr>
          <w:bCs/>
        </w:rPr>
        <w:t>, §§ 351-353,</w:t>
      </w:r>
      <w:r w:rsidRPr="008F5302">
        <w:t xml:space="preserve"> précités).</w:t>
      </w:r>
      <w:r w:rsidRPr="008F5302" w:rsidR="009D1053">
        <w:rPr>
          <w:rFonts w:ascii="Arial" w:hAnsi="Arial" w:cs="Arial"/>
          <w:color w:val="000000"/>
        </w:rPr>
        <w:t xml:space="preserve"> </w:t>
      </w:r>
      <w:r w:rsidRPr="008F5302">
        <w:t>En conséquence, elle conclut qu</w:t>
      </w:r>
      <w:r w:rsidRPr="008F5302" w:rsidR="008F5302">
        <w:t>’</w:t>
      </w:r>
      <w:r w:rsidRPr="008F5302">
        <w:t>il n</w:t>
      </w:r>
      <w:r w:rsidRPr="008F5302" w:rsidR="008F5302">
        <w:t>’</w:t>
      </w:r>
      <w:r w:rsidRPr="008F5302">
        <w:t>y a lieu d</w:t>
      </w:r>
      <w:r w:rsidRPr="008F5302" w:rsidR="008F5302">
        <w:t>’</w:t>
      </w:r>
      <w:r w:rsidRPr="008F5302">
        <w:t>examiner séparément ni la recevabilité ni le fond du grief de violation de l</w:t>
      </w:r>
      <w:r w:rsidRPr="008F5302" w:rsidR="008F5302">
        <w:t>’</w:t>
      </w:r>
      <w:r w:rsidRPr="008F5302">
        <w:t>article</w:t>
      </w:r>
      <w:r w:rsidRPr="008F5302" w:rsidR="009D1053">
        <w:t xml:space="preserve"> </w:t>
      </w:r>
      <w:r w:rsidRPr="008F5302">
        <w:t>13 de la Convention.</w:t>
      </w:r>
    </w:p>
    <w:p w:rsidRPr="008F5302" w:rsidR="00DC5B61" w:rsidP="008F5302" w14:paraId="48F96470" w14:textId="6B284625">
      <w:pPr>
        <w:pStyle w:val="JuHIRoman"/>
      </w:pPr>
      <w:r w:rsidRPr="008F5302">
        <w:t>SUR L</w:t>
      </w:r>
      <w:r w:rsidRPr="008F5302" w:rsidR="008F5302">
        <w:t>’</w:t>
      </w:r>
      <w:r w:rsidRPr="008F5302">
        <w:t>APPLICATION DE L</w:t>
      </w:r>
      <w:r w:rsidRPr="008F5302" w:rsidR="008F5302">
        <w:t>’</w:t>
      </w:r>
      <w:r w:rsidRPr="008F5302">
        <w:t>ARTICLE 41 DE LA CONVENTION</w:t>
      </w:r>
    </w:p>
    <w:p w:rsidRPr="008F5302" w:rsidR="00DC5B61" w:rsidP="008F5302" w14:paraId="228EEA04" w14:textId="497504D4">
      <w:pPr>
        <w:pStyle w:val="JuPara"/>
      </w:pPr>
      <w:r w:rsidRPr="008F5302">
        <w:fldChar w:fldCharType="begin"/>
      </w:r>
      <w:r w:rsidRPr="008F5302">
        <w:instrText xml:space="preserve"> SEQ level0 \*arabic </w:instrText>
      </w:r>
      <w:r w:rsidRPr="008F5302">
        <w:fldChar w:fldCharType="separate"/>
      </w:r>
      <w:r w:rsidRPr="008F5302" w:rsidR="008F5302">
        <w:rPr>
          <w:noProof/>
        </w:rPr>
        <w:t>60</w:t>
      </w:r>
      <w:r w:rsidRPr="008F5302">
        <w:fldChar w:fldCharType="end"/>
      </w:r>
      <w:r w:rsidRPr="008F5302">
        <w:t>.  Aux termes de l</w:t>
      </w:r>
      <w:r w:rsidRPr="008F5302" w:rsidR="008F5302">
        <w:t>’</w:t>
      </w:r>
      <w:r w:rsidRPr="008F5302">
        <w:t>article</w:t>
      </w:r>
      <w:r w:rsidRPr="008F5302" w:rsidR="005554E1">
        <w:t xml:space="preserve"> </w:t>
      </w:r>
      <w:r w:rsidRPr="008F5302">
        <w:t>41 de la Convention :</w:t>
      </w:r>
    </w:p>
    <w:p w:rsidRPr="008F5302" w:rsidR="00DC5B61" w:rsidP="008F5302" w14:paraId="5FB46050" w14:textId="5D485864">
      <w:pPr>
        <w:pStyle w:val="JuQuot"/>
      </w:pPr>
      <w:r w:rsidRPr="008F5302">
        <w:t>« Si la Cour déclare qu</w:t>
      </w:r>
      <w:r w:rsidRPr="008F5302" w:rsidR="008F5302">
        <w:t>’</w:t>
      </w:r>
      <w:r w:rsidRPr="008F5302">
        <w:t>il y a eu violation de la Convention ou de ses Protocoles, et si le droit interne de la Haute Partie contractante ne permet d</w:t>
      </w:r>
      <w:r w:rsidRPr="008F5302" w:rsidR="008F5302">
        <w:t>’</w:t>
      </w:r>
      <w:r w:rsidRPr="008F5302">
        <w:t>effacer qu</w:t>
      </w:r>
      <w:r w:rsidRPr="008F5302" w:rsidR="008F5302">
        <w:t>’</w:t>
      </w:r>
      <w:r w:rsidRPr="008F5302">
        <w:t>imparfaitement les conséquences de cette violation, la Cour accorde à la partie lésée, s</w:t>
      </w:r>
      <w:r w:rsidRPr="008F5302" w:rsidR="008F5302">
        <w:t>’</w:t>
      </w:r>
      <w:r w:rsidRPr="008F5302">
        <w:t>il y a lieu, une satisfaction équitable. »</w:t>
      </w:r>
    </w:p>
    <w:p w:rsidRPr="008F5302" w:rsidR="00DC5B61" w:rsidP="008F5302" w14:paraId="25DFB422" w14:textId="77777777">
      <w:pPr>
        <w:pStyle w:val="JuHA"/>
        <w:numPr>
          <w:ilvl w:val="0"/>
          <w:numId w:val="0"/>
        </w:numPr>
        <w:ind w:firstLine="567"/>
      </w:pPr>
      <w:r w:rsidRPr="008F5302">
        <w:t>A.  Dommage</w:t>
      </w:r>
    </w:p>
    <w:bookmarkStart w:name="para66" w:id="44"/>
    <w:bookmarkStart w:name="para62" w:id="45"/>
    <w:p w:rsidRPr="008F5302" w:rsidR="00DC5B61" w:rsidP="008F5302" w14:paraId="120E3261" w14:textId="51706704">
      <w:pPr>
        <w:pStyle w:val="JuPara"/>
      </w:pPr>
      <w:r w:rsidRPr="008F5302">
        <w:fldChar w:fldCharType="begin"/>
      </w:r>
      <w:r w:rsidRPr="008F5302">
        <w:instrText xml:space="preserve"> SEQ level0 \*arabic </w:instrText>
      </w:r>
      <w:r w:rsidRPr="008F5302">
        <w:fldChar w:fldCharType="separate"/>
      </w:r>
      <w:r w:rsidRPr="008F5302" w:rsidR="008F5302">
        <w:rPr>
          <w:noProof/>
        </w:rPr>
        <w:t>61</w:t>
      </w:r>
      <w:r w:rsidRPr="008F5302">
        <w:fldChar w:fldCharType="end"/>
      </w:r>
      <w:bookmarkEnd w:id="44"/>
      <w:bookmarkEnd w:id="45"/>
      <w:r w:rsidRPr="008F5302">
        <w:t>.  Le requérant demande 20</w:t>
      </w:r>
      <w:r w:rsidRPr="008F5302" w:rsidR="00762936">
        <w:t xml:space="preserve"> </w:t>
      </w:r>
      <w:r w:rsidRPr="008F5302">
        <w:t>000</w:t>
      </w:r>
      <w:r w:rsidRPr="008F5302" w:rsidR="00762936">
        <w:t xml:space="preserve"> </w:t>
      </w:r>
      <w:r w:rsidRPr="008F5302">
        <w:t>euros</w:t>
      </w:r>
      <w:r w:rsidRPr="008F5302" w:rsidR="00762936">
        <w:t xml:space="preserve"> </w:t>
      </w:r>
      <w:r w:rsidRPr="008F5302">
        <w:t>(EUR) au titre du dommage moral qu</w:t>
      </w:r>
      <w:r w:rsidRPr="008F5302" w:rsidR="008F5302">
        <w:t>’</w:t>
      </w:r>
      <w:r w:rsidRPr="008F5302">
        <w:t>il estime avoir subi à raison de l</w:t>
      </w:r>
      <w:r w:rsidRPr="008F5302" w:rsidR="008F5302">
        <w:t>’</w:t>
      </w:r>
      <w:r w:rsidRPr="008F5302">
        <w:t>important retentissement médiatique de l</w:t>
      </w:r>
      <w:r w:rsidRPr="008F5302" w:rsidR="008F5302">
        <w:t>’</w:t>
      </w:r>
      <w:r w:rsidRPr="008F5302">
        <w:t>affaire au niveau national. Il précise que sa réputation a été atteinte du fait de l</w:t>
      </w:r>
      <w:r w:rsidRPr="008F5302" w:rsidR="008F5302">
        <w:t>’</w:t>
      </w:r>
      <w:r w:rsidRPr="008F5302">
        <w:t>impossibilité où il se trouvait de contester la décision du CSP du 5 octobre 2021.</w:t>
      </w:r>
    </w:p>
    <w:p w:rsidRPr="008F5302" w:rsidR="00DC5B61" w:rsidP="008F5302" w14:paraId="45AF654A" w14:textId="18BBE91E">
      <w:pPr>
        <w:pStyle w:val="JuPara"/>
      </w:pPr>
      <w:r w:rsidRPr="008F5302">
        <w:fldChar w:fldCharType="begin"/>
      </w:r>
      <w:r w:rsidRPr="008F5302">
        <w:instrText xml:space="preserve"> SEQ level0 \*arabic </w:instrText>
      </w:r>
      <w:r w:rsidRPr="008F5302">
        <w:fldChar w:fldCharType="separate"/>
      </w:r>
      <w:r w:rsidRPr="008F5302" w:rsidR="008F5302">
        <w:rPr>
          <w:noProof/>
        </w:rPr>
        <w:t>62</w:t>
      </w:r>
      <w:r w:rsidRPr="008F5302">
        <w:fldChar w:fldCharType="end"/>
      </w:r>
      <w:r w:rsidRPr="008F5302">
        <w:t>.  Le Gouvernement est d</w:t>
      </w:r>
      <w:r w:rsidRPr="008F5302" w:rsidR="008F5302">
        <w:t>’</w:t>
      </w:r>
      <w:r w:rsidRPr="008F5302">
        <w:t>avis que la médiatisation de l</w:t>
      </w:r>
      <w:r w:rsidRPr="008F5302" w:rsidR="008F5302">
        <w:t>’</w:t>
      </w:r>
      <w:r w:rsidRPr="008F5302">
        <w:t>affaire n</w:t>
      </w:r>
      <w:r w:rsidRPr="008F5302" w:rsidR="008F5302">
        <w:t>’</w:t>
      </w:r>
      <w:r w:rsidRPr="008F5302">
        <w:t>est pas imputable aux autorités nationales, que le requérant n</w:t>
      </w:r>
      <w:r w:rsidRPr="008F5302" w:rsidR="008F5302">
        <w:t>’</w:t>
      </w:r>
      <w:r w:rsidRPr="008F5302">
        <w:t>a pas justifié sa demande d</w:t>
      </w:r>
      <w:r w:rsidRPr="008F5302" w:rsidR="008F5302">
        <w:t>’</w:t>
      </w:r>
      <w:r w:rsidRPr="008F5302">
        <w:t>octroi d</w:t>
      </w:r>
      <w:r w:rsidRPr="008F5302" w:rsidR="008F5302">
        <w:t>’</w:t>
      </w:r>
      <w:r w:rsidRPr="008F5302">
        <w:t>une réparation du préjudice moral qu</w:t>
      </w:r>
      <w:r w:rsidRPr="008F5302" w:rsidR="008F5302">
        <w:t>’</w:t>
      </w:r>
      <w:r w:rsidRPr="008F5302">
        <w:t>il allègue avoir subi et qu</w:t>
      </w:r>
      <w:r w:rsidRPr="008F5302" w:rsidR="008F5302">
        <w:t>’</w:t>
      </w:r>
      <w:r w:rsidRPr="008F5302">
        <w:t>en tout état de cause le montant sollicité est excessif au regard de la jurisprudence de la Cour.</w:t>
      </w:r>
      <w:bookmarkStart w:name="para68" w:id="46"/>
    </w:p>
    <w:bookmarkStart w:name="para64" w:id="47"/>
    <w:p w:rsidRPr="008F5302" w:rsidR="00DC5B61" w:rsidP="008F5302" w14:paraId="74CDAE9B" w14:textId="7ED34753">
      <w:pPr>
        <w:pStyle w:val="JuPara"/>
      </w:pPr>
      <w:r w:rsidRPr="008F5302">
        <w:fldChar w:fldCharType="begin"/>
      </w:r>
      <w:r w:rsidRPr="008F5302">
        <w:instrText xml:space="preserve"> SEQ level0 \*arabic </w:instrText>
      </w:r>
      <w:r w:rsidRPr="008F5302">
        <w:fldChar w:fldCharType="separate"/>
      </w:r>
      <w:r w:rsidRPr="008F5302" w:rsidR="008F5302">
        <w:rPr>
          <w:noProof/>
        </w:rPr>
        <w:t>63</w:t>
      </w:r>
      <w:r w:rsidRPr="008F5302">
        <w:fldChar w:fldCharType="end"/>
      </w:r>
      <w:bookmarkEnd w:id="46"/>
      <w:bookmarkEnd w:id="47"/>
      <w:r w:rsidRPr="008F5302">
        <w:t>.  La Cour octroie 3</w:t>
      </w:r>
      <w:r w:rsidRPr="008F5302" w:rsidR="00793173">
        <w:t xml:space="preserve"> </w:t>
      </w:r>
      <w:r w:rsidRPr="008F5302">
        <w:t>600</w:t>
      </w:r>
      <w:r w:rsidRPr="008F5302" w:rsidR="00793173">
        <w:t xml:space="preserve"> </w:t>
      </w:r>
      <w:r w:rsidRPr="008F5302">
        <w:t>EUR pour dommage moral, plus tout montant pouvant être dû sur cette somme à titre d</w:t>
      </w:r>
      <w:r w:rsidRPr="008F5302" w:rsidR="008F5302">
        <w:t>’</w:t>
      </w:r>
      <w:r w:rsidRPr="008F5302">
        <w:t>impôt.</w:t>
      </w:r>
    </w:p>
    <w:p w:rsidRPr="008F5302" w:rsidR="00DC5B61" w:rsidP="008F5302" w14:paraId="11B071A3" w14:textId="77777777">
      <w:pPr>
        <w:pStyle w:val="JuHA"/>
        <w:numPr>
          <w:ilvl w:val="0"/>
          <w:numId w:val="0"/>
        </w:numPr>
        <w:ind w:firstLine="720"/>
      </w:pPr>
      <w:r w:rsidRPr="008F5302">
        <w:t>B.  Frais et dépens</w:t>
      </w:r>
    </w:p>
    <w:bookmarkStart w:name="para69" w:id="48"/>
    <w:p w:rsidRPr="008F5302" w:rsidR="00DC5B61" w:rsidP="008F5302" w14:paraId="39044179" w14:textId="3FDEBF7B">
      <w:pPr>
        <w:pStyle w:val="JuPara"/>
      </w:pPr>
      <w:r w:rsidRPr="008F5302">
        <w:fldChar w:fldCharType="begin"/>
      </w:r>
      <w:r w:rsidRPr="008F5302">
        <w:instrText xml:space="preserve"> SEQ level0 \*arabic </w:instrText>
      </w:r>
      <w:r w:rsidRPr="008F5302">
        <w:fldChar w:fldCharType="separate"/>
      </w:r>
      <w:r w:rsidRPr="008F5302" w:rsidR="008F5302">
        <w:rPr>
          <w:noProof/>
        </w:rPr>
        <w:t>64</w:t>
      </w:r>
      <w:r w:rsidRPr="008F5302">
        <w:fldChar w:fldCharType="end"/>
      </w:r>
      <w:bookmarkEnd w:id="48"/>
      <w:r w:rsidRPr="008F5302">
        <w:t>.  Le requérant réclame 3</w:t>
      </w:r>
      <w:r w:rsidRPr="008F5302" w:rsidR="00793173">
        <w:t xml:space="preserve"> </w:t>
      </w:r>
      <w:r w:rsidRPr="008F5302">
        <w:t>600</w:t>
      </w:r>
      <w:r w:rsidRPr="008F5302" w:rsidR="00793173">
        <w:t xml:space="preserve"> </w:t>
      </w:r>
      <w:r w:rsidRPr="008F5302">
        <w:t>EUR au titre des frais et dépens qu</w:t>
      </w:r>
      <w:r w:rsidRPr="008F5302" w:rsidR="008F5302">
        <w:t>’</w:t>
      </w:r>
      <w:r w:rsidRPr="008F5302">
        <w:t>il dit avoir engagés dans le cadre de la procédure menée devant la Cour, pour laquelle il déclare avoir fait appel à deux avocats.</w:t>
      </w:r>
    </w:p>
    <w:p w:rsidRPr="008F5302" w:rsidR="00DC5B61" w:rsidP="008F5302" w14:paraId="73508ED4" w14:textId="3716502C">
      <w:pPr>
        <w:pStyle w:val="JuPara"/>
        <w:rPr>
          <w:rFonts w:cstheme="minorHAnsi"/>
        </w:rPr>
      </w:pPr>
      <w:r w:rsidRPr="008F5302">
        <w:fldChar w:fldCharType="begin"/>
      </w:r>
      <w:r w:rsidRPr="008F5302">
        <w:instrText xml:space="preserve"> SEQ level0 \*arabic </w:instrText>
      </w:r>
      <w:r w:rsidRPr="008F5302">
        <w:fldChar w:fldCharType="separate"/>
      </w:r>
      <w:r w:rsidRPr="008F5302" w:rsidR="008F5302">
        <w:rPr>
          <w:noProof/>
        </w:rPr>
        <w:t>65</w:t>
      </w:r>
      <w:r w:rsidRPr="008F5302">
        <w:fldChar w:fldCharType="end"/>
      </w:r>
      <w:r w:rsidRPr="008F5302">
        <w:t>.  Le Gouvernement invite la Cour, eu égard au fait que le requérant n</w:t>
      </w:r>
      <w:r w:rsidRPr="008F5302" w:rsidR="008F5302">
        <w:t>’</w:t>
      </w:r>
      <w:r w:rsidRPr="008F5302">
        <w:t>a fourni aucun contrat d</w:t>
      </w:r>
      <w:r w:rsidRPr="008F5302" w:rsidR="008F5302">
        <w:t>’</w:t>
      </w:r>
      <w:r w:rsidRPr="008F5302">
        <w:t xml:space="preserve">assistance juridique justifiant les frais et dépens sollicités, à appliquer la jurisprudence </w:t>
      </w:r>
      <w:r w:rsidRPr="008F5302">
        <w:rPr>
          <w:rFonts w:cstheme="minorHAnsi"/>
          <w:i/>
          <w:color w:val="000000"/>
        </w:rPr>
        <w:t>Filat</w:t>
      </w:r>
      <w:r w:rsidRPr="008F5302">
        <w:rPr>
          <w:rFonts w:cstheme="minorHAnsi"/>
          <w:i/>
          <w:color w:val="000000"/>
        </w:rPr>
        <w:t xml:space="preserve"> c.</w:t>
      </w:r>
      <w:r w:rsidRPr="008F5302" w:rsidR="00793173">
        <w:rPr>
          <w:rFonts w:cstheme="minorHAnsi"/>
          <w:i/>
          <w:color w:val="000000"/>
        </w:rPr>
        <w:t xml:space="preserve"> </w:t>
      </w:r>
      <w:r w:rsidRPr="008F5302">
        <w:rPr>
          <w:rFonts w:cstheme="minorHAnsi"/>
          <w:i/>
          <w:color w:val="000000"/>
        </w:rPr>
        <w:t>République de Moldova</w:t>
      </w:r>
      <w:r w:rsidRPr="008F5302">
        <w:rPr>
          <w:rFonts w:cstheme="minorHAnsi"/>
          <w:color w:val="000000"/>
        </w:rPr>
        <w:t xml:space="preserve"> (n</w:t>
      </w:r>
      <w:r w:rsidRPr="008F5302">
        <w:rPr>
          <w:rFonts w:cstheme="minorHAnsi"/>
          <w:color w:val="000000"/>
          <w:vertAlign w:val="superscript"/>
        </w:rPr>
        <w:t>o</w:t>
      </w:r>
      <w:r w:rsidRPr="008F5302">
        <w:rPr>
          <w:rFonts w:cstheme="minorHAnsi"/>
          <w:color w:val="000000"/>
        </w:rPr>
        <w:t> 72114/17, §</w:t>
      </w:r>
      <w:r w:rsidRPr="008F5302" w:rsidR="00793173">
        <w:rPr>
          <w:rFonts w:cstheme="minorHAnsi"/>
          <w:color w:val="000000"/>
        </w:rPr>
        <w:t xml:space="preserve"> </w:t>
      </w:r>
      <w:r w:rsidRPr="008F5302">
        <w:rPr>
          <w:rFonts w:cstheme="minorHAnsi"/>
          <w:color w:val="000000"/>
        </w:rPr>
        <w:t>17, 31</w:t>
      </w:r>
      <w:r w:rsidRPr="008F5302" w:rsidR="00793173">
        <w:rPr>
          <w:rFonts w:cstheme="minorHAnsi"/>
          <w:color w:val="000000"/>
        </w:rPr>
        <w:t xml:space="preserve"> </w:t>
      </w:r>
      <w:r w:rsidRPr="008F5302">
        <w:rPr>
          <w:rFonts w:cstheme="minorHAnsi"/>
          <w:color w:val="000000"/>
        </w:rPr>
        <w:t>janvier 2023)</w:t>
      </w:r>
      <w:r w:rsidRPr="008F5302">
        <w:t>. Il précise que le requérant n</w:t>
      </w:r>
      <w:r w:rsidRPr="008F5302" w:rsidR="008F5302">
        <w:t>’</w:t>
      </w:r>
      <w:r w:rsidRPr="008F5302">
        <w:t>a été représenté devant la Cour que par un seul avocat, estime que le montant sollicité est excessif et ajoute que la demande de satisfaction équitable n</w:t>
      </w:r>
      <w:r w:rsidRPr="008F5302" w:rsidR="008F5302">
        <w:t>’</w:t>
      </w:r>
      <w:r w:rsidRPr="008F5302">
        <w:t>a pas été soumise dans les délais impartis par la Cour.</w:t>
      </w:r>
    </w:p>
    <w:bookmarkStart w:name="para71" w:id="49"/>
    <w:p w:rsidRPr="008F5302" w:rsidR="00DC5B61" w:rsidP="008F5302" w14:paraId="74844CFB" w14:textId="00540A4B">
      <w:pPr>
        <w:pStyle w:val="JuPara"/>
      </w:pPr>
      <w:r w:rsidRPr="008F5302">
        <w:fldChar w:fldCharType="begin"/>
      </w:r>
      <w:r w:rsidRPr="008F5302">
        <w:instrText xml:space="preserve"> SEQ level0 \*arabic </w:instrText>
      </w:r>
      <w:r w:rsidRPr="008F5302">
        <w:fldChar w:fldCharType="separate"/>
      </w:r>
      <w:r w:rsidRPr="008F5302" w:rsidR="008F5302">
        <w:rPr>
          <w:noProof/>
        </w:rPr>
        <w:t>66</w:t>
      </w:r>
      <w:r w:rsidRPr="008F5302">
        <w:fldChar w:fldCharType="end"/>
      </w:r>
      <w:bookmarkEnd w:id="49"/>
      <w:r w:rsidRPr="008F5302">
        <w:t>.  Quant à la demande de satisfaction équitable et au reproche de tardiveté formulé à cet égard par le Gouvernement, la Cour constate que le 13 décembre 2022, le président de la section a décidé, en vertu de l</w:t>
      </w:r>
      <w:r w:rsidRPr="008F5302" w:rsidR="008F5302">
        <w:t>’</w:t>
      </w:r>
      <w:r w:rsidRPr="008F5302">
        <w:t>article 38 §</w:t>
      </w:r>
      <w:r w:rsidRPr="008F5302" w:rsidR="00793173">
        <w:t xml:space="preserve"> </w:t>
      </w:r>
      <w:r w:rsidRPr="008F5302">
        <w:t>1 du règlement de la Cour, de verser la demande au dossier. Elle ne saurait en revanche, compte tenu des documents en sa possession et de sa jurisprudence, accueillir la demande du requérant au titre des frais et dépens, dans la mesure où celle-ci n</w:t>
      </w:r>
      <w:r w:rsidRPr="008F5302" w:rsidR="008F5302">
        <w:t>’</w:t>
      </w:r>
      <w:r w:rsidRPr="008F5302">
        <w:t>est fondée sur aucun justificatif pertinent (article 60 §</w:t>
      </w:r>
      <w:r w:rsidRPr="008F5302" w:rsidR="00FE71A3">
        <w:t xml:space="preserve"> </w:t>
      </w:r>
      <w:r w:rsidRPr="008F5302">
        <w:t>2 du règlement).</w:t>
      </w:r>
    </w:p>
    <w:p w:rsidRPr="008F5302" w:rsidR="00DC5B61" w:rsidP="008F5302" w14:paraId="128A1DAA" w14:textId="4137F325">
      <w:pPr>
        <w:pStyle w:val="JuHHead"/>
      </w:pPr>
      <w:r w:rsidRPr="008F5302">
        <w:t>PAR CES MOTIFS, LA COUR, À L</w:t>
      </w:r>
      <w:r w:rsidRPr="008F5302" w:rsidR="008F5302">
        <w:t>’</w:t>
      </w:r>
      <w:r w:rsidRPr="008F5302">
        <w:t>UNANIMITÉ,</w:t>
      </w:r>
    </w:p>
    <w:p w:rsidRPr="008F5302" w:rsidR="009040D4" w:rsidP="008F5302" w14:paraId="04A8AE3A" w14:textId="793938EF">
      <w:pPr>
        <w:pStyle w:val="JuList"/>
        <w:numPr>
          <w:ilvl w:val="0"/>
          <w:numId w:val="10"/>
        </w:numPr>
        <w:rPr>
          <w:lang w:val="fr-FR"/>
        </w:rPr>
      </w:pPr>
      <w:r w:rsidRPr="008F5302">
        <w:rPr>
          <w:i/>
          <w:lang w:val="fr-FR"/>
        </w:rPr>
        <w:t>Déclare</w:t>
      </w:r>
      <w:r w:rsidRPr="008F5302">
        <w:rPr>
          <w:lang w:val="fr-FR"/>
        </w:rPr>
        <w:t xml:space="preserve"> le grief de défaut d</w:t>
      </w:r>
      <w:r w:rsidRPr="008F5302" w:rsidR="008F5302">
        <w:rPr>
          <w:lang w:val="fr-FR"/>
        </w:rPr>
        <w:t>’</w:t>
      </w:r>
      <w:r w:rsidRPr="008F5302">
        <w:rPr>
          <w:lang w:val="fr-FR"/>
        </w:rPr>
        <w:t>accès à un tribunal recevable ;</w:t>
      </w:r>
    </w:p>
    <w:p w:rsidRPr="008F5302" w:rsidR="009040D4" w:rsidP="008F5302" w14:paraId="5630A795" w14:textId="299ED581">
      <w:pPr>
        <w:pStyle w:val="JuList"/>
        <w:numPr>
          <w:ilvl w:val="0"/>
          <w:numId w:val="10"/>
        </w:numPr>
        <w:rPr>
          <w:lang w:val="fr-FR"/>
        </w:rPr>
      </w:pPr>
      <w:r w:rsidRPr="008F5302">
        <w:rPr>
          <w:i/>
          <w:lang w:val="fr-FR"/>
        </w:rPr>
        <w:t>Dit</w:t>
      </w:r>
      <w:r w:rsidRPr="008F5302">
        <w:rPr>
          <w:lang w:val="fr-FR"/>
        </w:rPr>
        <w:t xml:space="preserve"> qu</w:t>
      </w:r>
      <w:r w:rsidRPr="008F5302" w:rsidR="008F5302">
        <w:rPr>
          <w:lang w:val="fr-FR"/>
        </w:rPr>
        <w:t>’</w:t>
      </w:r>
      <w:r w:rsidRPr="008F5302">
        <w:rPr>
          <w:lang w:val="fr-FR"/>
        </w:rPr>
        <w:t>il y a eu violation de l</w:t>
      </w:r>
      <w:r w:rsidRPr="008F5302" w:rsidR="008F5302">
        <w:rPr>
          <w:lang w:val="fr-FR"/>
        </w:rPr>
        <w:t>’</w:t>
      </w:r>
      <w:r w:rsidRPr="008F5302">
        <w:rPr>
          <w:lang w:val="fr-FR"/>
        </w:rPr>
        <w:t>article 6 § 1 de la Convention ;</w:t>
      </w:r>
    </w:p>
    <w:p w:rsidRPr="008F5302" w:rsidR="009040D4" w:rsidP="008F5302" w14:paraId="2399E808" w14:textId="41894A2D">
      <w:pPr>
        <w:pStyle w:val="JuList"/>
        <w:numPr>
          <w:ilvl w:val="0"/>
          <w:numId w:val="10"/>
        </w:numPr>
        <w:rPr>
          <w:lang w:val="fr-FR"/>
        </w:rPr>
      </w:pPr>
      <w:r w:rsidRPr="008F5302">
        <w:rPr>
          <w:i/>
          <w:lang w:val="fr-FR"/>
        </w:rPr>
        <w:t>Dit</w:t>
      </w:r>
      <w:r w:rsidRPr="008F5302">
        <w:rPr>
          <w:lang w:val="fr-FR"/>
        </w:rPr>
        <w:t xml:space="preserve"> qu</w:t>
      </w:r>
      <w:r w:rsidRPr="008F5302" w:rsidR="008F5302">
        <w:rPr>
          <w:lang w:val="fr-FR"/>
        </w:rPr>
        <w:t>’</w:t>
      </w:r>
      <w:r w:rsidRPr="008F5302">
        <w:rPr>
          <w:lang w:val="fr-FR"/>
        </w:rPr>
        <w:t>il n</w:t>
      </w:r>
      <w:r w:rsidRPr="008F5302" w:rsidR="008F5302">
        <w:rPr>
          <w:lang w:val="fr-FR"/>
        </w:rPr>
        <w:t>’</w:t>
      </w:r>
      <w:r w:rsidRPr="008F5302">
        <w:rPr>
          <w:lang w:val="fr-FR"/>
        </w:rPr>
        <w:t>y a pas lieu d</w:t>
      </w:r>
      <w:r w:rsidRPr="008F5302" w:rsidR="008F5302">
        <w:rPr>
          <w:lang w:val="fr-FR"/>
        </w:rPr>
        <w:t>’</w:t>
      </w:r>
      <w:r w:rsidRPr="008F5302">
        <w:rPr>
          <w:lang w:val="fr-FR"/>
        </w:rPr>
        <w:t>examiner séparément ni la recevabilité ni le fond du grief de violation de l</w:t>
      </w:r>
      <w:r w:rsidRPr="008F5302" w:rsidR="008F5302">
        <w:rPr>
          <w:lang w:val="fr-FR"/>
        </w:rPr>
        <w:t>’</w:t>
      </w:r>
      <w:r w:rsidRPr="008F5302">
        <w:rPr>
          <w:lang w:val="fr-FR"/>
        </w:rPr>
        <w:t>article 13 de la Convention ;</w:t>
      </w:r>
    </w:p>
    <w:p w:rsidRPr="008F5302" w:rsidR="009040D4" w:rsidP="008F5302" w14:paraId="626739C5" w14:textId="77777777">
      <w:pPr>
        <w:pStyle w:val="JuList"/>
        <w:numPr>
          <w:ilvl w:val="0"/>
          <w:numId w:val="10"/>
        </w:numPr>
      </w:pPr>
      <w:r w:rsidRPr="008F5302">
        <w:rPr>
          <w:i/>
        </w:rPr>
        <w:t>Dit</w:t>
      </w:r>
      <w:r w:rsidRPr="008F5302">
        <w:t>,</w:t>
      </w:r>
    </w:p>
    <w:p w:rsidRPr="008F5302" w:rsidR="009040D4" w:rsidP="008F5302" w14:paraId="2D20239E" w14:textId="6344079D">
      <w:pPr>
        <w:pStyle w:val="JuLista"/>
        <w:numPr>
          <w:ilvl w:val="1"/>
          <w:numId w:val="10"/>
        </w:numPr>
      </w:pPr>
      <w:r w:rsidRPr="008F5302">
        <w:t>que l</w:t>
      </w:r>
      <w:r w:rsidRPr="008F5302" w:rsidR="008F5302">
        <w:t>’</w:t>
      </w:r>
      <w:r w:rsidRPr="008F5302">
        <w:t>État défendeur doit verser au requérant, dans un délai de trois mois à compter de la date à laquelle l</w:t>
      </w:r>
      <w:r w:rsidRPr="008F5302" w:rsidR="008F5302">
        <w:t>’</w:t>
      </w:r>
      <w:r w:rsidRPr="008F5302">
        <w:t>arrêt sera devenu définitif conformément à l</w:t>
      </w:r>
      <w:r w:rsidRPr="008F5302" w:rsidR="008F5302">
        <w:t>’</w:t>
      </w:r>
      <w:r w:rsidRPr="008F5302">
        <w:t>article 44 § 2 de la Convention, 3 600 EUR (trois mille six cent euros), plus tout montant pouvant être dû sur cette somme à titre d</w:t>
      </w:r>
      <w:r w:rsidRPr="008F5302" w:rsidR="008F5302">
        <w:t>’</w:t>
      </w:r>
      <w:r w:rsidRPr="008F5302">
        <w:t>impôt, pour dommage moral, à convertir dans la monnaie de l</w:t>
      </w:r>
      <w:r w:rsidRPr="008F5302" w:rsidR="008F5302">
        <w:t>’</w:t>
      </w:r>
      <w:r w:rsidRPr="008F5302">
        <w:t>État défendeur au taux applicable à la date du règlement ;</w:t>
      </w:r>
    </w:p>
    <w:p w:rsidRPr="008F5302" w:rsidR="009040D4" w:rsidP="008F5302" w14:paraId="45033133" w14:textId="7D9C4D8E">
      <w:pPr>
        <w:pStyle w:val="JuLista"/>
        <w:numPr>
          <w:ilvl w:val="1"/>
          <w:numId w:val="10"/>
        </w:numPr>
      </w:pPr>
      <w:r w:rsidRPr="008F5302">
        <w:t>qu</w:t>
      </w:r>
      <w:r w:rsidRPr="008F5302" w:rsidR="008F5302">
        <w:t>’</w:t>
      </w:r>
      <w:r w:rsidRPr="008F5302">
        <w:t>à compter de l</w:t>
      </w:r>
      <w:r w:rsidRPr="008F5302" w:rsidR="008F5302">
        <w:t>’</w:t>
      </w:r>
      <w:r w:rsidRPr="008F5302">
        <w:t>expiration dudit délai et jusqu</w:t>
      </w:r>
      <w:r w:rsidRPr="008F5302" w:rsidR="008F5302">
        <w:t>’</w:t>
      </w:r>
      <w:r w:rsidRPr="008F5302">
        <w:t>au versement, ce montant sera à majorer d</w:t>
      </w:r>
      <w:r w:rsidRPr="008F5302" w:rsidR="008F5302">
        <w:t>’</w:t>
      </w:r>
      <w:r w:rsidRPr="008F5302">
        <w:t>un intérêt simple à un taux égal à celui de la facilité de prêt marginal de la Banque centrale européenne applicable pendant cette période, augmenté de trois points de pourcentage ;</w:t>
      </w:r>
    </w:p>
    <w:p w:rsidRPr="008F5302" w:rsidR="009040D4" w:rsidP="008F5302" w14:paraId="26835256" w14:textId="77777777">
      <w:pPr>
        <w:pStyle w:val="JuList"/>
        <w:numPr>
          <w:ilvl w:val="0"/>
          <w:numId w:val="10"/>
        </w:numPr>
        <w:rPr>
          <w:lang w:val="fr-FR"/>
        </w:rPr>
      </w:pPr>
      <w:r w:rsidRPr="008F5302">
        <w:rPr>
          <w:i/>
          <w:iCs/>
          <w:lang w:val="fr-FR"/>
        </w:rPr>
        <w:t>Rejette</w:t>
      </w:r>
      <w:r w:rsidRPr="008F5302">
        <w:rPr>
          <w:lang w:val="fr-FR"/>
        </w:rPr>
        <w:t xml:space="preserve"> la demande de satisfaction équitable pour le surplus.</w:t>
      </w:r>
    </w:p>
    <w:p w:rsidRPr="008F5302" w:rsidR="00893F30" w:rsidP="008F5302" w14:paraId="2AE1594E" w14:textId="0261923D">
      <w:pPr>
        <w:pStyle w:val="JuParaLast"/>
      </w:pPr>
      <w:r w:rsidRPr="008F5302">
        <w:t xml:space="preserve">Fait en français, puis communiqué par écrit le </w:t>
      </w:r>
      <w:r w:rsidRPr="008F5302" w:rsidR="00DC5B61">
        <w:t>24 octobre 2023</w:t>
      </w:r>
      <w:r w:rsidRPr="008F5302">
        <w:t>, en application de l</w:t>
      </w:r>
      <w:r w:rsidRPr="008F5302" w:rsidR="008F5302">
        <w:t>’</w:t>
      </w:r>
      <w:r w:rsidRPr="008F5302">
        <w:t>article</w:t>
      </w:r>
      <w:r w:rsidRPr="008F5302" w:rsidR="00282204">
        <w:t xml:space="preserve"> </w:t>
      </w:r>
      <w:r w:rsidRPr="008F5302">
        <w:t>77</w:t>
      </w:r>
      <w:r w:rsidRPr="008F5302" w:rsidR="00282204">
        <w:t xml:space="preserve"> </w:t>
      </w:r>
      <w:r w:rsidRPr="008F5302">
        <w:t>§§</w:t>
      </w:r>
      <w:r w:rsidRPr="008F5302" w:rsidR="00282204">
        <w:t xml:space="preserve"> </w:t>
      </w:r>
      <w:r w:rsidRPr="008F5302">
        <w:t>2 et</w:t>
      </w:r>
      <w:r w:rsidRPr="008F5302" w:rsidR="00282204">
        <w:t xml:space="preserve"> </w:t>
      </w:r>
      <w:r w:rsidRPr="008F5302">
        <w:t>3 du règlement.</w:t>
      </w:r>
    </w:p>
    <w:p w:rsidRPr="008F5302" w:rsidR="00F94531" w:rsidP="008F5302" w14:paraId="222BD01E" w14:textId="118596A5">
      <w:pPr>
        <w:pStyle w:val="JuSigned"/>
        <w:keepNext/>
        <w:keepLines/>
        <w:rPr>
          <w:color w:val="F8F8F8" w:themeColor="background2"/>
        </w:rPr>
      </w:pPr>
      <w:r w:rsidRPr="008F5302">
        <w:rPr>
          <w:color w:val="F8F8F8" w:themeColor="background2"/>
        </w:rPr>
        <w:tab/>
      </w:r>
    </w:p>
    <w:p w:rsidRPr="008F5302" w:rsidR="00876F03" w:rsidP="008F5302" w14:paraId="58A4AA5C" w14:textId="4CF0F2D6">
      <w:pPr>
        <w:pStyle w:val="JuSigned"/>
      </w:pPr>
      <w:r w:rsidRPr="008F5302">
        <w:tab/>
        <w:t xml:space="preserve">Hasan </w:t>
      </w:r>
      <w:r w:rsidRPr="008F5302">
        <w:t>Bakırcı</w:t>
      </w:r>
      <w:r w:rsidRPr="008F5302">
        <w:tab/>
        <w:t xml:space="preserve">Arnfinn </w:t>
      </w:r>
      <w:r w:rsidRPr="008F5302">
        <w:t>Bårdsen</w:t>
      </w:r>
      <w:r w:rsidRPr="008F5302">
        <w:br/>
      </w:r>
      <w:r w:rsidRPr="008F5302">
        <w:tab/>
        <w:t>Greffier</w:t>
      </w:r>
      <w:r w:rsidRPr="008F5302">
        <w:tab/>
        <w:t>Président</w:t>
      </w:r>
    </w:p>
    <w:p w:rsidRPr="008F5302" w:rsidR="008F5302" w:rsidP="008F5302" w14:paraId="52A0CCBD" w14:textId="77777777">
      <w:pPr>
        <w:pStyle w:val="JuPara"/>
      </w:pP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73DD3D04" w14:textId="25585F73">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5B61" w:rsidRPr="00150BFA" w:rsidP="0020718E" w14:paraId="7D3AA041" w14:textId="4A408FA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4177C864" w14:textId="0465A39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601" w:rsidRPr="008B56DC" w:rsidP="008B56DC" w14:paraId="654073FE" w14:textId="722D56F0">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305A2F57" w14:textId="1E08C08A">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5B61" w:rsidRPr="00A45145" w:rsidP="00A45145" w14:paraId="62B26818" w14:textId="398F0A9C">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1D5C28FE" w14:textId="6AE3A0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5B61" w:rsidRPr="00A45145" w:rsidP="00A45145" w14:paraId="62B61CEC" w14:textId="792FB41E">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5B1F4B5A" w14:textId="2C5CA4EC">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8B56DC" w:rsidP="00A21624" w14:paraId="4D4A6EB6" w14:textId="7847E861">
    <w:pPr>
      <w:pStyle w:val="JuHeader"/>
    </w:pPr>
    <w:r w:rsidRPr="008B56DC">
      <w:t>ARRÊT</w:t>
    </w:r>
    <w:r w:rsidRPr="008B56DC" w:rsidR="00256F45">
      <w:t xml:space="preserve"> </w:t>
    </w:r>
    <w:r w:rsidRPr="008B56DC" w:rsidR="00DC5B61">
      <w:t>STOIANOGLO c. RÉPUBLIQUE DE MOLDOVA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21055530" w14:textId="491651AB">
    <w:pPr>
      <w:pStyle w:val="JuHeader"/>
    </w:pPr>
    <w:r w:rsidRPr="008B56DC">
      <w:t>ARRÊT</w:t>
    </w:r>
    <w:r w:rsidRPr="008B56DC" w:rsidR="00162967">
      <w:t xml:space="preserve"> </w:t>
    </w:r>
    <w:r w:rsidRPr="008B56DC" w:rsidR="00DC5B61">
      <w:t>STOIANOGLO c. RÉPUBLIQUE DE MOLDOVA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25D4453"/>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048F2261"/>
    <w:multiLevelType w:val="multilevel"/>
    <w:tmpl w:val="28722A74"/>
    <w:numStyleLink w:val="ECHRA1StyleList"/>
  </w:abstractNum>
  <w:abstractNum w:abstractNumId="11">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28722A7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13377FF"/>
    <w:multiLevelType w:val="multilevel"/>
    <w:tmpl w:val="DCB22BDE"/>
    <w:lvl w:ilvl="0">
      <w:start w:val="1"/>
      <w:numFmt w:val="bullet"/>
      <w:lvlText w:val=""/>
      <w:lvlJc w:val="left"/>
      <w:pPr>
        <w:ind w:left="567" w:hanging="283"/>
      </w:pPr>
      <w:rPr>
        <w:rFonts w:ascii="Wingdings" w:hAnsi="Wingdings" w:hint="default"/>
        <w:color w:val="0072BC" w:themeColor="background1"/>
      </w:rPr>
    </w:lvl>
    <w:lvl w:ilvl="1">
      <w:start w:val="1"/>
      <w:numFmt w:val="bullet"/>
      <w:lvlText w:val=""/>
      <w:lvlJc w:val="left"/>
      <w:pPr>
        <w:ind w:left="851" w:hanging="284"/>
      </w:pPr>
      <w:rPr>
        <w:rFonts w:ascii="Wingdings" w:hAnsi="Wingdings" w:hint="default"/>
        <w:color w:val="7F7F7F" w:themeColor="text1" w:themeTint="80"/>
      </w:rPr>
    </w:lvl>
    <w:lvl w:ilvl="2">
      <w:start w:val="1"/>
      <w:numFmt w:val="bullet"/>
      <w:lvlText w:val=""/>
      <w:lvlJc w:val="left"/>
      <w:pPr>
        <w:ind w:left="1134" w:hanging="283"/>
      </w:pPr>
      <w:rPr>
        <w:rFonts w:ascii="Wingdings" w:hAnsi="Wingdings" w:hint="default"/>
        <w:color w:val="0072BC" w:themeColor="background1"/>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18C54F2"/>
    <w:multiLevelType w:val="multilevel"/>
    <w:tmpl w:val="28722A74"/>
    <w:numStyleLink w:val="ECHRA1StyleList"/>
  </w:abstractNum>
  <w:abstractNum w:abstractNumId="22">
    <w:nsid w:val="74605EAE"/>
    <w:multiLevelType w:val="multilevel"/>
    <w:tmpl w:val="28722A74"/>
    <w:numStyleLink w:val="ECHRA1StyleList"/>
  </w:abstractNum>
  <w:num w:numId="1" w16cid:durableId="269974309">
    <w:abstractNumId w:val="15"/>
  </w:num>
  <w:num w:numId="2" w16cid:durableId="634650704">
    <w:abstractNumId w:val="13"/>
  </w:num>
  <w:num w:numId="3" w16cid:durableId="1076896788">
    <w:abstractNumId w:val="12"/>
  </w:num>
  <w:num w:numId="4" w16cid:durableId="465048630">
    <w:abstractNumId w:val="17"/>
  </w:num>
  <w:num w:numId="5" w16cid:durableId="963390672">
    <w:abstractNumId w:val="14"/>
  </w:num>
  <w:num w:numId="6" w16cid:durableId="1009407596">
    <w:abstractNumId w:val="18"/>
  </w:num>
  <w:num w:numId="7" w16cid:durableId="1474525628">
    <w:abstractNumId w:val="17"/>
  </w:num>
  <w:num w:numId="8" w16cid:durableId="993804216">
    <w:abstractNumId w:val="18"/>
  </w:num>
  <w:num w:numId="9" w16cid:durableId="817653935">
    <w:abstractNumId w:val="11"/>
  </w:num>
  <w:num w:numId="10" w16cid:durableId="1682468176">
    <w:abstractNumId w:val="21"/>
  </w:num>
  <w:num w:numId="11" w16cid:durableId="981888095">
    <w:abstractNumId w:val="20"/>
  </w:num>
  <w:num w:numId="12" w16cid:durableId="872039054">
    <w:abstractNumId w:val="7"/>
  </w:num>
  <w:num w:numId="13" w16cid:durableId="1616210381">
    <w:abstractNumId w:val="6"/>
  </w:num>
  <w:num w:numId="14" w16cid:durableId="853807220">
    <w:abstractNumId w:val="5"/>
  </w:num>
  <w:num w:numId="15" w16cid:durableId="1862939174">
    <w:abstractNumId w:val="4"/>
  </w:num>
  <w:num w:numId="16" w16cid:durableId="1798447286">
    <w:abstractNumId w:val="8"/>
  </w:num>
  <w:num w:numId="17" w16cid:durableId="1126504030">
    <w:abstractNumId w:val="3"/>
  </w:num>
  <w:num w:numId="18" w16cid:durableId="1315599775">
    <w:abstractNumId w:val="2"/>
  </w:num>
  <w:num w:numId="19" w16cid:durableId="371809830">
    <w:abstractNumId w:val="1"/>
  </w:num>
  <w:num w:numId="20" w16cid:durableId="1768767354">
    <w:abstractNumId w:val="0"/>
  </w:num>
  <w:num w:numId="21" w16cid:durableId="1099175487">
    <w:abstractNumId w:val="10"/>
  </w:num>
  <w:num w:numId="22" w16cid:durableId="2014868718">
    <w:abstractNumId w:val="22"/>
  </w:num>
  <w:num w:numId="23" w16cid:durableId="200556261">
    <w:abstractNumId w:val="19"/>
  </w:num>
  <w:num w:numId="24" w16cid:durableId="121384997">
    <w:abstractNumId w:val="9"/>
  </w:num>
  <w:num w:numId="25" w16cid:durableId="818620057">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B61"/>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76F6D"/>
    <w:rsid w:val="00080ECE"/>
    <w:rsid w:val="00086E4E"/>
    <w:rsid w:val="00086E70"/>
    <w:rsid w:val="0009057B"/>
    <w:rsid w:val="000925AD"/>
    <w:rsid w:val="000A20EB"/>
    <w:rsid w:val="000A24EB"/>
    <w:rsid w:val="000B1FBD"/>
    <w:rsid w:val="000B5D17"/>
    <w:rsid w:val="000B6923"/>
    <w:rsid w:val="000C184A"/>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14F8"/>
    <w:rsid w:val="00104E23"/>
    <w:rsid w:val="00111B0C"/>
    <w:rsid w:val="00117025"/>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85B2A"/>
    <w:rsid w:val="00192B4F"/>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16B55"/>
    <w:rsid w:val="00227444"/>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04"/>
    <w:rsid w:val="00282240"/>
    <w:rsid w:val="002948AD"/>
    <w:rsid w:val="0029739C"/>
    <w:rsid w:val="002A01CC"/>
    <w:rsid w:val="002A43CC"/>
    <w:rsid w:val="002A5E28"/>
    <w:rsid w:val="002A61B1"/>
    <w:rsid w:val="002A663C"/>
    <w:rsid w:val="002B444B"/>
    <w:rsid w:val="002B5887"/>
    <w:rsid w:val="002B7E83"/>
    <w:rsid w:val="002C0E27"/>
    <w:rsid w:val="002C3040"/>
    <w:rsid w:val="002D022D"/>
    <w:rsid w:val="002D24BB"/>
    <w:rsid w:val="002F018B"/>
    <w:rsid w:val="002F29AA"/>
    <w:rsid w:val="002F2AF7"/>
    <w:rsid w:val="002F7A11"/>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3216"/>
    <w:rsid w:val="00387B9D"/>
    <w:rsid w:val="00387DFB"/>
    <w:rsid w:val="0039364F"/>
    <w:rsid w:val="003941BB"/>
    <w:rsid w:val="00396686"/>
    <w:rsid w:val="0039778E"/>
    <w:rsid w:val="003A37B8"/>
    <w:rsid w:val="003B116B"/>
    <w:rsid w:val="003B4941"/>
    <w:rsid w:val="003B6A2E"/>
    <w:rsid w:val="003C5714"/>
    <w:rsid w:val="003C6B9F"/>
    <w:rsid w:val="003C6E2A"/>
    <w:rsid w:val="003D0299"/>
    <w:rsid w:val="003D32BE"/>
    <w:rsid w:val="003E1122"/>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37C1"/>
    <w:rsid w:val="004344E6"/>
    <w:rsid w:val="00436C49"/>
    <w:rsid w:val="0044318F"/>
    <w:rsid w:val="00445366"/>
    <w:rsid w:val="00447F5B"/>
    <w:rsid w:val="00456549"/>
    <w:rsid w:val="004604A0"/>
    <w:rsid w:val="00461DB0"/>
    <w:rsid w:val="00463926"/>
    <w:rsid w:val="00464C9A"/>
    <w:rsid w:val="004676EC"/>
    <w:rsid w:val="00474F3D"/>
    <w:rsid w:val="004755CE"/>
    <w:rsid w:val="00477E3A"/>
    <w:rsid w:val="00483CE2"/>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2EDC"/>
    <w:rsid w:val="00516967"/>
    <w:rsid w:val="00516B59"/>
    <w:rsid w:val="005173A6"/>
    <w:rsid w:val="00520BAA"/>
    <w:rsid w:val="00522ABA"/>
    <w:rsid w:val="00525208"/>
    <w:rsid w:val="005257A5"/>
    <w:rsid w:val="005264C0"/>
    <w:rsid w:val="00526A8A"/>
    <w:rsid w:val="00531DF2"/>
    <w:rsid w:val="005442EE"/>
    <w:rsid w:val="0054698D"/>
    <w:rsid w:val="00547353"/>
    <w:rsid w:val="005474E7"/>
    <w:rsid w:val="005512A3"/>
    <w:rsid w:val="005554E1"/>
    <w:rsid w:val="005578CE"/>
    <w:rsid w:val="00562781"/>
    <w:rsid w:val="00566E2B"/>
    <w:rsid w:val="0057195A"/>
    <w:rsid w:val="0057271C"/>
    <w:rsid w:val="00572845"/>
    <w:rsid w:val="00576986"/>
    <w:rsid w:val="00592772"/>
    <w:rsid w:val="00592C8D"/>
    <w:rsid w:val="00594B9A"/>
    <w:rsid w:val="0059574A"/>
    <w:rsid w:val="005A1B9B"/>
    <w:rsid w:val="005A3EC7"/>
    <w:rsid w:val="005A6751"/>
    <w:rsid w:val="005B092E"/>
    <w:rsid w:val="005B152C"/>
    <w:rsid w:val="005B1EE0"/>
    <w:rsid w:val="005B2B24"/>
    <w:rsid w:val="005B2FE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03F6"/>
    <w:rsid w:val="00691270"/>
    <w:rsid w:val="00694BA8"/>
    <w:rsid w:val="006A037C"/>
    <w:rsid w:val="006A36F4"/>
    <w:rsid w:val="006A406F"/>
    <w:rsid w:val="006A5D3A"/>
    <w:rsid w:val="006B2802"/>
    <w:rsid w:val="006C23D4"/>
    <w:rsid w:val="006C475E"/>
    <w:rsid w:val="006C7BB0"/>
    <w:rsid w:val="006D3237"/>
    <w:rsid w:val="006E1CF1"/>
    <w:rsid w:val="006E2E37"/>
    <w:rsid w:val="006E3CF1"/>
    <w:rsid w:val="006E7E80"/>
    <w:rsid w:val="006F4889"/>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2936"/>
    <w:rsid w:val="00764D4E"/>
    <w:rsid w:val="00765A1F"/>
    <w:rsid w:val="00775B6D"/>
    <w:rsid w:val="00776D68"/>
    <w:rsid w:val="0078381F"/>
    <w:rsid w:val="007850EE"/>
    <w:rsid w:val="00785B95"/>
    <w:rsid w:val="00790AAD"/>
    <w:rsid w:val="00790E96"/>
    <w:rsid w:val="0079190D"/>
    <w:rsid w:val="00793173"/>
    <w:rsid w:val="00793366"/>
    <w:rsid w:val="0079425F"/>
    <w:rsid w:val="00794E99"/>
    <w:rsid w:val="007971FF"/>
    <w:rsid w:val="007A4070"/>
    <w:rsid w:val="007A716F"/>
    <w:rsid w:val="007B19C5"/>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797"/>
    <w:rsid w:val="00820992"/>
    <w:rsid w:val="00823602"/>
    <w:rsid w:val="008255F5"/>
    <w:rsid w:val="00827018"/>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589"/>
    <w:rsid w:val="0088060C"/>
    <w:rsid w:val="00884261"/>
    <w:rsid w:val="00891107"/>
    <w:rsid w:val="00893576"/>
    <w:rsid w:val="00893E73"/>
    <w:rsid w:val="00893F30"/>
    <w:rsid w:val="00895F5B"/>
    <w:rsid w:val="008A53C8"/>
    <w:rsid w:val="008B02DC"/>
    <w:rsid w:val="008B2698"/>
    <w:rsid w:val="008B56DC"/>
    <w:rsid w:val="008B57CE"/>
    <w:rsid w:val="008C26DE"/>
    <w:rsid w:val="008D2225"/>
    <w:rsid w:val="008D4752"/>
    <w:rsid w:val="008E271C"/>
    <w:rsid w:val="008E418E"/>
    <w:rsid w:val="008E5BC6"/>
    <w:rsid w:val="008E6A25"/>
    <w:rsid w:val="008E7A1B"/>
    <w:rsid w:val="008F5193"/>
    <w:rsid w:val="008F5302"/>
    <w:rsid w:val="009013A7"/>
    <w:rsid w:val="009017FB"/>
    <w:rsid w:val="009017FC"/>
    <w:rsid w:val="009020E3"/>
    <w:rsid w:val="00902601"/>
    <w:rsid w:val="009040D4"/>
    <w:rsid w:val="0090506B"/>
    <w:rsid w:val="009050C9"/>
    <w:rsid w:val="009066FC"/>
    <w:rsid w:val="009140A3"/>
    <w:rsid w:val="009144A2"/>
    <w:rsid w:val="0091510C"/>
    <w:rsid w:val="009259AC"/>
    <w:rsid w:val="00926F38"/>
    <w:rsid w:val="00934301"/>
    <w:rsid w:val="00936CD1"/>
    <w:rsid w:val="009375A5"/>
    <w:rsid w:val="00941747"/>
    <w:rsid w:val="00941EFB"/>
    <w:rsid w:val="00947878"/>
    <w:rsid w:val="00947AFB"/>
    <w:rsid w:val="00951D7D"/>
    <w:rsid w:val="00954AD6"/>
    <w:rsid w:val="009630C7"/>
    <w:rsid w:val="009710D3"/>
    <w:rsid w:val="00972B55"/>
    <w:rsid w:val="009743B7"/>
    <w:rsid w:val="00975039"/>
    <w:rsid w:val="00975442"/>
    <w:rsid w:val="00977227"/>
    <w:rsid w:val="0098228B"/>
    <w:rsid w:val="009828DA"/>
    <w:rsid w:val="009840A2"/>
    <w:rsid w:val="00985BAB"/>
    <w:rsid w:val="009A3AC3"/>
    <w:rsid w:val="009B1B5F"/>
    <w:rsid w:val="009B44EF"/>
    <w:rsid w:val="009B6673"/>
    <w:rsid w:val="009C191B"/>
    <w:rsid w:val="009C2BD6"/>
    <w:rsid w:val="009C32B2"/>
    <w:rsid w:val="009D1053"/>
    <w:rsid w:val="009D2F52"/>
    <w:rsid w:val="009D35C5"/>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970D6"/>
    <w:rsid w:val="00AA1B05"/>
    <w:rsid w:val="00AA227F"/>
    <w:rsid w:val="00AA3BC7"/>
    <w:rsid w:val="00AA754A"/>
    <w:rsid w:val="00AB099E"/>
    <w:rsid w:val="00AB4328"/>
    <w:rsid w:val="00AB5628"/>
    <w:rsid w:val="00AB7EDC"/>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3436F"/>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B7776"/>
    <w:rsid w:val="00BC1C27"/>
    <w:rsid w:val="00BC1F03"/>
    <w:rsid w:val="00BC5765"/>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0E5F"/>
    <w:rsid w:val="00C32E4D"/>
    <w:rsid w:val="00C333A0"/>
    <w:rsid w:val="00C36408"/>
    <w:rsid w:val="00C36A81"/>
    <w:rsid w:val="00C41974"/>
    <w:rsid w:val="00C45616"/>
    <w:rsid w:val="00C50EFE"/>
    <w:rsid w:val="00C53F4A"/>
    <w:rsid w:val="00C54125"/>
    <w:rsid w:val="00C55B54"/>
    <w:rsid w:val="00C6098E"/>
    <w:rsid w:val="00C6152C"/>
    <w:rsid w:val="00C74810"/>
    <w:rsid w:val="00C81ACF"/>
    <w:rsid w:val="00C90D68"/>
    <w:rsid w:val="00C939FE"/>
    <w:rsid w:val="00CA4BDA"/>
    <w:rsid w:val="00CA7C61"/>
    <w:rsid w:val="00CB1F66"/>
    <w:rsid w:val="00CB2951"/>
    <w:rsid w:val="00CB7078"/>
    <w:rsid w:val="00CD282B"/>
    <w:rsid w:val="00CD4C35"/>
    <w:rsid w:val="00CD7369"/>
    <w:rsid w:val="00CE0B0E"/>
    <w:rsid w:val="00CE3831"/>
    <w:rsid w:val="00CE57AB"/>
    <w:rsid w:val="00CF5959"/>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540D"/>
    <w:rsid w:val="00D35708"/>
    <w:rsid w:val="00D361A2"/>
    <w:rsid w:val="00D44C2E"/>
    <w:rsid w:val="00D45414"/>
    <w:rsid w:val="00D5321C"/>
    <w:rsid w:val="00D54FF1"/>
    <w:rsid w:val="00D55E2C"/>
    <w:rsid w:val="00D566BD"/>
    <w:rsid w:val="00D57A4D"/>
    <w:rsid w:val="00D60AA7"/>
    <w:rsid w:val="00D62A67"/>
    <w:rsid w:val="00D6435F"/>
    <w:rsid w:val="00D6491D"/>
    <w:rsid w:val="00D75E28"/>
    <w:rsid w:val="00D772C2"/>
    <w:rsid w:val="00D8008E"/>
    <w:rsid w:val="00D82C45"/>
    <w:rsid w:val="00D908A8"/>
    <w:rsid w:val="00D977B6"/>
    <w:rsid w:val="00DA3634"/>
    <w:rsid w:val="00DA4A31"/>
    <w:rsid w:val="00DA7B04"/>
    <w:rsid w:val="00DB36C2"/>
    <w:rsid w:val="00DB5CBD"/>
    <w:rsid w:val="00DC169B"/>
    <w:rsid w:val="00DC2AB9"/>
    <w:rsid w:val="00DC503D"/>
    <w:rsid w:val="00DC5B61"/>
    <w:rsid w:val="00DC63F0"/>
    <w:rsid w:val="00DC68DA"/>
    <w:rsid w:val="00DC7727"/>
    <w:rsid w:val="00DD10E5"/>
    <w:rsid w:val="00DD5382"/>
    <w:rsid w:val="00DD6EE5"/>
    <w:rsid w:val="00DE2362"/>
    <w:rsid w:val="00DE386C"/>
    <w:rsid w:val="00DE4D35"/>
    <w:rsid w:val="00DF098B"/>
    <w:rsid w:val="00DF11C4"/>
    <w:rsid w:val="00DF210C"/>
    <w:rsid w:val="00DF4B6A"/>
    <w:rsid w:val="00DF55DE"/>
    <w:rsid w:val="00E007DA"/>
    <w:rsid w:val="00E02C09"/>
    <w:rsid w:val="00E04D59"/>
    <w:rsid w:val="00E06E44"/>
    <w:rsid w:val="00E07DA1"/>
    <w:rsid w:val="00E123CB"/>
    <w:rsid w:val="00E17BAE"/>
    <w:rsid w:val="00E20E13"/>
    <w:rsid w:val="00E21DBC"/>
    <w:rsid w:val="00E275D7"/>
    <w:rsid w:val="00E27DBE"/>
    <w:rsid w:val="00E32AB1"/>
    <w:rsid w:val="00E34476"/>
    <w:rsid w:val="00E361A6"/>
    <w:rsid w:val="00E36C71"/>
    <w:rsid w:val="00E37E79"/>
    <w:rsid w:val="00E40404"/>
    <w:rsid w:val="00E459C6"/>
    <w:rsid w:val="00E47589"/>
    <w:rsid w:val="00E64915"/>
    <w:rsid w:val="00E661D4"/>
    <w:rsid w:val="00E70091"/>
    <w:rsid w:val="00E720F5"/>
    <w:rsid w:val="00E76D47"/>
    <w:rsid w:val="00E849F7"/>
    <w:rsid w:val="00E90302"/>
    <w:rsid w:val="00E90CC7"/>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4105"/>
    <w:rsid w:val="00F07C1E"/>
    <w:rsid w:val="00F105DB"/>
    <w:rsid w:val="00F132BC"/>
    <w:rsid w:val="00F13D80"/>
    <w:rsid w:val="00F16AAA"/>
    <w:rsid w:val="00F21161"/>
    <w:rsid w:val="00F218EF"/>
    <w:rsid w:val="00F21BC7"/>
    <w:rsid w:val="00F22D5C"/>
    <w:rsid w:val="00F25EFC"/>
    <w:rsid w:val="00F266A2"/>
    <w:rsid w:val="00F27073"/>
    <w:rsid w:val="00F27D13"/>
    <w:rsid w:val="00F32269"/>
    <w:rsid w:val="00F45C3D"/>
    <w:rsid w:val="00F56A6F"/>
    <w:rsid w:val="00F5709C"/>
    <w:rsid w:val="00F626DA"/>
    <w:rsid w:val="00F64EF1"/>
    <w:rsid w:val="00F659F3"/>
    <w:rsid w:val="00F83589"/>
    <w:rsid w:val="00F8765F"/>
    <w:rsid w:val="00F90767"/>
    <w:rsid w:val="00F912E4"/>
    <w:rsid w:val="00F94531"/>
    <w:rsid w:val="00F9588E"/>
    <w:rsid w:val="00FA0688"/>
    <w:rsid w:val="00FA685B"/>
    <w:rsid w:val="00FB0C01"/>
    <w:rsid w:val="00FB2F7A"/>
    <w:rsid w:val="00FB543E"/>
    <w:rsid w:val="00FC04E5"/>
    <w:rsid w:val="00FC18F2"/>
    <w:rsid w:val="00FC39E5"/>
    <w:rsid w:val="00FC3A78"/>
    <w:rsid w:val="00FD1005"/>
    <w:rsid w:val="00FD61AA"/>
    <w:rsid w:val="00FD6C75"/>
    <w:rsid w:val="00FD7649"/>
    <w:rsid w:val="00FE71A3"/>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9C2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779BD"/>
    <w:rPr>
      <w:sz w:val="24"/>
      <w:szCs w:val="24"/>
      <w:lang w:val="fr-FR"/>
    </w:rPr>
  </w:style>
  <w:style w:type="paragraph" w:styleId="Heading1">
    <w:name w:val="heading 1"/>
    <w:basedOn w:val="Normal"/>
    <w:next w:val="Normal"/>
    <w:link w:val="Heading1Char"/>
    <w:uiPriority w:val="98"/>
    <w:semiHidden/>
    <w:rsid w:val="00794E9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94E9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94E9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94E9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94E9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94E9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94E9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94E9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94E9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94E99"/>
    <w:rPr>
      <w:rFonts w:ascii="Tahoma" w:hAnsi="Tahoma" w:cs="Tahoma"/>
      <w:sz w:val="16"/>
      <w:szCs w:val="16"/>
    </w:rPr>
  </w:style>
  <w:style w:type="character" w:customStyle="1" w:styleId="BalloonTextChar">
    <w:name w:val="Balloon Text Char"/>
    <w:basedOn w:val="DefaultParagraphFont"/>
    <w:link w:val="BalloonText"/>
    <w:uiPriority w:val="98"/>
    <w:semiHidden/>
    <w:rsid w:val="00794E99"/>
    <w:rPr>
      <w:rFonts w:ascii="Tahoma" w:hAnsi="Tahoma" w:cs="Tahoma"/>
      <w:sz w:val="16"/>
      <w:szCs w:val="16"/>
      <w:lang w:val="fr-FR"/>
    </w:rPr>
  </w:style>
  <w:style w:type="character" w:styleId="BookTitle">
    <w:name w:val="Book Title"/>
    <w:uiPriority w:val="98"/>
    <w:semiHidden/>
    <w:qFormat/>
    <w:rsid w:val="00794E99"/>
    <w:rPr>
      <w:i/>
      <w:iCs/>
      <w:smallCaps/>
      <w:spacing w:val="5"/>
    </w:rPr>
  </w:style>
  <w:style w:type="paragraph" w:customStyle="1" w:styleId="JuHeader">
    <w:name w:val="Ju_Header"/>
    <w:aliases w:val="_Header"/>
    <w:basedOn w:val="Header0"/>
    <w:uiPriority w:val="29"/>
    <w:qFormat/>
    <w:rsid w:val="00794E99"/>
    <w:pPr>
      <w:tabs>
        <w:tab w:val="clear" w:pos="4536"/>
        <w:tab w:val="clear" w:pos="9072"/>
      </w:tabs>
      <w:jc w:val="center"/>
    </w:pPr>
    <w:rPr>
      <w:sz w:val="18"/>
    </w:rPr>
  </w:style>
  <w:style w:type="paragraph" w:customStyle="1" w:styleId="DummyStyle">
    <w:name w:val="Dummy_Style"/>
    <w:aliases w:val="_Dummy"/>
    <w:basedOn w:val="Normal"/>
    <w:semiHidden/>
    <w:qFormat/>
    <w:rsid w:val="00794E99"/>
    <w:rPr>
      <w:color w:val="00B050"/>
      <w:sz w:val="22"/>
    </w:rPr>
  </w:style>
  <w:style w:type="character" w:styleId="Strong">
    <w:name w:val="Strong"/>
    <w:uiPriority w:val="98"/>
    <w:semiHidden/>
    <w:qFormat/>
    <w:rsid w:val="00794E99"/>
    <w:rPr>
      <w:b/>
      <w:bCs/>
    </w:rPr>
  </w:style>
  <w:style w:type="paragraph" w:styleId="NoSpacing">
    <w:name w:val="No Spacing"/>
    <w:basedOn w:val="Normal"/>
    <w:link w:val="NoSpacingChar"/>
    <w:uiPriority w:val="98"/>
    <w:semiHidden/>
    <w:qFormat/>
    <w:rsid w:val="00794E99"/>
  </w:style>
  <w:style w:type="character" w:customStyle="1" w:styleId="NoSpacingChar">
    <w:name w:val="No Spacing Char"/>
    <w:basedOn w:val="DefaultParagraphFont"/>
    <w:link w:val="NoSpacing"/>
    <w:uiPriority w:val="98"/>
    <w:rsid w:val="00794E99"/>
    <w:rPr>
      <w:sz w:val="24"/>
      <w:szCs w:val="24"/>
      <w:lang w:val="fr-FR"/>
    </w:rPr>
  </w:style>
  <w:style w:type="paragraph" w:customStyle="1" w:styleId="JuQuot">
    <w:name w:val="Ju_Quot"/>
    <w:aliases w:val="_Quote"/>
    <w:basedOn w:val="NormalJustified"/>
    <w:qFormat/>
    <w:rsid w:val="00794E99"/>
    <w:pPr>
      <w:spacing w:before="120" w:after="120"/>
      <w:ind w:left="425" w:firstLine="142"/>
    </w:pPr>
    <w:rPr>
      <w:sz w:val="20"/>
    </w:rPr>
  </w:style>
  <w:style w:type="paragraph" w:customStyle="1" w:styleId="JuList">
    <w:name w:val="Ju_List"/>
    <w:aliases w:val="_List_1,N_Bul_1"/>
    <w:basedOn w:val="NormalJustified"/>
    <w:uiPriority w:val="38"/>
    <w:qFormat/>
    <w:rsid w:val="00EF34CB"/>
    <w:pPr>
      <w:numPr>
        <w:numId w:val="22"/>
      </w:numPr>
      <w:spacing w:before="280" w:after="60"/>
    </w:pPr>
    <w:rPr>
      <w:lang w:val="en-GB"/>
    </w:rPr>
  </w:style>
  <w:style w:type="paragraph" w:customStyle="1" w:styleId="JuLista">
    <w:name w:val="Ju_List_a"/>
    <w:aliases w:val="_List_2"/>
    <w:basedOn w:val="NormalJustified"/>
    <w:uiPriority w:val="23"/>
    <w:rsid w:val="00794E99"/>
    <w:pPr>
      <w:numPr>
        <w:ilvl w:val="1"/>
        <w:numId w:val="22"/>
      </w:numPr>
    </w:pPr>
  </w:style>
  <w:style w:type="paragraph" w:customStyle="1" w:styleId="JuListi">
    <w:name w:val="Ju_List_i"/>
    <w:aliases w:val="_List_3"/>
    <w:basedOn w:val="NormalJustified"/>
    <w:uiPriority w:val="23"/>
    <w:rsid w:val="00794E99"/>
    <w:pPr>
      <w:numPr>
        <w:ilvl w:val="2"/>
        <w:numId w:val="22"/>
      </w:numPr>
    </w:pPr>
  </w:style>
  <w:style w:type="paragraph" w:customStyle="1" w:styleId="DecHTitle">
    <w:name w:val="Dec_H_Title"/>
    <w:aliases w:val="_Title_1"/>
    <w:basedOn w:val="JuPara"/>
    <w:next w:val="JuPara"/>
    <w:uiPriority w:val="38"/>
    <w:qFormat/>
    <w:rsid w:val="00794E9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94E9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94E99"/>
    <w:pPr>
      <w:keepNext/>
      <w:keepLines/>
      <w:tabs>
        <w:tab w:val="right" w:pos="7938"/>
      </w:tabs>
      <w:ind w:firstLine="0"/>
      <w:jc w:val="center"/>
    </w:pPr>
    <w:rPr>
      <w:i/>
    </w:rPr>
  </w:style>
  <w:style w:type="numbering" w:customStyle="1" w:styleId="ECHRA1StyleBulletedSquare">
    <w:name w:val="ECHR_A1_Style_Bulleted_Square"/>
    <w:basedOn w:val="NoList"/>
    <w:rsid w:val="00794E99"/>
    <w:pPr>
      <w:numPr>
        <w:numId w:val="4"/>
      </w:numPr>
    </w:pPr>
  </w:style>
  <w:style w:type="paragraph" w:customStyle="1" w:styleId="JuHHead">
    <w:name w:val="Ju_H_Head"/>
    <w:aliases w:val="_Head_1"/>
    <w:basedOn w:val="Heading1"/>
    <w:next w:val="JuPara"/>
    <w:uiPriority w:val="17"/>
    <w:qFormat/>
    <w:rsid w:val="00794E99"/>
    <w:pPr>
      <w:keepNext/>
      <w:keepLines/>
      <w:numPr>
        <w:numId w:val="9"/>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94E99"/>
    <w:pPr>
      <w:numPr>
        <w:numId w:val="5"/>
      </w:numPr>
    </w:pPr>
  </w:style>
  <w:style w:type="paragraph" w:customStyle="1" w:styleId="JuSigned">
    <w:name w:val="Ju_Signed"/>
    <w:aliases w:val="_Signature"/>
    <w:basedOn w:val="Normal"/>
    <w:next w:val="JuPara"/>
    <w:uiPriority w:val="31"/>
    <w:qFormat/>
    <w:rsid w:val="00794E99"/>
    <w:pPr>
      <w:tabs>
        <w:tab w:val="center" w:pos="1418"/>
        <w:tab w:val="center" w:pos="5954"/>
      </w:tabs>
      <w:spacing w:before="720"/>
    </w:pPr>
  </w:style>
  <w:style w:type="paragraph" w:styleId="Title">
    <w:name w:val="Title"/>
    <w:basedOn w:val="Normal"/>
    <w:next w:val="Normal"/>
    <w:link w:val="TitleChar"/>
    <w:uiPriority w:val="98"/>
    <w:semiHidden/>
    <w:qFormat/>
    <w:rsid w:val="00794E9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94E9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94E99"/>
    <w:pPr>
      <w:numPr>
        <w:numId w:val="6"/>
      </w:numPr>
    </w:pPr>
  </w:style>
  <w:style w:type="table" w:customStyle="1" w:styleId="ECHRTable2019">
    <w:name w:val="ECHR_Table_2019"/>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94E9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94E99"/>
    <w:pPr>
      <w:tabs>
        <w:tab w:val="center" w:pos="6407"/>
      </w:tabs>
      <w:spacing w:before="720"/>
      <w:jc w:val="right"/>
    </w:pPr>
  </w:style>
  <w:style w:type="paragraph" w:customStyle="1" w:styleId="JuHIRoman">
    <w:name w:val="Ju_H_I_Roman"/>
    <w:aliases w:val="_Head_2"/>
    <w:basedOn w:val="Heading2"/>
    <w:next w:val="JuPara"/>
    <w:uiPriority w:val="17"/>
    <w:qFormat/>
    <w:rsid w:val="00794E9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94E9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94E9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794E99"/>
    <w:pPr>
      <w:tabs>
        <w:tab w:val="center" w:pos="4536"/>
        <w:tab w:val="right" w:pos="9072"/>
      </w:tabs>
    </w:pPr>
  </w:style>
  <w:style w:type="character" w:customStyle="1" w:styleId="HeaderChar">
    <w:name w:val="Header Char"/>
    <w:basedOn w:val="DefaultParagraphFont"/>
    <w:link w:val="Header0"/>
    <w:uiPriority w:val="98"/>
    <w:semiHidden/>
    <w:rsid w:val="00794E99"/>
    <w:rPr>
      <w:sz w:val="24"/>
      <w:szCs w:val="24"/>
      <w:lang w:val="fr-FR"/>
    </w:rPr>
  </w:style>
  <w:style w:type="character" w:customStyle="1" w:styleId="Heading1Char">
    <w:name w:val="Heading 1 Char"/>
    <w:basedOn w:val="DefaultParagraphFont"/>
    <w:link w:val="Heading1"/>
    <w:uiPriority w:val="98"/>
    <w:rsid w:val="00794E99"/>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94E9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794E9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94E99"/>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94E9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94E9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794E99"/>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794E99"/>
    <w:pPr>
      <w:keepNext/>
      <w:keepLines/>
      <w:spacing w:before="240" w:after="240"/>
      <w:ind w:firstLine="284"/>
    </w:pPr>
  </w:style>
  <w:style w:type="paragraph" w:customStyle="1" w:styleId="JuJudges">
    <w:name w:val="Ju_Judges"/>
    <w:aliases w:val="_Judges"/>
    <w:basedOn w:val="Normal"/>
    <w:uiPriority w:val="32"/>
    <w:qFormat/>
    <w:rsid w:val="00794E99"/>
    <w:pPr>
      <w:tabs>
        <w:tab w:val="left" w:pos="567"/>
        <w:tab w:val="left" w:pos="1134"/>
      </w:tabs>
    </w:pPr>
  </w:style>
  <w:style w:type="character" w:customStyle="1" w:styleId="Heading4Char">
    <w:name w:val="Heading 4 Char"/>
    <w:basedOn w:val="DefaultParagraphFont"/>
    <w:link w:val="Heading4"/>
    <w:uiPriority w:val="98"/>
    <w:semiHidden/>
    <w:rsid w:val="00794E99"/>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94E9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794E99"/>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94E99"/>
    <w:rPr>
      <w:caps w:val="0"/>
      <w:smallCaps/>
    </w:rPr>
  </w:style>
  <w:style w:type="paragraph" w:customStyle="1" w:styleId="NormalJustified">
    <w:name w:val="Normal_Justified"/>
    <w:basedOn w:val="Normal"/>
    <w:semiHidden/>
    <w:rsid w:val="00794E99"/>
    <w:pPr>
      <w:jc w:val="both"/>
    </w:pPr>
  </w:style>
  <w:style w:type="character" w:styleId="SubtleEmphasis">
    <w:name w:val="Subtle Emphasis"/>
    <w:uiPriority w:val="98"/>
    <w:semiHidden/>
    <w:qFormat/>
    <w:rsid w:val="00794E99"/>
    <w:rPr>
      <w:i/>
      <w:iCs/>
    </w:rPr>
  </w:style>
  <w:style w:type="table" w:customStyle="1" w:styleId="ECHRTable">
    <w:name w:val="ECHR_Table"/>
    <w:basedOn w:val="TableNormal"/>
    <w:rsid w:val="00794E9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94E9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94E99"/>
    <w:rPr>
      <w:b/>
      <w:bCs/>
      <w:i/>
      <w:iCs/>
      <w:spacing w:val="10"/>
      <w:bdr w:val="none" w:sz="0" w:space="0" w:color="auto"/>
      <w:shd w:val="clear" w:color="auto" w:fill="auto"/>
    </w:rPr>
  </w:style>
  <w:style w:type="paragraph" w:styleId="Footer1">
    <w:name w:val="footer"/>
    <w:basedOn w:val="Normal"/>
    <w:link w:val="FooterChar"/>
    <w:uiPriority w:val="98"/>
    <w:semiHidden/>
    <w:rsid w:val="00794E99"/>
    <w:pPr>
      <w:tabs>
        <w:tab w:val="center" w:pos="3686"/>
        <w:tab w:val="right" w:pos="7371"/>
      </w:tabs>
    </w:pPr>
  </w:style>
  <w:style w:type="character" w:customStyle="1" w:styleId="FooterChar">
    <w:name w:val="Footer Char"/>
    <w:basedOn w:val="DefaultParagraphFont"/>
    <w:link w:val="Footer1"/>
    <w:uiPriority w:val="98"/>
    <w:semiHidden/>
    <w:rsid w:val="00794E99"/>
    <w:rPr>
      <w:sz w:val="24"/>
      <w:szCs w:val="24"/>
      <w:lang w:val="fr-FR"/>
    </w:rPr>
  </w:style>
  <w:style w:type="character" w:styleId="FootnoteReference">
    <w:name w:val="footnote reference"/>
    <w:basedOn w:val="DefaultParagraphFont"/>
    <w:uiPriority w:val="98"/>
    <w:semiHidden/>
    <w:rsid w:val="00794E99"/>
    <w:rPr>
      <w:vertAlign w:val="superscript"/>
    </w:rPr>
  </w:style>
  <w:style w:type="paragraph" w:styleId="FootnoteText">
    <w:name w:val="footnote text"/>
    <w:basedOn w:val="Normal"/>
    <w:link w:val="FootnoteTextChar"/>
    <w:uiPriority w:val="98"/>
    <w:semiHidden/>
    <w:rsid w:val="00794E99"/>
    <w:rPr>
      <w:sz w:val="20"/>
      <w:szCs w:val="20"/>
    </w:rPr>
  </w:style>
  <w:style w:type="character" w:customStyle="1" w:styleId="FootnoteTextChar">
    <w:name w:val="Footnote Text Char"/>
    <w:basedOn w:val="DefaultParagraphFont"/>
    <w:link w:val="FootnoteText"/>
    <w:uiPriority w:val="98"/>
    <w:semiHidden/>
    <w:rsid w:val="00794E99"/>
    <w:rPr>
      <w:sz w:val="20"/>
      <w:szCs w:val="20"/>
      <w:lang w:val="fr-FR"/>
    </w:rPr>
  </w:style>
  <w:style w:type="character" w:customStyle="1" w:styleId="Heading6Char">
    <w:name w:val="Heading 6 Char"/>
    <w:basedOn w:val="DefaultParagraphFont"/>
    <w:link w:val="Heading6"/>
    <w:uiPriority w:val="98"/>
    <w:semiHidden/>
    <w:rsid w:val="00794E99"/>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94E99"/>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94E99"/>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94E99"/>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94E99"/>
    <w:rPr>
      <w:color w:val="0072BC" w:themeColor="hyperlink"/>
      <w:u w:val="single"/>
    </w:rPr>
  </w:style>
  <w:style w:type="character" w:styleId="IntenseEmphasis">
    <w:name w:val="Intense Emphasis"/>
    <w:uiPriority w:val="98"/>
    <w:semiHidden/>
    <w:qFormat/>
    <w:rsid w:val="00794E99"/>
    <w:rPr>
      <w:b/>
      <w:bCs/>
    </w:rPr>
  </w:style>
  <w:style w:type="paragraph" w:styleId="IntenseQuote">
    <w:name w:val="Intense Quote"/>
    <w:basedOn w:val="Normal"/>
    <w:next w:val="Normal"/>
    <w:link w:val="IntenseQuoteChar"/>
    <w:uiPriority w:val="98"/>
    <w:semiHidden/>
    <w:qFormat/>
    <w:rsid w:val="00794E9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94E99"/>
    <w:rPr>
      <w:b/>
      <w:bCs/>
      <w:i/>
      <w:iCs/>
      <w:sz w:val="24"/>
      <w:szCs w:val="24"/>
      <w:lang w:val="fr-FR" w:bidi="en-US"/>
    </w:rPr>
  </w:style>
  <w:style w:type="character" w:styleId="IntenseReference">
    <w:name w:val="Intense Reference"/>
    <w:uiPriority w:val="98"/>
    <w:semiHidden/>
    <w:qFormat/>
    <w:rsid w:val="00794E99"/>
    <w:rPr>
      <w:smallCaps/>
      <w:spacing w:val="5"/>
      <w:u w:val="single"/>
    </w:rPr>
  </w:style>
  <w:style w:type="paragraph" w:styleId="ListParagraph">
    <w:name w:val="List Paragraph"/>
    <w:basedOn w:val="Normal"/>
    <w:uiPriority w:val="98"/>
    <w:semiHidden/>
    <w:qFormat/>
    <w:rsid w:val="00794E99"/>
    <w:pPr>
      <w:ind w:left="720"/>
      <w:contextualSpacing/>
    </w:pPr>
  </w:style>
  <w:style w:type="table" w:customStyle="1" w:styleId="LtrTableAddress">
    <w:name w:val="Ltr_Table_Address"/>
    <w:aliases w:val="ECHR_Ltr_Table_Address"/>
    <w:basedOn w:val="TableNormal"/>
    <w:uiPriority w:val="99"/>
    <w:rsid w:val="00794E99"/>
    <w:rPr>
      <w:sz w:val="24"/>
      <w:szCs w:val="24"/>
    </w:rPr>
    <w:tblPr>
      <w:tblInd w:w="5103" w:type="dxa"/>
    </w:tblPr>
  </w:style>
  <w:style w:type="paragraph" w:styleId="Quote0">
    <w:name w:val="Quote"/>
    <w:basedOn w:val="Normal"/>
    <w:next w:val="Normal"/>
    <w:link w:val="QuoteChar"/>
    <w:uiPriority w:val="98"/>
    <w:semiHidden/>
    <w:qFormat/>
    <w:rsid w:val="00794E99"/>
    <w:pPr>
      <w:spacing w:before="200"/>
      <w:ind w:left="360" w:right="360"/>
    </w:pPr>
    <w:rPr>
      <w:i/>
      <w:iCs/>
      <w:lang w:bidi="en-US"/>
    </w:rPr>
  </w:style>
  <w:style w:type="character" w:customStyle="1" w:styleId="QuoteChar">
    <w:name w:val="Quote Char"/>
    <w:basedOn w:val="DefaultParagraphFont"/>
    <w:link w:val="Quote0"/>
    <w:uiPriority w:val="98"/>
    <w:rsid w:val="00794E99"/>
    <w:rPr>
      <w:i/>
      <w:iCs/>
      <w:sz w:val="24"/>
      <w:szCs w:val="24"/>
      <w:lang w:val="fr-FR" w:bidi="en-US"/>
    </w:rPr>
  </w:style>
  <w:style w:type="character" w:styleId="SubtleReference">
    <w:name w:val="Subtle Reference"/>
    <w:uiPriority w:val="98"/>
    <w:semiHidden/>
    <w:qFormat/>
    <w:rsid w:val="00794E99"/>
    <w:rPr>
      <w:smallCaps/>
    </w:rPr>
  </w:style>
  <w:style w:type="table" w:styleId="TableGrid">
    <w:name w:val="Table Grid"/>
    <w:basedOn w:val="TableNormal"/>
    <w:uiPriority w:val="59"/>
    <w:semiHidden/>
    <w:rsid w:val="00794E9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94E9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94E9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94E9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94E9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94E9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94E9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94E9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94E9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94E9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94E9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94E9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94E9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94E9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94E9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94E9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94E99"/>
    <w:pPr>
      <w:numPr>
        <w:numId w:val="1"/>
      </w:numPr>
    </w:pPr>
  </w:style>
  <w:style w:type="paragraph" w:customStyle="1" w:styleId="JuPara">
    <w:name w:val="Ju_Para"/>
    <w:aliases w:val="_Para"/>
    <w:basedOn w:val="NormalJustified"/>
    <w:link w:val="JuParaChar"/>
    <w:uiPriority w:val="4"/>
    <w:qFormat/>
    <w:rsid w:val="00794E99"/>
    <w:pPr>
      <w:ind w:firstLine="284"/>
    </w:pPr>
  </w:style>
  <w:style w:type="numbering" w:styleId="1ai">
    <w:name w:val="Outline List 1"/>
    <w:basedOn w:val="NoList"/>
    <w:uiPriority w:val="99"/>
    <w:semiHidden/>
    <w:unhideWhenUsed/>
    <w:rsid w:val="00794E99"/>
    <w:pPr>
      <w:numPr>
        <w:numId w:val="2"/>
      </w:numPr>
    </w:pPr>
  </w:style>
  <w:style w:type="table" w:customStyle="1" w:styleId="ECHRTableSimpleBox">
    <w:name w:val="ECHR_Table_Simple_Box"/>
    <w:basedOn w:val="TableNormal"/>
    <w:uiPriority w:val="99"/>
    <w:rsid w:val="00794E9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94E9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94E99"/>
    <w:pPr>
      <w:numPr>
        <w:numId w:val="3"/>
      </w:numPr>
    </w:pPr>
  </w:style>
  <w:style w:type="table" w:customStyle="1" w:styleId="ECHRTableForInternalUse">
    <w:name w:val="ECHR_Table_For_Internal_Use"/>
    <w:basedOn w:val="TableNormal"/>
    <w:uiPriority w:val="99"/>
    <w:rsid w:val="00794E9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94E9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94E99"/>
  </w:style>
  <w:style w:type="paragraph" w:styleId="BlockText">
    <w:name w:val="Block Text"/>
    <w:basedOn w:val="Normal"/>
    <w:uiPriority w:val="98"/>
    <w:semiHidden/>
    <w:rsid w:val="00794E9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94E9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94E99"/>
    <w:pPr>
      <w:spacing w:after="120"/>
    </w:pPr>
  </w:style>
  <w:style w:type="character" w:customStyle="1" w:styleId="BodyTextChar">
    <w:name w:val="Body Text Char"/>
    <w:basedOn w:val="DefaultParagraphFont"/>
    <w:link w:val="BodyText"/>
    <w:uiPriority w:val="98"/>
    <w:semiHidden/>
    <w:rsid w:val="00794E99"/>
    <w:rPr>
      <w:sz w:val="24"/>
      <w:szCs w:val="24"/>
      <w:lang w:val="fr-FR"/>
    </w:rPr>
  </w:style>
  <w:style w:type="table" w:customStyle="1" w:styleId="ECHRTableOddBanded">
    <w:name w:val="ECHR_Table_Odd_Banded"/>
    <w:basedOn w:val="TableNormal"/>
    <w:uiPriority w:val="99"/>
    <w:rsid w:val="00794E9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94E99"/>
    <w:pPr>
      <w:spacing w:after="120" w:line="480" w:lineRule="auto"/>
    </w:pPr>
  </w:style>
  <w:style w:type="table" w:customStyle="1" w:styleId="ECHRHeaderTableReduced">
    <w:name w:val="ECHR_Header_Table_Reduced"/>
    <w:basedOn w:val="TableNormal"/>
    <w:uiPriority w:val="99"/>
    <w:rsid w:val="00794E9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94E99"/>
    <w:pPr>
      <w:ind w:firstLine="284"/>
      <w:jc w:val="both"/>
    </w:pPr>
    <w:rPr>
      <w:b/>
    </w:rPr>
  </w:style>
  <w:style w:type="character" w:styleId="PageNumber">
    <w:name w:val="page number"/>
    <w:uiPriority w:val="98"/>
    <w:semiHidden/>
    <w:rsid w:val="00794E99"/>
    <w:rPr>
      <w:sz w:val="18"/>
    </w:rPr>
  </w:style>
  <w:style w:type="paragraph" w:styleId="ListBullet2">
    <w:name w:val="List Bullet 2"/>
    <w:basedOn w:val="Normal"/>
    <w:uiPriority w:val="98"/>
    <w:semiHidden/>
    <w:rsid w:val="00794E99"/>
    <w:pPr>
      <w:numPr>
        <w:numId w:val="12"/>
      </w:numPr>
      <w:contextualSpacing/>
    </w:pPr>
  </w:style>
  <w:style w:type="character" w:customStyle="1" w:styleId="BodyText2Char">
    <w:name w:val="Body Text 2 Char"/>
    <w:basedOn w:val="DefaultParagraphFont"/>
    <w:link w:val="BodyText2"/>
    <w:uiPriority w:val="98"/>
    <w:semiHidden/>
    <w:rsid w:val="00794E99"/>
    <w:rPr>
      <w:sz w:val="24"/>
      <w:szCs w:val="24"/>
      <w:lang w:val="fr-FR"/>
    </w:rPr>
  </w:style>
  <w:style w:type="paragraph" w:styleId="BodyText3">
    <w:name w:val="Body Text 3"/>
    <w:basedOn w:val="Normal"/>
    <w:link w:val="BodyText3Char"/>
    <w:uiPriority w:val="98"/>
    <w:semiHidden/>
    <w:rsid w:val="00794E99"/>
    <w:pPr>
      <w:spacing w:after="120"/>
    </w:pPr>
    <w:rPr>
      <w:sz w:val="16"/>
      <w:szCs w:val="16"/>
    </w:rPr>
  </w:style>
  <w:style w:type="character" w:customStyle="1" w:styleId="BodyText3Char">
    <w:name w:val="Body Text 3 Char"/>
    <w:basedOn w:val="DefaultParagraphFont"/>
    <w:link w:val="BodyText3"/>
    <w:uiPriority w:val="98"/>
    <w:semiHidden/>
    <w:rsid w:val="00794E99"/>
    <w:rPr>
      <w:sz w:val="16"/>
      <w:szCs w:val="16"/>
      <w:lang w:val="fr-FR"/>
    </w:rPr>
  </w:style>
  <w:style w:type="paragraph" w:styleId="BodyTextFirstIndent">
    <w:name w:val="Body Text First Indent"/>
    <w:basedOn w:val="BodyText"/>
    <w:link w:val="BodyTextFirstIndentChar"/>
    <w:uiPriority w:val="98"/>
    <w:semiHidden/>
    <w:rsid w:val="00794E99"/>
    <w:pPr>
      <w:spacing w:after="0"/>
      <w:ind w:firstLine="360"/>
    </w:pPr>
  </w:style>
  <w:style w:type="character" w:customStyle="1" w:styleId="BodyTextFirstIndentChar">
    <w:name w:val="Body Text First Indent Char"/>
    <w:basedOn w:val="BodyTextChar"/>
    <w:link w:val="BodyTextFirstIndent"/>
    <w:uiPriority w:val="98"/>
    <w:semiHidden/>
    <w:rsid w:val="00794E99"/>
    <w:rPr>
      <w:sz w:val="24"/>
      <w:szCs w:val="24"/>
      <w:lang w:val="fr-FR"/>
    </w:rPr>
  </w:style>
  <w:style w:type="paragraph" w:styleId="BodyTextIndent">
    <w:name w:val="Body Text Indent"/>
    <w:basedOn w:val="Normal"/>
    <w:link w:val="BodyTextIndentChar"/>
    <w:uiPriority w:val="98"/>
    <w:semiHidden/>
    <w:rsid w:val="00794E99"/>
    <w:pPr>
      <w:spacing w:after="120"/>
      <w:ind w:left="283"/>
    </w:pPr>
  </w:style>
  <w:style w:type="character" w:customStyle="1" w:styleId="BodyTextIndentChar">
    <w:name w:val="Body Text Indent Char"/>
    <w:basedOn w:val="DefaultParagraphFont"/>
    <w:link w:val="BodyTextIndent"/>
    <w:uiPriority w:val="98"/>
    <w:semiHidden/>
    <w:rsid w:val="00794E99"/>
    <w:rPr>
      <w:sz w:val="24"/>
      <w:szCs w:val="24"/>
      <w:lang w:val="fr-FR"/>
    </w:rPr>
  </w:style>
  <w:style w:type="paragraph" w:styleId="BodyTextFirstIndent2">
    <w:name w:val="Body Text First Indent 2"/>
    <w:basedOn w:val="BodyTextIndent"/>
    <w:link w:val="BodyTextFirstIndent2Char"/>
    <w:uiPriority w:val="98"/>
    <w:semiHidden/>
    <w:rsid w:val="00794E99"/>
    <w:pPr>
      <w:spacing w:after="0"/>
      <w:ind w:left="360" w:firstLine="360"/>
    </w:pPr>
  </w:style>
  <w:style w:type="character" w:customStyle="1" w:styleId="BodyTextFirstIndent2Char">
    <w:name w:val="Body Text First Indent 2 Char"/>
    <w:basedOn w:val="BodyTextIndentChar"/>
    <w:link w:val="BodyTextFirstIndent2"/>
    <w:uiPriority w:val="98"/>
    <w:semiHidden/>
    <w:rsid w:val="00794E99"/>
    <w:rPr>
      <w:sz w:val="24"/>
      <w:szCs w:val="24"/>
      <w:lang w:val="fr-FR"/>
    </w:rPr>
  </w:style>
  <w:style w:type="paragraph" w:styleId="BodyTextIndent2">
    <w:name w:val="Body Text Indent 2"/>
    <w:basedOn w:val="Normal"/>
    <w:link w:val="BodyTextIndent2Char"/>
    <w:uiPriority w:val="98"/>
    <w:semiHidden/>
    <w:rsid w:val="00794E99"/>
    <w:pPr>
      <w:spacing w:after="120" w:line="480" w:lineRule="auto"/>
      <w:ind w:left="283"/>
    </w:pPr>
  </w:style>
  <w:style w:type="character" w:customStyle="1" w:styleId="BodyTextIndent2Char">
    <w:name w:val="Body Text Indent 2 Char"/>
    <w:basedOn w:val="DefaultParagraphFont"/>
    <w:link w:val="BodyTextIndent2"/>
    <w:uiPriority w:val="98"/>
    <w:semiHidden/>
    <w:rsid w:val="00794E99"/>
    <w:rPr>
      <w:sz w:val="24"/>
      <w:szCs w:val="24"/>
      <w:lang w:val="fr-FR"/>
    </w:rPr>
  </w:style>
  <w:style w:type="paragraph" w:styleId="BodyTextIndent3">
    <w:name w:val="Body Text Indent 3"/>
    <w:basedOn w:val="Normal"/>
    <w:link w:val="BodyTextIndent3Char"/>
    <w:uiPriority w:val="98"/>
    <w:semiHidden/>
    <w:rsid w:val="00794E9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94E99"/>
    <w:rPr>
      <w:sz w:val="16"/>
      <w:szCs w:val="16"/>
      <w:lang w:val="fr-FR"/>
    </w:rPr>
  </w:style>
  <w:style w:type="paragraph" w:styleId="Caption">
    <w:name w:val="caption"/>
    <w:basedOn w:val="Normal"/>
    <w:next w:val="Normal"/>
    <w:uiPriority w:val="98"/>
    <w:semiHidden/>
    <w:qFormat/>
    <w:rsid w:val="00794E99"/>
    <w:pPr>
      <w:spacing w:after="200"/>
    </w:pPr>
    <w:rPr>
      <w:b/>
      <w:bCs/>
      <w:color w:val="0072BC" w:themeColor="accent1"/>
      <w:sz w:val="18"/>
      <w:szCs w:val="18"/>
    </w:rPr>
  </w:style>
  <w:style w:type="paragraph" w:styleId="Closing">
    <w:name w:val="Closing"/>
    <w:basedOn w:val="Normal"/>
    <w:link w:val="ClosingChar"/>
    <w:uiPriority w:val="98"/>
    <w:semiHidden/>
    <w:rsid w:val="00794E99"/>
    <w:pPr>
      <w:ind w:left="4252"/>
    </w:pPr>
  </w:style>
  <w:style w:type="character" w:customStyle="1" w:styleId="ClosingChar">
    <w:name w:val="Closing Char"/>
    <w:basedOn w:val="DefaultParagraphFont"/>
    <w:link w:val="Closing"/>
    <w:uiPriority w:val="98"/>
    <w:semiHidden/>
    <w:rsid w:val="00794E99"/>
    <w:rPr>
      <w:sz w:val="24"/>
      <w:szCs w:val="24"/>
      <w:lang w:val="fr-FR"/>
    </w:rPr>
  </w:style>
  <w:style w:type="table" w:styleId="ColorfulGrid">
    <w:name w:val="Colorful Grid"/>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94E9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94E9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94E9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94E9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94E9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94E9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94E9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94E9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94E9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94E9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94E9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94E9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94E9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94E99"/>
    <w:rPr>
      <w:sz w:val="16"/>
      <w:szCs w:val="16"/>
    </w:rPr>
  </w:style>
  <w:style w:type="paragraph" w:styleId="CommentText">
    <w:name w:val="annotation text"/>
    <w:basedOn w:val="Normal"/>
    <w:link w:val="CommentTextChar"/>
    <w:uiPriority w:val="98"/>
    <w:semiHidden/>
    <w:rsid w:val="00794E99"/>
    <w:rPr>
      <w:sz w:val="20"/>
      <w:szCs w:val="20"/>
    </w:rPr>
  </w:style>
  <w:style w:type="character" w:customStyle="1" w:styleId="CommentTextChar">
    <w:name w:val="Comment Text Char"/>
    <w:basedOn w:val="DefaultParagraphFont"/>
    <w:link w:val="CommentText"/>
    <w:uiPriority w:val="98"/>
    <w:semiHidden/>
    <w:rsid w:val="00794E99"/>
    <w:rPr>
      <w:sz w:val="20"/>
      <w:szCs w:val="20"/>
      <w:lang w:val="fr-FR"/>
    </w:rPr>
  </w:style>
  <w:style w:type="paragraph" w:styleId="CommentSubject">
    <w:name w:val="annotation subject"/>
    <w:basedOn w:val="CommentText"/>
    <w:next w:val="CommentText"/>
    <w:link w:val="CommentSubjectChar"/>
    <w:uiPriority w:val="98"/>
    <w:semiHidden/>
    <w:rsid w:val="00794E99"/>
    <w:rPr>
      <w:b/>
      <w:bCs/>
    </w:rPr>
  </w:style>
  <w:style w:type="character" w:customStyle="1" w:styleId="CommentSubjectChar">
    <w:name w:val="Comment Subject Char"/>
    <w:basedOn w:val="CommentTextChar"/>
    <w:link w:val="CommentSubject"/>
    <w:uiPriority w:val="98"/>
    <w:semiHidden/>
    <w:rsid w:val="00794E99"/>
    <w:rPr>
      <w:b/>
      <w:bCs/>
      <w:sz w:val="20"/>
      <w:szCs w:val="20"/>
      <w:lang w:val="fr-FR"/>
    </w:rPr>
  </w:style>
  <w:style w:type="table" w:styleId="DarkList">
    <w:name w:val="Dark List"/>
    <w:basedOn w:val="TableNormal"/>
    <w:uiPriority w:val="70"/>
    <w:semiHidden/>
    <w:rsid w:val="00794E9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94E9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94E9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94E9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94E9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94E9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94E9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94E99"/>
  </w:style>
  <w:style w:type="character" w:customStyle="1" w:styleId="DateChar">
    <w:name w:val="Date Char"/>
    <w:basedOn w:val="DefaultParagraphFont"/>
    <w:link w:val="Date"/>
    <w:uiPriority w:val="98"/>
    <w:semiHidden/>
    <w:rsid w:val="00794E99"/>
    <w:rPr>
      <w:sz w:val="24"/>
      <w:szCs w:val="24"/>
      <w:lang w:val="fr-FR"/>
    </w:rPr>
  </w:style>
  <w:style w:type="paragraph" w:styleId="DocumentMap">
    <w:name w:val="Document Map"/>
    <w:basedOn w:val="Normal"/>
    <w:link w:val="DocumentMapChar"/>
    <w:uiPriority w:val="98"/>
    <w:semiHidden/>
    <w:rsid w:val="00794E99"/>
    <w:rPr>
      <w:rFonts w:ascii="Tahoma" w:hAnsi="Tahoma" w:cs="Tahoma"/>
      <w:sz w:val="16"/>
      <w:szCs w:val="16"/>
    </w:rPr>
  </w:style>
  <w:style w:type="character" w:customStyle="1" w:styleId="DocumentMapChar">
    <w:name w:val="Document Map Char"/>
    <w:basedOn w:val="DefaultParagraphFont"/>
    <w:link w:val="DocumentMap"/>
    <w:uiPriority w:val="98"/>
    <w:semiHidden/>
    <w:rsid w:val="00794E99"/>
    <w:rPr>
      <w:rFonts w:ascii="Tahoma" w:hAnsi="Tahoma" w:cs="Tahoma"/>
      <w:sz w:val="16"/>
      <w:szCs w:val="16"/>
      <w:lang w:val="fr-FR"/>
    </w:rPr>
  </w:style>
  <w:style w:type="paragraph" w:styleId="E-mailSignature">
    <w:name w:val="E-mail Signature"/>
    <w:basedOn w:val="Normal"/>
    <w:link w:val="E-mailSignatureChar"/>
    <w:uiPriority w:val="98"/>
    <w:semiHidden/>
    <w:rsid w:val="00794E99"/>
  </w:style>
  <w:style w:type="character" w:customStyle="1" w:styleId="E-mailSignatureChar">
    <w:name w:val="E-mail Signature Char"/>
    <w:basedOn w:val="DefaultParagraphFont"/>
    <w:link w:val="E-mailSignature"/>
    <w:uiPriority w:val="98"/>
    <w:semiHidden/>
    <w:rsid w:val="00794E99"/>
    <w:rPr>
      <w:sz w:val="24"/>
      <w:szCs w:val="24"/>
      <w:lang w:val="fr-FR"/>
    </w:rPr>
  </w:style>
  <w:style w:type="character" w:styleId="EndnoteReference">
    <w:name w:val="endnote reference"/>
    <w:basedOn w:val="DefaultParagraphFont"/>
    <w:uiPriority w:val="98"/>
    <w:semiHidden/>
    <w:rsid w:val="00794E99"/>
    <w:rPr>
      <w:vertAlign w:val="superscript"/>
    </w:rPr>
  </w:style>
  <w:style w:type="paragraph" w:styleId="EndnoteText">
    <w:name w:val="endnote text"/>
    <w:basedOn w:val="Normal"/>
    <w:link w:val="EndnoteTextChar"/>
    <w:uiPriority w:val="98"/>
    <w:semiHidden/>
    <w:rsid w:val="00794E99"/>
    <w:rPr>
      <w:sz w:val="20"/>
      <w:szCs w:val="20"/>
    </w:rPr>
  </w:style>
  <w:style w:type="character" w:customStyle="1" w:styleId="EndnoteTextChar">
    <w:name w:val="Endnote Text Char"/>
    <w:basedOn w:val="DefaultParagraphFont"/>
    <w:link w:val="EndnoteText"/>
    <w:uiPriority w:val="98"/>
    <w:semiHidden/>
    <w:rsid w:val="00794E99"/>
    <w:rPr>
      <w:sz w:val="20"/>
      <w:szCs w:val="20"/>
      <w:lang w:val="fr-FR"/>
    </w:rPr>
  </w:style>
  <w:style w:type="paragraph" w:styleId="EnvelopeAddress">
    <w:name w:val="envelope address"/>
    <w:basedOn w:val="Normal"/>
    <w:uiPriority w:val="98"/>
    <w:semiHidden/>
    <w:rsid w:val="00794E9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94E9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94E99"/>
    <w:rPr>
      <w:color w:val="7030A0" w:themeColor="followedHyperlink"/>
      <w:u w:val="single"/>
    </w:rPr>
  </w:style>
  <w:style w:type="character" w:styleId="HTMLAcronym">
    <w:name w:val="HTML Acronym"/>
    <w:basedOn w:val="DefaultParagraphFont"/>
    <w:uiPriority w:val="98"/>
    <w:semiHidden/>
    <w:rsid w:val="00794E99"/>
  </w:style>
  <w:style w:type="paragraph" w:styleId="HTMLAddress">
    <w:name w:val="HTML Address"/>
    <w:basedOn w:val="Normal"/>
    <w:link w:val="HTMLAddressChar"/>
    <w:uiPriority w:val="98"/>
    <w:semiHidden/>
    <w:rsid w:val="00794E99"/>
    <w:rPr>
      <w:i/>
      <w:iCs/>
    </w:rPr>
  </w:style>
  <w:style w:type="character" w:customStyle="1" w:styleId="HTMLAddressChar">
    <w:name w:val="HTML Address Char"/>
    <w:basedOn w:val="DefaultParagraphFont"/>
    <w:link w:val="HTMLAddress"/>
    <w:uiPriority w:val="98"/>
    <w:semiHidden/>
    <w:rsid w:val="00794E99"/>
    <w:rPr>
      <w:i/>
      <w:iCs/>
      <w:sz w:val="24"/>
      <w:szCs w:val="24"/>
      <w:lang w:val="fr-FR"/>
    </w:rPr>
  </w:style>
  <w:style w:type="character" w:styleId="HTMLCite">
    <w:name w:val="HTML Cite"/>
    <w:basedOn w:val="DefaultParagraphFont"/>
    <w:uiPriority w:val="98"/>
    <w:semiHidden/>
    <w:rsid w:val="00794E99"/>
    <w:rPr>
      <w:i/>
      <w:iCs/>
    </w:rPr>
  </w:style>
  <w:style w:type="character" w:styleId="HTMLCode">
    <w:name w:val="HTML Code"/>
    <w:basedOn w:val="DefaultParagraphFont"/>
    <w:uiPriority w:val="98"/>
    <w:semiHidden/>
    <w:rsid w:val="00794E99"/>
    <w:rPr>
      <w:rFonts w:ascii="Consolas" w:hAnsi="Consolas" w:cs="Consolas"/>
      <w:sz w:val="20"/>
      <w:szCs w:val="20"/>
    </w:rPr>
  </w:style>
  <w:style w:type="character" w:styleId="HTMLDefinition">
    <w:name w:val="HTML Definition"/>
    <w:basedOn w:val="DefaultParagraphFont"/>
    <w:uiPriority w:val="98"/>
    <w:semiHidden/>
    <w:rsid w:val="00794E99"/>
    <w:rPr>
      <w:i/>
      <w:iCs/>
    </w:rPr>
  </w:style>
  <w:style w:type="character" w:styleId="HTMLKeyboard">
    <w:name w:val="HTML Keyboard"/>
    <w:basedOn w:val="DefaultParagraphFont"/>
    <w:uiPriority w:val="98"/>
    <w:semiHidden/>
    <w:rsid w:val="00794E99"/>
    <w:rPr>
      <w:rFonts w:ascii="Consolas" w:hAnsi="Consolas" w:cs="Consolas"/>
      <w:sz w:val="20"/>
      <w:szCs w:val="20"/>
    </w:rPr>
  </w:style>
  <w:style w:type="paragraph" w:styleId="HTMLPreformatted">
    <w:name w:val="HTML Preformatted"/>
    <w:basedOn w:val="Normal"/>
    <w:link w:val="HTMLPreformattedChar"/>
    <w:uiPriority w:val="98"/>
    <w:semiHidden/>
    <w:rsid w:val="00794E9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94E99"/>
    <w:rPr>
      <w:rFonts w:ascii="Consolas" w:hAnsi="Consolas" w:cs="Consolas"/>
      <w:sz w:val="20"/>
      <w:szCs w:val="20"/>
      <w:lang w:val="fr-FR"/>
    </w:rPr>
  </w:style>
  <w:style w:type="character" w:styleId="HTMLSample">
    <w:name w:val="HTML Sample"/>
    <w:basedOn w:val="DefaultParagraphFont"/>
    <w:uiPriority w:val="98"/>
    <w:semiHidden/>
    <w:rsid w:val="00794E99"/>
    <w:rPr>
      <w:rFonts w:ascii="Consolas" w:hAnsi="Consolas" w:cs="Consolas"/>
      <w:sz w:val="24"/>
      <w:szCs w:val="24"/>
    </w:rPr>
  </w:style>
  <w:style w:type="character" w:styleId="HTMLTypewriter">
    <w:name w:val="HTML Typewriter"/>
    <w:basedOn w:val="DefaultParagraphFont"/>
    <w:uiPriority w:val="98"/>
    <w:semiHidden/>
    <w:rsid w:val="00794E99"/>
    <w:rPr>
      <w:rFonts w:ascii="Consolas" w:hAnsi="Consolas" w:cs="Consolas"/>
      <w:sz w:val="20"/>
      <w:szCs w:val="20"/>
    </w:rPr>
  </w:style>
  <w:style w:type="character" w:styleId="HTMLVariable">
    <w:name w:val="HTML Variable"/>
    <w:basedOn w:val="DefaultParagraphFont"/>
    <w:uiPriority w:val="98"/>
    <w:semiHidden/>
    <w:rsid w:val="00794E99"/>
    <w:rPr>
      <w:i/>
      <w:iCs/>
    </w:rPr>
  </w:style>
  <w:style w:type="paragraph" w:styleId="Index1">
    <w:name w:val="index 1"/>
    <w:basedOn w:val="Normal"/>
    <w:next w:val="Normal"/>
    <w:autoRedefine/>
    <w:uiPriority w:val="98"/>
    <w:semiHidden/>
    <w:rsid w:val="00794E99"/>
    <w:pPr>
      <w:ind w:left="240" w:hanging="240"/>
    </w:pPr>
  </w:style>
  <w:style w:type="paragraph" w:styleId="Index2">
    <w:name w:val="index 2"/>
    <w:basedOn w:val="Normal"/>
    <w:next w:val="Normal"/>
    <w:autoRedefine/>
    <w:uiPriority w:val="98"/>
    <w:semiHidden/>
    <w:rsid w:val="00794E99"/>
    <w:pPr>
      <w:ind w:left="480" w:hanging="240"/>
    </w:pPr>
  </w:style>
  <w:style w:type="paragraph" w:styleId="Index3">
    <w:name w:val="index 3"/>
    <w:basedOn w:val="Normal"/>
    <w:next w:val="Normal"/>
    <w:autoRedefine/>
    <w:uiPriority w:val="98"/>
    <w:semiHidden/>
    <w:rsid w:val="00794E99"/>
    <w:pPr>
      <w:ind w:left="720" w:hanging="240"/>
    </w:pPr>
  </w:style>
  <w:style w:type="paragraph" w:styleId="Index4">
    <w:name w:val="index 4"/>
    <w:basedOn w:val="Normal"/>
    <w:next w:val="Normal"/>
    <w:autoRedefine/>
    <w:uiPriority w:val="98"/>
    <w:semiHidden/>
    <w:rsid w:val="00794E99"/>
    <w:pPr>
      <w:ind w:left="960" w:hanging="240"/>
    </w:pPr>
  </w:style>
  <w:style w:type="paragraph" w:styleId="Index5">
    <w:name w:val="index 5"/>
    <w:basedOn w:val="Normal"/>
    <w:next w:val="Normal"/>
    <w:autoRedefine/>
    <w:uiPriority w:val="98"/>
    <w:semiHidden/>
    <w:rsid w:val="00794E99"/>
    <w:pPr>
      <w:ind w:left="1200" w:hanging="240"/>
    </w:pPr>
  </w:style>
  <w:style w:type="paragraph" w:styleId="Index6">
    <w:name w:val="index 6"/>
    <w:basedOn w:val="Normal"/>
    <w:next w:val="Normal"/>
    <w:autoRedefine/>
    <w:uiPriority w:val="98"/>
    <w:semiHidden/>
    <w:rsid w:val="00794E99"/>
    <w:pPr>
      <w:ind w:left="1440" w:hanging="240"/>
    </w:pPr>
  </w:style>
  <w:style w:type="paragraph" w:styleId="Index7">
    <w:name w:val="index 7"/>
    <w:basedOn w:val="Normal"/>
    <w:next w:val="Normal"/>
    <w:autoRedefine/>
    <w:uiPriority w:val="98"/>
    <w:semiHidden/>
    <w:rsid w:val="00794E99"/>
    <w:pPr>
      <w:ind w:left="1680" w:hanging="240"/>
    </w:pPr>
  </w:style>
  <w:style w:type="paragraph" w:styleId="Index8">
    <w:name w:val="index 8"/>
    <w:basedOn w:val="Normal"/>
    <w:next w:val="Normal"/>
    <w:autoRedefine/>
    <w:uiPriority w:val="98"/>
    <w:semiHidden/>
    <w:rsid w:val="00794E99"/>
    <w:pPr>
      <w:ind w:left="1920" w:hanging="240"/>
    </w:pPr>
  </w:style>
  <w:style w:type="paragraph" w:styleId="Index9">
    <w:name w:val="index 9"/>
    <w:basedOn w:val="Normal"/>
    <w:next w:val="Normal"/>
    <w:autoRedefine/>
    <w:uiPriority w:val="98"/>
    <w:semiHidden/>
    <w:rsid w:val="00794E99"/>
    <w:pPr>
      <w:ind w:left="2160" w:hanging="240"/>
    </w:pPr>
  </w:style>
  <w:style w:type="paragraph" w:styleId="IndexHeading">
    <w:name w:val="index heading"/>
    <w:basedOn w:val="Normal"/>
    <w:next w:val="Index1"/>
    <w:uiPriority w:val="98"/>
    <w:semiHidden/>
    <w:rsid w:val="00794E99"/>
    <w:rPr>
      <w:rFonts w:asciiTheme="majorHAnsi" w:eastAsiaTheme="majorEastAsia" w:hAnsiTheme="majorHAnsi" w:cstheme="majorBidi"/>
      <w:b/>
      <w:bCs/>
    </w:rPr>
  </w:style>
  <w:style w:type="table" w:styleId="LightGrid">
    <w:name w:val="Light Grid"/>
    <w:basedOn w:val="TableNormal"/>
    <w:uiPriority w:val="62"/>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94E9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94E9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94E9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94E9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94E9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94E9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94E9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94E9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94E9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94E9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94E9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94E9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94E9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94E9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94E99"/>
  </w:style>
  <w:style w:type="paragraph" w:styleId="List">
    <w:name w:val="List"/>
    <w:basedOn w:val="Normal"/>
    <w:uiPriority w:val="98"/>
    <w:semiHidden/>
    <w:rsid w:val="00794E99"/>
    <w:pPr>
      <w:ind w:left="283" w:hanging="283"/>
      <w:contextualSpacing/>
    </w:pPr>
  </w:style>
  <w:style w:type="paragraph" w:styleId="List20">
    <w:name w:val="List 2"/>
    <w:basedOn w:val="Normal"/>
    <w:uiPriority w:val="98"/>
    <w:semiHidden/>
    <w:rsid w:val="00794E99"/>
    <w:pPr>
      <w:ind w:left="566" w:hanging="283"/>
      <w:contextualSpacing/>
    </w:pPr>
  </w:style>
  <w:style w:type="paragraph" w:styleId="List30">
    <w:name w:val="List 3"/>
    <w:basedOn w:val="Normal"/>
    <w:uiPriority w:val="98"/>
    <w:semiHidden/>
    <w:rsid w:val="00794E99"/>
    <w:pPr>
      <w:ind w:left="849" w:hanging="283"/>
      <w:contextualSpacing/>
    </w:pPr>
  </w:style>
  <w:style w:type="paragraph" w:styleId="List4">
    <w:name w:val="List 4"/>
    <w:basedOn w:val="Normal"/>
    <w:uiPriority w:val="98"/>
    <w:semiHidden/>
    <w:rsid w:val="00794E99"/>
    <w:pPr>
      <w:ind w:left="1132" w:hanging="283"/>
      <w:contextualSpacing/>
    </w:pPr>
  </w:style>
  <w:style w:type="paragraph" w:styleId="List5">
    <w:name w:val="List 5"/>
    <w:basedOn w:val="Normal"/>
    <w:uiPriority w:val="98"/>
    <w:semiHidden/>
    <w:rsid w:val="00794E99"/>
    <w:pPr>
      <w:ind w:left="1415" w:hanging="283"/>
      <w:contextualSpacing/>
    </w:pPr>
  </w:style>
  <w:style w:type="paragraph" w:styleId="ListBullet">
    <w:name w:val="List Bullet"/>
    <w:basedOn w:val="Normal"/>
    <w:uiPriority w:val="98"/>
    <w:semiHidden/>
    <w:rsid w:val="00794E99"/>
    <w:pPr>
      <w:numPr>
        <w:numId w:val="11"/>
      </w:numPr>
    </w:pPr>
  </w:style>
  <w:style w:type="paragraph" w:styleId="ListBullet3">
    <w:name w:val="List Bullet 3"/>
    <w:basedOn w:val="Normal"/>
    <w:uiPriority w:val="98"/>
    <w:semiHidden/>
    <w:rsid w:val="00794E99"/>
    <w:pPr>
      <w:numPr>
        <w:numId w:val="13"/>
      </w:numPr>
      <w:contextualSpacing/>
    </w:pPr>
  </w:style>
  <w:style w:type="paragraph" w:styleId="ListBullet4">
    <w:name w:val="List Bullet 4"/>
    <w:basedOn w:val="Normal"/>
    <w:uiPriority w:val="98"/>
    <w:semiHidden/>
    <w:rsid w:val="00794E99"/>
    <w:pPr>
      <w:numPr>
        <w:numId w:val="14"/>
      </w:numPr>
      <w:contextualSpacing/>
    </w:pPr>
  </w:style>
  <w:style w:type="paragraph" w:styleId="ListBullet5">
    <w:name w:val="List Bullet 5"/>
    <w:basedOn w:val="Normal"/>
    <w:uiPriority w:val="98"/>
    <w:semiHidden/>
    <w:rsid w:val="00794E99"/>
    <w:pPr>
      <w:numPr>
        <w:numId w:val="15"/>
      </w:numPr>
      <w:contextualSpacing/>
    </w:pPr>
  </w:style>
  <w:style w:type="paragraph" w:styleId="ListContinue">
    <w:name w:val="List Continue"/>
    <w:basedOn w:val="Normal"/>
    <w:uiPriority w:val="98"/>
    <w:semiHidden/>
    <w:rsid w:val="00794E99"/>
    <w:pPr>
      <w:spacing w:after="120"/>
      <w:ind w:left="283"/>
      <w:contextualSpacing/>
    </w:pPr>
  </w:style>
  <w:style w:type="paragraph" w:styleId="ListContinue2">
    <w:name w:val="List Continue 2"/>
    <w:basedOn w:val="Normal"/>
    <w:uiPriority w:val="98"/>
    <w:semiHidden/>
    <w:rsid w:val="00794E99"/>
    <w:pPr>
      <w:spacing w:after="120"/>
      <w:ind w:left="566"/>
      <w:contextualSpacing/>
    </w:pPr>
  </w:style>
  <w:style w:type="paragraph" w:styleId="ListContinue3">
    <w:name w:val="List Continue 3"/>
    <w:basedOn w:val="Normal"/>
    <w:uiPriority w:val="98"/>
    <w:semiHidden/>
    <w:rsid w:val="00794E99"/>
    <w:pPr>
      <w:spacing w:after="120"/>
      <w:ind w:left="849"/>
      <w:contextualSpacing/>
    </w:pPr>
  </w:style>
  <w:style w:type="paragraph" w:styleId="ListContinue4">
    <w:name w:val="List Continue 4"/>
    <w:basedOn w:val="Normal"/>
    <w:uiPriority w:val="98"/>
    <w:semiHidden/>
    <w:rsid w:val="00794E99"/>
    <w:pPr>
      <w:spacing w:after="120"/>
      <w:ind w:left="1132"/>
      <w:contextualSpacing/>
    </w:pPr>
  </w:style>
  <w:style w:type="paragraph" w:styleId="ListContinue5">
    <w:name w:val="List Continue 5"/>
    <w:basedOn w:val="Normal"/>
    <w:uiPriority w:val="98"/>
    <w:semiHidden/>
    <w:rsid w:val="00794E99"/>
    <w:pPr>
      <w:spacing w:after="120"/>
      <w:ind w:left="1415"/>
      <w:contextualSpacing/>
    </w:pPr>
  </w:style>
  <w:style w:type="paragraph" w:styleId="ListNumber">
    <w:name w:val="List Number"/>
    <w:basedOn w:val="Normal"/>
    <w:uiPriority w:val="98"/>
    <w:semiHidden/>
    <w:rsid w:val="00794E99"/>
    <w:pPr>
      <w:numPr>
        <w:numId w:val="16"/>
      </w:numPr>
      <w:contextualSpacing/>
    </w:pPr>
  </w:style>
  <w:style w:type="paragraph" w:styleId="ListNumber2">
    <w:name w:val="List Number 2"/>
    <w:basedOn w:val="Normal"/>
    <w:uiPriority w:val="98"/>
    <w:semiHidden/>
    <w:rsid w:val="00794E99"/>
    <w:pPr>
      <w:numPr>
        <w:numId w:val="17"/>
      </w:numPr>
      <w:contextualSpacing/>
    </w:pPr>
  </w:style>
  <w:style w:type="paragraph" w:styleId="ListNumber3">
    <w:name w:val="List Number 3"/>
    <w:basedOn w:val="Normal"/>
    <w:uiPriority w:val="98"/>
    <w:semiHidden/>
    <w:rsid w:val="00794E99"/>
    <w:pPr>
      <w:numPr>
        <w:numId w:val="18"/>
      </w:numPr>
      <w:contextualSpacing/>
    </w:pPr>
  </w:style>
  <w:style w:type="paragraph" w:styleId="ListNumber4">
    <w:name w:val="List Number 4"/>
    <w:basedOn w:val="Normal"/>
    <w:uiPriority w:val="98"/>
    <w:semiHidden/>
    <w:rsid w:val="00794E99"/>
    <w:pPr>
      <w:numPr>
        <w:numId w:val="19"/>
      </w:numPr>
      <w:contextualSpacing/>
    </w:pPr>
  </w:style>
  <w:style w:type="paragraph" w:styleId="ListNumber5">
    <w:name w:val="List Number 5"/>
    <w:basedOn w:val="Normal"/>
    <w:uiPriority w:val="98"/>
    <w:semiHidden/>
    <w:rsid w:val="00794E99"/>
    <w:pPr>
      <w:numPr>
        <w:numId w:val="20"/>
      </w:numPr>
      <w:contextualSpacing/>
    </w:pPr>
  </w:style>
  <w:style w:type="paragraph" w:styleId="Macro">
    <w:name w:val="macro"/>
    <w:link w:val="MacroTextChar"/>
    <w:uiPriority w:val="98"/>
    <w:semiHidden/>
    <w:rsid w:val="00794E9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94E99"/>
    <w:rPr>
      <w:rFonts w:ascii="Consolas" w:hAnsi="Consolas" w:eastAsiaTheme="minorEastAsia" w:cs="Consolas"/>
      <w:sz w:val="20"/>
      <w:szCs w:val="20"/>
    </w:rPr>
  </w:style>
  <w:style w:type="table" w:styleId="MediumGrid1">
    <w:name w:val="Medium Grid 1"/>
    <w:basedOn w:val="TableNormal"/>
    <w:uiPriority w:val="67"/>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94E9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94E9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94E9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94E9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94E9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94E9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94E9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94E9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94E9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94E9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94E9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94E9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94E9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94E9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94E9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94E9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94E9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94E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94E9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94E99"/>
    <w:rPr>
      <w:rFonts w:ascii="Times New Roman" w:hAnsi="Times New Roman" w:cs="Times New Roman"/>
    </w:rPr>
  </w:style>
  <w:style w:type="paragraph" w:styleId="NormalIndent">
    <w:name w:val="Normal Indent"/>
    <w:basedOn w:val="Normal"/>
    <w:uiPriority w:val="98"/>
    <w:semiHidden/>
    <w:rsid w:val="00794E99"/>
    <w:pPr>
      <w:ind w:left="720"/>
    </w:pPr>
  </w:style>
  <w:style w:type="paragraph" w:styleId="NoteHeading">
    <w:name w:val="Note Heading"/>
    <w:basedOn w:val="Normal"/>
    <w:next w:val="Normal"/>
    <w:link w:val="NoteHeadingChar"/>
    <w:uiPriority w:val="98"/>
    <w:semiHidden/>
    <w:rsid w:val="00794E99"/>
  </w:style>
  <w:style w:type="character" w:customStyle="1" w:styleId="NoteHeadingChar">
    <w:name w:val="Note Heading Char"/>
    <w:basedOn w:val="DefaultParagraphFont"/>
    <w:link w:val="NoteHeading"/>
    <w:uiPriority w:val="98"/>
    <w:semiHidden/>
    <w:rsid w:val="00794E99"/>
    <w:rPr>
      <w:sz w:val="24"/>
      <w:szCs w:val="24"/>
      <w:lang w:val="fr-FR"/>
    </w:rPr>
  </w:style>
  <w:style w:type="character" w:styleId="PlaceholderText">
    <w:name w:val="Placeholder Text"/>
    <w:basedOn w:val="DefaultParagraphFont"/>
    <w:uiPriority w:val="98"/>
    <w:semiHidden/>
    <w:rsid w:val="00794E9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94E99"/>
    <w:rPr>
      <w:rFonts w:ascii="Consolas" w:hAnsi="Consolas" w:cs="Consolas"/>
      <w:sz w:val="21"/>
      <w:szCs w:val="21"/>
    </w:rPr>
  </w:style>
  <w:style w:type="character" w:customStyle="1" w:styleId="PlainTextChar">
    <w:name w:val="Plain Text Char"/>
    <w:basedOn w:val="DefaultParagraphFont"/>
    <w:link w:val="PlainText"/>
    <w:uiPriority w:val="98"/>
    <w:semiHidden/>
    <w:rsid w:val="00794E99"/>
    <w:rPr>
      <w:rFonts w:ascii="Consolas" w:hAnsi="Consolas" w:cs="Consolas"/>
      <w:sz w:val="21"/>
      <w:szCs w:val="21"/>
      <w:lang w:val="fr-FR"/>
    </w:rPr>
  </w:style>
  <w:style w:type="paragraph" w:styleId="Salutation">
    <w:name w:val="Salutation"/>
    <w:basedOn w:val="Normal"/>
    <w:next w:val="Normal"/>
    <w:link w:val="SalutationChar"/>
    <w:uiPriority w:val="98"/>
    <w:semiHidden/>
    <w:rsid w:val="00794E99"/>
  </w:style>
  <w:style w:type="character" w:customStyle="1" w:styleId="SalutationChar">
    <w:name w:val="Salutation Char"/>
    <w:basedOn w:val="DefaultParagraphFont"/>
    <w:link w:val="Salutation"/>
    <w:uiPriority w:val="98"/>
    <w:semiHidden/>
    <w:rsid w:val="00794E99"/>
    <w:rPr>
      <w:sz w:val="24"/>
      <w:szCs w:val="24"/>
      <w:lang w:val="fr-FR"/>
    </w:rPr>
  </w:style>
  <w:style w:type="paragraph" w:styleId="Signature0">
    <w:name w:val="Signature"/>
    <w:basedOn w:val="Normal"/>
    <w:link w:val="SignatureChar"/>
    <w:uiPriority w:val="98"/>
    <w:semiHidden/>
    <w:rsid w:val="00794E99"/>
    <w:pPr>
      <w:ind w:left="4252"/>
    </w:pPr>
  </w:style>
  <w:style w:type="character" w:customStyle="1" w:styleId="SignatureChar">
    <w:name w:val="Signature Char"/>
    <w:basedOn w:val="DefaultParagraphFont"/>
    <w:link w:val="Signature0"/>
    <w:uiPriority w:val="98"/>
    <w:semiHidden/>
    <w:rsid w:val="00794E99"/>
    <w:rPr>
      <w:sz w:val="24"/>
      <w:szCs w:val="24"/>
      <w:lang w:val="fr-FR"/>
    </w:rPr>
  </w:style>
  <w:style w:type="table" w:styleId="Table3Deffects1">
    <w:name w:val="Table 3D effects 1"/>
    <w:basedOn w:val="TableNormal"/>
    <w:uiPriority w:val="99"/>
    <w:semiHidden/>
    <w:unhideWhenUsed/>
    <w:rsid w:val="00794E9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94E9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94E9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94E9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94E9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94E9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94E9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94E9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94E9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94E9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94E9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94E9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94E9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94E9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94E9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94E9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94E9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94E9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94E9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94E9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94E9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94E9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94E9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94E9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94E9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94E9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94E99"/>
    <w:pPr>
      <w:ind w:left="240" w:hanging="240"/>
    </w:pPr>
  </w:style>
  <w:style w:type="paragraph" w:styleId="TableofFigures">
    <w:name w:val="table of figures"/>
    <w:basedOn w:val="Normal"/>
    <w:next w:val="Normal"/>
    <w:uiPriority w:val="98"/>
    <w:semiHidden/>
    <w:rsid w:val="00794E99"/>
  </w:style>
  <w:style w:type="table" w:styleId="TableProfessional">
    <w:name w:val="Table Professional"/>
    <w:basedOn w:val="TableNormal"/>
    <w:uiPriority w:val="99"/>
    <w:semiHidden/>
    <w:unhideWhenUsed/>
    <w:rsid w:val="00794E9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94E9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94E9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94E9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94E9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94E9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94E9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94E9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94E9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94E9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94E9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94E9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94E99"/>
    <w:pPr>
      <w:spacing w:after="100"/>
      <w:ind w:left="1680"/>
    </w:pPr>
  </w:style>
  <w:style w:type="paragraph" w:styleId="TOC9">
    <w:name w:val="toc 9"/>
    <w:basedOn w:val="Normal"/>
    <w:next w:val="Normal"/>
    <w:autoRedefine/>
    <w:uiPriority w:val="98"/>
    <w:semiHidden/>
    <w:rsid w:val="00794E99"/>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94E9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94E9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94E9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94E9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94E99"/>
    <w:pPr>
      <w:numPr>
        <w:numId w:val="7"/>
      </w:numPr>
      <w:spacing w:before="60" w:after="60"/>
    </w:pPr>
  </w:style>
  <w:style w:type="paragraph" w:customStyle="1" w:styleId="ECHRBullet2">
    <w:name w:val="ECHR_Bullet_2"/>
    <w:aliases w:val="_Bul_2"/>
    <w:basedOn w:val="ECHRBullet1"/>
    <w:uiPriority w:val="23"/>
    <w:semiHidden/>
    <w:rsid w:val="00794E99"/>
    <w:pPr>
      <w:numPr>
        <w:ilvl w:val="1"/>
      </w:numPr>
    </w:pPr>
  </w:style>
  <w:style w:type="paragraph" w:customStyle="1" w:styleId="ECHRBullet3">
    <w:name w:val="ECHR_Bullet_3"/>
    <w:aliases w:val="_Bul_3"/>
    <w:basedOn w:val="ECHRBullet2"/>
    <w:uiPriority w:val="23"/>
    <w:semiHidden/>
    <w:rsid w:val="00794E99"/>
    <w:pPr>
      <w:numPr>
        <w:ilvl w:val="2"/>
      </w:numPr>
    </w:pPr>
  </w:style>
  <w:style w:type="paragraph" w:customStyle="1" w:styleId="ECHRBullet4">
    <w:name w:val="ECHR_Bullet_4"/>
    <w:aliases w:val="_Bul_4"/>
    <w:basedOn w:val="ECHRBullet3"/>
    <w:uiPriority w:val="23"/>
    <w:semiHidden/>
    <w:rsid w:val="00794E99"/>
    <w:pPr>
      <w:numPr>
        <w:ilvl w:val="3"/>
      </w:numPr>
    </w:pPr>
  </w:style>
  <w:style w:type="paragraph" w:customStyle="1" w:styleId="ECHRConfidential">
    <w:name w:val="ECHR_Confidential"/>
    <w:aliases w:val="_Confidential"/>
    <w:basedOn w:val="Normal"/>
    <w:next w:val="Normal"/>
    <w:uiPriority w:val="42"/>
    <w:semiHidden/>
    <w:qFormat/>
    <w:rsid w:val="00794E99"/>
    <w:pPr>
      <w:jc w:val="right"/>
    </w:pPr>
    <w:rPr>
      <w:color w:val="C00000"/>
      <w:sz w:val="20"/>
    </w:rPr>
  </w:style>
  <w:style w:type="paragraph" w:customStyle="1" w:styleId="ECHRDecisionBody">
    <w:name w:val="ECHR_Decision_Body"/>
    <w:aliases w:val="_Decision_Body"/>
    <w:basedOn w:val="NormalJustified"/>
    <w:uiPriority w:val="54"/>
    <w:semiHidden/>
    <w:rsid w:val="00794E9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94E9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94E9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94E9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94E99"/>
    <w:pPr>
      <w:jc w:val="right"/>
    </w:pPr>
    <w:rPr>
      <w:sz w:val="20"/>
    </w:rPr>
  </w:style>
  <w:style w:type="paragraph" w:customStyle="1" w:styleId="ECHRHeaderRefIt">
    <w:name w:val="ECHR_Header_Ref_It"/>
    <w:aliases w:val="_Ref_Ital"/>
    <w:basedOn w:val="Normal"/>
    <w:next w:val="ECHRHeaderDate"/>
    <w:uiPriority w:val="43"/>
    <w:qFormat/>
    <w:rsid w:val="00794E99"/>
    <w:pPr>
      <w:jc w:val="right"/>
    </w:pPr>
    <w:rPr>
      <w:i/>
      <w:sz w:val="20"/>
    </w:rPr>
  </w:style>
  <w:style w:type="paragraph" w:customStyle="1" w:styleId="ECHRHeading9">
    <w:name w:val="ECHR_Heading_9"/>
    <w:aliases w:val="_Head_9"/>
    <w:basedOn w:val="Heading9"/>
    <w:uiPriority w:val="17"/>
    <w:semiHidden/>
    <w:rsid w:val="00794E99"/>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94E9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94E99"/>
    <w:pPr>
      <w:numPr>
        <w:numId w:val="8"/>
      </w:numPr>
      <w:spacing w:before="60" w:after="60"/>
    </w:pPr>
  </w:style>
  <w:style w:type="paragraph" w:customStyle="1" w:styleId="ECHRNumberedList2">
    <w:name w:val="ECHR_Numbered_List_2"/>
    <w:aliases w:val="_Num_2"/>
    <w:basedOn w:val="ECHRNumberedList1"/>
    <w:uiPriority w:val="23"/>
    <w:semiHidden/>
    <w:rsid w:val="00794E99"/>
    <w:pPr>
      <w:numPr>
        <w:ilvl w:val="1"/>
      </w:numPr>
    </w:pPr>
  </w:style>
  <w:style w:type="paragraph" w:customStyle="1" w:styleId="ECHRNumberedList3">
    <w:name w:val="ECHR_Numbered_List_3"/>
    <w:aliases w:val="_Num_3"/>
    <w:basedOn w:val="ECHRNumberedList2"/>
    <w:uiPriority w:val="23"/>
    <w:semiHidden/>
    <w:rsid w:val="00794E99"/>
    <w:pPr>
      <w:numPr>
        <w:ilvl w:val="2"/>
      </w:numPr>
    </w:pPr>
  </w:style>
  <w:style w:type="paragraph" w:customStyle="1" w:styleId="ECHRParaHanging">
    <w:name w:val="ECHR_Para_Hanging"/>
    <w:aliases w:val="_Hanging"/>
    <w:basedOn w:val="Normal"/>
    <w:uiPriority w:val="8"/>
    <w:semiHidden/>
    <w:qFormat/>
    <w:rsid w:val="00794E99"/>
    <w:pPr>
      <w:ind w:left="567" w:hanging="567"/>
      <w:jc w:val="both"/>
    </w:pPr>
  </w:style>
  <w:style w:type="paragraph" w:customStyle="1" w:styleId="ECHRParaIndent">
    <w:name w:val="ECHR_Para_Indent"/>
    <w:aliases w:val="_Indent"/>
    <w:basedOn w:val="Normal"/>
    <w:uiPriority w:val="7"/>
    <w:semiHidden/>
    <w:qFormat/>
    <w:rsid w:val="00794E99"/>
    <w:pPr>
      <w:spacing w:before="120" w:after="120"/>
      <w:ind w:left="567"/>
      <w:jc w:val="both"/>
    </w:pPr>
  </w:style>
  <w:style w:type="character" w:customStyle="1" w:styleId="ECHRRed">
    <w:name w:val="ECHR_Red"/>
    <w:aliases w:val="_Red"/>
    <w:basedOn w:val="DefaultParagraphFont"/>
    <w:uiPriority w:val="15"/>
    <w:semiHidden/>
    <w:qFormat/>
    <w:rsid w:val="00794E99"/>
    <w:rPr>
      <w:color w:val="C00000" w:themeColor="accent2"/>
    </w:rPr>
  </w:style>
  <w:style w:type="paragraph" w:customStyle="1" w:styleId="DecList">
    <w:name w:val="Dec_List"/>
    <w:aliases w:val="_List"/>
    <w:basedOn w:val="JuList"/>
    <w:uiPriority w:val="22"/>
    <w:rsid w:val="00794E99"/>
    <w:pPr>
      <w:numPr>
        <w:numId w:val="0"/>
      </w:numPr>
      <w:ind w:left="284"/>
    </w:pPr>
  </w:style>
  <w:style w:type="table" w:customStyle="1" w:styleId="ECHRTable2">
    <w:name w:val="ECHR_Table_2"/>
    <w:basedOn w:val="TableNormal"/>
    <w:uiPriority w:val="99"/>
    <w:rsid w:val="00794E9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94E9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94E9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94E9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94E9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94E9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94E9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94E99"/>
    <w:pPr>
      <w:outlineLvl w:val="0"/>
    </w:pPr>
  </w:style>
  <w:style w:type="paragraph" w:customStyle="1" w:styleId="ECHRTitleTOC1">
    <w:name w:val="ECHR_Title_TOC_1"/>
    <w:aliases w:val="_Title_L_TOC"/>
    <w:basedOn w:val="ECHRTitle1"/>
    <w:next w:val="Normal"/>
    <w:uiPriority w:val="27"/>
    <w:semiHidden/>
    <w:qFormat/>
    <w:rsid w:val="00794E99"/>
    <w:pPr>
      <w:outlineLvl w:val="0"/>
    </w:pPr>
  </w:style>
  <w:style w:type="paragraph" w:customStyle="1" w:styleId="ECHRPlaceholder">
    <w:name w:val="ECHR_Placeholder"/>
    <w:aliases w:val="_Placeholder"/>
    <w:basedOn w:val="JuSigned"/>
    <w:uiPriority w:val="31"/>
    <w:rsid w:val="00794E99"/>
    <w:rPr>
      <w:color w:val="FFFFFF"/>
    </w:rPr>
  </w:style>
  <w:style w:type="paragraph" w:customStyle="1" w:styleId="ECHRSpacer">
    <w:name w:val="ECHR_Spacer"/>
    <w:aliases w:val="_Spacer"/>
    <w:basedOn w:val="Normal"/>
    <w:uiPriority w:val="45"/>
    <w:semiHidden/>
    <w:rsid w:val="00794E99"/>
    <w:rPr>
      <w:sz w:val="4"/>
    </w:rPr>
  </w:style>
  <w:style w:type="table" w:customStyle="1" w:styleId="ECHRTableGrey">
    <w:name w:val="ECHR_Table_Grey"/>
    <w:basedOn w:val="TableNormal"/>
    <w:uiPriority w:val="99"/>
    <w:rsid w:val="00794E9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DC5B61"/>
    <w:rPr>
      <w:sz w:val="24"/>
      <w:szCs w:val="24"/>
      <w:lang w:val="fr-FR"/>
    </w:rPr>
  </w:style>
  <w:style w:type="character" w:customStyle="1" w:styleId="JuNames1">
    <w:name w:val="Ju_Names"/>
    <w:rsid w:val="00DC5B61"/>
    <w:rPr>
      <w:smallCaps/>
    </w:rPr>
  </w:style>
  <w:style w:type="paragraph" w:customStyle="1" w:styleId="JuList4">
    <w:name w:val="Ju_List_4"/>
    <w:aliases w:val="N_Bul_4"/>
    <w:basedOn w:val="JuListi"/>
    <w:uiPriority w:val="19"/>
    <w:rsid w:val="00DC5B61"/>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rsid w:val="00DC5B6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5B6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5B6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5B61"/>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5B6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5B6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5B6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5B6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5B6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DC5B6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DC5B61"/>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DC5B6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DC5B6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DC5B6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DC5B6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5B6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DC5B6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DC5B6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DC5B6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DC5B6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DC5B6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DC5B6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5B6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DC5B6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DC5B6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DC5B6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DC5B6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DC5B6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DC5B6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5B6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DC5B6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DC5B6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DC5B6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DC5B6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DC5B61"/>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DC5B6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5B6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DC5B6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DC5B61"/>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DC5B6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DC5B6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DC5B6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DC5B6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5B6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DC5B6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DC5B61"/>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DC5B6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DC5B6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DC5B6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C5B61"/>
    <w:rPr>
      <w:color w:val="2B579A"/>
      <w:shd w:val="clear" w:color="auto" w:fill="E1DFDD"/>
    </w:rPr>
  </w:style>
  <w:style w:type="table" w:styleId="ListTable1Light">
    <w:name w:val="List Table 1 Light"/>
    <w:basedOn w:val="TableNormal"/>
    <w:uiPriority w:val="46"/>
    <w:rsid w:val="00DC5B6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5B6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DC5B6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DC5B61"/>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DC5B6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DC5B6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DC5B6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DC5B6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5B6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DC5B6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DC5B61"/>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DC5B6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DC5B6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DC5B6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DC5B6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5B6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DC5B6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DC5B61"/>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DC5B6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DC5B6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DC5B6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DC5B6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5B6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DC5B6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DC5B61"/>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DC5B6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DC5B6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DC5B6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DC5B61"/>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5B61"/>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5B61"/>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5B61"/>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5B61"/>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5B61"/>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5B61"/>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5B6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5B6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DC5B6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DC5B61"/>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DC5B6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DC5B6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DC5B6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DC5B6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5B6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5B6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5B61"/>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5B6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5B6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5B6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C5B61"/>
    <w:rPr>
      <w:color w:val="2B579A"/>
      <w:shd w:val="clear" w:color="auto" w:fill="E1DFDD"/>
    </w:rPr>
  </w:style>
  <w:style w:type="table" w:styleId="PlainTable1">
    <w:name w:val="Plain Table 1"/>
    <w:basedOn w:val="TableNormal"/>
    <w:uiPriority w:val="41"/>
    <w:rsid w:val="00DC5B61"/>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DC5B6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5B6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5B6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DC5B6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C5B61"/>
    <w:rPr>
      <w:u w:val="dotted"/>
    </w:rPr>
  </w:style>
  <w:style w:type="character" w:styleId="SmartLink">
    <w:name w:val="Smart Link"/>
    <w:basedOn w:val="DefaultParagraphFont"/>
    <w:uiPriority w:val="99"/>
    <w:semiHidden/>
    <w:unhideWhenUsed/>
    <w:rsid w:val="00DC5B61"/>
    <w:rPr>
      <w:color w:val="0000FF"/>
      <w:u w:val="single"/>
      <w:shd w:val="clear" w:color="auto" w:fill="F3F2F1"/>
    </w:rPr>
  </w:style>
  <w:style w:type="table" w:styleId="GridTableLight">
    <w:name w:val="Grid Table Light"/>
    <w:basedOn w:val="TableNormal"/>
    <w:uiPriority w:val="40"/>
    <w:rsid w:val="00DC5B61"/>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DC5B61"/>
    <w:rPr>
      <w:sz w:val="24"/>
      <w:szCs w:val="24"/>
      <w:lang w:val="fr-FR"/>
    </w:rPr>
  </w:style>
  <w:style w:type="paragraph" w:customStyle="1" w:styleId="jupara0">
    <w:name w:val="jupara"/>
    <w:basedOn w:val="Normal"/>
    <w:rsid w:val="00CB707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B707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10187</Words>
  <Characters>56033</Characters>
  <Application>Microsoft Office Word</Application>
  <DocSecurity>0</DocSecurity>
  <Lines>466</Lines>
  <Paragraphs>132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2023-10-23T15:14:00Z</dcterms:created>
  <dcterms:modified xsi:type="dcterms:W3CDTF">2024-04-03T13:19:00Z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1730679</vt:lpwstr>
  </property>
  <property fmtid="{D5CDD505-2E9C-101B-9397-08002B2CF9AE}" pid="3" name="cstLanguage">
    <vt:i4>1036</vt:i4>
  </property>
  <property fmtid="{D5CDD505-2E9C-101B-9397-08002B2CF9AE}" pid="4" name="RegisteredNo">
    <vt:lpwstr>19371/22</vt:lpwstr>
  </property>
</Properties>
</file>