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C09CD" w:rsidR="000C09CD" w:rsidP="000C09CD" w14:paraId="327317D0" w14:textId="77777777">
      <w:pPr>
        <w:jc w:val="center"/>
        <w:rPr>
          <w:rFonts w:ascii="Times New Roman" w:hAnsi="Times New Roman" w:cs="Times New Roman"/>
        </w:rPr>
      </w:pPr>
    </w:p>
    <w:p w:rsidRPr="000C09CD" w:rsidR="000C09CD" w:rsidP="000C09CD" w14:paraId="046567AC" w14:textId="77777777">
      <w:pPr>
        <w:pStyle w:val="DecHTitle"/>
      </w:pPr>
      <w:r w:rsidRPr="000C09CD">
        <w:t>FOURTH SECTION</w:t>
      </w:r>
    </w:p>
    <w:p w:rsidRPr="000C09CD" w:rsidR="000C09CD" w:rsidP="000C09CD" w14:paraId="4146F48C" w14:textId="77777777">
      <w:pPr>
        <w:pStyle w:val="JuTitle"/>
        <w:spacing w:before="600" w:after="240"/>
      </w:pPr>
      <w:r w:rsidRPr="000C09CD">
        <w:rPr>
          <w:color w:val="000000" w:themeColor="text1"/>
        </w:rPr>
        <w:t xml:space="preserve">CASE OF </w:t>
      </w:r>
      <w:r w:rsidRPr="000C09CD">
        <w:t xml:space="preserve">INTERNATIONALE HUMANITÄRE HILFSORGANISATION </w:t>
      </w:r>
      <w:r w:rsidRPr="000C09CD">
        <w:t>e.V.</w:t>
      </w:r>
      <w:r w:rsidRPr="000C09CD">
        <w:t xml:space="preserve"> v. GERMANY</w:t>
      </w:r>
    </w:p>
    <w:p w:rsidRPr="000C09CD" w:rsidR="000C09CD" w:rsidP="000C09CD" w14:paraId="5A206823" w14:textId="77777777">
      <w:pPr>
        <w:pStyle w:val="ECHRCoverTitle4"/>
      </w:pPr>
      <w:r w:rsidRPr="000C09CD">
        <w:t>(Application no. 11214/19)</w:t>
      </w:r>
    </w:p>
    <w:p w:rsidRPr="000C09CD" w:rsidR="000C09CD" w:rsidP="000C09CD" w14:paraId="2847F948" w14:textId="77777777">
      <w:pPr>
        <w:pStyle w:val="DecHCase"/>
        <w:spacing w:after="200"/>
      </w:pPr>
    </w:p>
    <w:p w:rsidRPr="000C09CD" w:rsidR="000C09CD" w:rsidP="000C09CD" w14:paraId="6C330E94" w14:textId="77777777">
      <w:pPr>
        <w:pStyle w:val="DecHCase"/>
        <w:spacing w:after="200"/>
      </w:pPr>
      <w:r w:rsidRPr="000C09CD">
        <w:t>JUDGMENT</w:t>
      </w:r>
      <w:r w:rsidRPr="000C09CD">
        <w:br/>
      </w:r>
    </w:p>
    <w:p w:rsidRPr="000C09CD" w:rsidR="000C09CD" w:rsidP="000C09CD" w14:paraId="7DC33248" w14:textId="00E6C0FD">
      <w:pPr>
        <w:pStyle w:val="JuPara"/>
        <w:pBdr>
          <w:top w:val="single" w:color="auto" w:sz="4" w:space="1"/>
          <w:left w:val="single" w:color="auto" w:sz="4" w:space="4"/>
          <w:bottom w:val="single" w:color="auto" w:sz="4" w:space="1"/>
          <w:right w:val="single" w:color="auto" w:sz="4" w:space="4"/>
        </w:pBdr>
        <w:ind w:firstLine="0"/>
        <w:rPr>
          <w:sz w:val="22"/>
          <w:szCs w:val="22"/>
        </w:rPr>
      </w:pPr>
      <w:r w:rsidRPr="000C09CD">
        <w:rPr>
          <w:sz w:val="22"/>
          <w:szCs w:val="22"/>
        </w:rPr>
        <w:t>Art 11 • Freedom of association • Proscription of applicant association, entailing its dissolution and asset confiscation, due to considerable financial donations to charitable societies linked to terrorist organisation Hamas • Fight against international terrorism through protection of concept of international understanding constituted legitimate aim of protecting rights and freedoms of others • Aims pursued by prohibition of indirect support for terrorism very weighty and States’ margin of appreciation wider • Proscription a measure of last resort following extensive assessment of potentially less restrictive measures • Duly established that applicant association, while presenting its activities under guise of humanitarian aid, knowingly supported international terrorism, directly or indirectly • Association’s conduct incompatible with core Convention values • Comprehensive and transparent balancing exercise conducted by domestic courts • Relevant and sufficient reasons • Margin of appreciation enjoyed in cases concerning incitement to violence not overstepped • Interference proportionate and “necessary in a democratic society”</w:t>
      </w:r>
    </w:p>
    <w:p w:rsidRPr="000C09CD" w:rsidR="000C09CD" w:rsidP="000C09CD" w14:paraId="446CF15D" w14:textId="77777777">
      <w:pPr>
        <w:pStyle w:val="JuPara"/>
        <w:spacing w:after="120"/>
      </w:pPr>
    </w:p>
    <w:p w:rsidRPr="000C09CD" w:rsidR="000C09CD" w:rsidP="000C09CD" w14:paraId="22744458" w14:textId="77777777">
      <w:pPr>
        <w:pStyle w:val="DecHCase"/>
        <w:spacing w:after="240"/>
      </w:pPr>
      <w:r w:rsidRPr="000C09CD">
        <w:t>STRASBOURG</w:t>
      </w:r>
    </w:p>
    <w:p w:rsidRPr="000C09CD" w:rsidR="000C09CD" w:rsidP="000C09CD" w14:paraId="616EA95A" w14:textId="77777777">
      <w:pPr>
        <w:pStyle w:val="DecHCase"/>
        <w:spacing w:after="200"/>
      </w:pPr>
      <w:r w:rsidRPr="000C09CD">
        <w:rPr>
          <w:rFonts w:ascii="Times New Roman" w:hAnsi="Times New Roman" w:cs="Times New Roman"/>
        </w:rPr>
        <w:t>10 October 2023</w:t>
      </w:r>
    </w:p>
    <w:p w:rsidRPr="000C09CD" w:rsidR="000C09CD" w:rsidP="000C09CD" w14:paraId="6D63C32D" w14:textId="77777777">
      <w:pPr>
        <w:pStyle w:val="JuPara"/>
      </w:pPr>
    </w:p>
    <w:p w:rsidRPr="000C09CD" w:rsidR="000C09CD" w:rsidP="000C09CD" w14:paraId="27437B41" w14:textId="77777777">
      <w:pPr>
        <w:pStyle w:val="jucase0"/>
        <w:ind w:firstLine="0"/>
        <w:jc w:val="center"/>
        <w:rPr>
          <w:color w:val="FF0000"/>
          <w:sz w:val="26"/>
          <w:szCs w:val="26"/>
          <w:u w:val="single"/>
        </w:rPr>
      </w:pPr>
      <w:r w:rsidRPr="000C09CD">
        <w:rPr>
          <w:color w:val="FF0000"/>
          <w:sz w:val="26"/>
          <w:szCs w:val="26"/>
          <w:u w:val="single"/>
        </w:rPr>
        <w:t>FINAL</w:t>
      </w:r>
    </w:p>
    <w:p w:rsidRPr="000C09CD" w:rsidR="000C09CD" w:rsidP="000C09CD" w14:paraId="62DC2149" w14:textId="77777777">
      <w:pPr>
        <w:pStyle w:val="jucase0"/>
        <w:ind w:firstLine="0"/>
        <w:jc w:val="center"/>
        <w:rPr>
          <w:b w:val="0"/>
          <w:bCs w:val="0"/>
          <w:color w:val="FF0000"/>
          <w:sz w:val="20"/>
          <w:szCs w:val="20"/>
          <w:u w:val="single"/>
        </w:rPr>
      </w:pPr>
    </w:p>
    <w:p w:rsidRPr="000C09CD" w:rsidR="000C09CD" w:rsidP="000C09CD" w14:paraId="31F5E1F6" w14:textId="77777777">
      <w:pPr>
        <w:pStyle w:val="jucase0"/>
        <w:ind w:firstLine="0"/>
        <w:jc w:val="center"/>
        <w:rPr>
          <w:b w:val="0"/>
          <w:color w:val="FF0000"/>
          <w:sz w:val="26"/>
          <w:szCs w:val="26"/>
        </w:rPr>
      </w:pPr>
      <w:r w:rsidRPr="000C09CD">
        <w:rPr>
          <w:b w:val="0"/>
          <w:color w:val="FF0000"/>
          <w:sz w:val="26"/>
          <w:szCs w:val="26"/>
        </w:rPr>
        <w:t>19/02/2024</w:t>
      </w:r>
    </w:p>
    <w:p w:rsidRPr="000C09CD" w:rsidR="000C09CD" w:rsidP="000C09CD" w14:paraId="40EA582F" w14:textId="77777777">
      <w:pPr>
        <w:pStyle w:val="jupara0"/>
        <w:ind w:firstLine="0"/>
        <w:jc w:val="center"/>
      </w:pPr>
    </w:p>
    <w:p w:rsidRPr="000C09CD" w:rsidR="000C09CD" w:rsidP="000C09CD" w14:paraId="7945D74A" w14:textId="77777777">
      <w:pPr>
        <w:jc w:val="center"/>
      </w:pPr>
      <w:r w:rsidRPr="000C09CD">
        <w:rPr>
          <w:i/>
          <w:iCs/>
          <w:sz w:val="22"/>
          <w:szCs w:val="22"/>
        </w:rPr>
        <w:t xml:space="preserve">This judgment has become final under Article 44 § 2 of the Convention. </w:t>
      </w:r>
      <w:r w:rsidRPr="000C09CD">
        <w:rPr>
          <w:i/>
          <w:iCs/>
          <w:sz w:val="22"/>
          <w:szCs w:val="22"/>
        </w:rPr>
        <w:br/>
        <w:t>It may be subject to editorial revision.</w:t>
      </w:r>
    </w:p>
    <w:p w:rsidRPr="000C09CD" w:rsidR="000C09CD" w:rsidP="000C09CD" w14:paraId="07613862" w14:textId="77777777">
      <w:pPr>
        <w:sectPr>
          <w:footnotePr>
            <w:numRestart w:val="eachSect"/>
          </w:footnotePr>
          <w:endnotePr>
            <w:numFmt w:val="decimal"/>
          </w:endnotePr>
          <w:pgSz w:w="11906" w:h="16838"/>
          <w:pgMar w:top="2274" w:right="2274" w:bottom="2274" w:left="2274" w:header="1701" w:footer="720" w:gutter="0"/>
          <w:pgNumType w:start="1"/>
          <w:cols w:space="720"/>
        </w:sectPr>
      </w:pPr>
    </w:p>
    <w:p w:rsidRPr="000C09CD" w:rsidR="000C09CD" w:rsidP="000C09CD" w14:paraId="37BCBCE0" w14:textId="77777777">
      <w:pPr>
        <w:pStyle w:val="JuCase"/>
      </w:pPr>
      <w:r w:rsidRPr="000C09CD">
        <w:t xml:space="preserve">In the case of Internationale </w:t>
      </w:r>
      <w:r w:rsidRPr="000C09CD">
        <w:t>Humanitäre</w:t>
      </w:r>
      <w:r w:rsidRPr="000C09CD">
        <w:t xml:space="preserve"> </w:t>
      </w:r>
      <w:r w:rsidRPr="000C09CD">
        <w:t>Hilfsorganisation</w:t>
      </w:r>
      <w:r w:rsidRPr="000C09CD">
        <w:t xml:space="preserve"> </w:t>
      </w:r>
      <w:r w:rsidRPr="000C09CD">
        <w:t>e.V.</w:t>
      </w:r>
      <w:r w:rsidRPr="000C09CD">
        <w:t xml:space="preserve"> v. Germany,</w:t>
      </w:r>
    </w:p>
    <w:p w:rsidRPr="000C09CD" w:rsidR="000C09CD" w:rsidP="000C09CD" w14:paraId="5EA6BCD5" w14:textId="77777777">
      <w:pPr>
        <w:pStyle w:val="JuPara"/>
      </w:pPr>
      <w:r w:rsidRPr="000C09CD">
        <w:t>The European Court of Human Rights (Fourth Section), sitting as a Chamber composed of:</w:t>
      </w:r>
    </w:p>
    <w:p w:rsidRPr="000C09CD" w:rsidR="000C09CD" w:rsidP="000C09CD" w14:paraId="3DA720F4" w14:textId="77777777">
      <w:pPr>
        <w:pStyle w:val="JuJudges"/>
      </w:pPr>
      <w:r w:rsidRPr="000C09CD">
        <w:tab/>
        <w:t xml:space="preserve">Gabriele </w:t>
      </w:r>
      <w:r w:rsidRPr="000C09CD">
        <w:t>Kucsko-Stadlmayer</w:t>
      </w:r>
      <w:r w:rsidRPr="000C09CD">
        <w:rPr>
          <w:iCs/>
        </w:rPr>
        <w:t xml:space="preserve">, </w:t>
      </w:r>
      <w:r w:rsidRPr="000C09CD">
        <w:rPr>
          <w:i/>
        </w:rPr>
        <w:t>President</w:t>
      </w:r>
      <w:r w:rsidRPr="000C09CD">
        <w:t>,</w:t>
      </w:r>
      <w:r w:rsidRPr="000C09CD">
        <w:br/>
      </w:r>
      <w:r w:rsidRPr="000C09CD">
        <w:tab/>
        <w:t xml:space="preserve">Tim </w:t>
      </w:r>
      <w:r w:rsidRPr="000C09CD">
        <w:t>Eicke</w:t>
      </w:r>
      <w:r w:rsidRPr="000C09CD">
        <w:t>,</w:t>
      </w:r>
      <w:r w:rsidRPr="000C09CD">
        <w:br/>
      </w:r>
      <w:r w:rsidRPr="000C09CD">
        <w:tab/>
        <w:t xml:space="preserve">Faris </w:t>
      </w:r>
      <w:r w:rsidRPr="000C09CD">
        <w:t>Vehabović</w:t>
      </w:r>
      <w:r w:rsidRPr="000C09CD">
        <w:t>,</w:t>
      </w:r>
      <w:r w:rsidRPr="000C09CD">
        <w:br/>
      </w:r>
      <w:r w:rsidRPr="000C09CD">
        <w:tab/>
        <w:t>Armen Harutyunyan,</w:t>
      </w:r>
    </w:p>
    <w:p w:rsidRPr="000C09CD" w:rsidR="000C09CD" w:rsidP="000C09CD" w14:paraId="4FA807DB" w14:textId="77777777">
      <w:pPr>
        <w:pStyle w:val="JuJudges"/>
      </w:pPr>
      <w:r w:rsidRPr="000C09CD">
        <w:tab/>
        <w:t>Anja Seibert-Fohr,</w:t>
      </w:r>
      <w:r w:rsidRPr="000C09CD">
        <w:br/>
      </w:r>
      <w:r w:rsidRPr="000C09CD">
        <w:tab/>
        <w:t>Ana Maria Guerra Martins,</w:t>
      </w:r>
      <w:r w:rsidRPr="000C09CD">
        <w:br/>
      </w:r>
      <w:r w:rsidRPr="000C09CD">
        <w:tab/>
        <w:t xml:space="preserve">Sebastian </w:t>
      </w:r>
      <w:r w:rsidRPr="000C09CD">
        <w:t>Răduleţu</w:t>
      </w:r>
      <w:r w:rsidRPr="000C09CD">
        <w:rPr>
          <w:iCs/>
        </w:rPr>
        <w:t xml:space="preserve">, </w:t>
      </w:r>
      <w:r w:rsidRPr="000C09CD">
        <w:rPr>
          <w:i/>
        </w:rPr>
        <w:t>judges</w:t>
      </w:r>
      <w:r w:rsidRPr="000C09CD">
        <w:t>,</w:t>
      </w:r>
      <w:r w:rsidRPr="000C09CD">
        <w:br/>
        <w:t xml:space="preserve">and Andrea Tamietti, </w:t>
      </w:r>
      <w:r w:rsidRPr="000C09CD">
        <w:rPr>
          <w:i/>
        </w:rPr>
        <w:t xml:space="preserve">Section </w:t>
      </w:r>
      <w:r w:rsidRPr="000C09CD">
        <w:rPr>
          <w:i/>
          <w:iCs/>
        </w:rPr>
        <w:t>Registrar</w:t>
      </w:r>
      <w:r w:rsidRPr="000C09CD">
        <w:rPr>
          <w:iCs/>
        </w:rPr>
        <w:t>,</w:t>
      </w:r>
    </w:p>
    <w:p w:rsidRPr="000C09CD" w:rsidR="000C09CD" w:rsidP="000C09CD" w14:paraId="7C4246E1" w14:textId="77777777">
      <w:pPr>
        <w:pStyle w:val="JuPara"/>
      </w:pPr>
      <w:r w:rsidRPr="000C09CD">
        <w:t>Having regard to:</w:t>
      </w:r>
    </w:p>
    <w:p w:rsidRPr="000C09CD" w:rsidR="000C09CD" w:rsidP="000C09CD" w14:paraId="15A61C47" w14:textId="77777777">
      <w:pPr>
        <w:pStyle w:val="JuPara"/>
      </w:pPr>
      <w:r w:rsidRPr="000C09CD">
        <w:t xml:space="preserve">the application (no. 11214/19) against the Federal Republic of Germany lodged with the Court under Article 34 of the Convention for the Protection of Human Rights and Fundamental Freedoms (“the Convention”) by Internationale </w:t>
      </w:r>
      <w:r w:rsidRPr="000C09CD">
        <w:t>Humanitäre</w:t>
      </w:r>
      <w:r w:rsidRPr="000C09CD">
        <w:t xml:space="preserve"> </w:t>
      </w:r>
      <w:r w:rsidRPr="000C09CD">
        <w:t>Hilfsorganisation</w:t>
      </w:r>
      <w:r w:rsidRPr="000C09CD">
        <w:t xml:space="preserve"> </w:t>
      </w:r>
      <w:r w:rsidRPr="000C09CD">
        <w:t>e.V.</w:t>
      </w:r>
      <w:r w:rsidRPr="000C09CD">
        <w:t xml:space="preserve">, formerly an association with its headquarters in Frankfurt am Main (“the applicant association”), on 22 February </w:t>
      </w:r>
      <w:r w:rsidRPr="000C09CD">
        <w:t>2019;</w:t>
      </w:r>
    </w:p>
    <w:p w:rsidRPr="000C09CD" w:rsidR="000C09CD" w:rsidP="000C09CD" w14:paraId="2097910F" w14:textId="77777777">
      <w:pPr>
        <w:pStyle w:val="JuPara"/>
      </w:pPr>
      <w:r w:rsidRPr="000C09CD">
        <w:t xml:space="preserve">the decision to give notice to the German Government (“the Government”) of the above </w:t>
      </w:r>
      <w:r w:rsidRPr="000C09CD">
        <w:t>application;</w:t>
      </w:r>
    </w:p>
    <w:p w:rsidRPr="000C09CD" w:rsidR="000C09CD" w:rsidP="000C09CD" w14:paraId="71A4A7F1" w14:textId="4F0A4409">
      <w:pPr>
        <w:pStyle w:val="JuPara"/>
      </w:pPr>
      <w:r w:rsidRPr="000C09CD">
        <w:t xml:space="preserve">the Government’s </w:t>
      </w:r>
      <w:r w:rsidRPr="000C09CD">
        <w:t>observations;</w:t>
      </w:r>
    </w:p>
    <w:p w:rsidRPr="000C09CD" w:rsidR="000C09CD" w:rsidP="000C09CD" w14:paraId="54CBAAEE" w14:textId="77777777">
      <w:pPr>
        <w:pStyle w:val="JuPara"/>
      </w:pPr>
      <w:r w:rsidRPr="000C09CD">
        <w:t>Having deliberated in private on 19 September 2023,</w:t>
      </w:r>
    </w:p>
    <w:p w:rsidRPr="000C09CD" w:rsidR="000C09CD" w:rsidP="000C09CD" w14:paraId="24695955" w14:textId="77777777">
      <w:pPr>
        <w:pStyle w:val="JuPara"/>
      </w:pPr>
      <w:r w:rsidRPr="000C09CD">
        <w:t>Delivers the following judgment, which was adopted on that date:</w:t>
      </w:r>
    </w:p>
    <w:p w:rsidRPr="000C09CD" w:rsidR="000C09CD" w:rsidP="000C09CD" w14:paraId="7894E8CB" w14:textId="77777777">
      <w:pPr>
        <w:pStyle w:val="JuHHead"/>
        <w:numPr>
          <w:ilvl w:val="0"/>
          <w:numId w:val="0"/>
        </w:numPr>
      </w:pPr>
      <w:r w:rsidRPr="000C09CD">
        <w:t>INTRODUCTION</w:t>
      </w:r>
    </w:p>
    <w:p w:rsidRPr="000C09CD" w:rsidR="000C09CD" w:rsidP="000C09CD" w14:paraId="03B3A890" w14:textId="114FD00E">
      <w:pPr>
        <w:pStyle w:val="JuPara"/>
      </w:pPr>
      <w:r w:rsidRPr="000C09CD">
        <w:fldChar w:fldCharType="begin"/>
      </w:r>
      <w:r w:rsidRPr="000C09CD">
        <w:instrText xml:space="preserve"> SEQ level0 \*arabic </w:instrText>
      </w:r>
      <w:r w:rsidRPr="000C09CD">
        <w:fldChar w:fldCharType="separate"/>
      </w:r>
      <w:r w:rsidRPr="000C09CD">
        <w:rPr>
          <w:noProof/>
        </w:rPr>
        <w:t>1</w:t>
      </w:r>
      <w:r w:rsidRPr="000C09CD">
        <w:fldChar w:fldCharType="end"/>
      </w:r>
      <w:r w:rsidRPr="000C09CD">
        <w:t>.  The application concerns the compatibility with Article 11 of the Convention of the proscription of the applicant association, entailing its dissolution and the seizure of its assets, for pursuing aims incompatible with the concept of international understanding between peoples (</w:t>
      </w:r>
      <w:r w:rsidRPr="000C09CD">
        <w:rPr>
          <w:i/>
          <w:iCs/>
        </w:rPr>
        <w:t>Völkerverständigung</w:t>
      </w:r>
      <w:r w:rsidRPr="000C09CD">
        <w:t xml:space="preserve"> – hereinafter “international understanding”). The proscription was based on a finding that a charitable society to which the applicant association had made nearly half of its financial donations was associated with Hamas, a terrorist organisation.</w:t>
      </w:r>
    </w:p>
    <w:p w:rsidRPr="000C09CD" w:rsidR="000C09CD" w:rsidP="000C09CD" w14:paraId="1E5656AF" w14:textId="77777777">
      <w:pPr>
        <w:pStyle w:val="JuHHead"/>
        <w:numPr>
          <w:ilvl w:val="0"/>
          <w:numId w:val="36"/>
        </w:numPr>
      </w:pPr>
      <w:r w:rsidRPr="000C09CD">
        <w:t>THE FACTS</w:t>
      </w:r>
    </w:p>
    <w:p w:rsidRPr="000C09CD" w:rsidR="000C09CD" w:rsidP="000C09CD" w14:paraId="71483E27" w14:textId="72667149">
      <w:pPr>
        <w:pStyle w:val="JuPara"/>
      </w:pPr>
      <w:r w:rsidRPr="000C09CD">
        <w:fldChar w:fldCharType="begin"/>
      </w:r>
      <w:r w:rsidRPr="000C09CD">
        <w:instrText xml:space="preserve"> SEQ level0 \*arabic </w:instrText>
      </w:r>
      <w:r w:rsidRPr="000C09CD">
        <w:fldChar w:fldCharType="separate"/>
      </w:r>
      <w:r w:rsidRPr="000C09CD">
        <w:rPr>
          <w:noProof/>
        </w:rPr>
        <w:t>2</w:t>
      </w:r>
      <w:r w:rsidRPr="000C09CD">
        <w:fldChar w:fldCharType="end"/>
      </w:r>
      <w:r w:rsidRPr="000C09CD">
        <w:t>.  The applicant association was a non-profit association with its headquarters in Frankfurt am Main. Founded in 1997 and now proscribed and dissolved, it was active until June 2010. The applicant association was represented by Mr R. Marx, a lawyer practising in Frankfurt am Main.</w:t>
      </w:r>
    </w:p>
    <w:p w:rsidRPr="000C09CD" w:rsidR="000C09CD" w:rsidP="000C09CD" w14:paraId="7B85626A" w14:textId="30C4A376">
      <w:pPr>
        <w:pStyle w:val="JuPara"/>
      </w:pPr>
      <w:r w:rsidRPr="000C09CD">
        <w:fldChar w:fldCharType="begin"/>
      </w:r>
      <w:r w:rsidRPr="000C09CD">
        <w:instrText xml:space="preserve"> SEQ level0 \*arabic </w:instrText>
      </w:r>
      <w:r w:rsidRPr="000C09CD">
        <w:fldChar w:fldCharType="separate"/>
      </w:r>
      <w:r w:rsidRPr="000C09CD">
        <w:rPr>
          <w:noProof/>
        </w:rPr>
        <w:t>3</w:t>
      </w:r>
      <w:r w:rsidRPr="000C09CD">
        <w:fldChar w:fldCharType="end"/>
      </w:r>
      <w:r w:rsidRPr="000C09CD">
        <w:t>.  The Government were represented by one of their Agents, Ms N. Wenzel, of the Federal Ministry of Justice.</w:t>
      </w:r>
    </w:p>
    <w:p w:rsidRPr="000C09CD" w:rsidR="000C09CD" w:rsidP="000C09CD" w14:paraId="471D6D46" w14:textId="1A35F033">
      <w:pPr>
        <w:pStyle w:val="JuPara"/>
      </w:pPr>
      <w:r w:rsidRPr="000C09CD">
        <w:fldChar w:fldCharType="begin"/>
      </w:r>
      <w:r w:rsidRPr="000C09CD">
        <w:instrText xml:space="preserve"> SEQ level0 \*arabic </w:instrText>
      </w:r>
      <w:r w:rsidRPr="000C09CD">
        <w:fldChar w:fldCharType="separate"/>
      </w:r>
      <w:r w:rsidRPr="000C09CD">
        <w:rPr>
          <w:noProof/>
        </w:rPr>
        <w:t>4</w:t>
      </w:r>
      <w:r w:rsidRPr="000C09CD">
        <w:fldChar w:fldCharType="end"/>
      </w:r>
      <w:r w:rsidRPr="000C09CD">
        <w:t>.  The facts of the case may be summarised as follows.</w:t>
      </w:r>
    </w:p>
    <w:p w:rsidRPr="000C09CD" w:rsidR="000C09CD" w:rsidP="000C09CD" w14:paraId="4EF5FE81" w14:textId="77777777">
      <w:pPr>
        <w:pStyle w:val="JuHIRoman"/>
        <w:numPr>
          <w:ilvl w:val="1"/>
          <w:numId w:val="36"/>
        </w:numPr>
      </w:pPr>
      <w:r w:rsidRPr="000C09CD">
        <w:t>BACKGROUND TO THE CASE</w:t>
      </w:r>
    </w:p>
    <w:p w:rsidRPr="000C09CD" w:rsidR="000C09CD" w:rsidP="000C09CD" w14:paraId="4E31802A" w14:textId="6C5DA44D">
      <w:pPr>
        <w:pStyle w:val="JuHA"/>
        <w:numPr>
          <w:ilvl w:val="2"/>
          <w:numId w:val="36"/>
        </w:numPr>
      </w:pPr>
      <w:r w:rsidRPr="000C09CD">
        <w:t>The applicant association’s statutory object and leading members</w:t>
      </w:r>
    </w:p>
    <w:p w:rsidRPr="000C09CD" w:rsidR="000C09CD" w:rsidP="000C09CD" w14:paraId="5C0EBB46" w14:textId="2B1935D6">
      <w:pPr>
        <w:pStyle w:val="JuPara"/>
      </w:pPr>
      <w:r>
        <w:fldChar w:fldCharType="begin"/>
      </w:r>
      <w:r>
        <w:instrText xml:space="preserve"> SEQ level0 \*arabic \* MERGEFORMAT </w:instrText>
      </w:r>
      <w:r>
        <w:fldChar w:fldCharType="separate"/>
      </w:r>
      <w:bookmarkStart w:name="paragraph00005" w:id="0"/>
      <w:r w:rsidRPr="000C09CD">
        <w:rPr>
          <w:noProof/>
        </w:rPr>
        <w:t>5</w:t>
      </w:r>
      <w:bookmarkEnd w:id="0"/>
      <w:r>
        <w:fldChar w:fldCharType="end"/>
      </w:r>
      <w:r w:rsidRPr="000C09CD">
        <w:t>.  The applicant was a non-profit association. Its registered name means “International Association for Humanitarian Aid”. According to its statutes, the applicant association’s object was to “provide appropriate humanitarian aid worldwide in cases of natural disasters, wars and other catastrophes”.</w:t>
      </w:r>
    </w:p>
    <w:p w:rsidRPr="000C09CD" w:rsidR="000C09CD" w:rsidP="000C09CD" w14:paraId="3C335B79" w14:textId="230004C7">
      <w:pPr>
        <w:pStyle w:val="JuPara"/>
      </w:pPr>
      <w:r>
        <w:fldChar w:fldCharType="begin"/>
      </w:r>
      <w:r>
        <w:instrText xml:space="preserve"> SEQ level0 \*arabic \* MERGEFORMAT </w:instrText>
      </w:r>
      <w:r>
        <w:fldChar w:fldCharType="separate"/>
      </w:r>
      <w:bookmarkStart w:name="paragraph00006" w:id="1"/>
      <w:r w:rsidRPr="000C09CD">
        <w:rPr>
          <w:noProof/>
        </w:rPr>
        <w:t>6</w:t>
      </w:r>
      <w:bookmarkEnd w:id="1"/>
      <w:r>
        <w:fldChar w:fldCharType="end"/>
      </w:r>
      <w:r w:rsidRPr="000C09CD">
        <w:t xml:space="preserve">.  All the members of the applicant association’s board of trustees were also members of staff of the largest Islamic organisation in Germany, </w:t>
      </w:r>
      <w:r w:rsidRPr="000C09CD">
        <w:t>Millî</w:t>
      </w:r>
      <w:r w:rsidRPr="000C09CD">
        <w:t xml:space="preserve"> </w:t>
      </w:r>
      <w:r w:rsidRPr="000C09CD">
        <w:t>Görüş</w:t>
      </w:r>
      <w:r w:rsidRPr="000C09CD">
        <w:t xml:space="preserve"> </w:t>
      </w:r>
      <w:r w:rsidRPr="000C09CD">
        <w:t>e.V.</w:t>
      </w:r>
    </w:p>
    <w:p w:rsidRPr="000C09CD" w:rsidR="000C09CD" w:rsidP="000C09CD" w14:paraId="19491224" w14:textId="45F55959">
      <w:pPr>
        <w:pStyle w:val="JuHA"/>
        <w:numPr>
          <w:ilvl w:val="2"/>
          <w:numId w:val="36"/>
        </w:numPr>
      </w:pPr>
      <w:r w:rsidRPr="000C09CD">
        <w:t xml:space="preserve">The applicant association’s funding activities as established by the national courts and undisputed before the </w:t>
      </w:r>
      <w:r w:rsidRPr="000C09CD">
        <w:t>Court</w:t>
      </w:r>
    </w:p>
    <w:p w:rsidRPr="000C09CD" w:rsidR="000C09CD" w:rsidP="000C09CD" w14:paraId="2349B91C" w14:textId="271AE2B6">
      <w:pPr>
        <w:pStyle w:val="JuPara"/>
        <w:tabs>
          <w:tab w:val="left" w:pos="2772"/>
        </w:tabs>
      </w:pPr>
      <w:r>
        <w:fldChar w:fldCharType="begin"/>
      </w:r>
      <w:r>
        <w:instrText xml:space="preserve"> SEQ level0 \*arabic \* MERGEFORMAT </w:instrText>
      </w:r>
      <w:r>
        <w:fldChar w:fldCharType="separate"/>
      </w:r>
      <w:bookmarkStart w:name="paragraph00007" w:id="2"/>
      <w:r w:rsidRPr="000C09CD">
        <w:rPr>
          <w:noProof/>
        </w:rPr>
        <w:t>7</w:t>
      </w:r>
      <w:bookmarkEnd w:id="2"/>
      <w:r>
        <w:fldChar w:fldCharType="end"/>
      </w:r>
      <w:r w:rsidRPr="000C09CD">
        <w:t>.  Until 2010 the applicant association collected donations in Germany and channelled them to six organisations in predominantly Muslim countries.</w:t>
      </w:r>
    </w:p>
    <w:p w:rsidRPr="000C09CD" w:rsidR="000C09CD" w:rsidP="000C09CD" w14:paraId="5E4F2C54" w14:textId="18658F11">
      <w:pPr>
        <w:pStyle w:val="JuPara"/>
        <w:tabs>
          <w:tab w:val="left" w:pos="2772"/>
        </w:tabs>
      </w:pPr>
      <w:r>
        <w:fldChar w:fldCharType="begin"/>
      </w:r>
      <w:r>
        <w:instrText xml:space="preserve"> SEQ level0 \*arabic \* MERGEFORMAT </w:instrText>
      </w:r>
      <w:r>
        <w:fldChar w:fldCharType="separate"/>
      </w:r>
      <w:r w:rsidRPr="000C09CD">
        <w:rPr>
          <w:noProof/>
        </w:rPr>
        <w:t>8</w:t>
      </w:r>
      <w:r w:rsidRPr="000C09CD">
        <w:rPr>
          <w:noProof/>
        </w:rPr>
        <w:fldChar w:fldCharType="end"/>
      </w:r>
      <w:r w:rsidRPr="000C09CD">
        <w:t>.  Among the organisations supported by the applicant association were two charitable organisations known as “social societies”, which carried out social projects for the benefit of the Palestinian population, particularly in Gaza and the West Bank.</w:t>
      </w:r>
    </w:p>
    <w:p w:rsidRPr="000C09CD" w:rsidR="000C09CD" w:rsidP="000C09CD" w14:paraId="1E648575" w14:textId="1B9CDF0A">
      <w:pPr>
        <w:pStyle w:val="JuPara"/>
        <w:tabs>
          <w:tab w:val="left" w:pos="2772"/>
        </w:tabs>
      </w:pPr>
      <w:r>
        <w:fldChar w:fldCharType="begin"/>
      </w:r>
      <w:r>
        <w:instrText xml:space="preserve"> SEQ level0 \*arabic \* MERGEFORMAT </w:instrText>
      </w:r>
      <w:r>
        <w:fldChar w:fldCharType="separate"/>
      </w:r>
      <w:r w:rsidRPr="000C09CD">
        <w:rPr>
          <w:noProof/>
        </w:rPr>
        <w:t>9</w:t>
      </w:r>
      <w:r w:rsidRPr="000C09CD">
        <w:rPr>
          <w:noProof/>
        </w:rPr>
        <w:fldChar w:fldCharType="end"/>
      </w:r>
      <w:r w:rsidRPr="000C09CD">
        <w:t>.  </w:t>
      </w:r>
      <w:r w:rsidRPr="000C09CD">
        <w:t>In particular, one out of the two</w:t>
      </w:r>
      <w:r w:rsidRPr="000C09CD">
        <w:t xml:space="preserve"> “social societies” financially supported by the applicant association was the “Islamic Society” (Arabic </w:t>
      </w:r>
      <w:r w:rsidRPr="000C09CD">
        <w:t>اليميه</w:t>
      </w:r>
      <w:r w:rsidRPr="000C09CD">
        <w:t xml:space="preserve"> </w:t>
      </w:r>
      <w:r w:rsidRPr="000C09CD">
        <w:t>الاسلامية</w:t>
      </w:r>
      <w:r w:rsidRPr="000C09CD">
        <w:t xml:space="preserve"> – Al-</w:t>
      </w:r>
      <w:r w:rsidRPr="000C09CD">
        <w:t>Yamiya</w:t>
      </w:r>
      <w:r w:rsidRPr="000C09CD">
        <w:t xml:space="preserve"> al-</w:t>
      </w:r>
      <w:r w:rsidRPr="000C09CD">
        <w:t>Islamiya</w:t>
      </w:r>
      <w:r w:rsidRPr="000C09CD">
        <w:t>), an organisation founded in 1979 in the city of Jabaliya in Gaza which carried out, in particular, projects in Gaza benefiting orphaned children of so-called “martyrs” – people who had died or been wounded in combat against Israel.</w:t>
      </w:r>
    </w:p>
    <w:p w:rsidRPr="000C09CD" w:rsidR="000C09CD" w:rsidP="000C09CD" w14:paraId="1160A569" w14:textId="7551A9BD">
      <w:pPr>
        <w:pStyle w:val="JuPara"/>
        <w:tabs>
          <w:tab w:val="left" w:pos="2772"/>
        </w:tabs>
      </w:pPr>
      <w:r>
        <w:fldChar w:fldCharType="begin"/>
      </w:r>
      <w:r>
        <w:instrText xml:space="preserve"> SEQ level0 \*arabic \* MERGEFORMAT </w:instrText>
      </w:r>
      <w:r>
        <w:fldChar w:fldCharType="separate"/>
      </w:r>
      <w:bookmarkStart w:name="paragraph00010" w:id="3"/>
      <w:r w:rsidRPr="000C09CD">
        <w:rPr>
          <w:noProof/>
        </w:rPr>
        <w:t>10</w:t>
      </w:r>
      <w:bookmarkEnd w:id="3"/>
      <w:r>
        <w:fldChar w:fldCharType="end"/>
      </w:r>
      <w:r w:rsidRPr="000C09CD">
        <w:t>.  In spring 2010 I.J., until then the chairman of the Jabaliya office of the Islamic Society, became mayor of Jabaliya, representing Hamas. In the same year, the applicant association terminated its financial support for the Islamic Society and started supporting the Salam Society for Relief and Development (hereinafter “Salam”), which was also based in Gaza.</w:t>
      </w:r>
    </w:p>
    <w:p w:rsidRPr="000C09CD" w:rsidR="000C09CD" w:rsidP="000C09CD" w14:paraId="43B660B2" w14:textId="4EC99240">
      <w:pPr>
        <w:pStyle w:val="JuPara"/>
        <w:tabs>
          <w:tab w:val="left" w:pos="2772"/>
        </w:tabs>
      </w:pPr>
      <w:r>
        <w:fldChar w:fldCharType="begin"/>
      </w:r>
      <w:r>
        <w:instrText xml:space="preserve"> SEQ level0 \*arabic \* MERGEFORMAT </w:instrText>
      </w:r>
      <w:r>
        <w:fldChar w:fldCharType="separate"/>
      </w:r>
      <w:bookmarkStart w:name="paragraph00011" w:id="4"/>
      <w:r w:rsidRPr="000C09CD">
        <w:rPr>
          <w:noProof/>
        </w:rPr>
        <w:t>11</w:t>
      </w:r>
      <w:bookmarkEnd w:id="4"/>
      <w:r>
        <w:fldChar w:fldCharType="end"/>
      </w:r>
      <w:r w:rsidRPr="000C09CD">
        <w:t xml:space="preserve">.  Salam had been established by a former board member of the Jabaliya office of the Islamic Society, Y.S., who later became the chairman of Salam’s supervisory board. Salam employed several people who had previously worked for the Islamic </w:t>
      </w:r>
      <w:r w:rsidRPr="000C09CD">
        <w:t>Society</w:t>
      </w:r>
      <w:r w:rsidRPr="000C09CD">
        <w:t xml:space="preserve"> and it supported the same projects.</w:t>
      </w:r>
    </w:p>
    <w:p w:rsidRPr="000C09CD" w:rsidR="000C09CD" w:rsidP="000C09CD" w14:paraId="46A8654E" w14:textId="62167282">
      <w:pPr>
        <w:pStyle w:val="JuPara"/>
        <w:tabs>
          <w:tab w:val="left" w:pos="2772"/>
        </w:tabs>
      </w:pPr>
      <w:r>
        <w:fldChar w:fldCharType="begin"/>
      </w:r>
      <w:r>
        <w:instrText xml:space="preserve"> SEQ level0 \*arabic \* MERGEFORMAT </w:instrText>
      </w:r>
      <w:r>
        <w:fldChar w:fldCharType="separate"/>
      </w:r>
      <w:bookmarkStart w:name="paragraph00012" w:id="5"/>
      <w:r w:rsidRPr="000C09CD">
        <w:rPr>
          <w:noProof/>
        </w:rPr>
        <w:t>12</w:t>
      </w:r>
      <w:bookmarkEnd w:id="5"/>
      <w:r>
        <w:fldChar w:fldCharType="end"/>
      </w:r>
      <w:r w:rsidRPr="000C09CD">
        <w:t>.  From 2006 to 2010 a substantial proportion of the applicant association’s overall financial donations were made to the Islamic Society.</w:t>
      </w:r>
    </w:p>
    <w:p w:rsidRPr="000C09CD" w:rsidR="000C09CD" w:rsidP="000C09CD" w14:paraId="4543369B" w14:textId="696BDBDC">
      <w:pPr>
        <w:pStyle w:val="JuHIRoman"/>
        <w:numPr>
          <w:ilvl w:val="1"/>
          <w:numId w:val="36"/>
        </w:numPr>
      </w:pPr>
      <w:r w:rsidRPr="000C09CD">
        <w:t>THE APPLICANT ASSOCIATION’S PROSCRIPTION BY A DECISION OF THE GERMAN FEDERAL MINISTRY OF THE INTERIOR OF 23 JUNE 2010</w:t>
      </w:r>
    </w:p>
    <w:bookmarkStart w:name="paragraph00013" w:id="6"/>
    <w:p w:rsidRPr="000C09CD" w:rsidR="000C09CD" w:rsidP="000C09CD" w14:paraId="3E92A6E9" w14:textId="14B9D8ED">
      <w:pPr>
        <w:pStyle w:val="JuPara"/>
      </w:pPr>
      <w:r w:rsidRPr="000C09CD">
        <w:fldChar w:fldCharType="begin"/>
      </w:r>
      <w:r w:rsidRPr="000C09CD">
        <w:instrText xml:space="preserve"> SEQ level0 \*arabic \* MERGEFORMAT </w:instrText>
      </w:r>
      <w:r w:rsidRPr="000C09CD">
        <w:fldChar w:fldCharType="separate"/>
      </w:r>
      <w:r w:rsidRPr="000C09CD">
        <w:rPr>
          <w:noProof/>
        </w:rPr>
        <w:t>13</w:t>
      </w:r>
      <w:r w:rsidRPr="000C09CD">
        <w:fldChar w:fldCharType="end"/>
      </w:r>
      <w:bookmarkEnd w:id="6"/>
      <w:r w:rsidRPr="000C09CD">
        <w:t>.  On 23 June 2010 the German Federal Ministry of the Interior (hereinafter “the Ministry”) issued a decision by which it declared the applicant association to be acting against the concept of international understanding between peoples (</w:t>
      </w:r>
      <w:r w:rsidRPr="000C09CD">
        <w:rPr>
          <w:i/>
          <w:iCs/>
        </w:rPr>
        <w:t>Völkerverständigung</w:t>
      </w:r>
      <w:r w:rsidRPr="000C09CD">
        <w:t xml:space="preserve">) and proscribed it, which had the effect of causing its dissolution under section 3(1), first sentence, of the Law on Associations (see paragraph </w:t>
      </w:r>
      <w:r w:rsidRPr="000C09CD">
        <w:fldChar w:fldCharType="begin"/>
      </w:r>
      <w:r w:rsidRPr="000C09CD">
        <w:instrText xml:space="preserve"> REF paragraph00029 \h  \* CharFormat  \* MERGEFORMAT </w:instrText>
      </w:r>
      <w:r w:rsidRPr="000C09CD">
        <w:fldChar w:fldCharType="separate"/>
      </w:r>
      <w:r w:rsidRPr="000C09CD">
        <w:t>29</w:t>
      </w:r>
      <w:r w:rsidRPr="000C09CD">
        <w:fldChar w:fldCharType="end"/>
      </w:r>
      <w:r w:rsidRPr="000C09CD">
        <w:t xml:space="preserve"> below). It further ordered the confiscation of the applicant association’s assets.</w:t>
      </w:r>
    </w:p>
    <w:p w:rsidRPr="000C09CD" w:rsidR="000C09CD" w:rsidP="000C09CD" w14:paraId="1B1A00E1" w14:textId="486112FC">
      <w:pPr>
        <w:pStyle w:val="JuPara"/>
      </w:pPr>
      <w:r>
        <w:fldChar w:fldCharType="begin"/>
      </w:r>
      <w:r>
        <w:instrText xml:space="preserve"> SEQ level0 \*arabic \* MERGEFORMAT </w:instrText>
      </w:r>
      <w:r>
        <w:fldChar w:fldCharType="separate"/>
      </w:r>
      <w:r w:rsidRPr="000C09CD">
        <w:rPr>
          <w:noProof/>
        </w:rPr>
        <w:t>14</w:t>
      </w:r>
      <w:r w:rsidRPr="000C09CD">
        <w:rPr>
          <w:noProof/>
        </w:rPr>
        <w:fldChar w:fldCharType="end"/>
      </w:r>
      <w:r w:rsidRPr="000C09CD">
        <w:t>.  Basing its decision on the applicant association’s long-term and substantial financial support for “social societies” (in particular, the Islamic Society) which were part of the terrorist organisation Hamas, the Ministry considered that the applicant association was indirectly contributing to the violence brought by Hamas into the relationship between the Palestinian and the Israeli people.</w:t>
      </w:r>
    </w:p>
    <w:p w:rsidRPr="000C09CD" w:rsidR="000C09CD" w:rsidP="000C09CD" w14:paraId="4FA06F1C" w14:textId="6D2848CE">
      <w:pPr>
        <w:pStyle w:val="JuPara"/>
      </w:pPr>
      <w:r>
        <w:fldChar w:fldCharType="begin"/>
      </w:r>
      <w:r>
        <w:instrText xml:space="preserve"> SEQ level0 \*arabic \* MERGEFORMAT </w:instrText>
      </w:r>
      <w:r>
        <w:fldChar w:fldCharType="separate"/>
      </w:r>
      <w:r w:rsidRPr="000C09CD">
        <w:rPr>
          <w:noProof/>
        </w:rPr>
        <w:t>15</w:t>
      </w:r>
      <w:r w:rsidRPr="000C09CD">
        <w:rPr>
          <w:noProof/>
        </w:rPr>
        <w:fldChar w:fldCharType="end"/>
      </w:r>
      <w:r w:rsidRPr="000C09CD">
        <w:t xml:space="preserve">.  The Ministry found it established, </w:t>
      </w:r>
      <w:r w:rsidRPr="000C09CD">
        <w:t>on the basis of</w:t>
      </w:r>
      <w:r w:rsidRPr="000C09CD">
        <w:t xml:space="preserve"> Hamas’s original Charter and its actions, that Hamas denied the right of the State of Israel to exist, called for its destruction in a proactively aggressive manner and engaged in terrorist attacks. The political, </w:t>
      </w:r>
      <w:r w:rsidRPr="000C09CD">
        <w:t>military</w:t>
      </w:r>
      <w:r w:rsidRPr="000C09CD">
        <w:t xml:space="preserve"> and social branches of Hamas were equal, intertwined parts of a single organisation; in particular, the social support for families of so-called “martyrs” served the purpose of encouraging the violent fight against Israel.</w:t>
      </w:r>
    </w:p>
    <w:p w:rsidRPr="000C09CD" w:rsidR="000C09CD" w:rsidP="000C09CD" w14:paraId="58D367ED" w14:textId="09D36671">
      <w:pPr>
        <w:pStyle w:val="JuPara"/>
      </w:pPr>
      <w:r>
        <w:fldChar w:fldCharType="begin"/>
      </w:r>
      <w:r>
        <w:instrText xml:space="preserve"> SEQ level0 \*arabic \* MERGEFORMAT </w:instrText>
      </w:r>
      <w:r>
        <w:fldChar w:fldCharType="separate"/>
      </w:r>
      <w:r w:rsidRPr="000C09CD">
        <w:rPr>
          <w:noProof/>
        </w:rPr>
        <w:t>16</w:t>
      </w:r>
      <w:r w:rsidRPr="000C09CD">
        <w:rPr>
          <w:noProof/>
        </w:rPr>
        <w:fldChar w:fldCharType="end"/>
      </w:r>
      <w:r w:rsidRPr="000C09CD">
        <w:t xml:space="preserve">.  Furthermore, the Ministry considered that these circumstances were known to the members of the applicant association’s board of trustees, who were all leading members of the largest Islamic organisation in Germany (see paragraph </w:t>
      </w:r>
      <w:r w:rsidRPr="000C09CD">
        <w:fldChar w:fldCharType="begin"/>
      </w:r>
      <w:r w:rsidRPr="000C09CD">
        <w:instrText xml:space="preserve"> REF paragraph00006 \h  \* CharFormat  \* MERGEFORMAT </w:instrText>
      </w:r>
      <w:r w:rsidRPr="000C09CD">
        <w:fldChar w:fldCharType="separate"/>
      </w:r>
      <w:r w:rsidRPr="000C09CD">
        <w:t>6</w:t>
      </w:r>
      <w:r w:rsidRPr="000C09CD">
        <w:fldChar w:fldCharType="end"/>
      </w:r>
      <w:r w:rsidRPr="000C09CD">
        <w:t> above) and were therefore familiar with the structures and personalities of political Islamism, as well as with the Federal Administrative Court’s judgment of 3 December 2004 on “social societies” (see paragraphs </w:t>
      </w:r>
      <w:r w:rsidRPr="000C09CD">
        <w:fldChar w:fldCharType="begin"/>
      </w:r>
      <w:r w:rsidRPr="000C09CD">
        <w:instrText xml:space="preserve"> REF paragraph00009 \h  \* CharFormat  \* MERGEFORMAT </w:instrText>
      </w:r>
      <w:r w:rsidRPr="000C09CD">
        <w:fldChar w:fldCharType="separate"/>
      </w:r>
      <w:r w:rsidRPr="000C09CD">
        <w:t>35</w:t>
      </w:r>
      <w:r w:rsidRPr="000C09CD">
        <w:fldChar w:fldCharType="end"/>
      </w:r>
      <w:r w:rsidRPr="000C09CD">
        <w:t>-</w:t>
      </w:r>
      <w:r w:rsidRPr="000C09CD">
        <w:fldChar w:fldCharType="begin"/>
      </w:r>
      <w:r w:rsidRPr="000C09CD">
        <w:instrText xml:space="preserve"> REF paragraph00036 \h  \* CharFormat  \* MERGEFORMAT </w:instrText>
      </w:r>
      <w:r w:rsidRPr="000C09CD">
        <w:fldChar w:fldCharType="separate"/>
      </w:r>
      <w:r w:rsidRPr="000C09CD">
        <w:t>36</w:t>
      </w:r>
      <w:r w:rsidRPr="000C09CD">
        <w:fldChar w:fldCharType="end"/>
      </w:r>
      <w:r w:rsidRPr="000C09CD">
        <w:t xml:space="preserve"> below); they also identified with Hamas.</w:t>
      </w:r>
    </w:p>
    <w:p w:rsidRPr="000C09CD" w:rsidR="000C09CD" w:rsidP="000C09CD" w14:paraId="4146D85F" w14:textId="3DAD230D">
      <w:pPr>
        <w:pStyle w:val="JuPara"/>
      </w:pPr>
      <w:r>
        <w:fldChar w:fldCharType="begin"/>
      </w:r>
      <w:r>
        <w:instrText xml:space="preserve"> SEQ level0 \*arabic \* MERGEFORMAT </w:instrText>
      </w:r>
      <w:r>
        <w:fldChar w:fldCharType="separate"/>
      </w:r>
      <w:bookmarkStart w:name="paragraph00017" w:id="7"/>
      <w:r w:rsidRPr="000C09CD">
        <w:rPr>
          <w:noProof/>
        </w:rPr>
        <w:t>17</w:t>
      </w:r>
      <w:bookmarkEnd w:id="7"/>
      <w:r>
        <w:fldChar w:fldCharType="end"/>
      </w:r>
      <w:r w:rsidRPr="000C09CD">
        <w:t xml:space="preserve">.  Lastly, </w:t>
      </w:r>
      <w:r w:rsidRPr="000C09CD">
        <w:t>with regard to</w:t>
      </w:r>
      <w:r w:rsidRPr="000C09CD">
        <w:t xml:space="preserve"> the proportionality of the proscription, the Ministry considered that no less intrusive measures were available, as the applicant association’s very object and purpose was to collect and channel donations for organisations directly and indirectly connected with Hamas.</w:t>
      </w:r>
    </w:p>
    <w:p w:rsidRPr="000C09CD" w:rsidR="000C09CD" w:rsidP="000C09CD" w14:paraId="55E79638" w14:textId="77777777">
      <w:pPr>
        <w:pStyle w:val="JuHIRoman"/>
        <w:numPr>
          <w:ilvl w:val="1"/>
          <w:numId w:val="36"/>
        </w:numPr>
      </w:pPr>
      <w:r w:rsidRPr="000C09CD">
        <w:t>THE PROCEEDINGS BROUGHT BY THE APPLICANT ASSOCIATION</w:t>
      </w:r>
    </w:p>
    <w:p w:rsidRPr="000C09CD" w:rsidR="000C09CD" w:rsidP="000C09CD" w14:paraId="307AB6CA" w14:textId="77777777">
      <w:pPr>
        <w:pStyle w:val="JuHA"/>
        <w:numPr>
          <w:ilvl w:val="2"/>
          <w:numId w:val="36"/>
        </w:numPr>
      </w:pPr>
      <w:r w:rsidRPr="000C09CD">
        <w:t>Proceedings before the Federal Administrative Court</w:t>
      </w:r>
    </w:p>
    <w:p w:rsidRPr="000C09CD" w:rsidR="000C09CD" w:rsidP="000C09CD" w14:paraId="6EC3320E" w14:textId="0119BE0D">
      <w:pPr>
        <w:pStyle w:val="JuPara"/>
      </w:pPr>
      <w:r>
        <w:fldChar w:fldCharType="begin"/>
      </w:r>
      <w:r>
        <w:instrText xml:space="preserve"> SEQ level0 \*arabic \* MERGEFORMAT </w:instrText>
      </w:r>
      <w:r>
        <w:fldChar w:fldCharType="separate"/>
      </w:r>
      <w:r w:rsidRPr="000C09CD">
        <w:rPr>
          <w:noProof/>
        </w:rPr>
        <w:t>18</w:t>
      </w:r>
      <w:r w:rsidRPr="000C09CD">
        <w:rPr>
          <w:noProof/>
        </w:rPr>
        <w:fldChar w:fldCharType="end"/>
      </w:r>
      <w:r w:rsidRPr="000C09CD">
        <w:t>.  On 27 November 2010 the applicant association, represented by counsel, lodged an application against the proscription order with the Federal Administrative Court (</w:t>
      </w:r>
      <w:r w:rsidRPr="000C09CD">
        <w:rPr>
          <w:i/>
          <w:iCs/>
        </w:rPr>
        <w:t>Bundesverwaltungsgericht</w:t>
      </w:r>
      <w:r w:rsidRPr="000C09CD">
        <w:t xml:space="preserve">). The applicant association </w:t>
      </w:r>
      <w:r w:rsidRPr="000C09CD">
        <w:t>alleged</w:t>
      </w:r>
      <w:r w:rsidRPr="000C09CD">
        <w:t>, in particular, that</w:t>
      </w:r>
      <w:r w:rsidRPr="000C09CD">
        <w:t xml:space="preserve"> the proscription violated its right to freedom of association under Article 9 of the Basic Law (see paragraph </w:t>
      </w:r>
      <w:r w:rsidRPr="000C09CD">
        <w:fldChar w:fldCharType="begin"/>
      </w:r>
      <w:r w:rsidRPr="000C09CD">
        <w:instrText xml:space="preserve"> REF paragraph00032 \h  \* CharFormat  \* MERGEFORMAT </w:instrText>
      </w:r>
      <w:r w:rsidRPr="000C09CD">
        <w:fldChar w:fldCharType="separate"/>
      </w:r>
      <w:r w:rsidRPr="000C09CD">
        <w:t>32</w:t>
      </w:r>
      <w:r w:rsidRPr="000C09CD">
        <w:fldChar w:fldCharType="end"/>
      </w:r>
      <w:r w:rsidRPr="000C09CD">
        <w:t xml:space="preserve"> below). It denied that it had supported or identified with Hamas.</w:t>
      </w:r>
    </w:p>
    <w:p w:rsidRPr="000C09CD" w:rsidR="000C09CD" w:rsidP="000C09CD" w14:paraId="516438A6" w14:textId="3D4FF1C8">
      <w:pPr>
        <w:pStyle w:val="JuPara"/>
      </w:pPr>
      <w:r>
        <w:fldChar w:fldCharType="begin"/>
      </w:r>
      <w:r>
        <w:instrText xml:space="preserve"> SEQ level0 \*arabic \* MERGEFORMAT </w:instrText>
      </w:r>
      <w:r>
        <w:fldChar w:fldCharType="separate"/>
      </w:r>
      <w:bookmarkStart w:name="paragraph00020" w:id="8"/>
      <w:r w:rsidRPr="000C09CD">
        <w:rPr>
          <w:noProof/>
        </w:rPr>
        <w:t>19</w:t>
      </w:r>
      <w:bookmarkEnd w:id="8"/>
      <w:r>
        <w:fldChar w:fldCharType="end"/>
      </w:r>
      <w:r w:rsidRPr="000C09CD">
        <w:t xml:space="preserve">.  On 25 May 2011 the Federal Administrative Court held an oral hearing, following which it made a proposal for a friendly settlement, subject to the approval of both parties (rule 106, second sentence of the Administrative Court Rules – see paragraph </w:t>
      </w:r>
      <w:r w:rsidRPr="000C09CD">
        <w:fldChar w:fldCharType="begin"/>
      </w:r>
      <w:r w:rsidRPr="000C09CD">
        <w:instrText xml:space="preserve"> REF paragraph00034 \h  \* CharFormat </w:instrText>
      </w:r>
      <w:r w:rsidRPr="000C09CD">
        <w:fldChar w:fldCharType="separate"/>
      </w:r>
      <w:r w:rsidRPr="000C09CD">
        <w:t>34</w:t>
      </w:r>
      <w:r w:rsidRPr="000C09CD">
        <w:fldChar w:fldCharType="end"/>
      </w:r>
      <w:r w:rsidRPr="000C09CD">
        <w:t xml:space="preserve"> below). Pointing to the litigation risk on both sides, the Federal Administrative Court considered it reasonable to propose that the applicant association be given the opportunity to continue its activities outside the Palestinian areas for a provisional period of about three years, </w:t>
      </w:r>
      <w:r w:rsidRPr="000C09CD">
        <w:t>as long as</w:t>
      </w:r>
      <w:r w:rsidRPr="000C09CD">
        <w:t xml:space="preserve"> it could demonstrate that it had stopped its Palestinian support activities. If the applicant association respected the terms of the settlement during this period, the proscription order would expire automatically, and the Ministry would be given the opportunity to reassess the case in the light of the new circumstances. Although the applicant association signed the proposal, the Ministry refused; accordingly, no settlement was reached.</w:t>
      </w:r>
    </w:p>
    <w:p w:rsidRPr="000C09CD" w:rsidR="000C09CD" w:rsidP="000C09CD" w14:paraId="0CDE11FF" w14:textId="54DAB792">
      <w:pPr>
        <w:pStyle w:val="JuPara"/>
      </w:pPr>
      <w:r>
        <w:fldChar w:fldCharType="begin"/>
      </w:r>
      <w:r>
        <w:instrText xml:space="preserve"> SEQ level0 \*arabic \* MERGEFORMAT </w:instrText>
      </w:r>
      <w:r>
        <w:fldChar w:fldCharType="separate"/>
      </w:r>
      <w:bookmarkStart w:name="paragraph00021" w:id="9"/>
      <w:r w:rsidRPr="000C09CD">
        <w:rPr>
          <w:noProof/>
        </w:rPr>
        <w:t>20</w:t>
      </w:r>
      <w:bookmarkEnd w:id="9"/>
      <w:r>
        <w:fldChar w:fldCharType="end"/>
      </w:r>
      <w:r w:rsidRPr="000C09CD">
        <w:t xml:space="preserve">.  On 18 April 2012 the Federal Administrative Court, after holding another hearing and assessing a wide range of evidence, dismissed the applicant association’s application. Although this did not apply to the other organisations supported by the applicant association, the court confirmed that the applicant association’s support of the Islamic Society meant that its activities were directed against the principle of international understanding. The applicant association was therefore liable to proscription under Article 9 § 2 of the German Basic Law in conjunction with the Law on Associations (see paragraphs </w:t>
      </w:r>
      <w:r w:rsidRPr="000C09CD">
        <w:fldChar w:fldCharType="begin"/>
      </w:r>
      <w:r w:rsidRPr="000C09CD">
        <w:instrText xml:space="preserve"> REF paragraph00032 \h  \* CharFormat </w:instrText>
      </w:r>
      <w:r w:rsidRPr="000C09CD">
        <w:fldChar w:fldCharType="separate"/>
      </w:r>
      <w:r w:rsidRPr="000C09CD">
        <w:t>32</w:t>
      </w:r>
      <w:r w:rsidRPr="000C09CD">
        <w:fldChar w:fldCharType="end"/>
      </w:r>
      <w:r w:rsidRPr="000C09CD">
        <w:t>-</w:t>
      </w:r>
      <w:r w:rsidRPr="000C09CD">
        <w:fldChar w:fldCharType="begin"/>
      </w:r>
      <w:r w:rsidRPr="000C09CD">
        <w:instrText xml:space="preserve"> REF paragraph00033 \h  \* CharFormat </w:instrText>
      </w:r>
      <w:r w:rsidRPr="000C09CD">
        <w:fldChar w:fldCharType="separate"/>
      </w:r>
      <w:r w:rsidRPr="000C09CD">
        <w:t>33</w:t>
      </w:r>
      <w:r w:rsidRPr="000C09CD">
        <w:fldChar w:fldCharType="end"/>
      </w:r>
      <w:r w:rsidRPr="000C09CD">
        <w:t xml:space="preserve"> below).</w:t>
      </w:r>
    </w:p>
    <w:p w:rsidRPr="000C09CD" w:rsidR="000C09CD" w:rsidP="000C09CD" w14:paraId="3E65275F" w14:textId="411D0053">
      <w:pPr>
        <w:pStyle w:val="JuPara"/>
      </w:pPr>
      <w:r>
        <w:fldChar w:fldCharType="begin"/>
      </w:r>
      <w:r>
        <w:instrText xml:space="preserve"> SEQ level0 \*arabic \* MERGEFORMAT </w:instrText>
      </w:r>
      <w:r>
        <w:fldChar w:fldCharType="separate"/>
      </w:r>
      <w:r w:rsidRPr="000C09CD">
        <w:rPr>
          <w:noProof/>
        </w:rPr>
        <w:t>21</w:t>
      </w:r>
      <w:r w:rsidRPr="000C09CD">
        <w:rPr>
          <w:noProof/>
        </w:rPr>
        <w:fldChar w:fldCharType="end"/>
      </w:r>
      <w:r w:rsidRPr="000C09CD">
        <w:t xml:space="preserve">.  The Federal Administrative Court referred in particular to the fact that the same Islamic Society that was supported by the applicant association had been identified in its judgment of 3 December 2004 (see paragraph </w:t>
      </w:r>
      <w:r w:rsidRPr="000C09CD">
        <w:fldChar w:fldCharType="begin"/>
      </w:r>
      <w:r w:rsidRPr="000C09CD">
        <w:instrText xml:space="preserve"> REF paragraph00009 \h  \* CharFormat </w:instrText>
      </w:r>
      <w:r w:rsidRPr="000C09CD">
        <w:fldChar w:fldCharType="separate"/>
      </w:r>
      <w:r w:rsidRPr="000C09CD">
        <w:t>35</w:t>
      </w:r>
      <w:r w:rsidRPr="000C09CD">
        <w:fldChar w:fldCharType="end"/>
      </w:r>
      <w:r w:rsidRPr="000C09CD">
        <w:t xml:space="preserve"> below) as part of the essential overall structure of the terrorist organisation Hamas, which compromised the peaceful coexistence of the Israeli and Palestinian peoples through, among other things, violent acts. The Palestinian population attributed the social engagement of the “social societies” to Hamas, thus enhancing its overall acceptance and facilitating the recruitment of activists for violent action; the military branch of Hamas also profited from the applicant association’s long-term and substantial financial support of its social branch.</w:t>
      </w:r>
    </w:p>
    <w:p w:rsidRPr="000C09CD" w:rsidR="000C09CD" w:rsidP="000C09CD" w14:paraId="49A44925" w14:textId="3ABE80D0">
      <w:pPr>
        <w:pStyle w:val="JuPara"/>
      </w:pPr>
      <w:r>
        <w:fldChar w:fldCharType="begin"/>
      </w:r>
      <w:r>
        <w:instrText xml:space="preserve"> SEQ level0 \*arabic \* MERGEFORMAT </w:instrText>
      </w:r>
      <w:r>
        <w:fldChar w:fldCharType="separate"/>
      </w:r>
      <w:r w:rsidRPr="000C09CD">
        <w:rPr>
          <w:noProof/>
        </w:rPr>
        <w:t>22</w:t>
      </w:r>
      <w:r w:rsidRPr="000C09CD">
        <w:rPr>
          <w:noProof/>
        </w:rPr>
        <w:fldChar w:fldCharType="end"/>
      </w:r>
      <w:r w:rsidRPr="000C09CD">
        <w:t xml:space="preserve">.  The Federal Administrative Court also considered that when the political involvement of the Islamic Society had become evident, with I.J. becoming mayor of Jabaliya (see paragraph </w:t>
      </w:r>
      <w:r w:rsidRPr="000C09CD">
        <w:fldChar w:fldCharType="begin"/>
      </w:r>
      <w:r w:rsidRPr="000C09CD">
        <w:instrText xml:space="preserve"> REF paragraph00010 \h  \* CharFormat  \* MERGEFORMAT </w:instrText>
      </w:r>
      <w:r w:rsidRPr="000C09CD">
        <w:fldChar w:fldCharType="separate"/>
      </w:r>
      <w:r w:rsidRPr="000C09CD">
        <w:t>10</w:t>
      </w:r>
      <w:r w:rsidRPr="000C09CD">
        <w:fldChar w:fldCharType="end"/>
      </w:r>
      <w:r w:rsidRPr="000C09CD">
        <w:t xml:space="preserve"> above), Salam had taken over from it as the recipient of the donations. The Hamas follower Y.S., a member of the board of Salam and the treasurer of the Jabaliya office of the Islamic Society, was also one of the applicant association’s contacts in the Islamic Society and had organised the transfer of the donations and principal contacts </w:t>
      </w:r>
      <w:r w:rsidRPr="000C09CD">
        <w:t>from the Islamic Society to Salam. The main activities, especially care for orphans of “martyrs”, had been carried on as before, which showed that the objective of the transfer had been to disguise the fact that the donations were meant to support Hamas.</w:t>
      </w:r>
    </w:p>
    <w:p w:rsidRPr="000C09CD" w:rsidR="000C09CD" w:rsidP="000C09CD" w14:paraId="3E96DDEB" w14:textId="54D6889F">
      <w:pPr>
        <w:pStyle w:val="JuPara"/>
      </w:pPr>
      <w:r>
        <w:fldChar w:fldCharType="begin"/>
      </w:r>
      <w:r>
        <w:instrText xml:space="preserve"> SEQ level0 \*arabic \* MERGEFORMAT </w:instrText>
      </w:r>
      <w:r>
        <w:fldChar w:fldCharType="separate"/>
      </w:r>
      <w:bookmarkStart w:name="paragraph00023" w:id="10"/>
      <w:r w:rsidRPr="000C09CD">
        <w:rPr>
          <w:noProof/>
        </w:rPr>
        <w:t>23</w:t>
      </w:r>
      <w:bookmarkEnd w:id="10"/>
      <w:r>
        <w:fldChar w:fldCharType="end"/>
      </w:r>
      <w:r w:rsidRPr="000C09CD">
        <w:t xml:space="preserve">.  The Federal Administrative Court further concurred with the Ministry in finding that the applicant association’s leading members had known about the links of the Islamic Society, and later Salam, with Hamas and that they had been informed about the Federal Administrative Court’s judgment of 3 December 2004 (see paragraphs </w:t>
      </w:r>
      <w:r w:rsidRPr="000C09CD">
        <w:fldChar w:fldCharType="begin"/>
      </w:r>
      <w:r w:rsidRPr="000C09CD">
        <w:instrText xml:space="preserve"> REF paragraph00009 \h  \* CharFormat  \* MERGEFORMAT </w:instrText>
      </w:r>
      <w:r w:rsidRPr="000C09CD">
        <w:fldChar w:fldCharType="separate"/>
      </w:r>
      <w:r w:rsidRPr="000C09CD">
        <w:t>35</w:t>
      </w:r>
      <w:r w:rsidRPr="000C09CD">
        <w:fldChar w:fldCharType="end"/>
      </w:r>
      <w:r w:rsidRPr="000C09CD">
        <w:t>-</w:t>
      </w:r>
      <w:r w:rsidRPr="000C09CD">
        <w:fldChar w:fldCharType="begin"/>
      </w:r>
      <w:r w:rsidRPr="000C09CD">
        <w:instrText xml:space="preserve"> REF paragraph00036 \h  \* CharFormat  \* MERGEFORMAT </w:instrText>
      </w:r>
      <w:r w:rsidRPr="000C09CD">
        <w:fldChar w:fldCharType="separate"/>
      </w:r>
      <w:r w:rsidRPr="000C09CD">
        <w:t>36</w:t>
      </w:r>
      <w:r w:rsidRPr="000C09CD">
        <w:fldChar w:fldCharType="end"/>
      </w:r>
      <w:r w:rsidRPr="000C09CD">
        <w:t xml:space="preserve"> below). The attempt to disguise support for Hamas to avoid proscription, which had become likely after the court’s judgment of 3 December 2004, showed that the applicant association identified with Hamas.</w:t>
      </w:r>
    </w:p>
    <w:p w:rsidRPr="000C09CD" w:rsidR="000C09CD" w:rsidP="000C09CD" w14:paraId="3CCC532B" w14:textId="50F65E51">
      <w:pPr>
        <w:pStyle w:val="JuPara"/>
      </w:pPr>
      <w:r>
        <w:fldChar w:fldCharType="begin"/>
      </w:r>
      <w:r>
        <w:instrText xml:space="preserve"> SEQ level0 \*arabic \* MERGEFORMAT </w:instrText>
      </w:r>
      <w:r>
        <w:fldChar w:fldCharType="separate"/>
      </w:r>
      <w:bookmarkStart w:name="paragraph00026" w:id="11"/>
      <w:r w:rsidRPr="000C09CD">
        <w:rPr>
          <w:noProof/>
        </w:rPr>
        <w:t>24</w:t>
      </w:r>
      <w:bookmarkEnd w:id="11"/>
      <w:r>
        <w:fldChar w:fldCharType="end"/>
      </w:r>
      <w:r w:rsidRPr="000C09CD">
        <w:t>.  </w:t>
      </w:r>
      <w:r w:rsidRPr="000C09CD">
        <w:t>With regard to</w:t>
      </w:r>
      <w:r w:rsidRPr="000C09CD">
        <w:t xml:space="preserve"> the overall amount of the donations, the Federal Administrative Court calculated that the applicant association had steadily increased its donations to the Islamic Society and Salam until they had reached about 723,000 euros (EUR) in 2010 (prior to its proscription), amounting to almost 50% of its overall donations of about EUR 1,450,000.</w:t>
      </w:r>
    </w:p>
    <w:p w:rsidRPr="000C09CD" w:rsidR="000C09CD" w:rsidP="000C09CD" w14:paraId="059F6773" w14:textId="40AC7216">
      <w:pPr>
        <w:pStyle w:val="JuPara"/>
      </w:pPr>
      <w:r>
        <w:fldChar w:fldCharType="begin"/>
      </w:r>
      <w:r>
        <w:instrText xml:space="preserve"> SEQ level0 \*arabic \* MERGEFORMAT </w:instrText>
      </w:r>
      <w:r>
        <w:fldChar w:fldCharType="separate"/>
      </w:r>
      <w:bookmarkStart w:name="paragraph00025" w:id="12"/>
      <w:r w:rsidRPr="000C09CD">
        <w:rPr>
          <w:noProof/>
        </w:rPr>
        <w:t>25</w:t>
      </w:r>
      <w:bookmarkEnd w:id="12"/>
      <w:r>
        <w:fldChar w:fldCharType="end"/>
      </w:r>
      <w:r w:rsidRPr="000C09CD">
        <w:t>.  The Federal Administrative Court noted in that context that there was nothing to suggest that an association should be permitted merely because it also pursued funding activities that were not prohibited in respect of other organisations in other parts of the world, as this would invite associations that supported terrorist activities to circumvent proscription by simply diversifying their activities.</w:t>
      </w:r>
    </w:p>
    <w:p w:rsidRPr="000C09CD" w:rsidR="000C09CD" w:rsidP="000C09CD" w14:paraId="4F505D8D" w14:textId="412E65DC">
      <w:pPr>
        <w:pStyle w:val="JuPara"/>
      </w:pPr>
      <w:r>
        <w:fldChar w:fldCharType="begin"/>
      </w:r>
      <w:r>
        <w:instrText xml:space="preserve"> SEQ level0 \*arabic \* MERGEFORMAT </w:instrText>
      </w:r>
      <w:r>
        <w:fldChar w:fldCharType="separate"/>
      </w:r>
      <w:bookmarkStart w:name="paragraph00028" w:id="13"/>
      <w:r w:rsidRPr="000C09CD">
        <w:rPr>
          <w:noProof/>
        </w:rPr>
        <w:t>26</w:t>
      </w:r>
      <w:bookmarkEnd w:id="13"/>
      <w:r>
        <w:fldChar w:fldCharType="end"/>
      </w:r>
      <w:r w:rsidRPr="000C09CD">
        <w:t>.  The Federal Administrative Court also confirmed that the Ministry had not been formally obliged to hear the applicant association before proscribing it, so as not to offer it the opportunity to dispose of assets or remove evidence.</w:t>
      </w:r>
    </w:p>
    <w:p w:rsidRPr="000C09CD" w:rsidR="000C09CD" w:rsidP="000C09CD" w14:paraId="5921BB98" w14:textId="77777777">
      <w:pPr>
        <w:pStyle w:val="JuHA"/>
        <w:numPr>
          <w:ilvl w:val="2"/>
          <w:numId w:val="36"/>
        </w:numPr>
      </w:pPr>
      <w:r w:rsidRPr="000C09CD">
        <w:t>Proceedings before the Federal Constitutional Court</w:t>
      </w:r>
    </w:p>
    <w:p w:rsidRPr="000C09CD" w:rsidR="000C09CD" w:rsidP="000C09CD" w14:paraId="7E269A18" w14:textId="5FFD869E">
      <w:pPr>
        <w:pStyle w:val="JuPara"/>
      </w:pPr>
      <w:r>
        <w:fldChar w:fldCharType="begin"/>
      </w:r>
      <w:r>
        <w:instrText xml:space="preserve"> SEQ level0 \*arabic \* MERGEFORMAT </w:instrText>
      </w:r>
      <w:r>
        <w:fldChar w:fldCharType="separate"/>
      </w:r>
      <w:bookmarkStart w:name="paragraph00027" w:id="14"/>
      <w:r w:rsidRPr="000C09CD">
        <w:rPr>
          <w:noProof/>
        </w:rPr>
        <w:t>27</w:t>
      </w:r>
      <w:bookmarkEnd w:id="14"/>
      <w:r>
        <w:fldChar w:fldCharType="end"/>
      </w:r>
      <w:r w:rsidRPr="000C09CD">
        <w:t xml:space="preserve">.  On 6 July 2012 the applicant association lodged a constitutional complaint, alleging </w:t>
      </w:r>
      <w:r w:rsidRPr="000C09CD">
        <w:t>in particular that</w:t>
      </w:r>
      <w:r w:rsidRPr="000C09CD">
        <w:t xml:space="preserve"> its proscription had been disproportionate and had violated its right to freedom of association under Article 9 of the Basic Law. Among other arguments, the applicant association relied on the authorities’ obligation to consider less intrusive measures and mentioned the possibility of restricting its activities to support for other foreign societies outside Gaza.</w:t>
      </w:r>
    </w:p>
    <w:p w:rsidRPr="000C09CD" w:rsidR="000C09CD" w:rsidP="000C09CD" w14:paraId="29F28FCB" w14:textId="674FF79B">
      <w:pPr>
        <w:pStyle w:val="JuPara"/>
      </w:pPr>
      <w:r>
        <w:fldChar w:fldCharType="begin"/>
      </w:r>
      <w:r>
        <w:instrText xml:space="preserve"> SEQ level0 \*arabic \* MERGEFORMAT </w:instrText>
      </w:r>
      <w:r>
        <w:fldChar w:fldCharType="separate"/>
      </w:r>
      <w:r w:rsidRPr="000C09CD">
        <w:rPr>
          <w:noProof/>
        </w:rPr>
        <w:t>28</w:t>
      </w:r>
      <w:r w:rsidRPr="000C09CD">
        <w:rPr>
          <w:noProof/>
        </w:rPr>
        <w:fldChar w:fldCharType="end"/>
      </w:r>
      <w:r w:rsidRPr="000C09CD">
        <w:t xml:space="preserve">.  In a judgment of 13 July 2018 (1 </w:t>
      </w:r>
      <w:r w:rsidRPr="000C09CD">
        <w:t>BvR</w:t>
      </w:r>
      <w:r w:rsidRPr="000C09CD">
        <w:t xml:space="preserve"> 1474/12), the Federal Constitutional Court found that in the present case both the proscription of the applicant association and section 3(1), first sentence, of the Law on Associations were compatible with the applicant association’s freedom of association as guaranteed by Article 9 of the Basic Law (see paragraphs </w:t>
      </w:r>
      <w:r w:rsidRPr="000C09CD">
        <w:fldChar w:fldCharType="begin"/>
      </w:r>
      <w:r w:rsidRPr="000C09CD">
        <w:instrText xml:space="preserve"> REF paragraph00032 \h  \* CharFormat  \* MERGEFORMAT </w:instrText>
      </w:r>
      <w:r w:rsidRPr="000C09CD">
        <w:fldChar w:fldCharType="separate"/>
      </w:r>
      <w:r w:rsidRPr="000C09CD">
        <w:t>32</w:t>
      </w:r>
      <w:r w:rsidRPr="000C09CD">
        <w:fldChar w:fldCharType="end"/>
      </w:r>
      <w:r w:rsidRPr="000C09CD">
        <w:noBreakHyphen/>
      </w:r>
      <w:r w:rsidRPr="000C09CD">
        <w:fldChar w:fldCharType="begin"/>
      </w:r>
      <w:r w:rsidRPr="000C09CD">
        <w:instrText xml:space="preserve"> REF paragraph00033 \h  \* CharFormat  \* MERGEFORMAT </w:instrText>
      </w:r>
      <w:r w:rsidRPr="000C09CD">
        <w:fldChar w:fldCharType="separate"/>
      </w:r>
      <w:r w:rsidRPr="000C09CD">
        <w:t>33</w:t>
      </w:r>
      <w:r w:rsidRPr="000C09CD">
        <w:fldChar w:fldCharType="end"/>
      </w:r>
      <w:r w:rsidRPr="000C09CD">
        <w:t xml:space="preserve"> below).</w:t>
      </w:r>
    </w:p>
    <w:p w:rsidRPr="000C09CD" w:rsidR="000C09CD" w:rsidP="000C09CD" w14:paraId="59832900" w14:textId="0230900C">
      <w:pPr>
        <w:pStyle w:val="JuPara"/>
      </w:pPr>
      <w:r>
        <w:fldChar w:fldCharType="begin"/>
      </w:r>
      <w:r>
        <w:instrText xml:space="preserve"> SEQ level0 \*arabic \* MERGEFORMAT </w:instrText>
      </w:r>
      <w:r>
        <w:fldChar w:fldCharType="separate"/>
      </w:r>
      <w:bookmarkStart w:name="paragraph00029" w:id="15"/>
      <w:r w:rsidRPr="000C09CD">
        <w:rPr>
          <w:noProof/>
        </w:rPr>
        <w:t>29</w:t>
      </w:r>
      <w:bookmarkEnd w:id="15"/>
      <w:r>
        <w:fldChar w:fldCharType="end"/>
      </w:r>
      <w:r w:rsidRPr="000C09CD">
        <w:t>.  The Federal Constitutional Court found that the interference with the applicant association’s freedom of association had been justified under Article 9 § 2 of the Basic Law, the applicant association’s funding activities being contrary to the concept of international understanding. It emphasised that although the wording of Article 9 § 2 of the Basic Law only provided for the “proscription” of associations, the constitutional principle of proportionality inherent in the rule of law was to be applied to it by way of interpretation. The proscription of an association as the most serious form of interference could thus only be imposed where less restrictive measures would not be sufficiently effective to achieve the aims pursued by the authorities. Among the less restrictive measures that could be imposed were restrictions on the association conducting certain activities, measures against individual members, the prohibition of specified events, restrictions on statements linked to places and events, restrictions on or prohibition of assemblies or injunctions relating to the use of weapons, regardless of whether they derived from the Law on Associations, regulatory or administrative law or criminal law.</w:t>
      </w:r>
    </w:p>
    <w:p w:rsidRPr="000C09CD" w:rsidR="000C09CD" w:rsidP="000C09CD" w14:paraId="17C8BF11" w14:textId="16BF4D4F">
      <w:pPr>
        <w:pStyle w:val="JuPara"/>
      </w:pPr>
      <w:r>
        <w:fldChar w:fldCharType="begin"/>
      </w:r>
      <w:r>
        <w:instrText xml:space="preserve"> SEQ level0 \*arabic \* MERGEFORMAT </w:instrText>
      </w:r>
      <w:r>
        <w:fldChar w:fldCharType="separate"/>
      </w:r>
      <w:r w:rsidRPr="000C09CD">
        <w:rPr>
          <w:noProof/>
        </w:rPr>
        <w:t>30</w:t>
      </w:r>
      <w:r w:rsidRPr="000C09CD">
        <w:rPr>
          <w:noProof/>
        </w:rPr>
        <w:fldChar w:fldCharType="end"/>
      </w:r>
      <w:r w:rsidRPr="000C09CD">
        <w:t xml:space="preserve">.  In order for their application to be proportionate, the relevant legal provisions had to be interpreted restrictively; Article 9 § 2 of the Basic Law, as a manifestation of a pluralistic and at the same time constitutional democracy capable of defending itself, restricted proscription to cases where an association’s activities were directed against specific rights of paramount importance, such as the criminal law, the constitutional order, or the concept of international understanding. Proscription would be appropriate when an association actively advocated and promoted violence or similarly serious acts in breach of international law, such as international terrorism, </w:t>
      </w:r>
      <w:r w:rsidRPr="000C09CD">
        <w:t>and also</w:t>
      </w:r>
      <w:r w:rsidRPr="000C09CD">
        <w:t xml:space="preserve"> when an association supported third parties in a way that was objectively capable of significantly, seriously and deeply compromising international relations, and where the association was aware of that fact and at least condoned it. The Federal Constitutional Court highlighted, however, that proscription of associations could not be used to prevent every form of humanitarian aid in crisis areas merely because such aid might indirectly promote terrorism. Referring explicitly to Article 11 of the Convention, it found no further requirements beyond those established under the Basic Law. Turning to the case at hand, the Federal Constitutional Court found that the outcome of the judgment of the Federal Administrative Court satisfied the above-mentioned requirements, given that the proscription was also proportionate. While the findings of the Federal Administrative Court as outlined in paragraph </w:t>
      </w:r>
      <w:r w:rsidRPr="000C09CD">
        <w:fldChar w:fldCharType="begin"/>
      </w:r>
      <w:r w:rsidRPr="000C09CD">
        <w:instrText xml:space="preserve"> REF paragraph00025 \h  \* CharFormat </w:instrText>
      </w:r>
      <w:r w:rsidRPr="000C09CD">
        <w:fldChar w:fldCharType="separate"/>
      </w:r>
      <w:r w:rsidRPr="000C09CD">
        <w:t>25</w:t>
      </w:r>
      <w:r w:rsidRPr="000C09CD">
        <w:fldChar w:fldCharType="end"/>
      </w:r>
      <w:r w:rsidRPr="000C09CD">
        <w:t xml:space="preserve"> above were insufficiently specific, and while that court had not expressly elaborated on why less restrictive measures had not been used, its detailed findings made it possible to conclude that no such measures had been available in the specific circumstances of the case: over a long period of time, the applicant association had intentionally channelled substantial funds collected from donations to a terrorist organisation (Hamas) </w:t>
      </w:r>
      <w:r w:rsidRPr="000C09CD">
        <w:t>and tried to disguise its support by putting in place a substitute organisation (Salam), while “fundamentally identifying” (</w:t>
      </w:r>
      <w:r w:rsidRPr="000C09CD">
        <w:rPr>
          <w:i/>
          <w:iCs/>
        </w:rPr>
        <w:t>prägend</w:t>
      </w:r>
      <w:r w:rsidRPr="000C09CD">
        <w:rPr>
          <w:i/>
          <w:iCs/>
        </w:rPr>
        <w:t xml:space="preserve"> </w:t>
      </w:r>
      <w:r w:rsidRPr="000C09CD">
        <w:rPr>
          <w:i/>
          <w:iCs/>
        </w:rPr>
        <w:t>identifizieren</w:t>
      </w:r>
      <w:r w:rsidRPr="000C09CD">
        <w:t>) itself on the basis of the illegal objectives of Hamas.</w:t>
      </w:r>
    </w:p>
    <w:p w:rsidRPr="000C09CD" w:rsidR="000C09CD" w:rsidP="000C09CD" w14:paraId="0B56AF65" w14:textId="432CD452">
      <w:pPr>
        <w:pStyle w:val="JuPara"/>
      </w:pPr>
      <w:r>
        <w:fldChar w:fldCharType="begin"/>
      </w:r>
      <w:r>
        <w:instrText xml:space="preserve"> SEQ level0 \*arabic \* MERGEFORMAT </w:instrText>
      </w:r>
      <w:r>
        <w:fldChar w:fldCharType="separate"/>
      </w:r>
      <w:bookmarkStart w:name="paragraph00037" w:id="16"/>
      <w:r w:rsidRPr="000C09CD">
        <w:rPr>
          <w:noProof/>
        </w:rPr>
        <w:t>31</w:t>
      </w:r>
      <w:bookmarkEnd w:id="16"/>
      <w:r>
        <w:fldChar w:fldCharType="end"/>
      </w:r>
      <w:r w:rsidRPr="000C09CD">
        <w:t>.  The Federal Constitutional Court held that, in the present case, restrictions on specific activities “or other less restrictive measures” would not have been sufficiently effective.</w:t>
      </w:r>
    </w:p>
    <w:p w:rsidRPr="000C09CD" w:rsidR="000C09CD" w:rsidP="000C09CD" w14:paraId="17935C5B" w14:textId="77777777">
      <w:pPr>
        <w:pStyle w:val="JuHHead"/>
        <w:numPr>
          <w:ilvl w:val="0"/>
          <w:numId w:val="36"/>
        </w:numPr>
      </w:pPr>
      <w:r w:rsidRPr="000C09CD">
        <w:t>RELEVANT LEGAL FRAMEWORK AND PRACTICE</w:t>
      </w:r>
    </w:p>
    <w:p w:rsidRPr="000C09CD" w:rsidR="000C09CD" w:rsidP="000C09CD" w14:paraId="0B4ADE69" w14:textId="77777777">
      <w:pPr>
        <w:pStyle w:val="JuHIRoman"/>
        <w:numPr>
          <w:ilvl w:val="1"/>
          <w:numId w:val="36"/>
        </w:numPr>
        <w:ind w:left="357" w:hanging="357"/>
      </w:pPr>
      <w:r w:rsidRPr="000C09CD">
        <w:t>DOMESTIC LAW</w:t>
      </w:r>
    </w:p>
    <w:p w:rsidRPr="000C09CD" w:rsidR="000C09CD" w:rsidP="000C09CD" w14:paraId="52432355" w14:textId="77777777">
      <w:pPr>
        <w:pStyle w:val="JuHA"/>
        <w:numPr>
          <w:ilvl w:val="2"/>
          <w:numId w:val="36"/>
        </w:numPr>
        <w:ind w:left="584" w:hanging="352"/>
      </w:pPr>
      <w:r w:rsidRPr="000C09CD">
        <w:t>The German Basic Law</w:t>
      </w:r>
    </w:p>
    <w:p w:rsidRPr="000C09CD" w:rsidR="000C09CD" w:rsidP="000C09CD" w14:paraId="74AF4EC4" w14:textId="0EAF45B6">
      <w:pPr>
        <w:pStyle w:val="JuPara"/>
      </w:pPr>
      <w:r>
        <w:fldChar w:fldCharType="begin"/>
      </w:r>
      <w:r>
        <w:instrText xml:space="preserve"> SEQ level0 \*arabic \* MERGEFORMAT </w:instrText>
      </w:r>
      <w:r>
        <w:fldChar w:fldCharType="separate"/>
      </w:r>
      <w:bookmarkStart w:name="paragraph00032" w:id="17"/>
      <w:r w:rsidRPr="000C09CD">
        <w:rPr>
          <w:noProof/>
        </w:rPr>
        <w:t>32</w:t>
      </w:r>
      <w:bookmarkEnd w:id="17"/>
      <w:r>
        <w:fldChar w:fldCharType="end"/>
      </w:r>
      <w:r w:rsidRPr="000C09CD">
        <w:t>.  The relevant parts of Article 9 of the German Basic Law, on freedom of association, read as follows:</w:t>
      </w:r>
    </w:p>
    <w:p w:rsidRPr="000C09CD" w:rsidR="000C09CD" w:rsidP="000C09CD" w14:paraId="046D9BB6" w14:textId="77777777">
      <w:pPr>
        <w:pStyle w:val="JuHArticle"/>
      </w:pPr>
      <w:r w:rsidRPr="000C09CD">
        <w:t>[Freedom of association]</w:t>
      </w:r>
    </w:p>
    <w:p w:rsidRPr="000C09CD" w:rsidR="000C09CD" w:rsidP="000C09CD" w14:paraId="7BFB34CF" w14:textId="77777777">
      <w:pPr>
        <w:pStyle w:val="JuQuot"/>
      </w:pPr>
      <w:r w:rsidRPr="000C09CD">
        <w:t>“(1</w:t>
      </w:r>
      <w:r w:rsidRPr="000C09CD">
        <w:t>)  All</w:t>
      </w:r>
      <w:r w:rsidRPr="000C09CD">
        <w:t xml:space="preserve"> Germans shall have the right to form corporations and other associations.</w:t>
      </w:r>
    </w:p>
    <w:p w:rsidRPr="000C09CD" w:rsidR="000C09CD" w:rsidP="000C09CD" w14:paraId="6F25E308" w14:textId="77777777">
      <w:pPr>
        <w:pStyle w:val="JuQuot"/>
      </w:pPr>
      <w:r w:rsidRPr="000C09CD">
        <w:t xml:space="preserve">(2)  Associations whose aims or activities contravene the criminal </w:t>
      </w:r>
      <w:r w:rsidRPr="000C09CD">
        <w:t>law, or</w:t>
      </w:r>
      <w:r w:rsidRPr="000C09CD">
        <w:t xml:space="preserve"> are directed against the constitutional order or the concept of international understanding, are proscribed.</w:t>
      </w:r>
    </w:p>
    <w:p w:rsidRPr="000C09CD" w:rsidR="000C09CD" w:rsidP="000C09CD" w14:paraId="1B83913C" w14:textId="77777777">
      <w:pPr>
        <w:pStyle w:val="JuQuot"/>
      </w:pPr>
      <w:r w:rsidRPr="000C09CD">
        <w:t>...”</w:t>
      </w:r>
    </w:p>
    <w:p w:rsidRPr="000C09CD" w:rsidR="000C09CD" w:rsidP="000C09CD" w14:paraId="216770DB" w14:textId="77777777">
      <w:pPr>
        <w:pStyle w:val="JuHA"/>
        <w:numPr>
          <w:ilvl w:val="2"/>
          <w:numId w:val="36"/>
        </w:numPr>
        <w:ind w:left="584" w:hanging="352"/>
      </w:pPr>
      <w:r w:rsidRPr="000C09CD">
        <w:t>The Law on Associations</w:t>
      </w:r>
    </w:p>
    <w:p w:rsidRPr="000C09CD" w:rsidR="000C09CD" w:rsidP="000C09CD" w14:paraId="18615508" w14:textId="012FD6F3">
      <w:pPr>
        <w:pStyle w:val="JuPara"/>
      </w:pPr>
      <w:r>
        <w:fldChar w:fldCharType="begin"/>
      </w:r>
      <w:r>
        <w:instrText xml:space="preserve"> SEQ level0 \*arabic \* MERGEFORMAT </w:instrText>
      </w:r>
      <w:r>
        <w:fldChar w:fldCharType="separate"/>
      </w:r>
      <w:bookmarkStart w:name="paragraph00033" w:id="18"/>
      <w:r w:rsidRPr="000C09CD">
        <w:rPr>
          <w:noProof/>
        </w:rPr>
        <w:t>33</w:t>
      </w:r>
      <w:bookmarkEnd w:id="18"/>
      <w:r>
        <w:fldChar w:fldCharType="end"/>
      </w:r>
      <w:r w:rsidRPr="000C09CD">
        <w:t>.  The relevant part of section 3 of the Law on Associations (</w:t>
      </w:r>
      <w:r w:rsidRPr="000C09CD">
        <w:rPr>
          <w:i/>
          <w:iCs/>
        </w:rPr>
        <w:t>Vereinsgesetz</w:t>
      </w:r>
      <w:r w:rsidRPr="000C09CD">
        <w:t>) provides:</w:t>
      </w:r>
    </w:p>
    <w:p w:rsidRPr="000C09CD" w:rsidR="000C09CD" w:rsidP="000C09CD" w14:paraId="6907D4B8" w14:textId="77777777">
      <w:pPr>
        <w:pStyle w:val="JuHArticle"/>
      </w:pPr>
      <w:r w:rsidRPr="000C09CD">
        <w:t>Proscription</w:t>
      </w:r>
    </w:p>
    <w:p w:rsidRPr="000C09CD" w:rsidR="000C09CD" w:rsidP="000C09CD" w14:paraId="6C787540" w14:textId="77777777">
      <w:pPr>
        <w:pStyle w:val="JuQuot"/>
      </w:pPr>
      <w:r w:rsidRPr="000C09CD">
        <w:t>“(1</w:t>
      </w:r>
      <w:r w:rsidRPr="000C09CD">
        <w:t>)  An</w:t>
      </w:r>
      <w:r w:rsidRPr="000C09CD">
        <w:t xml:space="preserve"> association can only be proscribed (Article 9 § 2 of the Basic Law) if the competent authority declares by decree that its aims or its activity contravene the criminal law or that it is directed against the constitutional order or the concept of international understanding; the declaration shall order the dissolution of the association (proscription). </w:t>
      </w:r>
      <w:r w:rsidRPr="000C09CD">
        <w:t>As a general rule</w:t>
      </w:r>
      <w:r w:rsidRPr="000C09CD">
        <w:t>, proscription shall entail the confiscation and seizure of</w:t>
      </w:r>
    </w:p>
    <w:p w:rsidRPr="000C09CD" w:rsidR="000C09CD" w:rsidP="000C09CD" w14:paraId="6437135B" w14:textId="25FB7F30">
      <w:pPr>
        <w:pStyle w:val="JuQuot"/>
      </w:pPr>
      <w:r w:rsidRPr="000C09CD">
        <w:t>1.  the association’s assets,</w:t>
      </w:r>
    </w:p>
    <w:p w:rsidRPr="000C09CD" w:rsidR="000C09CD" w:rsidP="000C09CD" w14:paraId="2FEE74AF" w14:textId="77777777">
      <w:pPr>
        <w:pStyle w:val="JuQuot"/>
      </w:pPr>
      <w:r w:rsidRPr="000C09CD">
        <w:t>...”</w:t>
      </w:r>
    </w:p>
    <w:p w:rsidRPr="000C09CD" w:rsidR="000C09CD" w:rsidP="000C09CD" w14:paraId="69FF2341" w14:textId="77777777">
      <w:pPr>
        <w:pStyle w:val="JuHA"/>
        <w:numPr>
          <w:ilvl w:val="2"/>
          <w:numId w:val="36"/>
        </w:numPr>
        <w:ind w:left="584" w:hanging="352"/>
      </w:pPr>
      <w:r w:rsidRPr="000C09CD">
        <w:t>The Administrative Court Rules</w:t>
      </w:r>
    </w:p>
    <w:p w:rsidRPr="000C09CD" w:rsidR="000C09CD" w:rsidP="000C09CD" w14:paraId="7BF871F7" w14:textId="7F9B6D64">
      <w:pPr>
        <w:pStyle w:val="JuPara"/>
      </w:pPr>
      <w:r>
        <w:fldChar w:fldCharType="begin"/>
      </w:r>
      <w:r>
        <w:instrText xml:space="preserve"> SEQ level0 \*arabic \* MERGEFORMAT </w:instrText>
      </w:r>
      <w:r>
        <w:fldChar w:fldCharType="separate"/>
      </w:r>
      <w:bookmarkStart w:name="paragraph00034" w:id="19"/>
      <w:r w:rsidRPr="000C09CD">
        <w:rPr>
          <w:noProof/>
        </w:rPr>
        <w:t>34</w:t>
      </w:r>
      <w:bookmarkEnd w:id="19"/>
      <w:r>
        <w:fldChar w:fldCharType="end"/>
      </w:r>
      <w:r w:rsidRPr="000C09CD">
        <w:t>.  Rule 106 of the Administrative Court Rules provides:</w:t>
      </w:r>
    </w:p>
    <w:p w:rsidRPr="000C09CD" w:rsidR="000C09CD" w:rsidP="000C09CD" w14:paraId="05390C84" w14:textId="77777777">
      <w:pPr>
        <w:pStyle w:val="JuQuot"/>
      </w:pPr>
      <w:r w:rsidRPr="000C09CD">
        <w:t xml:space="preserve">“In order to settle the legal dispute completely or partly, the parties may reach a settlement to be recorded by the court or by the delegated or requested judge in so far as they are able to dispose of the subject matter of the settlement. A judicial settlement may also be concluded by the parties accepting a proposal of the court, the presiding </w:t>
      </w:r>
      <w:r w:rsidRPr="000C09CD">
        <w:t>judge or the reporting judge made in the form of an order, in writing or by means of a declaration on the record made to the court during the oral proceedings.”</w:t>
      </w:r>
    </w:p>
    <w:p w:rsidRPr="000C09CD" w:rsidR="000C09CD" w:rsidP="000C09CD" w14:paraId="78A1DA20" w14:textId="77777777">
      <w:pPr>
        <w:pStyle w:val="JuHIRoman"/>
        <w:numPr>
          <w:ilvl w:val="1"/>
          <w:numId w:val="36"/>
        </w:numPr>
        <w:ind w:left="357" w:hanging="357"/>
      </w:pPr>
      <w:r w:rsidRPr="000C09CD">
        <w:t>DOMESTIC PRACTICE</w:t>
      </w:r>
    </w:p>
    <w:p w:rsidRPr="000C09CD" w:rsidR="000C09CD" w:rsidP="000C09CD" w14:paraId="7439E3F9" w14:textId="1369F0DA">
      <w:pPr>
        <w:pStyle w:val="JuPara"/>
      </w:pPr>
      <w:r>
        <w:fldChar w:fldCharType="begin"/>
      </w:r>
      <w:r>
        <w:instrText xml:space="preserve"> SEQ level0 \*arabic \* MERGEFORMAT </w:instrText>
      </w:r>
      <w:r>
        <w:fldChar w:fldCharType="separate"/>
      </w:r>
      <w:bookmarkStart w:name="paragraph00009" w:id="20"/>
      <w:r w:rsidRPr="000C09CD">
        <w:rPr>
          <w:noProof/>
        </w:rPr>
        <w:t>35</w:t>
      </w:r>
      <w:bookmarkEnd w:id="20"/>
      <w:r>
        <w:fldChar w:fldCharType="end"/>
      </w:r>
      <w:r w:rsidRPr="000C09CD">
        <w:t>.  In its judgment of 3 December 2004 (no. 6 A 10.02), generally known under the plaintiff association’s name of “Al Aqsa”, the Federal Administrative Court found that the proscription of the plaintiff association by an order of the Ministry had been lawful. It held that the plaintiff association’s activities were contrary to the concept of international understanding because it had indirectly contributed to the violence brought into the relationship between the Palestinian and the Israeli people by supporting Hamas financially over a long period of time and to a considerable extent, through so-called “social societies” based in the Palestinian areas.</w:t>
      </w:r>
    </w:p>
    <w:p w:rsidRPr="000C09CD" w:rsidR="000C09CD" w:rsidP="000C09CD" w14:paraId="6BEBCC74" w14:textId="3C3ADF6A">
      <w:pPr>
        <w:pStyle w:val="JuPara"/>
      </w:pPr>
      <w:r>
        <w:fldChar w:fldCharType="begin"/>
      </w:r>
      <w:r>
        <w:instrText xml:space="preserve"> SEQ level0 \*arabic \* MERGEFORMAT </w:instrText>
      </w:r>
      <w:r>
        <w:fldChar w:fldCharType="separate"/>
      </w:r>
      <w:bookmarkStart w:name="paragraph00036" w:id="21"/>
      <w:r w:rsidRPr="000C09CD">
        <w:rPr>
          <w:noProof/>
        </w:rPr>
        <w:t>36</w:t>
      </w:r>
      <w:bookmarkEnd w:id="21"/>
      <w:r>
        <w:fldChar w:fldCharType="end"/>
      </w:r>
      <w:r w:rsidRPr="000C09CD">
        <w:t>.  The Federal Administrative Court based its decision</w:t>
      </w:r>
      <w:r w:rsidRPr="000C09CD">
        <w:t>, in particular, on</w:t>
      </w:r>
      <w:r w:rsidRPr="000C09CD">
        <w:t xml:space="preserve"> the plaintiff association’s support for the so-called “Islamic Society”. The relevant parts of the judgment in this regard read as follows:</w:t>
      </w:r>
    </w:p>
    <w:p w:rsidRPr="000C09CD" w:rsidR="000C09CD" w:rsidP="000C09CD" w14:paraId="500F67DD" w14:textId="77777777">
      <w:pPr>
        <w:pStyle w:val="JuQuot"/>
      </w:pPr>
      <w:r w:rsidRPr="000C09CD">
        <w:t>“...</w:t>
      </w:r>
    </w:p>
    <w:p w:rsidRPr="000C09CD" w:rsidR="000C09CD" w:rsidP="000C09CD" w14:paraId="7A106E83" w14:textId="42AD2593">
      <w:pPr>
        <w:pStyle w:val="JuQuot"/>
      </w:pPr>
      <w:r w:rsidRPr="000C09CD">
        <w:t>(2)  The plaintiff has financially supported the ‘social society’ Al-</w:t>
      </w:r>
      <w:r w:rsidRPr="000C09CD">
        <w:t>Yamiya</w:t>
      </w:r>
      <w:r w:rsidRPr="000C09CD">
        <w:t xml:space="preserve"> al-</w:t>
      </w:r>
      <w:r w:rsidRPr="000C09CD">
        <w:t>Islamiya</w:t>
      </w:r>
      <w:r w:rsidRPr="000C09CD">
        <w:t xml:space="preserve"> (Islamic Society), which can be identified with Hamas.</w:t>
      </w:r>
    </w:p>
    <w:p w:rsidRPr="000C09CD" w:rsidR="000C09CD" w:rsidP="000C09CD" w14:paraId="636C80A3" w14:textId="77777777">
      <w:pPr>
        <w:pStyle w:val="JuQuot"/>
      </w:pPr>
      <w:r w:rsidRPr="000C09CD">
        <w:t>It has been established that the plaintiff provided financial means to the association. ...</w:t>
      </w:r>
    </w:p>
    <w:p w:rsidRPr="000C09CD" w:rsidR="000C09CD" w:rsidP="000C09CD" w14:paraId="548FE087" w14:textId="1874FF19">
      <w:pPr>
        <w:pStyle w:val="JuQuot"/>
      </w:pPr>
      <w:r w:rsidRPr="000C09CD">
        <w:t>The Islamic Society belongs to Hamas. A strong indication that it is affiliated to Hamas is that ... at least until February 2003, the chairman of the association was [A.B.], who simultaneously held a leading position in Hamas. In addition, the society was affected by the ‘closure’ of Palestinian ‘social societies’ by the Palestinian Authority in September 1997. In this context, the Islamic Society is described in an [</w:t>
      </w:r>
      <w:r w:rsidRPr="000C09CD">
        <w:t>Agence</w:t>
      </w:r>
      <w:r w:rsidRPr="000C09CD">
        <w:t xml:space="preserve"> France Presse] report of 25 September as ‘one of the major social institutions belonging to Hamas’ and an ‘essential link in the network of Hamas institutions in Gaza’.</w:t>
      </w:r>
    </w:p>
    <w:p w:rsidRPr="000C09CD" w:rsidR="000C09CD" w:rsidP="000C09CD" w14:paraId="2EA589CA" w14:textId="674CB202">
      <w:pPr>
        <w:pStyle w:val="JuQuot"/>
      </w:pPr>
      <w:r w:rsidRPr="000C09CD">
        <w:t>The account freeze imposed by the Palestinian Authority in August 2003 on Hamas-affiliated ‘social societies’ affected eleven branches of the Islamic Society. ...</w:t>
      </w:r>
    </w:p>
    <w:p w:rsidRPr="000C09CD" w:rsidR="000C09CD" w:rsidP="000C09CD" w14:paraId="1FA3CFB2" w14:textId="0424FE74">
      <w:pPr>
        <w:pStyle w:val="JuQuot"/>
      </w:pPr>
      <w:r w:rsidRPr="000C09CD">
        <w:t>In addition, the Islamic Society was affected by measures taken by the Palestinian Authority against ‘social societies’ in the winter of 2001-02. In the official testimony of the Federal Intelligence Service of 28 November 2002, the accuracy of which has not been questioned by the plaintiff, it was stated that in the winter of 2001-02, Al</w:t>
      </w:r>
      <w:r w:rsidRPr="000C09CD">
        <w:noBreakHyphen/>
      </w:r>
      <w:r w:rsidRPr="000C09CD">
        <w:t>Jamiya</w:t>
      </w:r>
      <w:r w:rsidRPr="000C09CD">
        <w:t xml:space="preserve"> al-</w:t>
      </w:r>
      <w:r w:rsidRPr="000C09CD">
        <w:t>Islamiya</w:t>
      </w:r>
      <w:r w:rsidRPr="000C09CD">
        <w:t xml:space="preserve"> was ‘banned’. ...</w:t>
      </w:r>
    </w:p>
    <w:p w:rsidRPr="000C09CD" w:rsidR="000C09CD" w:rsidP="000C09CD" w14:paraId="6A6393D0" w14:textId="5D01AF86">
      <w:pPr>
        <w:pStyle w:val="JuQuot"/>
      </w:pPr>
      <w:r w:rsidRPr="000C09CD">
        <w:t xml:space="preserve">The court is convinced that the measures directed against the Islamic Society in the winter of 2001-02 were </w:t>
      </w:r>
      <w:r w:rsidRPr="000C09CD">
        <w:t>based on the fact that</w:t>
      </w:r>
      <w:r w:rsidRPr="000C09CD">
        <w:t xml:space="preserve"> the Palestinian Authority had linked the society to Hamas. That conclusion is also supported by the fact that ... the ‘social societies’ affected by the measures were either associated with Hamas or with the Palestinian Islamic Jihad organisation. If there are reliable indications that a ‘social society’ had connections to Hamas and if the measure taken in the winter of 2001-02 was also directed against it, it can be assumed that the affiliation to Hamas was the motive of the Palestinian Authority.</w:t>
      </w:r>
    </w:p>
    <w:p w:rsidRPr="000C09CD" w:rsidR="000C09CD" w:rsidP="000C09CD" w14:paraId="092A7C97" w14:textId="4C9065EF">
      <w:pPr>
        <w:pStyle w:val="JuQuot"/>
      </w:pPr>
      <w:r w:rsidRPr="000C09CD">
        <w:t>From the evidence presented, the Senate is certain that Al-</w:t>
      </w:r>
      <w:r w:rsidRPr="000C09CD">
        <w:t>Jamiya</w:t>
      </w:r>
      <w:r w:rsidRPr="000C09CD">
        <w:t xml:space="preserve"> al-</w:t>
      </w:r>
      <w:r w:rsidRPr="000C09CD">
        <w:t>Islamiya</w:t>
      </w:r>
      <w:r w:rsidRPr="000C09CD">
        <w:t xml:space="preserve"> belongs to Hamas. The correctness of this assumption is confirmed by the fact that the Israeli </w:t>
      </w:r>
      <w:r w:rsidRPr="000C09CD">
        <w:t>authorities declared the ‘social society’ an ‘unlawful association’ in February 2002 because of its connection to Hamas. ...”</w:t>
      </w:r>
    </w:p>
    <w:p w:rsidRPr="000C09CD" w:rsidR="000C09CD" w:rsidP="000C09CD" w14:paraId="3DFA6128" w14:textId="77777777">
      <w:pPr>
        <w:pStyle w:val="JuHIRoman"/>
        <w:numPr>
          <w:ilvl w:val="1"/>
          <w:numId w:val="36"/>
        </w:numPr>
        <w:ind w:left="357" w:hanging="357"/>
      </w:pPr>
      <w:r w:rsidRPr="000C09CD">
        <w:t>INTERNATIONAL AND EUROPEAN UNION LAW AND PRACTICE</w:t>
      </w:r>
    </w:p>
    <w:p w:rsidRPr="000C09CD" w:rsidR="000C09CD" w:rsidP="000C09CD" w14:paraId="496E0D21" w14:textId="77777777">
      <w:pPr>
        <w:pStyle w:val="JuHA"/>
        <w:numPr>
          <w:ilvl w:val="2"/>
          <w:numId w:val="36"/>
        </w:numPr>
        <w:ind w:left="584" w:hanging="352"/>
      </w:pPr>
      <w:r w:rsidRPr="000C09CD">
        <w:t xml:space="preserve">International prohibition of the </w:t>
      </w:r>
      <w:r w:rsidRPr="000C09CD">
        <w:rPr>
          <w:i/>
          <w:iCs/>
        </w:rPr>
        <w:t>indirect</w:t>
      </w:r>
      <w:r w:rsidRPr="000C09CD">
        <w:t xml:space="preserve"> financing of terrorism</w:t>
      </w:r>
    </w:p>
    <w:p w:rsidRPr="000C09CD" w:rsidR="000C09CD" w:rsidP="000C09CD" w14:paraId="1DFA7D69" w14:textId="17F1635E">
      <w:pPr>
        <w:pStyle w:val="JuParaLast"/>
        <w:rPr>
          <w:rFonts w:eastAsiaTheme="majorEastAsia"/>
        </w:rPr>
      </w:pPr>
      <w:r w:rsidRPr="000C09CD">
        <w:rPr>
          <w:rFonts w:eastAsiaTheme="majorEastAsia"/>
        </w:rPr>
        <w:fldChar w:fldCharType="begin"/>
      </w:r>
      <w:r w:rsidRPr="000C09CD">
        <w:rPr>
          <w:rFonts w:eastAsiaTheme="majorEastAsia"/>
        </w:rPr>
        <w:instrText xml:space="preserve"> SEQ level0 \*arabic \* MERGEFORMAT </w:instrText>
      </w:r>
      <w:r w:rsidRPr="000C09CD">
        <w:rPr>
          <w:rFonts w:eastAsiaTheme="majorEastAsia"/>
        </w:rPr>
        <w:fldChar w:fldCharType="separate"/>
      </w:r>
      <w:bookmarkStart w:name="paragraph00040" w:id="22"/>
      <w:r w:rsidRPr="000C09CD">
        <w:rPr>
          <w:rFonts w:eastAsiaTheme="majorEastAsia"/>
          <w:noProof/>
        </w:rPr>
        <w:t>37</w:t>
      </w:r>
      <w:bookmarkEnd w:id="22"/>
      <w:r w:rsidRPr="000C09CD">
        <w:rPr>
          <w:rFonts w:eastAsiaTheme="majorEastAsia"/>
        </w:rPr>
        <w:fldChar w:fldCharType="end"/>
      </w:r>
      <w:r w:rsidRPr="000C09CD">
        <w:rPr>
          <w:rFonts w:eastAsiaTheme="majorEastAsia"/>
        </w:rPr>
        <w:t xml:space="preserve">.  Within the framework of the United Nations, UN </w:t>
      </w:r>
      <w:r w:rsidRPr="000C09CD">
        <w:t xml:space="preserve">Security Council Resolution </w:t>
      </w:r>
      <w:r w:rsidRPr="000C09CD">
        <w:rPr>
          <w:rFonts w:eastAsiaTheme="majorEastAsia"/>
        </w:rPr>
        <w:t xml:space="preserve">1373 (2001) </w:t>
      </w:r>
      <w:r w:rsidRPr="000C09CD">
        <w:t>on threats to international peace and security caused by terrorist acts (28 September 2001, UN Doc. S/RES/1373)</w:t>
      </w:r>
      <w:r w:rsidRPr="000C09CD">
        <w:rPr>
          <w:rFonts w:eastAsiaTheme="majorEastAsia"/>
        </w:rPr>
        <w:t xml:space="preserve"> and UN Security Council Resolution 2462 (2019) on threats to international peace and security caused by terrorist acts: Preventing and combating the financing of terrorism (28 March 2019, UN Doc. S/RES/2462) – both adopted under Chapter VII of the Charter of the United Nations concerning “Action with Respect to Threats to the Peace, Breaches of the Peace, and Acts of Aggression” – set out wide-ranging strategies to combat terrorism, including, in particular, the funding of terrorism. The resolutions employ the term “terrorism” in a way permitting a broad interpretation thereof. For example, in Resolution 2462 (2019) the UN Security Council reaffirms </w:t>
      </w:r>
      <w:r w:rsidRPr="000C09CD">
        <w:rPr>
          <w:rFonts w:eastAsiaTheme="majorEastAsia"/>
        </w:rPr>
        <w:t>that</w:t>
      </w:r>
    </w:p>
    <w:p w:rsidRPr="000C09CD" w:rsidR="000C09CD" w:rsidP="000C09CD" w14:paraId="2DA9F77E" w14:textId="77777777">
      <w:pPr>
        <w:pStyle w:val="JuQuot"/>
        <w:rPr>
          <w:rFonts w:eastAsiaTheme="majorEastAsia"/>
        </w:rPr>
      </w:pPr>
      <w:r w:rsidRPr="000C09CD">
        <w:rPr>
          <w:rFonts w:eastAsiaTheme="majorEastAsia"/>
        </w:rPr>
        <w:t>“</w:t>
      </w:r>
      <w:r w:rsidRPr="000C09CD">
        <w:rPr>
          <w:rFonts w:eastAsiaTheme="majorEastAsia"/>
        </w:rPr>
        <w:t>all</w:t>
      </w:r>
      <w:r w:rsidRPr="000C09CD">
        <w:rPr>
          <w:rFonts w:eastAsiaTheme="majorEastAsia"/>
        </w:rPr>
        <w:t xml:space="preserve"> States shall prevent and suppress the financing of terrorist acts and refrain from providing any form of support, active or passive, to entities or persons involved in terrorist acts ...”.</w:t>
      </w:r>
    </w:p>
    <w:p w:rsidRPr="000C09CD" w:rsidR="000C09CD" w:rsidP="000C09CD" w14:paraId="6C886826" w14:textId="1D559FF6">
      <w:pPr>
        <w:pStyle w:val="JuPara"/>
        <w:rPr>
          <w:rFonts w:eastAsiaTheme="majorEastAsia"/>
        </w:rPr>
      </w:pPr>
      <w:r w:rsidRPr="000C09CD">
        <w:rPr>
          <w:rFonts w:eastAsiaTheme="majorEastAsia"/>
        </w:rPr>
        <w:fldChar w:fldCharType="begin"/>
      </w:r>
      <w:r w:rsidRPr="000C09CD">
        <w:rPr>
          <w:rFonts w:eastAsiaTheme="majorEastAsia"/>
        </w:rPr>
        <w:instrText xml:space="preserve"> SEQ level0 \*arabic \* MERGEFORMAT </w:instrText>
      </w:r>
      <w:r w:rsidRPr="000C09CD">
        <w:rPr>
          <w:rFonts w:eastAsiaTheme="majorEastAsia"/>
        </w:rPr>
        <w:fldChar w:fldCharType="separate"/>
      </w:r>
      <w:bookmarkStart w:name="paragraph00038" w:id="23"/>
      <w:r w:rsidRPr="000C09CD">
        <w:rPr>
          <w:rFonts w:eastAsiaTheme="majorEastAsia"/>
          <w:noProof/>
        </w:rPr>
        <w:t>38</w:t>
      </w:r>
      <w:bookmarkEnd w:id="23"/>
      <w:r w:rsidRPr="000C09CD">
        <w:rPr>
          <w:rFonts w:eastAsiaTheme="majorEastAsia"/>
        </w:rPr>
        <w:fldChar w:fldCharType="end"/>
      </w:r>
      <w:r w:rsidRPr="000C09CD">
        <w:rPr>
          <w:rFonts w:eastAsiaTheme="majorEastAsia"/>
        </w:rPr>
        <w:t>.  The International Convention for the Suppression of the Financing of Terrorism (2178 UNTS 197), adopted by UN General Assembly Resolution 54/109 of 9 December 1999, entered into force in respect of Germany on 17 June 2004.</w:t>
      </w:r>
    </w:p>
    <w:p w:rsidRPr="000C09CD" w:rsidR="000C09CD" w:rsidP="000C09CD" w14:paraId="48106FAB" w14:textId="77777777">
      <w:pPr>
        <w:pStyle w:val="JuPara"/>
        <w:rPr>
          <w:rFonts w:eastAsiaTheme="majorEastAsia"/>
        </w:rPr>
      </w:pPr>
      <w:r w:rsidRPr="000C09CD">
        <w:rPr>
          <w:rFonts w:eastAsiaTheme="majorEastAsia"/>
        </w:rPr>
        <w:t xml:space="preserve">Article 2 § 1 provides that a person commits an offence if that </w:t>
      </w:r>
      <w:r w:rsidRPr="000C09CD">
        <w:rPr>
          <w:rFonts w:eastAsiaTheme="majorEastAsia"/>
        </w:rPr>
        <w:t>person</w:t>
      </w:r>
    </w:p>
    <w:p w:rsidRPr="000C09CD" w:rsidR="000C09CD" w:rsidP="000C09CD" w14:paraId="3998C252" w14:textId="77777777">
      <w:pPr>
        <w:pStyle w:val="JuQuot"/>
      </w:pPr>
      <w:r w:rsidRPr="000C09CD">
        <w:t>“</w:t>
      </w:r>
      <w:r w:rsidRPr="000C09CD">
        <w:t>by</w:t>
      </w:r>
      <w:r w:rsidRPr="000C09CD">
        <w:t xml:space="preserve"> any means, directly or indirectly, unlawfully and wilfully, provides or collects funds with the intention that they should be used or in the knowledge that they are to be used, in full or in part, in order to carry out [terrorist acts]”.</w:t>
      </w:r>
    </w:p>
    <w:p w:rsidRPr="000C09CD" w:rsidR="000C09CD" w:rsidP="000C09CD" w14:paraId="34639D68" w14:textId="77777777">
      <w:pPr>
        <w:pStyle w:val="JuPara"/>
      </w:pPr>
      <w:r w:rsidRPr="000C09CD">
        <w:t>Article 4 provides:</w:t>
      </w:r>
    </w:p>
    <w:p w:rsidRPr="000C09CD" w:rsidR="000C09CD" w:rsidP="000C09CD" w14:paraId="6C9A5B8C" w14:textId="77777777">
      <w:pPr>
        <w:pStyle w:val="JuQuot"/>
      </w:pPr>
      <w:r w:rsidRPr="000C09CD">
        <w:t>“Each State Party shall adopt such measures as may be necessary:</w:t>
      </w:r>
    </w:p>
    <w:p w:rsidRPr="000C09CD" w:rsidR="000C09CD" w:rsidP="000C09CD" w14:paraId="78B6EF9C" w14:textId="77777777">
      <w:pPr>
        <w:pStyle w:val="JuQuot"/>
      </w:pPr>
      <w:r w:rsidRPr="000C09CD">
        <w:t xml:space="preserve">(a)  To establish as criminal offences under its domestic law the offences set forth in article </w:t>
      </w:r>
      <w:r w:rsidRPr="000C09CD">
        <w:t>2;</w:t>
      </w:r>
    </w:p>
    <w:p w:rsidRPr="000C09CD" w:rsidR="000C09CD" w:rsidP="000C09CD" w14:paraId="1D13274A" w14:textId="77777777">
      <w:pPr>
        <w:pStyle w:val="JuQuot"/>
      </w:pPr>
      <w:r w:rsidRPr="000C09CD">
        <w:t xml:space="preserve">(b)  To make those offences punishable by appropriate penalties which </w:t>
      </w:r>
      <w:r w:rsidRPr="000C09CD">
        <w:t>take into account</w:t>
      </w:r>
      <w:r w:rsidRPr="000C09CD">
        <w:t xml:space="preserve"> the grave nature of the offences.”</w:t>
      </w:r>
    </w:p>
    <w:p w:rsidRPr="000C09CD" w:rsidR="000C09CD" w:rsidP="000C09CD" w14:paraId="02D6FFDA" w14:textId="58E9A4DD">
      <w:pPr>
        <w:pStyle w:val="JuPara"/>
        <w:rPr>
          <w:rFonts w:eastAsiaTheme="majorEastAsia"/>
        </w:rPr>
      </w:pPr>
      <w:r w:rsidRPr="000C09CD">
        <w:rPr>
          <w:rFonts w:eastAsiaTheme="majorEastAsia"/>
        </w:rPr>
        <w:fldChar w:fldCharType="begin"/>
      </w:r>
      <w:r w:rsidRPr="000C09CD">
        <w:rPr>
          <w:rFonts w:eastAsiaTheme="majorEastAsia"/>
        </w:rPr>
        <w:instrText xml:space="preserve"> SEQ level0 \*arabic \* MERGEFORMAT </w:instrText>
      </w:r>
      <w:r w:rsidRPr="000C09CD">
        <w:rPr>
          <w:rFonts w:eastAsiaTheme="majorEastAsia"/>
        </w:rPr>
        <w:fldChar w:fldCharType="separate"/>
      </w:r>
      <w:bookmarkStart w:name="paragraph00055" w:id="24"/>
      <w:r w:rsidRPr="000C09CD">
        <w:rPr>
          <w:rFonts w:eastAsiaTheme="majorEastAsia"/>
          <w:noProof/>
        </w:rPr>
        <w:t>39</w:t>
      </w:r>
      <w:bookmarkEnd w:id="24"/>
      <w:r w:rsidRPr="000C09CD">
        <w:rPr>
          <w:rFonts w:eastAsiaTheme="majorEastAsia"/>
        </w:rPr>
        <w:fldChar w:fldCharType="end"/>
      </w:r>
      <w:r w:rsidRPr="000C09CD">
        <w:rPr>
          <w:rFonts w:eastAsiaTheme="majorEastAsia"/>
        </w:rPr>
        <w:t xml:space="preserve">.  Within the framework of the European Union, Article 2 §§ 1 (b) and 3 </w:t>
      </w:r>
      <w:r w:rsidRPr="000C09CD">
        <w:t xml:space="preserve">of Council Regulation (EC) No. 2580/2001 of 27 December 2001 on specific restrictive measures directed against certain persons and entities with a view to combating terrorism (OJ 2001 L 344, p. 70) specifically </w:t>
      </w:r>
      <w:r w:rsidRPr="000C09CD">
        <w:rPr>
          <w:rFonts w:eastAsiaTheme="majorEastAsia"/>
        </w:rPr>
        <w:t>provides:</w:t>
      </w:r>
    </w:p>
    <w:p w:rsidRPr="000C09CD" w:rsidR="000C09CD" w:rsidP="000C09CD" w14:paraId="0D2209FE" w14:textId="77777777">
      <w:pPr>
        <w:pStyle w:val="JuQuot"/>
      </w:pPr>
      <w:r w:rsidRPr="000C09CD">
        <w:t>“1.  Except as permitted under Articles 5 and 6:</w:t>
      </w:r>
    </w:p>
    <w:p w:rsidRPr="000C09CD" w:rsidR="000C09CD" w:rsidP="000C09CD" w14:paraId="6DE606CD" w14:textId="77777777">
      <w:pPr>
        <w:pStyle w:val="JuQuot"/>
      </w:pPr>
      <w:r w:rsidRPr="000C09CD">
        <w:t>...</w:t>
      </w:r>
    </w:p>
    <w:p w:rsidRPr="000C09CD" w:rsidR="000C09CD" w:rsidP="000C09CD" w14:paraId="2C9FD9C8" w14:textId="77777777">
      <w:pPr>
        <w:pStyle w:val="JuQuot"/>
      </w:pPr>
      <w:r w:rsidRPr="000C09CD">
        <w:t xml:space="preserve">(b)  no funds, other financial assets and economic resources shall be made available, </w:t>
      </w:r>
      <w:r w:rsidRPr="000C09CD">
        <w:t>directly</w:t>
      </w:r>
      <w:r w:rsidRPr="000C09CD">
        <w:t xml:space="preserve"> or indirectly, to, or for the benefit of, a natural or legal person, group or entity included in the list referred to in paragraph 3.</w:t>
      </w:r>
    </w:p>
    <w:p w:rsidRPr="000C09CD" w:rsidR="000C09CD" w:rsidP="000C09CD" w14:paraId="0B7286D4" w14:textId="77777777">
      <w:pPr>
        <w:pStyle w:val="JuQuot"/>
      </w:pPr>
      <w:r w:rsidRPr="000C09CD">
        <w:t>...</w:t>
      </w:r>
    </w:p>
    <w:p w:rsidRPr="000C09CD" w:rsidR="000C09CD" w:rsidP="000C09CD" w14:paraId="43AB3D32" w14:textId="77777777">
      <w:pPr>
        <w:pStyle w:val="JuQuot"/>
      </w:pPr>
      <w:r w:rsidRPr="000C09CD">
        <w:t xml:space="preserve">3.  The Council, acting by unanimity, shall establish, </w:t>
      </w:r>
      <w:r w:rsidRPr="000C09CD">
        <w:t>review</w:t>
      </w:r>
      <w:r w:rsidRPr="000C09CD">
        <w:t xml:space="preserve"> and amend the list of persons, groups and entities to which this Regulation applies, in accordance with the provisions laid down in Article 1(4), (5) and (6) of Common Position 2001/931/CFSP; such list shall consist of:</w:t>
      </w:r>
    </w:p>
    <w:p w:rsidRPr="000C09CD" w:rsidR="000C09CD" w:rsidP="000C09CD" w14:paraId="1B577A43" w14:textId="77777777">
      <w:pPr>
        <w:pStyle w:val="JuQuot"/>
      </w:pPr>
      <w:r w:rsidRPr="000C09CD">
        <w:t>i</w:t>
      </w:r>
      <w:r w:rsidRPr="000C09CD">
        <w:t xml:space="preserve">)  natural persons committing, or attempting to commit, participating in or facilitating the commission of any act of </w:t>
      </w:r>
      <w:r w:rsidRPr="000C09CD">
        <w:t>terrorism;</w:t>
      </w:r>
    </w:p>
    <w:p w:rsidRPr="000C09CD" w:rsidR="000C09CD" w:rsidP="000C09CD" w14:paraId="05FA20AE" w14:textId="77777777">
      <w:pPr>
        <w:pStyle w:val="JuQuot"/>
      </w:pPr>
      <w:r w:rsidRPr="000C09CD">
        <w:t xml:space="preserve">ii)  legal persons, groups or entities committing, or attempting to commit, participating in or facilitating the commission of any act of </w:t>
      </w:r>
      <w:r w:rsidRPr="000C09CD">
        <w:t>terrorism;</w:t>
      </w:r>
    </w:p>
    <w:p w:rsidRPr="000C09CD" w:rsidR="000C09CD" w:rsidP="000C09CD" w14:paraId="67C4597F" w14:textId="77777777">
      <w:pPr>
        <w:pStyle w:val="JuQuot"/>
      </w:pPr>
      <w:r w:rsidRPr="000C09CD">
        <w:t>iii)  legal persons, groups or entities owned or controlled by one or more natural or legal persons, groups or entities referred to in points (</w:t>
      </w:r>
      <w:r w:rsidRPr="000C09CD">
        <w:t>i</w:t>
      </w:r>
      <w:r w:rsidRPr="000C09CD">
        <w:t>) and (ii); or</w:t>
      </w:r>
    </w:p>
    <w:p w:rsidRPr="000C09CD" w:rsidR="000C09CD" w:rsidP="000C09CD" w14:paraId="72AA565E" w14:textId="77777777">
      <w:pPr>
        <w:pStyle w:val="JuQuot"/>
      </w:pPr>
      <w:r w:rsidRPr="000C09CD">
        <w:t>iv)  natural legal persons, groups or entities acting on behalf of or at the direction of one or more natural or legal persons, groups or entities referred to in points (</w:t>
      </w:r>
      <w:r w:rsidRPr="000C09CD">
        <w:t>i</w:t>
      </w:r>
      <w:r w:rsidRPr="000C09CD">
        <w:t>) and (ii).”</w:t>
      </w:r>
    </w:p>
    <w:p w:rsidRPr="000C09CD" w:rsidR="000C09CD" w:rsidP="000C09CD" w14:paraId="0BC0504F" w14:textId="42210D6D">
      <w:pPr>
        <w:spacing w:after="75"/>
        <w:jc w:val="both"/>
      </w:pPr>
      <w:r w:rsidRPr="000C09CD">
        <w:t xml:space="preserve">As outlined in paragraph </w:t>
      </w:r>
      <w:r w:rsidRPr="000C09CD">
        <w:fldChar w:fldCharType="begin"/>
      </w:r>
      <w:r w:rsidRPr="000C09CD">
        <w:instrText xml:space="preserve"> REF paragraph00041 \h  \* CharFormat  \* MERGEFORMAT </w:instrText>
      </w:r>
      <w:r w:rsidRPr="000C09CD">
        <w:fldChar w:fldCharType="separate"/>
      </w:r>
      <w:r w:rsidRPr="000C09CD">
        <w:t>40</w:t>
      </w:r>
      <w:r w:rsidRPr="000C09CD">
        <w:fldChar w:fldCharType="end"/>
      </w:r>
      <w:r w:rsidRPr="000C09CD">
        <w:t xml:space="preserve"> below, Hamas is listed among the organisations referred to in Common Position 2001/931/CFSP on the application of specific measures to combat terrorism, adopted by the Council of the European Union on 27 December 2001 (OJ 2001 L 344, p. 93).</w:t>
      </w:r>
    </w:p>
    <w:p w:rsidRPr="000C09CD" w:rsidR="000C09CD" w:rsidP="000C09CD" w14:paraId="6BD5996C" w14:textId="77777777">
      <w:pPr>
        <w:pStyle w:val="JuPara"/>
      </w:pPr>
      <w:r w:rsidRPr="000C09CD">
        <w:t>Article 3 § 1 of Council Regulation (EC) No. 2580/2001 similarly uses the term “directly or indirectly” and provides:</w:t>
      </w:r>
    </w:p>
    <w:p w:rsidRPr="000C09CD" w:rsidR="000C09CD" w:rsidP="000C09CD" w14:paraId="7C6BC34F" w14:textId="77777777">
      <w:pPr>
        <w:pStyle w:val="JuQuot"/>
      </w:pPr>
      <w:r w:rsidRPr="000C09CD">
        <w:t>“The participation, knowingly and intentionally, in activities, the object or effect of which is, directly or indirectly, to circumvent Article 2 shall be prohibited.”</w:t>
      </w:r>
    </w:p>
    <w:p w:rsidRPr="000C09CD" w:rsidR="000C09CD" w:rsidP="000C09CD" w14:paraId="4D30B04C" w14:textId="77777777">
      <w:pPr>
        <w:pStyle w:val="JuHA"/>
        <w:numPr>
          <w:ilvl w:val="2"/>
          <w:numId w:val="36"/>
        </w:numPr>
        <w:ind w:left="584" w:hanging="352"/>
      </w:pPr>
      <w:r w:rsidRPr="000C09CD">
        <w:t xml:space="preserve">European framework designating Hamas as a terrorist </w:t>
      </w:r>
      <w:r w:rsidRPr="000C09CD">
        <w:t>organisation</w:t>
      </w:r>
    </w:p>
    <w:p w:rsidRPr="000C09CD" w:rsidR="000C09CD" w:rsidP="000C09CD" w14:paraId="5FE84486" w14:textId="4A19E23F">
      <w:pPr>
        <w:pStyle w:val="JuPara"/>
      </w:pPr>
      <w:r>
        <w:fldChar w:fldCharType="begin"/>
      </w:r>
      <w:r>
        <w:instrText xml:space="preserve"> SEQ level0 \*arabic \* MERGEFORMAT </w:instrText>
      </w:r>
      <w:r>
        <w:fldChar w:fldCharType="separate"/>
      </w:r>
      <w:bookmarkStart w:name="paragraph00041" w:id="25"/>
      <w:r w:rsidRPr="000C09CD">
        <w:rPr>
          <w:noProof/>
        </w:rPr>
        <w:t>40</w:t>
      </w:r>
      <w:bookmarkEnd w:id="25"/>
      <w:r>
        <w:fldChar w:fldCharType="end"/>
      </w:r>
      <w:r w:rsidRPr="000C09CD">
        <w:t xml:space="preserve">.  The European Union’s Council Common Position 2003/651/CFSP of 12 September 2003 updating Common Position 2001/931/CFSP (see paragraph 39 above) and repealing Common Position 2003/482/CFSP (OJ 2003 L 229, p. 42) included (the entirety of) “Hamas” in the list of the “persons, groups and entities involved in terrorist acts”, that is, among the organisations referred to in Common Position 2001/931/CFSP (see paragraph 39 above), which implements UN Security Council Resolution 1373 (2001) (see paragraph </w:t>
      </w:r>
      <w:r w:rsidRPr="000C09CD">
        <w:fldChar w:fldCharType="begin"/>
      </w:r>
      <w:r w:rsidRPr="000C09CD">
        <w:instrText xml:space="preserve"> REF paragraph00040 \h  \* CharFormat  \* MERGEFORMAT </w:instrText>
      </w:r>
      <w:r w:rsidRPr="000C09CD">
        <w:fldChar w:fldCharType="separate"/>
      </w:r>
      <w:r w:rsidRPr="000C09CD">
        <w:t>37</w:t>
      </w:r>
      <w:r w:rsidRPr="000C09CD">
        <w:fldChar w:fldCharType="end"/>
      </w:r>
      <w:r w:rsidRPr="000C09CD">
        <w:t xml:space="preserve"> above).</w:t>
      </w:r>
    </w:p>
    <w:p w:rsidRPr="000C09CD" w:rsidR="000C09CD" w:rsidP="000C09CD" w14:paraId="6C99BE9D" w14:textId="28D76BD7">
      <w:pPr>
        <w:pStyle w:val="JuPara"/>
      </w:pPr>
      <w:r>
        <w:fldChar w:fldCharType="begin"/>
      </w:r>
      <w:r>
        <w:instrText xml:space="preserve"> SEQ level0 \*arabic \* MERGEFORMAT </w:instrText>
      </w:r>
      <w:r>
        <w:fldChar w:fldCharType="separate"/>
      </w:r>
      <w:bookmarkStart w:name="paragraph00042" w:id="26"/>
      <w:r w:rsidRPr="000C09CD">
        <w:rPr>
          <w:noProof/>
        </w:rPr>
        <w:t>41</w:t>
      </w:r>
      <w:bookmarkEnd w:id="26"/>
      <w:r>
        <w:fldChar w:fldCharType="end"/>
      </w:r>
      <w:r w:rsidRPr="000C09CD">
        <w:t xml:space="preserve">.  Furthermore, in its judgment of 23 November 2021 in </w:t>
      </w:r>
      <w:r w:rsidRPr="000C09CD">
        <w:rPr>
          <w:i/>
          <w:iCs/>
        </w:rPr>
        <w:t>Council v. Hamas</w:t>
      </w:r>
      <w:r w:rsidRPr="000C09CD">
        <w:t xml:space="preserve"> (C</w:t>
      </w:r>
      <w:r w:rsidRPr="000C09CD">
        <w:noBreakHyphen/>
        <w:t xml:space="preserve">833/19 P, EU:C:2021:950) the Court of Justice of the European Union (Grand Chamber) dismissed an action brought by Hamas against several Council of the European Union decisions maintaining Hamas’s name on the (updated) lists of persons, groups and entities involved in terrorist acts. In the case giving rise to that judgment, the General Court of the European </w:t>
      </w:r>
      <w:r w:rsidRPr="000C09CD">
        <w:t xml:space="preserve">Union – in its judgment of 4 September 2019 in </w:t>
      </w:r>
      <w:r w:rsidRPr="000C09CD">
        <w:rPr>
          <w:i/>
          <w:iCs/>
        </w:rPr>
        <w:t>Hamas v. Council</w:t>
      </w:r>
      <w:r w:rsidRPr="000C09CD">
        <w:t xml:space="preserve"> (T</w:t>
      </w:r>
      <w:r w:rsidRPr="000C09CD">
        <w:noBreakHyphen/>
        <w:t xml:space="preserve">308/18, </w:t>
      </w:r>
      <w:r w:rsidRPr="000C09CD">
        <w:t>EU:T</w:t>
      </w:r>
      <w:r w:rsidRPr="000C09CD">
        <w:t>:2019:557) – had rejected a plea that there had been an error of assessment as regards the terrorist nature of Hamas (§§ 201-26).</w:t>
      </w:r>
    </w:p>
    <w:p w:rsidRPr="000C09CD" w:rsidR="000C09CD" w:rsidP="000C09CD" w14:paraId="6132897D" w14:textId="77777777">
      <w:pPr>
        <w:pStyle w:val="JuHHead"/>
        <w:numPr>
          <w:ilvl w:val="0"/>
          <w:numId w:val="36"/>
        </w:numPr>
      </w:pPr>
      <w:r w:rsidRPr="000C09CD">
        <w:t>THE LAW</w:t>
      </w:r>
    </w:p>
    <w:p w:rsidRPr="000C09CD" w:rsidR="000C09CD" w:rsidP="000C09CD" w14:paraId="6AD1755F" w14:textId="77777777">
      <w:pPr>
        <w:pStyle w:val="JuHIRoman"/>
        <w:numPr>
          <w:ilvl w:val="0"/>
          <w:numId w:val="0"/>
        </w:numPr>
        <w:ind w:left="369"/>
      </w:pPr>
      <w:r w:rsidRPr="000C09CD">
        <w:t>ALLEGED VIOLATION OF ARTICLE 11 OF THE CONVENTION</w:t>
      </w:r>
    </w:p>
    <w:p w:rsidRPr="000C09CD" w:rsidR="000C09CD" w:rsidP="000C09CD" w14:paraId="0090AC1C" w14:textId="00E1180A">
      <w:pPr>
        <w:pStyle w:val="JuPara"/>
      </w:pPr>
      <w:r w:rsidRPr="000C09CD">
        <w:fldChar w:fldCharType="begin"/>
      </w:r>
      <w:r w:rsidRPr="000C09CD">
        <w:instrText xml:space="preserve"> SEQ level0 \*arabic </w:instrText>
      </w:r>
      <w:r w:rsidRPr="000C09CD">
        <w:fldChar w:fldCharType="separate"/>
      </w:r>
      <w:r w:rsidRPr="000C09CD">
        <w:rPr>
          <w:noProof/>
        </w:rPr>
        <w:t>42</w:t>
      </w:r>
      <w:r w:rsidRPr="000C09CD">
        <w:fldChar w:fldCharType="end"/>
      </w:r>
      <w:r w:rsidRPr="000C09CD">
        <w:t>.  The applicant association complained that its proscription and the seizure of its assets had violated its right to freedom of association as provided in Article 11 of the Convention, the relevant part of which reads as follows:</w:t>
      </w:r>
    </w:p>
    <w:p w:rsidRPr="000C09CD" w:rsidR="000C09CD" w:rsidP="000C09CD" w14:paraId="4927658B" w14:textId="77777777">
      <w:pPr>
        <w:pStyle w:val="JuQuot"/>
      </w:pPr>
      <w:r w:rsidRPr="000C09CD">
        <w:t>“1.  Everyone has the right to freedom of peaceful assembly and to freedom of association with others ...</w:t>
      </w:r>
    </w:p>
    <w:p w:rsidRPr="000C09CD" w:rsidR="000C09CD" w:rsidP="000C09CD" w14:paraId="076F6842" w14:textId="77777777">
      <w:pPr>
        <w:pStyle w:val="JuQuot"/>
      </w:pPr>
      <w:r w:rsidRPr="000C09CD">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0C09CD" w:rsidR="000C09CD" w:rsidP="000C09CD" w14:paraId="57FF53FD" w14:textId="77777777">
      <w:pPr>
        <w:pStyle w:val="JuHA"/>
        <w:numPr>
          <w:ilvl w:val="2"/>
          <w:numId w:val="36"/>
        </w:numPr>
        <w:ind w:left="584" w:hanging="352"/>
      </w:pPr>
      <w:r w:rsidRPr="000C09CD">
        <w:t>Admissibility</w:t>
      </w:r>
    </w:p>
    <w:p w:rsidRPr="000C09CD" w:rsidR="000C09CD" w:rsidP="000C09CD" w14:paraId="7945EA99" w14:textId="70505399">
      <w:pPr>
        <w:pStyle w:val="JuPara"/>
      </w:pPr>
      <w:r>
        <w:fldChar w:fldCharType="begin"/>
      </w:r>
      <w:r>
        <w:instrText xml:space="preserve"> SEQ level0 \*arabic \* MERGEFORMAT </w:instrText>
      </w:r>
      <w:r>
        <w:fldChar w:fldCharType="separate"/>
      </w:r>
      <w:r w:rsidRPr="000C09CD">
        <w:rPr>
          <w:noProof/>
        </w:rPr>
        <w:t>43</w:t>
      </w:r>
      <w:r w:rsidRPr="000C09CD">
        <w:rPr>
          <w:noProof/>
        </w:rPr>
        <w:fldChar w:fldCharType="end"/>
      </w:r>
      <w:r w:rsidRPr="000C09CD">
        <w:t>.  Without formally raising a separate plea of inadmissibility in their observations, the Government submitted under the heading “Legal Assessment” that the application was inadmissible in so far as the applicant association had claimed that there had been no opportunity to obtain redress prior to its proscription. In this connection they referred to their subsequent submissions under the heading “Proportionality of the measure” where they maintained that in the proceedings before the Federal Constitutional Court, the applicant association had not raised the issue that it had not been heard by the Ministry or given an opportunity to remedy shortcomings prior to its proscription and that this complaint should therefore be rejected for non-exhaustion of domestic remedies.</w:t>
      </w:r>
    </w:p>
    <w:p w:rsidRPr="000C09CD" w:rsidR="000C09CD" w:rsidP="000C09CD" w14:paraId="0A45D9AF" w14:textId="182788E5">
      <w:pPr>
        <w:pStyle w:val="JuPara"/>
      </w:pPr>
      <w:r>
        <w:fldChar w:fldCharType="begin"/>
      </w:r>
      <w:r>
        <w:instrText xml:space="preserve"> SEQ level0 \*arabic \* MERGEFORMAT </w:instrText>
      </w:r>
      <w:r>
        <w:fldChar w:fldCharType="separate"/>
      </w:r>
      <w:r w:rsidRPr="000C09CD">
        <w:rPr>
          <w:noProof/>
        </w:rPr>
        <w:t>44</w:t>
      </w:r>
      <w:r w:rsidRPr="000C09CD">
        <w:rPr>
          <w:noProof/>
        </w:rPr>
        <w:fldChar w:fldCharType="end"/>
      </w:r>
      <w:r w:rsidRPr="000C09CD">
        <w:t>.  The applicant association did not reply to the Government’s observations but manifested its continued interest in the examination of the application.</w:t>
      </w:r>
    </w:p>
    <w:p w:rsidRPr="000C09CD" w:rsidR="000C09CD" w:rsidP="000C09CD" w14:paraId="34BCC9D8" w14:textId="2378EB0B">
      <w:pPr>
        <w:pStyle w:val="JuPara"/>
      </w:pPr>
      <w:r>
        <w:fldChar w:fldCharType="begin"/>
      </w:r>
      <w:r>
        <w:instrText xml:space="preserve"> SEQ level0 \*arabic \* MERGEFORMAT </w:instrText>
      </w:r>
      <w:r>
        <w:fldChar w:fldCharType="separate"/>
      </w:r>
      <w:r w:rsidRPr="000C09CD">
        <w:rPr>
          <w:noProof/>
        </w:rPr>
        <w:t>45</w:t>
      </w:r>
      <w:r w:rsidRPr="000C09CD">
        <w:rPr>
          <w:noProof/>
        </w:rPr>
        <w:fldChar w:fldCharType="end"/>
      </w:r>
      <w:r w:rsidRPr="000C09CD">
        <w:t xml:space="preserve">.  The general principles on exhaustion of domestic remedies are summarised, </w:t>
      </w:r>
      <w:r w:rsidRPr="000C09CD">
        <w:rPr>
          <w:i/>
          <w:iCs/>
        </w:rPr>
        <w:t>inter alia</w:t>
      </w:r>
      <w:r w:rsidRPr="000C09CD">
        <w:t xml:space="preserve">, in </w:t>
      </w:r>
      <w:r w:rsidRPr="000C09CD">
        <w:rPr>
          <w:i/>
          <w:iCs/>
        </w:rPr>
        <w:t>Vučković</w:t>
      </w:r>
      <w:r w:rsidRPr="000C09CD">
        <w:rPr>
          <w:i/>
          <w:iCs/>
        </w:rPr>
        <w:t xml:space="preserve"> and Others v. Serbia</w:t>
      </w:r>
      <w:r w:rsidRPr="000C09CD">
        <w:t xml:space="preserve"> ((preliminary objection) [GC], nos. 17153/11 and 29 others, §§ 69-77, 25 March 2014). In particular, Article 35 § 1 of the Convention requires </w:t>
      </w:r>
      <w:r w:rsidRPr="000C09CD">
        <w:rPr>
          <w:rFonts w:ascii="Times New Roman" w:hAnsi="Times New Roman" w:cs="Times New Roman"/>
          <w:color w:val="000000"/>
        </w:rPr>
        <w:t>that the complaints intended to be made subsequently to the Court should have been made to the appropriate domestic body, at least in substance and in compliance with the formal requirements and time-limits laid down in domestic law and, further, that any procedural means that might prevent a breach of the Convention should have been used</w:t>
      </w:r>
      <w:r w:rsidRPr="000C09CD">
        <w:t xml:space="preserve"> (ibid., § 72, with further references).</w:t>
      </w:r>
    </w:p>
    <w:p w:rsidRPr="000C09CD" w:rsidR="000C09CD" w:rsidP="000C09CD" w14:paraId="499830F2" w14:textId="2CF7B3CA">
      <w:pPr>
        <w:pStyle w:val="JuPara"/>
      </w:pPr>
      <w:r>
        <w:fldChar w:fldCharType="begin"/>
      </w:r>
      <w:r>
        <w:instrText xml:space="preserve"> SEQ level0 \*arabic \* MERGEFORMAT </w:instrText>
      </w:r>
      <w:r>
        <w:fldChar w:fldCharType="separate"/>
      </w:r>
      <w:r w:rsidRPr="000C09CD">
        <w:rPr>
          <w:noProof/>
        </w:rPr>
        <w:t>46</w:t>
      </w:r>
      <w:r w:rsidRPr="000C09CD">
        <w:rPr>
          <w:noProof/>
        </w:rPr>
        <w:fldChar w:fldCharType="end"/>
      </w:r>
      <w:r w:rsidRPr="000C09CD">
        <w:t xml:space="preserve">.  The Court notes at the outset that the applicant association’s submission in its application form before the Court that it had not been heard or given an opportunity to remedy shortcomings prior to its proscription was not made explicitly in its constitutional complaint. The applicant association had, however, alleged a violation of its freedom of association, guaranteed by both Article 9 of the Basic Law and Article 11 of the Convention, in its constitutional complaint and had alleged a breach of the principle of proportionality (see paragraph </w:t>
      </w:r>
      <w:r w:rsidRPr="000C09CD">
        <w:fldChar w:fldCharType="begin"/>
      </w:r>
      <w:r w:rsidRPr="000C09CD">
        <w:instrText xml:space="preserve"> REF paragraph00027 \h  \* CharFormat  \* MERGEFORMAT </w:instrText>
      </w:r>
      <w:r w:rsidRPr="000C09CD">
        <w:fldChar w:fldCharType="separate"/>
      </w:r>
      <w:r w:rsidRPr="000C09CD">
        <w:t>27</w:t>
      </w:r>
      <w:r w:rsidRPr="000C09CD">
        <w:fldChar w:fldCharType="end"/>
      </w:r>
      <w:r w:rsidRPr="000C09CD">
        <w:t xml:space="preserve"> above). In that connection, the applicant association had expressly pointed to the national authorities’ obligation to consider less intrusive measures and had referred specifically to the possibility of restricting its future activities to providing support to societies outside Gaza.</w:t>
      </w:r>
    </w:p>
    <w:p w:rsidRPr="000C09CD" w:rsidR="000C09CD" w:rsidP="000C09CD" w14:paraId="6E9A86B5" w14:textId="29DCEA62">
      <w:pPr>
        <w:pStyle w:val="JuPara"/>
      </w:pPr>
      <w:r>
        <w:fldChar w:fldCharType="begin"/>
      </w:r>
      <w:r>
        <w:instrText xml:space="preserve"> SEQ level0 \*arabic \* MERGEFORMAT </w:instrText>
      </w:r>
      <w:r>
        <w:fldChar w:fldCharType="separate"/>
      </w:r>
      <w:r w:rsidRPr="000C09CD">
        <w:rPr>
          <w:noProof/>
        </w:rPr>
        <w:t>47</w:t>
      </w:r>
      <w:r w:rsidRPr="000C09CD">
        <w:rPr>
          <w:noProof/>
        </w:rPr>
        <w:fldChar w:fldCharType="end"/>
      </w:r>
      <w:r w:rsidRPr="000C09CD">
        <w:t xml:space="preserve">.  The Court further observes that the applicant association’s submission before the Court that it had not been heard or given an opportunity to remedy shortcomings prior to its proscription has to be interpreted in the light of its overall submissions in the application form (see paragraphs </w:t>
      </w:r>
      <w:r w:rsidRPr="000C09CD">
        <w:fldChar w:fldCharType="begin"/>
      </w:r>
      <w:r w:rsidRPr="000C09CD">
        <w:instrText xml:space="preserve"> REF paragraph00069 \h  \* CharFormat  \* MERGEFORMAT </w:instrText>
      </w:r>
      <w:r w:rsidRPr="000C09CD">
        <w:fldChar w:fldCharType="separate"/>
      </w:r>
      <w:r w:rsidRPr="000C09CD">
        <w:t>52</w:t>
      </w:r>
      <w:r w:rsidRPr="000C09CD">
        <w:fldChar w:fldCharType="end"/>
      </w:r>
      <w:r w:rsidRPr="000C09CD">
        <w:t>-</w:t>
      </w:r>
      <w:r w:rsidRPr="000C09CD">
        <w:fldChar w:fldCharType="begin"/>
      </w:r>
      <w:r w:rsidRPr="000C09CD">
        <w:instrText xml:space="preserve"> REF paragraph00058 \h  \* CharFormat  \* MERGEFORMAT </w:instrText>
      </w:r>
      <w:r w:rsidRPr="000C09CD">
        <w:fldChar w:fldCharType="separate"/>
      </w:r>
      <w:r w:rsidRPr="000C09CD">
        <w:t>57</w:t>
      </w:r>
      <w:r w:rsidRPr="000C09CD">
        <w:fldChar w:fldCharType="end"/>
      </w:r>
      <w:r w:rsidRPr="000C09CD">
        <w:t xml:space="preserve"> below), in which it solely alleged a substantive violation of Article 11 of the Convention. In the Court’s view, the applicant association can only be understood to have been arguing that being heard or given an opportunity to remedy shortcomings would have been a less intrusive measure than outright proscription.</w:t>
      </w:r>
    </w:p>
    <w:p w:rsidRPr="000C09CD" w:rsidR="000C09CD" w:rsidP="000C09CD" w14:paraId="392EC2F1" w14:textId="0962FD8A">
      <w:pPr>
        <w:pStyle w:val="JuPara"/>
      </w:pPr>
      <w:r>
        <w:fldChar w:fldCharType="begin"/>
      </w:r>
      <w:r>
        <w:instrText xml:space="preserve"> SEQ level0 \*arabic \* MERGEFORMAT </w:instrText>
      </w:r>
      <w:r>
        <w:fldChar w:fldCharType="separate"/>
      </w:r>
      <w:r w:rsidRPr="000C09CD">
        <w:rPr>
          <w:noProof/>
        </w:rPr>
        <w:t>48</w:t>
      </w:r>
      <w:r w:rsidRPr="000C09CD">
        <w:rPr>
          <w:noProof/>
        </w:rPr>
        <w:fldChar w:fldCharType="end"/>
      </w:r>
      <w:r w:rsidRPr="000C09CD">
        <w:t xml:space="preserve">.  The Court further bears in mind that the Federal Constitutional Court elaborated in detail on less intrusive measures and gave a non-exhaustive list of examples (see paragraph </w:t>
      </w:r>
      <w:r w:rsidRPr="000C09CD">
        <w:fldChar w:fldCharType="begin"/>
      </w:r>
      <w:r w:rsidRPr="000C09CD">
        <w:instrText xml:space="preserve"> REF paragraph00029 \h  \* CharFormat  \* MERGEFORMAT </w:instrText>
      </w:r>
      <w:r w:rsidRPr="000C09CD">
        <w:fldChar w:fldCharType="separate"/>
      </w:r>
      <w:r w:rsidRPr="000C09CD">
        <w:t>29</w:t>
      </w:r>
      <w:r w:rsidRPr="000C09CD">
        <w:fldChar w:fldCharType="end"/>
      </w:r>
      <w:r w:rsidRPr="000C09CD">
        <w:t xml:space="preserve"> above). In the Court’s understanding, the Federal Constitutional Court’s findings indicate that the applicant association’s express complaint of disproportionality, accompanied by the argument that it could have restricted its future activities, was a sufficient invitation to that court to consider all possible measures that would be less intrusive – including, for example, that of giving the association a hearing and the opportunity to remedy shortcomings before its proscription was ordered. The Federal Constitutional Court, however, concluded that restrictions on specific activities or “other less restrictive measures” would not have been sufficiently effective in the present case (see paragraph </w:t>
      </w:r>
      <w:r w:rsidRPr="000C09CD">
        <w:fldChar w:fldCharType="begin"/>
      </w:r>
      <w:r w:rsidRPr="000C09CD">
        <w:instrText xml:space="preserve"> REF paragraph00037 \h  \* CharFormat  \* MERGEFORMAT </w:instrText>
      </w:r>
      <w:r w:rsidRPr="000C09CD">
        <w:fldChar w:fldCharType="separate"/>
      </w:r>
      <w:r w:rsidRPr="000C09CD">
        <w:t>31</w:t>
      </w:r>
      <w:r w:rsidRPr="000C09CD">
        <w:fldChar w:fldCharType="end"/>
      </w:r>
      <w:r w:rsidRPr="000C09CD">
        <w:t xml:space="preserve"> above).</w:t>
      </w:r>
    </w:p>
    <w:p w:rsidRPr="000C09CD" w:rsidR="000C09CD" w:rsidP="000C09CD" w14:paraId="51F974B0" w14:textId="1EBC5069">
      <w:pPr>
        <w:pStyle w:val="JuPara"/>
      </w:pPr>
      <w:r>
        <w:fldChar w:fldCharType="begin"/>
      </w:r>
      <w:r>
        <w:instrText xml:space="preserve"> SEQ level0 \*arabic \* MERGEFORMAT </w:instrText>
      </w:r>
      <w:r>
        <w:fldChar w:fldCharType="separate"/>
      </w:r>
      <w:r w:rsidRPr="000C09CD">
        <w:rPr>
          <w:noProof/>
        </w:rPr>
        <w:t>49</w:t>
      </w:r>
      <w:r w:rsidRPr="000C09CD">
        <w:rPr>
          <w:noProof/>
        </w:rPr>
        <w:fldChar w:fldCharType="end"/>
      </w:r>
      <w:r w:rsidRPr="000C09CD">
        <w:t xml:space="preserve">.  Reiterating its case-law to the effect that the purpose of Article 35 § 1 is to afford Contracting States the opportunity to prevent or put right the violations alleged against them before those allegations are submitted to it (see, </w:t>
      </w:r>
      <w:r w:rsidRPr="000C09CD">
        <w:rPr>
          <w:i/>
          <w:iCs/>
        </w:rPr>
        <w:t>inter alia</w:t>
      </w:r>
      <w:r w:rsidRPr="000C09CD">
        <w:t xml:space="preserve">, </w:t>
      </w:r>
      <w:r w:rsidRPr="000C09CD">
        <w:rPr>
          <w:i/>
        </w:rPr>
        <w:t>Vučković</w:t>
      </w:r>
      <w:r w:rsidRPr="000C09CD">
        <w:rPr>
          <w:i/>
        </w:rPr>
        <w:t xml:space="preserve"> and Others</w:t>
      </w:r>
      <w:r w:rsidRPr="000C09CD">
        <w:t>, cited above, § 70, with further references), the Court is satisfied in the present case that the respondent State has been given ample opportunity to address the applicant association’s arguments pertaining to its complaint that the proscription had been a disproportionate measure interfering with its right to freedom of association.</w:t>
      </w:r>
    </w:p>
    <w:p w:rsidRPr="000C09CD" w:rsidR="000C09CD" w:rsidP="000C09CD" w14:paraId="69FE554F" w14:textId="079594A7">
      <w:pPr>
        <w:pStyle w:val="JuPara"/>
      </w:pPr>
      <w:r>
        <w:fldChar w:fldCharType="begin"/>
      </w:r>
      <w:r>
        <w:instrText xml:space="preserve"> SEQ level0 \*arabic \* MERGEFORMAT </w:instrText>
      </w:r>
      <w:r>
        <w:fldChar w:fldCharType="separate"/>
      </w:r>
      <w:r w:rsidRPr="000C09CD">
        <w:rPr>
          <w:noProof/>
        </w:rPr>
        <w:t>50</w:t>
      </w:r>
      <w:r w:rsidRPr="000C09CD">
        <w:rPr>
          <w:noProof/>
        </w:rPr>
        <w:fldChar w:fldCharType="end"/>
      </w:r>
      <w:r w:rsidRPr="000C09CD">
        <w:t>.  The Government’s non-exhaustion plea must therefore be dismissed.</w:t>
      </w:r>
    </w:p>
    <w:p w:rsidRPr="000C09CD" w:rsidR="000C09CD" w:rsidP="000C09CD" w14:paraId="5D1B9B94" w14:textId="1C09010F">
      <w:pPr>
        <w:pStyle w:val="JuPara"/>
      </w:pPr>
      <w:r>
        <w:fldChar w:fldCharType="begin"/>
      </w:r>
      <w:r>
        <w:instrText xml:space="preserve"> SEQ level0 \*arabic \* MERGEFORMAT </w:instrText>
      </w:r>
      <w:r>
        <w:fldChar w:fldCharType="separate"/>
      </w:r>
      <w:r w:rsidRPr="000C09CD">
        <w:rPr>
          <w:noProof/>
        </w:rPr>
        <w:t>51</w:t>
      </w:r>
      <w:r w:rsidRPr="000C09CD">
        <w:rPr>
          <w:noProof/>
        </w:rPr>
        <w:fldChar w:fldCharType="end"/>
      </w:r>
      <w:r w:rsidRPr="000C09CD">
        <w:t>.  The Court notes that the application is neither manifestly ill-founded nor inadmissible on any other grounds listed in Article 35 of the Convention. It must therefore be declared admissible.</w:t>
      </w:r>
    </w:p>
    <w:p w:rsidRPr="000C09CD" w:rsidR="000C09CD" w:rsidP="000C09CD" w14:paraId="072C5B7B" w14:textId="77777777">
      <w:pPr>
        <w:pStyle w:val="JuHA"/>
        <w:numPr>
          <w:ilvl w:val="2"/>
          <w:numId w:val="36"/>
        </w:numPr>
        <w:ind w:left="584" w:hanging="352"/>
      </w:pPr>
      <w:r w:rsidRPr="000C09CD">
        <w:t>Merits</w:t>
      </w:r>
    </w:p>
    <w:p w:rsidRPr="000C09CD" w:rsidR="000C09CD" w:rsidP="000C09CD" w14:paraId="4BBE2193" w14:textId="5D85E0BA">
      <w:pPr>
        <w:pStyle w:val="JuH1"/>
        <w:numPr>
          <w:ilvl w:val="3"/>
          <w:numId w:val="36"/>
        </w:numPr>
        <w:ind w:left="731" w:hanging="300"/>
      </w:pPr>
      <w:r w:rsidRPr="000C09CD">
        <w:t>The parties’ submissions</w:t>
      </w:r>
    </w:p>
    <w:p w:rsidRPr="000C09CD" w:rsidR="000C09CD" w:rsidP="000C09CD" w14:paraId="581ADE77" w14:textId="77777777">
      <w:pPr>
        <w:pStyle w:val="JuHa0"/>
        <w:numPr>
          <w:ilvl w:val="4"/>
          <w:numId w:val="36"/>
        </w:numPr>
        <w:ind w:left="975" w:hanging="340"/>
      </w:pPr>
      <w:r w:rsidRPr="000C09CD">
        <w:t>The applicant association</w:t>
      </w:r>
    </w:p>
    <w:p w:rsidRPr="000C09CD" w:rsidR="000C09CD" w:rsidP="000C09CD" w14:paraId="19D561CF" w14:textId="14204AD4">
      <w:pPr>
        <w:pStyle w:val="JuPara"/>
      </w:pPr>
      <w:r>
        <w:fldChar w:fldCharType="begin"/>
      </w:r>
      <w:r>
        <w:instrText xml:space="preserve"> SEQ level0 \*arabic \* MERGEFORMAT </w:instrText>
      </w:r>
      <w:r>
        <w:fldChar w:fldCharType="separate"/>
      </w:r>
      <w:bookmarkStart w:name="paragraph00069" w:id="27"/>
      <w:r w:rsidRPr="000C09CD">
        <w:rPr>
          <w:noProof/>
        </w:rPr>
        <w:t>52</w:t>
      </w:r>
      <w:bookmarkEnd w:id="27"/>
      <w:r>
        <w:fldChar w:fldCharType="end"/>
      </w:r>
      <w:r w:rsidRPr="000C09CD">
        <w:t>.  </w:t>
      </w:r>
      <w:bookmarkStart w:name="paragraph00053" w:id="28"/>
      <w:r w:rsidRPr="000C09CD">
        <w:t>The applicant association argued that the interference with its rights under Article 11 of the Convention had not been prescribed by law and had been disproportionate to the aims pursued.</w:t>
      </w:r>
    </w:p>
    <w:bookmarkEnd w:id="28"/>
    <w:p w:rsidRPr="000C09CD" w:rsidR="000C09CD" w:rsidP="000C09CD" w14:paraId="2A160F3A" w14:textId="5896ADB4">
      <w:pPr>
        <w:pStyle w:val="JuPara"/>
      </w:pPr>
      <w:r w:rsidRPr="000C09CD">
        <w:fldChar w:fldCharType="begin"/>
      </w:r>
      <w:r w:rsidRPr="000C09CD">
        <w:instrText xml:space="preserve"> SEQ level0 \*arabic \* MERGEFORMAT </w:instrText>
      </w:r>
      <w:r w:rsidRPr="000C09CD">
        <w:fldChar w:fldCharType="separate"/>
      </w:r>
      <w:bookmarkStart w:name="paragraph00054" w:id="29"/>
      <w:r w:rsidRPr="000C09CD">
        <w:rPr>
          <w:noProof/>
        </w:rPr>
        <w:t>53</w:t>
      </w:r>
      <w:bookmarkEnd w:id="29"/>
      <w:r w:rsidRPr="000C09CD">
        <w:fldChar w:fldCharType="end"/>
      </w:r>
      <w:r w:rsidRPr="000C09CD">
        <w:t>.  It claimed that proscription was not foreseeable from the Law on Associations “in [the] case of support activities in the form provided by the applicant [association]”.</w:t>
      </w:r>
    </w:p>
    <w:p w:rsidRPr="000C09CD" w:rsidR="000C09CD" w:rsidP="000C09CD" w14:paraId="2B52F36C" w14:textId="5D683808">
      <w:pPr>
        <w:pStyle w:val="JuPara"/>
      </w:pPr>
      <w:r>
        <w:fldChar w:fldCharType="begin"/>
      </w:r>
      <w:r>
        <w:instrText xml:space="preserve"> SEQ level0 \*arabic \* MERGEFORMAT </w:instrText>
      </w:r>
      <w:r>
        <w:fldChar w:fldCharType="separate"/>
      </w:r>
      <w:bookmarkStart w:name="paragraph00070" w:id="30"/>
      <w:r w:rsidRPr="000C09CD">
        <w:rPr>
          <w:noProof/>
        </w:rPr>
        <w:t>54</w:t>
      </w:r>
      <w:bookmarkEnd w:id="30"/>
      <w:r>
        <w:fldChar w:fldCharType="end"/>
      </w:r>
      <w:r w:rsidRPr="000C09CD">
        <w:t>.  Pointing to the fact that exceptions under Article 11 § 2 of the Convention were to be interpreted narrowly, the applicant association argued that the national courts had employed the term “support” for a terrorist organisation too broadly, basing their conclusions on a polynomial causal chain by which they attributed the financial aid it provided through the “social societies” to Hamas.</w:t>
      </w:r>
    </w:p>
    <w:p w:rsidRPr="000C09CD" w:rsidR="000C09CD" w:rsidP="000C09CD" w14:paraId="2851376C" w14:textId="50FC8E8E">
      <w:pPr>
        <w:pStyle w:val="JuPara"/>
      </w:pPr>
      <w:r>
        <w:fldChar w:fldCharType="begin"/>
      </w:r>
      <w:r>
        <w:instrText xml:space="preserve"> SEQ level0 \*arabic \* MERGEFORMAT </w:instrText>
      </w:r>
      <w:r>
        <w:fldChar w:fldCharType="separate"/>
      </w:r>
      <w:bookmarkStart w:name="paragraph00071" w:id="31"/>
      <w:r w:rsidRPr="000C09CD">
        <w:rPr>
          <w:noProof/>
        </w:rPr>
        <w:t>55</w:t>
      </w:r>
      <w:bookmarkEnd w:id="31"/>
      <w:r>
        <w:fldChar w:fldCharType="end"/>
      </w:r>
      <w:r w:rsidRPr="000C09CD">
        <w:t>.  The applicant association disputed that its object and activities could be characterised as proactively aggressive or directed against the concept of international understanding.</w:t>
      </w:r>
    </w:p>
    <w:p w:rsidRPr="000C09CD" w:rsidR="000C09CD" w:rsidP="000C09CD" w14:paraId="4EC8051F" w14:textId="0486EFA2">
      <w:pPr>
        <w:pStyle w:val="JuPara"/>
      </w:pPr>
      <w:r>
        <w:fldChar w:fldCharType="begin"/>
      </w:r>
      <w:r>
        <w:instrText xml:space="preserve"> SEQ level0 \*arabic \* MERGEFORMAT </w:instrText>
      </w:r>
      <w:r>
        <w:fldChar w:fldCharType="separate"/>
      </w:r>
      <w:bookmarkStart w:name="paragraph00072" w:id="32"/>
      <w:r w:rsidRPr="000C09CD">
        <w:rPr>
          <w:noProof/>
        </w:rPr>
        <w:t>56</w:t>
      </w:r>
      <w:bookmarkEnd w:id="32"/>
      <w:r>
        <w:fldChar w:fldCharType="end"/>
      </w:r>
      <w:r w:rsidRPr="000C09CD">
        <w:t xml:space="preserve">.  The applicant association maintained that the settlement proposed by the Federal Administrative Court (see paragraph </w:t>
      </w:r>
      <w:r w:rsidRPr="000C09CD">
        <w:fldChar w:fldCharType="begin"/>
      </w:r>
      <w:r w:rsidRPr="000C09CD">
        <w:instrText xml:space="preserve"> REF paragraph00020 \h  \* CharFormat  \* MERGEFORMAT </w:instrText>
      </w:r>
      <w:r w:rsidRPr="000C09CD">
        <w:fldChar w:fldCharType="separate"/>
      </w:r>
      <w:r w:rsidRPr="000C09CD">
        <w:t>19</w:t>
      </w:r>
      <w:r w:rsidRPr="000C09CD">
        <w:fldChar w:fldCharType="end"/>
      </w:r>
      <w:r w:rsidRPr="000C09CD">
        <w:t xml:space="preserve"> above) indicated that there were less intrusive measures than outright proscription, the proposal itself figuring among such less intrusive measures. Furthermore, the applicant association had never been given a chance to remedy its shortcomings, nor had it been informed in a clear and unequivocal manner about the authorities’ views on its allegedly illegal activities, although it had been carrying out its activities in Gaza since as early as the year 2000. It added that the Federal Administrative Court had not engaged in an independent assessment of the proportionality of proscription. The applicant association cited the Court’s case-law, in particular </w:t>
      </w:r>
      <w:bookmarkStart w:name="_cl37655" w:id="33"/>
      <w:r w:rsidRPr="000C09CD">
        <w:rPr>
          <w:i/>
          <w:iCs/>
        </w:rPr>
        <w:t>Tebieti</w:t>
      </w:r>
      <w:r w:rsidRPr="000C09CD">
        <w:rPr>
          <w:i/>
          <w:iCs/>
        </w:rPr>
        <w:t xml:space="preserve"> </w:t>
      </w:r>
      <w:r w:rsidRPr="000C09CD">
        <w:rPr>
          <w:i/>
          <w:iCs/>
        </w:rPr>
        <w:t>Mühafize</w:t>
      </w:r>
      <w:r w:rsidRPr="000C09CD">
        <w:rPr>
          <w:i/>
          <w:iCs/>
        </w:rPr>
        <w:t xml:space="preserve"> </w:t>
      </w:r>
      <w:r w:rsidRPr="000C09CD">
        <w:rPr>
          <w:i/>
          <w:iCs/>
        </w:rPr>
        <w:t>Cemiyyeti</w:t>
      </w:r>
      <w:r w:rsidRPr="000C09CD">
        <w:rPr>
          <w:i/>
          <w:iCs/>
        </w:rPr>
        <w:t xml:space="preserve"> and </w:t>
      </w:r>
      <w:r w:rsidRPr="000C09CD">
        <w:rPr>
          <w:i/>
          <w:iCs/>
        </w:rPr>
        <w:t>Israfilov</w:t>
      </w:r>
      <w:r w:rsidRPr="000C09CD">
        <w:rPr>
          <w:i/>
          <w:iCs/>
        </w:rPr>
        <w:t xml:space="preserve"> v. Azerbaijan</w:t>
      </w:r>
      <w:bookmarkEnd w:id="33"/>
      <w:r w:rsidRPr="000C09CD">
        <w:t xml:space="preserve"> (no. 37083/03, ECHR 2009), in support of its arguments.</w:t>
      </w:r>
    </w:p>
    <w:p w:rsidRPr="000C09CD" w:rsidR="000C09CD" w:rsidP="000C09CD" w14:paraId="6A795CC3" w14:textId="15C936AF">
      <w:pPr>
        <w:pStyle w:val="JuPara"/>
      </w:pPr>
      <w:r>
        <w:fldChar w:fldCharType="begin"/>
      </w:r>
      <w:r>
        <w:instrText xml:space="preserve"> SEQ level0 \*arabic \* MERGEFORMAT </w:instrText>
      </w:r>
      <w:r>
        <w:fldChar w:fldCharType="separate"/>
      </w:r>
      <w:bookmarkStart w:name="paragraph00058" w:id="34"/>
      <w:r w:rsidRPr="000C09CD">
        <w:rPr>
          <w:noProof/>
        </w:rPr>
        <w:t>57</w:t>
      </w:r>
      <w:bookmarkEnd w:id="34"/>
      <w:r>
        <w:fldChar w:fldCharType="end"/>
      </w:r>
      <w:r w:rsidRPr="000C09CD">
        <w:t>.  For the above reasons, the applicant association concluded that its proscription had been disproportionate and, therefore, not necessary in a democratic society within the meaning of Article 11 of the Convention.</w:t>
      </w:r>
    </w:p>
    <w:p w:rsidRPr="000C09CD" w:rsidR="000C09CD" w:rsidP="000C09CD" w14:paraId="4CE89143" w14:textId="77777777">
      <w:pPr>
        <w:pStyle w:val="JuHa0"/>
        <w:numPr>
          <w:ilvl w:val="4"/>
          <w:numId w:val="36"/>
        </w:numPr>
        <w:ind w:left="975" w:hanging="340"/>
      </w:pPr>
      <w:r w:rsidRPr="000C09CD">
        <w:t>The Government</w:t>
      </w:r>
    </w:p>
    <w:p w:rsidRPr="000C09CD" w:rsidR="000C09CD" w:rsidP="000C09CD" w14:paraId="11198AD0" w14:textId="6576ED1F">
      <w:pPr>
        <w:pStyle w:val="JuPara"/>
      </w:pPr>
      <w:r>
        <w:fldChar w:fldCharType="begin"/>
      </w:r>
      <w:r>
        <w:instrText xml:space="preserve"> SEQ level0 \*arabic \* MERGEFORMAT </w:instrText>
      </w:r>
      <w:r>
        <w:fldChar w:fldCharType="separate"/>
      </w:r>
      <w:r w:rsidRPr="000C09CD">
        <w:rPr>
          <w:noProof/>
        </w:rPr>
        <w:t>58</w:t>
      </w:r>
      <w:r w:rsidRPr="000C09CD">
        <w:rPr>
          <w:noProof/>
        </w:rPr>
        <w:fldChar w:fldCharType="end"/>
      </w:r>
      <w:r w:rsidRPr="000C09CD">
        <w:t xml:space="preserve">.  The Government maintained that the interference with the applicant association’s freedom of association had been prescribed by domestic law. The proscription of an association following a finding that it had been </w:t>
      </w:r>
      <w:r w:rsidRPr="000C09CD">
        <w:t xml:space="preserve">indirectly financing terrorism was also foreseeable. The Government pointed to the fact that the applicant association’s senior members had demonstrably been aware of the connections that its beneficiary societies had with Hamas by the time of the Federal Administrative Court’s judgment of 3 December 2004 (see paragraphs </w:t>
      </w:r>
      <w:r w:rsidRPr="000C09CD">
        <w:fldChar w:fldCharType="begin"/>
      </w:r>
      <w:r w:rsidRPr="000C09CD">
        <w:instrText xml:space="preserve"> REF paragraph00009 \h  \* CharFormat  \* MERGEFORMAT </w:instrText>
      </w:r>
      <w:r w:rsidRPr="000C09CD">
        <w:fldChar w:fldCharType="separate"/>
      </w:r>
      <w:r w:rsidRPr="000C09CD">
        <w:t>35</w:t>
      </w:r>
      <w:r w:rsidRPr="000C09CD">
        <w:fldChar w:fldCharType="end"/>
      </w:r>
      <w:r w:rsidRPr="000C09CD">
        <w:t>-</w:t>
      </w:r>
      <w:r w:rsidRPr="000C09CD">
        <w:fldChar w:fldCharType="begin"/>
      </w:r>
      <w:r w:rsidRPr="000C09CD">
        <w:instrText xml:space="preserve"> REF paragraph00036 \h  \* CharFormat  \* MERGEFORMAT </w:instrText>
      </w:r>
      <w:r w:rsidRPr="000C09CD">
        <w:fldChar w:fldCharType="separate"/>
      </w:r>
      <w:r w:rsidRPr="000C09CD">
        <w:t>36</w:t>
      </w:r>
      <w:r w:rsidRPr="000C09CD">
        <w:fldChar w:fldCharType="end"/>
      </w:r>
      <w:r w:rsidRPr="000C09CD">
        <w:t xml:space="preserve"> above). The applicant association had clearly demonstrated its unconstitutional nature by setting up Salam as a substitute organisation for the Islamic Society (see paragraphs </w:t>
      </w:r>
      <w:r w:rsidRPr="000C09CD">
        <w:fldChar w:fldCharType="begin"/>
      </w:r>
      <w:r w:rsidRPr="000C09CD">
        <w:instrText xml:space="preserve"> REF paragraph00010 \h  \* CharFormat  \* MERGEFORMAT </w:instrText>
      </w:r>
      <w:r w:rsidRPr="000C09CD">
        <w:fldChar w:fldCharType="separate"/>
      </w:r>
      <w:r w:rsidRPr="000C09CD">
        <w:t>10</w:t>
      </w:r>
      <w:r w:rsidRPr="000C09CD">
        <w:fldChar w:fldCharType="end"/>
      </w:r>
      <w:r w:rsidRPr="000C09CD">
        <w:t>-</w:t>
      </w:r>
      <w:r w:rsidRPr="000C09CD">
        <w:fldChar w:fldCharType="begin"/>
      </w:r>
      <w:r w:rsidRPr="000C09CD">
        <w:instrText xml:space="preserve"> REF paragraph00011 \h  \* CharFormat  \* MERGEFORMAT </w:instrText>
      </w:r>
      <w:r w:rsidRPr="000C09CD">
        <w:fldChar w:fldCharType="separate"/>
      </w:r>
      <w:r w:rsidRPr="000C09CD">
        <w:t>11</w:t>
      </w:r>
      <w:r w:rsidRPr="000C09CD">
        <w:fldChar w:fldCharType="end"/>
      </w:r>
      <w:r w:rsidRPr="000C09CD">
        <w:t xml:space="preserve"> above) in order to avoid restrictions.</w:t>
      </w:r>
    </w:p>
    <w:p w:rsidRPr="000C09CD" w:rsidR="000C09CD" w:rsidP="000C09CD" w14:paraId="1BEF0E61" w14:textId="35D57A85">
      <w:pPr>
        <w:pStyle w:val="JuPara"/>
      </w:pPr>
      <w:r>
        <w:fldChar w:fldCharType="begin"/>
      </w:r>
      <w:r>
        <w:instrText xml:space="preserve"> SEQ level0 \*arabic \* MERGEFORMAT </w:instrText>
      </w:r>
      <w:r>
        <w:fldChar w:fldCharType="separate"/>
      </w:r>
      <w:r w:rsidRPr="000C09CD">
        <w:rPr>
          <w:noProof/>
        </w:rPr>
        <w:t>59</w:t>
      </w:r>
      <w:r w:rsidRPr="000C09CD">
        <w:rPr>
          <w:noProof/>
        </w:rPr>
        <w:fldChar w:fldCharType="end"/>
      </w:r>
      <w:r w:rsidRPr="000C09CD">
        <w:t>.  The Government further submitted that the activities of the applicant association which had led the Ministry to proscribe it were clearly in breach of the concept of international understanding and that the interference had pursued the legitimate aims of “protection of public safety, public order, and the rights and freedoms of others” by preventing the financing of a terrorist organisation.</w:t>
      </w:r>
    </w:p>
    <w:p w:rsidRPr="000C09CD" w:rsidR="000C09CD" w:rsidP="000C09CD" w14:paraId="3D075749" w14:textId="47274374">
      <w:pPr>
        <w:pStyle w:val="JuPara"/>
      </w:pPr>
      <w:r>
        <w:fldChar w:fldCharType="begin"/>
      </w:r>
      <w:r>
        <w:instrText xml:space="preserve"> SEQ level0 \*arabic \* MERGEFORMAT </w:instrText>
      </w:r>
      <w:r>
        <w:fldChar w:fldCharType="separate"/>
      </w:r>
      <w:r w:rsidRPr="000C09CD">
        <w:rPr>
          <w:noProof/>
        </w:rPr>
        <w:t>60</w:t>
      </w:r>
      <w:r w:rsidRPr="000C09CD">
        <w:rPr>
          <w:noProof/>
        </w:rPr>
        <w:fldChar w:fldCharType="end"/>
      </w:r>
      <w:r w:rsidRPr="000C09CD">
        <w:t>.  The Government argued that the proscription had been imposed in the light of a pressing social need and that there had even been an obligation under European Union and international law (see, in particular, paragraphs </w:t>
      </w:r>
      <w:r w:rsidRPr="000C09CD">
        <w:fldChar w:fldCharType="begin"/>
      </w:r>
      <w:r w:rsidRPr="000C09CD">
        <w:instrText xml:space="preserve"> REF paragraph00040 \h  \* CharFormat  \* MERGEFORMAT </w:instrText>
      </w:r>
      <w:r w:rsidRPr="000C09CD">
        <w:fldChar w:fldCharType="separate"/>
      </w:r>
      <w:r w:rsidRPr="000C09CD">
        <w:t>37</w:t>
      </w:r>
      <w:r w:rsidRPr="000C09CD">
        <w:fldChar w:fldCharType="end"/>
      </w:r>
      <w:r w:rsidRPr="000C09CD">
        <w:t>-</w:t>
      </w:r>
      <w:r w:rsidRPr="000C09CD">
        <w:fldChar w:fldCharType="begin"/>
      </w:r>
      <w:r w:rsidRPr="000C09CD">
        <w:instrText xml:space="preserve"> REF paragraph00055 \h  \* CharFormat  \* MERGEFORMAT </w:instrText>
      </w:r>
      <w:r w:rsidRPr="000C09CD">
        <w:fldChar w:fldCharType="separate"/>
      </w:r>
      <w:r w:rsidRPr="000C09CD">
        <w:t>39</w:t>
      </w:r>
      <w:r w:rsidRPr="000C09CD">
        <w:fldChar w:fldCharType="end"/>
      </w:r>
      <w:r w:rsidRPr="000C09CD">
        <w:t xml:space="preserve"> above) to take such action against indirect financial support for terrorism.</w:t>
      </w:r>
    </w:p>
    <w:p w:rsidRPr="000C09CD" w:rsidR="000C09CD" w:rsidP="000C09CD" w14:paraId="5DAC6043" w14:textId="5420494C">
      <w:pPr>
        <w:pStyle w:val="JuPara"/>
      </w:pPr>
      <w:r>
        <w:fldChar w:fldCharType="begin"/>
      </w:r>
      <w:r>
        <w:instrText xml:space="preserve"> SEQ level0 \*arabic \* MERGEFORMAT </w:instrText>
      </w:r>
      <w:r>
        <w:fldChar w:fldCharType="separate"/>
      </w:r>
      <w:bookmarkStart w:name="paragraph00065" w:id="35"/>
      <w:r w:rsidRPr="000C09CD">
        <w:rPr>
          <w:noProof/>
        </w:rPr>
        <w:t>61</w:t>
      </w:r>
      <w:bookmarkEnd w:id="35"/>
      <w:r>
        <w:fldChar w:fldCharType="end"/>
      </w:r>
      <w:r w:rsidRPr="000C09CD">
        <w:t xml:space="preserve">.  Lastly, the Government maintained that the interference had been necessary in a democratic society, even though the applicant association had supported several other organisations. By providing substantial support to Hamas’s “social societies”, rising to about 50% of its funding activities and amounting to about EUR 2,500,000 overall between 2006 and 2010, the applicant association – which fundamentally identified itself </w:t>
      </w:r>
      <w:r w:rsidRPr="000C09CD">
        <w:t>on the basis of</w:t>
      </w:r>
      <w:r w:rsidRPr="000C09CD">
        <w:t xml:space="preserve"> the inhuman objectives of that terrorist organisation – had significantly, severely and deeply compromised the concept of international understanding.</w:t>
      </w:r>
    </w:p>
    <w:p w:rsidRPr="000C09CD" w:rsidR="000C09CD" w:rsidP="000C09CD" w14:paraId="38F5D4E3" w14:textId="71696347">
      <w:pPr>
        <w:pStyle w:val="JuH1"/>
        <w:numPr>
          <w:ilvl w:val="3"/>
          <w:numId w:val="36"/>
        </w:numPr>
        <w:ind w:left="731" w:hanging="300"/>
      </w:pPr>
      <w:r w:rsidRPr="000C09CD">
        <w:t>The Court’s assessment</w:t>
      </w:r>
    </w:p>
    <w:p w:rsidRPr="000C09CD" w:rsidR="000C09CD" w:rsidP="000C09CD" w14:paraId="49F4ED8B" w14:textId="2A58699D">
      <w:pPr>
        <w:pStyle w:val="JuPara"/>
      </w:pPr>
      <w:r>
        <w:fldChar w:fldCharType="begin"/>
      </w:r>
      <w:r>
        <w:instrText xml:space="preserve"> SEQ level0 \*arabic \* MERGEFORMAT </w:instrText>
      </w:r>
      <w:r>
        <w:fldChar w:fldCharType="separate"/>
      </w:r>
      <w:r w:rsidRPr="000C09CD">
        <w:rPr>
          <w:noProof/>
        </w:rPr>
        <w:t>62</w:t>
      </w:r>
      <w:r w:rsidRPr="000C09CD">
        <w:rPr>
          <w:noProof/>
        </w:rPr>
        <w:fldChar w:fldCharType="end"/>
      </w:r>
      <w:r w:rsidRPr="000C09CD">
        <w:t xml:space="preserve">.  The right to freedom of association laid down in Article 11 incorporates the right to form an association. The ability to establish a legal entity in order to act collectively in a field of mutual interest is one of the most important aspects of freedom of association, without which that right would be deprived of any meaning (see </w:t>
      </w:r>
      <w:r w:rsidRPr="000C09CD">
        <w:rPr>
          <w:i/>
        </w:rPr>
        <w:t>Gorzelik</w:t>
      </w:r>
      <w:r w:rsidRPr="000C09CD">
        <w:rPr>
          <w:i/>
        </w:rPr>
        <w:t xml:space="preserve"> and Others v. Poland </w:t>
      </w:r>
      <w:r w:rsidRPr="000C09CD">
        <w:t>[GC], no. 44158/98, § 88, ECHR 2004</w:t>
      </w:r>
      <w:r w:rsidRPr="000C09CD">
        <w:noBreakHyphen/>
        <w:t xml:space="preserve">I; see also </w:t>
      </w:r>
      <w:r w:rsidRPr="000C09CD">
        <w:rPr>
          <w:i/>
        </w:rPr>
        <w:t>Sidiropoulos</w:t>
      </w:r>
      <w:r w:rsidRPr="000C09CD">
        <w:rPr>
          <w:i/>
        </w:rPr>
        <w:t xml:space="preserve"> and Others v. Greece</w:t>
      </w:r>
      <w:r w:rsidRPr="000C09CD">
        <w:t xml:space="preserve">, 10 July 1998, § 40, </w:t>
      </w:r>
      <w:r w:rsidRPr="000C09CD">
        <w:rPr>
          <w:i/>
        </w:rPr>
        <w:t>Reports of Judgments and Decisions</w:t>
      </w:r>
      <w:r w:rsidRPr="000C09CD">
        <w:t xml:space="preserve"> 1998</w:t>
      </w:r>
      <w:r w:rsidRPr="000C09CD">
        <w:noBreakHyphen/>
        <w:t>IV).</w:t>
      </w:r>
    </w:p>
    <w:p w:rsidRPr="000C09CD" w:rsidR="000C09CD" w:rsidP="000C09CD" w14:paraId="5449C89C" w14:textId="18E2FC97">
      <w:pPr>
        <w:pStyle w:val="JuPara"/>
      </w:pPr>
      <w:r>
        <w:fldChar w:fldCharType="begin"/>
      </w:r>
      <w:r>
        <w:instrText xml:space="preserve"> SEQ level0 \*arabic \* MERGEFORMAT </w:instrText>
      </w:r>
      <w:r>
        <w:fldChar w:fldCharType="separate"/>
      </w:r>
      <w:r w:rsidRPr="000C09CD">
        <w:rPr>
          <w:noProof/>
        </w:rPr>
        <w:t>63</w:t>
      </w:r>
      <w:r w:rsidRPr="000C09CD">
        <w:rPr>
          <w:noProof/>
        </w:rPr>
        <w:fldChar w:fldCharType="end"/>
      </w:r>
      <w:r w:rsidRPr="000C09CD">
        <w:t xml:space="preserve">.  In its case-law, the Court has established the principle that only convincing and compelling reasons can justify restrictions on that freedom. All such restrictions are subject to rigorous supervision by the Court (see </w:t>
      </w:r>
      <w:r w:rsidRPr="000C09CD">
        <w:rPr>
          <w:i/>
          <w:iCs/>
        </w:rPr>
        <w:t>Gorzelik</w:t>
      </w:r>
      <w:r w:rsidRPr="000C09CD">
        <w:rPr>
          <w:i/>
          <w:iCs/>
        </w:rPr>
        <w:t xml:space="preserve"> and Others</w:t>
      </w:r>
      <w:r w:rsidRPr="000C09CD">
        <w:t xml:space="preserve">, § 88, and </w:t>
      </w:r>
      <w:r w:rsidRPr="000C09CD">
        <w:rPr>
          <w:i/>
          <w:iCs/>
        </w:rPr>
        <w:t>Sidiropoulos</w:t>
      </w:r>
      <w:r w:rsidRPr="000C09CD">
        <w:rPr>
          <w:i/>
          <w:iCs/>
        </w:rPr>
        <w:t xml:space="preserve"> and Others</w:t>
      </w:r>
      <w:r w:rsidRPr="000C09CD">
        <w:t>, § 40, both cited above).</w:t>
      </w:r>
    </w:p>
    <w:p w:rsidRPr="000C09CD" w:rsidR="000C09CD" w:rsidP="000C09CD" w14:paraId="2DA1DDB8" w14:textId="77777777">
      <w:pPr>
        <w:pStyle w:val="JuHa0"/>
        <w:numPr>
          <w:ilvl w:val="4"/>
          <w:numId w:val="36"/>
        </w:numPr>
        <w:ind w:left="975" w:hanging="340"/>
      </w:pPr>
      <w:r w:rsidRPr="000C09CD">
        <w:t>Whether there was an interference</w:t>
      </w:r>
    </w:p>
    <w:p w:rsidRPr="000C09CD" w:rsidR="000C09CD" w:rsidP="000C09CD" w14:paraId="35C3958A" w14:textId="2B863DBF">
      <w:pPr>
        <w:pStyle w:val="JuPara"/>
      </w:pPr>
      <w:r>
        <w:fldChar w:fldCharType="begin"/>
      </w:r>
      <w:r>
        <w:instrText xml:space="preserve"> SEQ level0 \*arabic \* MERGEFORMAT </w:instrText>
      </w:r>
      <w:r>
        <w:fldChar w:fldCharType="separate"/>
      </w:r>
      <w:r w:rsidRPr="000C09CD">
        <w:rPr>
          <w:noProof/>
        </w:rPr>
        <w:t>64</w:t>
      </w:r>
      <w:r w:rsidRPr="000C09CD">
        <w:rPr>
          <w:noProof/>
        </w:rPr>
        <w:fldChar w:fldCharType="end"/>
      </w:r>
      <w:r w:rsidRPr="000C09CD">
        <w:t xml:space="preserve">.  It was undisputed between the parties that the applicant association’s proscription, entailing its dissolution and the confiscation of its assets (see paragraph </w:t>
      </w:r>
      <w:r w:rsidRPr="000C09CD">
        <w:fldChar w:fldCharType="begin"/>
      </w:r>
      <w:r w:rsidRPr="000C09CD">
        <w:instrText xml:space="preserve"> REF paragraph00013 \h  \* CharFormat  \* MERGEFORMAT </w:instrText>
      </w:r>
      <w:r w:rsidRPr="000C09CD">
        <w:fldChar w:fldCharType="separate"/>
      </w:r>
      <w:r w:rsidRPr="000C09CD">
        <w:t>13</w:t>
      </w:r>
      <w:r w:rsidRPr="000C09CD">
        <w:fldChar w:fldCharType="end"/>
      </w:r>
      <w:r w:rsidRPr="000C09CD">
        <w:t xml:space="preserve"> above), amounted to an interference with its exercise of its right to freedom of association. The Court shares the same view.</w:t>
      </w:r>
    </w:p>
    <w:p w:rsidRPr="000C09CD" w:rsidR="000C09CD" w:rsidP="000C09CD" w14:paraId="2B4CA3BA" w14:textId="77777777">
      <w:pPr>
        <w:pStyle w:val="JuHa0"/>
        <w:numPr>
          <w:ilvl w:val="4"/>
          <w:numId w:val="36"/>
        </w:numPr>
        <w:ind w:left="975" w:hanging="340"/>
      </w:pPr>
      <w:r w:rsidRPr="000C09CD">
        <w:t>Whether the interference was justified</w:t>
      </w:r>
    </w:p>
    <w:p w:rsidRPr="000C09CD" w:rsidR="000C09CD" w:rsidP="000C09CD" w14:paraId="3631F32F" w14:textId="026C36C1">
      <w:pPr>
        <w:pStyle w:val="JuPara"/>
      </w:pPr>
      <w:r>
        <w:fldChar w:fldCharType="begin"/>
      </w:r>
      <w:r>
        <w:instrText xml:space="preserve"> SEQ level0 \*arabic \* MERGEFORMAT </w:instrText>
      </w:r>
      <w:r>
        <w:fldChar w:fldCharType="separate"/>
      </w:r>
      <w:bookmarkStart w:name="paragraph00066" w:id="36"/>
      <w:r w:rsidRPr="000C09CD">
        <w:rPr>
          <w:noProof/>
        </w:rPr>
        <w:t>65</w:t>
      </w:r>
      <w:bookmarkEnd w:id="36"/>
      <w:r>
        <w:fldChar w:fldCharType="end"/>
      </w:r>
      <w:r w:rsidRPr="000C09CD">
        <w:t xml:space="preserve">.  “Restrictions” which do not infringe Article 11 of the Convention must, as provided in the second paragraph of that Article, be “prescribed by law”, pursue one or more of the legitimate aims set out </w:t>
      </w:r>
      <w:r w:rsidRPr="000C09CD">
        <w:t>therein</w:t>
      </w:r>
      <w:r w:rsidRPr="000C09CD">
        <w:t xml:space="preserve"> and be “necessary in a democratic society” for the pursuit of such aims (see </w:t>
      </w:r>
      <w:r w:rsidRPr="000C09CD">
        <w:rPr>
          <w:i/>
        </w:rPr>
        <w:t>Yordanovi</w:t>
      </w:r>
      <w:r w:rsidRPr="000C09CD">
        <w:rPr>
          <w:i/>
        </w:rPr>
        <w:t xml:space="preserve"> v. Bulgaria</w:t>
      </w:r>
      <w:r w:rsidRPr="000C09CD">
        <w:t>, no. 11157/11, § 64, 3 September 2020).</w:t>
      </w:r>
    </w:p>
    <w:p w:rsidRPr="000C09CD" w:rsidR="000C09CD" w:rsidP="000C09CD" w14:paraId="354B1908" w14:textId="77777777">
      <w:pPr>
        <w:pStyle w:val="JuHi"/>
        <w:numPr>
          <w:ilvl w:val="5"/>
          <w:numId w:val="36"/>
        </w:numPr>
        <w:spacing w:line="268" w:lineRule="auto"/>
        <w:ind w:left="1191" w:hanging="358"/>
      </w:pPr>
      <w:r w:rsidRPr="000C09CD">
        <w:t>Whether the interference was prescribed by law</w:t>
      </w:r>
    </w:p>
    <w:p w:rsidRPr="000C09CD" w:rsidR="000C09CD" w:rsidP="000C09CD" w14:paraId="1D0C2246" w14:textId="77777777">
      <w:pPr>
        <w:pStyle w:val="JuHalpha"/>
        <w:numPr>
          <w:ilvl w:val="6"/>
          <w:numId w:val="36"/>
        </w:numPr>
        <w:ind w:left="1372" w:hanging="334"/>
      </w:pPr>
      <w:r w:rsidRPr="000C09CD">
        <w:t>Relevant principles</w:t>
      </w:r>
    </w:p>
    <w:p w:rsidRPr="000C09CD" w:rsidR="000C09CD" w:rsidP="000C09CD" w14:paraId="758B8D26" w14:textId="2A95E9EB">
      <w:pPr>
        <w:pStyle w:val="JuPara"/>
        <w:rPr>
          <w:rStyle w:val="JuParaChar"/>
        </w:rPr>
      </w:pPr>
      <w:r>
        <w:fldChar w:fldCharType="begin"/>
      </w:r>
      <w:r>
        <w:instrText xml:space="preserve"> SEQ level0 \*arabic \* MERGEFORMAT </w:instrText>
      </w:r>
      <w:r>
        <w:fldChar w:fldCharType="separate"/>
      </w:r>
      <w:r w:rsidRPr="000C09CD">
        <w:rPr>
          <w:noProof/>
        </w:rPr>
        <w:t>66</w:t>
      </w:r>
      <w:r w:rsidRPr="000C09CD">
        <w:rPr>
          <w:noProof/>
        </w:rPr>
        <w:fldChar w:fldCharType="end"/>
      </w:r>
      <w:r w:rsidRPr="000C09CD">
        <w:t>.  </w:t>
      </w:r>
      <w:r w:rsidRPr="000C09CD">
        <w:rPr>
          <w:rStyle w:val="JuParaChar"/>
        </w:rPr>
        <w:t xml:space="preserve">The expression “prescribed by law” requires firstly that the impugned measure should have a basis in domestic law. It also refers to the quality of the law in question, requiring that it be accessible to the persons concerned and foreseeable as to its effects. A law is “foreseeable” if it is formulated with sufficient precision to enable the individual – if need </w:t>
      </w:r>
      <w:r w:rsidRPr="000C09CD">
        <w:rPr>
          <w:rStyle w:val="JuParaChar"/>
        </w:rPr>
        <w:t>be</w:t>
      </w:r>
      <w:r w:rsidRPr="000C09CD">
        <w:rPr>
          <w:rStyle w:val="JuParaChar"/>
        </w:rPr>
        <w:t xml:space="preserve"> with appropriate advice – to regulate his or her conduct (see </w:t>
      </w:r>
      <w:r w:rsidRPr="000C09CD">
        <w:rPr>
          <w:rStyle w:val="JuParaChar"/>
          <w:i/>
          <w:iCs/>
        </w:rPr>
        <w:t>N.F. v. Italy</w:t>
      </w:r>
      <w:r w:rsidRPr="000C09CD">
        <w:rPr>
          <w:rStyle w:val="JuParaChar"/>
        </w:rPr>
        <w:t>, no. 37119/97, §§ 26 and 29, ECHR 2001</w:t>
      </w:r>
      <w:r w:rsidRPr="000C09CD">
        <w:rPr>
          <w:rStyle w:val="JuParaChar"/>
        </w:rPr>
        <w:noBreakHyphen/>
        <w:t>IX). For domestic law to meet these requirements, it must afford a measure of legal protection against arbitrary interferences by public authorities with the rights guaranteed by the Convention</w:t>
      </w:r>
      <w:r w:rsidRPr="000C09CD">
        <w:rPr>
          <w:rFonts w:ascii="Arial" w:hAnsi="Arial" w:cs="Arial"/>
          <w:color w:val="000000"/>
        </w:rPr>
        <w:t xml:space="preserve">. </w:t>
      </w:r>
      <w:r w:rsidRPr="000C09CD">
        <w:rPr>
          <w:rFonts w:ascii="Times New Roman" w:hAnsi="Times New Roman" w:cs="Times New Roman"/>
          <w:color w:val="000000"/>
        </w:rPr>
        <w:t>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indicate with sufficient clarity the scope of any such discretion and the manner of its exercise</w:t>
      </w:r>
      <w:r w:rsidRPr="000C09CD">
        <w:rPr>
          <w:rStyle w:val="JuParaChar"/>
        </w:rPr>
        <w:t xml:space="preserve"> (see </w:t>
      </w:r>
      <w:r w:rsidRPr="000C09CD">
        <w:rPr>
          <w:rStyle w:val="JuParaChar"/>
          <w:i/>
          <w:iCs/>
        </w:rPr>
        <w:t>Maestri v. Italy</w:t>
      </w:r>
      <w:r w:rsidRPr="000C09CD">
        <w:rPr>
          <w:rStyle w:val="JuParaChar"/>
        </w:rPr>
        <w:t xml:space="preserve"> [GC], no. 39748/98, § 30, ECHR 2004</w:t>
      </w:r>
      <w:r w:rsidRPr="000C09CD">
        <w:rPr>
          <w:rStyle w:val="JuParaChar"/>
        </w:rPr>
        <w:noBreakHyphen/>
        <w:t>I, with further references).</w:t>
      </w:r>
    </w:p>
    <w:p w:rsidRPr="000C09CD" w:rsidR="000C09CD" w:rsidP="000C09CD" w14:paraId="05B2F414" w14:textId="56F38AD7">
      <w:pPr>
        <w:pStyle w:val="JuPara"/>
      </w:pPr>
      <w:r w:rsidRPr="000C09CD">
        <w:rPr>
          <w:iCs/>
        </w:rPr>
        <w:fldChar w:fldCharType="begin"/>
      </w:r>
      <w:r w:rsidRPr="000C09CD">
        <w:rPr>
          <w:iCs/>
        </w:rPr>
        <w:instrText xml:space="preserve"> SEQ level0 \*arabic \* MERGEFORMAT </w:instrText>
      </w:r>
      <w:r w:rsidRPr="000C09CD">
        <w:rPr>
          <w:iCs/>
        </w:rPr>
        <w:fldChar w:fldCharType="separate"/>
      </w:r>
      <w:r w:rsidRPr="000C09CD">
        <w:rPr>
          <w:iCs/>
          <w:noProof/>
        </w:rPr>
        <w:t>67</w:t>
      </w:r>
      <w:r w:rsidRPr="000C09CD">
        <w:rPr>
          <w:iCs/>
        </w:rPr>
        <w:fldChar w:fldCharType="end"/>
      </w:r>
      <w:r w:rsidRPr="000C09CD">
        <w:rPr>
          <w:iCs/>
        </w:rPr>
        <w:t>.  </w:t>
      </w:r>
      <w:r w:rsidRPr="000C09CD">
        <w:rPr>
          <w:rFonts w:cstheme="minorHAnsi"/>
          <w:color w:val="000000"/>
        </w:rPr>
        <w:t>It is, however, not possible to attain absolute rigidity in the framing of laws, and many of them are inevitably couched in terms which, to a greater or lesser extent, are vague. The level of precision required of domestic legislation depends to a considerable degree on the content of the instrument in question and the field it is designed to cover</w:t>
      </w:r>
      <w:r w:rsidRPr="000C09CD">
        <w:rPr>
          <w:rFonts w:cstheme="minorHAnsi"/>
          <w:iCs/>
        </w:rPr>
        <w:t xml:space="preserve"> (see </w:t>
      </w:r>
      <w:r w:rsidRPr="000C09CD">
        <w:rPr>
          <w:rFonts w:cstheme="minorHAnsi"/>
          <w:i/>
        </w:rPr>
        <w:t>Tebieti</w:t>
      </w:r>
      <w:r w:rsidRPr="000C09CD">
        <w:rPr>
          <w:rFonts w:cstheme="minorHAnsi"/>
          <w:i/>
        </w:rPr>
        <w:t xml:space="preserve"> </w:t>
      </w:r>
      <w:r w:rsidRPr="000C09CD">
        <w:rPr>
          <w:rFonts w:cstheme="minorHAnsi"/>
          <w:i/>
        </w:rPr>
        <w:t>Mühafize</w:t>
      </w:r>
      <w:r w:rsidRPr="000C09CD">
        <w:rPr>
          <w:rFonts w:cstheme="minorHAnsi"/>
          <w:i/>
        </w:rPr>
        <w:t xml:space="preserve"> </w:t>
      </w:r>
      <w:r w:rsidRPr="000C09CD">
        <w:rPr>
          <w:rFonts w:cstheme="minorHAnsi"/>
          <w:i/>
        </w:rPr>
        <w:t>Cemiyyeti</w:t>
      </w:r>
      <w:r w:rsidRPr="000C09CD">
        <w:rPr>
          <w:rFonts w:cstheme="minorHAnsi"/>
          <w:i/>
        </w:rPr>
        <w:t xml:space="preserve"> and </w:t>
      </w:r>
      <w:r w:rsidRPr="000C09CD">
        <w:rPr>
          <w:rFonts w:cstheme="minorHAnsi"/>
          <w:i/>
        </w:rPr>
        <w:t>Israfilov</w:t>
      </w:r>
      <w:r w:rsidRPr="000C09CD">
        <w:rPr>
          <w:rFonts w:cstheme="minorHAnsi"/>
          <w:iCs/>
        </w:rPr>
        <w:t>, cited above,</w:t>
      </w:r>
      <w:r w:rsidRPr="000C09CD">
        <w:rPr>
          <w:rFonts w:cstheme="minorHAnsi"/>
        </w:rPr>
        <w:t xml:space="preserve"> § 58)</w:t>
      </w:r>
      <w:r w:rsidRPr="000C09CD">
        <w:t xml:space="preserve">. </w:t>
      </w:r>
      <w:r w:rsidRPr="000C09CD">
        <w:rPr>
          <w:iCs/>
        </w:rPr>
        <w:t>In this connection, the Court refers</w:t>
      </w:r>
      <w:r w:rsidRPr="000C09CD">
        <w:rPr>
          <w:iCs/>
        </w:rPr>
        <w:t>, in particular, to</w:t>
      </w:r>
      <w:r w:rsidRPr="000C09CD">
        <w:rPr>
          <w:iCs/>
        </w:rPr>
        <w:t xml:space="preserve"> its analysis of the lawfulness requirement as set out in, </w:t>
      </w:r>
      <w:r w:rsidRPr="000C09CD">
        <w:rPr>
          <w:i/>
        </w:rPr>
        <w:t>inter alia</w:t>
      </w:r>
      <w:r w:rsidRPr="000C09CD">
        <w:rPr>
          <w:iCs/>
        </w:rPr>
        <w:t xml:space="preserve">, </w:t>
      </w:r>
      <w:r w:rsidRPr="000C09CD">
        <w:rPr>
          <w:i/>
        </w:rPr>
        <w:t>Yefimov</w:t>
      </w:r>
      <w:r w:rsidRPr="000C09CD">
        <w:rPr>
          <w:i/>
        </w:rPr>
        <w:t xml:space="preserve"> and Youth Human Rights Group v. Russia</w:t>
      </w:r>
      <w:r w:rsidRPr="000C09CD">
        <w:t xml:space="preserve"> (nos. 12385/15 and 51619/15, §§ 65-73, 7 December 2021).</w:t>
      </w:r>
    </w:p>
    <w:p w:rsidRPr="000C09CD" w:rsidR="000C09CD" w:rsidP="000C09CD" w14:paraId="3D4A4DC0" w14:textId="77777777">
      <w:pPr>
        <w:pStyle w:val="JuHalpha"/>
        <w:numPr>
          <w:ilvl w:val="6"/>
          <w:numId w:val="36"/>
        </w:numPr>
        <w:ind w:left="1372" w:hanging="334"/>
      </w:pPr>
      <w:r w:rsidRPr="000C09CD">
        <w:t>Application of these principles to the present case</w:t>
      </w:r>
    </w:p>
    <w:p w:rsidRPr="000C09CD" w:rsidR="000C09CD" w:rsidP="000C09CD" w14:paraId="66959836" w14:textId="73492254">
      <w:pPr>
        <w:pStyle w:val="JuPara"/>
      </w:pPr>
      <w:r>
        <w:fldChar w:fldCharType="begin"/>
      </w:r>
      <w:r>
        <w:instrText xml:space="preserve"> SEQ level0 \*arabic \* MERGEFORMAT </w:instrText>
      </w:r>
      <w:r>
        <w:fldChar w:fldCharType="separate"/>
      </w:r>
      <w:r w:rsidRPr="000C09CD">
        <w:rPr>
          <w:noProof/>
        </w:rPr>
        <w:t>68</w:t>
      </w:r>
      <w:r w:rsidRPr="000C09CD">
        <w:rPr>
          <w:noProof/>
        </w:rPr>
        <w:fldChar w:fldCharType="end"/>
      </w:r>
      <w:r w:rsidRPr="000C09CD">
        <w:t xml:space="preserve">.  The Court notes that the proscription of the applicant association had a basis in domestic law, namely section 3(1) of the Law on Associations read </w:t>
      </w:r>
      <w:r w:rsidRPr="000C09CD">
        <w:t>in conjunction with Article 9 § 2 of the Basic Law (see paragraphs </w:t>
      </w:r>
      <w:r w:rsidRPr="000C09CD">
        <w:fldChar w:fldCharType="begin"/>
      </w:r>
      <w:r w:rsidRPr="000C09CD">
        <w:instrText xml:space="preserve"> REF paragraph00032 \h  \* CharFormat  \* MERGEFORMAT </w:instrText>
      </w:r>
      <w:r w:rsidRPr="000C09CD">
        <w:fldChar w:fldCharType="separate"/>
      </w:r>
      <w:r w:rsidRPr="000C09CD">
        <w:t>32</w:t>
      </w:r>
      <w:r w:rsidRPr="000C09CD">
        <w:fldChar w:fldCharType="end"/>
      </w:r>
      <w:r w:rsidRPr="000C09CD">
        <w:t>-</w:t>
      </w:r>
      <w:r w:rsidRPr="000C09CD">
        <w:fldChar w:fldCharType="begin"/>
      </w:r>
      <w:r w:rsidRPr="000C09CD">
        <w:instrText xml:space="preserve"> REF paragraph00033 \h  \* CharFormat  \* MERGEFORMAT </w:instrText>
      </w:r>
      <w:r w:rsidRPr="000C09CD">
        <w:fldChar w:fldCharType="separate"/>
      </w:r>
      <w:r w:rsidRPr="000C09CD">
        <w:t>33</w:t>
      </w:r>
      <w:r w:rsidRPr="000C09CD">
        <w:fldChar w:fldCharType="end"/>
      </w:r>
      <w:r w:rsidRPr="000C09CD">
        <w:t xml:space="preserve"> above).</w:t>
      </w:r>
    </w:p>
    <w:p w:rsidRPr="000C09CD" w:rsidR="000C09CD" w:rsidP="000C09CD" w14:paraId="13FD4B2D" w14:textId="6B579F11">
      <w:pPr>
        <w:pStyle w:val="JuPara"/>
      </w:pPr>
      <w:r>
        <w:fldChar w:fldCharType="begin"/>
      </w:r>
      <w:r>
        <w:instrText xml:space="preserve"> SEQ level0 \*arabic \* MERGEFORMAT </w:instrText>
      </w:r>
      <w:r>
        <w:fldChar w:fldCharType="separate"/>
      </w:r>
      <w:r w:rsidRPr="000C09CD">
        <w:rPr>
          <w:noProof/>
        </w:rPr>
        <w:t>69</w:t>
      </w:r>
      <w:r w:rsidRPr="000C09CD">
        <w:rPr>
          <w:noProof/>
        </w:rPr>
        <w:fldChar w:fldCharType="end"/>
      </w:r>
      <w:r w:rsidRPr="000C09CD">
        <w:t xml:space="preserve">.  The Court also notes at the outset that the applicant association’s complaint (see paragraphs </w:t>
      </w:r>
      <w:r w:rsidRPr="000C09CD">
        <w:fldChar w:fldCharType="begin"/>
      </w:r>
      <w:r w:rsidRPr="000C09CD">
        <w:instrText xml:space="preserve"> REF paragraph00054 \h  \* CharFormat  \* MERGEFORMAT </w:instrText>
      </w:r>
      <w:r w:rsidRPr="000C09CD">
        <w:fldChar w:fldCharType="separate"/>
      </w:r>
      <w:r w:rsidRPr="000C09CD">
        <w:t>53</w:t>
      </w:r>
      <w:r w:rsidRPr="000C09CD">
        <w:fldChar w:fldCharType="end"/>
      </w:r>
      <w:r w:rsidRPr="000C09CD">
        <w:t>-</w:t>
      </w:r>
      <w:r w:rsidRPr="000C09CD">
        <w:fldChar w:fldCharType="begin"/>
      </w:r>
      <w:r w:rsidRPr="000C09CD">
        <w:instrText xml:space="preserve"> REF paragraph00071 \h  \* CharFormat  \* MERGEFORMAT </w:instrText>
      </w:r>
      <w:r w:rsidRPr="000C09CD">
        <w:fldChar w:fldCharType="separate"/>
      </w:r>
      <w:r w:rsidRPr="000C09CD">
        <w:t>55</w:t>
      </w:r>
      <w:r w:rsidRPr="000C09CD">
        <w:fldChar w:fldCharType="end"/>
      </w:r>
      <w:r w:rsidRPr="000C09CD">
        <w:t xml:space="preserve"> above), in so far as it appears to challenge the foreseeability of those legal provisions, amounts to merely criticising their application in its individual case rather than calling into question the quality of the law as such.</w:t>
      </w:r>
    </w:p>
    <w:p w:rsidRPr="000C09CD" w:rsidR="000C09CD" w:rsidP="000C09CD" w14:paraId="7739C4FA" w14:textId="70F57246">
      <w:pPr>
        <w:pStyle w:val="JuPara"/>
      </w:pPr>
      <w:r>
        <w:fldChar w:fldCharType="begin"/>
      </w:r>
      <w:r>
        <w:instrText xml:space="preserve"> SEQ level0 \*arabic \* MERGEFORMAT </w:instrText>
      </w:r>
      <w:r>
        <w:fldChar w:fldCharType="separate"/>
      </w:r>
      <w:r w:rsidRPr="000C09CD">
        <w:rPr>
          <w:noProof/>
        </w:rPr>
        <w:t>70</w:t>
      </w:r>
      <w:r w:rsidRPr="000C09CD">
        <w:rPr>
          <w:noProof/>
        </w:rPr>
        <w:fldChar w:fldCharType="end"/>
      </w:r>
      <w:r w:rsidRPr="000C09CD">
        <w:t xml:space="preserve">.  In any event, the Federal Administrative Court, in an earlier judgment as far back as December 2004 (see paragraphs </w:t>
      </w:r>
      <w:r w:rsidRPr="000C09CD">
        <w:fldChar w:fldCharType="begin"/>
      </w:r>
      <w:r w:rsidRPr="000C09CD">
        <w:instrText xml:space="preserve"> REF paragraph00009 \h  \* CharFormat  \* MERGEFORMAT </w:instrText>
      </w:r>
      <w:r w:rsidRPr="000C09CD">
        <w:fldChar w:fldCharType="separate"/>
      </w:r>
      <w:r w:rsidRPr="000C09CD">
        <w:t>35</w:t>
      </w:r>
      <w:r w:rsidRPr="000C09CD">
        <w:fldChar w:fldCharType="end"/>
      </w:r>
      <w:r w:rsidRPr="000C09CD">
        <w:t>-</w:t>
      </w:r>
      <w:r w:rsidRPr="000C09CD">
        <w:fldChar w:fldCharType="begin"/>
      </w:r>
      <w:r w:rsidRPr="000C09CD">
        <w:instrText xml:space="preserve"> REF paragraph00036 \h  \* CharFormat  \* MERGEFORMAT </w:instrText>
      </w:r>
      <w:r w:rsidRPr="000C09CD">
        <w:fldChar w:fldCharType="separate"/>
      </w:r>
      <w:r w:rsidRPr="000C09CD">
        <w:t>36</w:t>
      </w:r>
      <w:r w:rsidRPr="000C09CD">
        <w:fldChar w:fldCharType="end"/>
      </w:r>
      <w:r w:rsidRPr="000C09CD">
        <w:t xml:space="preserve"> above), by reference to the same domestic provisions and with similar reasoning confirmed the proscription of another association, Al Aqsa, which had given financial support to the very same Islamic Society in Gaza. Given the clear and precise findings of the respondent State’s highest administrative court in its judgment of 3 December 2004, which concerned an obviously comparable situation, the only possible conclusion to be drawn was that an association’s financial support for the Islamic Society could constitute activities “directed against the concept of international understanding”, rendering it liable to be proscribed under section 3(1) of the Law on Associations read in conjunction with Article 9 § 2 of the Basic Law. The Court is therefore convinced that those provisions enabled the applicant association to foresee its proscription and concludes that the interference complained of was “prescribed by law” within the meaning of Article 11 § 2 of the Convention.</w:t>
      </w:r>
    </w:p>
    <w:p w:rsidRPr="000C09CD" w:rsidR="000C09CD" w:rsidP="000C09CD" w14:paraId="7E469D88" w14:textId="24D57D4D">
      <w:pPr>
        <w:pStyle w:val="JuPara"/>
      </w:pPr>
      <w:r>
        <w:fldChar w:fldCharType="begin"/>
      </w:r>
      <w:r>
        <w:instrText xml:space="preserve"> SEQ level0 \*arabic \* MERGEFORMAT </w:instrText>
      </w:r>
      <w:r>
        <w:fldChar w:fldCharType="separate"/>
      </w:r>
      <w:r w:rsidRPr="000C09CD">
        <w:rPr>
          <w:noProof/>
        </w:rPr>
        <w:t>71</w:t>
      </w:r>
      <w:r w:rsidRPr="000C09CD">
        <w:rPr>
          <w:noProof/>
        </w:rPr>
        <w:fldChar w:fldCharType="end"/>
      </w:r>
      <w:r w:rsidRPr="000C09CD">
        <w:t xml:space="preserve">.  It remains to be ascertained whether such interference pursued one or more legitimate aims and was “necessary in a democratic society” for their pursuit (see the case-law cited in paragraph </w:t>
      </w:r>
      <w:r w:rsidRPr="000C09CD">
        <w:fldChar w:fldCharType="begin"/>
      </w:r>
      <w:r w:rsidRPr="000C09CD">
        <w:instrText xml:space="preserve"> REF paragraph00066 \h  \* CharFormat  \* MERGEFORMAT </w:instrText>
      </w:r>
      <w:r w:rsidRPr="000C09CD">
        <w:fldChar w:fldCharType="separate"/>
      </w:r>
      <w:r w:rsidRPr="000C09CD">
        <w:t>65</w:t>
      </w:r>
      <w:r w:rsidRPr="000C09CD">
        <w:fldChar w:fldCharType="end"/>
      </w:r>
      <w:r w:rsidRPr="000C09CD">
        <w:t xml:space="preserve"> above).</w:t>
      </w:r>
    </w:p>
    <w:p w:rsidRPr="000C09CD" w:rsidR="000C09CD" w:rsidP="000C09CD" w14:paraId="76166E34" w14:textId="77777777">
      <w:pPr>
        <w:pStyle w:val="JuHi"/>
        <w:numPr>
          <w:ilvl w:val="5"/>
          <w:numId w:val="36"/>
        </w:numPr>
        <w:spacing w:line="268" w:lineRule="auto"/>
        <w:ind w:left="1191" w:hanging="358"/>
      </w:pPr>
      <w:r w:rsidRPr="000C09CD">
        <w:t>Pursuit of a legitimate aim</w:t>
      </w:r>
    </w:p>
    <w:p w:rsidRPr="000C09CD" w:rsidR="000C09CD" w:rsidP="000C09CD" w14:paraId="558EAE36" w14:textId="77777777">
      <w:pPr>
        <w:pStyle w:val="JuHalpha"/>
        <w:numPr>
          <w:ilvl w:val="6"/>
          <w:numId w:val="36"/>
        </w:numPr>
        <w:ind w:left="1372" w:hanging="334"/>
      </w:pPr>
      <w:r w:rsidRPr="000C09CD">
        <w:t>Relevant principles</w:t>
      </w:r>
    </w:p>
    <w:p w:rsidRPr="000C09CD" w:rsidR="000C09CD" w:rsidP="000C09CD" w14:paraId="5DBE280E" w14:textId="1CDD455C">
      <w:pPr>
        <w:pStyle w:val="JuPara"/>
      </w:pPr>
      <w:r>
        <w:fldChar w:fldCharType="begin"/>
      </w:r>
      <w:r>
        <w:instrText xml:space="preserve"> SEQ level0 \*arabic \* MERGEFORMAT </w:instrText>
      </w:r>
      <w:r>
        <w:fldChar w:fldCharType="separate"/>
      </w:r>
      <w:r w:rsidRPr="000C09CD">
        <w:rPr>
          <w:noProof/>
        </w:rPr>
        <w:t>72</w:t>
      </w:r>
      <w:r w:rsidRPr="000C09CD">
        <w:rPr>
          <w:noProof/>
        </w:rPr>
        <w:fldChar w:fldCharType="end"/>
      </w:r>
      <w:r w:rsidRPr="000C09CD">
        <w:t xml:space="preserve">.  Any interference with the right to freedom of association must pursue at least one of the legitimate aims set out in paragraph 2 of Article 11: national security or public safety, the prevention of disorder or crime, the protection of health or morals, and the protection of the rights and freedoms of others. Exceptions to freedom of association must be narrowly interpreted, such that their enumeration is strictly </w:t>
      </w:r>
      <w:r w:rsidRPr="000C09CD">
        <w:t>exhaustive</w:t>
      </w:r>
      <w:r w:rsidRPr="000C09CD">
        <w:t xml:space="preserve"> and their definition is necessarily restrictive (see </w:t>
      </w:r>
      <w:r w:rsidRPr="000C09CD">
        <w:rPr>
          <w:i/>
          <w:iCs/>
        </w:rPr>
        <w:t>Sidiropoulos</w:t>
      </w:r>
      <w:r w:rsidRPr="000C09CD">
        <w:rPr>
          <w:i/>
          <w:iCs/>
        </w:rPr>
        <w:t xml:space="preserve"> and Others</w:t>
      </w:r>
      <w:r w:rsidRPr="000C09CD">
        <w:t>, cited above, § 38).</w:t>
      </w:r>
    </w:p>
    <w:p w:rsidRPr="000C09CD" w:rsidR="000C09CD" w:rsidP="000C09CD" w14:paraId="63138424" w14:textId="5F2B10EA">
      <w:pPr>
        <w:pStyle w:val="JuPara"/>
      </w:pPr>
      <w:r>
        <w:fldChar w:fldCharType="begin"/>
      </w:r>
      <w:r>
        <w:instrText xml:space="preserve"> SEQ level0 \*arabic \* MERGEFORMAT </w:instrText>
      </w:r>
      <w:r>
        <w:fldChar w:fldCharType="separate"/>
      </w:r>
      <w:r w:rsidRPr="000C09CD">
        <w:rPr>
          <w:noProof/>
        </w:rPr>
        <w:t>73</w:t>
      </w:r>
      <w:r w:rsidRPr="000C09CD">
        <w:rPr>
          <w:noProof/>
        </w:rPr>
        <w:fldChar w:fldCharType="end"/>
      </w:r>
      <w:r w:rsidRPr="000C09CD">
        <w:t xml:space="preserve">.  The Court observes that the Ministry based the disputed proscription on the finding that the applicant association’s activities were directed against the concept of international understanding between peoples, referring to its support for charitable societies linked to the terrorist organisation Hamas, which in turn meant that the applicant association had indirectly contributed to the violence brought by Hamas into the relationship between the Palestinian and the Israeli people (see paragraphs </w:t>
      </w:r>
      <w:r w:rsidRPr="000C09CD">
        <w:fldChar w:fldCharType="begin"/>
      </w:r>
      <w:r w:rsidRPr="000C09CD">
        <w:instrText xml:space="preserve"> REF paragraph00013 \h  \* MERGEFORMAT </w:instrText>
      </w:r>
      <w:r w:rsidRPr="000C09CD">
        <w:fldChar w:fldCharType="separate"/>
      </w:r>
      <w:r w:rsidRPr="000C09CD">
        <w:t>13</w:t>
      </w:r>
      <w:r w:rsidRPr="000C09CD">
        <w:fldChar w:fldCharType="end"/>
      </w:r>
      <w:r w:rsidRPr="000C09CD">
        <w:t>-</w:t>
      </w:r>
      <w:r w:rsidRPr="000C09CD">
        <w:fldChar w:fldCharType="begin"/>
      </w:r>
      <w:r w:rsidRPr="000C09CD">
        <w:instrText xml:space="preserve"> REF paragraph00017 \h  \* CharFormat  \* MERGEFORMAT </w:instrText>
      </w:r>
      <w:r w:rsidRPr="000C09CD">
        <w:fldChar w:fldCharType="separate"/>
      </w:r>
      <w:r w:rsidRPr="000C09CD">
        <w:t>17</w:t>
      </w:r>
      <w:r w:rsidRPr="000C09CD">
        <w:fldChar w:fldCharType="end"/>
      </w:r>
      <w:r w:rsidRPr="000C09CD">
        <w:t xml:space="preserve"> above).</w:t>
      </w:r>
    </w:p>
    <w:p w:rsidRPr="000C09CD" w:rsidR="000C09CD" w:rsidP="000C09CD" w14:paraId="7EC137DC" w14:textId="24F03BB3">
      <w:pPr>
        <w:pStyle w:val="JuPara"/>
      </w:pPr>
      <w:r>
        <w:fldChar w:fldCharType="begin"/>
      </w:r>
      <w:r>
        <w:instrText xml:space="preserve"> SEQ level0 \*arabic \* MERGEFORMAT </w:instrText>
      </w:r>
      <w:r>
        <w:fldChar w:fldCharType="separate"/>
      </w:r>
      <w:r w:rsidRPr="000C09CD">
        <w:rPr>
          <w:noProof/>
        </w:rPr>
        <w:t>74</w:t>
      </w:r>
      <w:r w:rsidRPr="000C09CD">
        <w:rPr>
          <w:noProof/>
        </w:rPr>
        <w:fldChar w:fldCharType="end"/>
      </w:r>
      <w:r w:rsidRPr="000C09CD">
        <w:t xml:space="preserve">.  The Court has already recognised that the fight against terrorism pursues legitimate aims under Article 11 § 2 of the Convention, notably those of public safety, the prevention of disorder and the protection of the rights of others (see </w:t>
      </w:r>
      <w:r w:rsidRPr="000C09CD">
        <w:rPr>
          <w:i/>
        </w:rPr>
        <w:t>Herri</w:t>
      </w:r>
      <w:r w:rsidRPr="000C09CD">
        <w:rPr>
          <w:i/>
        </w:rPr>
        <w:t xml:space="preserve"> </w:t>
      </w:r>
      <w:r w:rsidRPr="000C09CD">
        <w:rPr>
          <w:i/>
        </w:rPr>
        <w:t>Batasuna</w:t>
      </w:r>
      <w:r w:rsidRPr="000C09CD">
        <w:rPr>
          <w:i/>
        </w:rPr>
        <w:t xml:space="preserve"> and </w:t>
      </w:r>
      <w:r w:rsidRPr="000C09CD">
        <w:rPr>
          <w:i/>
        </w:rPr>
        <w:t>Batasuna</w:t>
      </w:r>
      <w:r w:rsidRPr="000C09CD">
        <w:rPr>
          <w:i/>
        </w:rPr>
        <w:t xml:space="preserve"> v. Spain</w:t>
      </w:r>
      <w:r w:rsidRPr="000C09CD">
        <w:t xml:space="preserve">, nos. 25803/04 and 25817/04, §§ 62-64, ECHR 2009; see also, </w:t>
      </w:r>
      <w:r w:rsidRPr="000C09CD">
        <w:rPr>
          <w:i/>
          <w:iCs/>
        </w:rPr>
        <w:t>mutatis mutandis</w:t>
      </w:r>
      <w:r w:rsidRPr="000C09CD">
        <w:t xml:space="preserve">, </w:t>
      </w:r>
      <w:r w:rsidRPr="000C09CD">
        <w:rPr>
          <w:i/>
        </w:rPr>
        <w:t>Refah</w:t>
      </w:r>
      <w:r w:rsidRPr="000C09CD">
        <w:rPr>
          <w:i/>
        </w:rPr>
        <w:t xml:space="preserve"> </w:t>
      </w:r>
      <w:r w:rsidRPr="000C09CD">
        <w:rPr>
          <w:i/>
        </w:rPr>
        <w:t>Partisi</w:t>
      </w:r>
      <w:r w:rsidRPr="000C09CD">
        <w:rPr>
          <w:i/>
        </w:rPr>
        <w:t xml:space="preserve"> (the Welfare Party) and Others v. Turkey</w:t>
      </w:r>
      <w:r w:rsidRPr="000C09CD">
        <w:t xml:space="preserve"> [GC], nos. 41340/98 and 3 others, § 98, ECHR 2003</w:t>
      </w:r>
      <w:r w:rsidRPr="000C09CD">
        <w:noBreakHyphen/>
        <w:t>II).</w:t>
      </w:r>
    </w:p>
    <w:p w:rsidRPr="000C09CD" w:rsidR="000C09CD" w:rsidP="000C09CD" w14:paraId="5588EA82" w14:textId="77777777">
      <w:pPr>
        <w:pStyle w:val="JuHalpha"/>
        <w:numPr>
          <w:ilvl w:val="6"/>
          <w:numId w:val="36"/>
        </w:numPr>
        <w:ind w:left="1372" w:hanging="334"/>
      </w:pPr>
      <w:r w:rsidRPr="000C09CD">
        <w:t>Application of the principles in the present case</w:t>
      </w:r>
    </w:p>
    <w:p w:rsidRPr="000C09CD" w:rsidR="000C09CD" w:rsidP="000C09CD" w14:paraId="0099532C" w14:textId="7C947880">
      <w:pPr>
        <w:pStyle w:val="JuPara"/>
      </w:pPr>
      <w:r>
        <w:fldChar w:fldCharType="begin"/>
      </w:r>
      <w:r>
        <w:instrText xml:space="preserve"> SEQ level0 \*arabic \* MERGEFORMAT </w:instrText>
      </w:r>
      <w:r>
        <w:fldChar w:fldCharType="separate"/>
      </w:r>
      <w:r w:rsidRPr="000C09CD">
        <w:rPr>
          <w:noProof/>
        </w:rPr>
        <w:t>75</w:t>
      </w:r>
      <w:r w:rsidRPr="000C09CD">
        <w:rPr>
          <w:noProof/>
        </w:rPr>
        <w:fldChar w:fldCharType="end"/>
      </w:r>
      <w:r w:rsidRPr="000C09CD">
        <w:t>.  Whereas the present case differs from previous cases in so far as it concerns the fight against international terrorism in general, independently of a tangible threat to the Contracting State, the fight against international terrorism may nonetheless serve the cause of preventing disorder, and States must be able to take measures so that their territory is not used to facilitate terrorism and the bringing of violence into conflicts abroad.</w:t>
      </w:r>
    </w:p>
    <w:p w:rsidRPr="000C09CD" w:rsidR="000C09CD" w:rsidP="000C09CD" w14:paraId="15187F93" w14:textId="76EE1D01">
      <w:pPr>
        <w:pStyle w:val="JuPara"/>
      </w:pPr>
      <w:r>
        <w:fldChar w:fldCharType="begin"/>
      </w:r>
      <w:r>
        <w:instrText xml:space="preserve"> SEQ level0 \*arabic \* MERGEFORMAT </w:instrText>
      </w:r>
      <w:r>
        <w:fldChar w:fldCharType="separate"/>
      </w:r>
      <w:bookmarkStart w:name="paragraph00098" w:id="37"/>
      <w:r w:rsidRPr="000C09CD">
        <w:rPr>
          <w:noProof/>
        </w:rPr>
        <w:t>76</w:t>
      </w:r>
      <w:bookmarkEnd w:id="37"/>
      <w:r>
        <w:fldChar w:fldCharType="end"/>
      </w:r>
      <w:r w:rsidRPr="000C09CD">
        <w:t xml:space="preserve">.  The Court further notes that Article 11 § 2 of the Convention is formulated broadly without limiting States to take measures only for the protection of the rights and freedoms of individuals within their jurisdiction. The protection of the concept of international understanding as interpreted and applied in the present case therefore constitutes the legitimate aim under Article 11 § 2 of the Convention of protecting the rights and freedoms of others, which includes the right to life of individuals living abroad (see, </w:t>
      </w:r>
      <w:r w:rsidRPr="000C09CD">
        <w:rPr>
          <w:i/>
          <w:iCs/>
        </w:rPr>
        <w:t>mutatis mutandis</w:t>
      </w:r>
      <w:r w:rsidRPr="000C09CD">
        <w:t xml:space="preserve">, </w:t>
      </w:r>
      <w:r w:rsidRPr="000C09CD">
        <w:rPr>
          <w:i/>
          <w:iCs/>
        </w:rPr>
        <w:t>Hizb</w:t>
      </w:r>
      <w:r w:rsidRPr="000C09CD">
        <w:rPr>
          <w:i/>
          <w:iCs/>
        </w:rPr>
        <w:t xml:space="preserve"> Ut-Tahrir and Others v. Germany</w:t>
      </w:r>
      <w:r w:rsidRPr="000C09CD">
        <w:t xml:space="preserve"> (dec.), no. 31098/08, §§ 72-75, 12 June 2012; see also, </w:t>
      </w:r>
      <w:r w:rsidRPr="000C09CD">
        <w:rPr>
          <w:i/>
          <w:iCs/>
        </w:rPr>
        <w:t>mutatis mutandis</w:t>
      </w:r>
      <w:r w:rsidRPr="000C09CD">
        <w:t xml:space="preserve">, </w:t>
      </w:r>
      <w:r w:rsidRPr="000C09CD">
        <w:rPr>
          <w:i/>
        </w:rPr>
        <w:t>Kasymakhunov</w:t>
      </w:r>
      <w:r w:rsidRPr="000C09CD">
        <w:rPr>
          <w:i/>
        </w:rPr>
        <w:t xml:space="preserve"> and </w:t>
      </w:r>
      <w:r w:rsidRPr="000C09CD">
        <w:rPr>
          <w:i/>
        </w:rPr>
        <w:t>Saybatalov</w:t>
      </w:r>
      <w:r w:rsidRPr="000C09CD">
        <w:rPr>
          <w:i/>
        </w:rPr>
        <w:t xml:space="preserve"> v. Russia</w:t>
      </w:r>
      <w:r w:rsidRPr="000C09CD">
        <w:t>, nos. 26261/05 and 26377/06, § 106, 14 March 2013).</w:t>
      </w:r>
    </w:p>
    <w:p w:rsidRPr="000C09CD" w:rsidR="000C09CD" w:rsidP="000C09CD" w14:paraId="67E2F3E8" w14:textId="16EFF718">
      <w:pPr>
        <w:pStyle w:val="JuPara"/>
      </w:pPr>
      <w:r>
        <w:fldChar w:fldCharType="begin"/>
      </w:r>
      <w:r>
        <w:instrText xml:space="preserve"> SEQ level0 \*arabic \* MERGEFORMAT </w:instrText>
      </w:r>
      <w:r>
        <w:fldChar w:fldCharType="separate"/>
      </w:r>
      <w:r w:rsidRPr="000C09CD">
        <w:rPr>
          <w:noProof/>
        </w:rPr>
        <w:t>77</w:t>
      </w:r>
      <w:r w:rsidRPr="000C09CD">
        <w:rPr>
          <w:noProof/>
        </w:rPr>
        <w:fldChar w:fldCharType="end"/>
      </w:r>
      <w:r w:rsidRPr="000C09CD">
        <w:t xml:space="preserve">.  In the present case, given the detailed explanation of the proscription order, there is also no indication that the Ministry intended to pursue any other aim from that indicated (compare, </w:t>
      </w:r>
      <w:r w:rsidRPr="000C09CD">
        <w:rPr>
          <w:i/>
          <w:iCs/>
        </w:rPr>
        <w:t>mutatis mutandis</w:t>
      </w:r>
      <w:r w:rsidRPr="000C09CD">
        <w:t xml:space="preserve">, </w:t>
      </w:r>
      <w:r w:rsidRPr="000C09CD">
        <w:rPr>
          <w:i/>
          <w:iCs/>
        </w:rPr>
        <w:t>Zehra Foundation and Others v. Turkey</w:t>
      </w:r>
      <w:r w:rsidRPr="000C09CD">
        <w:rPr>
          <w:lang w:eastAsia="en-GB"/>
        </w:rPr>
        <w:t>, no.</w:t>
      </w:r>
      <w:r w:rsidRPr="000C09CD">
        <w:t xml:space="preserve"> 51595/07</w:t>
      </w:r>
      <w:r w:rsidRPr="000C09CD">
        <w:rPr>
          <w:lang w:eastAsia="en-GB"/>
        </w:rPr>
        <w:t xml:space="preserve">, </w:t>
      </w:r>
      <w:r w:rsidRPr="000C09CD">
        <w:t>§ 45, 10 July 2018</w:t>
      </w:r>
      <w:r w:rsidRPr="000C09CD">
        <w:rPr>
          <w:lang w:eastAsia="en-GB"/>
        </w:rPr>
        <w:t>)</w:t>
      </w:r>
      <w:r w:rsidRPr="000C09CD">
        <w:t>.</w:t>
      </w:r>
    </w:p>
    <w:p w:rsidRPr="000C09CD" w:rsidR="000C09CD" w:rsidP="000C09CD" w14:paraId="08B3F7E5" w14:textId="77777777">
      <w:pPr>
        <w:pStyle w:val="JuHi"/>
        <w:numPr>
          <w:ilvl w:val="5"/>
          <w:numId w:val="36"/>
        </w:numPr>
        <w:spacing w:line="268" w:lineRule="auto"/>
        <w:ind w:left="1191" w:hanging="358"/>
      </w:pPr>
      <w:r w:rsidRPr="000C09CD">
        <w:t>  Necessity of the interference</w:t>
      </w:r>
    </w:p>
    <w:p w:rsidRPr="000C09CD" w:rsidR="000C09CD" w:rsidP="000C09CD" w14:paraId="7B39B77F" w14:textId="77777777">
      <w:pPr>
        <w:pStyle w:val="JuHalpha"/>
        <w:numPr>
          <w:ilvl w:val="6"/>
          <w:numId w:val="36"/>
        </w:numPr>
        <w:ind w:left="1372" w:hanging="334"/>
      </w:pPr>
      <w:r w:rsidRPr="000C09CD">
        <w:t>Relevant principles</w:t>
      </w:r>
    </w:p>
    <w:p w:rsidRPr="000C09CD" w:rsidR="000C09CD" w:rsidP="000C09CD" w14:paraId="704182E3" w14:textId="7783E038">
      <w:pPr>
        <w:pStyle w:val="JuPara"/>
      </w:pPr>
      <w:r>
        <w:fldChar w:fldCharType="begin"/>
      </w:r>
      <w:r>
        <w:instrText xml:space="preserve"> SEQ level0 \*arabic \* MERGEFORMAT </w:instrText>
      </w:r>
      <w:r>
        <w:fldChar w:fldCharType="separate"/>
      </w:r>
      <w:r w:rsidRPr="000C09CD">
        <w:rPr>
          <w:noProof/>
        </w:rPr>
        <w:t>78</w:t>
      </w:r>
      <w:r w:rsidRPr="000C09CD">
        <w:rPr>
          <w:noProof/>
        </w:rPr>
        <w:fldChar w:fldCharType="end"/>
      </w:r>
      <w:r w:rsidRPr="000C09CD">
        <w:t xml:space="preserve">.  Exceptions to the rule of freedom of association are to be construed strictly, and only convincing and compelling reasons can justify restrictions on that freedom. Any interference must correspond to a “pressing social need”; thus, the notion “necessary” does not have the flexibility of such expressions as “useful” or “desirable” (see </w:t>
      </w:r>
      <w:r w:rsidRPr="000C09CD">
        <w:rPr>
          <w:i/>
        </w:rPr>
        <w:t>Gorzelik</w:t>
      </w:r>
      <w:r w:rsidRPr="000C09CD">
        <w:rPr>
          <w:i/>
        </w:rPr>
        <w:t xml:space="preserve"> and Others</w:t>
      </w:r>
      <w:r w:rsidRPr="000C09CD">
        <w:t xml:space="preserve">, cited above, § 95, and </w:t>
      </w:r>
      <w:r w:rsidRPr="000C09CD">
        <w:rPr>
          <w:i/>
        </w:rPr>
        <w:t xml:space="preserve">Magyar </w:t>
      </w:r>
      <w:r w:rsidRPr="000C09CD">
        <w:rPr>
          <w:i/>
        </w:rPr>
        <w:t>Keresztény</w:t>
      </w:r>
      <w:r w:rsidRPr="000C09CD">
        <w:rPr>
          <w:i/>
        </w:rPr>
        <w:t xml:space="preserve"> </w:t>
      </w:r>
      <w:r w:rsidRPr="000C09CD">
        <w:rPr>
          <w:i/>
        </w:rPr>
        <w:t>Mennonita</w:t>
      </w:r>
      <w:r w:rsidRPr="000C09CD">
        <w:rPr>
          <w:i/>
        </w:rPr>
        <w:t xml:space="preserve"> </w:t>
      </w:r>
      <w:r w:rsidRPr="000C09CD">
        <w:rPr>
          <w:i/>
        </w:rPr>
        <w:t>Egyház</w:t>
      </w:r>
      <w:r w:rsidRPr="000C09CD">
        <w:rPr>
          <w:i/>
        </w:rPr>
        <w:t xml:space="preserve"> and Others</w:t>
      </w:r>
      <w:r w:rsidRPr="000C09CD">
        <w:rPr>
          <w:i/>
          <w:iCs/>
        </w:rPr>
        <w:t xml:space="preserve"> </w:t>
      </w:r>
      <w:r w:rsidRPr="000C09CD">
        <w:rPr>
          <w:i/>
        </w:rPr>
        <w:t>v. Hungary</w:t>
      </w:r>
      <w:r w:rsidRPr="000C09CD">
        <w:t>, nos. 70945/11 and 8 others, § 79, ECHR 2014).</w:t>
      </w:r>
    </w:p>
    <w:p w:rsidRPr="000C09CD" w:rsidR="000C09CD" w:rsidP="000C09CD" w14:paraId="1C473321" w14:textId="2DF7F347">
      <w:pPr>
        <w:pStyle w:val="JuPara"/>
      </w:pPr>
      <w:r>
        <w:fldChar w:fldCharType="begin"/>
      </w:r>
      <w:r>
        <w:instrText xml:space="preserve"> SEQ level0 \*arabic \* MERGEFORMAT </w:instrText>
      </w:r>
      <w:r>
        <w:fldChar w:fldCharType="separate"/>
      </w:r>
      <w:r w:rsidRPr="000C09CD">
        <w:rPr>
          <w:noProof/>
        </w:rPr>
        <w:t>79</w:t>
      </w:r>
      <w:r w:rsidRPr="000C09CD">
        <w:rPr>
          <w:noProof/>
        </w:rPr>
        <w:fldChar w:fldCharType="end"/>
      </w:r>
      <w:r w:rsidRPr="000C09CD">
        <w:t xml:space="preserve">.  When restricting the right to freedom of association, it is in the first place for the national authorities to assess whether there is a “pressing social need” to impose a given restriction in the general interest. While the </w:t>
      </w:r>
      <w:r w:rsidRPr="000C09CD">
        <w:t xml:space="preserve">Convention leaves to those authorities a margin of appreciation in this connection, their assessment is subject to supervision by the Court, going both to the law and to the decisions applying it, including decisions given by independent courts (see </w:t>
      </w:r>
      <w:r w:rsidRPr="000C09CD">
        <w:rPr>
          <w:i/>
        </w:rPr>
        <w:t>Gorzelik</w:t>
      </w:r>
      <w:r w:rsidRPr="000C09CD">
        <w:rPr>
          <w:i/>
        </w:rPr>
        <w:t xml:space="preserve"> and Others</w:t>
      </w:r>
      <w:r w:rsidRPr="000C09CD">
        <w:t>, cited above, § 96).</w:t>
      </w:r>
    </w:p>
    <w:p w:rsidRPr="000C09CD" w:rsidR="000C09CD" w:rsidP="000C09CD" w14:paraId="72814BC8" w14:textId="3D528665">
      <w:pPr>
        <w:pStyle w:val="JuPara"/>
      </w:pPr>
      <w:r>
        <w:fldChar w:fldCharType="begin"/>
      </w:r>
      <w:r>
        <w:instrText xml:space="preserve"> SEQ level0 \*arabic \* MERGEFORMAT </w:instrText>
      </w:r>
      <w:r>
        <w:fldChar w:fldCharType="separate"/>
      </w:r>
      <w:bookmarkStart w:name="paragraph00081" w:id="38"/>
      <w:r w:rsidRPr="000C09CD">
        <w:rPr>
          <w:noProof/>
        </w:rPr>
        <w:t>80</w:t>
      </w:r>
      <w:bookmarkEnd w:id="38"/>
      <w:r>
        <w:fldChar w:fldCharType="end"/>
      </w:r>
      <w:r w:rsidRPr="000C09CD">
        <w:t>.  When the Court carries out its scrutiny, its task is not to substitute its own view for that of the national authorities, which are better placed than an international court to decide both on legislative policy and on measures of implementation, but to review under Article 11 the decisions they delivered in the exercise of their discretion (</w:t>
      </w:r>
      <w:r w:rsidRPr="000C09CD">
        <w:rPr>
          <w:iCs/>
        </w:rPr>
        <w:t>ibid., § 96</w:t>
      </w:r>
      <w:r w:rsidRPr="000C09CD">
        <w:t xml:space="preserve">; see also </w:t>
      </w:r>
      <w:r w:rsidRPr="000C09CD">
        <w:rPr>
          <w:i/>
        </w:rPr>
        <w:t>Partidul</w:t>
      </w:r>
      <w:r w:rsidRPr="000C09CD">
        <w:rPr>
          <w:i/>
        </w:rPr>
        <w:t xml:space="preserve"> </w:t>
      </w:r>
      <w:r w:rsidRPr="000C09CD">
        <w:rPr>
          <w:i/>
        </w:rPr>
        <w:t>Comunistilor</w:t>
      </w:r>
      <w:r w:rsidRPr="000C09CD">
        <w:rPr>
          <w:i/>
        </w:rPr>
        <w:t xml:space="preserve"> (</w:t>
      </w:r>
      <w:r w:rsidRPr="000C09CD">
        <w:rPr>
          <w:i/>
        </w:rPr>
        <w:t>Nepeceristi</w:t>
      </w:r>
      <w:r w:rsidRPr="000C09CD">
        <w:rPr>
          <w:i/>
        </w:rPr>
        <w:t>) and Ungureanu v. Romania</w:t>
      </w:r>
      <w:r w:rsidRPr="000C09CD">
        <w:t>, no. 46626/99, § 49, ECHR 2005</w:t>
      </w:r>
      <w:r w:rsidRPr="000C09CD">
        <w:noBreakHyphen/>
        <w:t xml:space="preserve">I, and </w:t>
      </w:r>
      <w:r w:rsidRPr="000C09CD">
        <w:rPr>
          <w:i/>
        </w:rPr>
        <w:t xml:space="preserve">Magyar </w:t>
      </w:r>
      <w:r w:rsidRPr="000C09CD">
        <w:rPr>
          <w:i/>
        </w:rPr>
        <w:t>Keresztény</w:t>
      </w:r>
      <w:r w:rsidRPr="000C09CD">
        <w:rPr>
          <w:i/>
        </w:rPr>
        <w:t xml:space="preserve"> </w:t>
      </w:r>
      <w:r w:rsidRPr="000C09CD">
        <w:rPr>
          <w:i/>
        </w:rPr>
        <w:t>Mennonita</w:t>
      </w:r>
      <w:r w:rsidRPr="000C09CD">
        <w:rPr>
          <w:i/>
        </w:rPr>
        <w:t xml:space="preserve"> </w:t>
      </w:r>
      <w:r w:rsidRPr="000C09CD">
        <w:rPr>
          <w:i/>
        </w:rPr>
        <w:t>Egyház</w:t>
      </w:r>
      <w:r w:rsidRPr="000C09CD">
        <w:rPr>
          <w:i/>
        </w:rPr>
        <w:t xml:space="preserve"> and Others</w:t>
      </w:r>
      <w:r w:rsidRPr="000C09CD">
        <w:t>, cited above, § 80).</w:t>
      </w:r>
    </w:p>
    <w:bookmarkStart w:name="paragraph00082" w:id="39"/>
    <w:p w:rsidRPr="000C09CD" w:rsidR="000C09CD" w:rsidP="000C09CD" w14:paraId="65452CD8" w14:textId="4F2A6896">
      <w:pPr>
        <w:pStyle w:val="JuPara"/>
      </w:pPr>
      <w:r w:rsidRPr="000C09CD">
        <w:fldChar w:fldCharType="begin"/>
      </w:r>
      <w:r w:rsidRPr="000C09CD">
        <w:instrText xml:space="preserve"> SEQ level0 \*arabic \* MERGEFORMAT </w:instrText>
      </w:r>
      <w:r w:rsidRPr="000C09CD">
        <w:fldChar w:fldCharType="separate"/>
      </w:r>
      <w:r w:rsidRPr="000C09CD">
        <w:rPr>
          <w:noProof/>
        </w:rPr>
        <w:t>81</w:t>
      </w:r>
      <w:r w:rsidRPr="000C09CD">
        <w:fldChar w:fldCharType="end"/>
      </w:r>
      <w:bookmarkEnd w:id="39"/>
      <w:r w:rsidRPr="000C09CD">
        <w:t xml:space="preserve">.  This does not mean that the Court has to confine itself to ascertaining whether the respondent State exercised its discretion reasonably, carefully and in good faith; it must look at the interference complained of in the light of the case as a whole and determine whether it was “proportionate to the legitimate aim pursued” and whether the reasons adduced by the national authorities to justify it are “relevant and sufficient”. In so doing, the Court has to satisfy itself that the national authorities applied standards which were in conformity with the principles embodied in Article 11 and, moreover, that they based their decisions on an acceptable assessment of the relevant facts (see </w:t>
      </w:r>
      <w:r w:rsidRPr="000C09CD">
        <w:rPr>
          <w:i/>
        </w:rPr>
        <w:t>Gorzelik</w:t>
      </w:r>
      <w:r w:rsidRPr="000C09CD">
        <w:rPr>
          <w:i/>
        </w:rPr>
        <w:t xml:space="preserve"> and Others</w:t>
      </w:r>
      <w:r w:rsidRPr="000C09CD">
        <w:rPr>
          <w:iCs/>
        </w:rPr>
        <w:t xml:space="preserve">, </w:t>
      </w:r>
      <w:r w:rsidRPr="000C09CD">
        <w:t xml:space="preserve">§ 96; </w:t>
      </w:r>
      <w:r w:rsidRPr="000C09CD">
        <w:rPr>
          <w:i/>
        </w:rPr>
        <w:t>Partidul</w:t>
      </w:r>
      <w:r w:rsidRPr="000C09CD">
        <w:rPr>
          <w:i/>
        </w:rPr>
        <w:t xml:space="preserve"> </w:t>
      </w:r>
      <w:r w:rsidRPr="000C09CD">
        <w:rPr>
          <w:i/>
        </w:rPr>
        <w:t>Comunistilor</w:t>
      </w:r>
      <w:r w:rsidRPr="000C09CD">
        <w:rPr>
          <w:i/>
        </w:rPr>
        <w:t xml:space="preserve"> (</w:t>
      </w:r>
      <w:r w:rsidRPr="000C09CD">
        <w:rPr>
          <w:i/>
        </w:rPr>
        <w:t>Nepeceristi</w:t>
      </w:r>
      <w:r w:rsidRPr="000C09CD">
        <w:rPr>
          <w:i/>
        </w:rPr>
        <w:t>) and Ungureanu</w:t>
      </w:r>
      <w:r w:rsidRPr="000C09CD">
        <w:t xml:space="preserve">, § 49; and </w:t>
      </w:r>
      <w:r w:rsidRPr="000C09CD">
        <w:rPr>
          <w:i/>
        </w:rPr>
        <w:t xml:space="preserve">Magyar </w:t>
      </w:r>
      <w:r w:rsidRPr="000C09CD">
        <w:rPr>
          <w:i/>
        </w:rPr>
        <w:t>Keresztény</w:t>
      </w:r>
      <w:r w:rsidRPr="000C09CD">
        <w:rPr>
          <w:i/>
        </w:rPr>
        <w:t xml:space="preserve"> </w:t>
      </w:r>
      <w:r w:rsidRPr="000C09CD">
        <w:rPr>
          <w:i/>
        </w:rPr>
        <w:t>Mennonita</w:t>
      </w:r>
      <w:r w:rsidRPr="000C09CD">
        <w:rPr>
          <w:i/>
        </w:rPr>
        <w:t xml:space="preserve"> </w:t>
      </w:r>
      <w:r w:rsidRPr="000C09CD">
        <w:rPr>
          <w:i/>
        </w:rPr>
        <w:t>Egyház</w:t>
      </w:r>
      <w:r w:rsidRPr="000C09CD">
        <w:rPr>
          <w:i/>
        </w:rPr>
        <w:t xml:space="preserve"> and Others</w:t>
      </w:r>
      <w:r w:rsidRPr="000C09CD">
        <w:t>, § 80, all cited above).</w:t>
      </w:r>
    </w:p>
    <w:p w:rsidRPr="000C09CD" w:rsidR="000C09CD" w:rsidP="000C09CD" w14:paraId="29D6379B" w14:textId="22DCA1D3">
      <w:pPr>
        <w:pStyle w:val="JuPara"/>
      </w:pPr>
      <w:r>
        <w:fldChar w:fldCharType="begin"/>
      </w:r>
      <w:r>
        <w:instrText xml:space="preserve"> SEQ level0 \*arabic \* MERGEFORMAT </w:instrText>
      </w:r>
      <w:r>
        <w:fldChar w:fldCharType="separate"/>
      </w:r>
      <w:r w:rsidRPr="000C09CD">
        <w:rPr>
          <w:noProof/>
        </w:rPr>
        <w:t>82</w:t>
      </w:r>
      <w:r w:rsidRPr="000C09CD">
        <w:rPr>
          <w:noProof/>
        </w:rPr>
        <w:fldChar w:fldCharType="end"/>
      </w:r>
      <w:r w:rsidRPr="000C09CD">
        <w:t xml:space="preserve">.  The Court reiterates in this connection that no group should be authorised to rely on the Convention’s provisions </w:t>
      </w:r>
      <w:r w:rsidRPr="000C09CD">
        <w:t>in order to</w:t>
      </w:r>
      <w:r w:rsidRPr="000C09CD">
        <w:t xml:space="preserve"> weaken or destroy the ideals and values protected by the Convention. It necessarily follows that a group (such as a political party, association or foundation) whose leaders incite others to violence or put forward a policy which is aimed at the flouting of the rights and freedoms of others may face sanctions on these grounds in accordance with the criteria set out in paragraph 2 of Article 11 of the Convention (see </w:t>
      </w:r>
      <w:r w:rsidRPr="000C09CD">
        <w:rPr>
          <w:i/>
          <w:iCs/>
        </w:rPr>
        <w:t>Zehra Foundation and Others</w:t>
      </w:r>
      <w:r w:rsidRPr="000C09CD">
        <w:rPr>
          <w:lang w:eastAsia="en-GB"/>
        </w:rPr>
        <w:t xml:space="preserve">, cited above, </w:t>
      </w:r>
      <w:r w:rsidRPr="000C09CD">
        <w:t xml:space="preserve">§§ 53-54). Nevertheless, the State’s power to protect its institutions and citizens from associations that might jeopardise them must be used sparingly (see </w:t>
      </w:r>
      <w:r w:rsidRPr="000C09CD">
        <w:rPr>
          <w:i/>
        </w:rPr>
        <w:t xml:space="preserve">Magyar </w:t>
      </w:r>
      <w:r w:rsidRPr="000C09CD">
        <w:rPr>
          <w:i/>
        </w:rPr>
        <w:t>Keresztény</w:t>
      </w:r>
      <w:r w:rsidRPr="000C09CD">
        <w:rPr>
          <w:i/>
        </w:rPr>
        <w:t xml:space="preserve"> </w:t>
      </w:r>
      <w:r w:rsidRPr="000C09CD">
        <w:rPr>
          <w:i/>
        </w:rPr>
        <w:t>Mennonita</w:t>
      </w:r>
      <w:r w:rsidRPr="000C09CD">
        <w:rPr>
          <w:i/>
        </w:rPr>
        <w:t xml:space="preserve"> </w:t>
      </w:r>
      <w:r w:rsidRPr="000C09CD">
        <w:rPr>
          <w:i/>
        </w:rPr>
        <w:t>Egyház</w:t>
      </w:r>
      <w:r w:rsidRPr="000C09CD">
        <w:rPr>
          <w:i/>
        </w:rPr>
        <w:t xml:space="preserve"> and Others</w:t>
      </w:r>
      <w:r w:rsidRPr="000C09CD">
        <w:t>, cited above, § 79).</w:t>
      </w:r>
    </w:p>
    <w:p w:rsidRPr="000C09CD" w:rsidR="000C09CD" w:rsidP="000C09CD" w14:paraId="1A2006AF" w14:textId="10EE7596">
      <w:pPr>
        <w:pStyle w:val="JuPara"/>
      </w:pPr>
      <w:r>
        <w:fldChar w:fldCharType="begin"/>
      </w:r>
      <w:r>
        <w:instrText xml:space="preserve"> SEQ level0 \*arabic \* MERGEFORMAT </w:instrText>
      </w:r>
      <w:r>
        <w:fldChar w:fldCharType="separate"/>
      </w:r>
      <w:r w:rsidRPr="000C09CD">
        <w:rPr>
          <w:noProof/>
        </w:rPr>
        <w:t>83</w:t>
      </w:r>
      <w:r w:rsidRPr="000C09CD">
        <w:rPr>
          <w:noProof/>
        </w:rPr>
        <w:fldChar w:fldCharType="end"/>
      </w:r>
      <w:r w:rsidRPr="000C09CD">
        <w:t xml:space="preserve">.  Where there has been incitement to violence against an individual or a public official or a sector of the population, the State authorities enjoy a wider margin of appreciation when examining the need for an interference with Article 11 (see </w:t>
      </w:r>
      <w:r w:rsidRPr="000C09CD">
        <w:rPr>
          <w:i/>
        </w:rPr>
        <w:t>Ayoub and Others v. France</w:t>
      </w:r>
      <w:r w:rsidRPr="000C09CD">
        <w:t>, nos. 77400/14 and 2 others, § 121, 8 October 2020).</w:t>
      </w:r>
    </w:p>
    <w:p w:rsidRPr="000C09CD" w:rsidR="000C09CD" w:rsidP="000C09CD" w14:paraId="59AD2517" w14:textId="118293CB">
      <w:pPr>
        <w:pStyle w:val="JuPara"/>
      </w:pPr>
      <w:r>
        <w:fldChar w:fldCharType="begin"/>
      </w:r>
      <w:r>
        <w:instrText xml:space="preserve"> SEQ level0 \*arabic \* MERGEFORMAT </w:instrText>
      </w:r>
      <w:r>
        <w:fldChar w:fldCharType="separate"/>
      </w:r>
      <w:r w:rsidRPr="000C09CD">
        <w:rPr>
          <w:noProof/>
        </w:rPr>
        <w:t>84</w:t>
      </w:r>
      <w:r w:rsidRPr="000C09CD">
        <w:rPr>
          <w:noProof/>
        </w:rPr>
        <w:fldChar w:fldCharType="end"/>
      </w:r>
      <w:r w:rsidRPr="000C09CD">
        <w:t xml:space="preserve">.  The outright dissolution of an association is a harsh measure entailing significant consequences for its members. Such a measure may be taken only in the most serious cases (see </w:t>
      </w:r>
      <w:r w:rsidRPr="000C09CD">
        <w:rPr>
          <w:i/>
        </w:rPr>
        <w:t>Association Rhino and Others v. Switzerland</w:t>
      </w:r>
      <w:r w:rsidRPr="000C09CD">
        <w:t xml:space="preserve">, no. 48848/07, § 62, 11 October 2011; </w:t>
      </w:r>
      <w:bookmarkStart w:name="_cl39070" w:id="40"/>
      <w:r w:rsidRPr="000C09CD">
        <w:rPr>
          <w:i/>
          <w:iCs/>
        </w:rPr>
        <w:t>Vona</w:t>
      </w:r>
      <w:r w:rsidRPr="000C09CD">
        <w:rPr>
          <w:i/>
          <w:iCs/>
        </w:rPr>
        <w:t xml:space="preserve"> v. Hungary</w:t>
      </w:r>
      <w:bookmarkEnd w:id="40"/>
      <w:r w:rsidRPr="000C09CD">
        <w:t xml:space="preserve">, no. 35943/10, § 58, </w:t>
      </w:r>
      <w:r w:rsidRPr="000C09CD">
        <w:t xml:space="preserve">ECHR 2013; and </w:t>
      </w:r>
      <w:r w:rsidRPr="000C09CD">
        <w:rPr>
          <w:i/>
        </w:rPr>
        <w:t xml:space="preserve">Les </w:t>
      </w:r>
      <w:r w:rsidRPr="000C09CD">
        <w:rPr>
          <w:i/>
        </w:rPr>
        <w:t>Authentiks</w:t>
      </w:r>
      <w:r w:rsidRPr="000C09CD">
        <w:rPr>
          <w:i/>
        </w:rPr>
        <w:t xml:space="preserve"> and </w:t>
      </w:r>
      <w:r w:rsidRPr="000C09CD">
        <w:rPr>
          <w:i/>
        </w:rPr>
        <w:t>Supras</w:t>
      </w:r>
      <w:r w:rsidRPr="000C09CD">
        <w:rPr>
          <w:i/>
        </w:rPr>
        <w:t xml:space="preserve"> Auteuil 91 v. France</w:t>
      </w:r>
      <w:r w:rsidRPr="000C09CD">
        <w:t>, nos. 4696/11 and 4703/11, § 84, 27 October 2016).</w:t>
      </w:r>
    </w:p>
    <w:p w:rsidRPr="000C09CD" w:rsidR="000C09CD" w:rsidP="000C09CD" w14:paraId="6274C210" w14:textId="77777777">
      <w:pPr>
        <w:pStyle w:val="JuHi"/>
        <w:numPr>
          <w:ilvl w:val="5"/>
          <w:numId w:val="36"/>
        </w:numPr>
        <w:spacing w:line="268" w:lineRule="auto"/>
        <w:ind w:left="1191" w:hanging="358"/>
      </w:pPr>
      <w:r w:rsidRPr="000C09CD">
        <w:t>Application of these principles in the present case</w:t>
      </w:r>
    </w:p>
    <w:p w:rsidRPr="000C09CD" w:rsidR="000C09CD" w:rsidP="000C09CD" w14:paraId="3445D06E" w14:textId="6FB113AF">
      <w:pPr>
        <w:pStyle w:val="JuHalpha"/>
        <w:numPr>
          <w:ilvl w:val="6"/>
          <w:numId w:val="36"/>
        </w:numPr>
        <w:ind w:left="1372" w:hanging="334"/>
      </w:pPr>
      <w:r w:rsidRPr="000C09CD">
        <w:t>As to the width of the State’s margin of appreciation</w:t>
      </w:r>
    </w:p>
    <w:p w:rsidRPr="000C09CD" w:rsidR="000C09CD" w:rsidP="000C09CD" w14:paraId="7559E606" w14:textId="622943E8">
      <w:pPr>
        <w:pStyle w:val="JuPara"/>
      </w:pPr>
      <w:r>
        <w:fldChar w:fldCharType="begin"/>
      </w:r>
      <w:r>
        <w:instrText xml:space="preserve"> SEQ level0 \*arabic \* MERGEFORMAT </w:instrText>
      </w:r>
      <w:r>
        <w:fldChar w:fldCharType="separate"/>
      </w:r>
      <w:bookmarkStart w:name="paragraph00091" w:id="41"/>
      <w:r w:rsidRPr="000C09CD">
        <w:rPr>
          <w:noProof/>
        </w:rPr>
        <w:t>85</w:t>
      </w:r>
      <w:bookmarkEnd w:id="41"/>
      <w:r>
        <w:fldChar w:fldCharType="end"/>
      </w:r>
      <w:r w:rsidRPr="000C09CD">
        <w:t xml:space="preserve">.  Turning to the determination of the State’s margin of appreciation in the present case, the Court notes that the proscription of the applicant association necessarily entailed its dissolution and was thus the most intrusive measure possible (see, </w:t>
      </w:r>
      <w:r w:rsidRPr="000C09CD">
        <w:rPr>
          <w:i/>
          <w:iCs/>
        </w:rPr>
        <w:t>mutatis mutandis</w:t>
      </w:r>
      <w:r w:rsidRPr="000C09CD">
        <w:t xml:space="preserve">, </w:t>
      </w:r>
      <w:r w:rsidRPr="000C09CD">
        <w:rPr>
          <w:i/>
        </w:rPr>
        <w:t>Tebieti</w:t>
      </w:r>
      <w:r w:rsidRPr="000C09CD">
        <w:rPr>
          <w:i/>
        </w:rPr>
        <w:t xml:space="preserve"> </w:t>
      </w:r>
      <w:r w:rsidRPr="000C09CD">
        <w:rPr>
          <w:i/>
        </w:rPr>
        <w:t>Mühafize</w:t>
      </w:r>
      <w:r w:rsidRPr="000C09CD">
        <w:rPr>
          <w:i/>
        </w:rPr>
        <w:t xml:space="preserve"> </w:t>
      </w:r>
      <w:r w:rsidRPr="000C09CD">
        <w:rPr>
          <w:i/>
        </w:rPr>
        <w:t>Cemiyyeti</w:t>
      </w:r>
      <w:r w:rsidRPr="000C09CD">
        <w:rPr>
          <w:i/>
        </w:rPr>
        <w:t xml:space="preserve"> and </w:t>
      </w:r>
      <w:r w:rsidRPr="000C09CD">
        <w:rPr>
          <w:i/>
        </w:rPr>
        <w:t>Israfilov</w:t>
      </w:r>
      <w:r w:rsidRPr="000C09CD">
        <w:t>, cited above, § 82).</w:t>
      </w:r>
    </w:p>
    <w:p w:rsidRPr="000C09CD" w:rsidR="000C09CD" w:rsidP="000C09CD" w14:paraId="14DA5AC2" w14:textId="4265F77A">
      <w:pPr>
        <w:pStyle w:val="JuPara"/>
      </w:pPr>
      <w:r>
        <w:fldChar w:fldCharType="begin"/>
      </w:r>
      <w:r>
        <w:instrText xml:space="preserve"> SEQ level0 \*arabic \* MERGEFORMAT </w:instrText>
      </w:r>
      <w:r>
        <w:fldChar w:fldCharType="separate"/>
      </w:r>
      <w:r w:rsidRPr="000C09CD">
        <w:rPr>
          <w:noProof/>
        </w:rPr>
        <w:t>86</w:t>
      </w:r>
      <w:r w:rsidRPr="000C09CD">
        <w:rPr>
          <w:noProof/>
        </w:rPr>
        <w:fldChar w:fldCharType="end"/>
      </w:r>
      <w:r w:rsidRPr="000C09CD">
        <w:t xml:space="preserve">.  The Court notes, on the other hand, that the present case concerns the proscription of an association for the purpose of fighting international terrorism. In this connection, the Court observes that the fight against the direct and indirect financing of international terrorism is the declared objective of a number of international and supranational legal instruments; in particular, the UN International Convention for the Suppression of the Financing of Terrorism (see paragraph </w:t>
      </w:r>
      <w:r w:rsidRPr="000C09CD">
        <w:fldChar w:fldCharType="begin"/>
      </w:r>
      <w:r w:rsidRPr="000C09CD">
        <w:instrText xml:space="preserve"> REF paragraph00038 \h  \* CharFormat  \* MERGEFORMAT </w:instrText>
      </w:r>
      <w:r w:rsidRPr="000C09CD">
        <w:fldChar w:fldCharType="separate"/>
      </w:r>
      <w:r w:rsidRPr="000C09CD">
        <w:t>38</w:t>
      </w:r>
      <w:r w:rsidRPr="000C09CD">
        <w:fldChar w:fldCharType="end"/>
      </w:r>
      <w:r w:rsidRPr="000C09CD">
        <w:t xml:space="preserve"> above) targets the collection of funds for terrorism “by any means, directly or indirectly”. Restrictive measures by the European Union implementing UN Security Council Resolution 1373 (2001) (see paragraph </w:t>
      </w:r>
      <w:r w:rsidRPr="000C09CD">
        <w:fldChar w:fldCharType="begin"/>
      </w:r>
      <w:r w:rsidRPr="000C09CD">
        <w:instrText xml:space="preserve"> REF paragraph00040 \h  \* CharFormat  \* MERGEFORMAT </w:instrText>
      </w:r>
      <w:r w:rsidRPr="000C09CD">
        <w:fldChar w:fldCharType="separate"/>
      </w:r>
      <w:r w:rsidRPr="000C09CD">
        <w:t>37</w:t>
      </w:r>
      <w:r w:rsidRPr="000C09CD">
        <w:fldChar w:fldCharType="end"/>
      </w:r>
      <w:r w:rsidRPr="000C09CD">
        <w:t xml:space="preserve"> above) are aimed at preventing the direct and indirect financing of terrorism (see paragraphs </w:t>
      </w:r>
      <w:r w:rsidRPr="000C09CD">
        <w:fldChar w:fldCharType="begin"/>
      </w:r>
      <w:r w:rsidRPr="000C09CD">
        <w:instrText xml:space="preserve"> REF paragraph00041 \h  \* CharFormat  \* MERGEFORMAT </w:instrText>
      </w:r>
      <w:r w:rsidRPr="000C09CD">
        <w:fldChar w:fldCharType="separate"/>
      </w:r>
      <w:r w:rsidRPr="000C09CD">
        <w:t>40</w:t>
      </w:r>
      <w:r w:rsidRPr="000C09CD">
        <w:fldChar w:fldCharType="end"/>
      </w:r>
      <w:r w:rsidRPr="000C09CD">
        <w:t xml:space="preserve"> and </w:t>
      </w:r>
      <w:r w:rsidRPr="000C09CD">
        <w:fldChar w:fldCharType="begin"/>
      </w:r>
      <w:r w:rsidRPr="000C09CD">
        <w:instrText xml:space="preserve"> REF paragraph00042 \h  \* CharFormat  \* MERGEFORMAT </w:instrText>
      </w:r>
      <w:r w:rsidRPr="000C09CD">
        <w:fldChar w:fldCharType="separate"/>
      </w:r>
      <w:r w:rsidRPr="000C09CD">
        <w:t>41</w:t>
      </w:r>
      <w:r w:rsidRPr="000C09CD">
        <w:fldChar w:fldCharType="end"/>
      </w:r>
      <w:r w:rsidRPr="000C09CD">
        <w:t xml:space="preserve"> above).</w:t>
      </w:r>
    </w:p>
    <w:p w:rsidRPr="000C09CD" w:rsidR="000C09CD" w:rsidP="000C09CD" w14:paraId="17D89195" w14:textId="014AA1F0">
      <w:pPr>
        <w:pStyle w:val="JuPara"/>
      </w:pPr>
      <w:r>
        <w:fldChar w:fldCharType="begin"/>
      </w:r>
      <w:r>
        <w:instrText xml:space="preserve"> SEQ level0 \*arabic \* MERGEFORMAT </w:instrText>
      </w:r>
      <w:r>
        <w:fldChar w:fldCharType="separate"/>
      </w:r>
      <w:bookmarkStart w:name="paragraph00103" w:id="42"/>
      <w:r w:rsidRPr="000C09CD">
        <w:rPr>
          <w:noProof/>
        </w:rPr>
        <w:t>87</w:t>
      </w:r>
      <w:bookmarkEnd w:id="42"/>
      <w:r>
        <w:fldChar w:fldCharType="end"/>
      </w:r>
      <w:r w:rsidRPr="000C09CD">
        <w:t xml:space="preserve">.  The Court observes, furthermore, that the concept of international understanding is not only a prerequisite of the international legal order but also figures among the core values of the Convention, including </w:t>
      </w:r>
      <w:r w:rsidRPr="000C09CD">
        <w:t>in particular the</w:t>
      </w:r>
      <w:r w:rsidRPr="000C09CD">
        <w:t xml:space="preserve"> principles of peaceful settlement of international conflicts and the sanctity of human life (see </w:t>
      </w:r>
      <w:r w:rsidRPr="000C09CD">
        <w:rPr>
          <w:i/>
          <w:iCs/>
        </w:rPr>
        <w:t>Hizb</w:t>
      </w:r>
      <w:r w:rsidRPr="000C09CD">
        <w:rPr>
          <w:i/>
          <w:iCs/>
        </w:rPr>
        <w:t xml:space="preserve"> Ut-Tahrir and Others</w:t>
      </w:r>
      <w:r w:rsidRPr="000C09CD">
        <w:t xml:space="preserve">, cited above, § 74; see also </w:t>
      </w:r>
      <w:r w:rsidRPr="000C09CD">
        <w:rPr>
          <w:i/>
        </w:rPr>
        <w:t>Kasymakhunov</w:t>
      </w:r>
      <w:r w:rsidRPr="000C09CD">
        <w:rPr>
          <w:i/>
        </w:rPr>
        <w:t xml:space="preserve"> and </w:t>
      </w:r>
      <w:r w:rsidRPr="000C09CD">
        <w:rPr>
          <w:i/>
        </w:rPr>
        <w:t>Saybatalov</w:t>
      </w:r>
      <w:r w:rsidRPr="000C09CD">
        <w:t>, cited above, § 106).</w:t>
      </w:r>
    </w:p>
    <w:p w:rsidRPr="000C09CD" w:rsidR="000C09CD" w:rsidP="000C09CD" w14:paraId="6A55B115" w14:textId="6A02385B">
      <w:pPr>
        <w:pStyle w:val="JuPara"/>
      </w:pPr>
      <w:r>
        <w:fldChar w:fldCharType="begin"/>
      </w:r>
      <w:r>
        <w:instrText xml:space="preserve"> SEQ level0 \*arabic \* MERGEFORMAT </w:instrText>
      </w:r>
      <w:r>
        <w:fldChar w:fldCharType="separate"/>
      </w:r>
      <w:r w:rsidRPr="000C09CD">
        <w:rPr>
          <w:noProof/>
        </w:rPr>
        <w:t>88</w:t>
      </w:r>
      <w:r w:rsidRPr="000C09CD">
        <w:rPr>
          <w:noProof/>
        </w:rPr>
        <w:fldChar w:fldCharType="end"/>
      </w:r>
      <w:r w:rsidRPr="000C09CD">
        <w:t>.  The Court reiterates that associations which engage in activities contrary to the values of the Convention cannot benefit from the protection of Article 11 interpreted in the light of Article 17, which prohibits the use of the Convention in order to destroy or excessively limit the rights guaranteed by it (see, for an analysis of the case-law,</w:t>
      </w:r>
      <w:r w:rsidRPr="000C09CD">
        <w:rPr>
          <w:i/>
          <w:iCs/>
        </w:rPr>
        <w:t xml:space="preserve"> ROJ TV A/S v. Denmark </w:t>
      </w:r>
      <w:r w:rsidRPr="000C09CD">
        <w:t xml:space="preserve">(dec.), no. 24683/14, §§ 30-38, 17 April 2018). As with Article 10 (see the principles outlined in </w:t>
      </w:r>
      <w:r w:rsidRPr="000C09CD">
        <w:rPr>
          <w:i/>
        </w:rPr>
        <w:t>Pastörs</w:t>
      </w:r>
      <w:r w:rsidRPr="000C09CD">
        <w:rPr>
          <w:i/>
        </w:rPr>
        <w:t xml:space="preserve"> v. Germany</w:t>
      </w:r>
      <w:r w:rsidRPr="000C09CD">
        <w:t xml:space="preserve">, no. 55225/14, §§ 36-38, 3 October 2019, and the cases cited therein), the former Commission and the Court have dealt with a number of cases under Articles 11 and/or 17 of the Convention concerning associations whose statutes and/or activities are contrary to core Convention values, for example where they promote and justify terrorism and war crimes. The Court has either declared those cases incompatible </w:t>
      </w:r>
      <w:r w:rsidRPr="000C09CD">
        <w:rPr>
          <w:i/>
          <w:iCs/>
        </w:rPr>
        <w:t>ratione</w:t>
      </w:r>
      <w:r w:rsidRPr="000C09CD">
        <w:rPr>
          <w:i/>
          <w:iCs/>
        </w:rPr>
        <w:t xml:space="preserve"> </w:t>
      </w:r>
      <w:r w:rsidRPr="000C09CD">
        <w:rPr>
          <w:i/>
          <w:iCs/>
        </w:rPr>
        <w:t>materiae</w:t>
      </w:r>
      <w:r w:rsidRPr="000C09CD">
        <w:t xml:space="preserve"> with the provisions of the Convention in view of Article 17 of the Convention (see </w:t>
      </w:r>
      <w:r w:rsidRPr="000C09CD">
        <w:rPr>
          <w:i/>
          <w:iCs/>
        </w:rPr>
        <w:t>Hizb</w:t>
      </w:r>
      <w:r w:rsidRPr="000C09CD">
        <w:rPr>
          <w:i/>
          <w:iCs/>
        </w:rPr>
        <w:t xml:space="preserve"> Ut</w:t>
      </w:r>
      <w:r w:rsidRPr="000C09CD">
        <w:rPr>
          <w:i/>
          <w:iCs/>
        </w:rPr>
        <w:noBreakHyphen/>
        <w:t>Tahrir and Others</w:t>
      </w:r>
      <w:r w:rsidRPr="000C09CD">
        <w:t xml:space="preserve">, cited above, §§ 72-75), or else it has relied on Article 17 as an aid in the interpretation of Article 11 § 2 of the Convention so as to reinforce its conclusion on the necessity of the interference (see </w:t>
      </w:r>
      <w:r w:rsidRPr="000C09CD">
        <w:rPr>
          <w:i/>
        </w:rPr>
        <w:t>Karatas</w:t>
      </w:r>
      <w:r w:rsidRPr="000C09CD">
        <w:rPr>
          <w:i/>
        </w:rPr>
        <w:t xml:space="preserve"> and Sari v. France</w:t>
      </w:r>
      <w:r w:rsidRPr="000C09CD">
        <w:t xml:space="preserve">, no. 38396/97, Commission decision of 21 October 1998, unreported, and </w:t>
      </w:r>
      <w:r w:rsidRPr="000C09CD">
        <w:rPr>
          <w:i/>
        </w:rPr>
        <w:t>Ayoub and Others</w:t>
      </w:r>
      <w:r w:rsidRPr="000C09CD">
        <w:t>, cited above, §§ 92</w:t>
      </w:r>
      <w:r w:rsidRPr="000C09CD">
        <w:noBreakHyphen/>
        <w:t>122).</w:t>
      </w:r>
    </w:p>
    <w:p w:rsidRPr="000C09CD" w:rsidR="000C09CD" w:rsidP="000C09CD" w14:paraId="7477560E" w14:textId="15B0D547">
      <w:pPr>
        <w:pStyle w:val="JuPara"/>
      </w:pPr>
      <w:r>
        <w:fldChar w:fldCharType="begin"/>
      </w:r>
      <w:r>
        <w:instrText xml:space="preserve"> SEQ level0 \*arabic \* MERGEFORMAT </w:instrText>
      </w:r>
      <w:r>
        <w:fldChar w:fldCharType="separate"/>
      </w:r>
      <w:bookmarkStart w:name="paragraph00095" w:id="43"/>
      <w:r w:rsidRPr="000C09CD">
        <w:rPr>
          <w:noProof/>
        </w:rPr>
        <w:t>89</w:t>
      </w:r>
      <w:bookmarkEnd w:id="43"/>
      <w:r>
        <w:fldChar w:fldCharType="end"/>
      </w:r>
      <w:r w:rsidRPr="000C09CD">
        <w:t xml:space="preserve">.  The Court reiterates </w:t>
      </w:r>
      <w:r w:rsidRPr="000C09CD">
        <w:t>in particular the</w:t>
      </w:r>
      <w:r w:rsidRPr="000C09CD">
        <w:t xml:space="preserve"> application of that case-law in </w:t>
      </w:r>
      <w:r w:rsidRPr="000C09CD">
        <w:rPr>
          <w:i/>
          <w:iCs/>
        </w:rPr>
        <w:t>Hizb</w:t>
      </w:r>
      <w:r w:rsidRPr="000C09CD">
        <w:rPr>
          <w:i/>
          <w:iCs/>
        </w:rPr>
        <w:t xml:space="preserve"> Ut-Tahrir and Others</w:t>
      </w:r>
      <w:r w:rsidRPr="000C09CD">
        <w:t xml:space="preserve"> (cited above, §§ 73-74), which concerned an association that not only denied the State of Israel’s right to exist but also called for its violent destruction and for the </w:t>
      </w:r>
      <w:r w:rsidRPr="000C09CD">
        <w:rPr>
          <w:rFonts w:cstheme="minorHAnsi"/>
          <w:color w:val="000000"/>
        </w:rPr>
        <w:t>banishment</w:t>
      </w:r>
      <w:r w:rsidRPr="000C09CD">
        <w:t xml:space="preserve"> and killing of its inhabitants. While the applicant association in the present case did not engage in violent conduct itself, the aims pursued by the prohibition of indirect support for terrorism as being contrary to the concept of international understanding are necessarily very weighty and States enjoy a wider margin of appreciation in that regard (see, </w:t>
      </w:r>
      <w:r w:rsidRPr="000C09CD">
        <w:rPr>
          <w:i/>
          <w:iCs/>
        </w:rPr>
        <w:t>mutatis mutandis</w:t>
      </w:r>
      <w:r w:rsidRPr="000C09CD">
        <w:t xml:space="preserve">, </w:t>
      </w:r>
      <w:r w:rsidRPr="000C09CD">
        <w:rPr>
          <w:i/>
        </w:rPr>
        <w:t>Schwabe and M.G. v. Germany</w:t>
      </w:r>
      <w:r w:rsidRPr="000C09CD">
        <w:t xml:space="preserve">, nos. 8080/08 and 8577/08, § 113, ECHR 2011; see also </w:t>
      </w:r>
      <w:r w:rsidRPr="000C09CD">
        <w:rPr>
          <w:i/>
        </w:rPr>
        <w:t xml:space="preserve">Les </w:t>
      </w:r>
      <w:r w:rsidRPr="000C09CD">
        <w:rPr>
          <w:i/>
        </w:rPr>
        <w:t>Authentiks</w:t>
      </w:r>
      <w:r w:rsidRPr="000C09CD">
        <w:rPr>
          <w:i/>
        </w:rPr>
        <w:t xml:space="preserve"> and </w:t>
      </w:r>
      <w:r w:rsidRPr="000C09CD">
        <w:rPr>
          <w:i/>
        </w:rPr>
        <w:t>Supras</w:t>
      </w:r>
      <w:r w:rsidRPr="000C09CD">
        <w:rPr>
          <w:i/>
        </w:rPr>
        <w:t xml:space="preserve"> Auteuil 91</w:t>
      </w:r>
      <w:r w:rsidRPr="000C09CD">
        <w:t xml:space="preserve">, § 84, and </w:t>
      </w:r>
      <w:r w:rsidRPr="000C09CD">
        <w:rPr>
          <w:i/>
        </w:rPr>
        <w:t>Ayoub and Others</w:t>
      </w:r>
      <w:r w:rsidRPr="000C09CD">
        <w:t>, § 121, both cited above).</w:t>
      </w:r>
    </w:p>
    <w:p w:rsidRPr="000C09CD" w:rsidR="000C09CD" w:rsidP="000C09CD" w14:paraId="212D58B7" w14:textId="77777777">
      <w:pPr>
        <w:pStyle w:val="JuHalpha"/>
        <w:numPr>
          <w:ilvl w:val="6"/>
          <w:numId w:val="36"/>
        </w:numPr>
        <w:ind w:left="1372" w:hanging="334"/>
      </w:pPr>
      <w:r w:rsidRPr="000C09CD">
        <w:t>Proportionality of the proscription of the applicant association</w:t>
      </w:r>
    </w:p>
    <w:p w:rsidRPr="000C09CD" w:rsidR="000C09CD" w:rsidP="000C09CD" w14:paraId="63B1213F" w14:textId="7047AE34">
      <w:pPr>
        <w:pStyle w:val="JuPara"/>
      </w:pPr>
      <w:r>
        <w:fldChar w:fldCharType="begin"/>
      </w:r>
      <w:r>
        <w:instrText xml:space="preserve"> SEQ level0 \*arabic \* MERGEFORMAT </w:instrText>
      </w:r>
      <w:r>
        <w:fldChar w:fldCharType="separate"/>
      </w:r>
      <w:r w:rsidRPr="000C09CD">
        <w:rPr>
          <w:noProof/>
        </w:rPr>
        <w:t>90</w:t>
      </w:r>
      <w:r w:rsidRPr="000C09CD">
        <w:rPr>
          <w:noProof/>
        </w:rPr>
        <w:fldChar w:fldCharType="end"/>
      </w:r>
      <w:r w:rsidRPr="000C09CD">
        <w:t>.  The Court observes that the Ministry and the national courts proscribed the applicant association on the grounds that it had engaged in the indirect financing of terrorism under the guise of providing humanitarian aid and that its activities were directed against the concept of international understanding. The applicant association denied that its object and activities could be considered to be proactively aggressive or directed against the concept of international understanding; it argued that the term “support” for a terrorist organisation was employed too broadly (see paragraphs </w:t>
      </w:r>
      <w:r w:rsidRPr="000C09CD">
        <w:fldChar w:fldCharType="begin"/>
      </w:r>
      <w:r w:rsidRPr="000C09CD">
        <w:instrText xml:space="preserve"> REF paragraph00070 \h  \* CharFormat  \* MERGEFORMAT </w:instrText>
      </w:r>
      <w:r w:rsidRPr="000C09CD">
        <w:fldChar w:fldCharType="separate"/>
      </w:r>
      <w:r w:rsidRPr="000C09CD">
        <w:t>54</w:t>
      </w:r>
      <w:r w:rsidRPr="000C09CD">
        <w:fldChar w:fldCharType="end"/>
      </w:r>
      <w:r w:rsidRPr="000C09CD">
        <w:t>-</w:t>
      </w:r>
      <w:r w:rsidRPr="000C09CD">
        <w:fldChar w:fldCharType="begin"/>
      </w:r>
      <w:r w:rsidRPr="000C09CD">
        <w:instrText xml:space="preserve"> REF paragraph00071 \h  \* CharFormat  \* MERGEFORMAT </w:instrText>
      </w:r>
      <w:r w:rsidRPr="000C09CD">
        <w:fldChar w:fldCharType="separate"/>
      </w:r>
      <w:r w:rsidRPr="000C09CD">
        <w:t>55</w:t>
      </w:r>
      <w:r w:rsidRPr="000C09CD">
        <w:fldChar w:fldCharType="end"/>
      </w:r>
      <w:r w:rsidRPr="000C09CD">
        <w:t xml:space="preserve"> above).</w:t>
      </w:r>
    </w:p>
    <w:p w:rsidRPr="000C09CD" w:rsidR="000C09CD" w:rsidP="000C09CD" w14:paraId="1D5553A4" w14:textId="0F27B1A2">
      <w:pPr>
        <w:pStyle w:val="JuPara"/>
      </w:pPr>
      <w:r>
        <w:fldChar w:fldCharType="begin"/>
      </w:r>
      <w:r>
        <w:instrText xml:space="preserve"> SEQ level0 \*arabic \* MERGEFORMAT </w:instrText>
      </w:r>
      <w:r>
        <w:fldChar w:fldCharType="separate"/>
      </w:r>
      <w:r w:rsidRPr="000C09CD">
        <w:rPr>
          <w:noProof/>
        </w:rPr>
        <w:t>91</w:t>
      </w:r>
      <w:r w:rsidRPr="000C09CD">
        <w:rPr>
          <w:noProof/>
        </w:rPr>
        <w:fldChar w:fldCharType="end"/>
      </w:r>
      <w:r w:rsidRPr="000C09CD">
        <w:t xml:space="preserve">.  While it is true that according to its statutes, the applicant association’s stated objective was to “provide appropriate humanitarian aid worldwide in cases of natural disasters, wars and other catastrophes” (see paragraph </w:t>
      </w:r>
      <w:r w:rsidRPr="000C09CD">
        <w:fldChar w:fldCharType="begin"/>
      </w:r>
      <w:r w:rsidRPr="000C09CD">
        <w:instrText xml:space="preserve"> REF paragraph00005 \h  \* CharFormat  \* MERGEFORMAT </w:instrText>
      </w:r>
      <w:r w:rsidRPr="000C09CD">
        <w:fldChar w:fldCharType="separate"/>
      </w:r>
      <w:r w:rsidRPr="000C09CD">
        <w:t>5</w:t>
      </w:r>
      <w:r w:rsidRPr="000C09CD">
        <w:fldChar w:fldCharType="end"/>
      </w:r>
      <w:r w:rsidRPr="000C09CD">
        <w:t xml:space="preserve"> above), the Court reiterates that it will not restrict its examination to the written word of the applicant association’s statutes but will look into their application in practice and the activities the applicant association actually engaged in (see, </w:t>
      </w:r>
      <w:r w:rsidRPr="000C09CD">
        <w:rPr>
          <w:i/>
          <w:iCs/>
        </w:rPr>
        <w:t>mutatis mutandis</w:t>
      </w:r>
      <w:r w:rsidRPr="000C09CD">
        <w:t xml:space="preserve">, </w:t>
      </w:r>
      <w:r w:rsidRPr="000C09CD">
        <w:rPr>
          <w:i/>
        </w:rPr>
        <w:t>Vona</w:t>
      </w:r>
      <w:r w:rsidRPr="000C09CD">
        <w:t xml:space="preserve">, cited above, § 59, and </w:t>
      </w:r>
      <w:r w:rsidRPr="000C09CD">
        <w:rPr>
          <w:i/>
          <w:iCs/>
        </w:rPr>
        <w:t>Tourkiki</w:t>
      </w:r>
      <w:r w:rsidRPr="000C09CD">
        <w:rPr>
          <w:i/>
          <w:iCs/>
        </w:rPr>
        <w:t xml:space="preserve"> </w:t>
      </w:r>
      <w:r w:rsidRPr="000C09CD">
        <w:rPr>
          <w:i/>
          <w:iCs/>
        </w:rPr>
        <w:t>Enosi</w:t>
      </w:r>
      <w:r w:rsidRPr="000C09CD">
        <w:rPr>
          <w:i/>
          <w:iCs/>
        </w:rPr>
        <w:t xml:space="preserve"> </w:t>
      </w:r>
      <w:r w:rsidRPr="000C09CD">
        <w:rPr>
          <w:i/>
          <w:iCs/>
        </w:rPr>
        <w:t>Xanthis</w:t>
      </w:r>
      <w:r w:rsidRPr="000C09CD">
        <w:rPr>
          <w:i/>
          <w:iCs/>
        </w:rPr>
        <w:t xml:space="preserve"> and Others v. Greece</w:t>
      </w:r>
      <w:r w:rsidRPr="000C09CD">
        <w:t xml:space="preserve">, no. 26698/05, § 48, 27 March 2008; see also </w:t>
      </w:r>
      <w:r w:rsidRPr="000C09CD">
        <w:rPr>
          <w:i/>
        </w:rPr>
        <w:t>Herri</w:t>
      </w:r>
      <w:r w:rsidRPr="000C09CD">
        <w:rPr>
          <w:i/>
        </w:rPr>
        <w:t xml:space="preserve"> </w:t>
      </w:r>
      <w:r w:rsidRPr="000C09CD">
        <w:rPr>
          <w:i/>
        </w:rPr>
        <w:t>Batasuna</w:t>
      </w:r>
      <w:r w:rsidRPr="000C09CD">
        <w:rPr>
          <w:i/>
        </w:rPr>
        <w:t xml:space="preserve"> and </w:t>
      </w:r>
      <w:r w:rsidRPr="000C09CD">
        <w:rPr>
          <w:i/>
        </w:rPr>
        <w:t>Batasuna</w:t>
      </w:r>
      <w:r w:rsidRPr="000C09CD">
        <w:t>, cited above, § 80).</w:t>
      </w:r>
    </w:p>
    <w:p w:rsidRPr="000C09CD" w:rsidR="000C09CD" w:rsidP="000C09CD" w14:paraId="6D7687AD" w14:textId="437587B0">
      <w:pPr>
        <w:pStyle w:val="JuPara"/>
      </w:pPr>
      <w:r>
        <w:fldChar w:fldCharType="begin"/>
      </w:r>
      <w:r>
        <w:instrText xml:space="preserve"> SEQ level0 \*arabic \* MERGEFORMAT </w:instrText>
      </w:r>
      <w:r>
        <w:fldChar w:fldCharType="separate"/>
      </w:r>
      <w:r w:rsidRPr="000C09CD">
        <w:rPr>
          <w:noProof/>
        </w:rPr>
        <w:t>92</w:t>
      </w:r>
      <w:r w:rsidRPr="000C09CD">
        <w:rPr>
          <w:noProof/>
        </w:rPr>
        <w:fldChar w:fldCharType="end"/>
      </w:r>
      <w:r w:rsidRPr="000C09CD">
        <w:t xml:space="preserve">.  In this connection, the Court firstly takes note of the applicant association’s undisputed funding of, in particular, the Islamic Society, and later Salam (see paragraphs </w:t>
      </w:r>
      <w:r w:rsidRPr="000C09CD">
        <w:fldChar w:fldCharType="begin"/>
      </w:r>
      <w:r w:rsidRPr="000C09CD">
        <w:instrText xml:space="preserve"> REF paragraph00007 \h  \* CharFormat  \* MERGEFORMAT </w:instrText>
      </w:r>
      <w:r w:rsidRPr="000C09CD">
        <w:fldChar w:fldCharType="separate"/>
      </w:r>
      <w:r w:rsidRPr="000C09CD">
        <w:t>7</w:t>
      </w:r>
      <w:r w:rsidRPr="000C09CD">
        <w:fldChar w:fldCharType="end"/>
      </w:r>
      <w:r w:rsidRPr="000C09CD">
        <w:t>-</w:t>
      </w:r>
      <w:r w:rsidRPr="000C09CD">
        <w:fldChar w:fldCharType="begin"/>
      </w:r>
      <w:r w:rsidRPr="000C09CD">
        <w:instrText xml:space="preserve"> REF paragraph00012 \h  \* CharFormat  \* MERGEFORMAT </w:instrText>
      </w:r>
      <w:r w:rsidRPr="000C09CD">
        <w:fldChar w:fldCharType="separate"/>
      </w:r>
      <w:r w:rsidRPr="000C09CD">
        <w:t>12</w:t>
      </w:r>
      <w:r w:rsidRPr="000C09CD">
        <w:fldChar w:fldCharType="end"/>
      </w:r>
      <w:r w:rsidRPr="000C09CD">
        <w:t xml:space="preserve"> above). In the ensuing proceedings, the Ministry and the national courts assessed the links between those two self-proclaimed “social societies” and found convincing evidence that they did not constitute separate entities but were truly part of Hamas (compare </w:t>
      </w:r>
      <w:r w:rsidRPr="000C09CD">
        <w:rPr>
          <w:i/>
        </w:rPr>
        <w:t>Vona</w:t>
      </w:r>
      <w:r w:rsidRPr="000C09CD">
        <w:t xml:space="preserve">, cited above, § 60). They also duly assessed that the overall organisation of Hamas, including its so-called “social societies”, was to be considered a terrorist organisation. Noting that the entirety of Hamas has been expressly </w:t>
      </w:r>
      <w:r w:rsidRPr="000C09CD">
        <w:t>included by the European Union in the sanctions lists of “persons, groups and entities involved in terrorist acts” since 2003, as confirmed by a judgment of the Court of Justice of the European Union (see paragraphs </w:t>
      </w:r>
      <w:r w:rsidRPr="000C09CD">
        <w:fldChar w:fldCharType="begin"/>
      </w:r>
      <w:r w:rsidRPr="000C09CD">
        <w:instrText xml:space="preserve"> REF paragraph00041 \h  \* CharFormat  \* MERGEFORMAT </w:instrText>
      </w:r>
      <w:r w:rsidRPr="000C09CD">
        <w:fldChar w:fldCharType="separate"/>
      </w:r>
      <w:r w:rsidRPr="000C09CD">
        <w:t>40</w:t>
      </w:r>
      <w:r w:rsidRPr="000C09CD">
        <w:fldChar w:fldCharType="end"/>
      </w:r>
      <w:r w:rsidRPr="000C09CD">
        <w:t>-</w:t>
      </w:r>
      <w:r w:rsidRPr="000C09CD">
        <w:fldChar w:fldCharType="begin"/>
      </w:r>
      <w:r w:rsidRPr="000C09CD">
        <w:instrText xml:space="preserve"> REF paragraph00042 \h  \* CharFormat  \* MERGEFORMAT </w:instrText>
      </w:r>
      <w:r w:rsidRPr="000C09CD">
        <w:fldChar w:fldCharType="separate"/>
      </w:r>
      <w:r w:rsidRPr="000C09CD">
        <w:t>41</w:t>
      </w:r>
      <w:r w:rsidRPr="000C09CD">
        <w:fldChar w:fldCharType="end"/>
      </w:r>
      <w:r w:rsidRPr="000C09CD">
        <w:t xml:space="preserve"> above), the Court sees no reason to depart from the national courts’ assessment.</w:t>
      </w:r>
    </w:p>
    <w:bookmarkStart w:name="paragraph00126" w:id="44"/>
    <w:p w:rsidRPr="000C09CD" w:rsidR="000C09CD" w:rsidP="000C09CD" w14:paraId="773FF486" w14:textId="3E6DE800">
      <w:pPr>
        <w:pStyle w:val="JuPara"/>
      </w:pPr>
      <w:r w:rsidRPr="000C09CD">
        <w:fldChar w:fldCharType="begin"/>
      </w:r>
      <w:r w:rsidRPr="000C09CD">
        <w:instrText xml:space="preserve"> SEQ level0 \*arabic \* MERGEFORMAT </w:instrText>
      </w:r>
      <w:r w:rsidRPr="000C09CD">
        <w:fldChar w:fldCharType="separate"/>
      </w:r>
      <w:r w:rsidRPr="000C09CD">
        <w:rPr>
          <w:noProof/>
        </w:rPr>
        <w:t>93</w:t>
      </w:r>
      <w:r w:rsidRPr="000C09CD">
        <w:fldChar w:fldCharType="end"/>
      </w:r>
      <w:bookmarkEnd w:id="44"/>
      <w:r w:rsidRPr="000C09CD">
        <w:t>.  The national courts made convincing findings that, even though the applicant association had not engaged in acts of actual violence, its leading members knew about and approved the link that the “social societies” had to Hamas. The national courts also referred to the considerable extent of the applicant association’s funding of those societies (which at the latest count amounted to about 50% of its overall donations – see paragraph </w:t>
      </w:r>
      <w:r w:rsidRPr="000C09CD">
        <w:fldChar w:fldCharType="begin"/>
      </w:r>
      <w:r w:rsidRPr="000C09CD">
        <w:instrText xml:space="preserve"> REF paragraph00026 \h  \* CharFormat  \* MERGEFORMAT </w:instrText>
      </w:r>
      <w:r w:rsidRPr="000C09CD">
        <w:fldChar w:fldCharType="separate"/>
      </w:r>
      <w:r w:rsidRPr="000C09CD">
        <w:t>24</w:t>
      </w:r>
      <w:r w:rsidRPr="000C09CD">
        <w:fldChar w:fldCharType="end"/>
      </w:r>
      <w:r w:rsidRPr="000C09CD">
        <w:t xml:space="preserve"> above) and the close links between the organisations in question.</w:t>
      </w:r>
    </w:p>
    <w:p w:rsidRPr="000C09CD" w:rsidR="000C09CD" w:rsidP="000C09CD" w14:paraId="6B94C278" w14:textId="689FEECF">
      <w:pPr>
        <w:pStyle w:val="JuPara"/>
      </w:pPr>
      <w:r>
        <w:fldChar w:fldCharType="begin"/>
      </w:r>
      <w:r>
        <w:instrText xml:space="preserve"> SEQ level0 \*arabic \* MERGEFORMAT </w:instrText>
      </w:r>
      <w:r>
        <w:fldChar w:fldCharType="separate"/>
      </w:r>
      <w:bookmarkStart w:name="paragraph00096" w:id="45"/>
      <w:r w:rsidRPr="000C09CD">
        <w:rPr>
          <w:noProof/>
        </w:rPr>
        <w:t>94</w:t>
      </w:r>
      <w:bookmarkEnd w:id="45"/>
      <w:r>
        <w:fldChar w:fldCharType="end"/>
      </w:r>
      <w:r w:rsidRPr="000C09CD">
        <w:t xml:space="preserve">.  The national courts also paid due regard to the fact that in the past the applicant association, being apprehensive of potential restrictions on its activities, had tried to obscure its relationship with Hamas by replacing the Islamic Society as the beneficiary of its financial support with Salam. They drew from this fact the conclusions that the applicant association would try to circumvent restrictions again in future, and that it fundamentally identified itself with Hamas (see paragraphs </w:t>
      </w:r>
      <w:r w:rsidRPr="000C09CD">
        <w:fldChar w:fldCharType="begin"/>
      </w:r>
      <w:r w:rsidRPr="000C09CD">
        <w:instrText xml:space="preserve"> REF paragraph00023 \h  \* CharFormat  \* MERGEFORMAT </w:instrText>
      </w:r>
      <w:r w:rsidRPr="000C09CD">
        <w:fldChar w:fldCharType="separate"/>
      </w:r>
      <w:r w:rsidRPr="000C09CD">
        <w:t>23</w:t>
      </w:r>
      <w:r w:rsidRPr="000C09CD">
        <w:fldChar w:fldCharType="end"/>
      </w:r>
      <w:r w:rsidRPr="000C09CD">
        <w:t xml:space="preserve"> and </w:t>
      </w:r>
      <w:r w:rsidRPr="000C09CD">
        <w:fldChar w:fldCharType="begin"/>
      </w:r>
      <w:r w:rsidRPr="000C09CD">
        <w:instrText xml:space="preserve"> REF paragraph00025 \h  \* CharFormat  \* MERGEFORMAT </w:instrText>
      </w:r>
      <w:r w:rsidRPr="000C09CD">
        <w:fldChar w:fldCharType="separate"/>
      </w:r>
      <w:r w:rsidRPr="000C09CD">
        <w:t>25</w:t>
      </w:r>
      <w:r w:rsidRPr="000C09CD">
        <w:fldChar w:fldCharType="end"/>
      </w:r>
      <w:r w:rsidRPr="000C09CD">
        <w:t xml:space="preserve"> above).</w:t>
      </w:r>
    </w:p>
    <w:p w:rsidRPr="000C09CD" w:rsidR="000C09CD" w:rsidP="000C09CD" w14:paraId="44F5774B" w14:textId="40FE5CD6">
      <w:pPr>
        <w:pStyle w:val="JuPara"/>
      </w:pPr>
      <w:r>
        <w:fldChar w:fldCharType="begin"/>
      </w:r>
      <w:r>
        <w:instrText xml:space="preserve"> SEQ level0 \*arabic \* MERGEFORMAT </w:instrText>
      </w:r>
      <w:r>
        <w:fldChar w:fldCharType="separate"/>
      </w:r>
      <w:r w:rsidRPr="000C09CD">
        <w:rPr>
          <w:noProof/>
        </w:rPr>
        <w:t>95</w:t>
      </w:r>
      <w:r w:rsidRPr="000C09CD">
        <w:rPr>
          <w:noProof/>
        </w:rPr>
        <w:fldChar w:fldCharType="end"/>
      </w:r>
      <w:r w:rsidRPr="000C09CD">
        <w:t xml:space="preserve">.  The Court further observes that the Federal Constitutional Court engaged in an extensive assessment of potentially available measures that would have been less restrictive than outright proscription. It referred to several examples of less intrusive measures and, emphasising that the applicant association fundamentally identified itself with Hamas, decided that none of these less intrusive measures was appropriate in the present case (see paragraphs </w:t>
      </w:r>
      <w:r w:rsidRPr="000C09CD">
        <w:fldChar w:fldCharType="begin"/>
      </w:r>
      <w:r w:rsidRPr="000C09CD">
        <w:instrText xml:space="preserve"> REF paragraph00029 \h  \* CharFormat  \* MERGEFORMAT </w:instrText>
      </w:r>
      <w:r w:rsidRPr="000C09CD">
        <w:fldChar w:fldCharType="separate"/>
      </w:r>
      <w:r w:rsidRPr="000C09CD">
        <w:t>29</w:t>
      </w:r>
      <w:r w:rsidRPr="000C09CD">
        <w:fldChar w:fldCharType="end"/>
      </w:r>
      <w:r w:rsidRPr="000C09CD">
        <w:t>-</w:t>
      </w:r>
      <w:r w:rsidRPr="000C09CD">
        <w:fldChar w:fldCharType="begin"/>
      </w:r>
      <w:r w:rsidRPr="000C09CD">
        <w:instrText xml:space="preserve"> REF paragraph00037 \h  \* CharFormat  \* MERGEFORMAT </w:instrText>
      </w:r>
      <w:r w:rsidRPr="000C09CD">
        <w:fldChar w:fldCharType="separate"/>
      </w:r>
      <w:r w:rsidRPr="000C09CD">
        <w:t>31</w:t>
      </w:r>
      <w:r w:rsidRPr="000C09CD">
        <w:fldChar w:fldCharType="end"/>
      </w:r>
      <w:r w:rsidRPr="000C09CD">
        <w:t xml:space="preserve"> above; and compare, </w:t>
      </w:r>
      <w:r w:rsidRPr="000C09CD">
        <w:rPr>
          <w:i/>
          <w:iCs/>
        </w:rPr>
        <w:t>mutatis mutandis</w:t>
      </w:r>
      <w:r w:rsidRPr="000C09CD">
        <w:t xml:space="preserve">, </w:t>
      </w:r>
      <w:r w:rsidRPr="000C09CD">
        <w:rPr>
          <w:i/>
        </w:rPr>
        <w:t>Association Rhino and Others</w:t>
      </w:r>
      <w:r w:rsidRPr="000C09CD">
        <w:t xml:space="preserve">, cited above, § 65, and </w:t>
      </w:r>
      <w:r w:rsidRPr="000C09CD">
        <w:rPr>
          <w:i/>
        </w:rPr>
        <w:t>Adana TAYAD v. Turkey</w:t>
      </w:r>
      <w:r w:rsidRPr="000C09CD">
        <w:t xml:space="preserve">, no. 59835/10, § 36, 21 July 2020). Bearing in mind that it is not the Court’s task to substitute its own view for that of the national authorities, but to review under Article 11 the decisions they delivered in the exercise of their discretion (see the case-law quoted in paragraphs </w:t>
      </w:r>
      <w:r w:rsidRPr="000C09CD">
        <w:fldChar w:fldCharType="begin"/>
      </w:r>
      <w:r w:rsidRPr="000C09CD">
        <w:instrText xml:space="preserve"> REF paragraph00081 \h  \* CharFormat  \* MERGEFORMAT </w:instrText>
      </w:r>
      <w:r w:rsidRPr="000C09CD">
        <w:fldChar w:fldCharType="separate"/>
      </w:r>
      <w:r w:rsidRPr="000C09CD">
        <w:t>80</w:t>
      </w:r>
      <w:r w:rsidRPr="000C09CD">
        <w:fldChar w:fldCharType="end"/>
      </w:r>
      <w:r w:rsidRPr="000C09CD">
        <w:t>-</w:t>
      </w:r>
      <w:r w:rsidRPr="000C09CD">
        <w:fldChar w:fldCharType="begin"/>
      </w:r>
      <w:r w:rsidRPr="000C09CD">
        <w:instrText xml:space="preserve"> REF paragraph00082 \h  \* CharFormat  \* MERGEFORMAT </w:instrText>
      </w:r>
      <w:r w:rsidRPr="000C09CD">
        <w:fldChar w:fldCharType="separate"/>
      </w:r>
      <w:r w:rsidRPr="000C09CD">
        <w:t>81</w:t>
      </w:r>
      <w:r w:rsidRPr="000C09CD">
        <w:fldChar w:fldCharType="end"/>
      </w:r>
      <w:r w:rsidRPr="000C09CD">
        <w:t xml:space="preserve"> above), the Court notes that the Federal Constitutional Court’s balancing exercise was comprehensive and transparent.</w:t>
      </w:r>
    </w:p>
    <w:p w:rsidRPr="000C09CD" w:rsidR="000C09CD" w:rsidP="000C09CD" w14:paraId="17EE6246" w14:textId="1B4D4DEB">
      <w:pPr>
        <w:pStyle w:val="JuPara"/>
      </w:pPr>
      <w:r>
        <w:fldChar w:fldCharType="begin"/>
      </w:r>
      <w:r>
        <w:instrText xml:space="preserve"> SEQ level0 \*arabic \* MERGEFORMAT </w:instrText>
      </w:r>
      <w:r>
        <w:fldChar w:fldCharType="separate"/>
      </w:r>
      <w:r w:rsidRPr="000C09CD">
        <w:rPr>
          <w:noProof/>
        </w:rPr>
        <w:t>96</w:t>
      </w:r>
      <w:r w:rsidRPr="000C09CD">
        <w:rPr>
          <w:noProof/>
        </w:rPr>
        <w:fldChar w:fldCharType="end"/>
      </w:r>
      <w:r w:rsidRPr="000C09CD">
        <w:t xml:space="preserve">.  The Court notes, furthermore, that the applicant association argued that the interference with its rights under Article 11 of the Convention had been disproportionate and that it cited case-law, in particular </w:t>
      </w:r>
      <w:r w:rsidRPr="000C09CD">
        <w:rPr>
          <w:i/>
          <w:iCs/>
        </w:rPr>
        <w:t>Tebieti</w:t>
      </w:r>
      <w:r w:rsidRPr="000C09CD">
        <w:rPr>
          <w:i/>
          <w:iCs/>
        </w:rPr>
        <w:t xml:space="preserve"> </w:t>
      </w:r>
      <w:r w:rsidRPr="000C09CD">
        <w:rPr>
          <w:i/>
          <w:iCs/>
        </w:rPr>
        <w:t>Mühafize</w:t>
      </w:r>
      <w:r w:rsidRPr="000C09CD">
        <w:rPr>
          <w:i/>
          <w:iCs/>
        </w:rPr>
        <w:t xml:space="preserve"> </w:t>
      </w:r>
      <w:r w:rsidRPr="000C09CD">
        <w:rPr>
          <w:i/>
          <w:iCs/>
        </w:rPr>
        <w:t>Cemiyyeti</w:t>
      </w:r>
      <w:r w:rsidRPr="000C09CD">
        <w:rPr>
          <w:i/>
          <w:iCs/>
        </w:rPr>
        <w:t xml:space="preserve"> and </w:t>
      </w:r>
      <w:r w:rsidRPr="000C09CD">
        <w:rPr>
          <w:i/>
          <w:iCs/>
        </w:rPr>
        <w:t>Israfilov</w:t>
      </w:r>
      <w:r w:rsidRPr="000C09CD">
        <w:t xml:space="preserve"> (cited above; and see paragraphs </w:t>
      </w:r>
      <w:r w:rsidRPr="000C09CD">
        <w:fldChar w:fldCharType="begin"/>
      </w:r>
      <w:r w:rsidRPr="000C09CD">
        <w:instrText xml:space="preserve"> REF paragraph00069 \h  \* CharFormat  \* MERGEFORMAT </w:instrText>
      </w:r>
      <w:r w:rsidRPr="000C09CD">
        <w:fldChar w:fldCharType="separate"/>
      </w:r>
      <w:r w:rsidRPr="000C09CD">
        <w:t>52</w:t>
      </w:r>
      <w:r w:rsidRPr="000C09CD">
        <w:fldChar w:fldCharType="end"/>
      </w:r>
      <w:r w:rsidRPr="000C09CD">
        <w:t>-</w:t>
      </w:r>
      <w:r w:rsidRPr="000C09CD">
        <w:fldChar w:fldCharType="begin"/>
      </w:r>
      <w:r w:rsidRPr="000C09CD">
        <w:instrText xml:space="preserve"> REF paragraph00058 \h  \* CharFormat  \* MERGEFORMAT </w:instrText>
      </w:r>
      <w:r w:rsidRPr="000C09CD">
        <w:fldChar w:fldCharType="separate"/>
      </w:r>
      <w:r w:rsidRPr="000C09CD">
        <w:t>57</w:t>
      </w:r>
      <w:r w:rsidRPr="000C09CD">
        <w:fldChar w:fldCharType="end"/>
      </w:r>
      <w:r w:rsidRPr="000C09CD">
        <w:t xml:space="preserve"> above).</w:t>
      </w:r>
    </w:p>
    <w:p w:rsidRPr="000C09CD" w:rsidR="000C09CD" w:rsidP="000C09CD" w14:paraId="2F3CCBBB" w14:textId="10579662">
      <w:pPr>
        <w:pStyle w:val="JuPara"/>
      </w:pPr>
      <w:r>
        <w:fldChar w:fldCharType="begin"/>
      </w:r>
      <w:r>
        <w:instrText xml:space="preserve"> SEQ level0 \*arabic \* MERGEFORMAT </w:instrText>
      </w:r>
      <w:r>
        <w:fldChar w:fldCharType="separate"/>
      </w:r>
      <w:r w:rsidRPr="000C09CD">
        <w:rPr>
          <w:noProof/>
        </w:rPr>
        <w:t>97</w:t>
      </w:r>
      <w:r w:rsidRPr="000C09CD">
        <w:rPr>
          <w:noProof/>
        </w:rPr>
        <w:fldChar w:fldCharType="end"/>
      </w:r>
      <w:r w:rsidRPr="000C09CD">
        <w:t xml:space="preserve">.  While it is true that the wording of neither section 3 of the Law on Associations nor Article 9 of the Basic Law (see paragraphs </w:t>
      </w:r>
      <w:r w:rsidRPr="000C09CD">
        <w:fldChar w:fldCharType="begin"/>
      </w:r>
      <w:r w:rsidRPr="000C09CD">
        <w:instrText xml:space="preserve"> REF paragraph00032 \h  \* CharFormat  \* MERGEFORMAT </w:instrText>
      </w:r>
      <w:r w:rsidRPr="000C09CD">
        <w:fldChar w:fldCharType="separate"/>
      </w:r>
      <w:r w:rsidRPr="000C09CD">
        <w:t>32</w:t>
      </w:r>
      <w:r w:rsidRPr="000C09CD">
        <w:fldChar w:fldCharType="end"/>
      </w:r>
      <w:r w:rsidRPr="000C09CD">
        <w:noBreakHyphen/>
      </w:r>
      <w:r w:rsidRPr="000C09CD">
        <w:fldChar w:fldCharType="begin"/>
      </w:r>
      <w:r w:rsidRPr="000C09CD">
        <w:instrText xml:space="preserve"> REF paragraph00033 \h  \* CharFormat  \* MERGEFORMAT </w:instrText>
      </w:r>
      <w:r w:rsidRPr="000C09CD">
        <w:fldChar w:fldCharType="separate"/>
      </w:r>
      <w:r w:rsidRPr="000C09CD">
        <w:t>33</w:t>
      </w:r>
      <w:r w:rsidRPr="000C09CD">
        <w:fldChar w:fldCharType="end"/>
      </w:r>
      <w:r w:rsidRPr="000C09CD">
        <w:t xml:space="preserve"> above) expressly includes any alternative sanction to proscription, unlike in </w:t>
      </w:r>
      <w:r w:rsidRPr="000C09CD">
        <w:rPr>
          <w:i/>
          <w:iCs/>
        </w:rPr>
        <w:t>Tebieti</w:t>
      </w:r>
      <w:r w:rsidRPr="000C09CD">
        <w:rPr>
          <w:i/>
          <w:iCs/>
        </w:rPr>
        <w:t xml:space="preserve"> </w:t>
      </w:r>
      <w:r w:rsidRPr="000C09CD">
        <w:rPr>
          <w:i/>
          <w:iCs/>
        </w:rPr>
        <w:t>Mühafize</w:t>
      </w:r>
      <w:r w:rsidRPr="000C09CD">
        <w:rPr>
          <w:i/>
          <w:iCs/>
        </w:rPr>
        <w:t xml:space="preserve"> </w:t>
      </w:r>
      <w:r w:rsidRPr="000C09CD">
        <w:rPr>
          <w:i/>
          <w:iCs/>
        </w:rPr>
        <w:t>Cemiyyeti</w:t>
      </w:r>
      <w:r w:rsidRPr="000C09CD">
        <w:rPr>
          <w:i/>
          <w:iCs/>
        </w:rPr>
        <w:t xml:space="preserve"> and </w:t>
      </w:r>
      <w:r w:rsidRPr="000C09CD">
        <w:rPr>
          <w:i/>
          <w:iCs/>
        </w:rPr>
        <w:t>Israfilov</w:t>
      </w:r>
      <w:r w:rsidRPr="000C09CD">
        <w:t xml:space="preserve"> (cited above, § 82), taking into account the overall context of German domestic law, the constitutional principle of proportionality inherent in the rule of law applies to those provisions by way of interpretation. In this connection, the Federal Constitutional Court unequivocally pointed to proscription of an association as the most serious </w:t>
      </w:r>
      <w:r w:rsidRPr="000C09CD">
        <w:t xml:space="preserve">interference, which could only be imposed where less restrictive means would not be effective to achieve the aims pursued by the authorities, and even gave examples of less restrictive measures (see paragraph </w:t>
      </w:r>
      <w:r w:rsidRPr="000C09CD">
        <w:fldChar w:fldCharType="begin"/>
      </w:r>
      <w:r w:rsidRPr="000C09CD">
        <w:instrText xml:space="preserve"> REF paragraph00029 \h  \* CharFormat  \* MERGEFORMAT </w:instrText>
      </w:r>
      <w:r w:rsidRPr="000C09CD">
        <w:fldChar w:fldCharType="separate"/>
      </w:r>
      <w:r w:rsidRPr="000C09CD">
        <w:t>29</w:t>
      </w:r>
      <w:r w:rsidRPr="000C09CD">
        <w:fldChar w:fldCharType="end"/>
      </w:r>
      <w:r w:rsidRPr="000C09CD">
        <w:t xml:space="preserve"> above). The Court therefore concludes that domestic law provided for the proscription of an association only as a last resort.</w:t>
      </w:r>
    </w:p>
    <w:p w:rsidRPr="000C09CD" w:rsidR="000C09CD" w:rsidP="000C09CD" w14:paraId="4A609688" w14:textId="42BE42A7">
      <w:pPr>
        <w:pStyle w:val="JuPara"/>
      </w:pPr>
      <w:r>
        <w:fldChar w:fldCharType="begin"/>
      </w:r>
      <w:r>
        <w:instrText xml:space="preserve"> SEQ level0 \*arabic \* MERGEFORMAT </w:instrText>
      </w:r>
      <w:r>
        <w:fldChar w:fldCharType="separate"/>
      </w:r>
      <w:r w:rsidRPr="000C09CD">
        <w:rPr>
          <w:noProof/>
        </w:rPr>
        <w:t>98</w:t>
      </w:r>
      <w:r w:rsidRPr="000C09CD">
        <w:rPr>
          <w:noProof/>
        </w:rPr>
        <w:fldChar w:fldCharType="end"/>
      </w:r>
      <w:r w:rsidRPr="000C09CD">
        <w:t>.  Having regard to the circumstances of the case at hand, the Court will assess whether the conclusion of the national courts that no less intrusive measure than proscription could be imposed was within their margin of appreciation.</w:t>
      </w:r>
    </w:p>
    <w:p w:rsidRPr="000C09CD" w:rsidR="000C09CD" w:rsidP="000C09CD" w14:paraId="767BB1D3" w14:textId="01ADBD3E">
      <w:pPr>
        <w:pStyle w:val="JuPara"/>
      </w:pPr>
      <w:r>
        <w:fldChar w:fldCharType="begin"/>
      </w:r>
      <w:r>
        <w:instrText xml:space="preserve"> SEQ level0 \*arabic \* MERGEFORMAT </w:instrText>
      </w:r>
      <w:r>
        <w:fldChar w:fldCharType="separate"/>
      </w:r>
      <w:r w:rsidRPr="000C09CD">
        <w:rPr>
          <w:noProof/>
        </w:rPr>
        <w:t>99</w:t>
      </w:r>
      <w:r w:rsidRPr="000C09CD">
        <w:rPr>
          <w:noProof/>
        </w:rPr>
        <w:fldChar w:fldCharType="end"/>
      </w:r>
      <w:r w:rsidRPr="000C09CD">
        <w:t xml:space="preserve">.  The Court notes firstly that while it is true that the national courts found that the Islamic Society (and later Salam) was only one out of six associations to which the applicant association had given financial support, nevertheless the amount concerned, which rose to about 50% of the applicant association’s overall funding activities (see paragraphs </w:t>
      </w:r>
      <w:r w:rsidRPr="000C09CD">
        <w:fldChar w:fldCharType="begin"/>
      </w:r>
      <w:r w:rsidRPr="000C09CD">
        <w:instrText xml:space="preserve"> REF paragraph00026 \h  \* CharFormat  \* MERGEFORMAT </w:instrText>
      </w:r>
      <w:r w:rsidRPr="000C09CD">
        <w:fldChar w:fldCharType="separate"/>
      </w:r>
      <w:r w:rsidRPr="000C09CD">
        <w:t>24</w:t>
      </w:r>
      <w:r w:rsidRPr="000C09CD">
        <w:fldChar w:fldCharType="end"/>
      </w:r>
      <w:r w:rsidRPr="000C09CD">
        <w:t xml:space="preserve"> and </w:t>
      </w:r>
      <w:r w:rsidRPr="000C09CD">
        <w:fldChar w:fldCharType="begin"/>
      </w:r>
      <w:r w:rsidRPr="000C09CD">
        <w:instrText xml:space="preserve"> REF paragraph00126 \h  \* CharFormat  \* MERGEFORMAT </w:instrText>
      </w:r>
      <w:r w:rsidRPr="000C09CD">
        <w:fldChar w:fldCharType="separate"/>
      </w:r>
      <w:r w:rsidRPr="000C09CD">
        <w:t>93</w:t>
      </w:r>
      <w:r w:rsidRPr="000C09CD">
        <w:fldChar w:fldCharType="end"/>
      </w:r>
      <w:r w:rsidRPr="000C09CD">
        <w:t xml:space="preserve"> above) and represented an overall sum of approximately EUR 2,500,000 from 2006 to 2010 (see the Government’s observations, unchallenged by the applicant association, summarised in paragraph </w:t>
      </w:r>
      <w:r w:rsidRPr="000C09CD">
        <w:fldChar w:fldCharType="begin"/>
      </w:r>
      <w:r w:rsidRPr="000C09CD">
        <w:instrText xml:space="preserve"> REF paragraph00065 \h  \* CharFormat  \* MERGEFORMAT </w:instrText>
      </w:r>
      <w:r w:rsidRPr="000C09CD">
        <w:fldChar w:fldCharType="separate"/>
      </w:r>
      <w:r w:rsidRPr="000C09CD">
        <w:t>61</w:t>
      </w:r>
      <w:r w:rsidRPr="000C09CD">
        <w:fldChar w:fldCharType="end"/>
      </w:r>
      <w:r w:rsidRPr="000C09CD">
        <w:t xml:space="preserve"> above), was considerable. These considerable contributions underscore the fact that financing Hamas was the applicant association’s major interest, as is also emphasised by the finding that the applicant association had tried in the past to circumvent potential restrictions in order to continue supporting Hamas by using a substitute organisation (namely Salam – see paragraph </w:t>
      </w:r>
      <w:r w:rsidRPr="000C09CD">
        <w:fldChar w:fldCharType="begin"/>
      </w:r>
      <w:r w:rsidRPr="000C09CD">
        <w:instrText xml:space="preserve"> REF paragraph00096 \h  \* CharFormat  \* MERGEFORMAT </w:instrText>
      </w:r>
      <w:r w:rsidRPr="000C09CD">
        <w:fldChar w:fldCharType="separate"/>
      </w:r>
      <w:r w:rsidRPr="000C09CD">
        <w:t>94</w:t>
      </w:r>
      <w:r w:rsidRPr="000C09CD">
        <w:fldChar w:fldCharType="end"/>
      </w:r>
      <w:r w:rsidRPr="000C09CD">
        <w:t xml:space="preserve"> above). The Court therefore sees no reason to depart from the Federal Constitutional Court’s conclusion that, although the applicant association also financed other projects, a restriction of its activities would not have been effective. In the circumstances of the present case, where according to the national courts’ findings, an association fundamentally identified itself with the aims of a terrorist organisation which it supported indirectly (compare, </w:t>
      </w:r>
      <w:r w:rsidRPr="000C09CD">
        <w:rPr>
          <w:i/>
          <w:iCs/>
        </w:rPr>
        <w:t>mutatis mutandis</w:t>
      </w:r>
      <w:r w:rsidRPr="000C09CD">
        <w:t xml:space="preserve">, </w:t>
      </w:r>
      <w:r w:rsidRPr="000C09CD">
        <w:rPr>
          <w:i/>
          <w:iCs/>
        </w:rPr>
        <w:t xml:space="preserve">Les </w:t>
      </w:r>
      <w:r w:rsidRPr="000C09CD">
        <w:rPr>
          <w:i/>
          <w:iCs/>
        </w:rPr>
        <w:t>Authentiks</w:t>
      </w:r>
      <w:r w:rsidRPr="000C09CD">
        <w:rPr>
          <w:i/>
          <w:iCs/>
        </w:rPr>
        <w:t xml:space="preserve"> and </w:t>
      </w:r>
      <w:r w:rsidRPr="000C09CD">
        <w:rPr>
          <w:i/>
          <w:iCs/>
        </w:rPr>
        <w:t>Supras</w:t>
      </w:r>
      <w:r w:rsidRPr="000C09CD">
        <w:rPr>
          <w:i/>
          <w:iCs/>
        </w:rPr>
        <w:t xml:space="preserve"> Auteuil 91</w:t>
      </w:r>
      <w:r w:rsidRPr="000C09CD">
        <w:t>, cited above, § 84), and where a real risk of future circumvention had been established on the basis of similar conduct in the past, the outright proscription of the applicant association does not appear disproportionate.</w:t>
      </w:r>
    </w:p>
    <w:p w:rsidRPr="000C09CD" w:rsidR="000C09CD" w:rsidP="000C09CD" w14:paraId="0261E45E" w14:textId="2756FBC0">
      <w:pPr>
        <w:pStyle w:val="JuPara"/>
      </w:pPr>
      <w:r>
        <w:fldChar w:fldCharType="begin"/>
      </w:r>
      <w:r>
        <w:instrText xml:space="preserve"> SEQ level0 \*arabic \* MERGEFORMAT </w:instrText>
      </w:r>
      <w:r>
        <w:fldChar w:fldCharType="separate"/>
      </w:r>
      <w:r w:rsidRPr="000C09CD">
        <w:rPr>
          <w:noProof/>
        </w:rPr>
        <w:t>100</w:t>
      </w:r>
      <w:r w:rsidRPr="000C09CD">
        <w:rPr>
          <w:noProof/>
        </w:rPr>
        <w:fldChar w:fldCharType="end"/>
      </w:r>
      <w:r w:rsidRPr="000C09CD">
        <w:t xml:space="preserve">.  In so far as the applicant association submitted that a prior hearing and the opportunity to remedy shortcomings would have been similarly effective measures (see paragraph </w:t>
      </w:r>
      <w:r w:rsidRPr="000C09CD">
        <w:fldChar w:fldCharType="begin"/>
      </w:r>
      <w:r w:rsidRPr="000C09CD">
        <w:instrText xml:space="preserve"> REF paragraph00072 \h  \* CharFormat  \* MERGEFORMAT </w:instrText>
      </w:r>
      <w:r w:rsidRPr="000C09CD">
        <w:fldChar w:fldCharType="separate"/>
      </w:r>
      <w:r w:rsidRPr="000C09CD">
        <w:t>56</w:t>
      </w:r>
      <w:r w:rsidRPr="000C09CD">
        <w:fldChar w:fldCharType="end"/>
      </w:r>
      <w:r w:rsidRPr="000C09CD">
        <w:t xml:space="preserve"> above), the Court finds that proscribing or dissolving an association may require giving it a prior hearing or warning notice or some other opportunity to be heard and to remedy shortcomings (compare, with regard to the immediate dissolution of an association on account of formal shortcomings, </w:t>
      </w:r>
      <w:r w:rsidRPr="000C09CD">
        <w:rPr>
          <w:i/>
        </w:rPr>
        <w:t>Tebieti</w:t>
      </w:r>
      <w:r w:rsidRPr="000C09CD">
        <w:rPr>
          <w:i/>
        </w:rPr>
        <w:t xml:space="preserve"> </w:t>
      </w:r>
      <w:r w:rsidRPr="000C09CD">
        <w:rPr>
          <w:i/>
        </w:rPr>
        <w:t>Mühafize</w:t>
      </w:r>
      <w:r w:rsidRPr="000C09CD">
        <w:rPr>
          <w:i/>
        </w:rPr>
        <w:t xml:space="preserve"> </w:t>
      </w:r>
      <w:r w:rsidRPr="000C09CD">
        <w:rPr>
          <w:i/>
        </w:rPr>
        <w:t>Cemiyyeti</w:t>
      </w:r>
      <w:r w:rsidRPr="000C09CD">
        <w:rPr>
          <w:i/>
        </w:rPr>
        <w:t xml:space="preserve"> and </w:t>
      </w:r>
      <w:r w:rsidRPr="000C09CD">
        <w:rPr>
          <w:i/>
        </w:rPr>
        <w:t>Israfilov</w:t>
      </w:r>
      <w:r w:rsidRPr="000C09CD">
        <w:t xml:space="preserve">, cited above, § 82, and, with regard to the possibility of a warning notice under national law, </w:t>
      </w:r>
      <w:r w:rsidRPr="000C09CD">
        <w:rPr>
          <w:i/>
        </w:rPr>
        <w:t>Yefimov</w:t>
      </w:r>
      <w:r w:rsidRPr="000C09CD">
        <w:rPr>
          <w:i/>
        </w:rPr>
        <w:t xml:space="preserve"> and Youth Human Rights Group</w:t>
      </w:r>
      <w:r w:rsidRPr="000C09CD">
        <w:t xml:space="preserve">, cited above, § 70). This does not apply when a hearing would render any subsequent measure to protect the rights and freedoms of others void, ineffective or unenforceable. In the present case, bearing in mind the domestic courts’ finding as to the </w:t>
      </w:r>
      <w:r w:rsidRPr="000C09CD">
        <w:t xml:space="preserve">applicant association’s past attempt at circumvention of potential restrictions, a prior hearing would have made it possible and likely that evidence would be </w:t>
      </w:r>
      <w:r w:rsidRPr="000C09CD">
        <w:t>destroyed</w:t>
      </w:r>
      <w:r w:rsidRPr="000C09CD">
        <w:t xml:space="preserve"> and assets transferred by the applicant association to a substitute organisation, thereby rendering any proscription ineffective.</w:t>
      </w:r>
    </w:p>
    <w:p w:rsidRPr="000C09CD" w:rsidR="000C09CD" w:rsidP="000C09CD" w14:paraId="00828F3E" w14:textId="57985A81">
      <w:pPr>
        <w:pStyle w:val="JuPara"/>
      </w:pPr>
      <w:r>
        <w:fldChar w:fldCharType="begin"/>
      </w:r>
      <w:r>
        <w:instrText xml:space="preserve"> SEQ level0 \*arabic \* MERGEFORMAT </w:instrText>
      </w:r>
      <w:r>
        <w:fldChar w:fldCharType="separate"/>
      </w:r>
      <w:r w:rsidRPr="000C09CD">
        <w:rPr>
          <w:noProof/>
        </w:rPr>
        <w:t>101</w:t>
      </w:r>
      <w:r w:rsidRPr="000C09CD">
        <w:rPr>
          <w:noProof/>
        </w:rPr>
        <w:fldChar w:fldCharType="end"/>
      </w:r>
      <w:r w:rsidRPr="000C09CD">
        <w:t>.  Moreover, the Court notes that in the present case the Federal Administrative Court invited the parties to consider a friendly settlement under which the applicant association would be given the opportunity to continue its activities outside the Palestinian areas for a provisional period of about three years, as long as it could demonstrate that it had stopped its Palestinian support activities (see paragraph </w:t>
      </w:r>
      <w:r w:rsidRPr="000C09CD">
        <w:fldChar w:fldCharType="begin"/>
      </w:r>
      <w:r w:rsidRPr="000C09CD">
        <w:instrText xml:space="preserve"> REF paragraph00020 \h  \* CharFormat  \* MERGEFORMAT </w:instrText>
      </w:r>
      <w:r w:rsidRPr="000C09CD">
        <w:fldChar w:fldCharType="separate"/>
      </w:r>
      <w:r w:rsidRPr="000C09CD">
        <w:t>19</w:t>
      </w:r>
      <w:r w:rsidRPr="000C09CD">
        <w:fldChar w:fldCharType="end"/>
      </w:r>
      <w:r w:rsidRPr="000C09CD">
        <w:t xml:space="preserve"> above). However, that suggestion was made at an early stage of the proceedings with express reference to the litigation risk for both parties. The court’s proposal for settlement served the purpose of procedural economy, with a view to making a complex examination of the case superfluous were the proposal to have been accepted by both parties. In this context the proposal cannot be understood to indicate that the Federal Administrative Court considered that a reduction of the applicant association’s activities would be sufficiently effective. The terms of the settlement suggested by the Federal Administrative Court can therefore not, as argued by the applicant association (see paragraph </w:t>
      </w:r>
      <w:r w:rsidRPr="000C09CD">
        <w:fldChar w:fldCharType="begin"/>
      </w:r>
      <w:r w:rsidRPr="000C09CD">
        <w:instrText xml:space="preserve"> REF paragraph00072 \h  \* CharFormat  \* MERGEFORMAT </w:instrText>
      </w:r>
      <w:r w:rsidRPr="000C09CD">
        <w:fldChar w:fldCharType="separate"/>
      </w:r>
      <w:r w:rsidRPr="000C09CD">
        <w:t>56</w:t>
      </w:r>
      <w:r w:rsidRPr="000C09CD">
        <w:fldChar w:fldCharType="end"/>
      </w:r>
      <w:r w:rsidRPr="000C09CD">
        <w:t xml:space="preserve"> above), be considered an indication of the disproportionality of its proscription.</w:t>
      </w:r>
    </w:p>
    <w:p w:rsidRPr="000C09CD" w:rsidR="000C09CD" w:rsidP="000C09CD" w14:paraId="2BBDEDA2" w14:textId="229AD820">
      <w:pPr>
        <w:pStyle w:val="JuPara"/>
      </w:pPr>
      <w:r>
        <w:fldChar w:fldCharType="begin"/>
      </w:r>
      <w:r>
        <w:instrText xml:space="preserve"> SEQ level0 \*arabic \* MERGEFORMAT </w:instrText>
      </w:r>
      <w:r>
        <w:fldChar w:fldCharType="separate"/>
      </w:r>
      <w:r w:rsidRPr="000C09CD">
        <w:rPr>
          <w:noProof/>
        </w:rPr>
        <w:t>102</w:t>
      </w:r>
      <w:r w:rsidRPr="000C09CD">
        <w:rPr>
          <w:noProof/>
        </w:rPr>
        <w:fldChar w:fldCharType="end"/>
      </w:r>
      <w:r w:rsidRPr="000C09CD">
        <w:t>.  In assessing the necessity and proportionality of the measure complained of, the Court notes the specific circumstances of the present case, where it has been duly established that the applicant association, while continuing to present its activities under the guise of humanitarian aid, knowingly supported international terrorism, directly or indirectly. The Court can also not overlook the fact that the conduct of such an association is incompatible with core Convention values (see</w:t>
      </w:r>
      <w:r w:rsidRPr="000C09CD">
        <w:t>, in particular, paragraph</w:t>
      </w:r>
      <w:r w:rsidRPr="000C09CD">
        <w:t> </w:t>
      </w:r>
      <w:r w:rsidRPr="000C09CD">
        <w:fldChar w:fldCharType="begin"/>
      </w:r>
      <w:r w:rsidRPr="000C09CD">
        <w:instrText xml:space="preserve"> REF paragraph00103 \h  \* CharFormat  \* MERGEFORMAT </w:instrText>
      </w:r>
      <w:r w:rsidRPr="000C09CD">
        <w:fldChar w:fldCharType="separate"/>
      </w:r>
      <w:r w:rsidRPr="000C09CD">
        <w:t>87</w:t>
      </w:r>
      <w:r w:rsidRPr="000C09CD">
        <w:fldChar w:fldCharType="end"/>
      </w:r>
      <w:r w:rsidRPr="000C09CD">
        <w:t xml:space="preserve"> above). It may be added that in the case at hand, neither in the national proceedings nor in its application to the Court did the applicant association dissociate itself from Hamas’s violent aims and actions.</w:t>
      </w:r>
    </w:p>
    <w:p w:rsidRPr="000C09CD" w:rsidR="000C09CD" w:rsidP="000C09CD" w14:paraId="30521B7D" w14:textId="77777777">
      <w:pPr>
        <w:pStyle w:val="JuHalpha"/>
        <w:numPr>
          <w:ilvl w:val="6"/>
          <w:numId w:val="36"/>
        </w:numPr>
        <w:ind w:left="1372" w:hanging="334"/>
      </w:pPr>
      <w:r w:rsidRPr="000C09CD">
        <w:t>Conclusion</w:t>
      </w:r>
    </w:p>
    <w:p w:rsidRPr="000C09CD" w:rsidR="000C09CD" w:rsidP="000C09CD" w14:paraId="58F56795" w14:textId="33229AA3">
      <w:pPr>
        <w:pStyle w:val="JuPara"/>
      </w:pPr>
      <w:r>
        <w:fldChar w:fldCharType="begin"/>
      </w:r>
      <w:r>
        <w:instrText xml:space="preserve"> SEQ level0 \*arabic \* MERGEFORMAT </w:instrText>
      </w:r>
      <w:r>
        <w:fldChar w:fldCharType="separate"/>
      </w:r>
      <w:r w:rsidRPr="000C09CD">
        <w:rPr>
          <w:noProof/>
        </w:rPr>
        <w:t>103</w:t>
      </w:r>
      <w:r w:rsidRPr="000C09CD">
        <w:rPr>
          <w:noProof/>
        </w:rPr>
        <w:fldChar w:fldCharType="end"/>
      </w:r>
      <w:r w:rsidRPr="000C09CD">
        <w:t xml:space="preserve">.  Given the wider margin of appreciation in the specific circumstances of the present case (see paragraphs </w:t>
      </w:r>
      <w:r w:rsidRPr="000C09CD">
        <w:fldChar w:fldCharType="begin"/>
      </w:r>
      <w:r w:rsidRPr="000C09CD">
        <w:instrText xml:space="preserve"> REF paragraph00091 \h  \* CharFormat  \* MERGEFORMAT </w:instrText>
      </w:r>
      <w:r w:rsidRPr="000C09CD">
        <w:fldChar w:fldCharType="separate"/>
      </w:r>
      <w:r w:rsidRPr="000C09CD">
        <w:t>85</w:t>
      </w:r>
      <w:r w:rsidRPr="000C09CD">
        <w:fldChar w:fldCharType="end"/>
      </w:r>
      <w:r w:rsidRPr="000C09CD">
        <w:t>-</w:t>
      </w:r>
      <w:r w:rsidRPr="000C09CD">
        <w:fldChar w:fldCharType="begin"/>
      </w:r>
      <w:r w:rsidRPr="000C09CD">
        <w:instrText xml:space="preserve"> REF paragraph00095 \h  \* CharFormat  \* MERGEFORMAT </w:instrText>
      </w:r>
      <w:r w:rsidRPr="000C09CD">
        <w:fldChar w:fldCharType="separate"/>
      </w:r>
      <w:r w:rsidRPr="000C09CD">
        <w:t>89</w:t>
      </w:r>
      <w:r w:rsidRPr="000C09CD">
        <w:fldChar w:fldCharType="end"/>
      </w:r>
      <w:r w:rsidRPr="000C09CD">
        <w:t xml:space="preserve"> above), and taking note of the comprehensive balancing exercise conducted by the national courts and the weighty interests at stake, the Court is satisfied that the authorities put forward relevant and sufficient reasons and did not overstep their margin of appreciation. The interference with the applicant association’s freedom of association was therefore proportionate to the legitimate aims pursued and was thus “necessary in a democratic society”.</w:t>
      </w:r>
    </w:p>
    <w:p w:rsidRPr="000C09CD" w:rsidR="000C09CD" w:rsidP="000C09CD" w14:paraId="5993A72A" w14:textId="479DB306">
      <w:pPr>
        <w:pStyle w:val="JuPara"/>
      </w:pPr>
      <w:r w:rsidRPr="000C09CD">
        <w:fldChar w:fldCharType="begin"/>
      </w:r>
      <w:r w:rsidRPr="000C09CD">
        <w:instrText xml:space="preserve"> SEQ level0 \*arabic </w:instrText>
      </w:r>
      <w:r w:rsidRPr="000C09CD">
        <w:fldChar w:fldCharType="separate"/>
      </w:r>
      <w:r w:rsidRPr="000C09CD">
        <w:rPr>
          <w:noProof/>
        </w:rPr>
        <w:t>104</w:t>
      </w:r>
      <w:r w:rsidRPr="000C09CD">
        <w:fldChar w:fldCharType="end"/>
      </w:r>
      <w:r w:rsidRPr="000C09CD">
        <w:t>.  There has accordingly been no violation of Article 11 of the Convention.</w:t>
      </w:r>
    </w:p>
    <w:p w:rsidRPr="000C09CD" w:rsidR="000C09CD" w:rsidP="000C09CD" w14:paraId="1080EB4D" w14:textId="77777777">
      <w:pPr>
        <w:pStyle w:val="JuHHead"/>
        <w:numPr>
          <w:ilvl w:val="0"/>
          <w:numId w:val="24"/>
        </w:numPr>
        <w:ind w:left="360" w:hanging="360"/>
      </w:pPr>
      <w:r w:rsidRPr="000C09CD">
        <w:t>FOR THESE REASONS, THE COURT, UNANIMOUSLY,</w:t>
      </w:r>
    </w:p>
    <w:p w:rsidRPr="000C09CD" w:rsidR="000C09CD" w:rsidP="000C09CD" w14:paraId="3CCF91CF" w14:textId="77777777">
      <w:pPr>
        <w:pStyle w:val="JuList"/>
        <w:keepNext/>
        <w:keepLines/>
        <w:numPr>
          <w:ilvl w:val="0"/>
          <w:numId w:val="39"/>
        </w:numPr>
      </w:pPr>
      <w:r w:rsidRPr="000C09CD">
        <w:rPr>
          <w:i/>
        </w:rPr>
        <w:t xml:space="preserve">Declares </w:t>
      </w:r>
      <w:r w:rsidRPr="000C09CD">
        <w:t xml:space="preserve">the application </w:t>
      </w:r>
      <w:r w:rsidRPr="000C09CD">
        <w:t>admissible;</w:t>
      </w:r>
    </w:p>
    <w:p w:rsidRPr="000C09CD" w:rsidR="000C09CD" w:rsidP="000C09CD" w14:paraId="02198BD1" w14:textId="77777777">
      <w:pPr>
        <w:pStyle w:val="JuList"/>
        <w:numPr>
          <w:ilvl w:val="0"/>
          <w:numId w:val="39"/>
        </w:numPr>
      </w:pPr>
      <w:r w:rsidRPr="000C09CD">
        <w:rPr>
          <w:i/>
        </w:rPr>
        <w:t>Holds</w:t>
      </w:r>
      <w:r w:rsidRPr="000C09CD">
        <w:t xml:space="preserve"> that there has been no violation of Article 11 of the Convention.</w:t>
      </w:r>
    </w:p>
    <w:p w:rsidRPr="000C09CD" w:rsidR="000C09CD" w:rsidP="000C09CD" w14:paraId="29158DB2" w14:textId="77777777">
      <w:pPr>
        <w:pStyle w:val="JuParaLast"/>
      </w:pPr>
      <w:r w:rsidRPr="000C09CD">
        <w:t xml:space="preserve">Done in English, and notified in writing on </w:t>
      </w:r>
      <w:r w:rsidRPr="000C09CD">
        <w:rPr>
          <w:rFonts w:ascii="Times New Roman" w:hAnsi="Times New Roman" w:cs="Times New Roman"/>
        </w:rPr>
        <w:t>10 October 2023</w:t>
      </w:r>
      <w:r w:rsidRPr="000C09CD">
        <w:t>, pursuant to Rule 77 §§ 2 and 3 of the Rules of Court.</w:t>
      </w:r>
    </w:p>
    <w:p w:rsidRPr="000C09CD" w:rsidR="000C09CD" w:rsidP="000C09CD" w14:paraId="3AE9A50E" w14:textId="77777777">
      <w:pPr>
        <w:pStyle w:val="ECHRPlaceholder"/>
        <w:rPr>
          <w:szCs w:val="22"/>
        </w:rPr>
      </w:pPr>
    </w:p>
    <w:p w:rsidRPr="000C09CD" w:rsidR="000C09CD" w:rsidP="000C09CD" w14:paraId="306DEE31" w14:textId="77777777">
      <w:pPr>
        <w:pStyle w:val="JuSigned"/>
      </w:pPr>
      <w:r w:rsidRPr="000C09CD">
        <w:tab/>
        <w:t>Andrea Tamietti</w:t>
      </w:r>
      <w:r w:rsidRPr="000C09CD">
        <w:tab/>
        <w:t xml:space="preserve">Gabriele </w:t>
      </w:r>
      <w:r w:rsidRPr="000C09CD">
        <w:t>Kucsko-Stadlmayer</w:t>
      </w:r>
      <w:r w:rsidRPr="000C09CD">
        <w:br/>
      </w:r>
      <w:r w:rsidRPr="000C09CD">
        <w:tab/>
      </w:r>
      <w:r w:rsidRPr="000C09CD">
        <w:rPr>
          <w:iCs/>
        </w:rPr>
        <w:t>Registrar</w:t>
      </w:r>
      <w:r w:rsidRPr="000C09CD">
        <w:tab/>
        <w:t>President</w:t>
      </w:r>
    </w:p>
    <w:p w:rsidRPr="000C09CD" w:rsidR="000C09CD" w:rsidP="000C09CD" w14:paraId="04579B0E" w14:textId="77777777">
      <w:pPr>
        <w:pStyle w:val="JuPara"/>
      </w:pPr>
    </w:p>
    <w:p w:rsidRPr="000C09CD" w:rsidR="006115B0" w:rsidP="000C09CD" w14:paraId="17D77317" w14:textId="77777777"/>
    <w:sectPr w:rsidSect="007D3701">
      <w:headerReference w:type="even" r:id="rId5"/>
      <w:headerReference w:type="default" r:id="rId6"/>
      <w:footerReference w:type="even" r:id="rId7"/>
      <w:footerReference w:type="default" r:id="rId8"/>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DF8B983" w14:textId="1699AE7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CBEA772" w14:textId="19D122CA">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3F80AB5" w14:textId="7EBF8C85">
    <w:pPr>
      <w:pStyle w:val="JuHeader"/>
    </w:pPr>
    <w:r>
      <w:t xml:space="preserve">INTERNATIONALE HUMANITÄRE HILFSORGANISATION </w:t>
    </w:r>
    <w:r w:rsidR="007C5AB5">
      <w:t>e</w:t>
    </w:r>
    <w:r>
      <w:t>.V.</w:t>
    </w:r>
    <w:r>
      <w:t xml:space="preserve"> v. GERMANY</w:t>
    </w:r>
    <w:r w:rsidRPr="004D0EC7">
      <w:t xml:space="preserve"> </w:t>
    </w:r>
    <w:r>
      <w:t>JUDGMENT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BDA9B37" w14:textId="38A877AB">
    <w:pPr>
      <w:pStyle w:val="JuHeader"/>
    </w:pPr>
    <w:r>
      <w:t xml:space="preserve">INTERNATIONALE HUMANITÄRE HILFSORGANISATION </w:t>
    </w:r>
    <w:r w:rsidR="007C5AB5">
      <w:t>e.</w:t>
    </w:r>
    <w:r>
      <w:t>V.</w:t>
    </w:r>
    <w:r>
      <w:t xml:space="preserve"> v. GERMANY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83782018">
    <w:abstractNumId w:val="10"/>
  </w:num>
  <w:num w:numId="2" w16cid:durableId="1201867154">
    <w:abstractNumId w:val="9"/>
  </w:num>
  <w:num w:numId="3" w16cid:durableId="1643583641">
    <w:abstractNumId w:val="18"/>
  </w:num>
  <w:num w:numId="4" w16cid:durableId="296372652">
    <w:abstractNumId w:val="14"/>
  </w:num>
  <w:num w:numId="5" w16cid:durableId="156769828">
    <w:abstractNumId w:val="12"/>
  </w:num>
  <w:num w:numId="6" w16cid:durableId="214782474">
    <w:abstractNumId w:val="11"/>
  </w:num>
  <w:num w:numId="7" w16cid:durableId="76678287">
    <w:abstractNumId w:val="17"/>
  </w:num>
  <w:num w:numId="8" w16cid:durableId="121584346">
    <w:abstractNumId w:val="7"/>
  </w:num>
  <w:num w:numId="9" w16cid:durableId="193034425">
    <w:abstractNumId w:val="6"/>
  </w:num>
  <w:num w:numId="10" w16cid:durableId="335496740">
    <w:abstractNumId w:val="5"/>
  </w:num>
  <w:num w:numId="11" w16cid:durableId="75247310">
    <w:abstractNumId w:val="4"/>
  </w:num>
  <w:num w:numId="12" w16cid:durableId="1372876523">
    <w:abstractNumId w:val="8"/>
  </w:num>
  <w:num w:numId="13" w16cid:durableId="2046131478">
    <w:abstractNumId w:val="3"/>
  </w:num>
  <w:num w:numId="14" w16cid:durableId="457332754">
    <w:abstractNumId w:val="2"/>
  </w:num>
  <w:num w:numId="15" w16cid:durableId="63527893">
    <w:abstractNumId w:val="1"/>
  </w:num>
  <w:num w:numId="16" w16cid:durableId="1296638125">
    <w:abstractNumId w:val="0"/>
  </w:num>
  <w:num w:numId="17" w16cid:durableId="1130324474">
    <w:abstractNumId w:val="15"/>
  </w:num>
  <w:num w:numId="18" w16cid:durableId="140778284">
    <w:abstractNumId w:val="13"/>
  </w:num>
  <w:num w:numId="19" w16cid:durableId="649596747">
    <w:abstractNumId w:val="16"/>
  </w:num>
  <w:num w:numId="20" w16cid:durableId="1108894507">
    <w:abstractNumId w:val="15"/>
  </w:num>
  <w:num w:numId="21" w16cid:durableId="1195313927">
    <w:abstractNumId w:val="16"/>
  </w:num>
  <w:num w:numId="22" w16cid:durableId="509374511">
    <w:abstractNumId w:val="10"/>
  </w:num>
  <w:num w:numId="23" w16cid:durableId="1353654019">
    <w:abstractNumId w:val="9"/>
  </w:num>
  <w:num w:numId="24" w16cid:durableId="17676496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25" w16cid:durableId="322514373">
    <w:abstractNumId w:val="17"/>
  </w:num>
  <w:num w:numId="26" w16cid:durableId="1211771703">
    <w:abstractNumId w:val="8"/>
    <w:lvlOverride w:ilvl="0">
      <w:startOverride w:val="1"/>
    </w:lvlOverride>
  </w:num>
  <w:num w:numId="27" w16cid:durableId="1719814449">
    <w:abstractNumId w:val="7"/>
  </w:num>
  <w:num w:numId="28" w16cid:durableId="1284650284">
    <w:abstractNumId w:val="6"/>
  </w:num>
  <w:num w:numId="29" w16cid:durableId="1338926134">
    <w:abstractNumId w:val="5"/>
  </w:num>
  <w:num w:numId="30" w16cid:durableId="1214662159">
    <w:abstractNumId w:val="4"/>
  </w:num>
  <w:num w:numId="31" w16cid:durableId="2119057005">
    <w:abstractNumId w:val="3"/>
    <w:lvlOverride w:ilvl="0">
      <w:startOverride w:val="1"/>
    </w:lvlOverride>
  </w:num>
  <w:num w:numId="32" w16cid:durableId="489642116">
    <w:abstractNumId w:val="2"/>
    <w:lvlOverride w:ilvl="0">
      <w:startOverride w:val="1"/>
    </w:lvlOverride>
  </w:num>
  <w:num w:numId="33" w16cid:durableId="526607140">
    <w:abstractNumId w:val="1"/>
    <w:lvlOverride w:ilvl="0">
      <w:startOverride w:val="1"/>
    </w:lvlOverride>
  </w:num>
  <w:num w:numId="34" w16cid:durableId="777140138">
    <w:abstractNumId w:val="0"/>
    <w:lvlOverride w:ilvl="0">
      <w:startOverride w:val="1"/>
    </w:lvlOverride>
  </w:num>
  <w:num w:numId="35" w16cid:durableId="21093509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32156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7" w16cid:durableId="2116824313">
    <w:abstractNumId w:val="15"/>
  </w:num>
  <w:num w:numId="38" w16cid:durableId="10871145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94574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818"/>
    <w:rsid w:val="000041F8"/>
    <w:rsid w:val="000042A8"/>
    <w:rsid w:val="00004308"/>
    <w:rsid w:val="00005BF0"/>
    <w:rsid w:val="0000617D"/>
    <w:rsid w:val="00007154"/>
    <w:rsid w:val="000103AE"/>
    <w:rsid w:val="00011D69"/>
    <w:rsid w:val="00012AD3"/>
    <w:rsid w:val="00015C2D"/>
    <w:rsid w:val="00015F00"/>
    <w:rsid w:val="000168A3"/>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09CD"/>
    <w:rsid w:val="000C5F3C"/>
    <w:rsid w:val="000C6DCC"/>
    <w:rsid w:val="000D47AA"/>
    <w:rsid w:val="000D721F"/>
    <w:rsid w:val="000E069B"/>
    <w:rsid w:val="000E0E82"/>
    <w:rsid w:val="000E1DC5"/>
    <w:rsid w:val="000E223F"/>
    <w:rsid w:val="000E46B8"/>
    <w:rsid w:val="000E7D45"/>
    <w:rsid w:val="000F52F4"/>
    <w:rsid w:val="000F7851"/>
    <w:rsid w:val="00101505"/>
    <w:rsid w:val="00102973"/>
    <w:rsid w:val="00104E23"/>
    <w:rsid w:val="00110DA8"/>
    <w:rsid w:val="00111282"/>
    <w:rsid w:val="00111B0C"/>
    <w:rsid w:val="00120D6C"/>
    <w:rsid w:val="00124679"/>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5753"/>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670D7"/>
    <w:rsid w:val="00275123"/>
    <w:rsid w:val="00281B7C"/>
    <w:rsid w:val="00282240"/>
    <w:rsid w:val="00282BD8"/>
    <w:rsid w:val="0028579F"/>
    <w:rsid w:val="00287AD5"/>
    <w:rsid w:val="002934D0"/>
    <w:rsid w:val="00293676"/>
    <w:rsid w:val="00293BD9"/>
    <w:rsid w:val="002948AD"/>
    <w:rsid w:val="002949F9"/>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393"/>
    <w:rsid w:val="00505F69"/>
    <w:rsid w:val="00510D99"/>
    <w:rsid w:val="00511905"/>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62D9"/>
    <w:rsid w:val="005578CE"/>
    <w:rsid w:val="00562781"/>
    <w:rsid w:val="00562B6C"/>
    <w:rsid w:val="0057271C"/>
    <w:rsid w:val="00572845"/>
    <w:rsid w:val="00587793"/>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3FF9"/>
    <w:rsid w:val="006115B0"/>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7107"/>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6626"/>
    <w:rsid w:val="00715127"/>
    <w:rsid w:val="00715E8E"/>
    <w:rsid w:val="00723580"/>
    <w:rsid w:val="00723755"/>
    <w:rsid w:val="007242D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321C"/>
    <w:rsid w:val="007B4182"/>
    <w:rsid w:val="007C0695"/>
    <w:rsid w:val="007C419A"/>
    <w:rsid w:val="007C4CC8"/>
    <w:rsid w:val="007C5426"/>
    <w:rsid w:val="007C5798"/>
    <w:rsid w:val="007C5AB5"/>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593D"/>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5597"/>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4B07"/>
    <w:rsid w:val="00AF6186"/>
    <w:rsid w:val="00AF7A3A"/>
    <w:rsid w:val="00B02587"/>
    <w:rsid w:val="00B049D1"/>
    <w:rsid w:val="00B153A0"/>
    <w:rsid w:val="00B160DB"/>
    <w:rsid w:val="00B20836"/>
    <w:rsid w:val="00B235BB"/>
    <w:rsid w:val="00B27A44"/>
    <w:rsid w:val="00B27BB0"/>
    <w:rsid w:val="00B30BBF"/>
    <w:rsid w:val="00B33C03"/>
    <w:rsid w:val="00B4421F"/>
    <w:rsid w:val="00B44E56"/>
    <w:rsid w:val="00B45917"/>
    <w:rsid w:val="00B46543"/>
    <w:rsid w:val="00B47D33"/>
    <w:rsid w:val="00B52BE0"/>
    <w:rsid w:val="00B54133"/>
    <w:rsid w:val="00B55A8D"/>
    <w:rsid w:val="00B701ED"/>
    <w:rsid w:val="00B748F7"/>
    <w:rsid w:val="00B77323"/>
    <w:rsid w:val="00B8086C"/>
    <w:rsid w:val="00B81C58"/>
    <w:rsid w:val="00B861B4"/>
    <w:rsid w:val="00B86DFE"/>
    <w:rsid w:val="00B90990"/>
    <w:rsid w:val="00B922FF"/>
    <w:rsid w:val="00B9281E"/>
    <w:rsid w:val="00B93925"/>
    <w:rsid w:val="00B95187"/>
    <w:rsid w:val="00BA2D55"/>
    <w:rsid w:val="00BA620C"/>
    <w:rsid w:val="00BA6C7A"/>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0818"/>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871"/>
    <w:rsid w:val="00D669D4"/>
    <w:rsid w:val="00D70641"/>
    <w:rsid w:val="00D74888"/>
    <w:rsid w:val="00D7488B"/>
    <w:rsid w:val="00D75E28"/>
    <w:rsid w:val="00D772C2"/>
    <w:rsid w:val="00D8008E"/>
    <w:rsid w:val="00D82C45"/>
    <w:rsid w:val="00D908A8"/>
    <w:rsid w:val="00D977B6"/>
    <w:rsid w:val="00DA10C4"/>
    <w:rsid w:val="00DA1223"/>
    <w:rsid w:val="00DA4A31"/>
    <w:rsid w:val="00DA7B04"/>
    <w:rsid w:val="00DB3651"/>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6A7F"/>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5F25"/>
    <w:rsid w:val="00ED6544"/>
    <w:rsid w:val="00EE0277"/>
    <w:rsid w:val="00EE066F"/>
    <w:rsid w:val="00EE2899"/>
    <w:rsid w:val="00EE3E00"/>
    <w:rsid w:val="00EE4A75"/>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109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11905"/>
    <w:rPr>
      <w:sz w:val="24"/>
      <w:szCs w:val="24"/>
      <w:lang w:val="en-GB"/>
    </w:rPr>
  </w:style>
  <w:style w:type="paragraph" w:styleId="Heading1">
    <w:name w:val="heading 1"/>
    <w:basedOn w:val="Normal"/>
    <w:next w:val="Normal"/>
    <w:link w:val="Heading1Char"/>
    <w:uiPriority w:val="98"/>
    <w:qFormat/>
    <w:rsid w:val="0051190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qFormat/>
    <w:rsid w:val="0051190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qFormat/>
    <w:rsid w:val="0051190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qFormat/>
    <w:rsid w:val="0051190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1190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qFormat/>
    <w:rsid w:val="0051190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1190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1190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1190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11905"/>
    <w:rPr>
      <w:rFonts w:ascii="Tahoma" w:hAnsi="Tahoma" w:cs="Tahoma"/>
      <w:sz w:val="16"/>
      <w:szCs w:val="16"/>
    </w:rPr>
  </w:style>
  <w:style w:type="character" w:customStyle="1" w:styleId="BalloonTextChar">
    <w:name w:val="Balloon Text Char"/>
    <w:basedOn w:val="DefaultParagraphFont"/>
    <w:link w:val="BalloonText"/>
    <w:uiPriority w:val="98"/>
    <w:semiHidden/>
    <w:rsid w:val="00511905"/>
    <w:rPr>
      <w:rFonts w:ascii="Tahoma" w:hAnsi="Tahoma" w:cs="Tahoma"/>
      <w:sz w:val="16"/>
      <w:szCs w:val="16"/>
      <w:lang w:val="en-GB"/>
    </w:rPr>
  </w:style>
  <w:style w:type="character" w:styleId="BookTitle">
    <w:name w:val="Book Title"/>
    <w:uiPriority w:val="98"/>
    <w:qFormat/>
    <w:rsid w:val="00511905"/>
    <w:rPr>
      <w:i/>
      <w:iCs/>
      <w:smallCaps/>
      <w:spacing w:val="5"/>
    </w:rPr>
  </w:style>
  <w:style w:type="paragraph" w:customStyle="1" w:styleId="JuHeader">
    <w:name w:val="Ju_Header"/>
    <w:aliases w:val="_Header"/>
    <w:basedOn w:val="Header0"/>
    <w:uiPriority w:val="29"/>
    <w:qFormat/>
    <w:rsid w:val="00511905"/>
    <w:pPr>
      <w:tabs>
        <w:tab w:val="clear" w:pos="4536"/>
        <w:tab w:val="clear" w:pos="9072"/>
      </w:tabs>
      <w:jc w:val="center"/>
    </w:pPr>
    <w:rPr>
      <w:sz w:val="18"/>
    </w:rPr>
  </w:style>
  <w:style w:type="paragraph" w:customStyle="1" w:styleId="NormalJustified">
    <w:name w:val="Normal_Justified"/>
    <w:basedOn w:val="Normal"/>
    <w:uiPriority w:val="99"/>
    <w:semiHidden/>
    <w:rsid w:val="00511905"/>
    <w:pPr>
      <w:jc w:val="both"/>
    </w:pPr>
  </w:style>
  <w:style w:type="character" w:styleId="Strong">
    <w:name w:val="Strong"/>
    <w:uiPriority w:val="98"/>
    <w:semiHidden/>
    <w:qFormat/>
    <w:rsid w:val="00511905"/>
    <w:rPr>
      <w:b/>
      <w:bCs/>
    </w:rPr>
  </w:style>
  <w:style w:type="paragraph" w:styleId="NoSpacing">
    <w:name w:val="No Spacing"/>
    <w:basedOn w:val="Normal"/>
    <w:link w:val="NoSpacingChar"/>
    <w:uiPriority w:val="98"/>
    <w:qFormat/>
    <w:rsid w:val="00511905"/>
  </w:style>
  <w:style w:type="character" w:customStyle="1" w:styleId="NoSpacingChar">
    <w:name w:val="No Spacing Char"/>
    <w:basedOn w:val="DefaultParagraphFont"/>
    <w:link w:val="NoSpacing"/>
    <w:uiPriority w:val="98"/>
    <w:rsid w:val="00511905"/>
    <w:rPr>
      <w:sz w:val="24"/>
      <w:szCs w:val="24"/>
      <w:lang w:val="en-GB"/>
    </w:rPr>
  </w:style>
  <w:style w:type="paragraph" w:customStyle="1" w:styleId="JuQuot">
    <w:name w:val="Ju_Quot"/>
    <w:aliases w:val="_Quote"/>
    <w:basedOn w:val="NormalJustified"/>
    <w:uiPriority w:val="20"/>
    <w:qFormat/>
    <w:rsid w:val="00511905"/>
    <w:pPr>
      <w:spacing w:before="120" w:after="120"/>
      <w:ind w:left="425" w:firstLine="142"/>
    </w:pPr>
    <w:rPr>
      <w:sz w:val="20"/>
    </w:rPr>
  </w:style>
  <w:style w:type="paragraph" w:customStyle="1" w:styleId="DummyStyle">
    <w:name w:val="Dummy_Style"/>
    <w:aliases w:val="_Dummy"/>
    <w:basedOn w:val="Normal"/>
    <w:uiPriority w:val="99"/>
    <w:semiHidden/>
    <w:qFormat/>
    <w:rsid w:val="00511905"/>
    <w:rPr>
      <w:color w:val="00B050"/>
      <w:sz w:val="22"/>
    </w:rPr>
  </w:style>
  <w:style w:type="paragraph" w:customStyle="1" w:styleId="JuList">
    <w:name w:val="Ju_List"/>
    <w:aliases w:val="_List_1"/>
    <w:basedOn w:val="NormalJustified"/>
    <w:uiPriority w:val="23"/>
    <w:qFormat/>
    <w:rsid w:val="00511905"/>
    <w:pPr>
      <w:numPr>
        <w:numId w:val="23"/>
      </w:numPr>
      <w:spacing w:before="280" w:after="60"/>
    </w:pPr>
  </w:style>
  <w:style w:type="paragraph" w:customStyle="1" w:styleId="JuLista">
    <w:name w:val="Ju_List_a"/>
    <w:aliases w:val="_List_2"/>
    <w:basedOn w:val="NormalJustified"/>
    <w:uiPriority w:val="23"/>
    <w:rsid w:val="00511905"/>
    <w:pPr>
      <w:numPr>
        <w:ilvl w:val="1"/>
        <w:numId w:val="23"/>
      </w:numPr>
      <w:tabs>
        <w:tab w:val="num" w:pos="360"/>
        <w:tab w:val="clear" w:pos="680"/>
      </w:tabs>
      <w:ind w:left="0" w:firstLine="0"/>
    </w:pPr>
  </w:style>
  <w:style w:type="paragraph" w:customStyle="1" w:styleId="JuListi">
    <w:name w:val="Ju_List_i"/>
    <w:aliases w:val="_List_3"/>
    <w:basedOn w:val="NormalJustified"/>
    <w:uiPriority w:val="23"/>
    <w:rsid w:val="00511905"/>
    <w:pPr>
      <w:numPr>
        <w:ilvl w:val="2"/>
        <w:numId w:val="23"/>
      </w:numPr>
      <w:tabs>
        <w:tab w:val="num" w:pos="360"/>
      </w:tabs>
      <w:ind w:left="0" w:firstLine="0"/>
    </w:pPr>
  </w:style>
  <w:style w:type="paragraph" w:customStyle="1" w:styleId="JuHArticle">
    <w:name w:val="Ju_H_Article"/>
    <w:aliases w:val="_Title_Quote"/>
    <w:basedOn w:val="Normal"/>
    <w:next w:val="JuQuot"/>
    <w:uiPriority w:val="19"/>
    <w:qFormat/>
    <w:rsid w:val="0051190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1190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1190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11905"/>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11905"/>
    <w:pPr>
      <w:numPr>
        <w:numId w:val="17"/>
      </w:numPr>
    </w:pPr>
  </w:style>
  <w:style w:type="paragraph" w:customStyle="1" w:styleId="JuSigned">
    <w:name w:val="Ju_Signed"/>
    <w:aliases w:val="_Signature"/>
    <w:basedOn w:val="Normal"/>
    <w:next w:val="JuPara"/>
    <w:uiPriority w:val="31"/>
    <w:qFormat/>
    <w:rsid w:val="00511905"/>
    <w:pPr>
      <w:tabs>
        <w:tab w:val="center" w:pos="1418"/>
        <w:tab w:val="center" w:pos="5954"/>
      </w:tabs>
      <w:spacing w:before="720"/>
    </w:pPr>
  </w:style>
  <w:style w:type="paragraph" w:styleId="Title">
    <w:name w:val="Title"/>
    <w:basedOn w:val="Normal"/>
    <w:next w:val="Normal"/>
    <w:link w:val="TitleChar"/>
    <w:uiPriority w:val="98"/>
    <w:qFormat/>
    <w:rsid w:val="0051190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51190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1905"/>
    <w:pPr>
      <w:numPr>
        <w:numId w:val="18"/>
      </w:numPr>
    </w:pPr>
  </w:style>
  <w:style w:type="numbering" w:customStyle="1" w:styleId="ECHRA1StyleNumberedList">
    <w:name w:val="ECHR_A1_Style_Numbered_List"/>
    <w:basedOn w:val="NoList"/>
    <w:rsid w:val="00511905"/>
    <w:pPr>
      <w:numPr>
        <w:numId w:val="19"/>
      </w:numPr>
    </w:pPr>
  </w:style>
  <w:style w:type="table" w:customStyle="1" w:styleId="ECHRTable2019">
    <w:name w:val="ECHR_Table_2019"/>
    <w:basedOn w:val="TableNormal"/>
    <w:uiPriority w:val="99"/>
    <w:rsid w:val="0051190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1190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11905"/>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11905"/>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11905"/>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511905"/>
    <w:pPr>
      <w:tabs>
        <w:tab w:val="center" w:pos="4536"/>
        <w:tab w:val="right" w:pos="9072"/>
      </w:tabs>
    </w:pPr>
  </w:style>
  <w:style w:type="character" w:customStyle="1" w:styleId="HeaderChar">
    <w:name w:val="Header Char"/>
    <w:basedOn w:val="DefaultParagraphFont"/>
    <w:link w:val="Header0"/>
    <w:uiPriority w:val="98"/>
    <w:semiHidden/>
    <w:rsid w:val="00511905"/>
    <w:rPr>
      <w:sz w:val="24"/>
      <w:szCs w:val="24"/>
      <w:lang w:val="en-GB"/>
    </w:rPr>
  </w:style>
  <w:style w:type="character" w:customStyle="1" w:styleId="Heading1Char">
    <w:name w:val="Heading 1 Char"/>
    <w:basedOn w:val="DefaultParagraphFont"/>
    <w:link w:val="Heading1"/>
    <w:uiPriority w:val="98"/>
    <w:rsid w:val="0051190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11905"/>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511905"/>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1190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11905"/>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11905"/>
    <w:pPr>
      <w:keepNext/>
      <w:keepLines/>
      <w:numPr>
        <w:ilvl w:val="7"/>
        <w:numId w:val="22"/>
      </w:numPr>
      <w:spacing w:before="100" w:beforeAutospacing="1" w:after="120"/>
      <w:ind w:left="3744" w:hanging="1224"/>
      <w:jc w:val="both"/>
    </w:pPr>
    <w:rPr>
      <w:i/>
    </w:rPr>
  </w:style>
  <w:style w:type="character" w:customStyle="1" w:styleId="Heading3Char">
    <w:name w:val="Heading 3 Char"/>
    <w:basedOn w:val="DefaultParagraphFont"/>
    <w:link w:val="Heading3"/>
    <w:uiPriority w:val="98"/>
    <w:semiHidden/>
    <w:rsid w:val="00511905"/>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511905"/>
    <w:pPr>
      <w:keepNext/>
      <w:keepLines/>
      <w:spacing w:before="240" w:after="240"/>
      <w:ind w:firstLine="284"/>
    </w:pPr>
  </w:style>
  <w:style w:type="paragraph" w:customStyle="1" w:styleId="JuJudges">
    <w:name w:val="Ju_Judges"/>
    <w:aliases w:val="_Judges"/>
    <w:basedOn w:val="Normal"/>
    <w:uiPriority w:val="32"/>
    <w:qFormat/>
    <w:rsid w:val="00511905"/>
    <w:pPr>
      <w:tabs>
        <w:tab w:val="left" w:pos="567"/>
        <w:tab w:val="left" w:pos="1134"/>
      </w:tabs>
    </w:pPr>
  </w:style>
  <w:style w:type="character" w:customStyle="1" w:styleId="Heading4Char">
    <w:name w:val="Heading 4 Char"/>
    <w:basedOn w:val="DefaultParagraphFont"/>
    <w:link w:val="Heading4"/>
    <w:uiPriority w:val="98"/>
    <w:semiHidden/>
    <w:rsid w:val="0051190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11905"/>
    <w:pPr>
      <w:tabs>
        <w:tab w:val="center" w:pos="6407"/>
      </w:tabs>
      <w:spacing w:before="720"/>
      <w:jc w:val="right"/>
    </w:pPr>
  </w:style>
  <w:style w:type="character" w:customStyle="1" w:styleId="Heading5Char">
    <w:name w:val="Heading 5 Char"/>
    <w:basedOn w:val="DefaultParagraphFont"/>
    <w:link w:val="Heading5"/>
    <w:uiPriority w:val="98"/>
    <w:semiHidden/>
    <w:rsid w:val="0051190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11905"/>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11905"/>
    <w:rPr>
      <w:caps w:val="0"/>
      <w:smallCaps/>
    </w:rPr>
  </w:style>
  <w:style w:type="character" w:styleId="SubtleEmphasis">
    <w:name w:val="Subtle Emphasis"/>
    <w:uiPriority w:val="98"/>
    <w:qFormat/>
    <w:rsid w:val="00511905"/>
    <w:rPr>
      <w:i/>
      <w:iCs/>
    </w:rPr>
  </w:style>
  <w:style w:type="table" w:customStyle="1" w:styleId="ECHRTable">
    <w:name w:val="ECHR_Table"/>
    <w:basedOn w:val="TableNormal"/>
    <w:rsid w:val="0051190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190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qFormat/>
    <w:rsid w:val="00511905"/>
    <w:rPr>
      <w:b/>
      <w:bCs/>
      <w:i/>
      <w:iCs/>
      <w:spacing w:val="10"/>
      <w:bdr w:val="none" w:sz="0" w:space="0" w:color="auto"/>
      <w:shd w:val="clear" w:color="auto" w:fill="auto"/>
    </w:rPr>
  </w:style>
  <w:style w:type="paragraph" w:styleId="Footer1">
    <w:name w:val="footer"/>
    <w:basedOn w:val="Normal"/>
    <w:link w:val="FooterChar"/>
    <w:uiPriority w:val="98"/>
    <w:semiHidden/>
    <w:rsid w:val="00511905"/>
    <w:pPr>
      <w:tabs>
        <w:tab w:val="center" w:pos="3686"/>
        <w:tab w:val="right" w:pos="7371"/>
      </w:tabs>
    </w:pPr>
  </w:style>
  <w:style w:type="character" w:customStyle="1" w:styleId="FooterChar">
    <w:name w:val="Footer Char"/>
    <w:basedOn w:val="DefaultParagraphFont"/>
    <w:link w:val="Footer1"/>
    <w:uiPriority w:val="98"/>
    <w:semiHidden/>
    <w:rsid w:val="00511905"/>
    <w:rPr>
      <w:sz w:val="24"/>
      <w:szCs w:val="24"/>
      <w:lang w:val="en-GB"/>
    </w:rPr>
  </w:style>
  <w:style w:type="character" w:styleId="FootnoteReference">
    <w:name w:val="footnote reference"/>
    <w:basedOn w:val="DefaultParagraphFont"/>
    <w:uiPriority w:val="98"/>
    <w:semiHidden/>
    <w:rsid w:val="00511905"/>
    <w:rPr>
      <w:vertAlign w:val="superscript"/>
    </w:rPr>
  </w:style>
  <w:style w:type="paragraph" w:styleId="FootnoteText">
    <w:name w:val="footnote text"/>
    <w:basedOn w:val="NormalJustified"/>
    <w:link w:val="FootnoteTextChar"/>
    <w:uiPriority w:val="98"/>
    <w:semiHidden/>
    <w:rsid w:val="00511905"/>
    <w:rPr>
      <w:sz w:val="20"/>
      <w:szCs w:val="20"/>
    </w:rPr>
  </w:style>
  <w:style w:type="character" w:customStyle="1" w:styleId="FootnoteTextChar">
    <w:name w:val="Footnote Text Char"/>
    <w:basedOn w:val="DefaultParagraphFont"/>
    <w:link w:val="FootnoteText"/>
    <w:uiPriority w:val="98"/>
    <w:semiHidden/>
    <w:rsid w:val="00511905"/>
    <w:rPr>
      <w:sz w:val="20"/>
      <w:szCs w:val="20"/>
      <w:lang w:val="en-GB"/>
    </w:rPr>
  </w:style>
  <w:style w:type="character" w:customStyle="1" w:styleId="Heading6Char">
    <w:name w:val="Heading 6 Char"/>
    <w:basedOn w:val="DefaultParagraphFont"/>
    <w:link w:val="Heading6"/>
    <w:uiPriority w:val="98"/>
    <w:semiHidden/>
    <w:rsid w:val="0051190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1190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1190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1190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11905"/>
    <w:rPr>
      <w:color w:val="0072BC" w:themeColor="hyperlink"/>
      <w:u w:val="single"/>
    </w:rPr>
  </w:style>
  <w:style w:type="character" w:styleId="IntenseEmphasis">
    <w:name w:val="Intense Emphasis"/>
    <w:uiPriority w:val="98"/>
    <w:qFormat/>
    <w:rsid w:val="00511905"/>
    <w:rPr>
      <w:b/>
      <w:bCs/>
    </w:rPr>
  </w:style>
  <w:style w:type="paragraph" w:styleId="IntenseQuote">
    <w:name w:val="Intense Quote"/>
    <w:basedOn w:val="Normal"/>
    <w:next w:val="Normal"/>
    <w:link w:val="IntenseQuoteChar"/>
    <w:uiPriority w:val="98"/>
    <w:qFormat/>
    <w:rsid w:val="0051190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511905"/>
    <w:rPr>
      <w:b/>
      <w:bCs/>
      <w:i/>
      <w:iCs/>
      <w:sz w:val="24"/>
      <w:szCs w:val="24"/>
      <w:lang w:val="en-GB" w:bidi="en-US"/>
    </w:rPr>
  </w:style>
  <w:style w:type="character" w:styleId="IntenseReference">
    <w:name w:val="Intense Reference"/>
    <w:uiPriority w:val="98"/>
    <w:qFormat/>
    <w:rsid w:val="00511905"/>
    <w:rPr>
      <w:smallCaps/>
      <w:spacing w:val="5"/>
      <w:u w:val="single"/>
    </w:rPr>
  </w:style>
  <w:style w:type="paragraph" w:styleId="ListParagraph">
    <w:name w:val="List Paragraph"/>
    <w:basedOn w:val="Normal"/>
    <w:uiPriority w:val="98"/>
    <w:qFormat/>
    <w:rsid w:val="00511905"/>
    <w:pPr>
      <w:ind w:left="720"/>
      <w:contextualSpacing/>
    </w:pPr>
  </w:style>
  <w:style w:type="table" w:customStyle="1" w:styleId="LtrTableAddress">
    <w:name w:val="Ltr_Table_Address"/>
    <w:aliases w:val="ECHR_Ltr_Table_Address"/>
    <w:basedOn w:val="TableNormal"/>
    <w:uiPriority w:val="99"/>
    <w:rsid w:val="00511905"/>
    <w:rPr>
      <w:sz w:val="24"/>
      <w:szCs w:val="24"/>
    </w:rPr>
    <w:tblPr>
      <w:tblInd w:w="5103" w:type="dxa"/>
    </w:tblPr>
  </w:style>
  <w:style w:type="paragraph" w:styleId="Quote0">
    <w:name w:val="Quote"/>
    <w:basedOn w:val="Normal"/>
    <w:next w:val="Normal"/>
    <w:link w:val="QuoteChar"/>
    <w:uiPriority w:val="98"/>
    <w:qFormat/>
    <w:rsid w:val="00511905"/>
    <w:pPr>
      <w:spacing w:before="200"/>
      <w:ind w:left="360" w:right="360"/>
    </w:pPr>
    <w:rPr>
      <w:i/>
      <w:iCs/>
      <w:lang w:bidi="en-US"/>
    </w:rPr>
  </w:style>
  <w:style w:type="character" w:customStyle="1" w:styleId="QuoteChar">
    <w:name w:val="Quote Char"/>
    <w:basedOn w:val="DefaultParagraphFont"/>
    <w:link w:val="Quote0"/>
    <w:uiPriority w:val="98"/>
    <w:rsid w:val="00511905"/>
    <w:rPr>
      <w:i/>
      <w:iCs/>
      <w:sz w:val="24"/>
      <w:szCs w:val="24"/>
      <w:lang w:val="en-GB" w:bidi="en-US"/>
    </w:rPr>
  </w:style>
  <w:style w:type="character" w:styleId="SubtleReference">
    <w:name w:val="Subtle Reference"/>
    <w:uiPriority w:val="98"/>
    <w:qFormat/>
    <w:rsid w:val="00511905"/>
    <w:rPr>
      <w:smallCaps/>
    </w:rPr>
  </w:style>
  <w:style w:type="table" w:styleId="TableGrid">
    <w:name w:val="Table Grid"/>
    <w:basedOn w:val="TableNormal"/>
    <w:uiPriority w:val="59"/>
    <w:rsid w:val="0051190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1190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1190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1190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1190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1190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1190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1190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1190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1190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190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190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1190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1190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51190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51190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1905"/>
    <w:pPr>
      <w:numPr>
        <w:numId w:val="4"/>
      </w:numPr>
    </w:pPr>
  </w:style>
  <w:style w:type="paragraph" w:customStyle="1" w:styleId="JuPara">
    <w:name w:val="Ju_Para"/>
    <w:aliases w:val="_Para"/>
    <w:basedOn w:val="NormalJustified"/>
    <w:link w:val="JuParaChar"/>
    <w:uiPriority w:val="4"/>
    <w:qFormat/>
    <w:rsid w:val="00511905"/>
    <w:pPr>
      <w:ind w:firstLine="284"/>
    </w:pPr>
  </w:style>
  <w:style w:type="numbering" w:styleId="1ai">
    <w:name w:val="Outline List 1"/>
    <w:basedOn w:val="NoList"/>
    <w:uiPriority w:val="99"/>
    <w:semiHidden/>
    <w:unhideWhenUsed/>
    <w:rsid w:val="00511905"/>
    <w:pPr>
      <w:numPr>
        <w:numId w:val="5"/>
      </w:numPr>
    </w:pPr>
  </w:style>
  <w:style w:type="table" w:customStyle="1" w:styleId="ECHRTableSimpleBox">
    <w:name w:val="ECHR_Table_Simple_Box"/>
    <w:basedOn w:val="TableNormal"/>
    <w:uiPriority w:val="99"/>
    <w:rsid w:val="0051190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190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1905"/>
    <w:pPr>
      <w:numPr>
        <w:numId w:val="6"/>
      </w:numPr>
    </w:pPr>
  </w:style>
  <w:style w:type="table" w:customStyle="1" w:styleId="ECHRTableForInternalUse">
    <w:name w:val="ECHR_Table_For_Internal_Use"/>
    <w:basedOn w:val="TableNormal"/>
    <w:uiPriority w:val="99"/>
    <w:rsid w:val="0051190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1190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11905"/>
  </w:style>
  <w:style w:type="paragraph" w:styleId="BlockText">
    <w:name w:val="Block Text"/>
    <w:basedOn w:val="Normal"/>
    <w:uiPriority w:val="98"/>
    <w:semiHidden/>
    <w:rsid w:val="0051190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190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11905"/>
    <w:pPr>
      <w:spacing w:after="120"/>
    </w:pPr>
  </w:style>
  <w:style w:type="character" w:customStyle="1" w:styleId="BodyTextChar">
    <w:name w:val="Body Text Char"/>
    <w:basedOn w:val="DefaultParagraphFont"/>
    <w:link w:val="BodyText"/>
    <w:uiPriority w:val="98"/>
    <w:semiHidden/>
    <w:rsid w:val="00511905"/>
    <w:rPr>
      <w:sz w:val="24"/>
      <w:szCs w:val="24"/>
      <w:lang w:val="en-GB"/>
    </w:rPr>
  </w:style>
  <w:style w:type="table" w:customStyle="1" w:styleId="ECHRTableOddBanded">
    <w:name w:val="ECHR_Table_Odd_Banded"/>
    <w:basedOn w:val="TableNormal"/>
    <w:uiPriority w:val="99"/>
    <w:rsid w:val="0051190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11905"/>
    <w:pPr>
      <w:spacing w:after="120" w:line="480" w:lineRule="auto"/>
    </w:pPr>
  </w:style>
  <w:style w:type="table" w:customStyle="1" w:styleId="ECHRHeaderTableReduced">
    <w:name w:val="ECHR_Header_Table_Reduced"/>
    <w:basedOn w:val="TableNormal"/>
    <w:uiPriority w:val="99"/>
    <w:rsid w:val="0051190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11905"/>
    <w:pPr>
      <w:ind w:firstLine="284"/>
    </w:pPr>
    <w:rPr>
      <w:b/>
    </w:rPr>
  </w:style>
  <w:style w:type="character" w:styleId="PageNumber">
    <w:name w:val="page number"/>
    <w:uiPriority w:val="98"/>
    <w:semiHidden/>
    <w:rsid w:val="00511905"/>
    <w:rPr>
      <w:sz w:val="18"/>
    </w:rPr>
  </w:style>
  <w:style w:type="paragraph" w:styleId="ListBullet">
    <w:name w:val="List Bullet"/>
    <w:basedOn w:val="Normal"/>
    <w:uiPriority w:val="98"/>
    <w:semiHidden/>
    <w:rsid w:val="00511905"/>
    <w:pPr>
      <w:numPr>
        <w:numId w:val="7"/>
      </w:numPr>
    </w:pPr>
  </w:style>
  <w:style w:type="paragraph" w:styleId="ListBullet3">
    <w:name w:val="List Bullet 3"/>
    <w:basedOn w:val="Normal"/>
    <w:uiPriority w:val="98"/>
    <w:semiHidden/>
    <w:rsid w:val="00511905"/>
    <w:pPr>
      <w:numPr>
        <w:numId w:val="9"/>
      </w:numPr>
      <w:tabs>
        <w:tab w:val="num" w:pos="926"/>
        <w:tab w:val="clear" w:pos="1080"/>
      </w:tabs>
      <w:ind w:left="926"/>
      <w:contextualSpacing/>
    </w:pPr>
  </w:style>
  <w:style w:type="character" w:customStyle="1" w:styleId="BodyText2Char">
    <w:name w:val="Body Text 2 Char"/>
    <w:basedOn w:val="DefaultParagraphFont"/>
    <w:link w:val="BodyText2"/>
    <w:uiPriority w:val="98"/>
    <w:semiHidden/>
    <w:rsid w:val="00511905"/>
    <w:rPr>
      <w:sz w:val="24"/>
      <w:szCs w:val="24"/>
      <w:lang w:val="en-GB"/>
    </w:rPr>
  </w:style>
  <w:style w:type="paragraph" w:styleId="BodyText3">
    <w:name w:val="Body Text 3"/>
    <w:basedOn w:val="Normal"/>
    <w:link w:val="BodyText3Char"/>
    <w:uiPriority w:val="98"/>
    <w:semiHidden/>
    <w:rsid w:val="00511905"/>
    <w:pPr>
      <w:spacing w:after="120"/>
    </w:pPr>
    <w:rPr>
      <w:sz w:val="16"/>
      <w:szCs w:val="16"/>
    </w:rPr>
  </w:style>
  <w:style w:type="character" w:customStyle="1" w:styleId="BodyText3Char">
    <w:name w:val="Body Text 3 Char"/>
    <w:basedOn w:val="DefaultParagraphFont"/>
    <w:link w:val="BodyText3"/>
    <w:uiPriority w:val="98"/>
    <w:semiHidden/>
    <w:rsid w:val="00511905"/>
    <w:rPr>
      <w:sz w:val="16"/>
      <w:szCs w:val="16"/>
      <w:lang w:val="en-GB"/>
    </w:rPr>
  </w:style>
  <w:style w:type="paragraph" w:styleId="BodyTextFirstIndent">
    <w:name w:val="Body Text First Indent"/>
    <w:basedOn w:val="BodyText"/>
    <w:link w:val="BodyTextFirstIndentChar"/>
    <w:uiPriority w:val="98"/>
    <w:semiHidden/>
    <w:rsid w:val="00511905"/>
    <w:pPr>
      <w:spacing w:after="0"/>
      <w:ind w:firstLine="360"/>
    </w:pPr>
  </w:style>
  <w:style w:type="character" w:customStyle="1" w:styleId="BodyTextFirstIndentChar">
    <w:name w:val="Body Text First Indent Char"/>
    <w:basedOn w:val="BodyTextChar"/>
    <w:link w:val="BodyTextFirstIndent"/>
    <w:uiPriority w:val="98"/>
    <w:semiHidden/>
    <w:rsid w:val="00511905"/>
    <w:rPr>
      <w:sz w:val="24"/>
      <w:szCs w:val="24"/>
      <w:lang w:val="en-GB"/>
    </w:rPr>
  </w:style>
  <w:style w:type="paragraph" w:styleId="BodyTextIndent">
    <w:name w:val="Body Text Indent"/>
    <w:basedOn w:val="Normal"/>
    <w:link w:val="BodyTextIndentChar"/>
    <w:uiPriority w:val="98"/>
    <w:semiHidden/>
    <w:rsid w:val="00511905"/>
    <w:pPr>
      <w:spacing w:after="120"/>
      <w:ind w:left="283"/>
    </w:pPr>
  </w:style>
  <w:style w:type="character" w:customStyle="1" w:styleId="BodyTextIndentChar">
    <w:name w:val="Body Text Indent Char"/>
    <w:basedOn w:val="DefaultParagraphFont"/>
    <w:link w:val="BodyTextIndent"/>
    <w:uiPriority w:val="98"/>
    <w:semiHidden/>
    <w:rsid w:val="00511905"/>
    <w:rPr>
      <w:sz w:val="24"/>
      <w:szCs w:val="24"/>
      <w:lang w:val="en-GB"/>
    </w:rPr>
  </w:style>
  <w:style w:type="paragraph" w:styleId="BodyTextFirstIndent2">
    <w:name w:val="Body Text First Indent 2"/>
    <w:basedOn w:val="BodyTextIndent"/>
    <w:link w:val="BodyTextFirstIndent2Char"/>
    <w:uiPriority w:val="98"/>
    <w:semiHidden/>
    <w:rsid w:val="00511905"/>
    <w:pPr>
      <w:spacing w:after="0"/>
      <w:ind w:left="360" w:firstLine="360"/>
    </w:pPr>
  </w:style>
  <w:style w:type="character" w:customStyle="1" w:styleId="BodyTextFirstIndent2Char">
    <w:name w:val="Body Text First Indent 2 Char"/>
    <w:basedOn w:val="BodyTextIndentChar"/>
    <w:link w:val="BodyTextFirstIndent2"/>
    <w:uiPriority w:val="98"/>
    <w:semiHidden/>
    <w:rsid w:val="00511905"/>
    <w:rPr>
      <w:sz w:val="24"/>
      <w:szCs w:val="24"/>
      <w:lang w:val="en-GB"/>
    </w:rPr>
  </w:style>
  <w:style w:type="paragraph" w:styleId="BodyTextIndent2">
    <w:name w:val="Body Text Indent 2"/>
    <w:basedOn w:val="Normal"/>
    <w:link w:val="BodyTextIndent2Char"/>
    <w:uiPriority w:val="98"/>
    <w:semiHidden/>
    <w:rsid w:val="00511905"/>
    <w:pPr>
      <w:spacing w:after="120" w:line="480" w:lineRule="auto"/>
      <w:ind w:left="283"/>
    </w:pPr>
  </w:style>
  <w:style w:type="character" w:customStyle="1" w:styleId="BodyTextIndent2Char">
    <w:name w:val="Body Text Indent 2 Char"/>
    <w:basedOn w:val="DefaultParagraphFont"/>
    <w:link w:val="BodyTextIndent2"/>
    <w:uiPriority w:val="98"/>
    <w:semiHidden/>
    <w:rsid w:val="00511905"/>
    <w:rPr>
      <w:sz w:val="24"/>
      <w:szCs w:val="24"/>
      <w:lang w:val="en-GB"/>
    </w:rPr>
  </w:style>
  <w:style w:type="paragraph" w:styleId="BodyTextIndent3">
    <w:name w:val="Body Text Indent 3"/>
    <w:basedOn w:val="Normal"/>
    <w:link w:val="BodyTextIndent3Char"/>
    <w:uiPriority w:val="98"/>
    <w:semiHidden/>
    <w:rsid w:val="0051190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11905"/>
    <w:rPr>
      <w:sz w:val="16"/>
      <w:szCs w:val="16"/>
      <w:lang w:val="en-GB"/>
    </w:rPr>
  </w:style>
  <w:style w:type="paragraph" w:styleId="Caption">
    <w:name w:val="caption"/>
    <w:basedOn w:val="Normal"/>
    <w:next w:val="Normal"/>
    <w:uiPriority w:val="98"/>
    <w:semiHidden/>
    <w:qFormat/>
    <w:rsid w:val="00511905"/>
    <w:pPr>
      <w:spacing w:after="200"/>
    </w:pPr>
    <w:rPr>
      <w:b/>
      <w:bCs/>
      <w:color w:val="0072BC" w:themeColor="accent1"/>
      <w:sz w:val="18"/>
      <w:szCs w:val="18"/>
    </w:rPr>
  </w:style>
  <w:style w:type="paragraph" w:styleId="Closing">
    <w:name w:val="Closing"/>
    <w:basedOn w:val="Normal"/>
    <w:link w:val="ClosingChar"/>
    <w:uiPriority w:val="98"/>
    <w:semiHidden/>
    <w:rsid w:val="00511905"/>
    <w:pPr>
      <w:ind w:left="4252"/>
    </w:pPr>
  </w:style>
  <w:style w:type="character" w:customStyle="1" w:styleId="ClosingChar">
    <w:name w:val="Closing Char"/>
    <w:basedOn w:val="DefaultParagraphFont"/>
    <w:link w:val="Closing"/>
    <w:uiPriority w:val="98"/>
    <w:semiHidden/>
    <w:rsid w:val="00511905"/>
    <w:rPr>
      <w:sz w:val="24"/>
      <w:szCs w:val="24"/>
      <w:lang w:val="en-GB"/>
    </w:rPr>
  </w:style>
  <w:style w:type="table" w:styleId="ColorfulGrid">
    <w:name w:val="Colorful Grid"/>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190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190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190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190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190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190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190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190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190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190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190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190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190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190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190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11905"/>
    <w:rPr>
      <w:sz w:val="16"/>
      <w:szCs w:val="16"/>
    </w:rPr>
  </w:style>
  <w:style w:type="paragraph" w:styleId="CommentText">
    <w:name w:val="annotation text"/>
    <w:basedOn w:val="Normal"/>
    <w:link w:val="CommentTextChar"/>
    <w:uiPriority w:val="98"/>
    <w:semiHidden/>
    <w:rsid w:val="00511905"/>
    <w:rPr>
      <w:sz w:val="20"/>
      <w:szCs w:val="20"/>
    </w:rPr>
  </w:style>
  <w:style w:type="character" w:customStyle="1" w:styleId="CommentTextChar">
    <w:name w:val="Comment Text Char"/>
    <w:basedOn w:val="DefaultParagraphFont"/>
    <w:link w:val="CommentText"/>
    <w:uiPriority w:val="98"/>
    <w:semiHidden/>
    <w:rsid w:val="00511905"/>
    <w:rPr>
      <w:sz w:val="20"/>
      <w:szCs w:val="20"/>
      <w:lang w:val="en-GB"/>
    </w:rPr>
  </w:style>
  <w:style w:type="paragraph" w:styleId="CommentSubject">
    <w:name w:val="annotation subject"/>
    <w:basedOn w:val="CommentText"/>
    <w:next w:val="CommentText"/>
    <w:link w:val="CommentSubjectChar"/>
    <w:uiPriority w:val="98"/>
    <w:semiHidden/>
    <w:rsid w:val="00511905"/>
    <w:rPr>
      <w:b/>
      <w:bCs/>
    </w:rPr>
  </w:style>
  <w:style w:type="character" w:customStyle="1" w:styleId="CommentSubjectChar">
    <w:name w:val="Comment Subject Char"/>
    <w:basedOn w:val="CommentTextChar"/>
    <w:link w:val="CommentSubject"/>
    <w:uiPriority w:val="98"/>
    <w:semiHidden/>
    <w:rsid w:val="00511905"/>
    <w:rPr>
      <w:b/>
      <w:bCs/>
      <w:sz w:val="20"/>
      <w:szCs w:val="20"/>
      <w:lang w:val="en-GB"/>
    </w:rPr>
  </w:style>
  <w:style w:type="table" w:styleId="DarkList">
    <w:name w:val="Dark List"/>
    <w:basedOn w:val="TableNormal"/>
    <w:uiPriority w:val="70"/>
    <w:semiHidden/>
    <w:rsid w:val="0051190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190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190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190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190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190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190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11905"/>
  </w:style>
  <w:style w:type="character" w:customStyle="1" w:styleId="DateChar">
    <w:name w:val="Date Char"/>
    <w:basedOn w:val="DefaultParagraphFont"/>
    <w:link w:val="Date"/>
    <w:uiPriority w:val="98"/>
    <w:semiHidden/>
    <w:rsid w:val="00511905"/>
    <w:rPr>
      <w:sz w:val="24"/>
      <w:szCs w:val="24"/>
      <w:lang w:val="en-GB"/>
    </w:rPr>
  </w:style>
  <w:style w:type="paragraph" w:styleId="DocumentMap">
    <w:name w:val="Document Map"/>
    <w:basedOn w:val="Normal"/>
    <w:link w:val="DocumentMapChar"/>
    <w:uiPriority w:val="98"/>
    <w:semiHidden/>
    <w:rsid w:val="00511905"/>
    <w:rPr>
      <w:rFonts w:ascii="Tahoma" w:hAnsi="Tahoma" w:cs="Tahoma"/>
      <w:sz w:val="16"/>
      <w:szCs w:val="16"/>
    </w:rPr>
  </w:style>
  <w:style w:type="character" w:customStyle="1" w:styleId="DocumentMapChar">
    <w:name w:val="Document Map Char"/>
    <w:basedOn w:val="DefaultParagraphFont"/>
    <w:link w:val="DocumentMap"/>
    <w:uiPriority w:val="98"/>
    <w:semiHidden/>
    <w:rsid w:val="00511905"/>
    <w:rPr>
      <w:rFonts w:ascii="Tahoma" w:hAnsi="Tahoma" w:cs="Tahoma"/>
      <w:sz w:val="16"/>
      <w:szCs w:val="16"/>
      <w:lang w:val="en-GB"/>
    </w:rPr>
  </w:style>
  <w:style w:type="paragraph" w:styleId="E-mailSignature">
    <w:name w:val="E-mail Signature"/>
    <w:basedOn w:val="Normal"/>
    <w:link w:val="E-mailSignatureChar"/>
    <w:uiPriority w:val="98"/>
    <w:semiHidden/>
    <w:rsid w:val="00511905"/>
  </w:style>
  <w:style w:type="character" w:customStyle="1" w:styleId="E-mailSignatureChar">
    <w:name w:val="E-mail Signature Char"/>
    <w:basedOn w:val="DefaultParagraphFont"/>
    <w:link w:val="E-mailSignature"/>
    <w:uiPriority w:val="98"/>
    <w:semiHidden/>
    <w:rsid w:val="00511905"/>
    <w:rPr>
      <w:sz w:val="24"/>
      <w:szCs w:val="24"/>
      <w:lang w:val="en-GB"/>
    </w:rPr>
  </w:style>
  <w:style w:type="character" w:styleId="EndnoteReference">
    <w:name w:val="endnote reference"/>
    <w:basedOn w:val="DefaultParagraphFont"/>
    <w:uiPriority w:val="98"/>
    <w:semiHidden/>
    <w:rsid w:val="00511905"/>
    <w:rPr>
      <w:vertAlign w:val="superscript"/>
    </w:rPr>
  </w:style>
  <w:style w:type="paragraph" w:styleId="EndnoteText">
    <w:name w:val="endnote text"/>
    <w:basedOn w:val="Normal"/>
    <w:link w:val="EndnoteTextChar"/>
    <w:uiPriority w:val="98"/>
    <w:semiHidden/>
    <w:rsid w:val="00511905"/>
    <w:rPr>
      <w:sz w:val="20"/>
      <w:szCs w:val="20"/>
    </w:rPr>
  </w:style>
  <w:style w:type="character" w:customStyle="1" w:styleId="EndnoteTextChar">
    <w:name w:val="Endnote Text Char"/>
    <w:basedOn w:val="DefaultParagraphFont"/>
    <w:link w:val="EndnoteText"/>
    <w:uiPriority w:val="98"/>
    <w:semiHidden/>
    <w:rsid w:val="00511905"/>
    <w:rPr>
      <w:sz w:val="20"/>
      <w:szCs w:val="20"/>
      <w:lang w:val="en-GB"/>
    </w:rPr>
  </w:style>
  <w:style w:type="paragraph" w:styleId="EnvelopeAddress">
    <w:name w:val="envelope address"/>
    <w:basedOn w:val="Normal"/>
    <w:uiPriority w:val="98"/>
    <w:semiHidden/>
    <w:rsid w:val="0051190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1190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11905"/>
    <w:rPr>
      <w:color w:val="7030A0" w:themeColor="followedHyperlink"/>
      <w:u w:val="single"/>
    </w:rPr>
  </w:style>
  <w:style w:type="character" w:styleId="HTMLAcronym">
    <w:name w:val="HTML Acronym"/>
    <w:basedOn w:val="DefaultParagraphFont"/>
    <w:uiPriority w:val="98"/>
    <w:semiHidden/>
    <w:rsid w:val="00511905"/>
  </w:style>
  <w:style w:type="paragraph" w:styleId="HTMLAddress">
    <w:name w:val="HTML Address"/>
    <w:basedOn w:val="Normal"/>
    <w:link w:val="HTMLAddressChar"/>
    <w:uiPriority w:val="98"/>
    <w:semiHidden/>
    <w:rsid w:val="00511905"/>
    <w:rPr>
      <w:i/>
      <w:iCs/>
    </w:rPr>
  </w:style>
  <w:style w:type="character" w:customStyle="1" w:styleId="HTMLAddressChar">
    <w:name w:val="HTML Address Char"/>
    <w:basedOn w:val="DefaultParagraphFont"/>
    <w:link w:val="HTMLAddress"/>
    <w:uiPriority w:val="98"/>
    <w:semiHidden/>
    <w:rsid w:val="00511905"/>
    <w:rPr>
      <w:i/>
      <w:iCs/>
      <w:sz w:val="24"/>
      <w:szCs w:val="24"/>
      <w:lang w:val="en-GB"/>
    </w:rPr>
  </w:style>
  <w:style w:type="character" w:styleId="HTMLCite">
    <w:name w:val="HTML Cite"/>
    <w:basedOn w:val="DefaultParagraphFont"/>
    <w:uiPriority w:val="98"/>
    <w:semiHidden/>
    <w:rsid w:val="00511905"/>
    <w:rPr>
      <w:i/>
      <w:iCs/>
    </w:rPr>
  </w:style>
  <w:style w:type="character" w:styleId="HTMLCode">
    <w:name w:val="HTML Code"/>
    <w:basedOn w:val="DefaultParagraphFont"/>
    <w:uiPriority w:val="98"/>
    <w:semiHidden/>
    <w:rsid w:val="00511905"/>
    <w:rPr>
      <w:rFonts w:ascii="Consolas" w:hAnsi="Consolas" w:cs="Consolas"/>
      <w:sz w:val="20"/>
      <w:szCs w:val="20"/>
    </w:rPr>
  </w:style>
  <w:style w:type="character" w:styleId="HTMLDefinition">
    <w:name w:val="HTML Definition"/>
    <w:basedOn w:val="DefaultParagraphFont"/>
    <w:uiPriority w:val="98"/>
    <w:semiHidden/>
    <w:rsid w:val="00511905"/>
    <w:rPr>
      <w:i/>
      <w:iCs/>
    </w:rPr>
  </w:style>
  <w:style w:type="character" w:styleId="HTMLKeyboard">
    <w:name w:val="HTML Keyboard"/>
    <w:basedOn w:val="DefaultParagraphFont"/>
    <w:uiPriority w:val="98"/>
    <w:semiHidden/>
    <w:rsid w:val="00511905"/>
    <w:rPr>
      <w:rFonts w:ascii="Consolas" w:hAnsi="Consolas" w:cs="Consolas"/>
      <w:sz w:val="20"/>
      <w:szCs w:val="20"/>
    </w:rPr>
  </w:style>
  <w:style w:type="paragraph" w:styleId="HTMLPreformatted">
    <w:name w:val="HTML Preformatted"/>
    <w:basedOn w:val="Normal"/>
    <w:link w:val="HTMLPreformattedChar"/>
    <w:uiPriority w:val="98"/>
    <w:semiHidden/>
    <w:rsid w:val="0051190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11905"/>
    <w:rPr>
      <w:rFonts w:ascii="Consolas" w:hAnsi="Consolas" w:cs="Consolas"/>
      <w:sz w:val="20"/>
      <w:szCs w:val="20"/>
      <w:lang w:val="en-GB"/>
    </w:rPr>
  </w:style>
  <w:style w:type="character" w:styleId="HTMLSample">
    <w:name w:val="HTML Sample"/>
    <w:basedOn w:val="DefaultParagraphFont"/>
    <w:uiPriority w:val="98"/>
    <w:semiHidden/>
    <w:rsid w:val="00511905"/>
    <w:rPr>
      <w:rFonts w:ascii="Consolas" w:hAnsi="Consolas" w:cs="Consolas"/>
      <w:sz w:val="24"/>
      <w:szCs w:val="24"/>
    </w:rPr>
  </w:style>
  <w:style w:type="character" w:styleId="HTMLTypewriter">
    <w:name w:val="HTML Typewriter"/>
    <w:basedOn w:val="DefaultParagraphFont"/>
    <w:uiPriority w:val="98"/>
    <w:semiHidden/>
    <w:rsid w:val="00511905"/>
    <w:rPr>
      <w:rFonts w:ascii="Consolas" w:hAnsi="Consolas" w:cs="Consolas"/>
      <w:sz w:val="20"/>
      <w:szCs w:val="20"/>
    </w:rPr>
  </w:style>
  <w:style w:type="character" w:styleId="HTMLVariable">
    <w:name w:val="HTML Variable"/>
    <w:basedOn w:val="DefaultParagraphFont"/>
    <w:uiPriority w:val="98"/>
    <w:semiHidden/>
    <w:rsid w:val="00511905"/>
    <w:rPr>
      <w:i/>
      <w:iCs/>
    </w:rPr>
  </w:style>
  <w:style w:type="paragraph" w:styleId="Index1">
    <w:name w:val="index 1"/>
    <w:basedOn w:val="Normal"/>
    <w:next w:val="Normal"/>
    <w:autoRedefine/>
    <w:uiPriority w:val="98"/>
    <w:semiHidden/>
    <w:rsid w:val="00511905"/>
    <w:pPr>
      <w:ind w:left="240" w:hanging="240"/>
    </w:pPr>
  </w:style>
  <w:style w:type="paragraph" w:styleId="Index2">
    <w:name w:val="index 2"/>
    <w:basedOn w:val="Normal"/>
    <w:next w:val="Normal"/>
    <w:autoRedefine/>
    <w:uiPriority w:val="98"/>
    <w:semiHidden/>
    <w:rsid w:val="00511905"/>
    <w:pPr>
      <w:ind w:left="480" w:hanging="240"/>
    </w:pPr>
  </w:style>
  <w:style w:type="paragraph" w:styleId="Index3">
    <w:name w:val="index 3"/>
    <w:basedOn w:val="Normal"/>
    <w:next w:val="Normal"/>
    <w:autoRedefine/>
    <w:uiPriority w:val="98"/>
    <w:semiHidden/>
    <w:rsid w:val="00511905"/>
    <w:pPr>
      <w:ind w:left="720" w:hanging="240"/>
    </w:pPr>
  </w:style>
  <w:style w:type="paragraph" w:styleId="Index4">
    <w:name w:val="index 4"/>
    <w:basedOn w:val="Normal"/>
    <w:next w:val="Normal"/>
    <w:autoRedefine/>
    <w:uiPriority w:val="98"/>
    <w:semiHidden/>
    <w:rsid w:val="00511905"/>
    <w:pPr>
      <w:ind w:left="960" w:hanging="240"/>
    </w:pPr>
  </w:style>
  <w:style w:type="paragraph" w:styleId="Index5">
    <w:name w:val="index 5"/>
    <w:basedOn w:val="Normal"/>
    <w:next w:val="Normal"/>
    <w:autoRedefine/>
    <w:uiPriority w:val="98"/>
    <w:semiHidden/>
    <w:rsid w:val="00511905"/>
    <w:pPr>
      <w:ind w:left="1200" w:hanging="240"/>
    </w:pPr>
  </w:style>
  <w:style w:type="paragraph" w:styleId="Index6">
    <w:name w:val="index 6"/>
    <w:basedOn w:val="Normal"/>
    <w:next w:val="Normal"/>
    <w:autoRedefine/>
    <w:uiPriority w:val="98"/>
    <w:semiHidden/>
    <w:rsid w:val="00511905"/>
    <w:pPr>
      <w:ind w:left="1440" w:hanging="240"/>
    </w:pPr>
  </w:style>
  <w:style w:type="paragraph" w:styleId="Index7">
    <w:name w:val="index 7"/>
    <w:basedOn w:val="Normal"/>
    <w:next w:val="Normal"/>
    <w:autoRedefine/>
    <w:uiPriority w:val="98"/>
    <w:semiHidden/>
    <w:rsid w:val="00511905"/>
    <w:pPr>
      <w:ind w:left="1680" w:hanging="240"/>
    </w:pPr>
  </w:style>
  <w:style w:type="paragraph" w:styleId="Index8">
    <w:name w:val="index 8"/>
    <w:basedOn w:val="Normal"/>
    <w:next w:val="Normal"/>
    <w:autoRedefine/>
    <w:uiPriority w:val="98"/>
    <w:semiHidden/>
    <w:rsid w:val="00511905"/>
    <w:pPr>
      <w:ind w:left="1920" w:hanging="240"/>
    </w:pPr>
  </w:style>
  <w:style w:type="paragraph" w:styleId="Index9">
    <w:name w:val="index 9"/>
    <w:basedOn w:val="Normal"/>
    <w:next w:val="Normal"/>
    <w:autoRedefine/>
    <w:uiPriority w:val="98"/>
    <w:semiHidden/>
    <w:rsid w:val="00511905"/>
    <w:pPr>
      <w:ind w:left="2160" w:hanging="240"/>
    </w:pPr>
  </w:style>
  <w:style w:type="paragraph" w:styleId="IndexHeading">
    <w:name w:val="index heading"/>
    <w:basedOn w:val="Normal"/>
    <w:next w:val="Index1"/>
    <w:uiPriority w:val="98"/>
    <w:semiHidden/>
    <w:rsid w:val="00511905"/>
    <w:rPr>
      <w:rFonts w:asciiTheme="majorHAnsi" w:eastAsiaTheme="majorEastAsia" w:hAnsiTheme="majorHAnsi" w:cstheme="majorBidi"/>
      <w:b/>
      <w:bCs/>
    </w:rPr>
  </w:style>
  <w:style w:type="table" w:styleId="LightGrid">
    <w:name w:val="Light Grid"/>
    <w:basedOn w:val="TableNormal"/>
    <w:uiPriority w:val="62"/>
    <w:semiHidden/>
    <w:rsid w:val="005119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19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19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190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19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19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19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19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19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19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190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19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19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19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190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190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190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190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190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190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190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11905"/>
  </w:style>
  <w:style w:type="paragraph" w:styleId="List">
    <w:name w:val="List"/>
    <w:basedOn w:val="Normal"/>
    <w:uiPriority w:val="98"/>
    <w:semiHidden/>
    <w:rsid w:val="00511905"/>
    <w:pPr>
      <w:ind w:left="283" w:hanging="283"/>
      <w:contextualSpacing/>
    </w:pPr>
  </w:style>
  <w:style w:type="paragraph" w:styleId="List20">
    <w:name w:val="List 2"/>
    <w:basedOn w:val="Normal"/>
    <w:uiPriority w:val="98"/>
    <w:semiHidden/>
    <w:rsid w:val="00511905"/>
    <w:pPr>
      <w:ind w:left="566" w:hanging="283"/>
      <w:contextualSpacing/>
    </w:pPr>
  </w:style>
  <w:style w:type="paragraph" w:styleId="List30">
    <w:name w:val="List 3"/>
    <w:basedOn w:val="Normal"/>
    <w:uiPriority w:val="98"/>
    <w:semiHidden/>
    <w:rsid w:val="00511905"/>
    <w:pPr>
      <w:ind w:left="849" w:hanging="283"/>
      <w:contextualSpacing/>
    </w:pPr>
  </w:style>
  <w:style w:type="paragraph" w:styleId="List4">
    <w:name w:val="List 4"/>
    <w:basedOn w:val="Normal"/>
    <w:uiPriority w:val="98"/>
    <w:semiHidden/>
    <w:rsid w:val="00511905"/>
    <w:pPr>
      <w:ind w:left="1132" w:hanging="283"/>
      <w:contextualSpacing/>
    </w:pPr>
  </w:style>
  <w:style w:type="paragraph" w:styleId="List5">
    <w:name w:val="List 5"/>
    <w:basedOn w:val="Normal"/>
    <w:uiPriority w:val="98"/>
    <w:semiHidden/>
    <w:rsid w:val="00511905"/>
    <w:pPr>
      <w:ind w:left="1415" w:hanging="283"/>
      <w:contextualSpacing/>
    </w:pPr>
  </w:style>
  <w:style w:type="paragraph" w:styleId="ListBullet2">
    <w:name w:val="List Bullet 2"/>
    <w:basedOn w:val="Normal"/>
    <w:uiPriority w:val="98"/>
    <w:semiHidden/>
    <w:rsid w:val="00511905"/>
    <w:pPr>
      <w:numPr>
        <w:numId w:val="8"/>
      </w:numPr>
      <w:contextualSpacing/>
    </w:pPr>
  </w:style>
  <w:style w:type="paragraph" w:styleId="ListBullet4">
    <w:name w:val="List Bullet 4"/>
    <w:basedOn w:val="Normal"/>
    <w:uiPriority w:val="98"/>
    <w:semiHidden/>
    <w:rsid w:val="00511905"/>
    <w:pPr>
      <w:numPr>
        <w:numId w:val="10"/>
      </w:numPr>
      <w:contextualSpacing/>
    </w:pPr>
  </w:style>
  <w:style w:type="paragraph" w:styleId="ListBullet5">
    <w:name w:val="List Bullet 5"/>
    <w:basedOn w:val="Normal"/>
    <w:uiPriority w:val="98"/>
    <w:semiHidden/>
    <w:rsid w:val="00511905"/>
    <w:pPr>
      <w:numPr>
        <w:numId w:val="11"/>
      </w:numPr>
      <w:contextualSpacing/>
    </w:pPr>
  </w:style>
  <w:style w:type="paragraph" w:styleId="ListContinue">
    <w:name w:val="List Continue"/>
    <w:basedOn w:val="Normal"/>
    <w:uiPriority w:val="98"/>
    <w:semiHidden/>
    <w:rsid w:val="00511905"/>
    <w:pPr>
      <w:spacing w:after="120"/>
      <w:ind w:left="283"/>
      <w:contextualSpacing/>
    </w:pPr>
  </w:style>
  <w:style w:type="paragraph" w:styleId="ListContinue2">
    <w:name w:val="List Continue 2"/>
    <w:basedOn w:val="Normal"/>
    <w:uiPriority w:val="98"/>
    <w:semiHidden/>
    <w:rsid w:val="00511905"/>
    <w:pPr>
      <w:spacing w:after="120"/>
      <w:ind w:left="566"/>
      <w:contextualSpacing/>
    </w:pPr>
  </w:style>
  <w:style w:type="paragraph" w:styleId="ListContinue3">
    <w:name w:val="List Continue 3"/>
    <w:basedOn w:val="Normal"/>
    <w:uiPriority w:val="98"/>
    <w:semiHidden/>
    <w:rsid w:val="00511905"/>
    <w:pPr>
      <w:spacing w:after="120"/>
      <w:ind w:left="849"/>
      <w:contextualSpacing/>
    </w:pPr>
  </w:style>
  <w:style w:type="paragraph" w:styleId="ListContinue4">
    <w:name w:val="List Continue 4"/>
    <w:basedOn w:val="Normal"/>
    <w:uiPriority w:val="98"/>
    <w:semiHidden/>
    <w:rsid w:val="00511905"/>
    <w:pPr>
      <w:spacing w:after="120"/>
      <w:ind w:left="1132"/>
      <w:contextualSpacing/>
    </w:pPr>
  </w:style>
  <w:style w:type="paragraph" w:styleId="ListContinue5">
    <w:name w:val="List Continue 5"/>
    <w:basedOn w:val="Normal"/>
    <w:uiPriority w:val="98"/>
    <w:semiHidden/>
    <w:rsid w:val="00511905"/>
    <w:pPr>
      <w:spacing w:after="120"/>
      <w:ind w:left="1415"/>
      <w:contextualSpacing/>
    </w:pPr>
  </w:style>
  <w:style w:type="paragraph" w:styleId="ListNumber">
    <w:name w:val="List Number"/>
    <w:basedOn w:val="Normal"/>
    <w:uiPriority w:val="98"/>
    <w:semiHidden/>
    <w:rsid w:val="00511905"/>
    <w:pPr>
      <w:numPr>
        <w:numId w:val="12"/>
      </w:numPr>
      <w:tabs>
        <w:tab w:val="num" w:pos="340"/>
        <w:tab w:val="clear" w:pos="360"/>
      </w:tabs>
      <w:ind w:left="340" w:hanging="340"/>
      <w:contextualSpacing/>
    </w:pPr>
  </w:style>
  <w:style w:type="paragraph" w:styleId="ListNumber2">
    <w:name w:val="List Number 2"/>
    <w:basedOn w:val="Normal"/>
    <w:uiPriority w:val="98"/>
    <w:semiHidden/>
    <w:rsid w:val="00511905"/>
    <w:pPr>
      <w:numPr>
        <w:numId w:val="13"/>
      </w:numPr>
      <w:tabs>
        <w:tab w:val="num" w:pos="340"/>
        <w:tab w:val="clear" w:pos="643"/>
      </w:tabs>
      <w:ind w:left="340" w:hanging="340"/>
      <w:contextualSpacing/>
    </w:pPr>
  </w:style>
  <w:style w:type="paragraph" w:styleId="ListNumber3">
    <w:name w:val="List Number 3"/>
    <w:basedOn w:val="Normal"/>
    <w:uiPriority w:val="98"/>
    <w:semiHidden/>
    <w:rsid w:val="00511905"/>
    <w:pPr>
      <w:numPr>
        <w:numId w:val="14"/>
      </w:numPr>
      <w:tabs>
        <w:tab w:val="clear" w:pos="926"/>
      </w:tabs>
      <w:ind w:left="0" w:firstLine="0"/>
      <w:contextualSpacing/>
    </w:pPr>
  </w:style>
  <w:style w:type="paragraph" w:styleId="ListNumber4">
    <w:name w:val="List Number 4"/>
    <w:basedOn w:val="Normal"/>
    <w:uiPriority w:val="98"/>
    <w:semiHidden/>
    <w:rsid w:val="00511905"/>
    <w:pPr>
      <w:numPr>
        <w:numId w:val="15"/>
      </w:numPr>
      <w:tabs>
        <w:tab w:val="num" w:pos="851"/>
        <w:tab w:val="clear" w:pos="1209"/>
      </w:tabs>
      <w:ind w:left="851" w:hanging="284"/>
      <w:contextualSpacing/>
    </w:pPr>
  </w:style>
  <w:style w:type="paragraph" w:styleId="ListNumber5">
    <w:name w:val="List Number 5"/>
    <w:basedOn w:val="Normal"/>
    <w:uiPriority w:val="98"/>
    <w:semiHidden/>
    <w:rsid w:val="00511905"/>
    <w:pPr>
      <w:numPr>
        <w:numId w:val="16"/>
      </w:numPr>
      <w:tabs>
        <w:tab w:val="num" w:pos="851"/>
        <w:tab w:val="clear" w:pos="1492"/>
      </w:tabs>
      <w:ind w:left="851" w:hanging="284"/>
      <w:contextualSpacing/>
    </w:pPr>
  </w:style>
  <w:style w:type="paragraph" w:styleId="Macro">
    <w:name w:val="macro"/>
    <w:link w:val="MacroTextChar"/>
    <w:uiPriority w:val="98"/>
    <w:semiHidden/>
    <w:rsid w:val="0051190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11905"/>
    <w:rPr>
      <w:rFonts w:ascii="Consolas" w:hAnsi="Consolas" w:eastAsiaTheme="minorEastAsia" w:cs="Consolas"/>
      <w:sz w:val="20"/>
      <w:szCs w:val="20"/>
    </w:rPr>
  </w:style>
  <w:style w:type="table" w:styleId="MediumGrid1">
    <w:name w:val="Medium Grid 1"/>
    <w:basedOn w:val="TableNormal"/>
    <w:uiPriority w:val="67"/>
    <w:semiHidden/>
    <w:rsid w:val="005119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19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19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190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19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19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19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19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190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190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190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190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190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190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190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19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19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19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19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190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19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19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19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19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1190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1190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1905"/>
    <w:rPr>
      <w:rFonts w:ascii="Times New Roman" w:hAnsi="Times New Roman" w:cs="Times New Roman"/>
    </w:rPr>
  </w:style>
  <w:style w:type="paragraph" w:styleId="NormalIndent">
    <w:name w:val="Normal Indent"/>
    <w:basedOn w:val="Normal"/>
    <w:uiPriority w:val="98"/>
    <w:semiHidden/>
    <w:rsid w:val="00511905"/>
    <w:pPr>
      <w:ind w:left="720"/>
    </w:pPr>
  </w:style>
  <w:style w:type="paragraph" w:styleId="NoteHeading">
    <w:name w:val="Note Heading"/>
    <w:basedOn w:val="Normal"/>
    <w:next w:val="Normal"/>
    <w:link w:val="NoteHeadingChar"/>
    <w:uiPriority w:val="98"/>
    <w:semiHidden/>
    <w:rsid w:val="00511905"/>
  </w:style>
  <w:style w:type="character" w:customStyle="1" w:styleId="NoteHeadingChar">
    <w:name w:val="Note Heading Char"/>
    <w:basedOn w:val="DefaultParagraphFont"/>
    <w:link w:val="NoteHeading"/>
    <w:uiPriority w:val="98"/>
    <w:semiHidden/>
    <w:rsid w:val="00511905"/>
    <w:rPr>
      <w:sz w:val="24"/>
      <w:szCs w:val="24"/>
      <w:lang w:val="en-GB"/>
    </w:rPr>
  </w:style>
  <w:style w:type="character" w:styleId="PlaceholderText">
    <w:name w:val="Placeholder Text"/>
    <w:basedOn w:val="DefaultParagraphFont"/>
    <w:uiPriority w:val="98"/>
    <w:semiHidden/>
    <w:rsid w:val="0051190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11905"/>
    <w:rPr>
      <w:rFonts w:ascii="Consolas" w:hAnsi="Consolas" w:cs="Consolas"/>
      <w:sz w:val="21"/>
      <w:szCs w:val="21"/>
    </w:rPr>
  </w:style>
  <w:style w:type="character" w:customStyle="1" w:styleId="PlainTextChar">
    <w:name w:val="Plain Text Char"/>
    <w:basedOn w:val="DefaultParagraphFont"/>
    <w:link w:val="PlainText"/>
    <w:uiPriority w:val="98"/>
    <w:semiHidden/>
    <w:rsid w:val="00511905"/>
    <w:rPr>
      <w:rFonts w:ascii="Consolas" w:hAnsi="Consolas" w:cs="Consolas"/>
      <w:sz w:val="21"/>
      <w:szCs w:val="21"/>
      <w:lang w:val="en-GB"/>
    </w:rPr>
  </w:style>
  <w:style w:type="paragraph" w:styleId="Salutation">
    <w:name w:val="Salutation"/>
    <w:basedOn w:val="Normal"/>
    <w:next w:val="Normal"/>
    <w:link w:val="SalutationChar"/>
    <w:uiPriority w:val="98"/>
    <w:semiHidden/>
    <w:rsid w:val="00511905"/>
  </w:style>
  <w:style w:type="character" w:customStyle="1" w:styleId="SalutationChar">
    <w:name w:val="Salutation Char"/>
    <w:basedOn w:val="DefaultParagraphFont"/>
    <w:link w:val="Salutation"/>
    <w:uiPriority w:val="98"/>
    <w:semiHidden/>
    <w:rsid w:val="00511905"/>
    <w:rPr>
      <w:sz w:val="24"/>
      <w:szCs w:val="24"/>
      <w:lang w:val="en-GB"/>
    </w:rPr>
  </w:style>
  <w:style w:type="paragraph" w:styleId="Signature0">
    <w:name w:val="Signature"/>
    <w:basedOn w:val="Normal"/>
    <w:link w:val="SignatureChar"/>
    <w:uiPriority w:val="98"/>
    <w:semiHidden/>
    <w:rsid w:val="00511905"/>
    <w:pPr>
      <w:ind w:left="4252"/>
    </w:pPr>
  </w:style>
  <w:style w:type="character" w:customStyle="1" w:styleId="SignatureChar">
    <w:name w:val="Signature Char"/>
    <w:basedOn w:val="DefaultParagraphFont"/>
    <w:link w:val="Signature0"/>
    <w:uiPriority w:val="98"/>
    <w:semiHidden/>
    <w:rsid w:val="00511905"/>
    <w:rPr>
      <w:sz w:val="24"/>
      <w:szCs w:val="24"/>
      <w:lang w:val="en-GB"/>
    </w:rPr>
  </w:style>
  <w:style w:type="table" w:styleId="Table3Deffects1">
    <w:name w:val="Table 3D effects 1"/>
    <w:basedOn w:val="TableNormal"/>
    <w:uiPriority w:val="99"/>
    <w:semiHidden/>
    <w:unhideWhenUsed/>
    <w:rsid w:val="0051190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190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190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190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190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190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190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190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190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190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190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190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190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190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190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190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190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19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190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190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190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19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190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190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190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190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190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190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19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19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19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190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19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11905"/>
    <w:pPr>
      <w:ind w:left="240" w:hanging="240"/>
    </w:pPr>
  </w:style>
  <w:style w:type="paragraph" w:styleId="TableofFigures">
    <w:name w:val="table of figures"/>
    <w:basedOn w:val="Normal"/>
    <w:next w:val="Normal"/>
    <w:uiPriority w:val="98"/>
    <w:semiHidden/>
    <w:rsid w:val="00511905"/>
  </w:style>
  <w:style w:type="table" w:styleId="TableProfessional">
    <w:name w:val="Table Professional"/>
    <w:basedOn w:val="TableNormal"/>
    <w:uiPriority w:val="99"/>
    <w:semiHidden/>
    <w:unhideWhenUsed/>
    <w:rsid w:val="005119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190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190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190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190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190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190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190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190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190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1190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1190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11905"/>
    <w:pPr>
      <w:spacing w:after="100"/>
      <w:ind w:left="1680"/>
    </w:pPr>
  </w:style>
  <w:style w:type="paragraph" w:styleId="TOC9">
    <w:name w:val="toc 9"/>
    <w:basedOn w:val="Normal"/>
    <w:next w:val="Normal"/>
    <w:autoRedefine/>
    <w:uiPriority w:val="98"/>
    <w:semiHidden/>
    <w:rsid w:val="0051190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1190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1190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1190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1190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11905"/>
    <w:pPr>
      <w:numPr>
        <w:numId w:val="20"/>
      </w:numPr>
      <w:tabs>
        <w:tab w:val="clear" w:pos="851"/>
      </w:tabs>
      <w:spacing w:before="60" w:after="60"/>
      <w:ind w:left="0" w:firstLine="0"/>
    </w:pPr>
  </w:style>
  <w:style w:type="paragraph" w:customStyle="1" w:styleId="ECHRBullet2">
    <w:name w:val="ECHR_Bullet_2"/>
    <w:aliases w:val="_Bul_2"/>
    <w:basedOn w:val="ECHRBullet1"/>
    <w:uiPriority w:val="23"/>
    <w:semiHidden/>
    <w:rsid w:val="00511905"/>
    <w:pPr>
      <w:numPr>
        <w:ilvl w:val="1"/>
      </w:numPr>
      <w:tabs>
        <w:tab w:val="clear" w:pos="1134"/>
      </w:tabs>
      <w:ind w:left="0" w:firstLine="0"/>
    </w:pPr>
  </w:style>
  <w:style w:type="paragraph" w:customStyle="1" w:styleId="ECHRBullet3">
    <w:name w:val="ECHR_Bullet_3"/>
    <w:aliases w:val="_Bul_3"/>
    <w:basedOn w:val="ECHRBullet2"/>
    <w:uiPriority w:val="23"/>
    <w:semiHidden/>
    <w:rsid w:val="00511905"/>
    <w:pPr>
      <w:numPr>
        <w:ilvl w:val="2"/>
      </w:numPr>
      <w:tabs>
        <w:tab w:val="clear" w:pos="1418"/>
      </w:tabs>
      <w:ind w:left="720" w:hanging="432"/>
    </w:pPr>
  </w:style>
  <w:style w:type="paragraph" w:customStyle="1" w:styleId="ECHRBullet4">
    <w:name w:val="ECHR_Bullet_4"/>
    <w:aliases w:val="_Bul_4"/>
    <w:basedOn w:val="ECHRBullet3"/>
    <w:uiPriority w:val="23"/>
    <w:semiHidden/>
    <w:rsid w:val="00511905"/>
    <w:pPr>
      <w:numPr>
        <w:ilvl w:val="3"/>
      </w:numPr>
      <w:tabs>
        <w:tab w:val="clear" w:pos="1701"/>
      </w:tabs>
      <w:ind w:left="864" w:hanging="144"/>
    </w:pPr>
  </w:style>
  <w:style w:type="paragraph" w:customStyle="1" w:styleId="ECHRConfidential">
    <w:name w:val="ECHR_Confidential"/>
    <w:aliases w:val="_Confidential"/>
    <w:basedOn w:val="Normal"/>
    <w:next w:val="Normal"/>
    <w:uiPriority w:val="42"/>
    <w:semiHidden/>
    <w:qFormat/>
    <w:rsid w:val="00511905"/>
    <w:pPr>
      <w:jc w:val="right"/>
    </w:pPr>
    <w:rPr>
      <w:color w:val="C00000"/>
      <w:sz w:val="20"/>
    </w:rPr>
  </w:style>
  <w:style w:type="paragraph" w:customStyle="1" w:styleId="ECHRDecisionBody">
    <w:name w:val="ECHR_Decision_Body"/>
    <w:aliases w:val="_Decision_Body"/>
    <w:basedOn w:val="NormalJustified"/>
    <w:uiPriority w:val="54"/>
    <w:semiHidden/>
    <w:rsid w:val="0051190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1190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1190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1190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11905"/>
    <w:pPr>
      <w:jc w:val="right"/>
    </w:pPr>
    <w:rPr>
      <w:sz w:val="20"/>
    </w:rPr>
  </w:style>
  <w:style w:type="paragraph" w:customStyle="1" w:styleId="ECHRHeaderRefIt">
    <w:name w:val="ECHR_Header_Ref_It"/>
    <w:aliases w:val="_Ref_Ital"/>
    <w:basedOn w:val="Normal"/>
    <w:next w:val="ECHRHeaderDate"/>
    <w:uiPriority w:val="43"/>
    <w:qFormat/>
    <w:rsid w:val="00511905"/>
    <w:pPr>
      <w:jc w:val="right"/>
    </w:pPr>
    <w:rPr>
      <w:i/>
      <w:sz w:val="20"/>
    </w:rPr>
  </w:style>
  <w:style w:type="paragraph" w:customStyle="1" w:styleId="ECHRHeading9">
    <w:name w:val="ECHR_Heading_9"/>
    <w:aliases w:val="_Head_9"/>
    <w:basedOn w:val="Heading9"/>
    <w:uiPriority w:val="17"/>
    <w:semiHidden/>
    <w:rsid w:val="00511905"/>
    <w:pPr>
      <w:keepNext/>
      <w:keepLines/>
      <w:numPr>
        <w:ilvl w:val="8"/>
        <w:numId w:val="22"/>
      </w:numPr>
      <w:spacing w:before="100" w:beforeAutospacing="1"/>
      <w:ind w:left="4320" w:hanging="1440"/>
      <w:contextualSpacing/>
      <w:jc w:val="both"/>
    </w:pPr>
    <w:rPr>
      <w:i w:val="0"/>
      <w:sz w:val="18"/>
    </w:rPr>
  </w:style>
  <w:style w:type="paragraph" w:customStyle="1" w:styleId="ECHRLine">
    <w:name w:val="ECHR_Line"/>
    <w:aliases w:val="_Line"/>
    <w:basedOn w:val="NormalJustified"/>
    <w:next w:val="Normal"/>
    <w:uiPriority w:val="46"/>
    <w:semiHidden/>
    <w:rsid w:val="0051190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11905"/>
    <w:pPr>
      <w:numPr>
        <w:numId w:val="21"/>
      </w:numPr>
      <w:tabs>
        <w:tab w:val="clear" w:pos="964"/>
      </w:tabs>
      <w:spacing w:before="60" w:after="60"/>
      <w:ind w:left="360" w:hanging="360"/>
    </w:pPr>
  </w:style>
  <w:style w:type="paragraph" w:customStyle="1" w:styleId="ECHRNumberedList2">
    <w:name w:val="ECHR_Numbered_List_2"/>
    <w:aliases w:val="_Num_2"/>
    <w:basedOn w:val="ECHRNumberedList1"/>
    <w:uiPriority w:val="23"/>
    <w:semiHidden/>
    <w:rsid w:val="00511905"/>
    <w:pPr>
      <w:numPr>
        <w:ilvl w:val="1"/>
      </w:numPr>
      <w:tabs>
        <w:tab w:val="clear" w:pos="1361"/>
      </w:tabs>
      <w:ind w:left="720" w:hanging="360"/>
    </w:pPr>
  </w:style>
  <w:style w:type="paragraph" w:customStyle="1" w:styleId="ECHRNumberedList3">
    <w:name w:val="ECHR_Numbered_List_3"/>
    <w:aliases w:val="_Num_3"/>
    <w:basedOn w:val="ECHRNumberedList2"/>
    <w:uiPriority w:val="23"/>
    <w:semiHidden/>
    <w:rsid w:val="00511905"/>
    <w:pPr>
      <w:numPr>
        <w:ilvl w:val="2"/>
      </w:numPr>
      <w:tabs>
        <w:tab w:val="clear" w:pos="1758"/>
      </w:tabs>
      <w:ind w:left="1080" w:hanging="360"/>
    </w:pPr>
  </w:style>
  <w:style w:type="paragraph" w:customStyle="1" w:styleId="ECHRParaHanging">
    <w:name w:val="ECHR_Para_Hanging"/>
    <w:aliases w:val="_Hanging"/>
    <w:basedOn w:val="NormalJustified"/>
    <w:uiPriority w:val="8"/>
    <w:semiHidden/>
    <w:qFormat/>
    <w:rsid w:val="00511905"/>
    <w:pPr>
      <w:ind w:left="567" w:hanging="567"/>
    </w:pPr>
  </w:style>
  <w:style w:type="paragraph" w:customStyle="1" w:styleId="ECHRParaIndent">
    <w:name w:val="ECHR_Para_Indent"/>
    <w:aliases w:val="_Indent"/>
    <w:basedOn w:val="NormalJustified"/>
    <w:uiPriority w:val="7"/>
    <w:semiHidden/>
    <w:qFormat/>
    <w:rsid w:val="00511905"/>
    <w:pPr>
      <w:spacing w:before="120" w:after="120"/>
      <w:ind w:left="284"/>
    </w:pPr>
  </w:style>
  <w:style w:type="character" w:customStyle="1" w:styleId="ECHRRed">
    <w:name w:val="ECHR_Red"/>
    <w:aliases w:val="_Red"/>
    <w:basedOn w:val="DefaultParagraphFont"/>
    <w:uiPriority w:val="15"/>
    <w:semiHidden/>
    <w:qFormat/>
    <w:rsid w:val="00511905"/>
    <w:rPr>
      <w:color w:val="C00000" w:themeColor="accent2"/>
    </w:rPr>
  </w:style>
  <w:style w:type="paragraph" w:customStyle="1" w:styleId="DecList">
    <w:name w:val="Dec_List"/>
    <w:aliases w:val="_List"/>
    <w:basedOn w:val="JuList"/>
    <w:uiPriority w:val="22"/>
    <w:rsid w:val="00511905"/>
    <w:pPr>
      <w:numPr>
        <w:numId w:val="0"/>
      </w:numPr>
      <w:ind w:left="284"/>
    </w:pPr>
  </w:style>
  <w:style w:type="table" w:customStyle="1" w:styleId="ECHRTable2">
    <w:name w:val="ECHR_Table_2"/>
    <w:basedOn w:val="TableNormal"/>
    <w:uiPriority w:val="99"/>
    <w:rsid w:val="0051190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1190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1190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1190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1190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1190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1190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1190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11905"/>
    <w:pPr>
      <w:outlineLvl w:val="0"/>
    </w:pPr>
  </w:style>
  <w:style w:type="paragraph" w:customStyle="1" w:styleId="ECHRTitleTOC1">
    <w:name w:val="ECHR_Title_TOC_1"/>
    <w:aliases w:val="_Title_L_TOC"/>
    <w:basedOn w:val="ECHRTitle1"/>
    <w:next w:val="Normal"/>
    <w:uiPriority w:val="27"/>
    <w:semiHidden/>
    <w:qFormat/>
    <w:rsid w:val="00511905"/>
    <w:pPr>
      <w:outlineLvl w:val="0"/>
    </w:pPr>
  </w:style>
  <w:style w:type="paragraph" w:customStyle="1" w:styleId="ECHRPlaceholder">
    <w:name w:val="ECHR_Placeholder"/>
    <w:aliases w:val="_Placeholder"/>
    <w:basedOn w:val="JuSigned"/>
    <w:uiPriority w:val="31"/>
    <w:rsid w:val="00511905"/>
    <w:rPr>
      <w:color w:val="FFFFFF"/>
    </w:rPr>
  </w:style>
  <w:style w:type="paragraph" w:customStyle="1" w:styleId="ECHRSpacer">
    <w:name w:val="ECHR_Spacer"/>
    <w:aliases w:val="_Spacer"/>
    <w:basedOn w:val="Normal"/>
    <w:uiPriority w:val="45"/>
    <w:semiHidden/>
    <w:rsid w:val="00511905"/>
    <w:rPr>
      <w:sz w:val="4"/>
    </w:rPr>
  </w:style>
  <w:style w:type="table" w:customStyle="1" w:styleId="ECHRTableGrey">
    <w:name w:val="ECHR_Table_Grey"/>
    <w:basedOn w:val="TableNormal"/>
    <w:uiPriority w:val="99"/>
    <w:rsid w:val="0051190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11905"/>
    <w:rPr>
      <w:color w:val="605E5C"/>
      <w:shd w:val="clear" w:color="auto" w:fill="E1DFDD"/>
    </w:rPr>
  </w:style>
  <w:style w:type="character" w:customStyle="1" w:styleId="JuParaChar">
    <w:name w:val="Ju_Para Char"/>
    <w:aliases w:val="_Para Char"/>
    <w:link w:val="JuPara"/>
    <w:uiPriority w:val="4"/>
    <w:rsid w:val="00CC0818"/>
    <w:rPr>
      <w:sz w:val="24"/>
      <w:szCs w:val="24"/>
      <w:lang w:val="en-GB"/>
    </w:rPr>
  </w:style>
  <w:style w:type="table" w:styleId="GridTable1Light">
    <w:name w:val="Grid Table 1 Light"/>
    <w:basedOn w:val="TableNormal"/>
    <w:uiPriority w:val="46"/>
    <w:rsid w:val="00CC081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C081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CC081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C081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C081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C081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C081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C081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C081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C081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CC081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CC081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CC081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CC081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C081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C08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C081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CC081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CC081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CC081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CC081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CC081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CC08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C081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CC081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CC081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CC081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CC081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C081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C081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C081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C081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CC081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CC081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CC081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CC081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C081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C081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C081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CC081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CC081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CC081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CC081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CC081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C0818"/>
    <w:rPr>
      <w:color w:val="2B579A"/>
      <w:shd w:val="clear" w:color="auto" w:fill="E1DFDD"/>
    </w:rPr>
  </w:style>
  <w:style w:type="table" w:styleId="ListTable1Light">
    <w:name w:val="List Table 1 Light"/>
    <w:basedOn w:val="TableNormal"/>
    <w:uiPriority w:val="46"/>
    <w:rsid w:val="00CC081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C081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CC081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CC081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CC081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CC081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C081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C081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C081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CC081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CC081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CC081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CC081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C081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C081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C081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CC081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CC081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CC081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CC081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CC081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CC08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C081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CC081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CC081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CC081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CC081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C081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C081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C081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C081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C081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C081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C081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C081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C081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C081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CC081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CC081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CC081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CC081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C081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C081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C081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C081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C081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C081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C081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C081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C0818"/>
    <w:rPr>
      <w:color w:val="2B579A"/>
      <w:shd w:val="clear" w:color="auto" w:fill="E1DFDD"/>
    </w:rPr>
  </w:style>
  <w:style w:type="table" w:styleId="PlainTable1">
    <w:name w:val="Plain Table 1"/>
    <w:basedOn w:val="TableNormal"/>
    <w:uiPriority w:val="41"/>
    <w:rsid w:val="00CC081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CC08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C08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C081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CC081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C0818"/>
    <w:rPr>
      <w:u w:val="dotted"/>
    </w:rPr>
  </w:style>
  <w:style w:type="character" w:styleId="SmartLink">
    <w:name w:val="Smart Link"/>
    <w:basedOn w:val="DefaultParagraphFont"/>
    <w:uiPriority w:val="99"/>
    <w:semiHidden/>
    <w:unhideWhenUsed/>
    <w:rsid w:val="00CC0818"/>
    <w:rPr>
      <w:color w:val="0000FF"/>
      <w:u w:val="single"/>
      <w:shd w:val="clear" w:color="auto" w:fill="F3F2F1"/>
    </w:rPr>
  </w:style>
  <w:style w:type="table" w:styleId="GridTableLight">
    <w:name w:val="Grid Table Light"/>
    <w:basedOn w:val="TableNormal"/>
    <w:uiPriority w:val="40"/>
    <w:rsid w:val="00CC081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CC0818"/>
    <w:rPr>
      <w:sz w:val="24"/>
      <w:szCs w:val="24"/>
      <w:lang w:val="en-GB"/>
    </w:rPr>
  </w:style>
  <w:style w:type="paragraph" w:customStyle="1" w:styleId="jupara0">
    <w:name w:val="jupara"/>
    <w:basedOn w:val="Normal"/>
    <w:uiPriority w:val="99"/>
    <w:rsid w:val="00677107"/>
    <w:pPr>
      <w:ind w:firstLine="284"/>
      <w:jc w:val="both"/>
    </w:pPr>
    <w:rPr>
      <w:rFonts w:ascii="Times New Roman" w:eastAsia="Times New Roman" w:hAnsi="Times New Roman" w:cs="Times New Roman"/>
      <w:lang w:eastAsia="en-GB"/>
    </w:rPr>
  </w:style>
  <w:style w:type="paragraph" w:customStyle="1" w:styleId="jucase0">
    <w:name w:val="jucase"/>
    <w:basedOn w:val="Normal"/>
    <w:uiPriority w:val="99"/>
    <w:rsid w:val="00677107"/>
    <w:pPr>
      <w:ind w:firstLine="284"/>
      <w:jc w:val="both"/>
    </w:pPr>
    <w:rPr>
      <w:rFonts w:ascii="Times New Roman" w:eastAsia="Times New Roman" w:hAnsi="Times New Roman" w:cs="Times New Roman"/>
      <w:b/>
      <w:bCs/>
      <w:lang w:eastAsia="en-GB"/>
    </w:rPr>
  </w:style>
  <w:style w:type="paragraph" w:customStyle="1" w:styleId="msonormal">
    <w:name w:val="msonormal"/>
    <w:basedOn w:val="Normal"/>
    <w:uiPriority w:val="99"/>
    <w:semiHidden/>
    <w:rsid w:val="000C09CD"/>
    <w:rPr>
      <w:rFonts w:ascii="Times New Roman" w:hAnsi="Times New Roman" w:cs="Times New Roman"/>
    </w:rPr>
  </w:style>
  <w:style w:type="paragraph" w:customStyle="1" w:styleId="title-bold">
    <w:name w:val="title-bold"/>
    <w:basedOn w:val="Normal"/>
    <w:uiPriority w:val="99"/>
    <w:semiHidden/>
    <w:rsid w:val="000C09CD"/>
    <w:pPr>
      <w:spacing w:before="100" w:beforeAutospacing="1" w:after="100" w:afterAutospacing="1"/>
    </w:pPr>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11365</Words>
  <Characters>62513</Characters>
  <Application>Microsoft Office Word</Application>
  <DocSecurity>0</DocSecurity>
  <Lines>520</Lines>
  <Paragraphs>147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2024-07-16T13:23:00Z</dcterms:created>
  <dcterms:modified xsi:type="dcterms:W3CDTF">2024-10-24T09:20:00Z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1439239</vt:lpwstr>
  </property>
  <property fmtid="{D5CDD505-2E9C-101B-9397-08002B2CF9AE}" pid="3" name="cstLanguage">
    <vt:i4>2057</vt:i4>
  </property>
  <property fmtid="{D5CDD505-2E9C-101B-9397-08002B2CF9AE}" pid="4" name="RegisteredNo">
    <vt:lpwstr>11214/19</vt:lpwstr>
  </property>
</Properties>
</file>