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57B74" w:rsidR="008D51B6" w:rsidP="00B57B74" w14:paraId="467147CC" w14:textId="77777777">
      <w:pPr>
        <w:jc w:val="center"/>
      </w:pPr>
    </w:p>
    <w:p w:rsidR="000C5149" w:rsidP="00B57B74" w14:paraId="57F23A64" w14:textId="33FCE7A0">
      <w:pPr>
        <w:jc w:val="center"/>
      </w:pPr>
    </w:p>
    <w:p w:rsidRPr="00B57B74" w:rsidR="00B57B74" w:rsidP="00B57B74" w14:paraId="084EB35B" w14:textId="77777777">
      <w:pPr>
        <w:jc w:val="center"/>
      </w:pPr>
    </w:p>
    <w:p w:rsidRPr="00B57B74" w:rsidR="00787E12" w:rsidP="00B57B74" w14:paraId="02B705FF" w14:textId="1B330F06">
      <w:pPr>
        <w:pStyle w:val="DecHCase"/>
      </w:pPr>
      <w:r w:rsidRPr="00B57B74">
        <w:t>FIFTH SECTION</w:t>
      </w:r>
    </w:p>
    <w:p w:rsidRPr="00B57B74" w:rsidR="006D324D" w:rsidP="00B57B74" w14:paraId="426DAED3" w14:textId="5545EBA9">
      <w:pPr>
        <w:pStyle w:val="JuTitle"/>
        <w:spacing w:before="1440"/>
      </w:pPr>
      <w:bookmarkStart w:name="To" w:id="0"/>
      <w:r w:rsidRPr="00B57B74">
        <w:rPr>
          <w:color w:val="000000" w:themeColor="text1"/>
        </w:rPr>
        <w:t xml:space="preserve">CASE OF </w:t>
      </w:r>
      <w:bookmarkEnd w:id="0"/>
      <w:r w:rsidRPr="00B57B74" w:rsidR="00DD1E10">
        <w:t xml:space="preserve">SPESYVTSEV </w:t>
      </w:r>
      <w:r w:rsidRPr="00B57B74" w:rsidR="00885E0C">
        <w:t xml:space="preserve">AND OTHERS </w:t>
      </w:r>
      <w:r w:rsidRPr="00B57B74" w:rsidR="00DD1E10">
        <w:t>v. UKRAINE</w:t>
      </w:r>
    </w:p>
    <w:p w:rsidRPr="00B57B74" w:rsidR="006D324D" w:rsidP="00B57B74" w14:paraId="07A82095" w14:textId="32A6A974">
      <w:pPr>
        <w:pStyle w:val="ECHRCoverTitle4"/>
      </w:pPr>
      <w:r w:rsidRPr="00B57B74">
        <w:t>(</w:t>
      </w:r>
      <w:r w:rsidRPr="00B57B74" w:rsidR="00DD1E10">
        <w:t>Application</w:t>
      </w:r>
      <w:r w:rsidRPr="00B57B74" w:rsidR="000E1F7C">
        <w:t>s</w:t>
      </w:r>
      <w:r w:rsidRPr="00B57B74" w:rsidR="00DD1E10">
        <w:t xml:space="preserve"> no</w:t>
      </w:r>
      <w:r w:rsidRPr="00B57B74" w:rsidR="000E1F7C">
        <w:t>s</w:t>
      </w:r>
      <w:r w:rsidRPr="00B57B74" w:rsidR="00DD1E10">
        <w:t>. 29978/14 and 2 others –</w:t>
      </w:r>
      <w:r w:rsidRPr="00B57B74" w:rsidR="007F0952">
        <w:t xml:space="preserve"> </w:t>
      </w:r>
      <w:r w:rsidRPr="00B57B74" w:rsidR="00DD1E10">
        <w:rPr>
          <w:iCs/>
        </w:rPr>
        <w:t>see appended list</w:t>
      </w:r>
      <w:r w:rsidRPr="00B57B74">
        <w:t>)</w:t>
      </w:r>
    </w:p>
    <w:p w:rsidRPr="00B57B74" w:rsidR="006D324D" w:rsidP="00B57B74" w14:paraId="57F6A235" w14:textId="77777777">
      <w:pPr>
        <w:pStyle w:val="DecHCase"/>
      </w:pPr>
    </w:p>
    <w:p w:rsidRPr="00B57B74" w:rsidR="006D324D" w:rsidP="00B57B74" w14:paraId="2BB9C04B" w14:textId="77777777">
      <w:pPr>
        <w:pStyle w:val="DecHCase"/>
      </w:pPr>
    </w:p>
    <w:p w:rsidRPr="00B57B74" w:rsidR="00787E12" w:rsidP="00B57B74" w14:paraId="1012CC73" w14:textId="77777777">
      <w:pPr>
        <w:pStyle w:val="DecHCase"/>
      </w:pPr>
    </w:p>
    <w:p w:rsidRPr="00B57B74" w:rsidR="00787E12" w:rsidP="00B57B74" w14:paraId="3C3A0B07" w14:textId="77777777">
      <w:pPr>
        <w:pStyle w:val="DecHCase"/>
      </w:pPr>
    </w:p>
    <w:p w:rsidRPr="00B57B74" w:rsidR="00A062B9" w:rsidP="00B57B74" w14:paraId="5962223C" w14:textId="77777777">
      <w:pPr>
        <w:pStyle w:val="DecHCase"/>
      </w:pPr>
    </w:p>
    <w:p w:rsidRPr="00B57B74" w:rsidR="00787E12" w:rsidP="00B57B74" w14:paraId="32FC1FA9" w14:textId="0EEBEFFB">
      <w:pPr>
        <w:pStyle w:val="DecHCase"/>
        <w:rPr>
          <w:i/>
        </w:rPr>
      </w:pPr>
      <w:r w:rsidRPr="00B57B74">
        <w:t>JUDGMENT</w:t>
      </w:r>
      <w:r w:rsidRPr="00B57B74" w:rsidR="00E87427">
        <w:br/>
      </w:r>
    </w:p>
    <w:p w:rsidRPr="00B57B74" w:rsidR="00787E12" w:rsidP="00B57B74" w14:paraId="0D575377" w14:textId="77777777">
      <w:pPr>
        <w:pStyle w:val="DecHCase"/>
      </w:pPr>
      <w:r w:rsidRPr="00B57B74">
        <w:t>STRASBOURG</w:t>
      </w:r>
    </w:p>
    <w:p w:rsidRPr="00B57B74" w:rsidR="00787E12" w:rsidP="00B57B74" w14:paraId="6A29B121" w14:textId="02B91362">
      <w:pPr>
        <w:pStyle w:val="DecHCase"/>
      </w:pPr>
      <w:r w:rsidRPr="00B57B74">
        <w:t>5 October 2023</w:t>
      </w:r>
    </w:p>
    <w:p w:rsidR="00787E12" w:rsidP="00B57B74" w14:paraId="5C7D21F8" w14:textId="6FF1629A">
      <w:pPr>
        <w:jc w:val="center"/>
      </w:pPr>
    </w:p>
    <w:p w:rsidR="00B57B74" w:rsidP="00B57B74" w14:paraId="1A60B14C" w14:textId="0A7E7420">
      <w:pPr>
        <w:jc w:val="center"/>
      </w:pPr>
    </w:p>
    <w:p w:rsidRPr="00B57B74" w:rsidR="00B57B74" w:rsidP="00B57B74" w14:paraId="303995FD" w14:textId="77777777">
      <w:pPr>
        <w:jc w:val="center"/>
      </w:pPr>
    </w:p>
    <w:p w:rsidRPr="00B57B74" w:rsidR="00787E12" w:rsidP="00B57B74" w14:paraId="478CFEE9" w14:textId="77777777">
      <w:pPr>
        <w:rPr>
          <w:sz w:val="22"/>
          <w:szCs w:val="22"/>
        </w:rPr>
      </w:pPr>
      <w:r w:rsidRPr="00B57B74">
        <w:rPr>
          <w:i/>
          <w:sz w:val="22"/>
          <w:szCs w:val="22"/>
        </w:rPr>
        <w:t>This judgment is final but it may be subject to editorial revision.</w:t>
      </w:r>
    </w:p>
    <w:p w:rsidR="00787E12" w:rsidP="00B57B74" w14:paraId="10C36B6D" w14:textId="77777777">
      <w:pPr>
        <w:pStyle w:val="JuCase"/>
      </w:pPr>
    </w:p>
    <w:p w:rsidRPr="00B57B74" w:rsidR="00B57B74" w:rsidP="00B57B74" w14:paraId="071C05FE" w14:textId="2C3BE4C0">
      <w:pPr>
        <w:pStyle w:val="JuPara"/>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B57B74" w:rsidR="00787E12" w:rsidP="00B57B74" w14:paraId="591E907A" w14:textId="2DC6C83D">
      <w:pPr>
        <w:pStyle w:val="JuCase"/>
        <w:rPr>
          <w:bCs/>
        </w:rPr>
      </w:pPr>
      <w:r w:rsidRPr="00B57B74">
        <w:t xml:space="preserve">In the case of </w:t>
      </w:r>
      <w:r w:rsidRPr="00B57B74" w:rsidR="00DD1E10">
        <w:t>Spesyvtsev</w:t>
      </w:r>
      <w:r w:rsidRPr="00B57B74" w:rsidR="00DD1E10">
        <w:t xml:space="preserve"> </w:t>
      </w:r>
      <w:r w:rsidRPr="00B57B74" w:rsidR="000E1F7C">
        <w:t xml:space="preserve">and Others </w:t>
      </w:r>
      <w:r w:rsidRPr="00B57B74" w:rsidR="00DD1E10">
        <w:t>v. Ukraine</w:t>
      </w:r>
      <w:r w:rsidRPr="00B57B74">
        <w:t>,</w:t>
      </w:r>
    </w:p>
    <w:p w:rsidRPr="00B57B74" w:rsidR="00787E12" w:rsidP="00B57B74" w14:paraId="049982CC" w14:textId="2E453F58">
      <w:pPr>
        <w:pStyle w:val="JuPara"/>
      </w:pPr>
      <w:r w:rsidRPr="00B57B74">
        <w:t>The European Court of Human Rights (</w:t>
      </w:r>
      <w:r w:rsidRPr="00B57B74" w:rsidR="00DD1E10">
        <w:t>Fifth Section</w:t>
      </w:r>
      <w:r w:rsidRPr="00B57B74">
        <w:t>), sitting as a Committee composed of:</w:t>
      </w:r>
    </w:p>
    <w:p w:rsidRPr="00B57B74" w:rsidR="002C5B23" w:rsidP="00B57B74" w14:paraId="103B83DC" w14:textId="28C57AF8">
      <w:pPr>
        <w:pStyle w:val="JuJudges"/>
      </w:pPr>
      <w:r w:rsidRPr="00B57B74">
        <w:tab/>
        <w:t>Carlo Ranzoni,</w:t>
      </w:r>
      <w:r w:rsidRPr="00B57B74" w:rsidR="007F0952">
        <w:t xml:space="preserve"> </w:t>
      </w:r>
      <w:r w:rsidRPr="00B57B74" w:rsidR="007F0952">
        <w:rPr>
          <w:i/>
          <w:iCs/>
        </w:rPr>
        <w:t>President</w:t>
      </w:r>
      <w:r w:rsidRPr="00B57B74" w:rsidR="007F0952">
        <w:t xml:space="preserve">, </w:t>
      </w:r>
      <w:r w:rsidRPr="00B57B74">
        <w:br/>
      </w:r>
      <w:r w:rsidRPr="00B57B74">
        <w:tab/>
        <w:t xml:space="preserve">Lado </w:t>
      </w:r>
      <w:r w:rsidRPr="00B57B74">
        <w:t>Chanturia</w:t>
      </w:r>
      <w:r w:rsidRPr="00B57B74">
        <w:t>,</w:t>
      </w:r>
      <w:r w:rsidRPr="00B57B74">
        <w:br/>
      </w:r>
      <w:r w:rsidRPr="00B57B74">
        <w:tab/>
        <w:t xml:space="preserve">María </w:t>
      </w:r>
      <w:r w:rsidRPr="00B57B74">
        <w:t>Elósegui</w:t>
      </w:r>
      <w:r w:rsidRPr="00B57B74">
        <w:rPr>
          <w:i/>
        </w:rPr>
        <w:t>, judges</w:t>
      </w:r>
      <w:r w:rsidRPr="00B57B74">
        <w:t>,</w:t>
      </w:r>
    </w:p>
    <w:p w:rsidRPr="00B57B74" w:rsidR="00787E12" w:rsidP="00B57B74" w14:paraId="563E47CB" w14:textId="79B8808F">
      <w:pPr>
        <w:pStyle w:val="JuJudges"/>
      </w:pPr>
      <w:r w:rsidRPr="00B57B74">
        <w:t xml:space="preserve">and </w:t>
      </w:r>
      <w:r w:rsidRPr="00B57B74" w:rsidR="00DD1E10">
        <w:t>Viktoriya</w:t>
      </w:r>
      <w:r w:rsidRPr="00B57B74">
        <w:t xml:space="preserve"> </w:t>
      </w:r>
      <w:r w:rsidRPr="00B57B74" w:rsidR="00DD1E10">
        <w:t>Maradudina</w:t>
      </w:r>
      <w:r w:rsidRPr="00B57B74" w:rsidR="00555A1D">
        <w:t>,</w:t>
      </w:r>
      <w:r w:rsidRPr="00B57B74">
        <w:t xml:space="preserve"> </w:t>
      </w:r>
      <w:r w:rsidRPr="00B57B74">
        <w:rPr>
          <w:i/>
        </w:rPr>
        <w:t>Acting</w:t>
      </w:r>
      <w:r w:rsidRPr="00B57B74">
        <w:t xml:space="preserve"> </w:t>
      </w:r>
      <w:r w:rsidRPr="00B57B74">
        <w:rPr>
          <w:rFonts w:cstheme="minorHAnsi"/>
          <w:i/>
        </w:rPr>
        <w:t>Deputy Section Registrar</w:t>
      </w:r>
      <w:r w:rsidRPr="00B57B74">
        <w:rPr>
          <w:i/>
        </w:rPr>
        <w:t>,</w:t>
      </w:r>
    </w:p>
    <w:p w:rsidRPr="00B57B74" w:rsidR="00787E12" w:rsidP="00B57B74" w14:paraId="2E550B6B" w14:textId="42E16A2E">
      <w:pPr>
        <w:pStyle w:val="JuPara"/>
      </w:pPr>
      <w:r w:rsidRPr="00B57B74">
        <w:t xml:space="preserve">Having deliberated in private on </w:t>
      </w:r>
      <w:r w:rsidRPr="00B57B74" w:rsidR="000E1F7C">
        <w:t>14 September 2023</w:t>
      </w:r>
      <w:r w:rsidRPr="00B57B74">
        <w:t>,</w:t>
      </w:r>
    </w:p>
    <w:p w:rsidRPr="00B57B74" w:rsidR="006372F5" w:rsidP="00B57B74" w14:paraId="0FA3C517" w14:textId="77777777">
      <w:pPr>
        <w:pStyle w:val="JuPara"/>
      </w:pPr>
      <w:r w:rsidRPr="00B57B74">
        <w:t>Delivers the following judgment, which was adopted on that date:</w:t>
      </w:r>
    </w:p>
    <w:p w:rsidRPr="00B57B74" w:rsidR="00DD1E10" w:rsidP="00B57B74" w14:paraId="18CCC632" w14:textId="77777777">
      <w:pPr>
        <w:pStyle w:val="JuHHead"/>
      </w:pPr>
      <w:bookmarkStart w:name="ITMARKStartJudgment" w:id="1"/>
      <w:bookmarkEnd w:id="1"/>
      <w:r w:rsidRPr="00B57B74">
        <w:t>PROCEDURE</w:t>
      </w:r>
    </w:p>
    <w:p w:rsidRPr="00B57B74" w:rsidR="00DD1E10" w:rsidP="00B57B74" w14:paraId="02DC208B" w14:textId="58DF6351">
      <w:pPr>
        <w:pStyle w:val="JuPara"/>
      </w:pPr>
      <w:r w:rsidRPr="00B57B74">
        <w:fldChar w:fldCharType="begin"/>
      </w:r>
      <w:r w:rsidRPr="00B57B74">
        <w:instrText xml:space="preserve"> SEQ level0 \*arabic </w:instrText>
      </w:r>
      <w:r w:rsidRPr="00B57B74">
        <w:fldChar w:fldCharType="separate"/>
      </w:r>
      <w:r w:rsidRPr="00B57B74" w:rsidR="00B57B74">
        <w:rPr>
          <w:noProof/>
        </w:rPr>
        <w:t>1</w:t>
      </w:r>
      <w:r w:rsidRPr="00B57B74">
        <w:fldChar w:fldCharType="end"/>
      </w:r>
      <w:r w:rsidRPr="00B57B74">
        <w:t xml:space="preserve">.  The case originated in applications against Ukraine lodged with the Court under Article 34 of the Convention for the Protection of Human Rights and Fundamental Freedoms (“the Convention”) on </w:t>
      </w:r>
      <w:r w:rsidRPr="00B57B74">
        <w:rPr>
          <w:rFonts w:eastAsia="PMingLiU"/>
        </w:rPr>
        <w:t>the various dates indicated in the appended table</w:t>
      </w:r>
      <w:r w:rsidRPr="00B57B74" w:rsidR="00203AB1">
        <w:rPr>
          <w:rFonts w:eastAsia="PMingLiU"/>
        </w:rPr>
        <w:t>.</w:t>
      </w:r>
    </w:p>
    <w:p w:rsidRPr="00B57B74" w:rsidR="00DD1E10" w:rsidP="00B57B74" w14:paraId="51D926B3" w14:textId="51D52B7D">
      <w:pPr>
        <w:pStyle w:val="JuPara"/>
      </w:pPr>
      <w:r>
        <w:fldChar w:fldCharType="begin"/>
      </w:r>
      <w:r>
        <w:instrText xml:space="preserve"> SEQ level0 \*arabic \* MERGEFORMAT </w:instrText>
      </w:r>
      <w:r>
        <w:fldChar w:fldCharType="separate"/>
      </w:r>
      <w:r w:rsidRPr="00B57B74" w:rsidR="00B57B74">
        <w:rPr>
          <w:noProof/>
        </w:rPr>
        <w:t>2</w:t>
      </w:r>
      <w:r w:rsidRPr="00B57B74" w:rsidR="00B57B74">
        <w:rPr>
          <w:noProof/>
        </w:rPr>
        <w:fldChar w:fldCharType="end"/>
      </w:r>
      <w:r w:rsidRPr="00B57B74">
        <w:t>.  The Ukrainian Government (“the Government”) were given notice of the applications.</w:t>
      </w:r>
    </w:p>
    <w:p w:rsidRPr="00B57B74" w:rsidR="00DD1E10" w:rsidP="00B57B74" w14:paraId="12AE6F55" w14:textId="77777777">
      <w:pPr>
        <w:pStyle w:val="JuHHead"/>
        <w:jc w:val="left"/>
      </w:pPr>
      <w:r w:rsidRPr="00B57B74">
        <w:t>THE FACTS</w:t>
      </w:r>
    </w:p>
    <w:p w:rsidRPr="00B57B74" w:rsidR="00DD1E10" w:rsidP="00B57B74" w14:paraId="48F1D33D" w14:textId="03328FC9">
      <w:pPr>
        <w:pStyle w:val="JuPara"/>
      </w:pPr>
      <w:r w:rsidRPr="00B57B74">
        <w:fldChar w:fldCharType="begin"/>
      </w:r>
      <w:r w:rsidRPr="00B57B74">
        <w:instrText xml:space="preserve"> SEQ level0 \*arabic </w:instrText>
      </w:r>
      <w:r w:rsidRPr="00B57B74">
        <w:fldChar w:fldCharType="separate"/>
      </w:r>
      <w:r w:rsidRPr="00B57B74" w:rsidR="00B57B74">
        <w:rPr>
          <w:noProof/>
        </w:rPr>
        <w:t>3</w:t>
      </w:r>
      <w:r w:rsidRPr="00B57B74">
        <w:fldChar w:fldCharType="end"/>
      </w:r>
      <w:r w:rsidRPr="00B57B74">
        <w:t>.  </w:t>
      </w:r>
      <w:r w:rsidRPr="00B57B74">
        <w:rPr>
          <w:rFonts w:eastAsia="PMingLiU"/>
        </w:rPr>
        <w:t>The list of applicant</w:t>
      </w:r>
      <w:r w:rsidRPr="00B57B74">
        <w:t>s and the relevant details of the applications are set out in the appended table.</w:t>
      </w:r>
    </w:p>
    <w:p w:rsidRPr="00B57B74" w:rsidR="00DD1E10" w:rsidP="00B57B74" w14:paraId="0041B051" w14:textId="74D204F1">
      <w:pPr>
        <w:pStyle w:val="JuPara"/>
      </w:pPr>
      <w:r w:rsidRPr="00B57B74">
        <w:fldChar w:fldCharType="begin"/>
      </w:r>
      <w:r w:rsidRPr="00B57B74">
        <w:instrText xml:space="preserve"> SEQ level0 \*arabic </w:instrText>
      </w:r>
      <w:r w:rsidRPr="00B57B74">
        <w:fldChar w:fldCharType="separate"/>
      </w:r>
      <w:r w:rsidRPr="00B57B74" w:rsidR="00B57B74">
        <w:rPr>
          <w:noProof/>
        </w:rPr>
        <w:t>4</w:t>
      </w:r>
      <w:r w:rsidRPr="00B57B74">
        <w:fldChar w:fldCharType="end"/>
      </w:r>
      <w:r w:rsidRPr="00B57B74">
        <w:t>.  </w:t>
      </w:r>
      <w:r w:rsidRPr="00B57B74">
        <w:rPr>
          <w:bCs/>
          <w:color w:val="000000"/>
        </w:rPr>
        <w:t>The applicant</w:t>
      </w:r>
      <w:r w:rsidRPr="00B57B74">
        <w:t>s</w:t>
      </w:r>
      <w:r w:rsidRPr="00B57B74">
        <w:rPr>
          <w:bCs/>
          <w:color w:val="000000"/>
        </w:rPr>
        <w:t xml:space="preserve"> complained of the </w:t>
      </w:r>
      <w:r w:rsidRPr="00B57B74">
        <w:t>unlawful detention</w:t>
      </w:r>
      <w:r w:rsidRPr="00B57B74">
        <w:rPr>
          <w:bCs/>
          <w:color w:val="000000"/>
        </w:rPr>
        <w:t>.</w:t>
      </w:r>
      <w:r w:rsidRPr="00B57B74">
        <w:t xml:space="preserve"> Some applicants also raised other complaints under the provisions of the Convention.</w:t>
      </w:r>
    </w:p>
    <w:p w:rsidRPr="00B57B74" w:rsidR="00DD1E10" w:rsidP="00B57B74" w14:paraId="7315CF24" w14:textId="77777777">
      <w:pPr>
        <w:pStyle w:val="JuHHead"/>
        <w:jc w:val="left"/>
      </w:pPr>
      <w:r w:rsidRPr="00B57B74">
        <w:t>THE LAW</w:t>
      </w:r>
    </w:p>
    <w:p w:rsidRPr="00B57B74" w:rsidR="00DD1E10" w:rsidP="00B57B74" w14:paraId="26B88F5E" w14:textId="77777777">
      <w:pPr>
        <w:pStyle w:val="JuHIRoman"/>
        <w:tabs>
          <w:tab w:val="clear" w:pos="454"/>
          <w:tab w:val="clear" w:pos="539"/>
          <w:tab w:val="clear" w:pos="624"/>
          <w:tab w:val="clear" w:pos="709"/>
          <w:tab w:val="clear" w:pos="794"/>
        </w:tabs>
        <w:ind w:left="357" w:hanging="357"/>
        <w:jc w:val="left"/>
      </w:pPr>
      <w:r w:rsidRPr="00B57B74">
        <w:t>JOINDER OF THE APPLICATIONS</w:t>
      </w:r>
    </w:p>
    <w:p w:rsidRPr="00B57B74" w:rsidR="00DD1E10" w:rsidP="00B57B74" w14:paraId="1160D19B" w14:textId="6ECF86CD">
      <w:pPr>
        <w:pStyle w:val="JuPara"/>
        <w:rPr>
          <w:rFonts w:cs="Times New Roman"/>
        </w:rPr>
      </w:pPr>
      <w:r w:rsidRPr="00B57B74">
        <w:fldChar w:fldCharType="begin"/>
      </w:r>
      <w:r w:rsidRPr="00B57B74">
        <w:instrText xml:space="preserve"> SEQ level0 \*arabic </w:instrText>
      </w:r>
      <w:r w:rsidRPr="00B57B74">
        <w:fldChar w:fldCharType="separate"/>
      </w:r>
      <w:r w:rsidRPr="00B57B74" w:rsidR="00B57B74">
        <w:rPr>
          <w:noProof/>
        </w:rPr>
        <w:t>5</w:t>
      </w:r>
      <w:r w:rsidRPr="00B57B74">
        <w:fldChar w:fldCharType="end"/>
      </w:r>
      <w:r w:rsidRPr="00B57B74">
        <w:t>.  Having regard to the similar subject matter of the applications, the Court finds it appropriate to examine them jointly in a single judgment.</w:t>
      </w:r>
    </w:p>
    <w:p w:rsidRPr="00B57B74" w:rsidR="00DD1E10" w:rsidP="00B57B74" w14:paraId="4A55F396" w14:textId="77777777">
      <w:pPr>
        <w:pStyle w:val="JuHIRoman"/>
        <w:tabs>
          <w:tab w:val="clear" w:pos="454"/>
          <w:tab w:val="clear" w:pos="539"/>
          <w:tab w:val="clear" w:pos="624"/>
          <w:tab w:val="clear" w:pos="709"/>
          <w:tab w:val="clear" w:pos="794"/>
        </w:tabs>
        <w:ind w:left="357" w:hanging="357"/>
        <w:jc w:val="left"/>
        <w:rPr>
          <w:rFonts w:eastAsia="PMingLiU"/>
        </w:rPr>
      </w:pPr>
      <w:r w:rsidRPr="00B57B74">
        <w:t xml:space="preserve">ALLEGED VIOLATION OF ARTICLE </w:t>
      </w:r>
      <w:r w:rsidRPr="00B57B74">
        <w:rPr>
          <w:rFonts w:eastAsia="PMingLiU"/>
        </w:rPr>
        <w:t>5 § 1 of the Convention</w:t>
      </w:r>
    </w:p>
    <w:p w:rsidRPr="00B57B74" w:rsidR="00DD1E10" w:rsidP="00B57B74" w14:paraId="5E6E97E2" w14:textId="659CC228">
      <w:pPr>
        <w:pStyle w:val="JuPara"/>
      </w:pPr>
      <w:r w:rsidRPr="00B57B74">
        <w:fldChar w:fldCharType="begin"/>
      </w:r>
      <w:r w:rsidRPr="00B57B74">
        <w:instrText xml:space="preserve"> SEQ level0 \*arabic </w:instrText>
      </w:r>
      <w:r w:rsidRPr="00B57B74">
        <w:fldChar w:fldCharType="separate"/>
      </w:r>
      <w:r w:rsidRPr="00B57B74" w:rsidR="00B57B74">
        <w:rPr>
          <w:noProof/>
        </w:rPr>
        <w:t>6</w:t>
      </w:r>
      <w:r w:rsidRPr="00B57B74">
        <w:fldChar w:fldCharType="end"/>
      </w:r>
      <w:r w:rsidRPr="00B57B74">
        <w:t xml:space="preserve">.  The applicants complained </w:t>
      </w:r>
      <w:r w:rsidRPr="00B57B74">
        <w:rPr>
          <w:bCs/>
        </w:rPr>
        <w:t xml:space="preserve">principally </w:t>
      </w:r>
      <w:r w:rsidRPr="00B57B74">
        <w:t>of the unlawful detention</w:t>
      </w:r>
      <w:r w:rsidRPr="00B57B74">
        <w:rPr>
          <w:bCs/>
        </w:rPr>
        <w:t>.</w:t>
      </w:r>
      <w:r w:rsidRPr="00B57B74">
        <w:t xml:space="preserve"> </w:t>
      </w:r>
      <w:r w:rsidRPr="00B57B74">
        <w:rPr>
          <w:rFonts w:eastAsia="PMingLiU"/>
        </w:rPr>
        <w:t>They</w:t>
      </w:r>
      <w:r w:rsidRPr="00B57B74">
        <w:t xml:space="preserve"> relied, expressly or in substance, on Article 5 § 1 </w:t>
      </w:r>
      <w:r w:rsidRPr="00B57B74">
        <w:rPr>
          <w:rFonts w:eastAsia="PMingLiU"/>
        </w:rPr>
        <w:t>of the Convention.</w:t>
      </w:r>
    </w:p>
    <w:p w:rsidRPr="00B57B74" w:rsidR="00DD1E10" w:rsidP="00B57B74" w14:paraId="53C5A380" w14:textId="0C91E49B">
      <w:pPr>
        <w:pStyle w:val="JuPara"/>
      </w:pPr>
      <w:r>
        <w:fldChar w:fldCharType="begin"/>
      </w:r>
      <w:r>
        <w:instrText xml:space="preserve"> SEQ level0 \*arabic \* MERGEFORMAT </w:instrText>
      </w:r>
      <w:r>
        <w:fldChar w:fldCharType="separate"/>
      </w:r>
      <w:r w:rsidRPr="00B57B74" w:rsidR="00B57B74">
        <w:rPr>
          <w:noProof/>
        </w:rPr>
        <w:t>7</w:t>
      </w:r>
      <w:r w:rsidRPr="00B57B74" w:rsidR="00B57B74">
        <w:rPr>
          <w:noProof/>
        </w:rPr>
        <w:fldChar w:fldCharType="end"/>
      </w:r>
      <w:r w:rsidRPr="00B57B74">
        <w:t xml:space="preserve">.  The Court reiterates that </w:t>
      </w:r>
      <w:r w:rsidRPr="00B57B74">
        <w:rPr>
          <w:rFonts w:eastAsia="PMingLiU"/>
        </w:rPr>
        <w:t xml:space="preserve">Article 5 of the Convention is, together with Articles 2, 3 and 4, in the first rank of the fundamental rights that protect the physical security of the individual, and as such its importance is paramount. Its key purpose is to </w:t>
      </w:r>
      <w:r w:rsidRPr="00B57B74">
        <w:rPr>
          <w:rFonts w:eastAsia="PMingLiU"/>
        </w:rPr>
        <w:t>prevent arbitrary or unjustified deprivation of liberty (see</w:t>
      </w:r>
      <w:r w:rsidRPr="00B57B74">
        <w:rPr>
          <w:rFonts w:eastAsia="PMingLiU"/>
        </w:rPr>
        <w:t xml:space="preserve"> </w:t>
      </w:r>
      <w:r w:rsidRPr="00B57B74">
        <w:rPr>
          <w:rFonts w:eastAsia="PMingLiU"/>
          <w:i/>
          <w:iCs/>
        </w:rPr>
        <w:t>Buzadji</w:t>
      </w:r>
      <w:r w:rsidRPr="00B57B74">
        <w:rPr>
          <w:rFonts w:eastAsia="PMingLiU"/>
          <w:i/>
          <w:iCs/>
        </w:rPr>
        <w:t xml:space="preserve"> v.</w:t>
      </w:r>
      <w:r w:rsidRPr="00B57B74" w:rsidR="000E1F7C">
        <w:rPr>
          <w:rFonts w:eastAsia="PMingLiU"/>
          <w:i/>
          <w:iCs/>
        </w:rPr>
        <w:t> </w:t>
      </w:r>
      <w:r w:rsidRPr="00B57B74">
        <w:rPr>
          <w:rFonts w:eastAsia="PMingLiU"/>
          <w:i/>
          <w:iCs/>
        </w:rPr>
        <w:t xml:space="preserve">the Republic of Moldova </w:t>
      </w:r>
      <w:r w:rsidRPr="00B57B74">
        <w:rPr>
          <w:rFonts w:eastAsia="PMingLiU"/>
        </w:rPr>
        <w:t>[GC], no. 23755/07, § 84, ECHR 2016 (extracts), with further references)</w:t>
      </w:r>
      <w:r w:rsidRPr="00B57B74">
        <w:t>.</w:t>
      </w:r>
    </w:p>
    <w:p w:rsidRPr="00B57B74" w:rsidR="00DD1E10" w:rsidP="00B57B74" w14:paraId="601E3CA4" w14:textId="07039730">
      <w:pPr>
        <w:pStyle w:val="JuPara"/>
      </w:pPr>
      <w:r w:rsidRPr="00B57B74">
        <w:rPr>
          <w:rFonts w:eastAsia="PMingLiU"/>
        </w:rPr>
        <w:fldChar w:fldCharType="begin"/>
      </w:r>
      <w:r w:rsidRPr="00B57B74">
        <w:rPr>
          <w:rFonts w:eastAsia="PMingLiU"/>
        </w:rPr>
        <w:instrText xml:space="preserve"> SEQ level0 \*arabic \* MERGEFORMAT </w:instrText>
      </w:r>
      <w:r w:rsidRPr="00B57B74">
        <w:rPr>
          <w:rFonts w:eastAsia="PMingLiU"/>
        </w:rPr>
        <w:fldChar w:fldCharType="separate"/>
      </w:r>
      <w:r w:rsidRPr="00B57B74" w:rsidR="00B57B74">
        <w:rPr>
          <w:rFonts w:eastAsia="PMingLiU"/>
          <w:noProof/>
        </w:rPr>
        <w:t>8</w:t>
      </w:r>
      <w:r w:rsidRPr="00B57B74">
        <w:rPr>
          <w:rFonts w:eastAsia="PMingLiU"/>
        </w:rPr>
        <w:fldChar w:fldCharType="end"/>
      </w:r>
      <w:r w:rsidRPr="00B57B74">
        <w:rPr>
          <w:rFonts w:eastAsia="PMingLiU"/>
        </w:rPr>
        <w:t xml:space="preserve">.  Where the “lawfulness” of detention is in issue, including the question whether “a procedure prescribed by law” has been followed, the Convention refers essentially to the national law and lays down the obligation to conform to the substantive and procedural rules thereof. Compliance with the national law is not, however, sufficient: Article 5 § 1 requires in addition that any deprivation of liberty should be in keeping with the purpose of protecting the individual from arbitrariness (see </w:t>
      </w:r>
      <w:r w:rsidRPr="00B57B74">
        <w:rPr>
          <w:rFonts w:eastAsia="PMingLiU"/>
          <w:i/>
          <w:iCs/>
        </w:rPr>
        <w:t>S.,</w:t>
      </w:r>
      <w:r w:rsidRPr="00B57B74" w:rsidR="000E1F7C">
        <w:rPr>
          <w:rFonts w:eastAsia="PMingLiU"/>
          <w:i/>
          <w:iCs/>
        </w:rPr>
        <w:t> </w:t>
      </w:r>
      <w:r w:rsidRPr="00B57B74">
        <w:rPr>
          <w:rFonts w:eastAsia="PMingLiU"/>
          <w:i/>
          <w:iCs/>
        </w:rPr>
        <w:t>V.</w:t>
      </w:r>
      <w:r w:rsidRPr="00B57B74" w:rsidR="000E1F7C">
        <w:rPr>
          <w:rFonts w:eastAsia="PMingLiU"/>
          <w:i/>
          <w:iCs/>
        </w:rPr>
        <w:t> </w:t>
      </w:r>
      <w:r w:rsidRPr="00B57B74">
        <w:rPr>
          <w:rFonts w:eastAsia="PMingLiU"/>
          <w:i/>
          <w:iCs/>
        </w:rPr>
        <w:t>and</w:t>
      </w:r>
      <w:r w:rsidRPr="00B57B74" w:rsidR="000E1F7C">
        <w:rPr>
          <w:rFonts w:eastAsia="PMingLiU"/>
          <w:i/>
          <w:iCs/>
        </w:rPr>
        <w:t> </w:t>
      </w:r>
      <w:r w:rsidRPr="00B57B74">
        <w:rPr>
          <w:rFonts w:eastAsia="PMingLiU"/>
          <w:i/>
          <w:iCs/>
        </w:rPr>
        <w:t>A. v.</w:t>
      </w:r>
      <w:r w:rsidRPr="00B57B74" w:rsidR="000E1F7C">
        <w:rPr>
          <w:rFonts w:eastAsia="PMingLiU"/>
          <w:i/>
          <w:iCs/>
        </w:rPr>
        <w:t> </w:t>
      </w:r>
      <w:r w:rsidRPr="00B57B74">
        <w:rPr>
          <w:rFonts w:eastAsia="PMingLiU"/>
          <w:i/>
          <w:iCs/>
        </w:rPr>
        <w:t>Denmark</w:t>
      </w:r>
      <w:r w:rsidRPr="00B57B74" w:rsidR="000E1F7C">
        <w:rPr>
          <w:rFonts w:eastAsia="PMingLiU"/>
          <w:i/>
          <w:iCs/>
        </w:rPr>
        <w:t> </w:t>
      </w:r>
      <w:r w:rsidRPr="00B57B74">
        <w:rPr>
          <w:rFonts w:eastAsia="PMingLiU"/>
        </w:rPr>
        <w:t>[GC], nos. 35553/12, 36678/12 and 36711/12, § 74, 22 October 2018, with further references).</w:t>
      </w:r>
    </w:p>
    <w:p w:rsidRPr="00B57B74" w:rsidR="00DD1E10" w:rsidP="00B57B74" w14:paraId="030942F0" w14:textId="255A9B6A">
      <w:pPr>
        <w:pStyle w:val="JuPara"/>
      </w:pPr>
      <w:r w:rsidRPr="00B57B74">
        <w:fldChar w:fldCharType="begin"/>
      </w:r>
      <w:r w:rsidRPr="00B57B74">
        <w:instrText xml:space="preserve"> SEQ level0 \*arabic </w:instrText>
      </w:r>
      <w:r w:rsidRPr="00B57B74">
        <w:fldChar w:fldCharType="separate"/>
      </w:r>
      <w:r w:rsidRPr="00B57B74" w:rsidR="00B57B74">
        <w:rPr>
          <w:noProof/>
        </w:rPr>
        <w:t>9</w:t>
      </w:r>
      <w:r w:rsidRPr="00B57B74">
        <w:fldChar w:fldCharType="end"/>
      </w:r>
      <w:r w:rsidRPr="00B57B74">
        <w:t>.  The Court found violations in respect of issues similar to those in the present case in the leading cases set out in the appended table.</w:t>
      </w:r>
    </w:p>
    <w:p w:rsidRPr="00B57B74" w:rsidR="00DD1E10" w:rsidP="00B57B74" w14:paraId="15599F1F" w14:textId="43E91ADB">
      <w:pPr>
        <w:pStyle w:val="JuPara"/>
        <w:rPr>
          <w:rFonts w:eastAsia="PMingLiU"/>
        </w:rPr>
      </w:pPr>
      <w:r w:rsidRPr="00B57B74">
        <w:fldChar w:fldCharType="begin"/>
      </w:r>
      <w:r w:rsidRPr="00B57B74">
        <w:instrText xml:space="preserve"> SEQ level0 \*arabic </w:instrText>
      </w:r>
      <w:r w:rsidRPr="00B57B74">
        <w:fldChar w:fldCharType="separate"/>
      </w:r>
      <w:r w:rsidRPr="00B57B74" w:rsidR="00B57B74">
        <w:rPr>
          <w:noProof/>
        </w:rPr>
        <w:t>10</w:t>
      </w:r>
      <w:r w:rsidRPr="00B57B74">
        <w:fldChar w:fldCharType="end"/>
      </w:r>
      <w:r w:rsidRPr="00B57B74">
        <w:t>.  </w:t>
      </w:r>
      <w:r w:rsidRPr="00B57B74">
        <w:rPr>
          <w:rFonts w:eastAsia="PMingLiU"/>
        </w:rPr>
        <w:t>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applicants</w:t>
      </w:r>
      <w:r w:rsidRPr="00B57B74" w:rsidR="00B57B74">
        <w:rPr>
          <w:rFonts w:eastAsia="PMingLiU"/>
        </w:rPr>
        <w:t>’</w:t>
      </w:r>
      <w:r w:rsidRPr="00B57B74">
        <w:rPr>
          <w:rFonts w:eastAsia="PMingLiU"/>
        </w:rPr>
        <w:t xml:space="preserve"> detention during periods described in the appended table was not in accordance with Article 5 § 1 of the Convention.</w:t>
      </w:r>
    </w:p>
    <w:p w:rsidRPr="00B57B74" w:rsidR="00DD1E10" w:rsidP="00B57B74" w14:paraId="2A3A2901" w14:textId="44B70DD5">
      <w:pPr>
        <w:pStyle w:val="JuPara"/>
      </w:pPr>
      <w:r w:rsidRPr="00B57B74">
        <w:rPr>
          <w:rFonts w:eastAsia="PMingLiU"/>
        </w:rPr>
        <w:fldChar w:fldCharType="begin"/>
      </w:r>
      <w:r w:rsidRPr="00B57B74">
        <w:rPr>
          <w:rFonts w:eastAsia="PMingLiU"/>
        </w:rPr>
        <w:instrText xml:space="preserve"> SEQ level0 \*arabic \* MERGEFORMAT </w:instrText>
      </w:r>
      <w:r w:rsidRPr="00B57B74">
        <w:rPr>
          <w:rFonts w:eastAsia="PMingLiU"/>
        </w:rPr>
        <w:fldChar w:fldCharType="separate"/>
      </w:r>
      <w:r w:rsidRPr="00B57B74" w:rsidR="00B57B74">
        <w:rPr>
          <w:rFonts w:eastAsia="PMingLiU"/>
          <w:noProof/>
        </w:rPr>
        <w:t>11</w:t>
      </w:r>
      <w:r w:rsidRPr="00B57B74">
        <w:rPr>
          <w:rFonts w:eastAsia="PMingLiU"/>
        </w:rPr>
        <w:fldChar w:fldCharType="end"/>
      </w:r>
      <w:r w:rsidRPr="00B57B74">
        <w:rPr>
          <w:rFonts w:eastAsia="PMingLiU"/>
        </w:rPr>
        <w:t>.  These complaints as set out in the appended table are therefore admissible and disclose a breach of Article 5 § 1 of the Convention</w:t>
      </w:r>
      <w:r w:rsidRPr="00B57B74">
        <w:t>.</w:t>
      </w:r>
    </w:p>
    <w:p w:rsidRPr="00B57B74" w:rsidR="00DD1E10" w:rsidP="00B57B74" w14:paraId="1443D373" w14:textId="77777777">
      <w:pPr>
        <w:pStyle w:val="JuHIRoman"/>
        <w:tabs>
          <w:tab w:val="clear" w:pos="454"/>
          <w:tab w:val="clear" w:pos="539"/>
          <w:tab w:val="clear" w:pos="624"/>
          <w:tab w:val="clear" w:pos="709"/>
          <w:tab w:val="clear" w:pos="794"/>
        </w:tabs>
        <w:ind w:left="357" w:hanging="357"/>
        <w:jc w:val="left"/>
        <w:rPr>
          <w:rFonts w:eastAsia="PMingLiU"/>
          <w:lang w:eastAsia="en-GB"/>
        </w:rPr>
      </w:pPr>
      <w:r w:rsidRPr="00B57B74">
        <w:t>OTHER ALLEGED VIOLATIONS UNDER WELL-ESTABLISHED CASE-LAW</w:t>
      </w:r>
    </w:p>
    <w:p w:rsidRPr="00B57B74" w:rsidR="00DD1E10" w:rsidP="00B57B74" w14:paraId="09138C37" w14:textId="510058E3">
      <w:pPr>
        <w:pStyle w:val="JuPara"/>
        <w:rPr>
          <w:snapToGrid w:val="0"/>
        </w:rPr>
      </w:pPr>
      <w:r w:rsidRPr="00B57B74">
        <w:rPr>
          <w:rFonts w:ascii="Times New Roman" w:hAnsi="Times New Roman" w:cs="Times New Roman"/>
          <w:color w:val="000000"/>
        </w:rPr>
        <w:fldChar w:fldCharType="begin"/>
      </w:r>
      <w:r w:rsidRPr="00B57B74">
        <w:rPr>
          <w:rFonts w:ascii="Times New Roman" w:hAnsi="Times New Roman" w:cs="Times New Roman"/>
          <w:color w:val="000000"/>
        </w:rPr>
        <w:instrText xml:space="preserve"> SEQ level0 \*arabic \* MERGEFORMAT </w:instrText>
      </w:r>
      <w:r w:rsidRPr="00B57B74">
        <w:rPr>
          <w:rFonts w:ascii="Times New Roman" w:hAnsi="Times New Roman" w:cs="Times New Roman"/>
          <w:color w:val="000000"/>
        </w:rPr>
        <w:fldChar w:fldCharType="separate"/>
      </w:r>
      <w:r w:rsidRPr="00B57B74" w:rsidR="00B57B74">
        <w:rPr>
          <w:rFonts w:ascii="Times New Roman" w:hAnsi="Times New Roman" w:cs="Times New Roman"/>
          <w:noProof/>
          <w:color w:val="000000"/>
        </w:rPr>
        <w:t>12</w:t>
      </w:r>
      <w:r w:rsidRPr="00B57B74">
        <w:rPr>
          <w:rFonts w:ascii="Times New Roman" w:hAnsi="Times New Roman" w:cs="Times New Roman"/>
          <w:color w:val="000000"/>
        </w:rPr>
        <w:fldChar w:fldCharType="end"/>
      </w:r>
      <w:r w:rsidRPr="00B57B74">
        <w:rPr>
          <w:rFonts w:ascii="Times New Roman" w:hAnsi="Times New Roman" w:cs="Times New Roman"/>
          <w:color w:val="000000"/>
        </w:rPr>
        <w:t>.  </w:t>
      </w:r>
      <w:r w:rsidRPr="00B57B74">
        <w:rPr>
          <w:rStyle w:val="JuParaChar"/>
        </w:rPr>
        <w:t xml:space="preserve">Some applicants submitted other complaints which also raised issues under the Convention, given the relevant </w:t>
      </w:r>
      <w:r w:rsidRPr="00B57B74" w:rsidR="00DA25D2">
        <w:rPr>
          <w:rStyle w:val="JuParaChar"/>
        </w:rPr>
        <w:t>case</w:t>
      </w:r>
      <w:r w:rsidRPr="00B57B74">
        <w:rPr>
          <w:rStyle w:val="JuParaChar"/>
        </w:rPr>
        <w:t>-established case-law of the Court (see appended table). These complaints are not manifestly ill-founded within the meaning of Article 35 § 3 (a) of the Convention, nor are they inadmissible on any other ground. Accordingly, they must be declared admissible. However, in application no. 29978/14 the applicant raised other complaints under Article 5 of the Convention regarding unlawful detention and procedural shortcomings in the proceedings related to the extension of his pre-trial detention. At the same time, the Court considers that it has examined the main legal question raised in the present application and that there is no need to give a separate ruling on the merits of these complaints (see,</w:t>
      </w:r>
      <w:r w:rsidRPr="00B57B74" w:rsidR="00E87427">
        <w:rPr>
          <w:rStyle w:val="JuParaChar"/>
        </w:rPr>
        <w:t xml:space="preserve"> </w:t>
      </w:r>
      <w:r w:rsidRPr="00B57B74">
        <w:rPr>
          <w:rStyle w:val="JuParaChar"/>
          <w:i/>
          <w:iCs/>
        </w:rPr>
        <w:t>Centre for Legal Resources on behalf</w:t>
      </w:r>
      <w:r w:rsidRPr="00B57B74">
        <w:rPr>
          <w:rStyle w:val="JuParaChar"/>
        </w:rPr>
        <w:t xml:space="preserve"> of</w:t>
      </w:r>
      <w:r w:rsidRPr="00B57B74" w:rsidR="00E87427">
        <w:rPr>
          <w:rStyle w:val="JuParaChar"/>
        </w:rPr>
        <w:t xml:space="preserve"> </w:t>
      </w:r>
      <w:r w:rsidRPr="00B57B74">
        <w:rPr>
          <w:rStyle w:val="JuParaChar"/>
          <w:i/>
          <w:iCs/>
        </w:rPr>
        <w:t>Valentin</w:t>
      </w:r>
      <w:r w:rsidRPr="00B57B74" w:rsidR="00E87427">
        <w:rPr>
          <w:rStyle w:val="JuParaChar"/>
          <w:i/>
          <w:iCs/>
        </w:rPr>
        <w:t xml:space="preserve"> </w:t>
      </w:r>
      <w:r w:rsidRPr="00B57B74">
        <w:rPr>
          <w:rStyle w:val="JuParaChar"/>
          <w:i/>
          <w:iCs/>
        </w:rPr>
        <w:t>Câmpeanu</w:t>
      </w:r>
      <w:r w:rsidRPr="00B57B74" w:rsidR="00E87427">
        <w:rPr>
          <w:rStyle w:val="JuParaChar"/>
          <w:i/>
          <w:iCs/>
        </w:rPr>
        <w:t xml:space="preserve"> </w:t>
      </w:r>
      <w:r w:rsidRPr="00B57B74">
        <w:rPr>
          <w:rStyle w:val="JuParaChar"/>
          <w:i/>
          <w:iCs/>
        </w:rPr>
        <w:t>v.</w:t>
      </w:r>
      <w:r w:rsidRPr="00B57B74" w:rsidR="000E1F7C">
        <w:rPr>
          <w:rStyle w:val="JuParaChar"/>
          <w:i/>
          <w:iCs/>
        </w:rPr>
        <w:t> </w:t>
      </w:r>
      <w:r w:rsidRPr="00B57B74">
        <w:rPr>
          <w:rStyle w:val="JuParaChar"/>
          <w:i/>
          <w:iCs/>
        </w:rPr>
        <w:t>Romania</w:t>
      </w:r>
      <w:r w:rsidRPr="00B57B74">
        <w:rPr>
          <w:rStyle w:val="JuParaChar"/>
        </w:rPr>
        <w:t xml:space="preserve"> [GC], no. 47848/08, § 156, ECHR 2014, and, mutatis mutandis, </w:t>
      </w:r>
      <w:r w:rsidRPr="00B57B74">
        <w:rPr>
          <w:rStyle w:val="JuParaChar"/>
          <w:i/>
          <w:iCs/>
        </w:rPr>
        <w:t>Ichin</w:t>
      </w:r>
      <w:r w:rsidRPr="00B57B74" w:rsidR="00E87427">
        <w:rPr>
          <w:rStyle w:val="JuParaChar"/>
          <w:i/>
          <w:iCs/>
        </w:rPr>
        <w:t xml:space="preserve"> </w:t>
      </w:r>
      <w:r w:rsidRPr="00B57B74">
        <w:rPr>
          <w:rStyle w:val="JuParaChar"/>
          <w:i/>
          <w:iCs/>
        </w:rPr>
        <w:t>and</w:t>
      </w:r>
      <w:r w:rsidRPr="00B57B74" w:rsidR="000E1F7C">
        <w:rPr>
          <w:rStyle w:val="JuParaChar"/>
          <w:i/>
          <w:iCs/>
        </w:rPr>
        <w:t> </w:t>
      </w:r>
      <w:r w:rsidRPr="00B57B74">
        <w:rPr>
          <w:rStyle w:val="JuParaChar"/>
          <w:i/>
          <w:iCs/>
        </w:rPr>
        <w:t>Others v.</w:t>
      </w:r>
      <w:r w:rsidRPr="00B57B74" w:rsidR="000E1F7C">
        <w:rPr>
          <w:rStyle w:val="JuParaChar"/>
          <w:i/>
          <w:iCs/>
        </w:rPr>
        <w:t> </w:t>
      </w:r>
      <w:r w:rsidRPr="00B57B74">
        <w:rPr>
          <w:rStyle w:val="JuParaChar"/>
          <w:i/>
          <w:iCs/>
        </w:rPr>
        <w:t>Ukraine</w:t>
      </w:r>
      <w:r w:rsidRPr="00B57B74">
        <w:rPr>
          <w:rStyle w:val="JuParaChar"/>
        </w:rPr>
        <w:t>, nos.</w:t>
      </w:r>
      <w:r w:rsidRPr="00B57B74" w:rsidR="000E1F7C">
        <w:rPr>
          <w:rStyle w:val="JuParaChar"/>
        </w:rPr>
        <w:t> </w:t>
      </w:r>
      <w:r w:rsidRPr="00B57B74">
        <w:rPr>
          <w:rStyle w:val="JuParaChar"/>
        </w:rPr>
        <w:t>28189/04 and 28192/04, § 47, 21</w:t>
      </w:r>
      <w:r w:rsidRPr="00B57B74" w:rsidR="00E87427">
        <w:rPr>
          <w:rStyle w:val="JuParaChar"/>
        </w:rPr>
        <w:t> </w:t>
      </w:r>
      <w:r w:rsidRPr="00B57B74">
        <w:rPr>
          <w:rStyle w:val="JuParaChar"/>
        </w:rPr>
        <w:t xml:space="preserve">December 2010). As to the remaining complaints raised by the applicants under the </w:t>
      </w:r>
      <w:r w:rsidRPr="00B57B74" w:rsidR="000E1F7C">
        <w:rPr>
          <w:rStyle w:val="JuParaChar"/>
        </w:rPr>
        <w:t>well</w:t>
      </w:r>
      <w:r w:rsidRPr="00B57B74" w:rsidR="000E1F7C">
        <w:rPr>
          <w:rStyle w:val="JuParaChar"/>
        </w:rPr>
        <w:noBreakHyphen/>
        <w:t xml:space="preserve">established </w:t>
      </w:r>
      <w:r w:rsidRPr="00B57B74">
        <w:rPr>
          <w:rStyle w:val="JuParaChar"/>
        </w:rPr>
        <w:t xml:space="preserve">case-law of the </w:t>
      </w:r>
      <w:r w:rsidRPr="00B57B74">
        <w:rPr>
          <w:rStyle w:val="JuParaChar"/>
        </w:rPr>
        <w:t>Court (see appended table), having examined all the material before it, the Court concludes that they also disclose violations of the Convention in the light of its findings in the cases set out in the appended table.</w:t>
      </w:r>
    </w:p>
    <w:p w:rsidRPr="00B57B74" w:rsidR="00DD1E10" w:rsidP="00B57B74" w14:paraId="4DF6DE9D" w14:textId="77777777">
      <w:pPr>
        <w:pStyle w:val="JuHIRoman"/>
        <w:tabs>
          <w:tab w:val="clear" w:pos="454"/>
          <w:tab w:val="clear" w:pos="539"/>
          <w:tab w:val="clear" w:pos="624"/>
          <w:tab w:val="clear" w:pos="709"/>
          <w:tab w:val="clear" w:pos="794"/>
        </w:tabs>
        <w:ind w:left="357" w:hanging="357"/>
        <w:jc w:val="left"/>
      </w:pPr>
      <w:r w:rsidRPr="00B57B74">
        <w:t>APPLICATION OF ARTICLE 41 OF THE CONVENTION</w:t>
      </w:r>
    </w:p>
    <w:p w:rsidRPr="00B57B74" w:rsidR="00DD1E10" w:rsidP="00B57B74" w14:paraId="12C71590" w14:textId="0D24A16D">
      <w:pPr>
        <w:pStyle w:val="JuPara"/>
      </w:pPr>
      <w:r>
        <w:fldChar w:fldCharType="begin"/>
      </w:r>
      <w:r>
        <w:instrText xml:space="preserve"> SEQ level0 \*arabic \* MERGEFORMAT </w:instrText>
      </w:r>
      <w:r>
        <w:fldChar w:fldCharType="separate"/>
      </w:r>
      <w:r w:rsidRPr="00B57B74" w:rsidR="00B57B74">
        <w:rPr>
          <w:noProof/>
        </w:rPr>
        <w:t>13</w:t>
      </w:r>
      <w:r w:rsidRPr="00B57B74" w:rsidR="00B57B74">
        <w:rPr>
          <w:noProof/>
        </w:rPr>
        <w:fldChar w:fldCharType="end"/>
      </w:r>
      <w:r w:rsidRPr="00B57B74">
        <w:t>.  Article 41 of the Convention provides:</w:t>
      </w:r>
    </w:p>
    <w:p w:rsidRPr="00B57B74" w:rsidR="00DD1E10" w:rsidP="00B57B74" w14:paraId="7A92F7B2" w14:textId="77777777">
      <w:pPr>
        <w:pStyle w:val="JuQuot"/>
        <w:keepNext/>
        <w:keepLines/>
      </w:pPr>
      <w:r w:rsidRPr="00B57B7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57B74" w:rsidR="00DD1E10" w:rsidP="00B57B74" w14:paraId="73356551" w14:textId="34D09DAD">
      <w:pPr>
        <w:pStyle w:val="JuPara"/>
      </w:pPr>
      <w:r>
        <w:fldChar w:fldCharType="begin"/>
      </w:r>
      <w:r>
        <w:instrText xml:space="preserve"> SEQ level0 \*arabic \* MERGEFORMAT </w:instrText>
      </w:r>
      <w:r>
        <w:fldChar w:fldCharType="separate"/>
      </w:r>
      <w:r w:rsidRPr="00B57B74" w:rsidR="00B57B74">
        <w:rPr>
          <w:noProof/>
        </w:rPr>
        <w:t>14</w:t>
      </w:r>
      <w:r w:rsidRPr="00B57B74" w:rsidR="00B57B74">
        <w:rPr>
          <w:noProof/>
        </w:rPr>
        <w:fldChar w:fldCharType="end"/>
      </w:r>
      <w:r w:rsidRPr="00B57B74">
        <w:t>.  In application no. 32225/20 the applicant did not submit any claims for just satisfaction, despite being invited to do so. Accordingly, the Court considers that there is no call to award him any sum on that account.</w:t>
      </w:r>
    </w:p>
    <w:p w:rsidRPr="00B57B74" w:rsidR="00DD1E10" w:rsidP="00B57B74" w14:paraId="627CC5CA" w14:textId="468A20BB">
      <w:pPr>
        <w:pStyle w:val="JuPara"/>
      </w:pPr>
      <w:r w:rsidRPr="00B57B74">
        <w:fldChar w:fldCharType="begin"/>
      </w:r>
      <w:r w:rsidRPr="00B57B74">
        <w:instrText xml:space="preserve"> SEQ level0 \*arabic </w:instrText>
      </w:r>
      <w:r w:rsidRPr="00B57B74">
        <w:fldChar w:fldCharType="separate"/>
      </w:r>
      <w:r w:rsidRPr="00B57B74" w:rsidR="00B57B74">
        <w:rPr>
          <w:noProof/>
        </w:rPr>
        <w:t>15</w:t>
      </w:r>
      <w:r w:rsidRPr="00B57B74">
        <w:fldChar w:fldCharType="end"/>
      </w:r>
      <w:r w:rsidRPr="00B57B74">
        <w:t>.  Regard being had to the documents in its possession and to its case</w:t>
      </w:r>
      <w:r w:rsidRPr="00B57B74">
        <w:noBreakHyphen/>
        <w:t xml:space="preserve">law (see, in particular, </w:t>
      </w:r>
      <w:r w:rsidRPr="00B57B74">
        <w:rPr>
          <w:i/>
        </w:rPr>
        <w:t>Malyk</w:t>
      </w:r>
      <w:r w:rsidRPr="00B57B74">
        <w:rPr>
          <w:i/>
        </w:rPr>
        <w:t xml:space="preserve"> v.</w:t>
      </w:r>
      <w:r w:rsidRPr="00B57B74" w:rsidR="0075352C">
        <w:rPr>
          <w:i/>
        </w:rPr>
        <w:t> </w:t>
      </w:r>
      <w:r w:rsidRPr="00B57B74">
        <w:rPr>
          <w:i/>
        </w:rPr>
        <w:t>Ukraine</w:t>
      </w:r>
      <w:r w:rsidRPr="00B57B74">
        <w:t>, no.</w:t>
      </w:r>
      <w:r w:rsidRPr="00B57B74" w:rsidR="000E1F7C">
        <w:t> </w:t>
      </w:r>
      <w:r w:rsidRPr="00B57B74">
        <w:t>37198/10, 29</w:t>
      </w:r>
      <w:r w:rsidRPr="00B57B74" w:rsidR="000E1F7C">
        <w:t> </w:t>
      </w:r>
      <w:r w:rsidRPr="00B57B74">
        <w:t>January 2015), the Court considers it reasonable to award the sums indicated in the appended table to the remaining applicants.</w:t>
      </w:r>
    </w:p>
    <w:p w:rsidRPr="00B57B74" w:rsidR="00DD1E10" w:rsidP="00B57B74" w14:paraId="67BCCFD7" w14:textId="77777777">
      <w:pPr>
        <w:pStyle w:val="JuHHead"/>
        <w:jc w:val="left"/>
      </w:pPr>
      <w:r w:rsidRPr="00B57B74">
        <w:t>FOR THESE REASONS, THE COURT</w:t>
      </w:r>
      <w:r w:rsidRPr="00B57B74">
        <w:rPr>
          <w:color w:val="000000"/>
        </w:rPr>
        <w:t>,</w:t>
      </w:r>
      <w:r w:rsidRPr="00B57B74">
        <w:t xml:space="preserve"> UNANIMOUSLY,</w:t>
      </w:r>
    </w:p>
    <w:p w:rsidRPr="00B57B74" w:rsidR="00DD1E10" w:rsidP="00B57B74" w14:paraId="517E55CD" w14:textId="77777777">
      <w:pPr>
        <w:pStyle w:val="JuList"/>
        <w:keepNext/>
        <w:keepLines/>
      </w:pPr>
      <w:r w:rsidRPr="00B57B74">
        <w:rPr>
          <w:i/>
        </w:rPr>
        <w:t xml:space="preserve">Decides </w:t>
      </w:r>
      <w:r w:rsidRPr="00B57B74">
        <w:t>to join the applications;</w:t>
      </w:r>
    </w:p>
    <w:p w:rsidRPr="00B57B74" w:rsidR="00DD1E10" w:rsidP="00B57B74" w14:paraId="76AE8C7C" w14:textId="77777777">
      <w:pPr>
        <w:pStyle w:val="JuList"/>
        <w:keepNext/>
        <w:keepLines/>
      </w:pPr>
      <w:r w:rsidRPr="00B57B74">
        <w:rPr>
          <w:i/>
        </w:rPr>
        <w:t xml:space="preserve">Declares </w:t>
      </w:r>
      <w:r w:rsidRPr="00B57B74">
        <w:t>the applications admissible;</w:t>
      </w:r>
    </w:p>
    <w:p w:rsidRPr="00B57B74" w:rsidR="00DD1E10" w:rsidP="00B57B74" w14:paraId="21506A48" w14:textId="50ED9DB2">
      <w:pPr>
        <w:pStyle w:val="JuList"/>
        <w:rPr>
          <w:rFonts w:cstheme="minorHAnsi"/>
          <w:bCs/>
        </w:rPr>
      </w:pPr>
      <w:r w:rsidRPr="00B57B74">
        <w:rPr>
          <w:i/>
        </w:rPr>
        <w:t xml:space="preserve">Holds </w:t>
      </w:r>
      <w:r w:rsidRPr="00B57B74">
        <w:t xml:space="preserve">that </w:t>
      </w:r>
      <w:r w:rsidRPr="00B57B74">
        <w:rPr>
          <w:rFonts w:eastAsia="PMingLiU"/>
        </w:rPr>
        <w:t xml:space="preserve">these applications </w:t>
      </w:r>
      <w:r w:rsidRPr="00B57B74">
        <w:t>disclose a breach of Article</w:t>
      </w:r>
      <w:r w:rsidRPr="00B57B74" w:rsidR="000E1F7C">
        <w:t> </w:t>
      </w:r>
      <w:r w:rsidRPr="00B57B74">
        <w:t>5</w:t>
      </w:r>
      <w:r w:rsidRPr="00B57B74" w:rsidR="000E1F7C">
        <w:t> </w:t>
      </w:r>
      <w:r w:rsidRPr="00B57B74">
        <w:t>§</w:t>
      </w:r>
      <w:r w:rsidRPr="00B57B74" w:rsidR="000E1F7C">
        <w:t> </w:t>
      </w:r>
      <w:r w:rsidRPr="00B57B74">
        <w:t>1</w:t>
      </w:r>
      <w:r w:rsidRPr="00B57B74">
        <w:rPr>
          <w:rFonts w:eastAsia="PMingLiU"/>
        </w:rPr>
        <w:t xml:space="preserve"> of the Convention</w:t>
      </w:r>
      <w:r w:rsidRPr="00B57B74">
        <w:t xml:space="preserve"> concerning the unlawful detention, as described in the appended table, and </w:t>
      </w:r>
      <w:r w:rsidRPr="00B57B74">
        <w:rPr>
          <w:i/>
          <w:iCs/>
        </w:rPr>
        <w:t xml:space="preserve">decides </w:t>
      </w:r>
      <w:r w:rsidRPr="00B57B74">
        <w:t>that it is not necessary to examine separately the merits of the remaining complaints raised under Article</w:t>
      </w:r>
      <w:r w:rsidRPr="00B57B74" w:rsidR="000E1F7C">
        <w:t> </w:t>
      </w:r>
      <w:r w:rsidRPr="00B57B74">
        <w:t xml:space="preserve">5 </w:t>
      </w:r>
      <w:r w:rsidRPr="00B57B74">
        <w:rPr>
          <w:rFonts w:eastAsia="PMingLiU"/>
        </w:rPr>
        <w:t xml:space="preserve">of the Convention by the applicant in application no. </w:t>
      </w:r>
      <w:r w:rsidRPr="00B57B74">
        <w:rPr>
          <w:rFonts w:ascii="Times New Roman" w:hAnsi="Times New Roman" w:cs="Times New Roman"/>
          <w:color w:val="000000"/>
        </w:rPr>
        <w:t>29978/14</w:t>
      </w:r>
      <w:r w:rsidRPr="00B57B74">
        <w:rPr>
          <w:rFonts w:eastAsia="PMingLiU"/>
        </w:rPr>
        <w:t>;</w:t>
      </w:r>
    </w:p>
    <w:p w:rsidRPr="00B57B74" w:rsidR="00DD1E10" w:rsidP="00B57B74" w14:paraId="250A221A" w14:textId="77777777">
      <w:pPr>
        <w:pStyle w:val="JuList"/>
      </w:pPr>
      <w:r w:rsidRPr="00B57B74">
        <w:rPr>
          <w:i/>
        </w:rPr>
        <w:t xml:space="preserve">Holds </w:t>
      </w:r>
      <w:r w:rsidRPr="00B57B74">
        <w:t>that there has been a violation of the Convention as regards the other complaints raised under well-established case-law of the Court (see appended table);</w:t>
      </w:r>
    </w:p>
    <w:p w:rsidRPr="00B57B74" w:rsidR="00DD1E10" w:rsidP="00B57B74" w14:paraId="10CB0009" w14:textId="77777777">
      <w:pPr>
        <w:pStyle w:val="JuList"/>
        <w:ind w:left="0" w:firstLine="0"/>
        <w:rPr>
          <w:rFonts w:cstheme="minorHAnsi"/>
          <w:bCs/>
        </w:rPr>
      </w:pPr>
      <w:r w:rsidRPr="00B57B74">
        <w:rPr>
          <w:i/>
        </w:rPr>
        <w:t>Holds</w:t>
      </w:r>
    </w:p>
    <w:p w:rsidRPr="00B57B74" w:rsidR="00DD1E10" w:rsidP="00B57B74" w14:paraId="56CD22C6" w14:textId="70B0DB58">
      <w:pPr>
        <w:pStyle w:val="JuLista"/>
      </w:pPr>
      <w:r w:rsidRPr="00B57B74">
        <w:t>that the respondent State is to pay the applicants, save for the applicant in application no.</w:t>
      </w:r>
      <w:r w:rsidRPr="00B57B74" w:rsidR="000E1F7C">
        <w:t> </w:t>
      </w:r>
      <w:r w:rsidRPr="00B57B74">
        <w:t xml:space="preserve">32225/20, within three months, the amounts indicated in the appended table, to be converted into </w:t>
      </w:r>
      <w:r w:rsidRPr="00B57B74">
        <w:rPr>
          <w:color w:val="000000"/>
        </w:rPr>
        <w:t>the currency of the respondent State</w:t>
      </w:r>
      <w:r w:rsidRPr="00B57B74">
        <w:t xml:space="preserve"> at the rate applicable at the date of settlement;</w:t>
      </w:r>
    </w:p>
    <w:p w:rsidRPr="00B57B74" w:rsidR="00787E12" w:rsidP="00B57B74" w14:paraId="16BBE70A" w14:textId="77777777">
      <w:pPr>
        <w:pStyle w:val="JuLista"/>
      </w:pPr>
      <w:r w:rsidRPr="00B57B74">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B57B74" w:rsidR="00C43D38" w:rsidP="00B57B74" w14:paraId="419B2DB2" w14:textId="4847E307">
      <w:pPr>
        <w:pStyle w:val="JuParaLast"/>
      </w:pPr>
      <w:r w:rsidRPr="00B57B74">
        <w:t xml:space="preserve">Done in English, and notified in writing on </w:t>
      </w:r>
      <w:r w:rsidRPr="00B57B74" w:rsidR="00DD1E10">
        <w:t>5 October 2023</w:t>
      </w:r>
      <w:r w:rsidRPr="00B57B74">
        <w:t>, pursuant to Rule 77 §§ 2 and 3 of the Rules of Court.</w:t>
      </w:r>
    </w:p>
    <w:p w:rsidRPr="00B57B74" w:rsidR="00B91668" w:rsidP="00B57B74" w14:paraId="1CCFDC66" w14:textId="1AD50892">
      <w:pPr>
        <w:pStyle w:val="JuSigned"/>
        <w:rPr>
          <w:rFonts w:eastAsia="PMingLiU"/>
          <w:lang w:val="it-IT"/>
        </w:rPr>
      </w:pPr>
      <w:r w:rsidRPr="00B57B74">
        <w:rPr>
          <w:rFonts w:eastAsia="PMingLiU"/>
        </w:rPr>
        <w:tab/>
      </w:r>
      <w:r w:rsidRPr="00B57B74" w:rsidR="00DD1E10">
        <w:rPr>
          <w:rFonts w:eastAsia="PMingLiU"/>
          <w:lang w:val="it-IT"/>
        </w:rPr>
        <w:t>Viktoriya</w:t>
      </w:r>
      <w:r w:rsidRPr="00B57B74" w:rsidR="0048584C">
        <w:rPr>
          <w:rFonts w:eastAsia="PMingLiU"/>
          <w:lang w:val="it-IT"/>
        </w:rPr>
        <w:t xml:space="preserve"> </w:t>
      </w:r>
      <w:r w:rsidRPr="00B57B74" w:rsidR="00DD1E10">
        <w:rPr>
          <w:rFonts w:eastAsia="PMingLiU"/>
          <w:lang w:val="it-IT"/>
        </w:rPr>
        <w:t>Maradudina</w:t>
      </w:r>
      <w:r w:rsidRPr="00B57B74" w:rsidR="0048584C">
        <w:rPr>
          <w:rFonts w:eastAsia="PMingLiU"/>
          <w:lang w:val="it-IT"/>
        </w:rPr>
        <w:tab/>
      </w:r>
      <w:r w:rsidRPr="00B57B74" w:rsidR="000E1F7C">
        <w:rPr>
          <w:lang w:val="it-IT"/>
        </w:rPr>
        <w:t>Carlo Ranzoni</w:t>
      </w:r>
      <w:r w:rsidRPr="00B57B74" w:rsidR="00E87427">
        <w:rPr>
          <w:rFonts w:eastAsia="PMingLiU"/>
          <w:lang w:val="it-IT"/>
        </w:rPr>
        <w:br/>
      </w:r>
      <w:r w:rsidRPr="00B57B74" w:rsidR="0048584C">
        <w:rPr>
          <w:rFonts w:eastAsia="PMingLiU"/>
          <w:lang w:val="it-IT"/>
        </w:rPr>
        <w:tab/>
      </w:r>
      <w:r w:rsidRPr="00B57B74" w:rsidR="0048584C">
        <w:rPr>
          <w:rFonts w:eastAsia="PMingLiU"/>
          <w:lang w:val="it-IT"/>
        </w:rPr>
        <w:t>Acting</w:t>
      </w:r>
      <w:r w:rsidRPr="00B57B74" w:rsidR="0048584C">
        <w:rPr>
          <w:rFonts w:eastAsia="PMingLiU"/>
          <w:lang w:val="it-IT"/>
        </w:rPr>
        <w:t xml:space="preserve"> </w:t>
      </w:r>
      <w:r w:rsidRPr="00B57B74" w:rsidR="0048584C">
        <w:rPr>
          <w:rFonts w:eastAsia="PMingLiU"/>
          <w:lang w:val="it-IT"/>
        </w:rPr>
        <w:t>Deputy</w:t>
      </w:r>
      <w:r w:rsidRPr="00B57B74" w:rsidR="0048584C">
        <w:rPr>
          <w:rFonts w:eastAsia="PMingLiU"/>
          <w:lang w:val="it-IT"/>
        </w:rPr>
        <w:t xml:space="preserve"> Registrar</w:t>
      </w:r>
      <w:r w:rsidRPr="00B57B74" w:rsidR="0048584C">
        <w:rPr>
          <w:rFonts w:eastAsia="PMingLiU"/>
          <w:lang w:val="it-IT"/>
        </w:rPr>
        <w:tab/>
      </w:r>
      <w:r w:rsidRPr="00B57B74" w:rsidR="0048584C">
        <w:rPr>
          <w:rFonts w:eastAsia="PMingLiU"/>
          <w:lang w:val="it-IT"/>
        </w:rPr>
        <w:t>President</w:t>
      </w:r>
    </w:p>
    <w:p w:rsidRPr="00B57B74" w:rsidR="00B91668" w:rsidP="00B57B74" w14:paraId="6D470440" w14:textId="77777777">
      <w:pPr>
        <w:rPr>
          <w:rFonts w:eastAsia="PMingLiU"/>
          <w:lang w:val="it-IT"/>
        </w:rPr>
      </w:pPr>
    </w:p>
    <w:p w:rsidRPr="00B57B74" w:rsidR="00BD554D" w:rsidP="00B57B74" w14:paraId="587B0B3A" w14:textId="77777777">
      <w:pPr>
        <w:pStyle w:val="JuSigned"/>
        <w:tabs>
          <w:tab w:val="left" w:pos="5115"/>
        </w:tabs>
        <w:contextualSpacing/>
        <w:rPr>
          <w:rFonts w:eastAsia="PMingLiU"/>
          <w:lang w:val="it-IT"/>
        </w:rPr>
      </w:pPr>
      <w:r w:rsidRPr="00B57B74">
        <w:rPr>
          <w:rFonts w:eastAsia="PMingLiU"/>
          <w:lang w:val="it-IT"/>
        </w:rPr>
        <w:tab/>
      </w:r>
    </w:p>
    <w:p w:rsidRPr="00B57B74" w:rsidR="00787E12" w:rsidP="00B57B74" w14:paraId="036A9334" w14:textId="77777777">
      <w:pPr>
        <w:pStyle w:val="JuSigned"/>
        <w:tabs>
          <w:tab w:val="center" w:pos="1134"/>
        </w:tabs>
        <w:contextualSpacing/>
        <w:rPr>
          <w:rFonts w:eastAsia="PMingLiU"/>
          <w:lang w:val="it-IT"/>
        </w:rPr>
      </w:pPr>
    </w:p>
    <w:p w:rsidRPr="00B57B74" w:rsidR="00787E12" w:rsidP="00B57B74" w14:paraId="2A9DF148" w14:textId="77777777">
      <w:pPr>
        <w:pStyle w:val="JuParaLast"/>
        <w:rPr>
          <w:lang w:val="it-IT"/>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B57B74" w:rsidR="00787E12" w:rsidP="00B57B74" w14:paraId="083E2443" w14:textId="77777777">
      <w:pPr>
        <w:pStyle w:val="DecHTitle"/>
      </w:pPr>
      <w:r w:rsidRPr="00B57B74">
        <w:t>APPENDIX</w:t>
      </w:r>
    </w:p>
    <w:p w:rsidRPr="00B57B74" w:rsidR="00787E12" w:rsidP="00B57B74" w14:paraId="5301CE4B" w14:textId="26DAE6CE">
      <w:pPr>
        <w:pStyle w:val="DecHCase"/>
        <w:contextualSpacing/>
        <w:rPr>
          <w:b/>
          <w:i/>
          <w:color w:val="3E3E3E" w:themeColor="background2" w:themeShade="40"/>
        </w:rPr>
      </w:pPr>
      <w:r w:rsidRPr="00B57B74">
        <w:rPr>
          <w:color w:val="3E3E3E" w:themeColor="background2" w:themeShade="40"/>
        </w:rPr>
        <w:t>List of applications</w:t>
      </w:r>
      <w:r w:rsidRPr="00B57B74" w:rsidR="0048584C">
        <w:rPr>
          <w:color w:val="3E3E3E" w:themeColor="background2" w:themeShade="40"/>
        </w:rPr>
        <w:t xml:space="preserve"> raising complaints under Article</w:t>
      </w:r>
      <w:r w:rsidRPr="00B57B74">
        <w:rPr>
          <w:color w:val="3E3E3E" w:themeColor="background2" w:themeShade="40"/>
        </w:rPr>
        <w:t xml:space="preserve"> 5 § 1 of the Convention</w:t>
      </w:r>
    </w:p>
    <w:p w:rsidRPr="00B57B74" w:rsidR="00787E12" w:rsidP="00B57B74" w14:paraId="0753F6AE" w14:textId="18199DA7">
      <w:pPr>
        <w:pStyle w:val="DecHCase"/>
        <w:contextualSpacing/>
        <w:rPr>
          <w:b/>
          <w:i/>
        </w:rPr>
      </w:pPr>
      <w:r w:rsidRPr="00B57B74">
        <w:rPr>
          <w:color w:val="3E3E3E" w:themeColor="background2" w:themeShade="40"/>
        </w:rPr>
        <w:t>(</w:t>
      </w:r>
      <w:r w:rsidRPr="00B57B74" w:rsidR="00DD1E10">
        <w:rPr>
          <w:color w:val="3E3E3E" w:themeColor="background2" w:themeShade="40"/>
        </w:rPr>
        <w:t>unlawful detention</w:t>
      </w:r>
      <w:r w:rsidRPr="00B57B74">
        <w:rPr>
          <w:color w:val="3E3E3E" w:themeColor="background2" w:themeShade="40"/>
        </w:rPr>
        <w:t>)</w:t>
      </w:r>
    </w:p>
    <w:tbl>
      <w:tblPr>
        <w:tblStyle w:val="ECHRListTable"/>
        <w:tblW w:w="13609" w:type="dxa"/>
        <w:jc w:val="center"/>
        <w:tblLook w:val="0420"/>
      </w:tblPr>
      <w:tblGrid>
        <w:gridCol w:w="452"/>
        <w:gridCol w:w="1416"/>
        <w:gridCol w:w="1586"/>
        <w:gridCol w:w="1392"/>
        <w:gridCol w:w="1038"/>
        <w:gridCol w:w="1599"/>
        <w:gridCol w:w="1173"/>
        <w:gridCol w:w="2268"/>
        <w:gridCol w:w="1272"/>
        <w:gridCol w:w="1413"/>
      </w:tblGrid>
      <w:tr w:rsidTr="00ED3B73" w14:paraId="1C14272D" w14:textId="77777777">
        <w:tblPrEx>
          <w:tblW w:w="13609" w:type="dxa"/>
          <w:jc w:val="center"/>
          <w:tblLook w:val="0420"/>
        </w:tblPrEx>
        <w:trPr>
          <w:jc w:val="center"/>
        </w:trPr>
        <w:tc>
          <w:tcPr>
            <w:tcW w:w="421" w:type="dxa"/>
          </w:tcPr>
          <w:p w:rsidRPr="00B57B74" w:rsidR="001E638C" w:rsidP="00B57B74" w14:paraId="41CA1225" w14:textId="77777777">
            <w:pPr>
              <w:jc w:val="center"/>
              <w:rPr>
                <w:sz w:val="16"/>
              </w:rPr>
            </w:pPr>
            <w:bookmarkStart w:name="WECLListStart" w:id="2"/>
            <w:bookmarkEnd w:id="2"/>
            <w:r w:rsidRPr="00B57B74">
              <w:rPr>
                <w:sz w:val="16"/>
              </w:rPr>
              <w:t>No.</w:t>
            </w:r>
          </w:p>
        </w:tc>
        <w:tc>
          <w:tcPr>
            <w:tcW w:w="1421" w:type="dxa"/>
          </w:tcPr>
          <w:p w:rsidRPr="00B57B74" w:rsidR="001E638C" w:rsidP="00B57B74" w14:paraId="0026E41F" w14:textId="77777777">
            <w:pPr>
              <w:jc w:val="center"/>
              <w:rPr>
                <w:sz w:val="16"/>
              </w:rPr>
            </w:pPr>
            <w:r w:rsidRPr="00B57B74">
              <w:rPr>
                <w:sz w:val="16"/>
              </w:rPr>
              <w:t>Application no.</w:t>
            </w:r>
          </w:p>
          <w:p w:rsidRPr="00B57B74" w:rsidR="001E638C" w:rsidP="00B57B74" w14:paraId="6F0A2218" w14:textId="77777777">
            <w:pPr>
              <w:jc w:val="center"/>
              <w:rPr>
                <w:sz w:val="16"/>
              </w:rPr>
            </w:pPr>
            <w:r w:rsidRPr="00B57B74">
              <w:rPr>
                <w:sz w:val="16"/>
              </w:rPr>
              <w:t>Date of introduction</w:t>
            </w:r>
          </w:p>
        </w:tc>
        <w:tc>
          <w:tcPr>
            <w:tcW w:w="1586" w:type="dxa"/>
          </w:tcPr>
          <w:p w:rsidRPr="00B57B74" w:rsidR="001E638C" w:rsidP="00B57B74" w14:paraId="72CAF2B2" w14:textId="66508170">
            <w:pPr>
              <w:jc w:val="center"/>
              <w:rPr>
                <w:sz w:val="16"/>
              </w:rPr>
            </w:pPr>
            <w:r w:rsidRPr="00B57B74">
              <w:rPr>
                <w:sz w:val="16"/>
              </w:rPr>
              <w:t>Applicant</w:t>
            </w:r>
            <w:r w:rsidRPr="00B57B74" w:rsidR="00B57B74">
              <w:rPr>
                <w:sz w:val="16"/>
              </w:rPr>
              <w:t>’</w:t>
            </w:r>
            <w:r w:rsidRPr="00B57B74">
              <w:rPr>
                <w:sz w:val="16"/>
              </w:rPr>
              <w:t>s name</w:t>
            </w:r>
          </w:p>
          <w:p w:rsidRPr="00B57B74" w:rsidR="001E638C" w:rsidP="00B57B74" w14:paraId="6ECD882E" w14:textId="77777777">
            <w:pPr>
              <w:jc w:val="center"/>
              <w:rPr>
                <w:sz w:val="16"/>
              </w:rPr>
            </w:pPr>
            <w:r w:rsidRPr="00B57B74">
              <w:rPr>
                <w:sz w:val="16"/>
              </w:rPr>
              <w:t>Year of birth</w:t>
            </w:r>
          </w:p>
        </w:tc>
        <w:tc>
          <w:tcPr>
            <w:tcW w:w="1392" w:type="dxa"/>
          </w:tcPr>
          <w:p w:rsidRPr="00B57B74" w:rsidR="00DA25D2" w:rsidP="00B57B74" w14:paraId="70D26D54" w14:textId="6240033A">
            <w:pPr>
              <w:jc w:val="center"/>
              <w:rPr>
                <w:b w:val="0"/>
                <w:sz w:val="16"/>
              </w:rPr>
            </w:pPr>
            <w:r w:rsidRPr="00B57B74">
              <w:rPr>
                <w:sz w:val="16"/>
              </w:rPr>
              <w:t>Representative</w:t>
            </w:r>
            <w:r w:rsidRPr="00B57B74" w:rsidR="00B57B74">
              <w:rPr>
                <w:sz w:val="16"/>
              </w:rPr>
              <w:t>’</w:t>
            </w:r>
            <w:r w:rsidRPr="00B57B74">
              <w:rPr>
                <w:sz w:val="16"/>
              </w:rPr>
              <w:t>s name</w:t>
            </w:r>
          </w:p>
          <w:p w:rsidRPr="00B57B74" w:rsidR="001E638C" w:rsidP="00B57B74" w14:paraId="5DEE2DBE" w14:textId="3BBD8635">
            <w:pPr>
              <w:jc w:val="center"/>
              <w:rPr>
                <w:sz w:val="16"/>
              </w:rPr>
            </w:pPr>
            <w:r w:rsidRPr="00B57B74">
              <w:rPr>
                <w:sz w:val="16"/>
              </w:rPr>
              <w:t>and location</w:t>
            </w:r>
          </w:p>
        </w:tc>
        <w:tc>
          <w:tcPr>
            <w:tcW w:w="1039" w:type="dxa"/>
          </w:tcPr>
          <w:p w:rsidRPr="00B57B74" w:rsidR="001E638C" w:rsidP="00B57B74" w14:paraId="155DB48F" w14:textId="77777777">
            <w:pPr>
              <w:jc w:val="center"/>
              <w:rPr>
                <w:sz w:val="16"/>
              </w:rPr>
            </w:pPr>
            <w:r w:rsidRPr="00B57B74">
              <w:rPr>
                <w:sz w:val="16"/>
              </w:rPr>
              <w:t>Period of unlawful detention</w:t>
            </w:r>
          </w:p>
        </w:tc>
        <w:tc>
          <w:tcPr>
            <w:tcW w:w="1602" w:type="dxa"/>
          </w:tcPr>
          <w:p w:rsidRPr="00B57B74" w:rsidR="001E638C" w:rsidP="00B57B74" w14:paraId="46E47FF5" w14:textId="77777777">
            <w:pPr>
              <w:jc w:val="center"/>
              <w:rPr>
                <w:sz w:val="16"/>
              </w:rPr>
            </w:pPr>
            <w:r w:rsidRPr="00B57B74">
              <w:rPr>
                <w:sz w:val="16"/>
              </w:rPr>
              <w:t>Specific defects</w:t>
            </w:r>
          </w:p>
        </w:tc>
        <w:tc>
          <w:tcPr>
            <w:tcW w:w="1173" w:type="dxa"/>
          </w:tcPr>
          <w:p w:rsidRPr="00B57B74" w:rsidR="001E638C" w:rsidP="00B57B74" w14:paraId="470DA1B6" w14:textId="77777777">
            <w:pPr>
              <w:jc w:val="center"/>
              <w:rPr>
                <w:sz w:val="16"/>
              </w:rPr>
            </w:pPr>
            <w:r w:rsidRPr="00B57B74">
              <w:rPr>
                <w:sz w:val="16"/>
              </w:rPr>
              <w:t>Relevant domestic decision</w:t>
            </w:r>
          </w:p>
        </w:tc>
        <w:tc>
          <w:tcPr>
            <w:tcW w:w="2281" w:type="dxa"/>
          </w:tcPr>
          <w:p w:rsidRPr="00B57B74" w:rsidR="00ED3B73" w:rsidP="00B57B74" w14:paraId="7F1686C2" w14:textId="77777777">
            <w:pPr>
              <w:jc w:val="center"/>
              <w:rPr>
                <w:b w:val="0"/>
                <w:sz w:val="16"/>
              </w:rPr>
            </w:pPr>
            <w:r w:rsidRPr="00B57B74">
              <w:rPr>
                <w:sz w:val="16"/>
              </w:rPr>
              <w:t>Other complaints under</w:t>
            </w:r>
          </w:p>
          <w:p w:rsidRPr="00B57B74" w:rsidR="001E638C" w:rsidP="00B57B74" w14:paraId="7101966F" w14:textId="60001AF1">
            <w:pPr>
              <w:jc w:val="center"/>
              <w:rPr>
                <w:sz w:val="16"/>
              </w:rPr>
            </w:pPr>
            <w:r w:rsidRPr="00B57B74">
              <w:rPr>
                <w:sz w:val="16"/>
              </w:rPr>
              <w:t>well-established case-law</w:t>
            </w:r>
          </w:p>
        </w:tc>
        <w:tc>
          <w:tcPr>
            <w:tcW w:w="1276" w:type="dxa"/>
          </w:tcPr>
          <w:p w:rsidRPr="00B57B74" w:rsidR="00CE346F" w:rsidP="00B57B74" w14:paraId="6179CACB" w14:textId="77777777">
            <w:pPr>
              <w:jc w:val="center"/>
              <w:rPr>
                <w:b w:val="0"/>
                <w:sz w:val="16"/>
              </w:rPr>
            </w:pPr>
            <w:r w:rsidRPr="00B57B74">
              <w:rPr>
                <w:sz w:val="16"/>
              </w:rPr>
              <w:t>Amount awarded for non-pecuniary damage</w:t>
            </w:r>
          </w:p>
          <w:p w:rsidRPr="00B57B74" w:rsidR="001E638C" w:rsidP="00B57B74" w14:paraId="64F51FED" w14:textId="2FEE3BD3">
            <w:pPr>
              <w:jc w:val="center"/>
              <w:rPr>
                <w:sz w:val="16"/>
              </w:rPr>
            </w:pPr>
            <w:r w:rsidRPr="00B57B74">
              <w:rPr>
                <w:sz w:val="16"/>
              </w:rPr>
              <w:t>per applicant</w:t>
            </w:r>
          </w:p>
          <w:p w:rsidRPr="00B57B74" w:rsidR="001E638C" w:rsidP="00B57B74" w14:paraId="2AD6ADD3" w14:textId="77777777">
            <w:pPr>
              <w:jc w:val="center"/>
              <w:rPr>
                <w:sz w:val="16"/>
              </w:rPr>
            </w:pPr>
            <w:r w:rsidRPr="00B57B74">
              <w:rPr>
                <w:sz w:val="16"/>
              </w:rPr>
              <w:t>(in euros)</w:t>
            </w:r>
            <w:r>
              <w:rPr>
                <w:rStyle w:val="FootnoteReference"/>
                <w:sz w:val="16"/>
              </w:rPr>
              <w:footnoteReference w:id="2"/>
            </w:r>
          </w:p>
        </w:tc>
        <w:tc>
          <w:tcPr>
            <w:tcW w:w="1418" w:type="dxa"/>
          </w:tcPr>
          <w:p w:rsidRPr="00B57B74" w:rsidR="001E638C" w:rsidP="00B57B74" w14:paraId="08D7529E" w14:textId="77777777">
            <w:pPr>
              <w:jc w:val="center"/>
              <w:rPr>
                <w:sz w:val="16"/>
              </w:rPr>
            </w:pPr>
            <w:r w:rsidRPr="00B57B74">
              <w:rPr>
                <w:sz w:val="16"/>
              </w:rPr>
              <w:t>Amount awarded for costs and expenses per application</w:t>
            </w:r>
          </w:p>
          <w:p w:rsidRPr="00B57B74" w:rsidR="001E638C" w:rsidP="00B57B74" w14:paraId="47893E81" w14:textId="77777777">
            <w:pPr>
              <w:jc w:val="center"/>
              <w:rPr>
                <w:sz w:val="16"/>
              </w:rPr>
            </w:pPr>
            <w:r w:rsidRPr="00B57B74">
              <w:rPr>
                <w:sz w:val="16"/>
              </w:rPr>
              <w:t>(in euros)</w:t>
            </w:r>
            <w:r>
              <w:rPr>
                <w:rStyle w:val="FootnoteReference"/>
                <w:sz w:val="16"/>
              </w:rPr>
              <w:footnoteReference w:id="3"/>
            </w:r>
          </w:p>
        </w:tc>
      </w:tr>
      <w:tr w:rsidTr="00ED3B73" w14:paraId="32B071E6" w14:textId="77777777">
        <w:tblPrEx>
          <w:tblW w:w="13609" w:type="dxa"/>
          <w:jc w:val="center"/>
          <w:tblLook w:val="0420"/>
        </w:tblPrEx>
        <w:trPr>
          <w:jc w:val="center"/>
        </w:trPr>
        <w:tc>
          <w:tcPr>
            <w:tcW w:w="421" w:type="dxa"/>
          </w:tcPr>
          <w:p w:rsidRPr="00B57B74" w:rsidR="001E638C" w:rsidP="00B57B74" w14:paraId="4C2FBA32" w14:textId="77777777">
            <w:pPr>
              <w:pStyle w:val="ListParagraph"/>
              <w:numPr>
                <w:ilvl w:val="0"/>
                <w:numId w:val="21"/>
              </w:numPr>
              <w:tabs>
                <w:tab w:val="num" w:pos="283"/>
              </w:tabs>
              <w:ind w:left="0" w:firstLine="0"/>
              <w:jc w:val="center"/>
              <w:rPr>
                <w:rFonts w:eastAsiaTheme="minorEastAsia"/>
                <w:sz w:val="16"/>
              </w:rPr>
            </w:pPr>
          </w:p>
        </w:tc>
        <w:tc>
          <w:tcPr>
            <w:tcW w:w="1421" w:type="dxa"/>
          </w:tcPr>
          <w:p w:rsidRPr="00B57B74" w:rsidR="001E638C" w:rsidP="00B57B74" w14:paraId="5E06E9A0" w14:textId="77777777">
            <w:pPr>
              <w:jc w:val="center"/>
              <w:rPr>
                <w:sz w:val="16"/>
              </w:rPr>
            </w:pPr>
            <w:r w:rsidRPr="00B57B74">
              <w:rPr>
                <w:sz w:val="16"/>
              </w:rPr>
              <w:t>29978/14</w:t>
            </w:r>
          </w:p>
          <w:p w:rsidRPr="00B57B74" w:rsidR="001E638C" w:rsidP="00B57B74" w14:paraId="4A3D9AAE" w14:textId="77777777">
            <w:pPr>
              <w:jc w:val="center"/>
              <w:rPr>
                <w:sz w:val="16"/>
              </w:rPr>
            </w:pPr>
            <w:r w:rsidRPr="00B57B74">
              <w:rPr>
                <w:sz w:val="16"/>
              </w:rPr>
              <w:t>08/04/2014</w:t>
            </w:r>
          </w:p>
        </w:tc>
        <w:tc>
          <w:tcPr>
            <w:tcW w:w="1586" w:type="dxa"/>
          </w:tcPr>
          <w:p w:rsidRPr="00B57B74" w:rsidR="001E638C" w:rsidP="00B57B74" w14:paraId="3863F335" w14:textId="77777777">
            <w:pPr>
              <w:jc w:val="center"/>
              <w:rPr>
                <w:sz w:val="16"/>
              </w:rPr>
            </w:pPr>
            <w:r w:rsidRPr="00B57B74">
              <w:rPr>
                <w:b/>
                <w:sz w:val="16"/>
              </w:rPr>
              <w:t xml:space="preserve">Volodymyr </w:t>
            </w:r>
            <w:r w:rsidRPr="00B57B74">
              <w:rPr>
                <w:b/>
                <w:sz w:val="16"/>
              </w:rPr>
              <w:t>Anatoliyovych</w:t>
            </w:r>
            <w:r w:rsidRPr="00B57B74">
              <w:rPr>
                <w:b/>
                <w:sz w:val="16"/>
              </w:rPr>
              <w:t xml:space="preserve"> SPESYVTSEV</w:t>
            </w:r>
          </w:p>
          <w:p w:rsidRPr="00B57B74" w:rsidR="001E638C" w:rsidP="00B57B74" w14:paraId="6D76049A" w14:textId="2C593957">
            <w:pPr>
              <w:jc w:val="center"/>
              <w:rPr>
                <w:sz w:val="16"/>
              </w:rPr>
            </w:pPr>
            <w:r w:rsidRPr="00B57B74">
              <w:rPr>
                <w:sz w:val="16"/>
              </w:rPr>
              <w:t>1987</w:t>
            </w:r>
            <w:r w:rsidRPr="00B57B74" w:rsidR="00E87427">
              <w:rPr>
                <w:sz w:val="16"/>
              </w:rPr>
              <w:t xml:space="preserve"> </w:t>
            </w:r>
          </w:p>
        </w:tc>
        <w:tc>
          <w:tcPr>
            <w:tcW w:w="1392" w:type="dxa"/>
          </w:tcPr>
          <w:p w:rsidRPr="00B57B74" w:rsidR="001E638C" w:rsidP="00B57B74" w14:paraId="639B8BAB" w14:textId="77777777">
            <w:pPr>
              <w:jc w:val="center"/>
              <w:rPr>
                <w:sz w:val="16"/>
              </w:rPr>
            </w:pPr>
            <w:r w:rsidRPr="00B57B74">
              <w:rPr>
                <w:sz w:val="16"/>
              </w:rPr>
              <w:t>Zubenko</w:t>
            </w:r>
            <w:r w:rsidRPr="00B57B74">
              <w:rPr>
                <w:sz w:val="16"/>
              </w:rPr>
              <w:t xml:space="preserve"> Viktoriya </w:t>
            </w:r>
            <w:r w:rsidRPr="00B57B74">
              <w:rPr>
                <w:sz w:val="16"/>
              </w:rPr>
              <w:t>Vasylivna</w:t>
            </w:r>
          </w:p>
          <w:p w:rsidRPr="00B57B74" w:rsidR="001E638C" w:rsidP="00B57B74" w14:paraId="614A058C" w14:textId="77777777">
            <w:pPr>
              <w:jc w:val="center"/>
              <w:rPr>
                <w:sz w:val="16"/>
              </w:rPr>
            </w:pPr>
            <w:r w:rsidRPr="00B57B74">
              <w:rPr>
                <w:sz w:val="16"/>
              </w:rPr>
              <w:t>Kharkiv</w:t>
            </w:r>
          </w:p>
        </w:tc>
        <w:tc>
          <w:tcPr>
            <w:tcW w:w="1039" w:type="dxa"/>
          </w:tcPr>
          <w:p w:rsidRPr="00B57B74" w:rsidR="001E638C" w:rsidP="00B57B74" w14:paraId="6FC3B14F" w14:textId="77777777">
            <w:pPr>
              <w:jc w:val="center"/>
              <w:rPr>
                <w:sz w:val="16"/>
              </w:rPr>
            </w:pPr>
            <w:r w:rsidRPr="00B57B74">
              <w:rPr>
                <w:sz w:val="16"/>
              </w:rPr>
              <w:t>22/11/2013 to 17/01/2014</w:t>
            </w:r>
          </w:p>
        </w:tc>
        <w:tc>
          <w:tcPr>
            <w:tcW w:w="1602" w:type="dxa"/>
          </w:tcPr>
          <w:p w:rsidRPr="00B57B74" w:rsidR="00E87427" w:rsidP="00B57B74" w14:paraId="04D91451" w14:textId="77777777">
            <w:pPr>
              <w:jc w:val="center"/>
              <w:rPr>
                <w:sz w:val="16"/>
              </w:rPr>
            </w:pPr>
            <w:r w:rsidRPr="00B57B74">
              <w:rPr>
                <w:sz w:val="16"/>
              </w:rPr>
              <w:t xml:space="preserve"> absence of any grounds given by the court in the decision authorising detention (</w:t>
            </w:r>
            <w:r w:rsidRPr="00B57B74">
              <w:rPr>
                <w:i/>
                <w:iCs/>
                <w:sz w:val="16"/>
              </w:rPr>
              <w:t>Ignatov v. Ukraine</w:t>
            </w:r>
            <w:r w:rsidRPr="00B57B74">
              <w:rPr>
                <w:sz w:val="16"/>
              </w:rPr>
              <w:t>, no. 40583/15,</w:t>
            </w:r>
          </w:p>
          <w:p w:rsidRPr="00B57B74" w:rsidR="001E638C" w:rsidP="00B57B74" w14:paraId="417621A7" w14:textId="06DDC4F1">
            <w:pPr>
              <w:jc w:val="center"/>
              <w:rPr>
                <w:sz w:val="16"/>
              </w:rPr>
            </w:pPr>
            <w:r w:rsidRPr="00B57B74">
              <w:rPr>
                <w:sz w:val="16"/>
              </w:rPr>
              <w:t>§§ 36-37, 15 December 2016)</w:t>
            </w:r>
          </w:p>
        </w:tc>
        <w:tc>
          <w:tcPr>
            <w:tcW w:w="1173" w:type="dxa"/>
          </w:tcPr>
          <w:p w:rsidRPr="00B57B74" w:rsidR="001E638C" w:rsidP="00B57B74" w14:paraId="6BF5EA8B" w14:textId="77777777">
            <w:pPr>
              <w:jc w:val="center"/>
              <w:rPr>
                <w:sz w:val="16"/>
              </w:rPr>
            </w:pPr>
            <w:r w:rsidRPr="00B57B74">
              <w:rPr>
                <w:sz w:val="16"/>
              </w:rPr>
              <w:t>Pervomayskyy</w:t>
            </w:r>
            <w:r w:rsidRPr="00B57B74">
              <w:rPr>
                <w:sz w:val="16"/>
              </w:rPr>
              <w:t xml:space="preserve"> Local Court of Kharkiv Region, 22/11/2013</w:t>
            </w:r>
          </w:p>
        </w:tc>
        <w:tc>
          <w:tcPr>
            <w:tcW w:w="2281" w:type="dxa"/>
          </w:tcPr>
          <w:p w:rsidRPr="00B57B74" w:rsidR="001E638C" w:rsidP="00B57B74" w14:paraId="5433BF65" w14:textId="77777777">
            <w:pPr>
              <w:jc w:val="center"/>
              <w:rPr>
                <w:sz w:val="16"/>
              </w:rPr>
            </w:pPr>
          </w:p>
        </w:tc>
        <w:tc>
          <w:tcPr>
            <w:tcW w:w="1276" w:type="dxa"/>
          </w:tcPr>
          <w:p w:rsidRPr="00B57B74" w:rsidR="001E638C" w:rsidP="00B57B74" w14:paraId="60426AEB" w14:textId="77777777">
            <w:pPr>
              <w:jc w:val="center"/>
              <w:rPr>
                <w:sz w:val="16"/>
              </w:rPr>
            </w:pPr>
            <w:r w:rsidRPr="00B57B74">
              <w:rPr>
                <w:sz w:val="16"/>
              </w:rPr>
              <w:t>1,800</w:t>
            </w:r>
          </w:p>
        </w:tc>
        <w:tc>
          <w:tcPr>
            <w:tcW w:w="1418" w:type="dxa"/>
          </w:tcPr>
          <w:p w:rsidRPr="00B57B74" w:rsidR="001E638C" w:rsidP="00B57B74" w14:paraId="6F0CA26B" w14:textId="77777777">
            <w:pPr>
              <w:jc w:val="center"/>
              <w:rPr>
                <w:sz w:val="16"/>
              </w:rPr>
            </w:pPr>
            <w:r w:rsidRPr="00B57B74">
              <w:rPr>
                <w:sz w:val="16"/>
              </w:rPr>
              <w:t>250</w:t>
            </w:r>
          </w:p>
        </w:tc>
      </w:tr>
      <w:tr w:rsidTr="00ED3B73" w14:paraId="4C067CE6" w14:textId="77777777">
        <w:tblPrEx>
          <w:tblW w:w="13609" w:type="dxa"/>
          <w:jc w:val="center"/>
          <w:tblLook w:val="0420"/>
        </w:tblPrEx>
        <w:trPr>
          <w:jc w:val="center"/>
        </w:trPr>
        <w:tc>
          <w:tcPr>
            <w:tcW w:w="421" w:type="dxa"/>
          </w:tcPr>
          <w:p w:rsidRPr="00B57B74" w:rsidR="001E638C" w:rsidP="00B57B74" w14:paraId="360E5C39" w14:textId="77777777">
            <w:pPr>
              <w:pStyle w:val="ListParagraph"/>
              <w:numPr>
                <w:ilvl w:val="0"/>
                <w:numId w:val="21"/>
              </w:numPr>
              <w:tabs>
                <w:tab w:val="num" w:pos="283"/>
              </w:tabs>
              <w:ind w:left="0" w:firstLine="0"/>
              <w:jc w:val="center"/>
              <w:rPr>
                <w:rFonts w:eastAsiaTheme="minorEastAsia"/>
                <w:sz w:val="16"/>
              </w:rPr>
            </w:pPr>
          </w:p>
        </w:tc>
        <w:tc>
          <w:tcPr>
            <w:tcW w:w="1421" w:type="dxa"/>
          </w:tcPr>
          <w:p w:rsidRPr="00B57B74" w:rsidR="001E638C" w:rsidP="00B57B74" w14:paraId="5FF4BE1D" w14:textId="77777777">
            <w:pPr>
              <w:jc w:val="center"/>
              <w:rPr>
                <w:sz w:val="16"/>
              </w:rPr>
            </w:pPr>
            <w:r w:rsidRPr="00B57B74">
              <w:rPr>
                <w:sz w:val="16"/>
              </w:rPr>
              <w:t>32225/20</w:t>
            </w:r>
          </w:p>
          <w:p w:rsidRPr="00B57B74" w:rsidR="001E638C" w:rsidP="00B57B74" w14:paraId="4B2E3C58" w14:textId="77777777">
            <w:pPr>
              <w:jc w:val="center"/>
              <w:rPr>
                <w:sz w:val="16"/>
              </w:rPr>
            </w:pPr>
            <w:r w:rsidRPr="00B57B74">
              <w:rPr>
                <w:sz w:val="16"/>
              </w:rPr>
              <w:t>21/07/2020</w:t>
            </w:r>
          </w:p>
        </w:tc>
        <w:tc>
          <w:tcPr>
            <w:tcW w:w="1586" w:type="dxa"/>
          </w:tcPr>
          <w:p w:rsidRPr="00B57B74" w:rsidR="001E638C" w:rsidP="00B57B74" w14:paraId="47CDE5B1" w14:textId="77777777">
            <w:pPr>
              <w:jc w:val="center"/>
              <w:rPr>
                <w:sz w:val="16"/>
              </w:rPr>
            </w:pPr>
            <w:r w:rsidRPr="00B57B74">
              <w:rPr>
                <w:b/>
                <w:sz w:val="16"/>
              </w:rPr>
              <w:t xml:space="preserve">Oleksandr </w:t>
            </w:r>
            <w:r w:rsidRPr="00B57B74">
              <w:rPr>
                <w:b/>
                <w:sz w:val="16"/>
              </w:rPr>
              <w:t>Viktorovych</w:t>
            </w:r>
            <w:r w:rsidRPr="00B57B74">
              <w:rPr>
                <w:b/>
                <w:sz w:val="16"/>
              </w:rPr>
              <w:t xml:space="preserve"> HRYTSENKO</w:t>
            </w:r>
          </w:p>
          <w:p w:rsidRPr="00B57B74" w:rsidR="001E638C" w:rsidP="00B57B74" w14:paraId="40F19C74" w14:textId="029987C1">
            <w:pPr>
              <w:jc w:val="center"/>
              <w:rPr>
                <w:sz w:val="16"/>
              </w:rPr>
            </w:pPr>
            <w:r w:rsidRPr="00B57B74">
              <w:rPr>
                <w:sz w:val="16"/>
              </w:rPr>
              <w:t>1975</w:t>
            </w:r>
            <w:r w:rsidRPr="00B57B74" w:rsidR="00E87427">
              <w:rPr>
                <w:sz w:val="16"/>
              </w:rPr>
              <w:t xml:space="preserve"> </w:t>
            </w:r>
          </w:p>
        </w:tc>
        <w:tc>
          <w:tcPr>
            <w:tcW w:w="1392" w:type="dxa"/>
          </w:tcPr>
          <w:p w:rsidRPr="00B57B74" w:rsidR="001E638C" w:rsidP="00B57B74" w14:paraId="100BF03A" w14:textId="77777777">
            <w:pPr>
              <w:jc w:val="center"/>
              <w:rPr>
                <w:sz w:val="16"/>
              </w:rPr>
            </w:pPr>
            <w:r w:rsidRPr="00B57B74">
              <w:rPr>
                <w:sz w:val="16"/>
              </w:rPr>
              <w:t>Dyomin</w:t>
            </w:r>
            <w:r w:rsidRPr="00B57B74">
              <w:rPr>
                <w:sz w:val="16"/>
              </w:rPr>
              <w:t xml:space="preserve"> Denys </w:t>
            </w:r>
            <w:r w:rsidRPr="00B57B74">
              <w:rPr>
                <w:sz w:val="16"/>
              </w:rPr>
              <w:t>Sergiyovych</w:t>
            </w:r>
          </w:p>
          <w:p w:rsidRPr="00B57B74" w:rsidR="001E638C" w:rsidP="00B57B74" w14:paraId="350B8BA1" w14:textId="77777777">
            <w:pPr>
              <w:jc w:val="center"/>
              <w:rPr>
                <w:sz w:val="16"/>
              </w:rPr>
            </w:pPr>
            <w:r w:rsidRPr="00B57B74">
              <w:rPr>
                <w:sz w:val="16"/>
              </w:rPr>
              <w:t>Kyiv</w:t>
            </w:r>
          </w:p>
        </w:tc>
        <w:tc>
          <w:tcPr>
            <w:tcW w:w="1039" w:type="dxa"/>
          </w:tcPr>
          <w:p w:rsidRPr="00B57B74" w:rsidR="001E638C" w:rsidP="00B57B74" w14:paraId="16F87FEC" w14:textId="77777777">
            <w:pPr>
              <w:jc w:val="center"/>
              <w:rPr>
                <w:sz w:val="16"/>
              </w:rPr>
            </w:pPr>
            <w:r w:rsidRPr="00B57B74">
              <w:rPr>
                <w:sz w:val="16"/>
              </w:rPr>
              <w:t>16/11/2019 - 18/11/2019</w:t>
            </w:r>
          </w:p>
        </w:tc>
        <w:tc>
          <w:tcPr>
            <w:tcW w:w="1602" w:type="dxa"/>
          </w:tcPr>
          <w:p w:rsidRPr="00B57B74" w:rsidR="00E87427" w:rsidP="00B57B74" w14:paraId="20450C11" w14:textId="77777777">
            <w:pPr>
              <w:jc w:val="center"/>
              <w:rPr>
                <w:sz w:val="16"/>
              </w:rPr>
            </w:pPr>
            <w:r w:rsidRPr="00B57B74">
              <w:rPr>
                <w:sz w:val="16"/>
              </w:rPr>
              <w:t>no legal basis for arrest without a prior court decision (</w:t>
            </w:r>
            <w:r w:rsidRPr="00B57B74">
              <w:rPr>
                <w:i/>
                <w:iCs/>
                <w:sz w:val="16"/>
              </w:rPr>
              <w:t>Strogan</w:t>
            </w:r>
            <w:r w:rsidRPr="00B57B74">
              <w:rPr>
                <w:i/>
                <w:iCs/>
                <w:sz w:val="16"/>
              </w:rPr>
              <w:t xml:space="preserve"> v. Ukraine</w:t>
            </w:r>
            <w:r w:rsidRPr="00B57B74">
              <w:rPr>
                <w:sz w:val="16"/>
              </w:rPr>
              <w:t>, no. 30198/11,</w:t>
            </w:r>
          </w:p>
          <w:p w:rsidRPr="00B57B74" w:rsidR="00E87427" w:rsidP="00B57B74" w14:paraId="7B12D9AF" w14:textId="77777777">
            <w:pPr>
              <w:jc w:val="center"/>
              <w:rPr>
                <w:sz w:val="16"/>
              </w:rPr>
            </w:pPr>
            <w:r w:rsidRPr="00B57B74">
              <w:rPr>
                <w:sz w:val="16"/>
              </w:rPr>
              <w:t xml:space="preserve">§§ 88-89, 6 October 2016, and </w:t>
            </w:r>
            <w:r w:rsidRPr="00B57B74">
              <w:rPr>
                <w:i/>
                <w:iCs/>
                <w:sz w:val="16"/>
              </w:rPr>
              <w:t>Grubnyk</w:t>
            </w:r>
            <w:r w:rsidRPr="00B57B74">
              <w:rPr>
                <w:i/>
                <w:iCs/>
                <w:sz w:val="16"/>
              </w:rPr>
              <w:t xml:space="preserve"> v. Ukraine</w:t>
            </w:r>
            <w:r w:rsidRPr="00B57B74">
              <w:rPr>
                <w:sz w:val="16"/>
              </w:rPr>
              <w:t>, no. 58444/15,</w:t>
            </w:r>
          </w:p>
          <w:p w:rsidRPr="00B57B74" w:rsidR="001E638C" w:rsidP="00B57B74" w14:paraId="565051CE" w14:textId="13ECB61B">
            <w:pPr>
              <w:jc w:val="center"/>
              <w:rPr>
                <w:sz w:val="16"/>
              </w:rPr>
            </w:pPr>
            <w:r w:rsidRPr="00B57B74">
              <w:rPr>
                <w:sz w:val="16"/>
              </w:rPr>
              <w:t>§§ 83-85, 17 September 2020)</w:t>
            </w:r>
          </w:p>
        </w:tc>
        <w:tc>
          <w:tcPr>
            <w:tcW w:w="1173" w:type="dxa"/>
          </w:tcPr>
          <w:p w:rsidRPr="00B57B74" w:rsidR="001E638C" w:rsidP="00B57B74" w14:paraId="625F3A34" w14:textId="77777777">
            <w:pPr>
              <w:jc w:val="center"/>
              <w:rPr>
                <w:sz w:val="16"/>
              </w:rPr>
            </w:pPr>
          </w:p>
        </w:tc>
        <w:tc>
          <w:tcPr>
            <w:tcW w:w="2281" w:type="dxa"/>
          </w:tcPr>
          <w:p w:rsidRPr="00B57B74" w:rsidR="00ED3B73" w:rsidP="00B57B74" w14:paraId="4E10DEF5" w14:textId="06C9348B">
            <w:pPr>
              <w:jc w:val="center"/>
              <w:rPr>
                <w:i/>
                <w:iCs/>
                <w:sz w:val="16"/>
              </w:rPr>
            </w:pPr>
            <w:r w:rsidRPr="00B57B74">
              <w:rPr>
                <w:sz w:val="16"/>
              </w:rPr>
              <w:t>Art. 5 (4) - deficiencies in proceedings for review of the lawfulness of detention - as to refusal of the national courts to consider the issue of the lawfulness of the applicant</w:t>
            </w:r>
            <w:r w:rsidRPr="00B57B74" w:rsidR="00B57B74">
              <w:rPr>
                <w:sz w:val="16"/>
              </w:rPr>
              <w:t>’</w:t>
            </w:r>
            <w:r w:rsidRPr="00B57B74">
              <w:rPr>
                <w:sz w:val="16"/>
              </w:rPr>
              <w:t>s arrest - the applicant on 18/11/2019 lodged a complaint concerning the lawfulness of his arrest under Article 206 of the Code of Criminal Procedure and later raised the same issue in the court which examined the prosecutor</w:t>
            </w:r>
            <w:r w:rsidRPr="00B57B74" w:rsidR="00B57B74">
              <w:rPr>
                <w:sz w:val="16"/>
              </w:rPr>
              <w:t>’</w:t>
            </w:r>
            <w:r w:rsidRPr="00B57B74">
              <w:rPr>
                <w:sz w:val="16"/>
              </w:rPr>
              <w:t>s petition in respect of the applicant on the application of a preventative measure. The applicant also raised the issue in his appeal to the decision on the application of a preventive measure. However, none of the courts examined his complaints (</w:t>
            </w:r>
            <w:r w:rsidRPr="00B57B74">
              <w:rPr>
                <w:i/>
                <w:iCs/>
                <w:sz w:val="16"/>
              </w:rPr>
              <w:t>Svershov</w:t>
            </w:r>
            <w:r w:rsidRPr="00B57B74">
              <w:rPr>
                <w:i/>
                <w:iCs/>
                <w:sz w:val="16"/>
              </w:rPr>
              <w:t xml:space="preserve"> v. Ukraine</w:t>
            </w:r>
            <w:r w:rsidRPr="00B57B74">
              <w:rPr>
                <w:sz w:val="16"/>
              </w:rPr>
              <w:t>,</w:t>
            </w:r>
          </w:p>
          <w:p w:rsidRPr="00B57B74" w:rsidR="00ED3B73" w:rsidP="00B57B74" w14:paraId="0B7A2F96" w14:textId="38EF6FFF">
            <w:pPr>
              <w:jc w:val="center"/>
              <w:rPr>
                <w:sz w:val="16"/>
              </w:rPr>
            </w:pPr>
            <w:r w:rsidRPr="00B57B74">
              <w:rPr>
                <w:sz w:val="16"/>
              </w:rPr>
              <w:t>no. 35231/02,</w:t>
            </w:r>
          </w:p>
          <w:p w:rsidRPr="00B57B74" w:rsidR="001E638C" w:rsidP="00B57B74" w14:paraId="7A48CC15" w14:textId="6C0B604C">
            <w:pPr>
              <w:jc w:val="center"/>
              <w:rPr>
                <w:sz w:val="16"/>
              </w:rPr>
            </w:pPr>
            <w:r w:rsidRPr="00B57B74">
              <w:rPr>
                <w:sz w:val="16"/>
              </w:rPr>
              <w:t>§§ 70-72, 27 November 2008).</w:t>
            </w:r>
          </w:p>
        </w:tc>
        <w:tc>
          <w:tcPr>
            <w:tcW w:w="1276" w:type="dxa"/>
          </w:tcPr>
          <w:p w:rsidRPr="00B57B74" w:rsidR="001E638C" w:rsidP="00B57B74" w14:paraId="55CA30BF" w14:textId="77777777">
            <w:pPr>
              <w:jc w:val="center"/>
              <w:rPr>
                <w:sz w:val="16"/>
              </w:rPr>
            </w:pPr>
            <w:r w:rsidRPr="00B57B74">
              <w:rPr>
                <w:sz w:val="16"/>
              </w:rPr>
              <w:t>-</w:t>
            </w:r>
          </w:p>
        </w:tc>
        <w:tc>
          <w:tcPr>
            <w:tcW w:w="1418" w:type="dxa"/>
          </w:tcPr>
          <w:p w:rsidRPr="00B57B74" w:rsidR="001E638C" w:rsidP="00B57B74" w14:paraId="48BCF79D" w14:textId="77777777">
            <w:pPr>
              <w:jc w:val="center"/>
              <w:rPr>
                <w:sz w:val="16"/>
              </w:rPr>
            </w:pPr>
            <w:r w:rsidRPr="00B57B74">
              <w:rPr>
                <w:sz w:val="16"/>
              </w:rPr>
              <w:t>-</w:t>
            </w:r>
          </w:p>
        </w:tc>
      </w:tr>
      <w:tr w:rsidTr="00ED3B73" w14:paraId="492F9E29" w14:textId="77777777">
        <w:tblPrEx>
          <w:tblW w:w="13609" w:type="dxa"/>
          <w:jc w:val="center"/>
          <w:tblLook w:val="0420"/>
        </w:tblPrEx>
        <w:trPr>
          <w:jc w:val="center"/>
        </w:trPr>
        <w:tc>
          <w:tcPr>
            <w:tcW w:w="421" w:type="dxa"/>
          </w:tcPr>
          <w:p w:rsidRPr="00B57B74" w:rsidR="001E638C" w:rsidP="00B57B74" w14:paraId="2FF25B39" w14:textId="77777777">
            <w:pPr>
              <w:pStyle w:val="ListParagraph"/>
              <w:numPr>
                <w:ilvl w:val="0"/>
                <w:numId w:val="21"/>
              </w:numPr>
              <w:tabs>
                <w:tab w:val="num" w:pos="283"/>
              </w:tabs>
              <w:ind w:left="0" w:firstLine="0"/>
              <w:jc w:val="center"/>
              <w:rPr>
                <w:rFonts w:eastAsiaTheme="minorEastAsia"/>
                <w:sz w:val="16"/>
              </w:rPr>
            </w:pPr>
          </w:p>
        </w:tc>
        <w:tc>
          <w:tcPr>
            <w:tcW w:w="1421" w:type="dxa"/>
          </w:tcPr>
          <w:p w:rsidRPr="00B57B74" w:rsidR="001E638C" w:rsidP="00B57B74" w14:paraId="7FA2611C" w14:textId="77777777">
            <w:pPr>
              <w:jc w:val="center"/>
              <w:rPr>
                <w:sz w:val="16"/>
              </w:rPr>
            </w:pPr>
            <w:r w:rsidRPr="00B57B74">
              <w:rPr>
                <w:sz w:val="16"/>
              </w:rPr>
              <w:t>57918/21</w:t>
            </w:r>
          </w:p>
          <w:p w:rsidRPr="00B57B74" w:rsidR="001E638C" w:rsidP="00B57B74" w14:paraId="13747359" w14:textId="77777777">
            <w:pPr>
              <w:jc w:val="center"/>
              <w:rPr>
                <w:sz w:val="16"/>
              </w:rPr>
            </w:pPr>
            <w:r w:rsidRPr="00B57B74">
              <w:rPr>
                <w:sz w:val="16"/>
              </w:rPr>
              <w:t>19/11/2021</w:t>
            </w:r>
          </w:p>
        </w:tc>
        <w:tc>
          <w:tcPr>
            <w:tcW w:w="1586" w:type="dxa"/>
          </w:tcPr>
          <w:p w:rsidRPr="00B57B74" w:rsidR="001E638C" w:rsidP="00B57B74" w14:paraId="7579E0B1" w14:textId="77777777">
            <w:pPr>
              <w:jc w:val="center"/>
              <w:rPr>
                <w:sz w:val="16"/>
              </w:rPr>
            </w:pPr>
            <w:r w:rsidRPr="00B57B74">
              <w:rPr>
                <w:b/>
                <w:sz w:val="16"/>
              </w:rPr>
              <w:t>Alla</w:t>
            </w:r>
            <w:r w:rsidRPr="00B57B74">
              <w:rPr>
                <w:b/>
                <w:sz w:val="16"/>
              </w:rPr>
              <w:t xml:space="preserve"> </w:t>
            </w:r>
            <w:r w:rsidRPr="00B57B74">
              <w:rPr>
                <w:b/>
                <w:sz w:val="16"/>
              </w:rPr>
              <w:t>Mykolayivna</w:t>
            </w:r>
            <w:r w:rsidRPr="00B57B74">
              <w:rPr>
                <w:b/>
                <w:sz w:val="16"/>
              </w:rPr>
              <w:t xml:space="preserve"> KRYVOSHEYEVA</w:t>
            </w:r>
          </w:p>
          <w:p w:rsidRPr="00B57B74" w:rsidR="001E638C" w:rsidP="00B57B74" w14:paraId="5FADCB74" w14:textId="4426281D">
            <w:pPr>
              <w:jc w:val="center"/>
              <w:rPr>
                <w:sz w:val="16"/>
              </w:rPr>
            </w:pPr>
            <w:r w:rsidRPr="00B57B74">
              <w:rPr>
                <w:sz w:val="16"/>
              </w:rPr>
              <w:t>1982</w:t>
            </w:r>
            <w:r w:rsidRPr="00B57B74" w:rsidR="00E87427">
              <w:rPr>
                <w:sz w:val="16"/>
              </w:rPr>
              <w:t xml:space="preserve"> </w:t>
            </w:r>
          </w:p>
        </w:tc>
        <w:tc>
          <w:tcPr>
            <w:tcW w:w="1392" w:type="dxa"/>
          </w:tcPr>
          <w:p w:rsidRPr="00B57B74" w:rsidR="001E638C" w:rsidP="00B57B74" w14:paraId="29630360" w14:textId="77777777">
            <w:pPr>
              <w:jc w:val="center"/>
              <w:rPr>
                <w:sz w:val="16"/>
              </w:rPr>
            </w:pPr>
            <w:r w:rsidRPr="00B57B74">
              <w:rPr>
                <w:sz w:val="16"/>
              </w:rPr>
              <w:t>Zrachevskyy</w:t>
            </w:r>
            <w:r w:rsidRPr="00B57B74">
              <w:rPr>
                <w:sz w:val="16"/>
              </w:rPr>
              <w:t xml:space="preserve"> </w:t>
            </w:r>
            <w:r w:rsidRPr="00B57B74">
              <w:rPr>
                <w:sz w:val="16"/>
              </w:rPr>
              <w:t>Yevgen</w:t>
            </w:r>
            <w:r w:rsidRPr="00B57B74">
              <w:rPr>
                <w:sz w:val="16"/>
              </w:rPr>
              <w:t xml:space="preserve"> </w:t>
            </w:r>
            <w:r w:rsidRPr="00B57B74">
              <w:rPr>
                <w:sz w:val="16"/>
              </w:rPr>
              <w:t>Yuriyovych</w:t>
            </w:r>
          </w:p>
          <w:p w:rsidRPr="00B57B74" w:rsidR="001E638C" w:rsidP="00B57B74" w14:paraId="5685325F" w14:textId="77777777">
            <w:pPr>
              <w:jc w:val="center"/>
              <w:rPr>
                <w:sz w:val="16"/>
              </w:rPr>
            </w:pPr>
            <w:r w:rsidRPr="00B57B74">
              <w:rPr>
                <w:sz w:val="16"/>
              </w:rPr>
              <w:t>Sumy</w:t>
            </w:r>
          </w:p>
        </w:tc>
        <w:tc>
          <w:tcPr>
            <w:tcW w:w="1039" w:type="dxa"/>
          </w:tcPr>
          <w:p w:rsidRPr="00B57B74" w:rsidR="00E87427" w:rsidP="00B57B74" w14:paraId="3E465597" w14:textId="77777777">
            <w:pPr>
              <w:jc w:val="center"/>
              <w:rPr>
                <w:sz w:val="16"/>
              </w:rPr>
            </w:pPr>
            <w:r w:rsidRPr="00B57B74">
              <w:rPr>
                <w:sz w:val="16"/>
              </w:rPr>
              <w:t xml:space="preserve"> between 5.35 p.m. on 10/01/2020 and</w:t>
            </w:r>
          </w:p>
          <w:p w:rsidRPr="00B57B74" w:rsidR="001E638C" w:rsidP="00B57B74" w14:paraId="4EEA3EB4" w14:textId="1D361167">
            <w:pPr>
              <w:jc w:val="center"/>
              <w:rPr>
                <w:sz w:val="16"/>
              </w:rPr>
            </w:pPr>
            <w:r w:rsidRPr="00B57B74">
              <w:rPr>
                <w:sz w:val="16"/>
              </w:rPr>
              <w:t>7.00 a.m. on 11/01/2020</w:t>
            </w:r>
          </w:p>
        </w:tc>
        <w:tc>
          <w:tcPr>
            <w:tcW w:w="1602" w:type="dxa"/>
          </w:tcPr>
          <w:p w:rsidRPr="00B57B74" w:rsidR="00ED3B73" w:rsidP="00B57B74" w14:paraId="61BD0581" w14:textId="77777777">
            <w:pPr>
              <w:jc w:val="center"/>
              <w:rPr>
                <w:sz w:val="16"/>
              </w:rPr>
            </w:pPr>
            <w:r w:rsidRPr="00B57B74">
              <w:rPr>
                <w:sz w:val="16"/>
              </w:rPr>
              <w:t>unacknowledged deprivation of liberty or delay in the drawing up of the arrest report (</w:t>
            </w:r>
            <w:r w:rsidRPr="00B57B74">
              <w:rPr>
                <w:i/>
                <w:iCs/>
                <w:sz w:val="16"/>
              </w:rPr>
              <w:t>Belozorov</w:t>
            </w:r>
            <w:r w:rsidRPr="00B57B74">
              <w:rPr>
                <w:i/>
                <w:iCs/>
                <w:sz w:val="16"/>
              </w:rPr>
              <w:t xml:space="preserve"> v. Russia and Ukraine</w:t>
            </w:r>
            <w:r w:rsidRPr="00B57B74">
              <w:rPr>
                <w:sz w:val="16"/>
              </w:rPr>
              <w:t xml:space="preserve">, no. 43611/02, §§ 113-15, 15 October 2015, </w:t>
            </w:r>
            <w:r w:rsidRPr="00B57B74">
              <w:rPr>
                <w:i/>
                <w:iCs/>
                <w:sz w:val="16"/>
              </w:rPr>
              <w:t>Grubnyk</w:t>
            </w:r>
            <w:r w:rsidRPr="00B57B74">
              <w:rPr>
                <w:i/>
                <w:iCs/>
                <w:sz w:val="16"/>
              </w:rPr>
              <w:t xml:space="preserve"> v. Ukraine</w:t>
            </w:r>
            <w:r w:rsidRPr="00B57B74">
              <w:rPr>
                <w:sz w:val="16"/>
              </w:rPr>
              <w:t>, no. 58444/15,</w:t>
            </w:r>
          </w:p>
          <w:p w:rsidRPr="00B57B74" w:rsidR="001E638C" w:rsidP="00B57B74" w14:paraId="0B745137" w14:textId="30C3C72E">
            <w:pPr>
              <w:jc w:val="center"/>
              <w:rPr>
                <w:sz w:val="16"/>
              </w:rPr>
            </w:pPr>
            <w:r w:rsidRPr="00B57B74">
              <w:rPr>
                <w:sz w:val="16"/>
              </w:rPr>
              <w:t xml:space="preserve">§§ 71-73, 17 September 2020, and </w:t>
            </w:r>
            <w:r w:rsidRPr="00B57B74">
              <w:rPr>
                <w:i/>
                <w:iCs/>
                <w:sz w:val="16"/>
              </w:rPr>
              <w:t>Fortalnov</w:t>
            </w:r>
            <w:r w:rsidRPr="00B57B74">
              <w:rPr>
                <w:i/>
                <w:iCs/>
                <w:sz w:val="16"/>
              </w:rPr>
              <w:t xml:space="preserve"> and Others v. Russia</w:t>
            </w:r>
            <w:r w:rsidRPr="00B57B74">
              <w:rPr>
                <w:sz w:val="16"/>
              </w:rPr>
              <w:t>, nos. 7077/06 and 12 others, §§ 76-79, 26 June 2018)</w:t>
            </w:r>
          </w:p>
        </w:tc>
        <w:tc>
          <w:tcPr>
            <w:tcW w:w="1173" w:type="dxa"/>
          </w:tcPr>
          <w:p w:rsidRPr="00B57B74" w:rsidR="001E638C" w:rsidP="00B57B74" w14:paraId="085C6BF2" w14:textId="77777777">
            <w:pPr>
              <w:jc w:val="center"/>
              <w:rPr>
                <w:sz w:val="16"/>
              </w:rPr>
            </w:pPr>
          </w:p>
        </w:tc>
        <w:tc>
          <w:tcPr>
            <w:tcW w:w="2281" w:type="dxa"/>
          </w:tcPr>
          <w:p w:rsidRPr="00B57B74" w:rsidR="001E638C" w:rsidP="00B57B74" w14:paraId="5CA5E8E5" w14:textId="77777777">
            <w:pPr>
              <w:jc w:val="center"/>
              <w:rPr>
                <w:sz w:val="16"/>
              </w:rPr>
            </w:pPr>
            <w:r w:rsidRPr="00B57B74">
              <w:rPr>
                <w:sz w:val="16"/>
              </w:rPr>
              <w:t>Art. 5 (5) - lack of, or inadequate, compensation for unlawful arrest or detention</w:t>
            </w:r>
          </w:p>
          <w:p w:rsidRPr="00B57B74" w:rsidR="001E638C" w:rsidP="00B57B74" w14:paraId="63E48C0E" w14:textId="77777777">
            <w:pPr>
              <w:jc w:val="center"/>
              <w:rPr>
                <w:sz w:val="16"/>
              </w:rPr>
            </w:pPr>
            <w:r w:rsidRPr="00B57B74">
              <w:rPr>
                <w:sz w:val="16"/>
              </w:rPr>
              <w:t>(</w:t>
            </w:r>
            <w:r w:rsidRPr="00B57B74">
              <w:rPr>
                <w:i/>
                <w:iCs/>
                <w:sz w:val="16"/>
              </w:rPr>
              <w:t>Tymoshenko</w:t>
            </w:r>
            <w:r w:rsidRPr="00B57B74">
              <w:rPr>
                <w:i/>
                <w:iCs/>
                <w:sz w:val="16"/>
              </w:rPr>
              <w:t xml:space="preserve"> v. Ukraine</w:t>
            </w:r>
            <w:r w:rsidRPr="00B57B74">
              <w:rPr>
                <w:sz w:val="16"/>
              </w:rPr>
              <w:t xml:space="preserve">, no. 49872/11, §§ 286-87, 30 April 2013 and </w:t>
            </w:r>
            <w:r w:rsidRPr="00B57B74">
              <w:rPr>
                <w:i/>
                <w:iCs/>
                <w:sz w:val="16"/>
              </w:rPr>
              <w:t>Kotiy</w:t>
            </w:r>
            <w:r w:rsidRPr="00B57B74">
              <w:rPr>
                <w:i/>
                <w:iCs/>
                <w:sz w:val="16"/>
              </w:rPr>
              <w:t xml:space="preserve"> v. Ukraine</w:t>
            </w:r>
            <w:r w:rsidRPr="00B57B74">
              <w:rPr>
                <w:sz w:val="16"/>
              </w:rPr>
              <w:t xml:space="preserve">, no. 28718/09, § 55, 5 March 2015) </w:t>
            </w:r>
          </w:p>
        </w:tc>
        <w:tc>
          <w:tcPr>
            <w:tcW w:w="1276" w:type="dxa"/>
          </w:tcPr>
          <w:p w:rsidRPr="00B57B74" w:rsidR="001E638C" w:rsidP="00B57B74" w14:paraId="51DDE062" w14:textId="77777777">
            <w:pPr>
              <w:jc w:val="center"/>
              <w:rPr>
                <w:sz w:val="16"/>
              </w:rPr>
            </w:pPr>
            <w:r w:rsidRPr="00B57B74">
              <w:rPr>
                <w:sz w:val="16"/>
              </w:rPr>
              <w:t>1,800</w:t>
            </w:r>
          </w:p>
        </w:tc>
        <w:tc>
          <w:tcPr>
            <w:tcW w:w="1418" w:type="dxa"/>
          </w:tcPr>
          <w:p w:rsidRPr="00B57B74" w:rsidR="001E638C" w:rsidP="00B57B74" w14:paraId="47F5EDA3" w14:textId="77777777">
            <w:pPr>
              <w:jc w:val="center"/>
              <w:rPr>
                <w:sz w:val="16"/>
              </w:rPr>
            </w:pPr>
            <w:r w:rsidRPr="00B57B74">
              <w:rPr>
                <w:sz w:val="16"/>
              </w:rPr>
              <w:t>250</w:t>
            </w:r>
          </w:p>
        </w:tc>
      </w:tr>
    </w:tbl>
    <w:p w:rsidRPr="00B57B74" w:rsidR="00ED3B73" w:rsidP="00B57B74" w14:paraId="6980373A"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6765ED3C" w14:textId="5D7EB89C">
    <w:pPr>
      <w:pStyle w:val="JuHeader"/>
    </w:pPr>
    <w:r>
      <w:fldChar w:fldCharType="begin"/>
    </w:r>
    <w:r>
      <w:instrText xml:space="preserve"> PAGE </w:instrText>
    </w:r>
    <w:r>
      <w:fldChar w:fldCharType="separate"/>
    </w:r>
    <w:r>
      <w:rPr>
        <w:noProof/>
      </w:rPr>
      <w:t>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763CFE00" w14:textId="531AEB2E">
    <w:pPr>
      <w:pStyle w:val="JuHeader"/>
    </w:pPr>
    <w:r>
      <w:fldChar w:fldCharType="begin"/>
    </w:r>
    <w:r>
      <w:instrText xml:space="preserve"> PAGE </w:instrText>
    </w:r>
    <w:r>
      <w:fldChar w:fldCharType="separate"/>
    </w:r>
    <w:r>
      <w:rPr>
        <w:noProof/>
      </w:rP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049E6415"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9309A" w:rsidRPr="00611E1D" w:rsidP="0029309A" w14:paraId="4B72356C" w14:textId="77777777">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D1E10" w:rsidRPr="00611E1D" w:rsidP="00787E12" w14:paraId="590581FD" w14:textId="77777777">
      <w:r w:rsidRPr="00611E1D">
        <w:separator/>
      </w:r>
    </w:p>
  </w:footnote>
  <w:footnote w:type="continuationSeparator" w:id="1">
    <w:p w:rsidR="00DD1E10" w:rsidRPr="00611E1D" w:rsidP="00787E12" w14:paraId="398BFDE4" w14:textId="77777777">
      <w:r w:rsidRPr="00611E1D">
        <w:continuationSeparator/>
      </w:r>
    </w:p>
  </w:footnote>
  <w:footnote w:id="2">
    <w:p w:rsidR="001E638C" w:rsidRPr="00786F2A" w:rsidP="00DD1E10" w14:paraId="42D3779E" w14:textId="77777777">
      <w:pPr>
        <w:pStyle w:val="FootnoteText"/>
        <w:rPr>
          <w:sz w:val="18"/>
          <w:szCs w:val="18"/>
        </w:rPr>
      </w:pPr>
      <w:r w:rsidRPr="00786F2A">
        <w:rPr>
          <w:rStyle w:val="FootnoteReference"/>
          <w:sz w:val="18"/>
          <w:szCs w:val="18"/>
        </w:rPr>
        <w:footnoteRef/>
      </w:r>
      <w:r w:rsidRPr="00786F2A">
        <w:rPr>
          <w:rStyle w:val="FootnoteReference"/>
          <w:sz w:val="18"/>
          <w:szCs w:val="18"/>
        </w:rPr>
        <w:t xml:space="preserve"> </w:t>
      </w:r>
      <w:r w:rsidRPr="00786F2A">
        <w:rPr>
          <w:sz w:val="18"/>
          <w:szCs w:val="18"/>
        </w:rPr>
        <w:t>Plus any tax that may be chargeable to the applicants.</w:t>
      </w:r>
    </w:p>
  </w:footnote>
  <w:footnote w:id="3">
    <w:p w:rsidR="001E638C" w:rsidRPr="0043600D" w:rsidP="00DD1E10" w14:paraId="45A0B161" w14:textId="77777777">
      <w:pPr>
        <w:pStyle w:val="FootnoteText"/>
      </w:pPr>
      <w:r w:rsidRPr="00786F2A">
        <w:rPr>
          <w:rStyle w:val="FootnoteReference"/>
          <w:sz w:val="18"/>
          <w:szCs w:val="18"/>
        </w:rPr>
        <w:footnoteRef/>
      </w:r>
      <w:r w:rsidRPr="00786F2A">
        <w:rPr>
          <w:rStyle w:val="FootnoteReference"/>
          <w:sz w:val="18"/>
          <w:szCs w:val="18"/>
        </w:rPr>
        <w:t xml:space="preserve"> </w:t>
      </w:r>
      <w:r w:rsidRPr="00786F2A">
        <w:rPr>
          <w:sz w:val="18"/>
          <w:szCs w:val="18"/>
        </w:rPr>
        <w:t>Plus any tax that may be chargeable to the applicants.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30C0D700"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787E12" w:rsidRPr="00611E1D" w:rsidP="000318F7" w14:paraId="7104FB48" w14:textId="77777777">
    <w:pPr>
      <w:jc w:val="center"/>
      <w:rPr>
        <w:sz w:val="4"/>
        <w:szCs w:val="4"/>
      </w:rPr>
    </w:pPr>
  </w:p>
  <w:p w:rsidR="00787E12" w:rsidRPr="00611E1D" w14:paraId="6728E2A7"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E10" w:rsidRPr="00A45145" w:rsidP="00A45145" w14:paraId="73FC0AD6" w14:textId="2C267C98">
    <w:pPr>
      <w:jc w:val="center"/>
    </w:pPr>
    <w:r>
      <w:rPr>
        <w:noProof/>
        <w:lang w:val="en-US"/>
      </w:rPr>
      <w:drawing>
        <wp:inline distT="0" distB="0" distL="0" distR="0">
          <wp:extent cx="2962275" cy="1219200"/>
          <wp:effectExtent l="0" t="0" r="9525" b="0"/>
          <wp:docPr id="18" name="Picture 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07B53A20" w14:textId="17F8501F">
    <w:pPr>
      <w:pStyle w:val="Header0"/>
    </w:pPr>
  </w:p>
  <w:p w:rsidR="00787E12" w:rsidRPr="00611E1D" w:rsidP="00B64153" w14:paraId="4E83A46F"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E12" w:rsidRPr="005C3A15" w:rsidP="006372F5" w14:paraId="5C73CFEF" w14:textId="312D6DF6">
    <w:pPr>
      <w:pStyle w:val="JuHeader"/>
    </w:pPr>
    <w:r>
      <w:t xml:space="preserve">SPESYVTSEV </w:t>
    </w:r>
    <w:r w:rsidR="000E1F7C">
      <w:t xml:space="preserve">AND OTHERS </w:t>
    </w:r>
    <w:r>
      <w:t>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E12" w:rsidRPr="00DE7D3F" w:rsidP="00BD554D" w14:paraId="414E60B3" w14:textId="184D17FE">
    <w:pPr>
      <w:pStyle w:val="JuHeader"/>
    </w:pPr>
    <w:r>
      <w:t xml:space="preserve">SPESYVTSEV </w:t>
    </w:r>
    <w:r w:rsidR="000E1F7C">
      <w:t xml:space="preserve">AND OTHERS </w:t>
    </w:r>
    <w:r>
      <w:t>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FB7" w:rsidRPr="005C3A15" w:rsidP="00E026EC" w14:paraId="1FA5B108" w14:textId="53F0CFC4">
    <w:pPr>
      <w:pStyle w:val="JuHeader"/>
    </w:pPr>
    <w:r>
      <w:t xml:space="preserve">SPESYVTSEV </w:t>
    </w:r>
    <w:r w:rsidR="000E1F7C">
      <w:t xml:space="preserve">AND OTHERS </w:t>
    </w:r>
    <w:r>
      <w:t>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FB7" w:rsidRPr="00DE7D3F" w:rsidP="00E026EC" w14:paraId="3A928DF7" w14:textId="36E03F80">
    <w:pPr>
      <w:pStyle w:val="JuHeader"/>
    </w:pPr>
    <w:r>
      <w:t xml:space="preserve">SPESYVTSEV </w:t>
    </w:r>
    <w:r w:rsidR="000E1F7C">
      <w:t xml:space="preserve">AND OTHERS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5CF01B0"/>
    <w:multiLevelType w:val="hybridMultilevel"/>
    <w:tmpl w:val="E17862A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3"/>
  </w:num>
  <w:num w:numId="3">
    <w:abstractNumId w:val="12"/>
  </w:num>
  <w:num w:numId="4">
    <w:abstractNumId w:val="16"/>
  </w:num>
  <w:num w:numId="5">
    <w:abstractNumId w:val="14"/>
  </w:num>
  <w:num w:numId="6">
    <w:abstractNumId w:val="17"/>
  </w:num>
  <w:num w:numId="7">
    <w:abstractNumId w:val="16"/>
  </w:num>
  <w:num w:numId="8">
    <w:abstractNumId w:val="17"/>
  </w:num>
  <w:num w:numId="9">
    <w:abstractNumId w:val="11"/>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E10"/>
    <w:rsid w:val="000318F7"/>
    <w:rsid w:val="000C5149"/>
    <w:rsid w:val="000E07FE"/>
    <w:rsid w:val="000E1F7C"/>
    <w:rsid w:val="00135384"/>
    <w:rsid w:val="00150BFA"/>
    <w:rsid w:val="00173A91"/>
    <w:rsid w:val="001A15B6"/>
    <w:rsid w:val="001A3C4A"/>
    <w:rsid w:val="001D7CD3"/>
    <w:rsid w:val="001E638C"/>
    <w:rsid w:val="001F3812"/>
    <w:rsid w:val="00203AB1"/>
    <w:rsid w:val="002056B7"/>
    <w:rsid w:val="0020718E"/>
    <w:rsid w:val="0023364D"/>
    <w:rsid w:val="0029309A"/>
    <w:rsid w:val="002C5B23"/>
    <w:rsid w:val="00337785"/>
    <w:rsid w:val="0037589C"/>
    <w:rsid w:val="0043600D"/>
    <w:rsid w:val="0048584C"/>
    <w:rsid w:val="004874E0"/>
    <w:rsid w:val="00497FF8"/>
    <w:rsid w:val="004B0B4E"/>
    <w:rsid w:val="004D042B"/>
    <w:rsid w:val="004D0EC7"/>
    <w:rsid w:val="004F56E2"/>
    <w:rsid w:val="00555A1D"/>
    <w:rsid w:val="00573202"/>
    <w:rsid w:val="005B102C"/>
    <w:rsid w:val="005B16C1"/>
    <w:rsid w:val="005C3A15"/>
    <w:rsid w:val="005F60F9"/>
    <w:rsid w:val="00611E1D"/>
    <w:rsid w:val="006372F5"/>
    <w:rsid w:val="00656431"/>
    <w:rsid w:val="006D324D"/>
    <w:rsid w:val="00743B2A"/>
    <w:rsid w:val="0075352C"/>
    <w:rsid w:val="00786F2A"/>
    <w:rsid w:val="00787E12"/>
    <w:rsid w:val="007A72B4"/>
    <w:rsid w:val="007F018A"/>
    <w:rsid w:val="007F0952"/>
    <w:rsid w:val="008522DD"/>
    <w:rsid w:val="00860732"/>
    <w:rsid w:val="00885E0C"/>
    <w:rsid w:val="008A0E2E"/>
    <w:rsid w:val="008B3FB7"/>
    <w:rsid w:val="008D51B6"/>
    <w:rsid w:val="008E654C"/>
    <w:rsid w:val="009522DD"/>
    <w:rsid w:val="00A062B9"/>
    <w:rsid w:val="00A329E0"/>
    <w:rsid w:val="00A34A54"/>
    <w:rsid w:val="00A44415"/>
    <w:rsid w:val="00A45145"/>
    <w:rsid w:val="00A6104A"/>
    <w:rsid w:val="00A94CA7"/>
    <w:rsid w:val="00AC03BB"/>
    <w:rsid w:val="00B216C1"/>
    <w:rsid w:val="00B57B74"/>
    <w:rsid w:val="00B64153"/>
    <w:rsid w:val="00B91668"/>
    <w:rsid w:val="00BD554D"/>
    <w:rsid w:val="00BE2415"/>
    <w:rsid w:val="00C20CC3"/>
    <w:rsid w:val="00C43D38"/>
    <w:rsid w:val="00C877A3"/>
    <w:rsid w:val="00CE346F"/>
    <w:rsid w:val="00DA25D2"/>
    <w:rsid w:val="00DD1E10"/>
    <w:rsid w:val="00DE7D3F"/>
    <w:rsid w:val="00E026EC"/>
    <w:rsid w:val="00E87427"/>
    <w:rsid w:val="00ED3B73"/>
    <w:rsid w:val="00ED7723"/>
    <w:rsid w:val="00FB16F8"/>
  </w:rsids>
  <w:docVars>
    <w:docVar w:name="ApplicationsApp" w:val="2"/>
    <w:docVar w:name="EMM" w:val="0"/>
    <w:docVar w:name="NBEMMDOC" w:val="0"/>
    <w:docVar w:name="Plural" w:val="1"/>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0BCD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qFormat/>
    <w:rsid w:val="00743B2A"/>
    <w:pPr>
      <w:spacing w:before="120" w:after="120"/>
      <w:ind w:left="425" w:firstLine="142"/>
    </w:pPr>
    <w:rPr>
      <w:sz w:val="20"/>
    </w:rPr>
  </w:style>
  <w:style w:type="paragraph" w:customStyle="1" w:styleId="JuList">
    <w:name w:val="Ju_List"/>
    <w:aliases w:val="_List_1"/>
    <w:basedOn w:val="NormalJustified"/>
    <w:link w:val="JuListChar"/>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ECHR_Para,_Para"/>
    <w:basedOn w:val="NormalJustified"/>
    <w:link w:val="JuParaChar"/>
    <w:uiPriority w:val="8"/>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ECHR_Para Char,_Para Char"/>
    <w:basedOn w:val="DefaultParagraphFont"/>
    <w:link w:val="JuPara"/>
    <w:uiPriority w:val="8"/>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 w:type="character" w:customStyle="1" w:styleId="JuListChar">
    <w:name w:val="Ju_List Char"/>
    <w:basedOn w:val="DefaultParagraphFont"/>
    <w:link w:val="JuList"/>
    <w:uiPriority w:val="23"/>
    <w:locked/>
    <w:rsid w:val="00DD1E10"/>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1592</Words>
  <Characters>8345</Characters>
  <Application>Microsoft Office Word</Application>
  <DocSecurity>0</DocSecurity>
  <Lines>309</Lines>
  <Paragraphs>136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2023-10-10T08:40:00Z</dcterms:created>
  <dcterms:modified xsi:type="dcterms:W3CDTF">2023-10-10T08:41:00Z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1001716</vt:lpwstr>
  </property>
  <property fmtid="{D5CDD505-2E9C-101B-9397-08002B2CF9AE}" pid="3" name="cstLanguage">
    <vt:i4>2057</vt:i4>
  </property>
  <property fmtid="{D5CDD505-2E9C-101B-9397-08002B2CF9AE}" pid="4" name="RegisteredNo">
    <vt:lpwstr>29978/14</vt:lpwstr>
  </property>
</Properties>
</file>