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56A35" w:rsidR="00115035" w:rsidP="00656A35" w14:paraId="51C25C95" w14:textId="518F6A72">
      <w:pPr>
        <w:jc w:val="center"/>
      </w:pPr>
    </w:p>
    <w:p w:rsidRPr="00656A35" w:rsidR="00E93FC7" w:rsidP="00656A35" w14:paraId="06D0E6DE" w14:textId="2BE5883B">
      <w:pPr>
        <w:pStyle w:val="DecHTitle"/>
      </w:pPr>
      <w:r w:rsidRPr="00656A35">
        <w:t>FIFTH SECTION</w:t>
      </w:r>
    </w:p>
    <w:p w:rsidRPr="00656A35" w:rsidR="00E93FC7" w:rsidP="00656A35" w14:paraId="17358D2C" w14:textId="77777777">
      <w:pPr>
        <w:pStyle w:val="DecHTitle"/>
      </w:pPr>
      <w:r w:rsidRPr="00656A35">
        <w:t>DECISION</w:t>
      </w:r>
    </w:p>
    <w:p w:rsidRPr="00656A35" w:rsidR="00EE3667" w:rsidP="00656A35" w14:paraId="7C757F23" w14:textId="31BF8EE6">
      <w:pPr>
        <w:pStyle w:val="DecHCase"/>
        <w:rPr>
          <w:i/>
        </w:rPr>
      </w:pPr>
      <w:r w:rsidRPr="00656A35">
        <w:rPr>
          <w:noProof/>
        </w:rPr>
        <w:t>Application no.</w:t>
      </w:r>
      <w:r w:rsidRPr="00656A35" w:rsidR="006267D3">
        <w:t xml:space="preserve"> </w:t>
      </w:r>
      <w:r w:rsidRPr="00656A35">
        <w:t>6023/23</w:t>
      </w:r>
      <w:r w:rsidRPr="00656A35" w:rsidR="006267D3">
        <w:br/>
      </w:r>
      <w:r w:rsidRPr="00656A35">
        <w:rPr>
          <w:noProof/>
        </w:rPr>
        <w:t>Oleksandr Volodymyrovych KULISH</w:t>
      </w:r>
      <w:r w:rsidRPr="00656A35">
        <w:rPr>
          <w:noProof/>
        </w:rPr>
        <w:br/>
      </w:r>
      <w:r w:rsidRPr="00656A35" w:rsidR="006267D3">
        <w:t xml:space="preserve">against </w:t>
      </w:r>
      <w:r w:rsidRPr="00656A35">
        <w:t>Ukraine</w:t>
      </w:r>
    </w:p>
    <w:p w:rsidRPr="00656A35" w:rsidR="00E93FC7" w:rsidP="00656A35" w14:paraId="429B5DB9" w14:textId="7B93CFE7">
      <w:pPr>
        <w:rPr>
          <w:sz w:val="2"/>
          <w:szCs w:val="2"/>
        </w:rPr>
      </w:pPr>
    </w:p>
    <w:p w:rsidRPr="00656A35" w:rsidR="00955DF5" w:rsidP="00656A35" w14:paraId="5D674D5C" w14:textId="3A33BDD8">
      <w:pPr>
        <w:pStyle w:val="JuPara"/>
      </w:pPr>
      <w:r w:rsidRPr="00656A35">
        <w:t xml:space="preserve">The European Court of Human Rights (Fifth Section), sitting on </w:t>
      </w:r>
      <w:r w:rsidRPr="00656A35" w:rsidR="00B50592">
        <w:t>15 June 2023</w:t>
      </w:r>
      <w:r w:rsidRPr="00656A35">
        <w:t xml:space="preserve"> as a Committee composed of:</w:t>
      </w:r>
    </w:p>
    <w:p w:rsidRPr="00656A35" w:rsidR="00955DF5" w:rsidP="00656A35" w14:paraId="5F0FA361" w14:textId="2B177717">
      <w:pPr>
        <w:pStyle w:val="JuJudges"/>
        <w:rPr>
          <w:iCs/>
        </w:rPr>
      </w:pPr>
      <w:r w:rsidRPr="00656A35">
        <w:tab/>
        <w:t>Lado Chanturia</w:t>
      </w:r>
      <w:r w:rsidRPr="00656A35">
        <w:rPr>
          <w:i/>
        </w:rPr>
        <w:t>, President</w:t>
      </w:r>
      <w:r w:rsidRPr="00656A35">
        <w:t>,</w:t>
      </w:r>
      <w:r w:rsidRPr="00656A35">
        <w:br/>
      </w:r>
      <w:r w:rsidRPr="00656A35">
        <w:tab/>
        <w:t>Stéphanie Mourou-Vikström,</w:t>
      </w:r>
      <w:r w:rsidRPr="00656A35">
        <w:br/>
      </w:r>
      <w:r w:rsidRPr="00656A35">
        <w:tab/>
        <w:t>Mykola Gnatovskyy</w:t>
      </w:r>
      <w:r w:rsidRPr="00656A35">
        <w:rPr>
          <w:i/>
        </w:rPr>
        <w:t>, judges</w:t>
      </w:r>
      <w:r w:rsidRPr="00656A35">
        <w:t>,</w:t>
      </w:r>
      <w:r w:rsidRPr="00656A35">
        <w:br/>
        <w:t xml:space="preserve">and Martina Keller, </w:t>
      </w:r>
      <w:r w:rsidRPr="00656A35">
        <w:rPr>
          <w:i/>
        </w:rPr>
        <w:t>Deputy</w:t>
      </w:r>
      <w:r w:rsidRPr="00656A35">
        <w:t xml:space="preserve"> </w:t>
      </w:r>
      <w:r w:rsidRPr="00656A35">
        <w:rPr>
          <w:i/>
          <w:iCs/>
        </w:rPr>
        <w:t>Section Registrar</w:t>
      </w:r>
      <w:r w:rsidRPr="00656A35">
        <w:rPr>
          <w:i/>
        </w:rPr>
        <w:t>,</w:t>
      </w:r>
    </w:p>
    <w:p w:rsidRPr="00656A35" w:rsidR="00955DF5" w:rsidP="00656A35" w14:paraId="75FB9BB9" w14:textId="77777777">
      <w:pPr>
        <w:pStyle w:val="JuPara"/>
      </w:pPr>
      <w:r w:rsidRPr="00656A35">
        <w:t>Having regard to:</w:t>
      </w:r>
    </w:p>
    <w:p w:rsidRPr="00656A35" w:rsidR="00955DF5" w:rsidP="00656A35" w14:paraId="50920017" w14:textId="77777777">
      <w:pPr>
        <w:pStyle w:val="JuPara"/>
      </w:pPr>
      <w:r w:rsidRPr="00656A35">
        <w:t>the application (no. 6023/23) against Ukraine lodged with the Court under Article 34 of the Convention for the Protection of Human Rights and Fundamental Freedoms (“the Convention”) on 13 January 2023 by a Ukrainian national, Mr Oleksandr Volodymyrovych Kulish (“the applicant”), who was born in 1977, lives in Lugy and was represented by Ms N.M. Kalachyk, a lawyer practising in Vinnytsya;</w:t>
      </w:r>
    </w:p>
    <w:p w:rsidRPr="00656A35" w:rsidR="00955DF5" w:rsidP="00656A35" w14:paraId="0C1A642D" w14:textId="77777777">
      <w:pPr>
        <w:pStyle w:val="JuPara"/>
      </w:pPr>
      <w:r w:rsidRPr="00656A35">
        <w:t>Having deliberated, decides as follows:</w:t>
      </w:r>
    </w:p>
    <w:p w:rsidRPr="00656A35" w:rsidR="00955DF5" w:rsidP="00656A35" w14:paraId="6B81C273" w14:textId="4B6E5442">
      <w:pPr>
        <w:pStyle w:val="JuHHead"/>
        <w:numPr>
          <w:ilvl w:val="0"/>
          <w:numId w:val="0"/>
        </w:numPr>
      </w:pPr>
      <w:r w:rsidRPr="00656A35">
        <w:t>SUBJECT MATTER OF THE CASE</w:t>
      </w:r>
    </w:p>
    <w:p w:rsidRPr="00656A35" w:rsidR="00955DF5" w:rsidP="00656A35" w14:paraId="6C0DA724" w14:textId="6F3BBCF7">
      <w:pPr>
        <w:pStyle w:val="JuPara"/>
      </w:pPr>
      <w:r w:rsidRPr="00656A35">
        <w:fldChar w:fldCharType="begin"/>
      </w:r>
      <w:r w:rsidRPr="00656A35">
        <w:instrText xml:space="preserve"> SEQ level0 \*arabic \* MERGEFORMAT </w:instrText>
      </w:r>
      <w:r w:rsidRPr="00656A35">
        <w:fldChar w:fldCharType="separate"/>
      </w:r>
      <w:r w:rsidRPr="00656A35">
        <w:rPr>
          <w:noProof/>
        </w:rPr>
        <w:t>1</w:t>
      </w:r>
      <w:r w:rsidRPr="00656A35">
        <w:rPr>
          <w:noProof/>
        </w:rPr>
        <w:fldChar w:fldCharType="end"/>
      </w:r>
      <w:r w:rsidRPr="00656A35">
        <w:t>.  The case mainly concerns the applicant</w:t>
      </w:r>
      <w:r w:rsidRPr="00656A35">
        <w:t>’</w:t>
      </w:r>
      <w:r w:rsidRPr="00656A35">
        <w:t>s complaint, under Article</w:t>
      </w:r>
      <w:r w:rsidRPr="00656A35" w:rsidR="00B50592">
        <w:t> </w:t>
      </w:r>
      <w:r w:rsidRPr="00656A35">
        <w:t>6 of the Convention, that the domestic courts which examined an administrative</w:t>
      </w:r>
      <w:r w:rsidRPr="00656A35" w:rsidR="00C7203A">
        <w:noBreakHyphen/>
      </w:r>
      <w:r w:rsidRPr="00656A35">
        <w:t>offence case against him had lacked impartiality on account of the absence of a prosecuting party in the proceedings.</w:t>
      </w:r>
    </w:p>
    <w:p w:rsidRPr="00656A35" w:rsidR="00955DF5" w:rsidP="00656A35" w14:paraId="62D20989" w14:textId="72B20FDE">
      <w:pPr>
        <w:pStyle w:val="JuPara"/>
      </w:pPr>
      <w:r w:rsidRPr="00656A35">
        <w:fldChar w:fldCharType="begin"/>
      </w:r>
      <w:r w:rsidRPr="00656A35">
        <w:instrText xml:space="preserve"> SEQ level0 \*arabic \* MERGEFORMAT </w:instrText>
      </w:r>
      <w:r w:rsidRPr="00656A35">
        <w:fldChar w:fldCharType="separate"/>
      </w:r>
      <w:r w:rsidRPr="00656A35">
        <w:rPr>
          <w:noProof/>
        </w:rPr>
        <w:t>2</w:t>
      </w:r>
      <w:r w:rsidRPr="00656A35">
        <w:rPr>
          <w:noProof/>
        </w:rPr>
        <w:fldChar w:fldCharType="end"/>
      </w:r>
      <w:r w:rsidRPr="00656A35">
        <w:t>.  The police drew up an administrative-offence report charging the applicant with an administrative offence under Article 130 § 1 of the Code of Administrative Offences (“the CAO”) for driving while displaying signs of intoxication and refusing to undergo a test for intoxication.</w:t>
      </w:r>
    </w:p>
    <w:p w:rsidRPr="00656A35" w:rsidR="00955DF5" w:rsidP="00656A35" w14:paraId="2EC4B78B" w14:textId="1B5B22C4">
      <w:pPr>
        <w:pStyle w:val="JuPara"/>
      </w:pPr>
      <w:r w:rsidRPr="00656A35">
        <w:fldChar w:fldCharType="begin"/>
      </w:r>
      <w:r w:rsidRPr="00656A35">
        <w:instrText xml:space="preserve"> SEQ level0 \*arabic \* MERGEFORMAT </w:instrText>
      </w:r>
      <w:r w:rsidRPr="00656A35">
        <w:fldChar w:fldCharType="separate"/>
      </w:r>
      <w:r w:rsidRPr="00656A35">
        <w:rPr>
          <w:noProof/>
        </w:rPr>
        <w:t>3</w:t>
      </w:r>
      <w:r w:rsidRPr="00656A35">
        <w:rPr>
          <w:noProof/>
        </w:rPr>
        <w:fldChar w:fldCharType="end"/>
      </w:r>
      <w:r w:rsidRPr="00656A35">
        <w:t>.  On 14 September 2014 the Vinnytsya City Court held a hearing in the presence of the applicant</w:t>
      </w:r>
      <w:r w:rsidRPr="00656A35">
        <w:t>’</w:t>
      </w:r>
      <w:r w:rsidRPr="00656A35">
        <w:t xml:space="preserve">s lawyer </w:t>
      </w:r>
      <w:r w:rsidRPr="00656A35">
        <w:t>(according to the court decision the applicant had been summoned but had failed to appear). The lawyer submitted that the applicant was not guilty and asked that the proceedings be discontinued. The court examined the evidence in the file, notably the administrative-offence report and a video recording of the relevant events.</w:t>
      </w:r>
    </w:p>
    <w:p w:rsidRPr="00656A35" w:rsidR="00955DF5" w:rsidP="00656A35" w14:paraId="4BC2231E" w14:textId="6076A82D">
      <w:pPr>
        <w:pStyle w:val="JuPara"/>
      </w:pPr>
      <w:r w:rsidRPr="00656A35">
        <w:fldChar w:fldCharType="begin"/>
      </w:r>
      <w:r w:rsidRPr="00656A35">
        <w:instrText xml:space="preserve"> SEQ level0 \*arabic \* MERGEFORMAT </w:instrText>
      </w:r>
      <w:r w:rsidRPr="00656A35">
        <w:fldChar w:fldCharType="separate"/>
      </w:r>
      <w:r w:rsidRPr="00656A35">
        <w:rPr>
          <w:noProof/>
        </w:rPr>
        <w:t>4</w:t>
      </w:r>
      <w:r w:rsidRPr="00656A35">
        <w:rPr>
          <w:noProof/>
        </w:rPr>
        <w:fldChar w:fldCharType="end"/>
      </w:r>
      <w:r w:rsidRPr="00656A35">
        <w:t>.  At the close of the hearing the court convicted the applicant as charged, sentenced him to a fine of 17,000 Ukrainian hryvnia (about 445 euros) and suspended his driver</w:t>
      </w:r>
      <w:r w:rsidRPr="00656A35">
        <w:t>’</w:t>
      </w:r>
      <w:r w:rsidRPr="00656A35">
        <w:t>s licence for one year, the maximum punishment possible for a first offence of that type within one year (which was the applicant</w:t>
      </w:r>
      <w:r w:rsidRPr="00656A35">
        <w:t>’</w:t>
      </w:r>
      <w:r w:rsidRPr="00656A35">
        <w:t>s case).</w:t>
      </w:r>
    </w:p>
    <w:p w:rsidRPr="00656A35" w:rsidR="00955DF5" w:rsidP="00656A35" w14:paraId="71CA04A5" w14:textId="6F72F88F">
      <w:pPr>
        <w:pStyle w:val="JuPara"/>
      </w:pPr>
      <w:r w:rsidRPr="00656A35">
        <w:fldChar w:fldCharType="begin"/>
      </w:r>
      <w:r w:rsidRPr="00656A35">
        <w:instrText xml:space="preserve"> SEQ level0 \*arabic \* MERGEFORMAT </w:instrText>
      </w:r>
      <w:r w:rsidRPr="00656A35">
        <w:fldChar w:fldCharType="separate"/>
      </w:r>
      <w:r w:rsidRPr="00656A35">
        <w:rPr>
          <w:noProof/>
        </w:rPr>
        <w:t>5</w:t>
      </w:r>
      <w:r w:rsidRPr="00656A35">
        <w:rPr>
          <w:noProof/>
        </w:rPr>
        <w:fldChar w:fldCharType="end"/>
      </w:r>
      <w:r w:rsidRPr="00656A35">
        <w:t>.  The applicant appealed. In his appeal he contested the factual findings of the first-instance court, the lawfulness of the administrative-offence report and other matters of fact and interpretation of domestic law, and asserted that he was not guilty.</w:t>
      </w:r>
    </w:p>
    <w:p w:rsidRPr="00656A35" w:rsidR="00955DF5" w:rsidP="00656A35" w14:paraId="6E212A78" w14:textId="0CC85703">
      <w:pPr>
        <w:pStyle w:val="JuPara"/>
      </w:pPr>
      <w:r w:rsidRPr="00656A35">
        <w:fldChar w:fldCharType="begin"/>
      </w:r>
      <w:r w:rsidRPr="00656A35">
        <w:instrText xml:space="preserve"> SEQ level0 \*arabic \* MERGEFORMAT </w:instrText>
      </w:r>
      <w:r w:rsidRPr="00656A35">
        <w:fldChar w:fldCharType="separate"/>
      </w:r>
      <w:r w:rsidRPr="00656A35">
        <w:rPr>
          <w:noProof/>
        </w:rPr>
        <w:t>6</w:t>
      </w:r>
      <w:r w:rsidRPr="00656A35">
        <w:rPr>
          <w:noProof/>
        </w:rPr>
        <w:fldChar w:fldCharType="end"/>
      </w:r>
      <w:r w:rsidRPr="00656A35">
        <w:t>.  On 20 October 2022 the Vinnytsya Regional Court of Appeal, sitting without the parties, upheld the first-instance court</w:t>
      </w:r>
      <w:r w:rsidRPr="00656A35">
        <w:t>’</w:t>
      </w:r>
      <w:r w:rsidRPr="00656A35">
        <w:t>s judgment, finding no indication of any errors of fact or law in it and concluding that the evidence in the case file supported the finding of guilt.</w:t>
      </w:r>
    </w:p>
    <w:p w:rsidRPr="00656A35" w:rsidR="00955DF5" w:rsidP="00656A35" w14:paraId="0967399B" w14:textId="3F22B1AE">
      <w:pPr>
        <w:pStyle w:val="JuHHead"/>
        <w:keepNext w:val="0"/>
        <w:keepLines w:val="0"/>
        <w:numPr>
          <w:ilvl w:val="0"/>
          <w:numId w:val="21"/>
        </w:numPr>
      </w:pPr>
      <w:r w:rsidRPr="00656A35">
        <w:t>THE COURT</w:t>
      </w:r>
      <w:r w:rsidRPr="00656A35" w:rsidR="00656A35">
        <w:t>’</w:t>
      </w:r>
      <w:r w:rsidRPr="00656A35">
        <w:t>S ASSESSMENT</w:t>
      </w:r>
    </w:p>
    <w:p w:rsidRPr="00656A35" w:rsidR="00955DF5" w:rsidP="00656A35" w14:paraId="58199419" w14:textId="7F338068">
      <w:pPr>
        <w:pStyle w:val="JuPara"/>
      </w:pPr>
      <w:r w:rsidRPr="00656A35">
        <w:fldChar w:fldCharType="begin"/>
      </w:r>
      <w:r w:rsidRPr="00656A35">
        <w:instrText xml:space="preserve"> SEQ level0 \*arabic \* MERGEFORMAT </w:instrText>
      </w:r>
      <w:r w:rsidRPr="00656A35">
        <w:fldChar w:fldCharType="separate"/>
      </w:r>
      <w:r w:rsidRPr="00656A35">
        <w:rPr>
          <w:noProof/>
        </w:rPr>
        <w:t>7</w:t>
      </w:r>
      <w:r w:rsidRPr="00656A35">
        <w:rPr>
          <w:noProof/>
        </w:rPr>
        <w:fldChar w:fldCharType="end"/>
      </w:r>
      <w:r w:rsidRPr="00656A35">
        <w:t xml:space="preserve">.  In the case of </w:t>
      </w:r>
      <w:r w:rsidRPr="00656A35">
        <w:rPr>
          <w:i/>
          <w:iCs/>
        </w:rPr>
        <w:t>Mikhaylova v. Ukraine</w:t>
      </w:r>
      <w:r w:rsidRPr="00656A35">
        <w:t xml:space="preserve"> (no. 10644/08, §§</w:t>
      </w:r>
      <w:r w:rsidRPr="00656A35" w:rsidR="00B50592">
        <w:t> </w:t>
      </w:r>
      <w:r w:rsidRPr="00656A35">
        <w:t>15-19, 29 and 56-67, 6</w:t>
      </w:r>
      <w:r w:rsidRPr="00656A35" w:rsidR="00B50592">
        <w:t> </w:t>
      </w:r>
      <w:r w:rsidRPr="00656A35">
        <w:t>March 2018) the Court found a violation of Article 6 § 1 of the Convention in respect of the impartiality requirement. That finding was made in a situation which was characterised by the following combination of circumstances: (i) an oral hearing was held before the first-instance court; (ii)</w:t>
      </w:r>
      <w:r w:rsidRPr="00656A35" w:rsidR="00B50592">
        <w:t> </w:t>
      </w:r>
      <w:r w:rsidRPr="00656A35">
        <w:t>no party presenting and substantiating the charges, whether a prosecutor or other, was present at the hearing; (iii) the applicant was present at the hearing and pleaded not guilty; (iv) the first-instance court convicted the applicant and sentenced her, for contempt of court, to five days</w:t>
      </w:r>
      <w:r w:rsidRPr="00656A35">
        <w:t>’</w:t>
      </w:r>
      <w:r w:rsidRPr="00656A35">
        <w:t xml:space="preserve"> detention; and (v) no appeal as of right lay against that decision, as provided for by the law at the time.</w:t>
      </w:r>
    </w:p>
    <w:p w:rsidRPr="00656A35" w:rsidR="00955DF5" w:rsidP="00656A35" w14:paraId="68536409" w14:textId="160FC867">
      <w:pPr>
        <w:pStyle w:val="JuPara"/>
      </w:pPr>
      <w:r w:rsidRPr="00656A35">
        <w:fldChar w:fldCharType="begin"/>
      </w:r>
      <w:r w:rsidRPr="00656A35">
        <w:instrText xml:space="preserve"> SEQ level0 \*arabic \* MERGEFORMAT </w:instrText>
      </w:r>
      <w:r w:rsidRPr="00656A35">
        <w:fldChar w:fldCharType="separate"/>
      </w:r>
      <w:r w:rsidRPr="00656A35">
        <w:rPr>
          <w:noProof/>
        </w:rPr>
        <w:t>8</w:t>
      </w:r>
      <w:r w:rsidRPr="00656A35">
        <w:rPr>
          <w:noProof/>
        </w:rPr>
        <w:fldChar w:fldCharType="end"/>
      </w:r>
      <w:r w:rsidRPr="00656A35">
        <w:t xml:space="preserve">.  In </w:t>
      </w:r>
      <w:r w:rsidRPr="00656A35">
        <w:rPr>
          <w:i/>
          <w:iCs/>
        </w:rPr>
        <w:t xml:space="preserve">Mikhaylova </w:t>
      </w:r>
      <w:r w:rsidRPr="00656A35">
        <w:t>the Court considered that, in such circumstances, the first-instance court had had no alternative but to carry the burden of supporting the accusation during an oral hearing before it and the Court was not convinced, on the basis of the facts, that sufficient safeguards had been put in place to exclude legitimate doubts as to the adverse effect that such a procedure had had on the trial court</w:t>
      </w:r>
      <w:r w:rsidRPr="00656A35">
        <w:t>’</w:t>
      </w:r>
      <w:r w:rsidRPr="00656A35">
        <w:t>s impartiality (ibid., § 64).</w:t>
      </w:r>
    </w:p>
    <w:p w:rsidRPr="00656A35" w:rsidR="00955DF5" w:rsidP="00656A35" w14:paraId="6231AF1E" w14:textId="357322F2">
      <w:pPr>
        <w:pStyle w:val="JuPara"/>
      </w:pPr>
      <w:r w:rsidRPr="00656A35">
        <w:fldChar w:fldCharType="begin"/>
      </w:r>
      <w:r w:rsidRPr="00656A35">
        <w:instrText xml:space="preserve"> SEQ level0 \*arabic \* MERGEFORMAT </w:instrText>
      </w:r>
      <w:r w:rsidRPr="00656A35">
        <w:fldChar w:fldCharType="separate"/>
      </w:r>
      <w:r w:rsidRPr="00656A35">
        <w:rPr>
          <w:noProof/>
        </w:rPr>
        <w:t>9</w:t>
      </w:r>
      <w:r w:rsidRPr="00656A35">
        <w:rPr>
          <w:noProof/>
        </w:rPr>
        <w:fldChar w:fldCharType="end"/>
      </w:r>
      <w:r w:rsidRPr="00656A35">
        <w:t xml:space="preserve">.  The Court observes at the outset that the case of </w:t>
      </w:r>
      <w:r w:rsidRPr="00656A35">
        <w:rPr>
          <w:i/>
          <w:iCs/>
        </w:rPr>
        <w:t>Mikhaylova</w:t>
      </w:r>
      <w:r w:rsidRPr="00656A35">
        <w:t xml:space="preserve"> concerned a conviction for contempt of court, an offence punishable at the relevant time by – and in the case of Ms Mikhaylova actually punished by – detention. By contrast, in the instant case </w:t>
      </w:r>
      <w:r w:rsidRPr="00656A35">
        <w:t>the proceedings against the applicant concerned a minor traffic-related administrative offence.</w:t>
      </w:r>
    </w:p>
    <w:p w:rsidRPr="00656A35" w:rsidR="00955DF5" w:rsidP="00656A35" w14:paraId="271809C9" w14:textId="7D484A25">
      <w:pPr>
        <w:pStyle w:val="JuPara"/>
      </w:pPr>
      <w:r w:rsidRPr="00656A35">
        <w:fldChar w:fldCharType="begin"/>
      </w:r>
      <w:r w:rsidRPr="00656A35">
        <w:instrText xml:space="preserve"> SEQ level0 \*arabic \* MERGEFORMAT </w:instrText>
      </w:r>
      <w:r w:rsidRPr="00656A35">
        <w:fldChar w:fldCharType="separate"/>
      </w:r>
      <w:r w:rsidRPr="00656A35">
        <w:rPr>
          <w:noProof/>
        </w:rPr>
        <w:t>10</w:t>
      </w:r>
      <w:r w:rsidRPr="00656A35">
        <w:rPr>
          <w:noProof/>
        </w:rPr>
        <w:fldChar w:fldCharType="end"/>
      </w:r>
      <w:r w:rsidRPr="00656A35">
        <w:t xml:space="preserve">.  Even though Article 6 in its criminal aspect may be assumed to apply to such proceedings (see, for example, </w:t>
      </w:r>
      <w:r w:rsidRPr="00656A35">
        <w:rPr>
          <w:i/>
          <w:iCs/>
        </w:rPr>
        <w:t>Igor Pascari v. the Republic of Moldova</w:t>
      </w:r>
      <w:r w:rsidRPr="00656A35">
        <w:t xml:space="preserve">, no. 25555/10, §§ 17-23, 30 August 2016; </w:t>
      </w:r>
      <w:r w:rsidRPr="00656A35">
        <w:rPr>
          <w:i/>
          <w:iCs/>
        </w:rPr>
        <w:t>Varadinov v. Bulgaria</w:t>
      </w:r>
      <w:r w:rsidRPr="00656A35">
        <w:t xml:space="preserve">, no. 15347/08, §§ 39-40, 5 October 2017; and </w:t>
      </w:r>
      <w:r w:rsidRPr="00656A35">
        <w:rPr>
          <w:i/>
          <w:iCs/>
        </w:rPr>
        <w:t>Slobodyan v.</w:t>
      </w:r>
      <w:r w:rsidRPr="00656A35" w:rsidR="00B50592">
        <w:rPr>
          <w:i/>
          <w:iCs/>
        </w:rPr>
        <w:t> </w:t>
      </w:r>
      <w:r w:rsidRPr="00656A35">
        <w:rPr>
          <w:i/>
          <w:iCs/>
        </w:rPr>
        <w:t>Ukraine</w:t>
      </w:r>
      <w:r w:rsidRPr="00656A35">
        <w:t xml:space="preserve"> no. 2511/16, § 17, 9 December 2021 [Committee]), its guarantees do not necessarily apply with their full stringency (see </w:t>
      </w:r>
      <w:r w:rsidRPr="00656A35">
        <w:rPr>
          <w:i/>
        </w:rPr>
        <w:t>Marčan v.</w:t>
      </w:r>
      <w:r w:rsidRPr="00656A35" w:rsidR="00B50592">
        <w:rPr>
          <w:i/>
        </w:rPr>
        <w:t> </w:t>
      </w:r>
      <w:r w:rsidRPr="00656A35">
        <w:rPr>
          <w:i/>
        </w:rPr>
        <w:t>Croatia</w:t>
      </w:r>
      <w:r w:rsidRPr="00656A35">
        <w:t>, no. 40820/12, § 37, 10 July 2014).</w:t>
      </w:r>
    </w:p>
    <w:p w:rsidRPr="00656A35" w:rsidR="00955DF5" w:rsidP="00656A35" w14:paraId="603C2F78" w14:textId="53B5F6E5">
      <w:pPr>
        <w:pStyle w:val="JuPara"/>
      </w:pPr>
      <w:r w:rsidRPr="00656A35">
        <w:fldChar w:fldCharType="begin"/>
      </w:r>
      <w:r w:rsidRPr="00656A35">
        <w:instrText xml:space="preserve"> SEQ level0 \*arabic \* MERGEFORMAT </w:instrText>
      </w:r>
      <w:r w:rsidRPr="00656A35">
        <w:fldChar w:fldCharType="separate"/>
      </w:r>
      <w:r w:rsidRPr="00656A35">
        <w:rPr>
          <w:noProof/>
        </w:rPr>
        <w:t>11</w:t>
      </w:r>
      <w:r w:rsidRPr="00656A35">
        <w:rPr>
          <w:noProof/>
        </w:rPr>
        <w:fldChar w:fldCharType="end"/>
      </w:r>
      <w:r w:rsidRPr="00656A35">
        <w:t xml:space="preserve">.  In contrast to the case of </w:t>
      </w:r>
      <w:r w:rsidRPr="00656A35">
        <w:rPr>
          <w:i/>
          <w:iCs/>
        </w:rPr>
        <w:t>Mikhaylova</w:t>
      </w:r>
      <w:r w:rsidRPr="00656A35">
        <w:t>, the applicant</w:t>
      </w:r>
      <w:r w:rsidRPr="00656A35">
        <w:t>’</w:t>
      </w:r>
      <w:r w:rsidRPr="00656A35">
        <w:t xml:space="preserve">s case was examined under the provisions of the CAO as amended by the Road Safety Amendment Act of 24 September 2008, which introduced a procedure for appeal as of right to the second level of jurisdiction, namely the Courts of Appeal (see </w:t>
      </w:r>
      <w:r w:rsidRPr="00656A35">
        <w:rPr>
          <w:i/>
          <w:iCs/>
        </w:rPr>
        <w:t xml:space="preserve">Gurepka v. Ukraine </w:t>
      </w:r>
      <w:r w:rsidRPr="00656A35">
        <w:t>(no. 2), no. 38789/04, §§ 16 and 32, 8</w:t>
      </w:r>
      <w:r w:rsidRPr="00656A35" w:rsidR="00B50592">
        <w:t> </w:t>
      </w:r>
      <w:r w:rsidRPr="00656A35">
        <w:t xml:space="preserve">April 2010, and </w:t>
      </w:r>
      <w:r w:rsidRPr="00656A35">
        <w:rPr>
          <w:i/>
          <w:iCs/>
        </w:rPr>
        <w:t>Chernega and Others v. Ukraine</w:t>
      </w:r>
      <w:r w:rsidRPr="00656A35">
        <w:t>, no. 74768/10, § 98, 18</w:t>
      </w:r>
      <w:r w:rsidRPr="00656A35" w:rsidR="00B50592">
        <w:t> </w:t>
      </w:r>
      <w:r w:rsidRPr="00656A35">
        <w:t>June 2019).</w:t>
      </w:r>
    </w:p>
    <w:p w:rsidRPr="00656A35" w:rsidR="00955DF5" w:rsidP="00656A35" w14:paraId="7FF60B6C" w14:textId="0799233A">
      <w:pPr>
        <w:pStyle w:val="JuPara"/>
      </w:pPr>
      <w:r w:rsidRPr="00656A35">
        <w:fldChar w:fldCharType="begin"/>
      </w:r>
      <w:r w:rsidRPr="00656A35">
        <w:instrText xml:space="preserve"> SEQ level0 \*arabic \* MERGEFORMAT </w:instrText>
      </w:r>
      <w:r w:rsidRPr="00656A35">
        <w:fldChar w:fldCharType="separate"/>
      </w:r>
      <w:r w:rsidRPr="00656A35">
        <w:rPr>
          <w:noProof/>
        </w:rPr>
        <w:t>12</w:t>
      </w:r>
      <w:r w:rsidRPr="00656A35">
        <w:rPr>
          <w:noProof/>
        </w:rPr>
        <w:fldChar w:fldCharType="end"/>
      </w:r>
      <w:r w:rsidRPr="00656A35">
        <w:t>.  The applicant therefore had at his disposal an appeal procedure, of which he made use.</w:t>
      </w:r>
    </w:p>
    <w:p w:rsidRPr="00656A35" w:rsidR="00955DF5" w:rsidP="00656A35" w14:paraId="1D211F9A" w14:textId="655167CE">
      <w:pPr>
        <w:pStyle w:val="JuPara"/>
      </w:pPr>
      <w:r w:rsidRPr="00656A35">
        <w:fldChar w:fldCharType="begin"/>
      </w:r>
      <w:r w:rsidRPr="00656A35">
        <w:instrText xml:space="preserve"> SEQ level0 \*arabic \* MERGEFORMAT </w:instrText>
      </w:r>
      <w:r w:rsidRPr="00656A35">
        <w:fldChar w:fldCharType="separate"/>
      </w:r>
      <w:r w:rsidRPr="00656A35">
        <w:rPr>
          <w:noProof/>
        </w:rPr>
        <w:t>13</w:t>
      </w:r>
      <w:r w:rsidRPr="00656A35">
        <w:rPr>
          <w:noProof/>
        </w:rPr>
        <w:fldChar w:fldCharType="end"/>
      </w:r>
      <w:r w:rsidRPr="00656A35">
        <w:t xml:space="preserve">.  However, Article 35 § 1 of the Convention requires that complaints intended to be made subsequently in Strasbourg should first have been made to the appropriate domestic body, at least in substance and in compliance with the formal requirements and time-limits laid down in domestic law and, further, that any procedural means that might prevent a breach of the Convention should have been used. Where an applicant has failed to comply with those requirements, his or her application should in principle be declared inadmissible for failure to exhaust domestic remedies (see </w:t>
      </w:r>
      <w:r w:rsidRPr="00656A35">
        <w:rPr>
          <w:i/>
          <w:iCs/>
        </w:rPr>
        <w:t>Vučković and Others v. Serbia</w:t>
      </w:r>
      <w:r w:rsidRPr="00656A35">
        <w:t xml:space="preserve"> (preliminary objection) [GC], nos. 17153/11 and 29</w:t>
      </w:r>
      <w:r w:rsidRPr="00656A35" w:rsidR="00B50592">
        <w:t> </w:t>
      </w:r>
      <w:r w:rsidRPr="00656A35">
        <w:t>others, §</w:t>
      </w:r>
      <w:r w:rsidRPr="00656A35" w:rsidR="00B50592">
        <w:t> </w:t>
      </w:r>
      <w:r w:rsidRPr="00656A35">
        <w:t>72, 25 March 2014, with further references).</w:t>
      </w:r>
    </w:p>
    <w:p w:rsidRPr="00656A35" w:rsidR="00955DF5" w:rsidP="00656A35" w14:paraId="1AC62A0B" w14:textId="1D6C5533">
      <w:pPr>
        <w:pStyle w:val="JuPara"/>
      </w:pPr>
      <w:r w:rsidRPr="00656A35">
        <w:fldChar w:fldCharType="begin"/>
      </w:r>
      <w:r w:rsidRPr="00656A35">
        <w:instrText xml:space="preserve"> SEQ level0 \*arabic \* MERGEFORMAT </w:instrText>
      </w:r>
      <w:r w:rsidRPr="00656A35">
        <w:fldChar w:fldCharType="separate"/>
      </w:r>
      <w:r w:rsidRPr="00656A35">
        <w:rPr>
          <w:noProof/>
        </w:rPr>
        <w:t>14</w:t>
      </w:r>
      <w:r w:rsidRPr="00656A35">
        <w:rPr>
          <w:noProof/>
        </w:rPr>
        <w:fldChar w:fldCharType="end"/>
      </w:r>
      <w:r w:rsidRPr="00656A35">
        <w:t>.  The applicant did not put forward any arguments to show that the remedy in question was inadequate or ineffective in respect of the complaint he subsequently made before the Court or that there existed special circumstances absolving him from the requirement to exhaust it.</w:t>
      </w:r>
    </w:p>
    <w:p w:rsidRPr="00656A35" w:rsidR="00955DF5" w:rsidP="00656A35" w14:paraId="3F47AC55" w14:textId="57E27C37">
      <w:pPr>
        <w:pStyle w:val="JuPara"/>
      </w:pPr>
      <w:r w:rsidRPr="00656A35">
        <w:fldChar w:fldCharType="begin"/>
      </w:r>
      <w:r w:rsidRPr="00656A35">
        <w:instrText xml:space="preserve"> SEQ level0 \*arabic \* MERGEFORMAT </w:instrText>
      </w:r>
      <w:r w:rsidRPr="00656A35">
        <w:fldChar w:fldCharType="separate"/>
      </w:r>
      <w:r w:rsidRPr="00656A35">
        <w:rPr>
          <w:noProof/>
        </w:rPr>
        <w:t>15</w:t>
      </w:r>
      <w:r w:rsidRPr="00656A35">
        <w:rPr>
          <w:noProof/>
        </w:rPr>
        <w:fldChar w:fldCharType="end"/>
      </w:r>
      <w:r w:rsidRPr="00656A35">
        <w:t xml:space="preserve">.  The Court does not perceive any such circumstances either. The Court of Appeal had jurisdiction to deal with questions of law as well as questions of fact. It had the power to examine new evidence if it found that a good reason had been shown for the non-production of such evidence before the first-instance court or that the first-instance court had rejected such evidence without sufficient grounds. The Court of Appeal was empowered to uphold the first-instance judgment, quash it and discontinue the proceedings, quash the judgment and adopt a new judgment, or amend it (Article 294 of the CAO, see </w:t>
      </w:r>
      <w:r w:rsidRPr="00656A35">
        <w:rPr>
          <w:i/>
          <w:iCs/>
        </w:rPr>
        <w:t>Chernega and Others</w:t>
      </w:r>
      <w:r w:rsidRPr="00656A35">
        <w:t>, cited above, § 98).</w:t>
      </w:r>
    </w:p>
    <w:p w:rsidRPr="00656A35" w:rsidR="00955DF5" w:rsidP="00656A35" w14:paraId="3BAB0588" w14:textId="034763F6">
      <w:pPr>
        <w:pStyle w:val="JuPara"/>
      </w:pPr>
      <w:r w:rsidRPr="00656A35">
        <w:fldChar w:fldCharType="begin"/>
      </w:r>
      <w:r w:rsidRPr="00656A35">
        <w:instrText xml:space="preserve"> SEQ level0 \*arabic \* MERGEFORMAT </w:instrText>
      </w:r>
      <w:r w:rsidRPr="00656A35">
        <w:fldChar w:fldCharType="separate"/>
      </w:r>
      <w:r w:rsidRPr="00656A35">
        <w:rPr>
          <w:noProof/>
        </w:rPr>
        <w:t>16</w:t>
      </w:r>
      <w:r w:rsidRPr="00656A35">
        <w:rPr>
          <w:noProof/>
        </w:rPr>
        <w:fldChar w:fldCharType="end"/>
      </w:r>
      <w:r w:rsidRPr="00656A35">
        <w:t>.  By law (Article 294 of the CAO), the Courts of Appeal examine appeals at public hearings in the presence of the parties, unless the parties, having been duly summoned, fail to appear. In the present case, there is no indication of the reason why no public hearing was held before the Court of Appeal.</w:t>
      </w:r>
    </w:p>
    <w:p w:rsidRPr="00656A35" w:rsidR="00955DF5" w:rsidP="00656A35" w14:paraId="2B000547" w14:textId="13489715">
      <w:pPr>
        <w:pStyle w:val="JuPara"/>
      </w:pPr>
      <w:r w:rsidRPr="00656A35">
        <w:fldChar w:fldCharType="begin"/>
      </w:r>
      <w:r w:rsidRPr="00656A35">
        <w:instrText xml:space="preserve"> SEQ level0 \*arabic \* MERGEFORMAT </w:instrText>
      </w:r>
      <w:r w:rsidRPr="00656A35">
        <w:fldChar w:fldCharType="separate"/>
      </w:r>
      <w:r w:rsidRPr="00656A35">
        <w:rPr>
          <w:noProof/>
        </w:rPr>
        <w:t>17</w:t>
      </w:r>
      <w:r w:rsidRPr="00656A35">
        <w:rPr>
          <w:noProof/>
        </w:rPr>
        <w:fldChar w:fldCharType="end"/>
      </w:r>
      <w:r w:rsidRPr="00656A35">
        <w:t xml:space="preserve">.  Article 250 of the CAO (see </w:t>
      </w:r>
      <w:r w:rsidRPr="00656A35">
        <w:rPr>
          <w:i/>
          <w:iCs/>
        </w:rPr>
        <w:t>Mikhaylova</w:t>
      </w:r>
      <w:r w:rsidRPr="00656A35">
        <w:t>, cited above, § 24) authorises prosecutors to take part in the examination of administrative-offence cases, lodge applications and exercise other procedural rights within the framework of administrative-offence proceedings.</w:t>
      </w:r>
    </w:p>
    <w:p w:rsidRPr="00656A35" w:rsidR="00955DF5" w:rsidP="00656A35" w14:paraId="3AD74A96" w14:textId="184DAFB7">
      <w:pPr>
        <w:pStyle w:val="JuPara"/>
      </w:pPr>
      <w:r w:rsidRPr="00656A35">
        <w:fldChar w:fldCharType="begin"/>
      </w:r>
      <w:r w:rsidRPr="00656A35">
        <w:instrText xml:space="preserve"> SEQ level0 </w:instrText>
      </w:r>
      <w:r w:rsidRPr="00656A35">
        <w:instrText xml:space="preserve">\*arabic \* MERGEFORMAT </w:instrText>
      </w:r>
      <w:r w:rsidRPr="00656A35">
        <w:fldChar w:fldCharType="separate"/>
      </w:r>
      <w:r w:rsidRPr="00656A35">
        <w:rPr>
          <w:noProof/>
        </w:rPr>
        <w:t>18</w:t>
      </w:r>
      <w:r w:rsidRPr="00656A35">
        <w:rPr>
          <w:noProof/>
        </w:rPr>
        <w:fldChar w:fldCharType="end"/>
      </w:r>
      <w:r w:rsidRPr="00656A35">
        <w:t>.  Moreover, the Court</w:t>
      </w:r>
      <w:r w:rsidRPr="00656A35">
        <w:t>’</w:t>
      </w:r>
      <w:r w:rsidRPr="00656A35">
        <w:t xml:space="preserve">s case-law demonstrates that, in some legal systems of other Contracting States, in administrative-offence proceedings of the type in issue in the present case the charges may also be presented and substantiated before the courts by officers or representatives of the authority which was responsible for issuing the administrative-offence report (see, for example, </w:t>
      </w:r>
      <w:r w:rsidRPr="00656A35">
        <w:rPr>
          <w:i/>
          <w:iCs/>
        </w:rPr>
        <w:t>Makarashvili and Others v. Georgia</w:t>
      </w:r>
      <w:r w:rsidRPr="00656A35">
        <w:t>, nos. 23158/20 and 2</w:t>
      </w:r>
      <w:r w:rsidRPr="00656A35" w:rsidR="00B50592">
        <w:t> </w:t>
      </w:r>
      <w:r w:rsidRPr="00656A35">
        <w:t>others, § 59, 1 September 2022). There is nothing to indicate that the relevant Ukrainian law prevented the courts from summoning representatives or officers of such authorities for those purposes.</w:t>
      </w:r>
    </w:p>
    <w:p w:rsidRPr="00656A35" w:rsidR="00955DF5" w:rsidP="00656A35" w14:paraId="70553581" w14:textId="6C3436C7">
      <w:pPr>
        <w:pStyle w:val="JuPara"/>
      </w:pPr>
      <w:r w:rsidRPr="00656A35">
        <w:fldChar w:fldCharType="begin"/>
      </w:r>
      <w:r w:rsidRPr="00656A35">
        <w:instrText xml:space="preserve"> SEQ level0 \*arabic \* MERGEFORMAT </w:instrText>
      </w:r>
      <w:r w:rsidRPr="00656A35">
        <w:fldChar w:fldCharType="separate"/>
      </w:r>
      <w:r w:rsidRPr="00656A35">
        <w:rPr>
          <w:noProof/>
        </w:rPr>
        <w:t>19</w:t>
      </w:r>
      <w:r w:rsidRPr="00656A35">
        <w:rPr>
          <w:noProof/>
        </w:rPr>
        <w:fldChar w:fldCharType="end"/>
      </w:r>
      <w:r w:rsidRPr="00656A35">
        <w:t xml:space="preserve">.  In view of those powers of the Court of Appeal there was nothing preventing it from remedying the defect (if any) caused by the absence of a party presenting and substantiating the charges before the first-instance court, by either quashing the judgment for lack of impartiality and acquitting the applicant (see </w:t>
      </w:r>
      <w:r w:rsidRPr="00656A35">
        <w:rPr>
          <w:i/>
        </w:rPr>
        <w:t>De Cubber v. Belgium</w:t>
      </w:r>
      <w:r w:rsidRPr="00656A35">
        <w:t>, 26 October 1984, § 33, Series A no.</w:t>
      </w:r>
      <w:r w:rsidRPr="00656A35" w:rsidR="00B50592">
        <w:t> </w:t>
      </w:r>
      <w:r w:rsidRPr="00656A35">
        <w:t>86) or by rehearing the case with the participation of a prosecuting party. The applicant, however, did not raise this complaint in his appeal.</w:t>
      </w:r>
    </w:p>
    <w:p w:rsidRPr="00656A35" w:rsidR="00955DF5" w:rsidP="00656A35" w14:paraId="0FF28DFA" w14:textId="7075D14F">
      <w:pPr>
        <w:pStyle w:val="JuPara"/>
      </w:pPr>
      <w:r w:rsidRPr="00656A35">
        <w:fldChar w:fldCharType="begin"/>
      </w:r>
      <w:r w:rsidRPr="00656A35">
        <w:instrText xml:space="preserve"> SEQ level0 \*arabic \* MERGEFORMAT </w:instrText>
      </w:r>
      <w:r w:rsidRPr="00656A35">
        <w:fldChar w:fldCharType="separate"/>
      </w:r>
      <w:r w:rsidRPr="00656A35">
        <w:rPr>
          <w:noProof/>
        </w:rPr>
        <w:t>20</w:t>
      </w:r>
      <w:r w:rsidRPr="00656A35">
        <w:rPr>
          <w:noProof/>
        </w:rPr>
        <w:fldChar w:fldCharType="end"/>
      </w:r>
      <w:r w:rsidRPr="00656A35">
        <w:t>.  Moreover, even were the Court to give the applicant the greatest possible benefit of the doubt and assume that the Court of Appeal would not have put right the relevant defect owing to some peculiarity in the applicant</w:t>
      </w:r>
      <w:r w:rsidRPr="00656A35">
        <w:t>’</w:t>
      </w:r>
      <w:r w:rsidRPr="00656A35">
        <w:t>s case, it is in any event apparent that the defence had not raised the issue of the absence of a prosecuting party even before the first-instance court.</w:t>
      </w:r>
    </w:p>
    <w:p w:rsidRPr="00656A35" w:rsidR="00955DF5" w:rsidP="00656A35" w14:paraId="673D69E3" w14:textId="11D0C0BE">
      <w:pPr>
        <w:pStyle w:val="JuPara"/>
      </w:pPr>
      <w:r w:rsidRPr="00656A35">
        <w:fldChar w:fldCharType="begin"/>
      </w:r>
      <w:r w:rsidRPr="00656A35">
        <w:instrText xml:space="preserve"> SEQ level0 \*arabic \* MERGEFORMAT </w:instrText>
      </w:r>
      <w:r w:rsidRPr="00656A35">
        <w:fldChar w:fldCharType="separate"/>
      </w:r>
      <w:r w:rsidRPr="00656A35">
        <w:rPr>
          <w:noProof/>
        </w:rPr>
        <w:t>21</w:t>
      </w:r>
      <w:r w:rsidRPr="00656A35">
        <w:rPr>
          <w:noProof/>
        </w:rPr>
        <w:fldChar w:fldCharType="end"/>
      </w:r>
      <w:r w:rsidRPr="00656A35">
        <w:t xml:space="preserve">.  Therefore, the applicant failed to show that he had taken advantage of the tools available to him at the domestic level for the defence of his rights (see </w:t>
      </w:r>
      <w:r w:rsidRPr="00656A35">
        <w:rPr>
          <w:i/>
          <w:iCs/>
        </w:rPr>
        <w:t>mutatis mutandis</w:t>
      </w:r>
      <w:r w:rsidRPr="00656A35">
        <w:t xml:space="preserve">, </w:t>
      </w:r>
      <w:r w:rsidRPr="00656A35">
        <w:rPr>
          <w:i/>
          <w:iCs/>
        </w:rPr>
        <w:t>Zahirović v. Croatia</w:t>
      </w:r>
      <w:r w:rsidRPr="00656A35">
        <w:t>, no. 58590/11, §§ 31-37, 25</w:t>
      </w:r>
      <w:r w:rsidRPr="00656A35" w:rsidR="00B50592">
        <w:t> </w:t>
      </w:r>
      <w:r w:rsidRPr="00656A35">
        <w:t xml:space="preserve">April 2013, </w:t>
      </w:r>
      <w:r w:rsidRPr="00656A35">
        <w:rPr>
          <w:i/>
          <w:iCs/>
        </w:rPr>
        <w:t>Smailagić v. Croatia</w:t>
      </w:r>
      <w:r w:rsidRPr="00656A35">
        <w:t xml:space="preserve"> (dec.), no. 77707/13, §§ 34 and 36, 10</w:t>
      </w:r>
      <w:r w:rsidRPr="00656A35" w:rsidR="00B50592">
        <w:t> </w:t>
      </w:r>
      <w:r w:rsidRPr="00656A35">
        <w:t xml:space="preserve">November 2015, </w:t>
      </w:r>
      <w:bookmarkStart w:name="_cl36481THECOURTSASSESSMENT" w:id="0"/>
      <w:r w:rsidRPr="00656A35">
        <w:rPr>
          <w:i/>
          <w:iCs/>
        </w:rPr>
        <w:t>Sigurður Einarsson and Others v. Iceland</w:t>
      </w:r>
      <w:bookmarkEnd w:id="0"/>
      <w:r w:rsidRPr="00656A35">
        <w:t>, no. 39757/15, §§</w:t>
      </w:r>
      <w:r w:rsidRPr="00656A35" w:rsidR="00B50592">
        <w:t> </w:t>
      </w:r>
      <w:r w:rsidRPr="00656A35">
        <w:t xml:space="preserve">45-49, 4 June 2019, and, for example, </w:t>
      </w:r>
      <w:r w:rsidRPr="00656A35">
        <w:rPr>
          <w:i/>
          <w:iCs/>
        </w:rPr>
        <w:t>Pikhotskyy v. Ukraine</w:t>
      </w:r>
      <w:r w:rsidRPr="00656A35">
        <w:t xml:space="preserve"> (dec.), no.</w:t>
      </w:r>
      <w:r w:rsidRPr="00656A35" w:rsidR="00B50592">
        <w:t> </w:t>
      </w:r>
      <w:r w:rsidRPr="00656A35">
        <w:t>47866/13, 25</w:t>
      </w:r>
      <w:r w:rsidRPr="00656A35" w:rsidR="00B50592">
        <w:t> </w:t>
      </w:r>
      <w:r w:rsidRPr="00656A35">
        <w:t>March 2021 [Committee], with further references).</w:t>
      </w:r>
    </w:p>
    <w:p w:rsidRPr="00656A35" w:rsidR="00955DF5" w:rsidP="00656A35" w14:paraId="3A1420E7" w14:textId="3557057C">
      <w:pPr>
        <w:pStyle w:val="JuPara"/>
      </w:pPr>
      <w:r w:rsidRPr="00656A35">
        <w:fldChar w:fldCharType="begin"/>
      </w:r>
      <w:r w:rsidRPr="00656A35">
        <w:instrText xml:space="preserve"> SEQ level0 \*arabic \* MERGEFORMAT </w:instrText>
      </w:r>
      <w:r w:rsidRPr="00656A35">
        <w:fldChar w:fldCharType="separate"/>
      </w:r>
      <w:r w:rsidRPr="00656A35">
        <w:rPr>
          <w:noProof/>
        </w:rPr>
        <w:t>22</w:t>
      </w:r>
      <w:r w:rsidRPr="00656A35">
        <w:rPr>
          <w:noProof/>
        </w:rPr>
        <w:fldChar w:fldCharType="end"/>
      </w:r>
      <w:r w:rsidRPr="00656A35">
        <w:t>.  Lastly, the applicant also complained, invoking Article</w:t>
      </w:r>
      <w:r w:rsidRPr="00656A35" w:rsidR="00B50592">
        <w:t> </w:t>
      </w:r>
      <w:r w:rsidRPr="00656A35">
        <w:t>13 and Article</w:t>
      </w:r>
      <w:r w:rsidRPr="00656A35" w:rsidR="00B50592">
        <w:t> </w:t>
      </w:r>
      <w:r w:rsidRPr="00656A35">
        <w:t xml:space="preserve">1 of Protocol No. 1 to the Convention, that the domestic courts had erred in their assessment of the evidence and of the domestic law and had wrongly convicted him. The Court reiterates that it is not its function to deal with errors of fact or of law allegedly committed by a domestic court unless and in so far as they may have infringed rights and freedoms protected by the Convention. In the determination of whether the proceedings were fair this Court does not act as a court of fourth instance deciding on whether the evidence has been obtained unlawfully in terms of domestic law, on its admissibility or on the guilt of an applicant (see </w:t>
      </w:r>
      <w:r w:rsidRPr="00656A35">
        <w:rPr>
          <w:i/>
          <w:iCs/>
        </w:rPr>
        <w:t>Murtazaliyeva v.</w:t>
      </w:r>
      <w:r w:rsidRPr="00656A35" w:rsidR="00B50592">
        <w:rPr>
          <w:i/>
          <w:iCs/>
        </w:rPr>
        <w:t> </w:t>
      </w:r>
      <w:r w:rsidRPr="00656A35">
        <w:rPr>
          <w:i/>
          <w:iCs/>
        </w:rPr>
        <w:t>Russia</w:t>
      </w:r>
      <w:r w:rsidRPr="00656A35">
        <w:t xml:space="preserve"> [GC], no. 36658/05, § 149, 18 December 2018).</w:t>
      </w:r>
    </w:p>
    <w:p w:rsidRPr="00656A35" w:rsidR="00955DF5" w:rsidP="00656A35" w14:paraId="59D31DED" w14:textId="392824D3">
      <w:pPr>
        <w:pStyle w:val="JuPara"/>
      </w:pPr>
      <w:r w:rsidRPr="00656A35">
        <w:fldChar w:fldCharType="begin"/>
      </w:r>
      <w:r w:rsidRPr="00656A35">
        <w:instrText xml:space="preserve"> SEQ level0 \*arabic \* MERGEFORMAT </w:instrText>
      </w:r>
      <w:r w:rsidRPr="00656A35">
        <w:fldChar w:fldCharType="separate"/>
      </w:r>
      <w:r w:rsidRPr="00656A35">
        <w:rPr>
          <w:noProof/>
        </w:rPr>
        <w:t>23</w:t>
      </w:r>
      <w:r w:rsidRPr="00656A35">
        <w:rPr>
          <w:noProof/>
        </w:rPr>
        <w:fldChar w:fldCharType="end"/>
      </w:r>
      <w:r w:rsidRPr="00656A35">
        <w:t>.  It follows that the application does not meet the admissibility criteria set out in Article 35 §§ 1 and 3 (a) and must be rejected in accordance with Article 35 § 4 of the Convention.</w:t>
      </w:r>
    </w:p>
    <w:p w:rsidRPr="00656A35" w:rsidR="00955DF5" w:rsidP="00656A35" w14:paraId="132FFC38" w14:textId="6579B1F7">
      <w:pPr>
        <w:pStyle w:val="JuParaLast"/>
      </w:pPr>
      <w:r w:rsidRPr="00656A35">
        <w:t>For these reasons, the Court, unanimously,</w:t>
      </w:r>
    </w:p>
    <w:p w:rsidRPr="00656A35" w:rsidR="00955DF5" w:rsidP="00656A35" w14:paraId="32EBB222" w14:textId="77777777">
      <w:pPr>
        <w:pStyle w:val="DecList"/>
        <w:keepNext/>
        <w:keepLines/>
      </w:pPr>
      <w:r w:rsidRPr="00656A35">
        <w:rPr>
          <w:i/>
        </w:rPr>
        <w:t>Declares</w:t>
      </w:r>
      <w:r w:rsidRPr="00656A35">
        <w:t xml:space="preserve"> the application inadmissible.</w:t>
      </w:r>
    </w:p>
    <w:p w:rsidRPr="00656A35" w:rsidR="00BD1692" w:rsidP="00656A35" w14:paraId="630137DF" w14:textId="225A301C">
      <w:pPr>
        <w:pStyle w:val="JuParaLast"/>
        <w:rPr>
          <w:sz w:val="14"/>
        </w:rPr>
      </w:pPr>
      <w:r w:rsidRPr="00656A35">
        <w:t xml:space="preserve">Done in English and notified in writing on </w:t>
      </w:r>
      <w:r w:rsidRPr="00656A35" w:rsidR="00955DF5">
        <w:rPr>
          <w:noProof/>
        </w:rPr>
        <w:t>6 July 2023</w:t>
      </w:r>
      <w:r w:rsidRPr="00656A35">
        <w:t>.</w:t>
      </w:r>
    </w:p>
    <w:p w:rsidRPr="00656A35" w:rsidR="00BD1692" w:rsidP="00656A35" w14:paraId="40C9556E" w14:textId="03E8291E">
      <w:pPr>
        <w:pStyle w:val="ECHRPlaceholder"/>
      </w:pPr>
      <w:r w:rsidRPr="00656A35">
        <w:tab/>
      </w:r>
    </w:p>
    <w:p w:rsidRPr="00656A35" w:rsidR="002B6368" w:rsidP="00656A35" w14:paraId="06DF3AA0" w14:textId="4973BF99">
      <w:pPr>
        <w:pStyle w:val="JuSigned"/>
      </w:pPr>
      <w:r w:rsidRPr="00656A35">
        <w:tab/>
      </w:r>
      <w:r w:rsidRPr="00656A35" w:rsidR="00955DF5">
        <w:rPr>
          <w:rFonts w:eastAsia="PMingLiU"/>
          <w:noProof/>
        </w:rPr>
        <w:t>Martina Keller</w:t>
      </w:r>
      <w:r w:rsidRPr="00656A35" w:rsidR="001D1233">
        <w:tab/>
      </w:r>
      <w:r w:rsidRPr="00656A35" w:rsidR="00955DF5">
        <w:rPr>
          <w:noProof/>
        </w:rPr>
        <w:t>Lado Chanturia</w:t>
      </w:r>
      <w:r w:rsidRPr="00656A35" w:rsidR="001D1233">
        <w:br/>
      </w:r>
      <w:r w:rsidRPr="00656A35" w:rsidR="001D1233">
        <w:tab/>
      </w:r>
      <w:r w:rsidRPr="00656A35" w:rsidR="00955DF5">
        <w:rPr>
          <w:noProof/>
        </w:rPr>
        <w:t>Deputy Registrar</w:t>
      </w:r>
      <w:r w:rsidRPr="00656A35" w:rsidR="006267D3">
        <w:tab/>
        <w:t>President</w:t>
      </w:r>
    </w:p>
    <w:p w:rsidRPr="00656A35" w:rsidR="00ED04C3" w:rsidP="00656A35" w14:paraId="4A846FF2" w14:textId="02DC779C">
      <w:pPr>
        <w:pStyle w:val="DecHTitle"/>
      </w:pP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8B5" w:rsidRPr="00955DF5" w:rsidP="000D61E7" w14:paraId="488FCF50" w14:textId="61167921">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18B5" w:rsidRPr="00955DF5" w:rsidP="000D61E7" w14:paraId="3AE91B3E" w14:textId="01F00CF6">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5DF5" w:rsidRPr="00150BFA" w:rsidP="0020718E" w14:paraId="0BA8F87B" w14:textId="1EED4685">
    <w:pPr>
      <w:jc w:val="center"/>
    </w:pPr>
    <w:r w:rsidRPr="00955DF5">
      <w:rPr>
        <w:noProof/>
      </w:rPr>
      <w:drawing>
        <wp:inline distT="0" distB="0" distL="0" distR="0">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955DF5" w:rsidP="002E2C77" w14:paraId="17E4AB49" w14:textId="21CF0B32">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C7B" w:rsidRPr="00955DF5" w:rsidP="0076040F" w14:paraId="212D42F8" w14:textId="614427C3">
    <w:pPr>
      <w:pStyle w:val="JuHeader"/>
    </w:pPr>
    <w:r>
      <w:t>KULISH v. UKRAINE</w:t>
    </w:r>
    <w:r w:rsidRPr="00955DF5"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5C7B" w:rsidRPr="00955DF5" w:rsidP="000D61E7" w14:paraId="1BA09C0D" w14:textId="63111DA7">
    <w:pPr>
      <w:pStyle w:val="JuHeader"/>
    </w:pPr>
    <w:r>
      <w:t>KULISH v. UKRAINE</w:t>
    </w:r>
    <w:r w:rsidRPr="00955DF5"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5DF5" w:rsidRPr="00A45145" w:rsidP="00A45145" w14:paraId="6A1A0AAE" w14:textId="26892800">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955DF5" w:rsidP="00EA1004" w14:paraId="44BE399C" w14:textId="6EFE22C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962958927">
    <w:abstractNumId w:val="14"/>
  </w:num>
  <w:num w:numId="2" w16cid:durableId="724914635">
    <w:abstractNumId w:val="12"/>
  </w:num>
  <w:num w:numId="3" w16cid:durableId="1336496719">
    <w:abstractNumId w:val="11"/>
  </w:num>
  <w:num w:numId="4" w16cid:durableId="717436508">
    <w:abstractNumId w:val="15"/>
  </w:num>
  <w:num w:numId="5" w16cid:durableId="1328053796">
    <w:abstractNumId w:val="13"/>
  </w:num>
  <w:num w:numId="6" w16cid:durableId="836533296">
    <w:abstractNumId w:val="16"/>
  </w:num>
  <w:num w:numId="7" w16cid:durableId="1666392417">
    <w:abstractNumId w:val="15"/>
  </w:num>
  <w:num w:numId="8" w16cid:durableId="1492410554">
    <w:abstractNumId w:val="16"/>
  </w:num>
  <w:num w:numId="9" w16cid:durableId="386807039">
    <w:abstractNumId w:val="10"/>
  </w:num>
  <w:num w:numId="10" w16cid:durableId="1330131588">
    <w:abstractNumId w:val="9"/>
  </w:num>
  <w:num w:numId="11" w16cid:durableId="852301525">
    <w:abstractNumId w:val="18"/>
  </w:num>
  <w:num w:numId="12" w16cid:durableId="2104378829">
    <w:abstractNumId w:val="7"/>
  </w:num>
  <w:num w:numId="13" w16cid:durableId="446124446">
    <w:abstractNumId w:val="6"/>
  </w:num>
  <w:num w:numId="14" w16cid:durableId="1979724747">
    <w:abstractNumId w:val="5"/>
  </w:num>
  <w:num w:numId="15" w16cid:durableId="1078597372">
    <w:abstractNumId w:val="4"/>
  </w:num>
  <w:num w:numId="16" w16cid:durableId="479421358">
    <w:abstractNumId w:val="8"/>
  </w:num>
  <w:num w:numId="17" w16cid:durableId="1098985082">
    <w:abstractNumId w:val="3"/>
  </w:num>
  <w:num w:numId="18" w16cid:durableId="925578556">
    <w:abstractNumId w:val="2"/>
  </w:num>
  <w:num w:numId="19" w16cid:durableId="612133148">
    <w:abstractNumId w:val="1"/>
  </w:num>
  <w:num w:numId="20" w16cid:durableId="1057900203">
    <w:abstractNumId w:val="0"/>
  </w:num>
  <w:num w:numId="21" w16cid:durableId="1374425829">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DF5"/>
    <w:rsid w:val="00095FD8"/>
    <w:rsid w:val="000B1FA9"/>
    <w:rsid w:val="000D61E7"/>
    <w:rsid w:val="000E3A89"/>
    <w:rsid w:val="00115035"/>
    <w:rsid w:val="00132029"/>
    <w:rsid w:val="00144EBC"/>
    <w:rsid w:val="00150BFA"/>
    <w:rsid w:val="001818B5"/>
    <w:rsid w:val="001D1233"/>
    <w:rsid w:val="0020718E"/>
    <w:rsid w:val="00223591"/>
    <w:rsid w:val="002A7443"/>
    <w:rsid w:val="002B6368"/>
    <w:rsid w:val="002E2C77"/>
    <w:rsid w:val="003B50D7"/>
    <w:rsid w:val="003E3C60"/>
    <w:rsid w:val="00452087"/>
    <w:rsid w:val="00464268"/>
    <w:rsid w:val="004A4C71"/>
    <w:rsid w:val="004B4E73"/>
    <w:rsid w:val="005E56C2"/>
    <w:rsid w:val="005F11CB"/>
    <w:rsid w:val="006262FA"/>
    <w:rsid w:val="006267D3"/>
    <w:rsid w:val="006300E9"/>
    <w:rsid w:val="00653EF4"/>
    <w:rsid w:val="00656A35"/>
    <w:rsid w:val="00656B81"/>
    <w:rsid w:val="006D4D63"/>
    <w:rsid w:val="006E123B"/>
    <w:rsid w:val="0076040F"/>
    <w:rsid w:val="00776426"/>
    <w:rsid w:val="007907C0"/>
    <w:rsid w:val="007A74FC"/>
    <w:rsid w:val="007B2364"/>
    <w:rsid w:val="00812D10"/>
    <w:rsid w:val="008D10E4"/>
    <w:rsid w:val="008F0A92"/>
    <w:rsid w:val="008F7189"/>
    <w:rsid w:val="00955DF5"/>
    <w:rsid w:val="00956B2A"/>
    <w:rsid w:val="0096293E"/>
    <w:rsid w:val="009656DE"/>
    <w:rsid w:val="009B6F49"/>
    <w:rsid w:val="009C21E8"/>
    <w:rsid w:val="009E01FB"/>
    <w:rsid w:val="00A45145"/>
    <w:rsid w:val="00AA5AEE"/>
    <w:rsid w:val="00AC58E5"/>
    <w:rsid w:val="00B140D3"/>
    <w:rsid w:val="00B50592"/>
    <w:rsid w:val="00BD1692"/>
    <w:rsid w:val="00C42C12"/>
    <w:rsid w:val="00C7203A"/>
    <w:rsid w:val="00C8038F"/>
    <w:rsid w:val="00CB3BD9"/>
    <w:rsid w:val="00D415D6"/>
    <w:rsid w:val="00DB6354"/>
    <w:rsid w:val="00E5464B"/>
    <w:rsid w:val="00E93FC7"/>
    <w:rsid w:val="00EA1004"/>
    <w:rsid w:val="00ED04C3"/>
    <w:rsid w:val="00EE3667"/>
    <w:rsid w:val="00EE38CA"/>
    <w:rsid w:val="00F0534F"/>
    <w:rsid w:val="00F05C7B"/>
    <w:rsid w:val="00F24AB9"/>
    <w:rsid w:val="00FC2655"/>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37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44EBC"/>
    <w:rPr>
      <w:sz w:val="24"/>
      <w:szCs w:val="24"/>
      <w:lang w:val="en-GB"/>
    </w:rPr>
  </w:style>
  <w:style w:type="paragraph" w:styleId="Heading1">
    <w:name w:val="heading 1"/>
    <w:basedOn w:val="Normal"/>
    <w:next w:val="Normal"/>
    <w:link w:val="Heading1Char"/>
    <w:uiPriority w:val="98"/>
    <w:semiHidden/>
    <w:rsid w:val="00144EB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44EB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44EB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44EB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44EB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44EB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44EB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44EB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44EB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144EBC"/>
    <w:pPr>
      <w:tabs>
        <w:tab w:val="center" w:pos="1418"/>
        <w:tab w:val="center" w:pos="5954"/>
      </w:tabs>
      <w:spacing w:before="720"/>
    </w:pPr>
  </w:style>
  <w:style w:type="paragraph" w:customStyle="1" w:styleId="JuPara">
    <w:name w:val="Ju_Para"/>
    <w:aliases w:val="_Para,ECHR_Para,Left,First line:  0 cm,Para,N_Para,Ju_Para + Interligne : Double"/>
    <w:basedOn w:val="NormalJustified"/>
    <w:link w:val="JuParaChar"/>
    <w:uiPriority w:val="4"/>
    <w:qFormat/>
    <w:rsid w:val="00144EBC"/>
    <w:pPr>
      <w:ind w:firstLine="284"/>
    </w:pPr>
  </w:style>
  <w:style w:type="character" w:styleId="PageNumber">
    <w:name w:val="page number"/>
    <w:uiPriority w:val="98"/>
    <w:semiHidden/>
    <w:rsid w:val="00144EBC"/>
    <w:rPr>
      <w:sz w:val="18"/>
    </w:rPr>
  </w:style>
  <w:style w:type="character" w:styleId="CommentReference">
    <w:name w:val="annotation reference"/>
    <w:basedOn w:val="DefaultParagraphFont"/>
    <w:uiPriority w:val="98"/>
    <w:semiHidden/>
    <w:rsid w:val="00144EBC"/>
    <w:rPr>
      <w:sz w:val="16"/>
      <w:szCs w:val="16"/>
    </w:rPr>
  </w:style>
  <w:style w:type="paragraph" w:styleId="CommentText">
    <w:name w:val="annotation text"/>
    <w:basedOn w:val="Normal"/>
    <w:link w:val="CommentTextChar"/>
    <w:uiPriority w:val="98"/>
    <w:semiHidden/>
    <w:rsid w:val="00144EBC"/>
    <w:rPr>
      <w:sz w:val="20"/>
      <w:szCs w:val="20"/>
    </w:rPr>
  </w:style>
  <w:style w:type="character" w:customStyle="1" w:styleId="CommentTextChar">
    <w:name w:val="Comment Text Char"/>
    <w:basedOn w:val="DefaultParagraphFont"/>
    <w:link w:val="CommentText"/>
    <w:uiPriority w:val="98"/>
    <w:semiHidden/>
    <w:rsid w:val="00144EBC"/>
    <w:rPr>
      <w:sz w:val="20"/>
      <w:szCs w:val="20"/>
      <w:lang w:val="en-GB"/>
    </w:rPr>
  </w:style>
  <w:style w:type="paragraph" w:customStyle="1" w:styleId="DecHTitle">
    <w:name w:val="Dec_H_Title"/>
    <w:aliases w:val="_Title_1"/>
    <w:basedOn w:val="JuPara"/>
    <w:next w:val="JuPara"/>
    <w:uiPriority w:val="38"/>
    <w:qFormat/>
    <w:rsid w:val="00144EBC"/>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144EB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44EBC"/>
    <w:pPr>
      <w:keepNext/>
      <w:keepLines/>
      <w:spacing w:before="1320" w:after="280"/>
      <w:contextualSpacing/>
      <w:jc w:val="center"/>
    </w:pPr>
    <w:rPr>
      <w:b/>
    </w:rPr>
  </w:style>
  <w:style w:type="paragraph" w:customStyle="1" w:styleId="JuHeader">
    <w:name w:val="Ju_Header"/>
    <w:aliases w:val="_Header"/>
    <w:basedOn w:val="Header0"/>
    <w:uiPriority w:val="29"/>
    <w:qFormat/>
    <w:rsid w:val="00144EBC"/>
    <w:pPr>
      <w:tabs>
        <w:tab w:val="clear" w:pos="4536"/>
        <w:tab w:val="clear" w:pos="9072"/>
      </w:tabs>
      <w:jc w:val="center"/>
    </w:pPr>
    <w:rPr>
      <w:sz w:val="18"/>
    </w:rPr>
  </w:style>
  <w:style w:type="paragraph" w:styleId="Header0">
    <w:name w:val="header"/>
    <w:basedOn w:val="Normal"/>
    <w:link w:val="HeaderChar"/>
    <w:uiPriority w:val="98"/>
    <w:semiHidden/>
    <w:rsid w:val="00144EBC"/>
    <w:pPr>
      <w:tabs>
        <w:tab w:val="center" w:pos="4536"/>
        <w:tab w:val="right" w:pos="9072"/>
      </w:tabs>
    </w:pPr>
  </w:style>
  <w:style w:type="character" w:customStyle="1" w:styleId="HeaderChar">
    <w:name w:val="Header Char"/>
    <w:basedOn w:val="DefaultParagraphFont"/>
    <w:link w:val="Header0"/>
    <w:uiPriority w:val="98"/>
    <w:semiHidden/>
    <w:rsid w:val="00144EBC"/>
    <w:rPr>
      <w:sz w:val="24"/>
      <w:szCs w:val="24"/>
      <w:lang w:val="en-GB"/>
    </w:rPr>
  </w:style>
  <w:style w:type="paragraph" w:styleId="BalloonText">
    <w:name w:val="Balloon Text"/>
    <w:basedOn w:val="Normal"/>
    <w:link w:val="BalloonTextChar"/>
    <w:uiPriority w:val="98"/>
    <w:semiHidden/>
    <w:rsid w:val="00144EBC"/>
    <w:rPr>
      <w:rFonts w:ascii="Tahoma" w:hAnsi="Tahoma" w:cs="Tahoma"/>
      <w:sz w:val="16"/>
      <w:szCs w:val="16"/>
    </w:rPr>
  </w:style>
  <w:style w:type="character" w:customStyle="1" w:styleId="BalloonTextChar">
    <w:name w:val="Balloon Text Char"/>
    <w:basedOn w:val="DefaultParagraphFont"/>
    <w:link w:val="BalloonText"/>
    <w:uiPriority w:val="98"/>
    <w:semiHidden/>
    <w:rsid w:val="00144EBC"/>
    <w:rPr>
      <w:rFonts w:ascii="Tahoma" w:hAnsi="Tahoma" w:cs="Tahoma"/>
      <w:sz w:val="16"/>
      <w:szCs w:val="16"/>
      <w:lang w:val="en-GB"/>
    </w:rPr>
  </w:style>
  <w:style w:type="paragraph" w:customStyle="1" w:styleId="DummyStyle">
    <w:name w:val="Dummy_Style"/>
    <w:aliases w:val="_Dummy"/>
    <w:basedOn w:val="Normal"/>
    <w:semiHidden/>
    <w:qFormat/>
    <w:rsid w:val="00144EBC"/>
    <w:rPr>
      <w:color w:val="00B050"/>
      <w:sz w:val="22"/>
    </w:rPr>
  </w:style>
  <w:style w:type="paragraph" w:customStyle="1" w:styleId="NormalJustified">
    <w:name w:val="Normal_Justified"/>
    <w:basedOn w:val="Normal"/>
    <w:semiHidden/>
    <w:rsid w:val="00144EBC"/>
    <w:pPr>
      <w:jc w:val="both"/>
    </w:pPr>
  </w:style>
  <w:style w:type="paragraph" w:customStyle="1" w:styleId="JuQuot">
    <w:name w:val="Ju_Quot"/>
    <w:aliases w:val="_Quote"/>
    <w:basedOn w:val="NormalJustified"/>
    <w:uiPriority w:val="20"/>
    <w:qFormat/>
    <w:rsid w:val="00144EBC"/>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144EBC"/>
    <w:pPr>
      <w:keepNext/>
      <w:keepLines/>
      <w:tabs>
        <w:tab w:val="right" w:pos="7938"/>
      </w:tabs>
      <w:ind w:firstLine="0"/>
      <w:jc w:val="center"/>
    </w:pPr>
    <w:rPr>
      <w:i/>
    </w:rPr>
  </w:style>
  <w:style w:type="table" w:customStyle="1" w:styleId="ECHRDNTable">
    <w:name w:val="ECHR_DN_Table"/>
    <w:basedOn w:val="TableNormal"/>
    <w:uiPriority w:val="99"/>
    <w:rsid w:val="00144EB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144EBC"/>
    <w:pPr>
      <w:numPr>
        <w:numId w:val="4"/>
      </w:numPr>
    </w:pPr>
  </w:style>
  <w:style w:type="numbering" w:customStyle="1" w:styleId="ECHRA1StyleList">
    <w:name w:val="ECHR_A1_Style_List"/>
    <w:basedOn w:val="NoList"/>
    <w:uiPriority w:val="99"/>
    <w:rsid w:val="00144EBC"/>
    <w:pPr>
      <w:numPr>
        <w:numId w:val="5"/>
      </w:numPr>
    </w:pPr>
  </w:style>
  <w:style w:type="paragraph" w:customStyle="1" w:styleId="JuHArticle">
    <w:name w:val="Ju_H_Article"/>
    <w:aliases w:val="_Title_Quote"/>
    <w:basedOn w:val="Normal"/>
    <w:next w:val="JuQuot"/>
    <w:uiPriority w:val="19"/>
    <w:qFormat/>
    <w:rsid w:val="00144EBC"/>
    <w:pPr>
      <w:keepNext/>
      <w:spacing w:before="100" w:beforeAutospacing="1" w:after="120"/>
      <w:contextualSpacing/>
      <w:jc w:val="center"/>
    </w:pPr>
    <w:rPr>
      <w:b/>
      <w:sz w:val="20"/>
    </w:rPr>
  </w:style>
  <w:style w:type="numbering" w:customStyle="1" w:styleId="ECHRA1StyleNumberedList">
    <w:name w:val="ECHR_A1_Style_Numbered_List"/>
    <w:basedOn w:val="NoList"/>
    <w:rsid w:val="00144EBC"/>
    <w:pPr>
      <w:numPr>
        <w:numId w:val="6"/>
      </w:numPr>
    </w:pPr>
  </w:style>
  <w:style w:type="table" w:customStyle="1" w:styleId="ECHRHeaderTable">
    <w:name w:val="ECHR_Header_Table"/>
    <w:basedOn w:val="TableNormal"/>
    <w:uiPriority w:val="99"/>
    <w:rsid w:val="00144EB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144EBC"/>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144EBC"/>
    <w:pPr>
      <w:tabs>
        <w:tab w:val="center" w:pos="6407"/>
      </w:tabs>
      <w:spacing w:before="720"/>
      <w:jc w:val="right"/>
    </w:pPr>
  </w:style>
  <w:style w:type="table" w:customStyle="1" w:styleId="ECHRHeaderTableReduced">
    <w:name w:val="ECHR_Header_Table_Reduced"/>
    <w:basedOn w:val="TableNormal"/>
    <w:uiPriority w:val="99"/>
    <w:rsid w:val="00144EB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144EBC"/>
    <w:rPr>
      <w:caps w:val="0"/>
      <w:smallCaps/>
    </w:rPr>
  </w:style>
  <w:style w:type="character" w:customStyle="1" w:styleId="JuITMark">
    <w:name w:val="Ju_ITMark"/>
    <w:aliases w:val="_ITMark"/>
    <w:basedOn w:val="DefaultParagraphFont"/>
    <w:uiPriority w:val="54"/>
    <w:qFormat/>
    <w:rsid w:val="00144EBC"/>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144EB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44EBC"/>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144EBC"/>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144EBC"/>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144EBC"/>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144EBC"/>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144EBC"/>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144EBC"/>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144EBC"/>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144EBC"/>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144EBC"/>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144EBC"/>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144EBC"/>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144EBC"/>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144EBC"/>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144EBC"/>
    <w:pPr>
      <w:keepNext/>
      <w:keepLines/>
      <w:spacing w:before="240" w:after="240"/>
      <w:ind w:firstLine="284"/>
    </w:pPr>
  </w:style>
  <w:style w:type="table" w:customStyle="1" w:styleId="ECHRTableBoxHeader">
    <w:name w:val="ECHR_Table_Box_Header"/>
    <w:basedOn w:val="TableNormal"/>
    <w:rsid w:val="00144EB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144EBC"/>
    <w:pPr>
      <w:tabs>
        <w:tab w:val="left" w:pos="567"/>
        <w:tab w:val="left" w:pos="1134"/>
      </w:tabs>
    </w:pPr>
  </w:style>
  <w:style w:type="paragraph" w:customStyle="1" w:styleId="JuList">
    <w:name w:val="Ju_List"/>
    <w:aliases w:val="_List_1"/>
    <w:basedOn w:val="NormalJustified"/>
    <w:uiPriority w:val="23"/>
    <w:qFormat/>
    <w:rsid w:val="00144EBC"/>
    <w:pPr>
      <w:numPr>
        <w:numId w:val="10"/>
      </w:numPr>
      <w:spacing w:before="280" w:after="60"/>
    </w:pPr>
  </w:style>
  <w:style w:type="paragraph" w:customStyle="1" w:styleId="JuLista">
    <w:name w:val="Ju_List_a"/>
    <w:aliases w:val="_List_2"/>
    <w:basedOn w:val="NormalJustified"/>
    <w:uiPriority w:val="23"/>
    <w:rsid w:val="00144EBC"/>
    <w:pPr>
      <w:numPr>
        <w:ilvl w:val="1"/>
        <w:numId w:val="10"/>
      </w:numPr>
    </w:pPr>
  </w:style>
  <w:style w:type="paragraph" w:customStyle="1" w:styleId="JuListi">
    <w:name w:val="Ju_List_i"/>
    <w:aliases w:val="_List_3"/>
    <w:basedOn w:val="NormalJustified"/>
    <w:uiPriority w:val="23"/>
    <w:rsid w:val="00144EBC"/>
    <w:pPr>
      <w:numPr>
        <w:ilvl w:val="2"/>
        <w:numId w:val="10"/>
      </w:numPr>
    </w:pPr>
  </w:style>
  <w:style w:type="table" w:customStyle="1" w:styleId="ECHRTableFax">
    <w:name w:val="ECHR_Table_Fax"/>
    <w:basedOn w:val="TableNormal"/>
    <w:uiPriority w:val="99"/>
    <w:rsid w:val="00144EB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144EB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144EB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144EB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44EBC"/>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144EB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44EBC"/>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144EB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44EBC"/>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144EBC"/>
    <w:rPr>
      <w:b/>
      <w:bCs/>
    </w:rPr>
  </w:style>
  <w:style w:type="character" w:styleId="Emphasis">
    <w:name w:val="Emphasis"/>
    <w:uiPriority w:val="98"/>
    <w:semiHidden/>
    <w:qFormat/>
    <w:rsid w:val="00144EBC"/>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144EBC"/>
  </w:style>
  <w:style w:type="character" w:customStyle="1" w:styleId="NoSpacingChar">
    <w:name w:val="No Spacing Char"/>
    <w:basedOn w:val="DefaultParagraphFont"/>
    <w:link w:val="NoSpacing"/>
    <w:uiPriority w:val="98"/>
    <w:semiHidden/>
    <w:rsid w:val="00144EBC"/>
    <w:rPr>
      <w:sz w:val="24"/>
      <w:szCs w:val="24"/>
      <w:lang w:val="en-GB"/>
    </w:rPr>
  </w:style>
  <w:style w:type="paragraph" w:styleId="ListParagraph">
    <w:name w:val="List Paragraph"/>
    <w:basedOn w:val="Normal"/>
    <w:uiPriority w:val="98"/>
    <w:semiHidden/>
    <w:qFormat/>
    <w:rsid w:val="00144EBC"/>
    <w:pPr>
      <w:ind w:left="720"/>
      <w:contextualSpacing/>
    </w:pPr>
  </w:style>
  <w:style w:type="paragraph" w:styleId="Quote0">
    <w:name w:val="Quote"/>
    <w:basedOn w:val="Normal"/>
    <w:next w:val="Normal"/>
    <w:link w:val="QuoteChar"/>
    <w:uiPriority w:val="98"/>
    <w:semiHidden/>
    <w:qFormat/>
    <w:rsid w:val="00144EBC"/>
    <w:pPr>
      <w:spacing w:before="200"/>
      <w:ind w:left="360" w:right="360"/>
    </w:pPr>
    <w:rPr>
      <w:i/>
      <w:iCs/>
      <w:lang w:bidi="en-US"/>
    </w:rPr>
  </w:style>
  <w:style w:type="character" w:customStyle="1" w:styleId="QuoteChar">
    <w:name w:val="Quote Char"/>
    <w:basedOn w:val="DefaultParagraphFont"/>
    <w:link w:val="Quote0"/>
    <w:uiPriority w:val="98"/>
    <w:semiHidden/>
    <w:rsid w:val="00144EBC"/>
    <w:rPr>
      <w:i/>
      <w:iCs/>
      <w:sz w:val="24"/>
      <w:szCs w:val="24"/>
      <w:lang w:val="en-GB" w:bidi="en-US"/>
    </w:rPr>
  </w:style>
  <w:style w:type="paragraph" w:styleId="IntenseQuote">
    <w:name w:val="Intense Quote"/>
    <w:basedOn w:val="Normal"/>
    <w:next w:val="Normal"/>
    <w:link w:val="IntenseQuoteChar"/>
    <w:uiPriority w:val="98"/>
    <w:semiHidden/>
    <w:qFormat/>
    <w:rsid w:val="00144EB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44EBC"/>
    <w:rPr>
      <w:b/>
      <w:bCs/>
      <w:i/>
      <w:iCs/>
      <w:sz w:val="24"/>
      <w:szCs w:val="24"/>
      <w:lang w:val="en-GB" w:bidi="en-US"/>
    </w:rPr>
  </w:style>
  <w:style w:type="character" w:styleId="SubtleEmphasis">
    <w:name w:val="Subtle Emphasis"/>
    <w:uiPriority w:val="98"/>
    <w:semiHidden/>
    <w:qFormat/>
    <w:rsid w:val="00144EBC"/>
    <w:rPr>
      <w:i/>
      <w:iCs/>
    </w:rPr>
  </w:style>
  <w:style w:type="character" w:styleId="IntenseEmphasis">
    <w:name w:val="Intense Emphasis"/>
    <w:uiPriority w:val="98"/>
    <w:semiHidden/>
    <w:qFormat/>
    <w:rsid w:val="00144EBC"/>
    <w:rPr>
      <w:b/>
      <w:bCs/>
    </w:rPr>
  </w:style>
  <w:style w:type="character" w:styleId="SubtleReference">
    <w:name w:val="Subtle Reference"/>
    <w:uiPriority w:val="98"/>
    <w:semiHidden/>
    <w:qFormat/>
    <w:rsid w:val="00144EBC"/>
    <w:rPr>
      <w:smallCaps/>
    </w:rPr>
  </w:style>
  <w:style w:type="character" w:styleId="IntenseReference">
    <w:name w:val="Intense Reference"/>
    <w:uiPriority w:val="98"/>
    <w:semiHidden/>
    <w:qFormat/>
    <w:rsid w:val="00144EBC"/>
    <w:rPr>
      <w:smallCaps/>
      <w:spacing w:val="5"/>
      <w:u w:val="single"/>
    </w:rPr>
  </w:style>
  <w:style w:type="character" w:styleId="BookTitle">
    <w:name w:val="Book Title"/>
    <w:uiPriority w:val="98"/>
    <w:semiHidden/>
    <w:qFormat/>
    <w:rsid w:val="00144EBC"/>
    <w:rPr>
      <w:i/>
      <w:iCs/>
      <w:smallCaps/>
      <w:spacing w:val="5"/>
    </w:rPr>
  </w:style>
  <w:style w:type="paragraph" w:styleId="TOCHeading">
    <w:name w:val="TOC Heading"/>
    <w:basedOn w:val="Normal"/>
    <w:next w:val="Normal"/>
    <w:uiPriority w:val="98"/>
    <w:semiHidden/>
    <w:qFormat/>
    <w:rsid w:val="00144EBC"/>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144EBC"/>
    <w:pPr>
      <w:numPr>
        <w:numId w:val="1"/>
      </w:numPr>
    </w:pPr>
  </w:style>
  <w:style w:type="numbering" w:styleId="1ai">
    <w:name w:val="Outline List 1"/>
    <w:basedOn w:val="NoList"/>
    <w:uiPriority w:val="99"/>
    <w:semiHidden/>
    <w:unhideWhenUsed/>
    <w:rsid w:val="00144EBC"/>
    <w:pPr>
      <w:numPr>
        <w:numId w:val="2"/>
      </w:numPr>
    </w:pPr>
  </w:style>
  <w:style w:type="numbering" w:styleId="ArticleSection">
    <w:name w:val="Outline List 3"/>
    <w:basedOn w:val="NoList"/>
    <w:uiPriority w:val="99"/>
    <w:semiHidden/>
    <w:unhideWhenUsed/>
    <w:rsid w:val="00144EBC"/>
    <w:pPr>
      <w:numPr>
        <w:numId w:val="3"/>
      </w:numPr>
    </w:pPr>
  </w:style>
  <w:style w:type="paragraph" w:styleId="Bibliography">
    <w:name w:val="Bibliography"/>
    <w:basedOn w:val="Normal"/>
    <w:next w:val="Normal"/>
    <w:uiPriority w:val="98"/>
    <w:semiHidden/>
    <w:rsid w:val="00144EBC"/>
  </w:style>
  <w:style w:type="paragraph" w:styleId="BlockText">
    <w:name w:val="Block Text"/>
    <w:basedOn w:val="Normal"/>
    <w:uiPriority w:val="98"/>
    <w:semiHidden/>
    <w:rsid w:val="00144EB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44EBC"/>
    <w:pPr>
      <w:spacing w:after="120"/>
    </w:pPr>
  </w:style>
  <w:style w:type="character" w:customStyle="1" w:styleId="BodyTextChar">
    <w:name w:val="Body Text Char"/>
    <w:basedOn w:val="DefaultParagraphFont"/>
    <w:link w:val="BodyText"/>
    <w:uiPriority w:val="98"/>
    <w:semiHidden/>
    <w:rsid w:val="00144EBC"/>
    <w:rPr>
      <w:sz w:val="24"/>
      <w:szCs w:val="24"/>
      <w:lang w:val="en-GB"/>
    </w:rPr>
  </w:style>
  <w:style w:type="paragraph" w:styleId="BodyText2">
    <w:name w:val="Body Text 2"/>
    <w:basedOn w:val="Normal"/>
    <w:link w:val="BodyText2Char"/>
    <w:uiPriority w:val="98"/>
    <w:semiHidden/>
    <w:rsid w:val="00144EBC"/>
    <w:pPr>
      <w:spacing w:after="120" w:line="480" w:lineRule="auto"/>
    </w:pPr>
  </w:style>
  <w:style w:type="character" w:customStyle="1" w:styleId="BodyText2Char">
    <w:name w:val="Body Text 2 Char"/>
    <w:basedOn w:val="DefaultParagraphFont"/>
    <w:link w:val="BodyText2"/>
    <w:uiPriority w:val="98"/>
    <w:semiHidden/>
    <w:rsid w:val="00144EBC"/>
    <w:rPr>
      <w:sz w:val="24"/>
      <w:szCs w:val="24"/>
      <w:lang w:val="en-GB"/>
    </w:rPr>
  </w:style>
  <w:style w:type="paragraph" w:styleId="BodyText3">
    <w:name w:val="Body Text 3"/>
    <w:basedOn w:val="Normal"/>
    <w:link w:val="BodyText3Char"/>
    <w:uiPriority w:val="98"/>
    <w:semiHidden/>
    <w:rsid w:val="00144EBC"/>
    <w:pPr>
      <w:spacing w:after="120"/>
    </w:pPr>
    <w:rPr>
      <w:sz w:val="16"/>
      <w:szCs w:val="16"/>
    </w:rPr>
  </w:style>
  <w:style w:type="character" w:customStyle="1" w:styleId="BodyText3Char">
    <w:name w:val="Body Text 3 Char"/>
    <w:basedOn w:val="DefaultParagraphFont"/>
    <w:link w:val="BodyText3"/>
    <w:uiPriority w:val="98"/>
    <w:semiHidden/>
    <w:rsid w:val="00144EBC"/>
    <w:rPr>
      <w:sz w:val="16"/>
      <w:szCs w:val="16"/>
      <w:lang w:val="en-GB"/>
    </w:rPr>
  </w:style>
  <w:style w:type="paragraph" w:styleId="BodyTextFirstIndent">
    <w:name w:val="Body Text First Indent"/>
    <w:basedOn w:val="BodyText"/>
    <w:link w:val="BodyTextFirstIndentChar"/>
    <w:uiPriority w:val="98"/>
    <w:semiHidden/>
    <w:rsid w:val="00144EBC"/>
    <w:pPr>
      <w:spacing w:after="0"/>
      <w:ind w:firstLine="360"/>
    </w:pPr>
  </w:style>
  <w:style w:type="character" w:customStyle="1" w:styleId="BodyTextFirstIndentChar">
    <w:name w:val="Body Text First Indent Char"/>
    <w:basedOn w:val="BodyTextChar"/>
    <w:link w:val="BodyTextFirstIndent"/>
    <w:uiPriority w:val="98"/>
    <w:semiHidden/>
    <w:rsid w:val="00144EBC"/>
    <w:rPr>
      <w:sz w:val="24"/>
      <w:szCs w:val="24"/>
      <w:lang w:val="en-GB"/>
    </w:rPr>
  </w:style>
  <w:style w:type="paragraph" w:styleId="BodyTextIndent">
    <w:name w:val="Body Text Indent"/>
    <w:basedOn w:val="Normal"/>
    <w:link w:val="BodyTextIndentChar"/>
    <w:uiPriority w:val="98"/>
    <w:semiHidden/>
    <w:rsid w:val="00144EBC"/>
    <w:pPr>
      <w:spacing w:after="120"/>
      <w:ind w:left="283"/>
    </w:pPr>
  </w:style>
  <w:style w:type="character" w:customStyle="1" w:styleId="BodyTextIndentChar">
    <w:name w:val="Body Text Indent Char"/>
    <w:basedOn w:val="DefaultParagraphFont"/>
    <w:link w:val="BodyTextIndent"/>
    <w:uiPriority w:val="98"/>
    <w:semiHidden/>
    <w:rsid w:val="00144EBC"/>
    <w:rPr>
      <w:sz w:val="24"/>
      <w:szCs w:val="24"/>
      <w:lang w:val="en-GB"/>
    </w:rPr>
  </w:style>
  <w:style w:type="paragraph" w:styleId="BodyTextFirstIndent2">
    <w:name w:val="Body Text First Indent 2"/>
    <w:basedOn w:val="BodyTextIndent"/>
    <w:link w:val="BodyTextFirstIndent2Char"/>
    <w:uiPriority w:val="98"/>
    <w:semiHidden/>
    <w:rsid w:val="00144EBC"/>
    <w:pPr>
      <w:spacing w:after="0"/>
      <w:ind w:left="360" w:firstLine="360"/>
    </w:pPr>
  </w:style>
  <w:style w:type="character" w:customStyle="1" w:styleId="BodyTextFirstIndent2Char">
    <w:name w:val="Body Text First Indent 2 Char"/>
    <w:basedOn w:val="BodyTextIndentChar"/>
    <w:link w:val="BodyTextFirstIndent2"/>
    <w:uiPriority w:val="98"/>
    <w:semiHidden/>
    <w:rsid w:val="00144EBC"/>
    <w:rPr>
      <w:sz w:val="24"/>
      <w:szCs w:val="24"/>
      <w:lang w:val="en-GB"/>
    </w:rPr>
  </w:style>
  <w:style w:type="paragraph" w:styleId="BodyTextIndent2">
    <w:name w:val="Body Text Indent 2"/>
    <w:basedOn w:val="Normal"/>
    <w:link w:val="BodyTextIndent2Char"/>
    <w:uiPriority w:val="98"/>
    <w:semiHidden/>
    <w:rsid w:val="00144EBC"/>
    <w:pPr>
      <w:spacing w:after="120" w:line="480" w:lineRule="auto"/>
      <w:ind w:left="283"/>
    </w:pPr>
  </w:style>
  <w:style w:type="character" w:customStyle="1" w:styleId="BodyTextIndent2Char">
    <w:name w:val="Body Text Indent 2 Char"/>
    <w:basedOn w:val="DefaultParagraphFont"/>
    <w:link w:val="BodyTextIndent2"/>
    <w:uiPriority w:val="98"/>
    <w:semiHidden/>
    <w:rsid w:val="00144EBC"/>
    <w:rPr>
      <w:sz w:val="24"/>
      <w:szCs w:val="24"/>
      <w:lang w:val="en-GB"/>
    </w:rPr>
  </w:style>
  <w:style w:type="paragraph" w:styleId="BodyTextIndent3">
    <w:name w:val="Body Text Indent 3"/>
    <w:basedOn w:val="Normal"/>
    <w:link w:val="BodyTextIndent3Char"/>
    <w:uiPriority w:val="98"/>
    <w:semiHidden/>
    <w:rsid w:val="00144EB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44EBC"/>
    <w:rPr>
      <w:sz w:val="16"/>
      <w:szCs w:val="16"/>
      <w:lang w:val="en-GB"/>
    </w:rPr>
  </w:style>
  <w:style w:type="paragraph" w:styleId="Caption">
    <w:name w:val="caption"/>
    <w:basedOn w:val="Normal"/>
    <w:next w:val="Normal"/>
    <w:uiPriority w:val="98"/>
    <w:semiHidden/>
    <w:qFormat/>
    <w:rsid w:val="00144EBC"/>
    <w:pPr>
      <w:spacing w:after="200"/>
    </w:pPr>
    <w:rPr>
      <w:b/>
      <w:bCs/>
      <w:color w:val="0072BC" w:themeColor="accent1"/>
      <w:sz w:val="18"/>
      <w:szCs w:val="18"/>
    </w:rPr>
  </w:style>
  <w:style w:type="paragraph" w:styleId="Closing">
    <w:name w:val="Closing"/>
    <w:basedOn w:val="Normal"/>
    <w:link w:val="ClosingChar"/>
    <w:uiPriority w:val="98"/>
    <w:semiHidden/>
    <w:rsid w:val="00144EBC"/>
    <w:pPr>
      <w:ind w:left="4252"/>
    </w:pPr>
  </w:style>
  <w:style w:type="character" w:customStyle="1" w:styleId="ClosingChar">
    <w:name w:val="Closing Char"/>
    <w:basedOn w:val="DefaultParagraphFont"/>
    <w:link w:val="Closing"/>
    <w:uiPriority w:val="98"/>
    <w:semiHidden/>
    <w:rsid w:val="00144EBC"/>
    <w:rPr>
      <w:sz w:val="24"/>
      <w:szCs w:val="24"/>
      <w:lang w:val="en-GB"/>
    </w:rPr>
  </w:style>
  <w:style w:type="table" w:styleId="ColorfulGrid">
    <w:name w:val="Colorful Grid"/>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44EB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44EB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44EB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44EB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44EB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44EB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44EB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44EB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44EB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44EB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44EB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44EB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44EB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144EBC"/>
    <w:rPr>
      <w:b/>
      <w:bCs/>
    </w:rPr>
  </w:style>
  <w:style w:type="character" w:customStyle="1" w:styleId="CommentSubjectChar">
    <w:name w:val="Comment Subject Char"/>
    <w:basedOn w:val="CommentTextChar"/>
    <w:link w:val="CommentSubject"/>
    <w:uiPriority w:val="98"/>
    <w:semiHidden/>
    <w:rsid w:val="00144EBC"/>
    <w:rPr>
      <w:b/>
      <w:bCs/>
      <w:sz w:val="20"/>
      <w:szCs w:val="20"/>
      <w:lang w:val="en-GB"/>
    </w:rPr>
  </w:style>
  <w:style w:type="table" w:styleId="DarkList">
    <w:name w:val="Dark List"/>
    <w:basedOn w:val="TableNormal"/>
    <w:uiPriority w:val="70"/>
    <w:semiHidden/>
    <w:rsid w:val="00144EB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44EB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44EB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44EB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44EB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44EB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44EB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44EBC"/>
  </w:style>
  <w:style w:type="character" w:customStyle="1" w:styleId="DateChar">
    <w:name w:val="Date Char"/>
    <w:basedOn w:val="DefaultParagraphFont"/>
    <w:link w:val="Date"/>
    <w:uiPriority w:val="98"/>
    <w:semiHidden/>
    <w:rsid w:val="00144EBC"/>
    <w:rPr>
      <w:sz w:val="24"/>
      <w:szCs w:val="24"/>
      <w:lang w:val="en-GB"/>
    </w:rPr>
  </w:style>
  <w:style w:type="paragraph" w:styleId="DocumentMap">
    <w:name w:val="Document Map"/>
    <w:basedOn w:val="Normal"/>
    <w:link w:val="DocumentMapChar"/>
    <w:uiPriority w:val="98"/>
    <w:semiHidden/>
    <w:rsid w:val="00144EBC"/>
    <w:rPr>
      <w:rFonts w:ascii="Tahoma" w:hAnsi="Tahoma" w:cs="Tahoma"/>
      <w:sz w:val="16"/>
      <w:szCs w:val="16"/>
    </w:rPr>
  </w:style>
  <w:style w:type="character" w:customStyle="1" w:styleId="DocumentMapChar">
    <w:name w:val="Document Map Char"/>
    <w:basedOn w:val="DefaultParagraphFont"/>
    <w:link w:val="DocumentMap"/>
    <w:uiPriority w:val="98"/>
    <w:semiHidden/>
    <w:rsid w:val="00144EBC"/>
    <w:rPr>
      <w:rFonts w:ascii="Tahoma" w:hAnsi="Tahoma" w:cs="Tahoma"/>
      <w:sz w:val="16"/>
      <w:szCs w:val="16"/>
      <w:lang w:val="en-GB"/>
    </w:rPr>
  </w:style>
  <w:style w:type="paragraph" w:styleId="E-mailSignature">
    <w:name w:val="E-mail Signature"/>
    <w:basedOn w:val="Normal"/>
    <w:link w:val="E-mailSignatureChar"/>
    <w:uiPriority w:val="98"/>
    <w:semiHidden/>
    <w:rsid w:val="00144EBC"/>
  </w:style>
  <w:style w:type="character" w:customStyle="1" w:styleId="E-mailSignatureChar">
    <w:name w:val="E-mail Signature Char"/>
    <w:basedOn w:val="DefaultParagraphFont"/>
    <w:link w:val="E-mailSignature"/>
    <w:uiPriority w:val="98"/>
    <w:semiHidden/>
    <w:rsid w:val="00144EBC"/>
    <w:rPr>
      <w:sz w:val="24"/>
      <w:szCs w:val="24"/>
      <w:lang w:val="en-GB"/>
    </w:rPr>
  </w:style>
  <w:style w:type="character" w:styleId="EndnoteReference">
    <w:name w:val="endnote reference"/>
    <w:basedOn w:val="DefaultParagraphFont"/>
    <w:uiPriority w:val="98"/>
    <w:semiHidden/>
    <w:rsid w:val="00144EBC"/>
    <w:rPr>
      <w:vertAlign w:val="superscript"/>
    </w:rPr>
  </w:style>
  <w:style w:type="paragraph" w:styleId="EndnoteText">
    <w:name w:val="endnote text"/>
    <w:basedOn w:val="Normal"/>
    <w:link w:val="EndnoteTextChar"/>
    <w:uiPriority w:val="98"/>
    <w:semiHidden/>
    <w:rsid w:val="00144EBC"/>
    <w:rPr>
      <w:sz w:val="20"/>
      <w:szCs w:val="20"/>
    </w:rPr>
  </w:style>
  <w:style w:type="character" w:customStyle="1" w:styleId="EndnoteTextChar">
    <w:name w:val="Endnote Text Char"/>
    <w:basedOn w:val="DefaultParagraphFont"/>
    <w:link w:val="EndnoteText"/>
    <w:uiPriority w:val="98"/>
    <w:semiHidden/>
    <w:rsid w:val="00144EBC"/>
    <w:rPr>
      <w:sz w:val="20"/>
      <w:szCs w:val="20"/>
      <w:lang w:val="en-GB"/>
    </w:rPr>
  </w:style>
  <w:style w:type="paragraph" w:styleId="EnvelopeAddress">
    <w:name w:val="envelope address"/>
    <w:basedOn w:val="Normal"/>
    <w:uiPriority w:val="98"/>
    <w:semiHidden/>
    <w:rsid w:val="00144EB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44EB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44EBC"/>
    <w:rPr>
      <w:color w:val="7030A0" w:themeColor="followedHyperlink"/>
      <w:u w:val="single"/>
    </w:rPr>
  </w:style>
  <w:style w:type="character" w:styleId="FootnoteReference">
    <w:name w:val="footnote reference"/>
    <w:basedOn w:val="DefaultParagraphFont"/>
    <w:uiPriority w:val="98"/>
    <w:semiHidden/>
    <w:rsid w:val="00144EBC"/>
    <w:rPr>
      <w:vertAlign w:val="superscript"/>
    </w:rPr>
  </w:style>
  <w:style w:type="paragraph" w:styleId="FootnoteText">
    <w:name w:val="footnote text"/>
    <w:basedOn w:val="Normal"/>
    <w:link w:val="FootnoteTextChar"/>
    <w:uiPriority w:val="98"/>
    <w:semiHidden/>
    <w:rsid w:val="00144EBC"/>
    <w:rPr>
      <w:sz w:val="20"/>
      <w:szCs w:val="20"/>
    </w:rPr>
  </w:style>
  <w:style w:type="character" w:customStyle="1" w:styleId="FootnoteTextChar">
    <w:name w:val="Footnote Text Char"/>
    <w:basedOn w:val="DefaultParagraphFont"/>
    <w:link w:val="FootnoteText"/>
    <w:uiPriority w:val="98"/>
    <w:semiHidden/>
    <w:rsid w:val="00144EBC"/>
    <w:rPr>
      <w:sz w:val="20"/>
      <w:szCs w:val="20"/>
      <w:lang w:val="en-GB"/>
    </w:rPr>
  </w:style>
  <w:style w:type="character" w:styleId="HTMLAcronym">
    <w:name w:val="HTML Acronym"/>
    <w:basedOn w:val="DefaultParagraphFont"/>
    <w:uiPriority w:val="98"/>
    <w:semiHidden/>
    <w:rsid w:val="00144EBC"/>
  </w:style>
  <w:style w:type="paragraph" w:styleId="HTMLAddress">
    <w:name w:val="HTML Address"/>
    <w:basedOn w:val="Normal"/>
    <w:link w:val="HTMLAddressChar"/>
    <w:uiPriority w:val="98"/>
    <w:semiHidden/>
    <w:rsid w:val="00144EBC"/>
    <w:rPr>
      <w:i/>
      <w:iCs/>
    </w:rPr>
  </w:style>
  <w:style w:type="character" w:customStyle="1" w:styleId="HTMLAddressChar">
    <w:name w:val="HTML Address Char"/>
    <w:basedOn w:val="DefaultParagraphFont"/>
    <w:link w:val="HTMLAddress"/>
    <w:uiPriority w:val="98"/>
    <w:semiHidden/>
    <w:rsid w:val="00144EBC"/>
    <w:rPr>
      <w:i/>
      <w:iCs/>
      <w:sz w:val="24"/>
      <w:szCs w:val="24"/>
      <w:lang w:val="en-GB"/>
    </w:rPr>
  </w:style>
  <w:style w:type="character" w:styleId="HTMLCite">
    <w:name w:val="HTML Cite"/>
    <w:basedOn w:val="DefaultParagraphFont"/>
    <w:uiPriority w:val="98"/>
    <w:semiHidden/>
    <w:rsid w:val="00144EBC"/>
    <w:rPr>
      <w:i/>
      <w:iCs/>
    </w:rPr>
  </w:style>
  <w:style w:type="character" w:styleId="HTMLCode">
    <w:name w:val="HTML Code"/>
    <w:basedOn w:val="DefaultParagraphFont"/>
    <w:uiPriority w:val="98"/>
    <w:semiHidden/>
    <w:rsid w:val="00144EBC"/>
    <w:rPr>
      <w:rFonts w:ascii="Consolas" w:hAnsi="Consolas" w:cs="Consolas"/>
      <w:sz w:val="20"/>
      <w:szCs w:val="20"/>
    </w:rPr>
  </w:style>
  <w:style w:type="character" w:styleId="HTMLDefinition">
    <w:name w:val="HTML Definition"/>
    <w:basedOn w:val="DefaultParagraphFont"/>
    <w:uiPriority w:val="98"/>
    <w:semiHidden/>
    <w:rsid w:val="00144EBC"/>
    <w:rPr>
      <w:i/>
      <w:iCs/>
    </w:rPr>
  </w:style>
  <w:style w:type="character" w:styleId="HTMLKeyboard">
    <w:name w:val="HTML Keyboard"/>
    <w:basedOn w:val="DefaultParagraphFont"/>
    <w:uiPriority w:val="98"/>
    <w:semiHidden/>
    <w:rsid w:val="00144EBC"/>
    <w:rPr>
      <w:rFonts w:ascii="Consolas" w:hAnsi="Consolas" w:cs="Consolas"/>
      <w:sz w:val="20"/>
      <w:szCs w:val="20"/>
    </w:rPr>
  </w:style>
  <w:style w:type="paragraph" w:styleId="HTMLPreformatted">
    <w:name w:val="HTML Preformatted"/>
    <w:basedOn w:val="Normal"/>
    <w:link w:val="HTMLPreformattedChar"/>
    <w:uiPriority w:val="98"/>
    <w:semiHidden/>
    <w:rsid w:val="00144EB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44EBC"/>
    <w:rPr>
      <w:rFonts w:ascii="Consolas" w:hAnsi="Consolas" w:cs="Consolas"/>
      <w:sz w:val="20"/>
      <w:szCs w:val="20"/>
      <w:lang w:val="en-GB"/>
    </w:rPr>
  </w:style>
  <w:style w:type="character" w:styleId="HTMLSample">
    <w:name w:val="HTML Sample"/>
    <w:basedOn w:val="DefaultParagraphFont"/>
    <w:uiPriority w:val="98"/>
    <w:semiHidden/>
    <w:rsid w:val="00144EBC"/>
    <w:rPr>
      <w:rFonts w:ascii="Consolas" w:hAnsi="Consolas" w:cs="Consolas"/>
      <w:sz w:val="24"/>
      <w:szCs w:val="24"/>
    </w:rPr>
  </w:style>
  <w:style w:type="character" w:styleId="HTMLTypewriter">
    <w:name w:val="HTML Typewriter"/>
    <w:basedOn w:val="DefaultParagraphFont"/>
    <w:uiPriority w:val="98"/>
    <w:semiHidden/>
    <w:rsid w:val="00144EBC"/>
    <w:rPr>
      <w:rFonts w:ascii="Consolas" w:hAnsi="Consolas" w:cs="Consolas"/>
      <w:sz w:val="20"/>
      <w:szCs w:val="20"/>
    </w:rPr>
  </w:style>
  <w:style w:type="character" w:styleId="HTMLVariable">
    <w:name w:val="HTML Variable"/>
    <w:basedOn w:val="DefaultParagraphFont"/>
    <w:uiPriority w:val="98"/>
    <w:semiHidden/>
    <w:rsid w:val="00144EBC"/>
    <w:rPr>
      <w:i/>
      <w:iCs/>
    </w:rPr>
  </w:style>
  <w:style w:type="character" w:styleId="Hyperlink">
    <w:name w:val="Hyperlink"/>
    <w:basedOn w:val="DefaultParagraphFont"/>
    <w:uiPriority w:val="98"/>
    <w:rsid w:val="00144EBC"/>
    <w:rPr>
      <w:color w:val="0072BC" w:themeColor="hyperlink"/>
      <w:u w:val="single"/>
    </w:rPr>
  </w:style>
  <w:style w:type="paragraph" w:styleId="Index1">
    <w:name w:val="index 1"/>
    <w:basedOn w:val="Normal"/>
    <w:next w:val="Normal"/>
    <w:autoRedefine/>
    <w:uiPriority w:val="98"/>
    <w:semiHidden/>
    <w:rsid w:val="00144EBC"/>
    <w:pPr>
      <w:ind w:left="240" w:hanging="240"/>
    </w:pPr>
  </w:style>
  <w:style w:type="paragraph" w:styleId="Index2">
    <w:name w:val="index 2"/>
    <w:basedOn w:val="Normal"/>
    <w:next w:val="Normal"/>
    <w:autoRedefine/>
    <w:uiPriority w:val="98"/>
    <w:semiHidden/>
    <w:rsid w:val="00144EBC"/>
    <w:pPr>
      <w:ind w:left="480" w:hanging="240"/>
    </w:pPr>
  </w:style>
  <w:style w:type="paragraph" w:styleId="Index3">
    <w:name w:val="index 3"/>
    <w:basedOn w:val="Normal"/>
    <w:next w:val="Normal"/>
    <w:autoRedefine/>
    <w:uiPriority w:val="98"/>
    <w:semiHidden/>
    <w:rsid w:val="00144EBC"/>
    <w:pPr>
      <w:ind w:left="720" w:hanging="240"/>
    </w:pPr>
  </w:style>
  <w:style w:type="paragraph" w:styleId="Index4">
    <w:name w:val="index 4"/>
    <w:basedOn w:val="Normal"/>
    <w:next w:val="Normal"/>
    <w:autoRedefine/>
    <w:uiPriority w:val="98"/>
    <w:semiHidden/>
    <w:rsid w:val="00144EBC"/>
    <w:pPr>
      <w:ind w:left="960" w:hanging="240"/>
    </w:pPr>
  </w:style>
  <w:style w:type="paragraph" w:styleId="Index5">
    <w:name w:val="index 5"/>
    <w:basedOn w:val="Normal"/>
    <w:next w:val="Normal"/>
    <w:autoRedefine/>
    <w:uiPriority w:val="98"/>
    <w:semiHidden/>
    <w:rsid w:val="00144EBC"/>
    <w:pPr>
      <w:ind w:left="1200" w:hanging="240"/>
    </w:pPr>
  </w:style>
  <w:style w:type="paragraph" w:styleId="Index6">
    <w:name w:val="index 6"/>
    <w:basedOn w:val="Normal"/>
    <w:next w:val="Normal"/>
    <w:autoRedefine/>
    <w:uiPriority w:val="98"/>
    <w:semiHidden/>
    <w:rsid w:val="00144EBC"/>
    <w:pPr>
      <w:ind w:left="1440" w:hanging="240"/>
    </w:pPr>
  </w:style>
  <w:style w:type="paragraph" w:styleId="Index7">
    <w:name w:val="index 7"/>
    <w:basedOn w:val="Normal"/>
    <w:next w:val="Normal"/>
    <w:autoRedefine/>
    <w:uiPriority w:val="98"/>
    <w:semiHidden/>
    <w:rsid w:val="00144EBC"/>
    <w:pPr>
      <w:ind w:left="1680" w:hanging="240"/>
    </w:pPr>
  </w:style>
  <w:style w:type="paragraph" w:styleId="Index8">
    <w:name w:val="index 8"/>
    <w:basedOn w:val="Normal"/>
    <w:next w:val="Normal"/>
    <w:autoRedefine/>
    <w:uiPriority w:val="98"/>
    <w:semiHidden/>
    <w:rsid w:val="00144EBC"/>
    <w:pPr>
      <w:ind w:left="1920" w:hanging="240"/>
    </w:pPr>
  </w:style>
  <w:style w:type="paragraph" w:styleId="Index9">
    <w:name w:val="index 9"/>
    <w:basedOn w:val="Normal"/>
    <w:next w:val="Normal"/>
    <w:autoRedefine/>
    <w:uiPriority w:val="98"/>
    <w:semiHidden/>
    <w:rsid w:val="00144EBC"/>
    <w:pPr>
      <w:ind w:left="2160" w:hanging="240"/>
    </w:pPr>
  </w:style>
  <w:style w:type="paragraph" w:styleId="IndexHeading">
    <w:name w:val="index heading"/>
    <w:basedOn w:val="Normal"/>
    <w:next w:val="Index1"/>
    <w:uiPriority w:val="98"/>
    <w:semiHidden/>
    <w:rsid w:val="00144EBC"/>
    <w:rPr>
      <w:rFonts w:asciiTheme="majorHAnsi" w:eastAsiaTheme="majorEastAsia" w:hAnsiTheme="majorHAnsi" w:cstheme="majorBidi"/>
      <w:b/>
      <w:bCs/>
    </w:rPr>
  </w:style>
  <w:style w:type="table" w:styleId="LightGrid">
    <w:name w:val="Light Grid"/>
    <w:basedOn w:val="TableNormal"/>
    <w:uiPriority w:val="62"/>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44EB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44EB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44EB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44EB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44EB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44EB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44EB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44EB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44EB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44EB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44EB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44EB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44EB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44EB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44EBC"/>
  </w:style>
  <w:style w:type="paragraph" w:styleId="List">
    <w:name w:val="List"/>
    <w:basedOn w:val="Normal"/>
    <w:uiPriority w:val="98"/>
    <w:semiHidden/>
    <w:rsid w:val="00144EBC"/>
    <w:pPr>
      <w:ind w:left="283" w:hanging="283"/>
      <w:contextualSpacing/>
    </w:pPr>
  </w:style>
  <w:style w:type="paragraph" w:styleId="List20">
    <w:name w:val="List 2"/>
    <w:basedOn w:val="Normal"/>
    <w:uiPriority w:val="98"/>
    <w:semiHidden/>
    <w:rsid w:val="00144EBC"/>
    <w:pPr>
      <w:ind w:left="566" w:hanging="283"/>
      <w:contextualSpacing/>
    </w:pPr>
  </w:style>
  <w:style w:type="paragraph" w:styleId="List30">
    <w:name w:val="List 3"/>
    <w:basedOn w:val="Normal"/>
    <w:uiPriority w:val="98"/>
    <w:semiHidden/>
    <w:rsid w:val="00144EBC"/>
    <w:pPr>
      <w:ind w:left="849" w:hanging="283"/>
      <w:contextualSpacing/>
    </w:pPr>
  </w:style>
  <w:style w:type="paragraph" w:styleId="List4">
    <w:name w:val="List 4"/>
    <w:basedOn w:val="Normal"/>
    <w:uiPriority w:val="98"/>
    <w:semiHidden/>
    <w:rsid w:val="00144EBC"/>
    <w:pPr>
      <w:ind w:left="1132" w:hanging="283"/>
      <w:contextualSpacing/>
    </w:pPr>
  </w:style>
  <w:style w:type="paragraph" w:styleId="List5">
    <w:name w:val="List 5"/>
    <w:basedOn w:val="Normal"/>
    <w:uiPriority w:val="98"/>
    <w:semiHidden/>
    <w:rsid w:val="00144EBC"/>
    <w:pPr>
      <w:ind w:left="1415" w:hanging="283"/>
      <w:contextualSpacing/>
    </w:pPr>
  </w:style>
  <w:style w:type="paragraph" w:styleId="ListBullet">
    <w:name w:val="List Bullet"/>
    <w:basedOn w:val="Normal"/>
    <w:uiPriority w:val="98"/>
    <w:semiHidden/>
    <w:rsid w:val="00144EBC"/>
    <w:pPr>
      <w:numPr>
        <w:numId w:val="11"/>
      </w:numPr>
    </w:pPr>
  </w:style>
  <w:style w:type="paragraph" w:styleId="ListBullet2">
    <w:name w:val="List Bullet 2"/>
    <w:basedOn w:val="Normal"/>
    <w:uiPriority w:val="98"/>
    <w:semiHidden/>
    <w:rsid w:val="00144EBC"/>
    <w:pPr>
      <w:numPr>
        <w:numId w:val="12"/>
      </w:numPr>
      <w:contextualSpacing/>
    </w:pPr>
  </w:style>
  <w:style w:type="paragraph" w:styleId="ListBullet3">
    <w:name w:val="List Bullet 3"/>
    <w:basedOn w:val="Normal"/>
    <w:uiPriority w:val="98"/>
    <w:semiHidden/>
    <w:rsid w:val="00144EBC"/>
    <w:pPr>
      <w:numPr>
        <w:numId w:val="13"/>
      </w:numPr>
      <w:contextualSpacing/>
    </w:pPr>
  </w:style>
  <w:style w:type="paragraph" w:styleId="ListBullet4">
    <w:name w:val="List Bullet 4"/>
    <w:basedOn w:val="Normal"/>
    <w:uiPriority w:val="98"/>
    <w:semiHidden/>
    <w:rsid w:val="00144EBC"/>
    <w:pPr>
      <w:numPr>
        <w:numId w:val="14"/>
      </w:numPr>
      <w:contextualSpacing/>
    </w:pPr>
  </w:style>
  <w:style w:type="paragraph" w:styleId="ListBullet5">
    <w:name w:val="List Bullet 5"/>
    <w:basedOn w:val="Normal"/>
    <w:uiPriority w:val="98"/>
    <w:semiHidden/>
    <w:rsid w:val="00144EBC"/>
    <w:pPr>
      <w:numPr>
        <w:numId w:val="15"/>
      </w:numPr>
      <w:contextualSpacing/>
    </w:pPr>
  </w:style>
  <w:style w:type="paragraph" w:styleId="ListContinue">
    <w:name w:val="List Continue"/>
    <w:basedOn w:val="Normal"/>
    <w:uiPriority w:val="98"/>
    <w:semiHidden/>
    <w:rsid w:val="00144EBC"/>
    <w:pPr>
      <w:spacing w:after="120"/>
      <w:ind w:left="283"/>
      <w:contextualSpacing/>
    </w:pPr>
  </w:style>
  <w:style w:type="paragraph" w:styleId="ListContinue2">
    <w:name w:val="List Continue 2"/>
    <w:basedOn w:val="Normal"/>
    <w:uiPriority w:val="98"/>
    <w:semiHidden/>
    <w:rsid w:val="00144EBC"/>
    <w:pPr>
      <w:spacing w:after="120"/>
      <w:ind w:left="566"/>
      <w:contextualSpacing/>
    </w:pPr>
  </w:style>
  <w:style w:type="paragraph" w:styleId="ListContinue3">
    <w:name w:val="List Continue 3"/>
    <w:basedOn w:val="Normal"/>
    <w:uiPriority w:val="98"/>
    <w:semiHidden/>
    <w:rsid w:val="00144EBC"/>
    <w:pPr>
      <w:spacing w:after="120"/>
      <w:ind w:left="849"/>
      <w:contextualSpacing/>
    </w:pPr>
  </w:style>
  <w:style w:type="paragraph" w:styleId="ListContinue4">
    <w:name w:val="List Continue 4"/>
    <w:basedOn w:val="Normal"/>
    <w:uiPriority w:val="98"/>
    <w:semiHidden/>
    <w:rsid w:val="00144EBC"/>
    <w:pPr>
      <w:spacing w:after="120"/>
      <w:ind w:left="1132"/>
      <w:contextualSpacing/>
    </w:pPr>
  </w:style>
  <w:style w:type="paragraph" w:styleId="ListContinue5">
    <w:name w:val="List Continue 5"/>
    <w:basedOn w:val="Normal"/>
    <w:uiPriority w:val="98"/>
    <w:semiHidden/>
    <w:rsid w:val="00144EBC"/>
    <w:pPr>
      <w:spacing w:after="120"/>
      <w:ind w:left="1415"/>
      <w:contextualSpacing/>
    </w:pPr>
  </w:style>
  <w:style w:type="paragraph" w:styleId="ListNumber">
    <w:name w:val="List Number"/>
    <w:basedOn w:val="Normal"/>
    <w:uiPriority w:val="98"/>
    <w:semiHidden/>
    <w:rsid w:val="00144EBC"/>
    <w:pPr>
      <w:numPr>
        <w:numId w:val="16"/>
      </w:numPr>
      <w:contextualSpacing/>
    </w:pPr>
  </w:style>
  <w:style w:type="paragraph" w:styleId="ListNumber2">
    <w:name w:val="List Number 2"/>
    <w:basedOn w:val="Normal"/>
    <w:uiPriority w:val="98"/>
    <w:semiHidden/>
    <w:rsid w:val="00144EBC"/>
    <w:pPr>
      <w:numPr>
        <w:numId w:val="17"/>
      </w:numPr>
      <w:contextualSpacing/>
    </w:pPr>
  </w:style>
  <w:style w:type="paragraph" w:styleId="ListNumber3">
    <w:name w:val="List Number 3"/>
    <w:basedOn w:val="Normal"/>
    <w:uiPriority w:val="98"/>
    <w:semiHidden/>
    <w:rsid w:val="00144EBC"/>
    <w:pPr>
      <w:numPr>
        <w:numId w:val="18"/>
      </w:numPr>
      <w:contextualSpacing/>
    </w:pPr>
  </w:style>
  <w:style w:type="paragraph" w:styleId="ListNumber4">
    <w:name w:val="List Number 4"/>
    <w:basedOn w:val="Normal"/>
    <w:uiPriority w:val="98"/>
    <w:semiHidden/>
    <w:rsid w:val="00144EBC"/>
    <w:pPr>
      <w:numPr>
        <w:numId w:val="19"/>
      </w:numPr>
      <w:contextualSpacing/>
    </w:pPr>
  </w:style>
  <w:style w:type="paragraph" w:styleId="ListNumber5">
    <w:name w:val="List Number 5"/>
    <w:basedOn w:val="Normal"/>
    <w:uiPriority w:val="98"/>
    <w:semiHidden/>
    <w:rsid w:val="00144EBC"/>
    <w:pPr>
      <w:numPr>
        <w:numId w:val="20"/>
      </w:numPr>
      <w:contextualSpacing/>
    </w:pPr>
  </w:style>
  <w:style w:type="paragraph" w:styleId="Macro">
    <w:name w:val="macro"/>
    <w:link w:val="MacroTextChar"/>
    <w:uiPriority w:val="98"/>
    <w:semiHidden/>
    <w:rsid w:val="00144EB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44EBC"/>
    <w:rPr>
      <w:rFonts w:ascii="Consolas" w:hAnsi="Consolas" w:eastAsiaTheme="minorEastAsia" w:cs="Consolas"/>
      <w:sz w:val="20"/>
      <w:szCs w:val="20"/>
    </w:rPr>
  </w:style>
  <w:style w:type="table" w:styleId="MediumGrid1">
    <w:name w:val="Medium Grid 1"/>
    <w:basedOn w:val="TableNormal"/>
    <w:uiPriority w:val="67"/>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44EB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44EB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44EB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44EB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44EB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44EB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44EB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44EB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44EB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44EB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44EB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44EB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44EB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44EB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44EB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44EB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44EB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44EB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44EB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44EBC"/>
    <w:rPr>
      <w:rFonts w:ascii="Times New Roman" w:hAnsi="Times New Roman" w:cs="Times New Roman"/>
    </w:rPr>
  </w:style>
  <w:style w:type="paragraph" w:styleId="NormalIndent">
    <w:name w:val="Normal Indent"/>
    <w:basedOn w:val="Normal"/>
    <w:uiPriority w:val="98"/>
    <w:semiHidden/>
    <w:rsid w:val="00144EBC"/>
    <w:pPr>
      <w:ind w:left="720"/>
    </w:pPr>
  </w:style>
  <w:style w:type="table" w:customStyle="1" w:styleId="ECHRTableNoLines">
    <w:name w:val="ECHR_Table_No_Lines"/>
    <w:basedOn w:val="TableNormal"/>
    <w:uiPriority w:val="99"/>
    <w:rsid w:val="00144EB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144EB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character" w:styleId="PlaceholderText">
    <w:name w:val="Placeholder Text"/>
    <w:basedOn w:val="DefaultParagraphFont"/>
    <w:uiPriority w:val="98"/>
    <w:semiHidden/>
    <w:rsid w:val="00144EB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44EBC"/>
    <w:rPr>
      <w:rFonts w:ascii="Consolas" w:hAnsi="Consolas" w:cs="Consolas"/>
      <w:sz w:val="21"/>
      <w:szCs w:val="21"/>
    </w:rPr>
  </w:style>
  <w:style w:type="character" w:customStyle="1" w:styleId="PlainTextChar">
    <w:name w:val="Plain Text Char"/>
    <w:basedOn w:val="DefaultParagraphFont"/>
    <w:link w:val="PlainText"/>
    <w:uiPriority w:val="98"/>
    <w:semiHidden/>
    <w:rsid w:val="00144EBC"/>
    <w:rPr>
      <w:rFonts w:ascii="Consolas" w:hAnsi="Consolas" w:cs="Consolas"/>
      <w:sz w:val="21"/>
      <w:szCs w:val="21"/>
      <w:lang w:val="en-GB"/>
    </w:rPr>
  </w:style>
  <w:style w:type="paragraph" w:styleId="Salutation">
    <w:name w:val="Salutation"/>
    <w:basedOn w:val="Normal"/>
    <w:next w:val="Normal"/>
    <w:link w:val="SalutationChar"/>
    <w:uiPriority w:val="98"/>
    <w:semiHidden/>
    <w:rsid w:val="00144EBC"/>
  </w:style>
  <w:style w:type="character" w:customStyle="1" w:styleId="SalutationChar">
    <w:name w:val="Salutation Char"/>
    <w:basedOn w:val="DefaultParagraphFont"/>
    <w:link w:val="Salutation"/>
    <w:uiPriority w:val="98"/>
    <w:semiHidden/>
    <w:rsid w:val="00144EBC"/>
    <w:rPr>
      <w:sz w:val="24"/>
      <w:szCs w:val="24"/>
      <w:lang w:val="en-GB"/>
    </w:rPr>
  </w:style>
  <w:style w:type="paragraph" w:styleId="Signature0">
    <w:name w:val="Signature"/>
    <w:basedOn w:val="Normal"/>
    <w:link w:val="SignatureChar"/>
    <w:uiPriority w:val="98"/>
    <w:semiHidden/>
    <w:rsid w:val="00144EBC"/>
    <w:pPr>
      <w:ind w:left="4252"/>
    </w:pPr>
  </w:style>
  <w:style w:type="character" w:customStyle="1" w:styleId="SignatureChar">
    <w:name w:val="Signature Char"/>
    <w:basedOn w:val="DefaultParagraphFont"/>
    <w:link w:val="Signature0"/>
    <w:uiPriority w:val="98"/>
    <w:semiHidden/>
    <w:rsid w:val="00144EBC"/>
    <w:rPr>
      <w:sz w:val="24"/>
      <w:szCs w:val="24"/>
      <w:lang w:val="en-GB"/>
    </w:rPr>
  </w:style>
  <w:style w:type="table" w:styleId="Table3Deffects1">
    <w:name w:val="Table 3D effects 1"/>
    <w:basedOn w:val="TableNormal"/>
    <w:uiPriority w:val="99"/>
    <w:semiHidden/>
    <w:unhideWhenUsed/>
    <w:rsid w:val="00144EB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44EB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44EB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44EB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44EB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44EB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44EB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44EB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44EB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44EB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44EB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44EB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44EB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44EB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44EB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44EB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144EB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44EB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44EB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44EB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44EB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44EB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44EB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44EB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44EB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44EB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44EB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44EBC"/>
    <w:pPr>
      <w:ind w:left="240" w:hanging="240"/>
    </w:pPr>
  </w:style>
  <w:style w:type="paragraph" w:styleId="TableofFigures">
    <w:name w:val="table of figures"/>
    <w:basedOn w:val="Normal"/>
    <w:next w:val="Normal"/>
    <w:uiPriority w:val="98"/>
    <w:semiHidden/>
    <w:rsid w:val="00144EBC"/>
  </w:style>
  <w:style w:type="table" w:styleId="TableProfessional">
    <w:name w:val="Table Professional"/>
    <w:basedOn w:val="TableNormal"/>
    <w:uiPriority w:val="99"/>
    <w:semiHidden/>
    <w:unhideWhenUsed/>
    <w:rsid w:val="00144EB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44EB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44EB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44EB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44EB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44EB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44EB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44EB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44EB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44EB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144EB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144EB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44EB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44EB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44EB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44EBC"/>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144EB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44EB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44EBC"/>
    <w:pPr>
      <w:spacing w:after="100"/>
      <w:ind w:left="1680"/>
    </w:pPr>
  </w:style>
  <w:style w:type="paragraph" w:styleId="TOC9">
    <w:name w:val="toc 9"/>
    <w:basedOn w:val="Normal"/>
    <w:next w:val="Normal"/>
    <w:autoRedefine/>
    <w:uiPriority w:val="98"/>
    <w:semiHidden/>
    <w:rsid w:val="00144EBC"/>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144EBC"/>
    <w:pPr>
      <w:tabs>
        <w:tab w:val="center" w:pos="3686"/>
        <w:tab w:val="right" w:pos="7371"/>
      </w:tabs>
    </w:pPr>
  </w:style>
  <w:style w:type="character" w:customStyle="1" w:styleId="FooterChar">
    <w:name w:val="Footer Char"/>
    <w:basedOn w:val="DefaultParagraphFont"/>
    <w:link w:val="Footer1"/>
    <w:uiPriority w:val="98"/>
    <w:semiHidden/>
    <w:rsid w:val="00144EBC"/>
    <w:rPr>
      <w:sz w:val="24"/>
      <w:szCs w:val="24"/>
      <w:lang w:val="en-GB"/>
    </w:rPr>
  </w:style>
  <w:style w:type="paragraph" w:customStyle="1" w:styleId="ECHRFooterLine">
    <w:name w:val="ECHR_Footer_Line"/>
    <w:aliases w:val="_Footer_Line"/>
    <w:basedOn w:val="Normal"/>
    <w:next w:val="Normal"/>
    <w:uiPriority w:val="30"/>
    <w:semiHidden/>
    <w:rsid w:val="00144EBC"/>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144EB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144EBC"/>
    <w:pPr>
      <w:ind w:firstLine="284"/>
      <w:jc w:val="both"/>
    </w:pPr>
    <w:rPr>
      <w:b/>
    </w:rPr>
  </w:style>
  <w:style w:type="paragraph" w:styleId="NoteHeading">
    <w:name w:val="Note Heading"/>
    <w:basedOn w:val="Normal"/>
    <w:next w:val="Normal"/>
    <w:link w:val="NoteHeadingChar"/>
    <w:uiPriority w:val="98"/>
    <w:semiHidden/>
    <w:rsid w:val="00144EBC"/>
  </w:style>
  <w:style w:type="character" w:customStyle="1" w:styleId="NoteHeadingChar">
    <w:name w:val="Note Heading Char"/>
    <w:basedOn w:val="DefaultParagraphFont"/>
    <w:link w:val="NoteHeading"/>
    <w:uiPriority w:val="98"/>
    <w:semiHidden/>
    <w:rsid w:val="00144EBC"/>
    <w:rPr>
      <w:sz w:val="24"/>
      <w:szCs w:val="24"/>
      <w:lang w:val="en-GB"/>
    </w:rPr>
  </w:style>
  <w:style w:type="paragraph" w:customStyle="1" w:styleId="ECHRHeaderLandscape">
    <w:name w:val="ECHR_Header_Landscape"/>
    <w:aliases w:val="_Header_Landscape"/>
    <w:basedOn w:val="JuHeader"/>
    <w:uiPriority w:val="29"/>
    <w:semiHidden/>
    <w:rsid w:val="00144EB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44EBC"/>
    <w:pPr>
      <w:numPr>
        <w:numId w:val="7"/>
      </w:numPr>
      <w:spacing w:before="60" w:after="60"/>
    </w:pPr>
  </w:style>
  <w:style w:type="paragraph" w:customStyle="1" w:styleId="ECHRBullet2">
    <w:name w:val="ECHR_Bullet_2"/>
    <w:aliases w:val="_Bul_2"/>
    <w:basedOn w:val="ECHRBullet1"/>
    <w:uiPriority w:val="23"/>
    <w:semiHidden/>
    <w:rsid w:val="00144EBC"/>
    <w:pPr>
      <w:numPr>
        <w:ilvl w:val="1"/>
      </w:numPr>
    </w:pPr>
  </w:style>
  <w:style w:type="paragraph" w:customStyle="1" w:styleId="ECHRBullet3">
    <w:name w:val="ECHR_Bullet_3"/>
    <w:aliases w:val="_Bul_3"/>
    <w:basedOn w:val="ECHRBullet2"/>
    <w:uiPriority w:val="23"/>
    <w:semiHidden/>
    <w:rsid w:val="00144EBC"/>
    <w:pPr>
      <w:numPr>
        <w:ilvl w:val="2"/>
      </w:numPr>
    </w:pPr>
  </w:style>
  <w:style w:type="paragraph" w:customStyle="1" w:styleId="ECHRBullet4">
    <w:name w:val="ECHR_Bullet_4"/>
    <w:aliases w:val="_Bul_4"/>
    <w:basedOn w:val="ECHRBullet3"/>
    <w:uiPriority w:val="23"/>
    <w:semiHidden/>
    <w:rsid w:val="00144EBC"/>
    <w:pPr>
      <w:numPr>
        <w:ilvl w:val="3"/>
      </w:numPr>
    </w:pPr>
  </w:style>
  <w:style w:type="paragraph" w:customStyle="1" w:styleId="ECHRConfidential">
    <w:name w:val="ECHR_Confidential"/>
    <w:aliases w:val="_Confidential"/>
    <w:basedOn w:val="Normal"/>
    <w:next w:val="Normal"/>
    <w:uiPriority w:val="42"/>
    <w:semiHidden/>
    <w:qFormat/>
    <w:rsid w:val="00144EBC"/>
    <w:pPr>
      <w:jc w:val="right"/>
    </w:pPr>
    <w:rPr>
      <w:color w:val="C00000"/>
      <w:sz w:val="20"/>
    </w:rPr>
  </w:style>
  <w:style w:type="paragraph" w:customStyle="1" w:styleId="ECHRDecisionBody">
    <w:name w:val="ECHR_Decision_Body"/>
    <w:aliases w:val="_Decision_Body"/>
    <w:basedOn w:val="NormalJustified"/>
    <w:uiPriority w:val="54"/>
    <w:semiHidden/>
    <w:rsid w:val="00144EB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44EB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44EB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44EB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44EBC"/>
    <w:pPr>
      <w:jc w:val="right"/>
    </w:pPr>
    <w:rPr>
      <w:sz w:val="20"/>
    </w:rPr>
  </w:style>
  <w:style w:type="paragraph" w:customStyle="1" w:styleId="ECHRHeaderRefIt">
    <w:name w:val="ECHR_Header_Ref_It"/>
    <w:aliases w:val="_Ref_Ital"/>
    <w:basedOn w:val="Normal"/>
    <w:next w:val="ECHRHeaderDate"/>
    <w:uiPriority w:val="43"/>
    <w:semiHidden/>
    <w:qFormat/>
    <w:rsid w:val="00144EBC"/>
    <w:pPr>
      <w:jc w:val="right"/>
    </w:pPr>
    <w:rPr>
      <w:i/>
      <w:sz w:val="20"/>
    </w:rPr>
  </w:style>
  <w:style w:type="paragraph" w:customStyle="1" w:styleId="ECHRHeading9">
    <w:name w:val="ECHR_Heading_9"/>
    <w:aliases w:val="_Head_9"/>
    <w:basedOn w:val="Heading9"/>
    <w:uiPriority w:val="17"/>
    <w:semiHidden/>
    <w:rsid w:val="00144EBC"/>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44EB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44EBC"/>
    <w:pPr>
      <w:numPr>
        <w:numId w:val="8"/>
      </w:numPr>
      <w:spacing w:before="60" w:after="60"/>
    </w:pPr>
  </w:style>
  <w:style w:type="paragraph" w:customStyle="1" w:styleId="ECHRNumberedList2">
    <w:name w:val="ECHR_Numbered_List_2"/>
    <w:aliases w:val="_Num_2"/>
    <w:basedOn w:val="ECHRNumberedList1"/>
    <w:uiPriority w:val="23"/>
    <w:semiHidden/>
    <w:rsid w:val="00144EBC"/>
    <w:pPr>
      <w:numPr>
        <w:ilvl w:val="1"/>
      </w:numPr>
    </w:pPr>
  </w:style>
  <w:style w:type="paragraph" w:customStyle="1" w:styleId="ECHRNumberedList3">
    <w:name w:val="ECHR_Numbered_List_3"/>
    <w:aliases w:val="_Num_3"/>
    <w:basedOn w:val="ECHRNumberedList2"/>
    <w:uiPriority w:val="23"/>
    <w:semiHidden/>
    <w:rsid w:val="00144EBC"/>
    <w:pPr>
      <w:numPr>
        <w:ilvl w:val="2"/>
      </w:numPr>
    </w:pPr>
  </w:style>
  <w:style w:type="paragraph" w:customStyle="1" w:styleId="ECHRParaHanging">
    <w:name w:val="ECHR_Para_Hanging"/>
    <w:aliases w:val="_Hanging"/>
    <w:basedOn w:val="Normal"/>
    <w:uiPriority w:val="8"/>
    <w:semiHidden/>
    <w:qFormat/>
    <w:rsid w:val="00144EBC"/>
    <w:pPr>
      <w:ind w:left="567" w:hanging="567"/>
      <w:jc w:val="both"/>
    </w:pPr>
  </w:style>
  <w:style w:type="paragraph" w:customStyle="1" w:styleId="ECHRParaIndent">
    <w:name w:val="ECHR_Para_Indent"/>
    <w:aliases w:val="_Indent"/>
    <w:basedOn w:val="Normal"/>
    <w:uiPriority w:val="7"/>
    <w:semiHidden/>
    <w:qFormat/>
    <w:rsid w:val="00144EBC"/>
    <w:pPr>
      <w:spacing w:before="120" w:after="120"/>
      <w:ind w:left="284"/>
      <w:jc w:val="both"/>
    </w:pPr>
  </w:style>
  <w:style w:type="character" w:customStyle="1" w:styleId="ECHRRed">
    <w:name w:val="ECHR_Red"/>
    <w:aliases w:val="_Red"/>
    <w:basedOn w:val="DefaultParagraphFont"/>
    <w:uiPriority w:val="15"/>
    <w:semiHidden/>
    <w:qFormat/>
    <w:rsid w:val="00144EBC"/>
    <w:rPr>
      <w:color w:val="C00000" w:themeColor="accent2"/>
    </w:rPr>
  </w:style>
  <w:style w:type="paragraph" w:customStyle="1" w:styleId="DecList">
    <w:name w:val="Dec_List"/>
    <w:aliases w:val="_List"/>
    <w:basedOn w:val="JuList"/>
    <w:uiPriority w:val="22"/>
    <w:rsid w:val="00144EBC"/>
    <w:pPr>
      <w:numPr>
        <w:numId w:val="0"/>
      </w:numPr>
      <w:ind w:left="284"/>
    </w:pPr>
  </w:style>
  <w:style w:type="table" w:customStyle="1" w:styleId="ECHRTable">
    <w:name w:val="ECHR_Table"/>
    <w:basedOn w:val="TableNormal"/>
    <w:rsid w:val="00144EB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144EB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44EB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44EB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44EB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44EB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44EB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44EB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44EBC"/>
    <w:pPr>
      <w:outlineLvl w:val="0"/>
    </w:pPr>
  </w:style>
  <w:style w:type="paragraph" w:customStyle="1" w:styleId="ECHRTitleTOC1">
    <w:name w:val="ECHR_Title_TOC_1"/>
    <w:aliases w:val="_Title_L_TOC"/>
    <w:basedOn w:val="ECHRTitle1"/>
    <w:next w:val="Normal"/>
    <w:uiPriority w:val="27"/>
    <w:semiHidden/>
    <w:qFormat/>
    <w:rsid w:val="00144EBC"/>
    <w:pPr>
      <w:outlineLvl w:val="0"/>
    </w:pPr>
  </w:style>
  <w:style w:type="table" w:customStyle="1" w:styleId="LtrTableAddress">
    <w:name w:val="Ltr_Table_Address"/>
    <w:aliases w:val="ECHR_Ltr_Table_Address"/>
    <w:basedOn w:val="TableNormal"/>
    <w:uiPriority w:val="99"/>
    <w:rsid w:val="00144EBC"/>
    <w:rPr>
      <w:sz w:val="24"/>
      <w:szCs w:val="24"/>
    </w:rPr>
    <w:tblPr>
      <w:tblInd w:w="5103" w:type="dxa"/>
    </w:tblPr>
  </w:style>
  <w:style w:type="table" w:customStyle="1" w:styleId="PCFTableStyle">
    <w:name w:val="PCF_Table_Style"/>
    <w:aliases w:val="ECHR_PCF_Table_Style"/>
    <w:basedOn w:val="TableNormal"/>
    <w:uiPriority w:val="99"/>
    <w:rsid w:val="00144EB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144EB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44EB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144EBC"/>
    <w:rPr>
      <w:color w:val="FFFFFF"/>
    </w:rPr>
  </w:style>
  <w:style w:type="paragraph" w:customStyle="1" w:styleId="ECHRSpacer">
    <w:name w:val="ECHR_Spacer"/>
    <w:aliases w:val="_Spacer"/>
    <w:basedOn w:val="Normal"/>
    <w:uiPriority w:val="45"/>
    <w:semiHidden/>
    <w:rsid w:val="00144EBC"/>
    <w:rPr>
      <w:sz w:val="4"/>
    </w:rPr>
  </w:style>
  <w:style w:type="table" w:customStyle="1" w:styleId="ECHRTableGrey">
    <w:name w:val="ECHR_Table_Grey"/>
    <w:basedOn w:val="TableNormal"/>
    <w:uiPriority w:val="99"/>
    <w:rsid w:val="00144EB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144EB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B3BD9"/>
    <w:rPr>
      <w:color w:val="605E5C"/>
      <w:shd w:val="clear" w:color="auto" w:fill="E1DFDD"/>
    </w:rPr>
  </w:style>
  <w:style w:type="character" w:customStyle="1" w:styleId="JuParaChar">
    <w:name w:val="Ju_Para Char"/>
    <w:aliases w:val="_Para Char,ECHR_Para Char"/>
    <w:link w:val="JuPara"/>
    <w:uiPriority w:val="4"/>
    <w:qFormat/>
    <w:rsid w:val="00955DF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1736</Words>
  <Characters>9833</Characters>
  <Application>Microsoft Office Word</Application>
  <DocSecurity>0</DocSecurity>
  <Lines>196</Lines>
  <Paragraphs>48</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2023-07-04T10:09:00Z</dcterms:created>
  <dcterms:modified xsi:type="dcterms:W3CDTF">2023-07-13T13:21:00Z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1815298</vt:lpwstr>
  </property>
  <property fmtid="{D5CDD505-2E9C-101B-9397-08002B2CF9AE}" pid="3" name="cstLanguage">
    <vt:i4>2057</vt:i4>
  </property>
  <property fmtid="{D5CDD505-2E9C-101B-9397-08002B2CF9AE}" pid="4" name="RegisteredNo">
    <vt:lpwstr>6023/23</vt:lpwstr>
  </property>
</Properties>
</file>