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3913E2" w:rsidR="004C3673" w:rsidP="003913E2" w14:paraId="151576AE" w14:textId="77777777">
      <w:pPr>
        <w:jc w:val="center"/>
        <w:rPr>
          <w:rFonts w:ascii="Times New Roman" w:hAnsi="Times New Roman" w:cs="Times New Roman"/>
          <w:noProof/>
        </w:rPr>
      </w:pPr>
    </w:p>
    <w:p w:rsidRPr="003913E2" w:rsidR="0098410D" w:rsidP="003913E2" w14:paraId="612B798C" w14:textId="77777777">
      <w:pPr>
        <w:jc w:val="center"/>
      </w:pPr>
    </w:p>
    <w:p w:rsidRPr="003913E2" w:rsidR="0098410D" w:rsidP="003913E2" w14:paraId="5BE2DC6E" w14:textId="17E803A8">
      <w:pPr>
        <w:pStyle w:val="DecHTitle"/>
      </w:pPr>
      <w:r w:rsidRPr="003913E2">
        <w:t>FOURTH SECTION</w:t>
      </w:r>
    </w:p>
    <w:p w:rsidRPr="003913E2" w:rsidR="008E6217" w:rsidP="003913E2" w14:paraId="292F495F" w14:textId="67EAD533">
      <w:pPr>
        <w:pStyle w:val="JuTitle"/>
      </w:pPr>
      <w:r w:rsidRPr="003913E2">
        <w:rPr>
          <w:color w:val="000000" w:themeColor="text1"/>
        </w:rPr>
        <w:t xml:space="preserve">CASE OF </w:t>
      </w:r>
      <w:r w:rsidRPr="003913E2" w:rsidR="004C3673">
        <w:t>TEMEȘAN v. ROMANIA</w:t>
      </w:r>
    </w:p>
    <w:p w:rsidRPr="003913E2" w:rsidR="00D74888" w:rsidP="003913E2" w14:paraId="161E7A16" w14:textId="78C5D530">
      <w:pPr>
        <w:pStyle w:val="ECHRCoverTitle4"/>
      </w:pPr>
      <w:r w:rsidRPr="003913E2">
        <w:t>(</w:t>
      </w:r>
      <w:r w:rsidRPr="003913E2" w:rsidR="004C3673">
        <w:rPr>
          <w:noProof/>
        </w:rPr>
        <w:t>Application no.</w:t>
      </w:r>
      <w:r w:rsidRPr="003913E2">
        <w:t xml:space="preserve"> </w:t>
      </w:r>
      <w:r w:rsidRPr="003913E2" w:rsidR="004C3673">
        <w:t>37113/17</w:t>
      </w:r>
      <w:r w:rsidRPr="003913E2">
        <w:t>)</w:t>
      </w:r>
    </w:p>
    <w:p w:rsidRPr="003913E2" w:rsidR="0098410D" w:rsidP="003913E2" w14:paraId="2A3E56CA" w14:textId="77777777">
      <w:pPr>
        <w:pStyle w:val="DecHCase"/>
      </w:pPr>
    </w:p>
    <w:p w:rsidRPr="003913E2" w:rsidR="0098410D" w:rsidP="003913E2" w14:paraId="34945116" w14:textId="77777777">
      <w:pPr>
        <w:pStyle w:val="DecHCase"/>
      </w:pPr>
    </w:p>
    <w:p w:rsidRPr="003913E2" w:rsidR="00AC4CD4" w:rsidP="003913E2" w14:paraId="38F77A55" w14:textId="77777777">
      <w:pPr>
        <w:pStyle w:val="DecHCase"/>
      </w:pPr>
    </w:p>
    <w:p w:rsidRPr="003913E2" w:rsidR="0098410D" w:rsidP="003913E2" w14:paraId="091CD158" w14:textId="77777777">
      <w:pPr>
        <w:pStyle w:val="DecHCase"/>
      </w:pPr>
    </w:p>
    <w:p w:rsidRPr="003913E2" w:rsidR="003913E2" w:rsidP="003913E2" w14:paraId="0E75C386" w14:textId="77777777">
      <w:pPr>
        <w:pStyle w:val="DecHCase"/>
      </w:pPr>
    </w:p>
    <w:p w:rsidRPr="003913E2" w:rsidR="003913E2" w:rsidP="003913E2" w14:paraId="1A6686BC" w14:textId="77777777">
      <w:pPr>
        <w:pStyle w:val="DecHCase"/>
      </w:pPr>
    </w:p>
    <w:p w:rsidRPr="003913E2" w:rsidR="0098410D" w:rsidP="003913E2" w14:paraId="3197D4DE" w14:textId="56DA93D7">
      <w:pPr>
        <w:pStyle w:val="DecHCase"/>
      </w:pPr>
      <w:r w:rsidRPr="003913E2">
        <w:t>JUDGMENT</w:t>
      </w:r>
      <w:r w:rsidRPr="003913E2" w:rsidR="00AC4CD4">
        <w:br/>
      </w:r>
    </w:p>
    <w:p w:rsidRPr="003913E2" w:rsidR="0098410D" w:rsidP="003913E2" w14:paraId="28CE0F75" w14:textId="77777777">
      <w:pPr>
        <w:pStyle w:val="DecHCase"/>
      </w:pPr>
      <w:r w:rsidRPr="003913E2">
        <w:t>STRASBOURG</w:t>
      </w:r>
    </w:p>
    <w:p w:rsidRPr="003913E2" w:rsidR="0098410D" w:rsidP="003913E2" w14:paraId="0433C7EF" w14:textId="1A7A4660">
      <w:pPr>
        <w:pStyle w:val="DecHCase"/>
      </w:pPr>
      <w:r w:rsidRPr="003913E2">
        <w:rPr>
          <w:rFonts w:ascii="Times New Roman" w:hAnsi="Times New Roman" w:cs="Times New Roman"/>
        </w:rPr>
        <w:t>20 June 2023</w:t>
      </w:r>
    </w:p>
    <w:p w:rsidRPr="003913E2" w:rsidR="00AC4CD4" w:rsidP="003913E2" w14:paraId="5189D9CA" w14:textId="77777777">
      <w:pPr>
        <w:pStyle w:val="JuPara"/>
      </w:pPr>
    </w:p>
    <w:p w:rsidRPr="003913E2" w:rsidR="002422B6" w:rsidP="003913E2" w14:paraId="3074FC8A" w14:textId="7F268020">
      <w:pPr>
        <w:rPr>
          <w:i/>
          <w:sz w:val="22"/>
        </w:rPr>
      </w:pPr>
      <w:r w:rsidRPr="003913E2">
        <w:rPr>
          <w:i/>
          <w:sz w:val="22"/>
        </w:rPr>
        <w:t xml:space="preserve">This judgment </w:t>
      </w:r>
      <w:r w:rsidRPr="003913E2" w:rsidR="004C3673">
        <w:rPr>
          <w:i/>
          <w:noProof/>
          <w:sz w:val="22"/>
        </w:rPr>
        <w:t>is final but it</w:t>
      </w:r>
      <w:r w:rsidRPr="003913E2">
        <w:rPr>
          <w:i/>
          <w:sz w:val="22"/>
        </w:rPr>
        <w:t xml:space="preserve"> may be subject to editorial revision.</w:t>
      </w:r>
    </w:p>
    <w:p w:rsidRPr="003913E2" w:rsidR="0098410D" w:rsidP="003913E2" w14:paraId="13091207"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3913E2" w:rsidR="0098410D" w:rsidP="003913E2" w14:paraId="5E054C7D" w14:textId="57998916">
      <w:pPr>
        <w:pStyle w:val="JuCase"/>
      </w:pPr>
      <w:r w:rsidRPr="003913E2">
        <w:t xml:space="preserve">In the case of </w:t>
      </w:r>
      <w:r w:rsidRPr="003913E2" w:rsidR="004C3673">
        <w:t>Temeșan</w:t>
      </w:r>
      <w:r w:rsidRPr="003913E2" w:rsidR="004C3673">
        <w:t xml:space="preserve"> v. Romania</w:t>
      </w:r>
      <w:r w:rsidRPr="003913E2">
        <w:t>,</w:t>
      </w:r>
    </w:p>
    <w:p w:rsidRPr="003913E2" w:rsidR="009F4C8F" w:rsidP="003913E2" w14:paraId="0C544F39" w14:textId="6A9ED6FF">
      <w:pPr>
        <w:pStyle w:val="JuPara"/>
      </w:pPr>
      <w:r w:rsidRPr="003913E2">
        <w:t>The European Court of Human Rights (</w:t>
      </w:r>
      <w:r w:rsidRPr="003913E2" w:rsidR="004C3673">
        <w:t>Fourth Section</w:t>
      </w:r>
      <w:r w:rsidRPr="003913E2">
        <w:t xml:space="preserve">), sitting as a </w:t>
      </w:r>
      <w:r w:rsidRPr="003913E2" w:rsidR="004C3673">
        <w:rPr>
          <w:noProof/>
        </w:rPr>
        <w:t>Committee</w:t>
      </w:r>
      <w:r w:rsidRPr="003913E2">
        <w:t xml:space="preserve"> composed of:</w:t>
      </w:r>
    </w:p>
    <w:p w:rsidRPr="003913E2" w:rsidR="00A92625" w:rsidP="003913E2" w14:paraId="19700232" w14:textId="6DB4ABA0">
      <w:pPr>
        <w:pStyle w:val="JuJudges"/>
      </w:pPr>
      <w:r w:rsidRPr="003913E2">
        <w:tab/>
        <w:t xml:space="preserve">Faris </w:t>
      </w:r>
      <w:r w:rsidRPr="003913E2">
        <w:t>Vehabović</w:t>
      </w:r>
      <w:r w:rsidRPr="003913E2">
        <w:rPr>
          <w:i/>
        </w:rPr>
        <w:t>, President</w:t>
      </w:r>
      <w:r w:rsidRPr="003913E2">
        <w:t>,</w:t>
      </w:r>
      <w:r w:rsidRPr="003913E2">
        <w:br/>
      </w:r>
      <w:r w:rsidRPr="003913E2">
        <w:tab/>
        <w:t xml:space="preserve">Iulia </w:t>
      </w:r>
      <w:r w:rsidRPr="003913E2">
        <w:t>Antoanella</w:t>
      </w:r>
      <w:r w:rsidRPr="003913E2">
        <w:t xml:space="preserve"> Motoc,</w:t>
      </w:r>
      <w:r w:rsidRPr="003913E2">
        <w:br/>
      </w:r>
      <w:r w:rsidRPr="003913E2">
        <w:tab/>
        <w:t>Branko Lubarda</w:t>
      </w:r>
      <w:r w:rsidRPr="003913E2">
        <w:rPr>
          <w:i/>
        </w:rPr>
        <w:t>, judges</w:t>
      </w:r>
      <w:r w:rsidRPr="003913E2">
        <w:t>,</w:t>
      </w:r>
      <w:r w:rsidRPr="003913E2" w:rsidR="009F4C8F">
        <w:br/>
        <w:t>and</w:t>
      </w:r>
      <w:r w:rsidRPr="003913E2" w:rsidR="005C2C62">
        <w:t xml:space="preserve"> </w:t>
      </w:r>
      <w:r w:rsidRPr="003913E2">
        <w:rPr>
          <w:rFonts w:eastAsia="PMingLiU"/>
          <w:noProof/>
        </w:rPr>
        <w:t>Crina Kaufman</w:t>
      </w:r>
      <w:r w:rsidRPr="003913E2">
        <w:t xml:space="preserve">, </w:t>
      </w:r>
      <w:r w:rsidRPr="003913E2">
        <w:rPr>
          <w:i/>
          <w:iCs/>
        </w:rPr>
        <w:t xml:space="preserve">Acting </w:t>
      </w:r>
      <w:r w:rsidRPr="003913E2" w:rsidR="004C3673">
        <w:rPr>
          <w:i/>
          <w:iCs/>
          <w:noProof/>
        </w:rPr>
        <w:t xml:space="preserve">Deputy </w:t>
      </w:r>
      <w:r w:rsidRPr="003913E2" w:rsidR="00E744E0">
        <w:rPr>
          <w:i/>
        </w:rPr>
        <w:t xml:space="preserve">Section </w:t>
      </w:r>
      <w:r w:rsidRPr="003913E2" w:rsidR="00E744E0">
        <w:rPr>
          <w:i/>
          <w:iCs/>
        </w:rPr>
        <w:t>Registrar</w:t>
      </w:r>
      <w:r w:rsidRPr="003913E2" w:rsidR="008F2465">
        <w:rPr>
          <w:i/>
        </w:rPr>
        <w:t>,</w:t>
      </w:r>
    </w:p>
    <w:p w:rsidRPr="003913E2" w:rsidR="004C3673" w:rsidP="003913E2" w14:paraId="7910EC63" w14:textId="77777777">
      <w:pPr>
        <w:pStyle w:val="JuPara"/>
      </w:pPr>
      <w:r w:rsidRPr="003913E2">
        <w:t>Having regard to:</w:t>
      </w:r>
    </w:p>
    <w:p w:rsidRPr="003913E2" w:rsidR="004C3673" w:rsidP="003913E2" w14:paraId="194982F6" w14:textId="77777777">
      <w:pPr>
        <w:pStyle w:val="JuPara"/>
      </w:pPr>
      <w:r w:rsidRPr="003913E2">
        <w:t xml:space="preserve">the application (no. 37113/17) against Romania lodged with the Court under Article 34 of the Convention for the Protection of Human Rights and Fundamental Freedoms (“the Convention”) on 17 May 2017 by a Romanian national, Mr </w:t>
      </w:r>
      <w:r w:rsidRPr="003913E2">
        <w:t>Răzvan-Liviu</w:t>
      </w:r>
      <w:r w:rsidRPr="003913E2">
        <w:t xml:space="preserve"> </w:t>
      </w:r>
      <w:r w:rsidRPr="003913E2">
        <w:t>Temeșan</w:t>
      </w:r>
      <w:r w:rsidRPr="003913E2">
        <w:t xml:space="preserve">, born in 1951 and living in </w:t>
      </w:r>
      <w:r w:rsidRPr="003913E2">
        <w:t>Cornu</w:t>
      </w:r>
      <w:r w:rsidRPr="003913E2">
        <w:t xml:space="preserve"> de Jos (“the applicant”) who was represented by Ms A. </w:t>
      </w:r>
      <w:r w:rsidRPr="003913E2">
        <w:t>Temeşan</w:t>
      </w:r>
      <w:r w:rsidRPr="003913E2">
        <w:t xml:space="preserve">, a lawyer practising in </w:t>
      </w:r>
      <w:r w:rsidRPr="003913E2">
        <w:t>Bucharest;</w:t>
      </w:r>
    </w:p>
    <w:p w:rsidRPr="003913E2" w:rsidR="004C3673" w:rsidP="003913E2" w14:paraId="3431C78C" w14:textId="0902DB5D">
      <w:pPr>
        <w:pStyle w:val="JuPara"/>
      </w:pPr>
      <w:r w:rsidRPr="003913E2">
        <w:t xml:space="preserve">the decision to give notice of the complaint concerning the impartiality and independence of judges to the Romanian Government (“the Government”), represented by their Agent, Ms O.F. </w:t>
      </w:r>
      <w:r w:rsidRPr="003913E2">
        <w:t>Ezer</w:t>
      </w:r>
      <w:r w:rsidRPr="003913E2">
        <w:t xml:space="preserve"> and to declare inadmissible the remainder of the </w:t>
      </w:r>
      <w:r w:rsidRPr="003913E2">
        <w:t>application;</w:t>
      </w:r>
    </w:p>
    <w:p w:rsidRPr="003913E2" w:rsidR="004C3673" w:rsidP="003913E2" w14:paraId="74C117D4" w14:textId="77777777">
      <w:pPr>
        <w:pStyle w:val="JuPara"/>
      </w:pPr>
      <w:r w:rsidRPr="003913E2">
        <w:t xml:space="preserve">the fact that the applicant died on 8 October 2022 and his son, Mr Bogdan </w:t>
      </w:r>
      <w:r w:rsidRPr="003913E2">
        <w:t>Șerban</w:t>
      </w:r>
      <w:r w:rsidRPr="003913E2">
        <w:t xml:space="preserve"> </w:t>
      </w:r>
      <w:r w:rsidRPr="003913E2">
        <w:t>Temeșan</w:t>
      </w:r>
      <w:r w:rsidRPr="003913E2">
        <w:t xml:space="preserve">, expressed his wish to pursue the application before the </w:t>
      </w:r>
      <w:r w:rsidRPr="003913E2">
        <w:t>Court;</w:t>
      </w:r>
    </w:p>
    <w:p w:rsidRPr="003913E2" w:rsidR="004C3673" w:rsidP="003913E2" w14:paraId="2EBC1548" w14:textId="19AD1C47">
      <w:pPr>
        <w:pStyle w:val="JuPara"/>
      </w:pPr>
      <w:r w:rsidRPr="003913E2">
        <w:t>the Government</w:t>
      </w:r>
      <w:r w:rsidRPr="003913E2" w:rsidR="003913E2">
        <w:t>’</w:t>
      </w:r>
      <w:r w:rsidRPr="003913E2">
        <w:t>s objection to the examination of the application by a Committee and the Court</w:t>
      </w:r>
      <w:r w:rsidRPr="003913E2" w:rsidR="003913E2">
        <w:t>’</w:t>
      </w:r>
      <w:r w:rsidRPr="003913E2">
        <w:t xml:space="preserve">s decision to reject </w:t>
      </w:r>
      <w:r w:rsidRPr="003913E2">
        <w:t>it;</w:t>
      </w:r>
    </w:p>
    <w:p w:rsidRPr="003913E2" w:rsidR="004C3673" w:rsidP="003913E2" w14:paraId="008928FA" w14:textId="435AC804">
      <w:pPr>
        <w:pStyle w:val="JuPara"/>
      </w:pPr>
      <w:r w:rsidRPr="003913E2">
        <w:t>the parties</w:t>
      </w:r>
      <w:r w:rsidRPr="003913E2" w:rsidR="003913E2">
        <w:t>’</w:t>
      </w:r>
      <w:r w:rsidRPr="003913E2">
        <w:t xml:space="preserve"> </w:t>
      </w:r>
      <w:r w:rsidRPr="003913E2">
        <w:t>observations;</w:t>
      </w:r>
    </w:p>
    <w:p w:rsidRPr="003913E2" w:rsidR="009F4C8F" w:rsidP="003913E2" w14:paraId="73EE48FB" w14:textId="4C248ADE">
      <w:pPr>
        <w:pStyle w:val="JuPara"/>
      </w:pPr>
      <w:r w:rsidRPr="003913E2">
        <w:t xml:space="preserve">Having deliberated in private on </w:t>
      </w:r>
      <w:r w:rsidRPr="003913E2" w:rsidR="004C3673">
        <w:t>30 May 2023</w:t>
      </w:r>
      <w:r w:rsidRPr="003913E2">
        <w:t>,</w:t>
      </w:r>
    </w:p>
    <w:p w:rsidRPr="003913E2" w:rsidR="009F4C8F" w:rsidP="003913E2" w14:paraId="1772AC40" w14:textId="77777777">
      <w:pPr>
        <w:pStyle w:val="JuPara"/>
      </w:pPr>
      <w:r w:rsidRPr="003913E2">
        <w:t>Delivers the following judgment, which was adopted on that date:</w:t>
      </w:r>
    </w:p>
    <w:p w:rsidRPr="003913E2" w:rsidR="004C3673" w:rsidP="003913E2" w14:paraId="2546D411" w14:textId="61F900E1">
      <w:pPr>
        <w:pStyle w:val="JuHHead"/>
        <w:numPr>
          <w:ilvl w:val="0"/>
          <w:numId w:val="0"/>
        </w:numPr>
      </w:pPr>
      <w:r w:rsidRPr="003913E2">
        <w:t>SUBJECT MATTER OF THE CASE</w:t>
      </w:r>
    </w:p>
    <w:p w:rsidRPr="003913E2" w:rsidR="004C3673" w:rsidP="003913E2" w14:paraId="29424839" w14:textId="4D5769B1">
      <w:pPr>
        <w:pStyle w:val="JuPara"/>
      </w:pPr>
      <w:r w:rsidRPr="003913E2">
        <w:fldChar w:fldCharType="begin"/>
      </w:r>
      <w:r w:rsidRPr="003913E2">
        <w:instrText xml:space="preserve"> SEQ level0 \*arabic </w:instrText>
      </w:r>
      <w:r w:rsidRPr="003913E2">
        <w:fldChar w:fldCharType="separate"/>
      </w:r>
      <w:r w:rsidRPr="003913E2" w:rsidR="003913E2">
        <w:rPr>
          <w:noProof/>
        </w:rPr>
        <w:t>1</w:t>
      </w:r>
      <w:r w:rsidRPr="003913E2">
        <w:fldChar w:fldCharType="end"/>
      </w:r>
      <w:r w:rsidRPr="003913E2">
        <w:t>.  The case pertains to the alleged lack of impartiality of the judges who finally determined a labour dispute between the applicant and his employer.</w:t>
      </w:r>
    </w:p>
    <w:p w:rsidRPr="003913E2" w:rsidR="004C3673" w:rsidP="003913E2" w14:paraId="6ED98773" w14:textId="2D978F5F">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2</w:t>
      </w:r>
      <w:r w:rsidRPr="003913E2">
        <w:rPr>
          <w:rFonts w:eastAsia="Times New Roman"/>
        </w:rPr>
        <w:fldChar w:fldCharType="end"/>
      </w:r>
      <w:r w:rsidRPr="003913E2">
        <w:rPr>
          <w:rFonts w:eastAsia="Times New Roman"/>
        </w:rPr>
        <w:t xml:space="preserve">.  In 1994 the applicant was appointed as the head of a state-owned commercial bank, known as B. In 1999, the said bank was acquired and subsumed by a state-owned commercial bank called </w:t>
      </w:r>
      <w:r w:rsidRPr="003913E2">
        <w:rPr>
          <w:rFonts w:eastAsia="Times New Roman"/>
          <w:i/>
          <w:iCs/>
        </w:rPr>
        <w:t xml:space="preserve">Banca </w:t>
      </w:r>
      <w:r w:rsidRPr="003913E2">
        <w:rPr>
          <w:rFonts w:eastAsia="Times New Roman"/>
          <w:i/>
          <w:iCs/>
        </w:rPr>
        <w:t>Comercială</w:t>
      </w:r>
      <w:r w:rsidRPr="003913E2">
        <w:rPr>
          <w:rFonts w:eastAsia="Times New Roman"/>
          <w:i/>
          <w:iCs/>
        </w:rPr>
        <w:t xml:space="preserve"> </w:t>
      </w:r>
      <w:r w:rsidRPr="003913E2">
        <w:rPr>
          <w:rFonts w:eastAsia="Times New Roman"/>
          <w:i/>
          <w:iCs/>
        </w:rPr>
        <w:t>Română</w:t>
      </w:r>
      <w:r w:rsidRPr="003913E2">
        <w:rPr>
          <w:rFonts w:eastAsia="Times New Roman"/>
        </w:rPr>
        <w:t xml:space="preserve"> (“BCR”), resulting in the applicant being summarily discharged from his post.</w:t>
      </w:r>
    </w:p>
    <w:p w:rsidRPr="003913E2" w:rsidR="004C3673" w:rsidP="003913E2" w14:paraId="2A2E3154" w14:textId="588B3CBC">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3</w:t>
      </w:r>
      <w:r w:rsidRPr="003913E2">
        <w:rPr>
          <w:rFonts w:eastAsia="Times New Roman"/>
        </w:rPr>
        <w:fldChar w:fldCharType="end"/>
      </w:r>
      <w:r w:rsidRPr="003913E2">
        <w:rPr>
          <w:rFonts w:eastAsia="Times New Roman"/>
        </w:rPr>
        <w:t>.  A lengthy succession of legal proceedings ensued between the applicant and BCR, however, the Court shall limit itself to referring to a select few that are relevant for the matter at hand.</w:t>
      </w:r>
    </w:p>
    <w:p w:rsidRPr="003913E2" w:rsidR="004C3673" w:rsidP="003913E2" w14:paraId="49272261" w14:textId="0D32A6F9">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bookmarkStart w:name="paragraph00004" w:id="0"/>
      <w:r w:rsidRPr="003913E2" w:rsidR="003913E2">
        <w:rPr>
          <w:rFonts w:eastAsia="Times New Roman"/>
          <w:noProof/>
        </w:rPr>
        <w:t>4</w:t>
      </w:r>
      <w:bookmarkEnd w:id="0"/>
      <w:r w:rsidRPr="003913E2">
        <w:rPr>
          <w:rFonts w:eastAsia="Times New Roman"/>
        </w:rPr>
        <w:fldChar w:fldCharType="end"/>
      </w:r>
      <w:r w:rsidRPr="003913E2">
        <w:rPr>
          <w:rFonts w:eastAsia="Times New Roman"/>
        </w:rPr>
        <w:t>.  In 2003 the applicant initiated legal proceedings against BCR seeking re-employment. By virtue of a final judgment of 8 April 2005, the Bucharest Court of Appeal dismissed the claim on the ground that the employment contract was rendered null and void following the merger between B. and BCR. One of the judges sitting on the Court of Appeal</w:t>
      </w:r>
      <w:r w:rsidRPr="003913E2" w:rsidR="003913E2">
        <w:rPr>
          <w:rFonts w:eastAsia="Times New Roman"/>
        </w:rPr>
        <w:t>’</w:t>
      </w:r>
      <w:r w:rsidRPr="003913E2">
        <w:rPr>
          <w:rFonts w:eastAsia="Times New Roman"/>
        </w:rPr>
        <w:t>s panel was Judge C.</w:t>
      </w:r>
    </w:p>
    <w:p w:rsidRPr="003913E2" w:rsidR="004C3673" w:rsidP="003913E2" w14:paraId="7D5ECC49" w14:textId="5249C5E1">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5</w:t>
      </w:r>
      <w:r w:rsidRPr="003913E2">
        <w:rPr>
          <w:rFonts w:eastAsia="Times New Roman"/>
        </w:rPr>
        <w:fldChar w:fldCharType="end"/>
      </w:r>
      <w:r w:rsidRPr="003913E2">
        <w:rPr>
          <w:rFonts w:eastAsia="Times New Roman"/>
        </w:rPr>
        <w:t>.  Following a sequence of both extraordinary and ordinary appeals and other legal proceedings, the applicant succeeded in securing a judicial decision ordering re-employment with BCR and payment of damages. Nonetheless, the above judicial decision was not fully executed, and the applicant was never reinstated at the bank.</w:t>
      </w:r>
    </w:p>
    <w:p w:rsidRPr="003913E2" w:rsidR="004C3673" w:rsidP="003913E2" w14:paraId="38CFFFAF" w14:textId="070B6DE0">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bookmarkStart w:name="paragraph00006" w:id="1"/>
      <w:r w:rsidRPr="003913E2" w:rsidR="003913E2">
        <w:rPr>
          <w:rFonts w:eastAsia="Times New Roman"/>
          <w:noProof/>
        </w:rPr>
        <w:t>6</w:t>
      </w:r>
      <w:bookmarkEnd w:id="1"/>
      <w:r w:rsidRPr="003913E2">
        <w:rPr>
          <w:rFonts w:eastAsia="Times New Roman"/>
        </w:rPr>
        <w:fldChar w:fldCharType="end"/>
      </w:r>
      <w:r w:rsidRPr="003913E2">
        <w:rPr>
          <w:rFonts w:eastAsia="Times New Roman"/>
        </w:rPr>
        <w:t>.  In 2014 BCR launched legal proceedings against the applicant seeking a verdict that his employment contract had been null and void from 2007 onwards. By a judgment dated 16 December 2015, the Bucharest Regional Court dismissed the BCR</w:t>
      </w:r>
      <w:r w:rsidRPr="003913E2" w:rsidR="003913E2">
        <w:rPr>
          <w:rFonts w:eastAsia="Times New Roman"/>
        </w:rPr>
        <w:t>’</w:t>
      </w:r>
      <w:r w:rsidRPr="003913E2">
        <w:rPr>
          <w:rFonts w:eastAsia="Times New Roman"/>
        </w:rPr>
        <w:t>s claim. Both parties filed appeals.</w:t>
      </w:r>
    </w:p>
    <w:p w:rsidRPr="003913E2" w:rsidR="004C3673" w:rsidP="003913E2" w14:paraId="1E90BD75" w14:textId="25DDCA45">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7</w:t>
      </w:r>
      <w:r w:rsidRPr="003913E2">
        <w:rPr>
          <w:rFonts w:eastAsia="Times New Roman"/>
        </w:rPr>
        <w:fldChar w:fldCharType="end"/>
      </w:r>
      <w:r w:rsidRPr="003913E2">
        <w:rPr>
          <w:rFonts w:eastAsia="Times New Roman"/>
        </w:rPr>
        <w:t xml:space="preserve">.  Before the Bucharest Court of Appeal, the case was referred to a bench composed of two judges, </w:t>
      </w:r>
      <w:r w:rsidRPr="003913E2">
        <w:rPr>
          <w:rFonts w:eastAsia="Times New Roman"/>
        </w:rPr>
        <w:t>C.</w:t>
      </w:r>
      <w:r w:rsidRPr="003913E2">
        <w:rPr>
          <w:rFonts w:eastAsia="Times New Roman"/>
        </w:rPr>
        <w:t xml:space="preserve"> and U, whom the applicant raised objections against and lodged a motion for their recusal.</w:t>
      </w:r>
    </w:p>
    <w:p w:rsidRPr="003913E2" w:rsidR="004C3673" w:rsidP="003913E2" w14:paraId="31C10606" w14:textId="514B163E">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bookmarkStart w:name="paragraph00008" w:id="2"/>
      <w:r w:rsidRPr="003913E2" w:rsidR="003913E2">
        <w:rPr>
          <w:rFonts w:eastAsia="Times New Roman"/>
          <w:noProof/>
        </w:rPr>
        <w:t>8</w:t>
      </w:r>
      <w:bookmarkEnd w:id="2"/>
      <w:r w:rsidRPr="003913E2">
        <w:rPr>
          <w:rFonts w:eastAsia="Times New Roman"/>
        </w:rPr>
        <w:fldChar w:fldCharType="end"/>
      </w:r>
      <w:r w:rsidRPr="003913E2">
        <w:rPr>
          <w:rFonts w:eastAsia="Times New Roman"/>
        </w:rPr>
        <w:t xml:space="preserve">.  With respect to Judge C., the applicant contended that she had participated in rendering the judgment of 8 April 2005 (see paragraph </w:t>
      </w:r>
      <w:r w:rsidRPr="003913E2">
        <w:rPr>
          <w:rFonts w:eastAsia="Times New Roman"/>
        </w:rPr>
        <w:fldChar w:fldCharType="begin"/>
      </w:r>
      <w:r w:rsidRPr="003913E2">
        <w:rPr>
          <w:rFonts w:eastAsia="Times New Roman"/>
        </w:rPr>
        <w:instrText xml:space="preserve"> REF paragraph00004 \h  \* CharFormat </w:instrText>
      </w:r>
      <w:r w:rsidRPr="003913E2">
        <w:rPr>
          <w:rFonts w:eastAsia="Times New Roman"/>
        </w:rPr>
        <w:fldChar w:fldCharType="separate"/>
      </w:r>
      <w:r w:rsidRPr="003913E2" w:rsidR="003913E2">
        <w:rPr>
          <w:rFonts w:eastAsia="Times New Roman"/>
        </w:rPr>
        <w:t>4</w:t>
      </w:r>
      <w:r w:rsidRPr="003913E2">
        <w:rPr>
          <w:rFonts w:eastAsia="Times New Roman"/>
        </w:rPr>
        <w:fldChar w:fldCharType="end"/>
      </w:r>
      <w:r w:rsidRPr="003913E2">
        <w:rPr>
          <w:rFonts w:eastAsia="Times New Roman"/>
        </w:rPr>
        <w:t xml:space="preserve"> above) which concerned a factually and legally related set of civil proceedings</w:t>
      </w:r>
      <w:r w:rsidRPr="003913E2" w:rsidR="003913E2">
        <w:rPr>
          <w:rFonts w:eastAsia="Times New Roman"/>
        </w:rPr>
        <w:t xml:space="preserve"> </w:t>
      </w:r>
      <w:r w:rsidRPr="003913E2">
        <w:rPr>
          <w:rFonts w:eastAsia="Times New Roman"/>
        </w:rPr>
        <w:t>between the same parties. Additionally, the applicant asserted that Judge C. had an ongoing banking relationship with BCR and had outstanding loans procured from that bank, although the particulars of the said loans were not known to him.</w:t>
      </w:r>
    </w:p>
    <w:p w:rsidRPr="003913E2" w:rsidR="004C3673" w:rsidP="003913E2" w14:paraId="5510E9D2" w14:textId="77701C32">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bookmarkStart w:name="paragraph00009" w:id="3"/>
      <w:r w:rsidRPr="003913E2" w:rsidR="003913E2">
        <w:rPr>
          <w:rFonts w:eastAsia="Times New Roman"/>
          <w:noProof/>
        </w:rPr>
        <w:t>9</w:t>
      </w:r>
      <w:bookmarkEnd w:id="3"/>
      <w:r w:rsidRPr="003913E2">
        <w:rPr>
          <w:rFonts w:eastAsia="Times New Roman"/>
        </w:rPr>
        <w:fldChar w:fldCharType="end"/>
      </w:r>
      <w:r w:rsidRPr="003913E2">
        <w:rPr>
          <w:rFonts w:eastAsia="Times New Roman"/>
        </w:rPr>
        <w:t>.  </w:t>
      </w:r>
      <w:r w:rsidRPr="003913E2">
        <w:rPr>
          <w:rFonts w:eastAsia="Times New Roman"/>
        </w:rPr>
        <w:t>With regard to</w:t>
      </w:r>
      <w:r w:rsidRPr="003913E2">
        <w:rPr>
          <w:rFonts w:eastAsia="Times New Roman"/>
        </w:rPr>
        <w:t xml:space="preserve"> Judge U., the applicant argued that the counsel representing BCR in the proceedings was formerly her superior from 1998 to 2000, when she served as the director of a department at the Ministry of Justice, while he served as the Minister. The applicant further contended that </w:t>
      </w:r>
      <w:r w:rsidRPr="003913E2">
        <w:rPr>
          <w:rFonts w:eastAsia="Times New Roman"/>
        </w:rPr>
        <w:t>during the course of</w:t>
      </w:r>
      <w:r w:rsidRPr="003913E2">
        <w:rPr>
          <w:rFonts w:eastAsia="Times New Roman"/>
        </w:rPr>
        <w:t xml:space="preserve"> the proceedings, Judge U. had obtained a loan from BCR amounting to 189,000 lei (RON) (equivalent to approximately 42,000 euros (EUR)) to finance the purchase of an apartment. The terms and conditions of the loan were unknown to the applicant.</w:t>
      </w:r>
    </w:p>
    <w:p w:rsidRPr="003913E2" w:rsidR="004C3673" w:rsidP="003913E2" w14:paraId="04E70EBC" w14:textId="7F15A755">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bookmarkStart w:name="paragraph00010" w:id="4"/>
      <w:r w:rsidRPr="003913E2" w:rsidR="003913E2">
        <w:rPr>
          <w:rFonts w:eastAsia="Times New Roman"/>
          <w:noProof/>
        </w:rPr>
        <w:t>10</w:t>
      </w:r>
      <w:bookmarkEnd w:id="4"/>
      <w:r w:rsidRPr="003913E2">
        <w:rPr>
          <w:rFonts w:eastAsia="Times New Roman"/>
        </w:rPr>
        <w:fldChar w:fldCharType="end"/>
      </w:r>
      <w:r w:rsidRPr="003913E2">
        <w:rPr>
          <w:rFonts w:eastAsia="Times New Roman"/>
        </w:rPr>
        <w:t>.  On 7 November 2016 a different panel of the Bucharest Court of Appeal rejected the applicant</w:t>
      </w:r>
      <w:r w:rsidRPr="003913E2" w:rsidR="003913E2">
        <w:rPr>
          <w:rFonts w:eastAsia="Times New Roman"/>
        </w:rPr>
        <w:t>’</w:t>
      </w:r>
      <w:r w:rsidRPr="003913E2">
        <w:rPr>
          <w:rFonts w:eastAsia="Times New Roman"/>
        </w:rPr>
        <w:t>s motion for recusal. It found that a judge</w:t>
      </w:r>
      <w:r w:rsidRPr="003913E2" w:rsidR="003913E2">
        <w:rPr>
          <w:rFonts w:eastAsia="Times New Roman"/>
        </w:rPr>
        <w:t>’</w:t>
      </w:r>
      <w:r w:rsidRPr="003913E2">
        <w:rPr>
          <w:rFonts w:eastAsia="Times New Roman"/>
        </w:rPr>
        <w:t xml:space="preserve">s participation in a case involving the same parties and related to the same subject matter was not problematic, as the authority of the </w:t>
      </w:r>
      <w:r w:rsidRPr="003913E2">
        <w:rPr>
          <w:rFonts w:eastAsia="Times New Roman"/>
          <w:i/>
          <w:iCs/>
        </w:rPr>
        <w:t>res judicata</w:t>
      </w:r>
      <w:r w:rsidRPr="003913E2">
        <w:rPr>
          <w:rFonts w:eastAsia="Times New Roman"/>
        </w:rPr>
        <w:t xml:space="preserve"> obtained by the initial decision represented a guarantee for the parties. Therefore, a judge could not deviate from a previous solution, not due to vanity, but because the law did not allow it. As to the prior professional relationship between Judge U. and BCR</w:t>
      </w:r>
      <w:r w:rsidRPr="003913E2" w:rsidR="003913E2">
        <w:rPr>
          <w:rFonts w:eastAsia="Times New Roman"/>
        </w:rPr>
        <w:t>’</w:t>
      </w:r>
      <w:r w:rsidRPr="003913E2">
        <w:rPr>
          <w:rFonts w:eastAsia="Times New Roman"/>
        </w:rPr>
        <w:t>s attorney, the court considered that such an association was not proof of moral or professional subservience. Finally, the court concluded that there was no issue with both judges being clients of BCR and having secured loans from it. It held that BCR was one of the foremost financial institutions in the market, and it was open to judges as well as to any other citizens to borrow from it.</w:t>
      </w:r>
    </w:p>
    <w:p w:rsidRPr="003913E2" w:rsidR="004C3673" w:rsidP="003913E2" w14:paraId="2F2CF5EC" w14:textId="22712F01">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11</w:t>
      </w:r>
      <w:r w:rsidRPr="003913E2">
        <w:rPr>
          <w:rFonts w:eastAsia="Times New Roman"/>
        </w:rPr>
        <w:fldChar w:fldCharType="end"/>
      </w:r>
      <w:r w:rsidRPr="003913E2">
        <w:rPr>
          <w:rFonts w:eastAsia="Times New Roman"/>
        </w:rPr>
        <w:t xml:space="preserve">.  On 17 November 2016 the panel of the Bucharest Court of Appeal composed of Judges C. and U. upheld the appeal lodged by BCR against the judgment of the Bucharest Regional Court of 16 December 2015 (see </w:t>
      </w:r>
      <w:r w:rsidRPr="003913E2">
        <w:rPr>
          <w:rFonts w:eastAsia="Times New Roman"/>
        </w:rPr>
        <w:t xml:space="preserve">paragraph </w:t>
      </w:r>
      <w:r w:rsidRPr="003913E2">
        <w:rPr>
          <w:rFonts w:eastAsia="Times New Roman"/>
        </w:rPr>
        <w:fldChar w:fldCharType="begin"/>
      </w:r>
      <w:r w:rsidRPr="003913E2">
        <w:rPr>
          <w:rFonts w:eastAsia="Times New Roman"/>
        </w:rPr>
        <w:instrText xml:space="preserve"> REF paragraph00006 \h  \* CharFormat </w:instrText>
      </w:r>
      <w:r w:rsidRPr="003913E2">
        <w:rPr>
          <w:rFonts w:eastAsia="Times New Roman"/>
        </w:rPr>
        <w:fldChar w:fldCharType="separate"/>
      </w:r>
      <w:r w:rsidRPr="003913E2" w:rsidR="003913E2">
        <w:rPr>
          <w:rFonts w:eastAsia="Times New Roman"/>
        </w:rPr>
        <w:t>6</w:t>
      </w:r>
      <w:r w:rsidRPr="003913E2">
        <w:rPr>
          <w:rFonts w:eastAsia="Times New Roman"/>
        </w:rPr>
        <w:fldChar w:fldCharType="end"/>
      </w:r>
      <w:r w:rsidRPr="003913E2">
        <w:rPr>
          <w:rFonts w:eastAsia="Times New Roman"/>
        </w:rPr>
        <w:t xml:space="preserve"> above), finally determining that the employment contract between BCR and the applicant had become null and void as of 2007.</w:t>
      </w:r>
    </w:p>
    <w:p w:rsidRPr="003913E2" w:rsidR="004C3673" w:rsidP="003913E2" w14:paraId="6AE33E57" w14:textId="585B46EF">
      <w:pPr>
        <w:pStyle w:val="JuPara"/>
      </w:pPr>
      <w:r>
        <w:fldChar w:fldCharType="begin"/>
      </w:r>
      <w:r>
        <w:instrText xml:space="preserve"> SEQ level0 \*arabic \* MERGEFORMAT </w:instrText>
      </w:r>
      <w:r>
        <w:fldChar w:fldCharType="separate"/>
      </w:r>
      <w:r w:rsidRPr="003913E2" w:rsidR="003913E2">
        <w:rPr>
          <w:noProof/>
        </w:rPr>
        <w:t>12</w:t>
      </w:r>
      <w:r w:rsidRPr="003913E2" w:rsidR="003913E2">
        <w:rPr>
          <w:noProof/>
        </w:rPr>
        <w:fldChar w:fldCharType="end"/>
      </w:r>
      <w:r w:rsidRPr="003913E2">
        <w:t xml:space="preserve">.  Before the Court the applicant complained under Article 6 </w:t>
      </w:r>
      <w:r w:rsidRPr="003913E2">
        <w:rPr>
          <w:rFonts w:cstheme="minorHAnsi"/>
        </w:rPr>
        <w:t>§</w:t>
      </w:r>
      <w:r w:rsidRPr="003913E2">
        <w:t xml:space="preserve"> 1 of the Convention about the lack of impartiality of Judges C. and U.</w:t>
      </w:r>
    </w:p>
    <w:p w:rsidRPr="003913E2" w:rsidR="004C3673" w:rsidP="003913E2" w14:paraId="2ADB871E" w14:textId="20449C17">
      <w:pPr>
        <w:pStyle w:val="JuHHead"/>
      </w:pPr>
      <w:r w:rsidRPr="003913E2">
        <w:t>THE COURT</w:t>
      </w:r>
      <w:r w:rsidRPr="003913E2" w:rsidR="003913E2">
        <w:t>’</w:t>
      </w:r>
      <w:r w:rsidRPr="003913E2">
        <w:t>S ASSESSMENT</w:t>
      </w:r>
    </w:p>
    <w:p w:rsidRPr="003913E2" w:rsidR="004C3673" w:rsidP="003913E2" w14:paraId="42DB58F3" w14:textId="77777777">
      <w:pPr>
        <w:pStyle w:val="JuHIRoman"/>
        <w:numPr>
          <w:ilvl w:val="0"/>
          <w:numId w:val="0"/>
        </w:numPr>
        <w:ind w:left="397"/>
      </w:pPr>
      <w:r w:rsidRPr="003913E2">
        <w:t>ALLEGED VIOLATION OF ARTICLE 6 § 1 OF THE CONVENTION</w:t>
      </w:r>
    </w:p>
    <w:p w:rsidRPr="003913E2" w:rsidR="004C3673" w:rsidP="003913E2" w14:paraId="73F02DF4" w14:textId="395DF5CB">
      <w:pPr>
        <w:pStyle w:val="JuPara"/>
      </w:pPr>
      <w:r>
        <w:fldChar w:fldCharType="begin"/>
      </w:r>
      <w:r>
        <w:instrText xml:space="preserve"> SEQ level0 \*arabic \* MERGEFORMAT </w:instrText>
      </w:r>
      <w:r>
        <w:fldChar w:fldCharType="separate"/>
      </w:r>
      <w:r w:rsidRPr="003913E2" w:rsidR="003913E2">
        <w:rPr>
          <w:noProof/>
        </w:rPr>
        <w:t>13</w:t>
      </w:r>
      <w:r w:rsidRPr="003913E2" w:rsidR="003913E2">
        <w:rPr>
          <w:noProof/>
        </w:rPr>
        <w:fldChar w:fldCharType="end"/>
      </w:r>
      <w:r w:rsidRPr="003913E2">
        <w:t>.  The Court notes at the outset that the applicant died after lodging the present application and that his son has expressed his wish to continue the proceedings. The Court discerns no impediment to the applicant</w:t>
      </w:r>
      <w:r w:rsidRPr="003913E2" w:rsidR="003913E2">
        <w:t>’</w:t>
      </w:r>
      <w:r w:rsidRPr="003913E2">
        <w:t>s son continuing with the present application on his father</w:t>
      </w:r>
      <w:r w:rsidRPr="003913E2" w:rsidR="003913E2">
        <w:t>’</w:t>
      </w:r>
      <w:r w:rsidRPr="003913E2">
        <w:t xml:space="preserve">s behalf (see </w:t>
      </w:r>
      <w:bookmarkStart w:name="_cl25291" w:id="5"/>
      <w:r w:rsidRPr="003913E2">
        <w:rPr>
          <w:i/>
          <w:iCs/>
        </w:rPr>
        <w:t>Ergezen</w:t>
      </w:r>
      <w:r w:rsidRPr="003913E2">
        <w:rPr>
          <w:i/>
          <w:iCs/>
        </w:rPr>
        <w:t xml:space="preserve"> v. Turkey</w:t>
      </w:r>
      <w:bookmarkEnd w:id="5"/>
      <w:r w:rsidRPr="003913E2">
        <w:t xml:space="preserve">, no. 73359/10, §§ 29-30, 8 April 2014 and </w:t>
      </w:r>
      <w:bookmarkStart w:name="_cl37474" w:id="6"/>
      <w:r w:rsidRPr="003913E2">
        <w:rPr>
          <w:i/>
          <w:iCs/>
        </w:rPr>
        <w:t>Tagiyev</w:t>
      </w:r>
      <w:r w:rsidRPr="003913E2">
        <w:rPr>
          <w:i/>
          <w:iCs/>
        </w:rPr>
        <w:t xml:space="preserve"> and Huseynov v. Azerbaijan</w:t>
      </w:r>
      <w:bookmarkEnd w:id="6"/>
      <w:r w:rsidRPr="003913E2">
        <w:t>, no. 13274/08, § 24, 5 December 2019). However, for reasons of convenience, the text of the judgment shall continue referring to Mr </w:t>
      </w:r>
      <w:r w:rsidRPr="003913E2">
        <w:t>Răzvan-Liviu</w:t>
      </w:r>
      <w:r w:rsidRPr="003913E2">
        <w:t xml:space="preserve"> </w:t>
      </w:r>
      <w:r w:rsidRPr="003913E2">
        <w:t>Temeșan</w:t>
      </w:r>
      <w:r w:rsidRPr="003913E2">
        <w:t xml:space="preserve"> as “the applicant” albeit with the understanding that only Mr Bogdan </w:t>
      </w:r>
      <w:r w:rsidRPr="003913E2">
        <w:t>Șerban</w:t>
      </w:r>
      <w:r w:rsidRPr="003913E2">
        <w:t xml:space="preserve"> </w:t>
      </w:r>
      <w:r w:rsidRPr="003913E2">
        <w:t>Temeșan</w:t>
      </w:r>
      <w:r w:rsidRPr="003913E2">
        <w:t xml:space="preserve"> is now to be regarded as having the status of applicant before the Court (see also </w:t>
      </w:r>
      <w:r w:rsidRPr="003913E2">
        <w:rPr>
          <w:i/>
        </w:rPr>
        <w:t>Isayeva v. Azerbaijan</w:t>
      </w:r>
      <w:r w:rsidRPr="003913E2">
        <w:t>, no. 36229/11, § 62, 25 June 2015).</w:t>
      </w:r>
    </w:p>
    <w:p w:rsidRPr="003913E2" w:rsidR="004C3673" w:rsidP="003913E2" w14:paraId="601FD503" w14:textId="7CF04F80">
      <w:pPr>
        <w:pStyle w:val="JuPara"/>
      </w:pPr>
      <w:r>
        <w:fldChar w:fldCharType="begin"/>
      </w:r>
      <w:r>
        <w:instrText xml:space="preserve"> SEQ level0 \*arabic \* MERGEFORMAT </w:instrText>
      </w:r>
      <w:r>
        <w:fldChar w:fldCharType="separate"/>
      </w:r>
      <w:r w:rsidRPr="003913E2" w:rsidR="003913E2">
        <w:rPr>
          <w:noProof/>
        </w:rPr>
        <w:t>14</w:t>
      </w:r>
      <w:r w:rsidRPr="003913E2" w:rsidR="003913E2">
        <w:rPr>
          <w:noProof/>
        </w:rPr>
        <w:fldChar w:fldCharType="end"/>
      </w:r>
      <w:r w:rsidRPr="003913E2">
        <w:t>.  The Court further notes that this complaint is not manifestly ill-founded within the meaning of Article 35 § 3 (a) of the Convention or inadmissible on any other grounds. It must therefore be declared admissible.</w:t>
      </w:r>
    </w:p>
    <w:p w:rsidRPr="003913E2" w:rsidR="004C3673" w:rsidP="003913E2" w14:paraId="2A1B4F69" w14:textId="3EF1AABD">
      <w:pPr>
        <w:pStyle w:val="JuPara"/>
      </w:pPr>
      <w:r w:rsidRPr="003913E2">
        <w:fldChar w:fldCharType="begin"/>
      </w:r>
      <w:r w:rsidRPr="003913E2">
        <w:instrText xml:space="preserve"> SEQ level0 \*arabic </w:instrText>
      </w:r>
      <w:r w:rsidRPr="003913E2">
        <w:fldChar w:fldCharType="separate"/>
      </w:r>
      <w:r w:rsidRPr="003913E2" w:rsidR="003913E2">
        <w:rPr>
          <w:noProof/>
        </w:rPr>
        <w:t>15</w:t>
      </w:r>
      <w:r w:rsidRPr="003913E2">
        <w:fldChar w:fldCharType="end"/>
      </w:r>
      <w:r w:rsidRPr="003913E2">
        <w:t xml:space="preserve">.  The general principles concerning the requirement of impartiality under Article 6 § 1 of the Convention have been summarized in </w:t>
      </w:r>
      <w:r w:rsidRPr="003913E2">
        <w:rPr>
          <w:i/>
        </w:rPr>
        <w:t>Micallef v. Malta</w:t>
      </w:r>
      <w:r w:rsidRPr="003913E2">
        <w:t xml:space="preserve"> [GC], no. 17056/06, §§ 93-99, ECHR 2009 where it was established that  the existence of impartiality for the purposes of Article 6 § 1 must be determined according to a subjective test where regard must be had to the personal conviction and behaviour of a particular judge, that is, whether the judge held any personal prejudice or bias in a given case; and also according to an objective test, that is to say by ascertaining whether the tribunal itself and, among other aspects, its composition, offered sufficient guarantees to exclude any legitimate doubt in respect of its impartiality.</w:t>
      </w:r>
    </w:p>
    <w:p w:rsidRPr="003913E2" w:rsidR="004C3673" w:rsidP="003913E2" w14:paraId="4E3B81BC" w14:textId="34D6CEFA">
      <w:pPr>
        <w:pStyle w:val="JuPara"/>
      </w:pPr>
      <w:r>
        <w:fldChar w:fldCharType="begin"/>
      </w:r>
      <w:r>
        <w:instrText xml:space="preserve"> SEQ level0 \*arabic \* MERGEFORMAT </w:instrText>
      </w:r>
      <w:r>
        <w:fldChar w:fldCharType="separate"/>
      </w:r>
      <w:r w:rsidRPr="003913E2" w:rsidR="003913E2">
        <w:rPr>
          <w:noProof/>
        </w:rPr>
        <w:t>16</w:t>
      </w:r>
      <w:r w:rsidRPr="003913E2" w:rsidR="003913E2">
        <w:rPr>
          <w:noProof/>
        </w:rPr>
        <w:fldChar w:fldCharType="end"/>
      </w:r>
      <w:r w:rsidRPr="003913E2">
        <w:t xml:space="preserve">.  Even appearances may be of a certain importance. What is at stake is the confidence which the courts in a democratic society must inspire in the public. Accordingly, any judge in respect of whom there is a legitimate reason to fear a lack of impartiality must withdraw. This implies that in deciding whether </w:t>
      </w:r>
      <w:r w:rsidRPr="003913E2">
        <w:t>in a given</w:t>
      </w:r>
      <w:r w:rsidRPr="003913E2">
        <w:t xml:space="preserve"> case there is a legitimate reason to fear that a particular judge lacks impartiality, the standpoint of the party concerned is important but not decisive. What is decisive is whether this fear can be held to be objectively justified (see </w:t>
      </w:r>
      <w:r w:rsidRPr="003913E2">
        <w:rPr>
          <w:i/>
          <w:iCs/>
        </w:rPr>
        <w:t>Wet</w:t>
      </w:r>
      <w:bookmarkStart w:name="cl39242" w:id="7"/>
      <w:r w:rsidRPr="003913E2">
        <w:rPr>
          <w:i/>
          <w:iCs/>
        </w:rPr>
        <w:t>tstein</w:t>
      </w:r>
      <w:r w:rsidRPr="003913E2">
        <w:rPr>
          <w:i/>
          <w:iCs/>
        </w:rPr>
        <w:t xml:space="preserve"> v. Switzerland</w:t>
      </w:r>
      <w:bookmarkEnd w:id="7"/>
      <w:r w:rsidRPr="003913E2">
        <w:t>, no. 33958/96, § 44, ECHR</w:t>
      </w:r>
      <w:r w:rsidRPr="003913E2" w:rsidR="003913E2">
        <w:t> </w:t>
      </w:r>
      <w:r w:rsidRPr="003913E2">
        <w:t>2000-XII).</w:t>
      </w:r>
    </w:p>
    <w:p w:rsidRPr="003913E2" w:rsidR="004C3673" w:rsidP="003913E2" w14:paraId="5BECDE57" w14:textId="4E6D440D">
      <w:pPr>
        <w:pStyle w:val="JuPara"/>
      </w:pPr>
      <w:r>
        <w:fldChar w:fldCharType="begin"/>
      </w:r>
      <w:r>
        <w:instrText xml:space="preserve"> SEQ level0 \*arabic \* MERGEFORMAT </w:instrText>
      </w:r>
      <w:r>
        <w:fldChar w:fldCharType="separate"/>
      </w:r>
      <w:r w:rsidRPr="003913E2" w:rsidR="003913E2">
        <w:rPr>
          <w:noProof/>
        </w:rPr>
        <w:t>17</w:t>
      </w:r>
      <w:r w:rsidRPr="003913E2" w:rsidR="003913E2">
        <w:rPr>
          <w:noProof/>
        </w:rPr>
        <w:fldChar w:fldCharType="end"/>
      </w:r>
      <w:r w:rsidRPr="003913E2">
        <w:t xml:space="preserve">.  Turning to the facts of the present case and, more particularly, to the subjective test of such impartiality, the Court notes that there is nothing to </w:t>
      </w:r>
      <w:r w:rsidRPr="003913E2">
        <w:t>indicate in the present case to any prejudice or bias on the part of judges C. and U.</w:t>
      </w:r>
    </w:p>
    <w:p w:rsidRPr="003913E2" w:rsidR="004C3673" w:rsidP="003913E2" w14:paraId="291A8FAA" w14:textId="187112BB">
      <w:pPr>
        <w:pStyle w:val="JuPara"/>
        <w:rPr>
          <w:rFonts w:eastAsia="Times New Roman"/>
        </w:rPr>
      </w:pPr>
      <w:r>
        <w:fldChar w:fldCharType="begin"/>
      </w:r>
      <w:r>
        <w:instrText xml:space="preserve"> SEQ level0 \*arabic \* MERGEFORMAT </w:instrText>
      </w:r>
      <w:r>
        <w:fldChar w:fldCharType="separate"/>
      </w:r>
      <w:r w:rsidRPr="003913E2" w:rsidR="003913E2">
        <w:rPr>
          <w:noProof/>
        </w:rPr>
        <w:t>18</w:t>
      </w:r>
      <w:r w:rsidRPr="003913E2" w:rsidR="003913E2">
        <w:rPr>
          <w:noProof/>
        </w:rPr>
        <w:fldChar w:fldCharType="end"/>
      </w:r>
      <w:r w:rsidRPr="003913E2">
        <w:t>.  As regards the objective test, the Court notes from the outset that both judges who examined the appeal and rendered a final judgment in the matter involving the applicant and BCR were clients of the latter institution and had outstanding loans acquired from it. As a matter of fact, one of the judges, U., borrowed a sum of money from BCR during the very proceedings underpinning the present case.</w:t>
      </w:r>
    </w:p>
    <w:p w:rsidRPr="003913E2" w:rsidR="004C3673" w:rsidP="003913E2" w14:paraId="7B064159" w14:textId="7212D7E2">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19</w:t>
      </w:r>
      <w:r w:rsidRPr="003913E2">
        <w:rPr>
          <w:rFonts w:eastAsia="Times New Roman"/>
        </w:rPr>
        <w:fldChar w:fldCharType="end"/>
      </w:r>
      <w:r w:rsidRPr="003913E2">
        <w:rPr>
          <w:rFonts w:eastAsia="Times New Roman"/>
        </w:rPr>
        <w:t>.  In dismissing the applicant</w:t>
      </w:r>
      <w:r w:rsidRPr="003913E2" w:rsidR="003913E2">
        <w:rPr>
          <w:rFonts w:eastAsia="Times New Roman"/>
        </w:rPr>
        <w:t>’</w:t>
      </w:r>
      <w:r w:rsidRPr="003913E2">
        <w:rPr>
          <w:rFonts w:eastAsia="Times New Roman"/>
        </w:rPr>
        <w:t xml:space="preserve">s motion for recusal, the Bucharest Court of Appeal found, in its decision of 7 November 2016, that BCR was the largest bank on the market and considered that judges, like any individual, were at liberty to avail themselves of the services of that bank without any prejudice to their impartiality (see paragraph </w:t>
      </w:r>
      <w:r w:rsidRPr="003913E2">
        <w:rPr>
          <w:rFonts w:eastAsia="Times New Roman"/>
        </w:rPr>
        <w:fldChar w:fldCharType="begin"/>
      </w:r>
      <w:r w:rsidRPr="003913E2">
        <w:rPr>
          <w:rFonts w:eastAsia="Times New Roman"/>
        </w:rPr>
        <w:instrText xml:space="preserve"> REF paragraph00010 \h  \* CharFormat </w:instrText>
      </w:r>
      <w:r w:rsidRPr="003913E2">
        <w:rPr>
          <w:rFonts w:eastAsia="Times New Roman"/>
        </w:rPr>
        <w:fldChar w:fldCharType="separate"/>
      </w:r>
      <w:r w:rsidRPr="003913E2" w:rsidR="003913E2">
        <w:rPr>
          <w:rFonts w:eastAsia="Times New Roman"/>
        </w:rPr>
        <w:t>10</w:t>
      </w:r>
      <w:r w:rsidRPr="003913E2">
        <w:rPr>
          <w:rFonts w:eastAsia="Times New Roman"/>
        </w:rPr>
        <w:fldChar w:fldCharType="end"/>
      </w:r>
      <w:r w:rsidRPr="003913E2">
        <w:rPr>
          <w:rFonts w:eastAsia="Times New Roman"/>
        </w:rPr>
        <w:t xml:space="preserve"> above).</w:t>
      </w:r>
    </w:p>
    <w:p w:rsidRPr="003913E2" w:rsidR="004C3673" w:rsidP="003913E2" w14:paraId="5C06A243" w14:textId="22C39870">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20</w:t>
      </w:r>
      <w:r w:rsidRPr="003913E2">
        <w:rPr>
          <w:rFonts w:eastAsia="Times New Roman"/>
        </w:rPr>
        <w:fldChar w:fldCharType="end"/>
      </w:r>
      <w:r w:rsidRPr="003913E2">
        <w:rPr>
          <w:rFonts w:eastAsia="Times New Roman"/>
        </w:rPr>
        <w:t>.  While, at the relevant time, BCR may have been the preeminent bank in Romania, as suggested by the domestic courts, the Court notes that it was not alleged that the relevant judges were unable to obtain personal loans from other banks on the market.</w:t>
      </w:r>
    </w:p>
    <w:p w:rsidRPr="003913E2" w:rsidR="004C3673" w:rsidP="003913E2" w14:paraId="11C6FBA9" w14:textId="48240E8E">
      <w:pPr>
        <w:pStyle w:val="JuPara"/>
        <w:rPr>
          <w:rFonts w:eastAsia="Times New Roman"/>
        </w:rPr>
      </w:pPr>
      <w:r>
        <w:fldChar w:fldCharType="begin"/>
      </w:r>
      <w:r>
        <w:instrText xml:space="preserve"> SEQ level0 \*arabic \* MERGEFORMAT </w:instrText>
      </w:r>
      <w:r>
        <w:fldChar w:fldCharType="separate"/>
      </w:r>
      <w:r w:rsidRPr="003913E2" w:rsidR="003913E2">
        <w:rPr>
          <w:noProof/>
        </w:rPr>
        <w:t>21</w:t>
      </w:r>
      <w:r w:rsidRPr="003913E2" w:rsidR="003913E2">
        <w:rPr>
          <w:noProof/>
        </w:rPr>
        <w:fldChar w:fldCharType="end"/>
      </w:r>
      <w:r w:rsidRPr="003913E2">
        <w:t>.  Furthermore, in the Court</w:t>
      </w:r>
      <w:r w:rsidRPr="003913E2" w:rsidR="003913E2">
        <w:t>’</w:t>
      </w:r>
      <w:r w:rsidRPr="003913E2">
        <w:t xml:space="preserve">s view, </w:t>
      </w:r>
      <w:r w:rsidRPr="003913E2">
        <w:rPr>
          <w:rFonts w:eastAsia="Times New Roman"/>
        </w:rPr>
        <w:t>it is not unreasonable to assume that a client</w:t>
      </w:r>
      <w:r w:rsidRPr="003913E2" w:rsidR="003913E2">
        <w:rPr>
          <w:rFonts w:eastAsia="Times New Roman"/>
        </w:rPr>
        <w:t>’</w:t>
      </w:r>
      <w:r w:rsidRPr="003913E2">
        <w:rPr>
          <w:rFonts w:eastAsia="Times New Roman"/>
        </w:rPr>
        <w:t>s relationship with his or her bank was decisive for the operation of a loan. Banks are generally afforded a degree of discretion in setting and adjusting the terms and conditions of loans. Hence, a judge who finds himself in the position of a private client of a bank which is a party in judicial proceedings to be adjudicated by that judge may reasonably be perceived as biased. Owing money to that bank may consciously or subconsciously influence the judge</w:t>
      </w:r>
      <w:r w:rsidRPr="003913E2" w:rsidR="003913E2">
        <w:rPr>
          <w:rFonts w:eastAsia="Times New Roman"/>
        </w:rPr>
        <w:t>’</w:t>
      </w:r>
      <w:r w:rsidRPr="003913E2">
        <w:rPr>
          <w:rFonts w:eastAsia="Times New Roman"/>
        </w:rPr>
        <w:t xml:space="preserve">s decision-making process, rendering him or her more inclined to adjudicate in favour of the bank. Such a </w:t>
      </w:r>
      <w:r w:rsidRPr="003913E2">
        <w:rPr>
          <w:rFonts w:eastAsia="Times New Roman"/>
        </w:rPr>
        <w:t>state of affairs</w:t>
      </w:r>
      <w:r w:rsidRPr="003913E2">
        <w:rPr>
          <w:rFonts w:eastAsia="Times New Roman"/>
        </w:rPr>
        <w:t xml:space="preserve"> would undoubtedly jeopardise the integrity of the judicial process and erode public trust in the judiciary.</w:t>
      </w:r>
    </w:p>
    <w:p w:rsidRPr="003913E2" w:rsidR="004C3673" w:rsidP="003913E2" w14:paraId="19B13666" w14:textId="1CB4B23A">
      <w:pPr>
        <w:pStyle w:val="JuPara"/>
      </w:pPr>
      <w:r>
        <w:fldChar w:fldCharType="begin"/>
      </w:r>
      <w:r>
        <w:instrText xml:space="preserve"> SEQ level0 \*arabic \* MERGEFORMAT </w:instrText>
      </w:r>
      <w:r>
        <w:fldChar w:fldCharType="separate"/>
      </w:r>
      <w:r w:rsidRPr="003913E2" w:rsidR="003913E2">
        <w:rPr>
          <w:noProof/>
        </w:rPr>
        <w:t>22</w:t>
      </w:r>
      <w:r w:rsidRPr="003913E2" w:rsidR="003913E2">
        <w:rPr>
          <w:noProof/>
        </w:rPr>
        <w:fldChar w:fldCharType="end"/>
      </w:r>
      <w:r w:rsidRPr="003913E2">
        <w:t xml:space="preserve">.  Therefore, the Court is of the view that the situation wherein all members of the bench of the Bucharest Court of Appeal were private clients of the </w:t>
      </w:r>
      <w:r w:rsidRPr="003913E2">
        <w:t>bank</w:t>
      </w:r>
      <w:r w:rsidRPr="003913E2">
        <w:t xml:space="preserve"> which was a party in the </w:t>
      </w:r>
      <w:r w:rsidRPr="003913E2" w:rsidR="00BE3881">
        <w:t>proceedings</w:t>
      </w:r>
      <w:r w:rsidRPr="003913E2">
        <w:t xml:space="preserve"> before them, having acquired loans from it, could have given rise to legitimate fears in the applicant that the said bench was not approaching his case with the requisite impartiality.</w:t>
      </w:r>
    </w:p>
    <w:p w:rsidRPr="003913E2" w:rsidR="004C3673" w:rsidP="003913E2" w14:paraId="3E809CC7" w14:textId="4CB8184E">
      <w:pPr>
        <w:pStyle w:val="JuPara"/>
      </w:pPr>
      <w:r>
        <w:fldChar w:fldCharType="begin"/>
      </w:r>
      <w:r>
        <w:instrText xml:space="preserve"> SEQ level0 \*arabic \* MERGEFORMAT </w:instrText>
      </w:r>
      <w:r>
        <w:fldChar w:fldCharType="separate"/>
      </w:r>
      <w:r w:rsidRPr="003913E2" w:rsidR="003913E2">
        <w:rPr>
          <w:noProof/>
        </w:rPr>
        <w:t>23</w:t>
      </w:r>
      <w:r w:rsidRPr="003913E2" w:rsidR="003913E2">
        <w:rPr>
          <w:noProof/>
        </w:rPr>
        <w:fldChar w:fldCharType="end"/>
      </w:r>
      <w:r w:rsidRPr="003913E2">
        <w:t xml:space="preserve">.  The fact that judge C. had participated in rendering a judgment which concerned a factually and legally related set of civil proceedings between the same parties (see paragraph </w:t>
      </w:r>
      <w:r w:rsidRPr="003913E2">
        <w:fldChar w:fldCharType="begin"/>
      </w:r>
      <w:r w:rsidRPr="003913E2">
        <w:instrText xml:space="preserve"> REF paragraph00008 \h  \* CharFormat </w:instrText>
      </w:r>
      <w:r w:rsidRPr="003913E2">
        <w:fldChar w:fldCharType="separate"/>
      </w:r>
      <w:r w:rsidRPr="003913E2" w:rsidR="003913E2">
        <w:t>8</w:t>
      </w:r>
      <w:r w:rsidRPr="003913E2">
        <w:fldChar w:fldCharType="end"/>
      </w:r>
      <w:r w:rsidRPr="003913E2">
        <w:t xml:space="preserve"> above) and that judge U. used to have BCR</w:t>
      </w:r>
      <w:r w:rsidRPr="003913E2" w:rsidR="003913E2">
        <w:t>’</w:t>
      </w:r>
      <w:r w:rsidRPr="003913E2">
        <w:t xml:space="preserve">s counsel as her superior (see paragraph </w:t>
      </w:r>
      <w:r w:rsidRPr="003913E2">
        <w:fldChar w:fldCharType="begin"/>
      </w:r>
      <w:r w:rsidRPr="003913E2">
        <w:instrText xml:space="preserve"> REF paragraph00009 \h  \* CharFormat </w:instrText>
      </w:r>
      <w:r w:rsidRPr="003913E2">
        <w:fldChar w:fldCharType="separate"/>
      </w:r>
      <w:r w:rsidRPr="003913E2" w:rsidR="003913E2">
        <w:t>9</w:t>
      </w:r>
      <w:r w:rsidRPr="003913E2">
        <w:fldChar w:fldCharType="end"/>
      </w:r>
      <w:r w:rsidRPr="003913E2">
        <w:t xml:space="preserve"> above), while only of limited relevance, could be seen as further increasing the applicant</w:t>
      </w:r>
      <w:r w:rsidRPr="003913E2" w:rsidR="003913E2">
        <w:t>’</w:t>
      </w:r>
      <w:r w:rsidRPr="003913E2">
        <w:t xml:space="preserve">s fear that the judges in question were lacking impartiality (see </w:t>
      </w:r>
      <w:r w:rsidRPr="003913E2">
        <w:rPr>
          <w:i/>
          <w:iCs/>
        </w:rPr>
        <w:t>Wettstein</w:t>
      </w:r>
      <w:r w:rsidRPr="003913E2">
        <w:t>, cited above, § 48).</w:t>
      </w:r>
    </w:p>
    <w:p w:rsidRPr="003913E2" w:rsidR="004C3673" w:rsidP="003913E2" w14:paraId="670B6132" w14:textId="3014A594">
      <w:pPr>
        <w:pStyle w:val="JuPara"/>
        <w:rPr>
          <w:rFonts w:eastAsia="Times New Roman"/>
        </w:rPr>
      </w:pPr>
      <w:r w:rsidRPr="003913E2">
        <w:rPr>
          <w:rFonts w:eastAsia="Times New Roman"/>
        </w:rPr>
        <w:fldChar w:fldCharType="begin"/>
      </w:r>
      <w:r w:rsidRPr="003913E2">
        <w:rPr>
          <w:rFonts w:eastAsia="Times New Roman"/>
        </w:rPr>
        <w:instrText xml:space="preserve"> SEQ level0 \*arabic \* MERGEFORMAT </w:instrText>
      </w:r>
      <w:r w:rsidRPr="003913E2">
        <w:rPr>
          <w:rFonts w:eastAsia="Times New Roman"/>
        </w:rPr>
        <w:fldChar w:fldCharType="separate"/>
      </w:r>
      <w:r w:rsidRPr="003913E2" w:rsidR="003913E2">
        <w:rPr>
          <w:rFonts w:eastAsia="Times New Roman"/>
          <w:noProof/>
        </w:rPr>
        <w:t>24</w:t>
      </w:r>
      <w:r w:rsidRPr="003913E2">
        <w:rPr>
          <w:rFonts w:eastAsia="Times New Roman"/>
        </w:rPr>
        <w:fldChar w:fldCharType="end"/>
      </w:r>
      <w:r w:rsidRPr="003913E2">
        <w:rPr>
          <w:rFonts w:eastAsia="Times New Roman"/>
        </w:rPr>
        <w:t>.  In the Court</w:t>
      </w:r>
      <w:r w:rsidRPr="003913E2" w:rsidR="003913E2">
        <w:rPr>
          <w:rFonts w:eastAsia="Times New Roman"/>
        </w:rPr>
        <w:t>’</w:t>
      </w:r>
      <w:r w:rsidRPr="003913E2">
        <w:rPr>
          <w:rFonts w:eastAsia="Times New Roman"/>
        </w:rPr>
        <w:t>s view, the above circumstances objectively justify the applicant</w:t>
      </w:r>
      <w:r w:rsidRPr="003913E2" w:rsidR="003913E2">
        <w:rPr>
          <w:rFonts w:eastAsia="Times New Roman"/>
        </w:rPr>
        <w:t>’</w:t>
      </w:r>
      <w:r w:rsidRPr="003913E2">
        <w:rPr>
          <w:rFonts w:eastAsia="Times New Roman"/>
        </w:rPr>
        <w:t xml:space="preserve">s fear that judges C. and U. of the Bucharest Court of Appeal did not possess the necessary impartiality. Consequently, there has been a </w:t>
      </w:r>
      <w:r w:rsidRPr="003913E2">
        <w:rPr>
          <w:rFonts w:eastAsia="Times New Roman"/>
        </w:rPr>
        <w:t>violation of Article 6 § 1 of the Convention with respect to the requirement of an impartial tribunal.</w:t>
      </w:r>
    </w:p>
    <w:p w:rsidRPr="003913E2" w:rsidR="004C3673" w:rsidP="003913E2" w14:paraId="3A9CB260" w14:textId="77777777">
      <w:pPr>
        <w:pStyle w:val="JuHHead"/>
      </w:pPr>
      <w:r w:rsidRPr="003913E2">
        <w:rPr>
          <w:caps w:val="0"/>
        </w:rPr>
        <w:t>APPLICATION OF ARTICLE 41 OF THE CONVENTION</w:t>
      </w:r>
    </w:p>
    <w:p w:rsidRPr="003913E2" w:rsidR="004C3673" w:rsidP="003913E2" w14:paraId="2873E657" w14:textId="722AD9EB">
      <w:pPr>
        <w:pStyle w:val="JuPara"/>
      </w:pPr>
      <w:r w:rsidRPr="003913E2">
        <w:fldChar w:fldCharType="begin"/>
      </w:r>
      <w:r w:rsidRPr="003913E2">
        <w:instrText xml:space="preserve"> SEQ level0 \*arabic </w:instrText>
      </w:r>
      <w:r w:rsidRPr="003913E2">
        <w:fldChar w:fldCharType="separate"/>
      </w:r>
      <w:r w:rsidRPr="003913E2" w:rsidR="003913E2">
        <w:rPr>
          <w:noProof/>
        </w:rPr>
        <w:t>25</w:t>
      </w:r>
      <w:r w:rsidRPr="003913E2">
        <w:fldChar w:fldCharType="end"/>
      </w:r>
      <w:r w:rsidRPr="003913E2">
        <w:t>.  The applicant claimed 30,000 euros (EUR) in respect of pecuniary damage and EUR 2,000,000 in respect of non-pecuniary damage, as well as EUR 5,000 in respect of costs and expenses.</w:t>
      </w:r>
    </w:p>
    <w:p w:rsidRPr="003913E2" w:rsidR="004C3673" w:rsidP="003913E2" w14:paraId="01586CCE" w14:textId="6AC87065">
      <w:pPr>
        <w:pStyle w:val="JuPara"/>
      </w:pPr>
      <w:r w:rsidRPr="003913E2">
        <w:fldChar w:fldCharType="begin"/>
      </w:r>
      <w:r w:rsidRPr="003913E2">
        <w:instrText xml:space="preserve"> SEQ level0 \*arabic </w:instrText>
      </w:r>
      <w:r w:rsidRPr="003913E2">
        <w:fldChar w:fldCharType="separate"/>
      </w:r>
      <w:r w:rsidRPr="003913E2" w:rsidR="003913E2">
        <w:rPr>
          <w:noProof/>
        </w:rPr>
        <w:t>26</w:t>
      </w:r>
      <w:r w:rsidRPr="003913E2">
        <w:fldChar w:fldCharType="end"/>
      </w:r>
      <w:r w:rsidRPr="003913E2">
        <w:t>.  The Government contested these claims arguing that they were excessive and unsubstantiated.</w:t>
      </w:r>
    </w:p>
    <w:p w:rsidRPr="003913E2" w:rsidR="004C3673" w:rsidP="003913E2" w14:paraId="3852BC1B" w14:textId="38705E2E">
      <w:pPr>
        <w:pStyle w:val="JuPara"/>
      </w:pPr>
      <w:r w:rsidRPr="003913E2">
        <w:fldChar w:fldCharType="begin"/>
      </w:r>
      <w:r w:rsidRPr="003913E2">
        <w:instrText xml:space="preserve"> SEQ level0 \*arabic </w:instrText>
      </w:r>
      <w:r w:rsidRPr="003913E2">
        <w:fldChar w:fldCharType="separate"/>
      </w:r>
      <w:r w:rsidRPr="003913E2" w:rsidR="003913E2">
        <w:rPr>
          <w:noProof/>
        </w:rPr>
        <w:t>27</w:t>
      </w:r>
      <w:r w:rsidRPr="003913E2">
        <w:fldChar w:fldCharType="end"/>
      </w:r>
      <w:r w:rsidRPr="003913E2">
        <w:t xml:space="preserve">.  The Court reiterates that it found a violation of Article 6 </w:t>
      </w:r>
      <w:r w:rsidRPr="003913E2">
        <w:rPr>
          <w:rFonts w:cstheme="minorHAnsi"/>
        </w:rPr>
        <w:t>§</w:t>
      </w:r>
      <w:r w:rsidRPr="003913E2">
        <w:t xml:space="preserve"> 1 of the Convention in the present case owing to the lack of impartiality of two judges. The Court does not therefore discern any causal link between the violation found and the pecuniary damage alleged. Consequently, it rejects this claim.</w:t>
      </w:r>
    </w:p>
    <w:p w:rsidRPr="003913E2" w:rsidR="004C3673" w:rsidP="003913E2" w14:paraId="59072429" w14:textId="178124D4">
      <w:pPr>
        <w:pStyle w:val="JuPara"/>
      </w:pPr>
      <w:r w:rsidRPr="003913E2">
        <w:fldChar w:fldCharType="begin"/>
      </w:r>
      <w:r w:rsidRPr="003913E2">
        <w:instrText xml:space="preserve"> SEQ level0 \*arabic </w:instrText>
      </w:r>
      <w:r w:rsidRPr="003913E2">
        <w:fldChar w:fldCharType="separate"/>
      </w:r>
      <w:r w:rsidRPr="003913E2" w:rsidR="003913E2">
        <w:rPr>
          <w:noProof/>
        </w:rPr>
        <w:t>28</w:t>
      </w:r>
      <w:r w:rsidRPr="003913E2">
        <w:fldChar w:fldCharType="end"/>
      </w:r>
      <w:r w:rsidRPr="003913E2">
        <w:t>.  On the other hand, having regard to all the circumstances of the present case, the Court accepts that the applicant must have suffered non</w:t>
      </w:r>
      <w:r w:rsidRPr="003913E2">
        <w:noBreakHyphen/>
        <w:t>pecuniary damage which cannot be compensated solely by the finding of a violation. Making its assessment on an equitable basis, the Court awards the applicant EUR 6,000 in respect of non-pecuniary damage, plus any tax that may be chargeable thereon. Furthermore, having regard to the documents before it, the Court considers it reasonable to award the applicant EUR 3,000 for costs and expenses, plus any tax that may be chargeable to them.</w:t>
      </w:r>
    </w:p>
    <w:p w:rsidRPr="003913E2" w:rsidR="004C3673" w:rsidP="003913E2" w14:paraId="020321B9" w14:textId="721731D1">
      <w:pPr>
        <w:pStyle w:val="JuHHead"/>
      </w:pPr>
      <w:r w:rsidRPr="003913E2">
        <w:t>FOR THESE REASONS, THE COURT, UNANIMOUSLY,</w:t>
      </w:r>
    </w:p>
    <w:p w:rsidRPr="003913E2" w:rsidR="004C3673" w:rsidP="003913E2" w14:paraId="4D316E1A" w14:textId="77777777">
      <w:pPr>
        <w:pStyle w:val="JuList"/>
      </w:pPr>
      <w:r w:rsidRPr="003913E2">
        <w:rPr>
          <w:i/>
        </w:rPr>
        <w:t>Declares</w:t>
      </w:r>
      <w:r w:rsidRPr="003913E2">
        <w:t xml:space="preserve"> the application </w:t>
      </w:r>
      <w:r w:rsidRPr="003913E2">
        <w:t>admissible;</w:t>
      </w:r>
    </w:p>
    <w:p w:rsidRPr="003913E2" w:rsidR="004C3673" w:rsidP="003913E2" w14:paraId="7C59C89D" w14:textId="77777777">
      <w:pPr>
        <w:pStyle w:val="JuList"/>
      </w:pPr>
      <w:r w:rsidRPr="003913E2">
        <w:rPr>
          <w:i/>
        </w:rPr>
        <w:t>Holds</w:t>
      </w:r>
      <w:r w:rsidRPr="003913E2">
        <w:t xml:space="preserve"> that there has been a violation of Article 6 </w:t>
      </w:r>
      <w:r w:rsidRPr="003913E2">
        <w:rPr>
          <w:rFonts w:cstheme="minorHAnsi"/>
        </w:rPr>
        <w:t xml:space="preserve">§ 1 </w:t>
      </w:r>
      <w:r w:rsidRPr="003913E2">
        <w:t xml:space="preserve">of the </w:t>
      </w:r>
      <w:r w:rsidRPr="003913E2">
        <w:t>Convention;</w:t>
      </w:r>
    </w:p>
    <w:p w:rsidRPr="003913E2" w:rsidR="004C3673" w:rsidP="003913E2" w14:paraId="1B7238D5" w14:textId="77777777">
      <w:pPr>
        <w:pStyle w:val="JuList"/>
      </w:pPr>
      <w:r w:rsidRPr="003913E2">
        <w:rPr>
          <w:i/>
          <w:iCs/>
        </w:rPr>
        <w:t>Holds</w:t>
      </w:r>
    </w:p>
    <w:p w:rsidRPr="003913E2" w:rsidR="004C3673" w:rsidP="003913E2" w14:paraId="07FAF85B" w14:textId="77777777">
      <w:pPr>
        <w:pStyle w:val="JuLista"/>
        <w:numPr>
          <w:ilvl w:val="1"/>
          <w:numId w:val="5"/>
        </w:numPr>
      </w:pPr>
      <w:r w:rsidRPr="003913E2">
        <w:t>that the respondent State is to pay the applicant, within three months, the following amounts</w:t>
      </w:r>
      <w:r w:rsidRPr="003913E2">
        <w:rPr>
          <w:bCs/>
        </w:rPr>
        <w:t xml:space="preserve">, to be converted into </w:t>
      </w:r>
      <w:r w:rsidRPr="003913E2">
        <w:rPr>
          <w:bCs/>
          <w:color w:val="000000"/>
        </w:rPr>
        <w:t>the currency of the respondent State</w:t>
      </w:r>
      <w:r w:rsidRPr="003913E2">
        <w:t xml:space="preserve"> at the rate applicable at the date of settlement:</w:t>
      </w:r>
    </w:p>
    <w:p w:rsidRPr="003913E2" w:rsidR="004C3673" w:rsidP="003913E2" w14:paraId="42167EA5" w14:textId="77777777">
      <w:pPr>
        <w:pStyle w:val="JuListi"/>
        <w:numPr>
          <w:ilvl w:val="2"/>
          <w:numId w:val="5"/>
        </w:numPr>
      </w:pPr>
      <w:r w:rsidRPr="003913E2">
        <w:t xml:space="preserve">EUR 6,000 (six thousand euros), plus any tax that may be chargeable, in respect of non-pecuniary </w:t>
      </w:r>
      <w:r w:rsidRPr="003913E2">
        <w:t>damage;</w:t>
      </w:r>
    </w:p>
    <w:p w:rsidRPr="003913E2" w:rsidR="004C3673" w:rsidP="003913E2" w14:paraId="740553A2" w14:textId="77777777">
      <w:pPr>
        <w:pStyle w:val="JuListi"/>
        <w:numPr>
          <w:ilvl w:val="2"/>
          <w:numId w:val="5"/>
        </w:numPr>
      </w:pPr>
      <w:r w:rsidRPr="003913E2">
        <w:t xml:space="preserve">EUR 3,000 (three thousand euros), plus any tax that may be chargeable to the applicants, in respect of costs and </w:t>
      </w:r>
      <w:r w:rsidRPr="003913E2">
        <w:t>expenses;</w:t>
      </w:r>
    </w:p>
    <w:p w:rsidRPr="003913E2" w:rsidR="004C3673" w:rsidP="003913E2" w14:paraId="0B6669F0" w14:textId="77777777">
      <w:pPr>
        <w:pStyle w:val="JuLista"/>
        <w:numPr>
          <w:ilvl w:val="1"/>
          <w:numId w:val="5"/>
        </w:numPr>
      </w:pPr>
      <w:r w:rsidRPr="003913E2">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3913E2">
        <w:t>points;</w:t>
      </w:r>
    </w:p>
    <w:p w:rsidRPr="003913E2" w:rsidR="004D0EC7" w:rsidP="003913E2" w14:paraId="72FAC7DE" w14:textId="6F2A5149">
      <w:pPr>
        <w:pStyle w:val="JuList"/>
      </w:pPr>
      <w:r w:rsidRPr="003913E2">
        <w:rPr>
          <w:i/>
        </w:rPr>
        <w:t xml:space="preserve">Dismisses </w:t>
      </w:r>
      <w:r w:rsidRPr="003913E2">
        <w:t>the remainder of the applicant</w:t>
      </w:r>
      <w:r w:rsidRPr="003913E2" w:rsidR="003913E2">
        <w:t>’</w:t>
      </w:r>
      <w:r w:rsidRPr="003913E2">
        <w:t>s claim for just satisfaction.</w:t>
      </w:r>
    </w:p>
    <w:p w:rsidRPr="003913E2" w:rsidR="008E3A08" w:rsidP="003913E2" w14:paraId="19D28BE2" w14:textId="0A31E0BE">
      <w:pPr>
        <w:pStyle w:val="JuParaLast"/>
      </w:pPr>
      <w:r w:rsidRPr="003913E2">
        <w:t xml:space="preserve">Done in English, and notified in writing on </w:t>
      </w:r>
      <w:r w:rsidRPr="003913E2" w:rsidR="004C3673">
        <w:rPr>
          <w:rFonts w:ascii="Times New Roman" w:hAnsi="Times New Roman" w:cs="Times New Roman"/>
        </w:rPr>
        <w:t>20 June 2023</w:t>
      </w:r>
      <w:r w:rsidRPr="003913E2">
        <w:t>, pursuant to Rule 77 §§ 2 and 3 of the Rules of Court.</w:t>
      </w:r>
    </w:p>
    <w:p w:rsidRPr="003913E2" w:rsidR="00182EBA" w:rsidP="003913E2" w14:paraId="3587D38B" w14:textId="6899928D">
      <w:pPr>
        <w:pStyle w:val="JuSigned"/>
      </w:pPr>
      <w:r w:rsidRPr="003913E2">
        <w:tab/>
      </w:r>
      <w:r w:rsidRPr="003913E2" w:rsidR="00E31DCC">
        <w:rPr>
          <w:noProof/>
        </w:rPr>
        <w:t>Crina Kaufman</w:t>
      </w:r>
      <w:r w:rsidRPr="003913E2">
        <w:tab/>
      </w:r>
      <w:r w:rsidRPr="003913E2" w:rsidR="004C3673">
        <w:rPr>
          <w:noProof/>
        </w:rPr>
        <w:t>Faris Vehabović</w:t>
      </w:r>
      <w:r w:rsidRPr="003913E2">
        <w:br/>
      </w:r>
      <w:r w:rsidRPr="003913E2">
        <w:tab/>
      </w:r>
      <w:r w:rsidRPr="003913E2" w:rsidR="00E31DCC">
        <w:t xml:space="preserve">Acting </w:t>
      </w:r>
      <w:r w:rsidRPr="003913E2" w:rsidR="004C3673">
        <w:rPr>
          <w:noProof/>
        </w:rPr>
        <w:t>Deputy Registrar</w:t>
      </w:r>
      <w:r w:rsidRPr="003913E2">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673" w:rsidRPr="00150BFA" w:rsidP="0020718E" w14:paraId="38CAB4D3" w14:textId="284488C3">
    <w:pPr>
      <w:jc w:val="center"/>
    </w:pPr>
    <w:r>
      <w:rPr>
        <w:noProof/>
        <w:lang w:val="en-US"/>
      </w:rPr>
      <w:drawing>
        <wp:inline distT="0" distB="0" distL="0" distR="0">
          <wp:extent cx="771525" cy="619125"/>
          <wp:effectExtent l="0" t="0" r="9525" b="9525"/>
          <wp:docPr id="50" name="Picture 5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4C3673" w:rsidP="00AF12C5" w14:paraId="25AE8E23" w14:textId="0AB6F793">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673" w:rsidRPr="00150BFA" w:rsidP="0020718E" w14:paraId="26FA2FE5" w14:textId="48352980">
    <w:pPr>
      <w:jc w:val="center"/>
    </w:pPr>
    <w:r>
      <w:rPr>
        <w:noProof/>
        <w:lang w:val="en-US"/>
      </w:rPr>
      <w:drawing>
        <wp:inline distT="0" distB="0" distL="0" distR="0">
          <wp:extent cx="771525" cy="619125"/>
          <wp:effectExtent l="0" t="0" r="9525" b="9525"/>
          <wp:docPr id="48" name="Picture 4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4C3673" w:rsidP="009E7A6F" w14:paraId="1196617D" w14:textId="3C02885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4590D3A" w14:textId="15570473">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3F1FFD89" w14:textId="1D8BBBA4">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673" w:rsidRPr="00A45145" w:rsidP="00A45145" w14:paraId="595F8F39" w14:textId="3B54690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C3673" w:rsidP="00B14793" w14:paraId="7073D95E" w14:textId="355FE80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3673" w:rsidRPr="00A45145" w:rsidP="00A45145" w14:paraId="22D4216B" w14:textId="62260F20">
    <w:pPr>
      <w:jc w:val="center"/>
    </w:pPr>
    <w:r>
      <w:rPr>
        <w:noProof/>
        <w:lang w:val="en-US"/>
      </w:rPr>
      <w:drawing>
        <wp:inline distT="0" distB="0" distL="0" distR="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4C3673" w14:paraId="48FBB8A1" w14:textId="6312C54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1D1EDB6" w14:textId="68B549F5">
    <w:pPr>
      <w:pStyle w:val="JuHeader"/>
    </w:pPr>
    <w:r>
      <w:t>TEMEȘAN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1FA5A1A4" w14:textId="03D070BD">
    <w:pPr>
      <w:pStyle w:val="JuHeader"/>
    </w:pPr>
    <w:r>
      <w:t>TEMEȘAN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673"/>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13E2"/>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3673"/>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0E2F"/>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3881"/>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D77EE"/>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1DCC"/>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2733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4C3673"/>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2283</Words>
  <Characters>12623</Characters>
  <Application>Microsoft Office Word</Application>
  <DocSecurity>0</DocSecurity>
  <Lines>257</Lines>
  <Paragraphs>79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2023-06-16T07:54:00Z</dcterms:created>
  <dcterms:modified xsi:type="dcterms:W3CDTF">2023-06-16T07:57:00Z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1310370</vt:lpwstr>
  </property>
  <property fmtid="{D5CDD505-2E9C-101B-9397-08002B2CF9AE}" pid="3" name="cstLanguage">
    <vt:i4>2057</vt:i4>
  </property>
  <property fmtid="{D5CDD505-2E9C-101B-9397-08002B2CF9AE}" pid="4" name="RegisteredNo">
    <vt:lpwstr>37113/17</vt:lpwstr>
  </property>
</Properties>
</file>