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E67C74" w:rsidR="00CE4E3A" w:rsidP="00E67C74" w14:paraId="615AB607" w14:textId="77777777">
      <w:pPr>
        <w:jc w:val="center"/>
        <w:rPr>
          <w:rFonts w:ascii="Times New Roman" w:hAnsi="Times New Roman" w:cs="Times New Roman"/>
          <w:noProof/>
        </w:rPr>
      </w:pPr>
    </w:p>
    <w:p w:rsidRPr="00E67C74" w:rsidR="0098410D" w:rsidP="00E67C74" w14:paraId="4BED4248" w14:textId="77777777">
      <w:pPr>
        <w:jc w:val="center"/>
      </w:pPr>
    </w:p>
    <w:p w:rsidRPr="00E67C74" w:rsidR="0098410D" w:rsidP="00E67C74" w14:paraId="68149D65" w14:textId="48F971AA">
      <w:pPr>
        <w:pStyle w:val="DecHTitle"/>
      </w:pPr>
      <w:r w:rsidRPr="00E67C74">
        <w:t>SECOND SECTION</w:t>
      </w:r>
    </w:p>
    <w:p w:rsidRPr="00E67C74" w:rsidR="008E6217" w:rsidP="00E67C74" w14:paraId="79E71257" w14:textId="6ADC886F">
      <w:pPr>
        <w:pStyle w:val="JuTitle"/>
      </w:pPr>
      <w:r w:rsidRPr="00E67C74">
        <w:rPr>
          <w:color w:val="000000" w:themeColor="text1"/>
        </w:rPr>
        <w:t xml:space="preserve">CASE OF </w:t>
      </w:r>
      <w:r w:rsidRPr="00E67C74" w:rsidR="00CE4E3A">
        <w:t>CETINJA v. CROATIA</w:t>
      </w:r>
    </w:p>
    <w:p w:rsidRPr="00E67C74" w:rsidR="00D74888" w:rsidP="00E67C74" w14:paraId="30B78DF7" w14:textId="5F6FC1DD">
      <w:pPr>
        <w:pStyle w:val="ECHRCoverTitle4"/>
      </w:pPr>
      <w:r w:rsidRPr="00E67C74">
        <w:t>(</w:t>
      </w:r>
      <w:r w:rsidRPr="00E67C74" w:rsidR="00CE4E3A">
        <w:rPr>
          <w:noProof/>
        </w:rPr>
        <w:t>Application no.</w:t>
      </w:r>
      <w:r w:rsidRPr="00E67C74">
        <w:t xml:space="preserve"> </w:t>
      </w:r>
      <w:r w:rsidRPr="00E67C74" w:rsidR="00CE4E3A">
        <w:t>6959/17</w:t>
      </w:r>
      <w:r w:rsidRPr="00E67C74">
        <w:t>)</w:t>
      </w:r>
    </w:p>
    <w:p w:rsidRPr="00E67C74" w:rsidR="0098410D" w:rsidP="00E67C74" w14:paraId="0CCE0809" w14:textId="77777777">
      <w:pPr>
        <w:pStyle w:val="DecHCase"/>
      </w:pPr>
    </w:p>
    <w:p w:rsidRPr="00E67C74" w:rsidR="0098410D" w:rsidP="00E67C74" w14:paraId="571709CD" w14:textId="7F2D1382">
      <w:pPr>
        <w:pStyle w:val="DecHCase"/>
      </w:pPr>
    </w:p>
    <w:p w:rsidRPr="00E67C74" w:rsidR="003C3334" w:rsidP="00E67C74" w14:paraId="7F5271B6" w14:textId="77777777">
      <w:pPr>
        <w:pStyle w:val="JuPara"/>
      </w:pPr>
    </w:p>
    <w:p w:rsidRPr="00E67C74" w:rsidR="00AC4CD4" w:rsidP="00E67C74" w14:paraId="29DFD0B8" w14:textId="77777777">
      <w:pPr>
        <w:pStyle w:val="DecHCase"/>
      </w:pPr>
    </w:p>
    <w:p w:rsidRPr="00E67C74" w:rsidR="0098410D" w:rsidP="00E67C74" w14:paraId="0A56F51E" w14:textId="77777777">
      <w:pPr>
        <w:pStyle w:val="DecHCase"/>
      </w:pPr>
    </w:p>
    <w:p w:rsidRPr="00E67C74" w:rsidR="0098410D" w:rsidP="00E67C74" w14:paraId="4506444F" w14:textId="0B091585">
      <w:pPr>
        <w:pStyle w:val="DecHCase"/>
      </w:pPr>
      <w:r w:rsidRPr="00E67C74">
        <w:t>JUDGMENT</w:t>
      </w:r>
      <w:r w:rsidRPr="00E67C74" w:rsidR="00AC4CD4">
        <w:br/>
      </w:r>
    </w:p>
    <w:p w:rsidRPr="00E67C74" w:rsidR="003C3334" w:rsidP="00E67C74" w14:paraId="28B177DB" w14:textId="77777777">
      <w:pPr>
        <w:pStyle w:val="DecHCase"/>
      </w:pPr>
    </w:p>
    <w:p w:rsidRPr="00E67C74" w:rsidR="003C3334" w:rsidP="00E67C74" w14:paraId="011901D2" w14:textId="77777777">
      <w:pPr>
        <w:pStyle w:val="DecHCase"/>
      </w:pPr>
    </w:p>
    <w:p w:rsidRPr="00E67C74" w:rsidR="003C3334" w:rsidP="00E67C74" w14:paraId="18F9A442" w14:textId="77777777">
      <w:pPr>
        <w:pStyle w:val="DecHCase"/>
      </w:pPr>
    </w:p>
    <w:p w:rsidRPr="00E67C74" w:rsidR="003C3334" w:rsidP="00E67C74" w14:paraId="171441CD" w14:textId="77777777">
      <w:pPr>
        <w:pStyle w:val="DecHCase"/>
      </w:pPr>
    </w:p>
    <w:p w:rsidRPr="00E67C74" w:rsidR="0098410D" w:rsidP="00E67C74" w14:paraId="1C775E52" w14:textId="3C1F47DA">
      <w:pPr>
        <w:pStyle w:val="DecHCase"/>
      </w:pPr>
      <w:r w:rsidRPr="00E67C74">
        <w:t>STRASBOURG</w:t>
      </w:r>
    </w:p>
    <w:p w:rsidRPr="00E67C74" w:rsidR="0098410D" w:rsidP="00E67C74" w14:paraId="2A6A3E8A" w14:textId="5AA4B3DA">
      <w:pPr>
        <w:pStyle w:val="DecHCase"/>
      </w:pPr>
      <w:r w:rsidRPr="00E67C74">
        <w:rPr>
          <w:rFonts w:ascii="Times New Roman" w:hAnsi="Times New Roman" w:cs="Times New Roman"/>
        </w:rPr>
        <w:t>9 May 2023</w:t>
      </w:r>
    </w:p>
    <w:p w:rsidRPr="00E67C74" w:rsidR="00AC4CD4" w:rsidP="00E67C74" w14:paraId="48EE0A4D" w14:textId="77777777">
      <w:pPr>
        <w:pStyle w:val="JuPara"/>
      </w:pPr>
    </w:p>
    <w:p w:rsidRPr="00E67C74" w:rsidR="002422B6" w:rsidP="00E67C74" w14:paraId="6F0E0177" w14:textId="532054E2">
      <w:pPr>
        <w:rPr>
          <w:i/>
          <w:sz w:val="22"/>
        </w:rPr>
      </w:pPr>
      <w:r w:rsidRPr="00E67C74">
        <w:rPr>
          <w:i/>
          <w:sz w:val="22"/>
        </w:rPr>
        <w:t xml:space="preserve">This judgment </w:t>
      </w:r>
      <w:r w:rsidRPr="00E67C74" w:rsidR="00CE4E3A">
        <w:rPr>
          <w:i/>
          <w:noProof/>
          <w:sz w:val="22"/>
        </w:rPr>
        <w:t>is final but it</w:t>
      </w:r>
      <w:r w:rsidRPr="00E67C74">
        <w:rPr>
          <w:i/>
          <w:sz w:val="22"/>
        </w:rPr>
        <w:t xml:space="preserve"> may be subject to editorial revision.</w:t>
      </w:r>
    </w:p>
    <w:p w:rsidRPr="00E67C74" w:rsidR="0098410D" w:rsidP="00E67C74" w14:paraId="075B15BD"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67C74" w:rsidR="0098410D" w:rsidP="00E67C74" w14:paraId="4C5DAF87" w14:textId="3C87D262">
      <w:pPr>
        <w:pStyle w:val="JuCase"/>
      </w:pPr>
      <w:r w:rsidRPr="00E67C74">
        <w:t xml:space="preserve">In the case of </w:t>
      </w:r>
      <w:r w:rsidRPr="00E67C74" w:rsidR="00CE4E3A">
        <w:t>Cetinja</w:t>
      </w:r>
      <w:r w:rsidRPr="00E67C74" w:rsidR="00CE4E3A">
        <w:t xml:space="preserve"> v. Croatia</w:t>
      </w:r>
      <w:r w:rsidRPr="00E67C74">
        <w:t>,</w:t>
      </w:r>
    </w:p>
    <w:p w:rsidRPr="00E67C74" w:rsidR="009F4C8F" w:rsidP="00E67C74" w14:paraId="4123ACE7" w14:textId="3D190EA8">
      <w:pPr>
        <w:pStyle w:val="JuPara"/>
      </w:pPr>
      <w:r w:rsidRPr="00E67C74">
        <w:t>The European Court of Human Rights (</w:t>
      </w:r>
      <w:r w:rsidRPr="00E67C74" w:rsidR="00CE4E3A">
        <w:t>Second Section</w:t>
      </w:r>
      <w:r w:rsidRPr="00E67C74">
        <w:t xml:space="preserve">), sitting as a </w:t>
      </w:r>
      <w:r w:rsidRPr="00E67C74" w:rsidR="00CE4E3A">
        <w:rPr>
          <w:noProof/>
        </w:rPr>
        <w:t>Committee</w:t>
      </w:r>
      <w:r w:rsidRPr="00E67C74">
        <w:t xml:space="preserve"> composed of:</w:t>
      </w:r>
    </w:p>
    <w:p w:rsidRPr="00E67C74" w:rsidR="009F4C8F" w:rsidP="00E67C74" w14:paraId="10ACF21D" w14:textId="27CF15E2">
      <w:pPr>
        <w:pStyle w:val="JuJudges"/>
      </w:pPr>
      <w:r w:rsidRPr="00E67C74">
        <w:tab/>
        <w:t>Pauliine Koskelo</w:t>
      </w:r>
      <w:r w:rsidRPr="00E67C74">
        <w:rPr>
          <w:i/>
        </w:rPr>
        <w:t>, President</w:t>
      </w:r>
      <w:r w:rsidRPr="00E67C74">
        <w:t>,</w:t>
      </w:r>
      <w:r w:rsidRPr="00E67C74">
        <w:br/>
      </w:r>
      <w:r w:rsidRPr="00E67C74">
        <w:tab/>
        <w:t>Lorraine Schembri Orland,</w:t>
      </w:r>
      <w:r w:rsidRPr="00E67C74">
        <w:br/>
      </w:r>
      <w:r w:rsidRPr="00E67C74">
        <w:tab/>
        <w:t xml:space="preserve">Davor </w:t>
      </w:r>
      <w:r w:rsidRPr="00E67C74">
        <w:t>Derenčinović</w:t>
      </w:r>
      <w:r w:rsidRPr="00E67C74">
        <w:rPr>
          <w:i/>
        </w:rPr>
        <w:t>, judges</w:t>
      </w:r>
      <w:r w:rsidRPr="00E67C74">
        <w:t>,</w:t>
      </w:r>
      <w:r w:rsidRPr="00E67C74">
        <w:br/>
        <w:t xml:space="preserve">and </w:t>
      </w:r>
      <w:r w:rsidRPr="00E67C74" w:rsidR="00CE4E3A">
        <w:rPr>
          <w:noProof/>
        </w:rPr>
        <w:t>Dorothee von Arnim</w:t>
      </w:r>
      <w:r w:rsidRPr="00E67C74">
        <w:t xml:space="preserve">, </w:t>
      </w:r>
      <w:r w:rsidRPr="00E67C74" w:rsidR="00CE4E3A">
        <w:rPr>
          <w:i/>
          <w:noProof/>
        </w:rPr>
        <w:t xml:space="preserve">Deputy Section </w:t>
      </w:r>
      <w:r w:rsidRPr="00E67C74" w:rsidR="00CE4E3A">
        <w:rPr>
          <w:i/>
          <w:iCs/>
          <w:noProof/>
        </w:rPr>
        <w:t>Registrar</w:t>
      </w:r>
      <w:r w:rsidRPr="00E67C74">
        <w:rPr>
          <w:i/>
        </w:rPr>
        <w:t>,</w:t>
      </w:r>
    </w:p>
    <w:p w:rsidRPr="00E67C74" w:rsidR="00CE4E3A" w:rsidP="00E67C74" w14:paraId="55D0EDFE" w14:textId="77777777">
      <w:pPr>
        <w:pStyle w:val="JuPara"/>
      </w:pPr>
      <w:r w:rsidRPr="00E67C74">
        <w:t>Having regard to:</w:t>
      </w:r>
    </w:p>
    <w:p w:rsidRPr="00E67C74" w:rsidR="00CE4E3A" w:rsidP="00E67C74" w14:paraId="4B471099" w14:textId="2F91B9D2">
      <w:r w:rsidRPr="00E67C74">
        <w:t xml:space="preserve">the application (no. 6959/17) against the Republic of Croatia lodged with the Court under Article 34 of the Convention for the Protection of Human Rights and Fundamental Freedoms (“the Convention”) on 17 January 2017 by a Croatian national, Mr Aleksandar </w:t>
      </w:r>
      <w:r w:rsidRPr="00E67C74">
        <w:t>Cetinja</w:t>
      </w:r>
      <w:r w:rsidRPr="00E67C74">
        <w:t>, born in 1988 and living in Rijeka (“the applicant”), who was represented by Mr</w:t>
      </w:r>
      <w:r w:rsidRPr="00E67C74" w:rsidR="00E67C74">
        <w:t> </w:t>
      </w:r>
      <w:r w:rsidRPr="00E67C74">
        <w:t>E.</w:t>
      </w:r>
      <w:r w:rsidRPr="00E67C74" w:rsidR="00E67C74">
        <w:t> </w:t>
      </w:r>
      <w:r w:rsidRPr="00E67C74">
        <w:t>Bradamante</w:t>
      </w:r>
      <w:r w:rsidRPr="00E67C74">
        <w:t>, a lawyer practising in Rijeka;</w:t>
      </w:r>
    </w:p>
    <w:p w:rsidRPr="00E67C74" w:rsidR="00CE4E3A" w:rsidP="00E67C74" w14:paraId="0054A9EF" w14:textId="0291EB3B">
      <w:pPr>
        <w:pStyle w:val="JuPara"/>
      </w:pPr>
      <w:r w:rsidRPr="00E67C74">
        <w:t xml:space="preserve">the decision to give notice of the complaints concerning property, fairness of the proceedings and the principle of </w:t>
      </w:r>
      <w:r w:rsidRPr="00E67C74">
        <w:rPr>
          <w:i/>
          <w:iCs/>
        </w:rPr>
        <w:t>nullum</w:t>
      </w:r>
      <w:r w:rsidRPr="00E67C74">
        <w:rPr>
          <w:i/>
          <w:iCs/>
        </w:rPr>
        <w:t xml:space="preserve"> </w:t>
      </w:r>
      <w:r w:rsidRPr="00E67C74">
        <w:rPr>
          <w:i/>
          <w:iCs/>
        </w:rPr>
        <w:t>crimen</w:t>
      </w:r>
      <w:r w:rsidRPr="00E67C74">
        <w:rPr>
          <w:i/>
          <w:iCs/>
        </w:rPr>
        <w:t xml:space="preserve"> sine </w:t>
      </w:r>
      <w:r w:rsidRPr="00E67C74">
        <w:rPr>
          <w:i/>
          <w:iCs/>
        </w:rPr>
        <w:t>lege</w:t>
      </w:r>
      <w:r w:rsidRPr="00E67C74">
        <w:t xml:space="preserve"> to the Croatian Government (“the Government”), represented by their Agent, Ms</w:t>
      </w:r>
      <w:r w:rsidRPr="00E67C74" w:rsidR="00E67C74">
        <w:t> </w:t>
      </w:r>
      <w:r w:rsidRPr="00E67C74">
        <w:t>Š.</w:t>
      </w:r>
      <w:r w:rsidRPr="00E67C74" w:rsidR="00E67C74">
        <w:t> </w:t>
      </w:r>
      <w:r w:rsidRPr="00E67C74">
        <w:t>Stažnik</w:t>
      </w:r>
      <w:r w:rsidRPr="00E67C74">
        <w:t>, and to declare inadmissible the remainder of the application;</w:t>
      </w:r>
    </w:p>
    <w:p w:rsidRPr="00E67C74" w:rsidR="00CE4E3A" w:rsidP="00E67C74" w14:paraId="4B07DBF6" w14:textId="15A09192">
      <w:pPr>
        <w:pStyle w:val="JuPara"/>
      </w:pPr>
      <w:r w:rsidRPr="00E67C74">
        <w:t>the parties</w:t>
      </w:r>
      <w:r w:rsidRPr="00E67C74" w:rsidR="00E67C74">
        <w:t>’</w:t>
      </w:r>
      <w:r w:rsidRPr="00E67C74">
        <w:t xml:space="preserve"> observations;</w:t>
      </w:r>
    </w:p>
    <w:p w:rsidRPr="00E67C74" w:rsidR="00CE4E3A" w:rsidP="00E67C74" w14:paraId="078E57AB" w14:textId="77777777">
      <w:pPr>
        <w:pStyle w:val="JuPara"/>
      </w:pPr>
    </w:p>
    <w:p w:rsidRPr="00E67C74" w:rsidR="009F4C8F" w:rsidP="00E67C74" w14:paraId="7AC6012D" w14:textId="4E762153">
      <w:pPr>
        <w:pStyle w:val="JuPara"/>
      </w:pPr>
      <w:r w:rsidRPr="00E67C74">
        <w:t xml:space="preserve">Having deliberated in private on </w:t>
      </w:r>
      <w:r w:rsidRPr="00E67C74" w:rsidR="00CE4E3A">
        <w:t>11 April 2023</w:t>
      </w:r>
      <w:r w:rsidRPr="00E67C74">
        <w:t>,</w:t>
      </w:r>
    </w:p>
    <w:p w:rsidRPr="00E67C74" w:rsidR="009F4C8F" w:rsidP="00E67C74" w14:paraId="1928152F" w14:textId="77777777">
      <w:pPr>
        <w:pStyle w:val="JuPara"/>
      </w:pPr>
      <w:r w:rsidRPr="00E67C74">
        <w:t>Delivers the following judgment, which was adopted on that date:</w:t>
      </w:r>
    </w:p>
    <w:p w:rsidRPr="00E67C74" w:rsidR="00CE4E3A" w:rsidP="00E67C74" w14:paraId="31C16D0A" w14:textId="673358DD">
      <w:pPr>
        <w:pStyle w:val="JuHHead"/>
        <w:numPr>
          <w:ilvl w:val="0"/>
          <w:numId w:val="0"/>
        </w:numPr>
      </w:pPr>
      <w:r w:rsidRPr="00E67C74">
        <w:t>SUBJECT MATTER OF THE CASE</w:t>
      </w:r>
    </w:p>
    <w:p w:rsidRPr="00E67C74" w:rsidR="00CE4E3A" w:rsidP="00E67C74" w14:paraId="6480DE9D" w14:textId="4F4E2509">
      <w:pPr>
        <w:pStyle w:val="JuPara"/>
      </w:pPr>
      <w:r w:rsidRPr="00E67C74">
        <w:fldChar w:fldCharType="begin"/>
      </w:r>
      <w:r w:rsidRPr="00E67C74">
        <w:instrText xml:space="preserve"> SEQ level0 \*arabic \r1 </w:instrText>
      </w:r>
      <w:r w:rsidRPr="00E67C74">
        <w:fldChar w:fldCharType="separate"/>
      </w:r>
      <w:r w:rsidRPr="00E67C74" w:rsidR="00E67C74">
        <w:rPr>
          <w:noProof/>
        </w:rPr>
        <w:t>1</w:t>
      </w:r>
      <w:r w:rsidRPr="00E67C74">
        <w:fldChar w:fldCharType="end"/>
      </w:r>
      <w:r w:rsidRPr="00E67C74">
        <w:t>.  The case concerns the applicant</w:t>
      </w:r>
      <w:r w:rsidRPr="00E67C74" w:rsidR="00E67C74">
        <w:t>’</w:t>
      </w:r>
      <w:r w:rsidRPr="00E67C74">
        <w:t xml:space="preserve">s conviction for a minor offence which had become </w:t>
      </w:r>
      <w:r w:rsidRPr="00E67C74">
        <w:t>time-barred</w:t>
      </w:r>
      <w:r w:rsidRPr="00E67C74">
        <w:t>.</w:t>
      </w:r>
    </w:p>
    <w:bookmarkStart w:name="paragraph00002" w:id="0"/>
    <w:p w:rsidRPr="00E67C74" w:rsidR="00CE4E3A" w:rsidP="00E67C74" w14:paraId="3EE91FE7" w14:textId="7C1C30CE">
      <w:pPr>
        <w:pStyle w:val="JuPara"/>
      </w:pPr>
      <w:r w:rsidRPr="00E67C74">
        <w:fldChar w:fldCharType="begin"/>
      </w:r>
      <w:r w:rsidRPr="00E67C74">
        <w:instrText xml:space="preserve"> SEQ level0 \*arabic \* MERGEFORMAT </w:instrText>
      </w:r>
      <w:r w:rsidRPr="00E67C74">
        <w:fldChar w:fldCharType="separate"/>
      </w:r>
      <w:r w:rsidRPr="00E67C74" w:rsidR="00E67C74">
        <w:rPr>
          <w:noProof/>
        </w:rPr>
        <w:t>2</w:t>
      </w:r>
      <w:r w:rsidRPr="00E67C74">
        <w:fldChar w:fldCharType="end"/>
      </w:r>
      <w:bookmarkEnd w:id="0"/>
      <w:r w:rsidRPr="00E67C74">
        <w:t>.  On 28 August 2011, after an incident involving a physical altercation with another individual, the applicant, who was under the influence of alcohol, was brought to the local police station at 4 a.m. to sober up. He was kept there until at 9 a.m. when he was released.</w:t>
      </w:r>
    </w:p>
    <w:bookmarkStart w:name="paragraph00003" w:id="1"/>
    <w:p w:rsidRPr="00E67C74" w:rsidR="00CE4E3A" w:rsidP="00E67C74" w14:paraId="1079A5DB" w14:textId="460015FE">
      <w:pPr>
        <w:pStyle w:val="JuPara"/>
      </w:pPr>
      <w:r w:rsidRPr="00E67C74">
        <w:fldChar w:fldCharType="begin"/>
      </w:r>
      <w:r w:rsidRPr="00E67C74">
        <w:instrText xml:space="preserve"> SEQ level0 \*arabic \* MERGEFORMAT </w:instrText>
      </w:r>
      <w:r w:rsidRPr="00E67C74">
        <w:fldChar w:fldCharType="separate"/>
      </w:r>
      <w:r w:rsidRPr="00E67C74" w:rsidR="00E67C74">
        <w:rPr>
          <w:noProof/>
        </w:rPr>
        <w:t>3</w:t>
      </w:r>
      <w:r w:rsidRPr="00E67C74">
        <w:fldChar w:fldCharType="end"/>
      </w:r>
      <w:bookmarkEnd w:id="1"/>
      <w:r w:rsidRPr="00E67C74">
        <w:t xml:space="preserve">.  By a judgment of 12 October 2011, the </w:t>
      </w:r>
      <w:r w:rsidRPr="00E67C74">
        <w:t>Delnice</w:t>
      </w:r>
      <w:r w:rsidRPr="00E67C74">
        <w:t xml:space="preserve"> Minor Offences Court found the applicant guilty of a minor offence of breach of public peace and imposed a fine of 728 Croatian </w:t>
      </w:r>
      <w:r w:rsidRPr="00E67C74">
        <w:t>kunas</w:t>
      </w:r>
      <w:r w:rsidRPr="00E67C74">
        <w:t xml:space="preserve"> (HRK), that is, some 97 euros (EUR) at the time. However, the five hours the applicant spent in police custody were calculated as one day of imprisonment, which corresponded to HRK 300 and had to be deducted from the total amount of the fine. The applicant was therefore eventually ordered to pay a fine in the amount of HRK 428, that is, some EUR 57. He was also ordered to pay HRK 150 for the costs of the proceedings, that is, some EUR 20. The applicant paid that fine and the costs on 11 January 2017, together with HRK 75 as a fee charged by the domestic payment agency FINA for compulsory execution, that is, a total of HRK 645.63.</w:t>
      </w:r>
    </w:p>
    <w:p w:rsidRPr="00E67C74" w:rsidR="00CE4E3A" w:rsidP="00E67C74" w14:paraId="25DC7A3B" w14:textId="6C3E96B6">
      <w:pPr>
        <w:pStyle w:val="JuPara"/>
      </w:pPr>
      <w:r>
        <w:fldChar w:fldCharType="begin"/>
      </w:r>
      <w:r>
        <w:instrText xml:space="preserve"> SEQ level0 \*arabic \* MERGEFORMAT </w:instrText>
      </w:r>
      <w:r>
        <w:fldChar w:fldCharType="separate"/>
      </w:r>
      <w:bookmarkStart w:name="paragraph00004" w:id="2"/>
      <w:r w:rsidRPr="00E67C74">
        <w:rPr>
          <w:noProof/>
        </w:rPr>
        <w:t>4</w:t>
      </w:r>
      <w:bookmarkEnd w:id="2"/>
      <w:r>
        <w:fldChar w:fldCharType="end"/>
      </w:r>
      <w:r w:rsidRPr="00E67C74">
        <w:t>.  Meanwhile, on 31 October 2011 the applicant lodged an appeal against that judgment. His appeal was examined and dismissed by the judgment of the High Minor Offences Court on 27 May 2015, that is, more than three and a half years later. Furthermore, that judgment was served on him on 8 March 2016, that is, more than nine months from its adoption and more than four and a half years after the commission of the offence.</w:t>
      </w:r>
    </w:p>
    <w:bookmarkStart w:name="paragraph00005" w:id="3"/>
    <w:p w:rsidRPr="00E67C74" w:rsidR="00CE4E3A" w:rsidP="00E67C74" w14:paraId="164A01B4" w14:textId="1DA53EC2">
      <w:pPr>
        <w:pStyle w:val="JuPara"/>
      </w:pPr>
      <w:r w:rsidRPr="00E67C74">
        <w:fldChar w:fldCharType="begin"/>
      </w:r>
      <w:r w:rsidRPr="00E67C74">
        <w:instrText xml:space="preserve"> SEQ level0 \*arabic \* MERGEFORMAT </w:instrText>
      </w:r>
      <w:r w:rsidRPr="00E67C74">
        <w:fldChar w:fldCharType="separate"/>
      </w:r>
      <w:r w:rsidRPr="00E67C74" w:rsidR="00E67C74">
        <w:rPr>
          <w:noProof/>
        </w:rPr>
        <w:t>5</w:t>
      </w:r>
      <w:r w:rsidRPr="00E67C74">
        <w:fldChar w:fldCharType="end"/>
      </w:r>
      <w:bookmarkEnd w:id="3"/>
      <w:r w:rsidRPr="00E67C74">
        <w:t>.  The applicant then lodged a constitutional complaint in which he argued that the Minor Offences Act applicable at the relevant time provided for a two-year relative prescription period and a four-year absolute prescription period, both running from the moment of the commission of the offence. The relative prescription period could have been interrupted only by an action of the relevant authority in relation to the minor offence at issue. In case of such an interruption, the relative prescription period started to run anew. The applicant contended that the failure of the High Minor Offences Court to take any action within a period of three and a half years had resulted in the minor offence against him becoming time-barred pursuant to the cited relative prescription rule. In this regard he also relied on the relevant case</w:t>
      </w:r>
      <w:r w:rsidRPr="00E67C74" w:rsidR="00B37FE2">
        <w:noBreakHyphen/>
      </w:r>
      <w:r w:rsidRPr="00E67C74">
        <w:t>law of the Supreme Court and a decision of the Constitutional Court (see</w:t>
      </w:r>
      <w:r w:rsidRPr="00E67C74" w:rsidR="00B37FE2">
        <w:t> </w:t>
      </w:r>
      <w:r w:rsidRPr="00E67C74">
        <w:t xml:space="preserve">paragraphs </w:t>
      </w:r>
      <w:r w:rsidRPr="00E67C74">
        <w:fldChar w:fldCharType="begin"/>
      </w:r>
      <w:r w:rsidRPr="00E67C74">
        <w:instrText xml:space="preserve">REF paragraph00011 \h \* CharFormat </w:instrText>
      </w:r>
      <w:r w:rsidRPr="00E67C74">
        <w:fldChar w:fldCharType="separate"/>
      </w:r>
      <w:r w:rsidRPr="00E67C74" w:rsidR="00E67C74">
        <w:t>11</w:t>
      </w:r>
      <w:r w:rsidRPr="00E67C74">
        <w:fldChar w:fldCharType="end"/>
      </w:r>
      <w:r w:rsidRPr="00E67C74">
        <w:t>-</w:t>
      </w:r>
      <w:r w:rsidRPr="00E67C74">
        <w:fldChar w:fldCharType="begin"/>
      </w:r>
      <w:r w:rsidRPr="00E67C74">
        <w:instrText xml:space="preserve"> REF paragraph00012 \h  \* CharFormat </w:instrText>
      </w:r>
      <w:r w:rsidRPr="00E67C74">
        <w:fldChar w:fldCharType="separate"/>
      </w:r>
      <w:r w:rsidRPr="00E67C74" w:rsidR="00E67C74">
        <w:t>12</w:t>
      </w:r>
      <w:r w:rsidRPr="00E67C74">
        <w:fldChar w:fldCharType="end"/>
      </w:r>
      <w:r w:rsidRPr="00E67C74">
        <w:t xml:space="preserve"> below). The applicant also argued that the inordinate delay in the service of the High Minor Offences Court</w:t>
      </w:r>
      <w:r w:rsidRPr="00E67C74" w:rsidR="00E67C74">
        <w:t>’</w:t>
      </w:r>
      <w:r w:rsidRPr="00E67C74">
        <w:t>s judgment suggested that the judgment had been backdated to comply with the four-year absolute prescription period.</w:t>
      </w:r>
    </w:p>
    <w:p w:rsidRPr="00E67C74" w:rsidR="00CE4E3A" w:rsidP="00E67C74" w14:paraId="303008D2" w14:textId="034226C8">
      <w:pPr>
        <w:pStyle w:val="JuPara"/>
      </w:pPr>
      <w:r>
        <w:fldChar w:fldCharType="begin"/>
      </w:r>
      <w:r>
        <w:instrText xml:space="preserve"> SEQ level0 \*arabic \* MERGEFORMAT </w:instrText>
      </w:r>
      <w:r>
        <w:fldChar w:fldCharType="separate"/>
      </w:r>
      <w:bookmarkStart w:name="paragraph00006" w:id="4"/>
      <w:r w:rsidRPr="00E67C74">
        <w:rPr>
          <w:noProof/>
        </w:rPr>
        <w:t>6</w:t>
      </w:r>
      <w:bookmarkEnd w:id="4"/>
      <w:r>
        <w:fldChar w:fldCharType="end"/>
      </w:r>
      <w:r w:rsidRPr="00E67C74">
        <w:t>.  By a decision of 13 July 2016, the Constitutional Court, without addressing any of the applicant</w:t>
      </w:r>
      <w:r w:rsidRPr="00E67C74">
        <w:t>’</w:t>
      </w:r>
      <w:r w:rsidRPr="00E67C74">
        <w:t>s arguments, declared his constitutional complaint inadmissible holding that the case did not raise a constitutional issue. The decision was served on the applicant</w:t>
      </w:r>
      <w:r w:rsidRPr="00E67C74">
        <w:t>’</w:t>
      </w:r>
      <w:r w:rsidRPr="00E67C74">
        <w:t>s representative on 18</w:t>
      </w:r>
      <w:r w:rsidRPr="00E67C74">
        <w:t> </w:t>
      </w:r>
      <w:r w:rsidRPr="00E67C74">
        <w:t>July 2016.</w:t>
      </w:r>
    </w:p>
    <w:bookmarkStart w:name="paragraph00007" w:id="5"/>
    <w:p w:rsidRPr="00E67C74" w:rsidR="00CE4E3A" w:rsidP="00E67C74" w14:paraId="3DCF1D22" w14:textId="629F4AE5">
      <w:pPr>
        <w:pStyle w:val="JuPara"/>
      </w:pPr>
      <w:r w:rsidRPr="00E67C74">
        <w:fldChar w:fldCharType="begin"/>
      </w:r>
      <w:r w:rsidRPr="00E67C74">
        <w:instrText xml:space="preserve"> SEQ level0 \*arabic \* MERGEFORMAT </w:instrText>
      </w:r>
      <w:r w:rsidRPr="00E67C74">
        <w:fldChar w:fldCharType="separate"/>
      </w:r>
      <w:r w:rsidRPr="00E67C74" w:rsidR="00E67C74">
        <w:rPr>
          <w:noProof/>
        </w:rPr>
        <w:t>7</w:t>
      </w:r>
      <w:r w:rsidRPr="00E67C74">
        <w:fldChar w:fldCharType="end"/>
      </w:r>
      <w:bookmarkEnd w:id="5"/>
      <w:r w:rsidRPr="00E67C74">
        <w:t xml:space="preserve">.  For the reasons stated in paragraph </w:t>
      </w:r>
      <w:r w:rsidRPr="00E67C74">
        <w:fldChar w:fldCharType="begin"/>
      </w:r>
      <w:r w:rsidRPr="00E67C74">
        <w:instrText xml:space="preserve">REF paragraph00005 \h \* CharFormat </w:instrText>
      </w:r>
      <w:r w:rsidRPr="00E67C74">
        <w:fldChar w:fldCharType="separate"/>
      </w:r>
      <w:r w:rsidRPr="00E67C74" w:rsidR="00E67C74">
        <w:t>5</w:t>
      </w:r>
      <w:r w:rsidRPr="00E67C74">
        <w:fldChar w:fldCharType="end"/>
      </w:r>
      <w:r w:rsidRPr="00E67C74">
        <w:t xml:space="preserve"> above, the applicant complained, under Articles 6 and 7 of the Convention and Article 1 of Protocol No.</w:t>
      </w:r>
      <w:r w:rsidRPr="00E67C74" w:rsidR="00E67C74">
        <w:t> </w:t>
      </w:r>
      <w:r w:rsidRPr="00E67C74">
        <w:t>1 thereto, that he had been convicted of a minor offence and ordered to pay a fine although the offence at issue had become time-barred.</w:t>
      </w:r>
    </w:p>
    <w:p w:rsidRPr="00E67C74" w:rsidR="00CE4E3A" w:rsidP="00E67C74" w14:paraId="4D9D67B5" w14:textId="0C1E52CA">
      <w:pPr>
        <w:pStyle w:val="JuHHead"/>
      </w:pPr>
      <w:r w:rsidRPr="00E67C74">
        <w:t>THE COURT</w:t>
      </w:r>
      <w:r w:rsidRPr="00E67C74" w:rsidR="00E67C74">
        <w:t>’</w:t>
      </w:r>
      <w:r w:rsidRPr="00E67C74">
        <w:t>S ASSESSMENT</w:t>
      </w:r>
    </w:p>
    <w:p w:rsidRPr="00E67C74" w:rsidR="00CE4E3A" w:rsidP="00E67C74" w14:paraId="2AA07A19" w14:textId="77777777">
      <w:pPr>
        <w:pStyle w:val="JuHIRoman"/>
        <w:ind w:left="397" w:hanging="397"/>
      </w:pPr>
      <w:r w:rsidRPr="00E67C74">
        <w:t>ALLEGED VIOLATION OF ARTICLE 7 OF THE CONVENTION</w:t>
      </w:r>
    </w:p>
    <w:p w:rsidRPr="00E67C74" w:rsidR="00CE4E3A" w:rsidP="00E67C74" w14:paraId="6978E7C6" w14:textId="2B76C8E8">
      <w:pPr>
        <w:pStyle w:val="JuPara"/>
      </w:pPr>
      <w:r w:rsidRPr="00E67C74">
        <w:fldChar w:fldCharType="begin"/>
      </w:r>
      <w:r w:rsidRPr="00E67C74">
        <w:instrText xml:space="preserve"> SEQ level0 \*arabic </w:instrText>
      </w:r>
      <w:r w:rsidRPr="00E67C74">
        <w:fldChar w:fldCharType="separate"/>
      </w:r>
      <w:bookmarkStart w:name="paragraph00008" w:id="6"/>
      <w:r w:rsidRPr="00E67C74" w:rsidR="00E67C74">
        <w:rPr>
          <w:noProof/>
        </w:rPr>
        <w:t>8</w:t>
      </w:r>
      <w:bookmarkEnd w:id="6"/>
      <w:r w:rsidRPr="00E67C74">
        <w:fldChar w:fldCharType="end"/>
      </w:r>
      <w:r w:rsidRPr="00E67C74">
        <w:t>.  The Government submitted that, in view of the modest amount of the fine, the applicant had not suffered a significant disadvantage for the purposes of Article 35 § 3 (b) of the Convention.</w:t>
      </w:r>
    </w:p>
    <w:p w:rsidRPr="00E67C74" w:rsidR="00CE4E3A" w:rsidP="00E67C74" w14:paraId="5E6076D6" w14:textId="06D631BB">
      <w:pPr>
        <w:pStyle w:val="JuPara"/>
      </w:pPr>
      <w:r>
        <w:fldChar w:fldCharType="begin"/>
      </w:r>
      <w:r>
        <w:instrText xml:space="preserve"> SEQ level0 \*arabic \* MERGEFORMAT </w:instrText>
      </w:r>
      <w:r>
        <w:fldChar w:fldCharType="separate"/>
      </w:r>
      <w:r w:rsidRPr="00E67C74">
        <w:rPr>
          <w:noProof/>
        </w:rPr>
        <w:t>9</w:t>
      </w:r>
      <w:r w:rsidRPr="00E67C74">
        <w:rPr>
          <w:noProof/>
        </w:rPr>
        <w:fldChar w:fldCharType="end"/>
      </w:r>
      <w:r w:rsidRPr="00E67C74">
        <w:t>.  The Court finds that the question whether the case could be declared inadmissible for lack of a significant disadvantage is inextricably linked to the merits of this complaint and therefore joins it to the merits.</w:t>
      </w:r>
    </w:p>
    <w:p w:rsidRPr="00E67C74" w:rsidR="00CE4E3A" w:rsidP="00E67C74" w14:paraId="35BBDCC4" w14:textId="2CB751CF">
      <w:pPr>
        <w:pStyle w:val="JuPara"/>
      </w:pPr>
      <w:r>
        <w:fldChar w:fldCharType="begin"/>
      </w:r>
      <w:r>
        <w:instrText xml:space="preserve"> SEQ level0 \*arabic \* MERGEFORMAT </w:instrText>
      </w:r>
      <w:r>
        <w:fldChar w:fldCharType="separate"/>
      </w:r>
      <w:r w:rsidRPr="00E67C74">
        <w:rPr>
          <w:noProof/>
        </w:rPr>
        <w:t>10</w:t>
      </w:r>
      <w:r w:rsidRPr="00E67C74">
        <w:rPr>
          <w:noProof/>
        </w:rPr>
        <w:fldChar w:fldCharType="end"/>
      </w:r>
      <w:r w:rsidRPr="00E67C74">
        <w:t>.  The Court further notes that this complaint is not manifestly ill</w:t>
      </w:r>
      <w:r w:rsidRPr="00E67C74" w:rsidR="00C0159D">
        <w:noBreakHyphen/>
      </w:r>
      <w:r w:rsidRPr="00E67C74">
        <w:t>founded within the meaning of Article 35 § 3 (a) of the Convention or inadmissible on any other grounds. It must therefore be declared admissible.</w:t>
      </w:r>
    </w:p>
    <w:bookmarkStart w:name="paragraph00011" w:id="7"/>
    <w:p w:rsidRPr="00E67C74" w:rsidR="00CE4E3A" w:rsidP="00E67C74" w14:paraId="031109B3" w14:textId="111048DE">
      <w:pPr>
        <w:pStyle w:val="JuPara"/>
      </w:pPr>
      <w:r w:rsidRPr="00E67C74">
        <w:fldChar w:fldCharType="begin"/>
      </w:r>
      <w:r w:rsidRPr="00E67C74">
        <w:instrText xml:space="preserve"> SEQ level0 \*arabic \* MERGEFORMAT </w:instrText>
      </w:r>
      <w:r w:rsidRPr="00E67C74">
        <w:fldChar w:fldCharType="separate"/>
      </w:r>
      <w:r w:rsidRPr="00E67C74" w:rsidR="00E67C74">
        <w:rPr>
          <w:noProof/>
        </w:rPr>
        <w:t>11</w:t>
      </w:r>
      <w:r w:rsidRPr="00E67C74">
        <w:fldChar w:fldCharType="end"/>
      </w:r>
      <w:bookmarkEnd w:id="7"/>
      <w:r w:rsidRPr="00E67C74">
        <w:t xml:space="preserve">.  The Court notes that in the cases no. </w:t>
      </w:r>
      <w:r w:rsidRPr="00E67C74">
        <w:t>Kzz</w:t>
      </w:r>
      <w:r w:rsidRPr="00E67C74">
        <w:t xml:space="preserve"> 19/13-3 of 14</w:t>
      </w:r>
      <w:r w:rsidRPr="00E67C74" w:rsidR="00E67C74">
        <w:t> </w:t>
      </w:r>
      <w:r w:rsidRPr="00E67C74">
        <w:t xml:space="preserve">January 2014, </w:t>
      </w:r>
      <w:r w:rsidRPr="00E67C74">
        <w:t>Kzz</w:t>
      </w:r>
      <w:r w:rsidRPr="00E67C74">
        <w:t xml:space="preserve"> 17/15-3 of 8 April 2015, </w:t>
      </w:r>
      <w:r w:rsidRPr="00E67C74">
        <w:t>Kzz</w:t>
      </w:r>
      <w:r w:rsidRPr="00E67C74">
        <w:t xml:space="preserve"> 32/15-3 of 2 September 2015 and </w:t>
      </w:r>
      <w:r w:rsidRPr="00E67C74">
        <w:t>Kzz</w:t>
      </w:r>
      <w:r w:rsidRPr="00E67C74">
        <w:t> 42/15-3 of 3 November 2015 the Supreme Court established that the relative prescription period had expired because it had taken more than two or three years for the High Minor Offences Court to decide on appeals or objections lodged against first-instance decisions. It therefore allowed requests for the protection of legality lodged by the Principal State Attorney and overturned the judgments of the High Minor Offences Court and the decisions of the lower judicial or administrative authorities whereby the accused had been found guilty.</w:t>
      </w:r>
    </w:p>
    <w:p w:rsidRPr="00E67C74" w:rsidR="00CE4E3A" w:rsidP="00E67C74" w14:paraId="3FADB7DF" w14:textId="39CB7055">
      <w:pPr>
        <w:pStyle w:val="JuPara"/>
      </w:pPr>
      <w:r>
        <w:fldChar w:fldCharType="begin"/>
      </w:r>
      <w:r>
        <w:instrText xml:space="preserve"> SEQ level0 \*arabic \* MERGEFORMAT </w:instrText>
      </w:r>
      <w:r>
        <w:fldChar w:fldCharType="separate"/>
      </w:r>
      <w:bookmarkStart w:name="paragraph00012" w:id="8"/>
      <w:r w:rsidRPr="00E67C74">
        <w:rPr>
          <w:noProof/>
        </w:rPr>
        <w:t>12</w:t>
      </w:r>
      <w:bookmarkEnd w:id="8"/>
      <w:r>
        <w:fldChar w:fldCharType="end"/>
      </w:r>
      <w:r w:rsidRPr="00E67C74">
        <w:t>.  Similarly, in its decision U-III-4318/2013 of 17 February 2016 the Constitutional Court established that the relative statutory prescription period had expired because it had taken more than two years for the High Minor Offences Court to decide on the complainant</w:t>
      </w:r>
      <w:r w:rsidRPr="00E67C74">
        <w:t>’</w:t>
      </w:r>
      <w:r w:rsidRPr="00E67C74">
        <w:t>s appeal lodged against the first</w:t>
      </w:r>
      <w:r w:rsidRPr="00E67C74" w:rsidR="00E41769">
        <w:noBreakHyphen/>
      </w:r>
      <w:r w:rsidRPr="00E67C74">
        <w:t>instance decision. It therefore found a violation of the complainant</w:t>
      </w:r>
      <w:r w:rsidRPr="00E67C74">
        <w:t>’</w:t>
      </w:r>
      <w:r w:rsidRPr="00E67C74">
        <w:t>s right to a fair trial and quashed the High Minor Offences Court</w:t>
      </w:r>
      <w:r w:rsidRPr="00E67C74">
        <w:t>’</w:t>
      </w:r>
      <w:r w:rsidRPr="00E67C74">
        <w:t>s judgment whereby that court had dismissed the appeal and upheld the decision of the first-instance court finding the complainant guilty.</w:t>
      </w:r>
    </w:p>
    <w:p w:rsidRPr="00E67C74" w:rsidR="00CE4E3A" w:rsidP="00E67C74" w14:paraId="0673C76D" w14:textId="2296A826">
      <w:pPr>
        <w:pStyle w:val="JuPara"/>
      </w:pPr>
      <w:r>
        <w:fldChar w:fldCharType="begin"/>
      </w:r>
      <w:r>
        <w:instrText xml:space="preserve"> SEQ level0 \*arabic \* MERGEFORMAT </w:instrText>
      </w:r>
      <w:r>
        <w:fldChar w:fldCharType="separate"/>
      </w:r>
      <w:r w:rsidRPr="00E67C74">
        <w:rPr>
          <w:noProof/>
        </w:rPr>
        <w:t>13</w:t>
      </w:r>
      <w:r w:rsidRPr="00E67C74">
        <w:rPr>
          <w:noProof/>
        </w:rPr>
        <w:fldChar w:fldCharType="end"/>
      </w:r>
      <w:r w:rsidRPr="00E67C74">
        <w:t>.  Having regard to this case-law of the domestic courts, the Court finds it established that the relative statutory prescription period expired in the applicant</w:t>
      </w:r>
      <w:r w:rsidRPr="00E67C74">
        <w:t>’</w:t>
      </w:r>
      <w:r w:rsidRPr="00E67C74">
        <w:t xml:space="preserve">s case because it took more than three and a half years for the High Minor Offences Court to decide on his appeal (see paragraph </w:t>
      </w:r>
      <w:r w:rsidRPr="00E67C74">
        <w:fldChar w:fldCharType="begin"/>
      </w:r>
      <w:r w:rsidRPr="00E67C74">
        <w:instrText xml:space="preserve"> REF paragraph00004 \h  \* CharFormat </w:instrText>
      </w:r>
      <w:r w:rsidRPr="00E67C74">
        <w:fldChar w:fldCharType="separate"/>
      </w:r>
      <w:r w:rsidRPr="00E67C74">
        <w:t>4</w:t>
      </w:r>
      <w:r w:rsidRPr="00E67C74">
        <w:fldChar w:fldCharType="end"/>
      </w:r>
      <w:r w:rsidRPr="00E67C74">
        <w:t xml:space="preserve"> above). The Court therefore cannot accept the Government</w:t>
      </w:r>
      <w:r w:rsidRPr="00E67C74">
        <w:t>’</w:t>
      </w:r>
      <w:r w:rsidRPr="00E67C74">
        <w:t>s contention that the applicant</w:t>
      </w:r>
      <w:r w:rsidRPr="00E67C74">
        <w:t>’</w:t>
      </w:r>
      <w:r w:rsidRPr="00E67C74">
        <w:t>s arguments constituted one possible interpretation of the relative prescription rule and were thus of a fourth-instance nature.</w:t>
      </w:r>
    </w:p>
    <w:p w:rsidRPr="00E67C74" w:rsidR="00CE4E3A" w:rsidP="00E67C74" w14:paraId="22B649CF" w14:textId="5D65FCA4">
      <w:pPr>
        <w:pStyle w:val="JuPara"/>
      </w:pPr>
      <w:r>
        <w:fldChar w:fldCharType="begin"/>
      </w:r>
      <w:r>
        <w:instrText xml:space="preserve"> SEQ level0 \*arabic \* MERGEFORMAT </w:instrText>
      </w:r>
      <w:r>
        <w:fldChar w:fldCharType="separate"/>
      </w:r>
      <w:bookmarkStart w:name="paragraph00013" w:id="9"/>
      <w:r w:rsidRPr="00E67C74">
        <w:rPr>
          <w:noProof/>
        </w:rPr>
        <w:t>14</w:t>
      </w:r>
      <w:bookmarkEnd w:id="9"/>
      <w:r>
        <w:fldChar w:fldCharType="end"/>
      </w:r>
      <w:r w:rsidRPr="00E67C74">
        <w:t>.  The Court further reiterates that reviving criminal responsibility after the expiry of a limitation period is deemed incompatible with the overarching principles of legality (</w:t>
      </w:r>
      <w:r w:rsidRPr="00E67C74">
        <w:rPr>
          <w:i/>
          <w:iCs/>
        </w:rPr>
        <w:t>nullum</w:t>
      </w:r>
      <w:r w:rsidRPr="00E67C74">
        <w:rPr>
          <w:i/>
          <w:iCs/>
        </w:rPr>
        <w:t xml:space="preserve"> </w:t>
      </w:r>
      <w:r w:rsidRPr="00E67C74">
        <w:rPr>
          <w:i/>
          <w:iCs/>
        </w:rPr>
        <w:t>crimen</w:t>
      </w:r>
      <w:r w:rsidRPr="00E67C74">
        <w:rPr>
          <w:i/>
          <w:iCs/>
        </w:rPr>
        <w:t xml:space="preserve">, </w:t>
      </w:r>
      <w:r w:rsidRPr="00E67C74">
        <w:rPr>
          <w:i/>
          <w:iCs/>
        </w:rPr>
        <w:t>nulla</w:t>
      </w:r>
      <w:r w:rsidRPr="00E67C74">
        <w:rPr>
          <w:i/>
          <w:iCs/>
        </w:rPr>
        <w:t xml:space="preserve"> </w:t>
      </w:r>
      <w:r w:rsidRPr="00E67C74">
        <w:rPr>
          <w:i/>
          <w:iCs/>
        </w:rPr>
        <w:t>poena</w:t>
      </w:r>
      <w:r w:rsidRPr="00E67C74">
        <w:rPr>
          <w:i/>
          <w:iCs/>
        </w:rPr>
        <w:t xml:space="preserve"> sine </w:t>
      </w:r>
      <w:r w:rsidRPr="00E67C74">
        <w:rPr>
          <w:i/>
          <w:iCs/>
        </w:rPr>
        <w:t>lege</w:t>
      </w:r>
      <w:r w:rsidRPr="00E67C74">
        <w:t xml:space="preserve">) and foreseeability enshrined in Article 7 (see </w:t>
      </w:r>
      <w:r w:rsidRPr="00E67C74">
        <w:rPr>
          <w:bCs/>
          <w:i/>
          <w:iCs/>
        </w:rPr>
        <w:t xml:space="preserve">Advisory opinion on the applicability of statutes of limitation to prosecution, conviction and punishment in respect of an offence constituting, in substance, an act of torture </w:t>
      </w:r>
      <w:r w:rsidRPr="00E67C74">
        <w:t>[GC], request no. P16-2021-001, Armenian Court of Cassation, §</w:t>
      </w:r>
      <w:r w:rsidR="006927C2">
        <w:t> </w:t>
      </w:r>
      <w:r w:rsidRPr="00E67C74">
        <w:t xml:space="preserve">77, 26 April 2022; and </w:t>
      </w:r>
      <w:r w:rsidRPr="00E67C74">
        <w:rPr>
          <w:i/>
        </w:rPr>
        <w:t>Antia</w:t>
      </w:r>
      <w:r w:rsidRPr="00E67C74">
        <w:rPr>
          <w:i/>
        </w:rPr>
        <w:t xml:space="preserve"> and </w:t>
      </w:r>
      <w:r w:rsidRPr="00E67C74">
        <w:rPr>
          <w:i/>
        </w:rPr>
        <w:t>Khupenia</w:t>
      </w:r>
      <w:r w:rsidRPr="00E67C74">
        <w:rPr>
          <w:i/>
        </w:rPr>
        <w:t xml:space="preserve"> v. Georgia</w:t>
      </w:r>
      <w:r w:rsidRPr="00E67C74">
        <w:t>, no. 7523/10, §§</w:t>
      </w:r>
      <w:r w:rsidRPr="00E67C74">
        <w:t> </w:t>
      </w:r>
      <w:r w:rsidRPr="00E67C74">
        <w:t>38-43, 18 June 2020).</w:t>
      </w:r>
      <w:r w:rsidRPr="00E67C74">
        <w:rPr>
          <w:bCs/>
          <w:i/>
          <w:iCs/>
        </w:rPr>
        <w:t xml:space="preserve"> </w:t>
      </w:r>
      <w:r w:rsidRPr="00E67C74">
        <w:t xml:space="preserve">In other words, where a criminal offence under domestic law is subject to a statute of </w:t>
      </w:r>
      <w:r w:rsidRPr="00E67C74">
        <w:t>limitation, and</w:t>
      </w:r>
      <w:r w:rsidRPr="00E67C74">
        <w:t xml:space="preserve"> becomes time-barred so as to exclude criminal responsibility, Article 7 precludes the revival of a prosecution in respect of such an offence on account of the absence of a valid legal basis. To hold otherwise would be tantamount to accepting the retrospective application of the criminal law to an accused</w:t>
      </w:r>
      <w:r w:rsidRPr="00E67C74">
        <w:t>’</w:t>
      </w:r>
      <w:r w:rsidRPr="00E67C74">
        <w:t>s disadvantage (ibid.).</w:t>
      </w:r>
    </w:p>
    <w:p w:rsidRPr="00E67C74" w:rsidR="00CE4E3A" w:rsidP="00E67C74" w14:paraId="463A604B" w14:textId="470251F4">
      <w:pPr>
        <w:pStyle w:val="JuPara"/>
      </w:pPr>
      <w:r>
        <w:fldChar w:fldCharType="begin"/>
      </w:r>
      <w:r>
        <w:instrText xml:space="preserve"> SEQ level0 \*arabic \* MERGEFORMAT </w:instrText>
      </w:r>
      <w:r>
        <w:fldChar w:fldCharType="separate"/>
      </w:r>
      <w:bookmarkStart w:name="paragraph00015" w:id="10"/>
      <w:r w:rsidRPr="00E67C74">
        <w:rPr>
          <w:noProof/>
        </w:rPr>
        <w:t>15</w:t>
      </w:r>
      <w:bookmarkEnd w:id="10"/>
      <w:r>
        <w:fldChar w:fldCharType="end"/>
      </w:r>
      <w:r w:rsidRPr="00E67C74">
        <w:t xml:space="preserve">.  In view of the foregoing (see paragraphs </w:t>
      </w:r>
      <w:r w:rsidRPr="00E67C74">
        <w:fldChar w:fldCharType="begin"/>
      </w:r>
      <w:r w:rsidRPr="00E67C74">
        <w:instrText xml:space="preserve">REF paragraph00011 \h \* CharFormat </w:instrText>
      </w:r>
      <w:r w:rsidRPr="00E67C74">
        <w:fldChar w:fldCharType="separate"/>
      </w:r>
      <w:r w:rsidRPr="00E67C74">
        <w:t>11</w:t>
      </w:r>
      <w:r w:rsidRPr="00E67C74">
        <w:fldChar w:fldCharType="end"/>
      </w:r>
      <w:r w:rsidRPr="00E67C74">
        <w:t>-</w:t>
      </w:r>
      <w:r w:rsidRPr="00E67C74">
        <w:fldChar w:fldCharType="begin"/>
      </w:r>
      <w:r w:rsidRPr="00E67C74">
        <w:instrText xml:space="preserve"> REF paragraph00013 \h  \* CharFormat </w:instrText>
      </w:r>
      <w:r w:rsidRPr="00E67C74">
        <w:fldChar w:fldCharType="separate"/>
      </w:r>
      <w:r w:rsidRPr="00E67C74">
        <w:t>14</w:t>
      </w:r>
      <w:r w:rsidRPr="00E67C74">
        <w:fldChar w:fldCharType="end"/>
      </w:r>
      <w:r w:rsidRPr="00E67C74">
        <w:t xml:space="preserve"> above), the Court finds that there was no valid legal basis for the applicant</w:t>
      </w:r>
      <w:r w:rsidRPr="00E67C74">
        <w:t>’</w:t>
      </w:r>
      <w:r w:rsidRPr="00E67C74">
        <w:t>s conviction and punishment in the present case.</w:t>
      </w:r>
    </w:p>
    <w:p w:rsidRPr="00E67C74" w:rsidR="00CE4E3A" w:rsidP="00E67C74" w14:paraId="488CEBC5" w14:textId="6CB5DCDE">
      <w:pPr>
        <w:pStyle w:val="JuPara"/>
      </w:pPr>
      <w:r>
        <w:fldChar w:fldCharType="begin"/>
      </w:r>
      <w:r>
        <w:instrText xml:space="preserve"> SEQ level0 \*arabic \* MERGEFORMAT </w:instrText>
      </w:r>
      <w:r>
        <w:fldChar w:fldCharType="separate"/>
      </w:r>
      <w:bookmarkStart w:name="paragraph00016" w:id="11"/>
      <w:r w:rsidRPr="00E67C74">
        <w:rPr>
          <w:noProof/>
        </w:rPr>
        <w:t>16</w:t>
      </w:r>
      <w:bookmarkEnd w:id="11"/>
      <w:r>
        <w:fldChar w:fldCharType="end"/>
      </w:r>
      <w:r w:rsidRPr="00E67C74">
        <w:t>.  As for the Government</w:t>
      </w:r>
      <w:r w:rsidRPr="00E67C74">
        <w:t>’</w:t>
      </w:r>
      <w:r w:rsidRPr="00E67C74">
        <w:t xml:space="preserve">s objection based on the lack of a significant disadvantage (see paragraph </w:t>
      </w:r>
      <w:r w:rsidRPr="00E67C74">
        <w:fldChar w:fldCharType="begin"/>
      </w:r>
      <w:r w:rsidRPr="00E67C74">
        <w:instrText xml:space="preserve"> REF paragraph00008 \h  \* CharFormat </w:instrText>
      </w:r>
      <w:r w:rsidRPr="00E67C74">
        <w:fldChar w:fldCharType="separate"/>
      </w:r>
      <w:r w:rsidRPr="00E67C74">
        <w:t>8</w:t>
      </w:r>
      <w:r w:rsidRPr="00E67C74">
        <w:fldChar w:fldCharType="end"/>
      </w:r>
      <w:r w:rsidRPr="00E67C74">
        <w:t xml:space="preserve"> above), the Court notes that, in addition to the High Minor Offences Court</w:t>
      </w:r>
      <w:r w:rsidRPr="00E67C74">
        <w:t>’</w:t>
      </w:r>
      <w:r w:rsidRPr="00E67C74">
        <w:t>s failure to observe the relative statutory prescription period, the Constitutional Court did not reply to the applicant</w:t>
      </w:r>
      <w:r w:rsidRPr="00E67C74">
        <w:t>’</w:t>
      </w:r>
      <w:r w:rsidRPr="00E67C74">
        <w:t xml:space="preserve">s argument pointing to that error (see paragraphs </w:t>
      </w:r>
      <w:r w:rsidRPr="00E67C74">
        <w:fldChar w:fldCharType="begin"/>
      </w:r>
      <w:r w:rsidRPr="00E67C74">
        <w:instrText xml:space="preserve"> REF paragraph00005 \h  \* CharFormat </w:instrText>
      </w:r>
      <w:r w:rsidRPr="00E67C74">
        <w:fldChar w:fldCharType="separate"/>
      </w:r>
      <w:r w:rsidRPr="00E67C74">
        <w:t>5</w:t>
      </w:r>
      <w:r w:rsidRPr="00E67C74">
        <w:fldChar w:fldCharType="end"/>
      </w:r>
      <w:r w:rsidRPr="00E67C74">
        <w:t>-</w:t>
      </w:r>
      <w:r w:rsidRPr="00E67C74">
        <w:fldChar w:fldCharType="begin"/>
      </w:r>
      <w:r w:rsidRPr="00E67C74">
        <w:instrText xml:space="preserve"> REF paragraph00006 \h  \* CharFormat </w:instrText>
      </w:r>
      <w:r w:rsidRPr="00E67C74">
        <w:fldChar w:fldCharType="separate"/>
      </w:r>
      <w:r w:rsidRPr="00E67C74">
        <w:t>6</w:t>
      </w:r>
      <w:r w:rsidRPr="00E67C74">
        <w:fldChar w:fldCharType="end"/>
      </w:r>
      <w:r w:rsidRPr="00E67C74">
        <w:t xml:space="preserve"> above). What is particularly striking is that the Constitutional Court did not do so even though the applicant in his constitutional complaint explicitly relied on the relevant case-law of the Supreme Court and on the Constitutional Court</w:t>
      </w:r>
      <w:r w:rsidRPr="00E67C74">
        <w:t>’</w:t>
      </w:r>
      <w:r w:rsidRPr="00E67C74">
        <w:t>s decision adopted only five months before that court</w:t>
      </w:r>
      <w:r w:rsidRPr="00E67C74">
        <w:t>’</w:t>
      </w:r>
      <w:r w:rsidRPr="00E67C74">
        <w:t>s decision in his case (see</w:t>
      </w:r>
      <w:r w:rsidRPr="00E67C74" w:rsidR="00392967">
        <w:t> </w:t>
      </w:r>
      <w:r w:rsidRPr="00E67C74">
        <w:t xml:space="preserve">paragraphs </w:t>
      </w:r>
      <w:r w:rsidRPr="00E67C74">
        <w:fldChar w:fldCharType="begin"/>
      </w:r>
      <w:r w:rsidRPr="00E67C74">
        <w:instrText xml:space="preserve"> REF paragraph00005 \h  \* CharFormat </w:instrText>
      </w:r>
      <w:r w:rsidRPr="00E67C74">
        <w:fldChar w:fldCharType="separate"/>
      </w:r>
      <w:r w:rsidRPr="00E67C74">
        <w:t>5</w:t>
      </w:r>
      <w:r w:rsidRPr="00E67C74">
        <w:fldChar w:fldCharType="end"/>
      </w:r>
      <w:r w:rsidRPr="00E67C74">
        <w:t>-</w:t>
      </w:r>
      <w:r w:rsidRPr="00E67C74">
        <w:fldChar w:fldCharType="begin"/>
      </w:r>
      <w:r w:rsidRPr="00E67C74">
        <w:instrText xml:space="preserve"> REF paragraph00006 \h  \* CharFormat </w:instrText>
      </w:r>
      <w:r w:rsidRPr="00E67C74">
        <w:fldChar w:fldCharType="separate"/>
      </w:r>
      <w:r w:rsidRPr="00E67C74">
        <w:t>6</w:t>
      </w:r>
      <w:r w:rsidRPr="00E67C74">
        <w:fldChar w:fldCharType="end"/>
      </w:r>
      <w:r w:rsidRPr="00E67C74">
        <w:t xml:space="preserve"> and </w:t>
      </w:r>
      <w:r w:rsidRPr="00E67C74">
        <w:fldChar w:fldCharType="begin"/>
      </w:r>
      <w:r w:rsidRPr="00E67C74">
        <w:instrText xml:space="preserve"> REF paragraph00012 \h  \* CharFormat </w:instrText>
      </w:r>
      <w:r w:rsidRPr="00E67C74">
        <w:fldChar w:fldCharType="separate"/>
      </w:r>
      <w:r w:rsidRPr="00E67C74">
        <w:t>12</w:t>
      </w:r>
      <w:r w:rsidRPr="00E67C74">
        <w:fldChar w:fldCharType="end"/>
      </w:r>
      <w:r w:rsidRPr="00E67C74">
        <w:t xml:space="preserve"> above).</w:t>
      </w:r>
    </w:p>
    <w:p w:rsidRPr="00E67C74" w:rsidR="00CE4E3A" w:rsidP="00E67C74" w14:paraId="613DCC31" w14:textId="2E943AE9">
      <w:pPr>
        <w:pStyle w:val="JuPara"/>
      </w:pPr>
      <w:r>
        <w:fldChar w:fldCharType="begin"/>
      </w:r>
      <w:r>
        <w:instrText xml:space="preserve"> SEQ level0 \*arabic \* MERGEFORMAT </w:instrText>
      </w:r>
      <w:r>
        <w:fldChar w:fldCharType="separate"/>
      </w:r>
      <w:r w:rsidRPr="00E67C74">
        <w:rPr>
          <w:noProof/>
        </w:rPr>
        <w:t>17</w:t>
      </w:r>
      <w:r w:rsidRPr="00E67C74">
        <w:rPr>
          <w:noProof/>
        </w:rPr>
        <w:fldChar w:fldCharType="end"/>
      </w:r>
      <w:r w:rsidRPr="00E67C74">
        <w:t xml:space="preserve">.  The Court finds this element important for the examination of the criteria for finding a lack of a significant disadvantage (see for the applicable principles </w:t>
      </w:r>
      <w:r w:rsidRPr="00E67C74">
        <w:rPr>
          <w:i/>
          <w:iCs/>
        </w:rPr>
        <w:t xml:space="preserve">Korolev v. Russia </w:t>
      </w:r>
      <w:r w:rsidRPr="00E67C74">
        <w:t xml:space="preserve">(dec.), no. 25551/05, ECHR 2010, and </w:t>
      </w:r>
      <w:r w:rsidRPr="00E67C74">
        <w:rPr>
          <w:i/>
          <w:iCs/>
        </w:rPr>
        <w:t>Bartolo</w:t>
      </w:r>
      <w:r w:rsidRPr="00E67C74">
        <w:rPr>
          <w:i/>
          <w:iCs/>
        </w:rPr>
        <w:t xml:space="preserve"> v. Malta</w:t>
      </w:r>
      <w:r w:rsidRPr="00E67C74">
        <w:t xml:space="preserve"> (dec.), no. 40761/19, § 22, 7 September 2021). </w:t>
      </w:r>
      <w:r w:rsidRPr="00E67C74">
        <w:t>Despite the fact that</w:t>
      </w:r>
      <w:r w:rsidRPr="00E67C74">
        <w:t xml:space="preserve"> the guarantee enshrined in Article 7, which is an essential element of the rule of law, occupies a prominent place in the Convention system, the Court has already declared inadmissible for lack of a significant disadvantage a case in which a violation of that Article had been alleged (see </w:t>
      </w:r>
      <w:r w:rsidRPr="00E67C74">
        <w:rPr>
          <w:i/>
          <w:iCs/>
        </w:rPr>
        <w:t>Bartolo</w:t>
      </w:r>
      <w:r w:rsidRPr="00E67C74">
        <w:t xml:space="preserve">, cited above, §§ 22-29). The Court held that, bearing in mind, </w:t>
      </w:r>
      <w:r w:rsidRPr="00E67C74">
        <w:rPr>
          <w:i/>
          <w:iCs/>
        </w:rPr>
        <w:t>inter alia</w:t>
      </w:r>
      <w:r w:rsidRPr="00E67C74">
        <w:t>, the subject matter of the offence (the electronic identification of dogs), in the specific circumstances of that case the complaint under Article</w:t>
      </w:r>
      <w:r w:rsidR="006927C2">
        <w:t> </w:t>
      </w:r>
      <w:r w:rsidRPr="00E67C74">
        <w:t>7 of the Convention did not concern an important question of principle.</w:t>
      </w:r>
    </w:p>
    <w:p w:rsidRPr="00E67C74" w:rsidR="00CE4E3A" w:rsidP="00E67C74" w14:paraId="1ACF55A9" w14:textId="489A3E38">
      <w:pPr>
        <w:pStyle w:val="JuPara"/>
      </w:pPr>
      <w:r>
        <w:fldChar w:fldCharType="begin"/>
      </w:r>
      <w:r>
        <w:instrText xml:space="preserve"> SEQ level0 \*arabic \* MERGEFORMAT </w:instrText>
      </w:r>
      <w:r>
        <w:fldChar w:fldCharType="separate"/>
      </w:r>
      <w:r w:rsidRPr="00E67C74">
        <w:rPr>
          <w:noProof/>
        </w:rPr>
        <w:t>18</w:t>
      </w:r>
      <w:r w:rsidRPr="00E67C74">
        <w:rPr>
          <w:noProof/>
        </w:rPr>
        <w:fldChar w:fldCharType="end"/>
      </w:r>
      <w:r w:rsidRPr="00E67C74">
        <w:t xml:space="preserve">.  However, in the present case, taking into account that the object and purpose of Article 7 is to provide effective safeguards against arbitrary prosecution, conviction or punishment (see </w:t>
      </w:r>
      <w:r w:rsidRPr="00E67C74">
        <w:rPr>
          <w:i/>
        </w:rPr>
        <w:t>Vasiliauskas</w:t>
      </w:r>
      <w:r w:rsidRPr="00E67C74">
        <w:rPr>
          <w:i/>
        </w:rPr>
        <w:t xml:space="preserve"> v.</w:t>
      </w:r>
      <w:r w:rsidRPr="00E67C74">
        <w:rPr>
          <w:i/>
        </w:rPr>
        <w:t> </w:t>
      </w:r>
      <w:r w:rsidRPr="00E67C74">
        <w:rPr>
          <w:i/>
        </w:rPr>
        <w:t>Lithuania</w:t>
      </w:r>
      <w:r w:rsidRPr="00E67C74">
        <w:t xml:space="preserve"> [GC], no. 35343/05, § 153, ECHR 2015), the Court considers that the Constitutional Court</w:t>
      </w:r>
      <w:r w:rsidRPr="00E67C74">
        <w:t>’</w:t>
      </w:r>
      <w:r w:rsidRPr="00E67C74">
        <w:t>s failure to address the applicant</w:t>
      </w:r>
      <w:r w:rsidRPr="00E67C74">
        <w:t>’</w:t>
      </w:r>
      <w:r w:rsidRPr="00E67C74">
        <w:t xml:space="preserve">s argument (see paragraph </w:t>
      </w:r>
      <w:r w:rsidRPr="00E67C74">
        <w:fldChar w:fldCharType="begin"/>
      </w:r>
      <w:r w:rsidRPr="00E67C74">
        <w:instrText xml:space="preserve"> REF paragraph00016 \h  \* CharFormat </w:instrText>
      </w:r>
      <w:r w:rsidRPr="00E67C74">
        <w:fldChar w:fldCharType="separate"/>
      </w:r>
      <w:r w:rsidRPr="00E67C74">
        <w:t>16</w:t>
      </w:r>
      <w:r w:rsidRPr="00E67C74">
        <w:fldChar w:fldCharType="end"/>
      </w:r>
      <w:r w:rsidRPr="00E67C74">
        <w:t xml:space="preserve"> above) further exacerbated the existing breach of the principle of legality committed by the High Minor Offences Court, giving it an even more serious character.</w:t>
      </w:r>
    </w:p>
    <w:p w:rsidRPr="00E67C74" w:rsidR="00CE4E3A" w:rsidP="00E67C74" w14:paraId="1F15F06A" w14:textId="39AF89F7">
      <w:pPr>
        <w:pStyle w:val="JuPara"/>
      </w:pPr>
      <w:r>
        <w:fldChar w:fldCharType="begin"/>
      </w:r>
      <w:r>
        <w:instrText xml:space="preserve"> SEQ level0 \*arabic \* MERGEFORMAT </w:instrText>
      </w:r>
      <w:r>
        <w:fldChar w:fldCharType="separate"/>
      </w:r>
      <w:r w:rsidRPr="00E67C74">
        <w:rPr>
          <w:noProof/>
        </w:rPr>
        <w:t>19</w:t>
      </w:r>
      <w:r w:rsidRPr="00E67C74">
        <w:rPr>
          <w:noProof/>
        </w:rPr>
        <w:fldChar w:fldCharType="end"/>
      </w:r>
      <w:r w:rsidRPr="00E67C74">
        <w:t>.  The Court therefore finds that the respect for human rights, as defined in the Convention and the Protocols thereto, requires an examination of this complaint on the merits. The Government</w:t>
      </w:r>
      <w:r w:rsidRPr="00E67C74">
        <w:t>’</w:t>
      </w:r>
      <w:r w:rsidRPr="00E67C74">
        <w:t>s inadmissibility objection based on the lack of a significant disadvantage must therefore be rejected.</w:t>
      </w:r>
    </w:p>
    <w:p w:rsidRPr="00E67C74" w:rsidR="00CE4E3A" w:rsidP="00E67C74" w14:paraId="27B4D8F1" w14:textId="273181B2">
      <w:pPr>
        <w:pStyle w:val="JuPara"/>
      </w:pPr>
      <w:r w:rsidRPr="00E67C74">
        <w:fldChar w:fldCharType="begin"/>
      </w:r>
      <w:r w:rsidRPr="00E67C74">
        <w:instrText xml:space="preserve"> SEQ level0 \*arabic </w:instrText>
      </w:r>
      <w:r w:rsidRPr="00E67C74">
        <w:fldChar w:fldCharType="separate"/>
      </w:r>
      <w:r w:rsidRPr="00E67C74" w:rsidR="00E67C74">
        <w:rPr>
          <w:noProof/>
        </w:rPr>
        <w:t>20</w:t>
      </w:r>
      <w:r w:rsidRPr="00E67C74">
        <w:fldChar w:fldCharType="end"/>
      </w:r>
      <w:r w:rsidRPr="00E67C74">
        <w:t xml:space="preserve">.  Having regard to its findings above (see paragraphs </w:t>
      </w:r>
      <w:r w:rsidRPr="00E67C74">
        <w:fldChar w:fldCharType="begin"/>
      </w:r>
      <w:r w:rsidRPr="00E67C74">
        <w:instrText xml:space="preserve"> REF paragraph00011 \h  \* CharFormat </w:instrText>
      </w:r>
      <w:r w:rsidRPr="00E67C74">
        <w:fldChar w:fldCharType="separate"/>
      </w:r>
      <w:r w:rsidRPr="00E67C74" w:rsidR="00E67C74">
        <w:t>11</w:t>
      </w:r>
      <w:r w:rsidRPr="00E67C74">
        <w:fldChar w:fldCharType="end"/>
      </w:r>
      <w:r w:rsidRPr="00E67C74">
        <w:t>-</w:t>
      </w:r>
      <w:r w:rsidRPr="00E67C74">
        <w:fldChar w:fldCharType="begin"/>
      </w:r>
      <w:r w:rsidRPr="00E67C74">
        <w:instrText xml:space="preserve"> REF paragraph00015 \h  \* CharFormat </w:instrText>
      </w:r>
      <w:r w:rsidRPr="00E67C74">
        <w:fldChar w:fldCharType="separate"/>
      </w:r>
      <w:r w:rsidRPr="00E67C74" w:rsidR="00E67C74">
        <w:t>15</w:t>
      </w:r>
      <w:r w:rsidRPr="00E67C74">
        <w:fldChar w:fldCharType="end"/>
      </w:r>
      <w:r w:rsidRPr="00E67C74">
        <w:t>), the Court holds that there has been a violation of Article 7 of the Convention in the present case.</w:t>
      </w:r>
    </w:p>
    <w:p w:rsidRPr="00E67C74" w:rsidR="00CE4E3A" w:rsidP="00E67C74" w14:paraId="5FF3657F" w14:textId="77777777">
      <w:pPr>
        <w:pStyle w:val="JuHIRoman"/>
        <w:tabs>
          <w:tab w:val="left" w:pos="567"/>
          <w:tab w:val="left" w:pos="680"/>
        </w:tabs>
        <w:ind w:left="397" w:hanging="397"/>
      </w:pPr>
      <w:r w:rsidRPr="00E67C74">
        <w:t>OTHER COMPLAINTS</w:t>
      </w:r>
    </w:p>
    <w:p w:rsidRPr="00E67C74" w:rsidR="00CE4E3A" w:rsidP="00E67C74" w14:paraId="1789B213" w14:textId="508FD0D4">
      <w:pPr>
        <w:pStyle w:val="JuPara"/>
      </w:pPr>
      <w:r w:rsidRPr="00E67C74">
        <w:fldChar w:fldCharType="begin"/>
      </w:r>
      <w:r w:rsidRPr="00E67C74">
        <w:instrText xml:space="preserve"> SEQ level0 \*arabic </w:instrText>
      </w:r>
      <w:r w:rsidRPr="00E67C74">
        <w:fldChar w:fldCharType="separate"/>
      </w:r>
      <w:r w:rsidRPr="00E67C74" w:rsidR="00E67C74">
        <w:rPr>
          <w:noProof/>
        </w:rPr>
        <w:t>21</w:t>
      </w:r>
      <w:r w:rsidRPr="00E67C74">
        <w:fldChar w:fldCharType="end"/>
      </w:r>
      <w:r w:rsidRPr="00E67C74">
        <w:t xml:space="preserve">.  The applicant also complained under Article 6 of the Convention and Article 1 of Protocol No. 1 thereto (see paragraph </w:t>
      </w:r>
      <w:r w:rsidRPr="00E67C74">
        <w:fldChar w:fldCharType="begin"/>
      </w:r>
      <w:r w:rsidRPr="00E67C74">
        <w:instrText xml:space="preserve">REF paragraph00007 \h \* CharFormat </w:instrText>
      </w:r>
      <w:r w:rsidRPr="00E67C74">
        <w:fldChar w:fldCharType="separate"/>
      </w:r>
      <w:r w:rsidRPr="00E67C74" w:rsidR="00E67C74">
        <w:t>7</w:t>
      </w:r>
      <w:r w:rsidRPr="00E67C74">
        <w:fldChar w:fldCharType="end"/>
      </w:r>
      <w:r w:rsidRPr="00E67C74">
        <w:t xml:space="preserve"> above). Having regard to </w:t>
      </w:r>
      <w:r w:rsidRPr="00E67C74">
        <w:t>the facts of the case, the submissions of the parties, and its findings above, the Court considers that it has dealt with the main legal questions raised by the case and that there is no need to examine these remaining complaints (see</w:t>
      </w:r>
      <w:r w:rsidRPr="00E67C74" w:rsidR="00AB196D">
        <w:t> </w:t>
      </w:r>
      <w:r w:rsidRPr="00E67C74">
        <w:rPr>
          <w:i/>
          <w:iCs/>
        </w:rPr>
        <w:t xml:space="preserve">Centre for Legal Resources on behalf of Valentin </w:t>
      </w:r>
      <w:r w:rsidRPr="00E67C74">
        <w:rPr>
          <w:i/>
          <w:iCs/>
        </w:rPr>
        <w:t>Câmpeanu</w:t>
      </w:r>
      <w:r w:rsidRPr="00E67C74">
        <w:rPr>
          <w:i/>
          <w:iCs/>
        </w:rPr>
        <w:t xml:space="preserve"> v. Romania</w:t>
      </w:r>
      <w:r w:rsidRPr="00E67C74">
        <w:t xml:space="preserve"> [GC], no. 47848/08, § 156, ECHR 2014).</w:t>
      </w:r>
    </w:p>
    <w:p w:rsidRPr="00E67C74" w:rsidR="00CE4E3A" w:rsidP="00E67C74" w14:paraId="18813CD3" w14:textId="77777777">
      <w:pPr>
        <w:pStyle w:val="JuHHead"/>
      </w:pPr>
      <w:r w:rsidRPr="00E67C74">
        <w:rPr>
          <w:caps w:val="0"/>
        </w:rPr>
        <w:t>APPLICATION OF ARTICLE 41 OF THE CONVENTION</w:t>
      </w:r>
    </w:p>
    <w:p w:rsidRPr="00E67C74" w:rsidR="00CE4E3A" w:rsidP="00E67C74" w14:paraId="31072DCA" w14:textId="6E3573B8">
      <w:pPr>
        <w:pStyle w:val="JuPara"/>
      </w:pPr>
      <w:r>
        <w:fldChar w:fldCharType="begin"/>
      </w:r>
      <w:r>
        <w:instrText xml:space="preserve"> SEQ level0 \*arabic \* MERGEFORMAT </w:instrText>
      </w:r>
      <w:r>
        <w:fldChar w:fldCharType="separate"/>
      </w:r>
      <w:r w:rsidRPr="00E67C74">
        <w:rPr>
          <w:noProof/>
        </w:rPr>
        <w:t>22</w:t>
      </w:r>
      <w:r w:rsidRPr="00E67C74">
        <w:rPr>
          <w:noProof/>
        </w:rPr>
        <w:fldChar w:fldCharType="end"/>
      </w:r>
      <w:r w:rsidRPr="00E67C74">
        <w:t xml:space="preserve">.  The applicant claimed HRK 645.63 Croatian </w:t>
      </w:r>
      <w:r w:rsidRPr="00E67C74">
        <w:t>kunas</w:t>
      </w:r>
      <w:r w:rsidRPr="00E67C74">
        <w:t xml:space="preserve"> in respect of pecuniary damage, which corresponded to the amount of fine, the costs of proceedings and the fee he had to pay (see paragraph </w:t>
      </w:r>
      <w:r w:rsidRPr="00E67C74">
        <w:fldChar w:fldCharType="begin"/>
      </w:r>
      <w:r w:rsidRPr="00E67C74">
        <w:instrText xml:space="preserve">REF paragraph00003 \h \* CharFormat </w:instrText>
      </w:r>
      <w:r w:rsidRPr="00E67C74">
        <w:fldChar w:fldCharType="separate"/>
      </w:r>
      <w:r w:rsidRPr="00E67C74">
        <w:t>3</w:t>
      </w:r>
      <w:r w:rsidRPr="00E67C74">
        <w:fldChar w:fldCharType="end"/>
      </w:r>
      <w:r w:rsidRPr="00E67C74">
        <w:t xml:space="preserve"> above). He also claimed EUR 10,000 in respect of non-pecuniary damage, and HRK 15,937.50 in respect of costs and expenses incurred before the domestic courts and before the Court.</w:t>
      </w:r>
    </w:p>
    <w:p w:rsidRPr="00E67C74" w:rsidR="00CE4E3A" w:rsidP="00E67C74" w14:paraId="7B746EA1" w14:textId="5F387D1B">
      <w:pPr>
        <w:pStyle w:val="JuPara"/>
      </w:pPr>
      <w:r w:rsidRPr="00E67C74">
        <w:fldChar w:fldCharType="begin"/>
      </w:r>
      <w:r w:rsidRPr="00E67C74">
        <w:instrText xml:space="preserve"> SEQ level0 \*arabic </w:instrText>
      </w:r>
      <w:r w:rsidRPr="00E67C74">
        <w:fldChar w:fldCharType="separate"/>
      </w:r>
      <w:r w:rsidRPr="00E67C74" w:rsidR="00E67C74">
        <w:rPr>
          <w:noProof/>
        </w:rPr>
        <w:t>23</w:t>
      </w:r>
      <w:r w:rsidRPr="00E67C74">
        <w:fldChar w:fldCharType="end"/>
      </w:r>
      <w:r w:rsidRPr="00E67C74">
        <w:t>.  The Government contested these claims.</w:t>
      </w:r>
    </w:p>
    <w:p w:rsidRPr="00E67C74" w:rsidR="00CE4E3A" w:rsidP="00E67C74" w14:paraId="3CC504EF" w14:textId="7CA6B0FA">
      <w:pPr>
        <w:pStyle w:val="JuPara"/>
      </w:pPr>
      <w:r w:rsidRPr="00E67C74">
        <w:fldChar w:fldCharType="begin"/>
      </w:r>
      <w:r w:rsidRPr="00E67C74">
        <w:instrText xml:space="preserve"> SEQ level0 \*arabic </w:instrText>
      </w:r>
      <w:r w:rsidRPr="00E67C74">
        <w:fldChar w:fldCharType="separate"/>
      </w:r>
      <w:r w:rsidRPr="00E67C74" w:rsidR="00E67C74">
        <w:rPr>
          <w:noProof/>
        </w:rPr>
        <w:t>24</w:t>
      </w:r>
      <w:r w:rsidRPr="00E67C74">
        <w:fldChar w:fldCharType="end"/>
      </w:r>
      <w:r w:rsidRPr="00E67C74">
        <w:t>.  The Court has found that convicting the applicant for the minor offence in question and imposing a fine had been in breach of Article</w:t>
      </w:r>
      <w:r w:rsidRPr="00E67C74" w:rsidR="00E67C74">
        <w:t> </w:t>
      </w:r>
      <w:r w:rsidRPr="00E67C74">
        <w:t>7 of the Convention. It therefore accepts the applicant</w:t>
      </w:r>
      <w:r w:rsidRPr="00E67C74" w:rsidR="00E67C74">
        <w:t>’</w:t>
      </w:r>
      <w:r w:rsidRPr="00E67C74">
        <w:t>s claim in respect of pecuniary damage and awards him EUR 86 under this head, plus any tax that may be chargeable on that amount.</w:t>
      </w:r>
    </w:p>
    <w:p w:rsidRPr="00E67C74" w:rsidR="00CE4E3A" w:rsidP="00E67C74" w14:paraId="6D5B14C5" w14:textId="53796F56">
      <w:pPr>
        <w:pStyle w:val="JuPara"/>
      </w:pPr>
      <w:r>
        <w:fldChar w:fldCharType="begin"/>
      </w:r>
      <w:r>
        <w:instrText xml:space="preserve"> SEQ level0 \*arabic \* MERGEFORMAT </w:instrText>
      </w:r>
      <w:r>
        <w:fldChar w:fldCharType="separate"/>
      </w:r>
      <w:r w:rsidRPr="00E67C74">
        <w:rPr>
          <w:noProof/>
        </w:rPr>
        <w:t>25</w:t>
      </w:r>
      <w:r w:rsidRPr="00E67C74">
        <w:rPr>
          <w:noProof/>
        </w:rPr>
        <w:fldChar w:fldCharType="end"/>
      </w:r>
      <w:r w:rsidRPr="00E67C74">
        <w:t>.  As regards non-pecuniary damage, the Court awards the applicant EUR 1,500, plus any tax that may be chargeable.</w:t>
      </w:r>
    </w:p>
    <w:p w:rsidRPr="00E67C74" w:rsidR="00CE4E3A" w:rsidP="00E67C74" w14:paraId="5A38C280" w14:textId="05E53111">
      <w:pPr>
        <w:pStyle w:val="JuPara"/>
      </w:pPr>
      <w:r w:rsidRPr="00E67C74">
        <w:fldChar w:fldCharType="begin"/>
      </w:r>
      <w:r w:rsidRPr="00E67C74">
        <w:instrText xml:space="preserve"> SEQ level0 \*arabic </w:instrText>
      </w:r>
      <w:r w:rsidRPr="00E67C74">
        <w:fldChar w:fldCharType="separate"/>
      </w:r>
      <w:r w:rsidRPr="00E67C74" w:rsidR="00E67C74">
        <w:rPr>
          <w:noProof/>
        </w:rPr>
        <w:t>26</w:t>
      </w:r>
      <w:r w:rsidRPr="00E67C74">
        <w:fldChar w:fldCharType="end"/>
      </w:r>
      <w:r w:rsidRPr="00E67C74">
        <w:t>.  Having regard to the documents in its possession, the Court considers it reasonable to award EUR 2,115 covering costs and expenses under all heads, plus any tax that may be chargeable to the applicant.</w:t>
      </w:r>
    </w:p>
    <w:p w:rsidRPr="00E67C74" w:rsidR="00CE4E3A" w:rsidP="00E67C74" w14:paraId="4E8A88EF" w14:textId="400292FC">
      <w:pPr>
        <w:pStyle w:val="JuHHead"/>
      </w:pPr>
      <w:r w:rsidRPr="00E67C74">
        <w:t>FOR THESE REASONS, THE COURT, UNANIMOUSLY,</w:t>
      </w:r>
    </w:p>
    <w:p w:rsidRPr="00E67C74" w:rsidR="00CE4E3A" w:rsidP="00E67C74" w14:paraId="33B409E6" w14:textId="362E21C3">
      <w:pPr>
        <w:pStyle w:val="JuList"/>
        <w:numPr>
          <w:ilvl w:val="0"/>
          <w:numId w:val="1"/>
        </w:numPr>
      </w:pPr>
      <w:r w:rsidRPr="00E67C74">
        <w:rPr>
          <w:i/>
        </w:rPr>
        <w:t xml:space="preserve">Joins </w:t>
      </w:r>
      <w:r w:rsidRPr="00E67C74">
        <w:rPr>
          <w:iCs/>
        </w:rPr>
        <w:t>to the merits</w:t>
      </w:r>
      <w:r w:rsidRPr="00E67C74">
        <w:t xml:space="preserve"> the Government</w:t>
      </w:r>
      <w:r w:rsidRPr="00E67C74" w:rsidR="00E67C74">
        <w:t>’</w:t>
      </w:r>
      <w:r w:rsidRPr="00E67C74">
        <w:t xml:space="preserve">s objection as to the lack of a significant disadvantage and </w:t>
      </w:r>
      <w:r w:rsidRPr="00E67C74">
        <w:rPr>
          <w:i/>
        </w:rPr>
        <w:t>rejects</w:t>
      </w:r>
      <w:r w:rsidRPr="00E67C74">
        <w:t xml:space="preserve"> it;</w:t>
      </w:r>
    </w:p>
    <w:p w:rsidRPr="00E67C74" w:rsidR="00CE4E3A" w:rsidP="00E67C74" w14:paraId="1CEC8490" w14:textId="77777777">
      <w:pPr>
        <w:pStyle w:val="JuList"/>
        <w:numPr>
          <w:ilvl w:val="0"/>
          <w:numId w:val="1"/>
        </w:numPr>
      </w:pPr>
      <w:r w:rsidRPr="00E67C74">
        <w:rPr>
          <w:i/>
        </w:rPr>
        <w:t>Declares</w:t>
      </w:r>
      <w:r w:rsidRPr="00E67C74">
        <w:t xml:space="preserve"> the complaint under Article 7 of the Convention admissible;</w:t>
      </w:r>
    </w:p>
    <w:p w:rsidRPr="00E67C74" w:rsidR="00CE4E3A" w:rsidP="00E67C74" w14:paraId="38A65125" w14:textId="77777777">
      <w:pPr>
        <w:pStyle w:val="JuList"/>
        <w:numPr>
          <w:ilvl w:val="0"/>
          <w:numId w:val="1"/>
        </w:numPr>
      </w:pPr>
      <w:r w:rsidRPr="00E67C74">
        <w:rPr>
          <w:i/>
        </w:rPr>
        <w:t>Holds</w:t>
      </w:r>
      <w:r w:rsidRPr="00E67C74">
        <w:t xml:space="preserve"> that there has been a violation of Article 7 of the Convention;</w:t>
      </w:r>
    </w:p>
    <w:p w:rsidRPr="00E67C74" w:rsidR="00CE4E3A" w:rsidP="00E67C74" w14:paraId="5F83C132" w14:textId="77777777">
      <w:pPr>
        <w:pStyle w:val="JuList"/>
        <w:numPr>
          <w:ilvl w:val="0"/>
          <w:numId w:val="1"/>
        </w:numPr>
      </w:pPr>
      <w:r w:rsidRPr="00E67C74">
        <w:rPr>
          <w:i/>
        </w:rPr>
        <w:t>Holds</w:t>
      </w:r>
      <w:r w:rsidRPr="00E67C74">
        <w:rPr>
          <w:color w:val="000000"/>
        </w:rPr>
        <w:t xml:space="preserve"> </w:t>
      </w:r>
      <w:r w:rsidRPr="00E67C74">
        <w:t>that there is no need to examine the admissibility and merits of the complaints under Article 6 of the Convention and Article 1 of Protocol No. 1 thereto;</w:t>
      </w:r>
    </w:p>
    <w:p w:rsidRPr="00E67C74" w:rsidR="00CE4E3A" w:rsidP="00E67C74" w14:paraId="5C978350" w14:textId="6181E421">
      <w:pPr>
        <w:pStyle w:val="JuList"/>
        <w:numPr>
          <w:ilvl w:val="0"/>
          <w:numId w:val="1"/>
        </w:numPr>
      </w:pPr>
      <w:r w:rsidRPr="00E67C74">
        <w:rPr>
          <w:i/>
          <w:iCs/>
        </w:rPr>
        <w:t>Holds</w:t>
      </w:r>
      <w:r w:rsidRPr="00E67C74" w:rsidR="00E77687">
        <w:rPr>
          <w:i/>
          <w:iCs/>
        </w:rPr>
        <w:t>,</w:t>
      </w:r>
    </w:p>
    <w:p w:rsidRPr="00E67C74" w:rsidR="00CE4E3A" w:rsidP="00E67C74" w14:paraId="3B958056" w14:textId="77777777">
      <w:pPr>
        <w:pStyle w:val="JuLista"/>
      </w:pPr>
      <w:r w:rsidRPr="00E67C74">
        <w:t>that the respondent State is to pay the applicant, within three months, the following amounts:</w:t>
      </w:r>
    </w:p>
    <w:p w:rsidRPr="00E67C74" w:rsidR="00CE4E3A" w:rsidP="00E67C74" w14:paraId="716928C6" w14:textId="77777777">
      <w:pPr>
        <w:pStyle w:val="JuListi"/>
      </w:pPr>
      <w:r w:rsidRPr="00E67C74">
        <w:t>EUR 86 (eighty-six euros), plus any tax that may be chargeable, in respect of pecuniary damage;</w:t>
      </w:r>
    </w:p>
    <w:p w:rsidRPr="00E67C74" w:rsidR="00CE4E3A" w:rsidP="00E67C74" w14:paraId="6A4E2359" w14:textId="77777777">
      <w:pPr>
        <w:pStyle w:val="JuListi"/>
      </w:pPr>
      <w:r w:rsidRPr="00E67C74">
        <w:t>EUR 1,500 (one thousand and five hundred euros), plus any tax that may be chargeable, in respect of non-pecuniary damage;</w:t>
      </w:r>
    </w:p>
    <w:p w:rsidRPr="00E67C74" w:rsidR="00CE4E3A" w:rsidP="00E67C74" w14:paraId="52AEEB11" w14:textId="77777777">
      <w:pPr>
        <w:pStyle w:val="JuListi"/>
      </w:pPr>
      <w:r w:rsidRPr="00E67C74">
        <w:t>EUR 2,115 (two thousand one hundred and fifteen euros), plus any tax that may be chargeable to the applicant, in respect of costs and expenses;</w:t>
      </w:r>
    </w:p>
    <w:p w:rsidRPr="00E67C74" w:rsidR="00CE4E3A" w:rsidP="00E67C74" w14:paraId="1B7CCDEF" w14:textId="77777777">
      <w:pPr>
        <w:pStyle w:val="JuLista"/>
      </w:pPr>
      <w:r w:rsidRPr="00E67C74">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E67C74" w:rsidR="004D0EC7" w:rsidP="00E67C74" w14:paraId="1DF50CBD" w14:textId="6DBF0E41">
      <w:pPr>
        <w:pStyle w:val="JuList"/>
      </w:pPr>
      <w:r w:rsidRPr="00E67C74">
        <w:rPr>
          <w:i/>
        </w:rPr>
        <w:t xml:space="preserve">Dismisses </w:t>
      </w:r>
      <w:r w:rsidRPr="00E67C74">
        <w:t>the remainder of the applicant</w:t>
      </w:r>
      <w:r w:rsidRPr="00E67C74" w:rsidR="00E67C74">
        <w:t>’</w:t>
      </w:r>
      <w:r w:rsidRPr="00E67C74">
        <w:t>s claim for just satisfaction.</w:t>
      </w:r>
    </w:p>
    <w:p w:rsidRPr="00E67C74" w:rsidR="008E3A08" w:rsidP="00E67C74" w14:paraId="5CF66A00" w14:textId="23C2B68B">
      <w:pPr>
        <w:pStyle w:val="JuParaLast"/>
      </w:pPr>
      <w:r w:rsidRPr="00E67C74">
        <w:t xml:space="preserve">Done in English, and notified in writing on </w:t>
      </w:r>
      <w:r w:rsidRPr="00E67C74" w:rsidR="00CE4E3A">
        <w:rPr>
          <w:rFonts w:ascii="Times New Roman" w:hAnsi="Times New Roman" w:cs="Times New Roman"/>
        </w:rPr>
        <w:t>9 May 2023</w:t>
      </w:r>
      <w:r w:rsidRPr="00E67C74">
        <w:t>, pursuant to Rule 77 §§ 2 and 3 of the Rules of Court.</w:t>
      </w:r>
    </w:p>
    <w:p w:rsidRPr="00E67C74" w:rsidR="008B092C" w:rsidP="00E67C74" w14:paraId="744D7CCE" w14:textId="2B59F32F">
      <w:pPr>
        <w:pStyle w:val="ECHRPlaceholder"/>
        <w:rPr>
          <w:szCs w:val="22"/>
        </w:rPr>
      </w:pPr>
      <w:r w:rsidRPr="00E67C74">
        <w:tab/>
      </w:r>
    </w:p>
    <w:p w:rsidRPr="00E67C74" w:rsidR="001C055B" w:rsidP="00E67C74" w14:paraId="5BB9DFDF" w14:textId="433452F2">
      <w:pPr>
        <w:pStyle w:val="JuSigned"/>
      </w:pPr>
      <w:r w:rsidRPr="00E67C74">
        <w:tab/>
      </w:r>
      <w:r w:rsidRPr="00E67C74" w:rsidR="00CE4E3A">
        <w:rPr>
          <w:noProof/>
        </w:rPr>
        <w:t>Dorothee von Arnim</w:t>
      </w:r>
      <w:r w:rsidRPr="00E67C74" w:rsidR="005879A2">
        <w:t xml:space="preserve"> </w:t>
      </w:r>
      <w:r w:rsidRPr="00E67C74" w:rsidR="009F4C8F">
        <w:tab/>
      </w:r>
      <w:r w:rsidRPr="00E67C74" w:rsidR="00CE4E3A">
        <w:rPr>
          <w:noProof/>
        </w:rPr>
        <w:t>Pauliine Koskelo</w:t>
      </w:r>
      <w:r w:rsidRPr="00E67C74" w:rsidR="009F4C8F">
        <w:br/>
      </w:r>
      <w:r w:rsidRPr="00E67C74" w:rsidR="009F4C8F">
        <w:tab/>
      </w:r>
      <w:r w:rsidRPr="00E67C74" w:rsidR="00CE4E3A">
        <w:rPr>
          <w:noProof/>
        </w:rPr>
        <w:t xml:space="preserve">Deputy </w:t>
      </w:r>
      <w:r w:rsidRPr="00E67C74" w:rsidR="00CE4E3A">
        <w:rPr>
          <w:iCs/>
          <w:noProof/>
        </w:rPr>
        <w:t>Registrar</w:t>
      </w:r>
      <w:r w:rsidRPr="00E67C74" w:rsidR="009F4C8F">
        <w:tab/>
        <w:t>President</w:t>
      </w:r>
    </w:p>
    <w:p w:rsidRPr="00E67C74" w:rsidR="00675AF2" w:rsidP="00E67C74" w14:paraId="04CE63BA" w14:textId="77777777">
      <w:pPr>
        <w:pStyle w:val="JuPara"/>
      </w:pPr>
    </w:p>
    <w:p w:rsidRPr="00E67C74" w:rsidR="00182EBA" w:rsidP="00E67C74" w14:paraId="05A182D1" w14:textId="0598EE74"/>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4E3A" w14:paraId="02209EE2"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4E3A" w:rsidRPr="00150BFA" w:rsidP="0020718E" w14:paraId="6FE46BD6" w14:textId="22387961">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CE4E3A" w:rsidP="00AF12C5" w14:paraId="0D2D93A0" w14:textId="0CAB49B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4E3A" w:rsidRPr="00150BFA" w:rsidP="0020718E" w14:paraId="58C53F8F" w14:textId="51450DB5">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CE4E3A" w:rsidP="009E7A6F" w14:paraId="5B2D7D9A" w14:textId="4A08DE4D">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3C4EDDA" w14:textId="3FBA479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7499B738" w14:textId="4AE58129">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4E3A" w14:paraId="71EE95C3"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4E3A" w:rsidRPr="00A45145" w:rsidP="00A45145" w14:paraId="353C0080" w14:textId="4CC12F6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CE4E3A" w:rsidP="00B14793" w14:paraId="331D3915" w14:textId="66B1C436">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4E3A" w:rsidRPr="00A45145" w:rsidP="00A45145" w14:paraId="05BF5B73" w14:textId="5D8CF94D">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CE4E3A" w14:paraId="4101F49A" w14:textId="284E43D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B4307E7" w14:textId="5B10D7A3">
    <w:pPr>
      <w:pStyle w:val="JuHeader"/>
    </w:pPr>
    <w:r>
      <w:t>CETINJA v. CROATIA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093640B" w14:textId="281340F2">
    <w:pPr>
      <w:pStyle w:val="JuHeader"/>
    </w:pPr>
    <w:r>
      <w:t>CETINJA v. CROATIA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220018036">
    <w:abstractNumId w:val="9"/>
  </w:num>
  <w:num w:numId="2" w16cid:durableId="639577742">
    <w:abstractNumId w:val="14"/>
  </w:num>
  <w:num w:numId="3" w16cid:durableId="785268294">
    <w:abstractNumId w:val="12"/>
  </w:num>
  <w:num w:numId="4" w16cid:durableId="1278492397">
    <w:abstractNumId w:val="11"/>
  </w:num>
  <w:num w:numId="5" w16cid:durableId="1327170684">
    <w:abstractNumId w:val="17"/>
  </w:num>
  <w:num w:numId="6" w16cid:durableId="946276695">
    <w:abstractNumId w:val="7"/>
  </w:num>
  <w:num w:numId="7" w16cid:durableId="37241628">
    <w:abstractNumId w:val="6"/>
  </w:num>
  <w:num w:numId="8" w16cid:durableId="1487479547">
    <w:abstractNumId w:val="5"/>
  </w:num>
  <w:num w:numId="9" w16cid:durableId="1089737341">
    <w:abstractNumId w:val="4"/>
  </w:num>
  <w:num w:numId="10" w16cid:durableId="10378936">
    <w:abstractNumId w:val="8"/>
  </w:num>
  <w:num w:numId="11" w16cid:durableId="1949652745">
    <w:abstractNumId w:val="3"/>
  </w:num>
  <w:num w:numId="12" w16cid:durableId="808404652">
    <w:abstractNumId w:val="2"/>
  </w:num>
  <w:num w:numId="13" w16cid:durableId="2061586347">
    <w:abstractNumId w:val="1"/>
  </w:num>
  <w:num w:numId="14" w16cid:durableId="530805266">
    <w:abstractNumId w:val="0"/>
  </w:num>
  <w:num w:numId="15" w16cid:durableId="1954705987">
    <w:abstractNumId w:val="15"/>
  </w:num>
  <w:num w:numId="16" w16cid:durableId="867840533">
    <w:abstractNumId w:val="13"/>
  </w:num>
  <w:num w:numId="17" w16cid:durableId="269358766">
    <w:abstractNumId w:val="16"/>
  </w:num>
  <w:num w:numId="18" w16cid:durableId="1877113983">
    <w:abstractNumId w:val="15"/>
  </w:num>
  <w:num w:numId="19" w16cid:durableId="1550653276">
    <w:abstractNumId w:val="16"/>
  </w:num>
  <w:num w:numId="20" w16cid:durableId="772701523">
    <w:abstractNumId w:val="10"/>
  </w:num>
  <w:num w:numId="21" w16cid:durableId="734938282">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E3A"/>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1965"/>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2967"/>
    <w:rsid w:val="0039364F"/>
    <w:rsid w:val="00396686"/>
    <w:rsid w:val="0039778E"/>
    <w:rsid w:val="003B4941"/>
    <w:rsid w:val="003C3334"/>
    <w:rsid w:val="003C5714"/>
    <w:rsid w:val="003C6B9F"/>
    <w:rsid w:val="003C6E2A"/>
    <w:rsid w:val="003D0299"/>
    <w:rsid w:val="003E6D80"/>
    <w:rsid w:val="003F05FA"/>
    <w:rsid w:val="003F244A"/>
    <w:rsid w:val="003F2517"/>
    <w:rsid w:val="003F30B8"/>
    <w:rsid w:val="003F4C45"/>
    <w:rsid w:val="003F5F7B"/>
    <w:rsid w:val="003F7D64"/>
    <w:rsid w:val="00402DC5"/>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27C2"/>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469"/>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0166"/>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2F9B"/>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196D"/>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37FE2"/>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159D"/>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E4E3A"/>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1769"/>
    <w:rsid w:val="00E42A06"/>
    <w:rsid w:val="00E459C6"/>
    <w:rsid w:val="00E47589"/>
    <w:rsid w:val="00E63EC7"/>
    <w:rsid w:val="00E64915"/>
    <w:rsid w:val="00E64D3A"/>
    <w:rsid w:val="00E661D4"/>
    <w:rsid w:val="00E67565"/>
    <w:rsid w:val="00E67C74"/>
    <w:rsid w:val="00E70091"/>
    <w:rsid w:val="00E70D2E"/>
    <w:rsid w:val="00E720F5"/>
    <w:rsid w:val="00E76D47"/>
    <w:rsid w:val="00E7768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0708"/>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3CD0F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E67C74"/>
    <w:rPr>
      <w:sz w:val="24"/>
      <w:szCs w:val="24"/>
      <w:lang w:val="en-GB"/>
    </w:rPr>
  </w:style>
  <w:style w:type="paragraph" w:styleId="Heading1">
    <w:name w:val="heading 1"/>
    <w:basedOn w:val="Normal"/>
    <w:next w:val="Normal"/>
    <w:link w:val="Heading1Char"/>
    <w:uiPriority w:val="98"/>
    <w:semiHidden/>
    <w:rsid w:val="00E67C7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67C7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67C7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67C7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67C7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67C7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67C7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67C7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67C7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67C74"/>
    <w:rPr>
      <w:rFonts w:ascii="Tahoma" w:hAnsi="Tahoma" w:cs="Tahoma"/>
      <w:sz w:val="16"/>
      <w:szCs w:val="16"/>
    </w:rPr>
  </w:style>
  <w:style w:type="character" w:customStyle="1" w:styleId="BalloonTextChar">
    <w:name w:val="Balloon Text Char"/>
    <w:basedOn w:val="DefaultParagraphFont"/>
    <w:link w:val="BalloonText"/>
    <w:uiPriority w:val="98"/>
    <w:semiHidden/>
    <w:rsid w:val="00E67C74"/>
    <w:rPr>
      <w:rFonts w:ascii="Tahoma" w:hAnsi="Tahoma" w:cs="Tahoma"/>
      <w:sz w:val="16"/>
      <w:szCs w:val="16"/>
      <w:lang w:val="en-GB"/>
    </w:rPr>
  </w:style>
  <w:style w:type="character" w:styleId="BookTitle">
    <w:name w:val="Book Title"/>
    <w:uiPriority w:val="98"/>
    <w:semiHidden/>
    <w:qFormat/>
    <w:rsid w:val="00E67C74"/>
    <w:rPr>
      <w:i/>
      <w:iCs/>
      <w:smallCaps/>
      <w:spacing w:val="5"/>
    </w:rPr>
  </w:style>
  <w:style w:type="paragraph" w:customStyle="1" w:styleId="JuHeader">
    <w:name w:val="Ju_Header"/>
    <w:aliases w:val="_Header"/>
    <w:basedOn w:val="Header0"/>
    <w:uiPriority w:val="29"/>
    <w:qFormat/>
    <w:rsid w:val="00E67C74"/>
    <w:pPr>
      <w:tabs>
        <w:tab w:val="clear" w:pos="4536"/>
        <w:tab w:val="clear" w:pos="9072"/>
      </w:tabs>
      <w:jc w:val="center"/>
    </w:pPr>
    <w:rPr>
      <w:sz w:val="18"/>
    </w:rPr>
  </w:style>
  <w:style w:type="paragraph" w:customStyle="1" w:styleId="NormalJustified">
    <w:name w:val="Normal_Justified"/>
    <w:basedOn w:val="Normal"/>
    <w:semiHidden/>
    <w:rsid w:val="00E67C74"/>
    <w:pPr>
      <w:jc w:val="both"/>
    </w:pPr>
  </w:style>
  <w:style w:type="character" w:styleId="Strong">
    <w:name w:val="Strong"/>
    <w:uiPriority w:val="98"/>
    <w:semiHidden/>
    <w:qFormat/>
    <w:rsid w:val="00E67C74"/>
    <w:rPr>
      <w:b/>
      <w:bCs/>
    </w:rPr>
  </w:style>
  <w:style w:type="paragraph" w:styleId="NoSpacing">
    <w:name w:val="No Spacing"/>
    <w:basedOn w:val="Normal"/>
    <w:link w:val="NoSpacingChar"/>
    <w:uiPriority w:val="98"/>
    <w:semiHidden/>
    <w:qFormat/>
    <w:rsid w:val="00E67C74"/>
  </w:style>
  <w:style w:type="character" w:customStyle="1" w:styleId="NoSpacingChar">
    <w:name w:val="No Spacing Char"/>
    <w:basedOn w:val="DefaultParagraphFont"/>
    <w:link w:val="NoSpacing"/>
    <w:uiPriority w:val="98"/>
    <w:semiHidden/>
    <w:rsid w:val="00E67C74"/>
    <w:rPr>
      <w:sz w:val="24"/>
      <w:szCs w:val="24"/>
      <w:lang w:val="en-GB"/>
    </w:rPr>
  </w:style>
  <w:style w:type="paragraph" w:customStyle="1" w:styleId="JuQuot">
    <w:name w:val="Ju_Quot"/>
    <w:aliases w:val="_Quote"/>
    <w:basedOn w:val="NormalJustified"/>
    <w:uiPriority w:val="20"/>
    <w:qFormat/>
    <w:rsid w:val="00E67C74"/>
    <w:pPr>
      <w:spacing w:before="120" w:after="120"/>
      <w:ind w:left="425" w:firstLine="142"/>
    </w:pPr>
    <w:rPr>
      <w:sz w:val="20"/>
    </w:rPr>
  </w:style>
  <w:style w:type="paragraph" w:customStyle="1" w:styleId="DummyStyle">
    <w:name w:val="Dummy_Style"/>
    <w:aliases w:val="_Dummy"/>
    <w:basedOn w:val="Normal"/>
    <w:semiHidden/>
    <w:qFormat/>
    <w:rsid w:val="00E67C74"/>
    <w:rPr>
      <w:color w:val="00B050"/>
      <w:sz w:val="22"/>
    </w:rPr>
  </w:style>
  <w:style w:type="paragraph" w:customStyle="1" w:styleId="JuList">
    <w:name w:val="Ju_List"/>
    <w:aliases w:val="_List_1"/>
    <w:basedOn w:val="NormalJustified"/>
    <w:uiPriority w:val="23"/>
    <w:qFormat/>
    <w:rsid w:val="00E67C74"/>
    <w:pPr>
      <w:numPr>
        <w:numId w:val="21"/>
      </w:numPr>
      <w:spacing w:before="280" w:after="60"/>
    </w:pPr>
  </w:style>
  <w:style w:type="paragraph" w:customStyle="1" w:styleId="JuLista">
    <w:name w:val="Ju_List_a"/>
    <w:aliases w:val="_List_2"/>
    <w:basedOn w:val="NormalJustified"/>
    <w:uiPriority w:val="23"/>
    <w:rsid w:val="00E67C74"/>
    <w:pPr>
      <w:numPr>
        <w:ilvl w:val="1"/>
        <w:numId w:val="21"/>
      </w:numPr>
    </w:pPr>
  </w:style>
  <w:style w:type="paragraph" w:customStyle="1" w:styleId="JuListi">
    <w:name w:val="Ju_List_i"/>
    <w:aliases w:val="_List_3"/>
    <w:basedOn w:val="NormalJustified"/>
    <w:uiPriority w:val="23"/>
    <w:rsid w:val="00E67C74"/>
    <w:pPr>
      <w:numPr>
        <w:ilvl w:val="2"/>
        <w:numId w:val="21"/>
      </w:numPr>
    </w:pPr>
  </w:style>
  <w:style w:type="paragraph" w:customStyle="1" w:styleId="JuHArticle">
    <w:name w:val="Ju_H_Article"/>
    <w:aliases w:val="_Title_Quote"/>
    <w:basedOn w:val="Normal"/>
    <w:next w:val="JuQuot"/>
    <w:uiPriority w:val="19"/>
    <w:qFormat/>
    <w:rsid w:val="00E67C7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67C7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E67C7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E67C74"/>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E67C74"/>
    <w:pPr>
      <w:numPr>
        <w:numId w:val="15"/>
      </w:numPr>
    </w:pPr>
  </w:style>
  <w:style w:type="paragraph" w:customStyle="1" w:styleId="JuSigned">
    <w:name w:val="Ju_Signed"/>
    <w:aliases w:val="_Signature"/>
    <w:basedOn w:val="Normal"/>
    <w:next w:val="JuPara"/>
    <w:uiPriority w:val="31"/>
    <w:qFormat/>
    <w:rsid w:val="00E67C74"/>
    <w:pPr>
      <w:tabs>
        <w:tab w:val="center" w:pos="1418"/>
        <w:tab w:val="center" w:pos="5954"/>
      </w:tabs>
      <w:spacing w:before="720"/>
    </w:pPr>
  </w:style>
  <w:style w:type="paragraph" w:styleId="Title">
    <w:name w:val="Title"/>
    <w:basedOn w:val="Normal"/>
    <w:next w:val="Normal"/>
    <w:link w:val="TitleChar"/>
    <w:uiPriority w:val="98"/>
    <w:semiHidden/>
    <w:qFormat/>
    <w:rsid w:val="00E67C7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67C7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E67C74"/>
    <w:pPr>
      <w:numPr>
        <w:numId w:val="16"/>
      </w:numPr>
    </w:pPr>
  </w:style>
  <w:style w:type="numbering" w:customStyle="1" w:styleId="ECHRA1StyleNumberedList">
    <w:name w:val="ECHR_A1_Style_Numbered_List"/>
    <w:basedOn w:val="NoList"/>
    <w:rsid w:val="00E67C74"/>
    <w:pPr>
      <w:numPr>
        <w:numId w:val="17"/>
      </w:numPr>
    </w:pPr>
  </w:style>
  <w:style w:type="table" w:customStyle="1" w:styleId="ECHRTable2019">
    <w:name w:val="ECHR_Table_2019"/>
    <w:basedOn w:val="TableNormal"/>
    <w:uiPriority w:val="99"/>
    <w:rsid w:val="00E67C7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E67C7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67C74"/>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67C74"/>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67C74"/>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E67C74"/>
    <w:pPr>
      <w:tabs>
        <w:tab w:val="center" w:pos="4536"/>
        <w:tab w:val="right" w:pos="9072"/>
      </w:tabs>
    </w:pPr>
  </w:style>
  <w:style w:type="character" w:customStyle="1" w:styleId="HeaderChar">
    <w:name w:val="Header Char"/>
    <w:basedOn w:val="DefaultParagraphFont"/>
    <w:link w:val="Header0"/>
    <w:uiPriority w:val="98"/>
    <w:semiHidden/>
    <w:rsid w:val="00E67C74"/>
    <w:rPr>
      <w:sz w:val="24"/>
      <w:szCs w:val="24"/>
      <w:lang w:val="en-GB"/>
    </w:rPr>
  </w:style>
  <w:style w:type="character" w:customStyle="1" w:styleId="Heading1Char">
    <w:name w:val="Heading 1 Char"/>
    <w:basedOn w:val="DefaultParagraphFont"/>
    <w:link w:val="Heading1"/>
    <w:uiPriority w:val="98"/>
    <w:semiHidden/>
    <w:rsid w:val="00E67C7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67C74"/>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E67C74"/>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67C7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67C74"/>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67C74"/>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E67C7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67C74"/>
    <w:pPr>
      <w:keepNext/>
      <w:keepLines/>
      <w:spacing w:before="240" w:after="240"/>
      <w:ind w:firstLine="284"/>
    </w:pPr>
  </w:style>
  <w:style w:type="paragraph" w:customStyle="1" w:styleId="JuJudges">
    <w:name w:val="Ju_Judges"/>
    <w:aliases w:val="_Judges"/>
    <w:basedOn w:val="Normal"/>
    <w:uiPriority w:val="32"/>
    <w:qFormat/>
    <w:rsid w:val="00E67C74"/>
    <w:pPr>
      <w:tabs>
        <w:tab w:val="left" w:pos="567"/>
        <w:tab w:val="left" w:pos="1134"/>
      </w:tabs>
    </w:pPr>
  </w:style>
  <w:style w:type="character" w:customStyle="1" w:styleId="Heading4Char">
    <w:name w:val="Heading 4 Char"/>
    <w:basedOn w:val="DefaultParagraphFont"/>
    <w:link w:val="Heading4"/>
    <w:uiPriority w:val="98"/>
    <w:semiHidden/>
    <w:rsid w:val="00E67C7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E67C74"/>
    <w:pPr>
      <w:tabs>
        <w:tab w:val="center" w:pos="6407"/>
      </w:tabs>
      <w:spacing w:before="720"/>
      <w:jc w:val="right"/>
    </w:pPr>
  </w:style>
  <w:style w:type="character" w:customStyle="1" w:styleId="Heading5Char">
    <w:name w:val="Heading 5 Char"/>
    <w:basedOn w:val="DefaultParagraphFont"/>
    <w:link w:val="Heading5"/>
    <w:uiPriority w:val="98"/>
    <w:semiHidden/>
    <w:rsid w:val="00E67C7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E67C7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E67C74"/>
    <w:rPr>
      <w:caps w:val="0"/>
      <w:smallCaps/>
    </w:rPr>
  </w:style>
  <w:style w:type="character" w:styleId="SubtleEmphasis">
    <w:name w:val="Subtle Emphasis"/>
    <w:uiPriority w:val="98"/>
    <w:semiHidden/>
    <w:qFormat/>
    <w:rsid w:val="00E67C74"/>
    <w:rPr>
      <w:i/>
      <w:iCs/>
    </w:rPr>
  </w:style>
  <w:style w:type="table" w:customStyle="1" w:styleId="ECHRTable">
    <w:name w:val="ECHR_Table"/>
    <w:basedOn w:val="TableNormal"/>
    <w:rsid w:val="00E67C7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67C7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E67C74"/>
    <w:rPr>
      <w:b/>
      <w:bCs/>
      <w:i/>
      <w:iCs/>
      <w:spacing w:val="10"/>
      <w:bdr w:val="none" w:sz="0" w:space="0" w:color="auto"/>
      <w:shd w:val="clear" w:color="auto" w:fill="auto"/>
    </w:rPr>
  </w:style>
  <w:style w:type="paragraph" w:styleId="Footer1">
    <w:name w:val="footer"/>
    <w:basedOn w:val="Normal"/>
    <w:link w:val="FooterChar"/>
    <w:uiPriority w:val="98"/>
    <w:semiHidden/>
    <w:rsid w:val="00E67C74"/>
    <w:pPr>
      <w:tabs>
        <w:tab w:val="center" w:pos="3686"/>
        <w:tab w:val="right" w:pos="7371"/>
      </w:tabs>
    </w:pPr>
  </w:style>
  <w:style w:type="character" w:customStyle="1" w:styleId="FooterChar">
    <w:name w:val="Footer Char"/>
    <w:basedOn w:val="DefaultParagraphFont"/>
    <w:link w:val="Footer1"/>
    <w:uiPriority w:val="98"/>
    <w:semiHidden/>
    <w:rsid w:val="00E67C74"/>
    <w:rPr>
      <w:sz w:val="24"/>
      <w:szCs w:val="24"/>
      <w:lang w:val="en-GB"/>
    </w:rPr>
  </w:style>
  <w:style w:type="character" w:styleId="FootnoteReference">
    <w:name w:val="footnote reference"/>
    <w:basedOn w:val="DefaultParagraphFont"/>
    <w:uiPriority w:val="98"/>
    <w:semiHidden/>
    <w:rsid w:val="00E67C74"/>
    <w:rPr>
      <w:vertAlign w:val="superscript"/>
    </w:rPr>
  </w:style>
  <w:style w:type="paragraph" w:styleId="FootnoteText">
    <w:name w:val="footnote text"/>
    <w:basedOn w:val="NormalJustified"/>
    <w:link w:val="FootnoteTextChar"/>
    <w:uiPriority w:val="98"/>
    <w:semiHidden/>
    <w:rsid w:val="00E67C74"/>
    <w:rPr>
      <w:sz w:val="20"/>
      <w:szCs w:val="20"/>
    </w:rPr>
  </w:style>
  <w:style w:type="character" w:customStyle="1" w:styleId="FootnoteTextChar">
    <w:name w:val="Footnote Text Char"/>
    <w:basedOn w:val="DefaultParagraphFont"/>
    <w:link w:val="FootnoteText"/>
    <w:uiPriority w:val="98"/>
    <w:semiHidden/>
    <w:rsid w:val="00E67C74"/>
    <w:rPr>
      <w:sz w:val="20"/>
      <w:szCs w:val="20"/>
      <w:lang w:val="en-GB"/>
    </w:rPr>
  </w:style>
  <w:style w:type="character" w:customStyle="1" w:styleId="Heading6Char">
    <w:name w:val="Heading 6 Char"/>
    <w:basedOn w:val="DefaultParagraphFont"/>
    <w:link w:val="Heading6"/>
    <w:uiPriority w:val="98"/>
    <w:semiHidden/>
    <w:rsid w:val="00E67C7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67C7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67C7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67C7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E67C74"/>
    <w:rPr>
      <w:color w:val="0072BC" w:themeColor="hyperlink"/>
      <w:u w:val="single"/>
    </w:rPr>
  </w:style>
  <w:style w:type="character" w:styleId="IntenseEmphasis">
    <w:name w:val="Intense Emphasis"/>
    <w:uiPriority w:val="98"/>
    <w:semiHidden/>
    <w:qFormat/>
    <w:rsid w:val="00E67C74"/>
    <w:rPr>
      <w:b/>
      <w:bCs/>
    </w:rPr>
  </w:style>
  <w:style w:type="paragraph" w:styleId="IntenseQuote">
    <w:name w:val="Intense Quote"/>
    <w:basedOn w:val="Normal"/>
    <w:next w:val="Normal"/>
    <w:link w:val="IntenseQuoteChar"/>
    <w:uiPriority w:val="98"/>
    <w:semiHidden/>
    <w:qFormat/>
    <w:rsid w:val="00E67C7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67C74"/>
    <w:rPr>
      <w:b/>
      <w:bCs/>
      <w:i/>
      <w:iCs/>
      <w:sz w:val="24"/>
      <w:szCs w:val="24"/>
      <w:lang w:val="en-GB" w:bidi="en-US"/>
    </w:rPr>
  </w:style>
  <w:style w:type="character" w:styleId="IntenseReference">
    <w:name w:val="Intense Reference"/>
    <w:uiPriority w:val="98"/>
    <w:semiHidden/>
    <w:qFormat/>
    <w:rsid w:val="00E67C74"/>
    <w:rPr>
      <w:smallCaps/>
      <w:spacing w:val="5"/>
      <w:u w:val="single"/>
    </w:rPr>
  </w:style>
  <w:style w:type="paragraph" w:styleId="ListParagraph">
    <w:name w:val="List Paragraph"/>
    <w:basedOn w:val="Normal"/>
    <w:uiPriority w:val="98"/>
    <w:semiHidden/>
    <w:qFormat/>
    <w:rsid w:val="00E67C74"/>
    <w:pPr>
      <w:ind w:left="720"/>
      <w:contextualSpacing/>
    </w:pPr>
  </w:style>
  <w:style w:type="table" w:customStyle="1" w:styleId="LtrTableAddress">
    <w:name w:val="Ltr_Table_Address"/>
    <w:aliases w:val="ECHR_Ltr_Table_Address"/>
    <w:basedOn w:val="TableNormal"/>
    <w:uiPriority w:val="99"/>
    <w:rsid w:val="00E67C74"/>
    <w:rPr>
      <w:sz w:val="24"/>
      <w:szCs w:val="24"/>
    </w:rPr>
    <w:tblPr>
      <w:tblInd w:w="5103" w:type="dxa"/>
    </w:tblPr>
  </w:style>
  <w:style w:type="paragraph" w:styleId="Quote0">
    <w:name w:val="Quote"/>
    <w:basedOn w:val="Normal"/>
    <w:next w:val="Normal"/>
    <w:link w:val="QuoteChar"/>
    <w:uiPriority w:val="98"/>
    <w:semiHidden/>
    <w:qFormat/>
    <w:rsid w:val="00E67C74"/>
    <w:pPr>
      <w:spacing w:before="200"/>
      <w:ind w:left="360" w:right="360"/>
    </w:pPr>
    <w:rPr>
      <w:i/>
      <w:iCs/>
      <w:lang w:bidi="en-US"/>
    </w:rPr>
  </w:style>
  <w:style w:type="character" w:customStyle="1" w:styleId="QuoteChar">
    <w:name w:val="Quote Char"/>
    <w:basedOn w:val="DefaultParagraphFont"/>
    <w:link w:val="Quote0"/>
    <w:uiPriority w:val="98"/>
    <w:semiHidden/>
    <w:rsid w:val="00E67C74"/>
    <w:rPr>
      <w:i/>
      <w:iCs/>
      <w:sz w:val="24"/>
      <w:szCs w:val="24"/>
      <w:lang w:val="en-GB" w:bidi="en-US"/>
    </w:rPr>
  </w:style>
  <w:style w:type="character" w:styleId="SubtleReference">
    <w:name w:val="Subtle Reference"/>
    <w:uiPriority w:val="98"/>
    <w:semiHidden/>
    <w:qFormat/>
    <w:rsid w:val="00E67C74"/>
    <w:rPr>
      <w:smallCaps/>
    </w:rPr>
  </w:style>
  <w:style w:type="table" w:styleId="TableGrid">
    <w:name w:val="Table Grid"/>
    <w:basedOn w:val="TableNormal"/>
    <w:uiPriority w:val="59"/>
    <w:semiHidden/>
    <w:rsid w:val="00E67C7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67C7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67C7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67C7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67C7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67C7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67C7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67C7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67C7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67C7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67C7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67C7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67C7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67C7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67C7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67C7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67C74"/>
    <w:pPr>
      <w:numPr>
        <w:numId w:val="2"/>
      </w:numPr>
    </w:pPr>
  </w:style>
  <w:style w:type="paragraph" w:customStyle="1" w:styleId="JuPara">
    <w:name w:val="Ju_Para"/>
    <w:aliases w:val="_Para"/>
    <w:basedOn w:val="NormalJustified"/>
    <w:link w:val="JuParaChar"/>
    <w:uiPriority w:val="4"/>
    <w:qFormat/>
    <w:rsid w:val="00E67C74"/>
    <w:pPr>
      <w:ind w:firstLine="284"/>
    </w:pPr>
  </w:style>
  <w:style w:type="numbering" w:styleId="1ai">
    <w:name w:val="Outline List 1"/>
    <w:basedOn w:val="NoList"/>
    <w:uiPriority w:val="99"/>
    <w:semiHidden/>
    <w:unhideWhenUsed/>
    <w:rsid w:val="00E67C74"/>
    <w:pPr>
      <w:numPr>
        <w:numId w:val="3"/>
      </w:numPr>
    </w:pPr>
  </w:style>
  <w:style w:type="table" w:customStyle="1" w:styleId="ECHRTableSimpleBox">
    <w:name w:val="ECHR_Table_Simple_Box"/>
    <w:basedOn w:val="TableNormal"/>
    <w:uiPriority w:val="99"/>
    <w:rsid w:val="00E67C7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67C7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67C74"/>
    <w:pPr>
      <w:numPr>
        <w:numId w:val="4"/>
      </w:numPr>
    </w:pPr>
  </w:style>
  <w:style w:type="table" w:customStyle="1" w:styleId="ECHRTableForInternalUse">
    <w:name w:val="ECHR_Table_For_Internal_Use"/>
    <w:basedOn w:val="TableNormal"/>
    <w:uiPriority w:val="99"/>
    <w:rsid w:val="00E67C7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67C7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67C74"/>
  </w:style>
  <w:style w:type="paragraph" w:styleId="BlockText">
    <w:name w:val="Block Text"/>
    <w:basedOn w:val="Normal"/>
    <w:uiPriority w:val="98"/>
    <w:semiHidden/>
    <w:rsid w:val="00E67C7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67C7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67C74"/>
    <w:pPr>
      <w:spacing w:after="120"/>
    </w:pPr>
  </w:style>
  <w:style w:type="character" w:customStyle="1" w:styleId="BodyTextChar">
    <w:name w:val="Body Text Char"/>
    <w:basedOn w:val="DefaultParagraphFont"/>
    <w:link w:val="BodyText"/>
    <w:uiPriority w:val="98"/>
    <w:semiHidden/>
    <w:rsid w:val="00E67C74"/>
    <w:rPr>
      <w:sz w:val="24"/>
      <w:szCs w:val="24"/>
      <w:lang w:val="en-GB"/>
    </w:rPr>
  </w:style>
  <w:style w:type="table" w:customStyle="1" w:styleId="ECHRTableOddBanded">
    <w:name w:val="ECHR_Table_Odd_Banded"/>
    <w:basedOn w:val="TableNormal"/>
    <w:uiPriority w:val="99"/>
    <w:rsid w:val="00E67C74"/>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67C74"/>
    <w:pPr>
      <w:spacing w:after="120" w:line="480" w:lineRule="auto"/>
    </w:pPr>
  </w:style>
  <w:style w:type="table" w:customStyle="1" w:styleId="ECHRHeaderTableReduced">
    <w:name w:val="ECHR_Header_Table_Reduced"/>
    <w:basedOn w:val="TableNormal"/>
    <w:uiPriority w:val="99"/>
    <w:rsid w:val="00E67C7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E67C74"/>
    <w:pPr>
      <w:ind w:firstLine="284"/>
    </w:pPr>
    <w:rPr>
      <w:b/>
    </w:rPr>
  </w:style>
  <w:style w:type="character" w:styleId="PageNumber">
    <w:name w:val="page number"/>
    <w:uiPriority w:val="98"/>
    <w:semiHidden/>
    <w:rsid w:val="00E67C74"/>
    <w:rPr>
      <w:sz w:val="18"/>
    </w:rPr>
  </w:style>
  <w:style w:type="paragraph" w:styleId="ListBullet">
    <w:name w:val="List Bullet"/>
    <w:basedOn w:val="Normal"/>
    <w:uiPriority w:val="98"/>
    <w:semiHidden/>
    <w:rsid w:val="00E67C74"/>
    <w:pPr>
      <w:numPr>
        <w:numId w:val="5"/>
      </w:numPr>
    </w:pPr>
  </w:style>
  <w:style w:type="paragraph" w:styleId="ListBullet3">
    <w:name w:val="List Bullet 3"/>
    <w:basedOn w:val="Normal"/>
    <w:uiPriority w:val="98"/>
    <w:semiHidden/>
    <w:rsid w:val="00E67C74"/>
    <w:pPr>
      <w:numPr>
        <w:numId w:val="7"/>
      </w:numPr>
      <w:contextualSpacing/>
    </w:pPr>
  </w:style>
  <w:style w:type="character" w:customStyle="1" w:styleId="BodyText2Char">
    <w:name w:val="Body Text 2 Char"/>
    <w:basedOn w:val="DefaultParagraphFont"/>
    <w:link w:val="BodyText2"/>
    <w:uiPriority w:val="98"/>
    <w:semiHidden/>
    <w:rsid w:val="00E67C74"/>
    <w:rPr>
      <w:sz w:val="24"/>
      <w:szCs w:val="24"/>
      <w:lang w:val="en-GB"/>
    </w:rPr>
  </w:style>
  <w:style w:type="paragraph" w:styleId="BodyText3">
    <w:name w:val="Body Text 3"/>
    <w:basedOn w:val="Normal"/>
    <w:link w:val="BodyText3Char"/>
    <w:uiPriority w:val="98"/>
    <w:semiHidden/>
    <w:rsid w:val="00E67C74"/>
    <w:pPr>
      <w:spacing w:after="120"/>
    </w:pPr>
    <w:rPr>
      <w:sz w:val="16"/>
      <w:szCs w:val="16"/>
    </w:rPr>
  </w:style>
  <w:style w:type="character" w:customStyle="1" w:styleId="BodyText3Char">
    <w:name w:val="Body Text 3 Char"/>
    <w:basedOn w:val="DefaultParagraphFont"/>
    <w:link w:val="BodyText3"/>
    <w:uiPriority w:val="98"/>
    <w:semiHidden/>
    <w:rsid w:val="00E67C74"/>
    <w:rPr>
      <w:sz w:val="16"/>
      <w:szCs w:val="16"/>
      <w:lang w:val="en-GB"/>
    </w:rPr>
  </w:style>
  <w:style w:type="paragraph" w:styleId="BodyTextFirstIndent">
    <w:name w:val="Body Text First Indent"/>
    <w:basedOn w:val="BodyText"/>
    <w:link w:val="BodyTextFirstIndentChar"/>
    <w:uiPriority w:val="98"/>
    <w:semiHidden/>
    <w:rsid w:val="00E67C74"/>
    <w:pPr>
      <w:spacing w:after="0"/>
      <w:ind w:firstLine="360"/>
    </w:pPr>
  </w:style>
  <w:style w:type="character" w:customStyle="1" w:styleId="BodyTextFirstIndentChar">
    <w:name w:val="Body Text First Indent Char"/>
    <w:basedOn w:val="BodyTextChar"/>
    <w:link w:val="BodyTextFirstIndent"/>
    <w:uiPriority w:val="98"/>
    <w:semiHidden/>
    <w:rsid w:val="00E67C74"/>
    <w:rPr>
      <w:sz w:val="24"/>
      <w:szCs w:val="24"/>
      <w:lang w:val="en-GB"/>
    </w:rPr>
  </w:style>
  <w:style w:type="paragraph" w:styleId="BodyTextIndent">
    <w:name w:val="Body Text Indent"/>
    <w:basedOn w:val="Normal"/>
    <w:link w:val="BodyTextIndentChar"/>
    <w:uiPriority w:val="98"/>
    <w:semiHidden/>
    <w:rsid w:val="00E67C74"/>
    <w:pPr>
      <w:spacing w:after="120"/>
      <w:ind w:left="283"/>
    </w:pPr>
  </w:style>
  <w:style w:type="character" w:customStyle="1" w:styleId="BodyTextIndentChar">
    <w:name w:val="Body Text Indent Char"/>
    <w:basedOn w:val="DefaultParagraphFont"/>
    <w:link w:val="BodyTextIndent"/>
    <w:uiPriority w:val="98"/>
    <w:semiHidden/>
    <w:rsid w:val="00E67C74"/>
    <w:rPr>
      <w:sz w:val="24"/>
      <w:szCs w:val="24"/>
      <w:lang w:val="en-GB"/>
    </w:rPr>
  </w:style>
  <w:style w:type="paragraph" w:styleId="BodyTextFirstIndent2">
    <w:name w:val="Body Text First Indent 2"/>
    <w:basedOn w:val="BodyTextIndent"/>
    <w:link w:val="BodyTextFirstIndent2Char"/>
    <w:uiPriority w:val="98"/>
    <w:semiHidden/>
    <w:rsid w:val="00E67C74"/>
    <w:pPr>
      <w:spacing w:after="0"/>
      <w:ind w:left="360" w:firstLine="360"/>
    </w:pPr>
  </w:style>
  <w:style w:type="character" w:customStyle="1" w:styleId="BodyTextFirstIndent2Char">
    <w:name w:val="Body Text First Indent 2 Char"/>
    <w:basedOn w:val="BodyTextIndentChar"/>
    <w:link w:val="BodyTextFirstIndent2"/>
    <w:uiPriority w:val="98"/>
    <w:semiHidden/>
    <w:rsid w:val="00E67C74"/>
    <w:rPr>
      <w:sz w:val="24"/>
      <w:szCs w:val="24"/>
      <w:lang w:val="en-GB"/>
    </w:rPr>
  </w:style>
  <w:style w:type="paragraph" w:styleId="BodyTextIndent2">
    <w:name w:val="Body Text Indent 2"/>
    <w:basedOn w:val="Normal"/>
    <w:link w:val="BodyTextIndent2Char"/>
    <w:uiPriority w:val="98"/>
    <w:semiHidden/>
    <w:rsid w:val="00E67C74"/>
    <w:pPr>
      <w:spacing w:after="120" w:line="480" w:lineRule="auto"/>
      <w:ind w:left="283"/>
    </w:pPr>
  </w:style>
  <w:style w:type="character" w:customStyle="1" w:styleId="BodyTextIndent2Char">
    <w:name w:val="Body Text Indent 2 Char"/>
    <w:basedOn w:val="DefaultParagraphFont"/>
    <w:link w:val="BodyTextIndent2"/>
    <w:uiPriority w:val="98"/>
    <w:semiHidden/>
    <w:rsid w:val="00E67C74"/>
    <w:rPr>
      <w:sz w:val="24"/>
      <w:szCs w:val="24"/>
      <w:lang w:val="en-GB"/>
    </w:rPr>
  </w:style>
  <w:style w:type="paragraph" w:styleId="BodyTextIndent3">
    <w:name w:val="Body Text Indent 3"/>
    <w:basedOn w:val="Normal"/>
    <w:link w:val="BodyTextIndent3Char"/>
    <w:uiPriority w:val="98"/>
    <w:semiHidden/>
    <w:rsid w:val="00E67C7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67C74"/>
    <w:rPr>
      <w:sz w:val="16"/>
      <w:szCs w:val="16"/>
      <w:lang w:val="en-GB"/>
    </w:rPr>
  </w:style>
  <w:style w:type="paragraph" w:styleId="Caption">
    <w:name w:val="caption"/>
    <w:basedOn w:val="Normal"/>
    <w:next w:val="Normal"/>
    <w:uiPriority w:val="98"/>
    <w:semiHidden/>
    <w:qFormat/>
    <w:rsid w:val="00E67C74"/>
    <w:pPr>
      <w:spacing w:after="200"/>
    </w:pPr>
    <w:rPr>
      <w:b/>
      <w:bCs/>
      <w:color w:val="0072BC" w:themeColor="accent1"/>
      <w:sz w:val="18"/>
      <w:szCs w:val="18"/>
    </w:rPr>
  </w:style>
  <w:style w:type="paragraph" w:styleId="Closing">
    <w:name w:val="Closing"/>
    <w:basedOn w:val="Normal"/>
    <w:link w:val="ClosingChar"/>
    <w:uiPriority w:val="98"/>
    <w:semiHidden/>
    <w:rsid w:val="00E67C74"/>
    <w:pPr>
      <w:ind w:left="4252"/>
    </w:pPr>
  </w:style>
  <w:style w:type="character" w:customStyle="1" w:styleId="ClosingChar">
    <w:name w:val="Closing Char"/>
    <w:basedOn w:val="DefaultParagraphFont"/>
    <w:link w:val="Closing"/>
    <w:uiPriority w:val="98"/>
    <w:semiHidden/>
    <w:rsid w:val="00E67C74"/>
    <w:rPr>
      <w:sz w:val="24"/>
      <w:szCs w:val="24"/>
      <w:lang w:val="en-GB"/>
    </w:rPr>
  </w:style>
  <w:style w:type="table" w:styleId="ColorfulGrid">
    <w:name w:val="Colorful Grid"/>
    <w:basedOn w:val="TableNormal"/>
    <w:uiPriority w:val="73"/>
    <w:semiHidden/>
    <w:rsid w:val="00E67C7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67C7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67C7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67C7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67C7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67C7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67C7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67C7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67C7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67C7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67C7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67C7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67C7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67C7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67C7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67C7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67C7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67C7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67C7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67C7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67C7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67C74"/>
    <w:rPr>
      <w:sz w:val="16"/>
      <w:szCs w:val="16"/>
    </w:rPr>
  </w:style>
  <w:style w:type="paragraph" w:styleId="CommentText">
    <w:name w:val="annotation text"/>
    <w:basedOn w:val="Normal"/>
    <w:link w:val="CommentTextChar"/>
    <w:uiPriority w:val="98"/>
    <w:semiHidden/>
    <w:rsid w:val="00E67C74"/>
    <w:rPr>
      <w:sz w:val="20"/>
      <w:szCs w:val="20"/>
    </w:rPr>
  </w:style>
  <w:style w:type="character" w:customStyle="1" w:styleId="CommentTextChar">
    <w:name w:val="Comment Text Char"/>
    <w:basedOn w:val="DefaultParagraphFont"/>
    <w:link w:val="CommentText"/>
    <w:uiPriority w:val="98"/>
    <w:semiHidden/>
    <w:rsid w:val="00E67C74"/>
    <w:rPr>
      <w:sz w:val="20"/>
      <w:szCs w:val="20"/>
      <w:lang w:val="en-GB"/>
    </w:rPr>
  </w:style>
  <w:style w:type="paragraph" w:styleId="CommentSubject">
    <w:name w:val="annotation subject"/>
    <w:basedOn w:val="CommentText"/>
    <w:next w:val="CommentText"/>
    <w:link w:val="CommentSubjectChar"/>
    <w:uiPriority w:val="98"/>
    <w:semiHidden/>
    <w:rsid w:val="00E67C74"/>
    <w:rPr>
      <w:b/>
      <w:bCs/>
    </w:rPr>
  </w:style>
  <w:style w:type="character" w:customStyle="1" w:styleId="CommentSubjectChar">
    <w:name w:val="Comment Subject Char"/>
    <w:basedOn w:val="CommentTextChar"/>
    <w:link w:val="CommentSubject"/>
    <w:uiPriority w:val="98"/>
    <w:semiHidden/>
    <w:rsid w:val="00E67C74"/>
    <w:rPr>
      <w:b/>
      <w:bCs/>
      <w:sz w:val="20"/>
      <w:szCs w:val="20"/>
      <w:lang w:val="en-GB"/>
    </w:rPr>
  </w:style>
  <w:style w:type="table" w:styleId="DarkList">
    <w:name w:val="Dark List"/>
    <w:basedOn w:val="TableNormal"/>
    <w:uiPriority w:val="70"/>
    <w:semiHidden/>
    <w:rsid w:val="00E67C7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67C7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67C7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67C7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67C7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67C7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67C7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67C74"/>
  </w:style>
  <w:style w:type="character" w:customStyle="1" w:styleId="DateChar">
    <w:name w:val="Date Char"/>
    <w:basedOn w:val="DefaultParagraphFont"/>
    <w:link w:val="Date"/>
    <w:uiPriority w:val="98"/>
    <w:semiHidden/>
    <w:rsid w:val="00E67C74"/>
    <w:rPr>
      <w:sz w:val="24"/>
      <w:szCs w:val="24"/>
      <w:lang w:val="en-GB"/>
    </w:rPr>
  </w:style>
  <w:style w:type="paragraph" w:styleId="DocumentMap">
    <w:name w:val="Document Map"/>
    <w:basedOn w:val="Normal"/>
    <w:link w:val="DocumentMapChar"/>
    <w:uiPriority w:val="98"/>
    <w:semiHidden/>
    <w:rsid w:val="00E67C74"/>
    <w:rPr>
      <w:rFonts w:ascii="Tahoma" w:hAnsi="Tahoma" w:cs="Tahoma"/>
      <w:sz w:val="16"/>
      <w:szCs w:val="16"/>
    </w:rPr>
  </w:style>
  <w:style w:type="character" w:customStyle="1" w:styleId="DocumentMapChar">
    <w:name w:val="Document Map Char"/>
    <w:basedOn w:val="DefaultParagraphFont"/>
    <w:link w:val="DocumentMap"/>
    <w:uiPriority w:val="98"/>
    <w:semiHidden/>
    <w:rsid w:val="00E67C74"/>
    <w:rPr>
      <w:rFonts w:ascii="Tahoma" w:hAnsi="Tahoma" w:cs="Tahoma"/>
      <w:sz w:val="16"/>
      <w:szCs w:val="16"/>
      <w:lang w:val="en-GB"/>
    </w:rPr>
  </w:style>
  <w:style w:type="paragraph" w:styleId="E-mailSignature">
    <w:name w:val="E-mail Signature"/>
    <w:basedOn w:val="Normal"/>
    <w:link w:val="E-mailSignatureChar"/>
    <w:uiPriority w:val="98"/>
    <w:semiHidden/>
    <w:rsid w:val="00E67C74"/>
  </w:style>
  <w:style w:type="character" w:customStyle="1" w:styleId="E-mailSignatureChar">
    <w:name w:val="E-mail Signature Char"/>
    <w:basedOn w:val="DefaultParagraphFont"/>
    <w:link w:val="E-mailSignature"/>
    <w:uiPriority w:val="98"/>
    <w:semiHidden/>
    <w:rsid w:val="00E67C74"/>
    <w:rPr>
      <w:sz w:val="24"/>
      <w:szCs w:val="24"/>
      <w:lang w:val="en-GB"/>
    </w:rPr>
  </w:style>
  <w:style w:type="character" w:styleId="EndnoteReference">
    <w:name w:val="endnote reference"/>
    <w:basedOn w:val="DefaultParagraphFont"/>
    <w:uiPriority w:val="98"/>
    <w:semiHidden/>
    <w:rsid w:val="00E67C74"/>
    <w:rPr>
      <w:vertAlign w:val="superscript"/>
    </w:rPr>
  </w:style>
  <w:style w:type="paragraph" w:styleId="EndnoteText">
    <w:name w:val="endnote text"/>
    <w:basedOn w:val="Normal"/>
    <w:link w:val="EndnoteTextChar"/>
    <w:uiPriority w:val="98"/>
    <w:semiHidden/>
    <w:rsid w:val="00E67C74"/>
    <w:rPr>
      <w:sz w:val="20"/>
      <w:szCs w:val="20"/>
    </w:rPr>
  </w:style>
  <w:style w:type="character" w:customStyle="1" w:styleId="EndnoteTextChar">
    <w:name w:val="Endnote Text Char"/>
    <w:basedOn w:val="DefaultParagraphFont"/>
    <w:link w:val="EndnoteText"/>
    <w:uiPriority w:val="98"/>
    <w:semiHidden/>
    <w:rsid w:val="00E67C74"/>
    <w:rPr>
      <w:sz w:val="20"/>
      <w:szCs w:val="20"/>
      <w:lang w:val="en-GB"/>
    </w:rPr>
  </w:style>
  <w:style w:type="paragraph" w:styleId="EnvelopeAddress">
    <w:name w:val="envelope address"/>
    <w:basedOn w:val="Normal"/>
    <w:uiPriority w:val="98"/>
    <w:semiHidden/>
    <w:rsid w:val="00E67C7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67C7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67C74"/>
    <w:rPr>
      <w:color w:val="7030A0" w:themeColor="followedHyperlink"/>
      <w:u w:val="single"/>
    </w:rPr>
  </w:style>
  <w:style w:type="character" w:styleId="HTMLAcronym">
    <w:name w:val="HTML Acronym"/>
    <w:basedOn w:val="DefaultParagraphFont"/>
    <w:uiPriority w:val="98"/>
    <w:semiHidden/>
    <w:rsid w:val="00E67C74"/>
  </w:style>
  <w:style w:type="paragraph" w:styleId="HTMLAddress">
    <w:name w:val="HTML Address"/>
    <w:basedOn w:val="Normal"/>
    <w:link w:val="HTMLAddressChar"/>
    <w:uiPriority w:val="98"/>
    <w:semiHidden/>
    <w:rsid w:val="00E67C74"/>
    <w:rPr>
      <w:i/>
      <w:iCs/>
    </w:rPr>
  </w:style>
  <w:style w:type="character" w:customStyle="1" w:styleId="HTMLAddressChar">
    <w:name w:val="HTML Address Char"/>
    <w:basedOn w:val="DefaultParagraphFont"/>
    <w:link w:val="HTMLAddress"/>
    <w:uiPriority w:val="98"/>
    <w:semiHidden/>
    <w:rsid w:val="00E67C74"/>
    <w:rPr>
      <w:i/>
      <w:iCs/>
      <w:sz w:val="24"/>
      <w:szCs w:val="24"/>
      <w:lang w:val="en-GB"/>
    </w:rPr>
  </w:style>
  <w:style w:type="character" w:styleId="HTMLCite">
    <w:name w:val="HTML Cite"/>
    <w:basedOn w:val="DefaultParagraphFont"/>
    <w:uiPriority w:val="98"/>
    <w:semiHidden/>
    <w:rsid w:val="00E67C74"/>
    <w:rPr>
      <w:i/>
      <w:iCs/>
    </w:rPr>
  </w:style>
  <w:style w:type="character" w:styleId="HTMLCode">
    <w:name w:val="HTML Code"/>
    <w:basedOn w:val="DefaultParagraphFont"/>
    <w:uiPriority w:val="98"/>
    <w:semiHidden/>
    <w:rsid w:val="00E67C74"/>
    <w:rPr>
      <w:rFonts w:ascii="Consolas" w:hAnsi="Consolas" w:cs="Consolas"/>
      <w:sz w:val="20"/>
      <w:szCs w:val="20"/>
    </w:rPr>
  </w:style>
  <w:style w:type="character" w:styleId="HTMLDefinition">
    <w:name w:val="HTML Definition"/>
    <w:basedOn w:val="DefaultParagraphFont"/>
    <w:uiPriority w:val="98"/>
    <w:semiHidden/>
    <w:rsid w:val="00E67C74"/>
    <w:rPr>
      <w:i/>
      <w:iCs/>
    </w:rPr>
  </w:style>
  <w:style w:type="character" w:styleId="HTMLKeyboard">
    <w:name w:val="HTML Keyboard"/>
    <w:basedOn w:val="DefaultParagraphFont"/>
    <w:uiPriority w:val="98"/>
    <w:semiHidden/>
    <w:rsid w:val="00E67C74"/>
    <w:rPr>
      <w:rFonts w:ascii="Consolas" w:hAnsi="Consolas" w:cs="Consolas"/>
      <w:sz w:val="20"/>
      <w:szCs w:val="20"/>
    </w:rPr>
  </w:style>
  <w:style w:type="paragraph" w:styleId="HTMLPreformatted">
    <w:name w:val="HTML Preformatted"/>
    <w:basedOn w:val="Normal"/>
    <w:link w:val="HTMLPreformattedChar"/>
    <w:uiPriority w:val="98"/>
    <w:semiHidden/>
    <w:rsid w:val="00E67C7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67C74"/>
    <w:rPr>
      <w:rFonts w:ascii="Consolas" w:hAnsi="Consolas" w:cs="Consolas"/>
      <w:sz w:val="20"/>
      <w:szCs w:val="20"/>
      <w:lang w:val="en-GB"/>
    </w:rPr>
  </w:style>
  <w:style w:type="character" w:styleId="HTMLSample">
    <w:name w:val="HTML Sample"/>
    <w:basedOn w:val="DefaultParagraphFont"/>
    <w:uiPriority w:val="98"/>
    <w:semiHidden/>
    <w:rsid w:val="00E67C74"/>
    <w:rPr>
      <w:rFonts w:ascii="Consolas" w:hAnsi="Consolas" w:cs="Consolas"/>
      <w:sz w:val="24"/>
      <w:szCs w:val="24"/>
    </w:rPr>
  </w:style>
  <w:style w:type="character" w:styleId="HTMLTypewriter">
    <w:name w:val="HTML Typewriter"/>
    <w:basedOn w:val="DefaultParagraphFont"/>
    <w:uiPriority w:val="98"/>
    <w:semiHidden/>
    <w:rsid w:val="00E67C74"/>
    <w:rPr>
      <w:rFonts w:ascii="Consolas" w:hAnsi="Consolas" w:cs="Consolas"/>
      <w:sz w:val="20"/>
      <w:szCs w:val="20"/>
    </w:rPr>
  </w:style>
  <w:style w:type="character" w:styleId="HTMLVariable">
    <w:name w:val="HTML Variable"/>
    <w:basedOn w:val="DefaultParagraphFont"/>
    <w:uiPriority w:val="98"/>
    <w:semiHidden/>
    <w:rsid w:val="00E67C74"/>
    <w:rPr>
      <w:i/>
      <w:iCs/>
    </w:rPr>
  </w:style>
  <w:style w:type="paragraph" w:styleId="Index1">
    <w:name w:val="index 1"/>
    <w:basedOn w:val="Normal"/>
    <w:next w:val="Normal"/>
    <w:autoRedefine/>
    <w:uiPriority w:val="98"/>
    <w:semiHidden/>
    <w:rsid w:val="00E67C74"/>
    <w:pPr>
      <w:ind w:left="240" w:hanging="240"/>
    </w:pPr>
  </w:style>
  <w:style w:type="paragraph" w:styleId="Index2">
    <w:name w:val="index 2"/>
    <w:basedOn w:val="Normal"/>
    <w:next w:val="Normal"/>
    <w:autoRedefine/>
    <w:uiPriority w:val="98"/>
    <w:semiHidden/>
    <w:rsid w:val="00E67C74"/>
    <w:pPr>
      <w:ind w:left="480" w:hanging="240"/>
    </w:pPr>
  </w:style>
  <w:style w:type="paragraph" w:styleId="Index3">
    <w:name w:val="index 3"/>
    <w:basedOn w:val="Normal"/>
    <w:next w:val="Normal"/>
    <w:autoRedefine/>
    <w:uiPriority w:val="98"/>
    <w:semiHidden/>
    <w:rsid w:val="00E67C74"/>
    <w:pPr>
      <w:ind w:left="720" w:hanging="240"/>
    </w:pPr>
  </w:style>
  <w:style w:type="paragraph" w:styleId="Index4">
    <w:name w:val="index 4"/>
    <w:basedOn w:val="Normal"/>
    <w:next w:val="Normal"/>
    <w:autoRedefine/>
    <w:uiPriority w:val="98"/>
    <w:semiHidden/>
    <w:rsid w:val="00E67C74"/>
    <w:pPr>
      <w:ind w:left="960" w:hanging="240"/>
    </w:pPr>
  </w:style>
  <w:style w:type="paragraph" w:styleId="Index5">
    <w:name w:val="index 5"/>
    <w:basedOn w:val="Normal"/>
    <w:next w:val="Normal"/>
    <w:autoRedefine/>
    <w:uiPriority w:val="98"/>
    <w:semiHidden/>
    <w:rsid w:val="00E67C74"/>
    <w:pPr>
      <w:ind w:left="1200" w:hanging="240"/>
    </w:pPr>
  </w:style>
  <w:style w:type="paragraph" w:styleId="Index6">
    <w:name w:val="index 6"/>
    <w:basedOn w:val="Normal"/>
    <w:next w:val="Normal"/>
    <w:autoRedefine/>
    <w:uiPriority w:val="98"/>
    <w:semiHidden/>
    <w:rsid w:val="00E67C74"/>
    <w:pPr>
      <w:ind w:left="1440" w:hanging="240"/>
    </w:pPr>
  </w:style>
  <w:style w:type="paragraph" w:styleId="Index7">
    <w:name w:val="index 7"/>
    <w:basedOn w:val="Normal"/>
    <w:next w:val="Normal"/>
    <w:autoRedefine/>
    <w:uiPriority w:val="98"/>
    <w:semiHidden/>
    <w:rsid w:val="00E67C74"/>
    <w:pPr>
      <w:ind w:left="1680" w:hanging="240"/>
    </w:pPr>
  </w:style>
  <w:style w:type="paragraph" w:styleId="Index8">
    <w:name w:val="index 8"/>
    <w:basedOn w:val="Normal"/>
    <w:next w:val="Normal"/>
    <w:autoRedefine/>
    <w:uiPriority w:val="98"/>
    <w:semiHidden/>
    <w:rsid w:val="00E67C74"/>
    <w:pPr>
      <w:ind w:left="1920" w:hanging="240"/>
    </w:pPr>
  </w:style>
  <w:style w:type="paragraph" w:styleId="Index9">
    <w:name w:val="index 9"/>
    <w:basedOn w:val="Normal"/>
    <w:next w:val="Normal"/>
    <w:autoRedefine/>
    <w:uiPriority w:val="98"/>
    <w:semiHidden/>
    <w:rsid w:val="00E67C74"/>
    <w:pPr>
      <w:ind w:left="2160" w:hanging="240"/>
    </w:pPr>
  </w:style>
  <w:style w:type="paragraph" w:styleId="IndexHeading">
    <w:name w:val="index heading"/>
    <w:basedOn w:val="Normal"/>
    <w:next w:val="Index1"/>
    <w:uiPriority w:val="98"/>
    <w:semiHidden/>
    <w:rsid w:val="00E67C74"/>
    <w:rPr>
      <w:rFonts w:asciiTheme="majorHAnsi" w:eastAsiaTheme="majorEastAsia" w:hAnsiTheme="majorHAnsi" w:cstheme="majorBidi"/>
      <w:b/>
      <w:bCs/>
    </w:rPr>
  </w:style>
  <w:style w:type="table" w:styleId="LightGrid">
    <w:name w:val="Light Grid"/>
    <w:basedOn w:val="TableNormal"/>
    <w:uiPriority w:val="62"/>
    <w:semiHidden/>
    <w:rsid w:val="00E67C7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67C7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67C7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67C7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67C7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67C7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67C7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67C7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67C7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67C7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67C7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67C7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67C7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67C7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67C7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67C7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67C7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67C7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67C7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67C7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67C7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67C74"/>
  </w:style>
  <w:style w:type="paragraph" w:styleId="List">
    <w:name w:val="List"/>
    <w:basedOn w:val="Normal"/>
    <w:uiPriority w:val="98"/>
    <w:semiHidden/>
    <w:rsid w:val="00E67C74"/>
    <w:pPr>
      <w:ind w:left="283" w:hanging="283"/>
      <w:contextualSpacing/>
    </w:pPr>
  </w:style>
  <w:style w:type="paragraph" w:styleId="List20">
    <w:name w:val="List 2"/>
    <w:basedOn w:val="Normal"/>
    <w:uiPriority w:val="98"/>
    <w:semiHidden/>
    <w:rsid w:val="00E67C74"/>
    <w:pPr>
      <w:ind w:left="566" w:hanging="283"/>
      <w:contextualSpacing/>
    </w:pPr>
  </w:style>
  <w:style w:type="paragraph" w:styleId="List30">
    <w:name w:val="List 3"/>
    <w:basedOn w:val="Normal"/>
    <w:uiPriority w:val="98"/>
    <w:semiHidden/>
    <w:rsid w:val="00E67C74"/>
    <w:pPr>
      <w:ind w:left="849" w:hanging="283"/>
      <w:contextualSpacing/>
    </w:pPr>
  </w:style>
  <w:style w:type="paragraph" w:styleId="List4">
    <w:name w:val="List 4"/>
    <w:basedOn w:val="Normal"/>
    <w:uiPriority w:val="98"/>
    <w:semiHidden/>
    <w:rsid w:val="00E67C74"/>
    <w:pPr>
      <w:ind w:left="1132" w:hanging="283"/>
      <w:contextualSpacing/>
    </w:pPr>
  </w:style>
  <w:style w:type="paragraph" w:styleId="List5">
    <w:name w:val="List 5"/>
    <w:basedOn w:val="Normal"/>
    <w:uiPriority w:val="98"/>
    <w:semiHidden/>
    <w:rsid w:val="00E67C74"/>
    <w:pPr>
      <w:ind w:left="1415" w:hanging="283"/>
      <w:contextualSpacing/>
    </w:pPr>
  </w:style>
  <w:style w:type="paragraph" w:styleId="ListBullet2">
    <w:name w:val="List Bullet 2"/>
    <w:basedOn w:val="Normal"/>
    <w:uiPriority w:val="98"/>
    <w:semiHidden/>
    <w:rsid w:val="00E67C74"/>
    <w:pPr>
      <w:numPr>
        <w:numId w:val="6"/>
      </w:numPr>
      <w:contextualSpacing/>
    </w:pPr>
  </w:style>
  <w:style w:type="paragraph" w:styleId="ListBullet4">
    <w:name w:val="List Bullet 4"/>
    <w:basedOn w:val="Normal"/>
    <w:uiPriority w:val="98"/>
    <w:semiHidden/>
    <w:rsid w:val="00E67C74"/>
    <w:pPr>
      <w:numPr>
        <w:numId w:val="8"/>
      </w:numPr>
      <w:contextualSpacing/>
    </w:pPr>
  </w:style>
  <w:style w:type="paragraph" w:styleId="ListBullet5">
    <w:name w:val="List Bullet 5"/>
    <w:basedOn w:val="Normal"/>
    <w:uiPriority w:val="98"/>
    <w:semiHidden/>
    <w:rsid w:val="00E67C74"/>
    <w:pPr>
      <w:numPr>
        <w:numId w:val="9"/>
      </w:numPr>
      <w:contextualSpacing/>
    </w:pPr>
  </w:style>
  <w:style w:type="paragraph" w:styleId="ListContinue">
    <w:name w:val="List Continue"/>
    <w:basedOn w:val="Normal"/>
    <w:uiPriority w:val="98"/>
    <w:semiHidden/>
    <w:rsid w:val="00E67C74"/>
    <w:pPr>
      <w:spacing w:after="120"/>
      <w:ind w:left="283"/>
      <w:contextualSpacing/>
    </w:pPr>
  </w:style>
  <w:style w:type="paragraph" w:styleId="ListContinue2">
    <w:name w:val="List Continue 2"/>
    <w:basedOn w:val="Normal"/>
    <w:uiPriority w:val="98"/>
    <w:semiHidden/>
    <w:rsid w:val="00E67C74"/>
    <w:pPr>
      <w:spacing w:after="120"/>
      <w:ind w:left="566"/>
      <w:contextualSpacing/>
    </w:pPr>
  </w:style>
  <w:style w:type="paragraph" w:styleId="ListContinue3">
    <w:name w:val="List Continue 3"/>
    <w:basedOn w:val="Normal"/>
    <w:uiPriority w:val="98"/>
    <w:semiHidden/>
    <w:rsid w:val="00E67C74"/>
    <w:pPr>
      <w:spacing w:after="120"/>
      <w:ind w:left="849"/>
      <w:contextualSpacing/>
    </w:pPr>
  </w:style>
  <w:style w:type="paragraph" w:styleId="ListContinue4">
    <w:name w:val="List Continue 4"/>
    <w:basedOn w:val="Normal"/>
    <w:uiPriority w:val="98"/>
    <w:semiHidden/>
    <w:rsid w:val="00E67C74"/>
    <w:pPr>
      <w:spacing w:after="120"/>
      <w:ind w:left="1132"/>
      <w:contextualSpacing/>
    </w:pPr>
  </w:style>
  <w:style w:type="paragraph" w:styleId="ListContinue5">
    <w:name w:val="List Continue 5"/>
    <w:basedOn w:val="Normal"/>
    <w:uiPriority w:val="98"/>
    <w:semiHidden/>
    <w:rsid w:val="00E67C74"/>
    <w:pPr>
      <w:spacing w:after="120"/>
      <w:ind w:left="1415"/>
      <w:contextualSpacing/>
    </w:pPr>
  </w:style>
  <w:style w:type="paragraph" w:styleId="ListNumber">
    <w:name w:val="List Number"/>
    <w:basedOn w:val="Normal"/>
    <w:uiPriority w:val="98"/>
    <w:semiHidden/>
    <w:rsid w:val="00E67C74"/>
    <w:pPr>
      <w:numPr>
        <w:numId w:val="10"/>
      </w:numPr>
      <w:contextualSpacing/>
    </w:pPr>
  </w:style>
  <w:style w:type="paragraph" w:styleId="ListNumber2">
    <w:name w:val="List Number 2"/>
    <w:basedOn w:val="Normal"/>
    <w:uiPriority w:val="98"/>
    <w:semiHidden/>
    <w:rsid w:val="00E67C74"/>
    <w:pPr>
      <w:numPr>
        <w:numId w:val="11"/>
      </w:numPr>
      <w:contextualSpacing/>
    </w:pPr>
  </w:style>
  <w:style w:type="paragraph" w:styleId="ListNumber3">
    <w:name w:val="List Number 3"/>
    <w:basedOn w:val="Normal"/>
    <w:uiPriority w:val="98"/>
    <w:semiHidden/>
    <w:rsid w:val="00E67C74"/>
    <w:pPr>
      <w:numPr>
        <w:numId w:val="12"/>
      </w:numPr>
      <w:contextualSpacing/>
    </w:pPr>
  </w:style>
  <w:style w:type="paragraph" w:styleId="ListNumber4">
    <w:name w:val="List Number 4"/>
    <w:basedOn w:val="Normal"/>
    <w:uiPriority w:val="98"/>
    <w:semiHidden/>
    <w:rsid w:val="00E67C74"/>
    <w:pPr>
      <w:numPr>
        <w:numId w:val="13"/>
      </w:numPr>
      <w:contextualSpacing/>
    </w:pPr>
  </w:style>
  <w:style w:type="paragraph" w:styleId="ListNumber5">
    <w:name w:val="List Number 5"/>
    <w:basedOn w:val="Normal"/>
    <w:uiPriority w:val="98"/>
    <w:semiHidden/>
    <w:rsid w:val="00E67C74"/>
    <w:pPr>
      <w:numPr>
        <w:numId w:val="14"/>
      </w:numPr>
      <w:contextualSpacing/>
    </w:pPr>
  </w:style>
  <w:style w:type="paragraph" w:styleId="Macro">
    <w:name w:val="macro"/>
    <w:link w:val="MacroTextChar"/>
    <w:uiPriority w:val="98"/>
    <w:semiHidden/>
    <w:rsid w:val="00E67C7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67C74"/>
    <w:rPr>
      <w:rFonts w:ascii="Consolas" w:hAnsi="Consolas" w:eastAsiaTheme="minorEastAsia" w:cs="Consolas"/>
      <w:sz w:val="20"/>
      <w:szCs w:val="20"/>
    </w:rPr>
  </w:style>
  <w:style w:type="table" w:styleId="MediumGrid1">
    <w:name w:val="Medium Grid 1"/>
    <w:basedOn w:val="TableNormal"/>
    <w:uiPriority w:val="67"/>
    <w:semiHidden/>
    <w:rsid w:val="00E67C7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67C7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67C7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67C7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67C7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67C7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67C7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67C7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67C7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67C7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67C7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67C7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67C7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67C7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67C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67C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67C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67C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67C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67C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67C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67C7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67C7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67C7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67C7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67C7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67C7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67C7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67C7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67C7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67C7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67C7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67C7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67C7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67C7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67C7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67C7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67C7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67C7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67C7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67C7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67C7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67C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67C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67C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67C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67C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67C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67C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67C7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67C7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67C74"/>
    <w:rPr>
      <w:rFonts w:ascii="Times New Roman" w:hAnsi="Times New Roman" w:cs="Times New Roman"/>
    </w:rPr>
  </w:style>
  <w:style w:type="paragraph" w:styleId="NormalIndent">
    <w:name w:val="Normal Indent"/>
    <w:basedOn w:val="Normal"/>
    <w:uiPriority w:val="98"/>
    <w:semiHidden/>
    <w:rsid w:val="00E67C74"/>
    <w:pPr>
      <w:ind w:left="720"/>
    </w:pPr>
  </w:style>
  <w:style w:type="paragraph" w:styleId="NoteHeading">
    <w:name w:val="Note Heading"/>
    <w:basedOn w:val="Normal"/>
    <w:next w:val="Normal"/>
    <w:link w:val="NoteHeadingChar"/>
    <w:uiPriority w:val="98"/>
    <w:semiHidden/>
    <w:rsid w:val="00E67C74"/>
  </w:style>
  <w:style w:type="character" w:customStyle="1" w:styleId="NoteHeadingChar">
    <w:name w:val="Note Heading Char"/>
    <w:basedOn w:val="DefaultParagraphFont"/>
    <w:link w:val="NoteHeading"/>
    <w:uiPriority w:val="98"/>
    <w:semiHidden/>
    <w:rsid w:val="00E67C74"/>
    <w:rPr>
      <w:sz w:val="24"/>
      <w:szCs w:val="24"/>
      <w:lang w:val="en-GB"/>
    </w:rPr>
  </w:style>
  <w:style w:type="character" w:styleId="PlaceholderText">
    <w:name w:val="Placeholder Text"/>
    <w:basedOn w:val="DefaultParagraphFont"/>
    <w:uiPriority w:val="98"/>
    <w:semiHidden/>
    <w:rsid w:val="00E67C7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67C74"/>
    <w:rPr>
      <w:rFonts w:ascii="Consolas" w:hAnsi="Consolas" w:cs="Consolas"/>
      <w:sz w:val="21"/>
      <w:szCs w:val="21"/>
    </w:rPr>
  </w:style>
  <w:style w:type="character" w:customStyle="1" w:styleId="PlainTextChar">
    <w:name w:val="Plain Text Char"/>
    <w:basedOn w:val="DefaultParagraphFont"/>
    <w:link w:val="PlainText"/>
    <w:uiPriority w:val="98"/>
    <w:semiHidden/>
    <w:rsid w:val="00E67C74"/>
    <w:rPr>
      <w:rFonts w:ascii="Consolas" w:hAnsi="Consolas" w:cs="Consolas"/>
      <w:sz w:val="21"/>
      <w:szCs w:val="21"/>
      <w:lang w:val="en-GB"/>
    </w:rPr>
  </w:style>
  <w:style w:type="paragraph" w:styleId="Salutation">
    <w:name w:val="Salutation"/>
    <w:basedOn w:val="Normal"/>
    <w:next w:val="Normal"/>
    <w:link w:val="SalutationChar"/>
    <w:uiPriority w:val="98"/>
    <w:semiHidden/>
    <w:rsid w:val="00E67C74"/>
  </w:style>
  <w:style w:type="character" w:customStyle="1" w:styleId="SalutationChar">
    <w:name w:val="Salutation Char"/>
    <w:basedOn w:val="DefaultParagraphFont"/>
    <w:link w:val="Salutation"/>
    <w:uiPriority w:val="98"/>
    <w:semiHidden/>
    <w:rsid w:val="00E67C74"/>
    <w:rPr>
      <w:sz w:val="24"/>
      <w:szCs w:val="24"/>
      <w:lang w:val="en-GB"/>
    </w:rPr>
  </w:style>
  <w:style w:type="paragraph" w:styleId="Signature0">
    <w:name w:val="Signature"/>
    <w:basedOn w:val="Normal"/>
    <w:link w:val="SignatureChar"/>
    <w:uiPriority w:val="98"/>
    <w:semiHidden/>
    <w:rsid w:val="00E67C74"/>
    <w:pPr>
      <w:ind w:left="4252"/>
    </w:pPr>
  </w:style>
  <w:style w:type="character" w:customStyle="1" w:styleId="SignatureChar">
    <w:name w:val="Signature Char"/>
    <w:basedOn w:val="DefaultParagraphFont"/>
    <w:link w:val="Signature0"/>
    <w:uiPriority w:val="98"/>
    <w:semiHidden/>
    <w:rsid w:val="00E67C74"/>
    <w:rPr>
      <w:sz w:val="24"/>
      <w:szCs w:val="24"/>
      <w:lang w:val="en-GB"/>
    </w:rPr>
  </w:style>
  <w:style w:type="table" w:styleId="Table3Deffects1">
    <w:name w:val="Table 3D effects 1"/>
    <w:basedOn w:val="TableNormal"/>
    <w:uiPriority w:val="99"/>
    <w:semiHidden/>
    <w:unhideWhenUsed/>
    <w:rsid w:val="00E67C7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67C7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67C7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67C7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67C7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67C7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67C7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67C7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67C7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67C7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67C7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67C7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67C7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67C7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67C7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67C7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67C7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67C7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67C7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67C7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67C7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67C7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67C7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67C7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67C7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67C7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67C7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67C7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67C7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67C7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67C7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67C7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67C7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67C74"/>
    <w:pPr>
      <w:ind w:left="240" w:hanging="240"/>
    </w:pPr>
  </w:style>
  <w:style w:type="paragraph" w:styleId="TableofFigures">
    <w:name w:val="table of figures"/>
    <w:basedOn w:val="Normal"/>
    <w:next w:val="Normal"/>
    <w:uiPriority w:val="98"/>
    <w:semiHidden/>
    <w:rsid w:val="00E67C74"/>
  </w:style>
  <w:style w:type="table" w:styleId="TableProfessional">
    <w:name w:val="Table Professional"/>
    <w:basedOn w:val="TableNormal"/>
    <w:uiPriority w:val="99"/>
    <w:semiHidden/>
    <w:unhideWhenUsed/>
    <w:rsid w:val="00E67C7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67C7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67C7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67C7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67C7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67C7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67C7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67C7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67C7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67C7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67C7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67C7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67C74"/>
    <w:pPr>
      <w:spacing w:after="100"/>
      <w:ind w:left="1680"/>
    </w:pPr>
  </w:style>
  <w:style w:type="paragraph" w:styleId="TOC9">
    <w:name w:val="toc 9"/>
    <w:basedOn w:val="Normal"/>
    <w:next w:val="Normal"/>
    <w:autoRedefine/>
    <w:uiPriority w:val="98"/>
    <w:semiHidden/>
    <w:rsid w:val="00E67C74"/>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E67C7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67C7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67C7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E67C7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67C74"/>
    <w:pPr>
      <w:numPr>
        <w:numId w:val="18"/>
      </w:numPr>
      <w:spacing w:before="60" w:after="60"/>
    </w:pPr>
  </w:style>
  <w:style w:type="paragraph" w:customStyle="1" w:styleId="ECHRBullet2">
    <w:name w:val="ECHR_Bullet_2"/>
    <w:aliases w:val="_Bul_2"/>
    <w:basedOn w:val="ECHRBullet1"/>
    <w:uiPriority w:val="23"/>
    <w:semiHidden/>
    <w:rsid w:val="00E67C74"/>
    <w:pPr>
      <w:numPr>
        <w:ilvl w:val="1"/>
      </w:numPr>
    </w:pPr>
  </w:style>
  <w:style w:type="paragraph" w:customStyle="1" w:styleId="ECHRBullet3">
    <w:name w:val="ECHR_Bullet_3"/>
    <w:aliases w:val="_Bul_3"/>
    <w:basedOn w:val="ECHRBullet2"/>
    <w:uiPriority w:val="23"/>
    <w:semiHidden/>
    <w:rsid w:val="00E67C74"/>
    <w:pPr>
      <w:numPr>
        <w:ilvl w:val="2"/>
      </w:numPr>
    </w:pPr>
  </w:style>
  <w:style w:type="paragraph" w:customStyle="1" w:styleId="ECHRBullet4">
    <w:name w:val="ECHR_Bullet_4"/>
    <w:aliases w:val="_Bul_4"/>
    <w:basedOn w:val="ECHRBullet3"/>
    <w:uiPriority w:val="23"/>
    <w:semiHidden/>
    <w:rsid w:val="00E67C74"/>
    <w:pPr>
      <w:numPr>
        <w:ilvl w:val="3"/>
      </w:numPr>
    </w:pPr>
  </w:style>
  <w:style w:type="paragraph" w:customStyle="1" w:styleId="ECHRConfidential">
    <w:name w:val="ECHR_Confidential"/>
    <w:aliases w:val="_Confidential"/>
    <w:basedOn w:val="Normal"/>
    <w:next w:val="Normal"/>
    <w:uiPriority w:val="42"/>
    <w:semiHidden/>
    <w:qFormat/>
    <w:rsid w:val="00E67C74"/>
    <w:pPr>
      <w:jc w:val="right"/>
    </w:pPr>
    <w:rPr>
      <w:color w:val="C00000"/>
      <w:sz w:val="20"/>
    </w:rPr>
  </w:style>
  <w:style w:type="paragraph" w:customStyle="1" w:styleId="ECHRDecisionBody">
    <w:name w:val="ECHR_Decision_Body"/>
    <w:aliases w:val="_Decision_Body"/>
    <w:basedOn w:val="NormalJustified"/>
    <w:uiPriority w:val="54"/>
    <w:semiHidden/>
    <w:rsid w:val="00E67C7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67C7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67C7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67C7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67C74"/>
    <w:pPr>
      <w:jc w:val="right"/>
    </w:pPr>
    <w:rPr>
      <w:sz w:val="20"/>
    </w:rPr>
  </w:style>
  <w:style w:type="paragraph" w:customStyle="1" w:styleId="ECHRHeaderRefIt">
    <w:name w:val="ECHR_Header_Ref_It"/>
    <w:aliases w:val="_Ref_Ital"/>
    <w:basedOn w:val="Normal"/>
    <w:next w:val="ECHRHeaderDate"/>
    <w:uiPriority w:val="43"/>
    <w:semiHidden/>
    <w:qFormat/>
    <w:rsid w:val="00E67C74"/>
    <w:pPr>
      <w:jc w:val="right"/>
    </w:pPr>
    <w:rPr>
      <w:i/>
      <w:sz w:val="20"/>
    </w:rPr>
  </w:style>
  <w:style w:type="paragraph" w:customStyle="1" w:styleId="ECHRHeading9">
    <w:name w:val="ECHR_Heading_9"/>
    <w:aliases w:val="_Head_9"/>
    <w:basedOn w:val="Heading9"/>
    <w:uiPriority w:val="17"/>
    <w:semiHidden/>
    <w:rsid w:val="00E67C74"/>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67C7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67C74"/>
    <w:pPr>
      <w:numPr>
        <w:numId w:val="19"/>
      </w:numPr>
      <w:spacing w:before="60" w:after="60"/>
    </w:pPr>
  </w:style>
  <w:style w:type="paragraph" w:customStyle="1" w:styleId="ECHRNumberedList2">
    <w:name w:val="ECHR_Numbered_List_2"/>
    <w:aliases w:val="_Num_2"/>
    <w:basedOn w:val="ECHRNumberedList1"/>
    <w:uiPriority w:val="23"/>
    <w:semiHidden/>
    <w:rsid w:val="00E67C74"/>
    <w:pPr>
      <w:numPr>
        <w:ilvl w:val="1"/>
      </w:numPr>
    </w:pPr>
  </w:style>
  <w:style w:type="paragraph" w:customStyle="1" w:styleId="ECHRNumberedList3">
    <w:name w:val="ECHR_Numbered_List_3"/>
    <w:aliases w:val="_Num_3"/>
    <w:basedOn w:val="ECHRNumberedList2"/>
    <w:uiPriority w:val="23"/>
    <w:semiHidden/>
    <w:rsid w:val="00E67C74"/>
    <w:pPr>
      <w:numPr>
        <w:ilvl w:val="2"/>
      </w:numPr>
    </w:pPr>
  </w:style>
  <w:style w:type="paragraph" w:customStyle="1" w:styleId="ECHRParaHanging">
    <w:name w:val="ECHR_Para_Hanging"/>
    <w:aliases w:val="_Hanging"/>
    <w:basedOn w:val="NormalJustified"/>
    <w:uiPriority w:val="8"/>
    <w:semiHidden/>
    <w:qFormat/>
    <w:rsid w:val="00E67C74"/>
    <w:pPr>
      <w:ind w:left="567" w:hanging="567"/>
    </w:pPr>
  </w:style>
  <w:style w:type="paragraph" w:customStyle="1" w:styleId="ECHRParaIndent">
    <w:name w:val="ECHR_Para_Indent"/>
    <w:aliases w:val="_Indent"/>
    <w:basedOn w:val="NormalJustified"/>
    <w:uiPriority w:val="7"/>
    <w:semiHidden/>
    <w:qFormat/>
    <w:rsid w:val="00E67C74"/>
    <w:pPr>
      <w:spacing w:before="120" w:after="120"/>
      <w:ind w:left="284"/>
    </w:pPr>
  </w:style>
  <w:style w:type="character" w:customStyle="1" w:styleId="ECHRRed">
    <w:name w:val="ECHR_Red"/>
    <w:aliases w:val="_Red"/>
    <w:basedOn w:val="DefaultParagraphFont"/>
    <w:uiPriority w:val="15"/>
    <w:semiHidden/>
    <w:qFormat/>
    <w:rsid w:val="00E67C74"/>
    <w:rPr>
      <w:color w:val="C00000" w:themeColor="accent2"/>
    </w:rPr>
  </w:style>
  <w:style w:type="paragraph" w:customStyle="1" w:styleId="DecList">
    <w:name w:val="Dec_List"/>
    <w:aliases w:val="_List"/>
    <w:basedOn w:val="JuList"/>
    <w:uiPriority w:val="22"/>
    <w:rsid w:val="00E67C74"/>
    <w:pPr>
      <w:numPr>
        <w:numId w:val="0"/>
      </w:numPr>
      <w:ind w:left="284"/>
    </w:pPr>
  </w:style>
  <w:style w:type="table" w:customStyle="1" w:styleId="ECHRTable2">
    <w:name w:val="ECHR_Table_2"/>
    <w:basedOn w:val="TableNormal"/>
    <w:uiPriority w:val="99"/>
    <w:rsid w:val="00E67C7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67C7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67C7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67C7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67C7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E67C7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67C7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67C7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67C74"/>
    <w:pPr>
      <w:outlineLvl w:val="0"/>
    </w:pPr>
  </w:style>
  <w:style w:type="paragraph" w:customStyle="1" w:styleId="ECHRTitleTOC1">
    <w:name w:val="ECHR_Title_TOC_1"/>
    <w:aliases w:val="_Title_L_TOC"/>
    <w:basedOn w:val="ECHRTitle1"/>
    <w:next w:val="Normal"/>
    <w:uiPriority w:val="27"/>
    <w:semiHidden/>
    <w:qFormat/>
    <w:rsid w:val="00E67C74"/>
    <w:pPr>
      <w:outlineLvl w:val="0"/>
    </w:pPr>
  </w:style>
  <w:style w:type="paragraph" w:customStyle="1" w:styleId="ECHRPlaceholder">
    <w:name w:val="ECHR_Placeholder"/>
    <w:aliases w:val="_Placeholder"/>
    <w:basedOn w:val="JuSigned"/>
    <w:uiPriority w:val="31"/>
    <w:rsid w:val="00E67C74"/>
    <w:rPr>
      <w:color w:val="FFFFFF"/>
    </w:rPr>
  </w:style>
  <w:style w:type="paragraph" w:customStyle="1" w:styleId="ECHRSpacer">
    <w:name w:val="ECHR_Spacer"/>
    <w:aliases w:val="_Spacer"/>
    <w:basedOn w:val="Normal"/>
    <w:uiPriority w:val="45"/>
    <w:semiHidden/>
    <w:rsid w:val="00E67C74"/>
    <w:rPr>
      <w:sz w:val="4"/>
    </w:rPr>
  </w:style>
  <w:style w:type="table" w:customStyle="1" w:styleId="ECHRTableGrey">
    <w:name w:val="ECHR_Table_Grey"/>
    <w:basedOn w:val="TableNormal"/>
    <w:uiPriority w:val="99"/>
    <w:rsid w:val="00E67C74"/>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E67C74"/>
    <w:rPr>
      <w:color w:val="605E5C"/>
      <w:shd w:val="clear" w:color="auto" w:fill="E1DFDD"/>
    </w:rPr>
  </w:style>
  <w:style w:type="character" w:customStyle="1" w:styleId="JuParaChar">
    <w:name w:val="Ju_Para Char"/>
    <w:aliases w:val="_Para Char"/>
    <w:link w:val="JuPara"/>
    <w:uiPriority w:val="4"/>
    <w:rsid w:val="00CE4E3A"/>
    <w:rPr>
      <w:sz w:val="24"/>
      <w:szCs w:val="24"/>
      <w:lang w:val="en-GB"/>
    </w:rPr>
  </w:style>
  <w:style w:type="table" w:styleId="GridTable1Light">
    <w:name w:val="Grid Table 1 Light"/>
    <w:basedOn w:val="TableNormal"/>
    <w:uiPriority w:val="46"/>
    <w:semiHidden/>
    <w:rsid w:val="0080016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80016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0016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00166"/>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0016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0016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0016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0016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0016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0016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00166"/>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80016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0016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0016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0016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0016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0016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0016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80016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0016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0016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0016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0016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0016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0016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80016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0016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0016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001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001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001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001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8001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001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00166"/>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0016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0016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0016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0016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80016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0016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0016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0016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0016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0016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00166"/>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80016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0016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0016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800166"/>
    <w:rPr>
      <w:color w:val="2B579A"/>
      <w:shd w:val="clear" w:color="auto" w:fill="E1DFDD"/>
    </w:rPr>
  </w:style>
  <w:style w:type="table" w:styleId="ListTable1Light">
    <w:name w:val="List Table 1 Light"/>
    <w:basedOn w:val="TableNormal"/>
    <w:uiPriority w:val="46"/>
    <w:semiHidden/>
    <w:rsid w:val="0080016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0016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0016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00166"/>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80016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0016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0016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0016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0016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0016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00166"/>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80016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0016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0016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0016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0016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0016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00166"/>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80016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0016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0016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0016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0016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0016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00166"/>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80016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0016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0016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00166"/>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00166"/>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00166"/>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00166"/>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00166"/>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00166"/>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00166"/>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0016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0016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0016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00166"/>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80016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0016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0016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0016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0016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0016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00166"/>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0016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0016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0016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800166"/>
    <w:rPr>
      <w:color w:val="2B579A"/>
      <w:shd w:val="clear" w:color="auto" w:fill="E1DFDD"/>
    </w:rPr>
  </w:style>
  <w:style w:type="table" w:styleId="PlainTable1">
    <w:name w:val="Plain Table 1"/>
    <w:basedOn w:val="TableNormal"/>
    <w:uiPriority w:val="41"/>
    <w:semiHidden/>
    <w:rsid w:val="00800166"/>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80016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0016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0016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80016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00166"/>
    <w:rPr>
      <w:u w:val="dotted"/>
    </w:rPr>
  </w:style>
  <w:style w:type="character" w:styleId="SmartLink">
    <w:name w:val="Smart Link"/>
    <w:basedOn w:val="DefaultParagraphFont"/>
    <w:uiPriority w:val="99"/>
    <w:semiHidden/>
    <w:unhideWhenUsed/>
    <w:rsid w:val="00800166"/>
    <w:rPr>
      <w:color w:val="0000FF"/>
      <w:u w:val="single"/>
      <w:shd w:val="clear" w:color="auto" w:fill="F3F2F1"/>
    </w:rPr>
  </w:style>
  <w:style w:type="table" w:styleId="GridTableLight">
    <w:name w:val="Grid Table Light"/>
    <w:basedOn w:val="TableNormal"/>
    <w:uiPriority w:val="40"/>
    <w:semiHidden/>
    <w:rsid w:val="00800166"/>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2297</Words>
  <Characters>13311</Characters>
  <Application>Microsoft Office Word</Application>
  <DocSecurity>0</DocSecurity>
  <Lines>271</Lines>
  <Paragraphs>82</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2023-05-04T08:01:00Z</dcterms:created>
  <dcterms:modified xsi:type="dcterms:W3CDTF">2023-05-04T08:08:00Z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1280215</vt:lpwstr>
  </property>
  <property fmtid="{D5CDD505-2E9C-101B-9397-08002B2CF9AE}" pid="3" name="cstLanguage">
    <vt:i4>2057</vt:i4>
  </property>
  <property fmtid="{D5CDD505-2E9C-101B-9397-08002B2CF9AE}" pid="4" name="RegisteredNo">
    <vt:lpwstr>6959/17</vt:lpwstr>
  </property>
</Properties>
</file>