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8864DE" w:rsidR="009A24B4" w:rsidP="008864DE" w14:paraId="7B9141E4" w14:textId="77777777">
      <w:pPr>
        <w:jc w:val="center"/>
        <w:rPr>
          <w:rFonts w:ascii="Times New Roman" w:hAnsi="Times New Roman" w:cs="Times New Roman"/>
          <w:noProof/>
        </w:rPr>
      </w:pPr>
    </w:p>
    <w:p w:rsidRPr="008864DE" w:rsidR="0098410D" w:rsidP="008864DE" w14:paraId="3B4BD5D4" w14:textId="77777777">
      <w:pPr>
        <w:jc w:val="center"/>
      </w:pPr>
    </w:p>
    <w:p w:rsidRPr="008864DE" w:rsidR="0098410D" w:rsidP="008864DE" w14:paraId="6756FD61" w14:textId="27767828">
      <w:pPr>
        <w:pStyle w:val="DecHTitle"/>
      </w:pPr>
      <w:r w:rsidRPr="008864DE">
        <w:t>SECOND SECTION</w:t>
      </w:r>
    </w:p>
    <w:p w:rsidRPr="008864DE" w:rsidR="008E6217" w:rsidP="008864DE" w14:paraId="0F436A80" w14:textId="33DFA961">
      <w:pPr>
        <w:pStyle w:val="JuTitle"/>
      </w:pPr>
      <w:r w:rsidRPr="008864DE">
        <w:rPr>
          <w:color w:val="000000" w:themeColor="text1"/>
        </w:rPr>
        <w:t xml:space="preserve">CASE OF </w:t>
      </w:r>
      <w:r w:rsidRPr="008864DE" w:rsidR="009A24B4">
        <w:t>YILMAZ v. TÜRKİYE</w:t>
      </w:r>
    </w:p>
    <w:p w:rsidRPr="008864DE" w:rsidR="00D74888" w:rsidP="008864DE" w14:paraId="2859786F" w14:textId="4415DA77">
      <w:pPr>
        <w:pStyle w:val="ECHRCoverTitle4"/>
      </w:pPr>
      <w:r w:rsidRPr="008864DE">
        <w:t>(</w:t>
      </w:r>
      <w:r w:rsidRPr="008864DE" w:rsidR="009A24B4">
        <w:rPr>
          <w:noProof/>
        </w:rPr>
        <w:t>Application no.</w:t>
      </w:r>
      <w:r w:rsidRPr="008864DE">
        <w:t xml:space="preserve"> </w:t>
      </w:r>
      <w:r w:rsidRPr="008864DE" w:rsidR="009A24B4">
        <w:t>19202/11</w:t>
      </w:r>
      <w:r w:rsidRPr="008864DE">
        <w:t>)</w:t>
      </w:r>
    </w:p>
    <w:p w:rsidRPr="008864DE" w:rsidR="0098410D" w:rsidP="008864DE" w14:paraId="0B6DFC31" w14:textId="77777777">
      <w:pPr>
        <w:pStyle w:val="DecHCase"/>
      </w:pPr>
    </w:p>
    <w:p w:rsidRPr="008864DE" w:rsidR="0098410D" w:rsidP="008864DE" w14:paraId="15708A51" w14:textId="77777777">
      <w:pPr>
        <w:pStyle w:val="DecHCase"/>
      </w:pPr>
    </w:p>
    <w:p w:rsidRPr="008864DE" w:rsidR="00AC4CD4" w:rsidP="008864DE" w14:paraId="197706D7" w14:textId="77777777">
      <w:pPr>
        <w:pStyle w:val="DecHCase"/>
      </w:pPr>
    </w:p>
    <w:p w:rsidRPr="008864DE" w:rsidR="0098410D" w:rsidP="008864DE" w14:paraId="064E2F8A" w14:textId="77777777">
      <w:pPr>
        <w:pStyle w:val="DecHCase"/>
      </w:pPr>
    </w:p>
    <w:p w:rsidRPr="008864DE" w:rsidR="008864DE" w:rsidP="008864DE" w14:paraId="6C689866" w14:textId="77777777">
      <w:pPr>
        <w:pStyle w:val="DecHCase"/>
      </w:pPr>
    </w:p>
    <w:p w:rsidRPr="008864DE" w:rsidR="008864DE" w:rsidP="008864DE" w14:paraId="61DE9CF0" w14:textId="77777777">
      <w:pPr>
        <w:pStyle w:val="DecHCase"/>
      </w:pPr>
    </w:p>
    <w:p w:rsidRPr="008864DE" w:rsidR="0098410D" w:rsidP="008864DE" w14:paraId="008274EA" w14:textId="03AB68C2">
      <w:pPr>
        <w:pStyle w:val="DecHCase"/>
      </w:pPr>
      <w:r w:rsidRPr="008864DE">
        <w:t>JUDGMENT</w:t>
      </w:r>
      <w:r w:rsidRPr="008864DE" w:rsidR="00AC4CD4">
        <w:br/>
      </w:r>
    </w:p>
    <w:p w:rsidRPr="008864DE" w:rsidR="0098410D" w:rsidP="008864DE" w14:paraId="27CBD5D4" w14:textId="77777777">
      <w:pPr>
        <w:pStyle w:val="DecHCase"/>
      </w:pPr>
      <w:r w:rsidRPr="008864DE">
        <w:t>STRASBOURG</w:t>
      </w:r>
    </w:p>
    <w:p w:rsidRPr="008864DE" w:rsidR="0098410D" w:rsidP="008864DE" w14:paraId="51D6EEEC" w14:textId="064E0E0B">
      <w:pPr>
        <w:pStyle w:val="DecHCase"/>
      </w:pPr>
      <w:r w:rsidRPr="008864DE">
        <w:rPr>
          <w:rFonts w:ascii="Times New Roman" w:hAnsi="Times New Roman" w:cs="Times New Roman"/>
        </w:rPr>
        <w:t>9 May 2023</w:t>
      </w:r>
    </w:p>
    <w:p w:rsidRPr="008864DE" w:rsidR="00AC4CD4" w:rsidP="008864DE" w14:paraId="3D98AEF6" w14:textId="77777777">
      <w:pPr>
        <w:pStyle w:val="JuPara"/>
      </w:pPr>
    </w:p>
    <w:p w:rsidRPr="008864DE" w:rsidR="002422B6" w:rsidP="008864DE" w14:paraId="257CDFA5" w14:textId="3FA952DD">
      <w:pPr>
        <w:rPr>
          <w:i/>
          <w:sz w:val="22"/>
        </w:rPr>
      </w:pPr>
      <w:r w:rsidRPr="008864DE">
        <w:rPr>
          <w:i/>
          <w:sz w:val="22"/>
        </w:rPr>
        <w:t xml:space="preserve">This judgment </w:t>
      </w:r>
      <w:r w:rsidRPr="008864DE" w:rsidR="009A24B4">
        <w:rPr>
          <w:i/>
          <w:noProof/>
          <w:sz w:val="22"/>
        </w:rPr>
        <w:t>is final but it</w:t>
      </w:r>
      <w:r w:rsidRPr="008864DE">
        <w:rPr>
          <w:i/>
          <w:sz w:val="22"/>
        </w:rPr>
        <w:t xml:space="preserve"> may be subject to editorial revision.</w:t>
      </w:r>
    </w:p>
    <w:p w:rsidRPr="008864DE" w:rsidR="0098410D" w:rsidP="008864DE" w14:paraId="429C9355"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8864DE" w:rsidR="0098410D" w:rsidP="008864DE" w14:paraId="0BCD0E48" w14:textId="77BA06AF">
      <w:pPr>
        <w:pStyle w:val="JuCase"/>
      </w:pPr>
      <w:r w:rsidRPr="008864DE">
        <w:t xml:space="preserve">In the case of </w:t>
      </w:r>
      <w:r w:rsidRPr="008864DE" w:rsidR="009A24B4">
        <w:t>Yılmaz</w:t>
      </w:r>
      <w:r w:rsidRPr="008864DE" w:rsidR="009A24B4">
        <w:t xml:space="preserve"> v. </w:t>
      </w:r>
      <w:r w:rsidRPr="008864DE" w:rsidR="009A24B4">
        <w:t>Türkiye</w:t>
      </w:r>
      <w:r w:rsidRPr="008864DE">
        <w:t>,</w:t>
      </w:r>
    </w:p>
    <w:p w:rsidRPr="008864DE" w:rsidR="009F4C8F" w:rsidP="008864DE" w14:paraId="54A990EF" w14:textId="70899209">
      <w:pPr>
        <w:pStyle w:val="JuPara"/>
      </w:pPr>
      <w:r w:rsidRPr="008864DE">
        <w:t>The European Court of Human Rights (</w:t>
      </w:r>
      <w:r w:rsidRPr="008864DE" w:rsidR="009A24B4">
        <w:t>Second Section</w:t>
      </w:r>
      <w:r w:rsidRPr="008864DE">
        <w:t xml:space="preserve">), sitting as a </w:t>
      </w:r>
      <w:r w:rsidRPr="008864DE" w:rsidR="009A24B4">
        <w:rPr>
          <w:noProof/>
        </w:rPr>
        <w:t>Committee</w:t>
      </w:r>
      <w:r w:rsidRPr="008864DE">
        <w:t xml:space="preserve"> composed of:</w:t>
      </w:r>
    </w:p>
    <w:p w:rsidRPr="008864DE" w:rsidR="009F4C8F" w:rsidP="008864DE" w14:paraId="082A042F" w14:textId="22316354">
      <w:pPr>
        <w:pStyle w:val="JuJudges"/>
      </w:pPr>
      <w:r w:rsidRPr="008864DE">
        <w:tab/>
      </w:r>
      <w:r w:rsidRPr="008864DE">
        <w:t>Pauliine</w:t>
      </w:r>
      <w:r w:rsidRPr="008864DE">
        <w:t xml:space="preserve"> </w:t>
      </w:r>
      <w:r w:rsidRPr="008864DE">
        <w:t>Koskelo</w:t>
      </w:r>
      <w:r w:rsidRPr="008864DE">
        <w:rPr>
          <w:i/>
        </w:rPr>
        <w:t>, President</w:t>
      </w:r>
      <w:r w:rsidRPr="008864DE">
        <w:t>,</w:t>
      </w:r>
      <w:r w:rsidRPr="008864DE">
        <w:br/>
      </w:r>
      <w:r w:rsidRPr="008864DE">
        <w:tab/>
        <w:t>Lorraine Schembri Orland,</w:t>
      </w:r>
      <w:r w:rsidRPr="008864DE">
        <w:br/>
      </w:r>
      <w:r w:rsidRPr="008864DE">
        <w:tab/>
        <w:t xml:space="preserve">Davor </w:t>
      </w:r>
      <w:r w:rsidRPr="008864DE">
        <w:t>Derenčinović</w:t>
      </w:r>
      <w:r w:rsidRPr="008864DE">
        <w:rPr>
          <w:i/>
        </w:rPr>
        <w:t>, judges</w:t>
      </w:r>
      <w:r w:rsidRPr="008864DE">
        <w:t>,</w:t>
      </w:r>
      <w:r w:rsidRPr="008864DE">
        <w:br/>
        <w:t xml:space="preserve">and </w:t>
      </w:r>
      <w:r w:rsidRPr="008864DE" w:rsidR="009A24B4">
        <w:rPr>
          <w:noProof/>
        </w:rPr>
        <w:t>Dorothee von Arnim</w:t>
      </w:r>
      <w:r w:rsidRPr="008864DE">
        <w:t xml:space="preserve">, </w:t>
      </w:r>
      <w:r w:rsidRPr="008864DE" w:rsidR="009A24B4">
        <w:rPr>
          <w:i/>
          <w:noProof/>
        </w:rPr>
        <w:t xml:space="preserve">Deputy Section </w:t>
      </w:r>
      <w:r w:rsidRPr="008864DE" w:rsidR="009A24B4">
        <w:rPr>
          <w:i/>
          <w:iCs/>
          <w:noProof/>
        </w:rPr>
        <w:t>Registrar</w:t>
      </w:r>
      <w:r w:rsidRPr="008864DE">
        <w:rPr>
          <w:i/>
        </w:rPr>
        <w:t>,</w:t>
      </w:r>
    </w:p>
    <w:p w:rsidRPr="008864DE" w:rsidR="009A24B4" w:rsidP="008864DE" w14:paraId="4EEF2D01" w14:textId="77777777">
      <w:pPr>
        <w:pStyle w:val="JuPara"/>
      </w:pPr>
      <w:r w:rsidRPr="008864DE">
        <w:t>Having regard to:</w:t>
      </w:r>
    </w:p>
    <w:p w:rsidRPr="008864DE" w:rsidR="009A24B4" w:rsidP="008864DE" w14:paraId="489E6677" w14:textId="77777777">
      <w:pPr>
        <w:pStyle w:val="JuPara"/>
      </w:pPr>
      <w:r w:rsidRPr="008864DE">
        <w:t xml:space="preserve">the application (no. 19202/11) against the Republic of </w:t>
      </w:r>
      <w:r w:rsidRPr="008864DE">
        <w:t>Türkiye</w:t>
      </w:r>
      <w:r w:rsidRPr="008864DE">
        <w:t xml:space="preserve"> lodged with the Court under Article 34 of the Convention for the Protection of Human Rights and Fundamental Freedoms (“the Convention”) on 25 March 2011 by a Turkish national, Mr Mithat </w:t>
      </w:r>
      <w:r w:rsidRPr="008864DE">
        <w:t>Yılmaz</w:t>
      </w:r>
      <w:r w:rsidRPr="008864DE">
        <w:t xml:space="preserve"> (“the applicant”), who was born in 1973, lives in Erzurum and was initially represented by Ms </w:t>
      </w:r>
      <w:r w:rsidRPr="008864DE">
        <w:t>Şenal</w:t>
      </w:r>
      <w:r w:rsidRPr="008864DE">
        <w:t xml:space="preserve"> </w:t>
      </w:r>
      <w:r w:rsidRPr="008864DE">
        <w:t>Sarıhan</w:t>
      </w:r>
      <w:r w:rsidRPr="008864DE">
        <w:t xml:space="preserve">, a lawyer practising in Ankara, and later by Mr Ü. </w:t>
      </w:r>
      <w:r w:rsidRPr="008864DE">
        <w:t>Kılınç</w:t>
      </w:r>
      <w:r w:rsidRPr="008864DE">
        <w:t>, a lawyer practising in Strasbourg, whom the applicant appointed as his representative by means of an authority form sent to the Court by a letter dated 22 December 2021;</w:t>
      </w:r>
    </w:p>
    <w:p w:rsidRPr="008864DE" w:rsidR="009A24B4" w:rsidP="008864DE" w14:paraId="7FCDBAAB" w14:textId="77777777">
      <w:pPr>
        <w:pStyle w:val="JuPara"/>
      </w:pPr>
      <w:r w:rsidRPr="008864DE">
        <w:t>the decision to give notice of the complaint under Article 6 § 1 of the Convention concerning the alleged unfairness of criminal proceedings to the Turkish Government (“the Government”), represented by their Agent, Mr </w:t>
      </w:r>
      <w:r w:rsidRPr="008864DE">
        <w:t>Hacı</w:t>
      </w:r>
      <w:r w:rsidRPr="008864DE">
        <w:t xml:space="preserve"> Ali </w:t>
      </w:r>
      <w:r w:rsidRPr="008864DE">
        <w:t>Açıkgül</w:t>
      </w:r>
      <w:r w:rsidRPr="008864DE">
        <w:t xml:space="preserve">, Head of the Department of Human Rights of the Ministry of Justice of the Republic of </w:t>
      </w:r>
      <w:r w:rsidRPr="008864DE">
        <w:t>Türkiye</w:t>
      </w:r>
      <w:r w:rsidRPr="008864DE">
        <w:t xml:space="preserve">, and to declare the remainder of the application </w:t>
      </w:r>
      <w:r w:rsidRPr="008864DE">
        <w:t>inadmissible;</w:t>
      </w:r>
    </w:p>
    <w:p w:rsidRPr="008864DE" w:rsidR="009A24B4" w:rsidP="008864DE" w14:paraId="127F315A" w14:textId="11CC1604">
      <w:pPr>
        <w:pStyle w:val="JuPara"/>
      </w:pPr>
      <w:r w:rsidRPr="008864DE">
        <w:t>the parties</w:t>
      </w:r>
      <w:r w:rsidRPr="008864DE" w:rsidR="008864DE">
        <w:t>’</w:t>
      </w:r>
      <w:r w:rsidRPr="008864DE">
        <w:t xml:space="preserve"> </w:t>
      </w:r>
      <w:r w:rsidRPr="008864DE">
        <w:t>observations;</w:t>
      </w:r>
    </w:p>
    <w:p w:rsidRPr="008864DE" w:rsidR="009A24B4" w:rsidP="008864DE" w14:paraId="34950DA8" w14:textId="799FC8EC">
      <w:pPr>
        <w:pStyle w:val="JuPara"/>
      </w:pPr>
      <w:r w:rsidRPr="008864DE">
        <w:t>the decision to reject the Government</w:t>
      </w:r>
      <w:r w:rsidRPr="008864DE" w:rsidR="008864DE">
        <w:t>’</w:t>
      </w:r>
      <w:r w:rsidRPr="008864DE">
        <w:t xml:space="preserve">s objection to the examination of the application by a </w:t>
      </w:r>
      <w:r w:rsidRPr="008864DE">
        <w:t>Committee;</w:t>
      </w:r>
    </w:p>
    <w:p w:rsidRPr="008864DE" w:rsidR="009F4C8F" w:rsidP="008864DE" w14:paraId="220FD05E" w14:textId="35CAE2CF">
      <w:pPr>
        <w:pStyle w:val="JuPara"/>
      </w:pPr>
      <w:r w:rsidRPr="008864DE">
        <w:t xml:space="preserve">Having deliberated in private on </w:t>
      </w:r>
      <w:r w:rsidRPr="008864DE" w:rsidR="009A24B4">
        <w:t>11 April 2023</w:t>
      </w:r>
      <w:r w:rsidRPr="008864DE">
        <w:t>,</w:t>
      </w:r>
    </w:p>
    <w:p w:rsidRPr="008864DE" w:rsidR="009F4C8F" w:rsidP="008864DE" w14:paraId="53B97A11" w14:textId="77777777">
      <w:pPr>
        <w:pStyle w:val="JuPara"/>
      </w:pPr>
      <w:r w:rsidRPr="008864DE">
        <w:t>Delivers the following judgment, which was adopted on that date:</w:t>
      </w:r>
    </w:p>
    <w:p w:rsidRPr="008864DE" w:rsidR="009A24B4" w:rsidP="008864DE" w14:paraId="0D8CC8CD" w14:textId="3048570A">
      <w:pPr>
        <w:pStyle w:val="JuHHead"/>
        <w:numPr>
          <w:ilvl w:val="0"/>
          <w:numId w:val="0"/>
        </w:numPr>
      </w:pPr>
      <w:r w:rsidRPr="008864DE">
        <w:t>SUBJECT MATTER OF THE CASE</w:t>
      </w:r>
    </w:p>
    <w:p w:rsidRPr="008864DE" w:rsidR="009A24B4" w:rsidP="008864DE" w14:paraId="6D002627" w14:textId="530F0394">
      <w:pPr>
        <w:pStyle w:val="JuPara"/>
      </w:pPr>
      <w:r w:rsidRPr="008864DE">
        <w:fldChar w:fldCharType="begin"/>
      </w:r>
      <w:r w:rsidRPr="008864DE">
        <w:instrText xml:space="preserve"> SEQ level0 \*arabic \r1 </w:instrText>
      </w:r>
      <w:r w:rsidRPr="008864DE">
        <w:fldChar w:fldCharType="separate"/>
      </w:r>
      <w:r w:rsidRPr="008864DE" w:rsidR="008864DE">
        <w:rPr>
          <w:noProof/>
        </w:rPr>
        <w:t>1</w:t>
      </w:r>
      <w:r w:rsidRPr="008864DE">
        <w:fldChar w:fldCharType="end"/>
      </w:r>
      <w:r w:rsidRPr="008864DE">
        <w:t xml:space="preserve">.  The application concerns the alleged unfairness of criminal proceedings against the applicant on account of the loss of the main folder and some other documents from the physical case file at the appeal stage of proceedings and the allegedly flawed appellate review carried out by the Court of Cassation in the absence of those documents, which included, </w:t>
      </w:r>
      <w:r w:rsidRPr="008864DE">
        <w:rPr>
          <w:i/>
          <w:iCs/>
        </w:rPr>
        <w:t>inter alia</w:t>
      </w:r>
      <w:r w:rsidRPr="008864DE">
        <w:t>,</w:t>
      </w:r>
      <w:r w:rsidRPr="008864DE">
        <w:rPr>
          <w:i/>
          <w:iCs/>
        </w:rPr>
        <w:t xml:space="preserve"> </w:t>
      </w:r>
      <w:r w:rsidRPr="008864DE">
        <w:t>the applicant</w:t>
      </w:r>
      <w:r w:rsidRPr="008864DE" w:rsidR="008864DE">
        <w:t>’</w:t>
      </w:r>
      <w:r w:rsidRPr="008864DE">
        <w:t>s appeal (</w:t>
      </w:r>
      <w:r w:rsidRPr="008864DE">
        <w:rPr>
          <w:i/>
          <w:iCs/>
        </w:rPr>
        <w:t>gerekçeli</w:t>
      </w:r>
      <w:r w:rsidRPr="008864DE">
        <w:rPr>
          <w:i/>
          <w:iCs/>
        </w:rPr>
        <w:t xml:space="preserve"> </w:t>
      </w:r>
      <w:r w:rsidRPr="008864DE">
        <w:rPr>
          <w:i/>
          <w:iCs/>
        </w:rPr>
        <w:t>temyiz</w:t>
      </w:r>
      <w:r w:rsidRPr="008864DE">
        <w:rPr>
          <w:i/>
          <w:iCs/>
        </w:rPr>
        <w:t xml:space="preserve"> </w:t>
      </w:r>
      <w:r w:rsidRPr="008864DE">
        <w:rPr>
          <w:i/>
          <w:iCs/>
        </w:rPr>
        <w:t>dilekçesi</w:t>
      </w:r>
      <w:r w:rsidRPr="008864DE">
        <w:t>) in which his grounds of appeal were set out.</w:t>
      </w:r>
    </w:p>
    <w:p w:rsidRPr="008864DE" w:rsidR="009A24B4" w:rsidP="008864DE" w14:paraId="39C4A386" w14:textId="318678E4">
      <w:pPr>
        <w:pStyle w:val="JuPara"/>
        <w:rPr>
          <w:rFonts w:ascii="Times New Roman" w:hAnsi="Times New Roman" w:eastAsia="Times New Roman" w:cs="Times New Roman"/>
        </w:rPr>
      </w:pPr>
      <w:r>
        <w:fldChar w:fldCharType="begin"/>
      </w:r>
      <w:r>
        <w:instrText xml:space="preserve"> SEQ level0 \*arabic \* MERGEFORMAT </w:instrText>
      </w:r>
      <w:r>
        <w:fldChar w:fldCharType="separate"/>
      </w:r>
      <w:r w:rsidRPr="008864DE" w:rsidR="008864DE">
        <w:rPr>
          <w:noProof/>
        </w:rPr>
        <w:t>2</w:t>
      </w:r>
      <w:r w:rsidRPr="008864DE" w:rsidR="008864DE">
        <w:rPr>
          <w:noProof/>
        </w:rPr>
        <w:fldChar w:fldCharType="end"/>
      </w:r>
      <w:r w:rsidRPr="008864DE">
        <w:t>.  On 16 June 2009 the Istanbul Assize Court convicted the applicant on charges of establishment and leadership of a criminal organisation, criminal threat, and unauthorised possession of firearms, and sentenced him to a term of imprisonment. On the same day the applicant</w:t>
      </w:r>
      <w:r w:rsidRPr="008864DE" w:rsidR="008864DE">
        <w:t>’</w:t>
      </w:r>
      <w:r w:rsidRPr="008864DE">
        <w:t xml:space="preserve">s lawyer at the time, S.G., lodged </w:t>
      </w:r>
      <w:r w:rsidRPr="008864DE">
        <w:rPr>
          <w:rFonts w:ascii="Times New Roman" w:hAnsi="Times New Roman" w:eastAsia="Times New Roman" w:cs="Times New Roman"/>
        </w:rPr>
        <w:t>a short notice of appeal (</w:t>
      </w:r>
      <w:r w:rsidRPr="008864DE">
        <w:rPr>
          <w:rFonts w:ascii="Times New Roman" w:hAnsi="Times New Roman" w:eastAsia="Times New Roman" w:cs="Times New Roman"/>
          <w:i/>
        </w:rPr>
        <w:t>süre</w:t>
      </w:r>
      <w:r w:rsidRPr="008864DE">
        <w:rPr>
          <w:rFonts w:ascii="Times New Roman" w:hAnsi="Times New Roman" w:eastAsia="Times New Roman" w:cs="Times New Roman"/>
          <w:i/>
        </w:rPr>
        <w:t xml:space="preserve"> </w:t>
      </w:r>
      <w:r w:rsidRPr="008864DE">
        <w:rPr>
          <w:rFonts w:ascii="Times New Roman" w:hAnsi="Times New Roman" w:eastAsia="Times New Roman" w:cs="Times New Roman"/>
          <w:i/>
        </w:rPr>
        <w:t>tutum</w:t>
      </w:r>
      <w:r w:rsidRPr="008864DE">
        <w:rPr>
          <w:rFonts w:ascii="Times New Roman" w:hAnsi="Times New Roman" w:eastAsia="Times New Roman" w:cs="Times New Roman"/>
          <w:i/>
        </w:rPr>
        <w:t xml:space="preserve"> </w:t>
      </w:r>
      <w:r w:rsidRPr="008864DE">
        <w:rPr>
          <w:rFonts w:ascii="Times New Roman" w:hAnsi="Times New Roman" w:eastAsia="Times New Roman" w:cs="Times New Roman"/>
          <w:i/>
        </w:rPr>
        <w:t>dilekçesi</w:t>
      </w:r>
      <w:r w:rsidRPr="008864DE">
        <w:rPr>
          <w:rFonts w:ascii="Times New Roman" w:hAnsi="Times New Roman" w:eastAsia="Times New Roman" w:cs="Times New Roman"/>
        </w:rPr>
        <w:t>) against that judgment and on 11 September 2009 she lodged the appeal.</w:t>
      </w:r>
    </w:p>
    <w:p w:rsidRPr="008864DE" w:rsidR="009A24B4" w:rsidP="008864DE" w14:paraId="47C2212C" w14:textId="02D23BBA">
      <w:pPr>
        <w:pStyle w:val="JuPara"/>
      </w:pPr>
      <w:r>
        <w:fldChar w:fldCharType="begin"/>
      </w:r>
      <w:r>
        <w:instrText xml:space="preserve"> SEQ level0 \*arabic \* MERGEFORMAT </w:instrText>
      </w:r>
      <w:r>
        <w:fldChar w:fldCharType="separate"/>
      </w:r>
      <w:r w:rsidRPr="008864DE" w:rsidR="008864DE">
        <w:rPr>
          <w:noProof/>
        </w:rPr>
        <w:t>3</w:t>
      </w:r>
      <w:r w:rsidRPr="008864DE" w:rsidR="008864DE">
        <w:rPr>
          <w:noProof/>
        </w:rPr>
        <w:fldChar w:fldCharType="end"/>
      </w:r>
      <w:r w:rsidRPr="008864DE">
        <w:t>.  On 24 September 2010 the President of the 8th Criminal Division of the Court of Cassation drew up a report in which it was indicated that after the applicant</w:t>
      </w:r>
      <w:r w:rsidRPr="008864DE" w:rsidR="008864DE">
        <w:t>’</w:t>
      </w:r>
      <w:r w:rsidRPr="008864DE">
        <w:t>s lawyer (S.A., who had represented him at the appeal stage) had made a second request to obtain a copy of the case file on 16 June 2010, it had come to light that the main folder had been lost and could not be found, despite a comprehensive search having been carried out. The President accordingly asked the Chief Public Prosecutor</w:t>
      </w:r>
      <w:r w:rsidRPr="008864DE" w:rsidR="008864DE">
        <w:t>’</w:t>
      </w:r>
      <w:r w:rsidRPr="008864DE">
        <w:t>s Office at the Court of Cassation to reconstruct the case file.</w:t>
      </w:r>
    </w:p>
    <w:bookmarkStart w:name="content_reconstructed_file" w:id="0"/>
    <w:p w:rsidRPr="008864DE" w:rsidR="009A24B4" w:rsidP="008864DE" w14:paraId="7D7F787C" w14:textId="055ACBFC">
      <w:pPr>
        <w:pStyle w:val="JuPara"/>
      </w:pPr>
      <w:r w:rsidRPr="008864DE">
        <w:fldChar w:fldCharType="begin"/>
      </w:r>
      <w:r w:rsidRPr="008864DE">
        <w:instrText xml:space="preserve"> SEQ level0 \*arabic \* MERGEFORMAT </w:instrText>
      </w:r>
      <w:r w:rsidRPr="008864DE">
        <w:fldChar w:fldCharType="separate"/>
      </w:r>
      <w:r w:rsidRPr="008864DE" w:rsidR="008864DE">
        <w:rPr>
          <w:noProof/>
        </w:rPr>
        <w:t>4</w:t>
      </w:r>
      <w:r w:rsidRPr="008864DE">
        <w:fldChar w:fldCharType="end"/>
      </w:r>
      <w:bookmarkEnd w:id="0"/>
      <w:r w:rsidRPr="008864DE">
        <w:t>.  According to a report drawn up by the trial court</w:t>
      </w:r>
      <w:r w:rsidRPr="008864DE" w:rsidR="008864DE">
        <w:t>’</w:t>
      </w:r>
      <w:r w:rsidRPr="008864DE">
        <w:t>s registrar on 18 October 2010, the main folder had subsequently been reconstructed and included the following items: (</w:t>
      </w:r>
      <w:r w:rsidRPr="008864DE">
        <w:t>i</w:t>
      </w:r>
      <w:r w:rsidRPr="008864DE">
        <w:t>)  the bill of indictment dated 27 May 2004, which was certified as a true copy of the original, (ii)  copies of the records of the hearings held before the trial court, which bore the signature of the court</w:t>
      </w:r>
      <w:r w:rsidRPr="008864DE" w:rsidR="008864DE">
        <w:t>’</w:t>
      </w:r>
      <w:r w:rsidRPr="008864DE">
        <w:t>s clerk and an indication that they had been printed out from the court</w:t>
      </w:r>
      <w:r w:rsidRPr="008864DE" w:rsidR="008864DE">
        <w:t>’</w:t>
      </w:r>
      <w:r w:rsidRPr="008864DE">
        <w:t>s IT system, and (iii)</w:t>
      </w:r>
      <w:r w:rsidRPr="008864DE" w:rsidR="00A6252E">
        <w:t>  </w:t>
      </w:r>
      <w:r w:rsidRPr="008864DE">
        <w:t>the master copy of the trial court</w:t>
      </w:r>
      <w:r w:rsidRPr="008864DE" w:rsidR="008864DE">
        <w:t>’</w:t>
      </w:r>
      <w:r w:rsidRPr="008864DE">
        <w:t>s reasoned judgment.</w:t>
      </w:r>
    </w:p>
    <w:p w:rsidRPr="008864DE" w:rsidR="009A24B4" w:rsidP="008864DE" w14:paraId="1E3E35A5" w14:textId="2A665F2A">
      <w:pPr>
        <w:pStyle w:val="JuPara"/>
      </w:pPr>
      <w:r>
        <w:fldChar w:fldCharType="begin"/>
      </w:r>
      <w:r>
        <w:instrText xml:space="preserve"> SEQ level0 \*arabic \* MERGEFORMAT </w:instrText>
      </w:r>
      <w:r>
        <w:fldChar w:fldCharType="separate"/>
      </w:r>
      <w:r w:rsidRPr="008864DE" w:rsidR="008864DE">
        <w:rPr>
          <w:noProof/>
        </w:rPr>
        <w:t>5</w:t>
      </w:r>
      <w:r w:rsidRPr="008864DE" w:rsidR="008864DE">
        <w:rPr>
          <w:noProof/>
        </w:rPr>
        <w:fldChar w:fldCharType="end"/>
      </w:r>
      <w:r w:rsidRPr="008864DE">
        <w:t>.  On 6 December 2010 the applicant</w:t>
      </w:r>
      <w:r w:rsidRPr="008864DE" w:rsidR="008864DE">
        <w:t>’</w:t>
      </w:r>
      <w:r w:rsidRPr="008864DE">
        <w:t>s lawyer asked the trial court to provide him with a list of the contents of all the folders with a view to determining which documents or evidence were missing from the reconstructed file.</w:t>
      </w:r>
    </w:p>
    <w:p w:rsidRPr="008864DE" w:rsidR="009A24B4" w:rsidP="008864DE" w14:paraId="539CB383" w14:textId="066E6B1F">
      <w:pPr>
        <w:pStyle w:val="JuPara"/>
      </w:pPr>
      <w:r>
        <w:fldChar w:fldCharType="begin"/>
      </w:r>
      <w:r>
        <w:instrText xml:space="preserve"> SEQ level0 \*arabic \* MERGEFORMAT </w:instrText>
      </w:r>
      <w:r>
        <w:fldChar w:fldCharType="separate"/>
      </w:r>
      <w:r w:rsidRPr="008864DE" w:rsidR="008864DE">
        <w:rPr>
          <w:noProof/>
        </w:rPr>
        <w:t>6</w:t>
      </w:r>
      <w:r w:rsidRPr="008864DE" w:rsidR="008864DE">
        <w:rPr>
          <w:noProof/>
        </w:rPr>
        <w:fldChar w:fldCharType="end"/>
      </w:r>
      <w:r w:rsidRPr="008864DE">
        <w:t>.  On 14 December 2010 the Court of Cassation upheld the first-instance court</w:t>
      </w:r>
      <w:r w:rsidRPr="008864DE" w:rsidR="008864DE">
        <w:t>’</w:t>
      </w:r>
      <w:r w:rsidRPr="008864DE">
        <w:t>s judgment without mentioning the loss of the main folder from the case file or its partial reconstruction.</w:t>
      </w:r>
    </w:p>
    <w:p w:rsidRPr="008864DE" w:rsidR="009A24B4" w:rsidP="008864DE" w14:paraId="3D9F87C0" w14:textId="6B9B8F4B">
      <w:pPr>
        <w:pStyle w:val="JuPara"/>
      </w:pPr>
      <w:r>
        <w:fldChar w:fldCharType="begin"/>
      </w:r>
      <w:r>
        <w:instrText xml:space="preserve"> SEQ level0 \*arabic \* MERGEFORMAT </w:instrText>
      </w:r>
      <w:r>
        <w:fldChar w:fldCharType="separate"/>
      </w:r>
      <w:r w:rsidRPr="008864DE" w:rsidR="008864DE">
        <w:rPr>
          <w:noProof/>
        </w:rPr>
        <w:t>7</w:t>
      </w:r>
      <w:r w:rsidRPr="008864DE" w:rsidR="008864DE">
        <w:rPr>
          <w:noProof/>
        </w:rPr>
        <w:fldChar w:fldCharType="end"/>
      </w:r>
      <w:r w:rsidRPr="008864DE">
        <w:t>.  On 15 February 2011 the applicant</w:t>
      </w:r>
      <w:r w:rsidRPr="008864DE" w:rsidR="008864DE">
        <w:t>’</w:t>
      </w:r>
      <w:r w:rsidRPr="008864DE">
        <w:t>s lawyer, after having obtained a list of the contents of all the folders from the trial court, submitted a detailed list of documents which had not been included in the reconstructed case file.</w:t>
      </w:r>
    </w:p>
    <w:p w:rsidRPr="008864DE" w:rsidR="009A24B4" w:rsidP="008864DE" w14:paraId="2C279E74" w14:textId="10C7D383">
      <w:pPr>
        <w:pStyle w:val="JuPara"/>
      </w:pPr>
      <w:r>
        <w:fldChar w:fldCharType="begin"/>
      </w:r>
      <w:r>
        <w:instrText xml:space="preserve"> SEQ level0 \*arabic \* MERGEFORMAT </w:instrText>
      </w:r>
      <w:r>
        <w:fldChar w:fldCharType="separate"/>
      </w:r>
      <w:r w:rsidRPr="008864DE" w:rsidR="008864DE">
        <w:rPr>
          <w:noProof/>
        </w:rPr>
        <w:t>8</w:t>
      </w:r>
      <w:r w:rsidRPr="008864DE" w:rsidR="008864DE">
        <w:rPr>
          <w:noProof/>
        </w:rPr>
        <w:fldChar w:fldCharType="end"/>
      </w:r>
      <w:r w:rsidRPr="008864DE">
        <w:t>.  On 10 June 2011 the main folder from the case file was found in the Court of Cassation</w:t>
      </w:r>
      <w:r w:rsidRPr="008864DE" w:rsidR="008864DE">
        <w:t>’</w:t>
      </w:r>
      <w:r w:rsidRPr="008864DE">
        <w:t>s cellars.</w:t>
      </w:r>
    </w:p>
    <w:p w:rsidRPr="008864DE" w:rsidR="009A24B4" w:rsidP="008864DE" w14:paraId="06F6897B" w14:textId="0D46F163">
      <w:pPr>
        <w:pStyle w:val="JuPara"/>
      </w:pPr>
      <w:r>
        <w:fldChar w:fldCharType="begin"/>
      </w:r>
      <w:r>
        <w:instrText xml:space="preserve"> SEQ level0 \*arabic \* MERGEFORMAT </w:instrText>
      </w:r>
      <w:r>
        <w:fldChar w:fldCharType="separate"/>
      </w:r>
      <w:r w:rsidRPr="008864DE" w:rsidR="008864DE">
        <w:rPr>
          <w:noProof/>
        </w:rPr>
        <w:t>9</w:t>
      </w:r>
      <w:r w:rsidRPr="008864DE" w:rsidR="008864DE">
        <w:rPr>
          <w:noProof/>
        </w:rPr>
        <w:fldChar w:fldCharType="end"/>
      </w:r>
      <w:r w:rsidRPr="008864DE">
        <w:t>.  The applicant complained that his right to a fair trial under Article 6 § 1 of the Convention had been infringed on the grounds that the Court of Cassation had carried out its appellate review in the absence of the main folder, which had been lost and which had contained many important documents.</w:t>
      </w:r>
    </w:p>
    <w:p w:rsidRPr="008864DE" w:rsidR="009A24B4" w:rsidP="008864DE" w14:paraId="3B04F625" w14:textId="65932D44">
      <w:pPr>
        <w:pStyle w:val="JuHHead"/>
      </w:pPr>
      <w:r w:rsidRPr="008864DE">
        <w:t>THE COURT</w:t>
      </w:r>
      <w:r w:rsidRPr="008864DE" w:rsidR="008864DE">
        <w:t>’</w:t>
      </w:r>
      <w:r w:rsidRPr="008864DE">
        <w:t>S ASSESSMENT</w:t>
      </w:r>
    </w:p>
    <w:p w:rsidRPr="008864DE" w:rsidR="009A24B4" w:rsidP="008864DE" w14:paraId="4863C7B3" w14:textId="77777777">
      <w:pPr>
        <w:pStyle w:val="JuHIRoman"/>
        <w:numPr>
          <w:ilvl w:val="0"/>
          <w:numId w:val="0"/>
        </w:numPr>
        <w:ind w:left="397"/>
      </w:pPr>
      <w:r w:rsidRPr="008864DE">
        <w:t>ALLEGED VIOLATION OF ARTICLE 6 § 1 OF THE CONVENTION</w:t>
      </w:r>
    </w:p>
    <w:p w:rsidRPr="008864DE" w:rsidR="009A24B4" w:rsidP="008864DE" w14:paraId="36F10B33" w14:textId="5B30ACBE">
      <w:pPr>
        <w:pStyle w:val="JuPara"/>
      </w:pPr>
      <w:r w:rsidRPr="008864DE">
        <w:fldChar w:fldCharType="begin"/>
      </w:r>
      <w:r w:rsidRPr="008864DE">
        <w:instrText xml:space="preserve"> SEQ level0 \*arabic </w:instrText>
      </w:r>
      <w:r w:rsidRPr="008864DE">
        <w:fldChar w:fldCharType="separate"/>
      </w:r>
      <w:r w:rsidRPr="008864DE" w:rsidR="008864DE">
        <w:rPr>
          <w:noProof/>
        </w:rPr>
        <w:t>10</w:t>
      </w:r>
      <w:r w:rsidRPr="008864DE">
        <w:fldChar w:fldCharType="end"/>
      </w:r>
      <w:r w:rsidRPr="008864DE">
        <w:t>.  The Government contended that the application should be rejected as an abuse of the right of individual application because, according to an intercepted telephone call that the applicant had made in 2004, he had asked a clerk at the Court of Cassation to have a certain file “lost” for some years. The applicant</w:t>
      </w:r>
      <w:r w:rsidRPr="008864DE" w:rsidR="008864DE">
        <w:t>’</w:t>
      </w:r>
      <w:r w:rsidRPr="008864DE">
        <w:t>s lawyer fiercely disputed that contention, arguing that it had no relevance to the present case and criticised the Government for attempting to arouse suspicion against the applicant based on presumptions.</w:t>
      </w:r>
    </w:p>
    <w:p w:rsidRPr="008864DE" w:rsidR="009A24B4" w:rsidP="008864DE" w14:paraId="58476FF4" w14:textId="1E9641C1">
      <w:pPr>
        <w:pStyle w:val="JuPara"/>
      </w:pPr>
      <w:r>
        <w:fldChar w:fldCharType="begin"/>
      </w:r>
      <w:r>
        <w:instrText xml:space="preserve"> SEQ level0 \*arabic \* MERGEFORMAT </w:instrText>
      </w:r>
      <w:r>
        <w:fldChar w:fldCharType="separate"/>
      </w:r>
      <w:r w:rsidRPr="008864DE" w:rsidR="008864DE">
        <w:rPr>
          <w:noProof/>
        </w:rPr>
        <w:t>11</w:t>
      </w:r>
      <w:r w:rsidRPr="008864DE" w:rsidR="008864DE">
        <w:rPr>
          <w:noProof/>
        </w:rPr>
        <w:fldChar w:fldCharType="end"/>
      </w:r>
      <w:r w:rsidRPr="008864DE">
        <w:t>.  The Court notes that the telephone call referred to by the Government did not concern the present case in which the trial court delivered its judgment in 2009 and the case file was sent to the Court of Cassation thereafter; thus, the Government</w:t>
      </w:r>
      <w:r w:rsidRPr="008864DE" w:rsidR="008864DE">
        <w:t>’</w:t>
      </w:r>
      <w:r w:rsidRPr="008864DE">
        <w:t>s objection based on that call cannot be upheld. Accordingly, it dismisses the Government</w:t>
      </w:r>
      <w:r w:rsidRPr="008864DE" w:rsidR="008864DE">
        <w:t>’</w:t>
      </w:r>
      <w:r w:rsidRPr="008864DE">
        <w:t>s preliminary objection.</w:t>
      </w:r>
    </w:p>
    <w:p w:rsidRPr="008864DE" w:rsidR="009A24B4" w:rsidP="008864DE" w14:paraId="479EC7F8" w14:textId="1CFCF895">
      <w:pPr>
        <w:pStyle w:val="JuPara"/>
      </w:pPr>
      <w:r>
        <w:fldChar w:fldCharType="begin"/>
      </w:r>
      <w:r>
        <w:instrText xml:space="preserve"> SEQ level0 \*arabic \* MERGEFORMAT </w:instrText>
      </w:r>
      <w:r>
        <w:fldChar w:fldCharType="separate"/>
      </w:r>
      <w:r w:rsidRPr="008864DE" w:rsidR="008864DE">
        <w:rPr>
          <w:noProof/>
        </w:rPr>
        <w:t>12</w:t>
      </w:r>
      <w:r w:rsidRPr="008864DE" w:rsidR="008864DE">
        <w:rPr>
          <w:noProof/>
        </w:rPr>
        <w:fldChar w:fldCharType="end"/>
      </w:r>
      <w:r w:rsidRPr="008864DE">
        <w:t>.  Secondly, the Government submitted that the application had to be declared inadmissible as being manifestly ill-founded because it was aimed at contesting the outcome reached by the domestic courts.</w:t>
      </w:r>
    </w:p>
    <w:p w:rsidRPr="008864DE" w:rsidR="009A24B4" w:rsidP="008864DE" w14:paraId="316A5740" w14:textId="70F3D020">
      <w:pPr>
        <w:pStyle w:val="JuPara"/>
      </w:pPr>
      <w:r>
        <w:fldChar w:fldCharType="begin"/>
      </w:r>
      <w:r>
        <w:instrText xml:space="preserve"> SEQ level0 \*arabic \* MERGEFORMAT </w:instrText>
      </w:r>
      <w:r>
        <w:fldChar w:fldCharType="separate"/>
      </w:r>
      <w:r w:rsidRPr="008864DE" w:rsidR="008864DE">
        <w:rPr>
          <w:noProof/>
        </w:rPr>
        <w:t>13</w:t>
      </w:r>
      <w:r w:rsidRPr="008864DE" w:rsidR="008864DE">
        <w:rPr>
          <w:noProof/>
        </w:rPr>
        <w:fldChar w:fldCharType="end"/>
      </w:r>
      <w:r w:rsidRPr="008864DE">
        <w:t>.  The Court considers that the application raises complex issues of facts and law which cannot be determined without an examination on the merits. It finds that the application is neither manifestly ill-founded within the meaning of Article 35 § 3 (a) of the Convention nor inadmissible on any other grounds and must therefore be declared admissible.</w:t>
      </w:r>
    </w:p>
    <w:p w:rsidRPr="008864DE" w:rsidR="009A24B4" w:rsidP="008864DE" w14:paraId="57A20A24" w14:textId="03F74B09">
      <w:pPr>
        <w:pStyle w:val="JuPara"/>
      </w:pPr>
      <w:r>
        <w:fldChar w:fldCharType="begin"/>
      </w:r>
      <w:r>
        <w:instrText xml:space="preserve"> SEQ level0 \*arabic \* MERGEFORMAT </w:instrText>
      </w:r>
      <w:r>
        <w:fldChar w:fldCharType="separate"/>
      </w:r>
      <w:r w:rsidRPr="008864DE" w:rsidR="008864DE">
        <w:rPr>
          <w:noProof/>
        </w:rPr>
        <w:t>14</w:t>
      </w:r>
      <w:r w:rsidRPr="008864DE" w:rsidR="008864DE">
        <w:rPr>
          <w:noProof/>
        </w:rPr>
        <w:fldChar w:fldCharType="end"/>
      </w:r>
      <w:r w:rsidRPr="008864DE">
        <w:t>.  The applicant reiterated his complaints.</w:t>
      </w:r>
    </w:p>
    <w:p w:rsidRPr="008864DE" w:rsidR="009A24B4" w:rsidP="008864DE" w14:paraId="7E6BE363" w14:textId="14000234">
      <w:pPr>
        <w:pStyle w:val="JuPara"/>
      </w:pPr>
      <w:r>
        <w:fldChar w:fldCharType="begin"/>
      </w:r>
      <w:r>
        <w:instrText xml:space="preserve"> SEQ level0 \*arabic \* MERGEFORMAT </w:instrText>
      </w:r>
      <w:r>
        <w:fldChar w:fldCharType="separate"/>
      </w:r>
      <w:r w:rsidRPr="008864DE" w:rsidR="008864DE">
        <w:rPr>
          <w:noProof/>
        </w:rPr>
        <w:t>15</w:t>
      </w:r>
      <w:r w:rsidRPr="008864DE" w:rsidR="008864DE">
        <w:rPr>
          <w:noProof/>
        </w:rPr>
        <w:fldChar w:fldCharType="end"/>
      </w:r>
      <w:r w:rsidRPr="008864DE">
        <w:t>.  The Government submitted that the evidence forming the basis of the applicant</w:t>
      </w:r>
      <w:r w:rsidRPr="008864DE" w:rsidR="008864DE">
        <w:t>’</w:t>
      </w:r>
      <w:r w:rsidRPr="008864DE">
        <w:t xml:space="preserve">s conviction </w:t>
      </w:r>
      <w:r w:rsidRPr="008864DE">
        <w:t>was at all times</w:t>
      </w:r>
      <w:r w:rsidRPr="008864DE">
        <w:t xml:space="preserve"> in the part of the case files that had not been lost. Moreover, the applicant had not explained whether and, if so, how, the missing documents had affected the overall fairness of the proceedings. In fact, the applicant</w:t>
      </w:r>
      <w:r w:rsidRPr="008864DE" w:rsidR="008864DE">
        <w:t>’</w:t>
      </w:r>
      <w:r w:rsidRPr="008864DE">
        <w:t xml:space="preserve">s lawyers before the Court of Cassation and the Court had been inconsistent as to which documents had been lost; they had only been consistent in respect of, </w:t>
      </w:r>
      <w:r w:rsidRPr="008864DE">
        <w:rPr>
          <w:i/>
          <w:iCs/>
        </w:rPr>
        <w:t>inter alia</w:t>
      </w:r>
      <w:r w:rsidRPr="008864DE">
        <w:t>, the appeal. However, in accordance with the Code of Criminal Procedure in force at the material time, the submission of grounds of appeal was optional and a failure to submit such grounds would not result in the dismissal of an appeal. In any event, the Court of Cassation had carried out a thorough review of the case and remedied any prejudice which might have stemmed from the loss of certain documents.</w:t>
      </w:r>
    </w:p>
    <w:p w:rsidRPr="008864DE" w:rsidR="009A24B4" w:rsidP="008864DE" w14:paraId="072DB479" w14:textId="5DC47363">
      <w:pPr>
        <w:pStyle w:val="JuPara"/>
      </w:pPr>
      <w:r>
        <w:fldChar w:fldCharType="begin"/>
      </w:r>
      <w:r>
        <w:instrText xml:space="preserve"> SEQ level0 \*arabic \* MERGEFORMAT </w:instrText>
      </w:r>
      <w:r>
        <w:fldChar w:fldCharType="separate"/>
      </w:r>
      <w:r w:rsidRPr="008864DE" w:rsidR="008864DE">
        <w:rPr>
          <w:noProof/>
        </w:rPr>
        <w:t>16</w:t>
      </w:r>
      <w:r w:rsidRPr="008864DE" w:rsidR="008864DE">
        <w:rPr>
          <w:noProof/>
        </w:rPr>
        <w:fldChar w:fldCharType="end"/>
      </w:r>
      <w:r w:rsidRPr="008864DE">
        <w:t>.  Having regard to the contents of the reconstructed case file (see</w:t>
      </w:r>
      <w:r w:rsidRPr="008864DE" w:rsidR="00A6252E">
        <w:t xml:space="preserve"> </w:t>
      </w:r>
      <w:r w:rsidRPr="008864DE">
        <w:t>paragraph</w:t>
      </w:r>
      <w:r w:rsidRPr="008864DE" w:rsidR="007022D6">
        <w:t> 4</w:t>
      </w:r>
      <w:r w:rsidRPr="008864DE">
        <w:t xml:space="preserve"> above), the Court</w:t>
      </w:r>
      <w:r w:rsidRPr="008864DE" w:rsidR="008864DE">
        <w:t>’</w:t>
      </w:r>
      <w:r w:rsidRPr="008864DE">
        <w:t>s examination on that point will be limited to the loss of the applicant</w:t>
      </w:r>
      <w:r w:rsidRPr="008864DE" w:rsidR="008864DE">
        <w:t>’</w:t>
      </w:r>
      <w:r w:rsidRPr="008864DE">
        <w:t>s appeal, since the applicant neither contested the Government</w:t>
      </w:r>
      <w:r w:rsidRPr="008864DE" w:rsidR="008864DE">
        <w:t>’</w:t>
      </w:r>
      <w:r w:rsidRPr="008864DE">
        <w:t>s claim as to which documents were missing, nor specified in a consistent manner what those documents were. The thrust of the legal question is thus whether the appellate review carried out by the Court of Cassation in the absence of the applicant</w:t>
      </w:r>
      <w:r w:rsidRPr="008864DE" w:rsidR="008864DE">
        <w:t>’</w:t>
      </w:r>
      <w:r w:rsidRPr="008864DE">
        <w:t>s appeal ran counter to the principle of adversarial procedure under Article 6 § 1 of the Convention.</w:t>
      </w:r>
    </w:p>
    <w:p w:rsidRPr="008864DE" w:rsidR="009A24B4" w:rsidP="008864DE" w14:paraId="5AFE4ADA" w14:textId="0636E48E">
      <w:pPr>
        <w:pStyle w:val="JuPara"/>
      </w:pPr>
      <w:r>
        <w:fldChar w:fldCharType="begin"/>
      </w:r>
      <w:r>
        <w:instrText xml:space="preserve"> SEQ level0 \*arabic \* MERGEFORMAT </w:instrText>
      </w:r>
      <w:r>
        <w:fldChar w:fldCharType="separate"/>
      </w:r>
      <w:r w:rsidRPr="008864DE" w:rsidR="008864DE">
        <w:rPr>
          <w:noProof/>
        </w:rPr>
        <w:t>17</w:t>
      </w:r>
      <w:r w:rsidRPr="008864DE" w:rsidR="008864DE">
        <w:rPr>
          <w:noProof/>
        </w:rPr>
        <w:fldChar w:fldCharType="end"/>
      </w:r>
      <w:r w:rsidRPr="008864DE">
        <w:t xml:space="preserve">.  The general principles concerning the principle of adversarial procedure may be found in </w:t>
      </w:r>
      <w:r w:rsidRPr="008864DE">
        <w:rPr>
          <w:i/>
          <w:iCs/>
        </w:rPr>
        <w:t>Vegotex</w:t>
      </w:r>
      <w:r w:rsidRPr="008864DE">
        <w:rPr>
          <w:i/>
          <w:iCs/>
        </w:rPr>
        <w:t xml:space="preserve"> International S.A. v. Belgium</w:t>
      </w:r>
      <w:r w:rsidRPr="008864DE">
        <w:t xml:space="preserve"> ([GC], no. 49812/09, § 134, 3 November 2022), and </w:t>
      </w:r>
      <w:r w:rsidRPr="008864DE">
        <w:rPr>
          <w:i/>
          <w:iCs/>
        </w:rPr>
        <w:t>Murtazaliyeva</w:t>
      </w:r>
      <w:r w:rsidRPr="008864DE">
        <w:rPr>
          <w:i/>
          <w:iCs/>
        </w:rPr>
        <w:t xml:space="preserve"> v. Russia</w:t>
      </w:r>
      <w:r w:rsidRPr="008864DE">
        <w:rPr>
          <w:iCs/>
        </w:rPr>
        <w:t xml:space="preserve"> ([GC]</w:t>
      </w:r>
      <w:r w:rsidRPr="008864DE">
        <w:t xml:space="preserve">, no. 36658/05, § 91, 18 December 2018, with further references). According to that principle, the parties must have the opportunity to make known any evidence needed for their claims to succeed, but also to have knowledge of, and comment on, all evidence </w:t>
      </w:r>
      <w:r w:rsidRPr="008864DE">
        <w:t>adduced</w:t>
      </w:r>
      <w:r w:rsidRPr="008864DE">
        <w:t xml:space="preserve"> or observations filed, with a view to influencing the court</w:t>
      </w:r>
      <w:r w:rsidRPr="008864DE" w:rsidR="008864DE">
        <w:t>’</w:t>
      </w:r>
      <w:r w:rsidRPr="008864DE">
        <w:t>s decision (ibid.).</w:t>
      </w:r>
    </w:p>
    <w:p w:rsidRPr="008864DE" w:rsidR="009A24B4" w:rsidP="008864DE" w14:paraId="688A6EC0" w14:textId="7C689CA0">
      <w:pPr>
        <w:pStyle w:val="JuPara"/>
      </w:pPr>
      <w:r>
        <w:fldChar w:fldCharType="begin"/>
      </w:r>
      <w:r>
        <w:instrText xml:space="preserve"> SEQ level0 \*arabic \* MERGEFORMAT </w:instrText>
      </w:r>
      <w:r>
        <w:fldChar w:fldCharType="separate"/>
      </w:r>
      <w:r w:rsidRPr="008864DE" w:rsidR="008864DE">
        <w:rPr>
          <w:noProof/>
        </w:rPr>
        <w:t>18</w:t>
      </w:r>
      <w:r w:rsidRPr="008864DE" w:rsidR="008864DE">
        <w:rPr>
          <w:noProof/>
        </w:rPr>
        <w:fldChar w:fldCharType="end"/>
      </w:r>
      <w:r w:rsidRPr="008864DE">
        <w:t xml:space="preserve">.  In determining whether the applicant was given the opportunity to make known any elements relevant for his appeal to succeed, the Court notes </w:t>
      </w:r>
      <w:r w:rsidRPr="008864DE">
        <w:t>at the outset that the domestic courts</w:t>
      </w:r>
      <w:r w:rsidRPr="008864DE" w:rsidR="008864DE">
        <w:t>’</w:t>
      </w:r>
      <w:r w:rsidRPr="008864DE">
        <w:t xml:space="preserve"> approach to the issue of lost documents at no point in time included the applicant or his lawyer. The documents in the Court</w:t>
      </w:r>
      <w:r w:rsidRPr="008864DE" w:rsidR="008864DE">
        <w:t>’</w:t>
      </w:r>
      <w:r w:rsidRPr="008864DE">
        <w:t>s possession do not demonstrate that either the applicant or his lawyers were informed of the steps taken to reconstruct the main folder. Nor did the Government argue otherwise. Furthermore, once the case file had been reconstructed, it appears that it was not transmitted to the applicant or his lawyers. The applicant could not have inferred what documents formed part of the case file before the Court of Cassation without having been informed of the contents of the reconstructed case file. The trial court took no real steps to inform the applicant or his lawyer that the case file would be reconstructed and to invite them to submit the missing documents. While the report by the trial court</w:t>
      </w:r>
      <w:r w:rsidRPr="008864DE" w:rsidR="008864DE">
        <w:t>’</w:t>
      </w:r>
      <w:r w:rsidRPr="008864DE">
        <w:t>s registrar indicated that none of the lawyers involved in the case could be contacted, it is unclear what steps had been taken to that end and why it had not been possible to contact any of those lawyers. It is also not clear what steps had been taken to contact the Bar Association and why any such efforts proved futile.</w:t>
      </w:r>
    </w:p>
    <w:p w:rsidRPr="008864DE" w:rsidR="009A24B4" w:rsidP="008864DE" w14:paraId="3398C14F" w14:textId="4209B53A">
      <w:pPr>
        <w:pStyle w:val="JuPara"/>
      </w:pPr>
      <w:r>
        <w:fldChar w:fldCharType="begin"/>
      </w:r>
      <w:r>
        <w:instrText xml:space="preserve"> SEQ level0 \*arabic \* MERGEFORMAT </w:instrText>
      </w:r>
      <w:r>
        <w:fldChar w:fldCharType="separate"/>
      </w:r>
      <w:r w:rsidRPr="008864DE" w:rsidR="008864DE">
        <w:rPr>
          <w:noProof/>
        </w:rPr>
        <w:t>19</w:t>
      </w:r>
      <w:r w:rsidRPr="008864DE" w:rsidR="008864DE">
        <w:rPr>
          <w:noProof/>
        </w:rPr>
        <w:fldChar w:fldCharType="end"/>
      </w:r>
      <w:r w:rsidRPr="008864DE">
        <w:t>.  Furthermore, when the Court of Cassation upheld the trial court</w:t>
      </w:r>
      <w:r w:rsidRPr="008864DE" w:rsidR="008864DE">
        <w:t>’</w:t>
      </w:r>
      <w:r w:rsidRPr="008864DE">
        <w:t>s judgment, no mention was made of the reconstruction of the case file or its contents.</w:t>
      </w:r>
    </w:p>
    <w:p w:rsidRPr="008864DE" w:rsidR="009A24B4" w:rsidP="008864DE" w14:paraId="66B9EC63" w14:textId="2C34E5D6">
      <w:pPr>
        <w:pStyle w:val="JuPara"/>
      </w:pPr>
      <w:r>
        <w:fldChar w:fldCharType="begin"/>
      </w:r>
      <w:r>
        <w:instrText xml:space="preserve"> SEQ level0 \*arabic \* MERGEFORMAT </w:instrText>
      </w:r>
      <w:r>
        <w:fldChar w:fldCharType="separate"/>
      </w:r>
      <w:r w:rsidRPr="008864DE" w:rsidR="008864DE">
        <w:rPr>
          <w:noProof/>
        </w:rPr>
        <w:t>20</w:t>
      </w:r>
      <w:r w:rsidRPr="008864DE" w:rsidR="008864DE">
        <w:rPr>
          <w:noProof/>
        </w:rPr>
        <w:fldChar w:fldCharType="end"/>
      </w:r>
      <w:r w:rsidRPr="008864DE">
        <w:t>.  Accordingly, even though the applicant had lodged an appeal in which his grounds of appeal were set out, the domestic courts</w:t>
      </w:r>
      <w:r w:rsidRPr="008864DE" w:rsidR="008864DE">
        <w:t>’</w:t>
      </w:r>
      <w:r w:rsidRPr="008864DE">
        <w:t xml:space="preserve"> above-mentioned stance meant that there was no real opportunity for the applicant to comment, </w:t>
      </w:r>
      <w:r w:rsidRPr="008864DE">
        <w:t>namely</w:t>
      </w:r>
      <w:r w:rsidRPr="008864DE">
        <w:t xml:space="preserve"> to have his appeal examined by the Court of Cassation. The Court cannot uphold the Government</w:t>
      </w:r>
      <w:r w:rsidRPr="008864DE" w:rsidR="008864DE">
        <w:t>’</w:t>
      </w:r>
      <w:r w:rsidRPr="008864DE">
        <w:t>s argument that the Court of Cassation carried out a thorough examination of the case without having had regard to the applicant</w:t>
      </w:r>
      <w:r w:rsidRPr="008864DE" w:rsidR="008864DE">
        <w:t>’</w:t>
      </w:r>
      <w:r w:rsidRPr="008864DE">
        <w:t xml:space="preserve">s appeal submissions, irrespective of the fact that the appeals setting out the grounds of appeal were optional under the former Code of Criminal Procedure (compare also </w:t>
      </w:r>
      <w:r w:rsidRPr="008864DE">
        <w:rPr>
          <w:i/>
        </w:rPr>
        <w:t>Quadrelli</w:t>
      </w:r>
      <w:r w:rsidRPr="008864DE">
        <w:rPr>
          <w:i/>
        </w:rPr>
        <w:t xml:space="preserve"> v. Italy</w:t>
      </w:r>
      <w:r w:rsidRPr="008864DE">
        <w:t xml:space="preserve">, no. 28168/95, § 34, 11 January 2000). The Court does not need to determine whether that situation gave rise to any prejudice; the existence of a violation is conceivable even in the absence of prejudice (see, </w:t>
      </w:r>
      <w:r w:rsidRPr="008864DE">
        <w:rPr>
          <w:i/>
          <w:iCs/>
        </w:rPr>
        <w:t>mutatis mutandis</w:t>
      </w:r>
      <w:r w:rsidRPr="008864DE">
        <w:t xml:space="preserve">, </w:t>
      </w:r>
      <w:r w:rsidRPr="008864DE">
        <w:rPr>
          <w:i/>
        </w:rPr>
        <w:t>Bajić</w:t>
      </w:r>
      <w:r w:rsidRPr="008864DE">
        <w:rPr>
          <w:i/>
        </w:rPr>
        <w:t xml:space="preserve"> v. North</w:t>
      </w:r>
      <w:r w:rsidRPr="008864DE" w:rsidR="00A6252E">
        <w:rPr>
          <w:i/>
        </w:rPr>
        <w:t> </w:t>
      </w:r>
      <w:r w:rsidRPr="008864DE">
        <w:rPr>
          <w:i/>
        </w:rPr>
        <w:t>Macedonia</w:t>
      </w:r>
      <w:r w:rsidRPr="008864DE">
        <w:t xml:space="preserve">, no. 2833/13, § 59, 10 June 2021, and </w:t>
      </w:r>
      <w:r w:rsidRPr="008864DE">
        <w:rPr>
          <w:i/>
        </w:rPr>
        <w:t>Zahirović</w:t>
      </w:r>
      <w:r w:rsidRPr="008864DE">
        <w:rPr>
          <w:i/>
        </w:rPr>
        <w:t xml:space="preserve"> v.</w:t>
      </w:r>
      <w:r w:rsidRPr="008864DE" w:rsidR="000F5652">
        <w:rPr>
          <w:i/>
        </w:rPr>
        <w:t xml:space="preserve"> </w:t>
      </w:r>
      <w:r w:rsidRPr="008864DE">
        <w:rPr>
          <w:i/>
        </w:rPr>
        <w:t>Croatia</w:t>
      </w:r>
      <w:r w:rsidRPr="008864DE">
        <w:t>, no. 58590/11, § 48, 25 April 2013).</w:t>
      </w:r>
    </w:p>
    <w:p w:rsidRPr="008864DE" w:rsidR="009A24B4" w:rsidP="008864DE" w14:paraId="2D7F8BAA" w14:textId="42A4952A">
      <w:pPr>
        <w:pStyle w:val="JuPara"/>
      </w:pPr>
      <w:r>
        <w:fldChar w:fldCharType="begin"/>
      </w:r>
      <w:r>
        <w:instrText xml:space="preserve"> SEQ level0 \*arabic \* MERGEFORMAT </w:instrText>
      </w:r>
      <w:r>
        <w:fldChar w:fldCharType="separate"/>
      </w:r>
      <w:r w:rsidRPr="008864DE" w:rsidR="008864DE">
        <w:rPr>
          <w:noProof/>
        </w:rPr>
        <w:t>21</w:t>
      </w:r>
      <w:r w:rsidRPr="008864DE" w:rsidR="008864DE">
        <w:rPr>
          <w:noProof/>
        </w:rPr>
        <w:fldChar w:fldCharType="end"/>
      </w:r>
      <w:r w:rsidRPr="008864DE">
        <w:t xml:space="preserve">.  In view of the </w:t>
      </w:r>
      <w:r w:rsidRPr="008864DE">
        <w:t>above, and</w:t>
      </w:r>
      <w:r w:rsidRPr="008864DE">
        <w:t xml:space="preserve"> having regard to what was at stake for the applicant, namely his conviction and sentence of imprisonment, the Court concludes that the appellate review conducted in the absence of the applicant</w:t>
      </w:r>
      <w:r w:rsidRPr="008864DE" w:rsidR="008864DE">
        <w:t>’</w:t>
      </w:r>
      <w:r w:rsidRPr="008864DE">
        <w:t>s above-mentioned appeal did not comply with the requirements of the principle of adversarial procedure under Article 6 § 1 of the Convention.</w:t>
      </w:r>
    </w:p>
    <w:p w:rsidRPr="008864DE" w:rsidR="009A24B4" w:rsidP="008864DE" w14:paraId="111DB30E" w14:textId="1C030AB9">
      <w:pPr>
        <w:pStyle w:val="JuPara"/>
      </w:pPr>
      <w:r w:rsidRPr="008864DE">
        <w:fldChar w:fldCharType="begin"/>
      </w:r>
      <w:r w:rsidRPr="008864DE">
        <w:instrText xml:space="preserve"> SEQ level0 \*arabic </w:instrText>
      </w:r>
      <w:r w:rsidRPr="008864DE">
        <w:fldChar w:fldCharType="separate"/>
      </w:r>
      <w:r w:rsidRPr="008864DE" w:rsidR="008864DE">
        <w:rPr>
          <w:noProof/>
        </w:rPr>
        <w:t>22</w:t>
      </w:r>
      <w:r w:rsidRPr="008864DE">
        <w:fldChar w:fldCharType="end"/>
      </w:r>
      <w:r w:rsidRPr="008864DE">
        <w:t>.  There has accordingly been a violation of Article 6 § 1 of the Convention.</w:t>
      </w:r>
    </w:p>
    <w:p w:rsidRPr="008864DE" w:rsidR="009A24B4" w:rsidP="008864DE" w14:paraId="3B6ADFB3" w14:textId="77777777">
      <w:pPr>
        <w:pStyle w:val="JuHHead"/>
      </w:pPr>
      <w:r w:rsidRPr="008864DE">
        <w:rPr>
          <w:caps w:val="0"/>
        </w:rPr>
        <w:t>APPLICATION OF ARTICLE 41 OF THE CONVENTION</w:t>
      </w:r>
    </w:p>
    <w:p w:rsidRPr="008864DE" w:rsidR="009A24B4" w:rsidP="008864DE" w14:paraId="0E14B809" w14:textId="11075BE1">
      <w:pPr>
        <w:pStyle w:val="JuPara"/>
      </w:pPr>
      <w:r w:rsidRPr="008864DE">
        <w:fldChar w:fldCharType="begin"/>
      </w:r>
      <w:r w:rsidRPr="008864DE">
        <w:instrText xml:space="preserve"> SEQ level0 \*arabic </w:instrText>
      </w:r>
      <w:r w:rsidRPr="008864DE">
        <w:fldChar w:fldCharType="separate"/>
      </w:r>
      <w:r w:rsidRPr="008864DE" w:rsidR="008864DE">
        <w:rPr>
          <w:noProof/>
        </w:rPr>
        <w:t>23</w:t>
      </w:r>
      <w:r w:rsidRPr="008864DE">
        <w:fldChar w:fldCharType="end"/>
      </w:r>
      <w:r w:rsidRPr="008864DE">
        <w:t xml:space="preserve">.  The applicant did not submit a claim for just satisfaction. Accordingly, there is no call to award him any sum on that account. Notwithstanding that conclusion, the Court reiterates that the most appropriate form of redress would be a retrial in accordance with the requirements of Article 6 of the Convention, should the applicant so request (see </w:t>
      </w:r>
      <w:r w:rsidRPr="008864DE">
        <w:rPr>
          <w:i/>
          <w:iCs/>
        </w:rPr>
        <w:t>Soytemiz</w:t>
      </w:r>
      <w:r w:rsidRPr="008864DE">
        <w:rPr>
          <w:i/>
          <w:iCs/>
        </w:rPr>
        <w:t xml:space="preserve"> v. Turkey</w:t>
      </w:r>
      <w:r w:rsidRPr="008864DE">
        <w:rPr>
          <w:lang w:eastAsia="en-GB"/>
        </w:rPr>
        <w:t>, no. </w:t>
      </w:r>
      <w:r w:rsidRPr="008864DE">
        <w:t>57837/09</w:t>
      </w:r>
      <w:r w:rsidRPr="008864DE">
        <w:rPr>
          <w:lang w:eastAsia="en-GB"/>
        </w:rPr>
        <w:t xml:space="preserve">, </w:t>
      </w:r>
      <w:r w:rsidRPr="008864DE">
        <w:t>§ 64, 27 November 2018).</w:t>
      </w:r>
    </w:p>
    <w:p w:rsidRPr="008864DE" w:rsidR="009A24B4" w:rsidP="008864DE" w14:paraId="4BE4FB39" w14:textId="06A88819">
      <w:pPr>
        <w:pStyle w:val="JuList"/>
        <w:numPr>
          <w:ilvl w:val="0"/>
          <w:numId w:val="0"/>
        </w:numPr>
      </w:pPr>
      <w:r w:rsidRPr="008864DE">
        <w:rPr>
          <w:rFonts w:asciiTheme="majorHAnsi" w:hAnsiTheme="majorHAnsi" w:cstheme="majorHAnsi"/>
          <w:sz w:val="28"/>
          <w:szCs w:val="28"/>
        </w:rPr>
        <w:t>FOR THESE REASONS, THE COURT, UNANIMOUSLY,</w:t>
      </w:r>
    </w:p>
    <w:p w:rsidRPr="008864DE" w:rsidR="009A24B4" w:rsidP="008864DE" w14:paraId="2A869E43" w14:textId="77777777">
      <w:pPr>
        <w:pStyle w:val="JuList"/>
        <w:numPr>
          <w:ilvl w:val="0"/>
          <w:numId w:val="1"/>
        </w:numPr>
      </w:pPr>
      <w:r w:rsidRPr="008864DE">
        <w:rPr>
          <w:i/>
        </w:rPr>
        <w:t>Declares</w:t>
      </w:r>
      <w:r w:rsidRPr="008864DE">
        <w:t xml:space="preserve"> the application </w:t>
      </w:r>
      <w:r w:rsidRPr="008864DE">
        <w:t>admissible;</w:t>
      </w:r>
    </w:p>
    <w:p w:rsidRPr="008864DE" w:rsidR="004D0EC7" w:rsidP="008864DE" w14:paraId="0972410B" w14:textId="3B31B333">
      <w:pPr>
        <w:pStyle w:val="JuList"/>
      </w:pPr>
      <w:r w:rsidRPr="008864DE">
        <w:rPr>
          <w:i/>
        </w:rPr>
        <w:t>Holds</w:t>
      </w:r>
      <w:r w:rsidRPr="008864DE">
        <w:t xml:space="preserve"> that there has been a violation of Article 6</w:t>
      </w:r>
      <w:r w:rsidRPr="008864DE" w:rsidR="00A6252E">
        <w:t xml:space="preserve"> </w:t>
      </w:r>
      <w:r w:rsidRPr="008864DE">
        <w:t>§</w:t>
      </w:r>
      <w:r w:rsidRPr="008864DE" w:rsidR="00A6252E">
        <w:t xml:space="preserve"> </w:t>
      </w:r>
      <w:r w:rsidRPr="008864DE">
        <w:t>1 of the Convention.</w:t>
      </w:r>
    </w:p>
    <w:p w:rsidRPr="008864DE" w:rsidR="008E3A08" w:rsidP="008864DE" w14:paraId="7F35E828" w14:textId="1D8345BC">
      <w:pPr>
        <w:pStyle w:val="JuParaLast"/>
      </w:pPr>
      <w:r w:rsidRPr="008864DE">
        <w:t xml:space="preserve">Done in English, and notified in writing on </w:t>
      </w:r>
      <w:r w:rsidRPr="008864DE" w:rsidR="009A24B4">
        <w:rPr>
          <w:rFonts w:ascii="Times New Roman" w:hAnsi="Times New Roman" w:cs="Times New Roman"/>
        </w:rPr>
        <w:t>9 May 2023</w:t>
      </w:r>
      <w:r w:rsidRPr="008864DE">
        <w:t>, pursuant to Rule 77 §§ 2 and 3 of the Rules of Court.</w:t>
      </w:r>
    </w:p>
    <w:p w:rsidRPr="008864DE" w:rsidR="001C055B" w:rsidP="008864DE" w14:paraId="08E865D7" w14:textId="3CBF8D4A">
      <w:pPr>
        <w:pStyle w:val="JuSigned"/>
      </w:pPr>
      <w:r w:rsidRPr="008864DE">
        <w:tab/>
      </w:r>
      <w:r w:rsidRPr="008864DE" w:rsidR="009A24B4">
        <w:rPr>
          <w:noProof/>
        </w:rPr>
        <w:t>Dorothee von Arnim</w:t>
      </w:r>
      <w:r w:rsidRPr="008864DE" w:rsidR="005879A2">
        <w:t xml:space="preserve"> </w:t>
      </w:r>
      <w:r w:rsidRPr="008864DE" w:rsidR="009F4C8F">
        <w:tab/>
      </w:r>
      <w:r w:rsidRPr="008864DE" w:rsidR="009A24B4">
        <w:rPr>
          <w:noProof/>
        </w:rPr>
        <w:t>Pauliine Koskelo</w:t>
      </w:r>
      <w:r w:rsidRPr="008864DE" w:rsidR="009F4C8F">
        <w:br/>
      </w:r>
      <w:r w:rsidRPr="008864DE" w:rsidR="009F4C8F">
        <w:tab/>
      </w:r>
      <w:r w:rsidRPr="008864DE" w:rsidR="009A24B4">
        <w:rPr>
          <w:noProof/>
        </w:rPr>
        <w:t xml:space="preserve">Deputy </w:t>
      </w:r>
      <w:r w:rsidRPr="008864DE" w:rsidR="009A24B4">
        <w:rPr>
          <w:iCs/>
          <w:noProof/>
        </w:rPr>
        <w:t>Registrar</w:t>
      </w:r>
      <w:r w:rsidRPr="008864DE" w:rsidR="009F4C8F">
        <w:tab/>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24B4" w:rsidRPr="00150BFA" w:rsidP="0020718E" w14:paraId="4391FD0C" w14:textId="05CB00E5">
    <w:pPr>
      <w:jc w:val="center"/>
    </w:pPr>
    <w:r>
      <w:rPr>
        <w:noProof/>
        <w:lang w:val="en-US"/>
      </w:rPr>
      <w:drawing>
        <wp:inline distT="0" distB="0" distL="0" distR="0">
          <wp:extent cx="771525" cy="619125"/>
          <wp:effectExtent l="0" t="0" r="9525" b="9525"/>
          <wp:docPr id="50" name="Picture 5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9A24B4" w:rsidP="00AF12C5" w14:paraId="023CDE0B" w14:textId="7C5FE46C">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24B4" w:rsidRPr="00150BFA" w:rsidP="0020718E" w14:paraId="78D6F461" w14:textId="5BFED39F">
    <w:pPr>
      <w:jc w:val="center"/>
    </w:pPr>
    <w:r>
      <w:rPr>
        <w:noProof/>
        <w:lang w:val="en-US"/>
      </w:rPr>
      <w:drawing>
        <wp:inline distT="0" distB="0" distL="0" distR="0">
          <wp:extent cx="771525" cy="619125"/>
          <wp:effectExtent l="0" t="0" r="9525" b="9525"/>
          <wp:docPr id="48" name="Picture 4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9A24B4" w:rsidP="009E7A6F" w14:paraId="69794B4C" w14:textId="710EB33B">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55B56C6B" w14:textId="0012E7FE">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0FCA2D7F" w14:textId="41556260">
    <w:pPr>
      <w:pStyle w:val="JuHeader"/>
    </w:pPr>
    <w:r>
      <w:fldChar w:fldCharType="begin"/>
    </w:r>
    <w:r>
      <w:instrText xml:space="preserve"> PAGE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24B4" w:rsidRPr="00A45145" w:rsidP="00A45145" w14:paraId="18E7AD90" w14:textId="061882FD">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9A24B4" w:rsidP="00B14793" w14:paraId="395AF3DB" w14:textId="613695AA">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24B4" w:rsidRPr="00A45145" w:rsidP="00A45145" w14:paraId="54509D9E" w14:textId="3A726BE1">
    <w:pPr>
      <w:jc w:val="center"/>
    </w:pPr>
    <w:r>
      <w:rPr>
        <w:noProof/>
        <w:lang w:val="en-US"/>
      </w:rPr>
      <w:drawing>
        <wp:inline distT="0" distB="0" distL="0" distR="0">
          <wp:extent cx="2962275" cy="1219200"/>
          <wp:effectExtent l="0" t="0" r="9525" b="0"/>
          <wp:docPr id="43" name="Picture 4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9A24B4" w14:paraId="3FAD662D" w14:textId="5F8CDFC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53436C09" w14:textId="4D1A15B2">
    <w:pPr>
      <w:pStyle w:val="JuHeader"/>
    </w:pPr>
    <w:r>
      <w:t>YILMAZ v. TÜRKİYE</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45C2137B" w14:textId="4EB7D467">
    <w:pPr>
      <w:pStyle w:val="JuHeader"/>
    </w:pPr>
    <w:r>
      <w:t>YILMAZ v. TÜRKİYE</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684093363">
    <w:abstractNumId w:val="9"/>
  </w:num>
  <w:num w:numId="2" w16cid:durableId="1965846253">
    <w:abstractNumId w:val="14"/>
  </w:num>
  <w:num w:numId="3" w16cid:durableId="1389304209">
    <w:abstractNumId w:val="12"/>
  </w:num>
  <w:num w:numId="4" w16cid:durableId="60258754">
    <w:abstractNumId w:val="11"/>
  </w:num>
  <w:num w:numId="5" w16cid:durableId="1241870370">
    <w:abstractNumId w:val="17"/>
  </w:num>
  <w:num w:numId="6" w16cid:durableId="401022727">
    <w:abstractNumId w:val="7"/>
  </w:num>
  <w:num w:numId="7" w16cid:durableId="2022464420">
    <w:abstractNumId w:val="6"/>
  </w:num>
  <w:num w:numId="8" w16cid:durableId="1951007506">
    <w:abstractNumId w:val="5"/>
  </w:num>
  <w:num w:numId="9" w16cid:durableId="1996254684">
    <w:abstractNumId w:val="4"/>
  </w:num>
  <w:num w:numId="10" w16cid:durableId="1500001803">
    <w:abstractNumId w:val="8"/>
  </w:num>
  <w:num w:numId="11" w16cid:durableId="182403394">
    <w:abstractNumId w:val="3"/>
  </w:num>
  <w:num w:numId="12" w16cid:durableId="1379359938">
    <w:abstractNumId w:val="2"/>
  </w:num>
  <w:num w:numId="13" w16cid:durableId="1479565976">
    <w:abstractNumId w:val="1"/>
  </w:num>
  <w:num w:numId="14" w16cid:durableId="543912833">
    <w:abstractNumId w:val="0"/>
  </w:num>
  <w:num w:numId="15" w16cid:durableId="1716928829">
    <w:abstractNumId w:val="15"/>
  </w:num>
  <w:num w:numId="16" w16cid:durableId="1883325671">
    <w:abstractNumId w:val="13"/>
  </w:num>
  <w:num w:numId="17" w16cid:durableId="611084692">
    <w:abstractNumId w:val="16"/>
  </w:num>
  <w:num w:numId="18" w16cid:durableId="18119737">
    <w:abstractNumId w:val="15"/>
  </w:num>
  <w:num w:numId="19" w16cid:durableId="156962528">
    <w:abstractNumId w:val="16"/>
  </w:num>
  <w:num w:numId="20" w16cid:durableId="912393535">
    <w:abstractNumId w:val="10"/>
  </w:num>
  <w:num w:numId="21" w16cid:durableId="455754400">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4B4"/>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652"/>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9F4"/>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5ADD"/>
    <w:rsid w:val="002C7826"/>
    <w:rsid w:val="002D022D"/>
    <w:rsid w:val="002D24BB"/>
    <w:rsid w:val="002D2FA7"/>
    <w:rsid w:val="002D47BA"/>
    <w:rsid w:val="002D77B9"/>
    <w:rsid w:val="002E46DA"/>
    <w:rsid w:val="002E7764"/>
    <w:rsid w:val="002F21FF"/>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60786F"/>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5D3A"/>
    <w:rsid w:val="006B1942"/>
    <w:rsid w:val="006C23D4"/>
    <w:rsid w:val="006C7BB0"/>
    <w:rsid w:val="006D3237"/>
    <w:rsid w:val="006E2E37"/>
    <w:rsid w:val="006E3CF1"/>
    <w:rsid w:val="006E68A3"/>
    <w:rsid w:val="006E7E80"/>
    <w:rsid w:val="006F1C2D"/>
    <w:rsid w:val="006F48CA"/>
    <w:rsid w:val="006F64DD"/>
    <w:rsid w:val="006F712D"/>
    <w:rsid w:val="007022D6"/>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864DE"/>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24B4"/>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252E"/>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12C5"/>
    <w:rsid w:val="00AF4B07"/>
    <w:rsid w:val="00AF6186"/>
    <w:rsid w:val="00AF7A3A"/>
    <w:rsid w:val="00B02587"/>
    <w:rsid w:val="00B049D1"/>
    <w:rsid w:val="00B14793"/>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6F97"/>
    <w:rsid w:val="00D57A4D"/>
    <w:rsid w:val="00D60AA7"/>
    <w:rsid w:val="00D6435F"/>
    <w:rsid w:val="00D66471"/>
    <w:rsid w:val="00D70641"/>
    <w:rsid w:val="00D74888"/>
    <w:rsid w:val="00D7488B"/>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D47"/>
    <w:rsid w:val="00E827BC"/>
    <w:rsid w:val="00E849F7"/>
    <w:rsid w:val="00E90302"/>
    <w:rsid w:val="00E91D05"/>
    <w:rsid w:val="00E9262D"/>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 w:name="SndCaseNumber" w:val="Error!Nodocumentvariablesupplied."/>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18BE6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A6252E"/>
    <w:rPr>
      <w:sz w:val="24"/>
      <w:szCs w:val="24"/>
      <w:lang w:val="en-GB"/>
    </w:rPr>
  </w:style>
  <w:style w:type="paragraph" w:styleId="Heading1">
    <w:name w:val="heading 1"/>
    <w:basedOn w:val="Normal"/>
    <w:next w:val="Normal"/>
    <w:link w:val="Heading1Char"/>
    <w:uiPriority w:val="98"/>
    <w:semiHidden/>
    <w:rsid w:val="00A6252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A6252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A6252E"/>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A6252E"/>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A6252E"/>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A6252E"/>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A6252E"/>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A6252E"/>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A6252E"/>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A6252E"/>
    <w:rPr>
      <w:rFonts w:ascii="Tahoma" w:hAnsi="Tahoma" w:cs="Tahoma"/>
      <w:sz w:val="16"/>
      <w:szCs w:val="16"/>
    </w:rPr>
  </w:style>
  <w:style w:type="character" w:customStyle="1" w:styleId="BalloonTextChar">
    <w:name w:val="Balloon Text Char"/>
    <w:basedOn w:val="DefaultParagraphFont"/>
    <w:link w:val="BalloonText"/>
    <w:uiPriority w:val="98"/>
    <w:semiHidden/>
    <w:rsid w:val="00A6252E"/>
    <w:rPr>
      <w:rFonts w:ascii="Tahoma" w:hAnsi="Tahoma" w:cs="Tahoma"/>
      <w:sz w:val="16"/>
      <w:szCs w:val="16"/>
      <w:lang w:val="en-GB"/>
    </w:rPr>
  </w:style>
  <w:style w:type="character" w:styleId="BookTitle">
    <w:name w:val="Book Title"/>
    <w:uiPriority w:val="98"/>
    <w:semiHidden/>
    <w:qFormat/>
    <w:rsid w:val="00A6252E"/>
    <w:rPr>
      <w:i/>
      <w:iCs/>
      <w:smallCaps/>
      <w:spacing w:val="5"/>
    </w:rPr>
  </w:style>
  <w:style w:type="paragraph" w:customStyle="1" w:styleId="JuHeader">
    <w:name w:val="Ju_Header"/>
    <w:aliases w:val="_Header"/>
    <w:basedOn w:val="Header0"/>
    <w:uiPriority w:val="29"/>
    <w:qFormat/>
    <w:rsid w:val="00A6252E"/>
    <w:pPr>
      <w:tabs>
        <w:tab w:val="clear" w:pos="4536"/>
        <w:tab w:val="clear" w:pos="9072"/>
      </w:tabs>
      <w:jc w:val="center"/>
    </w:pPr>
    <w:rPr>
      <w:sz w:val="18"/>
    </w:rPr>
  </w:style>
  <w:style w:type="paragraph" w:customStyle="1" w:styleId="NormalJustified">
    <w:name w:val="Normal_Justified"/>
    <w:basedOn w:val="Normal"/>
    <w:semiHidden/>
    <w:rsid w:val="00A6252E"/>
    <w:pPr>
      <w:jc w:val="both"/>
    </w:pPr>
  </w:style>
  <w:style w:type="character" w:styleId="Strong">
    <w:name w:val="Strong"/>
    <w:uiPriority w:val="98"/>
    <w:semiHidden/>
    <w:qFormat/>
    <w:rsid w:val="00A6252E"/>
    <w:rPr>
      <w:b/>
      <w:bCs/>
    </w:rPr>
  </w:style>
  <w:style w:type="paragraph" w:styleId="NoSpacing">
    <w:name w:val="No Spacing"/>
    <w:basedOn w:val="Normal"/>
    <w:link w:val="NoSpacingChar"/>
    <w:uiPriority w:val="98"/>
    <w:semiHidden/>
    <w:qFormat/>
    <w:rsid w:val="00A6252E"/>
  </w:style>
  <w:style w:type="character" w:customStyle="1" w:styleId="NoSpacingChar">
    <w:name w:val="No Spacing Char"/>
    <w:basedOn w:val="DefaultParagraphFont"/>
    <w:link w:val="NoSpacing"/>
    <w:uiPriority w:val="98"/>
    <w:semiHidden/>
    <w:rsid w:val="00A6252E"/>
    <w:rPr>
      <w:sz w:val="24"/>
      <w:szCs w:val="24"/>
      <w:lang w:val="en-GB"/>
    </w:rPr>
  </w:style>
  <w:style w:type="paragraph" w:customStyle="1" w:styleId="JuQuot">
    <w:name w:val="Ju_Quot"/>
    <w:aliases w:val="_Quote"/>
    <w:basedOn w:val="NormalJustified"/>
    <w:uiPriority w:val="20"/>
    <w:qFormat/>
    <w:rsid w:val="00A6252E"/>
    <w:pPr>
      <w:spacing w:before="120" w:after="120"/>
      <w:ind w:left="425" w:firstLine="142"/>
    </w:pPr>
    <w:rPr>
      <w:sz w:val="20"/>
    </w:rPr>
  </w:style>
  <w:style w:type="paragraph" w:customStyle="1" w:styleId="DummyStyle">
    <w:name w:val="Dummy_Style"/>
    <w:aliases w:val="_Dummy"/>
    <w:basedOn w:val="Normal"/>
    <w:semiHidden/>
    <w:qFormat/>
    <w:rsid w:val="00A6252E"/>
    <w:rPr>
      <w:color w:val="00B050"/>
      <w:sz w:val="22"/>
    </w:rPr>
  </w:style>
  <w:style w:type="paragraph" w:customStyle="1" w:styleId="JuList">
    <w:name w:val="Ju_List"/>
    <w:aliases w:val="_List_1"/>
    <w:basedOn w:val="NormalJustified"/>
    <w:uiPriority w:val="23"/>
    <w:qFormat/>
    <w:rsid w:val="00A6252E"/>
    <w:pPr>
      <w:numPr>
        <w:numId w:val="21"/>
      </w:numPr>
      <w:spacing w:before="280" w:after="60"/>
    </w:pPr>
  </w:style>
  <w:style w:type="paragraph" w:customStyle="1" w:styleId="JuLista">
    <w:name w:val="Ju_List_a"/>
    <w:aliases w:val="_List_2"/>
    <w:basedOn w:val="NormalJustified"/>
    <w:uiPriority w:val="23"/>
    <w:rsid w:val="00A6252E"/>
    <w:pPr>
      <w:numPr>
        <w:ilvl w:val="1"/>
        <w:numId w:val="21"/>
      </w:numPr>
    </w:pPr>
  </w:style>
  <w:style w:type="paragraph" w:customStyle="1" w:styleId="JuListi">
    <w:name w:val="Ju_List_i"/>
    <w:aliases w:val="_List_3"/>
    <w:basedOn w:val="NormalJustified"/>
    <w:uiPriority w:val="23"/>
    <w:rsid w:val="00A6252E"/>
    <w:pPr>
      <w:numPr>
        <w:ilvl w:val="2"/>
        <w:numId w:val="21"/>
      </w:numPr>
    </w:pPr>
  </w:style>
  <w:style w:type="paragraph" w:customStyle="1" w:styleId="JuHArticle">
    <w:name w:val="Ju_H_Article"/>
    <w:aliases w:val="_Title_Quote"/>
    <w:basedOn w:val="Normal"/>
    <w:next w:val="JuQuot"/>
    <w:uiPriority w:val="19"/>
    <w:qFormat/>
    <w:rsid w:val="00A6252E"/>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A6252E"/>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A6252E"/>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A6252E"/>
    <w:pPr>
      <w:keepNext/>
      <w:keepLines/>
      <w:numPr>
        <w:numId w:val="20"/>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A6252E"/>
    <w:pPr>
      <w:numPr>
        <w:numId w:val="15"/>
      </w:numPr>
    </w:pPr>
  </w:style>
  <w:style w:type="paragraph" w:customStyle="1" w:styleId="JuSigned">
    <w:name w:val="Ju_Signed"/>
    <w:aliases w:val="_Signature"/>
    <w:basedOn w:val="Normal"/>
    <w:next w:val="JuPara"/>
    <w:uiPriority w:val="31"/>
    <w:qFormat/>
    <w:rsid w:val="00A6252E"/>
    <w:pPr>
      <w:tabs>
        <w:tab w:val="center" w:pos="1418"/>
        <w:tab w:val="center" w:pos="5954"/>
      </w:tabs>
      <w:spacing w:before="720"/>
    </w:pPr>
  </w:style>
  <w:style w:type="paragraph" w:styleId="Title">
    <w:name w:val="Title"/>
    <w:basedOn w:val="Normal"/>
    <w:next w:val="Normal"/>
    <w:link w:val="TitleChar"/>
    <w:uiPriority w:val="98"/>
    <w:semiHidden/>
    <w:qFormat/>
    <w:rsid w:val="00A6252E"/>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A6252E"/>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A6252E"/>
    <w:pPr>
      <w:numPr>
        <w:numId w:val="16"/>
      </w:numPr>
    </w:pPr>
  </w:style>
  <w:style w:type="numbering" w:customStyle="1" w:styleId="ECHRA1StyleNumberedList">
    <w:name w:val="ECHR_A1_Style_Numbered_List"/>
    <w:basedOn w:val="NoList"/>
    <w:rsid w:val="00A6252E"/>
    <w:pPr>
      <w:numPr>
        <w:numId w:val="17"/>
      </w:numPr>
    </w:pPr>
  </w:style>
  <w:style w:type="table" w:customStyle="1" w:styleId="ECHRTable2019">
    <w:name w:val="ECHR_Table_2019"/>
    <w:basedOn w:val="TableNormal"/>
    <w:uiPriority w:val="99"/>
    <w:rsid w:val="00A6252E"/>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A6252E"/>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A6252E"/>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A6252E"/>
    <w:pPr>
      <w:keepNext/>
      <w:keepLines/>
      <w:numPr>
        <w:ilvl w:val="2"/>
        <w:numId w:val="20"/>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A6252E"/>
    <w:pPr>
      <w:keepNext/>
      <w:keepLines/>
      <w:numPr>
        <w:ilvl w:val="3"/>
        <w:numId w:val="20"/>
      </w:numPr>
      <w:spacing w:before="100" w:beforeAutospacing="1" w:after="120"/>
      <w:jc w:val="both"/>
    </w:pPr>
    <w:rPr>
      <w:b w:val="0"/>
      <w:color w:val="auto"/>
      <w:sz w:val="24"/>
    </w:rPr>
  </w:style>
  <w:style w:type="paragraph" w:styleId="Header0">
    <w:name w:val="header"/>
    <w:basedOn w:val="Normal"/>
    <w:link w:val="HeaderChar"/>
    <w:uiPriority w:val="98"/>
    <w:semiHidden/>
    <w:rsid w:val="00A6252E"/>
    <w:pPr>
      <w:tabs>
        <w:tab w:val="center" w:pos="4536"/>
        <w:tab w:val="right" w:pos="9072"/>
      </w:tabs>
    </w:pPr>
  </w:style>
  <w:style w:type="character" w:customStyle="1" w:styleId="HeaderChar">
    <w:name w:val="Header Char"/>
    <w:basedOn w:val="DefaultParagraphFont"/>
    <w:link w:val="Header0"/>
    <w:uiPriority w:val="98"/>
    <w:semiHidden/>
    <w:rsid w:val="00A6252E"/>
    <w:rPr>
      <w:sz w:val="24"/>
      <w:szCs w:val="24"/>
      <w:lang w:val="en-GB"/>
    </w:rPr>
  </w:style>
  <w:style w:type="character" w:customStyle="1" w:styleId="Heading1Char">
    <w:name w:val="Heading 1 Char"/>
    <w:basedOn w:val="DefaultParagraphFont"/>
    <w:link w:val="Heading1"/>
    <w:uiPriority w:val="98"/>
    <w:semiHidden/>
    <w:rsid w:val="00A6252E"/>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A6252E"/>
    <w:pPr>
      <w:keepNext/>
      <w:keepLines/>
      <w:numPr>
        <w:ilvl w:val="4"/>
        <w:numId w:val="20"/>
      </w:numPr>
      <w:spacing w:before="100" w:beforeAutospacing="1" w:after="120"/>
      <w:jc w:val="both"/>
    </w:pPr>
    <w:rPr>
      <w:color w:val="auto"/>
      <w:sz w:val="20"/>
    </w:rPr>
  </w:style>
  <w:style w:type="paragraph" w:customStyle="1" w:styleId="JuHi">
    <w:name w:val="Ju_H_i"/>
    <w:aliases w:val="_Head_6"/>
    <w:basedOn w:val="Heading6"/>
    <w:next w:val="JuPara"/>
    <w:uiPriority w:val="17"/>
    <w:rsid w:val="00A6252E"/>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A6252E"/>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A6252E"/>
    <w:pPr>
      <w:keepNext/>
      <w:keepLines/>
      <w:numPr>
        <w:ilvl w:val="6"/>
        <w:numId w:val="20"/>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A6252E"/>
    <w:pPr>
      <w:keepNext/>
      <w:keepLines/>
      <w:numPr>
        <w:ilvl w:val="7"/>
        <w:numId w:val="20"/>
      </w:numPr>
      <w:spacing w:before="100" w:beforeAutospacing="1" w:after="120"/>
      <w:jc w:val="both"/>
    </w:pPr>
    <w:rPr>
      <w:i/>
    </w:rPr>
  </w:style>
  <w:style w:type="character" w:customStyle="1" w:styleId="Heading3Char">
    <w:name w:val="Heading 3 Char"/>
    <w:basedOn w:val="DefaultParagraphFont"/>
    <w:link w:val="Heading3"/>
    <w:uiPriority w:val="98"/>
    <w:semiHidden/>
    <w:rsid w:val="00A6252E"/>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A6252E"/>
    <w:pPr>
      <w:keepNext/>
      <w:keepLines/>
      <w:spacing w:before="240" w:after="240"/>
      <w:ind w:firstLine="284"/>
    </w:pPr>
  </w:style>
  <w:style w:type="paragraph" w:customStyle="1" w:styleId="JuJudges">
    <w:name w:val="Ju_Judges"/>
    <w:aliases w:val="_Judges"/>
    <w:basedOn w:val="Normal"/>
    <w:uiPriority w:val="32"/>
    <w:qFormat/>
    <w:rsid w:val="00A6252E"/>
    <w:pPr>
      <w:tabs>
        <w:tab w:val="left" w:pos="567"/>
        <w:tab w:val="left" w:pos="1134"/>
      </w:tabs>
    </w:pPr>
  </w:style>
  <w:style w:type="character" w:customStyle="1" w:styleId="Heading4Char">
    <w:name w:val="Heading 4 Char"/>
    <w:basedOn w:val="DefaultParagraphFont"/>
    <w:link w:val="Heading4"/>
    <w:uiPriority w:val="98"/>
    <w:semiHidden/>
    <w:rsid w:val="00A6252E"/>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A6252E"/>
    <w:pPr>
      <w:tabs>
        <w:tab w:val="center" w:pos="6407"/>
      </w:tabs>
      <w:spacing w:before="720"/>
      <w:jc w:val="right"/>
    </w:pPr>
  </w:style>
  <w:style w:type="character" w:customStyle="1" w:styleId="Heading5Char">
    <w:name w:val="Heading 5 Char"/>
    <w:basedOn w:val="DefaultParagraphFont"/>
    <w:link w:val="Heading5"/>
    <w:uiPriority w:val="98"/>
    <w:semiHidden/>
    <w:rsid w:val="00A6252E"/>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A6252E"/>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A6252E"/>
    <w:rPr>
      <w:caps w:val="0"/>
      <w:smallCaps/>
    </w:rPr>
  </w:style>
  <w:style w:type="character" w:styleId="SubtleEmphasis">
    <w:name w:val="Subtle Emphasis"/>
    <w:uiPriority w:val="98"/>
    <w:semiHidden/>
    <w:qFormat/>
    <w:rsid w:val="00A6252E"/>
    <w:rPr>
      <w:i/>
      <w:iCs/>
    </w:rPr>
  </w:style>
  <w:style w:type="table" w:customStyle="1" w:styleId="ECHRTable">
    <w:name w:val="ECHR_Table"/>
    <w:basedOn w:val="TableNormal"/>
    <w:rsid w:val="00A6252E"/>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6252E"/>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A6252E"/>
    <w:rPr>
      <w:b/>
      <w:bCs/>
      <w:i/>
      <w:iCs/>
      <w:spacing w:val="10"/>
      <w:bdr w:val="none" w:sz="0" w:space="0" w:color="auto"/>
      <w:shd w:val="clear" w:color="auto" w:fill="auto"/>
    </w:rPr>
  </w:style>
  <w:style w:type="paragraph" w:styleId="Footer1">
    <w:name w:val="footer"/>
    <w:basedOn w:val="Normal"/>
    <w:link w:val="FooterChar"/>
    <w:uiPriority w:val="98"/>
    <w:semiHidden/>
    <w:rsid w:val="00A6252E"/>
    <w:pPr>
      <w:tabs>
        <w:tab w:val="center" w:pos="3686"/>
        <w:tab w:val="right" w:pos="7371"/>
      </w:tabs>
    </w:pPr>
  </w:style>
  <w:style w:type="character" w:customStyle="1" w:styleId="FooterChar">
    <w:name w:val="Footer Char"/>
    <w:basedOn w:val="DefaultParagraphFont"/>
    <w:link w:val="Footer1"/>
    <w:uiPriority w:val="98"/>
    <w:semiHidden/>
    <w:rsid w:val="00A6252E"/>
    <w:rPr>
      <w:sz w:val="24"/>
      <w:szCs w:val="24"/>
      <w:lang w:val="en-GB"/>
    </w:rPr>
  </w:style>
  <w:style w:type="character" w:styleId="FootnoteReference">
    <w:name w:val="footnote reference"/>
    <w:basedOn w:val="DefaultParagraphFont"/>
    <w:uiPriority w:val="98"/>
    <w:semiHidden/>
    <w:rsid w:val="00A6252E"/>
    <w:rPr>
      <w:vertAlign w:val="superscript"/>
    </w:rPr>
  </w:style>
  <w:style w:type="paragraph" w:styleId="FootnoteText">
    <w:name w:val="footnote text"/>
    <w:basedOn w:val="NormalJustified"/>
    <w:link w:val="FootnoteTextChar"/>
    <w:uiPriority w:val="98"/>
    <w:semiHidden/>
    <w:rsid w:val="00A6252E"/>
    <w:rPr>
      <w:sz w:val="20"/>
      <w:szCs w:val="20"/>
    </w:rPr>
  </w:style>
  <w:style w:type="character" w:customStyle="1" w:styleId="FootnoteTextChar">
    <w:name w:val="Footnote Text Char"/>
    <w:basedOn w:val="DefaultParagraphFont"/>
    <w:link w:val="FootnoteText"/>
    <w:uiPriority w:val="98"/>
    <w:semiHidden/>
    <w:rsid w:val="00A6252E"/>
    <w:rPr>
      <w:sz w:val="20"/>
      <w:szCs w:val="20"/>
      <w:lang w:val="en-GB"/>
    </w:rPr>
  </w:style>
  <w:style w:type="character" w:customStyle="1" w:styleId="Heading6Char">
    <w:name w:val="Heading 6 Char"/>
    <w:basedOn w:val="DefaultParagraphFont"/>
    <w:link w:val="Heading6"/>
    <w:uiPriority w:val="98"/>
    <w:semiHidden/>
    <w:rsid w:val="00A6252E"/>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A6252E"/>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A6252E"/>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A6252E"/>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A6252E"/>
    <w:rPr>
      <w:color w:val="0072BC" w:themeColor="hyperlink"/>
      <w:u w:val="single"/>
    </w:rPr>
  </w:style>
  <w:style w:type="character" w:styleId="IntenseEmphasis">
    <w:name w:val="Intense Emphasis"/>
    <w:uiPriority w:val="98"/>
    <w:semiHidden/>
    <w:qFormat/>
    <w:rsid w:val="00A6252E"/>
    <w:rPr>
      <w:b/>
      <w:bCs/>
    </w:rPr>
  </w:style>
  <w:style w:type="paragraph" w:styleId="IntenseQuote">
    <w:name w:val="Intense Quote"/>
    <w:basedOn w:val="Normal"/>
    <w:next w:val="Normal"/>
    <w:link w:val="IntenseQuoteChar"/>
    <w:uiPriority w:val="98"/>
    <w:semiHidden/>
    <w:qFormat/>
    <w:rsid w:val="00A6252E"/>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A6252E"/>
    <w:rPr>
      <w:b/>
      <w:bCs/>
      <w:i/>
      <w:iCs/>
      <w:sz w:val="24"/>
      <w:szCs w:val="24"/>
      <w:lang w:val="en-GB" w:bidi="en-US"/>
    </w:rPr>
  </w:style>
  <w:style w:type="character" w:styleId="IntenseReference">
    <w:name w:val="Intense Reference"/>
    <w:uiPriority w:val="98"/>
    <w:semiHidden/>
    <w:qFormat/>
    <w:rsid w:val="00A6252E"/>
    <w:rPr>
      <w:smallCaps/>
      <w:spacing w:val="5"/>
      <w:u w:val="single"/>
    </w:rPr>
  </w:style>
  <w:style w:type="paragraph" w:styleId="ListParagraph">
    <w:name w:val="List Paragraph"/>
    <w:basedOn w:val="Normal"/>
    <w:uiPriority w:val="98"/>
    <w:semiHidden/>
    <w:qFormat/>
    <w:rsid w:val="00A6252E"/>
    <w:pPr>
      <w:ind w:left="720"/>
      <w:contextualSpacing/>
    </w:pPr>
  </w:style>
  <w:style w:type="table" w:customStyle="1" w:styleId="LtrTableAddress">
    <w:name w:val="Ltr_Table_Address"/>
    <w:aliases w:val="ECHR_Ltr_Table_Address"/>
    <w:basedOn w:val="TableNormal"/>
    <w:uiPriority w:val="99"/>
    <w:rsid w:val="00A6252E"/>
    <w:rPr>
      <w:sz w:val="24"/>
      <w:szCs w:val="24"/>
    </w:rPr>
    <w:tblPr>
      <w:tblInd w:w="5103" w:type="dxa"/>
    </w:tblPr>
  </w:style>
  <w:style w:type="paragraph" w:styleId="Quote0">
    <w:name w:val="Quote"/>
    <w:basedOn w:val="Normal"/>
    <w:next w:val="Normal"/>
    <w:link w:val="QuoteChar"/>
    <w:uiPriority w:val="98"/>
    <w:semiHidden/>
    <w:qFormat/>
    <w:rsid w:val="00A6252E"/>
    <w:pPr>
      <w:spacing w:before="200"/>
      <w:ind w:left="360" w:right="360"/>
    </w:pPr>
    <w:rPr>
      <w:i/>
      <w:iCs/>
      <w:lang w:bidi="en-US"/>
    </w:rPr>
  </w:style>
  <w:style w:type="character" w:customStyle="1" w:styleId="QuoteChar">
    <w:name w:val="Quote Char"/>
    <w:basedOn w:val="DefaultParagraphFont"/>
    <w:link w:val="Quote0"/>
    <w:uiPriority w:val="98"/>
    <w:semiHidden/>
    <w:rsid w:val="00A6252E"/>
    <w:rPr>
      <w:i/>
      <w:iCs/>
      <w:sz w:val="24"/>
      <w:szCs w:val="24"/>
      <w:lang w:val="en-GB" w:bidi="en-US"/>
    </w:rPr>
  </w:style>
  <w:style w:type="character" w:styleId="SubtleReference">
    <w:name w:val="Subtle Reference"/>
    <w:uiPriority w:val="98"/>
    <w:semiHidden/>
    <w:qFormat/>
    <w:rsid w:val="00A6252E"/>
    <w:rPr>
      <w:smallCaps/>
    </w:rPr>
  </w:style>
  <w:style w:type="table" w:styleId="TableGrid">
    <w:name w:val="Table Grid"/>
    <w:basedOn w:val="TableNormal"/>
    <w:uiPriority w:val="59"/>
    <w:semiHidden/>
    <w:rsid w:val="00A6252E"/>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A6252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A6252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A6252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A6252E"/>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A6252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A6252E"/>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A6252E"/>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A6252E"/>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A6252E"/>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6252E"/>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A6252E"/>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A6252E"/>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A6252E"/>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A6252E"/>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A6252E"/>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A6252E"/>
    <w:pPr>
      <w:numPr>
        <w:numId w:val="2"/>
      </w:numPr>
    </w:pPr>
  </w:style>
  <w:style w:type="paragraph" w:customStyle="1" w:styleId="JuPara">
    <w:name w:val="Ju_Para"/>
    <w:aliases w:val="_Para"/>
    <w:basedOn w:val="NormalJustified"/>
    <w:link w:val="JuParaChar"/>
    <w:uiPriority w:val="4"/>
    <w:qFormat/>
    <w:rsid w:val="00A6252E"/>
    <w:pPr>
      <w:ind w:firstLine="284"/>
    </w:pPr>
  </w:style>
  <w:style w:type="numbering" w:styleId="1ai">
    <w:name w:val="Outline List 1"/>
    <w:basedOn w:val="NoList"/>
    <w:uiPriority w:val="99"/>
    <w:semiHidden/>
    <w:unhideWhenUsed/>
    <w:rsid w:val="00A6252E"/>
    <w:pPr>
      <w:numPr>
        <w:numId w:val="3"/>
      </w:numPr>
    </w:pPr>
  </w:style>
  <w:style w:type="table" w:customStyle="1" w:styleId="ECHRTableSimpleBox">
    <w:name w:val="ECHR_Table_Simple_Box"/>
    <w:basedOn w:val="TableNormal"/>
    <w:uiPriority w:val="99"/>
    <w:rsid w:val="00A6252E"/>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A6252E"/>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A6252E"/>
    <w:pPr>
      <w:numPr>
        <w:numId w:val="4"/>
      </w:numPr>
    </w:pPr>
  </w:style>
  <w:style w:type="table" w:customStyle="1" w:styleId="ECHRTableForInternalUse">
    <w:name w:val="ECHR_Table_For_Internal_Use"/>
    <w:basedOn w:val="TableNormal"/>
    <w:uiPriority w:val="99"/>
    <w:rsid w:val="00A6252E"/>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A6252E"/>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A6252E"/>
  </w:style>
  <w:style w:type="paragraph" w:styleId="BlockText">
    <w:name w:val="Block Text"/>
    <w:basedOn w:val="Normal"/>
    <w:uiPriority w:val="98"/>
    <w:semiHidden/>
    <w:rsid w:val="00A6252E"/>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A6252E"/>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A6252E"/>
    <w:pPr>
      <w:spacing w:after="120"/>
    </w:pPr>
  </w:style>
  <w:style w:type="character" w:customStyle="1" w:styleId="BodyTextChar">
    <w:name w:val="Body Text Char"/>
    <w:basedOn w:val="DefaultParagraphFont"/>
    <w:link w:val="BodyText"/>
    <w:uiPriority w:val="98"/>
    <w:semiHidden/>
    <w:rsid w:val="00A6252E"/>
    <w:rPr>
      <w:sz w:val="24"/>
      <w:szCs w:val="24"/>
      <w:lang w:val="en-GB"/>
    </w:rPr>
  </w:style>
  <w:style w:type="table" w:customStyle="1" w:styleId="ECHRTableOddBanded">
    <w:name w:val="ECHR_Table_Odd_Banded"/>
    <w:basedOn w:val="TableNormal"/>
    <w:uiPriority w:val="99"/>
    <w:rsid w:val="00A6252E"/>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A6252E"/>
    <w:pPr>
      <w:spacing w:after="120" w:line="480" w:lineRule="auto"/>
    </w:pPr>
  </w:style>
  <w:style w:type="table" w:customStyle="1" w:styleId="ECHRHeaderTableReduced">
    <w:name w:val="ECHR_Header_Table_Reduced"/>
    <w:basedOn w:val="TableNormal"/>
    <w:uiPriority w:val="99"/>
    <w:rsid w:val="00A6252E"/>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A6252E"/>
    <w:pPr>
      <w:ind w:firstLine="284"/>
    </w:pPr>
    <w:rPr>
      <w:b/>
    </w:rPr>
  </w:style>
  <w:style w:type="character" w:styleId="PageNumber">
    <w:name w:val="page number"/>
    <w:uiPriority w:val="98"/>
    <w:semiHidden/>
    <w:rsid w:val="00A6252E"/>
    <w:rPr>
      <w:sz w:val="18"/>
    </w:rPr>
  </w:style>
  <w:style w:type="paragraph" w:styleId="ListBullet">
    <w:name w:val="List Bullet"/>
    <w:basedOn w:val="Normal"/>
    <w:uiPriority w:val="98"/>
    <w:semiHidden/>
    <w:rsid w:val="00A6252E"/>
    <w:pPr>
      <w:numPr>
        <w:numId w:val="5"/>
      </w:numPr>
    </w:pPr>
  </w:style>
  <w:style w:type="paragraph" w:styleId="ListBullet3">
    <w:name w:val="List Bullet 3"/>
    <w:basedOn w:val="Normal"/>
    <w:uiPriority w:val="98"/>
    <w:semiHidden/>
    <w:rsid w:val="00A6252E"/>
    <w:pPr>
      <w:numPr>
        <w:numId w:val="7"/>
      </w:numPr>
      <w:contextualSpacing/>
    </w:pPr>
  </w:style>
  <w:style w:type="character" w:customStyle="1" w:styleId="BodyText2Char">
    <w:name w:val="Body Text 2 Char"/>
    <w:basedOn w:val="DefaultParagraphFont"/>
    <w:link w:val="BodyText2"/>
    <w:uiPriority w:val="98"/>
    <w:semiHidden/>
    <w:rsid w:val="00A6252E"/>
    <w:rPr>
      <w:sz w:val="24"/>
      <w:szCs w:val="24"/>
      <w:lang w:val="en-GB"/>
    </w:rPr>
  </w:style>
  <w:style w:type="paragraph" w:styleId="BodyText3">
    <w:name w:val="Body Text 3"/>
    <w:basedOn w:val="Normal"/>
    <w:link w:val="BodyText3Char"/>
    <w:uiPriority w:val="98"/>
    <w:semiHidden/>
    <w:rsid w:val="00A6252E"/>
    <w:pPr>
      <w:spacing w:after="120"/>
    </w:pPr>
    <w:rPr>
      <w:sz w:val="16"/>
      <w:szCs w:val="16"/>
    </w:rPr>
  </w:style>
  <w:style w:type="character" w:customStyle="1" w:styleId="BodyText3Char">
    <w:name w:val="Body Text 3 Char"/>
    <w:basedOn w:val="DefaultParagraphFont"/>
    <w:link w:val="BodyText3"/>
    <w:uiPriority w:val="98"/>
    <w:semiHidden/>
    <w:rsid w:val="00A6252E"/>
    <w:rPr>
      <w:sz w:val="16"/>
      <w:szCs w:val="16"/>
      <w:lang w:val="en-GB"/>
    </w:rPr>
  </w:style>
  <w:style w:type="paragraph" w:styleId="BodyTextFirstIndent">
    <w:name w:val="Body Text First Indent"/>
    <w:basedOn w:val="BodyText"/>
    <w:link w:val="BodyTextFirstIndentChar"/>
    <w:uiPriority w:val="98"/>
    <w:semiHidden/>
    <w:rsid w:val="00A6252E"/>
    <w:pPr>
      <w:spacing w:after="0"/>
      <w:ind w:firstLine="360"/>
    </w:pPr>
  </w:style>
  <w:style w:type="character" w:customStyle="1" w:styleId="BodyTextFirstIndentChar">
    <w:name w:val="Body Text First Indent Char"/>
    <w:basedOn w:val="BodyTextChar"/>
    <w:link w:val="BodyTextFirstIndent"/>
    <w:uiPriority w:val="98"/>
    <w:semiHidden/>
    <w:rsid w:val="00A6252E"/>
    <w:rPr>
      <w:sz w:val="24"/>
      <w:szCs w:val="24"/>
      <w:lang w:val="en-GB"/>
    </w:rPr>
  </w:style>
  <w:style w:type="paragraph" w:styleId="BodyTextIndent">
    <w:name w:val="Body Text Indent"/>
    <w:basedOn w:val="Normal"/>
    <w:link w:val="BodyTextIndentChar"/>
    <w:uiPriority w:val="98"/>
    <w:semiHidden/>
    <w:rsid w:val="00A6252E"/>
    <w:pPr>
      <w:spacing w:after="120"/>
      <w:ind w:left="283"/>
    </w:pPr>
  </w:style>
  <w:style w:type="character" w:customStyle="1" w:styleId="BodyTextIndentChar">
    <w:name w:val="Body Text Indent Char"/>
    <w:basedOn w:val="DefaultParagraphFont"/>
    <w:link w:val="BodyTextIndent"/>
    <w:uiPriority w:val="98"/>
    <w:semiHidden/>
    <w:rsid w:val="00A6252E"/>
    <w:rPr>
      <w:sz w:val="24"/>
      <w:szCs w:val="24"/>
      <w:lang w:val="en-GB"/>
    </w:rPr>
  </w:style>
  <w:style w:type="paragraph" w:styleId="BodyTextFirstIndent2">
    <w:name w:val="Body Text First Indent 2"/>
    <w:basedOn w:val="BodyTextIndent"/>
    <w:link w:val="BodyTextFirstIndent2Char"/>
    <w:uiPriority w:val="98"/>
    <w:semiHidden/>
    <w:rsid w:val="00A6252E"/>
    <w:pPr>
      <w:spacing w:after="0"/>
      <w:ind w:left="360" w:firstLine="360"/>
    </w:pPr>
  </w:style>
  <w:style w:type="character" w:customStyle="1" w:styleId="BodyTextFirstIndent2Char">
    <w:name w:val="Body Text First Indent 2 Char"/>
    <w:basedOn w:val="BodyTextIndentChar"/>
    <w:link w:val="BodyTextFirstIndent2"/>
    <w:uiPriority w:val="98"/>
    <w:semiHidden/>
    <w:rsid w:val="00A6252E"/>
    <w:rPr>
      <w:sz w:val="24"/>
      <w:szCs w:val="24"/>
      <w:lang w:val="en-GB"/>
    </w:rPr>
  </w:style>
  <w:style w:type="paragraph" w:styleId="BodyTextIndent2">
    <w:name w:val="Body Text Indent 2"/>
    <w:basedOn w:val="Normal"/>
    <w:link w:val="BodyTextIndent2Char"/>
    <w:uiPriority w:val="98"/>
    <w:semiHidden/>
    <w:rsid w:val="00A6252E"/>
    <w:pPr>
      <w:spacing w:after="120" w:line="480" w:lineRule="auto"/>
      <w:ind w:left="283"/>
    </w:pPr>
  </w:style>
  <w:style w:type="character" w:customStyle="1" w:styleId="BodyTextIndent2Char">
    <w:name w:val="Body Text Indent 2 Char"/>
    <w:basedOn w:val="DefaultParagraphFont"/>
    <w:link w:val="BodyTextIndent2"/>
    <w:uiPriority w:val="98"/>
    <w:semiHidden/>
    <w:rsid w:val="00A6252E"/>
    <w:rPr>
      <w:sz w:val="24"/>
      <w:szCs w:val="24"/>
      <w:lang w:val="en-GB"/>
    </w:rPr>
  </w:style>
  <w:style w:type="paragraph" w:styleId="BodyTextIndent3">
    <w:name w:val="Body Text Indent 3"/>
    <w:basedOn w:val="Normal"/>
    <w:link w:val="BodyTextIndent3Char"/>
    <w:uiPriority w:val="98"/>
    <w:semiHidden/>
    <w:rsid w:val="00A6252E"/>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A6252E"/>
    <w:rPr>
      <w:sz w:val="16"/>
      <w:szCs w:val="16"/>
      <w:lang w:val="en-GB"/>
    </w:rPr>
  </w:style>
  <w:style w:type="paragraph" w:styleId="Caption">
    <w:name w:val="caption"/>
    <w:basedOn w:val="Normal"/>
    <w:next w:val="Normal"/>
    <w:uiPriority w:val="98"/>
    <w:semiHidden/>
    <w:qFormat/>
    <w:rsid w:val="00A6252E"/>
    <w:pPr>
      <w:spacing w:after="200"/>
    </w:pPr>
    <w:rPr>
      <w:b/>
      <w:bCs/>
      <w:color w:val="0072BC" w:themeColor="accent1"/>
      <w:sz w:val="18"/>
      <w:szCs w:val="18"/>
    </w:rPr>
  </w:style>
  <w:style w:type="paragraph" w:styleId="Closing">
    <w:name w:val="Closing"/>
    <w:basedOn w:val="Normal"/>
    <w:link w:val="ClosingChar"/>
    <w:uiPriority w:val="98"/>
    <w:semiHidden/>
    <w:rsid w:val="00A6252E"/>
    <w:pPr>
      <w:ind w:left="4252"/>
    </w:pPr>
  </w:style>
  <w:style w:type="character" w:customStyle="1" w:styleId="ClosingChar">
    <w:name w:val="Closing Char"/>
    <w:basedOn w:val="DefaultParagraphFont"/>
    <w:link w:val="Closing"/>
    <w:uiPriority w:val="98"/>
    <w:semiHidden/>
    <w:rsid w:val="00A6252E"/>
    <w:rPr>
      <w:sz w:val="24"/>
      <w:szCs w:val="24"/>
      <w:lang w:val="en-GB"/>
    </w:rPr>
  </w:style>
  <w:style w:type="table" w:styleId="ColorfulGrid">
    <w:name w:val="Colorful Grid"/>
    <w:basedOn w:val="TableNormal"/>
    <w:uiPriority w:val="73"/>
    <w:semiHidden/>
    <w:rsid w:val="00A6252E"/>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6252E"/>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A6252E"/>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A6252E"/>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A6252E"/>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A6252E"/>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A6252E"/>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A6252E"/>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6252E"/>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A6252E"/>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A6252E"/>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A6252E"/>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A6252E"/>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A6252E"/>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A6252E"/>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6252E"/>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6252E"/>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6252E"/>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A6252E"/>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6252E"/>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6252E"/>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A6252E"/>
    <w:rPr>
      <w:sz w:val="16"/>
      <w:szCs w:val="16"/>
    </w:rPr>
  </w:style>
  <w:style w:type="paragraph" w:styleId="CommentText">
    <w:name w:val="annotation text"/>
    <w:basedOn w:val="Normal"/>
    <w:link w:val="CommentTextChar"/>
    <w:uiPriority w:val="98"/>
    <w:semiHidden/>
    <w:rsid w:val="00A6252E"/>
    <w:rPr>
      <w:sz w:val="20"/>
      <w:szCs w:val="20"/>
    </w:rPr>
  </w:style>
  <w:style w:type="character" w:customStyle="1" w:styleId="CommentTextChar">
    <w:name w:val="Comment Text Char"/>
    <w:basedOn w:val="DefaultParagraphFont"/>
    <w:link w:val="CommentText"/>
    <w:uiPriority w:val="98"/>
    <w:semiHidden/>
    <w:rsid w:val="00A6252E"/>
    <w:rPr>
      <w:sz w:val="20"/>
      <w:szCs w:val="20"/>
      <w:lang w:val="en-GB"/>
    </w:rPr>
  </w:style>
  <w:style w:type="paragraph" w:styleId="CommentSubject">
    <w:name w:val="annotation subject"/>
    <w:basedOn w:val="CommentText"/>
    <w:next w:val="CommentText"/>
    <w:link w:val="CommentSubjectChar"/>
    <w:uiPriority w:val="98"/>
    <w:semiHidden/>
    <w:rsid w:val="00A6252E"/>
    <w:rPr>
      <w:b/>
      <w:bCs/>
    </w:rPr>
  </w:style>
  <w:style w:type="character" w:customStyle="1" w:styleId="CommentSubjectChar">
    <w:name w:val="Comment Subject Char"/>
    <w:basedOn w:val="CommentTextChar"/>
    <w:link w:val="CommentSubject"/>
    <w:uiPriority w:val="98"/>
    <w:semiHidden/>
    <w:rsid w:val="00A6252E"/>
    <w:rPr>
      <w:b/>
      <w:bCs/>
      <w:sz w:val="20"/>
      <w:szCs w:val="20"/>
      <w:lang w:val="en-GB"/>
    </w:rPr>
  </w:style>
  <w:style w:type="table" w:styleId="DarkList">
    <w:name w:val="Dark List"/>
    <w:basedOn w:val="TableNormal"/>
    <w:uiPriority w:val="70"/>
    <w:semiHidden/>
    <w:rsid w:val="00A6252E"/>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6252E"/>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A6252E"/>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A6252E"/>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A6252E"/>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A6252E"/>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A6252E"/>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A6252E"/>
  </w:style>
  <w:style w:type="character" w:customStyle="1" w:styleId="DateChar">
    <w:name w:val="Date Char"/>
    <w:basedOn w:val="DefaultParagraphFont"/>
    <w:link w:val="Date"/>
    <w:uiPriority w:val="98"/>
    <w:semiHidden/>
    <w:rsid w:val="00A6252E"/>
    <w:rPr>
      <w:sz w:val="24"/>
      <w:szCs w:val="24"/>
      <w:lang w:val="en-GB"/>
    </w:rPr>
  </w:style>
  <w:style w:type="paragraph" w:styleId="DocumentMap">
    <w:name w:val="Document Map"/>
    <w:basedOn w:val="Normal"/>
    <w:link w:val="DocumentMapChar"/>
    <w:uiPriority w:val="98"/>
    <w:semiHidden/>
    <w:rsid w:val="00A6252E"/>
    <w:rPr>
      <w:rFonts w:ascii="Tahoma" w:hAnsi="Tahoma" w:cs="Tahoma"/>
      <w:sz w:val="16"/>
      <w:szCs w:val="16"/>
    </w:rPr>
  </w:style>
  <w:style w:type="character" w:customStyle="1" w:styleId="DocumentMapChar">
    <w:name w:val="Document Map Char"/>
    <w:basedOn w:val="DefaultParagraphFont"/>
    <w:link w:val="DocumentMap"/>
    <w:uiPriority w:val="98"/>
    <w:semiHidden/>
    <w:rsid w:val="00A6252E"/>
    <w:rPr>
      <w:rFonts w:ascii="Tahoma" w:hAnsi="Tahoma" w:cs="Tahoma"/>
      <w:sz w:val="16"/>
      <w:szCs w:val="16"/>
      <w:lang w:val="en-GB"/>
    </w:rPr>
  </w:style>
  <w:style w:type="paragraph" w:styleId="E-mailSignature">
    <w:name w:val="E-mail Signature"/>
    <w:basedOn w:val="Normal"/>
    <w:link w:val="E-mailSignatureChar"/>
    <w:uiPriority w:val="98"/>
    <w:semiHidden/>
    <w:rsid w:val="00A6252E"/>
  </w:style>
  <w:style w:type="character" w:customStyle="1" w:styleId="E-mailSignatureChar">
    <w:name w:val="E-mail Signature Char"/>
    <w:basedOn w:val="DefaultParagraphFont"/>
    <w:link w:val="E-mailSignature"/>
    <w:uiPriority w:val="98"/>
    <w:semiHidden/>
    <w:rsid w:val="00A6252E"/>
    <w:rPr>
      <w:sz w:val="24"/>
      <w:szCs w:val="24"/>
      <w:lang w:val="en-GB"/>
    </w:rPr>
  </w:style>
  <w:style w:type="character" w:styleId="EndnoteReference">
    <w:name w:val="endnote reference"/>
    <w:basedOn w:val="DefaultParagraphFont"/>
    <w:uiPriority w:val="98"/>
    <w:semiHidden/>
    <w:rsid w:val="00A6252E"/>
    <w:rPr>
      <w:vertAlign w:val="superscript"/>
    </w:rPr>
  </w:style>
  <w:style w:type="paragraph" w:styleId="EndnoteText">
    <w:name w:val="endnote text"/>
    <w:basedOn w:val="Normal"/>
    <w:link w:val="EndnoteTextChar"/>
    <w:uiPriority w:val="98"/>
    <w:semiHidden/>
    <w:rsid w:val="00A6252E"/>
    <w:rPr>
      <w:sz w:val="20"/>
      <w:szCs w:val="20"/>
    </w:rPr>
  </w:style>
  <w:style w:type="character" w:customStyle="1" w:styleId="EndnoteTextChar">
    <w:name w:val="Endnote Text Char"/>
    <w:basedOn w:val="DefaultParagraphFont"/>
    <w:link w:val="EndnoteText"/>
    <w:uiPriority w:val="98"/>
    <w:semiHidden/>
    <w:rsid w:val="00A6252E"/>
    <w:rPr>
      <w:sz w:val="20"/>
      <w:szCs w:val="20"/>
      <w:lang w:val="en-GB"/>
    </w:rPr>
  </w:style>
  <w:style w:type="paragraph" w:styleId="EnvelopeAddress">
    <w:name w:val="envelope address"/>
    <w:basedOn w:val="Normal"/>
    <w:uiPriority w:val="98"/>
    <w:semiHidden/>
    <w:rsid w:val="00A6252E"/>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A6252E"/>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A6252E"/>
    <w:rPr>
      <w:color w:val="7030A0" w:themeColor="followedHyperlink"/>
      <w:u w:val="single"/>
    </w:rPr>
  </w:style>
  <w:style w:type="character" w:styleId="HTMLAcronym">
    <w:name w:val="HTML Acronym"/>
    <w:basedOn w:val="DefaultParagraphFont"/>
    <w:uiPriority w:val="98"/>
    <w:semiHidden/>
    <w:rsid w:val="00A6252E"/>
  </w:style>
  <w:style w:type="paragraph" w:styleId="HTMLAddress">
    <w:name w:val="HTML Address"/>
    <w:basedOn w:val="Normal"/>
    <w:link w:val="HTMLAddressChar"/>
    <w:uiPriority w:val="98"/>
    <w:semiHidden/>
    <w:rsid w:val="00A6252E"/>
    <w:rPr>
      <w:i/>
      <w:iCs/>
    </w:rPr>
  </w:style>
  <w:style w:type="character" w:customStyle="1" w:styleId="HTMLAddressChar">
    <w:name w:val="HTML Address Char"/>
    <w:basedOn w:val="DefaultParagraphFont"/>
    <w:link w:val="HTMLAddress"/>
    <w:uiPriority w:val="98"/>
    <w:semiHidden/>
    <w:rsid w:val="00A6252E"/>
    <w:rPr>
      <w:i/>
      <w:iCs/>
      <w:sz w:val="24"/>
      <w:szCs w:val="24"/>
      <w:lang w:val="en-GB"/>
    </w:rPr>
  </w:style>
  <w:style w:type="character" w:styleId="HTMLCite">
    <w:name w:val="HTML Cite"/>
    <w:basedOn w:val="DefaultParagraphFont"/>
    <w:uiPriority w:val="98"/>
    <w:semiHidden/>
    <w:rsid w:val="00A6252E"/>
    <w:rPr>
      <w:i/>
      <w:iCs/>
    </w:rPr>
  </w:style>
  <w:style w:type="character" w:styleId="HTMLCode">
    <w:name w:val="HTML Code"/>
    <w:basedOn w:val="DefaultParagraphFont"/>
    <w:uiPriority w:val="98"/>
    <w:semiHidden/>
    <w:rsid w:val="00A6252E"/>
    <w:rPr>
      <w:rFonts w:ascii="Consolas" w:hAnsi="Consolas" w:cs="Consolas"/>
      <w:sz w:val="20"/>
      <w:szCs w:val="20"/>
    </w:rPr>
  </w:style>
  <w:style w:type="character" w:styleId="HTMLDefinition">
    <w:name w:val="HTML Definition"/>
    <w:basedOn w:val="DefaultParagraphFont"/>
    <w:uiPriority w:val="98"/>
    <w:semiHidden/>
    <w:rsid w:val="00A6252E"/>
    <w:rPr>
      <w:i/>
      <w:iCs/>
    </w:rPr>
  </w:style>
  <w:style w:type="character" w:styleId="HTMLKeyboard">
    <w:name w:val="HTML Keyboard"/>
    <w:basedOn w:val="DefaultParagraphFont"/>
    <w:uiPriority w:val="98"/>
    <w:semiHidden/>
    <w:rsid w:val="00A6252E"/>
    <w:rPr>
      <w:rFonts w:ascii="Consolas" w:hAnsi="Consolas" w:cs="Consolas"/>
      <w:sz w:val="20"/>
      <w:szCs w:val="20"/>
    </w:rPr>
  </w:style>
  <w:style w:type="paragraph" w:styleId="HTMLPreformatted">
    <w:name w:val="HTML Preformatted"/>
    <w:basedOn w:val="Normal"/>
    <w:link w:val="HTMLPreformattedChar"/>
    <w:uiPriority w:val="98"/>
    <w:semiHidden/>
    <w:rsid w:val="00A6252E"/>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A6252E"/>
    <w:rPr>
      <w:rFonts w:ascii="Consolas" w:hAnsi="Consolas" w:cs="Consolas"/>
      <w:sz w:val="20"/>
      <w:szCs w:val="20"/>
      <w:lang w:val="en-GB"/>
    </w:rPr>
  </w:style>
  <w:style w:type="character" w:styleId="HTMLSample">
    <w:name w:val="HTML Sample"/>
    <w:basedOn w:val="DefaultParagraphFont"/>
    <w:uiPriority w:val="98"/>
    <w:semiHidden/>
    <w:rsid w:val="00A6252E"/>
    <w:rPr>
      <w:rFonts w:ascii="Consolas" w:hAnsi="Consolas" w:cs="Consolas"/>
      <w:sz w:val="24"/>
      <w:szCs w:val="24"/>
    </w:rPr>
  </w:style>
  <w:style w:type="character" w:styleId="HTMLTypewriter">
    <w:name w:val="HTML Typewriter"/>
    <w:basedOn w:val="DefaultParagraphFont"/>
    <w:uiPriority w:val="98"/>
    <w:semiHidden/>
    <w:rsid w:val="00A6252E"/>
    <w:rPr>
      <w:rFonts w:ascii="Consolas" w:hAnsi="Consolas" w:cs="Consolas"/>
      <w:sz w:val="20"/>
      <w:szCs w:val="20"/>
    </w:rPr>
  </w:style>
  <w:style w:type="character" w:styleId="HTMLVariable">
    <w:name w:val="HTML Variable"/>
    <w:basedOn w:val="DefaultParagraphFont"/>
    <w:uiPriority w:val="98"/>
    <w:semiHidden/>
    <w:rsid w:val="00A6252E"/>
    <w:rPr>
      <w:i/>
      <w:iCs/>
    </w:rPr>
  </w:style>
  <w:style w:type="paragraph" w:styleId="Index1">
    <w:name w:val="index 1"/>
    <w:basedOn w:val="Normal"/>
    <w:next w:val="Normal"/>
    <w:autoRedefine/>
    <w:uiPriority w:val="98"/>
    <w:semiHidden/>
    <w:rsid w:val="00A6252E"/>
    <w:pPr>
      <w:ind w:left="240" w:hanging="240"/>
    </w:pPr>
  </w:style>
  <w:style w:type="paragraph" w:styleId="Index2">
    <w:name w:val="index 2"/>
    <w:basedOn w:val="Normal"/>
    <w:next w:val="Normal"/>
    <w:autoRedefine/>
    <w:uiPriority w:val="98"/>
    <w:semiHidden/>
    <w:rsid w:val="00A6252E"/>
    <w:pPr>
      <w:ind w:left="480" w:hanging="240"/>
    </w:pPr>
  </w:style>
  <w:style w:type="paragraph" w:styleId="Index3">
    <w:name w:val="index 3"/>
    <w:basedOn w:val="Normal"/>
    <w:next w:val="Normal"/>
    <w:autoRedefine/>
    <w:uiPriority w:val="98"/>
    <w:semiHidden/>
    <w:rsid w:val="00A6252E"/>
    <w:pPr>
      <w:ind w:left="720" w:hanging="240"/>
    </w:pPr>
  </w:style>
  <w:style w:type="paragraph" w:styleId="Index4">
    <w:name w:val="index 4"/>
    <w:basedOn w:val="Normal"/>
    <w:next w:val="Normal"/>
    <w:autoRedefine/>
    <w:uiPriority w:val="98"/>
    <w:semiHidden/>
    <w:rsid w:val="00A6252E"/>
    <w:pPr>
      <w:ind w:left="960" w:hanging="240"/>
    </w:pPr>
  </w:style>
  <w:style w:type="paragraph" w:styleId="Index5">
    <w:name w:val="index 5"/>
    <w:basedOn w:val="Normal"/>
    <w:next w:val="Normal"/>
    <w:autoRedefine/>
    <w:uiPriority w:val="98"/>
    <w:semiHidden/>
    <w:rsid w:val="00A6252E"/>
    <w:pPr>
      <w:ind w:left="1200" w:hanging="240"/>
    </w:pPr>
  </w:style>
  <w:style w:type="paragraph" w:styleId="Index6">
    <w:name w:val="index 6"/>
    <w:basedOn w:val="Normal"/>
    <w:next w:val="Normal"/>
    <w:autoRedefine/>
    <w:uiPriority w:val="98"/>
    <w:semiHidden/>
    <w:rsid w:val="00A6252E"/>
    <w:pPr>
      <w:ind w:left="1440" w:hanging="240"/>
    </w:pPr>
  </w:style>
  <w:style w:type="paragraph" w:styleId="Index7">
    <w:name w:val="index 7"/>
    <w:basedOn w:val="Normal"/>
    <w:next w:val="Normal"/>
    <w:autoRedefine/>
    <w:uiPriority w:val="98"/>
    <w:semiHidden/>
    <w:rsid w:val="00A6252E"/>
    <w:pPr>
      <w:ind w:left="1680" w:hanging="240"/>
    </w:pPr>
  </w:style>
  <w:style w:type="paragraph" w:styleId="Index8">
    <w:name w:val="index 8"/>
    <w:basedOn w:val="Normal"/>
    <w:next w:val="Normal"/>
    <w:autoRedefine/>
    <w:uiPriority w:val="98"/>
    <w:semiHidden/>
    <w:rsid w:val="00A6252E"/>
    <w:pPr>
      <w:ind w:left="1920" w:hanging="240"/>
    </w:pPr>
  </w:style>
  <w:style w:type="paragraph" w:styleId="Index9">
    <w:name w:val="index 9"/>
    <w:basedOn w:val="Normal"/>
    <w:next w:val="Normal"/>
    <w:autoRedefine/>
    <w:uiPriority w:val="98"/>
    <w:semiHidden/>
    <w:rsid w:val="00A6252E"/>
    <w:pPr>
      <w:ind w:left="2160" w:hanging="240"/>
    </w:pPr>
  </w:style>
  <w:style w:type="paragraph" w:styleId="IndexHeading">
    <w:name w:val="index heading"/>
    <w:basedOn w:val="Normal"/>
    <w:next w:val="Index1"/>
    <w:uiPriority w:val="98"/>
    <w:semiHidden/>
    <w:rsid w:val="00A6252E"/>
    <w:rPr>
      <w:rFonts w:asciiTheme="majorHAnsi" w:eastAsiaTheme="majorEastAsia" w:hAnsiTheme="majorHAnsi" w:cstheme="majorBidi"/>
      <w:b/>
      <w:bCs/>
    </w:rPr>
  </w:style>
  <w:style w:type="table" w:styleId="LightGrid">
    <w:name w:val="Light Grid"/>
    <w:basedOn w:val="TableNormal"/>
    <w:uiPriority w:val="62"/>
    <w:semiHidden/>
    <w:rsid w:val="00A6252E"/>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A6252E"/>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A6252E"/>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A6252E"/>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A6252E"/>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A6252E"/>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A6252E"/>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A6252E"/>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A6252E"/>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A6252E"/>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A6252E"/>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A6252E"/>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A6252E"/>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A6252E"/>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A6252E"/>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A6252E"/>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A6252E"/>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A6252E"/>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A6252E"/>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A6252E"/>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A6252E"/>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A6252E"/>
  </w:style>
  <w:style w:type="paragraph" w:styleId="List">
    <w:name w:val="List"/>
    <w:basedOn w:val="Normal"/>
    <w:uiPriority w:val="98"/>
    <w:semiHidden/>
    <w:rsid w:val="00A6252E"/>
    <w:pPr>
      <w:ind w:left="283" w:hanging="283"/>
      <w:contextualSpacing/>
    </w:pPr>
  </w:style>
  <w:style w:type="paragraph" w:styleId="List20">
    <w:name w:val="List 2"/>
    <w:basedOn w:val="Normal"/>
    <w:uiPriority w:val="98"/>
    <w:semiHidden/>
    <w:rsid w:val="00A6252E"/>
    <w:pPr>
      <w:ind w:left="566" w:hanging="283"/>
      <w:contextualSpacing/>
    </w:pPr>
  </w:style>
  <w:style w:type="paragraph" w:styleId="List30">
    <w:name w:val="List 3"/>
    <w:basedOn w:val="Normal"/>
    <w:uiPriority w:val="98"/>
    <w:semiHidden/>
    <w:rsid w:val="00A6252E"/>
    <w:pPr>
      <w:ind w:left="849" w:hanging="283"/>
      <w:contextualSpacing/>
    </w:pPr>
  </w:style>
  <w:style w:type="paragraph" w:styleId="List4">
    <w:name w:val="List 4"/>
    <w:basedOn w:val="Normal"/>
    <w:uiPriority w:val="98"/>
    <w:semiHidden/>
    <w:rsid w:val="00A6252E"/>
    <w:pPr>
      <w:ind w:left="1132" w:hanging="283"/>
      <w:contextualSpacing/>
    </w:pPr>
  </w:style>
  <w:style w:type="paragraph" w:styleId="List5">
    <w:name w:val="List 5"/>
    <w:basedOn w:val="Normal"/>
    <w:uiPriority w:val="98"/>
    <w:semiHidden/>
    <w:rsid w:val="00A6252E"/>
    <w:pPr>
      <w:ind w:left="1415" w:hanging="283"/>
      <w:contextualSpacing/>
    </w:pPr>
  </w:style>
  <w:style w:type="paragraph" w:styleId="ListBullet2">
    <w:name w:val="List Bullet 2"/>
    <w:basedOn w:val="Normal"/>
    <w:uiPriority w:val="98"/>
    <w:semiHidden/>
    <w:rsid w:val="00A6252E"/>
    <w:pPr>
      <w:numPr>
        <w:numId w:val="6"/>
      </w:numPr>
      <w:contextualSpacing/>
    </w:pPr>
  </w:style>
  <w:style w:type="paragraph" w:styleId="ListBullet4">
    <w:name w:val="List Bullet 4"/>
    <w:basedOn w:val="Normal"/>
    <w:uiPriority w:val="98"/>
    <w:semiHidden/>
    <w:rsid w:val="00A6252E"/>
    <w:pPr>
      <w:numPr>
        <w:numId w:val="8"/>
      </w:numPr>
      <w:contextualSpacing/>
    </w:pPr>
  </w:style>
  <w:style w:type="paragraph" w:styleId="ListBullet5">
    <w:name w:val="List Bullet 5"/>
    <w:basedOn w:val="Normal"/>
    <w:uiPriority w:val="98"/>
    <w:semiHidden/>
    <w:rsid w:val="00A6252E"/>
    <w:pPr>
      <w:numPr>
        <w:numId w:val="9"/>
      </w:numPr>
      <w:contextualSpacing/>
    </w:pPr>
  </w:style>
  <w:style w:type="paragraph" w:styleId="ListContinue">
    <w:name w:val="List Continue"/>
    <w:basedOn w:val="Normal"/>
    <w:uiPriority w:val="98"/>
    <w:semiHidden/>
    <w:rsid w:val="00A6252E"/>
    <w:pPr>
      <w:spacing w:after="120"/>
      <w:ind w:left="283"/>
      <w:contextualSpacing/>
    </w:pPr>
  </w:style>
  <w:style w:type="paragraph" w:styleId="ListContinue2">
    <w:name w:val="List Continue 2"/>
    <w:basedOn w:val="Normal"/>
    <w:uiPriority w:val="98"/>
    <w:semiHidden/>
    <w:rsid w:val="00A6252E"/>
    <w:pPr>
      <w:spacing w:after="120"/>
      <w:ind w:left="566"/>
      <w:contextualSpacing/>
    </w:pPr>
  </w:style>
  <w:style w:type="paragraph" w:styleId="ListContinue3">
    <w:name w:val="List Continue 3"/>
    <w:basedOn w:val="Normal"/>
    <w:uiPriority w:val="98"/>
    <w:semiHidden/>
    <w:rsid w:val="00A6252E"/>
    <w:pPr>
      <w:spacing w:after="120"/>
      <w:ind w:left="849"/>
      <w:contextualSpacing/>
    </w:pPr>
  </w:style>
  <w:style w:type="paragraph" w:styleId="ListContinue4">
    <w:name w:val="List Continue 4"/>
    <w:basedOn w:val="Normal"/>
    <w:uiPriority w:val="98"/>
    <w:semiHidden/>
    <w:rsid w:val="00A6252E"/>
    <w:pPr>
      <w:spacing w:after="120"/>
      <w:ind w:left="1132"/>
      <w:contextualSpacing/>
    </w:pPr>
  </w:style>
  <w:style w:type="paragraph" w:styleId="ListContinue5">
    <w:name w:val="List Continue 5"/>
    <w:basedOn w:val="Normal"/>
    <w:uiPriority w:val="98"/>
    <w:semiHidden/>
    <w:rsid w:val="00A6252E"/>
    <w:pPr>
      <w:spacing w:after="120"/>
      <w:ind w:left="1415"/>
      <w:contextualSpacing/>
    </w:pPr>
  </w:style>
  <w:style w:type="paragraph" w:styleId="ListNumber">
    <w:name w:val="List Number"/>
    <w:basedOn w:val="Normal"/>
    <w:uiPriority w:val="98"/>
    <w:semiHidden/>
    <w:rsid w:val="00A6252E"/>
    <w:pPr>
      <w:numPr>
        <w:numId w:val="10"/>
      </w:numPr>
      <w:contextualSpacing/>
    </w:pPr>
  </w:style>
  <w:style w:type="paragraph" w:styleId="ListNumber2">
    <w:name w:val="List Number 2"/>
    <w:basedOn w:val="Normal"/>
    <w:uiPriority w:val="98"/>
    <w:semiHidden/>
    <w:rsid w:val="00A6252E"/>
    <w:pPr>
      <w:numPr>
        <w:numId w:val="11"/>
      </w:numPr>
      <w:contextualSpacing/>
    </w:pPr>
  </w:style>
  <w:style w:type="paragraph" w:styleId="ListNumber3">
    <w:name w:val="List Number 3"/>
    <w:basedOn w:val="Normal"/>
    <w:uiPriority w:val="98"/>
    <w:semiHidden/>
    <w:rsid w:val="00A6252E"/>
    <w:pPr>
      <w:numPr>
        <w:numId w:val="12"/>
      </w:numPr>
      <w:contextualSpacing/>
    </w:pPr>
  </w:style>
  <w:style w:type="paragraph" w:styleId="ListNumber4">
    <w:name w:val="List Number 4"/>
    <w:basedOn w:val="Normal"/>
    <w:uiPriority w:val="98"/>
    <w:semiHidden/>
    <w:rsid w:val="00A6252E"/>
    <w:pPr>
      <w:numPr>
        <w:numId w:val="13"/>
      </w:numPr>
      <w:contextualSpacing/>
    </w:pPr>
  </w:style>
  <w:style w:type="paragraph" w:styleId="ListNumber5">
    <w:name w:val="List Number 5"/>
    <w:basedOn w:val="Normal"/>
    <w:uiPriority w:val="98"/>
    <w:semiHidden/>
    <w:rsid w:val="00A6252E"/>
    <w:pPr>
      <w:numPr>
        <w:numId w:val="14"/>
      </w:numPr>
      <w:contextualSpacing/>
    </w:pPr>
  </w:style>
  <w:style w:type="paragraph" w:styleId="Macro">
    <w:name w:val="macro"/>
    <w:link w:val="MacroTextChar"/>
    <w:uiPriority w:val="98"/>
    <w:semiHidden/>
    <w:rsid w:val="00A6252E"/>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A6252E"/>
    <w:rPr>
      <w:rFonts w:ascii="Consolas" w:hAnsi="Consolas" w:eastAsiaTheme="minorEastAsia" w:cs="Consolas"/>
      <w:sz w:val="20"/>
      <w:szCs w:val="20"/>
    </w:rPr>
  </w:style>
  <w:style w:type="table" w:styleId="MediumGrid1">
    <w:name w:val="Medium Grid 1"/>
    <w:basedOn w:val="TableNormal"/>
    <w:uiPriority w:val="67"/>
    <w:semiHidden/>
    <w:rsid w:val="00A6252E"/>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6252E"/>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A6252E"/>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A6252E"/>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A6252E"/>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A6252E"/>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A6252E"/>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A6252E"/>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A6252E"/>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A6252E"/>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A6252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A6252E"/>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A6252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A6252E"/>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A6252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A6252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A6252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A6252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A6252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A6252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A6252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A6252E"/>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A6252E"/>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A6252E"/>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A6252E"/>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A6252E"/>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A6252E"/>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A6252E"/>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A6252E"/>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6252E"/>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6252E"/>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6252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6252E"/>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6252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6252E"/>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A6252E"/>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6252E"/>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6252E"/>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6252E"/>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6252E"/>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6252E"/>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6252E"/>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6252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6252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6252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6252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6252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6252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6252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A6252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A6252E"/>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A6252E"/>
    <w:rPr>
      <w:rFonts w:ascii="Times New Roman" w:hAnsi="Times New Roman" w:cs="Times New Roman"/>
    </w:rPr>
  </w:style>
  <w:style w:type="paragraph" w:styleId="NormalIndent">
    <w:name w:val="Normal Indent"/>
    <w:basedOn w:val="Normal"/>
    <w:uiPriority w:val="98"/>
    <w:semiHidden/>
    <w:rsid w:val="00A6252E"/>
    <w:pPr>
      <w:ind w:left="720"/>
    </w:pPr>
  </w:style>
  <w:style w:type="paragraph" w:styleId="NoteHeading">
    <w:name w:val="Note Heading"/>
    <w:basedOn w:val="Normal"/>
    <w:next w:val="Normal"/>
    <w:link w:val="NoteHeadingChar"/>
    <w:uiPriority w:val="98"/>
    <w:semiHidden/>
    <w:rsid w:val="00A6252E"/>
  </w:style>
  <w:style w:type="character" w:customStyle="1" w:styleId="NoteHeadingChar">
    <w:name w:val="Note Heading Char"/>
    <w:basedOn w:val="DefaultParagraphFont"/>
    <w:link w:val="NoteHeading"/>
    <w:uiPriority w:val="98"/>
    <w:semiHidden/>
    <w:rsid w:val="00A6252E"/>
    <w:rPr>
      <w:sz w:val="24"/>
      <w:szCs w:val="24"/>
      <w:lang w:val="en-GB"/>
    </w:rPr>
  </w:style>
  <w:style w:type="character" w:styleId="PlaceholderText">
    <w:name w:val="Placeholder Text"/>
    <w:basedOn w:val="DefaultParagraphFont"/>
    <w:uiPriority w:val="98"/>
    <w:semiHidden/>
    <w:rsid w:val="00A6252E"/>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A6252E"/>
    <w:rPr>
      <w:rFonts w:ascii="Consolas" w:hAnsi="Consolas" w:cs="Consolas"/>
      <w:sz w:val="21"/>
      <w:szCs w:val="21"/>
    </w:rPr>
  </w:style>
  <w:style w:type="character" w:customStyle="1" w:styleId="PlainTextChar">
    <w:name w:val="Plain Text Char"/>
    <w:basedOn w:val="DefaultParagraphFont"/>
    <w:link w:val="PlainText"/>
    <w:uiPriority w:val="98"/>
    <w:semiHidden/>
    <w:rsid w:val="00A6252E"/>
    <w:rPr>
      <w:rFonts w:ascii="Consolas" w:hAnsi="Consolas" w:cs="Consolas"/>
      <w:sz w:val="21"/>
      <w:szCs w:val="21"/>
      <w:lang w:val="en-GB"/>
    </w:rPr>
  </w:style>
  <w:style w:type="paragraph" w:styleId="Salutation">
    <w:name w:val="Salutation"/>
    <w:basedOn w:val="Normal"/>
    <w:next w:val="Normal"/>
    <w:link w:val="SalutationChar"/>
    <w:uiPriority w:val="98"/>
    <w:semiHidden/>
    <w:rsid w:val="00A6252E"/>
  </w:style>
  <w:style w:type="character" w:customStyle="1" w:styleId="SalutationChar">
    <w:name w:val="Salutation Char"/>
    <w:basedOn w:val="DefaultParagraphFont"/>
    <w:link w:val="Salutation"/>
    <w:uiPriority w:val="98"/>
    <w:semiHidden/>
    <w:rsid w:val="00A6252E"/>
    <w:rPr>
      <w:sz w:val="24"/>
      <w:szCs w:val="24"/>
      <w:lang w:val="en-GB"/>
    </w:rPr>
  </w:style>
  <w:style w:type="paragraph" w:styleId="Signature0">
    <w:name w:val="Signature"/>
    <w:basedOn w:val="Normal"/>
    <w:link w:val="SignatureChar"/>
    <w:uiPriority w:val="98"/>
    <w:semiHidden/>
    <w:rsid w:val="00A6252E"/>
    <w:pPr>
      <w:ind w:left="4252"/>
    </w:pPr>
  </w:style>
  <w:style w:type="character" w:customStyle="1" w:styleId="SignatureChar">
    <w:name w:val="Signature Char"/>
    <w:basedOn w:val="DefaultParagraphFont"/>
    <w:link w:val="Signature0"/>
    <w:uiPriority w:val="98"/>
    <w:semiHidden/>
    <w:rsid w:val="00A6252E"/>
    <w:rPr>
      <w:sz w:val="24"/>
      <w:szCs w:val="24"/>
      <w:lang w:val="en-GB"/>
    </w:rPr>
  </w:style>
  <w:style w:type="table" w:styleId="Table3Deffects1">
    <w:name w:val="Table 3D effects 1"/>
    <w:basedOn w:val="TableNormal"/>
    <w:uiPriority w:val="99"/>
    <w:semiHidden/>
    <w:unhideWhenUsed/>
    <w:rsid w:val="00A6252E"/>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6252E"/>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6252E"/>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6252E"/>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6252E"/>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6252E"/>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6252E"/>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6252E"/>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6252E"/>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6252E"/>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6252E"/>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6252E"/>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6252E"/>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6252E"/>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6252E"/>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6252E"/>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6252E"/>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6252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6252E"/>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6252E"/>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6252E"/>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6252E"/>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6252E"/>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6252E"/>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6252E"/>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6252E"/>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6252E"/>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6252E"/>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6252E"/>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6252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6252E"/>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6252E"/>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6252E"/>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A6252E"/>
    <w:pPr>
      <w:ind w:left="240" w:hanging="240"/>
    </w:pPr>
  </w:style>
  <w:style w:type="paragraph" w:styleId="TableofFigures">
    <w:name w:val="table of figures"/>
    <w:basedOn w:val="Normal"/>
    <w:next w:val="Normal"/>
    <w:uiPriority w:val="98"/>
    <w:semiHidden/>
    <w:rsid w:val="00A6252E"/>
  </w:style>
  <w:style w:type="table" w:styleId="TableProfessional">
    <w:name w:val="Table Professional"/>
    <w:basedOn w:val="TableNormal"/>
    <w:uiPriority w:val="99"/>
    <w:semiHidden/>
    <w:unhideWhenUsed/>
    <w:rsid w:val="00A6252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6252E"/>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6252E"/>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6252E"/>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6252E"/>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6252E"/>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6252E"/>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6252E"/>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6252E"/>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6252E"/>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A6252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A6252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A6252E"/>
    <w:pPr>
      <w:spacing w:after="100"/>
      <w:ind w:left="1680"/>
    </w:pPr>
  </w:style>
  <w:style w:type="paragraph" w:styleId="TOC9">
    <w:name w:val="toc 9"/>
    <w:basedOn w:val="Normal"/>
    <w:next w:val="Normal"/>
    <w:autoRedefine/>
    <w:uiPriority w:val="98"/>
    <w:semiHidden/>
    <w:rsid w:val="00A6252E"/>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A6252E"/>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A6252E"/>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A6252E"/>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A6252E"/>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A6252E"/>
    <w:pPr>
      <w:numPr>
        <w:numId w:val="18"/>
      </w:numPr>
      <w:spacing w:before="60" w:after="60"/>
    </w:pPr>
  </w:style>
  <w:style w:type="paragraph" w:customStyle="1" w:styleId="ECHRBullet2">
    <w:name w:val="ECHR_Bullet_2"/>
    <w:aliases w:val="_Bul_2"/>
    <w:basedOn w:val="ECHRBullet1"/>
    <w:uiPriority w:val="23"/>
    <w:semiHidden/>
    <w:rsid w:val="00A6252E"/>
    <w:pPr>
      <w:numPr>
        <w:ilvl w:val="1"/>
      </w:numPr>
    </w:pPr>
  </w:style>
  <w:style w:type="paragraph" w:customStyle="1" w:styleId="ECHRBullet3">
    <w:name w:val="ECHR_Bullet_3"/>
    <w:aliases w:val="_Bul_3"/>
    <w:basedOn w:val="ECHRBullet2"/>
    <w:uiPriority w:val="23"/>
    <w:semiHidden/>
    <w:rsid w:val="00A6252E"/>
    <w:pPr>
      <w:numPr>
        <w:ilvl w:val="2"/>
      </w:numPr>
    </w:pPr>
  </w:style>
  <w:style w:type="paragraph" w:customStyle="1" w:styleId="ECHRBullet4">
    <w:name w:val="ECHR_Bullet_4"/>
    <w:aliases w:val="_Bul_4"/>
    <w:basedOn w:val="ECHRBullet3"/>
    <w:uiPriority w:val="23"/>
    <w:semiHidden/>
    <w:rsid w:val="00A6252E"/>
    <w:pPr>
      <w:numPr>
        <w:ilvl w:val="3"/>
      </w:numPr>
    </w:pPr>
  </w:style>
  <w:style w:type="paragraph" w:customStyle="1" w:styleId="ECHRConfidential">
    <w:name w:val="ECHR_Confidential"/>
    <w:aliases w:val="_Confidential"/>
    <w:basedOn w:val="Normal"/>
    <w:next w:val="Normal"/>
    <w:uiPriority w:val="42"/>
    <w:semiHidden/>
    <w:qFormat/>
    <w:rsid w:val="00A6252E"/>
    <w:pPr>
      <w:jc w:val="right"/>
    </w:pPr>
    <w:rPr>
      <w:color w:val="C00000"/>
      <w:sz w:val="20"/>
    </w:rPr>
  </w:style>
  <w:style w:type="paragraph" w:customStyle="1" w:styleId="ECHRDecisionBody">
    <w:name w:val="ECHR_Decision_Body"/>
    <w:aliases w:val="_Decision_Body"/>
    <w:basedOn w:val="NormalJustified"/>
    <w:uiPriority w:val="54"/>
    <w:semiHidden/>
    <w:rsid w:val="00A6252E"/>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A6252E"/>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A6252E"/>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A6252E"/>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A6252E"/>
    <w:pPr>
      <w:jc w:val="right"/>
    </w:pPr>
    <w:rPr>
      <w:sz w:val="20"/>
    </w:rPr>
  </w:style>
  <w:style w:type="paragraph" w:customStyle="1" w:styleId="ECHRHeaderRefIt">
    <w:name w:val="ECHR_Header_Ref_It"/>
    <w:aliases w:val="_Ref_Ital"/>
    <w:basedOn w:val="Normal"/>
    <w:next w:val="ECHRHeaderDate"/>
    <w:uiPriority w:val="43"/>
    <w:semiHidden/>
    <w:qFormat/>
    <w:rsid w:val="00A6252E"/>
    <w:pPr>
      <w:jc w:val="right"/>
    </w:pPr>
    <w:rPr>
      <w:i/>
      <w:sz w:val="20"/>
    </w:rPr>
  </w:style>
  <w:style w:type="paragraph" w:customStyle="1" w:styleId="ECHRHeading9">
    <w:name w:val="ECHR_Heading_9"/>
    <w:aliases w:val="_Head_9"/>
    <w:basedOn w:val="Heading9"/>
    <w:uiPriority w:val="17"/>
    <w:semiHidden/>
    <w:rsid w:val="00A6252E"/>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A6252E"/>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A6252E"/>
    <w:pPr>
      <w:numPr>
        <w:numId w:val="19"/>
      </w:numPr>
      <w:spacing w:before="60" w:after="60"/>
    </w:pPr>
  </w:style>
  <w:style w:type="paragraph" w:customStyle="1" w:styleId="ECHRNumberedList2">
    <w:name w:val="ECHR_Numbered_List_2"/>
    <w:aliases w:val="_Num_2"/>
    <w:basedOn w:val="ECHRNumberedList1"/>
    <w:uiPriority w:val="23"/>
    <w:semiHidden/>
    <w:rsid w:val="00A6252E"/>
    <w:pPr>
      <w:numPr>
        <w:ilvl w:val="1"/>
      </w:numPr>
    </w:pPr>
  </w:style>
  <w:style w:type="paragraph" w:customStyle="1" w:styleId="ECHRNumberedList3">
    <w:name w:val="ECHR_Numbered_List_3"/>
    <w:aliases w:val="_Num_3"/>
    <w:basedOn w:val="ECHRNumberedList2"/>
    <w:uiPriority w:val="23"/>
    <w:semiHidden/>
    <w:rsid w:val="00A6252E"/>
    <w:pPr>
      <w:numPr>
        <w:ilvl w:val="2"/>
      </w:numPr>
    </w:pPr>
  </w:style>
  <w:style w:type="paragraph" w:customStyle="1" w:styleId="ECHRParaHanging">
    <w:name w:val="ECHR_Para_Hanging"/>
    <w:aliases w:val="_Hanging"/>
    <w:basedOn w:val="NormalJustified"/>
    <w:uiPriority w:val="8"/>
    <w:semiHidden/>
    <w:qFormat/>
    <w:rsid w:val="00A6252E"/>
    <w:pPr>
      <w:ind w:left="567" w:hanging="567"/>
    </w:pPr>
  </w:style>
  <w:style w:type="paragraph" w:customStyle="1" w:styleId="ECHRParaIndent">
    <w:name w:val="ECHR_Para_Indent"/>
    <w:aliases w:val="_Indent"/>
    <w:basedOn w:val="NormalJustified"/>
    <w:uiPriority w:val="7"/>
    <w:semiHidden/>
    <w:qFormat/>
    <w:rsid w:val="00A6252E"/>
    <w:pPr>
      <w:spacing w:before="120" w:after="120"/>
      <w:ind w:left="284"/>
    </w:pPr>
  </w:style>
  <w:style w:type="character" w:customStyle="1" w:styleId="ECHRRed">
    <w:name w:val="ECHR_Red"/>
    <w:aliases w:val="_Red"/>
    <w:basedOn w:val="DefaultParagraphFont"/>
    <w:uiPriority w:val="15"/>
    <w:semiHidden/>
    <w:qFormat/>
    <w:rsid w:val="00A6252E"/>
    <w:rPr>
      <w:color w:val="C00000" w:themeColor="accent2"/>
    </w:rPr>
  </w:style>
  <w:style w:type="paragraph" w:customStyle="1" w:styleId="DecList">
    <w:name w:val="Dec_List"/>
    <w:aliases w:val="_List"/>
    <w:basedOn w:val="JuList"/>
    <w:uiPriority w:val="22"/>
    <w:rsid w:val="00A6252E"/>
    <w:pPr>
      <w:numPr>
        <w:numId w:val="0"/>
      </w:numPr>
      <w:ind w:left="284"/>
    </w:pPr>
  </w:style>
  <w:style w:type="table" w:customStyle="1" w:styleId="ECHRTable2">
    <w:name w:val="ECHR_Table_2"/>
    <w:basedOn w:val="TableNormal"/>
    <w:uiPriority w:val="99"/>
    <w:rsid w:val="00A6252E"/>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A6252E"/>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A6252E"/>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A6252E"/>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A6252E"/>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A6252E"/>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A6252E"/>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A6252E"/>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A6252E"/>
    <w:pPr>
      <w:outlineLvl w:val="0"/>
    </w:pPr>
  </w:style>
  <w:style w:type="paragraph" w:customStyle="1" w:styleId="ECHRTitleTOC1">
    <w:name w:val="ECHR_Title_TOC_1"/>
    <w:aliases w:val="_Title_L_TOC"/>
    <w:basedOn w:val="ECHRTitle1"/>
    <w:next w:val="Normal"/>
    <w:uiPriority w:val="27"/>
    <w:semiHidden/>
    <w:qFormat/>
    <w:rsid w:val="00A6252E"/>
    <w:pPr>
      <w:outlineLvl w:val="0"/>
    </w:pPr>
  </w:style>
  <w:style w:type="paragraph" w:customStyle="1" w:styleId="ECHRPlaceholder">
    <w:name w:val="ECHR_Placeholder"/>
    <w:aliases w:val="_Placeholder"/>
    <w:basedOn w:val="JuSigned"/>
    <w:uiPriority w:val="31"/>
    <w:rsid w:val="00A6252E"/>
    <w:rPr>
      <w:color w:val="FFFFFF"/>
    </w:rPr>
  </w:style>
  <w:style w:type="paragraph" w:customStyle="1" w:styleId="ECHRSpacer">
    <w:name w:val="ECHR_Spacer"/>
    <w:aliases w:val="_Spacer"/>
    <w:basedOn w:val="Normal"/>
    <w:uiPriority w:val="45"/>
    <w:semiHidden/>
    <w:rsid w:val="00A6252E"/>
    <w:rPr>
      <w:sz w:val="4"/>
    </w:rPr>
  </w:style>
  <w:style w:type="table" w:customStyle="1" w:styleId="ECHRTableGrey">
    <w:name w:val="ECHR_Table_Grey"/>
    <w:basedOn w:val="TableNormal"/>
    <w:uiPriority w:val="99"/>
    <w:rsid w:val="00A6252E"/>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A6252E"/>
    <w:rPr>
      <w:color w:val="605E5C"/>
      <w:shd w:val="clear" w:color="auto" w:fill="E1DFDD"/>
    </w:rPr>
  </w:style>
  <w:style w:type="character" w:customStyle="1" w:styleId="JuParaChar">
    <w:name w:val="Ju_Para Char"/>
    <w:aliases w:val="_Para Char"/>
    <w:link w:val="JuPara"/>
    <w:uiPriority w:val="4"/>
    <w:rsid w:val="009A24B4"/>
    <w:rPr>
      <w:sz w:val="24"/>
      <w:szCs w:val="24"/>
      <w:lang w:val="en-GB"/>
    </w:rPr>
  </w:style>
  <w:style w:type="table" w:styleId="GridTable1Light">
    <w:name w:val="Grid Table 1 Light"/>
    <w:basedOn w:val="TableNormal"/>
    <w:uiPriority w:val="46"/>
    <w:semiHidden/>
    <w:rsid w:val="00A6252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A6252E"/>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A6252E"/>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A6252E"/>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A6252E"/>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A6252E"/>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A6252E"/>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A6252E"/>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A6252E"/>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A6252E"/>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A6252E"/>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A6252E"/>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A6252E"/>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A6252E"/>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A6252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A6252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A6252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A6252E"/>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A6252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A6252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A6252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A6252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A6252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A6252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A6252E"/>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A6252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A6252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A6252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A6252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A6252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A6252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A6252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A6252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A6252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A6252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A6252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A6252E"/>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A6252E"/>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A6252E"/>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A6252E"/>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A6252E"/>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A6252E"/>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A6252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A6252E"/>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A6252E"/>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A6252E"/>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A6252E"/>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A6252E"/>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A6252E"/>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A6252E"/>
    <w:rPr>
      <w:color w:val="2B579A"/>
      <w:shd w:val="clear" w:color="auto" w:fill="E1DFDD"/>
    </w:rPr>
  </w:style>
  <w:style w:type="table" w:styleId="ListTable1Light">
    <w:name w:val="List Table 1 Light"/>
    <w:basedOn w:val="TableNormal"/>
    <w:uiPriority w:val="46"/>
    <w:semiHidden/>
    <w:rsid w:val="00A6252E"/>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A6252E"/>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A6252E"/>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A6252E"/>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A6252E"/>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A6252E"/>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A6252E"/>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A6252E"/>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A6252E"/>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A6252E"/>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A6252E"/>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A6252E"/>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A6252E"/>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A6252E"/>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A6252E"/>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A6252E"/>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A6252E"/>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A6252E"/>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A6252E"/>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A6252E"/>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A6252E"/>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A6252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A6252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A6252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A6252E"/>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A6252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A6252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A6252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A6252E"/>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A6252E"/>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A6252E"/>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A6252E"/>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A6252E"/>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A6252E"/>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A6252E"/>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A6252E"/>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A6252E"/>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A6252E"/>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A6252E"/>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A6252E"/>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A6252E"/>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A6252E"/>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A6252E"/>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A6252E"/>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A6252E"/>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A6252E"/>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A6252E"/>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A6252E"/>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A6252E"/>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A6252E"/>
    <w:rPr>
      <w:color w:val="2B579A"/>
      <w:shd w:val="clear" w:color="auto" w:fill="E1DFDD"/>
    </w:rPr>
  </w:style>
  <w:style w:type="table" w:styleId="PlainTable1">
    <w:name w:val="Plain Table 1"/>
    <w:basedOn w:val="TableNormal"/>
    <w:uiPriority w:val="41"/>
    <w:semiHidden/>
    <w:rsid w:val="00A6252E"/>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A6252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A6252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A6252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A6252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A6252E"/>
    <w:rPr>
      <w:u w:val="dotted"/>
    </w:rPr>
  </w:style>
  <w:style w:type="character" w:styleId="SmartLink">
    <w:name w:val="Smart Link"/>
    <w:basedOn w:val="DefaultParagraphFont"/>
    <w:uiPriority w:val="99"/>
    <w:semiHidden/>
    <w:unhideWhenUsed/>
    <w:rsid w:val="00A6252E"/>
    <w:rPr>
      <w:color w:val="0000FF"/>
      <w:u w:val="single"/>
      <w:shd w:val="clear" w:color="auto" w:fill="F3F2F1"/>
    </w:rPr>
  </w:style>
  <w:style w:type="table" w:styleId="GridTableLight">
    <w:name w:val="Grid Table Light"/>
    <w:basedOn w:val="TableNormal"/>
    <w:uiPriority w:val="40"/>
    <w:semiHidden/>
    <w:rsid w:val="00A6252E"/>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2158</Words>
  <Characters>10774</Characters>
  <Application>Microsoft Office Word</Application>
  <DocSecurity>0</DocSecurity>
  <Lines>215</Lines>
  <Paragraphs>63</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12869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2023-05-04T07:18:00Z</dcterms:created>
  <dcterms:modified xsi:type="dcterms:W3CDTF">2023-05-04T07:19:00Z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708783</vt:lpwstr>
  </property>
  <property fmtid="{D5CDD505-2E9C-101B-9397-08002B2CF9AE}" pid="3" name="cstLanguage">
    <vt:i4>2057</vt:i4>
  </property>
  <property fmtid="{D5CDD505-2E9C-101B-9397-08002B2CF9AE}" pid="4" name="RegisteredNo">
    <vt:lpwstr>19202/11</vt:lpwstr>
  </property>
</Properties>
</file>