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C670DE" w:rsidR="00AC18CD" w:rsidP="00C670DE" w14:paraId="367AF16F" w14:textId="77777777">
      <w:pPr>
        <w:jc w:val="center"/>
        <w:rPr>
          <w:rFonts w:ascii="Times New Roman" w:hAnsi="Times New Roman" w:cs="Times New Roman"/>
          <w:noProof/>
        </w:rPr>
      </w:pPr>
    </w:p>
    <w:p w:rsidRPr="00C670DE" w:rsidR="0098410D" w:rsidP="00C670DE" w14:paraId="61A9D042" w14:textId="77777777">
      <w:pPr>
        <w:jc w:val="center"/>
      </w:pPr>
    </w:p>
    <w:p w:rsidRPr="00C670DE" w:rsidR="0098410D" w:rsidP="00C670DE" w14:paraId="4AA75B14" w14:textId="6E8A64D2">
      <w:pPr>
        <w:pStyle w:val="DecHTitle"/>
      </w:pPr>
      <w:r w:rsidRPr="00C670DE">
        <w:t>SECOND SECTION</w:t>
      </w:r>
    </w:p>
    <w:p w:rsidRPr="00C670DE" w:rsidR="008E6217" w:rsidP="00C670DE" w14:paraId="115DE5B6" w14:textId="21F0A502">
      <w:pPr>
        <w:pStyle w:val="JuTitle"/>
      </w:pPr>
      <w:r w:rsidRPr="00C670DE">
        <w:rPr>
          <w:color w:val="000000" w:themeColor="text1"/>
        </w:rPr>
        <w:t xml:space="preserve">CASE OF </w:t>
      </w:r>
      <w:r w:rsidRPr="00C670DE" w:rsidR="00AC18CD">
        <w:t>DIMCHEVSKA v. NORTH MACEDONIA</w:t>
      </w:r>
    </w:p>
    <w:p w:rsidRPr="00C670DE" w:rsidR="00D74888" w:rsidP="00C670DE" w14:paraId="5A42299E" w14:textId="6CCC73C7">
      <w:pPr>
        <w:pStyle w:val="ECHRCoverTitle4"/>
      </w:pPr>
      <w:r w:rsidRPr="00C670DE">
        <w:t>(</w:t>
      </w:r>
      <w:r w:rsidRPr="00C670DE" w:rsidR="00AC18CD">
        <w:rPr>
          <w:noProof/>
        </w:rPr>
        <w:t>Application no.</w:t>
      </w:r>
      <w:r w:rsidRPr="00C670DE">
        <w:t xml:space="preserve"> </w:t>
      </w:r>
      <w:r w:rsidRPr="00C670DE" w:rsidR="00AC18CD">
        <w:t>13919/18</w:t>
      </w:r>
      <w:r w:rsidRPr="00C670DE">
        <w:t>)</w:t>
      </w:r>
    </w:p>
    <w:p w:rsidRPr="00C670DE" w:rsidR="0098410D" w:rsidP="00C670DE" w14:paraId="37437C93" w14:textId="77777777">
      <w:pPr>
        <w:pStyle w:val="DecHCase"/>
      </w:pPr>
    </w:p>
    <w:p w:rsidRPr="00C670DE" w:rsidR="0098410D" w:rsidP="00C670DE" w14:paraId="330ED5A4" w14:textId="77777777">
      <w:pPr>
        <w:pStyle w:val="DecHCase"/>
      </w:pPr>
    </w:p>
    <w:p w:rsidRPr="00C670DE" w:rsidR="00AC4CD4" w:rsidP="00C670DE" w14:paraId="5B26BDEE" w14:textId="77777777">
      <w:pPr>
        <w:pStyle w:val="DecHCase"/>
      </w:pPr>
    </w:p>
    <w:p w:rsidRPr="00C670DE" w:rsidR="0098410D" w:rsidP="00C670DE" w14:paraId="78514CFE" w14:textId="77777777">
      <w:pPr>
        <w:pStyle w:val="DecHCase"/>
      </w:pPr>
    </w:p>
    <w:p w:rsidRPr="00C670DE" w:rsidR="0098410D" w:rsidP="00C670DE" w14:paraId="62039DF0" w14:textId="6C7E93AB">
      <w:pPr>
        <w:pStyle w:val="DecHCase"/>
      </w:pPr>
      <w:r w:rsidRPr="00C670DE">
        <w:t>JUDGMENT</w:t>
      </w:r>
      <w:r w:rsidRPr="00C670DE" w:rsidR="00AC4CD4">
        <w:br/>
      </w:r>
    </w:p>
    <w:p w:rsidRPr="00C670DE" w:rsidR="0098410D" w:rsidP="00C670DE" w14:paraId="3FCEEF28" w14:textId="77777777">
      <w:pPr>
        <w:pStyle w:val="DecHCase"/>
      </w:pPr>
      <w:r w:rsidRPr="00C670DE">
        <w:t>STRASBOURG</w:t>
      </w:r>
    </w:p>
    <w:p w:rsidRPr="00C670DE" w:rsidR="0098410D" w:rsidP="00C670DE" w14:paraId="00B9ABC0" w14:textId="7DBF270A">
      <w:pPr>
        <w:pStyle w:val="DecHCase"/>
      </w:pPr>
      <w:r w:rsidRPr="00C670DE">
        <w:rPr>
          <w:rFonts w:ascii="Times New Roman" w:hAnsi="Times New Roman" w:cs="Times New Roman"/>
        </w:rPr>
        <w:t>4 April 2023</w:t>
      </w:r>
    </w:p>
    <w:p w:rsidRPr="00C670DE" w:rsidR="00AC4CD4" w:rsidP="00C670DE" w14:paraId="6DFE8C89" w14:textId="77777777">
      <w:pPr>
        <w:pStyle w:val="JuPara"/>
      </w:pPr>
    </w:p>
    <w:p w:rsidRPr="00C670DE" w:rsidR="002422B6" w:rsidP="00C670DE" w14:paraId="59624EEB" w14:textId="0805650C">
      <w:pPr>
        <w:rPr>
          <w:i/>
          <w:sz w:val="22"/>
        </w:rPr>
      </w:pPr>
      <w:r w:rsidRPr="00C670DE">
        <w:rPr>
          <w:i/>
          <w:sz w:val="22"/>
        </w:rPr>
        <w:t xml:space="preserve">This judgment </w:t>
      </w:r>
      <w:r w:rsidRPr="00C670DE" w:rsidR="00AC18CD">
        <w:rPr>
          <w:i/>
          <w:noProof/>
          <w:sz w:val="22"/>
        </w:rPr>
        <w:t>is final but it</w:t>
      </w:r>
      <w:r w:rsidRPr="00C670DE">
        <w:rPr>
          <w:i/>
          <w:sz w:val="22"/>
        </w:rPr>
        <w:t xml:space="preserve"> may be subject to editorial revision.</w:t>
      </w:r>
    </w:p>
    <w:p w:rsidRPr="00C670DE" w:rsidR="0098410D" w:rsidP="00C670DE" w14:paraId="2B7A6903" w14:textId="77777777">
      <w:pPr>
        <w:sectPr w:rsidSect="00D66471">
          <w:headerReference w:type="even" r:id="rId5"/>
          <w:headerReference w:type="default" r:id="rId6"/>
          <w:footerReference w:type="even" r:id="rId7"/>
          <w:footerReference w:type="default" r:id="rId8"/>
          <w:headerReference w:type="first" r:id="rId9"/>
          <w:foot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C670DE" w:rsidR="0098410D" w:rsidP="00C670DE" w14:paraId="121B5130" w14:textId="3A0F884B">
      <w:pPr>
        <w:pStyle w:val="JuCase"/>
      </w:pPr>
      <w:r w:rsidRPr="00C670DE">
        <w:t xml:space="preserve">In the case of </w:t>
      </w:r>
      <w:r w:rsidRPr="00C670DE" w:rsidR="00AC18CD">
        <w:t>Dimchevska</w:t>
      </w:r>
      <w:r w:rsidRPr="00C670DE" w:rsidR="00AC18CD">
        <w:t xml:space="preserve"> v. North Macedonia</w:t>
      </w:r>
      <w:r w:rsidRPr="00C670DE">
        <w:t>,</w:t>
      </w:r>
    </w:p>
    <w:p w:rsidRPr="00C670DE" w:rsidR="009F4C8F" w:rsidP="00C670DE" w14:paraId="3D0661A6" w14:textId="2982E918">
      <w:pPr>
        <w:pStyle w:val="JuPara"/>
      </w:pPr>
      <w:r w:rsidRPr="00C670DE">
        <w:t>The European Court of Human Rights (</w:t>
      </w:r>
      <w:r w:rsidRPr="00C670DE" w:rsidR="00AC18CD">
        <w:t>Second Section</w:t>
      </w:r>
      <w:r w:rsidRPr="00C670DE">
        <w:t xml:space="preserve">), sitting as a </w:t>
      </w:r>
      <w:r w:rsidRPr="00C670DE" w:rsidR="00AC18CD">
        <w:rPr>
          <w:noProof/>
        </w:rPr>
        <w:t>Committee</w:t>
      </w:r>
      <w:r w:rsidRPr="00C670DE">
        <w:t xml:space="preserve"> composed of:</w:t>
      </w:r>
    </w:p>
    <w:p w:rsidRPr="00C670DE" w:rsidR="009F4C8F" w:rsidP="00C670DE" w14:paraId="38DCF486" w14:textId="630A4939">
      <w:pPr>
        <w:pStyle w:val="JuJudges"/>
      </w:pPr>
      <w:r w:rsidRPr="00C670DE">
        <w:tab/>
        <w:t>Lorraine Schembri Orland</w:t>
      </w:r>
      <w:r w:rsidRPr="00C670DE">
        <w:rPr>
          <w:i/>
        </w:rPr>
        <w:t>, President</w:t>
      </w:r>
      <w:r w:rsidRPr="00C670DE">
        <w:t>,</w:t>
      </w:r>
      <w:r w:rsidRPr="00C670DE">
        <w:br/>
      </w:r>
      <w:r w:rsidRPr="00C670DE">
        <w:tab/>
        <w:t>Jovan Ilievski,</w:t>
      </w:r>
      <w:r w:rsidRPr="00C670DE">
        <w:br/>
      </w:r>
      <w:r w:rsidRPr="00C670DE">
        <w:tab/>
        <w:t xml:space="preserve">Diana </w:t>
      </w:r>
      <w:r w:rsidRPr="00C670DE">
        <w:t>Sârcu</w:t>
      </w:r>
      <w:r w:rsidRPr="00C670DE">
        <w:rPr>
          <w:i/>
        </w:rPr>
        <w:t>, judges</w:t>
      </w:r>
      <w:r w:rsidRPr="00C670DE">
        <w:t>,</w:t>
      </w:r>
      <w:r w:rsidRPr="00C670DE">
        <w:br/>
        <w:t xml:space="preserve">and </w:t>
      </w:r>
      <w:r w:rsidRPr="00C670DE" w:rsidR="00AC18CD">
        <w:rPr>
          <w:noProof/>
        </w:rPr>
        <w:t>Dorothee von Arnim</w:t>
      </w:r>
      <w:r w:rsidRPr="00C670DE">
        <w:t xml:space="preserve">, </w:t>
      </w:r>
      <w:r w:rsidRPr="00C670DE" w:rsidR="00AC18CD">
        <w:rPr>
          <w:i/>
          <w:noProof/>
        </w:rPr>
        <w:t xml:space="preserve">Deputy Section </w:t>
      </w:r>
      <w:r w:rsidRPr="00C670DE" w:rsidR="00AC18CD">
        <w:rPr>
          <w:i/>
          <w:iCs/>
          <w:noProof/>
        </w:rPr>
        <w:t>Registrar</w:t>
      </w:r>
      <w:r w:rsidRPr="00C670DE">
        <w:rPr>
          <w:i/>
        </w:rPr>
        <w:t>,</w:t>
      </w:r>
    </w:p>
    <w:p w:rsidRPr="00C670DE" w:rsidR="00AC18CD" w:rsidP="00C670DE" w14:paraId="0F9D7CA5" w14:textId="77777777">
      <w:pPr>
        <w:pStyle w:val="JuPara"/>
      </w:pPr>
      <w:r w:rsidRPr="00C670DE">
        <w:t>Having regard to:</w:t>
      </w:r>
    </w:p>
    <w:p w:rsidRPr="00C670DE" w:rsidR="00AC18CD" w:rsidP="00C670DE" w14:paraId="27C36FC1" w14:textId="3787FD16">
      <w:pPr>
        <w:pStyle w:val="JuPara"/>
      </w:pPr>
      <w:r w:rsidRPr="00C670DE">
        <w:t>the application (no. 13919/18) against the Republic of North Macedonia lodged with the Court under Article 34 of the Convention for the Protection of Human Rights and Fundamental Freedoms (“the Convention”) on 15 March 2018 by a Macedonian/citizen of the Republic of North Macedonia, Ms</w:t>
      </w:r>
      <w:r w:rsidRPr="00C670DE" w:rsidR="00C670DE">
        <w:t> </w:t>
      </w:r>
      <w:r w:rsidRPr="00C670DE">
        <w:t>Stojna</w:t>
      </w:r>
      <w:r w:rsidRPr="00C670DE" w:rsidR="00C670DE">
        <w:t> </w:t>
      </w:r>
      <w:r w:rsidRPr="00C670DE">
        <w:t>Dimchevska</w:t>
      </w:r>
      <w:r w:rsidRPr="00C670DE">
        <w:t xml:space="preserve"> (“the applicant”), who was born in 1960 and lives in </w:t>
      </w:r>
      <w:r w:rsidRPr="00C670DE">
        <w:t>Attendorn</w:t>
      </w:r>
      <w:r w:rsidRPr="00C670DE">
        <w:t>, Germany, and was represented by Mr</w:t>
      </w:r>
      <w:r w:rsidRPr="00C670DE" w:rsidR="00C670DE">
        <w:t> </w:t>
      </w:r>
      <w:r w:rsidRPr="00C670DE">
        <w:t>B.</w:t>
      </w:r>
      <w:r w:rsidRPr="00C670DE" w:rsidR="00C670DE">
        <w:t> </w:t>
      </w:r>
      <w:r w:rsidRPr="00C670DE">
        <w:t>Kuzmanoski</w:t>
      </w:r>
      <w:r w:rsidRPr="00C670DE">
        <w:t>, a lawyer practising in Skopje;</w:t>
      </w:r>
    </w:p>
    <w:p w:rsidRPr="00C670DE" w:rsidR="00AC18CD" w:rsidP="00C670DE" w14:paraId="0FA3003B" w14:textId="4B2AB185">
      <w:pPr>
        <w:pStyle w:val="JuPara"/>
      </w:pPr>
      <w:r w:rsidRPr="00C670DE">
        <w:t>the decision to give notice of the complaint concerning the applicant</w:t>
      </w:r>
      <w:r w:rsidRPr="00C670DE" w:rsidR="00C670DE">
        <w:t>’</w:t>
      </w:r>
      <w:r w:rsidRPr="00C670DE">
        <w:t xml:space="preserve">s inability to obtain a retrial following her conviction </w:t>
      </w:r>
      <w:r w:rsidRPr="00C670DE">
        <w:rPr>
          <w:i/>
          <w:iCs/>
        </w:rPr>
        <w:t>in absentia</w:t>
      </w:r>
      <w:r w:rsidRPr="00C670DE">
        <w:t xml:space="preserve"> to the Government of North Macedonia (“the Government”), represented by their Agent, Ms</w:t>
      </w:r>
      <w:r w:rsidRPr="00C670DE" w:rsidR="00C670DE">
        <w:t> </w:t>
      </w:r>
      <w:r w:rsidRPr="00C670DE">
        <w:t>D.</w:t>
      </w:r>
      <w:r w:rsidRPr="00C670DE" w:rsidR="00C670DE">
        <w:t> </w:t>
      </w:r>
      <w:r w:rsidRPr="00C670DE">
        <w:t>Djonova</w:t>
      </w:r>
      <w:r w:rsidRPr="00C670DE">
        <w:t>, and to declare the remainder of the application inadmissible;</w:t>
      </w:r>
    </w:p>
    <w:p w:rsidRPr="00C670DE" w:rsidR="00AC18CD" w:rsidP="00C670DE" w14:paraId="7B4C84FD" w14:textId="6B2E1917">
      <w:pPr>
        <w:pStyle w:val="JuPara"/>
      </w:pPr>
      <w:r w:rsidRPr="00C670DE">
        <w:t>the parties</w:t>
      </w:r>
      <w:r w:rsidRPr="00C670DE" w:rsidR="00C670DE">
        <w:t>’</w:t>
      </w:r>
      <w:r w:rsidRPr="00C670DE">
        <w:t xml:space="preserve"> observations;</w:t>
      </w:r>
    </w:p>
    <w:p w:rsidRPr="00C670DE" w:rsidR="009F4C8F" w:rsidP="00C670DE" w14:paraId="5097F587" w14:textId="71E8CB79">
      <w:pPr>
        <w:pStyle w:val="JuPara"/>
      </w:pPr>
      <w:r w:rsidRPr="00C670DE">
        <w:t xml:space="preserve">Having deliberated in private on </w:t>
      </w:r>
      <w:r w:rsidRPr="00C670DE" w:rsidR="00AC18CD">
        <w:t>14 March 2023</w:t>
      </w:r>
      <w:r w:rsidRPr="00C670DE">
        <w:t>,</w:t>
      </w:r>
    </w:p>
    <w:p w:rsidRPr="00C670DE" w:rsidR="009F4C8F" w:rsidP="00C670DE" w14:paraId="70B31A00" w14:textId="77777777">
      <w:pPr>
        <w:pStyle w:val="JuPara"/>
      </w:pPr>
      <w:r w:rsidRPr="00C670DE">
        <w:t>Delivers the following judgment, which was adopted on that date:</w:t>
      </w:r>
    </w:p>
    <w:p w:rsidRPr="00C670DE" w:rsidR="00AC18CD" w:rsidP="00C670DE" w14:paraId="21F969AA" w14:textId="7A0BA71D">
      <w:pPr>
        <w:pStyle w:val="JuHHead"/>
        <w:numPr>
          <w:ilvl w:val="0"/>
          <w:numId w:val="0"/>
        </w:numPr>
      </w:pPr>
      <w:r w:rsidRPr="00C670DE">
        <w:t>SUBJECT MATTER OF THE CASE</w:t>
      </w:r>
    </w:p>
    <w:p w:rsidRPr="00C670DE" w:rsidR="00AC18CD" w:rsidP="00C670DE" w14:paraId="78575561" w14:textId="350AC903">
      <w:pPr>
        <w:pStyle w:val="JuPara"/>
      </w:pPr>
      <w:r w:rsidRPr="00C670DE">
        <w:fldChar w:fldCharType="begin"/>
      </w:r>
      <w:r w:rsidRPr="00C670DE">
        <w:instrText xml:space="preserve"> SEQ level0 \*arabic \r1 </w:instrText>
      </w:r>
      <w:r w:rsidRPr="00C670DE">
        <w:fldChar w:fldCharType="separate"/>
      </w:r>
      <w:r w:rsidRPr="00C670DE" w:rsidR="00C670DE">
        <w:rPr>
          <w:noProof/>
        </w:rPr>
        <w:t>1</w:t>
      </w:r>
      <w:r w:rsidRPr="00C670DE">
        <w:fldChar w:fldCharType="end"/>
      </w:r>
      <w:r w:rsidRPr="00C670DE">
        <w:t>.  The case concerns the applicant</w:t>
      </w:r>
      <w:r w:rsidRPr="00C670DE" w:rsidR="00C670DE">
        <w:t>’</w:t>
      </w:r>
      <w:r w:rsidRPr="00C670DE">
        <w:t>s inability to obtain a retrial following her criminal conviction in proceedings in which she did not participate.</w:t>
      </w:r>
    </w:p>
    <w:p w:rsidRPr="00C670DE" w:rsidR="00AC18CD" w:rsidP="00C670DE" w14:paraId="49735409" w14:textId="1EDCED53">
      <w:pPr>
        <w:pStyle w:val="JuPara"/>
      </w:pPr>
      <w:r>
        <w:fldChar w:fldCharType="begin"/>
      </w:r>
      <w:r>
        <w:instrText xml:space="preserve"> SEQ level0 \*arabic \* MERGEFORMAT </w:instrText>
      </w:r>
      <w:r>
        <w:fldChar w:fldCharType="separate"/>
      </w:r>
      <w:r w:rsidRPr="00C670DE" w:rsidR="00C670DE">
        <w:rPr>
          <w:noProof/>
        </w:rPr>
        <w:t>2</w:t>
      </w:r>
      <w:r w:rsidRPr="00C670DE" w:rsidR="00C670DE">
        <w:rPr>
          <w:noProof/>
        </w:rPr>
        <w:fldChar w:fldCharType="end"/>
      </w:r>
      <w:r w:rsidRPr="00C670DE">
        <w:t>.  On 12 August 2015 the Veles Court of First Instance (“the trial court”), in written proceedings, imposed a penal order (</w:t>
      </w:r>
      <w:r w:rsidRPr="00C670DE">
        <w:rPr>
          <w:i/>
          <w:iCs/>
        </w:rPr>
        <w:t>казнен</w:t>
      </w:r>
      <w:r w:rsidRPr="00C670DE">
        <w:rPr>
          <w:i/>
          <w:iCs/>
        </w:rPr>
        <w:t xml:space="preserve"> </w:t>
      </w:r>
      <w:r w:rsidRPr="00C670DE">
        <w:rPr>
          <w:i/>
          <w:iCs/>
        </w:rPr>
        <w:t>налог</w:t>
      </w:r>
      <w:r w:rsidRPr="00C670DE">
        <w:t xml:space="preserve"> – hereinafter “the order”) on the applicant for using a document with false content (</w:t>
      </w:r>
      <w:r w:rsidRPr="00C670DE">
        <w:rPr>
          <w:i/>
          <w:iCs/>
        </w:rPr>
        <w:t>употреба</w:t>
      </w:r>
      <w:r w:rsidRPr="00C670DE">
        <w:rPr>
          <w:i/>
          <w:iCs/>
        </w:rPr>
        <w:t xml:space="preserve"> </w:t>
      </w:r>
      <w:r w:rsidRPr="00C670DE">
        <w:rPr>
          <w:i/>
          <w:iCs/>
        </w:rPr>
        <w:t>на</w:t>
      </w:r>
      <w:r w:rsidRPr="00C670DE">
        <w:rPr>
          <w:i/>
          <w:iCs/>
        </w:rPr>
        <w:t xml:space="preserve"> </w:t>
      </w:r>
      <w:r w:rsidRPr="00C670DE">
        <w:rPr>
          <w:i/>
          <w:iCs/>
        </w:rPr>
        <w:t>исправа</w:t>
      </w:r>
      <w:r w:rsidRPr="00C670DE">
        <w:rPr>
          <w:i/>
          <w:iCs/>
        </w:rPr>
        <w:t xml:space="preserve"> </w:t>
      </w:r>
      <w:r w:rsidRPr="00C670DE">
        <w:rPr>
          <w:i/>
          <w:iCs/>
        </w:rPr>
        <w:t>со</w:t>
      </w:r>
      <w:r w:rsidRPr="00C670DE">
        <w:rPr>
          <w:i/>
          <w:iCs/>
        </w:rPr>
        <w:t xml:space="preserve"> </w:t>
      </w:r>
      <w:r w:rsidRPr="00C670DE">
        <w:rPr>
          <w:i/>
          <w:iCs/>
        </w:rPr>
        <w:t>невистинита</w:t>
      </w:r>
      <w:r w:rsidRPr="00C670DE">
        <w:rPr>
          <w:i/>
          <w:iCs/>
        </w:rPr>
        <w:t xml:space="preserve"> </w:t>
      </w:r>
      <w:r w:rsidRPr="00C670DE">
        <w:rPr>
          <w:i/>
          <w:iCs/>
        </w:rPr>
        <w:t>содржина</w:t>
      </w:r>
      <w:r w:rsidRPr="00C670DE">
        <w:t>) and sentenced her to three months</w:t>
      </w:r>
      <w:r w:rsidRPr="00C670DE" w:rsidR="00C670DE">
        <w:t>’</w:t>
      </w:r>
      <w:r w:rsidRPr="00C670DE">
        <w:t xml:space="preserve"> imprisonment, suspended for one year. Two attempts to serve the order on the applicant were unsuccessful, as she was in Germany at the material time. In September 2015 the trial court appointed a lawyer to the applicant and posted the order on the court</w:t>
      </w:r>
      <w:r w:rsidRPr="00C670DE" w:rsidR="00C670DE">
        <w:t>’</w:t>
      </w:r>
      <w:r w:rsidRPr="00C670DE">
        <w:t>s notice board. In the absence of an objection (</w:t>
      </w:r>
      <w:r w:rsidRPr="00C670DE">
        <w:rPr>
          <w:i/>
          <w:iCs/>
        </w:rPr>
        <w:t>“</w:t>
      </w:r>
      <w:r w:rsidRPr="00C670DE">
        <w:rPr>
          <w:i/>
          <w:iCs/>
        </w:rPr>
        <w:t>приговор</w:t>
      </w:r>
      <w:r w:rsidRPr="00C670DE">
        <w:rPr>
          <w:i/>
          <w:iCs/>
        </w:rPr>
        <w:t>”</w:t>
      </w:r>
      <w:r w:rsidRPr="00C670DE">
        <w:t>) against it, on 6</w:t>
      </w:r>
      <w:r w:rsidRPr="00C670DE" w:rsidR="00C670DE">
        <w:t> </w:t>
      </w:r>
      <w:r w:rsidRPr="00C670DE">
        <w:t>October 2015 the order became final.</w:t>
      </w:r>
    </w:p>
    <w:p w:rsidRPr="00C670DE" w:rsidR="00AC18CD" w:rsidP="00C670DE" w14:paraId="6763C5D6" w14:textId="171AF479">
      <w:pPr>
        <w:pStyle w:val="JuPara"/>
      </w:pPr>
      <w:r>
        <w:fldChar w:fldCharType="begin"/>
      </w:r>
      <w:r>
        <w:instrText xml:space="preserve"> SEQ level0 \*arabic \* MERGEFORMAT </w:instrText>
      </w:r>
      <w:r>
        <w:fldChar w:fldCharType="separate"/>
      </w:r>
      <w:bookmarkStart w:name="paragraph00003" w:id="0"/>
      <w:r w:rsidRPr="00C670DE" w:rsidR="00C670DE">
        <w:rPr>
          <w:noProof/>
        </w:rPr>
        <w:t>3</w:t>
      </w:r>
      <w:bookmarkEnd w:id="0"/>
      <w:r>
        <w:fldChar w:fldCharType="end"/>
      </w:r>
      <w:r w:rsidRPr="00C670DE">
        <w:t>.  On 1 September 2017 the applicant learned about the conviction when the order was submitted in evidence by the defendant in civil proceedings initiated by the applicant.</w:t>
      </w:r>
    </w:p>
    <w:p w:rsidRPr="00C670DE" w:rsidR="00AC18CD" w:rsidP="00C670DE" w14:paraId="78F750F3" w14:textId="186D1D2D">
      <w:pPr>
        <w:pStyle w:val="JuPara"/>
      </w:pPr>
      <w:r>
        <w:fldChar w:fldCharType="begin"/>
      </w:r>
      <w:r>
        <w:instrText xml:space="preserve"> SEQ level0 \*arabic \* MERGEFORMAT </w:instrText>
      </w:r>
      <w:r>
        <w:fldChar w:fldCharType="separate"/>
      </w:r>
      <w:bookmarkStart w:name="paragraph00004" w:id="1"/>
      <w:r w:rsidRPr="00C670DE" w:rsidR="00C670DE">
        <w:rPr>
          <w:noProof/>
        </w:rPr>
        <w:t>4</w:t>
      </w:r>
      <w:bookmarkEnd w:id="1"/>
      <w:r>
        <w:fldChar w:fldCharType="end"/>
      </w:r>
      <w:r w:rsidRPr="00C670DE">
        <w:t xml:space="preserve">.  On 28 September 2017 the applicant requested that the criminal proceedings be reopened on the grounds that her trial had been held </w:t>
      </w:r>
      <w:r w:rsidRPr="00C670DE">
        <w:rPr>
          <w:i/>
          <w:iCs/>
        </w:rPr>
        <w:t>in absentia</w:t>
      </w:r>
      <w:r w:rsidRPr="00C670DE">
        <w:t xml:space="preserve"> and new facts and evidence had come to light. The trial court </w:t>
      </w:r>
      <w:r w:rsidRPr="00C670DE">
        <w:t>dismissed her request, finding that (</w:t>
      </w:r>
      <w:r w:rsidRPr="00C670DE">
        <w:t>i</w:t>
      </w:r>
      <w:r w:rsidRPr="00C670DE">
        <w:t>) the evidence admitted and the facts established in the criminal proceedings had been sufficient to convict the applicant and the evidence proposed by her could not have altered the outcome of the criminal proceedings, and (ii) she had been assigned a court-appointed lawyer, who had not challenged the order. The appellate court upheld that decision, finding that the court-appointed lawyer had challenged the order – a finding which the Government subsequently argued had been a “technical error”.</w:t>
      </w:r>
    </w:p>
    <w:p w:rsidRPr="00C670DE" w:rsidR="00AC18CD" w:rsidP="00C670DE" w14:paraId="1D97EB2F" w14:textId="5C686A4D">
      <w:pPr>
        <w:pStyle w:val="JuPara"/>
      </w:pPr>
      <w:r>
        <w:fldChar w:fldCharType="begin"/>
      </w:r>
      <w:r>
        <w:instrText xml:space="preserve"> SEQ level0 \*arabic \* MERGEFORMAT </w:instrText>
      </w:r>
      <w:r>
        <w:fldChar w:fldCharType="separate"/>
      </w:r>
      <w:bookmarkStart w:name="paragraph00005" w:id="2"/>
      <w:r w:rsidRPr="00C670DE" w:rsidR="00C670DE">
        <w:rPr>
          <w:noProof/>
        </w:rPr>
        <w:t>5</w:t>
      </w:r>
      <w:bookmarkEnd w:id="2"/>
      <w:r>
        <w:fldChar w:fldCharType="end"/>
      </w:r>
      <w:r w:rsidRPr="00C670DE">
        <w:t>.  In December 2020 the trial court established that the necessary conditions had been fulfilled for the entry concerning the applicant</w:t>
      </w:r>
      <w:r w:rsidRPr="00C670DE" w:rsidR="00C670DE">
        <w:t>’</w:t>
      </w:r>
      <w:r w:rsidRPr="00C670DE">
        <w:t>s conviction to be erased from the criminal record.</w:t>
      </w:r>
    </w:p>
    <w:p w:rsidRPr="00C670DE" w:rsidR="00AC18CD" w:rsidP="00C670DE" w14:paraId="1057A617" w14:textId="260E7661">
      <w:pPr>
        <w:pStyle w:val="JuPara"/>
      </w:pPr>
      <w:r>
        <w:fldChar w:fldCharType="begin"/>
      </w:r>
      <w:r>
        <w:instrText xml:space="preserve"> SEQ level0 \*arabic \* MERGEFORMAT </w:instrText>
      </w:r>
      <w:r>
        <w:fldChar w:fldCharType="separate"/>
      </w:r>
      <w:r w:rsidRPr="00C670DE" w:rsidR="00C670DE">
        <w:rPr>
          <w:noProof/>
        </w:rPr>
        <w:t>6</w:t>
      </w:r>
      <w:r w:rsidRPr="00C670DE" w:rsidR="00C670DE">
        <w:rPr>
          <w:noProof/>
        </w:rPr>
        <w:fldChar w:fldCharType="end"/>
      </w:r>
      <w:r w:rsidRPr="00C670DE">
        <w:t>.  The applicant complained under Article 6 that she had not been able to obtain a retrial following her conviction</w:t>
      </w:r>
      <w:r w:rsidRPr="00C670DE">
        <w:rPr>
          <w:i/>
          <w:iCs/>
        </w:rPr>
        <w:t xml:space="preserve"> </w:t>
      </w:r>
      <w:r w:rsidRPr="00C670DE">
        <w:t>in her absence</w:t>
      </w:r>
      <w:r w:rsidRPr="00C670DE">
        <w:rPr>
          <w:i/>
          <w:iCs/>
        </w:rPr>
        <w:t xml:space="preserve">. </w:t>
      </w:r>
      <w:r w:rsidRPr="00C670DE">
        <w:t>She further raised other complaints under Article 6 concerning the fairness of the proceedings.</w:t>
      </w:r>
    </w:p>
    <w:p w:rsidRPr="00C670DE" w:rsidR="00AC18CD" w:rsidP="00C670DE" w14:paraId="19BE5698" w14:textId="4B75D40E">
      <w:pPr>
        <w:pStyle w:val="JuHHead"/>
      </w:pPr>
      <w:r w:rsidRPr="00C670DE">
        <w:t>THE COURT</w:t>
      </w:r>
      <w:r w:rsidRPr="00C670DE" w:rsidR="00C670DE">
        <w:t>’</w:t>
      </w:r>
      <w:r w:rsidRPr="00C670DE">
        <w:t>S ASSESSMENT</w:t>
      </w:r>
    </w:p>
    <w:p w:rsidRPr="00C670DE" w:rsidR="00AC18CD" w:rsidP="00C670DE" w14:paraId="360CCF19" w14:textId="0F8C1F8B">
      <w:pPr>
        <w:pStyle w:val="JuHIRoman"/>
      </w:pPr>
      <w:r w:rsidRPr="00C670DE">
        <w:t>TRIAL IN THE APPLICANT</w:t>
      </w:r>
      <w:r w:rsidRPr="00C670DE" w:rsidR="00C670DE">
        <w:t>’</w:t>
      </w:r>
      <w:r w:rsidRPr="00C670DE">
        <w:t>S ABSENCE</w:t>
      </w:r>
    </w:p>
    <w:p w:rsidRPr="00C670DE" w:rsidR="00AC18CD" w:rsidP="00C670DE" w14:paraId="2471CFAB" w14:textId="77777777">
      <w:pPr>
        <w:pStyle w:val="JuHA"/>
      </w:pPr>
      <w:r w:rsidRPr="00C670DE">
        <w:t>Admissibility</w:t>
      </w:r>
    </w:p>
    <w:p w:rsidRPr="00C670DE" w:rsidR="00AC18CD" w:rsidP="00C670DE" w14:paraId="3D38A7F1" w14:textId="1C1067A2">
      <w:pPr>
        <w:pStyle w:val="JuPara"/>
        <w:rPr>
          <w:rFonts w:ascii="Times New Roman" w:hAnsi="Times New Roman" w:cs="Palatino Linotype"/>
          <w:color w:val="000000"/>
          <w:lang w:eastAsia="fr-FR"/>
        </w:rPr>
      </w:pPr>
      <w:r>
        <w:fldChar w:fldCharType="begin"/>
      </w:r>
      <w:r>
        <w:instrText xml:space="preserve"> SEQ level0 \*arabic \* MERGEFORMAT </w:instrText>
      </w:r>
      <w:r>
        <w:fldChar w:fldCharType="separate"/>
      </w:r>
      <w:r w:rsidRPr="00C670DE" w:rsidR="00C670DE">
        <w:rPr>
          <w:noProof/>
        </w:rPr>
        <w:t>7</w:t>
      </w:r>
      <w:r w:rsidRPr="00C670DE" w:rsidR="00C670DE">
        <w:rPr>
          <w:noProof/>
        </w:rPr>
        <w:fldChar w:fldCharType="end"/>
      </w:r>
      <w:r w:rsidRPr="00C670DE">
        <w:t>.  The Government argued that the applicant</w:t>
      </w:r>
      <w:r w:rsidRPr="00C670DE" w:rsidR="00C670DE">
        <w:t>’</w:t>
      </w:r>
      <w:r w:rsidRPr="00C670DE">
        <w:t xml:space="preserve">s complaint was incompatible </w:t>
      </w:r>
      <w:r w:rsidRPr="00C670DE">
        <w:rPr>
          <w:i/>
          <w:iCs/>
        </w:rPr>
        <w:t>ratione</w:t>
      </w:r>
      <w:r w:rsidRPr="00C670DE">
        <w:rPr>
          <w:i/>
          <w:iCs/>
        </w:rPr>
        <w:t xml:space="preserve"> </w:t>
      </w:r>
      <w:r w:rsidRPr="00C670DE">
        <w:rPr>
          <w:i/>
          <w:iCs/>
        </w:rPr>
        <w:t>materiae</w:t>
      </w:r>
      <w:r w:rsidRPr="00C670DE">
        <w:rPr>
          <w:i/>
          <w:iCs/>
        </w:rPr>
        <w:t xml:space="preserve"> </w:t>
      </w:r>
      <w:r w:rsidRPr="00C670DE">
        <w:t>with Article 6 of the Convention, as that Article did not apply to proceedings for the reopening of a trial, and that the complaint in respect of the main criminal proceedings had been lodged outside the six-month time-limit, as the applicant had waited for the outcome of an ineffective remedy, namely of the reopening proceedings, before lodging her application. The relevant principles concerning the applicability of Article 6 to proceedings to reopen criminal proceedings were set out in the Court</w:t>
      </w:r>
      <w:r w:rsidRPr="00C670DE" w:rsidR="00C670DE">
        <w:t>’</w:t>
      </w:r>
      <w:r w:rsidRPr="00C670DE">
        <w:t xml:space="preserve">s judgment in </w:t>
      </w:r>
      <w:r w:rsidRPr="00C670DE">
        <w:rPr>
          <w:i/>
          <w:iCs/>
        </w:rPr>
        <w:t>Moreira Ferreira v.</w:t>
      </w:r>
      <w:r w:rsidRPr="00C670DE" w:rsidR="00C670DE">
        <w:rPr>
          <w:i/>
          <w:iCs/>
        </w:rPr>
        <w:t> </w:t>
      </w:r>
      <w:r w:rsidRPr="00C670DE">
        <w:rPr>
          <w:i/>
          <w:iCs/>
        </w:rPr>
        <w:t>Portugal</w:t>
      </w:r>
      <w:r w:rsidRPr="00C670DE" w:rsidR="00C670DE">
        <w:rPr>
          <w:i/>
          <w:iCs/>
        </w:rPr>
        <w:t> </w:t>
      </w:r>
      <w:r w:rsidRPr="00C670DE">
        <w:rPr>
          <w:i/>
          <w:iCs/>
        </w:rPr>
        <w:t>(no.</w:t>
      </w:r>
      <w:r w:rsidRPr="00C670DE" w:rsidR="00C670DE">
        <w:rPr>
          <w:i/>
          <w:iCs/>
        </w:rPr>
        <w:t> </w:t>
      </w:r>
      <w:r w:rsidRPr="00C670DE">
        <w:rPr>
          <w:i/>
          <w:iCs/>
        </w:rPr>
        <w:t xml:space="preserve">2) </w:t>
      </w:r>
      <w:r w:rsidRPr="00C670DE">
        <w:rPr>
          <w:iCs/>
        </w:rPr>
        <w:t>[GC]</w:t>
      </w:r>
      <w:r w:rsidRPr="00C670DE">
        <w:t>, no.</w:t>
      </w:r>
      <w:r w:rsidRPr="00C670DE" w:rsidR="00C670DE">
        <w:t> </w:t>
      </w:r>
      <w:r w:rsidRPr="00C670DE">
        <w:rPr>
          <w:iCs/>
        </w:rPr>
        <w:t xml:space="preserve">19867/12, </w:t>
      </w:r>
      <w:r w:rsidRPr="00C670DE">
        <w:t>§§ 60-67, 11</w:t>
      </w:r>
      <w:r w:rsidRPr="00C670DE" w:rsidR="00C670DE">
        <w:t> </w:t>
      </w:r>
      <w:r w:rsidRPr="00C670DE">
        <w:t xml:space="preserve">July 2017, and </w:t>
      </w:r>
      <w:r w:rsidRPr="00C670DE">
        <w:rPr>
          <w:i/>
          <w:iCs/>
        </w:rPr>
        <w:t>Kokkonis</w:t>
      </w:r>
      <w:r w:rsidRPr="00C670DE">
        <w:rPr>
          <w:i/>
          <w:iCs/>
        </w:rPr>
        <w:t xml:space="preserve"> and </w:t>
      </w:r>
      <w:r w:rsidRPr="00C670DE">
        <w:rPr>
          <w:i/>
          <w:iCs/>
        </w:rPr>
        <w:t>Chalilopoulou</w:t>
      </w:r>
      <w:r w:rsidRPr="00C670DE">
        <w:rPr>
          <w:i/>
          <w:iCs/>
        </w:rPr>
        <w:t xml:space="preserve"> v.</w:t>
      </w:r>
      <w:r w:rsidRPr="00C670DE" w:rsidR="00C670DE">
        <w:rPr>
          <w:i/>
          <w:iCs/>
        </w:rPr>
        <w:t> </w:t>
      </w:r>
      <w:r w:rsidRPr="00C670DE">
        <w:rPr>
          <w:i/>
          <w:iCs/>
        </w:rPr>
        <w:t xml:space="preserve">Greece </w:t>
      </w:r>
      <w:r w:rsidRPr="00C670DE">
        <w:t>(dec.), nos. 76386/11 and 76408/11, §</w:t>
      </w:r>
      <w:r w:rsidRPr="00C670DE" w:rsidR="00C670DE">
        <w:t> </w:t>
      </w:r>
      <w:r w:rsidRPr="00C670DE">
        <w:t>12, 31</w:t>
      </w:r>
      <w:r w:rsidRPr="00C670DE" w:rsidR="00C670DE">
        <w:t> </w:t>
      </w:r>
      <w:r w:rsidRPr="00C670DE">
        <w:t>October 2017). The Court notes that the gist of the applicant</w:t>
      </w:r>
      <w:r w:rsidRPr="00C670DE" w:rsidR="00C670DE">
        <w:t>’</w:t>
      </w:r>
      <w:r w:rsidRPr="00C670DE">
        <w:t xml:space="preserve">s complaint is that she had been convicted in criminal proceedings of which she was not aware and in which she could not participate. She relied on her absence from the trial in her request for the reopening of the proceedings. The domestic courts did not reject that request as </w:t>
      </w:r>
      <w:r w:rsidRPr="00C670DE">
        <w:t>inadmissible, but</w:t>
      </w:r>
      <w:r w:rsidRPr="00C670DE">
        <w:t xml:space="preserve"> dismissed it on the merits (contrast </w:t>
      </w:r>
      <w:r w:rsidRPr="00C670DE">
        <w:rPr>
          <w:i/>
          <w:iCs/>
        </w:rPr>
        <w:t>Kokkonis</w:t>
      </w:r>
      <w:r w:rsidRPr="00C670DE">
        <w:rPr>
          <w:i/>
          <w:iCs/>
        </w:rPr>
        <w:t xml:space="preserve"> and </w:t>
      </w:r>
      <w:r w:rsidRPr="00C670DE">
        <w:rPr>
          <w:i/>
          <w:iCs/>
        </w:rPr>
        <w:t>Chalilopoulou</w:t>
      </w:r>
      <w:r w:rsidRPr="00C670DE">
        <w:t>, cited above, §</w:t>
      </w:r>
      <w:r w:rsidRPr="00C670DE" w:rsidR="00C670DE">
        <w:t> </w:t>
      </w:r>
      <w:r w:rsidRPr="00C670DE">
        <w:t>5). Article</w:t>
      </w:r>
      <w:r w:rsidRPr="00C670DE" w:rsidR="00C670DE">
        <w:t> </w:t>
      </w:r>
      <w:r w:rsidRPr="00C670DE">
        <w:t>6 was therefore applicable to the proceedings. As for the compliance with the six-month time-limit, the applicant</w:t>
      </w:r>
      <w:r w:rsidRPr="00C670DE" w:rsidR="00C670DE">
        <w:t>’</w:t>
      </w:r>
      <w:r w:rsidRPr="00C670DE">
        <w:t xml:space="preserve">s decision to rely on her request for reopening of the proceedings does not appear unreasonable in the specific circumstances of the present case. The Court has previously decided cases on the merits where applicants relied on requests for the reopening of proceedings after being convicted </w:t>
      </w:r>
      <w:r w:rsidRPr="00C670DE">
        <w:rPr>
          <w:i/>
          <w:iCs/>
        </w:rPr>
        <w:t>in</w:t>
      </w:r>
      <w:r w:rsidRPr="00C670DE">
        <w:t xml:space="preserve"> </w:t>
      </w:r>
      <w:r w:rsidRPr="00C670DE">
        <w:rPr>
          <w:i/>
          <w:iCs/>
        </w:rPr>
        <w:t>absentia</w:t>
      </w:r>
      <w:r w:rsidRPr="00C670DE">
        <w:t xml:space="preserve"> (see </w:t>
      </w:r>
      <w:r w:rsidRPr="00C670DE">
        <w:rPr>
          <w:i/>
        </w:rPr>
        <w:t>Sanader v.</w:t>
      </w:r>
      <w:r w:rsidRPr="00C670DE" w:rsidR="00C670DE">
        <w:rPr>
          <w:i/>
        </w:rPr>
        <w:t> </w:t>
      </w:r>
      <w:r w:rsidRPr="00C670DE">
        <w:rPr>
          <w:i/>
        </w:rPr>
        <w:t>Croatia</w:t>
      </w:r>
      <w:r w:rsidRPr="00C670DE">
        <w:t>, no.</w:t>
      </w:r>
      <w:r w:rsidRPr="00C670DE" w:rsidR="00C670DE">
        <w:t> </w:t>
      </w:r>
      <w:r w:rsidRPr="00C670DE">
        <w:t xml:space="preserve">66408/12, §§ 25-35 and 67 </w:t>
      </w:r>
      <w:r w:rsidRPr="00C670DE">
        <w:rPr>
          <w:i/>
          <w:iCs/>
        </w:rPr>
        <w:t>et seq.</w:t>
      </w:r>
      <w:r w:rsidRPr="00C670DE">
        <w:t xml:space="preserve">, 12 February 2015). In addition, the applicant was not aware of the criminal proceedings against her and was not represented by a lawyer of her own choosing (contrast </w:t>
      </w:r>
      <w:r w:rsidRPr="00C670DE">
        <w:rPr>
          <w:rFonts w:ascii="Times New Roman" w:hAnsi="Times New Roman" w:cs="Palatino Linotype"/>
          <w:i/>
          <w:color w:val="000000"/>
          <w:lang w:eastAsia="fr-FR"/>
        </w:rPr>
        <w:t>Bajić</w:t>
      </w:r>
      <w:r w:rsidRPr="00C670DE">
        <w:rPr>
          <w:rFonts w:ascii="Times New Roman" w:hAnsi="Times New Roman" w:cs="Palatino Linotype"/>
          <w:i/>
          <w:color w:val="000000"/>
          <w:lang w:eastAsia="fr-FR"/>
        </w:rPr>
        <w:t xml:space="preserve"> v.</w:t>
      </w:r>
      <w:r w:rsidRPr="00C670DE" w:rsidR="00C670DE">
        <w:rPr>
          <w:rFonts w:ascii="Times New Roman" w:hAnsi="Times New Roman" w:cs="Palatino Linotype"/>
          <w:i/>
          <w:color w:val="000000"/>
          <w:lang w:eastAsia="fr-FR"/>
        </w:rPr>
        <w:t> </w:t>
      </w:r>
      <w:r w:rsidRPr="00C670DE">
        <w:rPr>
          <w:rFonts w:ascii="Times New Roman" w:hAnsi="Times New Roman" w:cs="Palatino Linotype"/>
          <w:i/>
          <w:color w:val="000000"/>
          <w:lang w:eastAsia="fr-FR"/>
        </w:rPr>
        <w:t>North Macedonia</w:t>
      </w:r>
      <w:r w:rsidRPr="00C670DE">
        <w:rPr>
          <w:rFonts w:ascii="Times New Roman" w:hAnsi="Times New Roman" w:cs="Palatino Linotype"/>
          <w:color w:val="000000"/>
          <w:lang w:eastAsia="fr-FR"/>
        </w:rPr>
        <w:t>, no.</w:t>
      </w:r>
      <w:r w:rsidRPr="00C670DE" w:rsidR="00C670DE">
        <w:rPr>
          <w:rFonts w:ascii="Times New Roman" w:hAnsi="Times New Roman" w:cs="Palatino Linotype"/>
          <w:color w:val="000000"/>
          <w:lang w:eastAsia="fr-FR"/>
        </w:rPr>
        <w:t> </w:t>
      </w:r>
      <w:r w:rsidRPr="00C670DE">
        <w:rPr>
          <w:rFonts w:ascii="Times New Roman" w:hAnsi="Times New Roman" w:cs="Palatino Linotype"/>
          <w:color w:val="000000"/>
          <w:lang w:eastAsia="fr-FR"/>
        </w:rPr>
        <w:t>2833/13, §</w:t>
      </w:r>
      <w:r w:rsidRPr="00C670DE" w:rsidR="00C670DE">
        <w:rPr>
          <w:rFonts w:ascii="Times New Roman" w:hAnsi="Times New Roman" w:cs="Palatino Linotype"/>
          <w:color w:val="000000"/>
          <w:lang w:eastAsia="fr-FR"/>
        </w:rPr>
        <w:t> </w:t>
      </w:r>
      <w:r w:rsidRPr="00C670DE">
        <w:rPr>
          <w:rFonts w:ascii="Times New Roman" w:hAnsi="Times New Roman" w:cs="Palatino Linotype"/>
          <w:color w:val="000000"/>
          <w:lang w:eastAsia="fr-FR"/>
        </w:rPr>
        <w:t>41, 10</w:t>
      </w:r>
      <w:r w:rsidRPr="00C670DE" w:rsidR="00400110">
        <w:rPr>
          <w:rFonts w:ascii="Times New Roman" w:hAnsi="Times New Roman" w:cs="Palatino Linotype"/>
          <w:color w:val="000000"/>
          <w:lang w:eastAsia="fr-FR"/>
        </w:rPr>
        <w:t> </w:t>
      </w:r>
      <w:r w:rsidRPr="00C670DE">
        <w:rPr>
          <w:rFonts w:ascii="Times New Roman" w:hAnsi="Times New Roman" w:cs="Palatino Linotype"/>
          <w:color w:val="000000"/>
          <w:lang w:eastAsia="fr-FR"/>
        </w:rPr>
        <w:t>June</w:t>
      </w:r>
      <w:r w:rsidRPr="00C670DE" w:rsidR="00C670DE">
        <w:rPr>
          <w:rFonts w:ascii="Times New Roman" w:hAnsi="Times New Roman" w:cs="Palatino Linotype"/>
          <w:color w:val="000000"/>
          <w:lang w:eastAsia="fr-FR"/>
        </w:rPr>
        <w:t xml:space="preserve"> </w:t>
      </w:r>
      <w:r w:rsidRPr="00C670DE">
        <w:rPr>
          <w:rFonts w:ascii="Times New Roman" w:hAnsi="Times New Roman" w:cs="Palatino Linotype"/>
          <w:color w:val="000000"/>
          <w:lang w:eastAsia="fr-FR"/>
        </w:rPr>
        <w:t>2021</w:t>
      </w:r>
      <w:r w:rsidRPr="00C670DE">
        <w:t>). Accordingly, the Court dismisses the Government</w:t>
      </w:r>
      <w:r w:rsidRPr="00C670DE" w:rsidR="00C670DE">
        <w:t>’</w:t>
      </w:r>
      <w:r w:rsidRPr="00C670DE">
        <w:t>s objections.</w:t>
      </w:r>
    </w:p>
    <w:p w:rsidRPr="00C670DE" w:rsidR="00AC18CD" w:rsidP="00C670DE" w14:paraId="418F93B4" w14:textId="73D4EA92">
      <w:pPr>
        <w:pStyle w:val="JuPara"/>
      </w:pPr>
      <w:r>
        <w:fldChar w:fldCharType="begin"/>
      </w:r>
      <w:r>
        <w:instrText xml:space="preserve"> SEQ level0 \*arabic \* MERGEFORMAT </w:instrText>
      </w:r>
      <w:r>
        <w:fldChar w:fldCharType="separate"/>
      </w:r>
      <w:r w:rsidRPr="00C670DE" w:rsidR="00C670DE">
        <w:rPr>
          <w:noProof/>
        </w:rPr>
        <w:t>8</w:t>
      </w:r>
      <w:r w:rsidRPr="00C670DE" w:rsidR="00C670DE">
        <w:rPr>
          <w:noProof/>
        </w:rPr>
        <w:fldChar w:fldCharType="end"/>
      </w:r>
      <w:r w:rsidRPr="00C670DE">
        <w:t>.  The Government further submitted that the applicant had not suffered a significant disadvantage for the purposes of Article</w:t>
      </w:r>
      <w:r w:rsidRPr="00C670DE" w:rsidR="00C670DE">
        <w:t> </w:t>
      </w:r>
      <w:r w:rsidRPr="00C670DE">
        <w:t>35 §</w:t>
      </w:r>
      <w:r w:rsidRPr="00C670DE" w:rsidR="00C670DE">
        <w:t> </w:t>
      </w:r>
      <w:r w:rsidRPr="00C670DE">
        <w:t>3</w:t>
      </w:r>
      <w:r w:rsidRPr="00C670DE" w:rsidR="00C670DE">
        <w:t> </w:t>
      </w:r>
      <w:r w:rsidRPr="00C670DE">
        <w:t xml:space="preserve">(b) of the Convention, given the nature of the sanction (a suspended prison sentence) and because the suspension period had expired before she had learned of her conviction. The Court reiterates the principles developed in its case-law concerning the criterion of significant disadvantage (see </w:t>
      </w:r>
      <w:r w:rsidRPr="00C670DE">
        <w:rPr>
          <w:i/>
          <w:iCs/>
        </w:rPr>
        <w:t>Korolev v.</w:t>
      </w:r>
      <w:r w:rsidRPr="00C670DE" w:rsidR="00C670DE">
        <w:rPr>
          <w:i/>
          <w:iCs/>
        </w:rPr>
        <w:t> </w:t>
      </w:r>
      <w:r w:rsidRPr="00C670DE">
        <w:rPr>
          <w:i/>
          <w:iCs/>
        </w:rPr>
        <w:t xml:space="preserve">Russia </w:t>
      </w:r>
      <w:r w:rsidRPr="00C670DE">
        <w:t>(dec.), no.</w:t>
      </w:r>
      <w:r w:rsidRPr="00C670DE" w:rsidR="00C670DE">
        <w:t> </w:t>
      </w:r>
      <w:r w:rsidRPr="00C670DE">
        <w:t xml:space="preserve">25551/05, ECHR 2010, and </w:t>
      </w:r>
      <w:r w:rsidRPr="00C670DE">
        <w:rPr>
          <w:i/>
          <w:iCs/>
        </w:rPr>
        <w:t>Bartolo</w:t>
      </w:r>
      <w:r w:rsidRPr="00C670DE">
        <w:rPr>
          <w:i/>
          <w:iCs/>
        </w:rPr>
        <w:t xml:space="preserve"> v.</w:t>
      </w:r>
      <w:r w:rsidRPr="00C670DE" w:rsidR="00C670DE">
        <w:rPr>
          <w:i/>
          <w:iCs/>
        </w:rPr>
        <w:t> </w:t>
      </w:r>
      <w:r w:rsidRPr="00C670DE">
        <w:rPr>
          <w:i/>
          <w:iCs/>
        </w:rPr>
        <w:t>Malta</w:t>
      </w:r>
      <w:r w:rsidRPr="00C670DE">
        <w:t xml:space="preserve"> (dec.), no.</w:t>
      </w:r>
      <w:r w:rsidRPr="00C670DE" w:rsidR="00C670DE">
        <w:t> </w:t>
      </w:r>
      <w:r w:rsidRPr="00C670DE">
        <w:t>40761/19, §</w:t>
      </w:r>
      <w:r w:rsidRPr="00C670DE" w:rsidR="00C670DE">
        <w:t> </w:t>
      </w:r>
      <w:r w:rsidRPr="00C670DE">
        <w:t>22, 7 September 2021). It notes that the applicant</w:t>
      </w:r>
      <w:r w:rsidRPr="00C670DE" w:rsidR="00C670DE">
        <w:t>’</w:t>
      </w:r>
      <w:r w:rsidRPr="00C670DE">
        <w:t xml:space="preserve">s conviction remained in the criminal record after the expiry of the suspension period. Moreover, the conviction was submitted in evidence in other civil proceedings to which the applicant was a party (see paragraphs </w:t>
      </w:r>
      <w:r w:rsidRPr="00C670DE">
        <w:fldChar w:fldCharType="begin"/>
      </w:r>
      <w:r w:rsidRPr="00C670DE">
        <w:instrText xml:space="preserve"> REF paragraph00005 \h  \* CharFormat </w:instrText>
      </w:r>
      <w:r w:rsidRPr="00C670DE">
        <w:fldChar w:fldCharType="separate"/>
      </w:r>
      <w:r w:rsidRPr="00C670DE" w:rsidR="00C670DE">
        <w:t>5</w:t>
      </w:r>
      <w:r w:rsidRPr="00C670DE">
        <w:fldChar w:fldCharType="end"/>
      </w:r>
      <w:r w:rsidRPr="00C670DE">
        <w:t xml:space="preserve"> and </w:t>
      </w:r>
      <w:r w:rsidRPr="00C670DE">
        <w:fldChar w:fldCharType="begin"/>
      </w:r>
      <w:r w:rsidRPr="00C670DE">
        <w:instrText xml:space="preserve"> REF paragraph00003 \h  \* CharFormat </w:instrText>
      </w:r>
      <w:r w:rsidRPr="00C670DE">
        <w:fldChar w:fldCharType="separate"/>
      </w:r>
      <w:r w:rsidRPr="00C670DE" w:rsidR="00C670DE">
        <w:t>3</w:t>
      </w:r>
      <w:r w:rsidRPr="00C670DE">
        <w:fldChar w:fldCharType="end"/>
      </w:r>
      <w:r w:rsidRPr="00C670DE">
        <w:t xml:space="preserve"> above). The Court therefore dismisses this objection.</w:t>
      </w:r>
    </w:p>
    <w:p w:rsidRPr="00C670DE" w:rsidR="00AC18CD" w:rsidP="00C670DE" w14:paraId="3C224159" w14:textId="5C383D4D">
      <w:pPr>
        <w:pStyle w:val="JuPara"/>
      </w:pPr>
      <w:r>
        <w:fldChar w:fldCharType="begin"/>
      </w:r>
      <w:r>
        <w:instrText xml:space="preserve"> SEQ level0 \*arabic \* MERGEFORMAT </w:instrText>
      </w:r>
      <w:r>
        <w:fldChar w:fldCharType="separate"/>
      </w:r>
      <w:r w:rsidRPr="00C670DE" w:rsidR="00C670DE">
        <w:rPr>
          <w:noProof/>
        </w:rPr>
        <w:t>9</w:t>
      </w:r>
      <w:r w:rsidRPr="00C670DE" w:rsidR="00C670DE">
        <w:rPr>
          <w:noProof/>
        </w:rPr>
        <w:fldChar w:fldCharType="end"/>
      </w:r>
      <w:r w:rsidRPr="00C670DE">
        <w:t>.  The Court notes that the applicant</w:t>
      </w:r>
      <w:r w:rsidRPr="00C670DE" w:rsidR="00C670DE">
        <w:t>’</w:t>
      </w:r>
      <w:r w:rsidRPr="00C670DE">
        <w:t>s complaint is not manifestly ill</w:t>
      </w:r>
      <w:r w:rsidRPr="00C670DE" w:rsidR="001E69DE">
        <w:noBreakHyphen/>
      </w:r>
      <w:r w:rsidRPr="00C670DE">
        <w:t>founded within the meaning of Article</w:t>
      </w:r>
      <w:r w:rsidRPr="00C670DE" w:rsidR="00C670DE">
        <w:t> </w:t>
      </w:r>
      <w:r w:rsidRPr="00C670DE">
        <w:t>35 §</w:t>
      </w:r>
      <w:r w:rsidRPr="00C670DE" w:rsidR="00C670DE">
        <w:t> </w:t>
      </w:r>
      <w:r w:rsidRPr="00C670DE">
        <w:t>3</w:t>
      </w:r>
      <w:r w:rsidRPr="00C670DE" w:rsidR="00C670DE">
        <w:t> </w:t>
      </w:r>
      <w:r w:rsidRPr="00C670DE">
        <w:t>(a) of the Convention or inadmissible on any other grounds. It must therefore be declared admissible.</w:t>
      </w:r>
    </w:p>
    <w:p w:rsidRPr="00C670DE" w:rsidR="00AC18CD" w:rsidP="00C670DE" w14:paraId="0931CED3" w14:textId="77777777">
      <w:pPr>
        <w:pStyle w:val="JuHA"/>
      </w:pPr>
      <w:r w:rsidRPr="00C670DE">
        <w:t>Merits</w:t>
      </w:r>
    </w:p>
    <w:p w:rsidRPr="00C670DE" w:rsidR="00AC18CD" w:rsidP="00C670DE" w14:paraId="56D81FCF" w14:textId="44F5BD1C">
      <w:pPr>
        <w:ind w:firstLine="284"/>
        <w:jc w:val="both"/>
      </w:pPr>
      <w:r w:rsidRPr="00C670DE">
        <w:fldChar w:fldCharType="begin"/>
      </w:r>
      <w:r w:rsidRPr="00C670DE">
        <w:instrText xml:space="preserve"> SEQ level0 \*arabic </w:instrText>
      </w:r>
      <w:r w:rsidRPr="00C670DE">
        <w:fldChar w:fldCharType="separate"/>
      </w:r>
      <w:r w:rsidRPr="00C670DE" w:rsidR="00C670DE">
        <w:rPr>
          <w:noProof/>
        </w:rPr>
        <w:t>10</w:t>
      </w:r>
      <w:r w:rsidRPr="00C670DE">
        <w:fldChar w:fldCharType="end"/>
      </w:r>
      <w:r w:rsidRPr="00C670DE">
        <w:t xml:space="preserve">.  Although the criminal proceedings against the applicant were not formally conducted as proceedings </w:t>
      </w:r>
      <w:r w:rsidRPr="00C670DE">
        <w:rPr>
          <w:i/>
          <w:iCs/>
        </w:rPr>
        <w:t>in absentia</w:t>
      </w:r>
      <w:r w:rsidRPr="00C670DE">
        <w:t xml:space="preserve">, the applicant was effectively deprived of the possibility of participating in them on account of her absence from the respondent State. The general principles concerning trial </w:t>
      </w:r>
      <w:r w:rsidRPr="00C670DE">
        <w:rPr>
          <w:i/>
          <w:iCs/>
        </w:rPr>
        <w:t>in absentia</w:t>
      </w:r>
      <w:r w:rsidRPr="00C670DE">
        <w:t>, summarised in</w:t>
      </w:r>
      <w:r w:rsidRPr="00C670DE">
        <w:rPr>
          <w:i/>
        </w:rPr>
        <w:t xml:space="preserve"> </w:t>
      </w:r>
      <w:r w:rsidRPr="00C670DE">
        <w:rPr>
          <w:i/>
        </w:rPr>
        <w:t>Sejdovic</w:t>
      </w:r>
      <w:r w:rsidRPr="00C670DE">
        <w:rPr>
          <w:i/>
        </w:rPr>
        <w:t xml:space="preserve"> v.</w:t>
      </w:r>
      <w:r w:rsidRPr="00C670DE" w:rsidR="00C670DE">
        <w:rPr>
          <w:i/>
        </w:rPr>
        <w:t> </w:t>
      </w:r>
      <w:r w:rsidRPr="00C670DE">
        <w:rPr>
          <w:i/>
        </w:rPr>
        <w:t>Italy</w:t>
      </w:r>
      <w:r w:rsidRPr="00C670DE">
        <w:t xml:space="preserve"> ([GC], no.</w:t>
      </w:r>
      <w:r w:rsidRPr="00C670DE" w:rsidR="00C670DE">
        <w:t> </w:t>
      </w:r>
      <w:r w:rsidRPr="00C670DE">
        <w:t>56581/00, §§</w:t>
      </w:r>
      <w:r w:rsidRPr="00C670DE" w:rsidR="00C670DE">
        <w:t> </w:t>
      </w:r>
      <w:r w:rsidRPr="00C670DE">
        <w:t>81-95, ECHR</w:t>
      </w:r>
      <w:r w:rsidRPr="00C670DE" w:rsidR="00C670DE">
        <w:t xml:space="preserve"> </w:t>
      </w:r>
      <w:r w:rsidRPr="00C670DE">
        <w:t>2006</w:t>
      </w:r>
      <w:r w:rsidRPr="00C670DE">
        <w:noBreakHyphen/>
        <w:t>II), are therefore applicable. In particular, although proceedings that take place in the accused</w:t>
      </w:r>
      <w:r w:rsidRPr="00C670DE" w:rsidR="00C670DE">
        <w:t>’</w:t>
      </w:r>
      <w:r w:rsidRPr="00C670DE">
        <w:t xml:space="preserve">s absence are not of themselves incompatible with Article 6 of the Convention, a denial of justice nevertheless occurs where a person convicted </w:t>
      </w:r>
      <w:r w:rsidRPr="00C670DE">
        <w:rPr>
          <w:i/>
          <w:iCs/>
        </w:rPr>
        <w:t>in absentia</w:t>
      </w:r>
      <w:r w:rsidRPr="00C670DE">
        <w:t xml:space="preserve"> is unable subsequently to obtain from a court which has heard him a fresh determination of the merits of the charge, in respect of both law and fact, where it has not been established that he has waived his right to appear and to defend himself or that he intended to escape trial (</w:t>
      </w:r>
      <w:r w:rsidRPr="00C670DE">
        <w:rPr>
          <w:i/>
          <w:iCs/>
        </w:rPr>
        <w:t>ibid.</w:t>
      </w:r>
      <w:r w:rsidRPr="00C670DE">
        <w:t>, §</w:t>
      </w:r>
      <w:r w:rsidRPr="00C670DE" w:rsidR="00C670DE">
        <w:t> </w:t>
      </w:r>
      <w:r w:rsidRPr="00C670DE">
        <w:t>82).</w:t>
      </w:r>
    </w:p>
    <w:p w:rsidRPr="00C670DE" w:rsidR="00AC18CD" w:rsidP="00C670DE" w14:paraId="3CC48313" w14:textId="6477932C">
      <w:pPr>
        <w:pStyle w:val="JuPara"/>
      </w:pPr>
      <w:r>
        <w:fldChar w:fldCharType="begin"/>
      </w:r>
      <w:r>
        <w:instrText xml:space="preserve"> SEQ level0 \*arabic \* MERGEFORMAT </w:instrText>
      </w:r>
      <w:r>
        <w:fldChar w:fldCharType="separate"/>
      </w:r>
      <w:r w:rsidRPr="00C670DE" w:rsidR="00C670DE">
        <w:rPr>
          <w:noProof/>
        </w:rPr>
        <w:t>11</w:t>
      </w:r>
      <w:r w:rsidRPr="00C670DE" w:rsidR="00C670DE">
        <w:rPr>
          <w:noProof/>
        </w:rPr>
        <w:fldChar w:fldCharType="end"/>
      </w:r>
      <w:r w:rsidRPr="00C670DE">
        <w:t>.  The Court accepts that the penal order was lawfully imposed on the applicant in written proceedings which did not require her presence. However, the right to challenge that order was provided under domestic law. An admissible challenge to the order would have had the same effect as if the order had never existed and would have led to a hearing and a trial in summary criminal proceedings.</w:t>
      </w:r>
    </w:p>
    <w:p w:rsidRPr="00C670DE" w:rsidR="00AC18CD" w:rsidP="00C670DE" w14:paraId="604381EB" w14:textId="6C134AE7">
      <w:pPr>
        <w:pStyle w:val="JuPara"/>
      </w:pPr>
      <w:r>
        <w:fldChar w:fldCharType="begin"/>
      </w:r>
      <w:r>
        <w:instrText xml:space="preserve"> SEQ level0 \*arabic \* MERGEFORMAT </w:instrText>
      </w:r>
      <w:r>
        <w:fldChar w:fldCharType="separate"/>
      </w:r>
      <w:r w:rsidRPr="00C670DE" w:rsidR="00C670DE">
        <w:rPr>
          <w:noProof/>
        </w:rPr>
        <w:t>12</w:t>
      </w:r>
      <w:r w:rsidRPr="00C670DE" w:rsidR="00C670DE">
        <w:rPr>
          <w:noProof/>
        </w:rPr>
        <w:fldChar w:fldCharType="end"/>
      </w:r>
      <w:r w:rsidRPr="00C670DE">
        <w:t>.  The order was not served on the applicant, as the two attempts by the trial court to do so were unsuccessful. Both receipt slips indicated that she was in Germany. The publication of the order on the court</w:t>
      </w:r>
      <w:r w:rsidRPr="00C670DE" w:rsidR="00C670DE">
        <w:t>’</w:t>
      </w:r>
      <w:r w:rsidRPr="00C670DE">
        <w:t xml:space="preserve">s notice board, as </w:t>
      </w:r>
      <w:r w:rsidRPr="00C670DE">
        <w:t>required by law, could not have led to her acquiring knowledge of the order in these circumstances and by that time, the domestic authorities had already been aware of the applicant</w:t>
      </w:r>
      <w:r w:rsidRPr="00C670DE" w:rsidR="00C670DE">
        <w:t>’</w:t>
      </w:r>
      <w:r w:rsidRPr="00C670DE">
        <w:t>s absence from the country. As the court-appointed lawyer did not challenge the penal order, the applicant</w:t>
      </w:r>
      <w:r w:rsidRPr="00C670DE" w:rsidR="00C670DE">
        <w:t>’</w:t>
      </w:r>
      <w:r w:rsidRPr="00C670DE">
        <w:t>s conviction became final without her knowledge of the proceedings against her.</w:t>
      </w:r>
    </w:p>
    <w:p w:rsidRPr="00C670DE" w:rsidR="00AC18CD" w:rsidP="00C670DE" w14:paraId="49F7CA77" w14:textId="3EA97EBB">
      <w:pPr>
        <w:pStyle w:val="JuPara"/>
      </w:pPr>
      <w:r>
        <w:fldChar w:fldCharType="begin"/>
      </w:r>
      <w:r>
        <w:instrText xml:space="preserve"> SEQ level0 \*arabic \* MERGEFORMAT </w:instrText>
      </w:r>
      <w:r>
        <w:fldChar w:fldCharType="separate"/>
      </w:r>
      <w:r w:rsidRPr="00C670DE" w:rsidR="00C670DE">
        <w:rPr>
          <w:noProof/>
        </w:rPr>
        <w:t>13</w:t>
      </w:r>
      <w:r w:rsidRPr="00C670DE" w:rsidR="00C670DE">
        <w:rPr>
          <w:noProof/>
        </w:rPr>
        <w:fldChar w:fldCharType="end"/>
      </w:r>
      <w:r w:rsidRPr="00C670DE">
        <w:t>.  There are no indications that the applicant</w:t>
      </w:r>
      <w:r w:rsidRPr="00C670DE" w:rsidR="00C670DE">
        <w:t>’</w:t>
      </w:r>
      <w:r w:rsidRPr="00C670DE">
        <w:t>s absence was aimed at escaping trial. The Court is also not persuaded by the Government</w:t>
      </w:r>
      <w:r w:rsidRPr="00C670DE" w:rsidR="00C670DE">
        <w:t>’</w:t>
      </w:r>
      <w:r w:rsidRPr="00C670DE">
        <w:t xml:space="preserve">s argument that the applicant could have anticipated the criminal proceedings against her. Furthermore, she cannot be regarded as having tacitly waived her right to participate in the proceedings, because she was not aware of the criminal proceedings against her (contrast </w:t>
      </w:r>
      <w:r w:rsidRPr="00C670DE">
        <w:rPr>
          <w:i/>
        </w:rPr>
        <w:t>Medenica</w:t>
      </w:r>
      <w:r w:rsidRPr="00C670DE">
        <w:rPr>
          <w:i/>
        </w:rPr>
        <w:t xml:space="preserve"> v.</w:t>
      </w:r>
      <w:r w:rsidRPr="00C670DE" w:rsidR="00C670DE">
        <w:rPr>
          <w:i/>
        </w:rPr>
        <w:t> </w:t>
      </w:r>
      <w:r w:rsidRPr="00C670DE">
        <w:rPr>
          <w:i/>
        </w:rPr>
        <w:t>Switzerland</w:t>
      </w:r>
      <w:r w:rsidRPr="00C670DE">
        <w:t>, no.</w:t>
      </w:r>
      <w:r w:rsidRPr="00C670DE" w:rsidR="00C670DE">
        <w:t> </w:t>
      </w:r>
      <w:r w:rsidRPr="00C670DE">
        <w:t xml:space="preserve">20491/92, § 56 </w:t>
      </w:r>
      <w:r w:rsidRPr="00C670DE">
        <w:rPr>
          <w:i/>
          <w:iCs/>
        </w:rPr>
        <w:t>in initio</w:t>
      </w:r>
      <w:r w:rsidRPr="00C670DE">
        <w:t>, ECHR 2001</w:t>
      </w:r>
      <w:r w:rsidRPr="00C670DE">
        <w:noBreakHyphen/>
        <w:t xml:space="preserve">VI, and </w:t>
      </w:r>
      <w:r w:rsidRPr="00C670DE">
        <w:rPr>
          <w:i/>
        </w:rPr>
        <w:t>Mihelj</w:t>
      </w:r>
      <w:r w:rsidRPr="00C670DE">
        <w:rPr>
          <w:i/>
        </w:rPr>
        <w:t xml:space="preserve"> v.</w:t>
      </w:r>
      <w:r w:rsidRPr="00C670DE" w:rsidR="00C670DE">
        <w:rPr>
          <w:i/>
        </w:rPr>
        <w:t> </w:t>
      </w:r>
      <w:r w:rsidRPr="00C670DE">
        <w:rPr>
          <w:i/>
        </w:rPr>
        <w:t>Slovenia</w:t>
      </w:r>
      <w:r w:rsidRPr="00C670DE">
        <w:t>, no.</w:t>
      </w:r>
      <w:r w:rsidRPr="00C670DE" w:rsidR="00C670DE">
        <w:t> </w:t>
      </w:r>
      <w:r w:rsidRPr="00C670DE">
        <w:t>14204/07, §</w:t>
      </w:r>
      <w:r w:rsidRPr="00C670DE" w:rsidR="00C670DE">
        <w:t> </w:t>
      </w:r>
      <w:r w:rsidRPr="00C670DE">
        <w:t xml:space="preserve">39, 15 January 2015) until September 2017 (see paragraph </w:t>
      </w:r>
      <w:r w:rsidRPr="00C670DE">
        <w:fldChar w:fldCharType="begin"/>
      </w:r>
      <w:r w:rsidRPr="00C670DE">
        <w:instrText xml:space="preserve"> REF paragraph00003 \h  \* CharFormat </w:instrText>
      </w:r>
      <w:r w:rsidRPr="00C670DE">
        <w:fldChar w:fldCharType="separate"/>
      </w:r>
      <w:r w:rsidRPr="00C670DE" w:rsidR="00C670DE">
        <w:t>3</w:t>
      </w:r>
      <w:r w:rsidRPr="00C670DE">
        <w:fldChar w:fldCharType="end"/>
      </w:r>
      <w:r w:rsidRPr="00C670DE">
        <w:t xml:space="preserve"> above). While it is true that she failed to report her absence from the respondent State as required by the relevant domestic law, this was merely a minor administrative offence and cannot outweigh the prominent place which the right to a </w:t>
      </w:r>
      <w:r w:rsidRPr="00C670DE">
        <w:t>fair trial holds</w:t>
      </w:r>
      <w:r w:rsidRPr="00C670DE">
        <w:t xml:space="preserve"> in a democratic society (compare also </w:t>
      </w:r>
      <w:r w:rsidRPr="00C670DE">
        <w:rPr>
          <w:i/>
        </w:rPr>
        <w:t>Colozza</w:t>
      </w:r>
      <w:r w:rsidRPr="00C670DE">
        <w:rPr>
          <w:i/>
        </w:rPr>
        <w:t xml:space="preserve"> v.</w:t>
      </w:r>
      <w:r w:rsidRPr="00C670DE" w:rsidR="00C670DE">
        <w:rPr>
          <w:i/>
        </w:rPr>
        <w:t> </w:t>
      </w:r>
      <w:r w:rsidRPr="00C670DE">
        <w:rPr>
          <w:i/>
        </w:rPr>
        <w:t>Italy</w:t>
      </w:r>
      <w:r w:rsidRPr="00C670DE">
        <w:t>, 12</w:t>
      </w:r>
      <w:r w:rsidRPr="00C670DE" w:rsidR="00C670DE">
        <w:t> </w:t>
      </w:r>
      <w:r w:rsidRPr="00C670DE">
        <w:t>February 1985, § 32, Series</w:t>
      </w:r>
      <w:r w:rsidRPr="00C670DE" w:rsidR="00C670DE">
        <w:t> </w:t>
      </w:r>
      <w:r w:rsidRPr="00C670DE">
        <w:t>A no.</w:t>
      </w:r>
      <w:r w:rsidRPr="00C670DE" w:rsidR="00C670DE">
        <w:t> </w:t>
      </w:r>
      <w:r w:rsidRPr="00C670DE">
        <w:t>89). Her continued failure to report her place of residence to the administrative authorities is of no relevance, as she informed the trial court of her residence in Germany in her request for the reopening of the proceedings.</w:t>
      </w:r>
    </w:p>
    <w:p w:rsidRPr="00C670DE" w:rsidR="00AC18CD" w:rsidP="00C670DE" w14:paraId="3E294257" w14:textId="61DE2719">
      <w:pPr>
        <w:pStyle w:val="JuPara"/>
      </w:pPr>
      <w:r>
        <w:fldChar w:fldCharType="begin"/>
      </w:r>
      <w:r>
        <w:instrText xml:space="preserve"> SEQ level0 \*arabic \* MERGEFORMAT </w:instrText>
      </w:r>
      <w:r>
        <w:fldChar w:fldCharType="separate"/>
      </w:r>
      <w:bookmarkStart w:name="paragraph00015" w:id="3"/>
      <w:r w:rsidRPr="00C670DE" w:rsidR="00C670DE">
        <w:rPr>
          <w:noProof/>
        </w:rPr>
        <w:t>14</w:t>
      </w:r>
      <w:bookmarkEnd w:id="3"/>
      <w:r>
        <w:fldChar w:fldCharType="end"/>
      </w:r>
      <w:r w:rsidRPr="00C670DE">
        <w:t>.  </w:t>
      </w:r>
      <w:r w:rsidRPr="00C670DE">
        <w:rPr>
          <w:rFonts w:cstheme="minorHAnsi"/>
        </w:rPr>
        <w:t xml:space="preserve">As to </w:t>
      </w:r>
      <w:r w:rsidRPr="00C670DE">
        <w:rPr>
          <w:rFonts w:cstheme="minorHAnsi"/>
          <w:color w:val="000000"/>
        </w:rPr>
        <w:t>whether the domestic legislation afforded the applicant with sufficient certainty the opportunity of appearing at a new trial</w:t>
      </w:r>
      <w:r w:rsidRPr="00C670DE">
        <w:rPr>
          <w:rFonts w:cstheme="minorHAnsi"/>
        </w:rPr>
        <w:t xml:space="preserve"> (see </w:t>
      </w:r>
      <w:r w:rsidRPr="00C670DE">
        <w:rPr>
          <w:rFonts w:cstheme="minorHAnsi"/>
          <w:i/>
          <w:iCs/>
        </w:rPr>
        <w:t>Sejdovic</w:t>
      </w:r>
      <w:r w:rsidRPr="00C670DE">
        <w:rPr>
          <w:rFonts w:cstheme="minorHAnsi"/>
          <w:i/>
          <w:iCs/>
        </w:rPr>
        <w:t xml:space="preserve">, </w:t>
      </w:r>
      <w:r w:rsidRPr="00C670DE">
        <w:rPr>
          <w:rFonts w:cstheme="minorHAnsi"/>
        </w:rPr>
        <w:t xml:space="preserve">cited above, </w:t>
      </w:r>
      <w:r w:rsidRPr="00C670DE">
        <w:t>§ 101</w:t>
      </w:r>
      <w:r w:rsidRPr="00C670DE">
        <w:rPr>
          <w:rFonts w:cstheme="minorHAnsi"/>
        </w:rPr>
        <w:t xml:space="preserve">), given that the order was never served on her </w:t>
      </w:r>
      <w:r w:rsidRPr="00C670DE">
        <w:t xml:space="preserve">the applicant was precluded from challenging it and, it appears, was also precluded from seeking </w:t>
      </w:r>
      <w:r w:rsidRPr="00C670DE">
        <w:rPr>
          <w:i/>
          <w:iCs/>
        </w:rPr>
        <w:t xml:space="preserve">restitutio in integrum </w:t>
      </w:r>
      <w:r w:rsidRPr="00C670DE">
        <w:t>under the relevant section of the Criminal Procedure Act. Furthermore, the applicant</w:t>
      </w:r>
      <w:r w:rsidRPr="00C670DE" w:rsidR="00C670DE">
        <w:t>’</w:t>
      </w:r>
      <w:r w:rsidRPr="00C670DE">
        <w:t xml:space="preserve">s request for reopening of the proceedings was to no avail (see paragraph </w:t>
      </w:r>
      <w:r w:rsidRPr="00C670DE">
        <w:fldChar w:fldCharType="begin"/>
      </w:r>
      <w:r w:rsidRPr="00C670DE">
        <w:instrText xml:space="preserve"> REF paragraph00004 \h  \* CharFormat </w:instrText>
      </w:r>
      <w:r w:rsidRPr="00C670DE">
        <w:fldChar w:fldCharType="separate"/>
      </w:r>
      <w:r w:rsidRPr="00C670DE" w:rsidR="00C670DE">
        <w:t>4</w:t>
      </w:r>
      <w:r w:rsidRPr="00C670DE">
        <w:fldChar w:fldCharType="end"/>
      </w:r>
      <w:r w:rsidRPr="00C670DE">
        <w:t xml:space="preserve"> above). It cannot be held against her that the court-appointed lawyer failed to challenge the penal order. The Government did not substantiate with any examples of domestic case-law their argument that a separate action brought by the applicant against the lawyer, on which she could have hypothetically relied in a subsequent request for a retrial, would have been effective (see, </w:t>
      </w:r>
      <w:r w:rsidRPr="00C670DE">
        <w:rPr>
          <w:i/>
          <w:iCs/>
        </w:rPr>
        <w:t>mutatis mutandis</w:t>
      </w:r>
      <w:r w:rsidRPr="00C670DE">
        <w:t>,</w:t>
      </w:r>
      <w:r w:rsidRPr="00C670DE">
        <w:rPr>
          <w:i/>
          <w:iCs/>
        </w:rPr>
        <w:t xml:space="preserve"> </w:t>
      </w:r>
      <w:r w:rsidRPr="00C670DE">
        <w:rPr>
          <w:i/>
        </w:rPr>
        <w:t>Vasilevski</w:t>
      </w:r>
      <w:r w:rsidRPr="00C670DE">
        <w:rPr>
          <w:i/>
        </w:rPr>
        <w:t xml:space="preserve"> v.</w:t>
      </w:r>
      <w:r w:rsidRPr="00C670DE" w:rsidR="00400110">
        <w:rPr>
          <w:i/>
        </w:rPr>
        <w:t> </w:t>
      </w:r>
      <w:r w:rsidRPr="00C670DE">
        <w:rPr>
          <w:i/>
        </w:rPr>
        <w:t>the former Yugoslav Republic of Macedonia</w:t>
      </w:r>
      <w:r w:rsidRPr="00C670DE">
        <w:t>, no.</w:t>
      </w:r>
      <w:r w:rsidRPr="00C670DE" w:rsidR="00C670DE">
        <w:t> </w:t>
      </w:r>
      <w:r w:rsidRPr="00C670DE">
        <w:t>22653/08, §</w:t>
      </w:r>
      <w:r w:rsidRPr="00C670DE" w:rsidR="00C670DE">
        <w:t> </w:t>
      </w:r>
      <w:r w:rsidRPr="00C670DE">
        <w:t>59, 28</w:t>
      </w:r>
      <w:r w:rsidRPr="00C670DE" w:rsidR="00400110">
        <w:t> </w:t>
      </w:r>
      <w:r w:rsidRPr="00C670DE">
        <w:t>April</w:t>
      </w:r>
      <w:r w:rsidRPr="00C670DE" w:rsidR="00C670DE">
        <w:t xml:space="preserve"> </w:t>
      </w:r>
      <w:r w:rsidRPr="00C670DE">
        <w:t>2016).</w:t>
      </w:r>
    </w:p>
    <w:p w:rsidRPr="00C670DE" w:rsidR="00AC18CD" w:rsidP="00C670DE" w14:paraId="4B3CA845" w14:textId="141837A0">
      <w:pPr>
        <w:pStyle w:val="JuPara"/>
        <w:rPr>
          <w:rFonts w:cstheme="minorHAnsi"/>
          <w:color w:val="000000"/>
        </w:rPr>
      </w:pPr>
      <w:r>
        <w:fldChar w:fldCharType="begin"/>
      </w:r>
      <w:r>
        <w:instrText xml:space="preserve"> SEQ level0 \*arabic \* MERGEFORMAT </w:instrText>
      </w:r>
      <w:r>
        <w:fldChar w:fldCharType="separate"/>
      </w:r>
      <w:r w:rsidRPr="00C670DE" w:rsidR="00C670DE">
        <w:rPr>
          <w:noProof/>
        </w:rPr>
        <w:t>15</w:t>
      </w:r>
      <w:r w:rsidRPr="00C670DE" w:rsidR="00C670DE">
        <w:rPr>
          <w:noProof/>
        </w:rPr>
        <w:fldChar w:fldCharType="end"/>
      </w:r>
      <w:r w:rsidRPr="00C670DE">
        <w:t>.  </w:t>
      </w:r>
      <w:r w:rsidRPr="00C670DE">
        <w:rPr>
          <w:rFonts w:cstheme="minorHAnsi"/>
          <w:color w:val="000000"/>
        </w:rPr>
        <w:t xml:space="preserve">In conclusion, the applicant, who was tried </w:t>
      </w:r>
      <w:r w:rsidRPr="00C670DE">
        <w:rPr>
          <w:rFonts w:cstheme="minorHAnsi"/>
          <w:i/>
          <w:iCs/>
          <w:color w:val="000000"/>
        </w:rPr>
        <w:t>in absentia</w:t>
      </w:r>
      <w:r w:rsidRPr="00C670DE">
        <w:rPr>
          <w:rFonts w:cstheme="minorHAnsi"/>
          <w:color w:val="000000"/>
        </w:rPr>
        <w:t xml:space="preserve"> and did not seek to escape trial or unequivocally waive her right to appear in court, was not afforded with sufficient certainty the opportunity to obtain a fresh determination by a court of the merits of the charges against her with her defence rights fully respected (compare also</w:t>
      </w:r>
      <w:r w:rsidRPr="00C670DE">
        <w:rPr>
          <w:i/>
        </w:rPr>
        <w:t xml:space="preserve"> Sanader v.</w:t>
      </w:r>
      <w:r w:rsidRPr="00C670DE" w:rsidR="00C670DE">
        <w:rPr>
          <w:i/>
        </w:rPr>
        <w:t> </w:t>
      </w:r>
      <w:r w:rsidRPr="00C670DE">
        <w:rPr>
          <w:i/>
        </w:rPr>
        <w:t>Croatia</w:t>
      </w:r>
      <w:r w:rsidRPr="00C670DE">
        <w:t>, cited above, §</w:t>
      </w:r>
      <w:r w:rsidRPr="00C670DE" w:rsidR="00C670DE">
        <w:t> </w:t>
      </w:r>
      <w:r w:rsidRPr="00C670DE">
        <w:t>95</w:t>
      </w:r>
      <w:r w:rsidRPr="00C670DE">
        <w:rPr>
          <w:rFonts w:cstheme="minorHAnsi"/>
          <w:color w:val="000000"/>
        </w:rPr>
        <w:t>).</w:t>
      </w:r>
    </w:p>
    <w:p w:rsidRPr="00C670DE" w:rsidR="00AC18CD" w:rsidP="00C670DE" w14:paraId="0EAF7254" w14:textId="533543D5">
      <w:pPr>
        <w:pStyle w:val="JuPara"/>
      </w:pPr>
      <w:r w:rsidRPr="00C670DE">
        <w:fldChar w:fldCharType="begin"/>
      </w:r>
      <w:r w:rsidRPr="00C670DE">
        <w:instrText xml:space="preserve"> SEQ level0 \*arabic </w:instrText>
      </w:r>
      <w:r w:rsidRPr="00C670DE">
        <w:fldChar w:fldCharType="separate"/>
      </w:r>
      <w:r w:rsidRPr="00C670DE" w:rsidR="00C670DE">
        <w:rPr>
          <w:noProof/>
        </w:rPr>
        <w:t>16</w:t>
      </w:r>
      <w:r w:rsidRPr="00C670DE">
        <w:fldChar w:fldCharType="end"/>
      </w:r>
      <w:r w:rsidRPr="00C670DE">
        <w:t>.  There has accordingly been a violation of Article 6</w:t>
      </w:r>
      <w:r w:rsidRPr="00C670DE" w:rsidR="00C670DE">
        <w:t> </w:t>
      </w:r>
      <w:r w:rsidRPr="00C670DE">
        <w:t>§</w:t>
      </w:r>
      <w:r w:rsidRPr="00C670DE" w:rsidR="00C670DE">
        <w:t> </w:t>
      </w:r>
      <w:r w:rsidRPr="00C670DE">
        <w:t>1 of the Convention.</w:t>
      </w:r>
    </w:p>
    <w:p w:rsidRPr="00C670DE" w:rsidR="00AC18CD" w:rsidP="00C670DE" w14:paraId="7BC1ACA5" w14:textId="2453554E">
      <w:pPr>
        <w:pStyle w:val="JuHIRoman"/>
      </w:pPr>
      <w:r w:rsidRPr="00C670DE">
        <w:t>OTHER COMPLAINTS</w:t>
      </w:r>
    </w:p>
    <w:p w:rsidRPr="00C670DE" w:rsidR="00AC18CD" w:rsidP="00C670DE" w14:paraId="5009359E" w14:textId="40EE181F">
      <w:pPr>
        <w:pStyle w:val="JuPara"/>
      </w:pPr>
      <w:r>
        <w:fldChar w:fldCharType="begin"/>
      </w:r>
      <w:r>
        <w:instrText xml:space="preserve"> SEQ level0 \*arabic \* MERGEFORMAT </w:instrText>
      </w:r>
      <w:r>
        <w:fldChar w:fldCharType="separate"/>
      </w:r>
      <w:r w:rsidRPr="00C670DE" w:rsidR="00C670DE">
        <w:rPr>
          <w:noProof/>
        </w:rPr>
        <w:t>17</w:t>
      </w:r>
      <w:r w:rsidRPr="00C670DE" w:rsidR="00C670DE">
        <w:rPr>
          <w:noProof/>
        </w:rPr>
        <w:fldChar w:fldCharType="end"/>
      </w:r>
      <w:r w:rsidRPr="00C670DE">
        <w:t>.  The applicant raised further complaints under Article</w:t>
      </w:r>
      <w:r w:rsidRPr="00C670DE" w:rsidR="00C670DE">
        <w:t> </w:t>
      </w:r>
      <w:r w:rsidRPr="00C670DE">
        <w:t>6 of the Convention about alleged violations of the principle of equality of arms and the right to adversarial proceedings, of her right to be present at the trial and of the presumption of innocence.</w:t>
      </w:r>
    </w:p>
    <w:p w:rsidRPr="00C670DE" w:rsidR="00AC18CD" w:rsidP="00C670DE" w14:paraId="0C5ADC06" w14:textId="5E5A543A">
      <w:pPr>
        <w:pStyle w:val="JuPara"/>
      </w:pPr>
      <w:r>
        <w:fldChar w:fldCharType="begin"/>
      </w:r>
      <w:r>
        <w:instrText xml:space="preserve"> SEQ level0 \*arabic \* MERGEFORMAT </w:instrText>
      </w:r>
      <w:r>
        <w:fldChar w:fldCharType="separate"/>
      </w:r>
      <w:r w:rsidRPr="00C670DE" w:rsidR="00C670DE">
        <w:rPr>
          <w:noProof/>
        </w:rPr>
        <w:t>18</w:t>
      </w:r>
      <w:r w:rsidRPr="00C670DE" w:rsidR="00C670DE">
        <w:rPr>
          <w:noProof/>
        </w:rPr>
        <w:fldChar w:fldCharType="end"/>
      </w:r>
      <w:r w:rsidRPr="00C670DE">
        <w:t>.  Having regard to its findings above, the Court considers that it has examined the main legal questions raised in the present application. It thus considers there is no need to give a separate ruling on the applicant</w:t>
      </w:r>
      <w:r w:rsidRPr="00C670DE" w:rsidR="00C670DE">
        <w:t>’</w:t>
      </w:r>
      <w:r w:rsidRPr="00C670DE">
        <w:t>s remaining complaints (see</w:t>
      </w:r>
      <w:r w:rsidRPr="00C670DE" w:rsidR="00C670DE">
        <w:t xml:space="preserve"> </w:t>
      </w:r>
      <w:r w:rsidRPr="00C670DE">
        <w:rPr>
          <w:i/>
          <w:iCs/>
        </w:rPr>
        <w:t xml:space="preserve">Centre for Legal Resources on behalf of Valentin </w:t>
      </w:r>
      <w:r w:rsidRPr="00C670DE">
        <w:rPr>
          <w:i/>
          <w:iCs/>
        </w:rPr>
        <w:t>Câmpeanu</w:t>
      </w:r>
      <w:r w:rsidRPr="00C670DE">
        <w:rPr>
          <w:i/>
          <w:iCs/>
        </w:rPr>
        <w:t xml:space="preserve"> v. Romania</w:t>
      </w:r>
      <w:r w:rsidRPr="00C670DE">
        <w:t> [GC], no. 47848/08, § 156, ECHR 2014).</w:t>
      </w:r>
    </w:p>
    <w:p w:rsidRPr="00C670DE" w:rsidR="00AC18CD" w:rsidP="00C670DE" w14:paraId="14B77BB1" w14:textId="77777777">
      <w:pPr>
        <w:pStyle w:val="JuHHead"/>
      </w:pPr>
      <w:r w:rsidRPr="00C670DE">
        <w:rPr>
          <w:caps w:val="0"/>
        </w:rPr>
        <w:t>APPLICATION OF ARTICLE 41 OF THE CONVENTION</w:t>
      </w:r>
    </w:p>
    <w:p w:rsidRPr="00C670DE" w:rsidR="00AC18CD" w:rsidP="00C670DE" w14:paraId="5E1100E7" w14:textId="4FCF5F67">
      <w:pPr>
        <w:pStyle w:val="JuPara"/>
      </w:pPr>
      <w:r>
        <w:fldChar w:fldCharType="begin"/>
      </w:r>
      <w:r>
        <w:instrText xml:space="preserve"> SEQ level0 \*arabic \* MERGEFORMAT </w:instrText>
      </w:r>
      <w:r>
        <w:fldChar w:fldCharType="separate"/>
      </w:r>
      <w:r w:rsidRPr="00C670DE" w:rsidR="00C670DE">
        <w:rPr>
          <w:noProof/>
        </w:rPr>
        <w:t>19</w:t>
      </w:r>
      <w:r w:rsidRPr="00C670DE" w:rsidR="00C670DE">
        <w:rPr>
          <w:noProof/>
        </w:rPr>
        <w:fldChar w:fldCharType="end"/>
      </w:r>
      <w:r w:rsidRPr="00C670DE">
        <w:t>.  The applicant did not submit a claim for just satisfaction. Accordingly, the Court considers that there is no call to make any award on that account.</w:t>
      </w:r>
    </w:p>
    <w:p w:rsidRPr="00C670DE" w:rsidR="00AC18CD" w:rsidP="00C670DE" w14:paraId="4D5C8252" w14:textId="7A3D5BCC">
      <w:pPr>
        <w:pStyle w:val="JuHHead"/>
      </w:pPr>
      <w:r w:rsidRPr="00C670DE">
        <w:t>FOR THESE REASONS, THE COURT, UNANIMOUSLY,</w:t>
      </w:r>
    </w:p>
    <w:p w:rsidRPr="00C670DE" w:rsidR="00AC18CD" w:rsidP="00C670DE" w14:paraId="71006CE9" w14:textId="1734FDE3">
      <w:pPr>
        <w:pStyle w:val="JuList"/>
        <w:numPr>
          <w:ilvl w:val="0"/>
          <w:numId w:val="1"/>
        </w:numPr>
      </w:pPr>
      <w:r w:rsidRPr="00C670DE">
        <w:rPr>
          <w:i/>
        </w:rPr>
        <w:t>Declares</w:t>
      </w:r>
      <w:r w:rsidRPr="00C670DE">
        <w:t xml:space="preserve"> the complaint concerning the applicant</w:t>
      </w:r>
      <w:r w:rsidRPr="00C670DE" w:rsidR="00C670DE">
        <w:t>’</w:t>
      </w:r>
      <w:r w:rsidRPr="00C670DE">
        <w:t xml:space="preserve">s trial </w:t>
      </w:r>
      <w:r w:rsidRPr="00C670DE">
        <w:rPr>
          <w:i/>
          <w:iCs/>
        </w:rPr>
        <w:t>in absentia</w:t>
      </w:r>
      <w:r w:rsidRPr="00C670DE">
        <w:t xml:space="preserve"> admissible;</w:t>
      </w:r>
    </w:p>
    <w:p w:rsidRPr="00C670DE" w:rsidR="00AC18CD" w:rsidP="00C670DE" w14:paraId="16D408EA" w14:textId="04CE0E31">
      <w:pPr>
        <w:pStyle w:val="JuList"/>
      </w:pPr>
      <w:r w:rsidRPr="00C670DE">
        <w:rPr>
          <w:i/>
        </w:rPr>
        <w:t>Holds</w:t>
      </w:r>
      <w:r w:rsidRPr="00C670DE">
        <w:t xml:space="preserve"> that there has been a violation of Article 6 § 1 of the Convention on account of the applicant</w:t>
      </w:r>
      <w:r w:rsidRPr="00C670DE" w:rsidR="00C670DE">
        <w:t>’</w:t>
      </w:r>
      <w:r w:rsidRPr="00C670DE">
        <w:t>s inability to obtain a retrial after her conviction in her absence;</w:t>
      </w:r>
    </w:p>
    <w:p w:rsidRPr="00C670DE" w:rsidR="004D0EC7" w:rsidP="00C670DE" w14:paraId="34794F21" w14:textId="71103BD3">
      <w:pPr>
        <w:pStyle w:val="JuList"/>
      </w:pPr>
      <w:r w:rsidRPr="00C670DE">
        <w:rPr>
          <w:i/>
          <w:iCs/>
        </w:rPr>
        <w:t>Holds</w:t>
      </w:r>
      <w:r w:rsidRPr="00C670DE">
        <w:t xml:space="preserve"> that there is no need to examine the remaining complaints under Article 6 of the Convention.</w:t>
      </w:r>
    </w:p>
    <w:p w:rsidRPr="00C670DE" w:rsidR="008E3A08" w:rsidP="00C670DE" w14:paraId="2CDD80DA" w14:textId="54E9ECAD">
      <w:pPr>
        <w:pStyle w:val="JuParaLast"/>
      </w:pPr>
      <w:r w:rsidRPr="00C670DE">
        <w:t xml:space="preserve">Done in English, and notified in writing on </w:t>
      </w:r>
      <w:r w:rsidRPr="00C670DE" w:rsidR="00AC18CD">
        <w:rPr>
          <w:rFonts w:ascii="Times New Roman" w:hAnsi="Times New Roman" w:cs="Times New Roman"/>
        </w:rPr>
        <w:t>4 April 2023</w:t>
      </w:r>
      <w:r w:rsidRPr="00C670DE">
        <w:t>, pursuant to Rule 77 §§ 2 and 3 of the Rules of Court.</w:t>
      </w:r>
    </w:p>
    <w:p w:rsidRPr="00C670DE" w:rsidR="008B092C" w:rsidP="00C670DE" w14:paraId="48A4F932" w14:textId="44945979">
      <w:pPr>
        <w:pStyle w:val="ECHRPlaceholder"/>
        <w:rPr>
          <w:szCs w:val="22"/>
        </w:rPr>
      </w:pPr>
      <w:r w:rsidRPr="00C670DE">
        <w:tab/>
      </w:r>
    </w:p>
    <w:p w:rsidRPr="00C670DE" w:rsidR="001C055B" w:rsidP="00C670DE" w14:paraId="7BF8D05F" w14:textId="37D96313">
      <w:pPr>
        <w:pStyle w:val="JuSigned"/>
      </w:pPr>
      <w:r w:rsidRPr="00C670DE">
        <w:tab/>
      </w:r>
      <w:r w:rsidRPr="00C670DE" w:rsidR="00AC18CD">
        <w:rPr>
          <w:noProof/>
        </w:rPr>
        <w:t>Dorothee von Arnim</w:t>
      </w:r>
      <w:r w:rsidRPr="00C670DE" w:rsidR="005879A2">
        <w:t xml:space="preserve"> </w:t>
      </w:r>
      <w:r w:rsidRPr="00C670DE" w:rsidR="009F4C8F">
        <w:tab/>
      </w:r>
      <w:r w:rsidRPr="00C670DE" w:rsidR="00AC18CD">
        <w:rPr>
          <w:noProof/>
        </w:rPr>
        <w:t>Lorraine Schembri Orland</w:t>
      </w:r>
      <w:r w:rsidRPr="00C670DE" w:rsidR="009F4C8F">
        <w:br/>
      </w:r>
      <w:r w:rsidRPr="00C670DE" w:rsidR="009F4C8F">
        <w:tab/>
      </w:r>
      <w:r w:rsidRPr="00C670DE" w:rsidR="00AC18CD">
        <w:rPr>
          <w:noProof/>
        </w:rPr>
        <w:t xml:space="preserve">Deputy </w:t>
      </w:r>
      <w:r w:rsidRPr="00C670DE" w:rsidR="00AC18CD">
        <w:rPr>
          <w:iCs/>
          <w:noProof/>
        </w:rPr>
        <w:t>Registrar</w:t>
      </w:r>
      <w:r w:rsidRPr="00C670DE" w:rsidR="009F4C8F">
        <w:tab/>
        <w:t>President</w:t>
      </w:r>
    </w:p>
    <w:sectPr w:rsidSect="007D3701">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C18CD" w14:paraId="17872970"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C18CD" w:rsidRPr="00150BFA" w:rsidP="0020718E" w14:paraId="387A2321" w14:textId="7172DEF0">
    <w:pPr>
      <w:jc w:val="center"/>
    </w:pPr>
    <w:r>
      <w:rPr>
        <w:noProof/>
        <w:lang w:val="en-US"/>
      </w:rPr>
      <w:drawing>
        <wp:inline distT="0" distB="0" distL="0" distR="0">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AC18CD" w:rsidP="00AF12C5" w14:paraId="64330324" w14:textId="19B936AA">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C18CD" w:rsidRPr="00150BFA" w:rsidP="0020718E" w14:paraId="6427CED0" w14:textId="462B447D">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AC18CD" w:rsidP="009E7A6F" w14:paraId="50CFCFB9" w14:textId="722D127D">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299B38E5" w14:textId="49218839">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0B7195" w:rsidP="007D3701" w14:paraId="0556CC44" w14:textId="227D97B3">
    <w:pPr>
      <w:pStyle w:val="JuHeader"/>
    </w:pPr>
    <w:r>
      <w:fldChar w:fldCharType="begin"/>
    </w:r>
    <w:r>
      <w:instrText xml:space="preserve"> PAGE </w:instrText>
    </w:r>
    <w:r>
      <w:fldChar w:fldCharType="separate"/>
    </w:r>
    <w:r>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C18CD" w14:paraId="11EF2CA9"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C18CD" w:rsidRPr="00A45145" w:rsidP="00A45145" w14:paraId="024EA292" w14:textId="33069034">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AC18CD" w:rsidP="00B14793" w14:paraId="0DCFAE30" w14:textId="4ED09590">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C18CD" w:rsidRPr="00A45145" w:rsidP="00A45145" w14:paraId="686678EC" w14:textId="0CBA9EEC">
    <w:pPr>
      <w:jc w:val="center"/>
    </w:pPr>
    <w:r>
      <w:rPr>
        <w:noProof/>
        <w:lang w:val="en-US"/>
      </w:rPr>
      <w:drawing>
        <wp:inline distT="0" distB="0" distL="0" distR="0">
          <wp:extent cx="2962275" cy="1219200"/>
          <wp:effectExtent l="0" t="0" r="9525" b="0"/>
          <wp:docPr id="39" name="Picture 3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AC18CD" w14:paraId="12D2B103" w14:textId="583F3AAB"/>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3A24F2FB" w14:textId="32A4226B">
    <w:pPr>
      <w:pStyle w:val="JuHeader"/>
    </w:pPr>
    <w:r>
      <w:t>DIMCHEVSKA v. NORTH MACEDONIA</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882CD5" w:rsidP="007D3701" w14:paraId="71F0576F" w14:textId="255E22AE">
    <w:pPr>
      <w:pStyle w:val="JuHeader"/>
    </w:pPr>
    <w:r>
      <w:t>DIMCHEVSKA v. NORTH MACEDONIA</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16cid:durableId="37365695">
    <w:abstractNumId w:val="9"/>
  </w:num>
  <w:num w:numId="2" w16cid:durableId="101195626">
    <w:abstractNumId w:val="14"/>
  </w:num>
  <w:num w:numId="3" w16cid:durableId="1244023190">
    <w:abstractNumId w:val="12"/>
  </w:num>
  <w:num w:numId="4" w16cid:durableId="826091582">
    <w:abstractNumId w:val="11"/>
  </w:num>
  <w:num w:numId="5" w16cid:durableId="56979976">
    <w:abstractNumId w:val="17"/>
  </w:num>
  <w:num w:numId="6" w16cid:durableId="4523060">
    <w:abstractNumId w:val="7"/>
  </w:num>
  <w:num w:numId="7" w16cid:durableId="2103606505">
    <w:abstractNumId w:val="6"/>
  </w:num>
  <w:num w:numId="8" w16cid:durableId="1128661940">
    <w:abstractNumId w:val="5"/>
  </w:num>
  <w:num w:numId="9" w16cid:durableId="806513338">
    <w:abstractNumId w:val="4"/>
  </w:num>
  <w:num w:numId="10" w16cid:durableId="685058845">
    <w:abstractNumId w:val="8"/>
  </w:num>
  <w:num w:numId="11" w16cid:durableId="1040478508">
    <w:abstractNumId w:val="3"/>
  </w:num>
  <w:num w:numId="12" w16cid:durableId="1661423085">
    <w:abstractNumId w:val="2"/>
  </w:num>
  <w:num w:numId="13" w16cid:durableId="1140609682">
    <w:abstractNumId w:val="1"/>
  </w:num>
  <w:num w:numId="14" w16cid:durableId="1700277233">
    <w:abstractNumId w:val="0"/>
  </w:num>
  <w:num w:numId="15" w16cid:durableId="57945173">
    <w:abstractNumId w:val="15"/>
  </w:num>
  <w:num w:numId="16" w16cid:durableId="1812401880">
    <w:abstractNumId w:val="13"/>
  </w:num>
  <w:num w:numId="17" w16cid:durableId="824664567">
    <w:abstractNumId w:val="16"/>
  </w:num>
  <w:num w:numId="18" w16cid:durableId="1433090580">
    <w:abstractNumId w:val="15"/>
  </w:num>
  <w:num w:numId="19" w16cid:durableId="1427266187">
    <w:abstractNumId w:val="16"/>
  </w:num>
  <w:num w:numId="20" w16cid:durableId="695037193">
    <w:abstractNumId w:val="10"/>
  </w:num>
  <w:num w:numId="21" w16cid:durableId="1022321439">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8CD"/>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9DE"/>
    <w:rsid w:val="001E6F32"/>
    <w:rsid w:val="001F2145"/>
    <w:rsid w:val="001F6262"/>
    <w:rsid w:val="001F67B0"/>
    <w:rsid w:val="001F7B3D"/>
    <w:rsid w:val="00202752"/>
    <w:rsid w:val="0020335A"/>
    <w:rsid w:val="002052BC"/>
    <w:rsid w:val="00205F9F"/>
    <w:rsid w:val="0020718E"/>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0110"/>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65CAD"/>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18CD"/>
    <w:rsid w:val="00AC4CD4"/>
    <w:rsid w:val="00AE0A2E"/>
    <w:rsid w:val="00AE354C"/>
    <w:rsid w:val="00AF12C5"/>
    <w:rsid w:val="00AF4B07"/>
    <w:rsid w:val="00AF6186"/>
    <w:rsid w:val="00AF7A3A"/>
    <w:rsid w:val="00B02587"/>
    <w:rsid w:val="00B049D1"/>
    <w:rsid w:val="00B14793"/>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0870"/>
    <w:rsid w:val="00C32E4D"/>
    <w:rsid w:val="00C333A0"/>
    <w:rsid w:val="00C36A81"/>
    <w:rsid w:val="00C41974"/>
    <w:rsid w:val="00C44A2C"/>
    <w:rsid w:val="00C44F09"/>
    <w:rsid w:val="00C477F7"/>
    <w:rsid w:val="00C509A6"/>
    <w:rsid w:val="00C53F4A"/>
    <w:rsid w:val="00C54125"/>
    <w:rsid w:val="00C55B54"/>
    <w:rsid w:val="00C6098E"/>
    <w:rsid w:val="00C6152C"/>
    <w:rsid w:val="00C670DE"/>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4888"/>
    <w:rsid w:val="00D7488B"/>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262D"/>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5F26"/>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7E"/>
    <w:rsid w:val="00FF7FF0"/>
  </w:rsids>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0"/>
    <w:docVar w:name="SignForeName" w:val="0"/>
    <w:docVar w:name="SndCaseNumber" w:val="Error!Nodocumentvariablesupplied."/>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0BA57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C670DE"/>
    <w:rPr>
      <w:sz w:val="24"/>
      <w:szCs w:val="24"/>
      <w:lang w:val="en-GB"/>
    </w:rPr>
  </w:style>
  <w:style w:type="paragraph" w:styleId="Heading1">
    <w:name w:val="heading 1"/>
    <w:basedOn w:val="Normal"/>
    <w:next w:val="Normal"/>
    <w:link w:val="Heading1Char"/>
    <w:uiPriority w:val="98"/>
    <w:semiHidden/>
    <w:rsid w:val="00C670DE"/>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C670DE"/>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C670DE"/>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C670DE"/>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C670DE"/>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C670DE"/>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C670DE"/>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C670DE"/>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C670DE"/>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rsid w:val="00C670D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670DE"/>
  </w:style>
  <w:style w:type="paragraph" w:styleId="BalloonText">
    <w:name w:val="Balloon Text"/>
    <w:basedOn w:val="Normal"/>
    <w:link w:val="BalloonTextChar"/>
    <w:uiPriority w:val="98"/>
    <w:semiHidden/>
    <w:rsid w:val="00C670DE"/>
    <w:rPr>
      <w:rFonts w:ascii="Tahoma" w:hAnsi="Tahoma" w:cs="Tahoma"/>
      <w:sz w:val="16"/>
      <w:szCs w:val="16"/>
    </w:rPr>
  </w:style>
  <w:style w:type="character" w:customStyle="1" w:styleId="BalloonTextChar">
    <w:name w:val="Balloon Text Char"/>
    <w:basedOn w:val="DefaultParagraphFont"/>
    <w:link w:val="BalloonText"/>
    <w:uiPriority w:val="98"/>
    <w:semiHidden/>
    <w:rsid w:val="00C670DE"/>
    <w:rPr>
      <w:rFonts w:ascii="Tahoma" w:hAnsi="Tahoma" w:cs="Tahoma"/>
      <w:sz w:val="16"/>
      <w:szCs w:val="16"/>
      <w:lang w:val="en-GB"/>
    </w:rPr>
  </w:style>
  <w:style w:type="character" w:styleId="BookTitle">
    <w:name w:val="Book Title"/>
    <w:uiPriority w:val="98"/>
    <w:semiHidden/>
    <w:qFormat/>
    <w:rsid w:val="00C670DE"/>
    <w:rPr>
      <w:i/>
      <w:iCs/>
      <w:smallCaps/>
      <w:spacing w:val="5"/>
    </w:rPr>
  </w:style>
  <w:style w:type="paragraph" w:customStyle="1" w:styleId="JuHeader">
    <w:name w:val="Ju_Header"/>
    <w:aliases w:val="_Header"/>
    <w:basedOn w:val="Header0"/>
    <w:uiPriority w:val="29"/>
    <w:qFormat/>
    <w:rsid w:val="00C670DE"/>
    <w:pPr>
      <w:tabs>
        <w:tab w:val="clear" w:pos="4536"/>
        <w:tab w:val="clear" w:pos="9072"/>
      </w:tabs>
      <w:jc w:val="center"/>
    </w:pPr>
    <w:rPr>
      <w:sz w:val="18"/>
    </w:rPr>
  </w:style>
  <w:style w:type="paragraph" w:customStyle="1" w:styleId="NormalJustified">
    <w:name w:val="Normal_Justified"/>
    <w:basedOn w:val="Normal"/>
    <w:semiHidden/>
    <w:rsid w:val="00C670DE"/>
    <w:pPr>
      <w:jc w:val="both"/>
    </w:pPr>
  </w:style>
  <w:style w:type="character" w:styleId="Strong">
    <w:name w:val="Strong"/>
    <w:uiPriority w:val="98"/>
    <w:semiHidden/>
    <w:qFormat/>
    <w:rsid w:val="00C670DE"/>
    <w:rPr>
      <w:b/>
      <w:bCs/>
    </w:rPr>
  </w:style>
  <w:style w:type="paragraph" w:styleId="NoSpacing">
    <w:name w:val="No Spacing"/>
    <w:basedOn w:val="Normal"/>
    <w:link w:val="NoSpacingChar"/>
    <w:uiPriority w:val="98"/>
    <w:semiHidden/>
    <w:qFormat/>
    <w:rsid w:val="00C670DE"/>
  </w:style>
  <w:style w:type="character" w:customStyle="1" w:styleId="NoSpacingChar">
    <w:name w:val="No Spacing Char"/>
    <w:basedOn w:val="DefaultParagraphFont"/>
    <w:link w:val="NoSpacing"/>
    <w:uiPriority w:val="98"/>
    <w:semiHidden/>
    <w:rsid w:val="00C670DE"/>
    <w:rPr>
      <w:sz w:val="24"/>
      <w:szCs w:val="24"/>
      <w:lang w:val="en-GB"/>
    </w:rPr>
  </w:style>
  <w:style w:type="paragraph" w:customStyle="1" w:styleId="JuQuot">
    <w:name w:val="Ju_Quot"/>
    <w:aliases w:val="_Quote"/>
    <w:basedOn w:val="NormalJustified"/>
    <w:uiPriority w:val="20"/>
    <w:qFormat/>
    <w:rsid w:val="00C670DE"/>
    <w:pPr>
      <w:spacing w:before="120" w:after="120"/>
      <w:ind w:left="425" w:firstLine="142"/>
    </w:pPr>
    <w:rPr>
      <w:sz w:val="20"/>
    </w:rPr>
  </w:style>
  <w:style w:type="paragraph" w:customStyle="1" w:styleId="DummyStyle">
    <w:name w:val="Dummy_Style"/>
    <w:aliases w:val="_Dummy"/>
    <w:basedOn w:val="Normal"/>
    <w:semiHidden/>
    <w:qFormat/>
    <w:rsid w:val="00C670DE"/>
    <w:rPr>
      <w:color w:val="00B050"/>
      <w:sz w:val="22"/>
    </w:rPr>
  </w:style>
  <w:style w:type="paragraph" w:customStyle="1" w:styleId="JuList">
    <w:name w:val="Ju_List"/>
    <w:aliases w:val="_List_1"/>
    <w:basedOn w:val="NormalJustified"/>
    <w:uiPriority w:val="23"/>
    <w:qFormat/>
    <w:rsid w:val="00C670DE"/>
    <w:pPr>
      <w:numPr>
        <w:numId w:val="21"/>
      </w:numPr>
      <w:spacing w:before="280" w:after="60"/>
    </w:pPr>
  </w:style>
  <w:style w:type="paragraph" w:customStyle="1" w:styleId="JuLista">
    <w:name w:val="Ju_List_a"/>
    <w:aliases w:val="_List_2"/>
    <w:basedOn w:val="NormalJustified"/>
    <w:uiPriority w:val="23"/>
    <w:rsid w:val="00C670DE"/>
    <w:pPr>
      <w:numPr>
        <w:ilvl w:val="1"/>
        <w:numId w:val="21"/>
      </w:numPr>
    </w:pPr>
  </w:style>
  <w:style w:type="paragraph" w:customStyle="1" w:styleId="JuListi">
    <w:name w:val="Ju_List_i"/>
    <w:aliases w:val="_List_3"/>
    <w:basedOn w:val="NormalJustified"/>
    <w:uiPriority w:val="23"/>
    <w:rsid w:val="00C670DE"/>
    <w:pPr>
      <w:numPr>
        <w:ilvl w:val="2"/>
        <w:numId w:val="21"/>
      </w:numPr>
    </w:pPr>
  </w:style>
  <w:style w:type="paragraph" w:customStyle="1" w:styleId="JuHArticle">
    <w:name w:val="Ju_H_Article"/>
    <w:aliases w:val="_Title_Quote"/>
    <w:basedOn w:val="Normal"/>
    <w:next w:val="JuQuot"/>
    <w:uiPriority w:val="19"/>
    <w:qFormat/>
    <w:rsid w:val="00C670DE"/>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C670DE"/>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C670DE"/>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C670DE"/>
    <w:pPr>
      <w:keepNext/>
      <w:keepLines/>
      <w:numPr>
        <w:numId w:val="20"/>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C670DE"/>
    <w:pPr>
      <w:numPr>
        <w:numId w:val="15"/>
      </w:numPr>
    </w:pPr>
  </w:style>
  <w:style w:type="paragraph" w:customStyle="1" w:styleId="JuSigned">
    <w:name w:val="Ju_Signed"/>
    <w:aliases w:val="_Signature"/>
    <w:basedOn w:val="Normal"/>
    <w:next w:val="JuPara"/>
    <w:uiPriority w:val="31"/>
    <w:qFormat/>
    <w:rsid w:val="00C670DE"/>
    <w:pPr>
      <w:tabs>
        <w:tab w:val="center" w:pos="1418"/>
        <w:tab w:val="center" w:pos="5954"/>
      </w:tabs>
      <w:spacing w:before="720"/>
    </w:pPr>
  </w:style>
  <w:style w:type="paragraph" w:styleId="Title">
    <w:name w:val="Title"/>
    <w:basedOn w:val="Normal"/>
    <w:next w:val="Normal"/>
    <w:link w:val="TitleChar"/>
    <w:uiPriority w:val="98"/>
    <w:semiHidden/>
    <w:qFormat/>
    <w:rsid w:val="00C670D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C670DE"/>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C670DE"/>
    <w:pPr>
      <w:numPr>
        <w:numId w:val="16"/>
      </w:numPr>
    </w:pPr>
  </w:style>
  <w:style w:type="numbering" w:customStyle="1" w:styleId="ECHRA1StyleNumberedList">
    <w:name w:val="ECHR_A1_Style_Numbered_List"/>
    <w:basedOn w:val="NoList"/>
    <w:rsid w:val="00C670DE"/>
    <w:pPr>
      <w:numPr>
        <w:numId w:val="17"/>
      </w:numPr>
    </w:pPr>
  </w:style>
  <w:style w:type="table" w:customStyle="1" w:styleId="ECHRTable2019">
    <w:name w:val="ECHR_Table_2019"/>
    <w:basedOn w:val="TableNormal"/>
    <w:uiPriority w:val="99"/>
    <w:rsid w:val="00C670DE"/>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C670DE"/>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C670DE"/>
    <w:pPr>
      <w:keepNext/>
      <w:keepLines/>
      <w:numPr>
        <w:ilvl w:val="1"/>
        <w:numId w:val="20"/>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C670DE"/>
    <w:pPr>
      <w:keepNext/>
      <w:keepLines/>
      <w:numPr>
        <w:ilvl w:val="2"/>
        <w:numId w:val="20"/>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C670DE"/>
    <w:pPr>
      <w:keepNext/>
      <w:keepLines/>
      <w:numPr>
        <w:ilvl w:val="3"/>
        <w:numId w:val="20"/>
      </w:numPr>
      <w:spacing w:before="100" w:beforeAutospacing="1" w:after="120"/>
      <w:jc w:val="both"/>
    </w:pPr>
    <w:rPr>
      <w:b w:val="0"/>
      <w:color w:val="auto"/>
      <w:sz w:val="24"/>
    </w:rPr>
  </w:style>
  <w:style w:type="paragraph" w:styleId="Header0">
    <w:name w:val="header"/>
    <w:basedOn w:val="Normal"/>
    <w:link w:val="HeaderChar"/>
    <w:uiPriority w:val="98"/>
    <w:semiHidden/>
    <w:rsid w:val="00C670DE"/>
    <w:pPr>
      <w:tabs>
        <w:tab w:val="center" w:pos="4536"/>
        <w:tab w:val="right" w:pos="9072"/>
      </w:tabs>
    </w:pPr>
  </w:style>
  <w:style w:type="character" w:customStyle="1" w:styleId="HeaderChar">
    <w:name w:val="Header Char"/>
    <w:basedOn w:val="DefaultParagraphFont"/>
    <w:link w:val="Header0"/>
    <w:uiPriority w:val="98"/>
    <w:semiHidden/>
    <w:rsid w:val="00C670DE"/>
    <w:rPr>
      <w:sz w:val="24"/>
      <w:szCs w:val="24"/>
      <w:lang w:val="en-GB"/>
    </w:rPr>
  </w:style>
  <w:style w:type="character" w:customStyle="1" w:styleId="Heading1Char">
    <w:name w:val="Heading 1 Char"/>
    <w:basedOn w:val="DefaultParagraphFont"/>
    <w:link w:val="Heading1"/>
    <w:uiPriority w:val="98"/>
    <w:semiHidden/>
    <w:rsid w:val="00C670DE"/>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C670DE"/>
    <w:pPr>
      <w:keepNext/>
      <w:keepLines/>
      <w:numPr>
        <w:ilvl w:val="4"/>
        <w:numId w:val="20"/>
      </w:numPr>
      <w:spacing w:before="100" w:beforeAutospacing="1" w:after="120"/>
      <w:jc w:val="both"/>
    </w:pPr>
    <w:rPr>
      <w:color w:val="auto"/>
      <w:sz w:val="20"/>
    </w:rPr>
  </w:style>
  <w:style w:type="paragraph" w:customStyle="1" w:styleId="JuHi">
    <w:name w:val="Ju_H_i"/>
    <w:aliases w:val="_Head_6"/>
    <w:basedOn w:val="Heading6"/>
    <w:next w:val="JuPara"/>
    <w:uiPriority w:val="17"/>
    <w:rsid w:val="00C670DE"/>
    <w:pPr>
      <w:keepNext/>
      <w:keepLines/>
      <w:numPr>
        <w:ilvl w:val="5"/>
        <w:numId w:val="20"/>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C670DE"/>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C670DE"/>
    <w:pPr>
      <w:keepNext/>
      <w:keepLines/>
      <w:numPr>
        <w:ilvl w:val="6"/>
        <w:numId w:val="20"/>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C670DE"/>
    <w:pPr>
      <w:keepNext/>
      <w:keepLines/>
      <w:numPr>
        <w:ilvl w:val="7"/>
        <w:numId w:val="20"/>
      </w:numPr>
      <w:spacing w:before="100" w:beforeAutospacing="1" w:after="120"/>
      <w:jc w:val="both"/>
    </w:pPr>
    <w:rPr>
      <w:i/>
    </w:rPr>
  </w:style>
  <w:style w:type="character" w:customStyle="1" w:styleId="Heading3Char">
    <w:name w:val="Heading 3 Char"/>
    <w:basedOn w:val="DefaultParagraphFont"/>
    <w:link w:val="Heading3"/>
    <w:uiPriority w:val="98"/>
    <w:semiHidden/>
    <w:rsid w:val="00C670DE"/>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C670DE"/>
    <w:pPr>
      <w:keepNext/>
      <w:keepLines/>
      <w:spacing w:before="240" w:after="240"/>
      <w:ind w:firstLine="284"/>
    </w:pPr>
  </w:style>
  <w:style w:type="paragraph" w:customStyle="1" w:styleId="JuJudges">
    <w:name w:val="Ju_Judges"/>
    <w:aliases w:val="_Judges"/>
    <w:basedOn w:val="Normal"/>
    <w:uiPriority w:val="32"/>
    <w:qFormat/>
    <w:rsid w:val="00C670DE"/>
    <w:pPr>
      <w:tabs>
        <w:tab w:val="left" w:pos="567"/>
        <w:tab w:val="left" w:pos="1134"/>
      </w:tabs>
    </w:pPr>
  </w:style>
  <w:style w:type="character" w:customStyle="1" w:styleId="Heading4Char">
    <w:name w:val="Heading 4 Char"/>
    <w:basedOn w:val="DefaultParagraphFont"/>
    <w:link w:val="Heading4"/>
    <w:uiPriority w:val="98"/>
    <w:semiHidden/>
    <w:rsid w:val="00C670DE"/>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C670DE"/>
    <w:pPr>
      <w:tabs>
        <w:tab w:val="center" w:pos="6407"/>
      </w:tabs>
      <w:spacing w:before="720"/>
      <w:jc w:val="right"/>
    </w:pPr>
  </w:style>
  <w:style w:type="character" w:customStyle="1" w:styleId="Heading5Char">
    <w:name w:val="Heading 5 Char"/>
    <w:basedOn w:val="DefaultParagraphFont"/>
    <w:link w:val="Heading5"/>
    <w:uiPriority w:val="98"/>
    <w:semiHidden/>
    <w:rsid w:val="00C670DE"/>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C670DE"/>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C670DE"/>
    <w:rPr>
      <w:caps w:val="0"/>
      <w:smallCaps/>
    </w:rPr>
  </w:style>
  <w:style w:type="character" w:styleId="SubtleEmphasis">
    <w:name w:val="Subtle Emphasis"/>
    <w:uiPriority w:val="98"/>
    <w:semiHidden/>
    <w:qFormat/>
    <w:rsid w:val="00C670DE"/>
    <w:rPr>
      <w:i/>
      <w:iCs/>
    </w:rPr>
  </w:style>
  <w:style w:type="table" w:customStyle="1" w:styleId="ECHRTable">
    <w:name w:val="ECHR_Table"/>
    <w:basedOn w:val="TableNormal"/>
    <w:rsid w:val="00C670DE"/>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C670DE"/>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C670DE"/>
    <w:rPr>
      <w:b/>
      <w:bCs/>
      <w:i/>
      <w:iCs/>
      <w:spacing w:val="10"/>
      <w:bdr w:val="none" w:sz="0" w:space="0" w:color="auto"/>
      <w:shd w:val="clear" w:color="auto" w:fill="auto"/>
    </w:rPr>
  </w:style>
  <w:style w:type="paragraph" w:styleId="Footer1">
    <w:name w:val="footer"/>
    <w:basedOn w:val="Normal"/>
    <w:link w:val="FooterChar"/>
    <w:uiPriority w:val="98"/>
    <w:semiHidden/>
    <w:rsid w:val="00C670DE"/>
    <w:pPr>
      <w:tabs>
        <w:tab w:val="center" w:pos="3686"/>
        <w:tab w:val="right" w:pos="7371"/>
      </w:tabs>
    </w:pPr>
  </w:style>
  <w:style w:type="character" w:customStyle="1" w:styleId="FooterChar">
    <w:name w:val="Footer Char"/>
    <w:basedOn w:val="DefaultParagraphFont"/>
    <w:link w:val="Footer1"/>
    <w:uiPriority w:val="98"/>
    <w:semiHidden/>
    <w:rsid w:val="00C670DE"/>
    <w:rPr>
      <w:sz w:val="24"/>
      <w:szCs w:val="24"/>
      <w:lang w:val="en-GB"/>
    </w:rPr>
  </w:style>
  <w:style w:type="character" w:styleId="FootnoteReference">
    <w:name w:val="footnote reference"/>
    <w:basedOn w:val="DefaultParagraphFont"/>
    <w:uiPriority w:val="98"/>
    <w:semiHidden/>
    <w:rsid w:val="00C670DE"/>
    <w:rPr>
      <w:vertAlign w:val="superscript"/>
    </w:rPr>
  </w:style>
  <w:style w:type="paragraph" w:styleId="FootnoteText">
    <w:name w:val="footnote text"/>
    <w:basedOn w:val="NormalJustified"/>
    <w:link w:val="FootnoteTextChar"/>
    <w:uiPriority w:val="98"/>
    <w:semiHidden/>
    <w:rsid w:val="00C670DE"/>
    <w:rPr>
      <w:sz w:val="20"/>
      <w:szCs w:val="20"/>
    </w:rPr>
  </w:style>
  <w:style w:type="character" w:customStyle="1" w:styleId="FootnoteTextChar">
    <w:name w:val="Footnote Text Char"/>
    <w:basedOn w:val="DefaultParagraphFont"/>
    <w:link w:val="FootnoteText"/>
    <w:uiPriority w:val="98"/>
    <w:semiHidden/>
    <w:rsid w:val="00C670DE"/>
    <w:rPr>
      <w:sz w:val="20"/>
      <w:szCs w:val="20"/>
      <w:lang w:val="en-GB"/>
    </w:rPr>
  </w:style>
  <w:style w:type="character" w:customStyle="1" w:styleId="Heading6Char">
    <w:name w:val="Heading 6 Char"/>
    <w:basedOn w:val="DefaultParagraphFont"/>
    <w:link w:val="Heading6"/>
    <w:uiPriority w:val="98"/>
    <w:semiHidden/>
    <w:rsid w:val="00C670DE"/>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C670DE"/>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C670DE"/>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C670DE"/>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C670DE"/>
    <w:rPr>
      <w:color w:val="0072BC" w:themeColor="hyperlink"/>
      <w:u w:val="single"/>
    </w:rPr>
  </w:style>
  <w:style w:type="character" w:styleId="IntenseEmphasis">
    <w:name w:val="Intense Emphasis"/>
    <w:uiPriority w:val="98"/>
    <w:semiHidden/>
    <w:qFormat/>
    <w:rsid w:val="00C670DE"/>
    <w:rPr>
      <w:b/>
      <w:bCs/>
    </w:rPr>
  </w:style>
  <w:style w:type="paragraph" w:styleId="IntenseQuote">
    <w:name w:val="Intense Quote"/>
    <w:basedOn w:val="Normal"/>
    <w:next w:val="Normal"/>
    <w:link w:val="IntenseQuoteChar"/>
    <w:uiPriority w:val="98"/>
    <w:semiHidden/>
    <w:qFormat/>
    <w:rsid w:val="00C670DE"/>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C670DE"/>
    <w:rPr>
      <w:b/>
      <w:bCs/>
      <w:i/>
      <w:iCs/>
      <w:sz w:val="24"/>
      <w:szCs w:val="24"/>
      <w:lang w:val="en-GB" w:bidi="en-US"/>
    </w:rPr>
  </w:style>
  <w:style w:type="character" w:styleId="IntenseReference">
    <w:name w:val="Intense Reference"/>
    <w:uiPriority w:val="98"/>
    <w:semiHidden/>
    <w:qFormat/>
    <w:rsid w:val="00C670DE"/>
    <w:rPr>
      <w:smallCaps/>
      <w:spacing w:val="5"/>
      <w:u w:val="single"/>
    </w:rPr>
  </w:style>
  <w:style w:type="paragraph" w:styleId="ListParagraph">
    <w:name w:val="List Paragraph"/>
    <w:basedOn w:val="Normal"/>
    <w:uiPriority w:val="98"/>
    <w:semiHidden/>
    <w:qFormat/>
    <w:rsid w:val="00C670DE"/>
    <w:pPr>
      <w:ind w:left="720"/>
      <w:contextualSpacing/>
    </w:pPr>
  </w:style>
  <w:style w:type="table" w:customStyle="1" w:styleId="LtrTableAddress">
    <w:name w:val="Ltr_Table_Address"/>
    <w:aliases w:val="ECHR_Ltr_Table_Address"/>
    <w:basedOn w:val="TableNormal"/>
    <w:uiPriority w:val="99"/>
    <w:rsid w:val="00C670DE"/>
    <w:rPr>
      <w:sz w:val="24"/>
      <w:szCs w:val="24"/>
    </w:rPr>
    <w:tblPr>
      <w:tblInd w:w="5103" w:type="dxa"/>
    </w:tblPr>
  </w:style>
  <w:style w:type="paragraph" w:styleId="Quote0">
    <w:name w:val="Quote"/>
    <w:basedOn w:val="Normal"/>
    <w:next w:val="Normal"/>
    <w:link w:val="QuoteChar"/>
    <w:uiPriority w:val="98"/>
    <w:semiHidden/>
    <w:qFormat/>
    <w:rsid w:val="00C670DE"/>
    <w:pPr>
      <w:spacing w:before="200"/>
      <w:ind w:left="360" w:right="360"/>
    </w:pPr>
    <w:rPr>
      <w:i/>
      <w:iCs/>
      <w:lang w:bidi="en-US"/>
    </w:rPr>
  </w:style>
  <w:style w:type="character" w:customStyle="1" w:styleId="QuoteChar">
    <w:name w:val="Quote Char"/>
    <w:basedOn w:val="DefaultParagraphFont"/>
    <w:link w:val="Quote0"/>
    <w:uiPriority w:val="98"/>
    <w:semiHidden/>
    <w:rsid w:val="00C670DE"/>
    <w:rPr>
      <w:i/>
      <w:iCs/>
      <w:sz w:val="24"/>
      <w:szCs w:val="24"/>
      <w:lang w:val="en-GB" w:bidi="en-US"/>
    </w:rPr>
  </w:style>
  <w:style w:type="character" w:styleId="SubtleReference">
    <w:name w:val="Subtle Reference"/>
    <w:uiPriority w:val="98"/>
    <w:semiHidden/>
    <w:qFormat/>
    <w:rsid w:val="00C670DE"/>
    <w:rPr>
      <w:smallCaps/>
    </w:rPr>
  </w:style>
  <w:style w:type="table" w:styleId="TableGrid">
    <w:name w:val="Table Grid"/>
    <w:basedOn w:val="TableNormal"/>
    <w:uiPriority w:val="59"/>
    <w:semiHidden/>
    <w:rsid w:val="00C670DE"/>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C670DE"/>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C670DE"/>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C670DE"/>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C670DE"/>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C670DE"/>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C670DE"/>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C670DE"/>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C670DE"/>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C670DE"/>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C670DE"/>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C670DE"/>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C670DE"/>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C670DE"/>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C670DE"/>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C670DE"/>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C670DE"/>
    <w:pPr>
      <w:numPr>
        <w:numId w:val="2"/>
      </w:numPr>
    </w:pPr>
  </w:style>
  <w:style w:type="paragraph" w:customStyle="1" w:styleId="JuPara">
    <w:name w:val="Ju_Para"/>
    <w:aliases w:val="_Para"/>
    <w:basedOn w:val="NormalJustified"/>
    <w:link w:val="JuParaChar"/>
    <w:uiPriority w:val="4"/>
    <w:qFormat/>
    <w:rsid w:val="00C670DE"/>
    <w:pPr>
      <w:ind w:firstLine="284"/>
    </w:pPr>
  </w:style>
  <w:style w:type="numbering" w:styleId="1ai">
    <w:name w:val="Outline List 1"/>
    <w:basedOn w:val="NoList"/>
    <w:uiPriority w:val="99"/>
    <w:semiHidden/>
    <w:unhideWhenUsed/>
    <w:rsid w:val="00C670DE"/>
    <w:pPr>
      <w:numPr>
        <w:numId w:val="3"/>
      </w:numPr>
    </w:pPr>
  </w:style>
  <w:style w:type="table" w:customStyle="1" w:styleId="ECHRTableSimpleBox">
    <w:name w:val="ECHR_Table_Simple_Box"/>
    <w:basedOn w:val="TableNormal"/>
    <w:uiPriority w:val="99"/>
    <w:rsid w:val="00C670DE"/>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C670DE"/>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C670DE"/>
    <w:pPr>
      <w:numPr>
        <w:numId w:val="4"/>
      </w:numPr>
    </w:pPr>
  </w:style>
  <w:style w:type="table" w:customStyle="1" w:styleId="ECHRTableForInternalUse">
    <w:name w:val="ECHR_Table_For_Internal_Use"/>
    <w:basedOn w:val="TableNormal"/>
    <w:uiPriority w:val="99"/>
    <w:rsid w:val="00C670DE"/>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C670DE"/>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C670DE"/>
  </w:style>
  <w:style w:type="paragraph" w:styleId="BlockText">
    <w:name w:val="Block Text"/>
    <w:basedOn w:val="Normal"/>
    <w:uiPriority w:val="98"/>
    <w:semiHidden/>
    <w:rsid w:val="00C670DE"/>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C670DE"/>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C670DE"/>
    <w:pPr>
      <w:spacing w:after="120"/>
    </w:pPr>
  </w:style>
  <w:style w:type="character" w:customStyle="1" w:styleId="BodyTextChar">
    <w:name w:val="Body Text Char"/>
    <w:basedOn w:val="DefaultParagraphFont"/>
    <w:link w:val="BodyText"/>
    <w:uiPriority w:val="98"/>
    <w:semiHidden/>
    <w:rsid w:val="00C670DE"/>
    <w:rPr>
      <w:sz w:val="24"/>
      <w:szCs w:val="24"/>
      <w:lang w:val="en-GB"/>
    </w:rPr>
  </w:style>
  <w:style w:type="table" w:customStyle="1" w:styleId="ECHRTableOddBanded">
    <w:name w:val="ECHR_Table_Odd_Banded"/>
    <w:basedOn w:val="TableNormal"/>
    <w:uiPriority w:val="99"/>
    <w:rsid w:val="00C670DE"/>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C670DE"/>
    <w:pPr>
      <w:spacing w:after="120" w:line="480" w:lineRule="auto"/>
    </w:pPr>
  </w:style>
  <w:style w:type="table" w:customStyle="1" w:styleId="ECHRHeaderTableReduced">
    <w:name w:val="ECHR_Header_Table_Reduced"/>
    <w:basedOn w:val="TableNormal"/>
    <w:uiPriority w:val="99"/>
    <w:rsid w:val="00C670DE"/>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C670DE"/>
    <w:pPr>
      <w:ind w:firstLine="284"/>
    </w:pPr>
    <w:rPr>
      <w:b/>
    </w:rPr>
  </w:style>
  <w:style w:type="character" w:styleId="PageNumber">
    <w:name w:val="page number"/>
    <w:uiPriority w:val="98"/>
    <w:semiHidden/>
    <w:rsid w:val="00C670DE"/>
    <w:rPr>
      <w:sz w:val="18"/>
    </w:rPr>
  </w:style>
  <w:style w:type="paragraph" w:styleId="ListBullet">
    <w:name w:val="List Bullet"/>
    <w:basedOn w:val="Normal"/>
    <w:uiPriority w:val="98"/>
    <w:semiHidden/>
    <w:rsid w:val="00C670DE"/>
    <w:pPr>
      <w:numPr>
        <w:numId w:val="5"/>
      </w:numPr>
    </w:pPr>
  </w:style>
  <w:style w:type="paragraph" w:styleId="ListBullet3">
    <w:name w:val="List Bullet 3"/>
    <w:basedOn w:val="Normal"/>
    <w:uiPriority w:val="98"/>
    <w:semiHidden/>
    <w:rsid w:val="00C670DE"/>
    <w:pPr>
      <w:numPr>
        <w:numId w:val="7"/>
      </w:numPr>
      <w:contextualSpacing/>
    </w:pPr>
  </w:style>
  <w:style w:type="character" w:customStyle="1" w:styleId="BodyText2Char">
    <w:name w:val="Body Text 2 Char"/>
    <w:basedOn w:val="DefaultParagraphFont"/>
    <w:link w:val="BodyText2"/>
    <w:uiPriority w:val="98"/>
    <w:semiHidden/>
    <w:rsid w:val="00C670DE"/>
    <w:rPr>
      <w:sz w:val="24"/>
      <w:szCs w:val="24"/>
      <w:lang w:val="en-GB"/>
    </w:rPr>
  </w:style>
  <w:style w:type="paragraph" w:styleId="BodyText3">
    <w:name w:val="Body Text 3"/>
    <w:basedOn w:val="Normal"/>
    <w:link w:val="BodyText3Char"/>
    <w:uiPriority w:val="98"/>
    <w:semiHidden/>
    <w:rsid w:val="00C670DE"/>
    <w:pPr>
      <w:spacing w:after="120"/>
    </w:pPr>
    <w:rPr>
      <w:sz w:val="16"/>
      <w:szCs w:val="16"/>
    </w:rPr>
  </w:style>
  <w:style w:type="character" w:customStyle="1" w:styleId="BodyText3Char">
    <w:name w:val="Body Text 3 Char"/>
    <w:basedOn w:val="DefaultParagraphFont"/>
    <w:link w:val="BodyText3"/>
    <w:uiPriority w:val="98"/>
    <w:semiHidden/>
    <w:rsid w:val="00C670DE"/>
    <w:rPr>
      <w:sz w:val="16"/>
      <w:szCs w:val="16"/>
      <w:lang w:val="en-GB"/>
    </w:rPr>
  </w:style>
  <w:style w:type="paragraph" w:styleId="BodyTextFirstIndent">
    <w:name w:val="Body Text First Indent"/>
    <w:basedOn w:val="BodyText"/>
    <w:link w:val="BodyTextFirstIndentChar"/>
    <w:uiPriority w:val="98"/>
    <w:semiHidden/>
    <w:rsid w:val="00C670DE"/>
    <w:pPr>
      <w:spacing w:after="0"/>
      <w:ind w:firstLine="360"/>
    </w:pPr>
  </w:style>
  <w:style w:type="character" w:customStyle="1" w:styleId="BodyTextFirstIndentChar">
    <w:name w:val="Body Text First Indent Char"/>
    <w:basedOn w:val="BodyTextChar"/>
    <w:link w:val="BodyTextFirstIndent"/>
    <w:uiPriority w:val="98"/>
    <w:semiHidden/>
    <w:rsid w:val="00C670DE"/>
    <w:rPr>
      <w:sz w:val="24"/>
      <w:szCs w:val="24"/>
      <w:lang w:val="en-GB"/>
    </w:rPr>
  </w:style>
  <w:style w:type="paragraph" w:styleId="BodyTextIndent">
    <w:name w:val="Body Text Indent"/>
    <w:basedOn w:val="Normal"/>
    <w:link w:val="BodyTextIndentChar"/>
    <w:uiPriority w:val="98"/>
    <w:semiHidden/>
    <w:rsid w:val="00C670DE"/>
    <w:pPr>
      <w:spacing w:after="120"/>
      <w:ind w:left="283"/>
    </w:pPr>
  </w:style>
  <w:style w:type="character" w:customStyle="1" w:styleId="BodyTextIndentChar">
    <w:name w:val="Body Text Indent Char"/>
    <w:basedOn w:val="DefaultParagraphFont"/>
    <w:link w:val="BodyTextIndent"/>
    <w:uiPriority w:val="98"/>
    <w:semiHidden/>
    <w:rsid w:val="00C670DE"/>
    <w:rPr>
      <w:sz w:val="24"/>
      <w:szCs w:val="24"/>
      <w:lang w:val="en-GB"/>
    </w:rPr>
  </w:style>
  <w:style w:type="paragraph" w:styleId="BodyTextFirstIndent2">
    <w:name w:val="Body Text First Indent 2"/>
    <w:basedOn w:val="BodyTextIndent"/>
    <w:link w:val="BodyTextFirstIndent2Char"/>
    <w:uiPriority w:val="98"/>
    <w:semiHidden/>
    <w:rsid w:val="00C670DE"/>
    <w:pPr>
      <w:spacing w:after="0"/>
      <w:ind w:left="360" w:firstLine="360"/>
    </w:pPr>
  </w:style>
  <w:style w:type="character" w:customStyle="1" w:styleId="BodyTextFirstIndent2Char">
    <w:name w:val="Body Text First Indent 2 Char"/>
    <w:basedOn w:val="BodyTextIndentChar"/>
    <w:link w:val="BodyTextFirstIndent2"/>
    <w:uiPriority w:val="98"/>
    <w:semiHidden/>
    <w:rsid w:val="00C670DE"/>
    <w:rPr>
      <w:sz w:val="24"/>
      <w:szCs w:val="24"/>
      <w:lang w:val="en-GB"/>
    </w:rPr>
  </w:style>
  <w:style w:type="paragraph" w:styleId="BodyTextIndent2">
    <w:name w:val="Body Text Indent 2"/>
    <w:basedOn w:val="Normal"/>
    <w:link w:val="BodyTextIndent2Char"/>
    <w:uiPriority w:val="98"/>
    <w:semiHidden/>
    <w:rsid w:val="00C670DE"/>
    <w:pPr>
      <w:spacing w:after="120" w:line="480" w:lineRule="auto"/>
      <w:ind w:left="283"/>
    </w:pPr>
  </w:style>
  <w:style w:type="character" w:customStyle="1" w:styleId="BodyTextIndent2Char">
    <w:name w:val="Body Text Indent 2 Char"/>
    <w:basedOn w:val="DefaultParagraphFont"/>
    <w:link w:val="BodyTextIndent2"/>
    <w:uiPriority w:val="98"/>
    <w:semiHidden/>
    <w:rsid w:val="00C670DE"/>
    <w:rPr>
      <w:sz w:val="24"/>
      <w:szCs w:val="24"/>
      <w:lang w:val="en-GB"/>
    </w:rPr>
  </w:style>
  <w:style w:type="paragraph" w:styleId="BodyTextIndent3">
    <w:name w:val="Body Text Indent 3"/>
    <w:basedOn w:val="Normal"/>
    <w:link w:val="BodyTextIndent3Char"/>
    <w:uiPriority w:val="98"/>
    <w:semiHidden/>
    <w:rsid w:val="00C670DE"/>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C670DE"/>
    <w:rPr>
      <w:sz w:val="16"/>
      <w:szCs w:val="16"/>
      <w:lang w:val="en-GB"/>
    </w:rPr>
  </w:style>
  <w:style w:type="paragraph" w:styleId="Caption">
    <w:name w:val="caption"/>
    <w:basedOn w:val="Normal"/>
    <w:next w:val="Normal"/>
    <w:uiPriority w:val="98"/>
    <w:semiHidden/>
    <w:qFormat/>
    <w:rsid w:val="00C670DE"/>
    <w:pPr>
      <w:spacing w:after="200"/>
    </w:pPr>
    <w:rPr>
      <w:b/>
      <w:bCs/>
      <w:color w:val="0072BC" w:themeColor="accent1"/>
      <w:sz w:val="18"/>
      <w:szCs w:val="18"/>
    </w:rPr>
  </w:style>
  <w:style w:type="paragraph" w:styleId="Closing">
    <w:name w:val="Closing"/>
    <w:basedOn w:val="Normal"/>
    <w:link w:val="ClosingChar"/>
    <w:uiPriority w:val="98"/>
    <w:semiHidden/>
    <w:rsid w:val="00C670DE"/>
    <w:pPr>
      <w:ind w:left="4252"/>
    </w:pPr>
  </w:style>
  <w:style w:type="character" w:customStyle="1" w:styleId="ClosingChar">
    <w:name w:val="Closing Char"/>
    <w:basedOn w:val="DefaultParagraphFont"/>
    <w:link w:val="Closing"/>
    <w:uiPriority w:val="98"/>
    <w:semiHidden/>
    <w:rsid w:val="00C670DE"/>
    <w:rPr>
      <w:sz w:val="24"/>
      <w:szCs w:val="24"/>
      <w:lang w:val="en-GB"/>
    </w:rPr>
  </w:style>
  <w:style w:type="table" w:styleId="ColorfulGrid">
    <w:name w:val="Colorful Grid"/>
    <w:basedOn w:val="TableNormal"/>
    <w:uiPriority w:val="73"/>
    <w:semiHidden/>
    <w:rsid w:val="00C670DE"/>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C670DE"/>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C670DE"/>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C670DE"/>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C670DE"/>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C670DE"/>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C670DE"/>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C670DE"/>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C670DE"/>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C670DE"/>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C670DE"/>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C670DE"/>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C670DE"/>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C670DE"/>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C670DE"/>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C670DE"/>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C670DE"/>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C670DE"/>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C670DE"/>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C670DE"/>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C670DE"/>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C670DE"/>
    <w:rPr>
      <w:sz w:val="16"/>
      <w:szCs w:val="16"/>
    </w:rPr>
  </w:style>
  <w:style w:type="paragraph" w:styleId="CommentText">
    <w:name w:val="annotation text"/>
    <w:basedOn w:val="Normal"/>
    <w:link w:val="CommentTextChar"/>
    <w:uiPriority w:val="98"/>
    <w:semiHidden/>
    <w:rsid w:val="00C670DE"/>
    <w:rPr>
      <w:sz w:val="20"/>
      <w:szCs w:val="20"/>
    </w:rPr>
  </w:style>
  <w:style w:type="character" w:customStyle="1" w:styleId="CommentTextChar">
    <w:name w:val="Comment Text Char"/>
    <w:basedOn w:val="DefaultParagraphFont"/>
    <w:link w:val="CommentText"/>
    <w:uiPriority w:val="98"/>
    <w:semiHidden/>
    <w:rsid w:val="00C670DE"/>
    <w:rPr>
      <w:sz w:val="20"/>
      <w:szCs w:val="20"/>
      <w:lang w:val="en-GB"/>
    </w:rPr>
  </w:style>
  <w:style w:type="paragraph" w:styleId="CommentSubject">
    <w:name w:val="annotation subject"/>
    <w:basedOn w:val="CommentText"/>
    <w:next w:val="CommentText"/>
    <w:link w:val="CommentSubjectChar"/>
    <w:uiPriority w:val="98"/>
    <w:semiHidden/>
    <w:rsid w:val="00C670DE"/>
    <w:rPr>
      <w:b/>
      <w:bCs/>
    </w:rPr>
  </w:style>
  <w:style w:type="character" w:customStyle="1" w:styleId="CommentSubjectChar">
    <w:name w:val="Comment Subject Char"/>
    <w:basedOn w:val="CommentTextChar"/>
    <w:link w:val="CommentSubject"/>
    <w:uiPriority w:val="98"/>
    <w:semiHidden/>
    <w:rsid w:val="00C670DE"/>
    <w:rPr>
      <w:b/>
      <w:bCs/>
      <w:sz w:val="20"/>
      <w:szCs w:val="20"/>
      <w:lang w:val="en-GB"/>
    </w:rPr>
  </w:style>
  <w:style w:type="table" w:styleId="DarkList">
    <w:name w:val="Dark List"/>
    <w:basedOn w:val="TableNormal"/>
    <w:uiPriority w:val="70"/>
    <w:semiHidden/>
    <w:rsid w:val="00C670DE"/>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C670DE"/>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C670DE"/>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C670DE"/>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C670DE"/>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C670DE"/>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C670DE"/>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C670DE"/>
  </w:style>
  <w:style w:type="character" w:customStyle="1" w:styleId="DateChar">
    <w:name w:val="Date Char"/>
    <w:basedOn w:val="DefaultParagraphFont"/>
    <w:link w:val="Date"/>
    <w:uiPriority w:val="98"/>
    <w:semiHidden/>
    <w:rsid w:val="00C670DE"/>
    <w:rPr>
      <w:sz w:val="24"/>
      <w:szCs w:val="24"/>
      <w:lang w:val="en-GB"/>
    </w:rPr>
  </w:style>
  <w:style w:type="paragraph" w:styleId="DocumentMap">
    <w:name w:val="Document Map"/>
    <w:basedOn w:val="Normal"/>
    <w:link w:val="DocumentMapChar"/>
    <w:uiPriority w:val="98"/>
    <w:semiHidden/>
    <w:rsid w:val="00C670DE"/>
    <w:rPr>
      <w:rFonts w:ascii="Tahoma" w:hAnsi="Tahoma" w:cs="Tahoma"/>
      <w:sz w:val="16"/>
      <w:szCs w:val="16"/>
    </w:rPr>
  </w:style>
  <w:style w:type="character" w:customStyle="1" w:styleId="DocumentMapChar">
    <w:name w:val="Document Map Char"/>
    <w:basedOn w:val="DefaultParagraphFont"/>
    <w:link w:val="DocumentMap"/>
    <w:uiPriority w:val="98"/>
    <w:semiHidden/>
    <w:rsid w:val="00C670DE"/>
    <w:rPr>
      <w:rFonts w:ascii="Tahoma" w:hAnsi="Tahoma" w:cs="Tahoma"/>
      <w:sz w:val="16"/>
      <w:szCs w:val="16"/>
      <w:lang w:val="en-GB"/>
    </w:rPr>
  </w:style>
  <w:style w:type="paragraph" w:styleId="E-mailSignature">
    <w:name w:val="E-mail Signature"/>
    <w:basedOn w:val="Normal"/>
    <w:link w:val="E-mailSignatureChar"/>
    <w:uiPriority w:val="98"/>
    <w:semiHidden/>
    <w:rsid w:val="00C670DE"/>
  </w:style>
  <w:style w:type="character" w:customStyle="1" w:styleId="E-mailSignatureChar">
    <w:name w:val="E-mail Signature Char"/>
    <w:basedOn w:val="DefaultParagraphFont"/>
    <w:link w:val="E-mailSignature"/>
    <w:uiPriority w:val="98"/>
    <w:semiHidden/>
    <w:rsid w:val="00C670DE"/>
    <w:rPr>
      <w:sz w:val="24"/>
      <w:szCs w:val="24"/>
      <w:lang w:val="en-GB"/>
    </w:rPr>
  </w:style>
  <w:style w:type="character" w:styleId="EndnoteReference">
    <w:name w:val="endnote reference"/>
    <w:basedOn w:val="DefaultParagraphFont"/>
    <w:uiPriority w:val="98"/>
    <w:semiHidden/>
    <w:rsid w:val="00C670DE"/>
    <w:rPr>
      <w:vertAlign w:val="superscript"/>
    </w:rPr>
  </w:style>
  <w:style w:type="paragraph" w:styleId="EndnoteText">
    <w:name w:val="endnote text"/>
    <w:basedOn w:val="Normal"/>
    <w:link w:val="EndnoteTextChar"/>
    <w:uiPriority w:val="98"/>
    <w:semiHidden/>
    <w:rsid w:val="00C670DE"/>
    <w:rPr>
      <w:sz w:val="20"/>
      <w:szCs w:val="20"/>
    </w:rPr>
  </w:style>
  <w:style w:type="character" w:customStyle="1" w:styleId="EndnoteTextChar">
    <w:name w:val="Endnote Text Char"/>
    <w:basedOn w:val="DefaultParagraphFont"/>
    <w:link w:val="EndnoteText"/>
    <w:uiPriority w:val="98"/>
    <w:semiHidden/>
    <w:rsid w:val="00C670DE"/>
    <w:rPr>
      <w:sz w:val="20"/>
      <w:szCs w:val="20"/>
      <w:lang w:val="en-GB"/>
    </w:rPr>
  </w:style>
  <w:style w:type="paragraph" w:styleId="EnvelopeAddress">
    <w:name w:val="envelope address"/>
    <w:basedOn w:val="Normal"/>
    <w:uiPriority w:val="98"/>
    <w:semiHidden/>
    <w:rsid w:val="00C670DE"/>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C670DE"/>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C670DE"/>
    <w:rPr>
      <w:color w:val="7030A0" w:themeColor="followedHyperlink"/>
      <w:u w:val="single"/>
    </w:rPr>
  </w:style>
  <w:style w:type="character" w:styleId="HTMLAcronym">
    <w:name w:val="HTML Acronym"/>
    <w:basedOn w:val="DefaultParagraphFont"/>
    <w:uiPriority w:val="98"/>
    <w:semiHidden/>
    <w:rsid w:val="00C670DE"/>
  </w:style>
  <w:style w:type="paragraph" w:styleId="HTMLAddress">
    <w:name w:val="HTML Address"/>
    <w:basedOn w:val="Normal"/>
    <w:link w:val="HTMLAddressChar"/>
    <w:uiPriority w:val="98"/>
    <w:semiHidden/>
    <w:rsid w:val="00C670DE"/>
    <w:rPr>
      <w:i/>
      <w:iCs/>
    </w:rPr>
  </w:style>
  <w:style w:type="character" w:customStyle="1" w:styleId="HTMLAddressChar">
    <w:name w:val="HTML Address Char"/>
    <w:basedOn w:val="DefaultParagraphFont"/>
    <w:link w:val="HTMLAddress"/>
    <w:uiPriority w:val="98"/>
    <w:semiHidden/>
    <w:rsid w:val="00C670DE"/>
    <w:rPr>
      <w:i/>
      <w:iCs/>
      <w:sz w:val="24"/>
      <w:szCs w:val="24"/>
      <w:lang w:val="en-GB"/>
    </w:rPr>
  </w:style>
  <w:style w:type="character" w:styleId="HTMLCite">
    <w:name w:val="HTML Cite"/>
    <w:basedOn w:val="DefaultParagraphFont"/>
    <w:uiPriority w:val="98"/>
    <w:semiHidden/>
    <w:rsid w:val="00C670DE"/>
    <w:rPr>
      <w:i/>
      <w:iCs/>
    </w:rPr>
  </w:style>
  <w:style w:type="character" w:styleId="HTMLCode">
    <w:name w:val="HTML Code"/>
    <w:basedOn w:val="DefaultParagraphFont"/>
    <w:uiPriority w:val="98"/>
    <w:semiHidden/>
    <w:rsid w:val="00C670DE"/>
    <w:rPr>
      <w:rFonts w:ascii="Consolas" w:hAnsi="Consolas" w:cs="Consolas"/>
      <w:sz w:val="20"/>
      <w:szCs w:val="20"/>
    </w:rPr>
  </w:style>
  <w:style w:type="character" w:styleId="HTMLDefinition">
    <w:name w:val="HTML Definition"/>
    <w:basedOn w:val="DefaultParagraphFont"/>
    <w:uiPriority w:val="98"/>
    <w:semiHidden/>
    <w:rsid w:val="00C670DE"/>
    <w:rPr>
      <w:i/>
      <w:iCs/>
    </w:rPr>
  </w:style>
  <w:style w:type="character" w:styleId="HTMLKeyboard">
    <w:name w:val="HTML Keyboard"/>
    <w:basedOn w:val="DefaultParagraphFont"/>
    <w:uiPriority w:val="98"/>
    <w:semiHidden/>
    <w:rsid w:val="00C670DE"/>
    <w:rPr>
      <w:rFonts w:ascii="Consolas" w:hAnsi="Consolas" w:cs="Consolas"/>
      <w:sz w:val="20"/>
      <w:szCs w:val="20"/>
    </w:rPr>
  </w:style>
  <w:style w:type="paragraph" w:styleId="HTMLPreformatted">
    <w:name w:val="HTML Preformatted"/>
    <w:basedOn w:val="Normal"/>
    <w:link w:val="HTMLPreformattedChar"/>
    <w:uiPriority w:val="98"/>
    <w:semiHidden/>
    <w:rsid w:val="00C670DE"/>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C670DE"/>
    <w:rPr>
      <w:rFonts w:ascii="Consolas" w:hAnsi="Consolas" w:cs="Consolas"/>
      <w:sz w:val="20"/>
      <w:szCs w:val="20"/>
      <w:lang w:val="en-GB"/>
    </w:rPr>
  </w:style>
  <w:style w:type="character" w:styleId="HTMLSample">
    <w:name w:val="HTML Sample"/>
    <w:basedOn w:val="DefaultParagraphFont"/>
    <w:uiPriority w:val="98"/>
    <w:semiHidden/>
    <w:rsid w:val="00C670DE"/>
    <w:rPr>
      <w:rFonts w:ascii="Consolas" w:hAnsi="Consolas" w:cs="Consolas"/>
      <w:sz w:val="24"/>
      <w:szCs w:val="24"/>
    </w:rPr>
  </w:style>
  <w:style w:type="character" w:styleId="HTMLTypewriter">
    <w:name w:val="HTML Typewriter"/>
    <w:basedOn w:val="DefaultParagraphFont"/>
    <w:uiPriority w:val="98"/>
    <w:semiHidden/>
    <w:rsid w:val="00C670DE"/>
    <w:rPr>
      <w:rFonts w:ascii="Consolas" w:hAnsi="Consolas" w:cs="Consolas"/>
      <w:sz w:val="20"/>
      <w:szCs w:val="20"/>
    </w:rPr>
  </w:style>
  <w:style w:type="character" w:styleId="HTMLVariable">
    <w:name w:val="HTML Variable"/>
    <w:basedOn w:val="DefaultParagraphFont"/>
    <w:uiPriority w:val="98"/>
    <w:semiHidden/>
    <w:rsid w:val="00C670DE"/>
    <w:rPr>
      <w:i/>
      <w:iCs/>
    </w:rPr>
  </w:style>
  <w:style w:type="paragraph" w:styleId="Index1">
    <w:name w:val="index 1"/>
    <w:basedOn w:val="Normal"/>
    <w:next w:val="Normal"/>
    <w:autoRedefine/>
    <w:uiPriority w:val="98"/>
    <w:semiHidden/>
    <w:rsid w:val="00C670DE"/>
    <w:pPr>
      <w:ind w:left="240" w:hanging="240"/>
    </w:pPr>
  </w:style>
  <w:style w:type="paragraph" w:styleId="Index2">
    <w:name w:val="index 2"/>
    <w:basedOn w:val="Normal"/>
    <w:next w:val="Normal"/>
    <w:autoRedefine/>
    <w:uiPriority w:val="98"/>
    <w:semiHidden/>
    <w:rsid w:val="00C670DE"/>
    <w:pPr>
      <w:ind w:left="480" w:hanging="240"/>
    </w:pPr>
  </w:style>
  <w:style w:type="paragraph" w:styleId="Index3">
    <w:name w:val="index 3"/>
    <w:basedOn w:val="Normal"/>
    <w:next w:val="Normal"/>
    <w:autoRedefine/>
    <w:uiPriority w:val="98"/>
    <w:semiHidden/>
    <w:rsid w:val="00C670DE"/>
    <w:pPr>
      <w:ind w:left="720" w:hanging="240"/>
    </w:pPr>
  </w:style>
  <w:style w:type="paragraph" w:styleId="Index4">
    <w:name w:val="index 4"/>
    <w:basedOn w:val="Normal"/>
    <w:next w:val="Normal"/>
    <w:autoRedefine/>
    <w:uiPriority w:val="98"/>
    <w:semiHidden/>
    <w:rsid w:val="00C670DE"/>
    <w:pPr>
      <w:ind w:left="960" w:hanging="240"/>
    </w:pPr>
  </w:style>
  <w:style w:type="paragraph" w:styleId="Index5">
    <w:name w:val="index 5"/>
    <w:basedOn w:val="Normal"/>
    <w:next w:val="Normal"/>
    <w:autoRedefine/>
    <w:uiPriority w:val="98"/>
    <w:semiHidden/>
    <w:rsid w:val="00C670DE"/>
    <w:pPr>
      <w:ind w:left="1200" w:hanging="240"/>
    </w:pPr>
  </w:style>
  <w:style w:type="paragraph" w:styleId="Index6">
    <w:name w:val="index 6"/>
    <w:basedOn w:val="Normal"/>
    <w:next w:val="Normal"/>
    <w:autoRedefine/>
    <w:uiPriority w:val="98"/>
    <w:semiHidden/>
    <w:rsid w:val="00C670DE"/>
    <w:pPr>
      <w:ind w:left="1440" w:hanging="240"/>
    </w:pPr>
  </w:style>
  <w:style w:type="paragraph" w:styleId="Index7">
    <w:name w:val="index 7"/>
    <w:basedOn w:val="Normal"/>
    <w:next w:val="Normal"/>
    <w:autoRedefine/>
    <w:uiPriority w:val="98"/>
    <w:semiHidden/>
    <w:rsid w:val="00C670DE"/>
    <w:pPr>
      <w:ind w:left="1680" w:hanging="240"/>
    </w:pPr>
  </w:style>
  <w:style w:type="paragraph" w:styleId="Index8">
    <w:name w:val="index 8"/>
    <w:basedOn w:val="Normal"/>
    <w:next w:val="Normal"/>
    <w:autoRedefine/>
    <w:uiPriority w:val="98"/>
    <w:semiHidden/>
    <w:rsid w:val="00C670DE"/>
    <w:pPr>
      <w:ind w:left="1920" w:hanging="240"/>
    </w:pPr>
  </w:style>
  <w:style w:type="paragraph" w:styleId="Index9">
    <w:name w:val="index 9"/>
    <w:basedOn w:val="Normal"/>
    <w:next w:val="Normal"/>
    <w:autoRedefine/>
    <w:uiPriority w:val="98"/>
    <w:semiHidden/>
    <w:rsid w:val="00C670DE"/>
    <w:pPr>
      <w:ind w:left="2160" w:hanging="240"/>
    </w:pPr>
  </w:style>
  <w:style w:type="paragraph" w:styleId="IndexHeading">
    <w:name w:val="index heading"/>
    <w:basedOn w:val="Normal"/>
    <w:next w:val="Index1"/>
    <w:uiPriority w:val="98"/>
    <w:semiHidden/>
    <w:rsid w:val="00C670DE"/>
    <w:rPr>
      <w:rFonts w:asciiTheme="majorHAnsi" w:eastAsiaTheme="majorEastAsia" w:hAnsiTheme="majorHAnsi" w:cstheme="majorBidi"/>
      <w:b/>
      <w:bCs/>
    </w:rPr>
  </w:style>
  <w:style w:type="table" w:styleId="LightGrid">
    <w:name w:val="Light Grid"/>
    <w:basedOn w:val="TableNormal"/>
    <w:uiPriority w:val="62"/>
    <w:semiHidden/>
    <w:rsid w:val="00C670DE"/>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C670DE"/>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C670DE"/>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C670DE"/>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C670DE"/>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C670DE"/>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C670DE"/>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C670DE"/>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C670DE"/>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C670DE"/>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C670DE"/>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C670DE"/>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C670DE"/>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C670DE"/>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C670DE"/>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C670DE"/>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C670DE"/>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C670DE"/>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C670DE"/>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C670DE"/>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C670DE"/>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C670DE"/>
  </w:style>
  <w:style w:type="paragraph" w:styleId="List">
    <w:name w:val="List"/>
    <w:basedOn w:val="Normal"/>
    <w:uiPriority w:val="98"/>
    <w:semiHidden/>
    <w:rsid w:val="00C670DE"/>
    <w:pPr>
      <w:ind w:left="283" w:hanging="283"/>
      <w:contextualSpacing/>
    </w:pPr>
  </w:style>
  <w:style w:type="paragraph" w:styleId="List20">
    <w:name w:val="List 2"/>
    <w:basedOn w:val="Normal"/>
    <w:uiPriority w:val="98"/>
    <w:semiHidden/>
    <w:rsid w:val="00C670DE"/>
    <w:pPr>
      <w:ind w:left="566" w:hanging="283"/>
      <w:contextualSpacing/>
    </w:pPr>
  </w:style>
  <w:style w:type="paragraph" w:styleId="List30">
    <w:name w:val="List 3"/>
    <w:basedOn w:val="Normal"/>
    <w:uiPriority w:val="98"/>
    <w:semiHidden/>
    <w:rsid w:val="00C670DE"/>
    <w:pPr>
      <w:ind w:left="849" w:hanging="283"/>
      <w:contextualSpacing/>
    </w:pPr>
  </w:style>
  <w:style w:type="paragraph" w:styleId="List4">
    <w:name w:val="List 4"/>
    <w:basedOn w:val="Normal"/>
    <w:uiPriority w:val="98"/>
    <w:semiHidden/>
    <w:rsid w:val="00C670DE"/>
    <w:pPr>
      <w:ind w:left="1132" w:hanging="283"/>
      <w:contextualSpacing/>
    </w:pPr>
  </w:style>
  <w:style w:type="paragraph" w:styleId="List5">
    <w:name w:val="List 5"/>
    <w:basedOn w:val="Normal"/>
    <w:uiPriority w:val="98"/>
    <w:semiHidden/>
    <w:rsid w:val="00C670DE"/>
    <w:pPr>
      <w:ind w:left="1415" w:hanging="283"/>
      <w:contextualSpacing/>
    </w:pPr>
  </w:style>
  <w:style w:type="paragraph" w:styleId="ListBullet2">
    <w:name w:val="List Bullet 2"/>
    <w:basedOn w:val="Normal"/>
    <w:uiPriority w:val="98"/>
    <w:semiHidden/>
    <w:rsid w:val="00C670DE"/>
    <w:pPr>
      <w:numPr>
        <w:numId w:val="6"/>
      </w:numPr>
      <w:contextualSpacing/>
    </w:pPr>
  </w:style>
  <w:style w:type="paragraph" w:styleId="ListBullet4">
    <w:name w:val="List Bullet 4"/>
    <w:basedOn w:val="Normal"/>
    <w:uiPriority w:val="98"/>
    <w:semiHidden/>
    <w:rsid w:val="00C670DE"/>
    <w:pPr>
      <w:numPr>
        <w:numId w:val="8"/>
      </w:numPr>
      <w:contextualSpacing/>
    </w:pPr>
  </w:style>
  <w:style w:type="paragraph" w:styleId="ListBullet5">
    <w:name w:val="List Bullet 5"/>
    <w:basedOn w:val="Normal"/>
    <w:uiPriority w:val="98"/>
    <w:semiHidden/>
    <w:rsid w:val="00C670DE"/>
    <w:pPr>
      <w:numPr>
        <w:numId w:val="9"/>
      </w:numPr>
      <w:contextualSpacing/>
    </w:pPr>
  </w:style>
  <w:style w:type="paragraph" w:styleId="ListContinue">
    <w:name w:val="List Continue"/>
    <w:basedOn w:val="Normal"/>
    <w:uiPriority w:val="98"/>
    <w:semiHidden/>
    <w:rsid w:val="00C670DE"/>
    <w:pPr>
      <w:spacing w:after="120"/>
      <w:ind w:left="283"/>
      <w:contextualSpacing/>
    </w:pPr>
  </w:style>
  <w:style w:type="paragraph" w:styleId="ListContinue2">
    <w:name w:val="List Continue 2"/>
    <w:basedOn w:val="Normal"/>
    <w:uiPriority w:val="98"/>
    <w:semiHidden/>
    <w:rsid w:val="00C670DE"/>
    <w:pPr>
      <w:spacing w:after="120"/>
      <w:ind w:left="566"/>
      <w:contextualSpacing/>
    </w:pPr>
  </w:style>
  <w:style w:type="paragraph" w:styleId="ListContinue3">
    <w:name w:val="List Continue 3"/>
    <w:basedOn w:val="Normal"/>
    <w:uiPriority w:val="98"/>
    <w:semiHidden/>
    <w:rsid w:val="00C670DE"/>
    <w:pPr>
      <w:spacing w:after="120"/>
      <w:ind w:left="849"/>
      <w:contextualSpacing/>
    </w:pPr>
  </w:style>
  <w:style w:type="paragraph" w:styleId="ListContinue4">
    <w:name w:val="List Continue 4"/>
    <w:basedOn w:val="Normal"/>
    <w:uiPriority w:val="98"/>
    <w:semiHidden/>
    <w:rsid w:val="00C670DE"/>
    <w:pPr>
      <w:spacing w:after="120"/>
      <w:ind w:left="1132"/>
      <w:contextualSpacing/>
    </w:pPr>
  </w:style>
  <w:style w:type="paragraph" w:styleId="ListContinue5">
    <w:name w:val="List Continue 5"/>
    <w:basedOn w:val="Normal"/>
    <w:uiPriority w:val="98"/>
    <w:semiHidden/>
    <w:rsid w:val="00C670DE"/>
    <w:pPr>
      <w:spacing w:after="120"/>
      <w:ind w:left="1415"/>
      <w:contextualSpacing/>
    </w:pPr>
  </w:style>
  <w:style w:type="paragraph" w:styleId="ListNumber">
    <w:name w:val="List Number"/>
    <w:basedOn w:val="Normal"/>
    <w:uiPriority w:val="98"/>
    <w:semiHidden/>
    <w:rsid w:val="00C670DE"/>
    <w:pPr>
      <w:numPr>
        <w:numId w:val="10"/>
      </w:numPr>
      <w:contextualSpacing/>
    </w:pPr>
  </w:style>
  <w:style w:type="paragraph" w:styleId="ListNumber2">
    <w:name w:val="List Number 2"/>
    <w:basedOn w:val="Normal"/>
    <w:uiPriority w:val="98"/>
    <w:semiHidden/>
    <w:rsid w:val="00C670DE"/>
    <w:pPr>
      <w:numPr>
        <w:numId w:val="11"/>
      </w:numPr>
      <w:contextualSpacing/>
    </w:pPr>
  </w:style>
  <w:style w:type="paragraph" w:styleId="ListNumber3">
    <w:name w:val="List Number 3"/>
    <w:basedOn w:val="Normal"/>
    <w:uiPriority w:val="98"/>
    <w:semiHidden/>
    <w:rsid w:val="00C670DE"/>
    <w:pPr>
      <w:numPr>
        <w:numId w:val="12"/>
      </w:numPr>
      <w:contextualSpacing/>
    </w:pPr>
  </w:style>
  <w:style w:type="paragraph" w:styleId="ListNumber4">
    <w:name w:val="List Number 4"/>
    <w:basedOn w:val="Normal"/>
    <w:uiPriority w:val="98"/>
    <w:semiHidden/>
    <w:rsid w:val="00C670DE"/>
    <w:pPr>
      <w:numPr>
        <w:numId w:val="13"/>
      </w:numPr>
      <w:contextualSpacing/>
    </w:pPr>
  </w:style>
  <w:style w:type="paragraph" w:styleId="ListNumber5">
    <w:name w:val="List Number 5"/>
    <w:basedOn w:val="Normal"/>
    <w:uiPriority w:val="98"/>
    <w:semiHidden/>
    <w:rsid w:val="00C670DE"/>
    <w:pPr>
      <w:numPr>
        <w:numId w:val="14"/>
      </w:numPr>
      <w:contextualSpacing/>
    </w:pPr>
  </w:style>
  <w:style w:type="paragraph" w:styleId="Macro">
    <w:name w:val="macro"/>
    <w:link w:val="MacroTextChar"/>
    <w:uiPriority w:val="98"/>
    <w:semiHidden/>
    <w:rsid w:val="00C670DE"/>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C670DE"/>
    <w:rPr>
      <w:rFonts w:ascii="Consolas" w:hAnsi="Consolas" w:eastAsiaTheme="minorEastAsia" w:cs="Consolas"/>
      <w:sz w:val="20"/>
      <w:szCs w:val="20"/>
    </w:rPr>
  </w:style>
  <w:style w:type="table" w:styleId="MediumGrid1">
    <w:name w:val="Medium Grid 1"/>
    <w:basedOn w:val="TableNormal"/>
    <w:uiPriority w:val="67"/>
    <w:semiHidden/>
    <w:rsid w:val="00C670DE"/>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C670DE"/>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C670DE"/>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C670DE"/>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C670DE"/>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C670DE"/>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C670DE"/>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C670DE"/>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C670DE"/>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C670DE"/>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C670D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C670DE"/>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C670D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C670DE"/>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C670D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C670D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C670D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C670D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C670D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C670D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C670D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C670DE"/>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C670DE"/>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C670DE"/>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C670DE"/>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C670DE"/>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C670DE"/>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C670DE"/>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C670DE"/>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C670DE"/>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C670DE"/>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C670D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C670DE"/>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C670D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C670DE"/>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C670DE"/>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C670DE"/>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C670DE"/>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C670DE"/>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C670DE"/>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C670DE"/>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C670DE"/>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C670D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C670D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C670D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C670D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C670D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C670D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C670D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C670DE"/>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C670DE"/>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C670DE"/>
    <w:rPr>
      <w:rFonts w:ascii="Times New Roman" w:hAnsi="Times New Roman" w:cs="Times New Roman"/>
    </w:rPr>
  </w:style>
  <w:style w:type="paragraph" w:styleId="NormalIndent">
    <w:name w:val="Normal Indent"/>
    <w:basedOn w:val="Normal"/>
    <w:uiPriority w:val="98"/>
    <w:semiHidden/>
    <w:rsid w:val="00C670DE"/>
    <w:pPr>
      <w:ind w:left="720"/>
    </w:pPr>
  </w:style>
  <w:style w:type="paragraph" w:styleId="NoteHeading">
    <w:name w:val="Note Heading"/>
    <w:basedOn w:val="Normal"/>
    <w:next w:val="Normal"/>
    <w:link w:val="NoteHeadingChar"/>
    <w:uiPriority w:val="98"/>
    <w:semiHidden/>
    <w:rsid w:val="00C670DE"/>
  </w:style>
  <w:style w:type="character" w:customStyle="1" w:styleId="NoteHeadingChar">
    <w:name w:val="Note Heading Char"/>
    <w:basedOn w:val="DefaultParagraphFont"/>
    <w:link w:val="NoteHeading"/>
    <w:uiPriority w:val="98"/>
    <w:semiHidden/>
    <w:rsid w:val="00C670DE"/>
    <w:rPr>
      <w:sz w:val="24"/>
      <w:szCs w:val="24"/>
      <w:lang w:val="en-GB"/>
    </w:rPr>
  </w:style>
  <w:style w:type="character" w:styleId="PlaceholderText">
    <w:name w:val="Placeholder Text"/>
    <w:basedOn w:val="DefaultParagraphFont"/>
    <w:uiPriority w:val="98"/>
    <w:semiHidden/>
    <w:rsid w:val="00C670DE"/>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C670DE"/>
    <w:rPr>
      <w:rFonts w:ascii="Consolas" w:hAnsi="Consolas" w:cs="Consolas"/>
      <w:sz w:val="21"/>
      <w:szCs w:val="21"/>
    </w:rPr>
  </w:style>
  <w:style w:type="character" w:customStyle="1" w:styleId="PlainTextChar">
    <w:name w:val="Plain Text Char"/>
    <w:basedOn w:val="DefaultParagraphFont"/>
    <w:link w:val="PlainText"/>
    <w:uiPriority w:val="98"/>
    <w:semiHidden/>
    <w:rsid w:val="00C670DE"/>
    <w:rPr>
      <w:rFonts w:ascii="Consolas" w:hAnsi="Consolas" w:cs="Consolas"/>
      <w:sz w:val="21"/>
      <w:szCs w:val="21"/>
      <w:lang w:val="en-GB"/>
    </w:rPr>
  </w:style>
  <w:style w:type="paragraph" w:styleId="Salutation">
    <w:name w:val="Salutation"/>
    <w:basedOn w:val="Normal"/>
    <w:next w:val="Normal"/>
    <w:link w:val="SalutationChar"/>
    <w:uiPriority w:val="98"/>
    <w:semiHidden/>
    <w:rsid w:val="00C670DE"/>
  </w:style>
  <w:style w:type="character" w:customStyle="1" w:styleId="SalutationChar">
    <w:name w:val="Salutation Char"/>
    <w:basedOn w:val="DefaultParagraphFont"/>
    <w:link w:val="Salutation"/>
    <w:uiPriority w:val="98"/>
    <w:semiHidden/>
    <w:rsid w:val="00C670DE"/>
    <w:rPr>
      <w:sz w:val="24"/>
      <w:szCs w:val="24"/>
      <w:lang w:val="en-GB"/>
    </w:rPr>
  </w:style>
  <w:style w:type="paragraph" w:styleId="Signature0">
    <w:name w:val="Signature"/>
    <w:basedOn w:val="Normal"/>
    <w:link w:val="SignatureChar"/>
    <w:uiPriority w:val="98"/>
    <w:semiHidden/>
    <w:rsid w:val="00C670DE"/>
    <w:pPr>
      <w:ind w:left="4252"/>
    </w:pPr>
  </w:style>
  <w:style w:type="character" w:customStyle="1" w:styleId="SignatureChar">
    <w:name w:val="Signature Char"/>
    <w:basedOn w:val="DefaultParagraphFont"/>
    <w:link w:val="Signature0"/>
    <w:uiPriority w:val="98"/>
    <w:semiHidden/>
    <w:rsid w:val="00C670DE"/>
    <w:rPr>
      <w:sz w:val="24"/>
      <w:szCs w:val="24"/>
      <w:lang w:val="en-GB"/>
    </w:rPr>
  </w:style>
  <w:style w:type="table" w:styleId="Table3Deffects1">
    <w:name w:val="Table 3D effects 1"/>
    <w:basedOn w:val="TableNormal"/>
    <w:uiPriority w:val="99"/>
    <w:semiHidden/>
    <w:unhideWhenUsed/>
    <w:rsid w:val="00C670DE"/>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C670DE"/>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C670DE"/>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C670DE"/>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C670DE"/>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C670DE"/>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C670DE"/>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C670DE"/>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C670DE"/>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C670DE"/>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C670DE"/>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C670DE"/>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C670DE"/>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C670DE"/>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C670DE"/>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C670DE"/>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C670DE"/>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C670D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C670DE"/>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C670DE"/>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C670DE"/>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C670DE"/>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C670DE"/>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C670DE"/>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C670DE"/>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C670DE"/>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C670DE"/>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C670DE"/>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C670DE"/>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C670D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C670DE"/>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C670DE"/>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C670DE"/>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C670DE"/>
    <w:pPr>
      <w:ind w:left="240" w:hanging="240"/>
    </w:pPr>
  </w:style>
  <w:style w:type="paragraph" w:styleId="TableofFigures">
    <w:name w:val="table of figures"/>
    <w:basedOn w:val="Normal"/>
    <w:next w:val="Normal"/>
    <w:uiPriority w:val="98"/>
    <w:semiHidden/>
    <w:rsid w:val="00C670DE"/>
  </w:style>
  <w:style w:type="table" w:styleId="TableProfessional">
    <w:name w:val="Table Professional"/>
    <w:basedOn w:val="TableNormal"/>
    <w:uiPriority w:val="99"/>
    <w:semiHidden/>
    <w:unhideWhenUsed/>
    <w:rsid w:val="00C670D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C670DE"/>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C670DE"/>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C670DE"/>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C670DE"/>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C670DE"/>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C670DE"/>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C670DE"/>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C670DE"/>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C670DE"/>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C670DE"/>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C670DE"/>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C670DE"/>
    <w:pPr>
      <w:spacing w:after="100"/>
      <w:ind w:left="1680"/>
    </w:pPr>
  </w:style>
  <w:style w:type="paragraph" w:styleId="TOC9">
    <w:name w:val="toc 9"/>
    <w:basedOn w:val="Normal"/>
    <w:next w:val="Normal"/>
    <w:autoRedefine/>
    <w:uiPriority w:val="98"/>
    <w:semiHidden/>
    <w:rsid w:val="00C670DE"/>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C670DE"/>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C670DE"/>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C670DE"/>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C670DE"/>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C670DE"/>
    <w:pPr>
      <w:numPr>
        <w:numId w:val="18"/>
      </w:numPr>
      <w:spacing w:before="60" w:after="60"/>
    </w:pPr>
  </w:style>
  <w:style w:type="paragraph" w:customStyle="1" w:styleId="ECHRBullet2">
    <w:name w:val="ECHR_Bullet_2"/>
    <w:aliases w:val="_Bul_2"/>
    <w:basedOn w:val="ECHRBullet1"/>
    <w:uiPriority w:val="23"/>
    <w:semiHidden/>
    <w:rsid w:val="00C670DE"/>
    <w:pPr>
      <w:numPr>
        <w:ilvl w:val="1"/>
      </w:numPr>
    </w:pPr>
  </w:style>
  <w:style w:type="paragraph" w:customStyle="1" w:styleId="ECHRBullet3">
    <w:name w:val="ECHR_Bullet_3"/>
    <w:aliases w:val="_Bul_3"/>
    <w:basedOn w:val="ECHRBullet2"/>
    <w:uiPriority w:val="23"/>
    <w:semiHidden/>
    <w:rsid w:val="00C670DE"/>
    <w:pPr>
      <w:numPr>
        <w:ilvl w:val="2"/>
      </w:numPr>
    </w:pPr>
  </w:style>
  <w:style w:type="paragraph" w:customStyle="1" w:styleId="ECHRBullet4">
    <w:name w:val="ECHR_Bullet_4"/>
    <w:aliases w:val="_Bul_4"/>
    <w:basedOn w:val="ECHRBullet3"/>
    <w:uiPriority w:val="23"/>
    <w:semiHidden/>
    <w:rsid w:val="00C670DE"/>
    <w:pPr>
      <w:numPr>
        <w:ilvl w:val="3"/>
      </w:numPr>
    </w:pPr>
  </w:style>
  <w:style w:type="paragraph" w:customStyle="1" w:styleId="ECHRConfidential">
    <w:name w:val="ECHR_Confidential"/>
    <w:aliases w:val="_Confidential"/>
    <w:basedOn w:val="Normal"/>
    <w:next w:val="Normal"/>
    <w:uiPriority w:val="42"/>
    <w:semiHidden/>
    <w:qFormat/>
    <w:rsid w:val="00C670DE"/>
    <w:pPr>
      <w:jc w:val="right"/>
    </w:pPr>
    <w:rPr>
      <w:color w:val="C00000"/>
      <w:sz w:val="20"/>
    </w:rPr>
  </w:style>
  <w:style w:type="paragraph" w:customStyle="1" w:styleId="ECHRDecisionBody">
    <w:name w:val="ECHR_Decision_Body"/>
    <w:aliases w:val="_Decision_Body"/>
    <w:basedOn w:val="NormalJustified"/>
    <w:uiPriority w:val="54"/>
    <w:semiHidden/>
    <w:rsid w:val="00C670DE"/>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C670DE"/>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C670DE"/>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C670DE"/>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C670DE"/>
    <w:pPr>
      <w:jc w:val="right"/>
    </w:pPr>
    <w:rPr>
      <w:sz w:val="20"/>
    </w:rPr>
  </w:style>
  <w:style w:type="paragraph" w:customStyle="1" w:styleId="ECHRHeaderRefIt">
    <w:name w:val="ECHR_Header_Ref_It"/>
    <w:aliases w:val="_Ref_Ital"/>
    <w:basedOn w:val="Normal"/>
    <w:next w:val="ECHRHeaderDate"/>
    <w:uiPriority w:val="43"/>
    <w:semiHidden/>
    <w:qFormat/>
    <w:rsid w:val="00C670DE"/>
    <w:pPr>
      <w:jc w:val="right"/>
    </w:pPr>
    <w:rPr>
      <w:i/>
      <w:sz w:val="20"/>
    </w:rPr>
  </w:style>
  <w:style w:type="paragraph" w:customStyle="1" w:styleId="ECHRHeading9">
    <w:name w:val="ECHR_Heading_9"/>
    <w:aliases w:val="_Head_9"/>
    <w:basedOn w:val="Heading9"/>
    <w:uiPriority w:val="17"/>
    <w:semiHidden/>
    <w:rsid w:val="00C670DE"/>
    <w:pPr>
      <w:keepNext/>
      <w:keepLines/>
      <w:numPr>
        <w:ilvl w:val="8"/>
        <w:numId w:val="20"/>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C670DE"/>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C670DE"/>
    <w:pPr>
      <w:numPr>
        <w:numId w:val="19"/>
      </w:numPr>
      <w:spacing w:before="60" w:after="60"/>
    </w:pPr>
  </w:style>
  <w:style w:type="paragraph" w:customStyle="1" w:styleId="ECHRNumberedList2">
    <w:name w:val="ECHR_Numbered_List_2"/>
    <w:aliases w:val="_Num_2"/>
    <w:basedOn w:val="ECHRNumberedList1"/>
    <w:uiPriority w:val="23"/>
    <w:semiHidden/>
    <w:rsid w:val="00C670DE"/>
    <w:pPr>
      <w:numPr>
        <w:ilvl w:val="1"/>
      </w:numPr>
    </w:pPr>
  </w:style>
  <w:style w:type="paragraph" w:customStyle="1" w:styleId="ECHRNumberedList3">
    <w:name w:val="ECHR_Numbered_List_3"/>
    <w:aliases w:val="_Num_3"/>
    <w:basedOn w:val="ECHRNumberedList2"/>
    <w:uiPriority w:val="23"/>
    <w:semiHidden/>
    <w:rsid w:val="00C670DE"/>
    <w:pPr>
      <w:numPr>
        <w:ilvl w:val="2"/>
      </w:numPr>
    </w:pPr>
  </w:style>
  <w:style w:type="paragraph" w:customStyle="1" w:styleId="ECHRParaHanging">
    <w:name w:val="ECHR_Para_Hanging"/>
    <w:aliases w:val="_Hanging"/>
    <w:basedOn w:val="NormalJustified"/>
    <w:uiPriority w:val="8"/>
    <w:semiHidden/>
    <w:qFormat/>
    <w:rsid w:val="00C670DE"/>
    <w:pPr>
      <w:ind w:left="567" w:hanging="567"/>
    </w:pPr>
  </w:style>
  <w:style w:type="paragraph" w:customStyle="1" w:styleId="ECHRParaIndent">
    <w:name w:val="ECHR_Para_Indent"/>
    <w:aliases w:val="_Indent"/>
    <w:basedOn w:val="NormalJustified"/>
    <w:uiPriority w:val="7"/>
    <w:semiHidden/>
    <w:qFormat/>
    <w:rsid w:val="00C670DE"/>
    <w:pPr>
      <w:spacing w:before="120" w:after="120"/>
      <w:ind w:left="284"/>
    </w:pPr>
  </w:style>
  <w:style w:type="character" w:customStyle="1" w:styleId="ECHRRed">
    <w:name w:val="ECHR_Red"/>
    <w:aliases w:val="_Red"/>
    <w:basedOn w:val="DefaultParagraphFont"/>
    <w:uiPriority w:val="15"/>
    <w:semiHidden/>
    <w:qFormat/>
    <w:rsid w:val="00C670DE"/>
    <w:rPr>
      <w:color w:val="C00000" w:themeColor="accent2"/>
    </w:rPr>
  </w:style>
  <w:style w:type="paragraph" w:customStyle="1" w:styleId="DecList">
    <w:name w:val="Dec_List"/>
    <w:aliases w:val="_List"/>
    <w:basedOn w:val="JuList"/>
    <w:uiPriority w:val="22"/>
    <w:rsid w:val="00C670DE"/>
    <w:pPr>
      <w:numPr>
        <w:numId w:val="0"/>
      </w:numPr>
      <w:ind w:left="284"/>
    </w:pPr>
  </w:style>
  <w:style w:type="table" w:customStyle="1" w:styleId="ECHRTable2">
    <w:name w:val="ECHR_Table_2"/>
    <w:basedOn w:val="TableNormal"/>
    <w:uiPriority w:val="99"/>
    <w:rsid w:val="00C670DE"/>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C670DE"/>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C670DE"/>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C670DE"/>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C670DE"/>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C670DE"/>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C670DE"/>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C670DE"/>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C670DE"/>
    <w:pPr>
      <w:outlineLvl w:val="0"/>
    </w:pPr>
  </w:style>
  <w:style w:type="paragraph" w:customStyle="1" w:styleId="ECHRTitleTOC1">
    <w:name w:val="ECHR_Title_TOC_1"/>
    <w:aliases w:val="_Title_L_TOC"/>
    <w:basedOn w:val="ECHRTitle1"/>
    <w:next w:val="Normal"/>
    <w:uiPriority w:val="27"/>
    <w:semiHidden/>
    <w:qFormat/>
    <w:rsid w:val="00C670DE"/>
    <w:pPr>
      <w:outlineLvl w:val="0"/>
    </w:pPr>
  </w:style>
  <w:style w:type="paragraph" w:customStyle="1" w:styleId="ECHRPlaceholder">
    <w:name w:val="ECHR_Placeholder"/>
    <w:aliases w:val="_Placeholder"/>
    <w:basedOn w:val="JuSigned"/>
    <w:uiPriority w:val="31"/>
    <w:rsid w:val="00C670DE"/>
    <w:rPr>
      <w:color w:val="FFFFFF"/>
    </w:rPr>
  </w:style>
  <w:style w:type="paragraph" w:customStyle="1" w:styleId="ECHRSpacer">
    <w:name w:val="ECHR_Spacer"/>
    <w:aliases w:val="_Spacer"/>
    <w:basedOn w:val="Normal"/>
    <w:uiPriority w:val="45"/>
    <w:semiHidden/>
    <w:rsid w:val="00C670DE"/>
    <w:rPr>
      <w:sz w:val="4"/>
    </w:rPr>
  </w:style>
  <w:style w:type="table" w:customStyle="1" w:styleId="ECHRTableGrey">
    <w:name w:val="ECHR_Table_Grey"/>
    <w:basedOn w:val="TableNormal"/>
    <w:uiPriority w:val="99"/>
    <w:rsid w:val="00C670DE"/>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C670DE"/>
    <w:rPr>
      <w:color w:val="605E5C"/>
      <w:shd w:val="clear" w:color="auto" w:fill="E1DFDD"/>
    </w:rPr>
  </w:style>
  <w:style w:type="character" w:customStyle="1" w:styleId="JuParaChar">
    <w:name w:val="Ju_Para Char"/>
    <w:aliases w:val="_Para Char"/>
    <w:link w:val="JuPara"/>
    <w:uiPriority w:val="4"/>
    <w:rsid w:val="00AC18CD"/>
    <w:rPr>
      <w:sz w:val="24"/>
      <w:szCs w:val="24"/>
      <w:lang w:val="en-GB"/>
    </w:rPr>
  </w:style>
  <w:style w:type="table" w:styleId="GridTable1Light">
    <w:name w:val="Grid Table 1 Light"/>
    <w:basedOn w:val="TableNormal"/>
    <w:uiPriority w:val="46"/>
    <w:semiHidden/>
    <w:rsid w:val="00400110"/>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400110"/>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400110"/>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400110"/>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400110"/>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400110"/>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400110"/>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400110"/>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400110"/>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400110"/>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400110"/>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400110"/>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400110"/>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400110"/>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40011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40011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40011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40011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40011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40011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40011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40011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40011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40011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40011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40011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40011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40011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40011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40011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40011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40011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40011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40011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40011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40011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400110"/>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400110"/>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400110"/>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400110"/>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400110"/>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400110"/>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40011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400110"/>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400110"/>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400110"/>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400110"/>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400110"/>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400110"/>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400110"/>
    <w:rPr>
      <w:color w:val="2B579A"/>
      <w:shd w:val="clear" w:color="auto" w:fill="E1DFDD"/>
    </w:rPr>
  </w:style>
  <w:style w:type="table" w:styleId="ListTable1Light">
    <w:name w:val="List Table 1 Light"/>
    <w:basedOn w:val="TableNormal"/>
    <w:uiPriority w:val="46"/>
    <w:semiHidden/>
    <w:rsid w:val="00400110"/>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400110"/>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400110"/>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400110"/>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400110"/>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400110"/>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400110"/>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400110"/>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400110"/>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400110"/>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400110"/>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400110"/>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400110"/>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400110"/>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400110"/>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400110"/>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400110"/>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400110"/>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400110"/>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400110"/>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400110"/>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40011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40011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40011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40011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40011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40011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40011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400110"/>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400110"/>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400110"/>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400110"/>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400110"/>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400110"/>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400110"/>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400110"/>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400110"/>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400110"/>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400110"/>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400110"/>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400110"/>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400110"/>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400110"/>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400110"/>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400110"/>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400110"/>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400110"/>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400110"/>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400110"/>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400110"/>
    <w:rPr>
      <w:color w:val="2B579A"/>
      <w:shd w:val="clear" w:color="auto" w:fill="E1DFDD"/>
    </w:rPr>
  </w:style>
  <w:style w:type="table" w:styleId="PlainTable1">
    <w:name w:val="Plain Table 1"/>
    <w:basedOn w:val="TableNormal"/>
    <w:uiPriority w:val="41"/>
    <w:semiHidden/>
    <w:rsid w:val="00400110"/>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40011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40011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40011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400110"/>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400110"/>
    <w:rPr>
      <w:u w:val="dotted"/>
    </w:rPr>
  </w:style>
  <w:style w:type="character" w:styleId="SmartLink">
    <w:name w:val="Smart Link"/>
    <w:basedOn w:val="DefaultParagraphFont"/>
    <w:uiPriority w:val="99"/>
    <w:semiHidden/>
    <w:unhideWhenUsed/>
    <w:rsid w:val="00400110"/>
    <w:rPr>
      <w:color w:val="0000FF"/>
      <w:u w:val="single"/>
      <w:shd w:val="clear" w:color="auto" w:fill="F3F2F1"/>
    </w:rPr>
  </w:style>
  <w:style w:type="table" w:styleId="GridTableLight">
    <w:name w:val="Grid Table Light"/>
    <w:basedOn w:val="TableNormal"/>
    <w:uiPriority w:val="40"/>
    <w:semiHidden/>
    <w:rsid w:val="00400110"/>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styleId="Revision">
    <w:name w:val="Revision"/>
    <w:hidden/>
    <w:uiPriority w:val="99"/>
    <w:semiHidden/>
    <w:rsid w:val="00465CAD"/>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2043</Words>
  <Characters>11469</Characters>
  <Application>Microsoft Office Word</Application>
  <DocSecurity>0</DocSecurity>
  <Lines>229</Lines>
  <Paragraphs>62</Paragraphs>
  <ScaleCrop>false</ScaleCrop>
  <HeadingPairs>
    <vt:vector size="2" baseType="variant">
      <vt:variant>
        <vt:lpstr>Title</vt:lpstr>
      </vt:variant>
      <vt:variant>
        <vt:i4>1</vt:i4>
      </vt:variant>
    </vt:vector>
  </HeadingPairs>
  <TitlesOfParts>
    <vt:vector size="1" baseType="lpstr">
      <vt:lpstr>Judgment</vt:lpstr>
    </vt:vector>
  </TitlesOfParts>
  <Company/>
  <LinksUpToDate>false</LinksUpToDate>
  <CharactersWithSpaces>13450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2023-03-31T12:28:00Z</dcterms:created>
  <dcterms:modified xsi:type="dcterms:W3CDTF">2023-03-31T12:41:00Z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1371955</vt:lpwstr>
  </property>
  <property fmtid="{D5CDD505-2E9C-101B-9397-08002B2CF9AE}" pid="3" name="cstLanguage">
    <vt:i4>2057</vt:i4>
  </property>
  <property fmtid="{D5CDD505-2E9C-101B-9397-08002B2CF9AE}" pid="4" name="RegisteredNo">
    <vt:lpwstr>13919/18</vt:lpwstr>
  </property>
</Properties>
</file>