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A1BB4" w:rsidR="00A15C06" w:rsidP="00DA1BB4" w14:paraId="312DF09D" w14:textId="77777777">
      <w:pPr>
        <w:jc w:val="center"/>
        <w:rPr>
          <w:rFonts w:ascii="Times New Roman" w:hAnsi="Times New Roman" w:cs="Times New Roman"/>
          <w:noProof/>
        </w:rPr>
      </w:pPr>
    </w:p>
    <w:p w:rsidRPr="00DA1BB4" w:rsidR="0098410D" w:rsidP="00DA1BB4" w14:paraId="7EF12BDB" w14:textId="77777777">
      <w:pPr>
        <w:jc w:val="center"/>
      </w:pPr>
    </w:p>
    <w:p w:rsidRPr="00DA1BB4" w:rsidR="0098410D" w:rsidP="00DA1BB4" w14:paraId="052C5AD0" w14:textId="7649B40F">
      <w:pPr>
        <w:pStyle w:val="DecHCase"/>
      </w:pPr>
      <w:r w:rsidRPr="00DA1BB4">
        <w:t>FOURTH SECTION</w:t>
      </w:r>
    </w:p>
    <w:p w:rsidRPr="00DA1BB4" w:rsidR="008E6217" w:rsidP="00DA1BB4" w14:paraId="11A4808F" w14:textId="477BBE9F">
      <w:pPr>
        <w:pStyle w:val="JuTitle"/>
      </w:pPr>
      <w:r w:rsidRPr="00DA1BB4">
        <w:rPr>
          <w:color w:val="000000" w:themeColor="text1"/>
        </w:rPr>
        <w:t xml:space="preserve">CASE OF </w:t>
      </w:r>
      <w:r w:rsidRPr="00DA1BB4" w:rsidR="00A15C06">
        <w:t>MITICHYAN v. ARMENIA</w:t>
      </w:r>
    </w:p>
    <w:p w:rsidRPr="00DA1BB4" w:rsidR="00D74888" w:rsidP="00DA1BB4" w14:paraId="6EE49AC1" w14:textId="6660C2EB">
      <w:pPr>
        <w:pStyle w:val="ECHRCoverTitle4"/>
      </w:pPr>
      <w:r w:rsidRPr="00DA1BB4">
        <w:t>(</w:t>
      </w:r>
      <w:r w:rsidRPr="00DA1BB4" w:rsidR="00A15C06">
        <w:rPr>
          <w:noProof/>
        </w:rPr>
        <w:t>Application no.</w:t>
      </w:r>
      <w:r w:rsidRPr="00DA1BB4">
        <w:t xml:space="preserve"> </w:t>
      </w:r>
      <w:r w:rsidRPr="00DA1BB4" w:rsidR="00A15C06">
        <w:t>34787/12</w:t>
      </w:r>
      <w:r w:rsidRPr="00DA1BB4">
        <w:t>)</w:t>
      </w:r>
    </w:p>
    <w:p w:rsidRPr="00DA1BB4" w:rsidR="0098410D" w:rsidP="00DA1BB4" w14:paraId="5311CFC7" w14:textId="77777777">
      <w:pPr>
        <w:pStyle w:val="DecHCase"/>
      </w:pPr>
    </w:p>
    <w:p w:rsidRPr="00DA1BB4" w:rsidR="0098410D" w:rsidP="00DA1BB4" w14:paraId="6D5CF442" w14:textId="77777777">
      <w:pPr>
        <w:pStyle w:val="DecHCase"/>
      </w:pPr>
    </w:p>
    <w:p w:rsidRPr="00DA1BB4" w:rsidR="00AC4CD4" w:rsidP="00DA1BB4" w14:paraId="2213888E" w14:textId="77777777">
      <w:pPr>
        <w:pStyle w:val="DecHCase"/>
      </w:pPr>
    </w:p>
    <w:p w:rsidRPr="00DA1BB4" w:rsidR="0098410D" w:rsidP="00DA1BB4" w14:paraId="626A7DBC" w14:textId="77777777">
      <w:pPr>
        <w:pStyle w:val="DecHCase"/>
      </w:pPr>
    </w:p>
    <w:p w:rsidRPr="00DA1BB4" w:rsidR="0098410D" w:rsidP="00DA1BB4" w14:paraId="2A668072" w14:textId="3F94F223">
      <w:pPr>
        <w:pStyle w:val="DecHCase"/>
      </w:pPr>
      <w:r w:rsidRPr="00DA1BB4">
        <w:t>JUDGMENT</w:t>
      </w:r>
      <w:r w:rsidRPr="00DA1BB4" w:rsidR="00AC4CD4">
        <w:br/>
      </w:r>
    </w:p>
    <w:p w:rsidRPr="00DA1BB4" w:rsidR="0098410D" w:rsidP="00DA1BB4" w14:paraId="395A6583" w14:textId="77777777">
      <w:pPr>
        <w:pStyle w:val="DecHCase"/>
      </w:pPr>
      <w:r w:rsidRPr="00DA1BB4">
        <w:t>STRASBOURG</w:t>
      </w:r>
    </w:p>
    <w:p w:rsidRPr="00DA1BB4" w:rsidR="0098410D" w:rsidP="00DA1BB4" w14:paraId="5BF53319" w14:textId="111770CE">
      <w:pPr>
        <w:pStyle w:val="DecHCase"/>
      </w:pPr>
      <w:r w:rsidRPr="00DA1BB4">
        <w:rPr>
          <w:rFonts w:ascii="Times New Roman" w:hAnsi="Times New Roman" w:cs="Times New Roman"/>
        </w:rPr>
        <w:t>21 March 2023</w:t>
      </w:r>
    </w:p>
    <w:p w:rsidRPr="00DA1BB4" w:rsidR="00AC4CD4" w:rsidP="00DA1BB4" w14:paraId="68B61E1F" w14:textId="77777777">
      <w:pPr>
        <w:pStyle w:val="JuPara"/>
      </w:pPr>
    </w:p>
    <w:p w:rsidRPr="00DA1BB4" w:rsidR="002422B6" w:rsidP="00DA1BB4" w14:paraId="2DAE7583" w14:textId="2612B2F2">
      <w:pPr>
        <w:rPr>
          <w:i/>
          <w:sz w:val="22"/>
        </w:rPr>
      </w:pPr>
      <w:r w:rsidRPr="00DA1BB4">
        <w:rPr>
          <w:i/>
          <w:sz w:val="22"/>
        </w:rPr>
        <w:t xml:space="preserve">This judgment </w:t>
      </w:r>
      <w:r w:rsidRPr="00DA1BB4" w:rsidR="00A15C06">
        <w:rPr>
          <w:i/>
          <w:noProof/>
          <w:sz w:val="22"/>
        </w:rPr>
        <w:t>is final but it</w:t>
      </w:r>
      <w:r w:rsidRPr="00DA1BB4">
        <w:rPr>
          <w:i/>
          <w:sz w:val="22"/>
        </w:rPr>
        <w:t xml:space="preserve"> may be subject to editorial revision.</w:t>
      </w:r>
    </w:p>
    <w:p w:rsidRPr="00DA1BB4" w:rsidR="0098410D" w:rsidP="00DA1BB4" w14:paraId="18DEEBC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A1BB4" w:rsidR="0098410D" w:rsidP="00DA1BB4" w14:paraId="3B08B658" w14:textId="41C3DE32">
      <w:pPr>
        <w:pStyle w:val="JuCase"/>
      </w:pPr>
      <w:r w:rsidRPr="00DA1BB4">
        <w:t xml:space="preserve">In the case of </w:t>
      </w:r>
      <w:r w:rsidRPr="00DA1BB4" w:rsidR="00A15C06">
        <w:t>Mitichyan</w:t>
      </w:r>
      <w:r w:rsidRPr="00DA1BB4" w:rsidR="00A15C06">
        <w:t xml:space="preserve"> v. Armenia</w:t>
      </w:r>
      <w:r w:rsidRPr="00DA1BB4">
        <w:t>,</w:t>
      </w:r>
    </w:p>
    <w:p w:rsidRPr="00DA1BB4" w:rsidR="009F4C8F" w:rsidP="00DA1BB4" w14:paraId="58482183" w14:textId="62D79591">
      <w:pPr>
        <w:pStyle w:val="JuPara"/>
      </w:pPr>
      <w:r w:rsidRPr="00DA1BB4">
        <w:t>The European Court of Human Rights (</w:t>
      </w:r>
      <w:r w:rsidRPr="00DA1BB4" w:rsidR="00A15C06">
        <w:t>Fourth Section</w:t>
      </w:r>
      <w:r w:rsidRPr="00DA1BB4">
        <w:t xml:space="preserve">), sitting as a </w:t>
      </w:r>
      <w:r w:rsidRPr="00DA1BB4" w:rsidR="00A15C06">
        <w:rPr>
          <w:noProof/>
        </w:rPr>
        <w:t>Committee</w:t>
      </w:r>
      <w:r w:rsidRPr="00DA1BB4">
        <w:t xml:space="preserve"> composed of:</w:t>
      </w:r>
    </w:p>
    <w:p w:rsidRPr="00DA1BB4" w:rsidR="009F4C8F" w:rsidP="00DA1BB4" w14:paraId="623A8CBC" w14:textId="1F140153">
      <w:pPr>
        <w:pStyle w:val="JuJudges"/>
      </w:pPr>
      <w:r w:rsidRPr="00DA1BB4">
        <w:tab/>
        <w:t>Anja Seibert-Fohr</w:t>
      </w:r>
      <w:r w:rsidRPr="00DA1BB4">
        <w:rPr>
          <w:i/>
        </w:rPr>
        <w:t>, President</w:t>
      </w:r>
      <w:r w:rsidRPr="00DA1BB4">
        <w:t>,</w:t>
      </w:r>
      <w:r w:rsidRPr="00DA1BB4">
        <w:br/>
      </w:r>
      <w:r w:rsidRPr="00DA1BB4">
        <w:tab/>
        <w:t>Armen Harutyunyan,</w:t>
      </w:r>
      <w:r w:rsidRPr="00DA1BB4">
        <w:br/>
      </w:r>
      <w:r w:rsidRPr="00DA1BB4">
        <w:tab/>
        <w:t>Ana Maria Guerra Martins</w:t>
      </w:r>
      <w:r w:rsidRPr="00DA1BB4">
        <w:rPr>
          <w:i/>
        </w:rPr>
        <w:t>, judges</w:t>
      </w:r>
      <w:r w:rsidRPr="00DA1BB4">
        <w:t>,</w:t>
      </w:r>
      <w:r w:rsidRPr="00DA1BB4">
        <w:br/>
        <w:t xml:space="preserve">and </w:t>
      </w:r>
      <w:r w:rsidRPr="00DA1BB4">
        <w:rPr>
          <w:noProof/>
        </w:rPr>
        <w:t>Valentin Nicolescu</w:t>
      </w:r>
      <w:r w:rsidRPr="00DA1BB4">
        <w:t xml:space="preserve">, </w:t>
      </w:r>
      <w:r w:rsidRPr="00DA1BB4">
        <w:rPr>
          <w:i/>
          <w:iCs/>
        </w:rPr>
        <w:t xml:space="preserve">Acting </w:t>
      </w:r>
      <w:r w:rsidRPr="00DA1BB4" w:rsidR="00A15C06">
        <w:rPr>
          <w:i/>
          <w:noProof/>
        </w:rPr>
        <w:t xml:space="preserve">Deputy Section </w:t>
      </w:r>
      <w:r w:rsidRPr="00DA1BB4" w:rsidR="00A15C06">
        <w:rPr>
          <w:i/>
          <w:iCs/>
          <w:noProof/>
        </w:rPr>
        <w:t>Registrar</w:t>
      </w:r>
      <w:r w:rsidRPr="00DA1BB4">
        <w:rPr>
          <w:i/>
        </w:rPr>
        <w:t>,</w:t>
      </w:r>
    </w:p>
    <w:p w:rsidRPr="00DA1BB4" w:rsidR="00A15C06" w:rsidP="00DA1BB4" w14:paraId="7B35E295" w14:textId="77777777">
      <w:pPr>
        <w:pStyle w:val="JuPara"/>
      </w:pPr>
      <w:r w:rsidRPr="00DA1BB4">
        <w:t>Having regard to:</w:t>
      </w:r>
    </w:p>
    <w:p w:rsidRPr="00DA1BB4" w:rsidR="00A15C06" w:rsidP="00DA1BB4" w14:paraId="5D42699C" w14:textId="6E4B05F3">
      <w:pPr>
        <w:pStyle w:val="JuPara"/>
      </w:pPr>
      <w:r w:rsidRPr="00DA1BB4">
        <w:t>the application (no. 34787/12) against the Republic of Armenia lodged with the Court under Article 34 of the Convention for the Protection of Human Rights and Fundamental Freedoms (“the Convention”) on 29</w:t>
      </w:r>
      <w:r w:rsidRPr="00DA1BB4" w:rsidR="004126B3">
        <w:t> </w:t>
      </w:r>
      <w:r w:rsidRPr="00DA1BB4">
        <w:t>May</w:t>
      </w:r>
      <w:r w:rsidRPr="00DA1BB4" w:rsidR="004126B3">
        <w:t> </w:t>
      </w:r>
      <w:r w:rsidRPr="00DA1BB4">
        <w:t xml:space="preserve">2012 by an Armenian national, Mr Gharib </w:t>
      </w:r>
      <w:r w:rsidRPr="00DA1BB4">
        <w:t>Mitichyan</w:t>
      </w:r>
      <w:r w:rsidRPr="00DA1BB4">
        <w:t xml:space="preserve">, born in 1950 and living in the village of </w:t>
      </w:r>
      <w:r w:rsidRPr="00DA1BB4">
        <w:t>Lernapat</w:t>
      </w:r>
      <w:r w:rsidRPr="00DA1BB4">
        <w:t xml:space="preserve"> (“the applicant”) who was represented by Ms L. Hakobyan and Mr T. </w:t>
      </w:r>
      <w:r w:rsidRPr="00DA1BB4">
        <w:t>Yegoryan</w:t>
      </w:r>
      <w:r w:rsidRPr="00DA1BB4">
        <w:t>, lawyers practising in Yerevan;</w:t>
      </w:r>
    </w:p>
    <w:p w:rsidRPr="00DA1BB4" w:rsidR="00A15C06" w:rsidP="00DA1BB4" w14:paraId="57DA6CB2" w14:textId="77777777">
      <w:pPr>
        <w:pStyle w:val="JuPara"/>
      </w:pPr>
      <w:r w:rsidRPr="00DA1BB4">
        <w:t xml:space="preserve">the decision to give notice of the application to the Armenian Government (“the Government”), represented by their Agent, Mr G. </w:t>
      </w:r>
      <w:r w:rsidRPr="00DA1BB4">
        <w:t>Kostanyan</w:t>
      </w:r>
      <w:r w:rsidRPr="00DA1BB4">
        <w:t xml:space="preserve">, and subsequently by Mr Y. </w:t>
      </w:r>
      <w:r w:rsidRPr="00DA1BB4">
        <w:t>Kirakosyan</w:t>
      </w:r>
      <w:r w:rsidRPr="00DA1BB4">
        <w:t>, Representative of the Republic of Armenia on International Legal Matters;</w:t>
      </w:r>
    </w:p>
    <w:p w:rsidRPr="00DA1BB4" w:rsidR="00A15C06" w:rsidP="00DA1BB4" w14:paraId="7188DF7F" w14:textId="1210089E">
      <w:pPr>
        <w:pStyle w:val="JuPara"/>
      </w:pPr>
      <w:r w:rsidRPr="00DA1BB4">
        <w:t>the parties</w:t>
      </w:r>
      <w:r w:rsidRPr="00DA1BB4" w:rsidR="00DA1BB4">
        <w:t>’</w:t>
      </w:r>
      <w:r w:rsidRPr="00DA1BB4">
        <w:t xml:space="preserve"> observations;</w:t>
      </w:r>
    </w:p>
    <w:p w:rsidRPr="00DA1BB4" w:rsidR="009F4C8F" w:rsidP="00DA1BB4" w14:paraId="497F94EC" w14:textId="731CE05A">
      <w:pPr>
        <w:pStyle w:val="JuPara"/>
      </w:pPr>
      <w:r w:rsidRPr="00DA1BB4">
        <w:t xml:space="preserve">Having deliberated in private on </w:t>
      </w:r>
      <w:r w:rsidRPr="00DA1BB4" w:rsidR="00A15C06">
        <w:t>28 February 2023</w:t>
      </w:r>
      <w:r w:rsidRPr="00DA1BB4">
        <w:t>,</w:t>
      </w:r>
    </w:p>
    <w:p w:rsidRPr="00DA1BB4" w:rsidR="009F4C8F" w:rsidP="00DA1BB4" w14:paraId="3E80EE76" w14:textId="77777777">
      <w:pPr>
        <w:pStyle w:val="JuPara"/>
      </w:pPr>
      <w:r w:rsidRPr="00DA1BB4">
        <w:t>Delivers the following judgment, which was adopted on that date:</w:t>
      </w:r>
    </w:p>
    <w:p w:rsidRPr="00DA1BB4" w:rsidR="00A15C06" w:rsidP="00DA1BB4" w14:paraId="7348FEB4" w14:textId="4E2FFA55">
      <w:pPr>
        <w:pStyle w:val="JuHHead"/>
        <w:numPr>
          <w:ilvl w:val="0"/>
          <w:numId w:val="0"/>
        </w:numPr>
      </w:pPr>
      <w:r w:rsidRPr="00DA1BB4">
        <w:t>SUBJECT MATTER OF THE CASE</w:t>
      </w:r>
    </w:p>
    <w:p w:rsidRPr="00DA1BB4" w:rsidR="00A15C06" w:rsidP="00DA1BB4" w14:paraId="5260376D" w14:textId="214EA47C">
      <w:pPr>
        <w:pStyle w:val="JuPara"/>
      </w:pPr>
      <w:r>
        <w:fldChar w:fldCharType="begin"/>
      </w:r>
      <w:r>
        <w:instrText xml:space="preserve"> SEQ level0 \*arabic \* MERGEFORMAT </w:instrText>
      </w:r>
      <w:r>
        <w:fldChar w:fldCharType="separate"/>
      </w:r>
      <w:r w:rsidRPr="00DA1BB4">
        <w:rPr>
          <w:noProof/>
        </w:rPr>
        <w:t>1</w:t>
      </w:r>
      <w:r w:rsidRPr="00DA1BB4">
        <w:rPr>
          <w:noProof/>
        </w:rPr>
        <w:fldChar w:fldCharType="end"/>
      </w:r>
      <w:r w:rsidRPr="00DA1BB4">
        <w:t>.  The case concerns the defamation proceedings against the applicant and raises an issue under Article 10 of the Convention.</w:t>
      </w:r>
    </w:p>
    <w:p w:rsidRPr="00DA1BB4" w:rsidR="00A15C06" w:rsidP="00DA1BB4" w14:paraId="503B2A23" w14:textId="7FD0169A">
      <w:pPr>
        <w:pStyle w:val="JuPara"/>
      </w:pPr>
      <w:r>
        <w:fldChar w:fldCharType="begin"/>
      </w:r>
      <w:r>
        <w:instrText xml:space="preserve"> SEQ level0 \*arabic \* MERGEFORMAT </w:instrText>
      </w:r>
      <w:r>
        <w:fldChar w:fldCharType="separate"/>
      </w:r>
      <w:r w:rsidRPr="00DA1BB4">
        <w:rPr>
          <w:noProof/>
        </w:rPr>
        <w:t>2</w:t>
      </w:r>
      <w:r w:rsidRPr="00DA1BB4">
        <w:rPr>
          <w:noProof/>
        </w:rPr>
        <w:fldChar w:fldCharType="end"/>
      </w:r>
      <w:r w:rsidRPr="00DA1BB4">
        <w:t xml:space="preserve">.  In March 2010 criminal proceedings were instituted against the mayor of </w:t>
      </w:r>
      <w:r w:rsidRPr="00DA1BB4">
        <w:t>Lernapat</w:t>
      </w:r>
      <w:r w:rsidRPr="00DA1BB4">
        <w:t xml:space="preserve"> village, V.Y., who was charged with embezzlement, abuse of authority and official falsification, </w:t>
      </w:r>
      <w:r w:rsidRPr="00DA1BB4">
        <w:t>on the basis of</w:t>
      </w:r>
      <w:r w:rsidRPr="00DA1BB4">
        <w:t xml:space="preserve"> collective complaints by more than 250 villagers. </w:t>
      </w:r>
      <w:r w:rsidRPr="00DA1BB4">
        <w:t>In the course of</w:t>
      </w:r>
      <w:r w:rsidRPr="00DA1BB4">
        <w:t xml:space="preserve"> the investigation a number of villagers alleged, </w:t>
      </w:r>
      <w:r w:rsidRPr="00DA1BB4">
        <w:rPr>
          <w:i/>
        </w:rPr>
        <w:t>inter alia</w:t>
      </w:r>
      <w:r w:rsidRPr="00DA1BB4">
        <w:t>, that V.Y. had granted financial aid to his relatives; had exempted the latter from paying property tax; and had paid for his publications from the local budget. On 21 December 2011 the charges against V.Y. were dropped.</w:t>
      </w:r>
    </w:p>
    <w:bookmarkStart w:name="background_of_the_case" w:id="0"/>
    <w:p w:rsidRPr="00DA1BB4" w:rsidR="00A15C06" w:rsidP="00DA1BB4" w14:paraId="08CC5CE1" w14:textId="5C00B594">
      <w:pPr>
        <w:pStyle w:val="JuPara"/>
      </w:pPr>
      <w:r w:rsidRPr="00DA1BB4">
        <w:fldChar w:fldCharType="begin"/>
      </w:r>
      <w:r w:rsidRPr="00DA1BB4">
        <w:instrText xml:space="preserve"> SEQ level0 \*arabic \* MERGEFORMAT </w:instrText>
      </w:r>
      <w:r w:rsidRPr="00DA1BB4">
        <w:fldChar w:fldCharType="separate"/>
      </w:r>
      <w:r w:rsidRPr="00DA1BB4" w:rsidR="00DA1BB4">
        <w:rPr>
          <w:noProof/>
        </w:rPr>
        <w:t>3</w:t>
      </w:r>
      <w:r w:rsidRPr="00DA1BB4">
        <w:fldChar w:fldCharType="end"/>
      </w:r>
      <w:bookmarkEnd w:id="0"/>
      <w:r w:rsidRPr="00DA1BB4">
        <w:t xml:space="preserve">.  On 1 September 2010 article was published in a local newspaper featuring interviews with residents of </w:t>
      </w:r>
      <w:r w:rsidRPr="00DA1BB4">
        <w:t>Lernapat</w:t>
      </w:r>
      <w:r w:rsidRPr="00DA1BB4">
        <w:t>, including the applicant, critical of the mayor. The applicant</w:t>
      </w:r>
      <w:r w:rsidRPr="00DA1BB4" w:rsidR="00DA1BB4">
        <w:t>’</w:t>
      </w:r>
      <w:r w:rsidRPr="00DA1BB4">
        <w:t>s statements, in so far as relevant, read as follows:</w:t>
      </w:r>
    </w:p>
    <w:p w:rsidRPr="00DA1BB4" w:rsidR="00A15C06" w:rsidP="00DA1BB4" w14:paraId="4D9B4EFA" w14:textId="14D6A3DC">
      <w:pPr>
        <w:pStyle w:val="JuQuot"/>
      </w:pPr>
      <w:r w:rsidRPr="00DA1BB4">
        <w:t xml:space="preserve">“... </w:t>
      </w:r>
      <w:r w:rsidRPr="00DA1BB4">
        <w:rPr>
          <w:i/>
          <w:iCs/>
        </w:rPr>
        <w:t xml:space="preserve">The </w:t>
      </w:r>
      <w:r w:rsidRPr="00DA1BB4" w:rsidR="00DA3160">
        <w:rPr>
          <w:i/>
          <w:iCs/>
        </w:rPr>
        <w:t xml:space="preserve">mayor </w:t>
      </w:r>
      <w:r w:rsidRPr="00DA1BB4">
        <w:rPr>
          <w:i/>
          <w:iCs/>
        </w:rPr>
        <w:t xml:space="preserve">himself allocated to my elder son a plot to build a house on, but asked for 500 dollars ... Then </w:t>
      </w:r>
      <w:r w:rsidRPr="00DA1BB4">
        <w:rPr>
          <w:i/>
          <w:iCs/>
        </w:rPr>
        <w:t>again</w:t>
      </w:r>
      <w:r w:rsidRPr="00DA1BB4">
        <w:rPr>
          <w:i/>
          <w:iCs/>
        </w:rPr>
        <w:t xml:space="preserve"> he brought a complaint to the court saying that this was an illegal construction. We did not pay those 500 dollars since we knew what kind of a man he was. We thought we would try everything first and only then [statement </w:t>
      </w:r>
      <w:r w:rsidRPr="00DA1BB4">
        <w:rPr>
          <w:i/>
          <w:iCs/>
        </w:rPr>
        <w:t>A]</w:t>
      </w:r>
      <w:r w:rsidRPr="00DA1BB4">
        <w:t>...</w:t>
      </w:r>
      <w:r w:rsidRPr="00DA1BB4" w:rsidR="00DA1BB4">
        <w:t> </w:t>
      </w:r>
      <w:r w:rsidRPr="00DA1BB4">
        <w:t>I</w:t>
      </w:r>
      <w:r w:rsidRPr="00DA1BB4" w:rsidR="00E367A9">
        <w:t> </w:t>
      </w:r>
      <w:r w:rsidRPr="00DA1BB4">
        <w:t xml:space="preserve">applied to the </w:t>
      </w:r>
      <w:r w:rsidRPr="00DA1BB4" w:rsidR="00DA3160">
        <w:t xml:space="preserve">mayor </w:t>
      </w:r>
      <w:r w:rsidRPr="00DA1BB4">
        <w:t>many times when my grandchild was near death. Instead of 50,000</w:t>
      </w:r>
      <w:r w:rsidRPr="00DA1BB4" w:rsidR="00F0349B">
        <w:t> </w:t>
      </w:r>
      <w:r w:rsidRPr="00DA1BB4">
        <w:t xml:space="preserve">[Armenian drams (AMD)] he lent me [AMD] 15,000, but later – because of being short of money – wrote that I owed [AMD] 50,000. I am cancelling the </w:t>
      </w:r>
      <w:r w:rsidRPr="00DA1BB4">
        <w:t>[AMD]</w:t>
      </w:r>
      <w:r w:rsidRPr="00DA1BB4" w:rsidR="00F0349B">
        <w:t> </w:t>
      </w:r>
      <w:r w:rsidRPr="00DA1BB4">
        <w:t xml:space="preserve">15,000 he said. </w:t>
      </w:r>
      <w:r w:rsidRPr="00DA1BB4">
        <w:rPr>
          <w:i/>
          <w:iCs/>
        </w:rPr>
        <w:t xml:space="preserve">The other day I called my daughter-in-law and said: </w:t>
      </w:r>
      <w:r w:rsidRPr="00DA1BB4" w:rsidR="00DA1BB4">
        <w:rPr>
          <w:i/>
          <w:iCs/>
        </w:rPr>
        <w:t>‘</w:t>
      </w:r>
      <w:r w:rsidRPr="00DA1BB4">
        <w:rPr>
          <w:i/>
          <w:iCs/>
        </w:rPr>
        <w:t>My child, there is [a sum of financial aid]in your name as well</w:t>
      </w:r>
      <w:r w:rsidRPr="00DA1BB4" w:rsidR="00DA1BB4">
        <w:rPr>
          <w:i/>
          <w:iCs/>
        </w:rPr>
        <w:t>’</w:t>
      </w:r>
      <w:r w:rsidRPr="00DA1BB4">
        <w:rPr>
          <w:i/>
          <w:iCs/>
        </w:rPr>
        <w:t xml:space="preserve">, and she said: </w:t>
      </w:r>
      <w:r w:rsidRPr="00DA1BB4" w:rsidR="00DA1BB4">
        <w:rPr>
          <w:i/>
          <w:iCs/>
        </w:rPr>
        <w:t>‘</w:t>
      </w:r>
      <w:r w:rsidRPr="00DA1BB4">
        <w:rPr>
          <w:i/>
          <w:iCs/>
        </w:rPr>
        <w:t>But, dad, I have not received any money</w:t>
      </w:r>
      <w:r w:rsidRPr="00DA1BB4" w:rsidR="00DA1BB4">
        <w:rPr>
          <w:i/>
          <w:iCs/>
        </w:rPr>
        <w:t>’</w:t>
      </w:r>
      <w:r w:rsidRPr="00DA1BB4">
        <w:rPr>
          <w:i/>
          <w:iCs/>
        </w:rPr>
        <w:t xml:space="preserve"> [statement B].</w:t>
      </w:r>
      <w:r w:rsidRPr="00DA1BB4">
        <w:t xml:space="preserve"> There is [AMD] 50,000 [of financial aid] in my name, [another] [AMD] 50,000 on my son</w:t>
      </w:r>
      <w:r w:rsidRPr="00DA1BB4" w:rsidR="00DA1BB4">
        <w:t>’</w:t>
      </w:r>
      <w:r w:rsidRPr="00DA1BB4">
        <w:t>s name, and also on my other son</w:t>
      </w:r>
      <w:r w:rsidRPr="00DA1BB4" w:rsidR="00DA1BB4">
        <w:t>’</w:t>
      </w:r>
      <w:r w:rsidRPr="00DA1BB4">
        <w:t xml:space="preserve">s name, to whom he did not give anything at all, because he is a friend; he said: </w:t>
      </w:r>
      <w:r w:rsidRPr="00DA1BB4" w:rsidR="00DA1BB4">
        <w:t>‘</w:t>
      </w:r>
      <w:r w:rsidRPr="00DA1BB4">
        <w:t>Hovo</w:t>
      </w:r>
      <w:r w:rsidRPr="00DA1BB4">
        <w:t>, dear, bring that [AMD] 50,000, I need to buy petrol, I have expenses and I am in need</w:t>
      </w:r>
      <w:r w:rsidRPr="00DA1BB4" w:rsidR="00DA1BB4">
        <w:t>’</w:t>
      </w:r>
      <w:r w:rsidRPr="00DA1BB4">
        <w:t xml:space="preserve">, but what need... He is always oppressing us. You go to get some paper from him; he is always rude to you, saying: </w:t>
      </w:r>
      <w:r w:rsidRPr="00DA1BB4" w:rsidR="00DA1BB4">
        <w:t>‘</w:t>
      </w:r>
      <w:r w:rsidRPr="00DA1BB4">
        <w:t>Go away. These are not my working hours</w:t>
      </w:r>
      <w:r w:rsidRPr="00DA1BB4" w:rsidR="00DA1BB4">
        <w:t>’</w:t>
      </w:r>
      <w:r w:rsidRPr="00DA1BB4">
        <w:t>. You never know when his working hours are.</w:t>
      </w:r>
      <w:r w:rsidRPr="00DA1BB4">
        <w:rPr>
          <w:i/>
          <w:iCs/>
        </w:rPr>
        <w:t xml:space="preserve"> If I lose my mind a little, I will just slaughter [(</w:t>
      </w:r>
      <w:r w:rsidRPr="00DA1BB4">
        <w:rPr>
          <w:i/>
          <w:iCs/>
        </w:rPr>
        <w:t>կսատկացնեմ</w:t>
      </w:r>
      <w:r w:rsidRPr="00DA1BB4">
        <w:rPr>
          <w:i/>
          <w:iCs/>
        </w:rPr>
        <w:t>)] him [statement C]</w:t>
      </w:r>
      <w:r w:rsidRPr="00DA1BB4">
        <w:t>. You cannot test someone</w:t>
      </w:r>
      <w:r w:rsidRPr="00DA1BB4" w:rsidR="00DA1BB4">
        <w:t>’</w:t>
      </w:r>
      <w:r w:rsidRPr="00DA1BB4">
        <w:t>s patience forever ... We constantly live in an atmosphere of fear...</w:t>
      </w:r>
      <w:r w:rsidRPr="00DA1BB4">
        <w:rPr>
          <w:rFonts w:eastAsiaTheme="minorEastAsia"/>
          <w:sz w:val="24"/>
          <w:szCs w:val="22"/>
        </w:rPr>
        <w:t xml:space="preserve"> </w:t>
      </w:r>
      <w:r w:rsidRPr="00DA1BB4">
        <w:rPr>
          <w:i/>
          <w:iCs/>
        </w:rPr>
        <w:t>He did not even allow us to sow wheat [statement D]</w:t>
      </w:r>
      <w:r w:rsidRPr="00DA1BB4">
        <w:t xml:space="preserve">. He said: </w:t>
      </w:r>
      <w:r w:rsidRPr="00DA1BB4" w:rsidR="00DA1BB4">
        <w:t>‘</w:t>
      </w:r>
      <w:r w:rsidRPr="00DA1BB4">
        <w:t>What do you need it for? Grow grass and sell it</w:t>
      </w:r>
      <w:r w:rsidRPr="00DA1BB4" w:rsidR="00DA1BB4">
        <w:t>’</w:t>
      </w:r>
      <w:r w:rsidRPr="00DA1BB4">
        <w:t>...”</w:t>
      </w:r>
    </w:p>
    <w:p w:rsidRPr="00DA1BB4" w:rsidR="00A15C06" w:rsidP="00DA1BB4" w14:paraId="5A31A6A8" w14:textId="3C15865D">
      <w:pPr>
        <w:pStyle w:val="JuQuot"/>
      </w:pPr>
      <w:r w:rsidRPr="00DA1BB4">
        <w:t>...</w:t>
      </w:r>
    </w:p>
    <w:p w:rsidRPr="00DA1BB4" w:rsidR="00A15C06" w:rsidP="00DA1BB4" w14:paraId="3DD37311" w14:textId="36140523">
      <w:pPr>
        <w:pStyle w:val="JuQuot"/>
      </w:pPr>
      <w:r w:rsidRPr="00DA1BB4">
        <w:t xml:space="preserve">“...By the way, according to </w:t>
      </w:r>
      <w:r w:rsidRPr="00DA1BB4">
        <w:t>Mitichyan</w:t>
      </w:r>
      <w:r w:rsidRPr="00DA1BB4">
        <w:t xml:space="preserve">, </w:t>
      </w:r>
      <w:r w:rsidRPr="00DA1BB4">
        <w:rPr>
          <w:i/>
          <w:iCs/>
        </w:rPr>
        <w:t>the mayor had hid and would not give the documents of [his son</w:t>
      </w:r>
      <w:r w:rsidRPr="00DA1BB4" w:rsidR="00DA1BB4">
        <w:rPr>
          <w:i/>
          <w:iCs/>
        </w:rPr>
        <w:t>’</w:t>
      </w:r>
      <w:r w:rsidRPr="00DA1BB4">
        <w:rPr>
          <w:i/>
          <w:iCs/>
        </w:rPr>
        <w:t xml:space="preserve">s] house [statement </w:t>
      </w:r>
      <w:r w:rsidRPr="00DA1BB4">
        <w:rPr>
          <w:i/>
          <w:iCs/>
        </w:rPr>
        <w:t>E]</w:t>
      </w:r>
      <w:r w:rsidRPr="00DA1BB4">
        <w:t>...</w:t>
      </w:r>
      <w:r w:rsidRPr="00DA1BB4">
        <w:t>”</w:t>
      </w:r>
    </w:p>
    <w:bookmarkStart w:name="proof_for_value_judgment" w:id="1"/>
    <w:p w:rsidRPr="00DA1BB4" w:rsidR="00A15C06" w:rsidP="00DA1BB4" w14:paraId="73F22C90" w14:textId="7BA0CD79">
      <w:pPr>
        <w:pStyle w:val="JuPara"/>
      </w:pPr>
      <w:r w:rsidRPr="00DA1BB4">
        <w:fldChar w:fldCharType="begin"/>
      </w:r>
      <w:r w:rsidRPr="00DA1BB4">
        <w:instrText xml:space="preserve"> SEQ level0 \*arabic \* MERGEFORMAT </w:instrText>
      </w:r>
      <w:r w:rsidRPr="00DA1BB4">
        <w:fldChar w:fldCharType="separate"/>
      </w:r>
      <w:r w:rsidRPr="00DA1BB4" w:rsidR="00DA1BB4">
        <w:rPr>
          <w:noProof/>
        </w:rPr>
        <w:t>4</w:t>
      </w:r>
      <w:r w:rsidRPr="00DA1BB4">
        <w:fldChar w:fldCharType="end"/>
      </w:r>
      <w:bookmarkEnd w:id="1"/>
      <w:r w:rsidRPr="00DA1BB4">
        <w:t xml:space="preserve">.  The mayor instituted civil proceedings against the applicant for defamation and insult, with respect to some of his statements (identified under letters A to E in paragraph </w:t>
      </w:r>
      <w:r w:rsidRPr="00DA1BB4">
        <w:fldChar w:fldCharType="begin"/>
      </w:r>
      <w:r w:rsidRPr="00DA1BB4">
        <w:instrText xml:space="preserve"> REF background_of_the_case \h </w:instrText>
      </w:r>
      <w:r w:rsidRPr="00DA1BB4">
        <w:fldChar w:fldCharType="separate"/>
      </w:r>
      <w:r w:rsidRPr="00DA1BB4" w:rsidR="00DA1BB4">
        <w:rPr>
          <w:noProof/>
        </w:rPr>
        <w:t>3</w:t>
      </w:r>
      <w:r w:rsidRPr="00DA1BB4">
        <w:fldChar w:fldCharType="end"/>
      </w:r>
      <w:r w:rsidRPr="00DA1BB4">
        <w:t xml:space="preserve"> above). He submitted, among other things, a document that the alleged financial aid had been extended not to the applicant</w:t>
      </w:r>
      <w:r w:rsidRPr="00DA1BB4" w:rsidR="00DA1BB4">
        <w:t>’</w:t>
      </w:r>
      <w:r w:rsidRPr="00DA1BB4">
        <w:t>s daughter-in-law but to another village resident having the same name and surname as her. The mayor also submitted certificates issued by himself that he had never allocated land to the applicant or his sons and had never brought a complaint against any of them with respect to the purported land allocation. Rather, the applicant</w:t>
      </w:r>
      <w:r w:rsidRPr="00DA1BB4" w:rsidR="00DA1BB4">
        <w:t>’</w:t>
      </w:r>
      <w:r w:rsidRPr="00DA1BB4">
        <w:t>s son</w:t>
      </w:r>
      <w:r w:rsidRPr="00DA1BB4" w:rsidR="00DA1BB4">
        <w:t>’</w:t>
      </w:r>
      <w:r w:rsidRPr="00DA1BB4">
        <w:t>s property had been recognised as illegal construction and only later bought back from the community.</w:t>
      </w:r>
    </w:p>
    <w:bookmarkStart w:name="explanation_by_the_applicant" w:id="2"/>
    <w:p w:rsidRPr="00DA1BB4" w:rsidR="00A15C06" w:rsidP="00DA1BB4" w14:paraId="7F4E7E1E" w14:textId="4DC95F82">
      <w:pPr>
        <w:pStyle w:val="JuPara"/>
      </w:pPr>
      <w:r w:rsidRPr="00DA1BB4">
        <w:fldChar w:fldCharType="begin"/>
      </w:r>
      <w:r w:rsidRPr="00DA1BB4">
        <w:instrText xml:space="preserve"> SEQ level0 \*arabic \* MERGEFORMAT </w:instrText>
      </w:r>
      <w:r w:rsidRPr="00DA1BB4">
        <w:fldChar w:fldCharType="separate"/>
      </w:r>
      <w:r w:rsidRPr="00DA1BB4" w:rsidR="00DA1BB4">
        <w:rPr>
          <w:noProof/>
        </w:rPr>
        <w:t>5</w:t>
      </w:r>
      <w:r w:rsidRPr="00DA1BB4">
        <w:fldChar w:fldCharType="end"/>
      </w:r>
      <w:bookmarkEnd w:id="2"/>
      <w:r w:rsidRPr="00DA1BB4">
        <w:t>.  The applicant, relying on Article 10 of the Convention, objected to the mayor</w:t>
      </w:r>
      <w:r w:rsidRPr="00DA1BB4" w:rsidR="00DA1BB4">
        <w:t>’</w:t>
      </w:r>
      <w:r w:rsidRPr="00DA1BB4">
        <w:t xml:space="preserve">s </w:t>
      </w:r>
      <w:r w:rsidRPr="00DA1BB4">
        <w:t>claim</w:t>
      </w:r>
      <w:r w:rsidRPr="00DA1BB4">
        <w:t xml:space="preserve"> and submitted that as a local politician he should have displayed greater tolerance towards his criticism voiced in respect of his professional activities and following institution of a criminal case against him on charges of abuse of office. The applicant explained to the court that he had used the word “slaughter” to express his indignation with the mayor. He had further clarified that by statement A, the applicant had meant that the mayor had requested USD 500 to regularise his illegal construction, which the applicant had refused.</w:t>
      </w:r>
    </w:p>
    <w:bookmarkStart w:name="domestic_judgment" w:id="3"/>
    <w:p w:rsidRPr="00DA1BB4" w:rsidR="00A15C06" w:rsidP="00DA1BB4" w14:paraId="51D9BEA4" w14:textId="5D77364D">
      <w:pPr>
        <w:pStyle w:val="JuPara"/>
      </w:pPr>
      <w:r w:rsidRPr="00DA1BB4">
        <w:fldChar w:fldCharType="begin"/>
      </w:r>
      <w:r w:rsidRPr="00DA1BB4">
        <w:instrText xml:space="preserve"> SEQ level0 \*arabic \* MERGEFORMAT </w:instrText>
      </w:r>
      <w:r w:rsidRPr="00DA1BB4">
        <w:fldChar w:fldCharType="separate"/>
      </w:r>
      <w:r w:rsidRPr="00DA1BB4" w:rsidR="00DA1BB4">
        <w:rPr>
          <w:noProof/>
        </w:rPr>
        <w:t>6</w:t>
      </w:r>
      <w:r w:rsidRPr="00DA1BB4">
        <w:fldChar w:fldCharType="end"/>
      </w:r>
      <w:bookmarkEnd w:id="3"/>
      <w:r w:rsidRPr="00DA1BB4">
        <w:t>.  The domestic courts, relying on the material submitted by the mayor, allowed partly his claim, holding that statements A and B had been defamatory because they were statements of fact tarnishing the mayor</w:t>
      </w:r>
      <w:r w:rsidRPr="00DA1BB4" w:rsidR="00DA1BB4">
        <w:t>’</w:t>
      </w:r>
      <w:r w:rsidRPr="00DA1BB4">
        <w:t xml:space="preserve">s honour and dignity and which the applicant had failed to substantiate with any evidence. As regards statement C, it was considered an insult because the word “slaughter” was not to be used in respect of </w:t>
      </w:r>
      <w:r w:rsidRPr="00DA1BB4">
        <w:t>humans, and</w:t>
      </w:r>
      <w:r w:rsidRPr="00DA1BB4">
        <w:t xml:space="preserve"> did not pursue any paramount public interest. It further transpires from the appeal court judgment that the remaining statements were considered neither defamation nor an insult. The applicant was ordered to apologise publicly for the insult and retract the defamatory statements through declarations to be published in the same newspaper, as well as to pay a total of AMD 60,000, about 110 euros </w:t>
      </w:r>
      <w:r w:rsidRPr="00DA1BB4">
        <w:t>(EUR) at the material time, in damages. As to the criminal case instituted against the mayor, the first-instance court noted that one should be presumed innocent until found guilty by a final court judgment, while the appeal court found that the allegations of misconduct by the mayor had had no relevance to the plaintiff</w:t>
      </w:r>
      <w:r w:rsidRPr="00DA1BB4" w:rsidR="00DA1BB4">
        <w:t>’</w:t>
      </w:r>
      <w:r w:rsidRPr="00DA1BB4">
        <w:t>s civil claim. In reply to the applicant</w:t>
      </w:r>
      <w:r w:rsidRPr="00DA1BB4" w:rsidR="00DA1BB4">
        <w:t>’</w:t>
      </w:r>
      <w:r w:rsidRPr="00DA1BB4">
        <w:t xml:space="preserve">s argument about his right to criticise the mayor, the domestic courts held that such </w:t>
      </w:r>
      <w:r w:rsidRPr="00DA1BB4" w:rsidR="00FD28CE">
        <w:t xml:space="preserve">a </w:t>
      </w:r>
      <w:r w:rsidRPr="00DA1BB4">
        <w:t>right could be restricted for the protection of reputation and rights of others.</w:t>
      </w:r>
    </w:p>
    <w:p w:rsidRPr="00DA1BB4" w:rsidR="00A15C06" w:rsidP="00DA1BB4" w14:paraId="03955B77" w14:textId="2D2E0A8F">
      <w:pPr>
        <w:pStyle w:val="JuHHead"/>
      </w:pPr>
      <w:r w:rsidRPr="00DA1BB4">
        <w:t>THE COURT</w:t>
      </w:r>
      <w:r w:rsidRPr="00DA1BB4" w:rsidR="00DA1BB4">
        <w:t>’</w:t>
      </w:r>
      <w:r w:rsidRPr="00DA1BB4">
        <w:t>S ASSESSMENT</w:t>
      </w:r>
    </w:p>
    <w:p w:rsidRPr="00DA1BB4" w:rsidR="00A15C06" w:rsidP="00DA1BB4" w14:paraId="13E29EC1" w14:textId="77777777">
      <w:pPr>
        <w:pStyle w:val="JuHIRoman"/>
        <w:numPr>
          <w:ilvl w:val="0"/>
          <w:numId w:val="0"/>
        </w:numPr>
      </w:pPr>
      <w:r w:rsidRPr="00DA1BB4">
        <w:t>ALLEGED VIOLATION OF ARTICLE 10 OF THE CONVENTION</w:t>
      </w:r>
    </w:p>
    <w:p w:rsidRPr="00DA1BB4" w:rsidR="00A15C06" w:rsidP="00DA1BB4" w14:paraId="77F10044" w14:textId="1800CA22">
      <w:pPr>
        <w:pStyle w:val="JuPara"/>
      </w:pPr>
      <w:r>
        <w:fldChar w:fldCharType="begin"/>
      </w:r>
      <w:r>
        <w:instrText xml:space="preserve"> SEQ level0 \*arabic \* MERGEFORMAT </w:instrText>
      </w:r>
      <w:r>
        <w:fldChar w:fldCharType="separate"/>
      </w:r>
      <w:r w:rsidRPr="00DA1BB4">
        <w:rPr>
          <w:noProof/>
        </w:rPr>
        <w:t>7</w:t>
      </w:r>
      <w:r w:rsidRPr="00DA1BB4">
        <w:rPr>
          <w:noProof/>
        </w:rPr>
        <w:fldChar w:fldCharType="end"/>
      </w:r>
      <w:r w:rsidRPr="00DA1BB4">
        <w:t>.  The Court notes that this complaint is not manifestly ill-founded within the meaning of Article 35 § 3 (a) of the Convention or inadmissible on any other grounds. It must therefore be declared admissible.</w:t>
      </w:r>
    </w:p>
    <w:p w:rsidRPr="00DA1BB4" w:rsidR="00A15C06" w:rsidP="00DA1BB4" w14:paraId="73A42CB5" w14:textId="784C4C17">
      <w:pPr>
        <w:pStyle w:val="JuPara"/>
      </w:pPr>
      <w:r>
        <w:fldChar w:fldCharType="begin"/>
      </w:r>
      <w:r>
        <w:instrText xml:space="preserve"> SEQ level0 \*arabic \* MERGEFORMAT </w:instrText>
      </w:r>
      <w:r>
        <w:fldChar w:fldCharType="separate"/>
      </w:r>
      <w:r w:rsidRPr="00DA1BB4">
        <w:rPr>
          <w:noProof/>
        </w:rPr>
        <w:t>8</w:t>
      </w:r>
      <w:r w:rsidRPr="00DA1BB4">
        <w:rPr>
          <w:noProof/>
        </w:rPr>
        <w:fldChar w:fldCharType="end"/>
      </w:r>
      <w:r w:rsidRPr="00DA1BB4">
        <w:t>.  It is not in dispute between the parties that there was an interference with the applicant</w:t>
      </w:r>
      <w:r w:rsidRPr="00DA1BB4">
        <w:t>’</w:t>
      </w:r>
      <w:r w:rsidRPr="00DA1BB4">
        <w:t>s right to freedom of expression, which was prescribed by law and pursued a legitimate aim of “the protection of the reputation or rights of others”. It remains to be ascertained whether this interference was “necessary in a democratic society”.</w:t>
      </w:r>
    </w:p>
    <w:p w:rsidRPr="00DA1BB4" w:rsidR="00A15C06" w:rsidP="00DA1BB4" w14:paraId="4B64F575" w14:textId="4E54C5E1">
      <w:pPr>
        <w:pStyle w:val="JuPara"/>
      </w:pPr>
      <w:r>
        <w:fldChar w:fldCharType="begin"/>
      </w:r>
      <w:r>
        <w:instrText xml:space="preserve"> SEQ level0 \*arabic \* MERGEFORMAT </w:instrText>
      </w:r>
      <w:r>
        <w:fldChar w:fldCharType="separate"/>
      </w:r>
      <w:r w:rsidRPr="00DA1BB4">
        <w:rPr>
          <w:noProof/>
        </w:rPr>
        <w:t>9</w:t>
      </w:r>
      <w:r w:rsidRPr="00DA1BB4">
        <w:rPr>
          <w:noProof/>
        </w:rPr>
        <w:fldChar w:fldCharType="end"/>
      </w:r>
      <w:r w:rsidRPr="00DA1BB4">
        <w:t>.  The general principles of the Court</w:t>
      </w:r>
      <w:r w:rsidRPr="00DA1BB4">
        <w:t>’</w:t>
      </w:r>
      <w:r w:rsidRPr="00DA1BB4">
        <w:t xml:space="preserve">s case-law for assessing the necessity of an interference with the exercise of freedom of expression in the interest of the “protection of the reputation or rights of others” have been summarised </w:t>
      </w:r>
      <w:r w:rsidRPr="00DA1BB4">
        <w:t xml:space="preserve">in </w:t>
      </w:r>
      <w:r w:rsidRPr="00DA1BB4">
        <w:rPr>
          <w:i/>
          <w:iCs/>
        </w:rPr>
        <w:t>Couderc</w:t>
      </w:r>
      <w:r w:rsidRPr="00DA1BB4">
        <w:rPr>
          <w:i/>
          <w:iCs/>
        </w:rPr>
        <w:t xml:space="preserve"> and Hachette Filipacchi </w:t>
      </w:r>
      <w:r w:rsidRPr="00DA1BB4">
        <w:rPr>
          <w:i/>
          <w:iCs/>
        </w:rPr>
        <w:t>Associés</w:t>
      </w:r>
      <w:r w:rsidRPr="00DA1BB4">
        <w:rPr>
          <w:i/>
          <w:iCs/>
        </w:rPr>
        <w:t xml:space="preserve"> v. France</w:t>
      </w:r>
      <w:r w:rsidRPr="00DA1BB4">
        <w:t xml:space="preserve"> ([GC], no. 40454/07, §§ 90-93, ECHR 2015 (extracts)).</w:t>
      </w:r>
    </w:p>
    <w:p w:rsidRPr="00DA1BB4" w:rsidR="00A15C06" w:rsidP="00DA1BB4" w14:paraId="3F8DF119" w14:textId="1E39B4FC">
      <w:pPr>
        <w:pStyle w:val="JuPara"/>
      </w:pPr>
      <w:r>
        <w:fldChar w:fldCharType="begin"/>
      </w:r>
      <w:r>
        <w:instrText xml:space="preserve"> SEQ level0 \*arabic \* MERGEFORMAT </w:instrText>
      </w:r>
      <w:r>
        <w:fldChar w:fldCharType="separate"/>
      </w:r>
      <w:r w:rsidRPr="00DA1BB4">
        <w:rPr>
          <w:noProof/>
        </w:rPr>
        <w:t>10</w:t>
      </w:r>
      <w:r w:rsidRPr="00DA1BB4">
        <w:rPr>
          <w:noProof/>
        </w:rPr>
        <w:fldChar w:fldCharType="end"/>
      </w:r>
      <w:r w:rsidRPr="00DA1BB4">
        <w:t xml:space="preserve">.  The Court </w:t>
      </w:r>
      <w:r w:rsidRPr="00DA1BB4">
        <w:t>has to</w:t>
      </w:r>
      <w:r w:rsidRPr="00DA1BB4">
        <w:t xml:space="preserve"> satisfy itself whether the relevant standards summarised above were applied in the present case. It notes that, when examining the defamation claim brought against the applicant, the domestic courts limited themselves to finding that the applicant</w:t>
      </w:r>
      <w:r w:rsidRPr="00DA1BB4">
        <w:t>’</w:t>
      </w:r>
      <w:r w:rsidRPr="00DA1BB4">
        <w:t>s statements had tarnished the mayor</w:t>
      </w:r>
      <w:r w:rsidRPr="00DA1BB4">
        <w:t>’</w:t>
      </w:r>
      <w:r w:rsidRPr="00DA1BB4">
        <w:t>s honour and dignity, and that – as regards statements A and B – the applicant had failed to prove their veracity. They failed to consider whether the impugned statements had been made in the context of a debate on a matter of public interest – which indisputably had been the case – or the plaintiff</w:t>
      </w:r>
      <w:r w:rsidRPr="00DA1BB4">
        <w:t>’</w:t>
      </w:r>
      <w:r w:rsidRPr="00DA1BB4">
        <w:t xml:space="preserve">s position as an elected official, calling for wider limits of acceptable criticism (compare </w:t>
      </w:r>
      <w:r w:rsidRPr="00DA1BB4">
        <w:rPr>
          <w:i/>
          <w:iCs/>
        </w:rPr>
        <w:t>Falzon</w:t>
      </w:r>
      <w:r w:rsidRPr="00DA1BB4">
        <w:rPr>
          <w:i/>
          <w:iCs/>
        </w:rPr>
        <w:t xml:space="preserve"> v. Malta</w:t>
      </w:r>
      <w:r w:rsidRPr="00DA1BB4">
        <w:t xml:space="preserve">, no. 45791/13, §§ 58-59, 20 March 2018). Also, no heed was paid to the form of the impugned statements, made </w:t>
      </w:r>
      <w:r w:rsidRPr="00DA1BB4">
        <w:t>orally</w:t>
      </w:r>
      <w:r w:rsidRPr="00DA1BB4">
        <w:t xml:space="preserve"> and reported by a journalist thereby – presumably – reducing or eliminating the applicant</w:t>
      </w:r>
      <w:r w:rsidRPr="00DA1BB4">
        <w:t>’</w:t>
      </w:r>
      <w:r w:rsidRPr="00DA1BB4">
        <w:t xml:space="preserve">s possibility of reformulating, perfecting or retracting them before publication (see, </w:t>
      </w:r>
      <w:r w:rsidRPr="00DA1BB4">
        <w:rPr>
          <w:i/>
          <w:iCs/>
        </w:rPr>
        <w:t>mutatis mutandis</w:t>
      </w:r>
      <w:r w:rsidRPr="00DA1BB4">
        <w:t xml:space="preserve">, </w:t>
      </w:r>
      <w:r w:rsidRPr="00DA1BB4">
        <w:rPr>
          <w:i/>
        </w:rPr>
        <w:t>Nilsen and Johnsen v. Norway</w:t>
      </w:r>
      <w:r w:rsidRPr="00DA1BB4">
        <w:t xml:space="preserve"> [GC], no. 23118/93, § 48, ECHR 1999</w:t>
      </w:r>
      <w:r w:rsidRPr="00DA1BB4">
        <w:noBreakHyphen/>
        <w:t>VIII). They thus appear to have examined the applicant</w:t>
      </w:r>
      <w:r w:rsidRPr="00DA1BB4">
        <w:t>’</w:t>
      </w:r>
      <w:r w:rsidRPr="00DA1BB4">
        <w:t>s statements detached from the general context and content of the article in question.</w:t>
      </w:r>
    </w:p>
    <w:p w:rsidRPr="00DA1BB4" w:rsidR="00A15C06" w:rsidP="00DA1BB4" w14:paraId="43672E9D" w14:textId="56B35BD3">
      <w:pPr>
        <w:pStyle w:val="JuPara"/>
      </w:pPr>
      <w:r>
        <w:fldChar w:fldCharType="begin"/>
      </w:r>
      <w:r>
        <w:instrText xml:space="preserve"> SEQ level0 \*arabic \* MERGEFORMAT </w:instrText>
      </w:r>
      <w:r>
        <w:fldChar w:fldCharType="separate"/>
      </w:r>
      <w:r w:rsidRPr="00DA1BB4" w:rsidR="00DA1BB4">
        <w:rPr>
          <w:noProof/>
        </w:rPr>
        <w:t>11</w:t>
      </w:r>
      <w:r>
        <w:rPr>
          <w:noProof/>
        </w:rPr>
        <w:fldChar w:fldCharType="end"/>
      </w:r>
      <w:r w:rsidRPr="00DA1BB4">
        <w:t>.  While mindful that a careful distinction needs to be drawn between facts and value judgments (</w:t>
      </w:r>
      <w:r w:rsidRPr="00DA1BB4">
        <w:rPr>
          <w:i/>
          <w:iCs/>
        </w:rPr>
        <w:t>Cumpǎnǎ</w:t>
      </w:r>
      <w:r w:rsidRPr="00DA1BB4">
        <w:rPr>
          <w:i/>
          <w:iCs/>
        </w:rPr>
        <w:t xml:space="preserve"> and </w:t>
      </w:r>
      <w:r w:rsidRPr="00DA1BB4">
        <w:rPr>
          <w:i/>
          <w:iCs/>
        </w:rPr>
        <w:t>Mazǎre</w:t>
      </w:r>
      <w:r w:rsidRPr="00DA1BB4">
        <w:rPr>
          <w:i/>
          <w:iCs/>
        </w:rPr>
        <w:t xml:space="preserve"> v. Romania</w:t>
      </w:r>
      <w:r w:rsidRPr="00DA1BB4">
        <w:t xml:space="preserve"> [GC], </w:t>
      </w:r>
      <w:r w:rsidRPr="00DA1BB4">
        <w:t xml:space="preserve">no. 33348/96, § 98, ECHR 2004-XI), the Court also considers that such a distinction is of less significance in a case such as the present, where the impugned statements were made </w:t>
      </w:r>
      <w:r w:rsidRPr="00DA1BB4">
        <w:t>in the course of</w:t>
      </w:r>
      <w:r w:rsidRPr="00DA1BB4">
        <w:t xml:space="preserve"> a lively political debate at local level.</w:t>
      </w:r>
    </w:p>
    <w:p w:rsidRPr="00DA1BB4" w:rsidR="00A15C06" w:rsidP="00DA1BB4" w14:paraId="00E2D578" w14:textId="1AE62ADD">
      <w:pPr>
        <w:pStyle w:val="JuPara"/>
      </w:pPr>
      <w:r>
        <w:fldChar w:fldCharType="begin"/>
      </w:r>
      <w:r>
        <w:instrText xml:space="preserve"> SEQ level0 \*arabic \* MERGEFORMAT </w:instrText>
      </w:r>
      <w:r>
        <w:fldChar w:fldCharType="separate"/>
      </w:r>
      <w:r w:rsidRPr="00DA1BB4">
        <w:rPr>
          <w:noProof/>
        </w:rPr>
        <w:t>12</w:t>
      </w:r>
      <w:r w:rsidRPr="00DA1BB4">
        <w:rPr>
          <w:noProof/>
        </w:rPr>
        <w:fldChar w:fldCharType="end"/>
      </w:r>
      <w:r w:rsidRPr="00DA1BB4">
        <w:t>.  While the Court notes that the domestic courts treated statements A and B unreservedly as assertions of facts not supported by any evidence, it observes that they never addressed the applicant</w:t>
      </w:r>
      <w:r w:rsidRPr="00DA1BB4">
        <w:t>’</w:t>
      </w:r>
      <w:r w:rsidRPr="00DA1BB4">
        <w:t xml:space="preserve">s explanation offered in support of his statements (see paragraph </w:t>
      </w:r>
      <w:r w:rsidRPr="00DA1BB4">
        <w:fldChar w:fldCharType="begin"/>
      </w:r>
      <w:r w:rsidRPr="00DA1BB4">
        <w:instrText xml:space="preserve"> REF explanation_by_the_applicant \h </w:instrText>
      </w:r>
      <w:r w:rsidRPr="00DA1BB4">
        <w:fldChar w:fldCharType="separate"/>
      </w:r>
      <w:r w:rsidRPr="00DA1BB4">
        <w:rPr>
          <w:noProof/>
        </w:rPr>
        <w:t>5</w:t>
      </w:r>
      <w:r w:rsidRPr="00DA1BB4">
        <w:fldChar w:fldCharType="end"/>
      </w:r>
      <w:r w:rsidRPr="00DA1BB4">
        <w:t xml:space="preserve"> above), even in order to dismiss it.</w:t>
      </w:r>
    </w:p>
    <w:p w:rsidRPr="00DA1BB4" w:rsidR="00A15C06" w:rsidP="00DA1BB4" w14:paraId="163BE337" w14:textId="5B656412">
      <w:pPr>
        <w:pStyle w:val="JuPara"/>
      </w:pPr>
      <w:r>
        <w:fldChar w:fldCharType="begin"/>
      </w:r>
      <w:r>
        <w:instrText xml:space="preserve"> SEQ level0 \*arabic \* MERGEFORMAT </w:instrText>
      </w:r>
      <w:r>
        <w:fldChar w:fldCharType="separate"/>
      </w:r>
      <w:r w:rsidRPr="00DA1BB4" w:rsidR="00DA1BB4">
        <w:rPr>
          <w:noProof/>
        </w:rPr>
        <w:t>13</w:t>
      </w:r>
      <w:r>
        <w:rPr>
          <w:noProof/>
        </w:rPr>
        <w:fldChar w:fldCharType="end"/>
      </w:r>
      <w:r w:rsidRPr="00DA1BB4">
        <w:t>.  The Court is not called upon to judge whether the applicant relied on sufficiently accurate and consistent information. Nor will it decide whether the nature and degree of the allegations he made were justified by the factual basis on which he relied – that was the task of the domestic courts (see</w:t>
      </w:r>
      <w:r w:rsidRPr="00DA1BB4" w:rsidR="005A1B81">
        <w:t> </w:t>
      </w:r>
      <w:r w:rsidRPr="00DA1BB4">
        <w:rPr>
          <w:i/>
          <w:iCs/>
        </w:rPr>
        <w:t>Braun</w:t>
      </w:r>
      <w:r w:rsidRPr="00DA1BB4" w:rsidR="005A1B81">
        <w:rPr>
          <w:i/>
          <w:iCs/>
        </w:rPr>
        <w:t> </w:t>
      </w:r>
      <w:r w:rsidRPr="00DA1BB4">
        <w:rPr>
          <w:i/>
          <w:iCs/>
        </w:rPr>
        <w:t>v. Poland</w:t>
      </w:r>
      <w:r w:rsidRPr="00DA1BB4">
        <w:t xml:space="preserve">, no. 30162/10, § 49, 4 November 2014, and </w:t>
      </w:r>
      <w:r w:rsidRPr="00DA1BB4">
        <w:rPr>
          <w:i/>
        </w:rPr>
        <w:t>Kurski</w:t>
      </w:r>
      <w:r w:rsidRPr="00DA1BB4" w:rsidR="005A1B81">
        <w:rPr>
          <w:i/>
        </w:rPr>
        <w:t> </w:t>
      </w:r>
      <w:r w:rsidRPr="00DA1BB4">
        <w:rPr>
          <w:i/>
        </w:rPr>
        <w:t>v.</w:t>
      </w:r>
      <w:r w:rsidRPr="00DA1BB4" w:rsidR="005A1B81">
        <w:rPr>
          <w:i/>
        </w:rPr>
        <w:t> </w:t>
      </w:r>
      <w:r w:rsidRPr="00DA1BB4">
        <w:rPr>
          <w:i/>
        </w:rPr>
        <w:t>Poland</w:t>
      </w:r>
      <w:r w:rsidRPr="00DA1BB4">
        <w:t>, no. 26115/10, § 55, 5 July 2016). It nonetheless considers that the domestic courts</w:t>
      </w:r>
      <w:r w:rsidRPr="00DA1BB4" w:rsidR="00DA1BB4">
        <w:t>’</w:t>
      </w:r>
      <w:r w:rsidRPr="00DA1BB4">
        <w:t xml:space="preserve"> failure to carry out the balancing exercise according to the Court</w:t>
      </w:r>
      <w:r w:rsidRPr="00DA1BB4" w:rsidR="00DA1BB4">
        <w:t>’</w:t>
      </w:r>
      <w:r w:rsidRPr="00DA1BB4">
        <w:t>s abovementioned criteria and the insufficient reasoning of their decisions whether the mayor</w:t>
      </w:r>
      <w:r w:rsidRPr="00DA1BB4" w:rsidR="00DA1BB4">
        <w:t>’</w:t>
      </w:r>
      <w:r w:rsidRPr="00DA1BB4">
        <w:t>s right to reputation justified, in the specific context, the interference with the applicant</w:t>
      </w:r>
      <w:r w:rsidRPr="00DA1BB4" w:rsidR="00DA1BB4">
        <w:t>’</w:t>
      </w:r>
      <w:r w:rsidRPr="00DA1BB4">
        <w:t xml:space="preserve">s right to freedom of expression, are problematic under Article 10 of the Convention (see, </w:t>
      </w:r>
      <w:r w:rsidRPr="00DA1BB4">
        <w:rPr>
          <w:i/>
          <w:iCs/>
        </w:rPr>
        <w:t>mutatis mutandis</w:t>
      </w:r>
      <w:r w:rsidRPr="00DA1BB4">
        <w:t xml:space="preserve">, </w:t>
      </w:r>
      <w:r w:rsidRPr="00DA1BB4" w:rsidR="007F6802">
        <w:rPr>
          <w:i/>
        </w:rPr>
        <w:t>Nadtoka</w:t>
      </w:r>
      <w:r w:rsidRPr="00DA1BB4" w:rsidR="007F6802">
        <w:rPr>
          <w:i/>
        </w:rPr>
        <w:t xml:space="preserve"> v. Russia</w:t>
      </w:r>
      <w:r w:rsidRPr="00DA1BB4" w:rsidR="007F6802">
        <w:t>, no. 38010/05, § 47, 31 May 2016</w:t>
      </w:r>
      <w:r w:rsidRPr="00DA1BB4">
        <w:t xml:space="preserve">, and </w:t>
      </w:r>
      <w:r w:rsidRPr="00DA1BB4">
        <w:rPr>
          <w:i/>
          <w:iCs/>
        </w:rPr>
        <w:t>Milisavljević</w:t>
      </w:r>
      <w:r w:rsidRPr="00DA1BB4" w:rsidR="00DA1BB4">
        <w:rPr>
          <w:i/>
          <w:iCs/>
        </w:rPr>
        <w:t xml:space="preserve"> </w:t>
      </w:r>
      <w:r w:rsidRPr="00DA1BB4">
        <w:rPr>
          <w:i/>
          <w:iCs/>
        </w:rPr>
        <w:t>v.</w:t>
      </w:r>
      <w:r w:rsidRPr="00DA1BB4" w:rsidR="005A1B81">
        <w:rPr>
          <w:i/>
          <w:iCs/>
        </w:rPr>
        <w:t> </w:t>
      </w:r>
      <w:r w:rsidRPr="00DA1BB4">
        <w:rPr>
          <w:i/>
          <w:iCs/>
        </w:rPr>
        <w:t>Serbia</w:t>
      </w:r>
      <w:r w:rsidRPr="00DA1BB4">
        <w:t>, no. 50123/06, § 38, 4 April 2017).</w:t>
      </w:r>
    </w:p>
    <w:p w:rsidRPr="00DA1BB4" w:rsidR="00A15C06" w:rsidP="00DA1BB4" w14:paraId="0CE9B0BC" w14:textId="1F8445BB">
      <w:pPr>
        <w:pStyle w:val="JuPara"/>
      </w:pPr>
      <w:r>
        <w:fldChar w:fldCharType="begin"/>
      </w:r>
      <w:r>
        <w:instrText xml:space="preserve"> SEQ level0 \*arabic \* MERGEFORMAT </w:instrText>
      </w:r>
      <w:r>
        <w:fldChar w:fldCharType="separate"/>
      </w:r>
      <w:r w:rsidRPr="00DA1BB4">
        <w:rPr>
          <w:noProof/>
        </w:rPr>
        <w:t>14</w:t>
      </w:r>
      <w:r w:rsidRPr="00DA1BB4">
        <w:rPr>
          <w:noProof/>
        </w:rPr>
        <w:fldChar w:fldCharType="end"/>
      </w:r>
      <w:r w:rsidRPr="00DA1BB4">
        <w:t xml:space="preserve">.  Lastly, regarding the expression qualified in statement C as “insult” by the domestic courts (see paragraph </w:t>
      </w:r>
      <w:r w:rsidRPr="00DA1BB4">
        <w:fldChar w:fldCharType="begin"/>
      </w:r>
      <w:r w:rsidRPr="00DA1BB4">
        <w:instrText xml:space="preserve"> REF domestic_judgment \h </w:instrText>
      </w:r>
      <w:r w:rsidRPr="00DA1BB4">
        <w:fldChar w:fldCharType="separate"/>
      </w:r>
      <w:r w:rsidRPr="00DA1BB4">
        <w:rPr>
          <w:noProof/>
        </w:rPr>
        <w:t>6</w:t>
      </w:r>
      <w:r w:rsidRPr="00DA1BB4">
        <w:fldChar w:fldCharType="end"/>
      </w:r>
      <w:r w:rsidRPr="00DA1BB4">
        <w:t xml:space="preserve"> above), the Court reiterates that offensive language may fall outside the protection of freedom of expression if it amounts to wanton denigration; but the use of vulgar phrases in itself is not decisive in the assessment of an offensive expression as it may well serve merely stylistic purposes (compare </w:t>
      </w:r>
      <w:r w:rsidRPr="00DA1BB4">
        <w:rPr>
          <w:i/>
          <w:iCs/>
        </w:rPr>
        <w:t xml:space="preserve">Savva </w:t>
      </w:r>
      <w:r w:rsidRPr="00DA1BB4">
        <w:rPr>
          <w:i/>
          <w:iCs/>
        </w:rPr>
        <w:t>Terentyev</w:t>
      </w:r>
      <w:r w:rsidRPr="00DA1BB4">
        <w:rPr>
          <w:i/>
          <w:iCs/>
        </w:rPr>
        <w:t xml:space="preserve"> v. Russia</w:t>
      </w:r>
      <w:r w:rsidRPr="00DA1BB4">
        <w:t xml:space="preserve">, no. 10692/09, § 68, 28 August 2018). In the case at hand, the domestic courts found the word “slaughter” offensive relying only on its association with an animal, without envisaging – even </w:t>
      </w:r>
      <w:r w:rsidRPr="00DA1BB4">
        <w:t>in order to</w:t>
      </w:r>
      <w:r w:rsidRPr="00DA1BB4">
        <w:t xml:space="preserve"> dismiss it – another informal, possibly colloquial, meaning of that word. They failed to analyse the impugned statement – made during a lively interview with a journalist – in the context of the narrative</w:t>
      </w:r>
      <w:r w:rsidRPr="00DA1BB4">
        <w:t>’</w:t>
      </w:r>
      <w:r w:rsidRPr="00DA1BB4">
        <w:t>s progression. Nor did they establish the idea it sought to impart, which was rather the applicant</w:t>
      </w:r>
      <w:r w:rsidRPr="00DA1BB4">
        <w:t>’</w:t>
      </w:r>
      <w:r w:rsidRPr="00DA1BB4">
        <w:t>s emotional reaction, verging on provocation and with the use of the conditional tense, to what he had regarded as long-term unfair treatment by the local politician (see the applicant</w:t>
      </w:r>
      <w:r w:rsidRPr="00DA1BB4">
        <w:t>’</w:t>
      </w:r>
      <w:r w:rsidRPr="00DA1BB4">
        <w:t xml:space="preserve">s explanation in paragraph </w:t>
      </w:r>
      <w:r w:rsidRPr="00DA1BB4">
        <w:fldChar w:fldCharType="begin"/>
      </w:r>
      <w:r w:rsidRPr="00DA1BB4">
        <w:instrText xml:space="preserve"> REF explanation_by_the_applicant \h  \* MERGEFORMAT </w:instrText>
      </w:r>
      <w:r w:rsidRPr="00DA1BB4">
        <w:fldChar w:fldCharType="separate"/>
      </w:r>
      <w:r w:rsidRPr="00DA1BB4">
        <w:t>5</w:t>
      </w:r>
      <w:r w:rsidRPr="00DA1BB4">
        <w:fldChar w:fldCharType="end"/>
      </w:r>
      <w:r w:rsidRPr="00DA1BB4">
        <w:t xml:space="preserve"> above). The Court thus finds that, in respect of statement C, the domestic courts similarly failed to take account of all facts and relevant factors and therefore, the reasons adduced by them cannot be regarded as “relevant and sufficient” to justify the interference with the applicant</w:t>
      </w:r>
      <w:r w:rsidRPr="00DA1BB4">
        <w:t>’</w:t>
      </w:r>
      <w:r w:rsidRPr="00DA1BB4">
        <w:t>s freedom of expression.</w:t>
      </w:r>
    </w:p>
    <w:p w:rsidRPr="00DA1BB4" w:rsidR="00A15C06" w:rsidP="00DA1BB4" w14:paraId="7C2DCF2B" w14:textId="34C26B75">
      <w:pPr>
        <w:pStyle w:val="JuPara"/>
      </w:pPr>
      <w:r>
        <w:fldChar w:fldCharType="begin"/>
      </w:r>
      <w:r>
        <w:instrText xml:space="preserve"> SEQ level0 \*arabic \* MERGEFORMAT </w:instrText>
      </w:r>
      <w:r>
        <w:fldChar w:fldCharType="separate"/>
      </w:r>
      <w:r w:rsidRPr="00DA1BB4" w:rsidR="00DA1BB4">
        <w:rPr>
          <w:noProof/>
        </w:rPr>
        <w:t>15</w:t>
      </w:r>
      <w:r>
        <w:rPr>
          <w:noProof/>
        </w:rPr>
        <w:fldChar w:fldCharType="end"/>
      </w:r>
      <w:r w:rsidRPr="00DA1BB4">
        <w:t>.  The Court is mindful of the fundamentally subsidiary role of the Convention system (see </w:t>
      </w:r>
      <w:r w:rsidRPr="00DA1BB4">
        <w:rPr>
          <w:i/>
          <w:iCs/>
        </w:rPr>
        <w:t>Dubská</w:t>
      </w:r>
      <w:r w:rsidRPr="00DA1BB4">
        <w:rPr>
          <w:i/>
          <w:iCs/>
        </w:rPr>
        <w:t xml:space="preserve"> and </w:t>
      </w:r>
      <w:r w:rsidRPr="00DA1BB4">
        <w:rPr>
          <w:i/>
          <w:iCs/>
        </w:rPr>
        <w:t>Krejzová</w:t>
      </w:r>
      <w:r w:rsidRPr="00DA1BB4">
        <w:rPr>
          <w:i/>
          <w:iCs/>
        </w:rPr>
        <w:t xml:space="preserve"> v. the Czech Republic</w:t>
      </w:r>
      <w:r w:rsidRPr="00DA1BB4">
        <w:t xml:space="preserve"> [GC], nos. 28859/11 and 28473/12, § 175, 15 November 2016). If the balancing </w:t>
      </w:r>
      <w:r w:rsidRPr="00DA1BB4">
        <w:t>exercise had been carried out by the national authorities in conformity with the criteria laid down in the Court</w:t>
      </w:r>
      <w:r w:rsidRPr="00DA1BB4" w:rsidR="00DA1BB4">
        <w:t>’</w:t>
      </w:r>
      <w:r w:rsidRPr="00DA1BB4">
        <w:t>s case-law, the Court would require strong reasons to substitute its view for theirs (see</w:t>
      </w:r>
      <w:r w:rsidRPr="00DA1BB4" w:rsidR="00DA1BB4">
        <w:t xml:space="preserve"> </w:t>
      </w:r>
      <w:r w:rsidRPr="00DA1BB4">
        <w:rPr>
          <w:i/>
          <w:iCs/>
        </w:rPr>
        <w:t>Perinçek</w:t>
      </w:r>
      <w:r w:rsidRPr="00DA1BB4">
        <w:rPr>
          <w:i/>
          <w:iCs/>
        </w:rPr>
        <w:t xml:space="preserve"> v.</w:t>
      </w:r>
      <w:r w:rsidRPr="00DA1BB4" w:rsidR="00DA1BB4">
        <w:rPr>
          <w:i/>
          <w:iCs/>
        </w:rPr>
        <w:t> </w:t>
      </w:r>
      <w:r w:rsidRPr="00DA1BB4">
        <w:rPr>
          <w:i/>
          <w:iCs/>
        </w:rPr>
        <w:t>Switzerland</w:t>
      </w:r>
      <w:r w:rsidRPr="00DA1BB4" w:rsidR="00DA1BB4">
        <w:t> </w:t>
      </w:r>
      <w:r w:rsidRPr="00DA1BB4">
        <w:t>[GC], no. 27510/08, § 198, ECHR 2015 (extracts)). However, in the absence of such a balancing exercise at national level, it is not incumbent on the Court to perform a full proportionality analysis. Faced with the domestic courts</w:t>
      </w:r>
      <w:r w:rsidRPr="00DA1BB4" w:rsidR="00DA1BB4">
        <w:t>’</w:t>
      </w:r>
      <w:r w:rsidRPr="00DA1BB4">
        <w:t xml:space="preserve"> failure to provide relevant and sufficient reasons to justify the interference in question, the Court finds that they cannot be said to have applied standards which were in conformity with the principles embodied in Article 10 of the</w:t>
      </w:r>
      <w:r w:rsidRPr="00DA1BB4" w:rsidR="00E367A9">
        <w:t> </w:t>
      </w:r>
      <w:r w:rsidRPr="00DA1BB4">
        <w:t>Convention. Nothing in the Government</w:t>
      </w:r>
      <w:r w:rsidRPr="00DA1BB4" w:rsidR="00DA1BB4">
        <w:t>’</w:t>
      </w:r>
      <w:r w:rsidRPr="00DA1BB4">
        <w:t>s submissions indicates otherwise. The Court concludes that the interference with the applicant</w:t>
      </w:r>
      <w:r w:rsidRPr="00DA1BB4" w:rsidR="00DA1BB4">
        <w:t>’</w:t>
      </w:r>
      <w:r w:rsidRPr="00DA1BB4">
        <w:t>s right to freedom of expression was not “necessary in a democratic society”.</w:t>
      </w:r>
    </w:p>
    <w:p w:rsidRPr="00DA1BB4" w:rsidR="00A15C06" w:rsidP="00DA1BB4" w14:paraId="56F301AA" w14:textId="3AF12B8E">
      <w:pPr>
        <w:pStyle w:val="JuPara"/>
      </w:pPr>
      <w:r>
        <w:fldChar w:fldCharType="begin"/>
      </w:r>
      <w:r>
        <w:instrText xml:space="preserve"> SEQ level0 \*arabic \* MERGEFORMAT </w:instrText>
      </w:r>
      <w:r>
        <w:fldChar w:fldCharType="separate"/>
      </w:r>
      <w:r w:rsidRPr="00DA1BB4">
        <w:rPr>
          <w:noProof/>
        </w:rPr>
        <w:t>16</w:t>
      </w:r>
      <w:r w:rsidRPr="00DA1BB4">
        <w:rPr>
          <w:noProof/>
        </w:rPr>
        <w:fldChar w:fldCharType="end"/>
      </w:r>
      <w:r w:rsidRPr="00DA1BB4">
        <w:t>.  There has accordingly been a violation of Article</w:t>
      </w:r>
      <w:r w:rsidRPr="00DA1BB4">
        <w:t> </w:t>
      </w:r>
      <w:r w:rsidRPr="00DA1BB4">
        <w:t>10 of the</w:t>
      </w:r>
      <w:r w:rsidRPr="00DA1BB4">
        <w:t xml:space="preserve"> </w:t>
      </w:r>
      <w:r w:rsidRPr="00DA1BB4">
        <w:t>Convention.</w:t>
      </w:r>
    </w:p>
    <w:p w:rsidRPr="00DA1BB4" w:rsidR="00A15C06" w:rsidP="00DA1BB4" w14:paraId="18B88E5D" w14:textId="12B222F0">
      <w:pPr>
        <w:pStyle w:val="JuHHead"/>
      </w:pPr>
      <w:r w:rsidRPr="00DA1BB4">
        <w:rPr>
          <w:caps w:val="0"/>
        </w:rPr>
        <w:t>APPLICATION OF ARTICLE 41 OF THE CONVENTION</w:t>
      </w:r>
    </w:p>
    <w:p w:rsidRPr="00DA1BB4" w:rsidR="00A15C06" w:rsidP="00DA1BB4" w14:paraId="16EA2CBA" w14:textId="27AACD88">
      <w:pPr>
        <w:pStyle w:val="JuPara"/>
      </w:pPr>
      <w:r w:rsidRPr="00DA1BB4">
        <w:fldChar w:fldCharType="begin"/>
      </w:r>
      <w:r w:rsidRPr="00DA1BB4">
        <w:instrText xml:space="preserve"> SEQ level0 \*arabic </w:instrText>
      </w:r>
      <w:r w:rsidRPr="00DA1BB4">
        <w:fldChar w:fldCharType="separate"/>
      </w:r>
      <w:r w:rsidRPr="00DA1BB4" w:rsidR="00DA1BB4">
        <w:rPr>
          <w:noProof/>
        </w:rPr>
        <w:t>17</w:t>
      </w:r>
      <w:r w:rsidRPr="00DA1BB4">
        <w:fldChar w:fldCharType="end"/>
      </w:r>
      <w:r w:rsidRPr="00DA1BB4">
        <w:t>.  The applicant claimed EUR 5,000 in respect of non-pecuniary damage and EUR 1,377 in respect of his legal costs incurred before the Court.</w:t>
      </w:r>
    </w:p>
    <w:p w:rsidRPr="00DA1BB4" w:rsidR="00A15C06" w:rsidP="00DA1BB4" w14:paraId="0399B22E" w14:textId="7C93DC62">
      <w:pPr>
        <w:pStyle w:val="JuPara"/>
      </w:pPr>
      <w:r w:rsidRPr="00DA1BB4">
        <w:fldChar w:fldCharType="begin"/>
      </w:r>
      <w:r w:rsidRPr="00DA1BB4">
        <w:instrText xml:space="preserve"> SEQ level0 \*arabic </w:instrText>
      </w:r>
      <w:r w:rsidRPr="00DA1BB4">
        <w:fldChar w:fldCharType="separate"/>
      </w:r>
      <w:r w:rsidRPr="00DA1BB4" w:rsidR="00DA1BB4">
        <w:rPr>
          <w:noProof/>
        </w:rPr>
        <w:t>18</w:t>
      </w:r>
      <w:r w:rsidRPr="00DA1BB4">
        <w:fldChar w:fldCharType="end"/>
      </w:r>
      <w:r w:rsidRPr="00DA1BB4">
        <w:t>.  The Government contested these claims.</w:t>
      </w:r>
    </w:p>
    <w:p w:rsidRPr="00DA1BB4" w:rsidR="00A15C06" w:rsidP="00DA1BB4" w14:paraId="3A55408A" w14:textId="324C9359">
      <w:pPr>
        <w:pStyle w:val="JuPara"/>
      </w:pPr>
      <w:r w:rsidRPr="00DA1BB4">
        <w:fldChar w:fldCharType="begin"/>
      </w:r>
      <w:r w:rsidRPr="00DA1BB4">
        <w:instrText xml:space="preserve"> SEQ level0 \*arabic </w:instrText>
      </w:r>
      <w:r w:rsidRPr="00DA1BB4">
        <w:fldChar w:fldCharType="separate"/>
      </w:r>
      <w:r w:rsidRPr="00DA1BB4" w:rsidR="00DA1BB4">
        <w:rPr>
          <w:noProof/>
        </w:rPr>
        <w:t>19</w:t>
      </w:r>
      <w:r w:rsidRPr="00DA1BB4">
        <w:fldChar w:fldCharType="end"/>
      </w:r>
      <w:r w:rsidRPr="00DA1BB4">
        <w:t>.  The Court awards the applicant EUR 1,200 in respect of non-pecuniary damage, plus any tax that may be chargeable to the applicant.</w:t>
      </w:r>
    </w:p>
    <w:p w:rsidRPr="00DA1BB4" w:rsidR="00A15C06" w:rsidP="00DA1BB4" w14:paraId="7399BFF4" w14:textId="5F361996">
      <w:pPr>
        <w:pStyle w:val="JuPara"/>
      </w:pPr>
      <w:r>
        <w:fldChar w:fldCharType="begin"/>
      </w:r>
      <w:r>
        <w:instrText xml:space="preserve"> SEQ level0 \*arabic \* MERGEFORMAT </w:instrText>
      </w:r>
      <w:r>
        <w:fldChar w:fldCharType="separate"/>
      </w:r>
      <w:r w:rsidRPr="00DA1BB4">
        <w:rPr>
          <w:noProof/>
        </w:rPr>
        <w:t>20</w:t>
      </w:r>
      <w:r w:rsidRPr="00DA1BB4">
        <w:rPr>
          <w:noProof/>
        </w:rPr>
        <w:fldChar w:fldCharType="end"/>
      </w:r>
      <w:r w:rsidRPr="00DA1BB4">
        <w:t>.  Having regard to the documents in its possession, the Court also considers it reasonable to award EUR 1,000 covering costs for the proceedings before the Court, plus any tax that may be chargeable to the applicant.</w:t>
      </w:r>
    </w:p>
    <w:p w:rsidRPr="00DA1BB4" w:rsidR="00A15C06" w:rsidP="00DA1BB4" w14:paraId="6C65DAF7" w14:textId="7578A8FE">
      <w:pPr>
        <w:pStyle w:val="JuHHead"/>
      </w:pPr>
      <w:r w:rsidRPr="00DA1BB4">
        <w:t>FOR THESE REASONS, THE COURT, UNANIMOUSLY,</w:t>
      </w:r>
    </w:p>
    <w:p w:rsidRPr="00DA1BB4" w:rsidR="00A15C06" w:rsidP="00DA1BB4" w14:paraId="1A8E2228" w14:textId="77777777">
      <w:pPr>
        <w:pStyle w:val="JuList"/>
      </w:pPr>
      <w:r w:rsidRPr="00DA1BB4">
        <w:rPr>
          <w:i/>
        </w:rPr>
        <w:t>Declares</w:t>
      </w:r>
      <w:r w:rsidRPr="00DA1BB4">
        <w:t xml:space="preserve"> the application admissible;</w:t>
      </w:r>
    </w:p>
    <w:p w:rsidRPr="00DA1BB4" w:rsidR="00A15C06" w:rsidP="00DA1BB4" w14:paraId="59C105B6" w14:textId="77777777">
      <w:pPr>
        <w:pStyle w:val="JuList"/>
      </w:pPr>
      <w:r w:rsidRPr="00DA1BB4">
        <w:rPr>
          <w:i/>
        </w:rPr>
        <w:t>Holds</w:t>
      </w:r>
      <w:r w:rsidRPr="00DA1BB4">
        <w:t xml:space="preserve"> that there has been a violation of Article 10 of the Convention;</w:t>
      </w:r>
    </w:p>
    <w:p w:rsidRPr="00DA1BB4" w:rsidR="00A15C06" w:rsidP="00DA1BB4" w14:paraId="5D050543" w14:textId="77777777">
      <w:pPr>
        <w:pStyle w:val="JuList"/>
      </w:pPr>
      <w:r w:rsidRPr="00DA1BB4">
        <w:rPr>
          <w:i/>
          <w:iCs/>
        </w:rPr>
        <w:t>Holds</w:t>
      </w:r>
    </w:p>
    <w:p w:rsidRPr="00DA1BB4" w:rsidR="00A15C06" w:rsidP="00DA1BB4" w14:paraId="24A7B5A1" w14:textId="77777777">
      <w:pPr>
        <w:pStyle w:val="JuLista"/>
        <w:numPr>
          <w:ilvl w:val="1"/>
          <w:numId w:val="1"/>
        </w:numPr>
      </w:pPr>
      <w:r w:rsidRPr="00DA1BB4">
        <w:t>that the respondent State is to pay the applicant, within three months, the following amounts, to be converted into the currency of the respondent State at the rate applicable at the date of settlement</w:t>
      </w:r>
      <w:r w:rsidRPr="00DA1BB4">
        <w:rPr>
          <w:bCs/>
        </w:rPr>
        <w:t>:</w:t>
      </w:r>
    </w:p>
    <w:p w:rsidRPr="00DA1BB4" w:rsidR="00A15C06" w:rsidP="00DA1BB4" w14:paraId="50EFB69B" w14:textId="77777777">
      <w:pPr>
        <w:pStyle w:val="JuListi"/>
      </w:pPr>
      <w:r w:rsidRPr="00DA1BB4">
        <w:t>EUR 1,200 (one thousand two hundred euros), plus any tax that may be chargeable, in respect of non-pecuniary damage;</w:t>
      </w:r>
    </w:p>
    <w:p w:rsidRPr="00DA1BB4" w:rsidR="00A15C06" w:rsidP="00DA1BB4" w14:paraId="173D3F56" w14:textId="78DD6526">
      <w:pPr>
        <w:pStyle w:val="JuListi"/>
      </w:pPr>
      <w:r w:rsidRPr="00DA1BB4">
        <w:t>EUR 1,000 (one thousand euros), plus any tax that may be chargeable to the applicant, in respect of costs and expenses;</w:t>
      </w:r>
    </w:p>
    <w:p w:rsidRPr="00DA1BB4" w:rsidR="00A15C06" w:rsidP="0032428E" w14:paraId="23B396B8" w14:textId="77777777">
      <w:pPr>
        <w:pStyle w:val="JuLista"/>
        <w:keepNext/>
        <w:keepLines/>
      </w:pPr>
      <w:r w:rsidRPr="00DA1BB4">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DA1BB4">
        <w:t>points;</w:t>
      </w:r>
    </w:p>
    <w:p w:rsidRPr="00DA1BB4" w:rsidR="004D0EC7" w:rsidP="0032428E" w14:paraId="3BA9C778" w14:textId="3FD67B5A">
      <w:pPr>
        <w:pStyle w:val="JuList"/>
        <w:keepNext/>
        <w:keepLines/>
      </w:pPr>
      <w:r w:rsidRPr="00DA1BB4">
        <w:rPr>
          <w:i/>
        </w:rPr>
        <w:t xml:space="preserve">Dismisses </w:t>
      </w:r>
      <w:r w:rsidRPr="00DA1BB4">
        <w:t>the remainder of the applicant</w:t>
      </w:r>
      <w:r w:rsidRPr="00DA1BB4" w:rsidR="00DA1BB4">
        <w:t>’</w:t>
      </w:r>
      <w:r w:rsidRPr="00DA1BB4">
        <w:t>s claim for just satisfaction.</w:t>
      </w:r>
    </w:p>
    <w:p w:rsidRPr="00DA1BB4" w:rsidR="008E3A08" w:rsidP="00DA1BB4" w14:paraId="7B560A07" w14:textId="34B27BC5">
      <w:pPr>
        <w:pStyle w:val="JuParaLast"/>
      </w:pPr>
      <w:r w:rsidRPr="00DA1BB4">
        <w:t xml:space="preserve">Done in English, and notified in writing on </w:t>
      </w:r>
      <w:r w:rsidRPr="00DA1BB4" w:rsidR="00A15C06">
        <w:rPr>
          <w:rFonts w:ascii="Times New Roman" w:hAnsi="Times New Roman" w:cs="Times New Roman"/>
        </w:rPr>
        <w:t>21 March 2023</w:t>
      </w:r>
      <w:r w:rsidRPr="00DA1BB4">
        <w:t>, pursuant to Rule 77 §§ 2 and 3 of the Rules of Court.</w:t>
      </w:r>
    </w:p>
    <w:p w:rsidRPr="00DA1BB4" w:rsidR="008B092C" w:rsidP="00DA1BB4" w14:paraId="2ECB9AAA" w14:textId="64C40E3E">
      <w:pPr>
        <w:pStyle w:val="ECHRPlaceholder"/>
        <w:rPr>
          <w:szCs w:val="22"/>
        </w:rPr>
      </w:pPr>
      <w:r w:rsidRPr="00DA1BB4">
        <w:tab/>
      </w:r>
    </w:p>
    <w:p w:rsidR="00182EBA" w:rsidP="00DA1BB4" w14:paraId="279A627D" w14:textId="3792BBE8">
      <w:pPr>
        <w:pStyle w:val="JuSigned"/>
        <w:rPr>
          <w:lang w:val="pt-PT"/>
        </w:rPr>
      </w:pPr>
      <w:r w:rsidRPr="00DA1BB4">
        <w:tab/>
      </w:r>
      <w:r w:rsidRPr="0032428E" w:rsidR="00257604">
        <w:rPr>
          <w:noProof/>
          <w:lang w:val="pt-PT"/>
        </w:rPr>
        <w:t>Valentin Nicolescu</w:t>
      </w:r>
      <w:r w:rsidRPr="0032428E" w:rsidR="009F4C8F">
        <w:rPr>
          <w:lang w:val="pt-PT"/>
        </w:rPr>
        <w:tab/>
      </w:r>
      <w:r w:rsidRPr="0032428E" w:rsidR="00A15C06">
        <w:rPr>
          <w:noProof/>
          <w:lang w:val="pt-PT"/>
        </w:rPr>
        <w:t>Anja Seibert-Fohr</w:t>
      </w:r>
      <w:r w:rsidRPr="0032428E" w:rsidR="009F4C8F">
        <w:rPr>
          <w:lang w:val="pt-PT"/>
        </w:rPr>
        <w:br/>
      </w:r>
      <w:r w:rsidRPr="0032428E" w:rsidR="009F4C8F">
        <w:rPr>
          <w:lang w:val="pt-PT"/>
        </w:rPr>
        <w:tab/>
      </w:r>
      <w:r w:rsidRPr="0032428E" w:rsidR="00257604">
        <w:rPr>
          <w:noProof/>
          <w:lang w:val="pt-PT"/>
        </w:rPr>
        <w:t>Acting Deputy Registrar</w:t>
      </w:r>
      <w:r w:rsidRPr="0032428E" w:rsidR="009F4C8F">
        <w:rPr>
          <w:lang w:val="pt-PT"/>
        </w:rPr>
        <w:tab/>
      </w:r>
      <w:r w:rsidRPr="0032428E" w:rsidR="009F4C8F">
        <w:rPr>
          <w:lang w:val="pt-PT"/>
        </w:rPr>
        <w:t>President</w:t>
      </w:r>
    </w:p>
    <w:p w:rsidRPr="0032428E" w:rsidR="0032428E" w:rsidP="0032428E" w14:paraId="133F88C7" w14:textId="77777777">
      <w:pPr>
        <w:pStyle w:val="JuPara"/>
        <w:rPr>
          <w:lang w:val="pt-PT"/>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C06" w:rsidRPr="00150BFA" w:rsidP="0020718E" w14:paraId="586E3695" w14:textId="2013E9EF">
    <w:pPr>
      <w:jc w:val="center"/>
    </w:pPr>
    <w:r>
      <w:rPr>
        <w:noProof/>
        <w:lang w:val="en-US"/>
      </w:rPr>
      <w:drawing>
        <wp:inline distT="0" distB="0" distL="0" distR="0">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15C06" w:rsidP="00AF12C5" w14:paraId="690D540B" w14:textId="7E83C47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C06" w:rsidRPr="00150BFA" w:rsidP="0020718E" w14:paraId="6EF048C2" w14:textId="36BE640E">
    <w:pPr>
      <w:jc w:val="center"/>
    </w:pPr>
    <w:r>
      <w:rPr>
        <w:noProof/>
        <w:lang w:val="en-US"/>
      </w:rPr>
      <w:drawing>
        <wp:inline distT="0" distB="0" distL="0" distR="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15C06" w:rsidP="009E7A6F" w14:paraId="43681D37" w14:textId="553393E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7156C20" w14:textId="066B951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CC57247" w14:textId="48DF3F9D">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C06" w:rsidRPr="00A45145" w:rsidP="00A45145" w14:paraId="4A4D446D" w14:textId="238C0CA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15C06" w:rsidP="00B14793" w14:paraId="770EF450" w14:textId="23FFB33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C06" w:rsidRPr="00A45145" w:rsidP="00A45145" w14:paraId="457D0A7A" w14:textId="12CCF36C">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15C06" w14:paraId="4E2B196A" w14:textId="5E26D5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2D45725" w14:textId="7D3EFA1C">
    <w:pPr>
      <w:pStyle w:val="JuHeader"/>
    </w:pPr>
    <w:r>
      <w:t>MITICHYAN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A964DF4" w14:textId="58C09834">
    <w:pPr>
      <w:pStyle w:val="JuHeader"/>
    </w:pPr>
    <w:r>
      <w:t>MITICHYAN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18726792">
    <w:abstractNumId w:val="13"/>
  </w:num>
  <w:num w:numId="2" w16cid:durableId="1912421116">
    <w:abstractNumId w:val="14"/>
  </w:num>
  <w:num w:numId="3" w16cid:durableId="1867985949">
    <w:abstractNumId w:val="12"/>
  </w:num>
  <w:num w:numId="4" w16cid:durableId="1356617949">
    <w:abstractNumId w:val="11"/>
  </w:num>
  <w:num w:numId="5" w16cid:durableId="1893997879">
    <w:abstractNumId w:val="17"/>
  </w:num>
  <w:num w:numId="6" w16cid:durableId="152331768">
    <w:abstractNumId w:val="7"/>
  </w:num>
  <w:num w:numId="7" w16cid:durableId="418408993">
    <w:abstractNumId w:val="6"/>
  </w:num>
  <w:num w:numId="8" w16cid:durableId="1095369814">
    <w:abstractNumId w:val="5"/>
  </w:num>
  <w:num w:numId="9" w16cid:durableId="1962875413">
    <w:abstractNumId w:val="4"/>
  </w:num>
  <w:num w:numId="10" w16cid:durableId="894899278">
    <w:abstractNumId w:val="8"/>
  </w:num>
  <w:num w:numId="11" w16cid:durableId="568658117">
    <w:abstractNumId w:val="3"/>
  </w:num>
  <w:num w:numId="12" w16cid:durableId="281964329">
    <w:abstractNumId w:val="2"/>
  </w:num>
  <w:num w:numId="13" w16cid:durableId="810828966">
    <w:abstractNumId w:val="1"/>
  </w:num>
  <w:num w:numId="14" w16cid:durableId="2056345547">
    <w:abstractNumId w:val="0"/>
  </w:num>
  <w:num w:numId="15" w16cid:durableId="503014186">
    <w:abstractNumId w:val="15"/>
  </w:num>
  <w:num w:numId="16" w16cid:durableId="366830875">
    <w:abstractNumId w:val="13"/>
  </w:num>
  <w:num w:numId="17" w16cid:durableId="491526752">
    <w:abstractNumId w:val="16"/>
  </w:num>
  <w:num w:numId="18" w16cid:durableId="1738283348">
    <w:abstractNumId w:val="15"/>
  </w:num>
  <w:num w:numId="19" w16cid:durableId="419328975">
    <w:abstractNumId w:val="16"/>
  </w:num>
  <w:num w:numId="20" w16cid:durableId="679164574">
    <w:abstractNumId w:val="10"/>
  </w:num>
  <w:num w:numId="21" w16cid:durableId="63992420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0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7604"/>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6DED"/>
    <w:rsid w:val="002B1D90"/>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28E"/>
    <w:rsid w:val="0032463E"/>
    <w:rsid w:val="00326224"/>
    <w:rsid w:val="00337EE4"/>
    <w:rsid w:val="00340FFD"/>
    <w:rsid w:val="00345C41"/>
    <w:rsid w:val="003506B1"/>
    <w:rsid w:val="00355877"/>
    <w:rsid w:val="00356AC7"/>
    <w:rsid w:val="0036032C"/>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26B3"/>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81"/>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A6BD8"/>
    <w:rsid w:val="006A6BF5"/>
    <w:rsid w:val="006B1942"/>
    <w:rsid w:val="006C23D4"/>
    <w:rsid w:val="006C44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65"/>
    <w:rsid w:val="007E2C8C"/>
    <w:rsid w:val="007E51BA"/>
    <w:rsid w:val="007E73D7"/>
    <w:rsid w:val="007F1905"/>
    <w:rsid w:val="007F27E4"/>
    <w:rsid w:val="007F3437"/>
    <w:rsid w:val="007F6802"/>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3EB5"/>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8783A"/>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5C06"/>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C5752"/>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6B5B"/>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1BB4"/>
    <w:rsid w:val="00DA3160"/>
    <w:rsid w:val="00DA4A31"/>
    <w:rsid w:val="00DA7B04"/>
    <w:rsid w:val="00DB36C2"/>
    <w:rsid w:val="00DC169B"/>
    <w:rsid w:val="00DC2AB9"/>
    <w:rsid w:val="00DC3040"/>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7A9"/>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349B"/>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8CE"/>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D61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A1BB4"/>
    <w:rPr>
      <w:sz w:val="24"/>
      <w:szCs w:val="24"/>
      <w:lang w:val="en-GB"/>
    </w:rPr>
  </w:style>
  <w:style w:type="paragraph" w:styleId="Heading1">
    <w:name w:val="heading 1"/>
    <w:basedOn w:val="Normal"/>
    <w:next w:val="Normal"/>
    <w:link w:val="Heading1Char"/>
    <w:uiPriority w:val="98"/>
    <w:semiHidden/>
    <w:rsid w:val="00DA1B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A1B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A1BB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A1BB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A1BB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A1BB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A1BB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A1B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A1B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A1BB4"/>
    <w:rPr>
      <w:rFonts w:ascii="Tahoma" w:hAnsi="Tahoma" w:cs="Tahoma"/>
      <w:sz w:val="16"/>
      <w:szCs w:val="16"/>
    </w:rPr>
  </w:style>
  <w:style w:type="character" w:customStyle="1" w:styleId="BalloonTextChar">
    <w:name w:val="Balloon Text Char"/>
    <w:basedOn w:val="DefaultParagraphFont"/>
    <w:link w:val="BalloonText"/>
    <w:uiPriority w:val="98"/>
    <w:semiHidden/>
    <w:rsid w:val="00DA1BB4"/>
    <w:rPr>
      <w:rFonts w:ascii="Tahoma" w:hAnsi="Tahoma" w:cs="Tahoma"/>
      <w:sz w:val="16"/>
      <w:szCs w:val="16"/>
      <w:lang w:val="en-GB"/>
    </w:rPr>
  </w:style>
  <w:style w:type="character" w:styleId="BookTitle">
    <w:name w:val="Book Title"/>
    <w:uiPriority w:val="98"/>
    <w:semiHidden/>
    <w:qFormat/>
    <w:rsid w:val="00DA1BB4"/>
    <w:rPr>
      <w:i/>
      <w:iCs/>
      <w:smallCaps/>
      <w:spacing w:val="5"/>
    </w:rPr>
  </w:style>
  <w:style w:type="paragraph" w:customStyle="1" w:styleId="JuHeader">
    <w:name w:val="Ju_Header"/>
    <w:aliases w:val="_Header"/>
    <w:basedOn w:val="Header0"/>
    <w:uiPriority w:val="29"/>
    <w:qFormat/>
    <w:rsid w:val="00DA1BB4"/>
    <w:pPr>
      <w:tabs>
        <w:tab w:val="clear" w:pos="4536"/>
        <w:tab w:val="clear" w:pos="9072"/>
      </w:tabs>
      <w:jc w:val="center"/>
    </w:pPr>
    <w:rPr>
      <w:sz w:val="18"/>
    </w:rPr>
  </w:style>
  <w:style w:type="paragraph" w:customStyle="1" w:styleId="NormalJustified">
    <w:name w:val="Normal_Justified"/>
    <w:basedOn w:val="Normal"/>
    <w:semiHidden/>
    <w:rsid w:val="00DA1BB4"/>
    <w:pPr>
      <w:jc w:val="both"/>
    </w:pPr>
  </w:style>
  <w:style w:type="character" w:styleId="Strong">
    <w:name w:val="Strong"/>
    <w:uiPriority w:val="98"/>
    <w:semiHidden/>
    <w:qFormat/>
    <w:rsid w:val="00DA1BB4"/>
    <w:rPr>
      <w:b/>
      <w:bCs/>
    </w:rPr>
  </w:style>
  <w:style w:type="paragraph" w:styleId="NoSpacing">
    <w:name w:val="No Spacing"/>
    <w:basedOn w:val="Normal"/>
    <w:link w:val="NoSpacingChar"/>
    <w:uiPriority w:val="98"/>
    <w:semiHidden/>
    <w:qFormat/>
    <w:rsid w:val="00DA1BB4"/>
  </w:style>
  <w:style w:type="character" w:customStyle="1" w:styleId="NoSpacingChar">
    <w:name w:val="No Spacing Char"/>
    <w:basedOn w:val="DefaultParagraphFont"/>
    <w:link w:val="NoSpacing"/>
    <w:uiPriority w:val="98"/>
    <w:semiHidden/>
    <w:rsid w:val="00DA1BB4"/>
    <w:rPr>
      <w:sz w:val="24"/>
      <w:szCs w:val="24"/>
      <w:lang w:val="en-GB"/>
    </w:rPr>
  </w:style>
  <w:style w:type="paragraph" w:customStyle="1" w:styleId="JuQuot">
    <w:name w:val="Ju_Quot"/>
    <w:aliases w:val="_Quote"/>
    <w:basedOn w:val="NormalJustified"/>
    <w:uiPriority w:val="20"/>
    <w:qFormat/>
    <w:rsid w:val="00DA1BB4"/>
    <w:pPr>
      <w:spacing w:before="120" w:after="120"/>
      <w:ind w:left="425" w:firstLine="142"/>
    </w:pPr>
    <w:rPr>
      <w:sz w:val="20"/>
    </w:rPr>
  </w:style>
  <w:style w:type="paragraph" w:customStyle="1" w:styleId="DummyStyle">
    <w:name w:val="Dummy_Style"/>
    <w:aliases w:val="_Dummy"/>
    <w:basedOn w:val="Normal"/>
    <w:semiHidden/>
    <w:qFormat/>
    <w:rsid w:val="00DA1BB4"/>
    <w:rPr>
      <w:color w:val="00B050"/>
      <w:sz w:val="22"/>
    </w:rPr>
  </w:style>
  <w:style w:type="paragraph" w:customStyle="1" w:styleId="JuList">
    <w:name w:val="Ju_List"/>
    <w:aliases w:val="_List_1"/>
    <w:basedOn w:val="NormalJustified"/>
    <w:uiPriority w:val="23"/>
    <w:qFormat/>
    <w:rsid w:val="00DA1BB4"/>
    <w:pPr>
      <w:numPr>
        <w:numId w:val="21"/>
      </w:numPr>
      <w:spacing w:before="280" w:after="60"/>
    </w:pPr>
  </w:style>
  <w:style w:type="paragraph" w:customStyle="1" w:styleId="JuLista">
    <w:name w:val="Ju_List_a"/>
    <w:aliases w:val="_List_2"/>
    <w:basedOn w:val="NormalJustified"/>
    <w:uiPriority w:val="23"/>
    <w:rsid w:val="00DA1BB4"/>
    <w:pPr>
      <w:numPr>
        <w:ilvl w:val="1"/>
        <w:numId w:val="21"/>
      </w:numPr>
    </w:pPr>
  </w:style>
  <w:style w:type="paragraph" w:customStyle="1" w:styleId="JuListi">
    <w:name w:val="Ju_List_i"/>
    <w:aliases w:val="_List_3"/>
    <w:basedOn w:val="NormalJustified"/>
    <w:uiPriority w:val="23"/>
    <w:rsid w:val="00DA1BB4"/>
    <w:pPr>
      <w:numPr>
        <w:ilvl w:val="2"/>
        <w:numId w:val="21"/>
      </w:numPr>
    </w:pPr>
  </w:style>
  <w:style w:type="paragraph" w:customStyle="1" w:styleId="JuHArticle">
    <w:name w:val="Ju_H_Article"/>
    <w:aliases w:val="_Title_Quote"/>
    <w:basedOn w:val="Normal"/>
    <w:next w:val="JuQuot"/>
    <w:uiPriority w:val="19"/>
    <w:qFormat/>
    <w:rsid w:val="00DA1BB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A1BB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A1BB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A1BB4"/>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A1BB4"/>
    <w:pPr>
      <w:numPr>
        <w:numId w:val="15"/>
      </w:numPr>
    </w:pPr>
  </w:style>
  <w:style w:type="paragraph" w:customStyle="1" w:styleId="JuSigned">
    <w:name w:val="Ju_Signed"/>
    <w:aliases w:val="_Signature"/>
    <w:basedOn w:val="Normal"/>
    <w:next w:val="JuPara"/>
    <w:uiPriority w:val="31"/>
    <w:qFormat/>
    <w:rsid w:val="00DA1BB4"/>
    <w:pPr>
      <w:tabs>
        <w:tab w:val="center" w:pos="1418"/>
        <w:tab w:val="center" w:pos="5954"/>
      </w:tabs>
      <w:spacing w:before="720"/>
    </w:pPr>
  </w:style>
  <w:style w:type="paragraph" w:styleId="Title">
    <w:name w:val="Title"/>
    <w:basedOn w:val="Normal"/>
    <w:next w:val="Normal"/>
    <w:link w:val="TitleChar"/>
    <w:uiPriority w:val="98"/>
    <w:semiHidden/>
    <w:qFormat/>
    <w:rsid w:val="00DA1B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A1BB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A1BB4"/>
    <w:pPr>
      <w:numPr>
        <w:numId w:val="1"/>
      </w:numPr>
    </w:pPr>
  </w:style>
  <w:style w:type="numbering" w:customStyle="1" w:styleId="ECHRA1StyleNumberedList">
    <w:name w:val="ECHR_A1_Style_Numbered_List"/>
    <w:basedOn w:val="NoList"/>
    <w:rsid w:val="00DA1BB4"/>
    <w:pPr>
      <w:numPr>
        <w:numId w:val="17"/>
      </w:numPr>
    </w:pPr>
  </w:style>
  <w:style w:type="table" w:customStyle="1" w:styleId="ECHRTable2019">
    <w:name w:val="ECHR_Table_2019"/>
    <w:basedOn w:val="TableNormal"/>
    <w:uiPriority w:val="99"/>
    <w:rsid w:val="00DA1BB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A1BB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A1BB4"/>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A1BB4"/>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A1BB4"/>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DA1BB4"/>
    <w:pPr>
      <w:tabs>
        <w:tab w:val="center" w:pos="4536"/>
        <w:tab w:val="right" w:pos="9072"/>
      </w:tabs>
    </w:pPr>
  </w:style>
  <w:style w:type="character" w:customStyle="1" w:styleId="HeaderChar">
    <w:name w:val="Header Char"/>
    <w:basedOn w:val="DefaultParagraphFont"/>
    <w:link w:val="Header0"/>
    <w:uiPriority w:val="98"/>
    <w:semiHidden/>
    <w:rsid w:val="00DA1BB4"/>
    <w:rPr>
      <w:sz w:val="24"/>
      <w:szCs w:val="24"/>
      <w:lang w:val="en-GB"/>
    </w:rPr>
  </w:style>
  <w:style w:type="character" w:customStyle="1" w:styleId="Heading1Char">
    <w:name w:val="Heading 1 Char"/>
    <w:basedOn w:val="DefaultParagraphFont"/>
    <w:link w:val="Heading1"/>
    <w:uiPriority w:val="98"/>
    <w:semiHidden/>
    <w:rsid w:val="00DA1BB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A1BB4"/>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DA1BB4"/>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A1BB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A1BB4"/>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A1BB4"/>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DA1BB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A1BB4"/>
    <w:pPr>
      <w:keepNext/>
      <w:keepLines/>
      <w:spacing w:before="240" w:after="240"/>
      <w:ind w:firstLine="284"/>
    </w:pPr>
  </w:style>
  <w:style w:type="paragraph" w:customStyle="1" w:styleId="JuJudges">
    <w:name w:val="Ju_Judges"/>
    <w:aliases w:val="_Judges"/>
    <w:basedOn w:val="Normal"/>
    <w:uiPriority w:val="32"/>
    <w:qFormat/>
    <w:rsid w:val="00DA1BB4"/>
    <w:pPr>
      <w:tabs>
        <w:tab w:val="left" w:pos="567"/>
        <w:tab w:val="left" w:pos="1134"/>
      </w:tabs>
    </w:pPr>
  </w:style>
  <w:style w:type="character" w:customStyle="1" w:styleId="Heading4Char">
    <w:name w:val="Heading 4 Char"/>
    <w:basedOn w:val="DefaultParagraphFont"/>
    <w:link w:val="Heading4"/>
    <w:uiPriority w:val="98"/>
    <w:semiHidden/>
    <w:rsid w:val="00DA1BB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A1BB4"/>
    <w:pPr>
      <w:tabs>
        <w:tab w:val="center" w:pos="6407"/>
      </w:tabs>
      <w:spacing w:before="720"/>
      <w:jc w:val="right"/>
    </w:pPr>
  </w:style>
  <w:style w:type="character" w:customStyle="1" w:styleId="Heading5Char">
    <w:name w:val="Heading 5 Char"/>
    <w:basedOn w:val="DefaultParagraphFont"/>
    <w:link w:val="Heading5"/>
    <w:uiPriority w:val="98"/>
    <w:semiHidden/>
    <w:rsid w:val="00DA1BB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A1BB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A1BB4"/>
    <w:rPr>
      <w:caps w:val="0"/>
      <w:smallCaps/>
    </w:rPr>
  </w:style>
  <w:style w:type="character" w:styleId="SubtleEmphasis">
    <w:name w:val="Subtle Emphasis"/>
    <w:uiPriority w:val="98"/>
    <w:semiHidden/>
    <w:qFormat/>
    <w:rsid w:val="00DA1BB4"/>
    <w:rPr>
      <w:i/>
      <w:iCs/>
    </w:rPr>
  </w:style>
  <w:style w:type="table" w:customStyle="1" w:styleId="ECHRTable">
    <w:name w:val="ECHR_Table"/>
    <w:basedOn w:val="TableNormal"/>
    <w:rsid w:val="00DA1BB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A1B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A1BB4"/>
    <w:rPr>
      <w:b/>
      <w:bCs/>
      <w:i/>
      <w:iCs/>
      <w:spacing w:val="10"/>
      <w:bdr w:val="none" w:sz="0" w:space="0" w:color="auto"/>
      <w:shd w:val="clear" w:color="auto" w:fill="auto"/>
    </w:rPr>
  </w:style>
  <w:style w:type="paragraph" w:styleId="Footer1">
    <w:name w:val="footer"/>
    <w:basedOn w:val="Normal"/>
    <w:link w:val="FooterChar"/>
    <w:uiPriority w:val="98"/>
    <w:semiHidden/>
    <w:rsid w:val="00DA1BB4"/>
    <w:pPr>
      <w:tabs>
        <w:tab w:val="center" w:pos="3686"/>
        <w:tab w:val="right" w:pos="7371"/>
      </w:tabs>
    </w:pPr>
  </w:style>
  <w:style w:type="character" w:customStyle="1" w:styleId="FooterChar">
    <w:name w:val="Footer Char"/>
    <w:basedOn w:val="DefaultParagraphFont"/>
    <w:link w:val="Footer1"/>
    <w:uiPriority w:val="98"/>
    <w:semiHidden/>
    <w:rsid w:val="00DA1BB4"/>
    <w:rPr>
      <w:sz w:val="24"/>
      <w:szCs w:val="24"/>
      <w:lang w:val="en-GB"/>
    </w:rPr>
  </w:style>
  <w:style w:type="character" w:styleId="FootnoteReference">
    <w:name w:val="footnote reference"/>
    <w:basedOn w:val="DefaultParagraphFont"/>
    <w:uiPriority w:val="98"/>
    <w:semiHidden/>
    <w:rsid w:val="00DA1BB4"/>
    <w:rPr>
      <w:vertAlign w:val="superscript"/>
    </w:rPr>
  </w:style>
  <w:style w:type="paragraph" w:styleId="FootnoteText">
    <w:name w:val="footnote text"/>
    <w:basedOn w:val="NormalJustified"/>
    <w:link w:val="FootnoteTextChar"/>
    <w:uiPriority w:val="98"/>
    <w:semiHidden/>
    <w:rsid w:val="00DA1BB4"/>
    <w:rPr>
      <w:sz w:val="20"/>
      <w:szCs w:val="20"/>
    </w:rPr>
  </w:style>
  <w:style w:type="character" w:customStyle="1" w:styleId="FootnoteTextChar">
    <w:name w:val="Footnote Text Char"/>
    <w:basedOn w:val="DefaultParagraphFont"/>
    <w:link w:val="FootnoteText"/>
    <w:uiPriority w:val="98"/>
    <w:semiHidden/>
    <w:rsid w:val="00DA1BB4"/>
    <w:rPr>
      <w:sz w:val="20"/>
      <w:szCs w:val="20"/>
      <w:lang w:val="en-GB"/>
    </w:rPr>
  </w:style>
  <w:style w:type="character" w:customStyle="1" w:styleId="Heading6Char">
    <w:name w:val="Heading 6 Char"/>
    <w:basedOn w:val="DefaultParagraphFont"/>
    <w:link w:val="Heading6"/>
    <w:uiPriority w:val="98"/>
    <w:semiHidden/>
    <w:rsid w:val="00DA1BB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A1BB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A1BB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A1BB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A1BB4"/>
    <w:rPr>
      <w:color w:val="0072BC" w:themeColor="hyperlink"/>
      <w:u w:val="single"/>
    </w:rPr>
  </w:style>
  <w:style w:type="character" w:styleId="IntenseEmphasis">
    <w:name w:val="Intense Emphasis"/>
    <w:uiPriority w:val="98"/>
    <w:semiHidden/>
    <w:qFormat/>
    <w:rsid w:val="00DA1BB4"/>
    <w:rPr>
      <w:b/>
      <w:bCs/>
    </w:rPr>
  </w:style>
  <w:style w:type="paragraph" w:styleId="IntenseQuote">
    <w:name w:val="Intense Quote"/>
    <w:basedOn w:val="Normal"/>
    <w:next w:val="Normal"/>
    <w:link w:val="IntenseQuoteChar"/>
    <w:uiPriority w:val="98"/>
    <w:semiHidden/>
    <w:qFormat/>
    <w:rsid w:val="00DA1B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A1BB4"/>
    <w:rPr>
      <w:b/>
      <w:bCs/>
      <w:i/>
      <w:iCs/>
      <w:sz w:val="24"/>
      <w:szCs w:val="24"/>
      <w:lang w:val="en-GB" w:bidi="en-US"/>
    </w:rPr>
  </w:style>
  <w:style w:type="character" w:styleId="IntenseReference">
    <w:name w:val="Intense Reference"/>
    <w:uiPriority w:val="98"/>
    <w:semiHidden/>
    <w:qFormat/>
    <w:rsid w:val="00DA1BB4"/>
    <w:rPr>
      <w:smallCaps/>
      <w:spacing w:val="5"/>
      <w:u w:val="single"/>
    </w:rPr>
  </w:style>
  <w:style w:type="paragraph" w:styleId="ListParagraph">
    <w:name w:val="List Paragraph"/>
    <w:basedOn w:val="Normal"/>
    <w:uiPriority w:val="98"/>
    <w:semiHidden/>
    <w:qFormat/>
    <w:rsid w:val="00DA1BB4"/>
    <w:pPr>
      <w:ind w:left="720"/>
      <w:contextualSpacing/>
    </w:pPr>
  </w:style>
  <w:style w:type="table" w:customStyle="1" w:styleId="LtrTableAddress">
    <w:name w:val="Ltr_Table_Address"/>
    <w:aliases w:val="ECHR_Ltr_Table_Address"/>
    <w:basedOn w:val="TableNormal"/>
    <w:uiPriority w:val="99"/>
    <w:rsid w:val="00DA1BB4"/>
    <w:rPr>
      <w:sz w:val="24"/>
      <w:szCs w:val="24"/>
    </w:rPr>
    <w:tblPr>
      <w:tblInd w:w="5103" w:type="dxa"/>
    </w:tblPr>
  </w:style>
  <w:style w:type="paragraph" w:styleId="Quote0">
    <w:name w:val="Quote"/>
    <w:basedOn w:val="Normal"/>
    <w:next w:val="Normal"/>
    <w:link w:val="QuoteChar"/>
    <w:uiPriority w:val="98"/>
    <w:semiHidden/>
    <w:qFormat/>
    <w:rsid w:val="00DA1BB4"/>
    <w:pPr>
      <w:spacing w:before="200"/>
      <w:ind w:left="360" w:right="360"/>
    </w:pPr>
    <w:rPr>
      <w:i/>
      <w:iCs/>
      <w:lang w:bidi="en-US"/>
    </w:rPr>
  </w:style>
  <w:style w:type="character" w:customStyle="1" w:styleId="QuoteChar">
    <w:name w:val="Quote Char"/>
    <w:basedOn w:val="DefaultParagraphFont"/>
    <w:link w:val="Quote0"/>
    <w:uiPriority w:val="98"/>
    <w:semiHidden/>
    <w:rsid w:val="00DA1BB4"/>
    <w:rPr>
      <w:i/>
      <w:iCs/>
      <w:sz w:val="24"/>
      <w:szCs w:val="24"/>
      <w:lang w:val="en-GB" w:bidi="en-US"/>
    </w:rPr>
  </w:style>
  <w:style w:type="character" w:styleId="SubtleReference">
    <w:name w:val="Subtle Reference"/>
    <w:uiPriority w:val="98"/>
    <w:semiHidden/>
    <w:qFormat/>
    <w:rsid w:val="00DA1BB4"/>
    <w:rPr>
      <w:smallCaps/>
    </w:rPr>
  </w:style>
  <w:style w:type="table" w:styleId="TableGrid">
    <w:name w:val="Table Grid"/>
    <w:basedOn w:val="TableNormal"/>
    <w:uiPriority w:val="59"/>
    <w:semiHidden/>
    <w:rsid w:val="00DA1BB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A1B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A1B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A1B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A1BB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A1BB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A1BB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A1BB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A1BB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A1BB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A1BB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A1BB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A1BB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A1BB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A1BB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A1BB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A1BB4"/>
    <w:pPr>
      <w:numPr>
        <w:numId w:val="2"/>
      </w:numPr>
    </w:pPr>
  </w:style>
  <w:style w:type="paragraph" w:customStyle="1" w:styleId="JuPara">
    <w:name w:val="Ju_Para"/>
    <w:aliases w:val="_Para"/>
    <w:basedOn w:val="NormalJustified"/>
    <w:link w:val="JuParaChar"/>
    <w:uiPriority w:val="4"/>
    <w:qFormat/>
    <w:rsid w:val="00DA1BB4"/>
    <w:pPr>
      <w:ind w:firstLine="284"/>
    </w:pPr>
  </w:style>
  <w:style w:type="numbering" w:styleId="1ai">
    <w:name w:val="Outline List 1"/>
    <w:basedOn w:val="NoList"/>
    <w:uiPriority w:val="99"/>
    <w:semiHidden/>
    <w:unhideWhenUsed/>
    <w:rsid w:val="00DA1BB4"/>
    <w:pPr>
      <w:numPr>
        <w:numId w:val="3"/>
      </w:numPr>
    </w:pPr>
  </w:style>
  <w:style w:type="table" w:customStyle="1" w:styleId="ECHRTableSimpleBox">
    <w:name w:val="ECHR_Table_Simple_Box"/>
    <w:basedOn w:val="TableNormal"/>
    <w:uiPriority w:val="99"/>
    <w:rsid w:val="00DA1BB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A1BB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A1BB4"/>
    <w:pPr>
      <w:numPr>
        <w:numId w:val="4"/>
      </w:numPr>
    </w:pPr>
  </w:style>
  <w:style w:type="table" w:customStyle="1" w:styleId="ECHRTableForInternalUse">
    <w:name w:val="ECHR_Table_For_Internal_Use"/>
    <w:basedOn w:val="TableNormal"/>
    <w:uiPriority w:val="99"/>
    <w:rsid w:val="00DA1BB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A1BB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A1BB4"/>
  </w:style>
  <w:style w:type="paragraph" w:styleId="BlockText">
    <w:name w:val="Block Text"/>
    <w:basedOn w:val="Normal"/>
    <w:uiPriority w:val="98"/>
    <w:semiHidden/>
    <w:rsid w:val="00DA1B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A1BB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A1BB4"/>
    <w:pPr>
      <w:spacing w:after="120"/>
    </w:pPr>
  </w:style>
  <w:style w:type="character" w:customStyle="1" w:styleId="BodyTextChar">
    <w:name w:val="Body Text Char"/>
    <w:basedOn w:val="DefaultParagraphFont"/>
    <w:link w:val="BodyText"/>
    <w:uiPriority w:val="98"/>
    <w:semiHidden/>
    <w:rsid w:val="00DA1BB4"/>
    <w:rPr>
      <w:sz w:val="24"/>
      <w:szCs w:val="24"/>
      <w:lang w:val="en-GB"/>
    </w:rPr>
  </w:style>
  <w:style w:type="table" w:customStyle="1" w:styleId="ECHRTableOddBanded">
    <w:name w:val="ECHR_Table_Odd_Banded"/>
    <w:basedOn w:val="TableNormal"/>
    <w:uiPriority w:val="99"/>
    <w:rsid w:val="00DA1BB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A1BB4"/>
    <w:pPr>
      <w:spacing w:after="120" w:line="480" w:lineRule="auto"/>
    </w:pPr>
  </w:style>
  <w:style w:type="table" w:customStyle="1" w:styleId="ECHRHeaderTableReduced">
    <w:name w:val="ECHR_Header_Table_Reduced"/>
    <w:basedOn w:val="TableNormal"/>
    <w:uiPriority w:val="99"/>
    <w:rsid w:val="00DA1BB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A1BB4"/>
    <w:pPr>
      <w:ind w:firstLine="284"/>
    </w:pPr>
    <w:rPr>
      <w:b/>
    </w:rPr>
  </w:style>
  <w:style w:type="character" w:styleId="PageNumber">
    <w:name w:val="page number"/>
    <w:uiPriority w:val="98"/>
    <w:semiHidden/>
    <w:rsid w:val="00DA1BB4"/>
    <w:rPr>
      <w:sz w:val="18"/>
    </w:rPr>
  </w:style>
  <w:style w:type="paragraph" w:styleId="ListBullet">
    <w:name w:val="List Bullet"/>
    <w:basedOn w:val="Normal"/>
    <w:uiPriority w:val="98"/>
    <w:semiHidden/>
    <w:rsid w:val="00DA1BB4"/>
    <w:pPr>
      <w:numPr>
        <w:numId w:val="5"/>
      </w:numPr>
    </w:pPr>
  </w:style>
  <w:style w:type="paragraph" w:styleId="ListBullet3">
    <w:name w:val="List Bullet 3"/>
    <w:basedOn w:val="Normal"/>
    <w:uiPriority w:val="98"/>
    <w:semiHidden/>
    <w:rsid w:val="00DA1BB4"/>
    <w:pPr>
      <w:numPr>
        <w:numId w:val="7"/>
      </w:numPr>
      <w:contextualSpacing/>
    </w:pPr>
  </w:style>
  <w:style w:type="character" w:customStyle="1" w:styleId="BodyText2Char">
    <w:name w:val="Body Text 2 Char"/>
    <w:basedOn w:val="DefaultParagraphFont"/>
    <w:link w:val="BodyText2"/>
    <w:uiPriority w:val="98"/>
    <w:semiHidden/>
    <w:rsid w:val="00DA1BB4"/>
    <w:rPr>
      <w:sz w:val="24"/>
      <w:szCs w:val="24"/>
      <w:lang w:val="en-GB"/>
    </w:rPr>
  </w:style>
  <w:style w:type="paragraph" w:styleId="BodyText3">
    <w:name w:val="Body Text 3"/>
    <w:basedOn w:val="Normal"/>
    <w:link w:val="BodyText3Char"/>
    <w:uiPriority w:val="98"/>
    <w:semiHidden/>
    <w:rsid w:val="00DA1BB4"/>
    <w:pPr>
      <w:spacing w:after="120"/>
    </w:pPr>
    <w:rPr>
      <w:sz w:val="16"/>
      <w:szCs w:val="16"/>
    </w:rPr>
  </w:style>
  <w:style w:type="character" w:customStyle="1" w:styleId="BodyText3Char">
    <w:name w:val="Body Text 3 Char"/>
    <w:basedOn w:val="DefaultParagraphFont"/>
    <w:link w:val="BodyText3"/>
    <w:uiPriority w:val="98"/>
    <w:semiHidden/>
    <w:rsid w:val="00DA1BB4"/>
    <w:rPr>
      <w:sz w:val="16"/>
      <w:szCs w:val="16"/>
      <w:lang w:val="en-GB"/>
    </w:rPr>
  </w:style>
  <w:style w:type="paragraph" w:styleId="BodyTextFirstIndent">
    <w:name w:val="Body Text First Indent"/>
    <w:basedOn w:val="BodyText"/>
    <w:link w:val="BodyTextFirstIndentChar"/>
    <w:uiPriority w:val="98"/>
    <w:semiHidden/>
    <w:rsid w:val="00DA1BB4"/>
    <w:pPr>
      <w:spacing w:after="0"/>
      <w:ind w:firstLine="360"/>
    </w:pPr>
  </w:style>
  <w:style w:type="character" w:customStyle="1" w:styleId="BodyTextFirstIndentChar">
    <w:name w:val="Body Text First Indent Char"/>
    <w:basedOn w:val="BodyTextChar"/>
    <w:link w:val="BodyTextFirstIndent"/>
    <w:uiPriority w:val="98"/>
    <w:semiHidden/>
    <w:rsid w:val="00DA1BB4"/>
    <w:rPr>
      <w:sz w:val="24"/>
      <w:szCs w:val="24"/>
      <w:lang w:val="en-GB"/>
    </w:rPr>
  </w:style>
  <w:style w:type="paragraph" w:styleId="BodyTextIndent">
    <w:name w:val="Body Text Indent"/>
    <w:basedOn w:val="Normal"/>
    <w:link w:val="BodyTextIndentChar"/>
    <w:uiPriority w:val="98"/>
    <w:semiHidden/>
    <w:rsid w:val="00DA1BB4"/>
    <w:pPr>
      <w:spacing w:after="120"/>
      <w:ind w:left="283"/>
    </w:pPr>
  </w:style>
  <w:style w:type="character" w:customStyle="1" w:styleId="BodyTextIndentChar">
    <w:name w:val="Body Text Indent Char"/>
    <w:basedOn w:val="DefaultParagraphFont"/>
    <w:link w:val="BodyTextIndent"/>
    <w:uiPriority w:val="98"/>
    <w:semiHidden/>
    <w:rsid w:val="00DA1BB4"/>
    <w:rPr>
      <w:sz w:val="24"/>
      <w:szCs w:val="24"/>
      <w:lang w:val="en-GB"/>
    </w:rPr>
  </w:style>
  <w:style w:type="paragraph" w:styleId="BodyTextFirstIndent2">
    <w:name w:val="Body Text First Indent 2"/>
    <w:basedOn w:val="BodyTextIndent"/>
    <w:link w:val="BodyTextFirstIndent2Char"/>
    <w:uiPriority w:val="98"/>
    <w:semiHidden/>
    <w:rsid w:val="00DA1BB4"/>
    <w:pPr>
      <w:spacing w:after="0"/>
      <w:ind w:left="360" w:firstLine="360"/>
    </w:pPr>
  </w:style>
  <w:style w:type="character" w:customStyle="1" w:styleId="BodyTextFirstIndent2Char">
    <w:name w:val="Body Text First Indent 2 Char"/>
    <w:basedOn w:val="BodyTextIndentChar"/>
    <w:link w:val="BodyTextFirstIndent2"/>
    <w:uiPriority w:val="98"/>
    <w:semiHidden/>
    <w:rsid w:val="00DA1BB4"/>
    <w:rPr>
      <w:sz w:val="24"/>
      <w:szCs w:val="24"/>
      <w:lang w:val="en-GB"/>
    </w:rPr>
  </w:style>
  <w:style w:type="paragraph" w:styleId="BodyTextIndent2">
    <w:name w:val="Body Text Indent 2"/>
    <w:basedOn w:val="Normal"/>
    <w:link w:val="BodyTextIndent2Char"/>
    <w:uiPriority w:val="98"/>
    <w:semiHidden/>
    <w:rsid w:val="00DA1BB4"/>
    <w:pPr>
      <w:spacing w:after="120" w:line="480" w:lineRule="auto"/>
      <w:ind w:left="283"/>
    </w:pPr>
  </w:style>
  <w:style w:type="character" w:customStyle="1" w:styleId="BodyTextIndent2Char">
    <w:name w:val="Body Text Indent 2 Char"/>
    <w:basedOn w:val="DefaultParagraphFont"/>
    <w:link w:val="BodyTextIndent2"/>
    <w:uiPriority w:val="98"/>
    <w:semiHidden/>
    <w:rsid w:val="00DA1BB4"/>
    <w:rPr>
      <w:sz w:val="24"/>
      <w:szCs w:val="24"/>
      <w:lang w:val="en-GB"/>
    </w:rPr>
  </w:style>
  <w:style w:type="paragraph" w:styleId="BodyTextIndent3">
    <w:name w:val="Body Text Indent 3"/>
    <w:basedOn w:val="Normal"/>
    <w:link w:val="BodyTextIndent3Char"/>
    <w:uiPriority w:val="98"/>
    <w:semiHidden/>
    <w:rsid w:val="00DA1BB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A1BB4"/>
    <w:rPr>
      <w:sz w:val="16"/>
      <w:szCs w:val="16"/>
      <w:lang w:val="en-GB"/>
    </w:rPr>
  </w:style>
  <w:style w:type="paragraph" w:styleId="Caption">
    <w:name w:val="caption"/>
    <w:basedOn w:val="Normal"/>
    <w:next w:val="Normal"/>
    <w:uiPriority w:val="98"/>
    <w:semiHidden/>
    <w:qFormat/>
    <w:rsid w:val="00DA1BB4"/>
    <w:pPr>
      <w:spacing w:after="200"/>
    </w:pPr>
    <w:rPr>
      <w:b/>
      <w:bCs/>
      <w:color w:val="0072BC" w:themeColor="accent1"/>
      <w:sz w:val="18"/>
      <w:szCs w:val="18"/>
    </w:rPr>
  </w:style>
  <w:style w:type="paragraph" w:styleId="Closing">
    <w:name w:val="Closing"/>
    <w:basedOn w:val="Normal"/>
    <w:link w:val="ClosingChar"/>
    <w:uiPriority w:val="98"/>
    <w:semiHidden/>
    <w:rsid w:val="00DA1BB4"/>
    <w:pPr>
      <w:ind w:left="4252"/>
    </w:pPr>
  </w:style>
  <w:style w:type="character" w:customStyle="1" w:styleId="ClosingChar">
    <w:name w:val="Closing Char"/>
    <w:basedOn w:val="DefaultParagraphFont"/>
    <w:link w:val="Closing"/>
    <w:uiPriority w:val="98"/>
    <w:semiHidden/>
    <w:rsid w:val="00DA1BB4"/>
    <w:rPr>
      <w:sz w:val="24"/>
      <w:szCs w:val="24"/>
      <w:lang w:val="en-GB"/>
    </w:rPr>
  </w:style>
  <w:style w:type="table" w:styleId="ColorfulGrid">
    <w:name w:val="Colorful Grid"/>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A1BB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A1BB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A1BB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A1BB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A1BB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A1BB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A1BB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A1BB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A1BB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A1BB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A1BB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A1BB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A1BB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A1BB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A1BB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A1BB4"/>
    <w:rPr>
      <w:sz w:val="16"/>
      <w:szCs w:val="16"/>
    </w:rPr>
  </w:style>
  <w:style w:type="paragraph" w:styleId="CommentText">
    <w:name w:val="annotation text"/>
    <w:basedOn w:val="Normal"/>
    <w:link w:val="CommentTextChar"/>
    <w:uiPriority w:val="98"/>
    <w:semiHidden/>
    <w:rsid w:val="00DA1BB4"/>
    <w:rPr>
      <w:sz w:val="20"/>
      <w:szCs w:val="20"/>
    </w:rPr>
  </w:style>
  <w:style w:type="character" w:customStyle="1" w:styleId="CommentTextChar">
    <w:name w:val="Comment Text Char"/>
    <w:basedOn w:val="DefaultParagraphFont"/>
    <w:link w:val="CommentText"/>
    <w:uiPriority w:val="98"/>
    <w:semiHidden/>
    <w:rsid w:val="00DA1BB4"/>
    <w:rPr>
      <w:sz w:val="20"/>
      <w:szCs w:val="20"/>
      <w:lang w:val="en-GB"/>
    </w:rPr>
  </w:style>
  <w:style w:type="paragraph" w:styleId="CommentSubject">
    <w:name w:val="annotation subject"/>
    <w:basedOn w:val="CommentText"/>
    <w:next w:val="CommentText"/>
    <w:link w:val="CommentSubjectChar"/>
    <w:uiPriority w:val="98"/>
    <w:semiHidden/>
    <w:rsid w:val="00DA1BB4"/>
    <w:rPr>
      <w:b/>
      <w:bCs/>
    </w:rPr>
  </w:style>
  <w:style w:type="character" w:customStyle="1" w:styleId="CommentSubjectChar">
    <w:name w:val="Comment Subject Char"/>
    <w:basedOn w:val="CommentTextChar"/>
    <w:link w:val="CommentSubject"/>
    <w:uiPriority w:val="98"/>
    <w:semiHidden/>
    <w:rsid w:val="00DA1BB4"/>
    <w:rPr>
      <w:b/>
      <w:bCs/>
      <w:sz w:val="20"/>
      <w:szCs w:val="20"/>
      <w:lang w:val="en-GB"/>
    </w:rPr>
  </w:style>
  <w:style w:type="table" w:styleId="DarkList">
    <w:name w:val="Dark List"/>
    <w:basedOn w:val="TableNormal"/>
    <w:uiPriority w:val="70"/>
    <w:semiHidden/>
    <w:rsid w:val="00DA1BB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A1BB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A1BB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A1BB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A1BB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A1BB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A1BB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A1BB4"/>
  </w:style>
  <w:style w:type="character" w:customStyle="1" w:styleId="DateChar">
    <w:name w:val="Date Char"/>
    <w:basedOn w:val="DefaultParagraphFont"/>
    <w:link w:val="Date"/>
    <w:uiPriority w:val="98"/>
    <w:semiHidden/>
    <w:rsid w:val="00DA1BB4"/>
    <w:rPr>
      <w:sz w:val="24"/>
      <w:szCs w:val="24"/>
      <w:lang w:val="en-GB"/>
    </w:rPr>
  </w:style>
  <w:style w:type="paragraph" w:styleId="DocumentMap">
    <w:name w:val="Document Map"/>
    <w:basedOn w:val="Normal"/>
    <w:link w:val="DocumentMapChar"/>
    <w:uiPriority w:val="98"/>
    <w:semiHidden/>
    <w:rsid w:val="00DA1BB4"/>
    <w:rPr>
      <w:rFonts w:ascii="Tahoma" w:hAnsi="Tahoma" w:cs="Tahoma"/>
      <w:sz w:val="16"/>
      <w:szCs w:val="16"/>
    </w:rPr>
  </w:style>
  <w:style w:type="character" w:customStyle="1" w:styleId="DocumentMapChar">
    <w:name w:val="Document Map Char"/>
    <w:basedOn w:val="DefaultParagraphFont"/>
    <w:link w:val="DocumentMap"/>
    <w:uiPriority w:val="98"/>
    <w:semiHidden/>
    <w:rsid w:val="00DA1BB4"/>
    <w:rPr>
      <w:rFonts w:ascii="Tahoma" w:hAnsi="Tahoma" w:cs="Tahoma"/>
      <w:sz w:val="16"/>
      <w:szCs w:val="16"/>
      <w:lang w:val="en-GB"/>
    </w:rPr>
  </w:style>
  <w:style w:type="paragraph" w:styleId="E-mailSignature">
    <w:name w:val="E-mail Signature"/>
    <w:basedOn w:val="Normal"/>
    <w:link w:val="E-mailSignatureChar"/>
    <w:uiPriority w:val="98"/>
    <w:semiHidden/>
    <w:rsid w:val="00DA1BB4"/>
  </w:style>
  <w:style w:type="character" w:customStyle="1" w:styleId="E-mailSignatureChar">
    <w:name w:val="E-mail Signature Char"/>
    <w:basedOn w:val="DefaultParagraphFont"/>
    <w:link w:val="E-mailSignature"/>
    <w:uiPriority w:val="98"/>
    <w:semiHidden/>
    <w:rsid w:val="00DA1BB4"/>
    <w:rPr>
      <w:sz w:val="24"/>
      <w:szCs w:val="24"/>
      <w:lang w:val="en-GB"/>
    </w:rPr>
  </w:style>
  <w:style w:type="character" w:styleId="EndnoteReference">
    <w:name w:val="endnote reference"/>
    <w:basedOn w:val="DefaultParagraphFont"/>
    <w:uiPriority w:val="98"/>
    <w:semiHidden/>
    <w:rsid w:val="00DA1BB4"/>
    <w:rPr>
      <w:vertAlign w:val="superscript"/>
    </w:rPr>
  </w:style>
  <w:style w:type="paragraph" w:styleId="EndnoteText">
    <w:name w:val="endnote text"/>
    <w:basedOn w:val="Normal"/>
    <w:link w:val="EndnoteTextChar"/>
    <w:uiPriority w:val="98"/>
    <w:semiHidden/>
    <w:rsid w:val="00DA1BB4"/>
    <w:rPr>
      <w:sz w:val="20"/>
      <w:szCs w:val="20"/>
    </w:rPr>
  </w:style>
  <w:style w:type="character" w:customStyle="1" w:styleId="EndnoteTextChar">
    <w:name w:val="Endnote Text Char"/>
    <w:basedOn w:val="DefaultParagraphFont"/>
    <w:link w:val="EndnoteText"/>
    <w:uiPriority w:val="98"/>
    <w:semiHidden/>
    <w:rsid w:val="00DA1BB4"/>
    <w:rPr>
      <w:sz w:val="20"/>
      <w:szCs w:val="20"/>
      <w:lang w:val="en-GB"/>
    </w:rPr>
  </w:style>
  <w:style w:type="paragraph" w:styleId="EnvelopeAddress">
    <w:name w:val="envelope address"/>
    <w:basedOn w:val="Normal"/>
    <w:uiPriority w:val="98"/>
    <w:semiHidden/>
    <w:rsid w:val="00DA1BB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A1BB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A1BB4"/>
    <w:rPr>
      <w:color w:val="7030A0" w:themeColor="followedHyperlink"/>
      <w:u w:val="single"/>
    </w:rPr>
  </w:style>
  <w:style w:type="character" w:styleId="HTMLAcronym">
    <w:name w:val="HTML Acronym"/>
    <w:basedOn w:val="DefaultParagraphFont"/>
    <w:uiPriority w:val="98"/>
    <w:semiHidden/>
    <w:rsid w:val="00DA1BB4"/>
  </w:style>
  <w:style w:type="paragraph" w:styleId="HTMLAddress">
    <w:name w:val="HTML Address"/>
    <w:basedOn w:val="Normal"/>
    <w:link w:val="HTMLAddressChar"/>
    <w:uiPriority w:val="98"/>
    <w:semiHidden/>
    <w:rsid w:val="00DA1BB4"/>
    <w:rPr>
      <w:i/>
      <w:iCs/>
    </w:rPr>
  </w:style>
  <w:style w:type="character" w:customStyle="1" w:styleId="HTMLAddressChar">
    <w:name w:val="HTML Address Char"/>
    <w:basedOn w:val="DefaultParagraphFont"/>
    <w:link w:val="HTMLAddress"/>
    <w:uiPriority w:val="98"/>
    <w:semiHidden/>
    <w:rsid w:val="00DA1BB4"/>
    <w:rPr>
      <w:i/>
      <w:iCs/>
      <w:sz w:val="24"/>
      <w:szCs w:val="24"/>
      <w:lang w:val="en-GB"/>
    </w:rPr>
  </w:style>
  <w:style w:type="character" w:styleId="HTMLCite">
    <w:name w:val="HTML Cite"/>
    <w:basedOn w:val="DefaultParagraphFont"/>
    <w:uiPriority w:val="98"/>
    <w:semiHidden/>
    <w:rsid w:val="00DA1BB4"/>
    <w:rPr>
      <w:i/>
      <w:iCs/>
    </w:rPr>
  </w:style>
  <w:style w:type="character" w:styleId="HTMLCode">
    <w:name w:val="HTML Code"/>
    <w:basedOn w:val="DefaultParagraphFont"/>
    <w:uiPriority w:val="98"/>
    <w:semiHidden/>
    <w:rsid w:val="00DA1BB4"/>
    <w:rPr>
      <w:rFonts w:ascii="Consolas" w:hAnsi="Consolas" w:cs="Consolas"/>
      <w:sz w:val="20"/>
      <w:szCs w:val="20"/>
    </w:rPr>
  </w:style>
  <w:style w:type="character" w:styleId="HTMLDefinition">
    <w:name w:val="HTML Definition"/>
    <w:basedOn w:val="DefaultParagraphFont"/>
    <w:uiPriority w:val="98"/>
    <w:semiHidden/>
    <w:rsid w:val="00DA1BB4"/>
    <w:rPr>
      <w:i/>
      <w:iCs/>
    </w:rPr>
  </w:style>
  <w:style w:type="character" w:styleId="HTMLKeyboard">
    <w:name w:val="HTML Keyboard"/>
    <w:basedOn w:val="DefaultParagraphFont"/>
    <w:uiPriority w:val="98"/>
    <w:semiHidden/>
    <w:rsid w:val="00DA1BB4"/>
    <w:rPr>
      <w:rFonts w:ascii="Consolas" w:hAnsi="Consolas" w:cs="Consolas"/>
      <w:sz w:val="20"/>
      <w:szCs w:val="20"/>
    </w:rPr>
  </w:style>
  <w:style w:type="paragraph" w:styleId="HTMLPreformatted">
    <w:name w:val="HTML Preformatted"/>
    <w:basedOn w:val="Normal"/>
    <w:link w:val="HTMLPreformattedChar"/>
    <w:uiPriority w:val="98"/>
    <w:semiHidden/>
    <w:rsid w:val="00DA1BB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A1BB4"/>
    <w:rPr>
      <w:rFonts w:ascii="Consolas" w:hAnsi="Consolas" w:cs="Consolas"/>
      <w:sz w:val="20"/>
      <w:szCs w:val="20"/>
      <w:lang w:val="en-GB"/>
    </w:rPr>
  </w:style>
  <w:style w:type="character" w:styleId="HTMLSample">
    <w:name w:val="HTML Sample"/>
    <w:basedOn w:val="DefaultParagraphFont"/>
    <w:uiPriority w:val="98"/>
    <w:semiHidden/>
    <w:rsid w:val="00DA1BB4"/>
    <w:rPr>
      <w:rFonts w:ascii="Consolas" w:hAnsi="Consolas" w:cs="Consolas"/>
      <w:sz w:val="24"/>
      <w:szCs w:val="24"/>
    </w:rPr>
  </w:style>
  <w:style w:type="character" w:styleId="HTMLTypewriter">
    <w:name w:val="HTML Typewriter"/>
    <w:basedOn w:val="DefaultParagraphFont"/>
    <w:uiPriority w:val="98"/>
    <w:semiHidden/>
    <w:rsid w:val="00DA1BB4"/>
    <w:rPr>
      <w:rFonts w:ascii="Consolas" w:hAnsi="Consolas" w:cs="Consolas"/>
      <w:sz w:val="20"/>
      <w:szCs w:val="20"/>
    </w:rPr>
  </w:style>
  <w:style w:type="character" w:styleId="HTMLVariable">
    <w:name w:val="HTML Variable"/>
    <w:basedOn w:val="DefaultParagraphFont"/>
    <w:uiPriority w:val="98"/>
    <w:semiHidden/>
    <w:rsid w:val="00DA1BB4"/>
    <w:rPr>
      <w:i/>
      <w:iCs/>
    </w:rPr>
  </w:style>
  <w:style w:type="paragraph" w:styleId="Index1">
    <w:name w:val="index 1"/>
    <w:basedOn w:val="Normal"/>
    <w:next w:val="Normal"/>
    <w:autoRedefine/>
    <w:uiPriority w:val="98"/>
    <w:semiHidden/>
    <w:rsid w:val="00DA1BB4"/>
    <w:pPr>
      <w:ind w:left="240" w:hanging="240"/>
    </w:pPr>
  </w:style>
  <w:style w:type="paragraph" w:styleId="Index2">
    <w:name w:val="index 2"/>
    <w:basedOn w:val="Normal"/>
    <w:next w:val="Normal"/>
    <w:autoRedefine/>
    <w:uiPriority w:val="98"/>
    <w:semiHidden/>
    <w:rsid w:val="00DA1BB4"/>
    <w:pPr>
      <w:ind w:left="480" w:hanging="240"/>
    </w:pPr>
  </w:style>
  <w:style w:type="paragraph" w:styleId="Index3">
    <w:name w:val="index 3"/>
    <w:basedOn w:val="Normal"/>
    <w:next w:val="Normal"/>
    <w:autoRedefine/>
    <w:uiPriority w:val="98"/>
    <w:semiHidden/>
    <w:rsid w:val="00DA1BB4"/>
    <w:pPr>
      <w:ind w:left="720" w:hanging="240"/>
    </w:pPr>
  </w:style>
  <w:style w:type="paragraph" w:styleId="Index4">
    <w:name w:val="index 4"/>
    <w:basedOn w:val="Normal"/>
    <w:next w:val="Normal"/>
    <w:autoRedefine/>
    <w:uiPriority w:val="98"/>
    <w:semiHidden/>
    <w:rsid w:val="00DA1BB4"/>
    <w:pPr>
      <w:ind w:left="960" w:hanging="240"/>
    </w:pPr>
  </w:style>
  <w:style w:type="paragraph" w:styleId="Index5">
    <w:name w:val="index 5"/>
    <w:basedOn w:val="Normal"/>
    <w:next w:val="Normal"/>
    <w:autoRedefine/>
    <w:uiPriority w:val="98"/>
    <w:semiHidden/>
    <w:rsid w:val="00DA1BB4"/>
    <w:pPr>
      <w:ind w:left="1200" w:hanging="240"/>
    </w:pPr>
  </w:style>
  <w:style w:type="paragraph" w:styleId="Index6">
    <w:name w:val="index 6"/>
    <w:basedOn w:val="Normal"/>
    <w:next w:val="Normal"/>
    <w:autoRedefine/>
    <w:uiPriority w:val="98"/>
    <w:semiHidden/>
    <w:rsid w:val="00DA1BB4"/>
    <w:pPr>
      <w:ind w:left="1440" w:hanging="240"/>
    </w:pPr>
  </w:style>
  <w:style w:type="paragraph" w:styleId="Index7">
    <w:name w:val="index 7"/>
    <w:basedOn w:val="Normal"/>
    <w:next w:val="Normal"/>
    <w:autoRedefine/>
    <w:uiPriority w:val="98"/>
    <w:semiHidden/>
    <w:rsid w:val="00DA1BB4"/>
    <w:pPr>
      <w:ind w:left="1680" w:hanging="240"/>
    </w:pPr>
  </w:style>
  <w:style w:type="paragraph" w:styleId="Index8">
    <w:name w:val="index 8"/>
    <w:basedOn w:val="Normal"/>
    <w:next w:val="Normal"/>
    <w:autoRedefine/>
    <w:uiPriority w:val="98"/>
    <w:semiHidden/>
    <w:rsid w:val="00DA1BB4"/>
    <w:pPr>
      <w:ind w:left="1920" w:hanging="240"/>
    </w:pPr>
  </w:style>
  <w:style w:type="paragraph" w:styleId="Index9">
    <w:name w:val="index 9"/>
    <w:basedOn w:val="Normal"/>
    <w:next w:val="Normal"/>
    <w:autoRedefine/>
    <w:uiPriority w:val="98"/>
    <w:semiHidden/>
    <w:rsid w:val="00DA1BB4"/>
    <w:pPr>
      <w:ind w:left="2160" w:hanging="240"/>
    </w:pPr>
  </w:style>
  <w:style w:type="paragraph" w:styleId="IndexHeading">
    <w:name w:val="index heading"/>
    <w:basedOn w:val="Normal"/>
    <w:next w:val="Index1"/>
    <w:uiPriority w:val="98"/>
    <w:semiHidden/>
    <w:rsid w:val="00DA1BB4"/>
    <w:rPr>
      <w:rFonts w:asciiTheme="majorHAnsi" w:eastAsiaTheme="majorEastAsia" w:hAnsiTheme="majorHAnsi" w:cstheme="majorBidi"/>
      <w:b/>
      <w:bCs/>
    </w:rPr>
  </w:style>
  <w:style w:type="table" w:styleId="LightGrid">
    <w:name w:val="Light Grid"/>
    <w:basedOn w:val="TableNormal"/>
    <w:uiPriority w:val="62"/>
    <w:semiHidden/>
    <w:rsid w:val="00DA1B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A1B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A1B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A1BB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A1B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A1B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A1B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A1B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A1B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A1B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A1BB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A1B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A1B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A1B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A1BB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A1BB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A1BB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A1BB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A1BB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A1BB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A1BB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A1BB4"/>
  </w:style>
  <w:style w:type="paragraph" w:styleId="List">
    <w:name w:val="List"/>
    <w:basedOn w:val="Normal"/>
    <w:uiPriority w:val="98"/>
    <w:semiHidden/>
    <w:rsid w:val="00DA1BB4"/>
    <w:pPr>
      <w:ind w:left="283" w:hanging="283"/>
      <w:contextualSpacing/>
    </w:pPr>
  </w:style>
  <w:style w:type="paragraph" w:styleId="List20">
    <w:name w:val="List 2"/>
    <w:basedOn w:val="Normal"/>
    <w:uiPriority w:val="98"/>
    <w:semiHidden/>
    <w:rsid w:val="00DA1BB4"/>
    <w:pPr>
      <w:ind w:left="566" w:hanging="283"/>
      <w:contextualSpacing/>
    </w:pPr>
  </w:style>
  <w:style w:type="paragraph" w:styleId="List30">
    <w:name w:val="List 3"/>
    <w:basedOn w:val="Normal"/>
    <w:uiPriority w:val="98"/>
    <w:semiHidden/>
    <w:rsid w:val="00DA1BB4"/>
    <w:pPr>
      <w:ind w:left="849" w:hanging="283"/>
      <w:contextualSpacing/>
    </w:pPr>
  </w:style>
  <w:style w:type="paragraph" w:styleId="List4">
    <w:name w:val="List 4"/>
    <w:basedOn w:val="Normal"/>
    <w:uiPriority w:val="98"/>
    <w:semiHidden/>
    <w:rsid w:val="00DA1BB4"/>
    <w:pPr>
      <w:ind w:left="1132" w:hanging="283"/>
      <w:contextualSpacing/>
    </w:pPr>
  </w:style>
  <w:style w:type="paragraph" w:styleId="List5">
    <w:name w:val="List 5"/>
    <w:basedOn w:val="Normal"/>
    <w:uiPriority w:val="98"/>
    <w:semiHidden/>
    <w:rsid w:val="00DA1BB4"/>
    <w:pPr>
      <w:ind w:left="1415" w:hanging="283"/>
      <w:contextualSpacing/>
    </w:pPr>
  </w:style>
  <w:style w:type="paragraph" w:styleId="ListBullet2">
    <w:name w:val="List Bullet 2"/>
    <w:basedOn w:val="Normal"/>
    <w:uiPriority w:val="98"/>
    <w:semiHidden/>
    <w:rsid w:val="00DA1BB4"/>
    <w:pPr>
      <w:numPr>
        <w:numId w:val="6"/>
      </w:numPr>
      <w:contextualSpacing/>
    </w:pPr>
  </w:style>
  <w:style w:type="paragraph" w:styleId="ListBullet4">
    <w:name w:val="List Bullet 4"/>
    <w:basedOn w:val="Normal"/>
    <w:uiPriority w:val="98"/>
    <w:semiHidden/>
    <w:rsid w:val="00DA1BB4"/>
    <w:pPr>
      <w:numPr>
        <w:numId w:val="8"/>
      </w:numPr>
      <w:contextualSpacing/>
    </w:pPr>
  </w:style>
  <w:style w:type="paragraph" w:styleId="ListBullet5">
    <w:name w:val="List Bullet 5"/>
    <w:basedOn w:val="Normal"/>
    <w:uiPriority w:val="98"/>
    <w:semiHidden/>
    <w:rsid w:val="00DA1BB4"/>
    <w:pPr>
      <w:numPr>
        <w:numId w:val="9"/>
      </w:numPr>
      <w:contextualSpacing/>
    </w:pPr>
  </w:style>
  <w:style w:type="paragraph" w:styleId="ListContinue">
    <w:name w:val="List Continue"/>
    <w:basedOn w:val="Normal"/>
    <w:uiPriority w:val="98"/>
    <w:semiHidden/>
    <w:rsid w:val="00DA1BB4"/>
    <w:pPr>
      <w:spacing w:after="120"/>
      <w:ind w:left="283"/>
      <w:contextualSpacing/>
    </w:pPr>
  </w:style>
  <w:style w:type="paragraph" w:styleId="ListContinue2">
    <w:name w:val="List Continue 2"/>
    <w:basedOn w:val="Normal"/>
    <w:uiPriority w:val="98"/>
    <w:semiHidden/>
    <w:rsid w:val="00DA1BB4"/>
    <w:pPr>
      <w:spacing w:after="120"/>
      <w:ind w:left="566"/>
      <w:contextualSpacing/>
    </w:pPr>
  </w:style>
  <w:style w:type="paragraph" w:styleId="ListContinue3">
    <w:name w:val="List Continue 3"/>
    <w:basedOn w:val="Normal"/>
    <w:uiPriority w:val="98"/>
    <w:semiHidden/>
    <w:rsid w:val="00DA1BB4"/>
    <w:pPr>
      <w:spacing w:after="120"/>
      <w:ind w:left="849"/>
      <w:contextualSpacing/>
    </w:pPr>
  </w:style>
  <w:style w:type="paragraph" w:styleId="ListContinue4">
    <w:name w:val="List Continue 4"/>
    <w:basedOn w:val="Normal"/>
    <w:uiPriority w:val="98"/>
    <w:semiHidden/>
    <w:rsid w:val="00DA1BB4"/>
    <w:pPr>
      <w:spacing w:after="120"/>
      <w:ind w:left="1132"/>
      <w:contextualSpacing/>
    </w:pPr>
  </w:style>
  <w:style w:type="paragraph" w:styleId="ListContinue5">
    <w:name w:val="List Continue 5"/>
    <w:basedOn w:val="Normal"/>
    <w:uiPriority w:val="98"/>
    <w:semiHidden/>
    <w:rsid w:val="00DA1BB4"/>
    <w:pPr>
      <w:spacing w:after="120"/>
      <w:ind w:left="1415"/>
      <w:contextualSpacing/>
    </w:pPr>
  </w:style>
  <w:style w:type="paragraph" w:styleId="ListNumber">
    <w:name w:val="List Number"/>
    <w:basedOn w:val="Normal"/>
    <w:uiPriority w:val="98"/>
    <w:semiHidden/>
    <w:rsid w:val="00DA1BB4"/>
    <w:pPr>
      <w:numPr>
        <w:numId w:val="10"/>
      </w:numPr>
      <w:contextualSpacing/>
    </w:pPr>
  </w:style>
  <w:style w:type="paragraph" w:styleId="ListNumber2">
    <w:name w:val="List Number 2"/>
    <w:basedOn w:val="Normal"/>
    <w:uiPriority w:val="98"/>
    <w:semiHidden/>
    <w:rsid w:val="00DA1BB4"/>
    <w:pPr>
      <w:numPr>
        <w:numId w:val="11"/>
      </w:numPr>
      <w:contextualSpacing/>
    </w:pPr>
  </w:style>
  <w:style w:type="paragraph" w:styleId="ListNumber3">
    <w:name w:val="List Number 3"/>
    <w:basedOn w:val="Normal"/>
    <w:uiPriority w:val="98"/>
    <w:semiHidden/>
    <w:rsid w:val="00DA1BB4"/>
    <w:pPr>
      <w:numPr>
        <w:numId w:val="12"/>
      </w:numPr>
      <w:contextualSpacing/>
    </w:pPr>
  </w:style>
  <w:style w:type="paragraph" w:styleId="ListNumber4">
    <w:name w:val="List Number 4"/>
    <w:basedOn w:val="Normal"/>
    <w:uiPriority w:val="98"/>
    <w:semiHidden/>
    <w:rsid w:val="00DA1BB4"/>
    <w:pPr>
      <w:numPr>
        <w:numId w:val="13"/>
      </w:numPr>
      <w:contextualSpacing/>
    </w:pPr>
  </w:style>
  <w:style w:type="paragraph" w:styleId="ListNumber5">
    <w:name w:val="List Number 5"/>
    <w:basedOn w:val="Normal"/>
    <w:uiPriority w:val="98"/>
    <w:semiHidden/>
    <w:rsid w:val="00DA1BB4"/>
    <w:pPr>
      <w:numPr>
        <w:numId w:val="14"/>
      </w:numPr>
      <w:contextualSpacing/>
    </w:pPr>
  </w:style>
  <w:style w:type="paragraph" w:styleId="Macro">
    <w:name w:val="macro"/>
    <w:link w:val="MacroTextChar"/>
    <w:uiPriority w:val="98"/>
    <w:semiHidden/>
    <w:rsid w:val="00DA1BB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A1BB4"/>
    <w:rPr>
      <w:rFonts w:ascii="Consolas" w:hAnsi="Consolas" w:eastAsiaTheme="minorEastAsia" w:cs="Consolas"/>
      <w:sz w:val="20"/>
      <w:szCs w:val="20"/>
    </w:rPr>
  </w:style>
  <w:style w:type="table" w:styleId="MediumGrid1">
    <w:name w:val="Medium Grid 1"/>
    <w:basedOn w:val="TableNormal"/>
    <w:uiPriority w:val="67"/>
    <w:semiHidden/>
    <w:rsid w:val="00DA1B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A1B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A1B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A1BB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A1B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A1B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A1B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A1BB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A1BB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A1BB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A1BB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A1BB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A1BB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A1BB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A1BB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A1B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A1B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A1B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A1B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A1BB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A1B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A1B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A1B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A1B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A1B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A1BB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A1BB4"/>
    <w:rPr>
      <w:rFonts w:ascii="Times New Roman" w:hAnsi="Times New Roman" w:cs="Times New Roman"/>
    </w:rPr>
  </w:style>
  <w:style w:type="paragraph" w:styleId="NormalIndent">
    <w:name w:val="Normal Indent"/>
    <w:basedOn w:val="Normal"/>
    <w:uiPriority w:val="98"/>
    <w:semiHidden/>
    <w:rsid w:val="00DA1BB4"/>
    <w:pPr>
      <w:ind w:left="720"/>
    </w:pPr>
  </w:style>
  <w:style w:type="paragraph" w:styleId="NoteHeading">
    <w:name w:val="Note Heading"/>
    <w:basedOn w:val="Normal"/>
    <w:next w:val="Normal"/>
    <w:link w:val="NoteHeadingChar"/>
    <w:uiPriority w:val="98"/>
    <w:semiHidden/>
    <w:rsid w:val="00DA1BB4"/>
  </w:style>
  <w:style w:type="character" w:customStyle="1" w:styleId="NoteHeadingChar">
    <w:name w:val="Note Heading Char"/>
    <w:basedOn w:val="DefaultParagraphFont"/>
    <w:link w:val="NoteHeading"/>
    <w:uiPriority w:val="98"/>
    <w:semiHidden/>
    <w:rsid w:val="00DA1BB4"/>
    <w:rPr>
      <w:sz w:val="24"/>
      <w:szCs w:val="24"/>
      <w:lang w:val="en-GB"/>
    </w:rPr>
  </w:style>
  <w:style w:type="character" w:styleId="PlaceholderText">
    <w:name w:val="Placeholder Text"/>
    <w:basedOn w:val="DefaultParagraphFont"/>
    <w:uiPriority w:val="98"/>
    <w:semiHidden/>
    <w:rsid w:val="00DA1BB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A1BB4"/>
    <w:rPr>
      <w:rFonts w:ascii="Consolas" w:hAnsi="Consolas" w:cs="Consolas"/>
      <w:sz w:val="21"/>
      <w:szCs w:val="21"/>
    </w:rPr>
  </w:style>
  <w:style w:type="character" w:customStyle="1" w:styleId="PlainTextChar">
    <w:name w:val="Plain Text Char"/>
    <w:basedOn w:val="DefaultParagraphFont"/>
    <w:link w:val="PlainText"/>
    <w:uiPriority w:val="98"/>
    <w:semiHidden/>
    <w:rsid w:val="00DA1BB4"/>
    <w:rPr>
      <w:rFonts w:ascii="Consolas" w:hAnsi="Consolas" w:cs="Consolas"/>
      <w:sz w:val="21"/>
      <w:szCs w:val="21"/>
      <w:lang w:val="en-GB"/>
    </w:rPr>
  </w:style>
  <w:style w:type="paragraph" w:styleId="Salutation">
    <w:name w:val="Salutation"/>
    <w:basedOn w:val="Normal"/>
    <w:next w:val="Normal"/>
    <w:link w:val="SalutationChar"/>
    <w:uiPriority w:val="98"/>
    <w:semiHidden/>
    <w:rsid w:val="00DA1BB4"/>
  </w:style>
  <w:style w:type="character" w:customStyle="1" w:styleId="SalutationChar">
    <w:name w:val="Salutation Char"/>
    <w:basedOn w:val="DefaultParagraphFont"/>
    <w:link w:val="Salutation"/>
    <w:uiPriority w:val="98"/>
    <w:semiHidden/>
    <w:rsid w:val="00DA1BB4"/>
    <w:rPr>
      <w:sz w:val="24"/>
      <w:szCs w:val="24"/>
      <w:lang w:val="en-GB"/>
    </w:rPr>
  </w:style>
  <w:style w:type="paragraph" w:styleId="Signature0">
    <w:name w:val="Signature"/>
    <w:basedOn w:val="Normal"/>
    <w:link w:val="SignatureChar"/>
    <w:uiPriority w:val="98"/>
    <w:semiHidden/>
    <w:rsid w:val="00DA1BB4"/>
    <w:pPr>
      <w:ind w:left="4252"/>
    </w:pPr>
  </w:style>
  <w:style w:type="character" w:customStyle="1" w:styleId="SignatureChar">
    <w:name w:val="Signature Char"/>
    <w:basedOn w:val="DefaultParagraphFont"/>
    <w:link w:val="Signature0"/>
    <w:uiPriority w:val="98"/>
    <w:semiHidden/>
    <w:rsid w:val="00DA1BB4"/>
    <w:rPr>
      <w:sz w:val="24"/>
      <w:szCs w:val="24"/>
      <w:lang w:val="en-GB"/>
    </w:rPr>
  </w:style>
  <w:style w:type="table" w:styleId="Table3Deffects1">
    <w:name w:val="Table 3D effects 1"/>
    <w:basedOn w:val="TableNormal"/>
    <w:uiPriority w:val="99"/>
    <w:semiHidden/>
    <w:unhideWhenUsed/>
    <w:rsid w:val="00DA1BB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1BB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1BB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1BB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1BB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1BB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1BB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1BB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1BB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1BB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1BB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1BB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1BB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1BB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1BB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1BB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1BB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1B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1BB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1BB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1BB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1B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1BB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1BB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1BB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1BB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1BB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1BB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1B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1B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1B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1BB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1B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A1BB4"/>
    <w:pPr>
      <w:ind w:left="240" w:hanging="240"/>
    </w:pPr>
  </w:style>
  <w:style w:type="paragraph" w:styleId="TableofFigures">
    <w:name w:val="table of figures"/>
    <w:basedOn w:val="Normal"/>
    <w:next w:val="Normal"/>
    <w:uiPriority w:val="98"/>
    <w:semiHidden/>
    <w:rsid w:val="00DA1BB4"/>
  </w:style>
  <w:style w:type="table" w:styleId="TableProfessional">
    <w:name w:val="Table Professional"/>
    <w:basedOn w:val="TableNormal"/>
    <w:uiPriority w:val="99"/>
    <w:semiHidden/>
    <w:unhideWhenUsed/>
    <w:rsid w:val="00DA1B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1BB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1BB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1BB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1BB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1BB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1BB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1BB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1BB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1BB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A1B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A1B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A1BB4"/>
    <w:pPr>
      <w:spacing w:after="100"/>
      <w:ind w:left="1680"/>
    </w:pPr>
  </w:style>
  <w:style w:type="paragraph" w:styleId="TOC9">
    <w:name w:val="toc 9"/>
    <w:basedOn w:val="Normal"/>
    <w:next w:val="Normal"/>
    <w:autoRedefine/>
    <w:uiPriority w:val="98"/>
    <w:semiHidden/>
    <w:rsid w:val="00DA1BB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A1BB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A1BB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A1BB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A1BB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A1BB4"/>
    <w:pPr>
      <w:numPr>
        <w:numId w:val="18"/>
      </w:numPr>
      <w:spacing w:before="60" w:after="60"/>
    </w:pPr>
  </w:style>
  <w:style w:type="paragraph" w:customStyle="1" w:styleId="ECHRBullet2">
    <w:name w:val="ECHR_Bullet_2"/>
    <w:aliases w:val="_Bul_2"/>
    <w:basedOn w:val="ECHRBullet1"/>
    <w:uiPriority w:val="23"/>
    <w:semiHidden/>
    <w:rsid w:val="00DA1BB4"/>
    <w:pPr>
      <w:numPr>
        <w:ilvl w:val="1"/>
      </w:numPr>
    </w:pPr>
  </w:style>
  <w:style w:type="paragraph" w:customStyle="1" w:styleId="ECHRBullet3">
    <w:name w:val="ECHR_Bullet_3"/>
    <w:aliases w:val="_Bul_3"/>
    <w:basedOn w:val="ECHRBullet2"/>
    <w:uiPriority w:val="23"/>
    <w:semiHidden/>
    <w:rsid w:val="00DA1BB4"/>
    <w:pPr>
      <w:numPr>
        <w:ilvl w:val="2"/>
      </w:numPr>
    </w:pPr>
  </w:style>
  <w:style w:type="paragraph" w:customStyle="1" w:styleId="ECHRBullet4">
    <w:name w:val="ECHR_Bullet_4"/>
    <w:aliases w:val="_Bul_4"/>
    <w:basedOn w:val="ECHRBullet3"/>
    <w:uiPriority w:val="23"/>
    <w:semiHidden/>
    <w:rsid w:val="00DA1BB4"/>
    <w:pPr>
      <w:numPr>
        <w:ilvl w:val="3"/>
      </w:numPr>
    </w:pPr>
  </w:style>
  <w:style w:type="paragraph" w:customStyle="1" w:styleId="ECHRConfidential">
    <w:name w:val="ECHR_Confidential"/>
    <w:aliases w:val="_Confidential"/>
    <w:basedOn w:val="Normal"/>
    <w:next w:val="Normal"/>
    <w:uiPriority w:val="42"/>
    <w:semiHidden/>
    <w:qFormat/>
    <w:rsid w:val="00DA1BB4"/>
    <w:pPr>
      <w:jc w:val="right"/>
    </w:pPr>
    <w:rPr>
      <w:color w:val="C00000"/>
      <w:sz w:val="20"/>
    </w:rPr>
  </w:style>
  <w:style w:type="paragraph" w:customStyle="1" w:styleId="ECHRDecisionBody">
    <w:name w:val="ECHR_Decision_Body"/>
    <w:aliases w:val="_Decision_Body"/>
    <w:basedOn w:val="NormalJustified"/>
    <w:uiPriority w:val="54"/>
    <w:semiHidden/>
    <w:rsid w:val="00DA1BB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A1BB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A1BB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A1BB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A1BB4"/>
    <w:pPr>
      <w:jc w:val="right"/>
    </w:pPr>
    <w:rPr>
      <w:sz w:val="20"/>
    </w:rPr>
  </w:style>
  <w:style w:type="paragraph" w:customStyle="1" w:styleId="ECHRHeaderRefIt">
    <w:name w:val="ECHR_Header_Ref_It"/>
    <w:aliases w:val="_Ref_Ital"/>
    <w:basedOn w:val="Normal"/>
    <w:next w:val="ECHRHeaderDate"/>
    <w:uiPriority w:val="43"/>
    <w:semiHidden/>
    <w:qFormat/>
    <w:rsid w:val="00DA1BB4"/>
    <w:pPr>
      <w:jc w:val="right"/>
    </w:pPr>
    <w:rPr>
      <w:i/>
      <w:sz w:val="20"/>
    </w:rPr>
  </w:style>
  <w:style w:type="paragraph" w:customStyle="1" w:styleId="ECHRHeading9">
    <w:name w:val="ECHR_Heading_9"/>
    <w:aliases w:val="_Head_9"/>
    <w:basedOn w:val="Heading9"/>
    <w:uiPriority w:val="17"/>
    <w:semiHidden/>
    <w:rsid w:val="00DA1BB4"/>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A1BB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A1BB4"/>
    <w:pPr>
      <w:numPr>
        <w:numId w:val="19"/>
      </w:numPr>
      <w:spacing w:before="60" w:after="60"/>
    </w:pPr>
  </w:style>
  <w:style w:type="paragraph" w:customStyle="1" w:styleId="ECHRNumberedList2">
    <w:name w:val="ECHR_Numbered_List_2"/>
    <w:aliases w:val="_Num_2"/>
    <w:basedOn w:val="ECHRNumberedList1"/>
    <w:uiPriority w:val="23"/>
    <w:semiHidden/>
    <w:rsid w:val="00DA1BB4"/>
    <w:pPr>
      <w:numPr>
        <w:ilvl w:val="1"/>
      </w:numPr>
    </w:pPr>
  </w:style>
  <w:style w:type="paragraph" w:customStyle="1" w:styleId="ECHRNumberedList3">
    <w:name w:val="ECHR_Numbered_List_3"/>
    <w:aliases w:val="_Num_3"/>
    <w:basedOn w:val="ECHRNumberedList2"/>
    <w:uiPriority w:val="23"/>
    <w:semiHidden/>
    <w:rsid w:val="00DA1BB4"/>
    <w:pPr>
      <w:numPr>
        <w:ilvl w:val="2"/>
      </w:numPr>
    </w:pPr>
  </w:style>
  <w:style w:type="paragraph" w:customStyle="1" w:styleId="ECHRParaHanging">
    <w:name w:val="ECHR_Para_Hanging"/>
    <w:aliases w:val="_Hanging"/>
    <w:basedOn w:val="NormalJustified"/>
    <w:uiPriority w:val="8"/>
    <w:semiHidden/>
    <w:qFormat/>
    <w:rsid w:val="00DA1BB4"/>
    <w:pPr>
      <w:ind w:left="567" w:hanging="567"/>
    </w:pPr>
  </w:style>
  <w:style w:type="paragraph" w:customStyle="1" w:styleId="ECHRParaIndent">
    <w:name w:val="ECHR_Para_Indent"/>
    <w:aliases w:val="_Indent"/>
    <w:basedOn w:val="NormalJustified"/>
    <w:uiPriority w:val="7"/>
    <w:semiHidden/>
    <w:qFormat/>
    <w:rsid w:val="00DA1BB4"/>
    <w:pPr>
      <w:spacing w:before="120" w:after="120"/>
      <w:ind w:left="284"/>
    </w:pPr>
  </w:style>
  <w:style w:type="character" w:customStyle="1" w:styleId="ECHRRed">
    <w:name w:val="ECHR_Red"/>
    <w:aliases w:val="_Red"/>
    <w:basedOn w:val="DefaultParagraphFont"/>
    <w:uiPriority w:val="15"/>
    <w:semiHidden/>
    <w:qFormat/>
    <w:rsid w:val="00DA1BB4"/>
    <w:rPr>
      <w:color w:val="C00000" w:themeColor="accent2"/>
    </w:rPr>
  </w:style>
  <w:style w:type="paragraph" w:customStyle="1" w:styleId="DecList">
    <w:name w:val="Dec_List"/>
    <w:aliases w:val="_List"/>
    <w:basedOn w:val="JuList"/>
    <w:uiPriority w:val="22"/>
    <w:rsid w:val="00DA1BB4"/>
    <w:pPr>
      <w:numPr>
        <w:numId w:val="0"/>
      </w:numPr>
      <w:ind w:left="284"/>
    </w:pPr>
  </w:style>
  <w:style w:type="table" w:customStyle="1" w:styleId="ECHRTable2">
    <w:name w:val="ECHR_Table_2"/>
    <w:basedOn w:val="TableNormal"/>
    <w:uiPriority w:val="99"/>
    <w:rsid w:val="00DA1BB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A1BB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A1BB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A1BB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A1BB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A1BB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A1BB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A1BB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A1BB4"/>
    <w:pPr>
      <w:outlineLvl w:val="0"/>
    </w:pPr>
  </w:style>
  <w:style w:type="paragraph" w:customStyle="1" w:styleId="ECHRTitleTOC1">
    <w:name w:val="ECHR_Title_TOC_1"/>
    <w:aliases w:val="_Title_L_TOC"/>
    <w:basedOn w:val="ECHRTitle1"/>
    <w:next w:val="Normal"/>
    <w:uiPriority w:val="27"/>
    <w:semiHidden/>
    <w:qFormat/>
    <w:rsid w:val="00DA1BB4"/>
    <w:pPr>
      <w:outlineLvl w:val="0"/>
    </w:pPr>
  </w:style>
  <w:style w:type="paragraph" w:customStyle="1" w:styleId="ECHRPlaceholder">
    <w:name w:val="ECHR_Placeholder"/>
    <w:aliases w:val="_Placeholder"/>
    <w:basedOn w:val="JuSigned"/>
    <w:uiPriority w:val="31"/>
    <w:rsid w:val="00DA1BB4"/>
    <w:rPr>
      <w:color w:val="FFFFFF"/>
    </w:rPr>
  </w:style>
  <w:style w:type="paragraph" w:customStyle="1" w:styleId="ECHRSpacer">
    <w:name w:val="ECHR_Spacer"/>
    <w:aliases w:val="_Spacer"/>
    <w:basedOn w:val="Normal"/>
    <w:uiPriority w:val="45"/>
    <w:semiHidden/>
    <w:rsid w:val="00DA1BB4"/>
    <w:rPr>
      <w:sz w:val="4"/>
    </w:rPr>
  </w:style>
  <w:style w:type="table" w:customStyle="1" w:styleId="ECHRTableGrey">
    <w:name w:val="ECHR_Table_Grey"/>
    <w:basedOn w:val="TableNormal"/>
    <w:uiPriority w:val="99"/>
    <w:rsid w:val="00DA1BB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A1BB4"/>
    <w:rPr>
      <w:color w:val="605E5C"/>
      <w:shd w:val="clear" w:color="auto" w:fill="E1DFDD"/>
    </w:rPr>
  </w:style>
  <w:style w:type="character" w:customStyle="1" w:styleId="JuParaChar">
    <w:name w:val="Ju_Para Char"/>
    <w:aliases w:val="_Para Char"/>
    <w:link w:val="JuPara"/>
    <w:uiPriority w:val="4"/>
    <w:rsid w:val="00A15C06"/>
    <w:rPr>
      <w:sz w:val="24"/>
      <w:szCs w:val="24"/>
      <w:lang w:val="en-GB"/>
    </w:rPr>
  </w:style>
  <w:style w:type="table" w:styleId="GridTable1Light">
    <w:name w:val="Grid Table 1 Light"/>
    <w:basedOn w:val="TableNormal"/>
    <w:uiPriority w:val="46"/>
    <w:semiHidden/>
    <w:rsid w:val="00DA1B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A1BB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A1BB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A1BB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A1BB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A1BB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A1BB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A1B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A1BB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A1BB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A1BB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A1BB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A1BB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A1BB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A1B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A1B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A1B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A1B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A1B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A1B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A1B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A1B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A1B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A1B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A1B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A1B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A1B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A1B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A1BB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A1B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A1B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A1B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A1BB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A1B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A1B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A1B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A1B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A1B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A1B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A1BB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A1B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A1B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A1B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A1BB4"/>
    <w:rPr>
      <w:color w:val="2B579A"/>
      <w:shd w:val="clear" w:color="auto" w:fill="E1DFDD"/>
    </w:rPr>
  </w:style>
  <w:style w:type="table" w:styleId="ListTable1Light">
    <w:name w:val="List Table 1 Light"/>
    <w:basedOn w:val="TableNormal"/>
    <w:uiPriority w:val="46"/>
    <w:semiHidden/>
    <w:rsid w:val="00DA1B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A1BB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A1BB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A1BB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A1BB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A1BB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A1BB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A1B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A1BB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A1BB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A1BB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A1BB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A1BB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A1BB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A1B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A1BB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A1BB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A1BB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A1BB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A1BB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A1BB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A1B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A1B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A1B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A1BB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A1B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A1B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A1B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A1BB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A1BB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A1BB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A1BB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A1BB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A1BB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A1BB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A1B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A1BB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A1BB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A1BB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A1BB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A1BB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A1BB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A1B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A1BB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A1BB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A1BB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A1BB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A1BB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A1BB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A1BB4"/>
    <w:rPr>
      <w:color w:val="2B579A"/>
      <w:shd w:val="clear" w:color="auto" w:fill="E1DFDD"/>
    </w:rPr>
  </w:style>
  <w:style w:type="table" w:styleId="PlainTable1">
    <w:name w:val="Plain Table 1"/>
    <w:basedOn w:val="TableNormal"/>
    <w:uiPriority w:val="41"/>
    <w:semiHidden/>
    <w:rsid w:val="00DA1BB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A1B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A1B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A1B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A1B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A1BB4"/>
    <w:rPr>
      <w:u w:val="dotted"/>
    </w:rPr>
  </w:style>
  <w:style w:type="character" w:styleId="SmartLink">
    <w:name w:val="Smart Link"/>
    <w:basedOn w:val="DefaultParagraphFont"/>
    <w:uiPriority w:val="99"/>
    <w:semiHidden/>
    <w:unhideWhenUsed/>
    <w:rsid w:val="00DA1BB4"/>
    <w:rPr>
      <w:color w:val="0000FF"/>
      <w:u w:val="single"/>
      <w:shd w:val="clear" w:color="auto" w:fill="F3F2F1"/>
    </w:rPr>
  </w:style>
  <w:style w:type="table" w:styleId="GridTableLight">
    <w:name w:val="Grid Table Light"/>
    <w:basedOn w:val="TableNormal"/>
    <w:uiPriority w:val="40"/>
    <w:semiHidden/>
    <w:rsid w:val="00DA1BB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2432</Words>
  <Characters>13319</Characters>
  <Application>Microsoft Office Word</Application>
  <DocSecurity>0</DocSecurity>
  <Lines>242</Lines>
  <Paragraphs>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2023-03-16T09:26:00Z</dcterms:created>
  <dcterms:modified xsi:type="dcterms:W3CDTF">2023-03-24T15:14:00Z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803409</vt:lpwstr>
  </property>
  <property fmtid="{D5CDD505-2E9C-101B-9397-08002B2CF9AE}" pid="3" name="cstLanguage">
    <vt:i4>2057</vt:i4>
  </property>
  <property fmtid="{D5CDD505-2E9C-101B-9397-08002B2CF9AE}" pid="4" name="RegisteredNo">
    <vt:lpwstr>34787/12</vt:lpwstr>
  </property>
</Properties>
</file>