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274512" w:rsidR="00787E12" w:rsidP="00274512" w14:paraId="318A5B44" w14:textId="50C9EB6F">
      <w:pPr>
        <w:jc w:val="center"/>
      </w:pPr>
    </w:p>
    <w:p w:rsidRPr="00274512" w:rsidR="00787E12" w:rsidP="00274512" w14:paraId="23DC0EAE" w14:textId="77777777">
      <w:pPr>
        <w:jc w:val="center"/>
      </w:pPr>
    </w:p>
    <w:p w:rsidRPr="00274512" w:rsidR="00787E12" w:rsidP="00274512" w14:paraId="4C2BEDEB" w14:textId="2BEBE3EA">
      <w:pPr>
        <w:pStyle w:val="DecHCase"/>
      </w:pPr>
      <w:r w:rsidRPr="00274512">
        <w:t>THIRD SECTION</w:t>
      </w:r>
    </w:p>
    <w:p w:rsidRPr="00274512" w:rsidR="006D324D" w:rsidP="00274512" w14:paraId="4C533FDD" w14:textId="267CFDEF">
      <w:pPr>
        <w:pStyle w:val="JuTitle"/>
      </w:pPr>
      <w:bookmarkStart w:name="To" w:id="0"/>
      <w:r w:rsidRPr="00274512">
        <w:rPr>
          <w:color w:val="000000" w:themeColor="text1"/>
        </w:rPr>
        <w:t xml:space="preserve">CASE OF </w:t>
      </w:r>
      <w:bookmarkEnd w:id="0"/>
      <w:r w:rsidRPr="00274512" w:rsidR="00E139D2">
        <w:t>SHOPOV</w:t>
      </w:r>
      <w:r w:rsidRPr="00274512" w:rsidR="007217AB">
        <w:t xml:space="preserve"> AND OTHERS</w:t>
      </w:r>
      <w:r w:rsidRPr="00274512" w:rsidR="00E139D2">
        <w:t xml:space="preserve"> v. BULGARIA</w:t>
      </w:r>
    </w:p>
    <w:p w:rsidRPr="00274512" w:rsidR="006D324D" w:rsidP="00274512" w14:paraId="331219AD" w14:textId="0DA0FF4D">
      <w:pPr>
        <w:pStyle w:val="ECHRCoverTitle4"/>
      </w:pPr>
      <w:r w:rsidRPr="00274512">
        <w:t>(</w:t>
      </w:r>
      <w:r w:rsidRPr="00274512" w:rsidR="00E139D2">
        <w:t>Application no. 38398/11 and 2 others</w:t>
      </w:r>
      <w:r w:rsidRPr="00274512" w:rsidR="0057781F">
        <w:rPr>
          <w:iCs/>
        </w:rPr>
        <w:t xml:space="preserve"> - </w:t>
      </w:r>
      <w:r w:rsidRPr="00274512" w:rsidR="00E139D2">
        <w:rPr>
          <w:iCs/>
        </w:rPr>
        <w:t>see appended list</w:t>
      </w:r>
      <w:r w:rsidRPr="00274512">
        <w:t>)</w:t>
      </w:r>
    </w:p>
    <w:p w:rsidRPr="00274512" w:rsidR="006D324D" w:rsidP="00274512" w14:paraId="586FC941" w14:textId="77777777">
      <w:pPr>
        <w:pStyle w:val="DecHCase"/>
      </w:pPr>
    </w:p>
    <w:p w:rsidRPr="00274512" w:rsidR="006D324D" w:rsidP="00274512" w14:paraId="5388A06C" w14:textId="77777777">
      <w:pPr>
        <w:pStyle w:val="DecHCase"/>
      </w:pPr>
    </w:p>
    <w:p w:rsidRPr="00274512" w:rsidR="00787E12" w:rsidP="00274512" w14:paraId="3B7F38F5" w14:textId="77777777">
      <w:pPr>
        <w:pStyle w:val="DecHCase"/>
      </w:pPr>
    </w:p>
    <w:p w:rsidRPr="00274512" w:rsidR="00787E12" w:rsidP="00274512" w14:paraId="1AB8F429" w14:textId="77777777">
      <w:pPr>
        <w:pStyle w:val="DecHCase"/>
      </w:pPr>
    </w:p>
    <w:p w:rsidRPr="00274512" w:rsidR="00787E12" w:rsidP="00274512" w14:paraId="447B849D" w14:textId="77777777">
      <w:pPr>
        <w:pStyle w:val="DecHCase"/>
      </w:pPr>
    </w:p>
    <w:p w:rsidRPr="00274512" w:rsidR="00A062B9" w:rsidP="00274512" w14:paraId="519B4BF5" w14:textId="77777777">
      <w:pPr>
        <w:pStyle w:val="DecHCase"/>
      </w:pPr>
    </w:p>
    <w:p w:rsidRPr="00274512" w:rsidR="00787E12" w:rsidP="00274512" w14:paraId="4DBDD670" w14:textId="77777777">
      <w:pPr>
        <w:pStyle w:val="DecHCase"/>
      </w:pPr>
      <w:r w:rsidRPr="00274512">
        <w:t>JUDGMENT</w:t>
      </w:r>
    </w:p>
    <w:p w:rsidRPr="00274512" w:rsidR="00787E12" w:rsidP="00274512" w14:paraId="06D857C4" w14:textId="77777777">
      <w:pPr>
        <w:jc w:val="center"/>
        <w:rPr>
          <w:i/>
        </w:rPr>
      </w:pPr>
    </w:p>
    <w:p w:rsidRPr="00274512" w:rsidR="00787E12" w:rsidP="00274512" w14:paraId="34AB9BD9" w14:textId="77777777">
      <w:pPr>
        <w:pStyle w:val="DecHCase"/>
      </w:pPr>
      <w:r w:rsidRPr="00274512">
        <w:t>STRASBOURG</w:t>
      </w:r>
    </w:p>
    <w:p w:rsidRPr="00274512" w:rsidR="00787E12" w:rsidP="00274512" w14:paraId="36869CAA" w14:textId="3069D8DD">
      <w:pPr>
        <w:pStyle w:val="DecHCase"/>
      </w:pPr>
      <w:r w:rsidRPr="00274512">
        <w:t xml:space="preserve">9 </w:t>
      </w:r>
      <w:r w:rsidRPr="00274512" w:rsidR="006927F4">
        <w:t>February</w:t>
      </w:r>
      <w:r w:rsidRPr="00274512">
        <w:t xml:space="preserve"> 2023</w:t>
      </w:r>
    </w:p>
    <w:p w:rsidRPr="00274512" w:rsidR="00787E12" w:rsidP="00274512" w14:paraId="6534EE83" w14:textId="746EE4F1">
      <w:pPr>
        <w:jc w:val="center"/>
      </w:pPr>
    </w:p>
    <w:p w:rsidRPr="00274512" w:rsidR="006927F4" w:rsidP="00274512" w14:paraId="5D51E5B0" w14:textId="29E57FC2">
      <w:pPr>
        <w:jc w:val="center"/>
      </w:pPr>
    </w:p>
    <w:p w:rsidRPr="00274512" w:rsidR="006927F4" w:rsidP="00274512" w14:paraId="646301C0" w14:textId="77777777">
      <w:pPr>
        <w:jc w:val="center"/>
      </w:pPr>
    </w:p>
    <w:p w:rsidRPr="00274512" w:rsidR="00787E12" w:rsidP="00274512" w14:paraId="3AAEFFBE" w14:textId="77777777">
      <w:pPr>
        <w:jc w:val="center"/>
        <w:rPr>
          <w:sz w:val="2"/>
          <w:szCs w:val="2"/>
        </w:rPr>
      </w:pPr>
      <w:r w:rsidRPr="00274512">
        <w:rPr>
          <w:i/>
        </w:rPr>
        <w:t xml:space="preserve">This judgment is </w:t>
      </w:r>
      <w:r w:rsidRPr="00274512">
        <w:rPr>
          <w:i/>
        </w:rPr>
        <w:t>final</w:t>
      </w:r>
      <w:r w:rsidRPr="00274512">
        <w:rPr>
          <w:i/>
        </w:rPr>
        <w:t xml:space="preserve"> but it may be subject to editorial revision.</w:t>
      </w:r>
    </w:p>
    <w:p w:rsidRPr="00274512" w:rsidR="00787E12" w:rsidP="00274512" w14:paraId="6695E1EE"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74512" w:rsidR="00787E12" w:rsidP="00274512" w14:paraId="1F09535C" w14:textId="2873A5E3">
      <w:pPr>
        <w:pStyle w:val="JuCase"/>
        <w:rPr>
          <w:bCs/>
        </w:rPr>
      </w:pPr>
      <w:r w:rsidRPr="00274512">
        <w:t xml:space="preserve">In the case of </w:t>
      </w:r>
      <w:r w:rsidRPr="00274512" w:rsidR="00E139D2">
        <w:t>Shopov</w:t>
      </w:r>
      <w:r w:rsidRPr="00274512" w:rsidR="007217AB">
        <w:t xml:space="preserve"> and Others</w:t>
      </w:r>
      <w:r w:rsidRPr="00274512" w:rsidR="0057781F">
        <w:t xml:space="preserve"> </w:t>
      </w:r>
      <w:r w:rsidRPr="00274512" w:rsidR="00E139D2">
        <w:t>v. Bulgaria</w:t>
      </w:r>
      <w:r w:rsidRPr="00274512">
        <w:t>,</w:t>
      </w:r>
    </w:p>
    <w:p w:rsidRPr="00274512" w:rsidR="00787E12" w:rsidP="00274512" w14:paraId="43CFB97A" w14:textId="6D41EA7F">
      <w:pPr>
        <w:pStyle w:val="JuPara"/>
      </w:pPr>
      <w:r w:rsidRPr="00274512">
        <w:t>The European Court of Human Rights (</w:t>
      </w:r>
      <w:r w:rsidRPr="00274512" w:rsidR="00E139D2">
        <w:t>Third Section</w:t>
      </w:r>
      <w:r w:rsidRPr="00274512">
        <w:t>), sitting as a Committee composed of:</w:t>
      </w:r>
    </w:p>
    <w:p w:rsidRPr="00274512" w:rsidR="002C5B23" w:rsidP="00274512" w14:paraId="130B5AFC" w14:textId="72164522">
      <w:pPr>
        <w:pStyle w:val="JuJudges"/>
      </w:pPr>
      <w:r w:rsidRPr="00274512">
        <w:tab/>
        <w:t>Darian Pavli</w:t>
      </w:r>
      <w:r w:rsidRPr="00274512">
        <w:rPr>
          <w:i/>
        </w:rPr>
        <w:t>, President</w:t>
      </w:r>
      <w:r w:rsidRPr="00274512">
        <w:t>,</w:t>
      </w:r>
      <w:r w:rsidRPr="00274512">
        <w:br/>
      </w:r>
      <w:r w:rsidRPr="00274512">
        <w:tab/>
        <w:t>Ioannis Ktistakis,</w:t>
      </w:r>
      <w:r w:rsidRPr="00274512">
        <w:br/>
      </w:r>
      <w:r w:rsidRPr="00274512">
        <w:tab/>
        <w:t xml:space="preserve">Andreas </w:t>
      </w:r>
      <w:r w:rsidRPr="00274512">
        <w:t>Zünd</w:t>
      </w:r>
      <w:r w:rsidRPr="00274512">
        <w:rPr>
          <w:i/>
        </w:rPr>
        <w:t>, judges</w:t>
      </w:r>
      <w:r w:rsidRPr="00274512">
        <w:t>,</w:t>
      </w:r>
    </w:p>
    <w:p w:rsidRPr="00274512" w:rsidR="00787E12" w:rsidP="00274512" w14:paraId="35AE2AF9" w14:textId="5B6716F8">
      <w:pPr>
        <w:pStyle w:val="JuJudges"/>
      </w:pPr>
      <w:r w:rsidRPr="00274512">
        <w:t xml:space="preserve">and </w:t>
      </w:r>
      <w:r w:rsidRPr="00274512" w:rsidR="00E139D2">
        <w:t>Viktoriya</w:t>
      </w:r>
      <w:r w:rsidRPr="00274512">
        <w:t xml:space="preserve"> </w:t>
      </w:r>
      <w:r w:rsidRPr="00274512" w:rsidR="00E139D2">
        <w:t>Maradudina</w:t>
      </w:r>
      <w:r w:rsidRPr="00274512" w:rsidR="00555A1D">
        <w:t>,</w:t>
      </w:r>
      <w:r w:rsidRPr="00274512">
        <w:t xml:space="preserve"> </w:t>
      </w:r>
      <w:r w:rsidRPr="00274512">
        <w:rPr>
          <w:rFonts w:cstheme="minorHAnsi"/>
          <w:i/>
        </w:rPr>
        <w:t>Deputy Section Registrar</w:t>
      </w:r>
      <w:r w:rsidRPr="00274512">
        <w:rPr>
          <w:i/>
        </w:rPr>
        <w:t>,</w:t>
      </w:r>
    </w:p>
    <w:p w:rsidRPr="00274512" w:rsidR="00787E12" w:rsidP="00274512" w14:paraId="75B3597C" w14:textId="56D190CE">
      <w:pPr>
        <w:pStyle w:val="JuPara"/>
      </w:pPr>
      <w:r w:rsidRPr="00274512">
        <w:t xml:space="preserve">Having deliberated in private on </w:t>
      </w:r>
      <w:r w:rsidRPr="00274512" w:rsidR="0057781F">
        <w:t>19 January 2023</w:t>
      </w:r>
      <w:r w:rsidRPr="00274512">
        <w:t>,</w:t>
      </w:r>
    </w:p>
    <w:p w:rsidRPr="00274512" w:rsidR="006372F5" w:rsidP="00274512" w14:paraId="7C7CF1BD" w14:textId="77777777">
      <w:pPr>
        <w:pStyle w:val="JuPara"/>
      </w:pPr>
      <w:r w:rsidRPr="00274512">
        <w:t>Delivers the following judgment, which was adopted on that date:</w:t>
      </w:r>
    </w:p>
    <w:p w:rsidRPr="00274512" w:rsidR="00E139D2" w:rsidP="00274512" w14:paraId="6052DE10" w14:textId="77777777">
      <w:pPr>
        <w:pStyle w:val="JuHHead"/>
      </w:pPr>
      <w:bookmarkStart w:name="ITMARKStartJudgment" w:id="1"/>
      <w:bookmarkEnd w:id="1"/>
      <w:r w:rsidRPr="00274512">
        <w:t>PROCEDURE</w:t>
      </w:r>
    </w:p>
    <w:p w:rsidRPr="00274512" w:rsidR="00E139D2" w:rsidP="00274512" w14:paraId="661DF622" w14:textId="3A9A5245">
      <w:pPr>
        <w:pStyle w:val="JuPara"/>
      </w:pPr>
      <w:r w:rsidRPr="00274512">
        <w:fldChar w:fldCharType="begin"/>
      </w:r>
      <w:r w:rsidRPr="00274512">
        <w:instrText xml:space="preserve"> SEQ level0 \*arabic </w:instrText>
      </w:r>
      <w:r w:rsidRPr="00274512">
        <w:fldChar w:fldCharType="separate"/>
      </w:r>
      <w:r w:rsidRPr="00274512" w:rsidR="00274512">
        <w:rPr>
          <w:noProof/>
        </w:rPr>
        <w:t>1</w:t>
      </w:r>
      <w:r w:rsidRPr="00274512">
        <w:fldChar w:fldCharType="end"/>
      </w:r>
      <w:r w:rsidRPr="00274512">
        <w:t xml:space="preserve">.  The case originated in applications against Bulgaria lodged with the Court under Article 34 of the Convention for the Protection of Human Rights and Fundamental Freedoms (“the Convention”) on </w:t>
      </w:r>
      <w:r w:rsidRPr="00274512">
        <w:rPr>
          <w:rFonts w:eastAsia="PMingLiU"/>
        </w:rPr>
        <w:t>the various dates indicated in the appended table.</w:t>
      </w:r>
    </w:p>
    <w:p w:rsidRPr="00274512" w:rsidR="00E139D2" w:rsidP="00274512" w14:paraId="26786CE4" w14:textId="4C632214">
      <w:pPr>
        <w:pStyle w:val="JuPara"/>
      </w:pPr>
      <w:r w:rsidRPr="00274512">
        <w:fldChar w:fldCharType="begin"/>
      </w:r>
      <w:r w:rsidRPr="00274512">
        <w:instrText xml:space="preserve"> SEQ lev</w:instrText>
      </w:r>
      <w:r w:rsidRPr="00274512">
        <w:instrText xml:space="preserve">el0 \*arabic \* MERGEFORMAT </w:instrText>
      </w:r>
      <w:r w:rsidRPr="00274512">
        <w:fldChar w:fldCharType="separate"/>
      </w:r>
      <w:r w:rsidRPr="00274512">
        <w:rPr>
          <w:noProof/>
        </w:rPr>
        <w:t>2</w:t>
      </w:r>
      <w:r w:rsidRPr="00274512">
        <w:rPr>
          <w:noProof/>
        </w:rPr>
        <w:fldChar w:fldCharType="end"/>
      </w:r>
      <w:r w:rsidRPr="00274512">
        <w:t>.  The Bulgarian Government (“the Government”) were given notice of the applications.</w:t>
      </w:r>
    </w:p>
    <w:p w:rsidRPr="00274512" w:rsidR="00E139D2" w:rsidP="00274512" w14:paraId="74F627F0" w14:textId="77777777">
      <w:pPr>
        <w:pStyle w:val="JuHHead"/>
        <w:jc w:val="left"/>
      </w:pPr>
      <w:r w:rsidRPr="00274512">
        <w:t>THE FACTS</w:t>
      </w:r>
    </w:p>
    <w:p w:rsidRPr="00274512" w:rsidR="00E139D2" w:rsidP="00274512" w14:paraId="22671C79" w14:textId="6ADDD317">
      <w:pPr>
        <w:pStyle w:val="JuPara"/>
      </w:pPr>
      <w:r w:rsidRPr="00274512">
        <w:fldChar w:fldCharType="begin"/>
      </w:r>
      <w:r w:rsidRPr="00274512">
        <w:instrText xml:space="preserve"> SEQ level0 \*arabic </w:instrText>
      </w:r>
      <w:r w:rsidRPr="00274512">
        <w:fldChar w:fldCharType="separate"/>
      </w:r>
      <w:r w:rsidRPr="00274512" w:rsidR="00274512">
        <w:rPr>
          <w:noProof/>
        </w:rPr>
        <w:t>3</w:t>
      </w:r>
      <w:r w:rsidRPr="00274512">
        <w:fldChar w:fldCharType="end"/>
      </w:r>
      <w:r w:rsidRPr="00274512">
        <w:t>.  </w:t>
      </w:r>
      <w:r w:rsidRPr="00274512">
        <w:rPr>
          <w:rFonts w:eastAsia="PMingLiU"/>
        </w:rPr>
        <w:t>The list of applicant</w:t>
      </w:r>
      <w:r w:rsidRPr="00274512">
        <w:t>s and the relevant factual details of the case are set out in the appended table.</w:t>
      </w:r>
    </w:p>
    <w:p w:rsidRPr="00274512" w:rsidR="00E139D2" w:rsidP="00274512" w14:paraId="68BC1237" w14:textId="725E63A9">
      <w:pPr>
        <w:pStyle w:val="JuPara"/>
      </w:pPr>
      <w:r w:rsidRPr="00274512">
        <w:fldChar w:fldCharType="begin"/>
      </w:r>
      <w:r w:rsidRPr="00274512">
        <w:instrText xml:space="preserve"> SEQ level0 \*arabic </w:instrText>
      </w:r>
      <w:r w:rsidRPr="00274512">
        <w:fldChar w:fldCharType="separate"/>
      </w:r>
      <w:r w:rsidRPr="00274512" w:rsidR="00274512">
        <w:rPr>
          <w:noProof/>
        </w:rPr>
        <w:t>4</w:t>
      </w:r>
      <w:r w:rsidRPr="00274512">
        <w:fldChar w:fldCharType="end"/>
      </w:r>
      <w:r w:rsidRPr="00274512">
        <w:t>.  </w:t>
      </w:r>
      <w:r w:rsidRPr="00274512">
        <w:rPr>
          <w:bCs/>
          <w:color w:val="000000"/>
        </w:rPr>
        <w:t>The applicant</w:t>
      </w:r>
      <w:r w:rsidRPr="00274512">
        <w:t>s</w:t>
      </w:r>
      <w:r w:rsidRPr="00274512">
        <w:rPr>
          <w:bCs/>
          <w:color w:val="000000"/>
        </w:rPr>
        <w:t xml:space="preserve"> complained of the </w:t>
      </w:r>
      <w:r w:rsidRPr="00274512">
        <w:t>forfeiture of their assets alleged to be the proceeds of crime</w:t>
      </w:r>
      <w:r w:rsidRPr="00274512">
        <w:rPr>
          <w:bCs/>
          <w:color w:val="000000"/>
        </w:rPr>
        <w:t>.</w:t>
      </w:r>
    </w:p>
    <w:p w:rsidRPr="00274512" w:rsidR="00E139D2" w:rsidP="00274512" w14:paraId="1213B408" w14:textId="77777777">
      <w:pPr>
        <w:pStyle w:val="JuHHead"/>
        <w:jc w:val="left"/>
      </w:pPr>
      <w:r w:rsidRPr="00274512">
        <w:t>THE LAW</w:t>
      </w:r>
    </w:p>
    <w:p w:rsidRPr="00274512" w:rsidR="00E139D2" w:rsidP="00274512" w14:paraId="18EE478A" w14:textId="77777777">
      <w:pPr>
        <w:pStyle w:val="JuHIRoman"/>
        <w:tabs>
          <w:tab w:val="clear" w:pos="454"/>
          <w:tab w:val="clear" w:pos="539"/>
          <w:tab w:val="clear" w:pos="624"/>
          <w:tab w:val="clear" w:pos="709"/>
          <w:tab w:val="clear" w:pos="794"/>
        </w:tabs>
        <w:ind w:left="357" w:hanging="357"/>
        <w:jc w:val="left"/>
      </w:pPr>
      <w:r w:rsidRPr="00274512">
        <w:t>JOINDER OF THE APPLICATIONS</w:t>
      </w:r>
    </w:p>
    <w:p w:rsidRPr="00274512" w:rsidR="00E139D2" w:rsidP="00274512" w14:paraId="083B2831" w14:textId="4D3E6B36">
      <w:pPr>
        <w:pStyle w:val="JuPara"/>
      </w:pPr>
      <w:r w:rsidRPr="00274512">
        <w:fldChar w:fldCharType="begin"/>
      </w:r>
      <w:r w:rsidRPr="00274512">
        <w:instrText xml:space="preserve"> SEQ level0 \*arabic </w:instrText>
      </w:r>
      <w:r w:rsidRPr="00274512">
        <w:fldChar w:fldCharType="separate"/>
      </w:r>
      <w:r w:rsidRPr="00274512" w:rsidR="00274512">
        <w:rPr>
          <w:noProof/>
        </w:rPr>
        <w:t>5</w:t>
      </w:r>
      <w:r w:rsidRPr="00274512">
        <w:fldChar w:fldCharType="end"/>
      </w:r>
      <w:r w:rsidRPr="00274512">
        <w:t>.  Having regard to the similar subject matter of the applications, the Court finds it appropriate to examine them jointly in a single judgment.</w:t>
      </w:r>
    </w:p>
    <w:p w:rsidRPr="00274512" w:rsidR="00E139D2" w:rsidP="00274512" w14:paraId="608195F9" w14:textId="77777777">
      <w:pPr>
        <w:pStyle w:val="JuHIRoman"/>
        <w:tabs>
          <w:tab w:val="clear" w:pos="454"/>
          <w:tab w:val="clear" w:pos="539"/>
          <w:tab w:val="clear" w:pos="624"/>
          <w:tab w:val="clear" w:pos="709"/>
          <w:tab w:val="clear" w:pos="794"/>
        </w:tabs>
        <w:ind w:left="357" w:hanging="357"/>
        <w:jc w:val="left"/>
        <w:rPr>
          <w:rFonts w:eastAsia="PMingLiU"/>
        </w:rPr>
      </w:pPr>
      <w:r w:rsidRPr="00274512">
        <w:t>ALLEGED VIOLATION OF ARTICLE 1</w:t>
      </w:r>
      <w:r w:rsidRPr="00274512">
        <w:rPr>
          <w:rFonts w:eastAsia="PMingLiU"/>
        </w:rPr>
        <w:t xml:space="preserve"> </w:t>
      </w:r>
      <w:r w:rsidRPr="00274512">
        <w:rPr>
          <w:rFonts w:ascii="Times New Roman" w:hAnsi="Times New Roman" w:eastAsia="PMingLiU" w:cs="Times New Roman"/>
        </w:rPr>
        <w:t>of Protocol No. 1</w:t>
      </w:r>
    </w:p>
    <w:p w:rsidRPr="00274512" w:rsidR="00E139D2" w:rsidP="00274512" w14:paraId="2F5D65F3" w14:textId="2125B3B6">
      <w:pPr>
        <w:pStyle w:val="JuPara"/>
      </w:pPr>
      <w:r w:rsidRPr="00274512">
        <w:fldChar w:fldCharType="begin"/>
      </w:r>
      <w:r w:rsidRPr="00274512">
        <w:instrText xml:space="preserve"> SEQ level0 \*arabic </w:instrText>
      </w:r>
      <w:r w:rsidRPr="00274512">
        <w:fldChar w:fldCharType="separate"/>
      </w:r>
      <w:r w:rsidRPr="00274512" w:rsidR="00274512">
        <w:rPr>
          <w:noProof/>
        </w:rPr>
        <w:t>6</w:t>
      </w:r>
      <w:r w:rsidRPr="00274512">
        <w:fldChar w:fldCharType="end"/>
      </w:r>
      <w:r w:rsidRPr="00274512">
        <w:t>.  The applicants complained of the forfeiture of their assets alleged to be the proceeds of crime</w:t>
      </w:r>
      <w:r w:rsidRPr="00274512">
        <w:rPr>
          <w:bCs/>
        </w:rPr>
        <w:t>.</w:t>
      </w:r>
      <w:r w:rsidRPr="00274512">
        <w:t xml:space="preserve"> </w:t>
      </w:r>
      <w:r w:rsidRPr="00274512">
        <w:rPr>
          <w:rFonts w:eastAsia="PMingLiU"/>
        </w:rPr>
        <w:t>They</w:t>
      </w:r>
      <w:r w:rsidRPr="00274512">
        <w:t xml:space="preserve"> relied, expressly or in substance, on Article 1 </w:t>
      </w:r>
      <w:r w:rsidRPr="00274512">
        <w:rPr>
          <w:rFonts w:ascii="Times New Roman" w:hAnsi="Times New Roman" w:eastAsia="PMingLiU" w:cs="Times New Roman"/>
        </w:rPr>
        <w:t>of Protocol No. 1</w:t>
      </w:r>
      <w:r w:rsidRPr="00274512" w:rsidR="004069E2">
        <w:rPr>
          <w:rFonts w:ascii="Times New Roman" w:hAnsi="Times New Roman" w:eastAsia="PMingLiU" w:cs="Times New Roman"/>
        </w:rPr>
        <w:t>.</w:t>
      </w:r>
    </w:p>
    <w:p w:rsidRPr="00274512" w:rsidR="00E139D2" w:rsidP="00274512" w14:paraId="2D1CDA5E" w14:textId="222786C2">
      <w:pPr>
        <w:pStyle w:val="JuPara"/>
        <w:rPr>
          <w:rFonts w:eastAsia="Times New Roman"/>
        </w:rPr>
      </w:pPr>
      <w:r w:rsidRPr="00274512">
        <w:rPr>
          <w:rFonts w:eastAsia="Times New Roman"/>
        </w:rPr>
        <w:fldChar w:fldCharType="begin"/>
      </w:r>
      <w:r w:rsidRPr="00274512">
        <w:rPr>
          <w:rFonts w:eastAsia="Times New Roman"/>
        </w:rPr>
        <w:instrText xml:space="preserve"> SEQ level0 \*arabic \* MERGEFORMAT </w:instrText>
      </w:r>
      <w:r w:rsidRPr="00274512">
        <w:rPr>
          <w:rFonts w:eastAsia="Times New Roman"/>
        </w:rPr>
        <w:fldChar w:fldCharType="separate"/>
      </w:r>
      <w:r w:rsidRPr="00274512" w:rsidR="00274512">
        <w:rPr>
          <w:rFonts w:eastAsia="Times New Roman"/>
          <w:noProof/>
        </w:rPr>
        <w:t>7</w:t>
      </w:r>
      <w:r w:rsidRPr="00274512">
        <w:rPr>
          <w:rFonts w:eastAsia="Times New Roman"/>
        </w:rPr>
        <w:fldChar w:fldCharType="end"/>
      </w:r>
      <w:r w:rsidRPr="00274512">
        <w:rPr>
          <w:rFonts w:eastAsia="Times New Roman"/>
        </w:rPr>
        <w:t xml:space="preserve">.  The Government, without providing any further details, invited the Court to decide the cases </w:t>
      </w:r>
      <w:r w:rsidRPr="00274512">
        <w:rPr>
          <w:rFonts w:eastAsia="Times New Roman"/>
        </w:rPr>
        <w:t>on the basis of</w:t>
      </w:r>
      <w:r w:rsidRPr="00274512">
        <w:rPr>
          <w:rFonts w:eastAsia="Times New Roman"/>
        </w:rPr>
        <w:t xml:space="preserve"> the leading judgment </w:t>
      </w:r>
      <w:r w:rsidRPr="00274512">
        <w:rPr>
          <w:rFonts w:eastAsia="Times New Roman"/>
          <w:i/>
        </w:rPr>
        <w:t xml:space="preserve">Todorov and Others v. Bulgaria </w:t>
      </w:r>
      <w:r w:rsidRPr="00274512">
        <w:rPr>
          <w:rFonts w:eastAsia="Times New Roman"/>
          <w:iCs/>
        </w:rPr>
        <w:t>(</w:t>
      </w:r>
      <w:r w:rsidRPr="00274512">
        <w:rPr>
          <w:rFonts w:eastAsia="Times New Roman"/>
        </w:rPr>
        <w:t>nos. 50705/11 and 6 others, 13 July 2021).</w:t>
      </w:r>
    </w:p>
    <w:p w:rsidRPr="00274512" w:rsidR="00E139D2" w:rsidP="00274512" w14:paraId="46F21FBD" w14:textId="52C79A80">
      <w:pPr>
        <w:pStyle w:val="JuPara"/>
      </w:pPr>
      <w:r w:rsidRPr="00274512">
        <w:fldChar w:fldCharType="begin"/>
      </w:r>
      <w:r w:rsidRPr="00274512">
        <w:instrText xml:space="preserve"> SEQ level0 \*arabic </w:instrText>
      </w:r>
      <w:r w:rsidRPr="00274512">
        <w:fldChar w:fldCharType="separate"/>
      </w:r>
      <w:r w:rsidRPr="00274512" w:rsidR="00274512">
        <w:rPr>
          <w:noProof/>
        </w:rPr>
        <w:t>8</w:t>
      </w:r>
      <w:r w:rsidRPr="00274512">
        <w:fldChar w:fldCharType="end"/>
      </w:r>
      <w:r w:rsidRPr="00274512">
        <w:t>.  That judgment concerned the forfeiture of alleged proceeds of crime under the same legislation as applied in the case at hand, namely the Forfeiture of Proceeds of Crime Act 2005 (hereinafter “the 2005 Act”).</w:t>
      </w:r>
    </w:p>
    <w:p w:rsidRPr="00274512" w:rsidR="00E139D2" w:rsidP="00274512" w14:paraId="51B87C76" w14:textId="72F6BDBA">
      <w:pPr>
        <w:pStyle w:val="JuPara"/>
      </w:pPr>
      <w:r w:rsidRPr="00274512">
        <w:fldChar w:fldCharType="begin"/>
      </w:r>
      <w:r w:rsidRPr="00274512">
        <w:instrText xml:space="preserve"> SEQ level0 \*arabic \* MERGEFORMAT </w:instrText>
      </w:r>
      <w:r w:rsidRPr="00274512">
        <w:fldChar w:fldCharType="separate"/>
      </w:r>
      <w:r w:rsidRPr="00274512">
        <w:rPr>
          <w:noProof/>
        </w:rPr>
        <w:t>9</w:t>
      </w:r>
      <w:r w:rsidRPr="00274512">
        <w:rPr>
          <w:noProof/>
        </w:rPr>
        <w:fldChar w:fldCharType="end"/>
      </w:r>
      <w:r w:rsidRPr="00274512">
        <w:t xml:space="preserve">.  In </w:t>
      </w:r>
      <w:r w:rsidRPr="00274512">
        <w:rPr>
          <w:i/>
          <w:iCs/>
        </w:rPr>
        <w:t>Todorov and Others</w:t>
      </w:r>
      <w:r w:rsidRPr="00274512">
        <w:t xml:space="preserve"> (cited above, §§ 200-09) the Court identified some potential flaws in the 2005 Act and in the </w:t>
      </w:r>
      <w:r w:rsidRPr="00274512">
        <w:t>manner in which</w:t>
      </w:r>
      <w:r w:rsidRPr="00274512">
        <w:t xml:space="preserve"> it had been applied. It highlighted in this respect the combined effect of the wide scope of its application – as to predicate crimes and as to the periods for which the defendants</w:t>
      </w:r>
      <w:r w:rsidRPr="00274512">
        <w:t>’</w:t>
      </w:r>
      <w:r w:rsidRPr="00274512">
        <w:t xml:space="preserve"> revenues and expenses were being checked, the difficulties for defendants to prove what the courts considered “lawful” income during such a period, marked, moreover, by inflation and economic changes, and the presumption that any asset not shown to have had a “lawful” provenance was the proceed of crime. The Court</w:t>
      </w:r>
      <w:r w:rsidRPr="00274512">
        <w:t>’</w:t>
      </w:r>
      <w:r w:rsidRPr="00274512">
        <w:t>s position was that, while these potential flaws were not sufficient to render each forfeiture under the 2005 Act contrary to Article 1 of Protocol No. 1, they certainly placed a considerable burden on defendants in forfeiture proceedings and could tilt the balance in favour of the State. Thus, as a counterbalance and a guarantee of the applicants</w:t>
      </w:r>
      <w:r w:rsidRPr="00274512">
        <w:t>’</w:t>
      </w:r>
      <w:r w:rsidRPr="00274512">
        <w:t xml:space="preserve"> rights, it was crucial that the national courts established a causal link between the assets for which forfeiture was being sought and the criminal conduct of the defendants. The Court was prepared to defer to the national courts</w:t>
      </w:r>
      <w:r w:rsidRPr="00274512">
        <w:t>’</w:t>
      </w:r>
      <w:r w:rsidRPr="00274512">
        <w:t xml:space="preserve"> assessment as to the existence of such a link, in so far as it was not arbitrary or manifestly unreasonable (ibid., §§ 210-16).</w:t>
      </w:r>
    </w:p>
    <w:p w:rsidRPr="00274512" w:rsidR="00E139D2" w:rsidP="00274512" w14:paraId="2D8B9CCD" w14:textId="79E26B5D">
      <w:pPr>
        <w:pStyle w:val="JuPara"/>
      </w:pPr>
      <w:r w:rsidRPr="00274512">
        <w:fldChar w:fldCharType="begin"/>
      </w:r>
      <w:r w:rsidRPr="00274512">
        <w:instrText xml:space="preserve"> SEQ level0 \*arabic \* MERGEFORMAT </w:instrText>
      </w:r>
      <w:r w:rsidRPr="00274512">
        <w:fldChar w:fldCharType="separate"/>
      </w:r>
      <w:r w:rsidRPr="00274512">
        <w:rPr>
          <w:noProof/>
        </w:rPr>
        <w:t>10</w:t>
      </w:r>
      <w:r w:rsidRPr="00274512">
        <w:rPr>
          <w:noProof/>
        </w:rPr>
        <w:fldChar w:fldCharType="end"/>
      </w:r>
      <w:r w:rsidRPr="00274512">
        <w:t>.  Applying these requirements to the specific cases examined in the leading judgment, the Court found a violation of Article 1 of Protocol No. 1 in those of them where the national courts had failed to justify the existence of the causal link defined above, and had ordered forfeiture relying merely on the presumption contained in the 2005 Act and on discrepancies between the applicants</w:t>
      </w:r>
      <w:r w:rsidRPr="00274512">
        <w:t>’</w:t>
      </w:r>
      <w:r w:rsidRPr="00274512">
        <w:t xml:space="preserve"> expenses and their “lawful” income during the relevant periods (see §§ 217-50 of the judgment).</w:t>
      </w:r>
    </w:p>
    <w:p w:rsidRPr="00274512" w:rsidR="00E139D2" w:rsidP="00274512" w14:paraId="600B2775" w14:textId="23A51862">
      <w:pPr>
        <w:pStyle w:val="JuPara"/>
      </w:pPr>
      <w:r w:rsidRPr="00274512">
        <w:fldChar w:fldCharType="begin"/>
      </w:r>
      <w:r w:rsidRPr="00274512">
        <w:instrText xml:space="preserve"> SEQ level0 \*arabic \*</w:instrText>
      </w:r>
      <w:r w:rsidRPr="00274512">
        <w:instrText xml:space="preserve"> MERGEFORMAT </w:instrText>
      </w:r>
      <w:r w:rsidRPr="00274512">
        <w:fldChar w:fldCharType="separate"/>
      </w:r>
      <w:r w:rsidRPr="00274512">
        <w:rPr>
          <w:noProof/>
        </w:rPr>
        <w:t>11</w:t>
      </w:r>
      <w:r w:rsidRPr="00274512">
        <w:rPr>
          <w:noProof/>
        </w:rPr>
        <w:fldChar w:fldCharType="end"/>
      </w:r>
      <w:r w:rsidRPr="00274512">
        <w:t xml:space="preserve">.  The applications under examination are similar. </w:t>
      </w:r>
      <w:r w:rsidRPr="00274512">
        <w:t>In particular, in</w:t>
      </w:r>
      <w:r w:rsidRPr="00274512">
        <w:t xml:space="preserve"> ordering the forfeiture of the applicants</w:t>
      </w:r>
      <w:r w:rsidRPr="00274512">
        <w:t>’</w:t>
      </w:r>
      <w:r w:rsidRPr="00274512">
        <w:t xml:space="preserve"> assets the national courts did not attempt to justify the causal link required by the Court, adopting instead of that the same flawed approach that was criticised by it in the cases examined in </w:t>
      </w:r>
      <w:r w:rsidRPr="00274512">
        <w:rPr>
          <w:i/>
          <w:iCs/>
        </w:rPr>
        <w:t>Todorov and Others</w:t>
      </w:r>
      <w:r w:rsidRPr="00274512">
        <w:t>. The Court thus sees no reason to reach a conclusion different than the one in these cases.</w:t>
      </w:r>
    </w:p>
    <w:p w:rsidRPr="00274512" w:rsidR="00E139D2" w:rsidP="00274512" w14:paraId="26F59C2E" w14:textId="13760A5B">
      <w:pPr>
        <w:pStyle w:val="JuPara"/>
      </w:pPr>
      <w:r w:rsidRPr="00274512">
        <w:fldChar w:fldCharType="begin"/>
      </w:r>
      <w:r w:rsidRPr="00274512">
        <w:instrText xml:space="preserve"> SEQ level0 \*arabic </w:instrText>
      </w:r>
      <w:r w:rsidRPr="00274512">
        <w:fldChar w:fldCharType="separate"/>
      </w:r>
      <w:r w:rsidRPr="00274512" w:rsidR="00274512">
        <w:rPr>
          <w:noProof/>
        </w:rPr>
        <w:t>12</w:t>
      </w:r>
      <w:r w:rsidRPr="00274512">
        <w:fldChar w:fldCharType="end"/>
      </w:r>
      <w:r w:rsidRPr="00274512">
        <w:t>.  These complaints are therefore admissible and disclose a breach of Article 1</w:t>
      </w:r>
      <w:r w:rsidRPr="00274512">
        <w:rPr>
          <w:rFonts w:ascii="Times New Roman" w:hAnsi="Times New Roman" w:eastAsia="PMingLiU" w:cs="Times New Roman"/>
        </w:rPr>
        <w:t xml:space="preserve"> of Protocol No. 1</w:t>
      </w:r>
      <w:r w:rsidRPr="00274512">
        <w:t>.</w:t>
      </w:r>
    </w:p>
    <w:p w:rsidRPr="00274512" w:rsidR="00E139D2" w:rsidP="00274512" w14:paraId="37756109" w14:textId="77777777">
      <w:pPr>
        <w:pStyle w:val="JuHIRoman"/>
        <w:tabs>
          <w:tab w:val="clear" w:pos="454"/>
          <w:tab w:val="clear" w:pos="539"/>
          <w:tab w:val="clear" w:pos="624"/>
          <w:tab w:val="clear" w:pos="709"/>
          <w:tab w:val="clear" w:pos="794"/>
        </w:tabs>
        <w:ind w:left="357" w:hanging="357"/>
        <w:jc w:val="left"/>
      </w:pPr>
      <w:r w:rsidRPr="00274512">
        <w:t>APPLICATION OF ARTICLE 41 OF THE CONVENTION</w:t>
      </w:r>
    </w:p>
    <w:p w:rsidRPr="00274512" w:rsidR="00E139D2" w:rsidP="00274512" w14:paraId="2D186552" w14:textId="2DF3E3F4">
      <w:pPr>
        <w:pStyle w:val="JuPara"/>
      </w:pPr>
      <w:r w:rsidRPr="00274512">
        <w:fldChar w:fldCharType="begin"/>
      </w:r>
      <w:r w:rsidRPr="00274512">
        <w:instrText xml:space="preserve"> SEQ level0 \*arabic </w:instrText>
      </w:r>
      <w:r w:rsidRPr="00274512">
        <w:fldChar w:fldCharType="separate"/>
      </w:r>
      <w:r w:rsidRPr="00274512" w:rsidR="00274512">
        <w:rPr>
          <w:noProof/>
        </w:rPr>
        <w:t>13</w:t>
      </w:r>
      <w:r w:rsidRPr="00274512">
        <w:fldChar w:fldCharType="end"/>
      </w:r>
      <w:r w:rsidRPr="00274512">
        <w:t>.  Article 41 of the Convention provides:</w:t>
      </w:r>
    </w:p>
    <w:p w:rsidRPr="00274512" w:rsidR="00E139D2" w:rsidP="00274512" w14:paraId="1BF3C678" w14:textId="77777777">
      <w:pPr>
        <w:pStyle w:val="JuQuot"/>
        <w:keepNext/>
        <w:keepLines/>
      </w:pPr>
      <w:r w:rsidRPr="0027451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74512" w:rsidR="00E139D2" w:rsidP="00274512" w14:paraId="7211AE9A" w14:textId="6EB0CCF4">
      <w:pPr>
        <w:pStyle w:val="JuPara"/>
      </w:pPr>
      <w:r w:rsidRPr="00274512">
        <w:fldChar w:fldCharType="begin"/>
      </w:r>
      <w:r w:rsidRPr="00274512">
        <w:instrText xml:space="preserve"> SEQ level0 \*arabic </w:instrText>
      </w:r>
      <w:r w:rsidRPr="00274512">
        <w:fldChar w:fldCharType="separate"/>
      </w:r>
      <w:r w:rsidRPr="00274512" w:rsidR="00274512">
        <w:rPr>
          <w:noProof/>
        </w:rPr>
        <w:t>14</w:t>
      </w:r>
      <w:r w:rsidRPr="00274512">
        <w:fldChar w:fldCharType="end"/>
      </w:r>
      <w:r w:rsidRPr="00274512">
        <w:t>.  In respect of pecuniary damage, all applicants claimed the value of their forfeited assets. They submitted different documents in support of these claims, including property valuations.</w:t>
      </w:r>
    </w:p>
    <w:p w:rsidRPr="00274512" w:rsidR="00E139D2" w:rsidP="00274512" w14:paraId="2B642EF3" w14:textId="3659F6A4">
      <w:pPr>
        <w:pStyle w:val="JuPara"/>
      </w:pPr>
      <w:r w:rsidRPr="00274512">
        <w:fldChar w:fldCharType="begin"/>
      </w:r>
      <w:r w:rsidRPr="00274512">
        <w:instrText xml:space="preserve"> SEQ level0 \*arabic \* MERGEFORMAT </w:instrText>
      </w:r>
      <w:r w:rsidRPr="00274512">
        <w:fldChar w:fldCharType="separate"/>
      </w:r>
      <w:r w:rsidRPr="00274512">
        <w:rPr>
          <w:noProof/>
        </w:rPr>
        <w:t>15</w:t>
      </w:r>
      <w:r w:rsidRPr="00274512">
        <w:rPr>
          <w:noProof/>
        </w:rPr>
        <w:fldChar w:fldCharType="end"/>
      </w:r>
      <w:r w:rsidRPr="00274512">
        <w:t xml:space="preserve">.  The applicants in application no. 38398/11 submitted that, in the alternative, the Court could indicate to the parties that the national authorities were to reopen the domestic proceedings and re-examine the forfeiture claims in compliance with the requirements of Article 1 of Protocol No. 1. The applicants in application no. 59983/12, on the other hand, urged the Court not to take that approach. They argued that such a procedural path would be ineffective, </w:t>
      </w:r>
      <w:r w:rsidRPr="00274512">
        <w:t>in particular because</w:t>
      </w:r>
      <w:r w:rsidRPr="00274512">
        <w:t xml:space="preserve"> the re-examination of the case at the domestic level would be lengthy and costly.</w:t>
      </w:r>
    </w:p>
    <w:p w:rsidRPr="00274512" w:rsidR="00E139D2" w:rsidP="00274512" w14:paraId="3D69F46C" w14:textId="0A2B0B17">
      <w:pPr>
        <w:pStyle w:val="JuPara"/>
      </w:pPr>
      <w:r w:rsidRPr="00274512">
        <w:fldChar w:fldCharType="begin"/>
      </w:r>
      <w:r w:rsidRPr="00274512">
        <w:instrText xml:space="preserve"> SEQ level0 \</w:instrText>
      </w:r>
      <w:r w:rsidRPr="00274512">
        <w:instrText xml:space="preserve">*arabic \* MERGEFORMAT </w:instrText>
      </w:r>
      <w:r w:rsidRPr="00274512">
        <w:fldChar w:fldCharType="separate"/>
      </w:r>
      <w:r w:rsidRPr="00274512">
        <w:rPr>
          <w:noProof/>
        </w:rPr>
        <w:t>16</w:t>
      </w:r>
      <w:r w:rsidRPr="00274512">
        <w:rPr>
          <w:noProof/>
        </w:rPr>
        <w:fldChar w:fldCharType="end"/>
      </w:r>
      <w:r w:rsidRPr="00274512">
        <w:t>.  The Government urged the Court to reject the claims for pecuniary damage.</w:t>
      </w:r>
    </w:p>
    <w:p w:rsidRPr="00274512" w:rsidR="00E139D2" w:rsidP="00274512" w14:paraId="24D2AC67" w14:textId="62B3F1AA">
      <w:pPr>
        <w:pStyle w:val="JuPara"/>
        <w:rPr>
          <w:rFonts w:eastAsia="Times New Roman"/>
        </w:rPr>
      </w:pPr>
      <w:r w:rsidRPr="00274512">
        <w:fldChar w:fldCharType="begin"/>
      </w:r>
      <w:r w:rsidRPr="00274512">
        <w:instrText xml:space="preserve"> SEQ level0 \*arabic \* MERGEFORMAT </w:instrText>
      </w:r>
      <w:r w:rsidRPr="00274512">
        <w:fldChar w:fldCharType="separate"/>
      </w:r>
      <w:r w:rsidRPr="00274512">
        <w:rPr>
          <w:noProof/>
        </w:rPr>
        <w:t>17</w:t>
      </w:r>
      <w:r w:rsidRPr="00274512">
        <w:rPr>
          <w:noProof/>
        </w:rPr>
        <w:fldChar w:fldCharType="end"/>
      </w:r>
      <w:r w:rsidRPr="00274512">
        <w:t>.  T</w:t>
      </w:r>
      <w:r w:rsidRPr="00274512">
        <w:rPr>
          <w:rFonts w:eastAsia="Times New Roman"/>
        </w:rPr>
        <w:t xml:space="preserve">he Court is not </w:t>
      </w:r>
      <w:r w:rsidRPr="00274512">
        <w:rPr>
          <w:rFonts w:eastAsia="Times New Roman"/>
        </w:rPr>
        <w:t>in a position</w:t>
      </w:r>
      <w:r w:rsidRPr="00274512">
        <w:rPr>
          <w:rFonts w:eastAsia="Times New Roman"/>
        </w:rPr>
        <w:t xml:space="preserve"> to speculate on whether the applicants</w:t>
      </w:r>
      <w:r w:rsidRPr="00274512">
        <w:rPr>
          <w:rFonts w:eastAsia="Times New Roman"/>
        </w:rPr>
        <w:t>’</w:t>
      </w:r>
      <w:r w:rsidRPr="00274512">
        <w:rPr>
          <w:rFonts w:eastAsia="Times New Roman"/>
        </w:rPr>
        <w:t xml:space="preserve"> forfeited assets were or were not the proceeds of crime, namely whether the forfeiture was or was not justified, and otherwise on the possible outcome of the forfeiture proceedings, had the requirements of Article 1 of Protocol No. 1 been met. The Court cannot thus determine any pecuniary damage which the applicants might have suffered </w:t>
      </w:r>
      <w:r w:rsidRPr="00274512">
        <w:rPr>
          <w:rFonts w:eastAsia="Times New Roman"/>
        </w:rPr>
        <w:t>as a result of</w:t>
      </w:r>
      <w:r w:rsidRPr="00274512">
        <w:rPr>
          <w:rFonts w:eastAsia="Times New Roman"/>
        </w:rPr>
        <w:t xml:space="preserve"> unjustified forfeiture. Accordingly, it dismisses the applicants</w:t>
      </w:r>
      <w:r w:rsidRPr="00274512">
        <w:rPr>
          <w:rFonts w:eastAsia="Times New Roman"/>
        </w:rPr>
        <w:t>’</w:t>
      </w:r>
      <w:r w:rsidRPr="00274512">
        <w:rPr>
          <w:rFonts w:eastAsia="Times New Roman"/>
        </w:rPr>
        <w:t xml:space="preserve"> claims in respect of pecuniary damage and reiterates, as in </w:t>
      </w:r>
      <w:r w:rsidRPr="00274512">
        <w:rPr>
          <w:rFonts w:eastAsia="Times New Roman"/>
          <w:i/>
          <w:iCs/>
        </w:rPr>
        <w:t>Todorov and Others</w:t>
      </w:r>
      <w:r w:rsidRPr="00274512">
        <w:t xml:space="preserve"> (cited above,</w:t>
      </w:r>
      <w:r w:rsidRPr="00274512">
        <w:rPr>
          <w:rFonts w:eastAsia="Times New Roman"/>
        </w:rPr>
        <w:t xml:space="preserve"> §§ 320</w:t>
      </w:r>
      <w:r w:rsidRPr="00274512">
        <w:rPr>
          <w:rFonts w:eastAsia="Times New Roman"/>
        </w:rPr>
        <w:noBreakHyphen/>
        <w:t>22), that the most appropriate means to remedy the violation is the reopening of the domestic proceedings and the re-examination of the matter by the domestic courts, in compliance with the requirements of Article 1 of Protocol No. 1.</w:t>
      </w:r>
    </w:p>
    <w:p w:rsidRPr="00274512" w:rsidR="00E139D2" w:rsidP="00274512" w14:paraId="412CA4BD" w14:textId="6B66C857">
      <w:pPr>
        <w:pStyle w:val="JuPara"/>
        <w:rPr>
          <w:rFonts w:eastAsia="Times New Roman"/>
        </w:rPr>
      </w:pPr>
      <w:r w:rsidRPr="00274512">
        <w:rPr>
          <w:rFonts w:eastAsia="Times New Roman"/>
        </w:rPr>
        <w:fldChar w:fldCharType="begin"/>
      </w:r>
      <w:r w:rsidRPr="00274512">
        <w:rPr>
          <w:rFonts w:eastAsia="Times New Roman"/>
        </w:rPr>
        <w:instrText xml:space="preserve"> SEQ level0 \*arabic \* MERGEFORMAT </w:instrText>
      </w:r>
      <w:r w:rsidRPr="00274512">
        <w:rPr>
          <w:rFonts w:eastAsia="Times New Roman"/>
        </w:rPr>
        <w:fldChar w:fldCharType="separate"/>
      </w:r>
      <w:r w:rsidRPr="00274512" w:rsidR="00274512">
        <w:rPr>
          <w:rFonts w:eastAsia="Times New Roman"/>
          <w:noProof/>
        </w:rPr>
        <w:t>18</w:t>
      </w:r>
      <w:r w:rsidRPr="00274512">
        <w:rPr>
          <w:rFonts w:eastAsia="Times New Roman"/>
        </w:rPr>
        <w:fldChar w:fldCharType="end"/>
      </w:r>
      <w:r w:rsidRPr="00274512">
        <w:rPr>
          <w:rFonts w:eastAsia="Times New Roman"/>
        </w:rPr>
        <w:t>.  As to non-pecuniary damage, the applicants claimed compensation ranging between 5,000 and 40,000 euros (EUR). The Court, taking note of the circumstances of the case, awards them the amounts indicated in the appended table.</w:t>
      </w:r>
    </w:p>
    <w:p w:rsidRPr="00274512" w:rsidR="00E139D2" w:rsidP="00274512" w14:paraId="68B8BEC6" w14:textId="3D613858">
      <w:pPr>
        <w:pStyle w:val="JuPara"/>
      </w:pPr>
      <w:r w:rsidRPr="00274512">
        <w:rPr>
          <w:rFonts w:eastAsia="Times New Roman"/>
        </w:rPr>
        <w:fldChar w:fldCharType="begin"/>
      </w:r>
      <w:r w:rsidRPr="00274512">
        <w:rPr>
          <w:rFonts w:eastAsia="Times New Roman"/>
        </w:rPr>
        <w:instrText xml:space="preserve"> SEQ level0 \*arabic \* MERGEFORMAT </w:instrText>
      </w:r>
      <w:r w:rsidRPr="00274512">
        <w:rPr>
          <w:rFonts w:eastAsia="Times New Roman"/>
        </w:rPr>
        <w:fldChar w:fldCharType="separate"/>
      </w:r>
      <w:r w:rsidRPr="00274512" w:rsidR="00274512">
        <w:rPr>
          <w:rFonts w:eastAsia="Times New Roman"/>
          <w:noProof/>
        </w:rPr>
        <w:t>19</w:t>
      </w:r>
      <w:r w:rsidRPr="00274512">
        <w:rPr>
          <w:rFonts w:eastAsia="Times New Roman"/>
        </w:rPr>
        <w:fldChar w:fldCharType="end"/>
      </w:r>
      <w:r w:rsidRPr="00274512">
        <w:rPr>
          <w:rFonts w:eastAsia="Times New Roman"/>
        </w:rPr>
        <w:t>.  As to applicants</w:t>
      </w:r>
      <w:r w:rsidRPr="00274512" w:rsidR="00274512">
        <w:rPr>
          <w:rFonts w:eastAsia="Times New Roman"/>
        </w:rPr>
        <w:t>’</w:t>
      </w:r>
      <w:r w:rsidRPr="00274512">
        <w:rPr>
          <w:rFonts w:eastAsia="Times New Roman"/>
        </w:rPr>
        <w:t xml:space="preserve"> claims for costs, t</w:t>
      </w:r>
      <w:r w:rsidRPr="00274512">
        <w:t>he Court observes that, already when communicating applications to the Government, it drew the applicants</w:t>
      </w:r>
      <w:r w:rsidRPr="00274512" w:rsidR="00274512">
        <w:t>’</w:t>
      </w:r>
      <w:r w:rsidRPr="00274512">
        <w:t xml:space="preserve"> attention to the fact that it might follow the approach taken in </w:t>
      </w:r>
      <w:r w:rsidRPr="00274512">
        <w:rPr>
          <w:i/>
          <w:iCs/>
        </w:rPr>
        <w:t>Todorov and Others</w:t>
      </w:r>
      <w:r w:rsidRPr="00274512">
        <w:t xml:space="preserve"> (cited above). As mentioned, in that case it rejected the applicants</w:t>
      </w:r>
      <w:r w:rsidRPr="00274512" w:rsidR="00274512">
        <w:t>’</w:t>
      </w:r>
      <w:r w:rsidRPr="00274512">
        <w:t xml:space="preserve"> claims for pecuniary damage and instructed the applicants to seek the re-examination of their cases at the domestic level. That being so, the Court finds that the costs incurred in applications nos. 38398/11 and 59983/12 for the valuation of the applicants</w:t>
      </w:r>
      <w:r w:rsidRPr="00274512" w:rsidR="00274512">
        <w:t>’</w:t>
      </w:r>
      <w:r w:rsidRPr="00274512">
        <w:t xml:space="preserve"> forfeited assets were unnecessary.  As to the remaining heads of cost and expenses, the Court, </w:t>
      </w:r>
      <w:r w:rsidRPr="00274512">
        <w:t>taking into account</w:t>
      </w:r>
      <w:r w:rsidRPr="00274512">
        <w:t xml:space="preserve"> the circumstances of the case and in particular its repetitive character, finds it appropriate to award the sums indicated in the appended table.</w:t>
      </w:r>
    </w:p>
    <w:p w:rsidRPr="00274512" w:rsidR="00E139D2" w:rsidP="00274512" w14:paraId="127BA326" w14:textId="77777777">
      <w:pPr>
        <w:pStyle w:val="JuHHead"/>
        <w:jc w:val="left"/>
      </w:pPr>
      <w:r w:rsidRPr="00274512">
        <w:t>FOR THESE REASONS, THE COURT</w:t>
      </w:r>
      <w:r w:rsidRPr="00274512">
        <w:rPr>
          <w:color w:val="000000"/>
        </w:rPr>
        <w:t>,</w:t>
      </w:r>
      <w:r w:rsidRPr="00274512">
        <w:t xml:space="preserve"> UNANIMOUSLY,</w:t>
      </w:r>
    </w:p>
    <w:p w:rsidRPr="00274512" w:rsidR="00E139D2" w:rsidP="00274512" w14:paraId="2C2EADE4" w14:textId="77777777">
      <w:pPr>
        <w:pStyle w:val="JuList"/>
        <w:keepNext/>
        <w:keepLines/>
      </w:pPr>
      <w:r w:rsidRPr="00274512">
        <w:rPr>
          <w:i/>
        </w:rPr>
        <w:t xml:space="preserve">Decides </w:t>
      </w:r>
      <w:r w:rsidRPr="00274512">
        <w:t>to join the applications;</w:t>
      </w:r>
    </w:p>
    <w:p w:rsidRPr="00274512" w:rsidR="00E139D2" w:rsidP="00274512" w14:paraId="15D1C970" w14:textId="77777777">
      <w:pPr>
        <w:pStyle w:val="JuList"/>
        <w:keepNext/>
        <w:keepLines/>
      </w:pPr>
      <w:r w:rsidRPr="00274512">
        <w:rPr>
          <w:i/>
        </w:rPr>
        <w:t xml:space="preserve">Declares </w:t>
      </w:r>
      <w:r w:rsidRPr="00274512">
        <w:t>the applications admissible;</w:t>
      </w:r>
    </w:p>
    <w:p w:rsidRPr="00274512" w:rsidR="00E139D2" w:rsidP="00274512" w14:paraId="2C299DB6" w14:textId="77777777">
      <w:pPr>
        <w:pStyle w:val="JuList"/>
        <w:rPr>
          <w:rFonts w:cstheme="minorHAnsi"/>
          <w:bCs/>
        </w:rPr>
      </w:pPr>
      <w:r w:rsidRPr="00274512">
        <w:rPr>
          <w:i/>
        </w:rPr>
        <w:t xml:space="preserve">Holds </w:t>
      </w:r>
      <w:r w:rsidRPr="00274512">
        <w:t xml:space="preserve">that </w:t>
      </w:r>
      <w:r w:rsidRPr="00274512">
        <w:rPr>
          <w:rFonts w:eastAsia="PMingLiU"/>
        </w:rPr>
        <w:t xml:space="preserve">these applications </w:t>
      </w:r>
      <w:r w:rsidRPr="00274512">
        <w:t>disclose a breach of Article 1</w:t>
      </w:r>
      <w:r w:rsidRPr="00274512">
        <w:rPr>
          <w:rFonts w:ascii="Times New Roman" w:hAnsi="Times New Roman" w:eastAsia="PMingLiU" w:cs="Times New Roman"/>
        </w:rPr>
        <w:t xml:space="preserve"> of Protocol No. 1</w:t>
      </w:r>
      <w:r w:rsidRPr="00274512">
        <w:t xml:space="preserve"> concerning the </w:t>
      </w:r>
      <w:r w:rsidRPr="00274512">
        <w:rPr>
          <w:rFonts w:cstheme="minorHAnsi"/>
        </w:rPr>
        <w:t>forfeiture of alleged proceeds of crime</w:t>
      </w:r>
      <w:r w:rsidRPr="00274512">
        <w:rPr>
          <w:rFonts w:eastAsia="PMingLiU"/>
        </w:rPr>
        <w:t>;</w:t>
      </w:r>
    </w:p>
    <w:p w:rsidRPr="00274512" w:rsidR="00E139D2" w:rsidP="00274512" w14:paraId="539428A8" w14:textId="77777777">
      <w:pPr>
        <w:pStyle w:val="JuList"/>
        <w:ind w:left="0" w:firstLine="0"/>
        <w:rPr>
          <w:rFonts w:cstheme="minorHAnsi"/>
          <w:bCs/>
        </w:rPr>
      </w:pPr>
      <w:r w:rsidRPr="00274512">
        <w:rPr>
          <w:i/>
        </w:rPr>
        <w:t>Holds</w:t>
      </w:r>
    </w:p>
    <w:p w:rsidRPr="00274512" w:rsidR="00E139D2" w:rsidP="00274512" w14:paraId="75E89131" w14:textId="77777777">
      <w:pPr>
        <w:pStyle w:val="JuLista"/>
      </w:pPr>
      <w:r w:rsidRPr="00274512">
        <w:t xml:space="preserve">that the respondent State is to pay the applicants, within three months, the amounts indicated in the appended table, to be converted into </w:t>
      </w:r>
      <w:r w:rsidRPr="00274512">
        <w:rPr>
          <w:color w:val="000000"/>
        </w:rPr>
        <w:t xml:space="preserve">the currency of the respondent State </w:t>
      </w:r>
      <w:r w:rsidRPr="00274512">
        <w:t>at the rate applicable at the date of settlement;</w:t>
      </w:r>
    </w:p>
    <w:p w:rsidRPr="00274512" w:rsidR="00E139D2" w:rsidP="00274512" w14:paraId="7616EEAC" w14:textId="77777777">
      <w:pPr>
        <w:pStyle w:val="JuLista"/>
      </w:pPr>
      <w:r w:rsidRPr="0027451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74512" w:rsidR="00787E12" w:rsidP="00274512" w14:paraId="68CF2FA6" w14:textId="0D3A3B31">
      <w:pPr>
        <w:pStyle w:val="JuList"/>
      </w:pPr>
      <w:r w:rsidRPr="00274512">
        <w:rPr>
          <w:i/>
          <w:spacing w:val="-2"/>
        </w:rPr>
        <w:t>Dismisses</w:t>
      </w:r>
      <w:r w:rsidRPr="00274512">
        <w:rPr>
          <w:color w:val="000000"/>
          <w:spacing w:val="-2"/>
        </w:rPr>
        <w:t xml:space="preserve"> </w:t>
      </w:r>
      <w:r w:rsidRPr="00274512">
        <w:rPr>
          <w:spacing w:val="-2"/>
        </w:rPr>
        <w:t>the remainder of the applicants</w:t>
      </w:r>
      <w:r w:rsidRPr="00274512" w:rsidR="00274512">
        <w:rPr>
          <w:spacing w:val="-2"/>
        </w:rPr>
        <w:t>’</w:t>
      </w:r>
      <w:r w:rsidRPr="00274512">
        <w:rPr>
          <w:spacing w:val="-2"/>
        </w:rPr>
        <w:t xml:space="preserve"> claims for just satisfaction.</w:t>
      </w:r>
    </w:p>
    <w:p w:rsidRPr="00274512" w:rsidR="00C43D38" w:rsidP="00274512" w14:paraId="6F63D42F" w14:textId="05A533F6">
      <w:pPr>
        <w:pStyle w:val="JuParaLast"/>
      </w:pPr>
      <w:r w:rsidRPr="00274512">
        <w:t xml:space="preserve">Done in English, and notified in writing on </w:t>
      </w:r>
      <w:r w:rsidRPr="00274512" w:rsidR="00E139D2">
        <w:t xml:space="preserve">9 </w:t>
      </w:r>
      <w:r w:rsidRPr="00274512" w:rsidR="006927F4">
        <w:t>February</w:t>
      </w:r>
      <w:r w:rsidRPr="00274512" w:rsidR="00E139D2">
        <w:t xml:space="preserve"> 2023</w:t>
      </w:r>
      <w:r w:rsidRPr="00274512">
        <w:t>, pursuant to Rule 77 §§ 2 and 3 of the Rules of Court.</w:t>
      </w:r>
    </w:p>
    <w:p w:rsidRPr="00274512" w:rsidR="00656431" w:rsidP="00274512" w14:paraId="63D009F4" w14:textId="56586031">
      <w:pPr>
        <w:pStyle w:val="ECHRPlaceholder"/>
        <w:rPr>
          <w:szCs w:val="22"/>
        </w:rPr>
      </w:pPr>
      <w:r w:rsidRPr="00274512">
        <w:rPr>
          <w:rFonts w:eastAsia="PMingLiU"/>
        </w:rPr>
        <w:tab/>
      </w:r>
    </w:p>
    <w:p w:rsidRPr="00274512" w:rsidR="00CF644B" w:rsidP="00274512" w14:paraId="3F1AD1A6" w14:textId="612922DF">
      <w:pPr>
        <w:pStyle w:val="JuSigned"/>
        <w:rPr>
          <w:rFonts w:eastAsia="PMingLiU"/>
        </w:rPr>
      </w:pPr>
      <w:r w:rsidRPr="00274512">
        <w:rPr>
          <w:rFonts w:eastAsia="PMingLiU"/>
        </w:rPr>
        <w:tab/>
      </w:r>
      <w:r w:rsidRPr="00274512" w:rsidR="00E139D2">
        <w:rPr>
          <w:rFonts w:eastAsia="PMingLiU"/>
        </w:rPr>
        <w:t>Viktoriya</w:t>
      </w:r>
      <w:r w:rsidRPr="00274512" w:rsidR="0048584C">
        <w:rPr>
          <w:rFonts w:eastAsia="PMingLiU"/>
        </w:rPr>
        <w:t xml:space="preserve"> </w:t>
      </w:r>
      <w:r w:rsidRPr="00274512" w:rsidR="00E139D2">
        <w:rPr>
          <w:rFonts w:eastAsia="PMingLiU"/>
        </w:rPr>
        <w:t>Maradudina</w:t>
      </w:r>
      <w:r w:rsidRPr="00274512" w:rsidR="0048584C">
        <w:rPr>
          <w:rFonts w:eastAsia="PMingLiU"/>
        </w:rPr>
        <w:tab/>
      </w:r>
      <w:r w:rsidRPr="00274512" w:rsidR="00E139D2">
        <w:rPr>
          <w:rFonts w:eastAsia="PMingLiU"/>
        </w:rPr>
        <w:t>Darian Pavli</w:t>
      </w:r>
    </w:p>
    <w:p w:rsidRPr="00274512" w:rsidR="00B91668" w:rsidP="00274512" w14:paraId="02E99863" w14:textId="5C25FCE2">
      <w:pPr>
        <w:pStyle w:val="JuSigned"/>
        <w:contextualSpacing/>
        <w:rPr>
          <w:rFonts w:eastAsia="PMingLiU"/>
        </w:rPr>
      </w:pPr>
      <w:r w:rsidRPr="00274512">
        <w:rPr>
          <w:rFonts w:eastAsia="PMingLiU"/>
        </w:rPr>
        <w:tab/>
      </w:r>
      <w:r w:rsidRPr="00274512" w:rsidR="00060CA1">
        <w:rPr>
          <w:rFonts w:eastAsia="PMingLiU"/>
        </w:rPr>
        <w:t xml:space="preserve">Acting </w:t>
      </w:r>
      <w:r w:rsidRPr="00274512">
        <w:rPr>
          <w:rFonts w:eastAsia="PMingLiU"/>
        </w:rPr>
        <w:t>Deputy Registrar</w:t>
      </w:r>
      <w:r w:rsidRPr="00274512">
        <w:rPr>
          <w:rFonts w:eastAsia="PMingLiU"/>
        </w:rPr>
        <w:tab/>
        <w:t>President</w:t>
      </w:r>
    </w:p>
    <w:p w:rsidRPr="00274512" w:rsidR="00B91668" w:rsidP="00274512" w14:paraId="5687C197" w14:textId="77777777">
      <w:pPr>
        <w:rPr>
          <w:rFonts w:eastAsia="PMingLiU"/>
        </w:rPr>
      </w:pPr>
    </w:p>
    <w:p w:rsidRPr="00274512" w:rsidR="00BD554D" w:rsidP="00274512" w14:paraId="311A9D78" w14:textId="77777777">
      <w:pPr>
        <w:pStyle w:val="JuSigned"/>
        <w:tabs>
          <w:tab w:val="left" w:pos="5115"/>
        </w:tabs>
        <w:contextualSpacing/>
        <w:rPr>
          <w:rFonts w:eastAsia="PMingLiU"/>
        </w:rPr>
      </w:pPr>
      <w:r w:rsidRPr="00274512">
        <w:rPr>
          <w:rFonts w:eastAsia="PMingLiU"/>
        </w:rPr>
        <w:tab/>
      </w:r>
    </w:p>
    <w:p w:rsidRPr="00274512" w:rsidR="00787E12" w:rsidP="00274512" w14:paraId="6517C661" w14:textId="77777777">
      <w:pPr>
        <w:pStyle w:val="JuSigned"/>
        <w:tabs>
          <w:tab w:val="center" w:pos="1134"/>
        </w:tabs>
        <w:contextualSpacing/>
        <w:rPr>
          <w:rFonts w:eastAsia="PMingLiU"/>
        </w:rPr>
      </w:pPr>
    </w:p>
    <w:p w:rsidRPr="00274512" w:rsidR="00787E12" w:rsidP="00274512" w14:paraId="5C226382"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74512" w:rsidR="00787E12" w:rsidP="00274512" w14:paraId="2E505E20" w14:textId="77777777">
      <w:pPr>
        <w:pStyle w:val="DecHTitle"/>
      </w:pPr>
      <w:r w:rsidRPr="00274512">
        <w:t>APPENDIX</w:t>
      </w:r>
    </w:p>
    <w:p w:rsidRPr="00274512" w:rsidR="00274512" w:rsidP="00274512" w14:paraId="7D37346F" w14:textId="77777777">
      <w:pPr>
        <w:pStyle w:val="DecHCase"/>
        <w:contextualSpacing/>
        <w:rPr>
          <w:color w:val="3E3E3E" w:themeColor="background2" w:themeShade="40"/>
        </w:rPr>
      </w:pPr>
      <w:r w:rsidRPr="00274512">
        <w:rPr>
          <w:color w:val="3E3E3E" w:themeColor="background2" w:themeShade="40"/>
        </w:rPr>
        <w:t>List of applications</w:t>
      </w:r>
      <w:r w:rsidRPr="00274512" w:rsidR="0048584C">
        <w:rPr>
          <w:color w:val="3E3E3E" w:themeColor="background2" w:themeShade="40"/>
        </w:rPr>
        <w:t xml:space="preserve"> raising complaints under Article</w:t>
      </w:r>
      <w:r w:rsidRPr="00274512">
        <w:rPr>
          <w:color w:val="3E3E3E" w:themeColor="background2" w:themeShade="40"/>
        </w:rPr>
        <w:t xml:space="preserve"> 1 </w:t>
      </w:r>
      <w:r w:rsidRPr="00274512" w:rsidR="004069E2">
        <w:rPr>
          <w:color w:val="3E3E3E" w:themeColor="background2" w:themeShade="40"/>
        </w:rPr>
        <w:t>of Protocol No. 1</w:t>
      </w:r>
    </w:p>
    <w:p w:rsidRPr="00274512" w:rsidR="00787E12" w:rsidP="00274512" w14:paraId="610182DF" w14:textId="4A997C02">
      <w:pPr>
        <w:pStyle w:val="DecHCase"/>
        <w:contextualSpacing/>
        <w:rPr>
          <w:b/>
          <w:i/>
        </w:rPr>
      </w:pPr>
      <w:r w:rsidRPr="00274512">
        <w:rPr>
          <w:color w:val="3E3E3E" w:themeColor="background2" w:themeShade="40"/>
        </w:rPr>
        <w:t>(</w:t>
      </w:r>
      <w:r w:rsidRPr="00274512" w:rsidR="00E139D2">
        <w:rPr>
          <w:color w:val="3E3E3E" w:themeColor="background2" w:themeShade="40"/>
        </w:rPr>
        <w:t>forfeiture</w:t>
      </w:r>
      <w:r w:rsidRPr="00274512" w:rsidR="00E139D2">
        <w:rPr>
          <w:color w:val="3E3E3E" w:themeColor="background2" w:themeShade="40"/>
        </w:rPr>
        <w:t xml:space="preserve"> of alleged proceeds of crime</w:t>
      </w:r>
      <w:r w:rsidRPr="00274512">
        <w:rPr>
          <w:color w:val="3E3E3E" w:themeColor="background2" w:themeShade="40"/>
        </w:rPr>
        <w:t>)</w:t>
      </w:r>
    </w:p>
    <w:tbl>
      <w:tblPr>
        <w:tblStyle w:val="ECHRListTable"/>
        <w:tblW w:w="15730" w:type="dxa"/>
        <w:jc w:val="center"/>
        <w:tblLayout w:type="fixed"/>
        <w:tblLook w:val="0420"/>
      </w:tblPr>
      <w:tblGrid>
        <w:gridCol w:w="562"/>
        <w:gridCol w:w="1134"/>
        <w:gridCol w:w="1276"/>
        <w:gridCol w:w="1418"/>
        <w:gridCol w:w="1701"/>
        <w:gridCol w:w="1139"/>
        <w:gridCol w:w="2404"/>
        <w:gridCol w:w="2552"/>
        <w:gridCol w:w="1276"/>
        <w:gridCol w:w="1275"/>
        <w:gridCol w:w="993"/>
      </w:tblGrid>
      <w:tr w:rsidTr="00060CA1" w14:paraId="09B59B07" w14:textId="77777777">
        <w:tblPrEx>
          <w:tblW w:w="15730" w:type="dxa"/>
          <w:tblLayout w:type="fixed"/>
          <w:tblLook w:val="0420"/>
        </w:tblPrEx>
        <w:trPr>
          <w:trHeight w:val="1265"/>
        </w:trPr>
        <w:tc>
          <w:tcPr>
            <w:tcW w:w="562" w:type="dxa"/>
          </w:tcPr>
          <w:p w:rsidRPr="00274512" w:rsidR="0057781F" w:rsidP="00274512" w14:paraId="4A811854" w14:textId="77777777">
            <w:pPr>
              <w:jc w:val="center"/>
              <w:rPr>
                <w:sz w:val="16"/>
              </w:rPr>
            </w:pPr>
            <w:bookmarkStart w:name="WECLListStart" w:id="2"/>
            <w:bookmarkEnd w:id="2"/>
            <w:r w:rsidRPr="00274512">
              <w:rPr>
                <w:sz w:val="16"/>
              </w:rPr>
              <w:t>No.</w:t>
            </w:r>
          </w:p>
        </w:tc>
        <w:tc>
          <w:tcPr>
            <w:tcW w:w="1134" w:type="dxa"/>
          </w:tcPr>
          <w:p w:rsidRPr="00274512" w:rsidR="0057781F" w:rsidP="00274512" w14:paraId="558F195C" w14:textId="77777777">
            <w:pPr>
              <w:jc w:val="center"/>
              <w:rPr>
                <w:sz w:val="16"/>
              </w:rPr>
            </w:pPr>
            <w:r w:rsidRPr="00274512">
              <w:rPr>
                <w:sz w:val="16"/>
              </w:rPr>
              <w:t>Application no.</w:t>
            </w:r>
          </w:p>
          <w:p w:rsidRPr="00274512" w:rsidR="0057781F" w:rsidP="00274512" w14:paraId="6DCCBA95" w14:textId="77777777">
            <w:pPr>
              <w:jc w:val="center"/>
              <w:rPr>
                <w:sz w:val="16"/>
              </w:rPr>
            </w:pPr>
            <w:r w:rsidRPr="00274512">
              <w:rPr>
                <w:sz w:val="16"/>
              </w:rPr>
              <w:t>Date of introduction</w:t>
            </w:r>
          </w:p>
        </w:tc>
        <w:tc>
          <w:tcPr>
            <w:tcW w:w="1276" w:type="dxa"/>
          </w:tcPr>
          <w:p w:rsidRPr="00274512" w:rsidR="0057781F" w:rsidP="00274512" w14:paraId="621ED000" w14:textId="4E3D9F00">
            <w:pPr>
              <w:jc w:val="center"/>
              <w:rPr>
                <w:sz w:val="16"/>
              </w:rPr>
            </w:pPr>
            <w:r w:rsidRPr="00274512">
              <w:rPr>
                <w:sz w:val="16"/>
              </w:rPr>
              <w:t>Applicant</w:t>
            </w:r>
            <w:r w:rsidRPr="00274512" w:rsidR="00274512">
              <w:rPr>
                <w:sz w:val="16"/>
              </w:rPr>
              <w:t>’</w:t>
            </w:r>
            <w:r w:rsidRPr="00274512">
              <w:rPr>
                <w:sz w:val="16"/>
              </w:rPr>
              <w:t>s name</w:t>
            </w:r>
          </w:p>
          <w:p w:rsidRPr="00274512" w:rsidR="0057781F" w:rsidP="00274512" w14:paraId="531E832A" w14:textId="77777777">
            <w:pPr>
              <w:jc w:val="center"/>
              <w:rPr>
                <w:b w:val="0"/>
                <w:sz w:val="16"/>
              </w:rPr>
            </w:pPr>
            <w:r w:rsidRPr="00274512">
              <w:rPr>
                <w:sz w:val="16"/>
              </w:rPr>
              <w:t>Year of birth/</w:t>
            </w:r>
          </w:p>
          <w:p w:rsidRPr="00274512" w:rsidR="0057781F" w:rsidP="00274512" w14:paraId="549AC310" w14:textId="77777777">
            <w:pPr>
              <w:jc w:val="center"/>
              <w:rPr>
                <w:sz w:val="16"/>
              </w:rPr>
            </w:pPr>
            <w:r w:rsidRPr="00274512">
              <w:rPr>
                <w:sz w:val="16"/>
              </w:rPr>
              <w:t>registration</w:t>
            </w:r>
          </w:p>
          <w:p w:rsidRPr="00274512" w:rsidR="0057781F" w:rsidP="00274512" w14:paraId="503A30BA" w14:textId="77777777">
            <w:pPr>
              <w:jc w:val="center"/>
              <w:rPr>
                <w:sz w:val="16"/>
              </w:rPr>
            </w:pPr>
          </w:p>
        </w:tc>
        <w:tc>
          <w:tcPr>
            <w:tcW w:w="1418" w:type="dxa"/>
          </w:tcPr>
          <w:p w:rsidRPr="00274512" w:rsidR="0057781F" w:rsidP="00274512" w14:paraId="636C2955" w14:textId="67EC1215">
            <w:pPr>
              <w:jc w:val="center"/>
              <w:rPr>
                <w:sz w:val="16"/>
              </w:rPr>
            </w:pPr>
            <w:r w:rsidRPr="00274512">
              <w:rPr>
                <w:sz w:val="16"/>
              </w:rPr>
              <w:t>Representative</w:t>
            </w:r>
            <w:r w:rsidRPr="00274512" w:rsidR="00274512">
              <w:rPr>
                <w:sz w:val="16"/>
              </w:rPr>
              <w:t>’</w:t>
            </w:r>
            <w:r w:rsidRPr="00274512">
              <w:rPr>
                <w:sz w:val="16"/>
              </w:rPr>
              <w:t>s name and place of practice</w:t>
            </w:r>
          </w:p>
        </w:tc>
        <w:tc>
          <w:tcPr>
            <w:tcW w:w="1701" w:type="dxa"/>
          </w:tcPr>
          <w:p w:rsidRPr="00274512" w:rsidR="0057781F" w:rsidP="00274512" w14:paraId="477A92F2" w14:textId="7BB0CC3E">
            <w:pPr>
              <w:jc w:val="center"/>
              <w:rPr>
                <w:sz w:val="16"/>
              </w:rPr>
            </w:pPr>
            <w:r w:rsidRPr="00274512">
              <w:rPr>
                <w:sz w:val="16"/>
              </w:rPr>
              <w:t>Predicate offence</w:t>
            </w:r>
          </w:p>
        </w:tc>
        <w:tc>
          <w:tcPr>
            <w:tcW w:w="1139" w:type="dxa"/>
          </w:tcPr>
          <w:p w:rsidRPr="00274512" w:rsidR="0057781F" w:rsidP="00274512" w14:paraId="44642B6D" w14:textId="2160BBC4">
            <w:pPr>
              <w:jc w:val="center"/>
              <w:rPr>
                <w:sz w:val="16"/>
              </w:rPr>
            </w:pPr>
            <w:r w:rsidRPr="00274512">
              <w:rPr>
                <w:sz w:val="16"/>
              </w:rPr>
              <w:t>Period for which the applicant</w:t>
            </w:r>
            <w:r w:rsidRPr="00274512" w:rsidR="00274512">
              <w:rPr>
                <w:sz w:val="16"/>
              </w:rPr>
              <w:t>’</w:t>
            </w:r>
            <w:r w:rsidRPr="00274512">
              <w:rPr>
                <w:sz w:val="16"/>
              </w:rPr>
              <w:t xml:space="preserve">s income and expenses were checked </w:t>
            </w:r>
          </w:p>
        </w:tc>
        <w:tc>
          <w:tcPr>
            <w:tcW w:w="2404" w:type="dxa"/>
          </w:tcPr>
          <w:p w:rsidRPr="00274512" w:rsidR="0057781F" w:rsidP="00274512" w14:paraId="51E2C273" w14:textId="77777777">
            <w:pPr>
              <w:jc w:val="center"/>
              <w:rPr>
                <w:sz w:val="16"/>
              </w:rPr>
            </w:pPr>
            <w:r w:rsidRPr="00274512">
              <w:rPr>
                <w:sz w:val="16"/>
              </w:rPr>
              <w:t>Forfeited assets</w:t>
            </w:r>
          </w:p>
        </w:tc>
        <w:tc>
          <w:tcPr>
            <w:tcW w:w="2552" w:type="dxa"/>
          </w:tcPr>
          <w:p w:rsidRPr="00274512" w:rsidR="0057781F" w:rsidP="00274512" w14:paraId="034A850E" w14:textId="77777777">
            <w:pPr>
              <w:jc w:val="center"/>
              <w:rPr>
                <w:sz w:val="16"/>
              </w:rPr>
            </w:pPr>
            <w:r w:rsidRPr="00274512">
              <w:rPr>
                <w:sz w:val="16"/>
              </w:rPr>
              <w:t>Reasons given by the courts</w:t>
            </w:r>
          </w:p>
        </w:tc>
        <w:tc>
          <w:tcPr>
            <w:tcW w:w="1276" w:type="dxa"/>
          </w:tcPr>
          <w:p w:rsidRPr="00274512" w:rsidR="0057781F" w:rsidP="00274512" w14:paraId="5CDF244E" w14:textId="77777777">
            <w:pPr>
              <w:jc w:val="center"/>
              <w:rPr>
                <w:sz w:val="16"/>
              </w:rPr>
            </w:pPr>
            <w:r w:rsidRPr="00274512">
              <w:rPr>
                <w:sz w:val="16"/>
              </w:rPr>
              <w:t xml:space="preserve">Final decision in the forfeiture proceedings </w:t>
            </w:r>
          </w:p>
        </w:tc>
        <w:tc>
          <w:tcPr>
            <w:tcW w:w="1275" w:type="dxa"/>
          </w:tcPr>
          <w:p w:rsidRPr="00274512" w:rsidR="0057781F" w:rsidP="00274512" w14:paraId="7780A358" w14:textId="77777777">
            <w:pPr>
              <w:jc w:val="center"/>
              <w:rPr>
                <w:sz w:val="16"/>
              </w:rPr>
            </w:pPr>
            <w:r w:rsidRPr="00274512">
              <w:rPr>
                <w:sz w:val="16"/>
              </w:rPr>
              <w:t>Amount awarded for non-pecuniary damage</w:t>
            </w:r>
          </w:p>
          <w:p w:rsidRPr="00274512" w:rsidR="0057781F" w:rsidP="00274512" w14:paraId="1D07641A" w14:textId="77777777">
            <w:pPr>
              <w:jc w:val="center"/>
              <w:rPr>
                <w:sz w:val="16"/>
              </w:rPr>
            </w:pPr>
            <w:r w:rsidRPr="00274512">
              <w:rPr>
                <w:sz w:val="16"/>
              </w:rPr>
              <w:t>(</w:t>
            </w:r>
            <w:r w:rsidRPr="00274512">
              <w:rPr>
                <w:sz w:val="16"/>
              </w:rPr>
              <w:t>in</w:t>
            </w:r>
            <w:r w:rsidRPr="00274512">
              <w:rPr>
                <w:sz w:val="16"/>
              </w:rPr>
              <w:t xml:space="preserve"> euros)</w:t>
            </w:r>
          </w:p>
          <w:p w:rsidRPr="00274512" w:rsidR="0057781F" w:rsidP="00274512" w14:paraId="3F97FA1C" w14:textId="77777777">
            <w:pPr>
              <w:jc w:val="center"/>
              <w:rPr>
                <w:sz w:val="16"/>
              </w:rPr>
            </w:pPr>
            <w:r>
              <w:rPr>
                <w:rStyle w:val="FootnoteReference"/>
                <w:sz w:val="16"/>
              </w:rPr>
              <w:footnoteReference w:id="2"/>
            </w:r>
          </w:p>
        </w:tc>
        <w:tc>
          <w:tcPr>
            <w:tcW w:w="993" w:type="dxa"/>
          </w:tcPr>
          <w:p w:rsidRPr="00274512" w:rsidR="0057781F" w:rsidP="00274512" w14:paraId="1E849AEE" w14:textId="76D467EE">
            <w:pPr>
              <w:jc w:val="center"/>
              <w:rPr>
                <w:sz w:val="16"/>
              </w:rPr>
            </w:pPr>
            <w:r w:rsidRPr="00274512">
              <w:rPr>
                <w:sz w:val="16"/>
              </w:rPr>
              <w:t>Amount awarded for costs and expenses (in euros)</w:t>
            </w:r>
            <w:r>
              <w:rPr>
                <w:rStyle w:val="FootnoteReference"/>
                <w:sz w:val="16"/>
              </w:rPr>
              <w:footnoteReference w:id="3"/>
            </w:r>
          </w:p>
        </w:tc>
      </w:tr>
      <w:tr w:rsidTr="00060CA1" w14:paraId="7547F826" w14:textId="77777777">
        <w:tblPrEx>
          <w:tblW w:w="15730" w:type="dxa"/>
          <w:tblLayout w:type="fixed"/>
          <w:tblLook w:val="0420"/>
        </w:tblPrEx>
        <w:trPr>
          <w:trHeight w:val="3460"/>
        </w:trPr>
        <w:tc>
          <w:tcPr>
            <w:tcW w:w="562" w:type="dxa"/>
          </w:tcPr>
          <w:p w:rsidRPr="00274512" w:rsidR="0057781F" w:rsidP="00274512" w14:paraId="170906A1"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274512" w:rsidR="0057781F" w:rsidP="00274512" w14:paraId="505012F9" w14:textId="77777777">
            <w:pPr>
              <w:jc w:val="center"/>
              <w:rPr>
                <w:sz w:val="16"/>
              </w:rPr>
            </w:pPr>
            <w:r w:rsidRPr="00274512">
              <w:rPr>
                <w:sz w:val="16"/>
              </w:rPr>
              <w:t>38398/11</w:t>
            </w:r>
          </w:p>
          <w:p w:rsidRPr="00274512" w:rsidR="0057781F" w:rsidP="00274512" w14:paraId="2AF4B50C" w14:textId="77777777">
            <w:pPr>
              <w:jc w:val="center"/>
              <w:rPr>
                <w:sz w:val="16"/>
              </w:rPr>
            </w:pPr>
            <w:r w:rsidRPr="00274512">
              <w:rPr>
                <w:sz w:val="16"/>
              </w:rPr>
              <w:t>06/06/2011</w:t>
            </w:r>
          </w:p>
        </w:tc>
        <w:tc>
          <w:tcPr>
            <w:tcW w:w="1276" w:type="dxa"/>
          </w:tcPr>
          <w:p w:rsidRPr="00274512" w:rsidR="0057781F" w:rsidP="00274512" w14:paraId="08D257FE" w14:textId="77777777">
            <w:pPr>
              <w:jc w:val="center"/>
              <w:rPr>
                <w:sz w:val="16"/>
              </w:rPr>
            </w:pPr>
            <w:r w:rsidRPr="00274512">
              <w:rPr>
                <w:b/>
                <w:sz w:val="16"/>
              </w:rPr>
              <w:t xml:space="preserve">Dobrin </w:t>
            </w:r>
            <w:r w:rsidRPr="00274512">
              <w:rPr>
                <w:b/>
                <w:sz w:val="16"/>
              </w:rPr>
              <w:t>Nikolov</w:t>
            </w:r>
            <w:r w:rsidRPr="00274512">
              <w:rPr>
                <w:b/>
                <w:sz w:val="16"/>
              </w:rPr>
              <w:t xml:space="preserve"> SHOPOV</w:t>
            </w:r>
          </w:p>
          <w:p w:rsidRPr="00274512" w:rsidR="0057781F" w:rsidP="00274512" w14:paraId="1B40B659" w14:textId="77777777">
            <w:pPr>
              <w:jc w:val="center"/>
              <w:rPr>
                <w:sz w:val="16"/>
              </w:rPr>
            </w:pPr>
            <w:r w:rsidRPr="00274512">
              <w:rPr>
                <w:sz w:val="16"/>
              </w:rPr>
              <w:t>1960</w:t>
            </w:r>
          </w:p>
          <w:p w:rsidRPr="00274512" w:rsidR="0057781F" w:rsidP="00274512" w14:paraId="1CA03526" w14:textId="77777777">
            <w:pPr>
              <w:jc w:val="center"/>
              <w:rPr>
                <w:sz w:val="16"/>
              </w:rPr>
            </w:pPr>
          </w:p>
          <w:p w:rsidRPr="00274512" w:rsidR="0057781F" w:rsidP="00274512" w14:paraId="386E7E6F" w14:textId="77777777">
            <w:pPr>
              <w:jc w:val="center"/>
              <w:rPr>
                <w:sz w:val="16"/>
              </w:rPr>
            </w:pPr>
            <w:r w:rsidRPr="00274512">
              <w:rPr>
                <w:b/>
                <w:sz w:val="16"/>
              </w:rPr>
              <w:t>Mariyka</w:t>
            </w:r>
            <w:r w:rsidRPr="00274512">
              <w:rPr>
                <w:b/>
                <w:sz w:val="16"/>
              </w:rPr>
              <w:t xml:space="preserve"> </w:t>
            </w:r>
            <w:r w:rsidRPr="00274512">
              <w:rPr>
                <w:b/>
                <w:sz w:val="16"/>
              </w:rPr>
              <w:t>Miteva</w:t>
            </w:r>
            <w:r w:rsidRPr="00274512">
              <w:rPr>
                <w:b/>
                <w:sz w:val="16"/>
              </w:rPr>
              <w:t xml:space="preserve"> SHOPOVA</w:t>
            </w:r>
          </w:p>
          <w:p w:rsidRPr="00274512" w:rsidR="0057781F" w:rsidP="00274512" w14:paraId="01F54C6F" w14:textId="77777777">
            <w:pPr>
              <w:jc w:val="center"/>
              <w:rPr>
                <w:sz w:val="16"/>
              </w:rPr>
            </w:pPr>
            <w:r w:rsidRPr="00274512">
              <w:rPr>
                <w:sz w:val="16"/>
              </w:rPr>
              <w:t>1966</w:t>
            </w:r>
          </w:p>
          <w:p w:rsidRPr="00274512" w:rsidR="0057781F" w:rsidP="00274512" w14:paraId="3A81E536" w14:textId="77777777">
            <w:pPr>
              <w:jc w:val="center"/>
              <w:rPr>
                <w:sz w:val="16"/>
              </w:rPr>
            </w:pPr>
          </w:p>
        </w:tc>
        <w:tc>
          <w:tcPr>
            <w:tcW w:w="1418" w:type="dxa"/>
          </w:tcPr>
          <w:p w:rsidRPr="00274512" w:rsidR="0057781F" w:rsidP="00274512" w14:paraId="24432CE0" w14:textId="77777777">
            <w:pPr>
              <w:jc w:val="center"/>
              <w:rPr>
                <w:sz w:val="16"/>
              </w:rPr>
            </w:pPr>
            <w:r w:rsidRPr="00274512">
              <w:rPr>
                <w:sz w:val="16"/>
              </w:rPr>
              <w:t xml:space="preserve">Emilia </w:t>
            </w:r>
            <w:r w:rsidRPr="00274512">
              <w:rPr>
                <w:sz w:val="16"/>
              </w:rPr>
              <w:t>Nedeva</w:t>
            </w:r>
          </w:p>
          <w:p w:rsidRPr="00274512" w:rsidR="0057781F" w:rsidP="00274512" w14:paraId="401D5934" w14:textId="77777777">
            <w:pPr>
              <w:jc w:val="center"/>
              <w:rPr>
                <w:sz w:val="16"/>
              </w:rPr>
            </w:pPr>
            <w:r w:rsidRPr="00274512">
              <w:rPr>
                <w:sz w:val="16"/>
              </w:rPr>
              <w:t>Plovdiv</w:t>
            </w:r>
          </w:p>
        </w:tc>
        <w:tc>
          <w:tcPr>
            <w:tcW w:w="1701" w:type="dxa"/>
          </w:tcPr>
          <w:p w:rsidRPr="00274512" w:rsidR="0057781F" w:rsidP="00274512" w14:paraId="40F3F2D6" w14:textId="5DD22E39">
            <w:pPr>
              <w:jc w:val="both"/>
              <w:rPr>
                <w:sz w:val="16"/>
              </w:rPr>
            </w:pPr>
            <w:r w:rsidRPr="00274512">
              <w:rPr>
                <w:sz w:val="16"/>
              </w:rPr>
              <w:t>Final judgment of 2 July 2007 Sliven Regional Court: the first applicant was convicted of pimping and coercion, offences committed between 2001 and 2005; he was sentenced to 11 months</w:t>
            </w:r>
            <w:r w:rsidRPr="00274512" w:rsidR="00274512">
              <w:rPr>
                <w:sz w:val="16"/>
              </w:rPr>
              <w:t>’</w:t>
            </w:r>
            <w:r w:rsidRPr="00274512">
              <w:rPr>
                <w:sz w:val="16"/>
              </w:rPr>
              <w:t xml:space="preserve"> imprisonment and a fine. </w:t>
            </w:r>
          </w:p>
        </w:tc>
        <w:tc>
          <w:tcPr>
            <w:tcW w:w="1139" w:type="dxa"/>
          </w:tcPr>
          <w:p w:rsidRPr="00274512" w:rsidR="0057781F" w:rsidP="00274512" w14:paraId="69B7D880" w14:textId="77777777">
            <w:pPr>
              <w:rPr>
                <w:sz w:val="16"/>
              </w:rPr>
            </w:pPr>
            <w:r w:rsidRPr="00274512">
              <w:rPr>
                <w:sz w:val="16"/>
              </w:rPr>
              <w:t>1 January 1982 – 31 December 2006</w:t>
            </w:r>
          </w:p>
        </w:tc>
        <w:tc>
          <w:tcPr>
            <w:tcW w:w="2404" w:type="dxa"/>
          </w:tcPr>
          <w:p w:rsidRPr="00274512" w:rsidR="0057781F" w:rsidP="00274512" w14:paraId="1FBF619A" w14:textId="728377AD">
            <w:pPr>
              <w:jc w:val="both"/>
              <w:rPr>
                <w:sz w:val="16"/>
              </w:rPr>
            </w:pPr>
            <w:r w:rsidRPr="00274512">
              <w:rPr>
                <w:sz w:val="16"/>
              </w:rPr>
              <w:t xml:space="preserve">One-half of a flat, a house with a plot of land in Sliven, bought in 1999; agricultural land </w:t>
            </w:r>
            <w:r w:rsidRPr="00274512">
              <w:rPr>
                <w:sz w:val="16"/>
              </w:rPr>
              <w:t>in the area of</w:t>
            </w:r>
            <w:r w:rsidRPr="00274512">
              <w:rPr>
                <w:sz w:val="16"/>
              </w:rPr>
              <w:t xml:space="preserve"> Sliven, bought in 2006; a car; sums of money received from the sale of immoveable property and cars; money in bank accounts of the first applicant.</w:t>
            </w:r>
          </w:p>
          <w:p w:rsidRPr="00274512" w:rsidR="0057781F" w:rsidP="00274512" w14:paraId="0C10076C" w14:textId="77777777">
            <w:pPr>
              <w:jc w:val="both"/>
              <w:rPr>
                <w:sz w:val="16"/>
              </w:rPr>
            </w:pPr>
            <w:r w:rsidRPr="00274512">
              <w:rPr>
                <w:sz w:val="16"/>
              </w:rPr>
              <w:t>According to the Commission for Uncovering Proceeds of Crime, the total value of the above assets was BGN 329,770 (EUR 167,000).</w:t>
            </w:r>
          </w:p>
          <w:p w:rsidRPr="00274512" w:rsidR="0057781F" w:rsidP="00274512" w14:paraId="5DF96FBB" w14:textId="77777777">
            <w:pPr>
              <w:jc w:val="both"/>
              <w:rPr>
                <w:sz w:val="16"/>
              </w:rPr>
            </w:pPr>
          </w:p>
        </w:tc>
        <w:tc>
          <w:tcPr>
            <w:tcW w:w="2552" w:type="dxa"/>
          </w:tcPr>
          <w:p w:rsidRPr="00274512" w:rsidR="0057781F" w:rsidP="00274512" w14:paraId="45404D4C" w14:textId="77777777">
            <w:pPr>
              <w:jc w:val="both"/>
              <w:rPr>
                <w:sz w:val="16"/>
              </w:rPr>
            </w:pPr>
            <w:r w:rsidRPr="00274512">
              <w:rPr>
                <w:sz w:val="16"/>
              </w:rPr>
              <w:t>The first applicant did not have any declared employment and revenues during the period; the second applicant had been employed for about 7 years in total.</w:t>
            </w:r>
          </w:p>
          <w:p w:rsidRPr="00274512" w:rsidR="0057781F" w:rsidP="00274512" w14:paraId="4EE239D2" w14:textId="77777777">
            <w:pPr>
              <w:jc w:val="both"/>
              <w:rPr>
                <w:sz w:val="16"/>
              </w:rPr>
            </w:pPr>
            <w:r w:rsidRPr="00274512">
              <w:rPr>
                <w:sz w:val="16"/>
              </w:rPr>
              <w:t>The first applicant had travelled often abroad. The applicants had incurred substantial expenses – daily expenses, for travel and for the acquisition of assets.</w:t>
            </w:r>
          </w:p>
          <w:p w:rsidRPr="00274512" w:rsidR="0057781F" w:rsidP="00274512" w14:paraId="57D105A1" w14:textId="77777777">
            <w:pPr>
              <w:jc w:val="both"/>
              <w:rPr>
                <w:sz w:val="16"/>
              </w:rPr>
            </w:pPr>
            <w:r w:rsidRPr="00274512">
              <w:rPr>
                <w:sz w:val="16"/>
              </w:rPr>
              <w:t>The applicants claimed to have received loans from private persons; this was not however sufficiently proven, and in addition they had to establish that they had reimbursed the loans with lawful income; it was moreover difficult to accept that during the entire period the applicants had lived off loans.</w:t>
            </w:r>
          </w:p>
          <w:p w:rsidRPr="00274512" w:rsidR="0057781F" w:rsidP="00274512" w14:paraId="08D1D140" w14:textId="77777777">
            <w:pPr>
              <w:jc w:val="both"/>
              <w:rPr>
                <w:sz w:val="16"/>
              </w:rPr>
            </w:pPr>
            <w:r w:rsidRPr="00274512">
              <w:rPr>
                <w:sz w:val="16"/>
              </w:rPr>
              <w:t>It was not necessary to establish a causal link between any criminal activity and the assets to be forfeited, seeing that the defendants had not proven the lawful provenance of these assets.</w:t>
            </w:r>
          </w:p>
        </w:tc>
        <w:tc>
          <w:tcPr>
            <w:tcW w:w="1276" w:type="dxa"/>
          </w:tcPr>
          <w:p w:rsidRPr="00274512" w:rsidR="0057781F" w:rsidP="00274512" w14:paraId="74553CF8" w14:textId="77777777">
            <w:pPr>
              <w:rPr>
                <w:sz w:val="16"/>
              </w:rPr>
            </w:pPr>
            <w:r w:rsidRPr="00274512">
              <w:rPr>
                <w:sz w:val="16"/>
              </w:rPr>
              <w:t>31 January 2011 – decision of the Supreme Court of Cassation</w:t>
            </w:r>
          </w:p>
        </w:tc>
        <w:tc>
          <w:tcPr>
            <w:tcW w:w="1275" w:type="dxa"/>
          </w:tcPr>
          <w:p w:rsidRPr="00274512" w:rsidR="0057781F" w:rsidP="00274512" w14:paraId="0510E331" w14:textId="77777777">
            <w:pPr>
              <w:jc w:val="center"/>
              <w:rPr>
                <w:sz w:val="16"/>
              </w:rPr>
            </w:pPr>
            <w:r w:rsidRPr="00274512">
              <w:rPr>
                <w:sz w:val="16"/>
              </w:rPr>
              <w:t>3,000</w:t>
            </w:r>
          </w:p>
          <w:p w:rsidRPr="00274512" w:rsidR="0057781F" w:rsidP="00274512" w14:paraId="73E89442" w14:textId="77777777">
            <w:pPr>
              <w:jc w:val="center"/>
              <w:rPr>
                <w:sz w:val="16"/>
              </w:rPr>
            </w:pPr>
            <w:r w:rsidRPr="00274512">
              <w:rPr>
                <w:sz w:val="16"/>
              </w:rPr>
              <w:t>per applicant</w:t>
            </w:r>
          </w:p>
        </w:tc>
        <w:tc>
          <w:tcPr>
            <w:tcW w:w="993" w:type="dxa"/>
          </w:tcPr>
          <w:p w:rsidRPr="00274512" w:rsidR="0057781F" w:rsidP="00274512" w14:paraId="3C8C906D" w14:textId="77777777">
            <w:pPr>
              <w:jc w:val="center"/>
              <w:rPr>
                <w:sz w:val="16"/>
              </w:rPr>
            </w:pPr>
            <w:r w:rsidRPr="00274512">
              <w:rPr>
                <w:sz w:val="16"/>
              </w:rPr>
              <w:t>2,000</w:t>
            </w:r>
          </w:p>
        </w:tc>
      </w:tr>
      <w:tr w:rsidTr="00060CA1" w14:paraId="220442E2" w14:textId="77777777">
        <w:tblPrEx>
          <w:tblW w:w="15730" w:type="dxa"/>
          <w:tblLayout w:type="fixed"/>
          <w:tblLook w:val="0420"/>
        </w:tblPrEx>
        <w:trPr>
          <w:trHeight w:val="3816"/>
        </w:trPr>
        <w:tc>
          <w:tcPr>
            <w:tcW w:w="562" w:type="dxa"/>
          </w:tcPr>
          <w:p w:rsidRPr="00274512" w:rsidR="0057781F" w:rsidP="00274512" w14:paraId="6507CE6D"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274512" w:rsidR="0057781F" w:rsidP="00274512" w14:paraId="778718EA" w14:textId="77777777">
            <w:pPr>
              <w:jc w:val="center"/>
              <w:rPr>
                <w:sz w:val="16"/>
              </w:rPr>
            </w:pPr>
            <w:r w:rsidRPr="00274512">
              <w:rPr>
                <w:sz w:val="16"/>
              </w:rPr>
              <w:t>59983/12</w:t>
            </w:r>
          </w:p>
          <w:p w:rsidRPr="00274512" w:rsidR="0057781F" w:rsidP="00274512" w14:paraId="14D3C9BD" w14:textId="77777777">
            <w:pPr>
              <w:jc w:val="center"/>
              <w:rPr>
                <w:sz w:val="16"/>
              </w:rPr>
            </w:pPr>
            <w:r w:rsidRPr="00274512">
              <w:rPr>
                <w:sz w:val="16"/>
              </w:rPr>
              <w:t>03/09/2012</w:t>
            </w:r>
          </w:p>
          <w:p w:rsidRPr="00274512" w:rsidR="0057781F" w:rsidP="00274512" w14:paraId="1BEF0D89" w14:textId="77777777">
            <w:pPr>
              <w:jc w:val="center"/>
              <w:rPr>
                <w:sz w:val="16"/>
              </w:rPr>
            </w:pPr>
            <w:r w:rsidRPr="00274512">
              <w:rPr>
                <w:sz w:val="16"/>
              </w:rPr>
              <w:t>(4 applicants)</w:t>
            </w:r>
          </w:p>
        </w:tc>
        <w:tc>
          <w:tcPr>
            <w:tcW w:w="1276" w:type="dxa"/>
          </w:tcPr>
          <w:p w:rsidRPr="00274512" w:rsidR="0057781F" w:rsidP="00274512" w14:paraId="3CE70B40" w14:textId="77777777">
            <w:pPr>
              <w:jc w:val="center"/>
              <w:rPr>
                <w:sz w:val="16"/>
              </w:rPr>
            </w:pPr>
            <w:r w:rsidRPr="00274512">
              <w:rPr>
                <w:b/>
                <w:sz w:val="16"/>
              </w:rPr>
              <w:t>Stoyan</w:t>
            </w:r>
            <w:r w:rsidRPr="00274512">
              <w:rPr>
                <w:b/>
                <w:sz w:val="16"/>
              </w:rPr>
              <w:t xml:space="preserve"> </w:t>
            </w:r>
            <w:r w:rsidRPr="00274512">
              <w:rPr>
                <w:b/>
                <w:sz w:val="16"/>
              </w:rPr>
              <w:t>Trayanov</w:t>
            </w:r>
            <w:r w:rsidRPr="00274512">
              <w:rPr>
                <w:b/>
                <w:sz w:val="16"/>
              </w:rPr>
              <w:t xml:space="preserve"> KRASTEV</w:t>
            </w:r>
          </w:p>
          <w:p w:rsidRPr="00274512" w:rsidR="0057781F" w:rsidP="00274512" w14:paraId="785E41F0" w14:textId="77777777">
            <w:pPr>
              <w:jc w:val="center"/>
              <w:rPr>
                <w:sz w:val="16"/>
              </w:rPr>
            </w:pPr>
            <w:r w:rsidRPr="00274512">
              <w:rPr>
                <w:sz w:val="16"/>
              </w:rPr>
              <w:t>1966</w:t>
            </w:r>
          </w:p>
          <w:p w:rsidRPr="00274512" w:rsidR="0057781F" w:rsidP="00274512" w14:paraId="5DEED1C5" w14:textId="4923AADA">
            <w:pPr>
              <w:jc w:val="center"/>
              <w:rPr>
                <w:sz w:val="16"/>
              </w:rPr>
            </w:pPr>
          </w:p>
          <w:p w:rsidRPr="00274512" w:rsidR="0057781F" w:rsidP="00274512" w14:paraId="2DF26715" w14:textId="77777777">
            <w:pPr>
              <w:jc w:val="center"/>
              <w:rPr>
                <w:sz w:val="16"/>
              </w:rPr>
            </w:pPr>
            <w:r w:rsidRPr="00274512">
              <w:rPr>
                <w:b/>
                <w:sz w:val="16"/>
              </w:rPr>
              <w:t xml:space="preserve">Svetoslav </w:t>
            </w:r>
            <w:r w:rsidRPr="00274512">
              <w:rPr>
                <w:b/>
                <w:sz w:val="16"/>
              </w:rPr>
              <w:t>Stoyanov</w:t>
            </w:r>
            <w:r w:rsidRPr="00274512">
              <w:rPr>
                <w:b/>
                <w:sz w:val="16"/>
              </w:rPr>
              <w:t xml:space="preserve"> KRASTEV</w:t>
            </w:r>
          </w:p>
          <w:p w:rsidRPr="00274512" w:rsidR="0057781F" w:rsidP="00274512" w14:paraId="4769556A" w14:textId="77777777">
            <w:pPr>
              <w:jc w:val="center"/>
              <w:rPr>
                <w:sz w:val="16"/>
              </w:rPr>
            </w:pPr>
            <w:r w:rsidRPr="00274512">
              <w:rPr>
                <w:sz w:val="16"/>
              </w:rPr>
              <w:t>1986</w:t>
            </w:r>
          </w:p>
          <w:p w:rsidRPr="00274512" w:rsidR="0057781F" w:rsidP="00274512" w14:paraId="2EFE939C" w14:textId="77777777">
            <w:pPr>
              <w:jc w:val="center"/>
              <w:rPr>
                <w:sz w:val="16"/>
              </w:rPr>
            </w:pPr>
          </w:p>
          <w:p w:rsidRPr="00274512" w:rsidR="0057781F" w:rsidP="00274512" w14:paraId="777181D0" w14:textId="77777777">
            <w:pPr>
              <w:jc w:val="center"/>
              <w:rPr>
                <w:sz w:val="16"/>
              </w:rPr>
            </w:pPr>
            <w:r w:rsidRPr="00274512">
              <w:rPr>
                <w:b/>
                <w:sz w:val="16"/>
              </w:rPr>
              <w:t xml:space="preserve"> FLAMINGO-585 EOOD</w:t>
            </w:r>
          </w:p>
          <w:p w:rsidRPr="00274512" w:rsidR="0057781F" w:rsidP="00274512" w14:paraId="588E06F7" w14:textId="77777777">
            <w:pPr>
              <w:jc w:val="center"/>
              <w:rPr>
                <w:sz w:val="16"/>
              </w:rPr>
            </w:pPr>
            <w:r w:rsidRPr="00274512">
              <w:rPr>
                <w:sz w:val="16"/>
              </w:rPr>
              <w:t>1995</w:t>
            </w:r>
          </w:p>
          <w:p w:rsidRPr="00274512" w:rsidR="0057781F" w:rsidP="00274512" w14:paraId="5BAE1C0D" w14:textId="77777777">
            <w:pPr>
              <w:jc w:val="center"/>
              <w:rPr>
                <w:sz w:val="16"/>
              </w:rPr>
            </w:pPr>
          </w:p>
          <w:p w:rsidRPr="00274512" w:rsidR="0057781F" w:rsidP="00274512" w14:paraId="41771542" w14:textId="77777777">
            <w:pPr>
              <w:jc w:val="center"/>
              <w:rPr>
                <w:sz w:val="16"/>
              </w:rPr>
            </w:pPr>
            <w:r w:rsidRPr="00274512">
              <w:rPr>
                <w:b/>
                <w:sz w:val="16"/>
              </w:rPr>
              <w:t xml:space="preserve"> FLAMINGO – 1 EOOD</w:t>
            </w:r>
          </w:p>
          <w:p w:rsidRPr="00274512" w:rsidR="0057781F" w:rsidP="00274512" w14:paraId="10776C75" w14:textId="77777777">
            <w:pPr>
              <w:jc w:val="center"/>
              <w:rPr>
                <w:sz w:val="16"/>
              </w:rPr>
            </w:pPr>
            <w:r w:rsidRPr="00274512">
              <w:rPr>
                <w:sz w:val="16"/>
              </w:rPr>
              <w:t>2001</w:t>
            </w:r>
          </w:p>
          <w:p w:rsidRPr="00274512" w:rsidR="0057781F" w:rsidP="00274512" w14:paraId="5088720F" w14:textId="77777777">
            <w:pPr>
              <w:jc w:val="center"/>
              <w:rPr>
                <w:sz w:val="16"/>
              </w:rPr>
            </w:pPr>
          </w:p>
        </w:tc>
        <w:tc>
          <w:tcPr>
            <w:tcW w:w="1418" w:type="dxa"/>
          </w:tcPr>
          <w:p w:rsidRPr="00274512" w:rsidR="0057781F" w:rsidP="00274512" w14:paraId="1D8C9413" w14:textId="77777777">
            <w:pPr>
              <w:jc w:val="center"/>
              <w:rPr>
                <w:sz w:val="16"/>
              </w:rPr>
            </w:pPr>
            <w:r w:rsidRPr="00274512">
              <w:rPr>
                <w:sz w:val="16"/>
              </w:rPr>
              <w:t>Mihail</w:t>
            </w:r>
            <w:r w:rsidRPr="00274512">
              <w:rPr>
                <w:sz w:val="16"/>
              </w:rPr>
              <w:t xml:space="preserve"> </w:t>
            </w:r>
            <w:r w:rsidRPr="00274512">
              <w:rPr>
                <w:sz w:val="16"/>
              </w:rPr>
              <w:t>Ekimdzhiev</w:t>
            </w:r>
            <w:r w:rsidRPr="00274512">
              <w:rPr>
                <w:sz w:val="16"/>
              </w:rPr>
              <w:t xml:space="preserve">, Katina </w:t>
            </w:r>
            <w:r w:rsidRPr="00274512">
              <w:rPr>
                <w:sz w:val="16"/>
              </w:rPr>
              <w:t>Boncheva</w:t>
            </w:r>
            <w:r w:rsidRPr="00274512">
              <w:rPr>
                <w:sz w:val="16"/>
              </w:rPr>
              <w:t xml:space="preserve">, </w:t>
            </w:r>
            <w:r w:rsidRPr="00274512">
              <w:rPr>
                <w:sz w:val="16"/>
              </w:rPr>
              <w:t>Snezhana</w:t>
            </w:r>
            <w:r w:rsidRPr="00274512">
              <w:rPr>
                <w:sz w:val="16"/>
              </w:rPr>
              <w:t xml:space="preserve"> </w:t>
            </w:r>
            <w:r w:rsidRPr="00274512">
              <w:rPr>
                <w:sz w:val="16"/>
              </w:rPr>
              <w:t>Stefanova</w:t>
            </w:r>
          </w:p>
          <w:p w:rsidRPr="00274512" w:rsidR="0057781F" w:rsidP="00274512" w14:paraId="35196296" w14:textId="77777777">
            <w:pPr>
              <w:jc w:val="center"/>
              <w:rPr>
                <w:sz w:val="16"/>
              </w:rPr>
            </w:pPr>
          </w:p>
          <w:p w:rsidRPr="00274512" w:rsidR="0057781F" w:rsidP="00274512" w14:paraId="29E7EB7C" w14:textId="77777777">
            <w:pPr>
              <w:jc w:val="center"/>
              <w:rPr>
                <w:sz w:val="16"/>
              </w:rPr>
            </w:pPr>
            <w:r w:rsidRPr="00274512">
              <w:rPr>
                <w:sz w:val="16"/>
              </w:rPr>
              <w:t>Plovdiv</w:t>
            </w:r>
          </w:p>
        </w:tc>
        <w:tc>
          <w:tcPr>
            <w:tcW w:w="1701" w:type="dxa"/>
          </w:tcPr>
          <w:p w:rsidRPr="00274512" w:rsidR="0057781F" w:rsidP="00274512" w14:paraId="4141C977" w14:textId="77777777">
            <w:pPr>
              <w:jc w:val="both"/>
              <w:rPr>
                <w:sz w:val="16"/>
              </w:rPr>
            </w:pPr>
            <w:r w:rsidRPr="00274512">
              <w:rPr>
                <w:sz w:val="16"/>
              </w:rPr>
              <w:t>Final judgment of the Supreme Court of Cassation of 4 October 2006: the first applicant was convicted for illegal possession of large quantities of drugs with intent to sell. The offence had been committed in February 1999.</w:t>
            </w:r>
          </w:p>
        </w:tc>
        <w:tc>
          <w:tcPr>
            <w:tcW w:w="1139" w:type="dxa"/>
          </w:tcPr>
          <w:p w:rsidRPr="00274512" w:rsidR="0057781F" w:rsidP="00274512" w14:paraId="13DAB6C5" w14:textId="77777777">
            <w:pPr>
              <w:rPr>
                <w:sz w:val="16"/>
              </w:rPr>
            </w:pPr>
            <w:r w:rsidRPr="00274512">
              <w:rPr>
                <w:sz w:val="16"/>
              </w:rPr>
              <w:t>25 November 1984 – 16 May 2002</w:t>
            </w:r>
          </w:p>
        </w:tc>
        <w:tc>
          <w:tcPr>
            <w:tcW w:w="2404" w:type="dxa"/>
          </w:tcPr>
          <w:p w:rsidRPr="00274512" w:rsidR="0057781F" w:rsidP="00274512" w14:paraId="48A2638E" w14:textId="476504DF">
            <w:pPr>
              <w:jc w:val="both"/>
              <w:rPr>
                <w:sz w:val="16"/>
              </w:rPr>
            </w:pPr>
            <w:r w:rsidRPr="00274512">
              <w:rPr>
                <w:sz w:val="16"/>
              </w:rPr>
              <w:t>Several flats and houses in Pernik and Sofia, buildings with industrial and commercial use, plots of land, several cars, the first applicant</w:t>
            </w:r>
            <w:r w:rsidRPr="00274512" w:rsidR="00274512">
              <w:rPr>
                <w:sz w:val="16"/>
              </w:rPr>
              <w:t>’</w:t>
            </w:r>
            <w:r w:rsidRPr="00274512">
              <w:rPr>
                <w:sz w:val="16"/>
              </w:rPr>
              <w:t>s shares in the applicant companies, sums of money from the sale of further immoveable properties, cars and shares in companies. According to the Commission for the Uncovering Proceeds of Crime, those assets</w:t>
            </w:r>
            <w:r w:rsidRPr="00274512" w:rsidR="00274512">
              <w:rPr>
                <w:sz w:val="16"/>
              </w:rPr>
              <w:t>’</w:t>
            </w:r>
            <w:r w:rsidRPr="00274512">
              <w:rPr>
                <w:sz w:val="16"/>
              </w:rPr>
              <w:t xml:space="preserve"> total value was BGN 977,857 (EUR 500,180).</w:t>
            </w:r>
          </w:p>
        </w:tc>
        <w:tc>
          <w:tcPr>
            <w:tcW w:w="2552" w:type="dxa"/>
          </w:tcPr>
          <w:p w:rsidRPr="00274512" w:rsidR="0057781F" w:rsidP="00274512" w14:paraId="18D21D13" w14:textId="77777777">
            <w:pPr>
              <w:jc w:val="both"/>
              <w:rPr>
                <w:sz w:val="16"/>
              </w:rPr>
            </w:pPr>
            <w:r w:rsidRPr="00274512">
              <w:rPr>
                <w:sz w:val="16"/>
              </w:rPr>
              <w:t>During the period under examination the applicants had an income equalling 2,152 minimum monthly salaries, whereas their expenses, including for the acquisition of properties, equalled 18,244 minimum monthly salaries.</w:t>
            </w:r>
          </w:p>
          <w:p w:rsidRPr="00274512" w:rsidR="0057781F" w:rsidP="00274512" w14:paraId="4FB21740" w14:textId="77777777">
            <w:pPr>
              <w:jc w:val="both"/>
              <w:rPr>
                <w:sz w:val="16"/>
              </w:rPr>
            </w:pPr>
            <w:r w:rsidRPr="00274512">
              <w:rPr>
                <w:sz w:val="16"/>
              </w:rPr>
              <w:t>The applicants claimed to have received loans and income from gambling, but that was not sufficiently proven. Moreover, loans were to be repaid, and the applicants had not had any lawful income to do that.</w:t>
            </w:r>
          </w:p>
          <w:p w:rsidRPr="00274512" w:rsidR="0057781F" w:rsidP="00274512" w14:paraId="7E32D8AC" w14:textId="77777777">
            <w:pPr>
              <w:jc w:val="both"/>
              <w:rPr>
                <w:sz w:val="16"/>
              </w:rPr>
            </w:pPr>
            <w:r w:rsidRPr="00274512">
              <w:rPr>
                <w:sz w:val="16"/>
              </w:rPr>
              <w:t>Under section 4 of the 2005 Act, the failure to prove the lawful provenance of the assets for which forfeiture was being sought meant that these assets were the proceeds of crime.</w:t>
            </w:r>
          </w:p>
        </w:tc>
        <w:tc>
          <w:tcPr>
            <w:tcW w:w="1276" w:type="dxa"/>
          </w:tcPr>
          <w:p w:rsidRPr="00274512" w:rsidR="0057781F" w:rsidP="00274512" w14:paraId="7FAF4A4C" w14:textId="77777777">
            <w:pPr>
              <w:rPr>
                <w:sz w:val="16"/>
              </w:rPr>
            </w:pPr>
            <w:r w:rsidRPr="00274512">
              <w:rPr>
                <w:sz w:val="16"/>
              </w:rPr>
              <w:t>Final decision of Supreme Court of Cassation of 27 March 2012.</w:t>
            </w:r>
          </w:p>
        </w:tc>
        <w:tc>
          <w:tcPr>
            <w:tcW w:w="1275" w:type="dxa"/>
          </w:tcPr>
          <w:p w:rsidRPr="00274512" w:rsidR="0057781F" w:rsidP="00274512" w14:paraId="544ED786" w14:textId="77777777">
            <w:pPr>
              <w:jc w:val="center"/>
              <w:rPr>
                <w:sz w:val="16"/>
              </w:rPr>
            </w:pPr>
            <w:r w:rsidRPr="00274512">
              <w:rPr>
                <w:sz w:val="16"/>
              </w:rPr>
              <w:t>3,000</w:t>
            </w:r>
          </w:p>
          <w:p w:rsidRPr="00274512" w:rsidR="0057781F" w:rsidP="00274512" w14:paraId="71AC91ED" w14:textId="53147EBC">
            <w:pPr>
              <w:jc w:val="center"/>
              <w:rPr>
                <w:color w:val="FF0000"/>
                <w:sz w:val="16"/>
              </w:rPr>
            </w:pPr>
            <w:r w:rsidRPr="00274512">
              <w:rPr>
                <w:sz w:val="16"/>
              </w:rPr>
              <w:t>per applicant – physical person</w:t>
            </w:r>
          </w:p>
        </w:tc>
        <w:tc>
          <w:tcPr>
            <w:tcW w:w="993" w:type="dxa"/>
          </w:tcPr>
          <w:p w:rsidRPr="00274512" w:rsidR="0057781F" w:rsidP="00274512" w14:paraId="04673820" w14:textId="77777777">
            <w:pPr>
              <w:jc w:val="center"/>
              <w:rPr>
                <w:sz w:val="16"/>
              </w:rPr>
            </w:pPr>
            <w:r w:rsidRPr="00274512">
              <w:rPr>
                <w:sz w:val="16"/>
              </w:rPr>
              <w:t>2,000</w:t>
            </w:r>
          </w:p>
        </w:tc>
      </w:tr>
      <w:tr w:rsidTr="00060CA1" w14:paraId="3F44B20E" w14:textId="77777777">
        <w:tblPrEx>
          <w:tblW w:w="15730" w:type="dxa"/>
          <w:tblLayout w:type="fixed"/>
          <w:tblLook w:val="0420"/>
        </w:tblPrEx>
        <w:trPr>
          <w:trHeight w:val="3272"/>
        </w:trPr>
        <w:tc>
          <w:tcPr>
            <w:tcW w:w="562" w:type="dxa"/>
          </w:tcPr>
          <w:p w:rsidRPr="00274512" w:rsidR="0057781F" w:rsidP="00274512" w14:paraId="188696AB"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274512" w:rsidR="0057781F" w:rsidP="00274512" w14:paraId="7E4EEB4B" w14:textId="77777777">
            <w:pPr>
              <w:jc w:val="center"/>
              <w:rPr>
                <w:sz w:val="16"/>
              </w:rPr>
            </w:pPr>
            <w:r w:rsidRPr="00274512">
              <w:rPr>
                <w:sz w:val="16"/>
              </w:rPr>
              <w:t>16753/18</w:t>
            </w:r>
          </w:p>
          <w:p w:rsidRPr="00274512" w:rsidR="0057781F" w:rsidP="00274512" w14:paraId="34A59FE5" w14:textId="77777777">
            <w:pPr>
              <w:jc w:val="center"/>
              <w:rPr>
                <w:sz w:val="16"/>
              </w:rPr>
            </w:pPr>
            <w:r w:rsidRPr="00274512">
              <w:rPr>
                <w:sz w:val="16"/>
              </w:rPr>
              <w:t>28/03/2018</w:t>
            </w:r>
          </w:p>
        </w:tc>
        <w:tc>
          <w:tcPr>
            <w:tcW w:w="1276" w:type="dxa"/>
          </w:tcPr>
          <w:p w:rsidRPr="00274512" w:rsidR="0057781F" w:rsidP="00274512" w14:paraId="50F3F393" w14:textId="77777777">
            <w:pPr>
              <w:jc w:val="center"/>
              <w:rPr>
                <w:sz w:val="16"/>
              </w:rPr>
            </w:pPr>
            <w:r w:rsidRPr="00274512">
              <w:rPr>
                <w:b/>
                <w:sz w:val="16"/>
              </w:rPr>
              <w:t xml:space="preserve">Svetlana </w:t>
            </w:r>
            <w:r w:rsidRPr="00274512">
              <w:rPr>
                <w:b/>
                <w:sz w:val="16"/>
              </w:rPr>
              <w:t>Andreeva</w:t>
            </w:r>
            <w:r w:rsidRPr="00274512">
              <w:rPr>
                <w:b/>
                <w:sz w:val="16"/>
              </w:rPr>
              <w:t xml:space="preserve"> NENKOVA</w:t>
            </w:r>
          </w:p>
          <w:p w:rsidRPr="00274512" w:rsidR="0057781F" w:rsidP="00274512" w14:paraId="39D43102" w14:textId="4A556F3E">
            <w:pPr>
              <w:jc w:val="center"/>
              <w:rPr>
                <w:sz w:val="16"/>
              </w:rPr>
            </w:pPr>
            <w:r w:rsidRPr="00274512">
              <w:rPr>
                <w:sz w:val="16"/>
              </w:rPr>
              <w:t>1981</w:t>
            </w:r>
            <w:r w:rsidRPr="00274512" w:rsidR="00274512">
              <w:rPr>
                <w:sz w:val="16"/>
              </w:rPr>
              <w:t xml:space="preserve"> </w:t>
            </w:r>
          </w:p>
        </w:tc>
        <w:tc>
          <w:tcPr>
            <w:tcW w:w="1418" w:type="dxa"/>
          </w:tcPr>
          <w:p w:rsidRPr="00274512" w:rsidR="0057781F" w:rsidP="00274512" w14:paraId="1C68F511" w14:textId="77777777">
            <w:pPr>
              <w:jc w:val="center"/>
              <w:rPr>
                <w:sz w:val="16"/>
              </w:rPr>
            </w:pPr>
          </w:p>
          <w:p w:rsidRPr="00274512" w:rsidR="0057781F" w:rsidP="00274512" w14:paraId="018E50C4" w14:textId="77777777">
            <w:pPr>
              <w:jc w:val="center"/>
              <w:rPr>
                <w:sz w:val="16"/>
              </w:rPr>
            </w:pPr>
          </w:p>
        </w:tc>
        <w:tc>
          <w:tcPr>
            <w:tcW w:w="1701" w:type="dxa"/>
          </w:tcPr>
          <w:p w:rsidRPr="00274512" w:rsidR="0057781F" w:rsidP="00274512" w14:paraId="4BBD1C89" w14:textId="7513AEFD">
            <w:pPr>
              <w:jc w:val="both"/>
              <w:rPr>
                <w:sz w:val="16"/>
              </w:rPr>
            </w:pPr>
            <w:r w:rsidRPr="00274512">
              <w:rPr>
                <w:sz w:val="16"/>
              </w:rPr>
              <w:t xml:space="preserve">Plea agreement approved by the </w:t>
            </w:r>
            <w:r w:rsidRPr="00274512">
              <w:rPr>
                <w:sz w:val="16"/>
              </w:rPr>
              <w:t>Razgrad</w:t>
            </w:r>
            <w:r w:rsidRPr="00274512">
              <w:rPr>
                <w:sz w:val="16"/>
              </w:rPr>
              <w:t xml:space="preserve"> Regional Court on 21 January 2009 – the applicant</w:t>
            </w:r>
            <w:r w:rsidRPr="00274512" w:rsidR="00274512">
              <w:rPr>
                <w:sz w:val="16"/>
              </w:rPr>
              <w:t>’</w:t>
            </w:r>
            <w:r w:rsidRPr="00274512">
              <w:rPr>
                <w:sz w:val="16"/>
              </w:rPr>
              <w:t>s ex-husband was convicted for drug trafficking committed in 2008.</w:t>
            </w:r>
          </w:p>
        </w:tc>
        <w:tc>
          <w:tcPr>
            <w:tcW w:w="1139" w:type="dxa"/>
          </w:tcPr>
          <w:p w:rsidRPr="00274512" w:rsidR="0057781F" w:rsidP="00274512" w14:paraId="2B548ABD" w14:textId="4F69DEF9">
            <w:pPr>
              <w:pStyle w:val="JuParaLast"/>
              <w:spacing w:before="0" w:after="0"/>
              <w:ind w:firstLine="0"/>
              <w:rPr>
                <w:sz w:val="16"/>
              </w:rPr>
            </w:pPr>
            <w:r w:rsidRPr="00274512">
              <w:rPr>
                <w:sz w:val="16"/>
              </w:rPr>
              <w:t>1991-2010 (concerning the applicant</w:t>
            </w:r>
            <w:r w:rsidRPr="00274512" w:rsidR="00274512">
              <w:rPr>
                <w:sz w:val="16"/>
              </w:rPr>
              <w:t>’</w:t>
            </w:r>
            <w:r w:rsidRPr="00274512">
              <w:rPr>
                <w:sz w:val="16"/>
              </w:rPr>
              <w:t>s ex-husband); he and the applicant married in 2002.</w:t>
            </w:r>
          </w:p>
          <w:p w:rsidRPr="00274512" w:rsidR="0057781F" w:rsidP="00274512" w14:paraId="63335DEB" w14:textId="6FAF18BA">
            <w:pPr>
              <w:pStyle w:val="JuParaLast"/>
              <w:ind w:firstLine="0"/>
              <w:jc w:val="left"/>
            </w:pPr>
          </w:p>
        </w:tc>
        <w:tc>
          <w:tcPr>
            <w:tcW w:w="2404" w:type="dxa"/>
          </w:tcPr>
          <w:p w:rsidRPr="00274512" w:rsidR="0057781F" w:rsidP="00274512" w14:paraId="44A6F496" w14:textId="77777777">
            <w:pPr>
              <w:jc w:val="both"/>
              <w:rPr>
                <w:sz w:val="16"/>
              </w:rPr>
            </w:pPr>
            <w:r w:rsidRPr="00274512">
              <w:rPr>
                <w:sz w:val="16"/>
              </w:rPr>
              <w:t>A flat in Varna bought by the applicant and her ex-husband in 2003 for BGN 161,500 (EUR 82,600); according to the applicant, the down payment of BGN 68,000 was made with her own money, and the rest was ensured through a bank loan, which she alone was paying back.</w:t>
            </w:r>
          </w:p>
          <w:p w:rsidRPr="00274512" w:rsidR="0057781F" w:rsidP="00274512" w14:paraId="5401EDC4" w14:textId="77777777">
            <w:pPr>
              <w:jc w:val="both"/>
              <w:rPr>
                <w:sz w:val="16"/>
              </w:rPr>
            </w:pPr>
            <w:r w:rsidRPr="00274512">
              <w:rPr>
                <w:sz w:val="16"/>
              </w:rPr>
              <w:t>After the divorce in 2006 the applicant lived in the flat with her children. In 2016 she obtained a court judgment recognising her as the sole owner.</w:t>
            </w:r>
          </w:p>
          <w:p w:rsidRPr="00274512" w:rsidR="0057781F" w:rsidP="00274512" w14:paraId="690B58C9" w14:textId="77777777">
            <w:pPr>
              <w:jc w:val="both"/>
              <w:rPr>
                <w:sz w:val="16"/>
              </w:rPr>
            </w:pPr>
            <w:r w:rsidRPr="00274512">
              <w:rPr>
                <w:sz w:val="16"/>
              </w:rPr>
              <w:t>In 2019 the flat was put up by the State for public sale.</w:t>
            </w:r>
          </w:p>
        </w:tc>
        <w:tc>
          <w:tcPr>
            <w:tcW w:w="2552" w:type="dxa"/>
          </w:tcPr>
          <w:p w:rsidRPr="00274512" w:rsidR="0057781F" w:rsidP="00274512" w14:paraId="7359F607" w14:textId="15A0CD9E">
            <w:pPr>
              <w:jc w:val="both"/>
              <w:rPr>
                <w:sz w:val="16"/>
              </w:rPr>
            </w:pPr>
            <w:r w:rsidRPr="00274512">
              <w:rPr>
                <w:sz w:val="16"/>
              </w:rPr>
              <w:t>While the applicant</w:t>
            </w:r>
            <w:r w:rsidRPr="00274512" w:rsidR="00274512">
              <w:rPr>
                <w:sz w:val="16"/>
              </w:rPr>
              <w:t>’</w:t>
            </w:r>
            <w:r w:rsidRPr="00274512">
              <w:rPr>
                <w:sz w:val="16"/>
              </w:rPr>
              <w:t>s ex-husband had proven sufficient income to acquire different assets in earlier periods, he and the applicant had not established such income between 2002 and 2010; they had thus not shown that they had had money to make the down payment in 2003 or to pay the subsequent instalments of the bank loan.</w:t>
            </w:r>
          </w:p>
          <w:p w:rsidRPr="00274512" w:rsidR="0057781F" w:rsidP="00274512" w14:paraId="5D4050AB" w14:textId="05250232">
            <w:pPr>
              <w:jc w:val="both"/>
              <w:rPr>
                <w:sz w:val="16"/>
              </w:rPr>
            </w:pPr>
            <w:r w:rsidRPr="00274512">
              <w:rPr>
                <w:sz w:val="16"/>
              </w:rPr>
              <w:t>It could thus be assumed that the flat had been bought with money accumulated through the ex-husband</w:t>
            </w:r>
            <w:r w:rsidRPr="00274512" w:rsidR="00274512">
              <w:rPr>
                <w:sz w:val="16"/>
              </w:rPr>
              <w:t>’</w:t>
            </w:r>
            <w:r w:rsidRPr="00274512">
              <w:rPr>
                <w:sz w:val="16"/>
              </w:rPr>
              <w:t>s criminal activity.</w:t>
            </w:r>
          </w:p>
        </w:tc>
        <w:tc>
          <w:tcPr>
            <w:tcW w:w="1276" w:type="dxa"/>
          </w:tcPr>
          <w:p w:rsidRPr="00274512" w:rsidR="0057781F" w:rsidP="00274512" w14:paraId="0763A025" w14:textId="77777777">
            <w:pPr>
              <w:rPr>
                <w:sz w:val="16"/>
              </w:rPr>
            </w:pPr>
            <w:r w:rsidRPr="00274512">
              <w:rPr>
                <w:sz w:val="16"/>
              </w:rPr>
              <w:t>6 October 2017 – decision of the Supreme Court of Cassation</w:t>
            </w:r>
          </w:p>
        </w:tc>
        <w:tc>
          <w:tcPr>
            <w:tcW w:w="1275" w:type="dxa"/>
          </w:tcPr>
          <w:p w:rsidRPr="00274512" w:rsidR="0057781F" w:rsidP="00274512" w14:paraId="14034DC3" w14:textId="77777777">
            <w:pPr>
              <w:jc w:val="center"/>
              <w:rPr>
                <w:sz w:val="16"/>
              </w:rPr>
            </w:pPr>
            <w:r w:rsidRPr="00274512">
              <w:rPr>
                <w:sz w:val="16"/>
              </w:rPr>
              <w:t>3,000</w:t>
            </w:r>
          </w:p>
        </w:tc>
        <w:tc>
          <w:tcPr>
            <w:tcW w:w="993" w:type="dxa"/>
          </w:tcPr>
          <w:p w:rsidRPr="00274512" w:rsidR="0057781F" w:rsidP="00274512" w14:paraId="5DCAECA8" w14:textId="77777777">
            <w:pPr>
              <w:jc w:val="center"/>
              <w:rPr>
                <w:sz w:val="16"/>
              </w:rPr>
            </w:pPr>
            <w:r w:rsidRPr="00274512">
              <w:rPr>
                <w:sz w:val="16"/>
              </w:rPr>
              <w:t>-</w:t>
            </w:r>
          </w:p>
        </w:tc>
      </w:tr>
    </w:tbl>
    <w:p w:rsidRPr="00274512" w:rsidR="00787E12" w:rsidP="00274512" w14:paraId="120680CD" w14:textId="77777777"/>
    <w:p w:rsidRPr="00274512" w:rsidR="00791456" w:rsidP="00274512" w14:paraId="1E87FF82"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B102C" w:rsidP="00BD554D" w14:paraId="01747B2F" w14:textId="061C5803">
    <w:pPr>
      <w:pStyle w:val="JuHeader"/>
    </w:pPr>
    <w:r>
      <w:fldChar w:fldCharType="begin"/>
    </w:r>
    <w:r>
      <w:instrText xml:space="preserve"> PAGE </w:instrText>
    </w:r>
    <w:r>
      <w:fldChar w:fldCharType="separate"/>
    </w:r>
    <w:r>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B102C" w:rsidP="00BD554D" w14:paraId="49F612AD" w14:textId="459B98E3">
    <w:pPr>
      <w:pStyle w:val="JuHeader"/>
    </w:pPr>
    <w:r>
      <w:fldChar w:fldCharType="begin"/>
    </w:r>
    <w:r>
      <w:instrText xml:space="preserve"> PAGE </w:instrText>
    </w:r>
    <w:r>
      <w:fldChar w:fldCharType="separate"/>
    </w:r>
    <w:r>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D2" w:rsidRPr="00150BFA" w:rsidP="0020718E" w14:paraId="1B75A896" w14:textId="354BE36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9309A" w:rsidRPr="005B102C" w:rsidP="0029309A" w14:paraId="3290527C" w14:textId="3C2D6A18">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139D2" w:rsidRPr="005B102C" w:rsidP="00787E12" w14:paraId="40A1B73F" w14:textId="77777777">
      <w:r w:rsidRPr="005B102C">
        <w:separator/>
      </w:r>
    </w:p>
  </w:footnote>
  <w:footnote w:type="continuationSeparator" w:id="1">
    <w:p w:rsidR="00E139D2" w:rsidRPr="005B102C" w:rsidP="00787E12" w14:paraId="6D51423D" w14:textId="77777777">
      <w:r w:rsidRPr="005B102C">
        <w:continuationSeparator/>
      </w:r>
    </w:p>
  </w:footnote>
  <w:footnote w:id="2">
    <w:p w:rsidR="0057781F" w:rsidRPr="00DE65C4" w:rsidP="00E139D2" w14:paraId="496F8EFD" w14:textId="77777777">
      <w:pPr>
        <w:pStyle w:val="FootnoteText"/>
      </w:pPr>
      <w:r w:rsidRPr="00E139D2">
        <w:rPr>
          <w:rStyle w:val="FootnoteReference"/>
        </w:rPr>
        <w:footnoteRef/>
      </w:r>
      <w:r w:rsidRPr="00E139D2">
        <w:rPr>
          <w:rStyle w:val="FootnoteReference"/>
        </w:rPr>
        <w:t xml:space="preserve"> </w:t>
      </w:r>
      <w:r w:rsidRPr="00DE65C4">
        <w:t>Plus any tax that may be chargeable to the applicants.</w:t>
      </w:r>
    </w:p>
  </w:footnote>
  <w:footnote w:id="3">
    <w:p w:rsidR="0057781F" w:rsidRPr="00DE65C4" w:rsidP="00E139D2" w14:paraId="57CD59D3" w14:textId="77777777">
      <w:pPr>
        <w:pStyle w:val="FootnoteText"/>
      </w:pPr>
      <w:r w:rsidRPr="00E139D2">
        <w:rPr>
          <w:rStyle w:val="FootnoteReference"/>
        </w:rPr>
        <w:footnoteRef/>
      </w:r>
      <w:r w:rsidRPr="00E139D2">
        <w:rPr>
          <w:rStyle w:val="FootnoteReference"/>
        </w:rPr>
        <w:t xml:space="preserve"> </w:t>
      </w:r>
      <w:r w:rsidRPr="00E139D2">
        <w:t>Plus any tax that may be chargeable to the applicants.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D2" w:rsidRPr="00A45145" w:rsidP="00A45145" w14:paraId="34FCFE99" w14:textId="272C7AC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7E12" w:rsidRPr="005B102C" w:rsidP="000318F7" w14:paraId="3FCB514F" w14:textId="297C78A1">
    <w:pPr>
      <w:jc w:val="center"/>
      <w:rPr>
        <w:sz w:val="4"/>
        <w:szCs w:val="4"/>
      </w:rPr>
    </w:pPr>
  </w:p>
  <w:p w:rsidR="00787E12" w:rsidRPr="005B102C" w14:paraId="75FB10A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D2" w:rsidRPr="00A45145" w:rsidP="00A45145" w14:paraId="6987A8E6" w14:textId="10694724">
    <w:pPr>
      <w:jc w:val="center"/>
    </w:pPr>
    <w:r>
      <w:rPr>
        <w:noProof/>
        <w:lang w:val="en-US"/>
      </w:rPr>
      <w:drawing>
        <wp:inline distT="0" distB="0" distL="0" distR="0">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7E12" w:rsidRPr="005B102C" w:rsidP="00B64153" w14:paraId="4B8DA3D2" w14:textId="4FB290C9">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5C3A15" w:rsidP="006372F5" w14:paraId="0BC88529" w14:textId="588A0BAF">
    <w:pPr>
      <w:pStyle w:val="JuHeader"/>
    </w:pPr>
    <w:r>
      <w:t>SHOPOV</w:t>
    </w:r>
    <w:r w:rsidR="007217AB">
      <w:t xml:space="preserve"> AND OTHERS</w:t>
    </w:r>
    <w:r>
      <w:t xml:space="preserve"> v. BULGARIA</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DE7D3F" w:rsidP="00BD554D" w14:paraId="4345EBF1" w14:textId="232480E5">
    <w:pPr>
      <w:pStyle w:val="JuHeader"/>
    </w:pPr>
    <w:r>
      <w:t>SHOPOV</w:t>
    </w:r>
    <w:r w:rsidR="007217AB">
      <w:t xml:space="preserve"> AND OTHERS</w:t>
    </w:r>
    <w:r>
      <w:t xml:space="preserve"> v. BULGARIA</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5C3A15" w:rsidP="00E026EC" w14:paraId="05CBCDD0" w14:textId="4BBF7C6F">
    <w:pPr>
      <w:pStyle w:val="JuHeader"/>
    </w:pPr>
    <w:r>
      <w:t>SHOPOV</w:t>
    </w:r>
    <w:r w:rsidR="00C65E00">
      <w:t xml:space="preserve"> AND OTHERS</w:t>
    </w:r>
    <w:r>
      <w:t xml:space="preserve"> v. BULGARIA</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DE7D3F" w:rsidP="00E026EC" w14:paraId="7649A8B6" w14:textId="5A2DC3D3">
    <w:pPr>
      <w:pStyle w:val="JuHeader"/>
    </w:pPr>
    <w:r>
      <w:t>SHOPOV</w:t>
    </w:r>
    <w:r w:rsidR="00C65E00">
      <w:t xml:space="preserve"> AND OTHERS</w:t>
    </w:r>
    <w:r>
      <w:t xml:space="preserve"> v. BULGARIA</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55A42D7"/>
    <w:multiLevelType w:val="hybridMultilevel"/>
    <w:tmpl w:val="F71A3C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8"/>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9D2"/>
    <w:rsid w:val="000318F7"/>
    <w:rsid w:val="00060CA1"/>
    <w:rsid w:val="00135384"/>
    <w:rsid w:val="00150BFA"/>
    <w:rsid w:val="00173A91"/>
    <w:rsid w:val="001A15B6"/>
    <w:rsid w:val="001A3C4A"/>
    <w:rsid w:val="001D7CD3"/>
    <w:rsid w:val="001F3812"/>
    <w:rsid w:val="0020718E"/>
    <w:rsid w:val="0023364D"/>
    <w:rsid w:val="00274512"/>
    <w:rsid w:val="0029309A"/>
    <w:rsid w:val="002C5B23"/>
    <w:rsid w:val="00337785"/>
    <w:rsid w:val="0035224E"/>
    <w:rsid w:val="004069E2"/>
    <w:rsid w:val="0043054C"/>
    <w:rsid w:val="0048584C"/>
    <w:rsid w:val="00497FF8"/>
    <w:rsid w:val="004D0EC7"/>
    <w:rsid w:val="00555A1D"/>
    <w:rsid w:val="00573202"/>
    <w:rsid w:val="0057781F"/>
    <w:rsid w:val="005B102C"/>
    <w:rsid w:val="005B16C1"/>
    <w:rsid w:val="005C3A15"/>
    <w:rsid w:val="005F60F9"/>
    <w:rsid w:val="006372F5"/>
    <w:rsid w:val="00656431"/>
    <w:rsid w:val="006927F4"/>
    <w:rsid w:val="006D324D"/>
    <w:rsid w:val="007217AB"/>
    <w:rsid w:val="00743B2A"/>
    <w:rsid w:val="00787E12"/>
    <w:rsid w:val="00791456"/>
    <w:rsid w:val="007A72B4"/>
    <w:rsid w:val="007F018A"/>
    <w:rsid w:val="008522DD"/>
    <w:rsid w:val="00860732"/>
    <w:rsid w:val="008A0E2E"/>
    <w:rsid w:val="008B3FB7"/>
    <w:rsid w:val="009522DD"/>
    <w:rsid w:val="00A062B9"/>
    <w:rsid w:val="00A329E0"/>
    <w:rsid w:val="00A34A54"/>
    <w:rsid w:val="00A44415"/>
    <w:rsid w:val="00A45145"/>
    <w:rsid w:val="00A6104A"/>
    <w:rsid w:val="00A94CA7"/>
    <w:rsid w:val="00AC03BB"/>
    <w:rsid w:val="00B216C1"/>
    <w:rsid w:val="00B64153"/>
    <w:rsid w:val="00B91668"/>
    <w:rsid w:val="00BB2504"/>
    <w:rsid w:val="00BD554D"/>
    <w:rsid w:val="00BE2415"/>
    <w:rsid w:val="00C43D38"/>
    <w:rsid w:val="00C65E00"/>
    <w:rsid w:val="00C877A3"/>
    <w:rsid w:val="00CF644B"/>
    <w:rsid w:val="00DE65C4"/>
    <w:rsid w:val="00DE7D3F"/>
    <w:rsid w:val="00E026EC"/>
    <w:rsid w:val="00E11297"/>
    <w:rsid w:val="00E139D2"/>
    <w:rsid w:val="00FB16F8"/>
  </w:rsids>
  <w:docVars>
    <w:docVar w:name="ApplicationsApp" w:val="2"/>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D4B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74512"/>
    <w:rPr>
      <w:sz w:val="24"/>
      <w:szCs w:val="24"/>
      <w:lang w:val="en-GB"/>
    </w:rPr>
  </w:style>
  <w:style w:type="paragraph" w:styleId="Heading1">
    <w:name w:val="heading 1"/>
    <w:basedOn w:val="Normal"/>
    <w:next w:val="Normal"/>
    <w:link w:val="Heading1Char"/>
    <w:uiPriority w:val="98"/>
    <w:semiHidden/>
    <w:rsid w:val="002745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745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7451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7451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7451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7451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7451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7451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7451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274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512"/>
  </w:style>
  <w:style w:type="paragraph" w:styleId="BalloonText">
    <w:name w:val="Balloon Text"/>
    <w:basedOn w:val="Normal"/>
    <w:link w:val="BalloonTextChar"/>
    <w:uiPriority w:val="98"/>
    <w:semiHidden/>
    <w:rsid w:val="00274512"/>
    <w:rPr>
      <w:rFonts w:ascii="Tahoma" w:hAnsi="Tahoma" w:cs="Tahoma"/>
      <w:sz w:val="16"/>
      <w:szCs w:val="16"/>
    </w:rPr>
  </w:style>
  <w:style w:type="character" w:customStyle="1" w:styleId="BalloonTextChar">
    <w:name w:val="Balloon Text Char"/>
    <w:basedOn w:val="DefaultParagraphFont"/>
    <w:link w:val="BalloonText"/>
    <w:uiPriority w:val="98"/>
    <w:semiHidden/>
    <w:rsid w:val="00274512"/>
    <w:rPr>
      <w:rFonts w:ascii="Tahoma" w:hAnsi="Tahoma" w:cs="Tahoma"/>
      <w:sz w:val="16"/>
      <w:szCs w:val="16"/>
      <w:lang w:val="en-GB"/>
    </w:rPr>
  </w:style>
  <w:style w:type="character" w:styleId="BookTitle">
    <w:name w:val="Book Title"/>
    <w:uiPriority w:val="98"/>
    <w:semiHidden/>
    <w:qFormat/>
    <w:rsid w:val="00274512"/>
    <w:rPr>
      <w:i/>
      <w:iCs/>
      <w:smallCaps/>
      <w:spacing w:val="5"/>
    </w:rPr>
  </w:style>
  <w:style w:type="paragraph" w:customStyle="1" w:styleId="JuHeader">
    <w:name w:val="Ju_Header"/>
    <w:aliases w:val="_Header"/>
    <w:basedOn w:val="Header0"/>
    <w:uiPriority w:val="29"/>
    <w:qFormat/>
    <w:rsid w:val="00274512"/>
    <w:pPr>
      <w:tabs>
        <w:tab w:val="clear" w:pos="4536"/>
        <w:tab w:val="clear" w:pos="9072"/>
      </w:tabs>
      <w:jc w:val="center"/>
    </w:pPr>
    <w:rPr>
      <w:sz w:val="18"/>
    </w:rPr>
  </w:style>
  <w:style w:type="paragraph" w:customStyle="1" w:styleId="DummyStyle">
    <w:name w:val="Dummy_Style"/>
    <w:aliases w:val="_Dummy"/>
    <w:basedOn w:val="Normal"/>
    <w:semiHidden/>
    <w:qFormat/>
    <w:rsid w:val="00274512"/>
    <w:rPr>
      <w:color w:val="00B050"/>
      <w:sz w:val="22"/>
    </w:rPr>
  </w:style>
  <w:style w:type="character" w:styleId="Strong">
    <w:name w:val="Strong"/>
    <w:uiPriority w:val="98"/>
    <w:semiHidden/>
    <w:qFormat/>
    <w:rsid w:val="00274512"/>
    <w:rPr>
      <w:b/>
      <w:bCs/>
    </w:rPr>
  </w:style>
  <w:style w:type="paragraph" w:styleId="NoSpacing">
    <w:name w:val="No Spacing"/>
    <w:basedOn w:val="Normal"/>
    <w:link w:val="NoSpacingChar"/>
    <w:uiPriority w:val="98"/>
    <w:semiHidden/>
    <w:qFormat/>
    <w:rsid w:val="00274512"/>
  </w:style>
  <w:style w:type="character" w:customStyle="1" w:styleId="NoSpacingChar">
    <w:name w:val="No Spacing Char"/>
    <w:basedOn w:val="DefaultParagraphFont"/>
    <w:link w:val="NoSpacing"/>
    <w:uiPriority w:val="98"/>
    <w:semiHidden/>
    <w:rsid w:val="00274512"/>
    <w:rPr>
      <w:sz w:val="24"/>
      <w:szCs w:val="24"/>
      <w:lang w:val="en-GB"/>
    </w:rPr>
  </w:style>
  <w:style w:type="paragraph" w:customStyle="1" w:styleId="JuQuot">
    <w:name w:val="Ju_Quot"/>
    <w:aliases w:val="_Quote"/>
    <w:basedOn w:val="NormalJustified"/>
    <w:uiPriority w:val="20"/>
    <w:qFormat/>
    <w:rsid w:val="00274512"/>
    <w:pPr>
      <w:spacing w:before="120" w:after="120"/>
      <w:ind w:left="425" w:firstLine="142"/>
    </w:pPr>
    <w:rPr>
      <w:sz w:val="20"/>
    </w:rPr>
  </w:style>
  <w:style w:type="paragraph" w:customStyle="1" w:styleId="JuList">
    <w:name w:val="Ju_List"/>
    <w:aliases w:val="_List_1"/>
    <w:basedOn w:val="NormalJustified"/>
    <w:link w:val="JuListChar"/>
    <w:uiPriority w:val="23"/>
    <w:qFormat/>
    <w:rsid w:val="00274512"/>
    <w:pPr>
      <w:numPr>
        <w:numId w:val="21"/>
      </w:numPr>
      <w:spacing w:before="280" w:after="60"/>
    </w:pPr>
  </w:style>
  <w:style w:type="paragraph" w:customStyle="1" w:styleId="JuListi">
    <w:name w:val="Ju_List_i"/>
    <w:aliases w:val="_List_3"/>
    <w:basedOn w:val="NormalJustified"/>
    <w:uiPriority w:val="23"/>
    <w:rsid w:val="00274512"/>
    <w:pPr>
      <w:numPr>
        <w:ilvl w:val="2"/>
        <w:numId w:val="21"/>
      </w:numPr>
    </w:pPr>
  </w:style>
  <w:style w:type="paragraph" w:customStyle="1" w:styleId="JuTitle">
    <w:name w:val="Ju_Title"/>
    <w:aliases w:val="_Title_2"/>
    <w:basedOn w:val="Normal"/>
    <w:next w:val="JuPara"/>
    <w:uiPriority w:val="38"/>
    <w:qFormat/>
    <w:rsid w:val="00274512"/>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274512"/>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274512"/>
    <w:pPr>
      <w:keepNext/>
      <w:spacing w:before="100" w:beforeAutospacing="1" w:after="120"/>
      <w:contextualSpacing/>
      <w:jc w:val="center"/>
    </w:pPr>
    <w:rPr>
      <w:b/>
      <w:sz w:val="20"/>
    </w:rPr>
  </w:style>
  <w:style w:type="numbering" w:customStyle="1" w:styleId="ECHRA1StyleBulletedSquare">
    <w:name w:val="ECHR_A1_Style_Bulleted_Square"/>
    <w:basedOn w:val="NoList"/>
    <w:rsid w:val="00274512"/>
    <w:pPr>
      <w:numPr>
        <w:numId w:val="15"/>
      </w:numPr>
    </w:pPr>
  </w:style>
  <w:style w:type="numbering" w:customStyle="1" w:styleId="ECHRA1StyleList">
    <w:name w:val="ECHR_A1_Style_List"/>
    <w:basedOn w:val="NoList"/>
    <w:uiPriority w:val="99"/>
    <w:rsid w:val="00274512"/>
    <w:pPr>
      <w:numPr>
        <w:numId w:val="16"/>
      </w:numPr>
    </w:pPr>
  </w:style>
  <w:style w:type="paragraph" w:customStyle="1" w:styleId="JuHHead">
    <w:name w:val="Ju_H_Head"/>
    <w:aliases w:val="_Head_1"/>
    <w:basedOn w:val="Heading1"/>
    <w:next w:val="JuPara"/>
    <w:uiPriority w:val="17"/>
    <w:qFormat/>
    <w:rsid w:val="00274512"/>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274512"/>
    <w:pPr>
      <w:numPr>
        <w:numId w:val="17"/>
      </w:numPr>
    </w:pPr>
  </w:style>
  <w:style w:type="table" w:customStyle="1" w:styleId="ECHRTable2019">
    <w:name w:val="ECHR_Table_2019"/>
    <w:basedOn w:val="TableNormal"/>
    <w:uiPriority w:val="99"/>
    <w:rsid w:val="0027451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27451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74512"/>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27451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274512"/>
    <w:pPr>
      <w:tabs>
        <w:tab w:val="center" w:pos="6407"/>
      </w:tabs>
      <w:spacing w:before="720"/>
      <w:jc w:val="right"/>
    </w:pPr>
  </w:style>
  <w:style w:type="character" w:customStyle="1" w:styleId="JuITMark">
    <w:name w:val="Ju_ITMark"/>
    <w:aliases w:val="_ITMark"/>
    <w:basedOn w:val="DefaultParagraphFont"/>
    <w:uiPriority w:val="54"/>
    <w:semiHidden/>
    <w:qFormat/>
    <w:rsid w:val="00274512"/>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27451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74512"/>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74512"/>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274512"/>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274512"/>
    <w:pPr>
      <w:tabs>
        <w:tab w:val="center" w:pos="4536"/>
        <w:tab w:val="right" w:pos="9072"/>
      </w:tabs>
    </w:pPr>
  </w:style>
  <w:style w:type="character" w:customStyle="1" w:styleId="HeaderChar">
    <w:name w:val="Header Char"/>
    <w:basedOn w:val="DefaultParagraphFont"/>
    <w:link w:val="Header0"/>
    <w:uiPriority w:val="98"/>
    <w:semiHidden/>
    <w:rsid w:val="00274512"/>
    <w:rPr>
      <w:sz w:val="24"/>
      <w:szCs w:val="24"/>
      <w:lang w:val="en-GB"/>
    </w:rPr>
  </w:style>
  <w:style w:type="character" w:customStyle="1" w:styleId="Heading1Char">
    <w:name w:val="Heading 1 Char"/>
    <w:basedOn w:val="DefaultParagraphFont"/>
    <w:link w:val="Heading1"/>
    <w:uiPriority w:val="98"/>
    <w:semiHidden/>
    <w:rsid w:val="00274512"/>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27451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274512"/>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274512"/>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274512"/>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274512"/>
    <w:rPr>
      <w:caps w:val="0"/>
      <w:smallCaps/>
    </w:rPr>
  </w:style>
  <w:style w:type="character" w:customStyle="1" w:styleId="Heading3Char">
    <w:name w:val="Heading 3 Char"/>
    <w:basedOn w:val="DefaultParagraphFont"/>
    <w:link w:val="Heading3"/>
    <w:uiPriority w:val="98"/>
    <w:semiHidden/>
    <w:rsid w:val="00274512"/>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274512"/>
    <w:pPr>
      <w:numPr>
        <w:ilvl w:val="1"/>
        <w:numId w:val="21"/>
      </w:numPr>
    </w:pPr>
  </w:style>
  <w:style w:type="paragraph" w:customStyle="1" w:styleId="NormalJustified">
    <w:name w:val="Normal_Justified"/>
    <w:basedOn w:val="Normal"/>
    <w:semiHidden/>
    <w:rsid w:val="00274512"/>
    <w:pPr>
      <w:jc w:val="both"/>
    </w:pPr>
  </w:style>
  <w:style w:type="character" w:customStyle="1" w:styleId="Heading4Char">
    <w:name w:val="Heading 4 Char"/>
    <w:basedOn w:val="DefaultParagraphFont"/>
    <w:link w:val="Heading4"/>
    <w:uiPriority w:val="98"/>
    <w:semiHidden/>
    <w:rsid w:val="00274512"/>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274512"/>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274512"/>
    <w:rPr>
      <w:i/>
      <w:iCs/>
    </w:rPr>
  </w:style>
  <w:style w:type="table" w:customStyle="1" w:styleId="ECHRTable">
    <w:name w:val="ECHR_Table"/>
    <w:basedOn w:val="TableNormal"/>
    <w:rsid w:val="0027451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7451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27451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74512"/>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274512"/>
    <w:pPr>
      <w:keepNext/>
      <w:keepLines/>
      <w:spacing w:after="280"/>
      <w:ind w:firstLine="0"/>
      <w:jc w:val="center"/>
    </w:pPr>
    <w:rPr>
      <w:rFonts w:asciiTheme="majorHAnsi" w:hAnsiTheme="majorHAnsi"/>
    </w:rPr>
  </w:style>
  <w:style w:type="character" w:styleId="Emphasis">
    <w:name w:val="Emphasis"/>
    <w:uiPriority w:val="98"/>
    <w:semiHidden/>
    <w:qFormat/>
    <w:rsid w:val="00274512"/>
    <w:rPr>
      <w:b/>
      <w:bCs/>
      <w:i/>
      <w:iCs/>
      <w:spacing w:val="10"/>
      <w:bdr w:val="none" w:sz="0" w:space="0" w:color="auto"/>
      <w:shd w:val="clear" w:color="auto" w:fill="auto"/>
    </w:rPr>
  </w:style>
  <w:style w:type="paragraph" w:styleId="Footer1">
    <w:name w:val="footer"/>
    <w:basedOn w:val="Normal"/>
    <w:link w:val="FooterChar"/>
    <w:uiPriority w:val="98"/>
    <w:semiHidden/>
    <w:rsid w:val="00274512"/>
    <w:pPr>
      <w:tabs>
        <w:tab w:val="center" w:pos="3686"/>
        <w:tab w:val="right" w:pos="7371"/>
      </w:tabs>
    </w:pPr>
  </w:style>
  <w:style w:type="character" w:customStyle="1" w:styleId="FooterChar">
    <w:name w:val="Footer Char"/>
    <w:basedOn w:val="DefaultParagraphFont"/>
    <w:link w:val="Footer1"/>
    <w:uiPriority w:val="98"/>
    <w:semiHidden/>
    <w:rsid w:val="00274512"/>
    <w:rPr>
      <w:sz w:val="24"/>
      <w:szCs w:val="24"/>
      <w:lang w:val="en-GB"/>
    </w:rPr>
  </w:style>
  <w:style w:type="character" w:styleId="FootnoteReference">
    <w:name w:val="footnote reference"/>
    <w:basedOn w:val="DefaultParagraphFont"/>
    <w:uiPriority w:val="98"/>
    <w:semiHidden/>
    <w:rsid w:val="00274512"/>
    <w:rPr>
      <w:vertAlign w:val="superscript"/>
    </w:rPr>
  </w:style>
  <w:style w:type="paragraph" w:styleId="FootnoteText">
    <w:name w:val="footnote text"/>
    <w:basedOn w:val="NormalJustified"/>
    <w:link w:val="FootnoteTextChar"/>
    <w:uiPriority w:val="98"/>
    <w:semiHidden/>
    <w:rsid w:val="00274512"/>
    <w:rPr>
      <w:sz w:val="20"/>
      <w:szCs w:val="20"/>
    </w:rPr>
  </w:style>
  <w:style w:type="character" w:customStyle="1" w:styleId="FootnoteTextChar">
    <w:name w:val="Footnote Text Char"/>
    <w:basedOn w:val="DefaultParagraphFont"/>
    <w:link w:val="FootnoteText"/>
    <w:uiPriority w:val="98"/>
    <w:semiHidden/>
    <w:rsid w:val="00274512"/>
    <w:rPr>
      <w:sz w:val="20"/>
      <w:szCs w:val="20"/>
      <w:lang w:val="en-GB"/>
    </w:rPr>
  </w:style>
  <w:style w:type="character" w:customStyle="1" w:styleId="Heading6Char">
    <w:name w:val="Heading 6 Char"/>
    <w:basedOn w:val="DefaultParagraphFont"/>
    <w:link w:val="Heading6"/>
    <w:uiPriority w:val="98"/>
    <w:semiHidden/>
    <w:rsid w:val="0027451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7451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7451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74512"/>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274512"/>
    <w:rPr>
      <w:b/>
      <w:bCs/>
    </w:rPr>
  </w:style>
  <w:style w:type="paragraph" w:styleId="IntenseQuote">
    <w:name w:val="Intense Quote"/>
    <w:basedOn w:val="Normal"/>
    <w:next w:val="Normal"/>
    <w:link w:val="IntenseQuoteChar"/>
    <w:uiPriority w:val="98"/>
    <w:semiHidden/>
    <w:qFormat/>
    <w:rsid w:val="0027451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74512"/>
    <w:rPr>
      <w:b/>
      <w:bCs/>
      <w:i/>
      <w:iCs/>
      <w:sz w:val="24"/>
      <w:szCs w:val="24"/>
      <w:lang w:val="en-GB" w:bidi="en-US"/>
    </w:rPr>
  </w:style>
  <w:style w:type="character" w:styleId="IntenseReference">
    <w:name w:val="Intense Reference"/>
    <w:uiPriority w:val="98"/>
    <w:semiHidden/>
    <w:qFormat/>
    <w:rsid w:val="00274512"/>
    <w:rPr>
      <w:smallCaps/>
      <w:spacing w:val="5"/>
      <w:u w:val="single"/>
    </w:rPr>
  </w:style>
  <w:style w:type="paragraph" w:styleId="ListParagraph">
    <w:name w:val="List Paragraph"/>
    <w:basedOn w:val="Normal"/>
    <w:uiPriority w:val="98"/>
    <w:semiHidden/>
    <w:qFormat/>
    <w:rsid w:val="00274512"/>
    <w:pPr>
      <w:ind w:left="720"/>
      <w:contextualSpacing/>
    </w:pPr>
  </w:style>
  <w:style w:type="table" w:customStyle="1" w:styleId="LtrTableAddress">
    <w:name w:val="Ltr_Table_Address"/>
    <w:aliases w:val="ECHR_Ltr_Table_Address"/>
    <w:basedOn w:val="TableNormal"/>
    <w:uiPriority w:val="99"/>
    <w:rsid w:val="00274512"/>
    <w:rPr>
      <w:sz w:val="24"/>
      <w:szCs w:val="24"/>
    </w:rPr>
    <w:tblPr>
      <w:tblInd w:w="5103" w:type="dxa"/>
    </w:tblPr>
  </w:style>
  <w:style w:type="paragraph" w:styleId="Quote0">
    <w:name w:val="Quote"/>
    <w:basedOn w:val="Normal"/>
    <w:next w:val="Normal"/>
    <w:link w:val="QuoteChar"/>
    <w:uiPriority w:val="98"/>
    <w:semiHidden/>
    <w:qFormat/>
    <w:rsid w:val="00274512"/>
    <w:pPr>
      <w:spacing w:before="200"/>
      <w:ind w:left="360" w:right="360"/>
    </w:pPr>
    <w:rPr>
      <w:i/>
      <w:iCs/>
      <w:lang w:bidi="en-US"/>
    </w:rPr>
  </w:style>
  <w:style w:type="character" w:customStyle="1" w:styleId="QuoteChar">
    <w:name w:val="Quote Char"/>
    <w:basedOn w:val="DefaultParagraphFont"/>
    <w:link w:val="Quote0"/>
    <w:uiPriority w:val="98"/>
    <w:semiHidden/>
    <w:rsid w:val="00274512"/>
    <w:rPr>
      <w:i/>
      <w:iCs/>
      <w:sz w:val="24"/>
      <w:szCs w:val="24"/>
      <w:lang w:val="en-GB" w:bidi="en-US"/>
    </w:rPr>
  </w:style>
  <w:style w:type="character" w:styleId="SubtleReference">
    <w:name w:val="Subtle Reference"/>
    <w:uiPriority w:val="98"/>
    <w:semiHidden/>
    <w:qFormat/>
    <w:rsid w:val="00274512"/>
    <w:rPr>
      <w:smallCaps/>
    </w:rPr>
  </w:style>
  <w:style w:type="table" w:styleId="TableGrid">
    <w:name w:val="Table Grid"/>
    <w:basedOn w:val="TableNormal"/>
    <w:uiPriority w:val="59"/>
    <w:semiHidden/>
    <w:rsid w:val="0027451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7451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7451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7451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7451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7451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7451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7451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7451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7451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7451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7451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7451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7451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274512"/>
    <w:pPr>
      <w:numPr>
        <w:numId w:val="2"/>
      </w:numPr>
    </w:pPr>
  </w:style>
  <w:style w:type="numbering" w:styleId="1ai">
    <w:name w:val="Outline List 1"/>
    <w:basedOn w:val="NoList"/>
    <w:uiPriority w:val="99"/>
    <w:semiHidden/>
    <w:unhideWhenUsed/>
    <w:rsid w:val="00274512"/>
    <w:pPr>
      <w:numPr>
        <w:numId w:val="3"/>
      </w:numPr>
    </w:pPr>
  </w:style>
  <w:style w:type="paragraph" w:styleId="Bibliography">
    <w:name w:val="Bibliography"/>
    <w:basedOn w:val="Normal"/>
    <w:next w:val="Normal"/>
    <w:uiPriority w:val="98"/>
    <w:semiHidden/>
    <w:rsid w:val="00274512"/>
  </w:style>
  <w:style w:type="paragraph" w:customStyle="1" w:styleId="JuPara">
    <w:name w:val="Ju_Para"/>
    <w:aliases w:val="_Para"/>
    <w:basedOn w:val="NormalJustified"/>
    <w:link w:val="JuParaChar"/>
    <w:uiPriority w:val="4"/>
    <w:qFormat/>
    <w:rsid w:val="00274512"/>
    <w:pPr>
      <w:ind w:firstLine="284"/>
    </w:pPr>
  </w:style>
  <w:style w:type="paragraph" w:styleId="BlockText">
    <w:name w:val="Block Text"/>
    <w:basedOn w:val="Normal"/>
    <w:uiPriority w:val="98"/>
    <w:semiHidden/>
    <w:rsid w:val="0027451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27451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7451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274512"/>
    <w:pPr>
      <w:spacing w:after="120"/>
    </w:pPr>
  </w:style>
  <w:style w:type="table" w:customStyle="1" w:styleId="ECHRTableForInternalUse">
    <w:name w:val="ECHR_Table_For_Internal_Use"/>
    <w:basedOn w:val="TableNormal"/>
    <w:uiPriority w:val="99"/>
    <w:rsid w:val="0027451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7451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274512"/>
    <w:rPr>
      <w:sz w:val="24"/>
      <w:szCs w:val="24"/>
      <w:lang w:val="en-GB"/>
    </w:rPr>
  </w:style>
  <w:style w:type="paragraph" w:styleId="BodyText2">
    <w:name w:val="Body Text 2"/>
    <w:basedOn w:val="Normal"/>
    <w:link w:val="BodyText2Char"/>
    <w:uiPriority w:val="98"/>
    <w:semiHidden/>
    <w:rsid w:val="00274512"/>
    <w:pPr>
      <w:spacing w:after="120" w:line="480" w:lineRule="auto"/>
    </w:pPr>
  </w:style>
  <w:style w:type="table" w:customStyle="1" w:styleId="ECHRHeaderTable">
    <w:name w:val="ECHR_Header_Table"/>
    <w:basedOn w:val="TableNormal"/>
    <w:uiPriority w:val="99"/>
    <w:rsid w:val="0027451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274512"/>
    <w:rPr>
      <w:sz w:val="24"/>
      <w:szCs w:val="24"/>
      <w:lang w:val="en-GB"/>
    </w:rPr>
  </w:style>
  <w:style w:type="paragraph" w:styleId="BodyText3">
    <w:name w:val="Body Text 3"/>
    <w:basedOn w:val="Normal"/>
    <w:link w:val="BodyText3Char"/>
    <w:uiPriority w:val="98"/>
    <w:semiHidden/>
    <w:rsid w:val="00274512"/>
    <w:pPr>
      <w:spacing w:after="120"/>
    </w:pPr>
    <w:rPr>
      <w:sz w:val="16"/>
      <w:szCs w:val="16"/>
    </w:rPr>
  </w:style>
  <w:style w:type="table" w:customStyle="1" w:styleId="ECHRTableOddBanded">
    <w:name w:val="ECHR_Table_Odd_Banded"/>
    <w:basedOn w:val="TableNormal"/>
    <w:uiPriority w:val="99"/>
    <w:rsid w:val="0027451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274512"/>
    <w:pPr>
      <w:tabs>
        <w:tab w:val="left" w:pos="567"/>
        <w:tab w:val="left" w:pos="1134"/>
      </w:tabs>
    </w:pPr>
  </w:style>
  <w:style w:type="table" w:customStyle="1" w:styleId="ECHRHeaderTableReduced">
    <w:name w:val="ECHR_Header_Table_Reduced"/>
    <w:basedOn w:val="TableNormal"/>
    <w:uiPriority w:val="99"/>
    <w:rsid w:val="0027451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274512"/>
    <w:rPr>
      <w:sz w:val="16"/>
      <w:szCs w:val="16"/>
      <w:lang w:val="en-GB"/>
    </w:rPr>
  </w:style>
  <w:style w:type="paragraph" w:styleId="BodyTextFirstIndent">
    <w:name w:val="Body Text First Indent"/>
    <w:basedOn w:val="BodyText"/>
    <w:link w:val="BodyTextFirstIndentChar"/>
    <w:uiPriority w:val="98"/>
    <w:semiHidden/>
    <w:rsid w:val="00274512"/>
    <w:pPr>
      <w:spacing w:after="0"/>
      <w:ind w:firstLine="360"/>
    </w:pPr>
  </w:style>
  <w:style w:type="character" w:customStyle="1" w:styleId="BodyTextFirstIndentChar">
    <w:name w:val="Body Text First Indent Char"/>
    <w:basedOn w:val="BodyTextChar"/>
    <w:link w:val="BodyTextFirstIndent"/>
    <w:uiPriority w:val="98"/>
    <w:semiHidden/>
    <w:rsid w:val="00274512"/>
    <w:rPr>
      <w:sz w:val="24"/>
      <w:szCs w:val="24"/>
      <w:lang w:val="en-GB"/>
    </w:rPr>
  </w:style>
  <w:style w:type="character" w:styleId="PlaceholderText">
    <w:name w:val="Placeholder Text"/>
    <w:basedOn w:val="DefaultParagraphFont"/>
    <w:uiPriority w:val="98"/>
    <w:semiHidden/>
    <w:rsid w:val="00274512"/>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274512"/>
    <w:pPr>
      <w:tabs>
        <w:tab w:val="center" w:pos="1418"/>
        <w:tab w:val="center" w:pos="5954"/>
      </w:tabs>
      <w:spacing w:before="720"/>
    </w:pPr>
  </w:style>
  <w:style w:type="character" w:styleId="PageNumber">
    <w:name w:val="page number"/>
    <w:uiPriority w:val="98"/>
    <w:semiHidden/>
    <w:rsid w:val="00274512"/>
    <w:rPr>
      <w:sz w:val="18"/>
    </w:rPr>
  </w:style>
  <w:style w:type="character" w:styleId="CommentReference">
    <w:name w:val="annotation reference"/>
    <w:basedOn w:val="DefaultParagraphFont"/>
    <w:uiPriority w:val="98"/>
    <w:semiHidden/>
    <w:rsid w:val="00274512"/>
    <w:rPr>
      <w:sz w:val="16"/>
      <w:szCs w:val="16"/>
    </w:rPr>
  </w:style>
  <w:style w:type="paragraph" w:styleId="CommentText">
    <w:name w:val="annotation text"/>
    <w:basedOn w:val="Normal"/>
    <w:link w:val="CommentTextChar"/>
    <w:uiPriority w:val="98"/>
    <w:semiHidden/>
    <w:rsid w:val="00274512"/>
    <w:rPr>
      <w:sz w:val="20"/>
      <w:szCs w:val="20"/>
    </w:rPr>
  </w:style>
  <w:style w:type="character" w:customStyle="1" w:styleId="CommentTextChar">
    <w:name w:val="Comment Text Char"/>
    <w:basedOn w:val="DefaultParagraphFont"/>
    <w:link w:val="CommentText"/>
    <w:uiPriority w:val="98"/>
    <w:semiHidden/>
    <w:rsid w:val="00274512"/>
    <w:rPr>
      <w:sz w:val="20"/>
      <w:szCs w:val="20"/>
      <w:lang w:val="en-GB"/>
    </w:rPr>
  </w:style>
  <w:style w:type="paragraph" w:customStyle="1" w:styleId="DecHTitle">
    <w:name w:val="Dec_H_Title"/>
    <w:aliases w:val="_Title_1"/>
    <w:basedOn w:val="JuPara"/>
    <w:next w:val="JuPara"/>
    <w:uiPriority w:val="38"/>
    <w:qFormat/>
    <w:rsid w:val="00274512"/>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274512"/>
    <w:pPr>
      <w:keepNext/>
      <w:keepLines/>
      <w:spacing w:before="240" w:after="240"/>
      <w:ind w:firstLine="284"/>
    </w:pPr>
  </w:style>
  <w:style w:type="numbering" w:styleId="ArticleSection">
    <w:name w:val="Outline List 3"/>
    <w:basedOn w:val="NoList"/>
    <w:uiPriority w:val="99"/>
    <w:semiHidden/>
    <w:unhideWhenUsed/>
    <w:rsid w:val="00274512"/>
    <w:pPr>
      <w:numPr>
        <w:numId w:val="4"/>
      </w:numPr>
    </w:pPr>
  </w:style>
  <w:style w:type="paragraph" w:styleId="ListBullet">
    <w:name w:val="List Bullet"/>
    <w:basedOn w:val="Normal"/>
    <w:uiPriority w:val="98"/>
    <w:semiHidden/>
    <w:rsid w:val="00274512"/>
    <w:pPr>
      <w:numPr>
        <w:numId w:val="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274512"/>
    <w:pPr>
      <w:ind w:firstLine="284"/>
    </w:pPr>
    <w:rPr>
      <w:b/>
    </w:rPr>
  </w:style>
  <w:style w:type="paragraph" w:styleId="BodyTextIndent">
    <w:name w:val="Body Text Indent"/>
    <w:basedOn w:val="Normal"/>
    <w:link w:val="BodyTextIndentChar"/>
    <w:uiPriority w:val="98"/>
    <w:semiHidden/>
    <w:rsid w:val="00274512"/>
    <w:pPr>
      <w:spacing w:after="120"/>
      <w:ind w:left="283"/>
    </w:pPr>
  </w:style>
  <w:style w:type="character" w:customStyle="1" w:styleId="BodyTextIndentChar">
    <w:name w:val="Body Text Indent Char"/>
    <w:basedOn w:val="DefaultParagraphFont"/>
    <w:link w:val="BodyTextIndent"/>
    <w:uiPriority w:val="98"/>
    <w:semiHidden/>
    <w:rsid w:val="00274512"/>
    <w:rPr>
      <w:sz w:val="24"/>
      <w:szCs w:val="24"/>
      <w:lang w:val="en-GB"/>
    </w:rPr>
  </w:style>
  <w:style w:type="paragraph" w:styleId="BodyTextFirstIndent2">
    <w:name w:val="Body Text First Indent 2"/>
    <w:basedOn w:val="BodyTextIndent"/>
    <w:link w:val="BodyTextFirstIndent2Char"/>
    <w:uiPriority w:val="98"/>
    <w:semiHidden/>
    <w:rsid w:val="00274512"/>
    <w:pPr>
      <w:spacing w:after="0"/>
      <w:ind w:left="360" w:firstLine="360"/>
    </w:pPr>
  </w:style>
  <w:style w:type="character" w:customStyle="1" w:styleId="BodyTextFirstIndent2Char">
    <w:name w:val="Body Text First Indent 2 Char"/>
    <w:basedOn w:val="BodyTextIndentChar"/>
    <w:link w:val="BodyTextFirstIndent2"/>
    <w:uiPriority w:val="98"/>
    <w:semiHidden/>
    <w:rsid w:val="00274512"/>
    <w:rPr>
      <w:sz w:val="24"/>
      <w:szCs w:val="24"/>
      <w:lang w:val="en-GB"/>
    </w:rPr>
  </w:style>
  <w:style w:type="paragraph" w:styleId="BodyTextIndent2">
    <w:name w:val="Body Text Indent 2"/>
    <w:basedOn w:val="Normal"/>
    <w:link w:val="BodyTextIndent2Char"/>
    <w:uiPriority w:val="98"/>
    <w:semiHidden/>
    <w:rsid w:val="00274512"/>
    <w:pPr>
      <w:spacing w:after="120" w:line="480" w:lineRule="auto"/>
      <w:ind w:left="283"/>
    </w:pPr>
  </w:style>
  <w:style w:type="character" w:customStyle="1" w:styleId="BodyTextIndent2Char">
    <w:name w:val="Body Text Indent 2 Char"/>
    <w:basedOn w:val="DefaultParagraphFont"/>
    <w:link w:val="BodyTextIndent2"/>
    <w:uiPriority w:val="98"/>
    <w:semiHidden/>
    <w:rsid w:val="00274512"/>
    <w:rPr>
      <w:sz w:val="24"/>
      <w:szCs w:val="24"/>
      <w:lang w:val="en-GB"/>
    </w:rPr>
  </w:style>
  <w:style w:type="paragraph" w:styleId="BodyTextIndent3">
    <w:name w:val="Body Text Indent 3"/>
    <w:basedOn w:val="Normal"/>
    <w:link w:val="BodyTextIndent3Char"/>
    <w:uiPriority w:val="98"/>
    <w:semiHidden/>
    <w:rsid w:val="0027451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74512"/>
    <w:rPr>
      <w:sz w:val="16"/>
      <w:szCs w:val="16"/>
      <w:lang w:val="en-GB"/>
    </w:rPr>
  </w:style>
  <w:style w:type="paragraph" w:styleId="Caption">
    <w:name w:val="caption"/>
    <w:basedOn w:val="Normal"/>
    <w:next w:val="Normal"/>
    <w:uiPriority w:val="98"/>
    <w:semiHidden/>
    <w:qFormat/>
    <w:rsid w:val="00274512"/>
    <w:pPr>
      <w:spacing w:after="200"/>
    </w:pPr>
    <w:rPr>
      <w:b/>
      <w:bCs/>
      <w:color w:val="0072BC" w:themeColor="accent1"/>
      <w:sz w:val="18"/>
      <w:szCs w:val="18"/>
    </w:rPr>
  </w:style>
  <w:style w:type="paragraph" w:styleId="Closing">
    <w:name w:val="Closing"/>
    <w:basedOn w:val="Normal"/>
    <w:link w:val="ClosingChar"/>
    <w:uiPriority w:val="98"/>
    <w:semiHidden/>
    <w:rsid w:val="00274512"/>
    <w:pPr>
      <w:ind w:left="4252"/>
    </w:pPr>
  </w:style>
  <w:style w:type="character" w:customStyle="1" w:styleId="ClosingChar">
    <w:name w:val="Closing Char"/>
    <w:basedOn w:val="DefaultParagraphFont"/>
    <w:link w:val="Closing"/>
    <w:uiPriority w:val="98"/>
    <w:semiHidden/>
    <w:rsid w:val="00274512"/>
    <w:rPr>
      <w:sz w:val="24"/>
      <w:szCs w:val="24"/>
      <w:lang w:val="en-GB"/>
    </w:rPr>
  </w:style>
  <w:style w:type="table" w:styleId="ColorfulGrid">
    <w:name w:val="Colorful Grid"/>
    <w:basedOn w:val="TableNormal"/>
    <w:uiPriority w:val="73"/>
    <w:semiHidden/>
    <w:rsid w:val="0027451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7451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7451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7451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7451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7451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7451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7451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7451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7451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7451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7451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7451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7451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7451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7451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7451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7451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7451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7451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7451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274512"/>
    <w:rPr>
      <w:b/>
      <w:bCs/>
    </w:rPr>
  </w:style>
  <w:style w:type="character" w:customStyle="1" w:styleId="CommentSubjectChar">
    <w:name w:val="Comment Subject Char"/>
    <w:basedOn w:val="CommentTextChar"/>
    <w:link w:val="CommentSubject"/>
    <w:uiPriority w:val="98"/>
    <w:semiHidden/>
    <w:rsid w:val="00274512"/>
    <w:rPr>
      <w:b/>
      <w:bCs/>
      <w:sz w:val="20"/>
      <w:szCs w:val="20"/>
      <w:lang w:val="en-GB"/>
    </w:rPr>
  </w:style>
  <w:style w:type="table" w:styleId="DarkList">
    <w:name w:val="Dark List"/>
    <w:basedOn w:val="TableNormal"/>
    <w:uiPriority w:val="70"/>
    <w:semiHidden/>
    <w:rsid w:val="0027451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7451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7451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7451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7451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7451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7451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74512"/>
  </w:style>
  <w:style w:type="character" w:customStyle="1" w:styleId="DateChar">
    <w:name w:val="Date Char"/>
    <w:basedOn w:val="DefaultParagraphFont"/>
    <w:link w:val="Date"/>
    <w:uiPriority w:val="98"/>
    <w:semiHidden/>
    <w:rsid w:val="00274512"/>
    <w:rPr>
      <w:sz w:val="24"/>
      <w:szCs w:val="24"/>
      <w:lang w:val="en-GB"/>
    </w:rPr>
  </w:style>
  <w:style w:type="paragraph" w:styleId="DocumentMap">
    <w:name w:val="Document Map"/>
    <w:basedOn w:val="Normal"/>
    <w:link w:val="DocumentMapChar"/>
    <w:uiPriority w:val="98"/>
    <w:semiHidden/>
    <w:rsid w:val="00274512"/>
    <w:rPr>
      <w:rFonts w:ascii="Tahoma" w:hAnsi="Tahoma" w:cs="Tahoma"/>
      <w:sz w:val="16"/>
      <w:szCs w:val="16"/>
    </w:rPr>
  </w:style>
  <w:style w:type="character" w:customStyle="1" w:styleId="DocumentMapChar">
    <w:name w:val="Document Map Char"/>
    <w:basedOn w:val="DefaultParagraphFont"/>
    <w:link w:val="DocumentMap"/>
    <w:uiPriority w:val="98"/>
    <w:semiHidden/>
    <w:rsid w:val="00274512"/>
    <w:rPr>
      <w:rFonts w:ascii="Tahoma" w:hAnsi="Tahoma" w:cs="Tahoma"/>
      <w:sz w:val="16"/>
      <w:szCs w:val="16"/>
      <w:lang w:val="en-GB"/>
    </w:rPr>
  </w:style>
  <w:style w:type="paragraph" w:styleId="E-mailSignature">
    <w:name w:val="E-mail Signature"/>
    <w:basedOn w:val="Normal"/>
    <w:link w:val="E-mailSignatureChar"/>
    <w:uiPriority w:val="98"/>
    <w:semiHidden/>
    <w:rsid w:val="00274512"/>
  </w:style>
  <w:style w:type="character" w:customStyle="1" w:styleId="E-mailSignatureChar">
    <w:name w:val="E-mail Signature Char"/>
    <w:basedOn w:val="DefaultParagraphFont"/>
    <w:link w:val="E-mailSignature"/>
    <w:uiPriority w:val="98"/>
    <w:semiHidden/>
    <w:rsid w:val="00274512"/>
    <w:rPr>
      <w:sz w:val="24"/>
      <w:szCs w:val="24"/>
      <w:lang w:val="en-GB"/>
    </w:rPr>
  </w:style>
  <w:style w:type="character" w:styleId="EndnoteReference">
    <w:name w:val="endnote reference"/>
    <w:basedOn w:val="DefaultParagraphFont"/>
    <w:uiPriority w:val="98"/>
    <w:semiHidden/>
    <w:rsid w:val="00274512"/>
    <w:rPr>
      <w:vertAlign w:val="superscript"/>
    </w:rPr>
  </w:style>
  <w:style w:type="paragraph" w:styleId="EndnoteText">
    <w:name w:val="endnote text"/>
    <w:basedOn w:val="Normal"/>
    <w:link w:val="EndnoteTextChar"/>
    <w:uiPriority w:val="98"/>
    <w:semiHidden/>
    <w:rsid w:val="00274512"/>
    <w:rPr>
      <w:sz w:val="20"/>
      <w:szCs w:val="20"/>
    </w:rPr>
  </w:style>
  <w:style w:type="character" w:customStyle="1" w:styleId="EndnoteTextChar">
    <w:name w:val="Endnote Text Char"/>
    <w:basedOn w:val="DefaultParagraphFont"/>
    <w:link w:val="EndnoteText"/>
    <w:uiPriority w:val="98"/>
    <w:semiHidden/>
    <w:rsid w:val="00274512"/>
    <w:rPr>
      <w:sz w:val="20"/>
      <w:szCs w:val="20"/>
      <w:lang w:val="en-GB"/>
    </w:rPr>
  </w:style>
  <w:style w:type="paragraph" w:styleId="EnvelopeAddress">
    <w:name w:val="envelope address"/>
    <w:basedOn w:val="Normal"/>
    <w:uiPriority w:val="98"/>
    <w:semiHidden/>
    <w:rsid w:val="0027451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7451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74512"/>
    <w:rPr>
      <w:color w:val="7030A0" w:themeColor="followedHyperlink"/>
      <w:u w:val="single"/>
    </w:rPr>
  </w:style>
  <w:style w:type="character" w:styleId="HTMLAcronym">
    <w:name w:val="HTML Acronym"/>
    <w:basedOn w:val="DefaultParagraphFont"/>
    <w:uiPriority w:val="98"/>
    <w:semiHidden/>
    <w:rsid w:val="00274512"/>
  </w:style>
  <w:style w:type="paragraph" w:styleId="HTMLAddress">
    <w:name w:val="HTML Address"/>
    <w:basedOn w:val="Normal"/>
    <w:link w:val="HTMLAddressChar"/>
    <w:uiPriority w:val="98"/>
    <w:semiHidden/>
    <w:rsid w:val="00274512"/>
    <w:rPr>
      <w:i/>
      <w:iCs/>
    </w:rPr>
  </w:style>
  <w:style w:type="character" w:customStyle="1" w:styleId="HTMLAddressChar">
    <w:name w:val="HTML Address Char"/>
    <w:basedOn w:val="DefaultParagraphFont"/>
    <w:link w:val="HTMLAddress"/>
    <w:uiPriority w:val="98"/>
    <w:semiHidden/>
    <w:rsid w:val="00274512"/>
    <w:rPr>
      <w:i/>
      <w:iCs/>
      <w:sz w:val="24"/>
      <w:szCs w:val="24"/>
      <w:lang w:val="en-GB"/>
    </w:rPr>
  </w:style>
  <w:style w:type="character" w:styleId="HTMLCite">
    <w:name w:val="HTML Cite"/>
    <w:basedOn w:val="DefaultParagraphFont"/>
    <w:uiPriority w:val="98"/>
    <w:semiHidden/>
    <w:rsid w:val="00274512"/>
    <w:rPr>
      <w:i/>
      <w:iCs/>
    </w:rPr>
  </w:style>
  <w:style w:type="character" w:styleId="HTMLCode">
    <w:name w:val="HTML Code"/>
    <w:basedOn w:val="DefaultParagraphFont"/>
    <w:uiPriority w:val="98"/>
    <w:semiHidden/>
    <w:rsid w:val="00274512"/>
    <w:rPr>
      <w:rFonts w:ascii="Consolas" w:hAnsi="Consolas" w:cs="Consolas"/>
      <w:sz w:val="20"/>
      <w:szCs w:val="20"/>
    </w:rPr>
  </w:style>
  <w:style w:type="character" w:styleId="HTMLDefinition">
    <w:name w:val="HTML Definition"/>
    <w:basedOn w:val="DefaultParagraphFont"/>
    <w:uiPriority w:val="98"/>
    <w:semiHidden/>
    <w:rsid w:val="00274512"/>
    <w:rPr>
      <w:i/>
      <w:iCs/>
    </w:rPr>
  </w:style>
  <w:style w:type="character" w:styleId="HTMLKeyboard">
    <w:name w:val="HTML Keyboard"/>
    <w:basedOn w:val="DefaultParagraphFont"/>
    <w:uiPriority w:val="98"/>
    <w:semiHidden/>
    <w:rsid w:val="00274512"/>
    <w:rPr>
      <w:rFonts w:ascii="Consolas" w:hAnsi="Consolas" w:cs="Consolas"/>
      <w:sz w:val="20"/>
      <w:szCs w:val="20"/>
    </w:rPr>
  </w:style>
  <w:style w:type="paragraph" w:styleId="HTMLPreformatted">
    <w:name w:val="HTML Preformatted"/>
    <w:basedOn w:val="Normal"/>
    <w:link w:val="HTMLPreformattedChar"/>
    <w:uiPriority w:val="98"/>
    <w:semiHidden/>
    <w:rsid w:val="0027451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74512"/>
    <w:rPr>
      <w:rFonts w:ascii="Consolas" w:hAnsi="Consolas" w:cs="Consolas"/>
      <w:sz w:val="20"/>
      <w:szCs w:val="20"/>
      <w:lang w:val="en-GB"/>
    </w:rPr>
  </w:style>
  <w:style w:type="character" w:styleId="HTMLSample">
    <w:name w:val="HTML Sample"/>
    <w:basedOn w:val="DefaultParagraphFont"/>
    <w:uiPriority w:val="98"/>
    <w:semiHidden/>
    <w:rsid w:val="00274512"/>
    <w:rPr>
      <w:rFonts w:ascii="Consolas" w:hAnsi="Consolas" w:cs="Consolas"/>
      <w:sz w:val="24"/>
      <w:szCs w:val="24"/>
    </w:rPr>
  </w:style>
  <w:style w:type="character" w:styleId="HTMLTypewriter">
    <w:name w:val="HTML Typewriter"/>
    <w:basedOn w:val="DefaultParagraphFont"/>
    <w:uiPriority w:val="98"/>
    <w:semiHidden/>
    <w:rsid w:val="00274512"/>
    <w:rPr>
      <w:rFonts w:ascii="Consolas" w:hAnsi="Consolas" w:cs="Consolas"/>
      <w:sz w:val="20"/>
      <w:szCs w:val="20"/>
    </w:rPr>
  </w:style>
  <w:style w:type="character" w:styleId="HTMLVariable">
    <w:name w:val="HTML Variable"/>
    <w:basedOn w:val="DefaultParagraphFont"/>
    <w:uiPriority w:val="98"/>
    <w:semiHidden/>
    <w:rsid w:val="00274512"/>
    <w:rPr>
      <w:i/>
      <w:iCs/>
    </w:rPr>
  </w:style>
  <w:style w:type="paragraph" w:styleId="Index1">
    <w:name w:val="index 1"/>
    <w:basedOn w:val="Normal"/>
    <w:next w:val="Normal"/>
    <w:autoRedefine/>
    <w:uiPriority w:val="98"/>
    <w:semiHidden/>
    <w:rsid w:val="00274512"/>
    <w:pPr>
      <w:ind w:left="240" w:hanging="240"/>
    </w:pPr>
  </w:style>
  <w:style w:type="paragraph" w:styleId="Index2">
    <w:name w:val="index 2"/>
    <w:basedOn w:val="Normal"/>
    <w:next w:val="Normal"/>
    <w:autoRedefine/>
    <w:uiPriority w:val="98"/>
    <w:semiHidden/>
    <w:rsid w:val="00274512"/>
    <w:pPr>
      <w:ind w:left="480" w:hanging="240"/>
    </w:pPr>
  </w:style>
  <w:style w:type="paragraph" w:styleId="Index3">
    <w:name w:val="index 3"/>
    <w:basedOn w:val="Normal"/>
    <w:next w:val="Normal"/>
    <w:autoRedefine/>
    <w:uiPriority w:val="98"/>
    <w:semiHidden/>
    <w:rsid w:val="00274512"/>
    <w:pPr>
      <w:ind w:left="720" w:hanging="240"/>
    </w:pPr>
  </w:style>
  <w:style w:type="paragraph" w:styleId="Index4">
    <w:name w:val="index 4"/>
    <w:basedOn w:val="Normal"/>
    <w:next w:val="Normal"/>
    <w:autoRedefine/>
    <w:uiPriority w:val="98"/>
    <w:semiHidden/>
    <w:rsid w:val="00274512"/>
    <w:pPr>
      <w:ind w:left="960" w:hanging="240"/>
    </w:pPr>
  </w:style>
  <w:style w:type="paragraph" w:styleId="Index5">
    <w:name w:val="index 5"/>
    <w:basedOn w:val="Normal"/>
    <w:next w:val="Normal"/>
    <w:autoRedefine/>
    <w:uiPriority w:val="98"/>
    <w:semiHidden/>
    <w:rsid w:val="00274512"/>
    <w:pPr>
      <w:ind w:left="1200" w:hanging="240"/>
    </w:pPr>
  </w:style>
  <w:style w:type="paragraph" w:styleId="Index6">
    <w:name w:val="index 6"/>
    <w:basedOn w:val="Normal"/>
    <w:next w:val="Normal"/>
    <w:autoRedefine/>
    <w:uiPriority w:val="98"/>
    <w:semiHidden/>
    <w:rsid w:val="00274512"/>
    <w:pPr>
      <w:ind w:left="1440" w:hanging="240"/>
    </w:pPr>
  </w:style>
  <w:style w:type="paragraph" w:styleId="Index7">
    <w:name w:val="index 7"/>
    <w:basedOn w:val="Normal"/>
    <w:next w:val="Normal"/>
    <w:autoRedefine/>
    <w:uiPriority w:val="98"/>
    <w:semiHidden/>
    <w:rsid w:val="00274512"/>
    <w:pPr>
      <w:ind w:left="1680" w:hanging="240"/>
    </w:pPr>
  </w:style>
  <w:style w:type="paragraph" w:styleId="Index8">
    <w:name w:val="index 8"/>
    <w:basedOn w:val="Normal"/>
    <w:next w:val="Normal"/>
    <w:autoRedefine/>
    <w:uiPriority w:val="98"/>
    <w:semiHidden/>
    <w:rsid w:val="00274512"/>
    <w:pPr>
      <w:ind w:left="1920" w:hanging="240"/>
    </w:pPr>
  </w:style>
  <w:style w:type="paragraph" w:styleId="Index9">
    <w:name w:val="index 9"/>
    <w:basedOn w:val="Normal"/>
    <w:next w:val="Normal"/>
    <w:autoRedefine/>
    <w:uiPriority w:val="98"/>
    <w:semiHidden/>
    <w:rsid w:val="00274512"/>
    <w:pPr>
      <w:ind w:left="2160" w:hanging="240"/>
    </w:pPr>
  </w:style>
  <w:style w:type="paragraph" w:styleId="IndexHeading">
    <w:name w:val="index heading"/>
    <w:basedOn w:val="Normal"/>
    <w:next w:val="Index1"/>
    <w:uiPriority w:val="98"/>
    <w:semiHidden/>
    <w:rsid w:val="00274512"/>
    <w:rPr>
      <w:rFonts w:asciiTheme="majorHAnsi" w:eastAsiaTheme="majorEastAsia" w:hAnsiTheme="majorHAnsi" w:cstheme="majorBidi"/>
      <w:b/>
      <w:bCs/>
    </w:rPr>
  </w:style>
  <w:style w:type="table" w:styleId="LightGrid">
    <w:name w:val="Light Grid"/>
    <w:basedOn w:val="TableNormal"/>
    <w:uiPriority w:val="62"/>
    <w:semiHidden/>
    <w:rsid w:val="0027451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7451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7451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7451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7451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7451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7451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7451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7451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7451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7451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7451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7451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7451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7451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7451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7451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7451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7451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7451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7451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74512"/>
  </w:style>
  <w:style w:type="paragraph" w:styleId="List">
    <w:name w:val="List"/>
    <w:basedOn w:val="Normal"/>
    <w:uiPriority w:val="98"/>
    <w:semiHidden/>
    <w:rsid w:val="00274512"/>
    <w:pPr>
      <w:ind w:left="283" w:hanging="283"/>
      <w:contextualSpacing/>
    </w:pPr>
  </w:style>
  <w:style w:type="paragraph" w:styleId="List20">
    <w:name w:val="List 2"/>
    <w:basedOn w:val="Normal"/>
    <w:uiPriority w:val="98"/>
    <w:semiHidden/>
    <w:rsid w:val="00274512"/>
    <w:pPr>
      <w:ind w:left="566" w:hanging="283"/>
      <w:contextualSpacing/>
    </w:pPr>
  </w:style>
  <w:style w:type="paragraph" w:styleId="List30">
    <w:name w:val="List 3"/>
    <w:basedOn w:val="Normal"/>
    <w:uiPriority w:val="98"/>
    <w:semiHidden/>
    <w:rsid w:val="00274512"/>
    <w:pPr>
      <w:ind w:left="849" w:hanging="283"/>
      <w:contextualSpacing/>
    </w:pPr>
  </w:style>
  <w:style w:type="paragraph" w:styleId="List4">
    <w:name w:val="List 4"/>
    <w:basedOn w:val="Normal"/>
    <w:uiPriority w:val="98"/>
    <w:semiHidden/>
    <w:rsid w:val="00274512"/>
    <w:pPr>
      <w:ind w:left="1132" w:hanging="283"/>
      <w:contextualSpacing/>
    </w:pPr>
  </w:style>
  <w:style w:type="paragraph" w:styleId="List5">
    <w:name w:val="List 5"/>
    <w:basedOn w:val="Normal"/>
    <w:uiPriority w:val="98"/>
    <w:semiHidden/>
    <w:rsid w:val="00274512"/>
    <w:pPr>
      <w:ind w:left="1415" w:hanging="283"/>
      <w:contextualSpacing/>
    </w:pPr>
  </w:style>
  <w:style w:type="paragraph" w:styleId="ListBullet2">
    <w:name w:val="List Bullet 2"/>
    <w:basedOn w:val="Normal"/>
    <w:uiPriority w:val="98"/>
    <w:semiHidden/>
    <w:rsid w:val="00274512"/>
    <w:pPr>
      <w:numPr>
        <w:numId w:val="6"/>
      </w:numPr>
      <w:contextualSpacing/>
    </w:pPr>
  </w:style>
  <w:style w:type="paragraph" w:styleId="ListBullet3">
    <w:name w:val="List Bullet 3"/>
    <w:basedOn w:val="Normal"/>
    <w:uiPriority w:val="98"/>
    <w:semiHidden/>
    <w:rsid w:val="00274512"/>
    <w:pPr>
      <w:numPr>
        <w:numId w:val="7"/>
      </w:numPr>
      <w:contextualSpacing/>
    </w:pPr>
  </w:style>
  <w:style w:type="paragraph" w:styleId="ListBullet4">
    <w:name w:val="List Bullet 4"/>
    <w:basedOn w:val="Normal"/>
    <w:uiPriority w:val="98"/>
    <w:semiHidden/>
    <w:rsid w:val="00274512"/>
    <w:pPr>
      <w:numPr>
        <w:numId w:val="8"/>
      </w:numPr>
      <w:contextualSpacing/>
    </w:pPr>
  </w:style>
  <w:style w:type="paragraph" w:styleId="ListBullet5">
    <w:name w:val="List Bullet 5"/>
    <w:basedOn w:val="Normal"/>
    <w:uiPriority w:val="98"/>
    <w:semiHidden/>
    <w:rsid w:val="00274512"/>
    <w:pPr>
      <w:numPr>
        <w:numId w:val="9"/>
      </w:numPr>
      <w:contextualSpacing/>
    </w:pPr>
  </w:style>
  <w:style w:type="paragraph" w:styleId="ListContinue">
    <w:name w:val="List Continue"/>
    <w:basedOn w:val="Normal"/>
    <w:uiPriority w:val="98"/>
    <w:semiHidden/>
    <w:rsid w:val="00274512"/>
    <w:pPr>
      <w:spacing w:after="120"/>
      <w:ind w:left="283"/>
      <w:contextualSpacing/>
    </w:pPr>
  </w:style>
  <w:style w:type="paragraph" w:styleId="ListContinue2">
    <w:name w:val="List Continue 2"/>
    <w:basedOn w:val="Normal"/>
    <w:uiPriority w:val="98"/>
    <w:semiHidden/>
    <w:rsid w:val="00274512"/>
    <w:pPr>
      <w:spacing w:after="120"/>
      <w:ind w:left="566"/>
      <w:contextualSpacing/>
    </w:pPr>
  </w:style>
  <w:style w:type="paragraph" w:styleId="ListContinue3">
    <w:name w:val="List Continue 3"/>
    <w:basedOn w:val="Normal"/>
    <w:uiPriority w:val="98"/>
    <w:semiHidden/>
    <w:rsid w:val="00274512"/>
    <w:pPr>
      <w:spacing w:after="120"/>
      <w:ind w:left="849"/>
      <w:contextualSpacing/>
    </w:pPr>
  </w:style>
  <w:style w:type="paragraph" w:styleId="ListContinue4">
    <w:name w:val="List Continue 4"/>
    <w:basedOn w:val="Normal"/>
    <w:uiPriority w:val="98"/>
    <w:semiHidden/>
    <w:rsid w:val="00274512"/>
    <w:pPr>
      <w:spacing w:after="120"/>
      <w:ind w:left="1132"/>
      <w:contextualSpacing/>
    </w:pPr>
  </w:style>
  <w:style w:type="paragraph" w:styleId="ListContinue5">
    <w:name w:val="List Continue 5"/>
    <w:basedOn w:val="Normal"/>
    <w:uiPriority w:val="98"/>
    <w:semiHidden/>
    <w:rsid w:val="00274512"/>
    <w:pPr>
      <w:spacing w:after="120"/>
      <w:ind w:left="1415"/>
      <w:contextualSpacing/>
    </w:pPr>
  </w:style>
  <w:style w:type="paragraph" w:styleId="ListNumber">
    <w:name w:val="List Number"/>
    <w:basedOn w:val="Normal"/>
    <w:uiPriority w:val="98"/>
    <w:semiHidden/>
    <w:rsid w:val="00274512"/>
    <w:pPr>
      <w:numPr>
        <w:numId w:val="10"/>
      </w:numPr>
      <w:contextualSpacing/>
    </w:pPr>
  </w:style>
  <w:style w:type="paragraph" w:styleId="ListNumber2">
    <w:name w:val="List Number 2"/>
    <w:basedOn w:val="Normal"/>
    <w:uiPriority w:val="98"/>
    <w:semiHidden/>
    <w:rsid w:val="00274512"/>
    <w:pPr>
      <w:numPr>
        <w:numId w:val="11"/>
      </w:numPr>
      <w:contextualSpacing/>
    </w:pPr>
  </w:style>
  <w:style w:type="paragraph" w:styleId="ListNumber3">
    <w:name w:val="List Number 3"/>
    <w:basedOn w:val="Normal"/>
    <w:uiPriority w:val="98"/>
    <w:semiHidden/>
    <w:rsid w:val="00274512"/>
    <w:pPr>
      <w:numPr>
        <w:numId w:val="12"/>
      </w:numPr>
      <w:contextualSpacing/>
    </w:pPr>
  </w:style>
  <w:style w:type="paragraph" w:styleId="ListNumber4">
    <w:name w:val="List Number 4"/>
    <w:basedOn w:val="Normal"/>
    <w:uiPriority w:val="98"/>
    <w:semiHidden/>
    <w:rsid w:val="00274512"/>
    <w:pPr>
      <w:numPr>
        <w:numId w:val="13"/>
      </w:numPr>
      <w:contextualSpacing/>
    </w:pPr>
  </w:style>
  <w:style w:type="paragraph" w:styleId="ListNumber5">
    <w:name w:val="List Number 5"/>
    <w:basedOn w:val="Normal"/>
    <w:uiPriority w:val="98"/>
    <w:semiHidden/>
    <w:rsid w:val="00274512"/>
    <w:pPr>
      <w:numPr>
        <w:numId w:val="14"/>
      </w:numPr>
      <w:contextualSpacing/>
    </w:pPr>
  </w:style>
  <w:style w:type="paragraph" w:styleId="Macro">
    <w:name w:val="macro"/>
    <w:link w:val="MacroTextChar"/>
    <w:uiPriority w:val="98"/>
    <w:semiHidden/>
    <w:rsid w:val="0027451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74512"/>
    <w:rPr>
      <w:rFonts w:ascii="Consolas" w:hAnsi="Consolas" w:eastAsiaTheme="minorEastAsia" w:cs="Consolas"/>
      <w:sz w:val="20"/>
      <w:szCs w:val="20"/>
    </w:rPr>
  </w:style>
  <w:style w:type="table" w:styleId="MediumGrid1">
    <w:name w:val="Medium Grid 1"/>
    <w:basedOn w:val="TableNormal"/>
    <w:uiPriority w:val="67"/>
    <w:semiHidden/>
    <w:rsid w:val="0027451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7451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7451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7451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7451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7451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7451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745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745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745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745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745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745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7451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7451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7451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7451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7451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7451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7451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7451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7451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7451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7451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7451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7451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7451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7451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7451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745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745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745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745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745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745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745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745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7451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74512"/>
    <w:rPr>
      <w:rFonts w:ascii="Times New Roman" w:hAnsi="Times New Roman" w:cs="Times New Roman"/>
    </w:rPr>
  </w:style>
  <w:style w:type="paragraph" w:styleId="NormalIndent">
    <w:name w:val="Normal Indent"/>
    <w:basedOn w:val="Normal"/>
    <w:uiPriority w:val="98"/>
    <w:semiHidden/>
    <w:rsid w:val="00274512"/>
    <w:pPr>
      <w:ind w:left="720"/>
    </w:pPr>
  </w:style>
  <w:style w:type="paragraph" w:customStyle="1" w:styleId="ECHRHeaderLandscape">
    <w:name w:val="ECHR_Header_Landscape"/>
    <w:aliases w:val="_Header_Landscape"/>
    <w:basedOn w:val="JuHeader"/>
    <w:uiPriority w:val="29"/>
    <w:semiHidden/>
    <w:rsid w:val="00274512"/>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274512"/>
    <w:rPr>
      <w:sz w:val="24"/>
      <w:szCs w:val="24"/>
      <w:lang w:val="en-GB"/>
    </w:rPr>
  </w:style>
  <w:style w:type="paragraph" w:styleId="PlainText">
    <w:name w:val="Plain Text"/>
    <w:basedOn w:val="Normal"/>
    <w:link w:val="PlainTextChar"/>
    <w:uiPriority w:val="98"/>
    <w:semiHidden/>
    <w:rsid w:val="00274512"/>
    <w:rPr>
      <w:rFonts w:ascii="Consolas" w:hAnsi="Consolas" w:cs="Consolas"/>
      <w:sz w:val="21"/>
      <w:szCs w:val="21"/>
    </w:rPr>
  </w:style>
  <w:style w:type="character" w:customStyle="1" w:styleId="PlainTextChar">
    <w:name w:val="Plain Text Char"/>
    <w:basedOn w:val="DefaultParagraphFont"/>
    <w:link w:val="PlainText"/>
    <w:uiPriority w:val="98"/>
    <w:semiHidden/>
    <w:rsid w:val="00274512"/>
    <w:rPr>
      <w:rFonts w:ascii="Consolas" w:hAnsi="Consolas" w:cs="Consolas"/>
      <w:sz w:val="21"/>
      <w:szCs w:val="21"/>
      <w:lang w:val="en-GB"/>
    </w:rPr>
  </w:style>
  <w:style w:type="paragraph" w:styleId="Salutation">
    <w:name w:val="Salutation"/>
    <w:basedOn w:val="Normal"/>
    <w:next w:val="Normal"/>
    <w:link w:val="SalutationChar"/>
    <w:uiPriority w:val="98"/>
    <w:semiHidden/>
    <w:rsid w:val="00274512"/>
  </w:style>
  <w:style w:type="character" w:customStyle="1" w:styleId="SalutationChar">
    <w:name w:val="Salutation Char"/>
    <w:basedOn w:val="DefaultParagraphFont"/>
    <w:link w:val="Salutation"/>
    <w:uiPriority w:val="98"/>
    <w:semiHidden/>
    <w:rsid w:val="00274512"/>
    <w:rPr>
      <w:sz w:val="24"/>
      <w:szCs w:val="24"/>
      <w:lang w:val="en-GB"/>
    </w:rPr>
  </w:style>
  <w:style w:type="paragraph" w:styleId="Signature0">
    <w:name w:val="Signature"/>
    <w:basedOn w:val="Normal"/>
    <w:link w:val="SignatureChar"/>
    <w:uiPriority w:val="98"/>
    <w:semiHidden/>
    <w:rsid w:val="00274512"/>
    <w:pPr>
      <w:ind w:left="4252"/>
    </w:pPr>
  </w:style>
  <w:style w:type="character" w:customStyle="1" w:styleId="SignatureChar">
    <w:name w:val="Signature Char"/>
    <w:basedOn w:val="DefaultParagraphFont"/>
    <w:link w:val="Signature0"/>
    <w:uiPriority w:val="98"/>
    <w:semiHidden/>
    <w:rsid w:val="00274512"/>
    <w:rPr>
      <w:sz w:val="24"/>
      <w:szCs w:val="24"/>
      <w:lang w:val="en-GB"/>
    </w:rPr>
  </w:style>
  <w:style w:type="table" w:styleId="Table3Deffects1">
    <w:name w:val="Table 3D effects 1"/>
    <w:basedOn w:val="TableNormal"/>
    <w:uiPriority w:val="99"/>
    <w:semiHidden/>
    <w:unhideWhenUsed/>
    <w:rsid w:val="0027451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7451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7451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7451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7451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7451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7451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7451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7451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7451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7451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7451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7451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7451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7451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7451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7451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745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7451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7451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7451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7451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7451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7451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7451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7451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7451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7451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7451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745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7451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7451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7451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74512"/>
    <w:pPr>
      <w:ind w:left="240" w:hanging="240"/>
    </w:pPr>
  </w:style>
  <w:style w:type="paragraph" w:styleId="TableofFigures">
    <w:name w:val="table of figures"/>
    <w:basedOn w:val="Normal"/>
    <w:next w:val="Normal"/>
    <w:uiPriority w:val="98"/>
    <w:semiHidden/>
    <w:rsid w:val="00274512"/>
  </w:style>
  <w:style w:type="table" w:styleId="TableProfessional">
    <w:name w:val="Table Professional"/>
    <w:basedOn w:val="TableNormal"/>
    <w:uiPriority w:val="99"/>
    <w:semiHidden/>
    <w:unhideWhenUsed/>
    <w:rsid w:val="002745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7451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7451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7451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7451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7451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7451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7451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7451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7451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7451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7451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74512"/>
    <w:pPr>
      <w:spacing w:after="100"/>
      <w:ind w:left="1680"/>
    </w:pPr>
  </w:style>
  <w:style w:type="paragraph" w:styleId="TOC9">
    <w:name w:val="toc 9"/>
    <w:basedOn w:val="Normal"/>
    <w:next w:val="Normal"/>
    <w:autoRedefine/>
    <w:uiPriority w:val="98"/>
    <w:semiHidden/>
    <w:rsid w:val="00274512"/>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274512"/>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274512"/>
    <w:rPr>
      <w:color w:val="0072BC" w:themeColor="hyperlink"/>
      <w:u w:val="single"/>
    </w:rPr>
  </w:style>
  <w:style w:type="paragraph" w:styleId="NoteHeading">
    <w:name w:val="Note Heading"/>
    <w:basedOn w:val="Normal"/>
    <w:next w:val="Normal"/>
    <w:link w:val="NoteHeadingChar"/>
    <w:uiPriority w:val="98"/>
    <w:semiHidden/>
    <w:rsid w:val="00274512"/>
  </w:style>
  <w:style w:type="paragraph" w:customStyle="1" w:styleId="DecList">
    <w:name w:val="Dec_List"/>
    <w:aliases w:val="_List"/>
    <w:basedOn w:val="JuList"/>
    <w:uiPriority w:val="22"/>
    <w:rsid w:val="00274512"/>
    <w:pPr>
      <w:numPr>
        <w:numId w:val="0"/>
      </w:numPr>
      <w:ind w:left="284"/>
    </w:pPr>
  </w:style>
  <w:style w:type="paragraph" w:customStyle="1" w:styleId="ECHRPlaceholder">
    <w:name w:val="ECHR_Placeholder"/>
    <w:aliases w:val="_Placeholder"/>
    <w:basedOn w:val="JuSigned"/>
    <w:uiPriority w:val="31"/>
    <w:rsid w:val="00274512"/>
    <w:rPr>
      <w:color w:val="FFFFFF"/>
    </w:rPr>
  </w:style>
  <w:style w:type="paragraph" w:customStyle="1" w:styleId="ECHRBullet1">
    <w:name w:val="ECHR_Bullet_1"/>
    <w:aliases w:val="_Bul_1"/>
    <w:basedOn w:val="NormalJustified"/>
    <w:uiPriority w:val="23"/>
    <w:semiHidden/>
    <w:qFormat/>
    <w:rsid w:val="00274512"/>
    <w:pPr>
      <w:numPr>
        <w:numId w:val="18"/>
      </w:numPr>
      <w:spacing w:before="60" w:after="60"/>
    </w:pPr>
  </w:style>
  <w:style w:type="paragraph" w:customStyle="1" w:styleId="ECHRBullet2">
    <w:name w:val="ECHR_Bullet_2"/>
    <w:aliases w:val="_Bul_2"/>
    <w:basedOn w:val="ECHRBullet1"/>
    <w:uiPriority w:val="23"/>
    <w:semiHidden/>
    <w:rsid w:val="00274512"/>
    <w:pPr>
      <w:numPr>
        <w:ilvl w:val="1"/>
      </w:numPr>
    </w:pPr>
  </w:style>
  <w:style w:type="paragraph" w:customStyle="1" w:styleId="ECHRBullet3">
    <w:name w:val="ECHR_Bullet_3"/>
    <w:aliases w:val="_Bul_3"/>
    <w:basedOn w:val="ECHRBullet2"/>
    <w:uiPriority w:val="23"/>
    <w:semiHidden/>
    <w:rsid w:val="00274512"/>
    <w:pPr>
      <w:numPr>
        <w:ilvl w:val="2"/>
      </w:numPr>
    </w:pPr>
  </w:style>
  <w:style w:type="paragraph" w:customStyle="1" w:styleId="ECHRBullet4">
    <w:name w:val="ECHR_Bullet_4"/>
    <w:aliases w:val="_Bul_4"/>
    <w:basedOn w:val="ECHRBullet3"/>
    <w:uiPriority w:val="23"/>
    <w:semiHidden/>
    <w:rsid w:val="00274512"/>
    <w:pPr>
      <w:numPr>
        <w:ilvl w:val="3"/>
      </w:numPr>
    </w:pPr>
  </w:style>
  <w:style w:type="paragraph" w:customStyle="1" w:styleId="ECHRConfidential">
    <w:name w:val="ECHR_Confidential"/>
    <w:aliases w:val="_Confidential"/>
    <w:basedOn w:val="Normal"/>
    <w:next w:val="Normal"/>
    <w:uiPriority w:val="42"/>
    <w:semiHidden/>
    <w:qFormat/>
    <w:rsid w:val="00274512"/>
    <w:pPr>
      <w:jc w:val="right"/>
    </w:pPr>
    <w:rPr>
      <w:color w:val="C00000"/>
      <w:sz w:val="20"/>
    </w:rPr>
  </w:style>
  <w:style w:type="paragraph" w:customStyle="1" w:styleId="ECHRDecisionBody">
    <w:name w:val="ECHR_Decision_Body"/>
    <w:aliases w:val="_Decision_Body"/>
    <w:basedOn w:val="NormalJustified"/>
    <w:uiPriority w:val="54"/>
    <w:semiHidden/>
    <w:rsid w:val="0027451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7451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7451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7451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74512"/>
    <w:pPr>
      <w:jc w:val="right"/>
    </w:pPr>
    <w:rPr>
      <w:sz w:val="20"/>
    </w:rPr>
  </w:style>
  <w:style w:type="paragraph" w:customStyle="1" w:styleId="ECHRHeaderRefIt">
    <w:name w:val="ECHR_Header_Ref_It"/>
    <w:aliases w:val="_Ref_Ital"/>
    <w:basedOn w:val="Normal"/>
    <w:next w:val="ECHRHeaderDate"/>
    <w:uiPriority w:val="43"/>
    <w:semiHidden/>
    <w:qFormat/>
    <w:rsid w:val="00274512"/>
    <w:pPr>
      <w:jc w:val="right"/>
    </w:pPr>
    <w:rPr>
      <w:i/>
      <w:sz w:val="20"/>
    </w:rPr>
  </w:style>
  <w:style w:type="paragraph" w:customStyle="1" w:styleId="ECHRHeading9">
    <w:name w:val="ECHR_Heading_9"/>
    <w:aliases w:val="_Head_9"/>
    <w:basedOn w:val="Heading9"/>
    <w:uiPriority w:val="17"/>
    <w:semiHidden/>
    <w:rsid w:val="0027451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7451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74512"/>
    <w:pPr>
      <w:numPr>
        <w:numId w:val="19"/>
      </w:numPr>
      <w:spacing w:before="60" w:after="60"/>
    </w:pPr>
  </w:style>
  <w:style w:type="paragraph" w:customStyle="1" w:styleId="ECHRNumberedList2">
    <w:name w:val="ECHR_Numbered_List_2"/>
    <w:aliases w:val="_Num_2"/>
    <w:basedOn w:val="ECHRNumberedList1"/>
    <w:uiPriority w:val="23"/>
    <w:semiHidden/>
    <w:rsid w:val="00274512"/>
    <w:pPr>
      <w:numPr>
        <w:ilvl w:val="1"/>
      </w:numPr>
    </w:pPr>
  </w:style>
  <w:style w:type="paragraph" w:customStyle="1" w:styleId="ECHRNumberedList3">
    <w:name w:val="ECHR_Numbered_List_3"/>
    <w:aliases w:val="_Num_3"/>
    <w:basedOn w:val="ECHRNumberedList2"/>
    <w:uiPriority w:val="23"/>
    <w:semiHidden/>
    <w:rsid w:val="00274512"/>
    <w:pPr>
      <w:numPr>
        <w:ilvl w:val="2"/>
      </w:numPr>
    </w:pPr>
  </w:style>
  <w:style w:type="paragraph" w:customStyle="1" w:styleId="ECHRParaHanging">
    <w:name w:val="ECHR_Para_Hanging"/>
    <w:aliases w:val="_Hanging"/>
    <w:basedOn w:val="NormalJustified"/>
    <w:uiPriority w:val="8"/>
    <w:semiHidden/>
    <w:qFormat/>
    <w:rsid w:val="00274512"/>
    <w:pPr>
      <w:ind w:left="567" w:hanging="567"/>
    </w:pPr>
  </w:style>
  <w:style w:type="paragraph" w:customStyle="1" w:styleId="ECHRParaIndent">
    <w:name w:val="ECHR_Para_Indent"/>
    <w:aliases w:val="_Indent"/>
    <w:basedOn w:val="NormalJustified"/>
    <w:uiPriority w:val="7"/>
    <w:semiHidden/>
    <w:qFormat/>
    <w:rsid w:val="00274512"/>
    <w:pPr>
      <w:spacing w:before="120" w:after="120"/>
      <w:ind w:left="284"/>
    </w:pPr>
  </w:style>
  <w:style w:type="character" w:customStyle="1" w:styleId="ECHRRed">
    <w:name w:val="ECHR_Red"/>
    <w:aliases w:val="_Red"/>
    <w:basedOn w:val="DefaultParagraphFont"/>
    <w:uiPriority w:val="15"/>
    <w:semiHidden/>
    <w:qFormat/>
    <w:rsid w:val="00274512"/>
    <w:rPr>
      <w:color w:val="C00000" w:themeColor="accent2"/>
    </w:rPr>
  </w:style>
  <w:style w:type="paragraph" w:customStyle="1" w:styleId="ECHRSpacer">
    <w:name w:val="ECHR_Spacer"/>
    <w:aliases w:val="_Spacer"/>
    <w:basedOn w:val="Normal"/>
    <w:uiPriority w:val="45"/>
    <w:semiHidden/>
    <w:rsid w:val="00274512"/>
    <w:rPr>
      <w:sz w:val="4"/>
    </w:rPr>
  </w:style>
  <w:style w:type="table" w:customStyle="1" w:styleId="ECHRTable2">
    <w:name w:val="ECHR_Table_2"/>
    <w:basedOn w:val="TableNormal"/>
    <w:uiPriority w:val="99"/>
    <w:rsid w:val="0027451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7451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7451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7451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7451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7451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7451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7451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74512"/>
    <w:pPr>
      <w:outlineLvl w:val="0"/>
    </w:pPr>
  </w:style>
  <w:style w:type="paragraph" w:customStyle="1" w:styleId="ECHRTitleTOC1">
    <w:name w:val="ECHR_Title_TOC_1"/>
    <w:aliases w:val="_Title_L_TOC"/>
    <w:basedOn w:val="ECHRTitle1"/>
    <w:next w:val="Normal"/>
    <w:uiPriority w:val="27"/>
    <w:semiHidden/>
    <w:qFormat/>
    <w:rsid w:val="00274512"/>
    <w:pPr>
      <w:outlineLvl w:val="0"/>
    </w:pPr>
  </w:style>
  <w:style w:type="table" w:customStyle="1" w:styleId="ECHRTableGrey">
    <w:name w:val="ECHR_Table_Grey"/>
    <w:basedOn w:val="TableNormal"/>
    <w:uiPriority w:val="99"/>
    <w:rsid w:val="0027451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74512"/>
    <w:rPr>
      <w:color w:val="605E5C"/>
      <w:shd w:val="clear" w:color="auto" w:fill="E1DFDD"/>
    </w:rPr>
  </w:style>
  <w:style w:type="character" w:customStyle="1" w:styleId="JuListChar">
    <w:name w:val="Ju_List Char"/>
    <w:basedOn w:val="DefaultParagraphFont"/>
    <w:link w:val="JuList"/>
    <w:uiPriority w:val="23"/>
    <w:locked/>
    <w:rsid w:val="00E139D2"/>
    <w:rPr>
      <w:sz w:val="24"/>
      <w:szCs w:val="24"/>
      <w:lang w:val="en-GB"/>
    </w:rPr>
  </w:style>
  <w:style w:type="table" w:styleId="GridTable1Light">
    <w:name w:val="Grid Table 1 Light"/>
    <w:basedOn w:val="TableNormal"/>
    <w:uiPriority w:val="46"/>
    <w:semiHidden/>
    <w:rsid w:val="002745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7451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7451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7451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7451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7451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7451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7451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7451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7451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7451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7451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7451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7451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745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745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745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745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745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745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745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745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745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745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745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745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745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745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745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745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745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745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745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745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7451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745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7451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7451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7451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7451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7451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7451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7451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7451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7451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7451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7451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7451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7451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74512"/>
    <w:rPr>
      <w:color w:val="2B579A"/>
      <w:shd w:val="clear" w:color="auto" w:fill="E1DFDD"/>
    </w:rPr>
  </w:style>
  <w:style w:type="table" w:styleId="ListTable1Light">
    <w:name w:val="List Table 1 Light"/>
    <w:basedOn w:val="TableNormal"/>
    <w:uiPriority w:val="46"/>
    <w:semiHidden/>
    <w:rsid w:val="0027451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7451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7451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7451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7451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7451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7451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7451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7451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7451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7451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7451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7451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7451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7451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7451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7451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7451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7451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7451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7451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7451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7451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7451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7451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7451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7451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7451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7451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7451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7451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7451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7451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7451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7451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7451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7451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7451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7451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7451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7451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7451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7451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7451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7451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7451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7451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7451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7451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74512"/>
    <w:rPr>
      <w:color w:val="2B579A"/>
      <w:shd w:val="clear" w:color="auto" w:fill="E1DFDD"/>
    </w:rPr>
  </w:style>
  <w:style w:type="table" w:styleId="PlainTable1">
    <w:name w:val="Plain Table 1"/>
    <w:basedOn w:val="TableNormal"/>
    <w:uiPriority w:val="41"/>
    <w:semiHidden/>
    <w:rsid w:val="0027451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7451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7451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7451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7451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74512"/>
    <w:rPr>
      <w:u w:val="dotted"/>
    </w:rPr>
  </w:style>
  <w:style w:type="character" w:styleId="SmartLink">
    <w:name w:val="Smart Link"/>
    <w:basedOn w:val="DefaultParagraphFont"/>
    <w:uiPriority w:val="99"/>
    <w:semiHidden/>
    <w:unhideWhenUsed/>
    <w:rsid w:val="00274512"/>
    <w:rPr>
      <w:color w:val="0000FF"/>
      <w:u w:val="single"/>
      <w:shd w:val="clear" w:color="auto" w:fill="F3F2F1"/>
    </w:rPr>
  </w:style>
  <w:style w:type="table" w:styleId="GridTableLight">
    <w:name w:val="Grid Table Light"/>
    <w:basedOn w:val="TableNormal"/>
    <w:uiPriority w:val="40"/>
    <w:semiHidden/>
    <w:rsid w:val="0027451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2280</Words>
  <Characters>11792</Characters>
  <Application>Microsoft Office Word</Application>
  <DocSecurity>0</DocSecurity>
  <Lines>453</Lines>
  <Paragraphs>159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2023-02-06T13:31:00Z</dcterms:created>
  <dcterms:modified xsi:type="dcterms:W3CDTF">2023-02-06T13:36:00Z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727919</vt:lpwstr>
  </property>
  <property fmtid="{D5CDD505-2E9C-101B-9397-08002B2CF9AE}" pid="3" name="cstLanguage">
    <vt:i4>2057</vt:i4>
  </property>
  <property fmtid="{D5CDD505-2E9C-101B-9397-08002B2CF9AE}" pid="4" name="RegisteredNo">
    <vt:lpwstr>38398/11</vt:lpwstr>
  </property>
</Properties>
</file>