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7A0D" w:rsidR="00C67D72" w:rsidP="008C7A0D" w:rsidRDefault="00C67D72" w14:paraId="7CFE8FBB" w14:textId="50E5D4E4">
      <w:pPr>
        <w:jc w:val="center"/>
      </w:pPr>
    </w:p>
    <w:p w:rsidRPr="008C7A0D" w:rsidR="00C67D72" w:rsidP="008C7A0D" w:rsidRDefault="00C67D72" w14:paraId="4CDCFFBB" w14:textId="57D698DB">
      <w:pPr>
        <w:jc w:val="center"/>
        <w:rPr>
          <w:sz w:val="4"/>
          <w:szCs w:val="4"/>
        </w:rPr>
      </w:pPr>
    </w:p>
    <w:p w:rsidRPr="008C7A0D" w:rsidR="00C67D72" w:rsidP="008C7A0D" w:rsidRDefault="004D1A77" w14:paraId="554B7A14" w14:textId="12E3EE09">
      <w:pPr>
        <w:pStyle w:val="DecHTitle"/>
      </w:pPr>
      <w:r w:rsidRPr="008C7A0D">
        <w:t>SECOND SECTION</w:t>
      </w:r>
    </w:p>
    <w:p w:rsidRPr="008C7A0D" w:rsidR="00C67D72" w:rsidP="008C7A0D" w:rsidRDefault="006267D3" w14:paraId="4B97469A" w14:textId="77777777">
      <w:pPr>
        <w:pStyle w:val="DecHTitle"/>
      </w:pPr>
      <w:r w:rsidRPr="008C7A0D">
        <w:t>DECISION</w:t>
      </w:r>
    </w:p>
    <w:p w:rsidRPr="008C7A0D" w:rsidR="00C67D72" w:rsidP="008C7A0D" w:rsidRDefault="004D1A77" w14:paraId="057C6D06" w14:textId="768041DA">
      <w:pPr>
        <w:pStyle w:val="DecHCase"/>
        <w:rPr>
          <w:i/>
        </w:rPr>
      </w:pPr>
      <w:r w:rsidRPr="008C7A0D">
        <w:t>Application no.</w:t>
      </w:r>
      <w:r w:rsidRPr="008C7A0D" w:rsidR="006267D3">
        <w:t xml:space="preserve"> </w:t>
      </w:r>
      <w:r w:rsidRPr="008C7A0D">
        <w:t>27801/19</w:t>
      </w:r>
      <w:r w:rsidRPr="008C7A0D" w:rsidR="006267D3">
        <w:br/>
      </w:r>
      <w:r w:rsidRPr="008C7A0D">
        <w:t>Adam JOHANSEN</w:t>
      </w:r>
      <w:r w:rsidRPr="008C7A0D">
        <w:br/>
      </w:r>
      <w:r w:rsidRPr="008C7A0D" w:rsidR="006267D3">
        <w:t xml:space="preserve">against </w:t>
      </w:r>
      <w:r w:rsidRPr="008C7A0D">
        <w:t>Denmark</w:t>
      </w:r>
    </w:p>
    <w:p w:rsidRPr="008C7A0D" w:rsidR="00C67D72" w:rsidP="008C7A0D" w:rsidRDefault="00C67D72" w14:paraId="116F21F3" w14:textId="6FD7BFA9">
      <w:pPr>
        <w:rPr>
          <w:sz w:val="2"/>
          <w:szCs w:val="2"/>
        </w:rPr>
      </w:pPr>
    </w:p>
    <w:p w:rsidRPr="008C7A0D" w:rsidR="004D1A77" w:rsidP="008C7A0D" w:rsidRDefault="004D1A77" w14:paraId="6F76258A" w14:textId="494F90D8">
      <w:pPr>
        <w:pStyle w:val="JuPara"/>
      </w:pPr>
      <w:r w:rsidRPr="008C7A0D">
        <w:t xml:space="preserve">The European Court of Human Rights (Second Section), sitting on </w:t>
      </w:r>
      <w:r w:rsidRPr="008C7A0D" w:rsidR="009D72FD">
        <w:t>1 Febr</w:t>
      </w:r>
      <w:r w:rsidRPr="008C7A0D" w:rsidR="00EA1E3A">
        <w:t xml:space="preserve">uary </w:t>
      </w:r>
      <w:r w:rsidRPr="008C7A0D" w:rsidR="009D72FD">
        <w:t>2022</w:t>
      </w:r>
      <w:r w:rsidRPr="008C7A0D">
        <w:t xml:space="preserve"> as a Chamber composed of:</w:t>
      </w:r>
    </w:p>
    <w:p w:rsidRPr="008C7A0D" w:rsidR="004D1A77" w:rsidP="008C7A0D" w:rsidRDefault="00F63618" w14:paraId="228B1D2A" w14:textId="74093B01">
      <w:pPr>
        <w:pStyle w:val="JuJudges"/>
      </w:pPr>
      <w:r w:rsidRPr="008C7A0D">
        <w:tab/>
        <w:t>Mr</w:t>
      </w:r>
      <w:r w:rsidRPr="008C7A0D" w:rsidR="00317A75">
        <w:t xml:space="preserve"> </w:t>
      </w:r>
      <w:r w:rsidRPr="008C7A0D">
        <w:t xml:space="preserve">Carlo </w:t>
      </w:r>
      <w:r w:rsidRPr="008C7A0D">
        <w:rPr>
          <w:iCs/>
        </w:rPr>
        <w:t>Ranzoni</w:t>
      </w:r>
      <w:r w:rsidRPr="008C7A0D">
        <w:rPr>
          <w:i/>
        </w:rPr>
        <w:t>,</w:t>
      </w:r>
      <w:r w:rsidRPr="008C7A0D">
        <w:t xml:space="preserve"> </w:t>
      </w:r>
      <w:r w:rsidRPr="008C7A0D">
        <w:rPr>
          <w:i/>
          <w:iCs/>
        </w:rPr>
        <w:t>President</w:t>
      </w:r>
      <w:r w:rsidRPr="008C7A0D">
        <w:t>,</w:t>
      </w:r>
      <w:r w:rsidRPr="008C7A0D">
        <w:rPr>
          <w:i/>
        </w:rPr>
        <w:br/>
      </w:r>
      <w:r w:rsidRPr="008C7A0D">
        <w:tab/>
        <w:t>Jon Fridrik Kjølbro,</w:t>
      </w:r>
      <w:r w:rsidRPr="008C7A0D">
        <w:rPr>
          <w:i/>
        </w:rPr>
        <w:br/>
      </w:r>
      <w:r w:rsidRPr="008C7A0D">
        <w:tab/>
        <w:t>Egidijus Kūris,</w:t>
      </w:r>
      <w:r w:rsidRPr="008C7A0D">
        <w:rPr>
          <w:i/>
        </w:rPr>
        <w:br/>
      </w:r>
      <w:r w:rsidRPr="008C7A0D">
        <w:tab/>
        <w:t>Pauliine Koskelo,</w:t>
      </w:r>
      <w:r w:rsidRPr="008C7A0D">
        <w:rPr>
          <w:i/>
        </w:rPr>
        <w:br/>
      </w:r>
      <w:r w:rsidRPr="008C7A0D">
        <w:tab/>
        <w:t>Jovan Ilievski,</w:t>
      </w:r>
      <w:r w:rsidRPr="008C7A0D">
        <w:rPr>
          <w:i/>
        </w:rPr>
        <w:br/>
      </w:r>
      <w:r w:rsidRPr="008C7A0D">
        <w:tab/>
        <w:t>Branko Lubarda,</w:t>
      </w:r>
      <w:r w:rsidRPr="008C7A0D">
        <w:rPr>
          <w:i/>
        </w:rPr>
        <w:br/>
      </w:r>
      <w:r w:rsidRPr="008C7A0D">
        <w:tab/>
        <w:t>Diana Sârcu,</w:t>
      </w:r>
      <w:r w:rsidRPr="008C7A0D">
        <w:rPr>
          <w:i/>
        </w:rPr>
        <w:t xml:space="preserve"> judges,</w:t>
      </w:r>
      <w:r w:rsidRPr="008C7A0D">
        <w:rPr>
          <w:i/>
        </w:rPr>
        <w:br/>
      </w:r>
      <w:r w:rsidRPr="008C7A0D" w:rsidR="004D1A77">
        <w:t xml:space="preserve">and </w:t>
      </w:r>
      <w:bookmarkStart w:name="_Hlk95223382" w:id="0"/>
      <w:bookmarkStart w:name="_Hlk95227428" w:id="1"/>
      <w:r w:rsidRPr="008C7A0D" w:rsidR="009D72FD">
        <w:t>Hasan Bakırcı</w:t>
      </w:r>
      <w:bookmarkEnd w:id="0"/>
      <w:r w:rsidRPr="008C7A0D" w:rsidR="009D72FD">
        <w:t xml:space="preserve">, </w:t>
      </w:r>
      <w:r w:rsidRPr="008C7A0D" w:rsidR="009D72FD">
        <w:rPr>
          <w:i/>
        </w:rPr>
        <w:t>Deputy Section Registrar</w:t>
      </w:r>
      <w:bookmarkEnd w:id="1"/>
      <w:r w:rsidRPr="008C7A0D" w:rsidR="004D1A77">
        <w:rPr>
          <w:i/>
        </w:rPr>
        <w:t>,</w:t>
      </w:r>
    </w:p>
    <w:p w:rsidRPr="008C7A0D" w:rsidR="004D1A77" w:rsidP="008C7A0D" w:rsidRDefault="004D1A77" w14:paraId="4DEA9BD0" w14:textId="77777777">
      <w:pPr>
        <w:pStyle w:val="JuPara"/>
      </w:pPr>
      <w:r w:rsidRPr="008C7A0D">
        <w:t>Having regard to the above application lodged on 10 May 2019,</w:t>
      </w:r>
    </w:p>
    <w:p w:rsidRPr="008C7A0D" w:rsidR="004D1A77" w:rsidP="008C7A0D" w:rsidRDefault="004D1A77" w14:paraId="3C68664F" w14:textId="77777777">
      <w:pPr>
        <w:pStyle w:val="JuPara"/>
      </w:pPr>
      <w:r w:rsidRPr="008C7A0D">
        <w:t>Having regard to the observations submitted by the respondent Government and the observations in reply submitted by the applicant,</w:t>
      </w:r>
    </w:p>
    <w:p w:rsidRPr="008C7A0D" w:rsidR="004D1A77" w:rsidP="008C7A0D" w:rsidRDefault="004D1A77" w14:paraId="0C29C62F" w14:textId="77777777">
      <w:pPr>
        <w:pStyle w:val="JuPara"/>
      </w:pPr>
      <w:r w:rsidRPr="008C7A0D">
        <w:t>Having regard to the comments submitted by the European Centre for Law and Justice (ECLJ), which was granted leave to intervene by the President of the Section (Article 36 § 2 of the Convention and Rule 44 § 2 of the Rules of Court);</w:t>
      </w:r>
    </w:p>
    <w:p w:rsidRPr="008C7A0D" w:rsidR="004D1A77" w:rsidP="008C7A0D" w:rsidRDefault="004D1A77" w14:paraId="39A4B89D" w14:textId="77777777">
      <w:pPr>
        <w:pStyle w:val="JuPara"/>
      </w:pPr>
      <w:r w:rsidRPr="008C7A0D">
        <w:t>Having deliberated, decides as follows:</w:t>
      </w:r>
    </w:p>
    <w:p w:rsidRPr="008C7A0D" w:rsidR="004D1A77" w:rsidP="008C7A0D" w:rsidRDefault="004D1A77" w14:paraId="7F4B3A12" w14:textId="77777777">
      <w:pPr>
        <w:pStyle w:val="JuHHead"/>
      </w:pPr>
      <w:r w:rsidRPr="008C7A0D">
        <w:t>INTRODUCTION</w:t>
      </w:r>
    </w:p>
    <w:p w:rsidRPr="008C7A0D" w:rsidR="00C67D72" w:rsidP="008C7A0D" w:rsidRDefault="004D1A77" w14:paraId="3D50BE11" w14:textId="74BE1893">
      <w:pPr>
        <w:pStyle w:val="JuPara"/>
      </w:pPr>
      <w:r w:rsidRPr="008C7A0D">
        <w:fldChar w:fldCharType="begin"/>
      </w:r>
      <w:r w:rsidRPr="008C7A0D">
        <w:instrText xml:space="preserve"> SEQ level0 \*arabic </w:instrText>
      </w:r>
      <w:r w:rsidRPr="008C7A0D">
        <w:fldChar w:fldCharType="separate"/>
      </w:r>
      <w:r w:rsidRPr="008C7A0D" w:rsidR="008C7A0D">
        <w:rPr>
          <w:noProof/>
        </w:rPr>
        <w:t>1</w:t>
      </w:r>
      <w:r w:rsidRPr="008C7A0D">
        <w:fldChar w:fldCharType="end"/>
      </w:r>
      <w:r w:rsidRPr="008C7A0D">
        <w:t>.  The application concerns the withdrawal of the applicant</w:t>
      </w:r>
      <w:r w:rsidRPr="008C7A0D" w:rsidR="008C7A0D">
        <w:t>’</w:t>
      </w:r>
      <w:r w:rsidRPr="008C7A0D">
        <w:t>s Danish citizenship and an order to expel him following a criminal conviction for offences related to terrorism.</w:t>
      </w:r>
    </w:p>
    <w:p w:rsidRPr="008C7A0D" w:rsidR="004D1A77" w:rsidP="008C7A0D" w:rsidRDefault="004D1A77" w14:paraId="04683327" w14:textId="71AAB78E">
      <w:pPr>
        <w:pStyle w:val="JuHHead"/>
      </w:pPr>
      <w:r w:rsidRPr="008C7A0D">
        <w:t>THE FACTS</w:t>
      </w:r>
    </w:p>
    <w:p w:rsidRPr="008C7A0D" w:rsidR="004D1A77" w:rsidP="008C7A0D" w:rsidRDefault="004D1A77" w14:paraId="2C7F1AF6" w14:textId="1C914C50">
      <w:pPr>
        <w:pStyle w:val="JuPara"/>
      </w:pPr>
      <w:r w:rsidRPr="008C7A0D">
        <w:fldChar w:fldCharType="begin"/>
      </w:r>
      <w:r w:rsidRPr="008C7A0D">
        <w:instrText xml:space="preserve"> SEQ level0 \*arabic </w:instrText>
      </w:r>
      <w:r w:rsidRPr="008C7A0D">
        <w:fldChar w:fldCharType="separate"/>
      </w:r>
      <w:r w:rsidRPr="008C7A0D" w:rsidR="008C7A0D">
        <w:rPr>
          <w:noProof/>
        </w:rPr>
        <w:t>2</w:t>
      </w:r>
      <w:r w:rsidRPr="008C7A0D">
        <w:fldChar w:fldCharType="end"/>
      </w:r>
      <w:r w:rsidRPr="008C7A0D">
        <w:t xml:space="preserve">.  The applicant, Mr Adam Johansen, has dual nationality, Tunisian and Danish. He was born in Denmark in 1990 and lives in Aarhus. He was represented before the Court by </w:t>
      </w:r>
      <w:bookmarkStart w:name="_Hlk97110249" w:id="2"/>
      <w:r w:rsidRPr="008C7A0D">
        <w:t>Mr Tobias Stadarfeld Jensen</w:t>
      </w:r>
      <w:bookmarkEnd w:id="2"/>
      <w:r w:rsidRPr="008C7A0D">
        <w:t>, a lawyer practising in Aarhus.</w:t>
      </w:r>
    </w:p>
    <w:p w:rsidRPr="008C7A0D" w:rsidR="004D1A77" w:rsidP="008C7A0D" w:rsidRDefault="004D1A77" w14:paraId="233A2743" w14:textId="56FC18E5">
      <w:pPr>
        <w:pStyle w:val="JuPara"/>
      </w:pPr>
      <w:r w:rsidRPr="008C7A0D">
        <w:fldChar w:fldCharType="begin"/>
      </w:r>
      <w:r w:rsidRPr="008C7A0D">
        <w:instrText xml:space="preserve"> SEQ level0 \*arabic </w:instrText>
      </w:r>
      <w:r w:rsidRPr="008C7A0D">
        <w:fldChar w:fldCharType="separate"/>
      </w:r>
      <w:r w:rsidRPr="008C7A0D" w:rsidR="008C7A0D">
        <w:rPr>
          <w:noProof/>
        </w:rPr>
        <w:t>3</w:t>
      </w:r>
      <w:r w:rsidRPr="008C7A0D">
        <w:fldChar w:fldCharType="end"/>
      </w:r>
      <w:r w:rsidRPr="008C7A0D">
        <w:t>.  The Danish Government (“the Government”) were represented by their Agent, Mr Michael Braad, from the Ministry of Foreign Affairs, and their Co</w:t>
      </w:r>
      <w:r w:rsidRPr="008C7A0D" w:rsidR="009D72FD">
        <w:noBreakHyphen/>
      </w:r>
      <w:r w:rsidRPr="008C7A0D">
        <w:t>Agent, Ms Nina Holst</w:t>
      </w:r>
      <w:r w:rsidRPr="008C7A0D">
        <w:noBreakHyphen/>
        <w:t>Christensen, from the Ministry of Justice.</w:t>
      </w:r>
    </w:p>
    <w:p w:rsidRPr="008C7A0D" w:rsidR="004D1A77" w:rsidP="008C7A0D" w:rsidRDefault="004D1A77" w14:paraId="0900EB4B" w14:textId="77777777">
      <w:pPr>
        <w:pStyle w:val="JuHA"/>
      </w:pPr>
      <w:r w:rsidRPr="008C7A0D">
        <w:t>The circumstances of the case</w:t>
      </w:r>
    </w:p>
    <w:p w:rsidRPr="008C7A0D" w:rsidR="004D1A77" w:rsidP="008C7A0D" w:rsidRDefault="004D1A77" w14:paraId="034F4755" w14:textId="285AAD31">
      <w:pPr>
        <w:pStyle w:val="JuPara"/>
      </w:pPr>
      <w:r w:rsidRPr="008C7A0D">
        <w:fldChar w:fldCharType="begin"/>
      </w:r>
      <w:r w:rsidRPr="008C7A0D">
        <w:instrText xml:space="preserve"> SEQ level0 \*arabic </w:instrText>
      </w:r>
      <w:r w:rsidRPr="008C7A0D">
        <w:fldChar w:fldCharType="separate"/>
      </w:r>
      <w:r w:rsidRPr="008C7A0D" w:rsidR="008C7A0D">
        <w:rPr>
          <w:noProof/>
        </w:rPr>
        <w:t>4</w:t>
      </w:r>
      <w:r w:rsidRPr="008C7A0D">
        <w:fldChar w:fldCharType="end"/>
      </w:r>
      <w:r w:rsidRPr="008C7A0D">
        <w:t>.  The facts of the case, as submitted by the parties, may be summarised as follows.</w:t>
      </w:r>
    </w:p>
    <w:p w:rsidRPr="008C7A0D" w:rsidR="004D1A77" w:rsidP="008C7A0D" w:rsidRDefault="004D1A77" w14:paraId="7F067C30" w14:textId="0F489871">
      <w:pPr>
        <w:pStyle w:val="JuPara"/>
      </w:pPr>
      <w:r w:rsidRPr="008C7A0D">
        <w:fldChar w:fldCharType="begin"/>
      </w:r>
      <w:r w:rsidRPr="008C7A0D">
        <w:instrText xml:space="preserve"> SEQ level0 \*arabic </w:instrText>
      </w:r>
      <w:r w:rsidRPr="008C7A0D">
        <w:fldChar w:fldCharType="separate"/>
      </w:r>
      <w:r w:rsidRPr="008C7A0D" w:rsidR="008C7A0D">
        <w:rPr>
          <w:noProof/>
        </w:rPr>
        <w:t>5</w:t>
      </w:r>
      <w:r w:rsidRPr="008C7A0D">
        <w:fldChar w:fldCharType="end"/>
      </w:r>
      <w:r w:rsidRPr="008C7A0D">
        <w:t>.  The applicant was born in Denmark to a Danish mother and a Tunisian father. He acquired Danish nationality at birth. The family always lived in Denmark, except for a period of 6 months when they lived in Tunisia, from December 2005 to June 2006. The applicant</w:t>
      </w:r>
      <w:r w:rsidRPr="008C7A0D" w:rsidR="008C7A0D">
        <w:t>’</w:t>
      </w:r>
      <w:r w:rsidRPr="008C7A0D">
        <w:t>s father returned to Tunisia for about two years in 2009, returning there permanently in 2013/2014.</w:t>
      </w:r>
    </w:p>
    <w:p w:rsidRPr="008C7A0D" w:rsidR="004D1A77" w:rsidP="008C7A0D" w:rsidRDefault="004D1A77" w14:paraId="562E6660" w14:textId="0D368B51">
      <w:pPr>
        <w:pStyle w:val="JuPara"/>
      </w:pPr>
      <w:r w:rsidRPr="008C7A0D">
        <w:fldChar w:fldCharType="begin"/>
      </w:r>
      <w:r w:rsidRPr="008C7A0D">
        <w:instrText xml:space="preserve"> SEQ level0 \*arabic </w:instrText>
      </w:r>
      <w:r w:rsidRPr="008C7A0D">
        <w:fldChar w:fldCharType="separate"/>
      </w:r>
      <w:r w:rsidRPr="008C7A0D" w:rsidR="008C7A0D">
        <w:rPr>
          <w:noProof/>
        </w:rPr>
        <w:t>6</w:t>
      </w:r>
      <w:r w:rsidRPr="008C7A0D">
        <w:fldChar w:fldCharType="end"/>
      </w:r>
      <w:r w:rsidRPr="008C7A0D">
        <w:t>. </w:t>
      </w:r>
      <w:r w:rsidRPr="008C7A0D" w:rsidR="001B1257">
        <w:t> </w:t>
      </w:r>
      <w:r w:rsidRPr="008C7A0D">
        <w:t xml:space="preserve">On 9 February 2009 the applicant married a Danish woman in an Islamic ceremony. They had a son in 2010. In 2015, the applicant changed his name, from X </w:t>
      </w:r>
      <w:r w:rsidRPr="008C7A0D">
        <w:rPr>
          <w:sz w:val="23"/>
          <w:szCs w:val="23"/>
        </w:rPr>
        <w:t>to his present name.</w:t>
      </w:r>
    </w:p>
    <w:p w:rsidRPr="008C7A0D" w:rsidR="004D1A77" w:rsidP="008C7A0D" w:rsidRDefault="004D1A77" w14:paraId="78FD3E90" w14:textId="5E4A3AA2">
      <w:pPr>
        <w:pStyle w:val="JuPara"/>
      </w:pPr>
      <w:r w:rsidRPr="008C7A0D">
        <w:fldChar w:fldCharType="begin"/>
      </w:r>
      <w:r w:rsidRPr="008C7A0D">
        <w:instrText xml:space="preserve"> SEQ level0 \*arabic </w:instrText>
      </w:r>
      <w:r w:rsidRPr="008C7A0D">
        <w:fldChar w:fldCharType="separate"/>
      </w:r>
      <w:r w:rsidRPr="008C7A0D" w:rsidR="008C7A0D">
        <w:rPr>
          <w:noProof/>
        </w:rPr>
        <w:t>7</w:t>
      </w:r>
      <w:r w:rsidRPr="008C7A0D">
        <w:fldChar w:fldCharType="end"/>
      </w:r>
      <w:r w:rsidRPr="008C7A0D">
        <w:t>. </w:t>
      </w:r>
      <w:r w:rsidRPr="008C7A0D" w:rsidR="001B1257">
        <w:t> </w:t>
      </w:r>
      <w:r w:rsidRPr="008C7A0D">
        <w:t>In spring 2016 the Danish Security and Intelligence Service received a list from Interpol with the names of persons believed to have been recruited by the terrorist organisation Islamic State and to have operated in Syria. The applicant</w:t>
      </w:r>
      <w:r w:rsidRPr="008C7A0D" w:rsidR="008C7A0D">
        <w:t>’</w:t>
      </w:r>
      <w:r w:rsidRPr="008C7A0D">
        <w:t>s name was on the list.</w:t>
      </w:r>
    </w:p>
    <w:p w:rsidRPr="008C7A0D" w:rsidR="004D1A77" w:rsidP="008C7A0D" w:rsidRDefault="004D1A77" w14:paraId="05DC12B5" w14:textId="2FFCCFF1">
      <w:pPr>
        <w:pStyle w:val="JuPara"/>
      </w:pPr>
      <w:r w:rsidRPr="008C7A0D">
        <w:fldChar w:fldCharType="begin"/>
      </w:r>
      <w:r w:rsidRPr="008C7A0D">
        <w:instrText xml:space="preserve"> SEQ level0 \*arabic </w:instrText>
      </w:r>
      <w:r w:rsidRPr="008C7A0D">
        <w:fldChar w:fldCharType="separate"/>
      </w:r>
      <w:r w:rsidRPr="008C7A0D" w:rsidR="008C7A0D">
        <w:rPr>
          <w:noProof/>
        </w:rPr>
        <w:t>8</w:t>
      </w:r>
      <w:r w:rsidRPr="008C7A0D">
        <w:fldChar w:fldCharType="end"/>
      </w:r>
      <w:r w:rsidRPr="008C7A0D">
        <w:t>.  On 7 April 2016 the applicant was arrested and provisionally charged on the basis of information that he had allegedly entered Syria and had accepted his recruitment by the terrorist organisation Islamic State in Iraq and the Levant (ISIL). The following day, by decision of a District Court, the applicant was remanded in custody.</w:t>
      </w:r>
    </w:p>
    <w:p w:rsidRPr="008C7A0D" w:rsidR="004D1A77" w:rsidP="008C7A0D" w:rsidRDefault="004D1A77" w14:paraId="4EFF3A63" w14:textId="159A40AF">
      <w:pPr>
        <w:pStyle w:val="JuPara"/>
      </w:pPr>
      <w:r w:rsidRPr="008C7A0D">
        <w:fldChar w:fldCharType="begin"/>
      </w:r>
      <w:r w:rsidRPr="008C7A0D">
        <w:instrText xml:space="preserve"> SEQ level0 \*arabic </w:instrText>
      </w:r>
      <w:r w:rsidRPr="008C7A0D">
        <w:fldChar w:fldCharType="separate"/>
      </w:r>
      <w:r w:rsidRPr="008C7A0D" w:rsidR="008C7A0D">
        <w:rPr>
          <w:noProof/>
        </w:rPr>
        <w:t>9</w:t>
      </w:r>
      <w:r w:rsidRPr="008C7A0D">
        <w:fldChar w:fldCharType="end"/>
      </w:r>
      <w:r w:rsidRPr="008C7A0D">
        <w:t>.  On 16 October 2017, for the purposes of the criminal proceedings and at the request of the prosecution, the Ministry of Immigration and Integration (</w:t>
      </w:r>
      <w:r w:rsidRPr="008C7A0D">
        <w:rPr>
          <w:i/>
          <w:iCs/>
        </w:rPr>
        <w:t>Udlændinge- og Integrationsministeriet</w:t>
      </w:r>
      <w:r w:rsidRPr="008C7A0D">
        <w:t>) issued an opinion on the applicant</w:t>
      </w:r>
      <w:r w:rsidRPr="008C7A0D" w:rsidR="008C7A0D">
        <w:t>’</w:t>
      </w:r>
      <w:r w:rsidRPr="008C7A0D">
        <w:t xml:space="preserve">s nationality status, stating, </w:t>
      </w:r>
      <w:r w:rsidRPr="008C7A0D">
        <w:rPr>
          <w:i/>
        </w:rPr>
        <w:t>inter alia</w:t>
      </w:r>
      <w:r w:rsidRPr="008C7A0D">
        <w:t>, as follows:</w:t>
      </w:r>
    </w:p>
    <w:p w:rsidRPr="008C7A0D" w:rsidR="004D1A77" w:rsidP="008C7A0D" w:rsidRDefault="004D1A77" w14:paraId="61E53E43" w14:textId="2656120D">
      <w:pPr>
        <w:pStyle w:val="JuQuot"/>
      </w:pPr>
      <w:r w:rsidRPr="008C7A0D">
        <w:t>“ ... The Ministry of Immigration and Integration wants to point out that [the applicant] acquired Danish nationality (citizenship) at birth in pursuance of section 1(1) of Act No. 155 of 6 April 1978 on Danish Nationality (</w:t>
      </w:r>
      <w:r w:rsidRPr="008C7A0D">
        <w:rPr>
          <w:i/>
        </w:rPr>
        <w:t>indfødsretsloven</w:t>
      </w:r>
      <w:r w:rsidRPr="008C7A0D">
        <w:t>) as he was born on the Faroe Islands on ... 1990 to a Danish mother.</w:t>
      </w:r>
    </w:p>
    <w:p w:rsidRPr="008C7A0D" w:rsidR="004D1A77" w:rsidP="008C7A0D" w:rsidRDefault="004D1A77" w14:paraId="32926D7A" w14:textId="563EA315">
      <w:pPr>
        <w:pStyle w:val="JuQuot"/>
      </w:pPr>
      <w:r w:rsidRPr="008C7A0D">
        <w:t>... It appears from the case file of the Ministry of Immigration and Integration relating to applications for Danish nationality and for residence permits for Denmark lodged by [S.A.], [the applicant</w:t>
      </w:r>
      <w:r w:rsidRPr="008C7A0D" w:rsidR="008C7A0D">
        <w:t>’</w:t>
      </w:r>
      <w:r w:rsidRPr="008C7A0D">
        <w:t>s father], that, according to the information provided by him, he was born in ..., Tunisia, on ... 1966, and that he and his parents are all Tunisian nationals. It also appears from the Danish Civil Registration System (the CPR Register) that [S.A.] is registered as a Tunisian national.</w:t>
      </w:r>
    </w:p>
    <w:p w:rsidRPr="008C7A0D" w:rsidR="004D1A77" w:rsidP="008C7A0D" w:rsidRDefault="004D1A77" w14:paraId="367EB2B1" w14:textId="66697BEE">
      <w:pPr>
        <w:pStyle w:val="JuQuot"/>
      </w:pPr>
      <w:r w:rsidRPr="008C7A0D">
        <w:t>Moreover, the Ministry of Immigration and Integration has copies of [S.A.]</w:t>
      </w:r>
      <w:r w:rsidRPr="008C7A0D" w:rsidR="008C7A0D">
        <w:t>’</w:t>
      </w:r>
      <w:r w:rsidRPr="008C7A0D">
        <w:t>s three Tunisian nationality passports .... All passports have been issued by the Tunisian Embassy in the Hague.</w:t>
      </w:r>
    </w:p>
    <w:p w:rsidRPr="008C7A0D" w:rsidR="004D1A77" w:rsidP="008C7A0D" w:rsidRDefault="004D1A77" w14:paraId="359A142E" w14:textId="77777777">
      <w:pPr>
        <w:pStyle w:val="JuQuot"/>
      </w:pPr>
      <w:r w:rsidRPr="008C7A0D">
        <w:t>Please note that the application for Danish nationality lodged by [S.A.] was refused on 3 February 2003.</w:t>
      </w:r>
    </w:p>
    <w:p w:rsidRPr="008C7A0D" w:rsidR="004D1A77" w:rsidP="008C7A0D" w:rsidRDefault="004D1A77" w14:paraId="7305076B" w14:textId="40CDB628">
      <w:pPr>
        <w:pStyle w:val="JuQuot"/>
      </w:pPr>
      <w:r w:rsidRPr="008C7A0D">
        <w:t>Against this background, the Ministry of Immigration and Integration considers it a fact that [S.A.] was a Tunisian national in the period from [the applicant</w:t>
      </w:r>
      <w:r w:rsidRPr="008C7A0D" w:rsidR="008C7A0D">
        <w:t>’</w:t>
      </w:r>
      <w:r w:rsidRPr="008C7A0D">
        <w:t>s] birth on ... 1990 until 3 July 2012.</w:t>
      </w:r>
    </w:p>
    <w:p w:rsidRPr="008C7A0D" w:rsidR="004D1A77" w:rsidP="008C7A0D" w:rsidRDefault="004D1A77" w14:paraId="22FA847E" w14:textId="77777777">
      <w:pPr>
        <w:pStyle w:val="JuQuot"/>
      </w:pPr>
      <w:r w:rsidRPr="008C7A0D">
        <w:t xml:space="preserve">According to Article 6(1) of the </w:t>
      </w:r>
      <w:r w:rsidRPr="008C7A0D">
        <w:rPr>
          <w:i/>
          <w:iCs/>
        </w:rPr>
        <w:t>Code de la Nationalité Tunisienne</w:t>
      </w:r>
      <w:r w:rsidRPr="008C7A0D">
        <w:t xml:space="preserve"> (the Tunisian Nationality Act) of 28 February 1963 as amended, a person acquires Tunisian nationality at birth if the father is a Tunisian national. The Ministry of Immigration and Integration has two versions of this Code, both of which are appended to this letter.</w:t>
      </w:r>
    </w:p>
    <w:p w:rsidRPr="008C7A0D" w:rsidR="004D1A77" w:rsidP="008C7A0D" w:rsidRDefault="004D1A77" w14:paraId="7FB9898C" w14:textId="77777777">
      <w:pPr>
        <w:pStyle w:val="JuQuot"/>
      </w:pPr>
      <w:r w:rsidRPr="008C7A0D">
        <w:t>It further appears from an email of 12 August 2016 from the Tunisian Embassy in the Hague to the Copenhagen Police that a child acquires Tunisian nationality if the father is Tunisian and that it is irrelevant whether the child has also acquired another nationality.</w:t>
      </w:r>
    </w:p>
    <w:p w:rsidRPr="008C7A0D" w:rsidR="004D1A77" w:rsidP="008C7A0D" w:rsidRDefault="004D1A77" w14:paraId="0BDEAD68" w14:textId="77777777">
      <w:pPr>
        <w:pStyle w:val="JuQuot"/>
      </w:pPr>
      <w:r w:rsidRPr="008C7A0D">
        <w:t>Against this background, the Ministry of Immigration and Integration considers it a fact that [the applicant] acquired Tunisian nationality at birth.</w:t>
      </w:r>
    </w:p>
    <w:p w:rsidRPr="008C7A0D" w:rsidR="004D1A77" w:rsidP="008C7A0D" w:rsidRDefault="004D1A77" w14:paraId="78AF37D5" w14:textId="481EE999">
      <w:pPr>
        <w:pStyle w:val="JuQuot"/>
      </w:pPr>
      <w:r w:rsidRPr="008C7A0D">
        <w:t>The Ministry of Immigration and Integration has tried in vain to contact the relevant Tunisian authorities to request information on [the applicant</w:t>
      </w:r>
      <w:r w:rsidRPr="008C7A0D" w:rsidR="008C7A0D">
        <w:t>’</w:t>
      </w:r>
      <w:r w:rsidRPr="008C7A0D">
        <w:t>s nationality status in Tunisia, including whether [the applicant] has been deprived of or released from his Tunisian nationality.</w:t>
      </w:r>
    </w:p>
    <w:p w:rsidRPr="008C7A0D" w:rsidR="004D1A77" w:rsidP="008C7A0D" w:rsidRDefault="004D1A77" w14:paraId="74FDEA66" w14:textId="77777777">
      <w:pPr>
        <w:pStyle w:val="JuQuot"/>
      </w:pPr>
      <w:r w:rsidRPr="008C7A0D">
        <w:t xml:space="preserve">However, the Ministry of Immigration and Integration observes that it follows from Article 33 of the </w:t>
      </w:r>
      <w:r w:rsidRPr="008C7A0D">
        <w:rPr>
          <w:i/>
          <w:iCs/>
        </w:rPr>
        <w:t>Code de la Nationalité Tunisienne</w:t>
      </w:r>
      <w:r w:rsidRPr="008C7A0D">
        <w:t xml:space="preserve"> of 28 February 1963 as amended that a person having acquired Tunisian nationality can be deprived of his Tunisian nationality if he is convicted of an offence or crime against the internal and external national security, if he commits acts incompatible with and harmful to the interests of Tunisia on behalf of a foreign state, if he is convicted in Tunisia or abroad of an act that is a criminal offence under Tunisian law and is sentenced to imprisonment for a term of at least five years, or if he is convicted of draft evasion.</w:t>
      </w:r>
    </w:p>
    <w:p w:rsidRPr="008C7A0D" w:rsidR="004D1A77" w:rsidP="008C7A0D" w:rsidRDefault="004D1A77" w14:paraId="4C164D5B" w14:textId="0F048784">
      <w:pPr>
        <w:pStyle w:val="JuQuot"/>
      </w:pPr>
      <w:r w:rsidRPr="008C7A0D">
        <w:t>Under Article 34 of the same Code, a person</w:t>
      </w:r>
      <w:r w:rsidRPr="008C7A0D" w:rsidR="008C7A0D">
        <w:t>’</w:t>
      </w:r>
      <w:r w:rsidRPr="008C7A0D">
        <w:t>s nationality will only lapse if the circumstances referred to in Article 33 occur within a 10-year period after Tunisian nationality has been awarded. The claim for lapse of nationality must be made within five years after the relevant act was committed.</w:t>
      </w:r>
    </w:p>
    <w:p w:rsidRPr="008C7A0D" w:rsidR="004D1A77" w:rsidP="008C7A0D" w:rsidRDefault="004D1A77" w14:paraId="0EA2711B" w14:textId="77777777">
      <w:pPr>
        <w:pStyle w:val="JuQuot"/>
      </w:pPr>
      <w:r w:rsidRPr="008C7A0D">
        <w:t xml:space="preserve">As regards release, it appears from Article 39 of the </w:t>
      </w:r>
      <w:r w:rsidRPr="008C7A0D">
        <w:rPr>
          <w:i/>
          <w:iCs/>
        </w:rPr>
        <w:t xml:space="preserve">Code de la Nationalité Tunisienne </w:t>
      </w:r>
      <w:r w:rsidRPr="008C7A0D">
        <w:t>of 28 February 1963 as amended that a Tunisian national can request release from his Tunisian nationality. Such request must be registered with the Tunisian Ministry of Justice.</w:t>
      </w:r>
    </w:p>
    <w:p w:rsidRPr="008C7A0D" w:rsidR="004D1A77" w:rsidP="008C7A0D" w:rsidRDefault="004D1A77" w14:paraId="08D9D282" w14:textId="77777777">
      <w:pPr>
        <w:pStyle w:val="JuQuot"/>
      </w:pPr>
      <w:r w:rsidRPr="008C7A0D">
        <w:t>The Ministry of Immigration and Integration does not have any information indicating that [the applicant] has been deprived of or released from his Tunisian nationality.</w:t>
      </w:r>
    </w:p>
    <w:p w:rsidRPr="008C7A0D" w:rsidR="004D1A77" w:rsidP="008C7A0D" w:rsidRDefault="004D1A77" w14:paraId="276D7376" w14:textId="0F8AFB99">
      <w:pPr>
        <w:pStyle w:val="JuQuot"/>
      </w:pPr>
      <w:r w:rsidRPr="008C7A0D">
        <w:t>Based on an overall assessment of the information available, the Ministry of Immigration and Integration finds that [the applicant] is a Danish and a Tunisian national and accordingly has dual nationality. ...”</w:t>
      </w:r>
    </w:p>
    <w:p w:rsidRPr="008C7A0D" w:rsidR="004D1A77" w:rsidP="008C7A0D" w:rsidRDefault="004D1A77" w14:paraId="4D3C4D0C" w14:textId="29237410">
      <w:pPr>
        <w:pStyle w:val="JuPara"/>
      </w:pPr>
      <w:r w:rsidRPr="008C7A0D">
        <w:fldChar w:fldCharType="begin"/>
      </w:r>
      <w:r w:rsidRPr="008C7A0D">
        <w:instrText xml:space="preserve"> SEQ level0 \*arabic </w:instrText>
      </w:r>
      <w:r w:rsidRPr="008C7A0D">
        <w:fldChar w:fldCharType="separate"/>
      </w:r>
      <w:r w:rsidRPr="008C7A0D" w:rsidR="008C7A0D">
        <w:rPr>
          <w:noProof/>
        </w:rPr>
        <w:t>10</w:t>
      </w:r>
      <w:r w:rsidRPr="008C7A0D">
        <w:fldChar w:fldCharType="end"/>
      </w:r>
      <w:r w:rsidRPr="008C7A0D">
        <w:t>.  The applicant maintained that before the criminal trial against him, he had not known that he also held Tunisian nationality.</w:t>
      </w:r>
    </w:p>
    <w:p w:rsidRPr="008C7A0D" w:rsidR="004D1A77" w:rsidP="008C7A0D" w:rsidRDefault="004D1A77" w14:paraId="07F041DC" w14:textId="3FEA36A9">
      <w:pPr>
        <w:pStyle w:val="JuPara"/>
      </w:pPr>
      <w:r w:rsidRPr="008C7A0D">
        <w:fldChar w:fldCharType="begin"/>
      </w:r>
      <w:r w:rsidRPr="008C7A0D">
        <w:instrText xml:space="preserve"> SEQ level0 \*arabic </w:instrText>
      </w:r>
      <w:r w:rsidRPr="008C7A0D">
        <w:fldChar w:fldCharType="separate"/>
      </w:r>
      <w:r w:rsidRPr="008C7A0D" w:rsidR="008C7A0D">
        <w:rPr>
          <w:noProof/>
        </w:rPr>
        <w:t>11</w:t>
      </w:r>
      <w:r w:rsidRPr="008C7A0D">
        <w:fldChar w:fldCharType="end"/>
      </w:r>
      <w:r w:rsidRPr="008C7A0D">
        <w:t>.  On 20 October 2017, for the purposes of the court proceedings, the Danish Immigration Service (</w:t>
      </w:r>
      <w:r w:rsidRPr="008C7A0D">
        <w:rPr>
          <w:i/>
          <w:iCs/>
        </w:rPr>
        <w:t>Udlændingestyrelsen</w:t>
      </w:r>
      <w:r w:rsidRPr="008C7A0D">
        <w:t>) gathered information concerning the applicant</w:t>
      </w:r>
      <w:r w:rsidRPr="008C7A0D" w:rsidR="008C7A0D">
        <w:t>’</w:t>
      </w:r>
      <w:r w:rsidRPr="008C7A0D">
        <w:t>s personal circumstances and drew up an assessment of whether the prosecution should refrain from submitting a request for expulsion in view of Denmark</w:t>
      </w:r>
      <w:r w:rsidRPr="008C7A0D" w:rsidR="008C7A0D">
        <w:t>’</w:t>
      </w:r>
      <w:r w:rsidRPr="008C7A0D">
        <w:t xml:space="preserve">s international obligations. It stated, </w:t>
      </w:r>
      <w:r w:rsidRPr="008C7A0D">
        <w:rPr>
          <w:i/>
          <w:iCs/>
        </w:rPr>
        <w:t>inter alia</w:t>
      </w:r>
      <w:r w:rsidRPr="008C7A0D">
        <w:t>, the following:</w:t>
      </w:r>
    </w:p>
    <w:p w:rsidRPr="008C7A0D" w:rsidR="004D1A77" w:rsidP="008C7A0D" w:rsidRDefault="004D1A77" w14:paraId="271B48ED" w14:textId="066D0293">
      <w:pPr>
        <w:pStyle w:val="JuQuot"/>
        <w:rPr>
          <w:spacing w:val="-2"/>
        </w:rPr>
      </w:pPr>
      <w:r w:rsidRPr="008C7A0D">
        <w:t xml:space="preserve"> “ ... It has been stated for the purposes of this case that the prosecution anticipates that the person in question will be sentenced to six years</w:t>
      </w:r>
      <w:r w:rsidRPr="008C7A0D" w:rsidR="008C7A0D">
        <w:t>’</w:t>
      </w:r>
      <w:r w:rsidRPr="008C7A0D">
        <w:t xml:space="preserve"> imprisonment.</w:t>
      </w:r>
    </w:p>
    <w:p w:rsidRPr="008C7A0D" w:rsidR="004D1A77" w:rsidP="008C7A0D" w:rsidRDefault="004D1A77" w14:paraId="5CC961D2" w14:textId="77777777">
      <w:pPr>
        <w:pStyle w:val="JuQuot"/>
        <w:rPr>
          <w:spacing w:val="-2"/>
        </w:rPr>
      </w:pPr>
      <w:r w:rsidRPr="008C7A0D">
        <w:t>Furthermore, it has been stated that, in the assessment of the prosecution, a claim should be made for an expulsion order combined with a permanent re-entry ban in the criminal case if the relevant person is deprived of his Danish nationality in pursuance of section 8b(1) of the Danish Nationality Act.</w:t>
      </w:r>
    </w:p>
    <w:p w:rsidRPr="008C7A0D" w:rsidR="004D1A77" w:rsidP="008C7A0D" w:rsidRDefault="004D1A77" w14:paraId="34BA9832" w14:textId="77777777">
      <w:pPr>
        <w:pStyle w:val="JuQuot"/>
        <w:rPr>
          <w:spacing w:val="-2"/>
        </w:rPr>
      </w:pPr>
      <w:r w:rsidRPr="008C7A0D">
        <w:t>The defendant has been in pre-trial detention since 7 April 2016.</w:t>
      </w:r>
    </w:p>
    <w:p w:rsidRPr="008C7A0D" w:rsidR="004D1A77" w:rsidP="008C7A0D" w:rsidRDefault="004D1A77" w14:paraId="756D8702" w14:textId="054A3151">
      <w:pPr>
        <w:pStyle w:val="JuQuot"/>
        <w:rPr>
          <w:spacing w:val="-2"/>
        </w:rPr>
      </w:pPr>
      <w:r w:rsidRPr="008C7A0D">
        <w:t>Provided that [the applicant] is deprived of his Danish nationality, the prosecution has requested the Danish Immigration Service to make an assessment of the issue of expulsion. ...</w:t>
      </w:r>
    </w:p>
    <w:p w:rsidRPr="008C7A0D" w:rsidR="004D1A77" w:rsidP="008C7A0D" w:rsidRDefault="004D1A77" w14:paraId="05E1578F" w14:textId="77777777">
      <w:pPr>
        <w:pStyle w:val="JuQuot"/>
        <w:rPr>
          <w:b/>
          <w:spacing w:val="-2"/>
        </w:rPr>
      </w:pPr>
      <w:r w:rsidRPr="008C7A0D">
        <w:rPr>
          <w:b/>
          <w:bCs/>
        </w:rPr>
        <w:t>Personal circumstances (section 26(2) of the Aliens Act)</w:t>
      </w:r>
    </w:p>
    <w:p w:rsidRPr="008C7A0D" w:rsidR="004D1A77" w:rsidP="008C7A0D" w:rsidRDefault="004D1A77" w14:paraId="30E8B7EE" w14:textId="2313E66E">
      <w:pPr>
        <w:pStyle w:val="JuQuot"/>
        <w:rPr>
          <w:spacing w:val="-2"/>
        </w:rPr>
      </w:pPr>
      <w:r w:rsidRPr="008C7A0D">
        <w:t>As regards the issue of whether a decision to expel [the applicant] may be considered to be contrary to Denmark</w:t>
      </w:r>
      <w:r w:rsidRPr="008C7A0D" w:rsidR="008C7A0D">
        <w:t>’</w:t>
      </w:r>
      <w:r w:rsidRPr="008C7A0D">
        <w:t>s international obligations, the Danish Immigration Service refers to the police report of 20 April 2017. The following appears from the report:</w:t>
      </w:r>
    </w:p>
    <w:p w:rsidRPr="008C7A0D" w:rsidR="004D1A77" w:rsidP="008C7A0D" w:rsidRDefault="004D1A77" w14:paraId="6AE4FB07" w14:textId="77777777">
      <w:pPr>
        <w:pStyle w:val="JuQuot"/>
        <w:rPr>
          <w:spacing w:val="-2"/>
        </w:rPr>
      </w:pPr>
      <w:r w:rsidRPr="008C7A0D">
        <w:t>[The applicant] has changed names from X [to his present name]</w:t>
      </w:r>
    </w:p>
    <w:p w:rsidRPr="008C7A0D" w:rsidR="004D1A77" w:rsidP="008C7A0D" w:rsidRDefault="004D1A77" w14:paraId="6D7F2603" w14:textId="203336F2">
      <w:pPr>
        <w:pStyle w:val="JuQuot"/>
      </w:pPr>
      <w:r w:rsidRPr="008C7A0D">
        <w:t>[The applicant</w:t>
      </w:r>
      <w:r w:rsidRPr="008C7A0D" w:rsidR="008C7A0D">
        <w:t>’</w:t>
      </w:r>
      <w:r w:rsidRPr="008C7A0D">
        <w:t>s] mother originates from the Faroe Islands and his father from Tunisia</w:t>
      </w:r>
    </w:p>
    <w:p w:rsidRPr="008C7A0D" w:rsidR="004D1A77" w:rsidP="008C7A0D" w:rsidRDefault="004D1A77" w14:paraId="38619785" w14:textId="77777777">
      <w:pPr>
        <w:pStyle w:val="JuQuot"/>
      </w:pPr>
      <w:r w:rsidRPr="008C7A0D">
        <w:t>[The applicant] was born in Torshavn on the Faroe Islands</w:t>
      </w:r>
    </w:p>
    <w:p w:rsidRPr="008C7A0D" w:rsidR="004D1A77" w:rsidP="008C7A0D" w:rsidRDefault="004D1A77" w14:paraId="2096647F" w14:textId="1D64A02D">
      <w:pPr>
        <w:pStyle w:val="JuQuot"/>
        <w:rPr>
          <w:spacing w:val="-2"/>
        </w:rPr>
      </w:pPr>
      <w:r w:rsidRPr="008C7A0D">
        <w:t>[The applicant] moved to Denmark with his parents at the age of 3 and has lived in Denmark ever since, except for a period from 2 December 2005 to 20 June 2006 when he lived in Tunisia together with his parents</w:t>
      </w:r>
    </w:p>
    <w:p w:rsidRPr="008C7A0D" w:rsidR="004D1A77" w:rsidP="008C7A0D" w:rsidRDefault="004D1A77" w14:paraId="449A0D4A" w14:textId="77777777">
      <w:pPr>
        <w:pStyle w:val="JuQuot"/>
        <w:rPr>
          <w:spacing w:val="-2"/>
        </w:rPr>
      </w:pPr>
      <w:r w:rsidRPr="008C7A0D">
        <w:t>[The applicant] was confronted with the information from the Tunisian Embassy in the Netherlands that he was a Tunisian national</w:t>
      </w:r>
    </w:p>
    <w:p w:rsidRPr="008C7A0D" w:rsidR="004D1A77" w:rsidP="008C7A0D" w:rsidRDefault="004D1A77" w14:paraId="64FCAFB7" w14:textId="77777777">
      <w:pPr>
        <w:pStyle w:val="JuQuot"/>
        <w:rPr>
          <w:spacing w:val="-2"/>
        </w:rPr>
      </w:pPr>
      <w:r w:rsidRPr="008C7A0D">
        <w:t>[The applicant] has never considered himself a Tunisian national, nor has he been aware that he was a Tunisian national</w:t>
      </w:r>
    </w:p>
    <w:p w:rsidRPr="008C7A0D" w:rsidR="004D1A77" w:rsidP="008C7A0D" w:rsidRDefault="004D1A77" w14:paraId="4CEDE588" w14:textId="77777777">
      <w:pPr>
        <w:pStyle w:val="JuQuot"/>
        <w:rPr>
          <w:spacing w:val="-2"/>
        </w:rPr>
      </w:pPr>
      <w:r w:rsidRPr="008C7A0D">
        <w:t>[The applicant] did not know that he had a Tunisian passport at his home</w:t>
      </w:r>
    </w:p>
    <w:p w:rsidRPr="008C7A0D" w:rsidR="004D1A77" w:rsidP="008C7A0D" w:rsidRDefault="004D1A77" w14:paraId="5D8B7B61" w14:textId="25858241">
      <w:pPr>
        <w:pStyle w:val="JuQuot"/>
        <w:rPr>
          <w:spacing w:val="-2"/>
        </w:rPr>
      </w:pPr>
      <w:r w:rsidRPr="008C7A0D">
        <w:t>[The applicant</w:t>
      </w:r>
      <w:r w:rsidRPr="008C7A0D" w:rsidR="008C7A0D">
        <w:t>’</w:t>
      </w:r>
      <w:r w:rsidRPr="008C7A0D">
        <w:t>s] social network in Tunisia comprises his father and a few unnamed family members with whom he does not have any contact</w:t>
      </w:r>
    </w:p>
    <w:p w:rsidRPr="008C7A0D" w:rsidR="004D1A77" w:rsidP="008C7A0D" w:rsidRDefault="004D1A77" w14:paraId="4B09246F" w14:textId="77777777">
      <w:pPr>
        <w:pStyle w:val="JuQuot"/>
        <w:rPr>
          <w:spacing w:val="-2"/>
        </w:rPr>
      </w:pPr>
      <w:r w:rsidRPr="008C7A0D">
        <w:t>[The applicant] and his live-in partner, who is a Danish resident, have married in a Muslim ceremony, and they have a minor son</w:t>
      </w:r>
    </w:p>
    <w:p w:rsidRPr="008C7A0D" w:rsidR="004D1A77" w:rsidP="008C7A0D" w:rsidRDefault="004D1A77" w14:paraId="38C79B41" w14:textId="5081ACB6">
      <w:pPr>
        <w:pStyle w:val="JuQuot"/>
        <w:rPr>
          <w:spacing w:val="-2"/>
        </w:rPr>
      </w:pPr>
      <w:r w:rsidRPr="008C7A0D">
        <w:t>[The applicant</w:t>
      </w:r>
      <w:r w:rsidRPr="008C7A0D" w:rsidR="008C7A0D">
        <w:t>’</w:t>
      </w:r>
      <w:r w:rsidRPr="008C7A0D">
        <w:t>s] social network in Denmark further comprises his mother, one sister, one half-sister as well as friends and remote relatives</w:t>
      </w:r>
    </w:p>
    <w:p w:rsidRPr="008C7A0D" w:rsidR="004D1A77" w:rsidP="008C7A0D" w:rsidRDefault="004D1A77" w14:paraId="5C9BD9CA" w14:textId="326D2036">
      <w:pPr>
        <w:pStyle w:val="JuQuot"/>
        <w:rPr>
          <w:spacing w:val="-2"/>
        </w:rPr>
      </w:pPr>
      <w:r w:rsidRPr="008C7A0D">
        <w:t>[The applicant</w:t>
      </w:r>
      <w:r w:rsidRPr="008C7A0D" w:rsidR="008C7A0D">
        <w:t>’</w:t>
      </w:r>
      <w:r w:rsidRPr="008C7A0D">
        <w:t>s] social network on the Faroe Islands comprises his maternal grandmother and grandfather and remote relatives</w:t>
      </w:r>
    </w:p>
    <w:p w:rsidRPr="008C7A0D" w:rsidR="004D1A77" w:rsidP="008C7A0D" w:rsidRDefault="004D1A77" w14:paraId="61FEF7AB" w14:textId="77777777">
      <w:pPr>
        <w:pStyle w:val="JuQuot"/>
        <w:rPr>
          <w:spacing w:val="-2"/>
        </w:rPr>
      </w:pPr>
      <w:r w:rsidRPr="008C7A0D">
        <w:t>[The applicant] speaks Danish, Faroese and a little Arabic</w:t>
      </w:r>
    </w:p>
    <w:p w:rsidRPr="008C7A0D" w:rsidR="004D1A77" w:rsidP="008C7A0D" w:rsidRDefault="004D1A77" w14:paraId="0D703A6F" w14:textId="77777777">
      <w:pPr>
        <w:pStyle w:val="JuQuot"/>
        <w:rPr>
          <w:spacing w:val="-2"/>
        </w:rPr>
      </w:pPr>
      <w:r w:rsidRPr="008C7A0D">
        <w:t>[The applicant] suffers from a distorted vertebrae, asthma and obesity</w:t>
      </w:r>
    </w:p>
    <w:p w:rsidRPr="008C7A0D" w:rsidR="004D1A77" w:rsidP="008C7A0D" w:rsidRDefault="004D1A77" w14:paraId="257E699A" w14:textId="16410201">
      <w:pPr>
        <w:pStyle w:val="JuQuot"/>
      </w:pPr>
      <w:r w:rsidRPr="008C7A0D">
        <w:t>In the assessment of the Danish Immigration Service, it will have no consequences on the right of residence of [the applicant</w:t>
      </w:r>
      <w:r w:rsidRPr="008C7A0D" w:rsidR="008C7A0D">
        <w:t>’</w:t>
      </w:r>
      <w:r w:rsidRPr="008C7A0D">
        <w:t>s] live-in partner or child if Adam Johansen were to be expelled from Denmark. ...</w:t>
      </w:r>
    </w:p>
    <w:p w:rsidRPr="008C7A0D" w:rsidR="004D1A77" w:rsidP="008C7A0D" w:rsidRDefault="004D1A77" w14:paraId="7DA5F20A" w14:textId="77777777">
      <w:pPr>
        <w:pStyle w:val="JuQuot"/>
        <w:keepNext/>
        <w:keepLines/>
        <w:rPr>
          <w:b/>
          <w:spacing w:val="-2"/>
        </w:rPr>
      </w:pPr>
      <w:r w:rsidRPr="008C7A0D">
        <w:rPr>
          <w:b/>
          <w:bCs/>
        </w:rPr>
        <w:t>Opinion on the issue of expulsion</w:t>
      </w:r>
    </w:p>
    <w:p w:rsidRPr="008C7A0D" w:rsidR="004D1A77" w:rsidP="008C7A0D" w:rsidRDefault="004D1A77" w14:paraId="62435334" w14:textId="508C02FF">
      <w:pPr>
        <w:pStyle w:val="JuQuot"/>
        <w:keepNext/>
        <w:keepLines/>
        <w:rPr>
          <w:spacing w:val="-2"/>
        </w:rPr>
      </w:pPr>
      <w:r w:rsidRPr="008C7A0D">
        <w:t>Initially, it is observed that it follows from section 26(2) of the Aliens Act that an alien must be expelled under sections 22 to 24 unless expulsion would be contrary to Denmark</w:t>
      </w:r>
      <w:r w:rsidRPr="008C7A0D" w:rsidR="008C7A0D">
        <w:t>’</w:t>
      </w:r>
      <w:r w:rsidRPr="008C7A0D">
        <w:t>s international obligations.</w:t>
      </w:r>
    </w:p>
    <w:p w:rsidRPr="008C7A0D" w:rsidR="004D1A77" w:rsidP="008C7A0D" w:rsidRDefault="004D1A77" w14:paraId="4BDBEF8C" w14:textId="2A39FE95">
      <w:pPr>
        <w:pStyle w:val="JuQuot"/>
      </w:pPr>
      <w:r w:rsidRPr="008C7A0D">
        <w:t>In view of the information given by the prosecution on the nature of the crime and on the expectation that he will be sentenced to imprisonment for a term of six years, read in conjunction with the considerations set out in section 26(2) of the Aliens Act, the Danish Immigration Service concurs in the prosecution</w:t>
      </w:r>
      <w:r w:rsidRPr="008C7A0D" w:rsidR="008C7A0D">
        <w:t>’</w:t>
      </w:r>
      <w:r w:rsidRPr="008C7A0D">
        <w:t>s recommendation of expulsion. ...”</w:t>
      </w:r>
    </w:p>
    <w:p w:rsidRPr="008C7A0D" w:rsidR="004D1A77" w:rsidP="008C7A0D" w:rsidRDefault="008C7A0D" w14:paraId="4B6D423B" w14:textId="24BF3BEE">
      <w:pPr>
        <w:pStyle w:val="JuPara"/>
      </w:pPr>
      <w:fldSimple w:instr=" SEQ level0 \*arabic \* MERGEFORMAT ">
        <w:r w:rsidRPr="008C7A0D">
          <w:rPr>
            <w:noProof/>
          </w:rPr>
          <w:t>12</w:t>
        </w:r>
      </w:fldSimple>
      <w:r w:rsidRPr="008C7A0D" w:rsidR="004D1A77">
        <w:t>.  On 26 October 2017 the applicant was convicted by the District Court of Frederiksberg (</w:t>
      </w:r>
      <w:r w:rsidRPr="008C7A0D" w:rsidR="004D1A77">
        <w:rPr>
          <w:i/>
          <w:iCs/>
        </w:rPr>
        <w:t>Retten på Frederiksberg</w:t>
      </w:r>
      <w:r w:rsidRPr="008C7A0D" w:rsidR="004D1A77">
        <w:t>) (hereafter the “District Court”), sitting with a jury, of a violation of Articles 114c(3) and 114d(3) of the Penal Code and sentenced to four years</w:t>
      </w:r>
      <w:r w:rsidRPr="008C7A0D">
        <w:t>’</w:t>
      </w:r>
      <w:r w:rsidRPr="008C7A0D" w:rsidR="004D1A77">
        <w:t xml:space="preserve"> imprisonment. It was deemed established that he had entered Syria on 9 September 2013 and accepted recruitment and training in the commission of terrorist acts falling under Articles 114 and 114a of the Penal Code. He had received training until 19 February 2014, when he had returned to Denmark. Relying on an overall assessment, the District Court, by a majority of ten out of twelve judges, found no basis for depriving the applicant of his Danish nationality, which meant that there was no basis for his expulsion.</w:t>
      </w:r>
    </w:p>
    <w:p w:rsidRPr="008C7A0D" w:rsidR="004D1A77" w:rsidP="008C7A0D" w:rsidRDefault="004D1A77" w14:paraId="4D483101" w14:textId="2DBF13F9">
      <w:pPr>
        <w:pStyle w:val="JuPara"/>
      </w:pPr>
      <w:r w:rsidRPr="008C7A0D">
        <w:fldChar w:fldCharType="begin"/>
      </w:r>
      <w:r w:rsidRPr="008C7A0D">
        <w:instrText xml:space="preserve"> SEQ level0 \*arabic </w:instrText>
      </w:r>
      <w:r w:rsidRPr="008C7A0D">
        <w:fldChar w:fldCharType="separate"/>
      </w:r>
      <w:r w:rsidRPr="008C7A0D" w:rsidR="008C7A0D">
        <w:rPr>
          <w:noProof/>
        </w:rPr>
        <w:t>13</w:t>
      </w:r>
      <w:r w:rsidRPr="008C7A0D">
        <w:fldChar w:fldCharType="end"/>
      </w:r>
      <w:r w:rsidRPr="008C7A0D">
        <w:t>.  The prosecution appealed against the judgment to the High Court of Eastern Denmark (</w:t>
      </w:r>
      <w:r w:rsidRPr="008C7A0D">
        <w:rPr>
          <w:i/>
          <w:iCs/>
        </w:rPr>
        <w:t>Vestre Landsret</w:t>
      </w:r>
      <w:r w:rsidRPr="008C7A0D">
        <w:t>) (hereafter “the High Court”), submitting that the applicant should be deprived of his Danish citizenship and expelled.</w:t>
      </w:r>
    </w:p>
    <w:p w:rsidRPr="008C7A0D" w:rsidR="004D1A77" w:rsidP="008C7A0D" w:rsidRDefault="004D1A77" w14:paraId="649DC196" w14:textId="5C54677C">
      <w:pPr>
        <w:pStyle w:val="JuPara"/>
      </w:pPr>
      <w:r w:rsidRPr="008C7A0D">
        <w:fldChar w:fldCharType="begin"/>
      </w:r>
      <w:r w:rsidRPr="008C7A0D">
        <w:instrText xml:space="preserve"> SEQ level0 \*arabic </w:instrText>
      </w:r>
      <w:r w:rsidRPr="008C7A0D">
        <w:fldChar w:fldCharType="separate"/>
      </w:r>
      <w:r w:rsidRPr="008C7A0D" w:rsidR="008C7A0D">
        <w:rPr>
          <w:noProof/>
        </w:rPr>
        <w:t>14</w:t>
      </w:r>
      <w:r w:rsidRPr="008C7A0D">
        <w:fldChar w:fldCharType="end"/>
      </w:r>
      <w:r w:rsidRPr="008C7A0D">
        <w:t>.  On 20 April 2018 the High Court, by a majority of four out of six judges, upheld the District Court judgment.</w:t>
      </w:r>
    </w:p>
    <w:p w:rsidRPr="008C7A0D" w:rsidR="004D1A77" w:rsidP="008C7A0D" w:rsidRDefault="004D1A77" w14:paraId="3160BAC2" w14:textId="3D9BD5DD">
      <w:pPr>
        <w:pStyle w:val="JuPara"/>
      </w:pPr>
      <w:r w:rsidRPr="008C7A0D">
        <w:fldChar w:fldCharType="begin"/>
      </w:r>
      <w:r w:rsidRPr="008C7A0D">
        <w:instrText xml:space="preserve"> SEQ level0 \*arabic </w:instrText>
      </w:r>
      <w:r w:rsidRPr="008C7A0D">
        <w:fldChar w:fldCharType="separate"/>
      </w:r>
      <w:r w:rsidRPr="008C7A0D" w:rsidR="008C7A0D">
        <w:rPr>
          <w:noProof/>
        </w:rPr>
        <w:t>15</w:t>
      </w:r>
      <w:r w:rsidRPr="008C7A0D">
        <w:fldChar w:fldCharType="end"/>
      </w:r>
      <w:r w:rsidRPr="008C7A0D">
        <w:t>.  On 28 June 2018 the Appeals Permission Board (</w:t>
      </w:r>
      <w:r w:rsidRPr="008C7A0D">
        <w:rPr>
          <w:i/>
          <w:iCs/>
        </w:rPr>
        <w:t>Procesbevillingsnævne</w:t>
      </w:r>
      <w:r w:rsidRPr="008C7A0D">
        <w:t>t) granted the prosecution permission to appeal against the decision relating to the deprivation of Danish nationality and expulsion to the Supreme Court (</w:t>
      </w:r>
      <w:r w:rsidRPr="008C7A0D">
        <w:rPr>
          <w:i/>
          <w:iCs/>
        </w:rPr>
        <w:t>Højestere</w:t>
      </w:r>
      <w:r w:rsidRPr="008C7A0D">
        <w:t>t).</w:t>
      </w:r>
    </w:p>
    <w:p w:rsidRPr="008C7A0D" w:rsidR="004D1A77" w:rsidP="008C7A0D" w:rsidRDefault="004D1A77" w14:paraId="2799CFD9" w14:textId="004E2AA6">
      <w:pPr>
        <w:pStyle w:val="JuPara"/>
      </w:pPr>
      <w:r w:rsidRPr="008C7A0D">
        <w:fldChar w:fldCharType="begin"/>
      </w:r>
      <w:r w:rsidRPr="008C7A0D">
        <w:instrText xml:space="preserve"> SEQ level0 \*arabic </w:instrText>
      </w:r>
      <w:r w:rsidRPr="008C7A0D">
        <w:fldChar w:fldCharType="separate"/>
      </w:r>
      <w:r w:rsidRPr="008C7A0D" w:rsidR="008C7A0D">
        <w:rPr>
          <w:noProof/>
        </w:rPr>
        <w:t>16</w:t>
      </w:r>
      <w:r w:rsidRPr="008C7A0D">
        <w:fldChar w:fldCharType="end"/>
      </w:r>
      <w:r w:rsidRPr="008C7A0D">
        <w:t xml:space="preserve">.  By judgment of 19 November 2018, the Supreme Court unanimously (all five judges) deprived the applicant of his Danish nationality and expelled him from Denmark with a permanent ban on his return. In its reasoning, the Supreme Court specifically relied on Article 8 of the Convention and, among others, </w:t>
      </w:r>
      <w:r w:rsidRPr="008C7A0D">
        <w:rPr>
          <w:i/>
        </w:rPr>
        <w:t>Maslov v. Austria</w:t>
      </w:r>
      <w:r w:rsidRPr="008C7A0D">
        <w:t xml:space="preserve"> [GC], no. 1638/03, ECHR 2008. As to the concrete assessment in the present case, it stated:</w:t>
      </w:r>
    </w:p>
    <w:p w:rsidRPr="008C7A0D" w:rsidR="004D1A77" w:rsidP="008C7A0D" w:rsidRDefault="004D1A77" w14:paraId="56B7A756" w14:textId="66E984D5">
      <w:pPr>
        <w:pStyle w:val="JuQuot"/>
      </w:pPr>
      <w:r w:rsidRPr="008C7A0D">
        <w:t>“As already mentioned, [the applicant], who has both Danish and Tunisian nationality, was sentenced to imprisonment for a term of four years for violation of Article 114c(3) and Article 114d(3) of the Penal Code. Accordingly, section 8b(1) of the Danish Nationality Act authorises the deprivation of his Danish nationality, and if he is deprived of his Danish nationality, section 22(1)(vi) of the Aliens Act provides the authority to expel him from Denmark.</w:t>
      </w:r>
    </w:p>
    <w:p w:rsidRPr="008C7A0D" w:rsidR="004D1A77" w:rsidP="008C7A0D" w:rsidRDefault="004D1A77" w14:paraId="5E9B79FD" w14:textId="39F6C5D2">
      <w:pPr>
        <w:pStyle w:val="JuQuot"/>
      </w:pPr>
      <w:r w:rsidRPr="008C7A0D">
        <w:t>A decision to deprive him of his Danish nationality must be based on a proportionality test. If he is to be deprived of his Danish nationality, he must also be expelled, unless the expulsion would be contrary to Denmark</w:t>
      </w:r>
      <w:r w:rsidRPr="008C7A0D" w:rsidR="008C7A0D">
        <w:t>’</w:t>
      </w:r>
      <w:r w:rsidRPr="008C7A0D">
        <w:t>s international obligations, see section 26(2) of the Aliens Act then in force, read with Article 8 of the European Convention on Human Rights. The purpose of expelling a person is to prevent disorder or crime, and a proportionality test is therefore also required under Article 8 to determine whether the relevant person can be expelled.</w:t>
      </w:r>
    </w:p>
    <w:p w:rsidRPr="008C7A0D" w:rsidR="004D1A77" w:rsidP="008C7A0D" w:rsidRDefault="004D1A77" w14:paraId="0DA3C065" w14:textId="77777777">
      <w:pPr>
        <w:pStyle w:val="JuQuot"/>
      </w:pPr>
      <w:r w:rsidRPr="008C7A0D">
        <w:t xml:space="preserve">[The applicant] has committed serious terrorism offences, and those offences have been sanctioned with imprisonment for a term of four years. According to the </w:t>
      </w:r>
      <w:r w:rsidRPr="008C7A0D">
        <w:rPr>
          <w:i/>
        </w:rPr>
        <w:t xml:space="preserve">travaux préparatoires </w:t>
      </w:r>
      <w:r w:rsidRPr="008C7A0D">
        <w:t>of section 8b(1) of the Danish Nationality Act, the general rule is that he must be deprived of his Danish nationality, and there are also very compelling reasons for expelling him from Denmark.</w:t>
      </w:r>
    </w:p>
    <w:p w:rsidRPr="008C7A0D" w:rsidR="004D1A77" w:rsidP="008C7A0D" w:rsidRDefault="004D1A77" w14:paraId="5E18A23B" w14:textId="77777777">
      <w:pPr>
        <w:pStyle w:val="JuQuot"/>
      </w:pPr>
      <w:r w:rsidRPr="008C7A0D">
        <w:t>[The applicant] was born in 1990 on the Faroe Islands to a Faroese mother and a Tunisian father. When he was nearly three years old, he moved to Denmark with his parents, and he was raised and had his schooling in Denmark, except for a 6½-month stay in Tunisia from December 2005 to June 2006 when he was 15 years old. He has married a Danish woman in an Islamic wedding ceremony, and they have lived together since 2009. They have a son who was born in January 2010. His mother and siblings also live in Denmark. He speaks, reads and writes Danish. Even though [the applicant] has no higher education, and never had a regular attachment to the Danish labour market, and has lived on public benefits since 2011, his ties with Denmark are strong.</w:t>
      </w:r>
    </w:p>
    <w:p w:rsidRPr="008C7A0D" w:rsidR="004D1A77" w:rsidP="008C7A0D" w:rsidRDefault="004D1A77" w14:paraId="72148C78" w14:textId="3CB9ECF4">
      <w:pPr>
        <w:pStyle w:val="JuQuot"/>
      </w:pPr>
      <w:r w:rsidRPr="008C7A0D">
        <w:t>[The applicant] was in Tunisia on holiday for one to two weeks about eight times prior to his 15th birthday and, as already mentioned, he lived in the country for six months together with his parents in 2005-2006. His father moved back to Tunisia in 2013 or 2014, but according to [the applicant</w:t>
      </w:r>
      <w:r w:rsidRPr="008C7A0D" w:rsidR="008C7A0D">
        <w:t>’</w:t>
      </w:r>
      <w:r w:rsidRPr="008C7A0D">
        <w:t>s] statement, he does not know whether his father still lives in the country. He last saw his father in May 2016 when his father visited him in prison. He speaks and reads Arabic, but he has stated that it is sometimes hard for him to understand the Tunisian dialect. He had his schooling at a Muslim school in Copenhagen. He has stated that Islam means everything to him and that he practises Islam in his everyday life. Even though [the applicant] was raised in Denmark, the Supreme Court finds in view of the information provided that it must be assumed that his ties with Tunisia and his familiarity with Tunisian culture and lifestyle are not insignificant.</w:t>
      </w:r>
    </w:p>
    <w:p w:rsidRPr="008C7A0D" w:rsidR="004D1A77" w:rsidP="008C7A0D" w:rsidRDefault="004D1A77" w14:paraId="195DCC09" w14:textId="54BAA8BD">
      <w:pPr>
        <w:pStyle w:val="JuQuot"/>
      </w:pPr>
      <w:r w:rsidRPr="008C7A0D">
        <w:t>Based on an overall balancing test, the Supreme Court finds that neither the deprivation of [the applicant</w:t>
      </w:r>
      <w:r w:rsidRPr="008C7A0D" w:rsidR="008C7A0D">
        <w:t>’</w:t>
      </w:r>
      <w:r w:rsidRPr="008C7A0D">
        <w:t>s] Danish nationality nor expulsion combined with a permanent re-entry ban would be a disproportionate sanction.</w:t>
      </w:r>
    </w:p>
    <w:p w:rsidRPr="008C7A0D" w:rsidR="004D1A77" w:rsidP="008C7A0D" w:rsidRDefault="004D1A77" w14:paraId="3E69333C" w14:textId="41A32AA3">
      <w:pPr>
        <w:pStyle w:val="JuQuot"/>
      </w:pPr>
      <w:r w:rsidRPr="008C7A0D">
        <w:t>In this respect, the Supreme Court particularly takes into account the seriousness and the nature of the crime committed. Furthermore, the Supreme Court finds that regard for [the applicant</w:t>
      </w:r>
      <w:r w:rsidRPr="008C7A0D" w:rsidR="008C7A0D">
        <w:t>’</w:t>
      </w:r>
      <w:r w:rsidRPr="008C7A0D">
        <w:t>s] family and private life in Denmark does not make the deprivation of his Danish nationality and expulsion conclusively inappropriate. It is observed in this respect that [the applicant] left his family in Denmark at his own initiative in connection with the crime committed in order to take up residence in a war zone in Syria. It is also observed that it is assumed that his live-in partner, who converted to Islam at the age of 18, and their now 8-year-old son, who has attended an Islamic school for a short period and is now home-schooled by his mother, are not entirely unprepared for accompanying him to Tunisia. If they do not want to settle in Tunisia, it is possible for them to visit him there and to communicate with him by telephone and on the Internet.</w:t>
      </w:r>
    </w:p>
    <w:p w:rsidRPr="008C7A0D" w:rsidR="004D1A77" w:rsidP="008C7A0D" w:rsidRDefault="004D1A77" w14:paraId="64DF66F3" w14:textId="77777777">
      <w:pPr>
        <w:pStyle w:val="JuQuot"/>
      </w:pPr>
      <w:r w:rsidRPr="008C7A0D">
        <w:t>Conclusion</w:t>
      </w:r>
    </w:p>
    <w:p w:rsidRPr="008C7A0D" w:rsidR="004D1A77" w:rsidP="008C7A0D" w:rsidRDefault="004D1A77" w14:paraId="697D7688" w14:textId="77777777">
      <w:pPr>
        <w:pStyle w:val="JuQuot"/>
      </w:pPr>
      <w:r w:rsidRPr="008C7A0D">
        <w:t>The Supreme Court changes the judgment of the High Court, depriving [the applicant] of his Danish nationality under section 8b(1) of the Danish Nationality Act and expelling him from Denmark with a permanent re-entry ban in pursuance of section 22(1)(vi), read in conjunction with section 32(2)(v), of the Aliens Act then in force.”</w:t>
      </w:r>
    </w:p>
    <w:p w:rsidRPr="008C7A0D" w:rsidR="004D1A77" w:rsidP="008C7A0D" w:rsidRDefault="004D1A77" w14:paraId="4B1E3CD3" w14:textId="4B95FEA9">
      <w:pPr>
        <w:pStyle w:val="JuPara"/>
        <w:rPr>
          <w:sz w:val="23"/>
          <w:szCs w:val="23"/>
        </w:rPr>
      </w:pPr>
      <w:r w:rsidRPr="008C7A0D">
        <w:fldChar w:fldCharType="begin"/>
      </w:r>
      <w:r w:rsidRPr="008C7A0D">
        <w:instrText xml:space="preserve"> SEQ level0 \*arabic </w:instrText>
      </w:r>
      <w:r w:rsidRPr="008C7A0D">
        <w:fldChar w:fldCharType="separate"/>
      </w:r>
      <w:r w:rsidRPr="008C7A0D" w:rsidR="008C7A0D">
        <w:rPr>
          <w:noProof/>
        </w:rPr>
        <w:t>17</w:t>
      </w:r>
      <w:r w:rsidRPr="008C7A0D">
        <w:fldChar w:fldCharType="end"/>
      </w:r>
      <w:r w:rsidRPr="008C7A0D">
        <w:t>.  S</w:t>
      </w:r>
      <w:r w:rsidRPr="008C7A0D">
        <w:rPr>
          <w:sz w:val="23"/>
          <w:szCs w:val="23"/>
        </w:rPr>
        <w:t>ince the summer of 2019, the Danish authorities have tried in vain to obtain travel documents in order to execute the expulsion order and deport the applicant to Tunisia, notably by contacting the Tunisian Embassies in Stockholm and Oslo (there is no Tunisian Embassy in Denmark).  The Danish authorities, including the Return Agency (</w:t>
      </w:r>
      <w:r w:rsidRPr="008C7A0D">
        <w:rPr>
          <w:i/>
          <w:iCs/>
          <w:sz w:val="23"/>
          <w:szCs w:val="23"/>
        </w:rPr>
        <w:t>Hjemrejsestyrelsen</w:t>
      </w:r>
      <w:r w:rsidRPr="008C7A0D">
        <w:rPr>
          <w:sz w:val="23"/>
          <w:szCs w:val="23"/>
        </w:rPr>
        <w:t>) and the Ministry of Foreign Affairs, were informed that the applicant, under the name X, had a Tunisian passport issued on 22 January 1997. It was valid until 21 January 2002, and prolonged until 9 May 2007. At the end of 2020, apparently the Tunisian authorities also informed the Ministry of Foreign Affairs that they had not been able to identify X as a Tunisian national.</w:t>
      </w:r>
    </w:p>
    <w:p w:rsidRPr="008C7A0D" w:rsidR="004D1A77" w:rsidP="008C7A0D" w:rsidRDefault="004D1A77" w14:paraId="23181EDB" w14:textId="2C9C3C3C">
      <w:pPr>
        <w:pStyle w:val="JuPara"/>
        <w:rPr>
          <w:sz w:val="23"/>
          <w:szCs w:val="23"/>
        </w:rPr>
      </w:pPr>
      <w:r w:rsidRPr="008C7A0D">
        <w:rPr>
          <w:sz w:val="23"/>
          <w:szCs w:val="23"/>
        </w:rPr>
        <w:fldChar w:fldCharType="begin"/>
      </w:r>
      <w:r w:rsidRPr="008C7A0D">
        <w:rPr>
          <w:sz w:val="23"/>
          <w:szCs w:val="23"/>
        </w:rPr>
        <w:instrText xml:space="preserve"> SEQ level0 \*arabic </w:instrText>
      </w:r>
      <w:r w:rsidRPr="008C7A0D">
        <w:rPr>
          <w:sz w:val="23"/>
          <w:szCs w:val="23"/>
        </w:rPr>
        <w:fldChar w:fldCharType="separate"/>
      </w:r>
      <w:r w:rsidRPr="008C7A0D" w:rsidR="008C7A0D">
        <w:rPr>
          <w:noProof/>
          <w:sz w:val="23"/>
          <w:szCs w:val="23"/>
        </w:rPr>
        <w:t>18</w:t>
      </w:r>
      <w:r w:rsidRPr="008C7A0D">
        <w:rPr>
          <w:sz w:val="23"/>
          <w:szCs w:val="23"/>
        </w:rPr>
        <w:fldChar w:fldCharType="end"/>
      </w:r>
      <w:r w:rsidRPr="008C7A0D">
        <w:rPr>
          <w:sz w:val="23"/>
          <w:szCs w:val="23"/>
        </w:rPr>
        <w:t>.  Meanwhile, on 16 March 2020, the applicant was released on completion of his sentence. On the same day he was remanded in custody pursuant to section 35(1)(i) of the Aliens Act, where he remained until 5 November 2020, when the High Court found that an extension could no longer be considered proportionate.</w:t>
      </w:r>
    </w:p>
    <w:p w:rsidRPr="008C7A0D" w:rsidR="004D1A77" w:rsidP="008C7A0D" w:rsidRDefault="004D1A77" w14:paraId="7CE64D5B" w14:textId="0F4EA16B">
      <w:pPr>
        <w:pStyle w:val="JuPara"/>
      </w:pPr>
      <w:r w:rsidRPr="008C7A0D">
        <w:fldChar w:fldCharType="begin"/>
      </w:r>
      <w:r w:rsidRPr="008C7A0D">
        <w:instrText xml:space="preserve"> SEQ level0 \*arabic </w:instrText>
      </w:r>
      <w:r w:rsidRPr="008C7A0D">
        <w:fldChar w:fldCharType="separate"/>
      </w:r>
      <w:r w:rsidRPr="008C7A0D" w:rsidR="008C7A0D">
        <w:rPr>
          <w:noProof/>
        </w:rPr>
        <w:t>19</w:t>
      </w:r>
      <w:r w:rsidRPr="008C7A0D">
        <w:fldChar w:fldCharType="end"/>
      </w:r>
      <w:r w:rsidRPr="008C7A0D">
        <w:t>.  Subsequently, the applicant has been placed in mandatory accommodation at a pre-departure centre (</w:t>
      </w:r>
      <w:r w:rsidRPr="008C7A0D">
        <w:rPr>
          <w:i/>
          <w:iCs/>
        </w:rPr>
        <w:t>Udrejsecenter Kærshovedgård</w:t>
      </w:r>
      <w:r w:rsidRPr="008C7A0D">
        <w:t>) where he is required to remain overnight and report regularly.</w:t>
      </w:r>
    </w:p>
    <w:p w:rsidRPr="008C7A0D" w:rsidR="004D1A77" w:rsidP="008C7A0D" w:rsidRDefault="008C7A0D" w14:paraId="74117788" w14:textId="672B914E">
      <w:pPr>
        <w:pStyle w:val="JuPara"/>
      </w:pPr>
      <w:fldSimple w:instr=" SEQ level0 \*arabic \* MERGEFORMAT ">
        <w:r w:rsidRPr="008C7A0D">
          <w:rPr>
            <w:noProof/>
          </w:rPr>
          <w:t>20</w:t>
        </w:r>
      </w:fldSimple>
      <w:r w:rsidRPr="008C7A0D" w:rsidR="004D1A77">
        <w:t xml:space="preserve">.  On 13 April 2021, alleging that he did not have Tunisian citizenship, the applicant requested that the Special Court of Revision reopen his case. The Prosecution Service requested that the request be refused. They noted that it had been undisputed during the criminal proceedings that the applicant also had Tunisian nationality. He was born to a Tunisian father and therefore automatically acquired Tunisian nationality at birth (see paragraph 9 above) and he had had a Tunisian passport </w:t>
      </w:r>
      <w:r w:rsidRPr="008C7A0D" w:rsidR="004D1A77">
        <w:rPr>
          <w:sz w:val="23"/>
          <w:szCs w:val="23"/>
        </w:rPr>
        <w:t>(see paragraph 17 above). Moreover, most recently, on 14 September 2021, the Tunisian authorities had informed the Danish authorities that “there could be no doubt that the applicant had Tunisian citizenship” and that the “necessary judicial basis existed to allow the Tunisian Ambassy to issue travel documents with a view to deporting the applicant to Tunisia”. O</w:t>
      </w:r>
      <w:r w:rsidRPr="008C7A0D" w:rsidR="004D1A77">
        <w:t>n 20 December 2021 the Special Court of Revision refused to reopen the case.</w:t>
      </w:r>
    </w:p>
    <w:p w:rsidRPr="008C7A0D" w:rsidR="004D1A77" w:rsidP="008C7A0D" w:rsidRDefault="004D1A77" w14:paraId="6F36074E" w14:textId="2A32A5DA">
      <w:pPr>
        <w:pStyle w:val="JuHA"/>
      </w:pPr>
      <w:r w:rsidRPr="008C7A0D">
        <w:t>Relevant domestic law</w:t>
      </w:r>
    </w:p>
    <w:p w:rsidRPr="008C7A0D" w:rsidR="004D1A77" w:rsidP="008C7A0D" w:rsidRDefault="004D1A77" w14:paraId="06C3383F" w14:textId="2F119B3E">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21</w:t>
      </w:r>
      <w:r w:rsidRPr="008C7A0D">
        <w:rPr>
          <w:rFonts w:eastAsia="Times New Roman"/>
          <w:lang w:eastAsia="fr-FR"/>
        </w:rPr>
        <w:fldChar w:fldCharType="end"/>
      </w:r>
      <w:r w:rsidRPr="008C7A0D">
        <w:rPr>
          <w:rFonts w:eastAsia="Times New Roman"/>
          <w:lang w:eastAsia="fr-FR"/>
        </w:rPr>
        <w:t>.  Section 8b of the Act on Danish Nationality (</w:t>
      </w:r>
      <w:r w:rsidRPr="008C7A0D">
        <w:rPr>
          <w:rFonts w:eastAsia="Times New Roman"/>
          <w:i/>
          <w:iCs/>
          <w:lang w:eastAsia="fr-FR"/>
        </w:rPr>
        <w:t>Indfødsretloven</w:t>
      </w:r>
      <w:r w:rsidRPr="008C7A0D">
        <w:rPr>
          <w:rFonts w:eastAsia="Times New Roman"/>
          <w:lang w:eastAsia="fr-FR"/>
        </w:rPr>
        <w:t>,</w:t>
      </w:r>
      <w:r w:rsidRPr="008C7A0D">
        <w:rPr>
          <w:rFonts w:eastAsia="Times New Roman"/>
          <w:i/>
          <w:iCs/>
          <w:lang w:eastAsia="fr-FR"/>
        </w:rPr>
        <w:t xml:space="preserve"> </w:t>
      </w:r>
      <w:r w:rsidRPr="008C7A0D">
        <w:rPr>
          <w:rFonts w:eastAsia="Times New Roman"/>
          <w:lang w:eastAsia="fr-FR"/>
        </w:rPr>
        <w:t>no. 422 of 7 June 2004) reads as follows:</w:t>
      </w:r>
    </w:p>
    <w:p w:rsidRPr="008C7A0D" w:rsidR="004D1A77" w:rsidP="008C7A0D" w:rsidRDefault="004D1A77" w14:paraId="0A517493" w14:textId="77777777">
      <w:pPr>
        <w:pStyle w:val="JuQuot"/>
      </w:pPr>
      <w:r w:rsidRPr="008C7A0D">
        <w:t>“(1) A person convicted of violation of one or more provisions of Parts 12 and 13 of the Penal Code may be deprived of his or her Danish nationality by court order unless this will make the person concerned stateless.</w:t>
      </w:r>
    </w:p>
    <w:p w:rsidRPr="008C7A0D" w:rsidR="004D1A77" w:rsidP="008C7A0D" w:rsidRDefault="004D1A77" w14:paraId="71F1DAE7" w14:textId="77777777">
      <w:pPr>
        <w:pStyle w:val="JuQuot"/>
      </w:pPr>
      <w:r w:rsidRPr="008C7A0D">
        <w:t>(2) Where a person is punished abroad for an act which may, under subsection (1) hereof, lead to deprivation of Danish nationality, such person can be deprived of his or her nationality pursuant to article 11 of the Penal Code.”</w:t>
      </w:r>
    </w:p>
    <w:p w:rsidRPr="008C7A0D" w:rsidR="004D1A77" w:rsidP="008C7A0D" w:rsidRDefault="004D1A77" w14:paraId="6667D643" w14:textId="10E97E30">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22</w:t>
      </w:r>
      <w:r w:rsidRPr="008C7A0D">
        <w:rPr>
          <w:rFonts w:eastAsia="Times New Roman"/>
          <w:lang w:eastAsia="fr-FR"/>
        </w:rPr>
        <w:fldChar w:fldCharType="end"/>
      </w:r>
      <w:r w:rsidRPr="008C7A0D">
        <w:rPr>
          <w:rFonts w:eastAsia="Times New Roman"/>
          <w:lang w:eastAsia="fr-FR"/>
        </w:rPr>
        <w:t>.  According to the preparatory works to section 8b of the Act on Danish Nationality, a decision to deprive citizenship requires a proportionality test to be conducted, weighing the seriousness of the crime against the impact on the person of his or her loss of Danish citizenship. Such a determination involves evaluating the person</w:t>
      </w:r>
      <w:r w:rsidRPr="008C7A0D" w:rsidR="008C7A0D">
        <w:rPr>
          <w:rFonts w:eastAsia="Times New Roman"/>
          <w:lang w:eastAsia="fr-FR"/>
        </w:rPr>
        <w:t>’</w:t>
      </w:r>
      <w:r w:rsidRPr="008C7A0D">
        <w:rPr>
          <w:rFonts w:eastAsia="Times New Roman"/>
          <w:lang w:eastAsia="fr-FR"/>
        </w:rPr>
        <w:t>s ties to Denmark as compared with his or her ties to another country of which he or she is a citizen, including family ties in both countries. Moreover, a person who has been convicted of a serious crime punishable by more than two years</w:t>
      </w:r>
      <w:r w:rsidRPr="008C7A0D" w:rsidR="008C7A0D">
        <w:rPr>
          <w:rFonts w:eastAsia="Times New Roman"/>
          <w:lang w:eastAsia="fr-FR"/>
        </w:rPr>
        <w:t>’</w:t>
      </w:r>
      <w:r w:rsidRPr="008C7A0D">
        <w:rPr>
          <w:rFonts w:eastAsia="Times New Roman"/>
          <w:lang w:eastAsia="fr-FR"/>
        </w:rPr>
        <w:t xml:space="preserve"> imprisonment, should, as a starting point, be stripped of Danish citizenship. However, even very serious crimes should not result in loss of citizenship if the person has no connection or very little connection to the other country.</w:t>
      </w:r>
    </w:p>
    <w:p w:rsidRPr="008C7A0D" w:rsidR="004D1A77" w:rsidP="008C7A0D" w:rsidRDefault="004D1A77" w14:paraId="3893BC68" w14:textId="06E971C6">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23</w:t>
      </w:r>
      <w:r w:rsidRPr="008C7A0D">
        <w:rPr>
          <w:rFonts w:eastAsia="Times New Roman"/>
          <w:lang w:eastAsia="fr-FR"/>
        </w:rPr>
        <w:fldChar w:fldCharType="end"/>
      </w:r>
      <w:r w:rsidRPr="008C7A0D">
        <w:rPr>
          <w:rFonts w:eastAsia="Times New Roman"/>
          <w:lang w:eastAsia="fr-FR"/>
        </w:rPr>
        <w:t>.  The relevant sections of the Aliens Act provide:</w:t>
      </w:r>
    </w:p>
    <w:p w:rsidRPr="008C7A0D" w:rsidR="004D1A77" w:rsidP="008C7A0D" w:rsidRDefault="004D1A77" w14:paraId="16AFA31F" w14:textId="77777777">
      <w:pPr>
        <w:pStyle w:val="JuHArticle"/>
        <w:rPr>
          <w:rFonts w:eastAsia="Times New Roman"/>
          <w:lang w:eastAsia="fr-FR"/>
        </w:rPr>
      </w:pPr>
      <w:r w:rsidRPr="008C7A0D">
        <w:rPr>
          <w:rFonts w:eastAsia="Times New Roman"/>
          <w:lang w:eastAsia="fr-FR"/>
        </w:rPr>
        <w:t>Section 26</w:t>
      </w:r>
    </w:p>
    <w:p w:rsidRPr="008C7A0D" w:rsidR="004D1A77" w:rsidP="008C7A0D" w:rsidRDefault="004D1A77" w14:paraId="6B119EB9" w14:textId="77777777">
      <w:pPr>
        <w:pStyle w:val="JuQuot"/>
        <w:rPr>
          <w:rFonts w:eastAsia="Times New Roman"/>
          <w:lang w:eastAsia="fr-FR"/>
        </w:rPr>
      </w:pPr>
      <w:r w:rsidRPr="008C7A0D">
        <w:rPr>
          <w:rFonts w:eastAsia="Times New Roman"/>
          <w:lang w:eastAsia="fr-FR"/>
        </w:rPr>
        <w:t>“(1) In deciding on expulsion under sections 25a to 25c, regard must be had to the question whether expulsion must be assumed to be particularly burdensome, in particular because of –</w:t>
      </w:r>
    </w:p>
    <w:p w:rsidRPr="008C7A0D" w:rsidR="004D1A77" w:rsidP="008C7A0D" w:rsidRDefault="004D1A77" w14:paraId="1E02FD78" w14:textId="0F2035C1">
      <w:pPr>
        <w:pStyle w:val="JuQuot"/>
        <w:rPr>
          <w:rFonts w:eastAsia="Times New Roman"/>
          <w:lang w:eastAsia="fr-FR"/>
        </w:rPr>
      </w:pPr>
      <w:r w:rsidRPr="008C7A0D">
        <w:rPr>
          <w:rFonts w:eastAsia="Times New Roman"/>
          <w:lang w:eastAsia="fr-FR"/>
        </w:rPr>
        <w:t>(i) the alien</w:t>
      </w:r>
      <w:r w:rsidRPr="008C7A0D" w:rsidR="008C7A0D">
        <w:rPr>
          <w:rFonts w:eastAsia="Times New Roman"/>
          <w:lang w:eastAsia="fr-FR"/>
        </w:rPr>
        <w:t>’</w:t>
      </w:r>
      <w:r w:rsidRPr="008C7A0D">
        <w:rPr>
          <w:rFonts w:eastAsia="Times New Roman"/>
          <w:lang w:eastAsia="fr-FR"/>
        </w:rPr>
        <w:t>s ties with Danish society;</w:t>
      </w:r>
    </w:p>
    <w:p w:rsidRPr="008C7A0D" w:rsidR="004D1A77" w:rsidP="008C7A0D" w:rsidRDefault="004D1A77" w14:paraId="73C2AB8C" w14:textId="5A3E0767">
      <w:pPr>
        <w:pStyle w:val="JuQuot"/>
        <w:rPr>
          <w:rFonts w:eastAsia="Times New Roman"/>
          <w:lang w:eastAsia="fr-FR"/>
        </w:rPr>
      </w:pPr>
      <w:r w:rsidRPr="008C7A0D">
        <w:rPr>
          <w:rFonts w:eastAsia="Times New Roman"/>
          <w:lang w:eastAsia="fr-FR"/>
        </w:rPr>
        <w:t>(ii) the alien</w:t>
      </w:r>
      <w:r w:rsidRPr="008C7A0D" w:rsidR="008C7A0D">
        <w:rPr>
          <w:rFonts w:eastAsia="Times New Roman"/>
          <w:lang w:eastAsia="fr-FR"/>
        </w:rPr>
        <w:t>’</w:t>
      </w:r>
      <w:r w:rsidRPr="008C7A0D">
        <w:rPr>
          <w:rFonts w:eastAsia="Times New Roman"/>
          <w:lang w:eastAsia="fr-FR"/>
        </w:rPr>
        <w:t>s age, health and other personal circumstances;</w:t>
      </w:r>
    </w:p>
    <w:p w:rsidRPr="008C7A0D" w:rsidR="004D1A77" w:rsidP="008C7A0D" w:rsidRDefault="004D1A77" w14:paraId="0E3C1A97" w14:textId="0A6187FE">
      <w:pPr>
        <w:pStyle w:val="JuQuot"/>
        <w:rPr>
          <w:rFonts w:eastAsia="Times New Roman"/>
          <w:lang w:eastAsia="fr-FR"/>
        </w:rPr>
      </w:pPr>
      <w:r w:rsidRPr="008C7A0D">
        <w:rPr>
          <w:rFonts w:eastAsia="Times New Roman"/>
          <w:lang w:eastAsia="fr-FR"/>
        </w:rPr>
        <w:t>(iii) the alien</w:t>
      </w:r>
      <w:r w:rsidRPr="008C7A0D" w:rsidR="008C7A0D">
        <w:rPr>
          <w:rFonts w:eastAsia="Times New Roman"/>
          <w:lang w:eastAsia="fr-FR"/>
        </w:rPr>
        <w:t>’</w:t>
      </w:r>
      <w:r w:rsidRPr="008C7A0D">
        <w:rPr>
          <w:rFonts w:eastAsia="Times New Roman"/>
          <w:lang w:eastAsia="fr-FR"/>
        </w:rPr>
        <w:t>s ties with persons living in Denmark;</w:t>
      </w:r>
    </w:p>
    <w:p w:rsidRPr="008C7A0D" w:rsidR="004D1A77" w:rsidP="008C7A0D" w:rsidRDefault="004D1A77" w14:paraId="32D4C8BB" w14:textId="64493EC0">
      <w:pPr>
        <w:pStyle w:val="JuQuot"/>
        <w:rPr>
          <w:rFonts w:eastAsia="Times New Roman"/>
          <w:lang w:eastAsia="fr-FR"/>
        </w:rPr>
      </w:pPr>
      <w:r w:rsidRPr="008C7A0D">
        <w:rPr>
          <w:rFonts w:eastAsia="Times New Roman"/>
          <w:lang w:eastAsia="fr-FR"/>
        </w:rPr>
        <w:t>(iv) the consequences of the expulsion for the alien</w:t>
      </w:r>
      <w:r w:rsidRPr="008C7A0D" w:rsidR="008C7A0D">
        <w:rPr>
          <w:rFonts w:eastAsia="Times New Roman"/>
          <w:lang w:eastAsia="fr-FR"/>
        </w:rPr>
        <w:t>’</w:t>
      </w:r>
      <w:r w:rsidRPr="008C7A0D">
        <w:rPr>
          <w:rFonts w:eastAsia="Times New Roman"/>
          <w:lang w:eastAsia="fr-FR"/>
        </w:rPr>
        <w:t>s close relatives living in Denmark, including impact on family unity;</w:t>
      </w:r>
    </w:p>
    <w:p w:rsidRPr="008C7A0D" w:rsidR="004D1A77" w:rsidP="008C7A0D" w:rsidRDefault="004D1A77" w14:paraId="2825786A" w14:textId="3B574A2E">
      <w:pPr>
        <w:pStyle w:val="JuQuot"/>
        <w:rPr>
          <w:rFonts w:eastAsia="Times New Roman"/>
          <w:lang w:eastAsia="fr-FR"/>
        </w:rPr>
      </w:pPr>
      <w:r w:rsidRPr="008C7A0D">
        <w:rPr>
          <w:rFonts w:eastAsia="Times New Roman"/>
          <w:lang w:eastAsia="fr-FR"/>
        </w:rPr>
        <w:t>(v) the alien</w:t>
      </w:r>
      <w:r w:rsidRPr="008C7A0D" w:rsidR="008C7A0D">
        <w:rPr>
          <w:rFonts w:eastAsia="Times New Roman"/>
          <w:lang w:eastAsia="fr-FR"/>
        </w:rPr>
        <w:t>’</w:t>
      </w:r>
      <w:r w:rsidRPr="008C7A0D">
        <w:rPr>
          <w:rFonts w:eastAsia="Times New Roman"/>
          <w:lang w:eastAsia="fr-FR"/>
        </w:rPr>
        <w:t>s slight or non-existent ties with his country of origin or any other country in which he may be expected to take up residence; and</w:t>
      </w:r>
    </w:p>
    <w:p w:rsidRPr="008C7A0D" w:rsidR="004D1A77" w:rsidP="008C7A0D" w:rsidRDefault="004D1A77" w14:paraId="4089431D" w14:textId="77777777">
      <w:pPr>
        <w:pStyle w:val="JuQuot"/>
        <w:rPr>
          <w:rFonts w:eastAsia="Times New Roman"/>
          <w:lang w:eastAsia="fr-FR"/>
        </w:rPr>
      </w:pPr>
      <w:r w:rsidRPr="008C7A0D">
        <w:rPr>
          <w:rFonts w:eastAsia="Times New Roman"/>
          <w:lang w:eastAsia="fr-FR"/>
        </w:rPr>
        <w:t>(vi) the risk that, in cases other than those mentioned in section 7(1) and (2) and section 8(1) and (2), the alien will be ill-treated in his country of origin or any other country in which he may be expected to take up residence.</w:t>
      </w:r>
    </w:p>
    <w:p w:rsidRPr="008C7A0D" w:rsidR="004D1A77" w:rsidP="008C7A0D" w:rsidRDefault="004D1A77" w14:paraId="6CE089BF" w14:textId="1E4B574B">
      <w:pPr>
        <w:pStyle w:val="JuQuot"/>
        <w:rPr>
          <w:rFonts w:eastAsia="Times New Roman"/>
          <w:lang w:eastAsia="fr-FR"/>
        </w:rPr>
      </w:pPr>
      <w:r w:rsidRPr="008C7A0D">
        <w:rPr>
          <w:rFonts w:eastAsia="Times New Roman"/>
          <w:lang w:eastAsia="fr-FR"/>
        </w:rPr>
        <w:t>(2) An alien must be expelled under sections 22 to 24 and 25 unless this would be contrary to Denmark</w:t>
      </w:r>
      <w:r w:rsidRPr="008C7A0D" w:rsidR="008C7A0D">
        <w:rPr>
          <w:rFonts w:eastAsia="Times New Roman"/>
          <w:lang w:eastAsia="fr-FR"/>
        </w:rPr>
        <w:t>’</w:t>
      </w:r>
      <w:r w:rsidRPr="008C7A0D">
        <w:rPr>
          <w:rFonts w:eastAsia="Times New Roman"/>
          <w:lang w:eastAsia="fr-FR"/>
        </w:rPr>
        <w:t>s international obligations.”</w:t>
      </w:r>
    </w:p>
    <w:p w:rsidRPr="008C7A0D" w:rsidR="004D1A77" w:rsidP="008C7A0D" w:rsidRDefault="004D1A77" w14:paraId="7D1158E6" w14:textId="77777777">
      <w:pPr>
        <w:pStyle w:val="JuHArticle"/>
      </w:pPr>
      <w:r w:rsidRPr="008C7A0D">
        <w:t>Section 32</w:t>
      </w:r>
    </w:p>
    <w:p w:rsidRPr="008C7A0D" w:rsidR="004D1A77" w:rsidP="008C7A0D" w:rsidRDefault="004D1A77" w14:paraId="1D8C5AC8" w14:textId="589EBE91">
      <w:pPr>
        <w:pStyle w:val="JuQuot"/>
      </w:pPr>
      <w:r w:rsidRPr="008C7A0D">
        <w:t>“...</w:t>
      </w:r>
    </w:p>
    <w:p w:rsidRPr="008C7A0D" w:rsidR="004D1A77" w:rsidP="008C7A0D" w:rsidRDefault="004D1A77" w14:paraId="2C835B70" w14:textId="77777777">
      <w:pPr>
        <w:pStyle w:val="JuQuot"/>
      </w:pPr>
      <w:r w:rsidRPr="008C7A0D">
        <w:rPr>
          <w:i/>
          <w:iCs/>
        </w:rPr>
        <w:t>(2)</w:t>
      </w:r>
      <w:r w:rsidRPr="008C7A0D">
        <w:t xml:space="preserve"> A re-entry ban in connection with expulsion under sections 22 to 24 is imposed –</w:t>
      </w:r>
    </w:p>
    <w:p w:rsidRPr="008C7A0D" w:rsidR="004D1A77" w:rsidP="008C7A0D" w:rsidRDefault="004D1A77" w14:paraId="465794AE" w14:textId="2246A37B">
      <w:pPr>
        <w:pStyle w:val="JuQuot"/>
      </w:pPr>
      <w:r w:rsidRPr="008C7A0D">
        <w:t>...</w:t>
      </w:r>
    </w:p>
    <w:p w:rsidRPr="008C7A0D" w:rsidR="004D1A77" w:rsidP="008C7A0D" w:rsidRDefault="004D1A77" w14:paraId="28EFAB82" w14:textId="77777777">
      <w:pPr>
        <w:pStyle w:val="JuQuot"/>
      </w:pPr>
      <w:r w:rsidRPr="008C7A0D">
        <w:t>(v) permanently if the alien is sentenced to imprisonment for more than two years or other criminal sanction involving or allowing deprivation of liberty for an offence that would have resulted in a punishment of this duration”</w:t>
      </w:r>
    </w:p>
    <w:p w:rsidRPr="008C7A0D" w:rsidR="004D1A77" w:rsidP="008C7A0D" w:rsidRDefault="008C7A0D" w14:paraId="36E624E7" w14:textId="558BDF76">
      <w:pPr>
        <w:pStyle w:val="JuPara"/>
      </w:pPr>
      <w:fldSimple w:instr=" SEQ level0 \*arabic \* MERGEFORMAT ">
        <w:r w:rsidRPr="008C7A0D">
          <w:rPr>
            <w:noProof/>
          </w:rPr>
          <w:t>24</w:t>
        </w:r>
      </w:fldSimple>
      <w:r w:rsidRPr="008C7A0D" w:rsidR="004D1A77">
        <w:rPr>
          <w:rStyle w:val="JuParaChar"/>
        </w:rPr>
        <w:t>.  Section 32 was amended by Act no. 469 of 14 May 2018, which came into force on 16 May 2018. Briefly explained, the amendment entailed that the re-entry ban was to be imposed permanently, if the alien was sentenced to imprisonment for more than one year and six months (section 32(4)(vii)), but it gave the courts discretion to reduce the length of re</w:t>
      </w:r>
      <w:r w:rsidRPr="008C7A0D" w:rsidR="004D1A77">
        <w:rPr>
          <w:rStyle w:val="JuParaChar"/>
        </w:rPr>
        <w:noBreakHyphen/>
        <w:t>entry bans, whether limited in time or permanent, if the length would otherwise certainly be in breach of Denmark</w:t>
      </w:r>
      <w:r w:rsidRPr="008C7A0D">
        <w:rPr>
          <w:rStyle w:val="JuParaChar"/>
        </w:rPr>
        <w:t>’</w:t>
      </w:r>
      <w:r w:rsidRPr="008C7A0D" w:rsidR="004D1A77">
        <w:rPr>
          <w:rStyle w:val="JuParaChar"/>
        </w:rPr>
        <w:t>s international obligations, including Article 8 of the Convention. The Act applied to crimes committed after its entry into force (and thus not to the present case).</w:t>
      </w:r>
    </w:p>
    <w:p w:rsidRPr="008C7A0D" w:rsidR="004D1A77" w:rsidP="008C7A0D" w:rsidRDefault="004D1A77" w14:paraId="69158D2B" w14:textId="5D23865A">
      <w:pPr>
        <w:pStyle w:val="JuHA"/>
        <w:rPr>
          <w:szCs w:val="24"/>
        </w:rPr>
      </w:pPr>
      <w:r w:rsidRPr="008C7A0D">
        <w:t>Council of Europe documents</w:t>
      </w:r>
    </w:p>
    <w:bookmarkStart w:name="para40" w:id="3"/>
    <w:p w:rsidRPr="008C7A0D" w:rsidR="004D1A77" w:rsidP="008C7A0D" w:rsidRDefault="004D1A77" w14:paraId="67D0F234" w14:textId="487B46DC">
      <w:pPr>
        <w:pStyle w:val="JuPara"/>
      </w:pPr>
      <w:r w:rsidRPr="008C7A0D">
        <w:fldChar w:fldCharType="begin"/>
      </w:r>
      <w:r w:rsidRPr="008C7A0D">
        <w:instrText xml:space="preserve"> SEQ level0 \*arabic \* MERGEFORMAT </w:instrText>
      </w:r>
      <w:r w:rsidRPr="008C7A0D">
        <w:fldChar w:fldCharType="separate"/>
      </w:r>
      <w:r w:rsidRPr="008C7A0D" w:rsidR="008C7A0D">
        <w:rPr>
          <w:noProof/>
        </w:rPr>
        <w:t>25</w:t>
      </w:r>
      <w:r w:rsidRPr="008C7A0D">
        <w:fldChar w:fldCharType="end"/>
      </w:r>
      <w:bookmarkEnd w:id="3"/>
      <w:r w:rsidRPr="008C7A0D">
        <w:t>.  The principal Council of Europe document concerning nationality is the European Convention on Nationality (ETS No. 166), which was adopted on 6 November 1997 and came into force on 1 March 2000. It has been ratified by twenty-one member States of the Council of Europe, including Denmark (on 24 July 2002, entering into force on 1 November 2002). The relevant provisions read as follows:</w:t>
      </w:r>
    </w:p>
    <w:p w:rsidRPr="008C7A0D" w:rsidR="004D1A77" w:rsidP="008C7A0D" w:rsidRDefault="004D1A77" w14:paraId="71E1D401" w14:textId="36229593">
      <w:pPr>
        <w:pStyle w:val="JuHArticle"/>
      </w:pPr>
      <w:r w:rsidRPr="008C7A0D">
        <w:t>Article 1 – Object of the Convention</w:t>
      </w:r>
    </w:p>
    <w:p w:rsidRPr="008C7A0D" w:rsidR="004D1A77" w:rsidP="008C7A0D" w:rsidRDefault="004D1A77" w14:paraId="7F8F1309" w14:textId="77777777">
      <w:pPr>
        <w:pStyle w:val="JuQuot"/>
      </w:pPr>
      <w:r w:rsidRPr="008C7A0D">
        <w:t>“This Convention establishes principles and rules relating to the nationality of natural persons and rules regulating military obligations in cases of multiple nationality, to which the internal law of States Parties shall conform.”</w:t>
      </w:r>
    </w:p>
    <w:p w:rsidRPr="008C7A0D" w:rsidR="004D1A77" w:rsidP="008C7A0D" w:rsidRDefault="004D1A77" w14:paraId="2EDA3708" w14:textId="77777777">
      <w:pPr>
        <w:pStyle w:val="JuHArticle"/>
      </w:pPr>
      <w:r w:rsidRPr="008C7A0D">
        <w:t>Article 4 – Principles</w:t>
      </w:r>
    </w:p>
    <w:p w:rsidRPr="008C7A0D" w:rsidR="004D1A77" w:rsidP="008C7A0D" w:rsidRDefault="004D1A77" w14:paraId="047E0401" w14:textId="77777777">
      <w:pPr>
        <w:pStyle w:val="JuQuot"/>
      </w:pPr>
      <w:r w:rsidRPr="008C7A0D">
        <w:t>“The rules on nationality of each State Party shall be based on the following principles:</w:t>
      </w:r>
    </w:p>
    <w:p w:rsidRPr="008C7A0D" w:rsidR="004D1A77" w:rsidP="008C7A0D" w:rsidRDefault="004D1A77" w14:paraId="716C4286" w14:textId="77777777">
      <w:pPr>
        <w:pStyle w:val="JuQuot"/>
      </w:pPr>
      <w:r w:rsidRPr="008C7A0D">
        <w:t>a  everyone has the right to a nationality;</w:t>
      </w:r>
    </w:p>
    <w:p w:rsidRPr="008C7A0D" w:rsidR="004D1A77" w:rsidP="008C7A0D" w:rsidRDefault="004D1A77" w14:paraId="6140F64E" w14:textId="77777777">
      <w:pPr>
        <w:pStyle w:val="JuQuot"/>
      </w:pPr>
      <w:r w:rsidRPr="008C7A0D">
        <w:t>b  statelessness shall be avoided;</w:t>
      </w:r>
    </w:p>
    <w:p w:rsidRPr="008C7A0D" w:rsidR="004D1A77" w:rsidP="008C7A0D" w:rsidRDefault="004D1A77" w14:paraId="1435F045" w14:textId="77777777">
      <w:pPr>
        <w:pStyle w:val="JuQuot"/>
      </w:pPr>
      <w:r w:rsidRPr="008C7A0D">
        <w:t>c  no one shall be arbitrarily deprived of his or her nationality;</w:t>
      </w:r>
    </w:p>
    <w:p w:rsidRPr="008C7A0D" w:rsidR="004D1A77" w:rsidP="008C7A0D" w:rsidRDefault="004D1A77" w14:paraId="744F4A0D" w14:textId="77777777">
      <w:pPr>
        <w:pStyle w:val="JuQuot"/>
      </w:pPr>
      <w:r w:rsidRPr="008C7A0D">
        <w:t>d  neither marriage nor the dissolution of a marriage between a national of a State Party and an alien, nor the change of nationality by one of the spouses during marriage, shall automatically affect the nationality of the other spouse.”</w:t>
      </w:r>
    </w:p>
    <w:p w:rsidRPr="008C7A0D" w:rsidR="004D1A77" w:rsidP="008C7A0D" w:rsidRDefault="004D1A77" w14:paraId="20D8BD66" w14:textId="77777777">
      <w:pPr>
        <w:pStyle w:val="JuHArticle"/>
      </w:pPr>
      <w:r w:rsidRPr="008C7A0D">
        <w:t>Article 5 – Non-discrimination</w:t>
      </w:r>
    </w:p>
    <w:p w:rsidRPr="008C7A0D" w:rsidR="004D1A77" w:rsidP="008C7A0D" w:rsidRDefault="004D1A77" w14:paraId="35E6C274" w14:textId="77777777">
      <w:pPr>
        <w:pStyle w:val="JuQuot"/>
      </w:pPr>
      <w:r w:rsidRPr="008C7A0D">
        <w:t>“1  The rules of a State Party on nationality shall not contain distinctions or include any practice which amount to discrimination on the grounds of sex, religion, race, colour or national or ethnic origin.</w:t>
      </w:r>
    </w:p>
    <w:p w:rsidRPr="008C7A0D" w:rsidR="004D1A77" w:rsidP="008C7A0D" w:rsidRDefault="004D1A77" w14:paraId="70BEB228" w14:textId="77777777">
      <w:pPr>
        <w:pStyle w:val="JuQuot"/>
      </w:pPr>
      <w:r w:rsidRPr="008C7A0D">
        <w:t>2  Each State Party shall be guided by the principle of non-discrimination between its nationals, whether they are nationals by birth or have acquired its nationality subsequently.”</w:t>
      </w:r>
    </w:p>
    <w:p w:rsidRPr="008C7A0D" w:rsidR="004D1A77" w:rsidP="008C7A0D" w:rsidRDefault="004D1A77" w14:paraId="5EC59673" w14:textId="77777777">
      <w:pPr>
        <w:pStyle w:val="JuHArticle"/>
      </w:pPr>
      <w:r w:rsidRPr="008C7A0D">
        <w:t> Article 7 – Loss of nationality ex lege or at the initiative of a State Party</w:t>
      </w:r>
    </w:p>
    <w:p w:rsidRPr="008C7A0D" w:rsidR="004D1A77" w:rsidP="008C7A0D" w:rsidRDefault="004D1A77" w14:paraId="5AFC90F3" w14:textId="77777777">
      <w:pPr>
        <w:pStyle w:val="JuQuot"/>
      </w:pPr>
      <w:r w:rsidRPr="008C7A0D">
        <w:t>1. A State Party may not provide in its internal law for the loss of its nationality ex lege or at the initiative of the State Party except in the following cases:</w:t>
      </w:r>
    </w:p>
    <w:p w:rsidRPr="008C7A0D" w:rsidR="004D1A77" w:rsidP="008C7A0D" w:rsidRDefault="004D1A77" w14:paraId="262A0C5A" w14:textId="77777777">
      <w:pPr>
        <w:pStyle w:val="JuQuot"/>
        <w:rPr>
          <w:rFonts w:eastAsia="Times New Roman"/>
          <w:lang w:eastAsia="fr-FR"/>
        </w:rPr>
      </w:pPr>
      <w:r w:rsidRPr="008C7A0D">
        <w:rPr>
          <w:rFonts w:eastAsia="Times New Roman"/>
          <w:lang w:eastAsia="fr-FR"/>
        </w:rPr>
        <w:t>...</w:t>
      </w:r>
    </w:p>
    <w:p w:rsidRPr="008C7A0D" w:rsidR="004D1A77" w:rsidP="008C7A0D" w:rsidRDefault="004D1A77" w14:paraId="4FEBFF3F" w14:textId="77777777">
      <w:pPr>
        <w:pStyle w:val="JuQuot"/>
        <w:rPr>
          <w:rFonts w:eastAsia="Times New Roman"/>
          <w:lang w:eastAsia="fr-FR"/>
        </w:rPr>
      </w:pPr>
      <w:r w:rsidRPr="008C7A0D">
        <w:rPr>
          <w:rFonts w:eastAsia="Times New Roman"/>
          <w:lang w:eastAsia="fr-FR"/>
        </w:rPr>
        <w:t>d) conduct seriously prejudicial to the vital interests of the State Party;</w:t>
      </w:r>
    </w:p>
    <w:p w:rsidRPr="008C7A0D" w:rsidR="004D1A77" w:rsidP="008C7A0D" w:rsidRDefault="004D1A77" w14:paraId="4E15BE59" w14:textId="3628A26D">
      <w:pPr>
        <w:pStyle w:val="JuQuot"/>
        <w:rPr>
          <w:rFonts w:ascii="Arial" w:hAnsi="Arial" w:eastAsia="Times New Roman" w:cs="Arial"/>
          <w:sz w:val="16"/>
          <w:szCs w:val="16"/>
          <w:lang w:eastAsia="fr-FR"/>
        </w:rPr>
      </w:pPr>
      <w:r w:rsidRPr="008C7A0D">
        <w:rPr>
          <w:rFonts w:ascii="Arial" w:hAnsi="Arial" w:eastAsia="Times New Roman" w:cs="Arial"/>
          <w:sz w:val="16"/>
          <w:szCs w:val="16"/>
          <w:lang w:eastAsia="fr-FR"/>
        </w:rPr>
        <w:t>...</w:t>
      </w:r>
    </w:p>
    <w:p w:rsidRPr="008C7A0D" w:rsidR="004D1A77" w:rsidP="008C7A0D" w:rsidRDefault="004D1A77" w14:paraId="7E4764AD" w14:textId="77777777">
      <w:pPr>
        <w:pStyle w:val="JuQuot"/>
        <w:rPr>
          <w:rFonts w:eastAsia="Times New Roman"/>
          <w:lang w:eastAsia="fr-FR"/>
        </w:rPr>
      </w:pPr>
      <w:r w:rsidRPr="008C7A0D">
        <w:rPr>
          <w:rFonts w:ascii="Arial" w:hAnsi="Arial" w:eastAsia="Times New Roman" w:cs="Arial"/>
          <w:sz w:val="16"/>
          <w:szCs w:val="16"/>
          <w:lang w:eastAsia="fr-FR"/>
        </w:rPr>
        <w:t xml:space="preserve">3. </w:t>
      </w:r>
      <w:r w:rsidRPr="008C7A0D">
        <w:rPr>
          <w:rFonts w:eastAsia="Times New Roman"/>
          <w:lang w:eastAsia="fr-FR"/>
        </w:rPr>
        <w:t>A State Party may not provide in its internal law for the loss of its nationality under paragraphs 1 and 2 of this article if the person concerned would thereby become stateless, with the exception of the cases mentioned in paragraph 1, sub-paragraph b, of this article.</w:t>
      </w:r>
    </w:p>
    <w:bookmarkStart w:name="para42" w:id="4"/>
    <w:bookmarkEnd w:id="4"/>
    <w:p w:rsidRPr="008C7A0D" w:rsidR="004D1A77" w:rsidP="008C7A0D" w:rsidRDefault="004D1A77" w14:paraId="78845FD2" w14:textId="296FB740">
      <w:pPr>
        <w:pStyle w:val="JuPara"/>
      </w:pPr>
      <w:r w:rsidRPr="008C7A0D">
        <w:fldChar w:fldCharType="begin"/>
      </w:r>
      <w:r w:rsidRPr="008C7A0D">
        <w:instrText xml:space="preserve"> SEQ level0 \*arabic </w:instrText>
      </w:r>
      <w:r w:rsidRPr="008C7A0D">
        <w:fldChar w:fldCharType="separate"/>
      </w:r>
      <w:r w:rsidRPr="008C7A0D" w:rsidR="008C7A0D">
        <w:rPr>
          <w:noProof/>
        </w:rPr>
        <w:t>26</w:t>
      </w:r>
      <w:r w:rsidRPr="008C7A0D">
        <w:fldChar w:fldCharType="end"/>
      </w:r>
      <w:r w:rsidRPr="008C7A0D">
        <w:t>.  The relevant part of the Explanatory report to the European Convention on Nationality reads as follows:</w:t>
      </w:r>
    </w:p>
    <w:p w:rsidRPr="008C7A0D" w:rsidR="004D1A77" w:rsidP="008C7A0D" w:rsidRDefault="004D1A77" w14:paraId="095CF7C0" w14:textId="77777777">
      <w:pPr>
        <w:pStyle w:val="JuQuot"/>
      </w:pPr>
      <w:r w:rsidRPr="008C7A0D">
        <w:t>“58.  Article 7 consists of an exhaustive list of cases where nationality may be lost automatically by operation of law (</w:t>
      </w:r>
      <w:r w:rsidRPr="008C7A0D">
        <w:rPr>
          <w:i/>
          <w:iCs/>
        </w:rPr>
        <w:t>ex lege</w:t>
      </w:r>
      <w:r w:rsidRPr="008C7A0D">
        <w:t>) or at the initiative of a State Party. In these limited cases, and subject to certain conditions, a State Party may withdraw its nationality. The provision is formulated in a negative way in order to emphasise that the automatic loss of nationality or a loss of nationality at the initiative of a State Party cannot take place unless it concerns one of the cases provided for under this article. However, a State Party may allow persons to retain its nationality even in such cases. Article 7 does not refer to cases in which there have been administrative errors which are not considered in the country in question to constitute cases of loss of nationality.</w:t>
      </w:r>
    </w:p>
    <w:p w:rsidRPr="008C7A0D" w:rsidR="004D1A77" w:rsidP="008C7A0D" w:rsidRDefault="004D1A77" w14:paraId="4E9928FC" w14:textId="77777777">
      <w:pPr>
        <w:pStyle w:val="JuPara"/>
      </w:pPr>
      <w:r w:rsidRPr="008C7A0D">
        <w:t>...</w:t>
      </w:r>
    </w:p>
    <w:p w:rsidRPr="008C7A0D" w:rsidR="004D1A77" w:rsidP="008C7A0D" w:rsidRDefault="004D1A77" w14:paraId="64C63A24" w14:textId="77777777">
      <w:pPr>
        <w:pStyle w:val="JuQuot"/>
      </w:pPr>
      <w:r w:rsidRPr="008C7A0D">
        <w:t>Sub-paragraph d</w:t>
      </w:r>
    </w:p>
    <w:p w:rsidRPr="008C7A0D" w:rsidR="004D1A77" w:rsidP="008C7A0D" w:rsidRDefault="004D1A77" w14:paraId="23B154D1" w14:textId="77777777">
      <w:pPr>
        <w:pStyle w:val="JuQuot"/>
      </w:pPr>
      <w:r w:rsidRPr="008C7A0D">
        <w:t>67. The wording “conduct seriously prejudicial to the vital interests of the State Party” is drawn from Article 8, paragraph 3.a.ii of the 1961 Convention on the Reduction of Statelessness. Such conduct notably includes treason and other activities directed against the vital interests of the State concerned (for example work for a foreign secret service) but would not include criminal offences of a general nature, however serious they might be.</w:t>
      </w:r>
    </w:p>
    <w:p w:rsidRPr="008C7A0D" w:rsidR="004D1A77" w:rsidP="008C7A0D" w:rsidRDefault="004D1A77" w14:paraId="650F9251" w14:textId="77777777">
      <w:pPr>
        <w:pStyle w:val="JuQuot"/>
      </w:pPr>
      <w:r w:rsidRPr="008C7A0D">
        <w:t>68. Furthermore, the 1961 Convention stipulates that conduct seriously prejudicial to the vital interests of the State can constitute a ground for deprivation of nationality only if it is an existing ground for deprivation in the internal law of the State concerned, which, at the time of signature, ratification or accession, the State specifies it will retain.”</w:t>
      </w:r>
    </w:p>
    <w:p w:rsidRPr="008C7A0D" w:rsidR="004D1A77" w:rsidP="008C7A0D" w:rsidRDefault="008C7A0D" w14:paraId="3861A8F4" w14:textId="3FD6D74B">
      <w:pPr>
        <w:pStyle w:val="JuPara"/>
      </w:pPr>
      <w:fldSimple w:instr=" SEQ level0 \*arabic \* MERGEFORMAT ">
        <w:r w:rsidRPr="008C7A0D">
          <w:rPr>
            <w:noProof/>
          </w:rPr>
          <w:t>27</w:t>
        </w:r>
      </w:fldSimple>
      <w:r w:rsidRPr="008C7A0D" w:rsidR="004D1A77">
        <w:t xml:space="preserve">.  In a report of 14 January 2003 on Conditions for the Acquisition and Loss of Nationality, the Committee of Experts on Nationality to the Council of Europe (CJ-NA (2002) 1) set out, </w:t>
      </w:r>
      <w:r w:rsidRPr="008C7A0D" w:rsidR="004D1A77">
        <w:rPr>
          <w:i/>
          <w:iCs/>
        </w:rPr>
        <w:t>inter alia</w:t>
      </w:r>
      <w:r w:rsidRPr="008C7A0D" w:rsidR="004D1A77">
        <w:t>, in paragraph 48:</w:t>
      </w:r>
    </w:p>
    <w:p w:rsidRPr="008C7A0D" w:rsidR="004D1A77" w:rsidP="008C7A0D" w:rsidRDefault="004D1A77" w14:paraId="710CB2BB" w14:textId="13EE4F37">
      <w:pPr>
        <w:pStyle w:val="JuQuot"/>
      </w:pPr>
      <w:r w:rsidRPr="008C7A0D">
        <w:t>“...The Convention sets out in some detail the circumstances in which revocation should be allowed. These are: acquisition of nationality by means of fraudulent conduct, false information or concealment of any relevant fact (Article 7.1.b); voluntary service in a foreign military force (Article 7.1.c); conduct seriously prejudicial to the vital interests of the State (Article 7.1.d); where it is established during the minority of a child that the preconditions which led to the ex lege acquisition of nationality are no longer fulfilled (Article 7.1.f); and where upon adoption a child acquires a foreign nationality of one or both of the adoptive parents (Article 7.1.g). But many States have in their legislation other reasons for the deprivation of citizenship. These may include such matters as conviction for a serious criminal offence; public service without permission in a foreign State, especially if by doing so the individual acquires the foreign nationality; working for a foreign intelligence or security service or military organisation; performance of acts contrary to the interests of the State; where an individual fails his or her duty of fidelity and loyalty; and attempting to forcefully change the constitutional state system. These matters were rejected by the CJ-NA in drafting the Convention and it is unlikely that extra circumstances would be accepted for adding to the Convention.”</w:t>
      </w:r>
    </w:p>
    <w:p w:rsidRPr="008C7A0D" w:rsidR="004D1A77" w:rsidP="008C7A0D" w:rsidRDefault="008C7A0D" w14:paraId="05B4DF2E" w14:textId="3B88DEC0">
      <w:pPr>
        <w:pStyle w:val="JuPara"/>
      </w:pPr>
      <w:fldSimple w:instr=" SEQ level0 \*arabic \* MERGEFORMAT ">
        <w:r w:rsidRPr="008C7A0D">
          <w:rPr>
            <w:noProof/>
          </w:rPr>
          <w:t>28</w:t>
        </w:r>
      </w:fldSimple>
      <w:r w:rsidRPr="008C7A0D" w:rsidR="004D1A77">
        <w:t>.  The preamble to the Council of Europe Convention on the Prevention of Terrorism of 16 May 2005, included the following:</w:t>
      </w:r>
    </w:p>
    <w:p w:rsidRPr="008C7A0D" w:rsidR="004D1A77" w:rsidP="008C7A0D" w:rsidRDefault="004D1A77" w14:paraId="7F7009C5" w14:textId="159B666B">
      <w:pPr>
        <w:pStyle w:val="JuQuot"/>
      </w:pPr>
      <w:r w:rsidRPr="008C7A0D">
        <w:t>“...Recalling that acts of terrorism have the purpose by their nature or context to seriously intimidate a population or unduly compel a government or an international organisation to perform or abstain from performing any act or seriously destabilise or destroy the fundamental political, constitutional, economic or social structures of a country or an international organisation; ...”</w:t>
      </w:r>
    </w:p>
    <w:p w:rsidRPr="008C7A0D" w:rsidR="004D1A77" w:rsidP="008C7A0D" w:rsidRDefault="004D1A77" w14:paraId="40091F5B" w14:textId="77777777">
      <w:pPr>
        <w:pStyle w:val="JuHHead"/>
      </w:pPr>
      <w:r w:rsidRPr="008C7A0D">
        <w:t>COMPLAINT</w:t>
      </w:r>
    </w:p>
    <w:p w:rsidRPr="008C7A0D" w:rsidR="004D1A77" w:rsidP="008C7A0D" w:rsidRDefault="004D1A77" w14:paraId="4569DFBA" w14:textId="59311EE7">
      <w:pPr>
        <w:pStyle w:val="JuPara"/>
      </w:pPr>
      <w:r w:rsidRPr="008C7A0D">
        <w:rPr>
          <w:rFonts w:eastAsiaTheme="minorEastAsia"/>
          <w:szCs w:val="22"/>
        </w:rPr>
        <w:fldChar w:fldCharType="begin"/>
      </w:r>
      <w:r w:rsidRPr="008C7A0D">
        <w:rPr>
          <w:rFonts w:eastAsiaTheme="minorEastAsia"/>
          <w:szCs w:val="22"/>
        </w:rPr>
        <w:instrText xml:space="preserve"> SEQ level0 \*arabic </w:instrText>
      </w:r>
      <w:r w:rsidRPr="008C7A0D">
        <w:rPr>
          <w:rFonts w:eastAsiaTheme="minorEastAsia"/>
          <w:szCs w:val="22"/>
        </w:rPr>
        <w:fldChar w:fldCharType="separate"/>
      </w:r>
      <w:r w:rsidRPr="008C7A0D" w:rsidR="008C7A0D">
        <w:rPr>
          <w:rFonts w:eastAsiaTheme="minorEastAsia"/>
          <w:noProof/>
          <w:szCs w:val="22"/>
        </w:rPr>
        <w:t>29</w:t>
      </w:r>
      <w:r w:rsidRPr="008C7A0D">
        <w:rPr>
          <w:rFonts w:eastAsiaTheme="minorEastAsia"/>
          <w:szCs w:val="22"/>
        </w:rPr>
        <w:fldChar w:fldCharType="end"/>
      </w:r>
      <w:r w:rsidRPr="008C7A0D">
        <w:rPr>
          <w:rFonts w:eastAsiaTheme="minorEastAsia"/>
          <w:szCs w:val="22"/>
        </w:rPr>
        <w:t>.  The applicant complained that the order to withdraw his Danish citizenship and to expel him from Denmark was in violation of Article 8 of the Convention.</w:t>
      </w:r>
    </w:p>
    <w:p w:rsidRPr="008C7A0D" w:rsidR="004D1A77" w:rsidP="008C7A0D" w:rsidRDefault="004D1A77" w14:paraId="09B8ADA7" w14:textId="77777777">
      <w:pPr>
        <w:pStyle w:val="JuHHead"/>
      </w:pPr>
      <w:r w:rsidRPr="008C7A0D">
        <w:t>THE LAW</w:t>
      </w:r>
    </w:p>
    <w:p w:rsidRPr="008C7A0D" w:rsidR="004D1A77" w:rsidP="008C7A0D" w:rsidRDefault="004D1A77" w14:paraId="0CEA934C" w14:textId="4CA1BB2C">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30</w:t>
      </w:r>
      <w:r w:rsidRPr="008C7A0D">
        <w:rPr>
          <w:rFonts w:eastAsia="Times New Roman"/>
          <w:lang w:eastAsia="fr-FR"/>
        </w:rPr>
        <w:fldChar w:fldCharType="end"/>
      </w:r>
      <w:r w:rsidRPr="008C7A0D">
        <w:rPr>
          <w:rFonts w:eastAsia="Times New Roman"/>
          <w:lang w:eastAsia="fr-FR"/>
        </w:rPr>
        <w:t>.  The applicant relied on Article 8 of the Convention, which reads as follows:</w:t>
      </w:r>
    </w:p>
    <w:p w:rsidRPr="008C7A0D" w:rsidR="004D1A77" w:rsidP="008C7A0D" w:rsidRDefault="004D1A77" w14:paraId="1E2183DB" w14:textId="77777777">
      <w:pPr>
        <w:pStyle w:val="JuQuot"/>
        <w:rPr>
          <w:rFonts w:eastAsia="Times New Roman"/>
          <w:lang w:eastAsia="fr-FR"/>
        </w:rPr>
      </w:pPr>
      <w:r w:rsidRPr="008C7A0D">
        <w:rPr>
          <w:rFonts w:eastAsia="Times New Roman"/>
          <w:lang w:eastAsia="fr-FR"/>
        </w:rPr>
        <w:t>“Everyone has the right to respect for his private and family life, his home and his correspondence.</w:t>
      </w:r>
    </w:p>
    <w:p w:rsidRPr="008C7A0D" w:rsidR="004D1A77" w:rsidP="008C7A0D" w:rsidRDefault="004D1A77" w14:paraId="06CC39B6" w14:textId="77777777">
      <w:pPr>
        <w:pStyle w:val="JuQuot"/>
        <w:rPr>
          <w:rFonts w:eastAsia="Times New Roman"/>
          <w:lang w:eastAsia="fr-FR"/>
        </w:rPr>
      </w:pPr>
      <w:r w:rsidRPr="008C7A0D">
        <w:rPr>
          <w:rFonts w:eastAsia="Times New Roman"/>
          <w:lang w:eastAsia="fr-FR"/>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C7A0D" w:rsidR="004D1A77" w:rsidP="008C7A0D" w:rsidRDefault="004D1A77" w14:paraId="63CEA3BA" w14:textId="4B7A40B8">
      <w:pPr>
        <w:pStyle w:val="JuHA"/>
      </w:pPr>
      <w:r w:rsidRPr="008C7A0D">
        <w:t>The parties</w:t>
      </w:r>
      <w:r w:rsidRPr="008C7A0D" w:rsidR="008C7A0D">
        <w:t>’</w:t>
      </w:r>
      <w:r w:rsidRPr="008C7A0D">
        <w:t xml:space="preserve"> submissions</w:t>
      </w:r>
    </w:p>
    <w:p w:rsidRPr="008C7A0D" w:rsidR="004D1A77" w:rsidP="008C7A0D" w:rsidRDefault="004D1A77" w14:paraId="08A130F1" w14:textId="02EC230B">
      <w:pPr>
        <w:pStyle w:val="JuPara"/>
      </w:pPr>
      <w:r w:rsidRPr="008C7A0D">
        <w:fldChar w:fldCharType="begin"/>
      </w:r>
      <w:r w:rsidRPr="008C7A0D">
        <w:instrText xml:space="preserve"> SEQ level0 \*arabic </w:instrText>
      </w:r>
      <w:r w:rsidRPr="008C7A0D">
        <w:fldChar w:fldCharType="separate"/>
      </w:r>
      <w:r w:rsidRPr="008C7A0D" w:rsidR="008C7A0D">
        <w:rPr>
          <w:noProof/>
        </w:rPr>
        <w:t>31</w:t>
      </w:r>
      <w:r w:rsidRPr="008C7A0D">
        <w:fldChar w:fldCharType="end"/>
      </w:r>
      <w:r w:rsidRPr="008C7A0D">
        <w:t>.</w:t>
      </w:r>
      <w:r w:rsidRPr="008C7A0D" w:rsidR="00A72716">
        <w:t> </w:t>
      </w:r>
      <w:r w:rsidRPr="008C7A0D">
        <w:t> The Government submitted that the application should be declared inadmissible as being manifestly ill-founded.</w:t>
      </w:r>
    </w:p>
    <w:p w:rsidRPr="008C7A0D" w:rsidR="004D1A77" w:rsidP="008C7A0D" w:rsidRDefault="004D1A77" w14:paraId="53A8C5E0" w14:textId="5964FEE8">
      <w:pPr>
        <w:pStyle w:val="JuPara"/>
      </w:pPr>
      <w:r w:rsidRPr="008C7A0D">
        <w:fldChar w:fldCharType="begin"/>
      </w:r>
      <w:r w:rsidRPr="008C7A0D">
        <w:instrText xml:space="preserve"> SEQ level0 \*arabic </w:instrText>
      </w:r>
      <w:r w:rsidRPr="008C7A0D">
        <w:fldChar w:fldCharType="separate"/>
      </w:r>
      <w:r w:rsidRPr="008C7A0D" w:rsidR="008C7A0D">
        <w:rPr>
          <w:noProof/>
        </w:rPr>
        <w:t>32</w:t>
      </w:r>
      <w:r w:rsidRPr="008C7A0D">
        <w:fldChar w:fldCharType="end"/>
      </w:r>
      <w:r w:rsidRPr="008C7A0D">
        <w:t>.  They maintained that the Supreme Court had made a careful assessment of all the relevant elements, including the fact that the applicant had acquired Danish nationality at birth in Denmark, and specifically taken Article 8 of the Convention and the pertinent case-law into account.</w:t>
      </w:r>
    </w:p>
    <w:p w:rsidRPr="008C7A0D" w:rsidR="004D1A77" w:rsidP="008C7A0D" w:rsidRDefault="004D1A77" w14:paraId="244BAA32" w14:textId="63C1DB3A">
      <w:pPr>
        <w:pStyle w:val="JuPara"/>
      </w:pPr>
      <w:r w:rsidRPr="008C7A0D">
        <w:fldChar w:fldCharType="begin"/>
      </w:r>
      <w:r w:rsidRPr="008C7A0D">
        <w:instrText xml:space="preserve"> SEQ level0 \*arabic </w:instrText>
      </w:r>
      <w:r w:rsidRPr="008C7A0D">
        <w:fldChar w:fldCharType="separate"/>
      </w:r>
      <w:r w:rsidRPr="008C7A0D" w:rsidR="008C7A0D">
        <w:rPr>
          <w:noProof/>
        </w:rPr>
        <w:t>33</w:t>
      </w:r>
      <w:r w:rsidRPr="008C7A0D">
        <w:fldChar w:fldCharType="end"/>
      </w:r>
      <w:r w:rsidRPr="008C7A0D">
        <w:t>.  The Government pointed out that before the domestic courts the applicant had not disputed his Tunisian nationality: he had only stated before the District Court that he had not been aware before the criminal proceedings against him that he also had Tunisian nationality.</w:t>
      </w:r>
    </w:p>
    <w:p w:rsidRPr="008C7A0D" w:rsidR="004D1A77" w:rsidP="008C7A0D" w:rsidRDefault="004D1A77" w14:paraId="25776C0D" w14:textId="3D896205">
      <w:pPr>
        <w:pStyle w:val="JuPara"/>
      </w:pPr>
      <w:r w:rsidRPr="008C7A0D">
        <w:fldChar w:fldCharType="begin"/>
      </w:r>
      <w:r w:rsidRPr="008C7A0D">
        <w:instrText xml:space="preserve"> SEQ level0 \*arabic </w:instrText>
      </w:r>
      <w:r w:rsidRPr="008C7A0D">
        <w:fldChar w:fldCharType="separate"/>
      </w:r>
      <w:r w:rsidRPr="008C7A0D" w:rsidR="008C7A0D">
        <w:rPr>
          <w:noProof/>
        </w:rPr>
        <w:t>34</w:t>
      </w:r>
      <w:r w:rsidRPr="008C7A0D">
        <w:fldChar w:fldCharType="end"/>
      </w:r>
      <w:r w:rsidRPr="008C7A0D">
        <w:t>.  The deprivation of the applicant</w:t>
      </w:r>
      <w:r w:rsidRPr="008C7A0D" w:rsidR="008C7A0D">
        <w:t>’</w:t>
      </w:r>
      <w:r w:rsidRPr="008C7A0D">
        <w:t>s Danish citizenship was the consequence of his conviction for a very serious terrorist offence, which by its very nature had been highly detrimental to the country</w:t>
      </w:r>
      <w:r w:rsidRPr="008C7A0D" w:rsidR="008C7A0D">
        <w:t>’</w:t>
      </w:r>
      <w:r w:rsidRPr="008C7A0D">
        <w:t>s vital interests. The Government disagreed with the applicant</w:t>
      </w:r>
      <w:r w:rsidRPr="008C7A0D" w:rsidR="008C7A0D">
        <w:t>’</w:t>
      </w:r>
      <w:r w:rsidRPr="008C7A0D">
        <w:t xml:space="preserve">s view that Article 7 of the European Convention on Nationality did not authorise deprivation of nationality for an act of terrorism. They referred, </w:t>
      </w:r>
      <w:r w:rsidRPr="008C7A0D">
        <w:rPr>
          <w:i/>
          <w:iCs/>
        </w:rPr>
        <w:t>inter alia</w:t>
      </w:r>
      <w:r w:rsidRPr="008C7A0D">
        <w:t>, to the preamble to the Council of Europe Convention on Prevention of Terrorism (see paragraph 25 above) and pointed out that terrorism constituted a threat to democracy, the enjoyment of human rights and the social and economic development. It was common in the legislation of European States that acts of terrorism were perceived to be against the vital interest of the State and could lead to deprivation of nationality.</w:t>
      </w:r>
    </w:p>
    <w:p w:rsidRPr="008C7A0D" w:rsidR="004D1A77" w:rsidP="008C7A0D" w:rsidRDefault="008C7A0D" w14:paraId="46EC204B" w14:textId="4CDFA9EA">
      <w:pPr>
        <w:pStyle w:val="JuPara"/>
      </w:pPr>
      <w:fldSimple w:instr=" SEQ level0 \*arabic \* MERGEFORMAT ">
        <w:r w:rsidRPr="008C7A0D">
          <w:rPr>
            <w:noProof/>
          </w:rPr>
          <w:t>35</w:t>
        </w:r>
      </w:fldSimple>
      <w:r w:rsidRPr="008C7A0D" w:rsidR="004D1A77">
        <w:t>.  In the present case, the decision had been in accordance with the law and the applicant had been afforded the relevant procedural safeguards. The authorities had acted diligently and swiftly. The decision had been necessary in a democratic society and did not amount to a disproportionate interference with the applicant</w:t>
      </w:r>
      <w:r w:rsidRPr="008C7A0D">
        <w:t>’</w:t>
      </w:r>
      <w:r w:rsidRPr="008C7A0D" w:rsidR="004D1A77">
        <w:t>s private and family life.</w:t>
      </w:r>
    </w:p>
    <w:p w:rsidRPr="008C7A0D" w:rsidR="004D1A77" w:rsidP="008C7A0D" w:rsidRDefault="004D1A77" w14:paraId="67F7E768" w14:textId="2B13C51C">
      <w:pPr>
        <w:pStyle w:val="JuPara"/>
      </w:pPr>
      <w:r w:rsidRPr="008C7A0D">
        <w:fldChar w:fldCharType="begin"/>
      </w:r>
      <w:r w:rsidRPr="008C7A0D">
        <w:instrText xml:space="preserve"> SEQ level0 \*arabic </w:instrText>
      </w:r>
      <w:r w:rsidRPr="008C7A0D">
        <w:fldChar w:fldCharType="separate"/>
      </w:r>
      <w:r w:rsidRPr="008C7A0D" w:rsidR="008C7A0D">
        <w:rPr>
          <w:noProof/>
        </w:rPr>
        <w:t>36</w:t>
      </w:r>
      <w:r w:rsidRPr="008C7A0D">
        <w:fldChar w:fldCharType="end"/>
      </w:r>
      <w:r w:rsidRPr="008C7A0D">
        <w:t>.  In respect of both the decision to deprive the applicant of his Danish nationality and the expulsion order, the Supreme Court had thoroughly assessed the applicant</w:t>
      </w:r>
      <w:r w:rsidRPr="008C7A0D" w:rsidR="008C7A0D">
        <w:t>’</w:t>
      </w:r>
      <w:r w:rsidRPr="008C7A0D">
        <w:t>s personal circumstances in accordance with the principles set out by the Court, and had been very careful to strike a fair balance between the competing interests.</w:t>
      </w:r>
    </w:p>
    <w:p w:rsidRPr="008C7A0D" w:rsidR="004D1A77" w:rsidP="008C7A0D" w:rsidRDefault="004D1A77" w14:paraId="2E7B47EA" w14:textId="053838AF">
      <w:pPr>
        <w:pStyle w:val="JuPara"/>
        <w:rPr>
          <w:rFonts w:eastAsiaTheme="minorEastAsia"/>
          <w:szCs w:val="22"/>
        </w:rPr>
      </w:pPr>
      <w:r w:rsidRPr="008C7A0D">
        <w:fldChar w:fldCharType="begin"/>
      </w:r>
      <w:r w:rsidRPr="008C7A0D">
        <w:instrText xml:space="preserve"> SEQ level0 \*arabic </w:instrText>
      </w:r>
      <w:r w:rsidRPr="008C7A0D">
        <w:fldChar w:fldCharType="separate"/>
      </w:r>
      <w:r w:rsidRPr="008C7A0D" w:rsidR="008C7A0D">
        <w:rPr>
          <w:noProof/>
        </w:rPr>
        <w:t>37</w:t>
      </w:r>
      <w:r w:rsidRPr="008C7A0D">
        <w:fldChar w:fldCharType="end"/>
      </w:r>
      <w:r w:rsidRPr="008C7A0D">
        <w:t>. </w:t>
      </w:r>
      <w:r w:rsidRPr="008C7A0D" w:rsidR="00A72716">
        <w:t> </w:t>
      </w:r>
      <w:r w:rsidRPr="008C7A0D">
        <w:t xml:space="preserve">The applicant maintained that both </w:t>
      </w:r>
      <w:r w:rsidRPr="008C7A0D">
        <w:rPr>
          <w:rFonts w:eastAsiaTheme="minorEastAsia"/>
          <w:szCs w:val="22"/>
        </w:rPr>
        <w:t>the decision to strip him of his Danish citizenship and the expulsion order from Denmark were in violation of Article 8.</w:t>
      </w:r>
    </w:p>
    <w:p w:rsidRPr="008C7A0D" w:rsidR="004D1A77" w:rsidP="008C7A0D" w:rsidRDefault="004D1A77" w14:paraId="1416D10A" w14:textId="6CF4F997">
      <w:pPr>
        <w:pStyle w:val="JuPara"/>
      </w:pPr>
      <w:r w:rsidRPr="008C7A0D">
        <w:fldChar w:fldCharType="begin"/>
      </w:r>
      <w:r w:rsidRPr="008C7A0D">
        <w:instrText xml:space="preserve"> SEQ level0 \*arabic </w:instrText>
      </w:r>
      <w:r w:rsidRPr="008C7A0D">
        <w:fldChar w:fldCharType="separate"/>
      </w:r>
      <w:r w:rsidRPr="008C7A0D" w:rsidR="008C7A0D">
        <w:rPr>
          <w:noProof/>
        </w:rPr>
        <w:t>38</w:t>
      </w:r>
      <w:r w:rsidRPr="008C7A0D">
        <w:fldChar w:fldCharType="end"/>
      </w:r>
      <w:r w:rsidRPr="008C7A0D">
        <w:t>.  As to the deprivation of his Danish citizenship, he submitted that the Tunisian authorities had at no point during the criminal proceedings, or after his release, confirmed that he actually held Tunisian citizenship. On the contrary, they had not been able to identify the applicant as a Tunisian national (see paragraph 17 above). Depriving him of his Danish citizenship would thus make him stateless.</w:t>
      </w:r>
    </w:p>
    <w:p w:rsidRPr="008C7A0D" w:rsidR="004D1A77" w:rsidP="008C7A0D" w:rsidRDefault="004D1A77" w14:paraId="1B8EFAFB" w14:textId="0792AEEE">
      <w:pPr>
        <w:pStyle w:val="JuPara"/>
      </w:pPr>
      <w:r w:rsidRPr="008C7A0D">
        <w:fldChar w:fldCharType="begin"/>
      </w:r>
      <w:r w:rsidRPr="008C7A0D">
        <w:instrText xml:space="preserve"> SEQ level0 \*arabic </w:instrText>
      </w:r>
      <w:r w:rsidRPr="008C7A0D">
        <w:fldChar w:fldCharType="separate"/>
      </w:r>
      <w:r w:rsidRPr="008C7A0D" w:rsidR="008C7A0D">
        <w:rPr>
          <w:noProof/>
        </w:rPr>
        <w:t>39</w:t>
      </w:r>
      <w:r w:rsidRPr="008C7A0D">
        <w:fldChar w:fldCharType="end"/>
      </w:r>
      <w:r w:rsidRPr="008C7A0D">
        <w:t>.  He also maintained that Article 7 of the European Convention on Nationality set out an exhaustive list of reasons for deprivation of nationality, and that the notion of “vital interests of the State” did not include criminal offences of a “general nature, however serious they might be”.</w:t>
      </w:r>
    </w:p>
    <w:p w:rsidRPr="008C7A0D" w:rsidR="004D1A77" w:rsidP="008C7A0D" w:rsidRDefault="004D1A77" w14:paraId="2C60BC39" w14:textId="4A35B6D4">
      <w:pPr>
        <w:pStyle w:val="JuPara"/>
      </w:pPr>
      <w:r w:rsidRPr="008C7A0D">
        <w:fldChar w:fldCharType="begin"/>
      </w:r>
      <w:r w:rsidRPr="008C7A0D">
        <w:instrText xml:space="preserve"> SEQ level0 \*arabic </w:instrText>
      </w:r>
      <w:r w:rsidRPr="008C7A0D">
        <w:fldChar w:fldCharType="separate"/>
      </w:r>
      <w:r w:rsidRPr="008C7A0D" w:rsidR="008C7A0D">
        <w:rPr>
          <w:noProof/>
        </w:rPr>
        <w:t>40</w:t>
      </w:r>
      <w:r w:rsidRPr="008C7A0D">
        <w:fldChar w:fldCharType="end"/>
      </w:r>
      <w:r w:rsidRPr="008C7A0D">
        <w:t xml:space="preserve">.  He further pointed out that this was the first time the Court was called upon to assess the deprivation of the citizenship of someone who, like him, had acquired it at birth. In his opinion, the present case should thus be distinguished from previous case-law on deprivation of nationality, including </w:t>
      </w:r>
      <w:r w:rsidRPr="008C7A0D">
        <w:rPr>
          <w:i/>
          <w:iCs/>
        </w:rPr>
        <w:t>Ghoumid v. France</w:t>
      </w:r>
      <w:r w:rsidRPr="008C7A0D">
        <w:t>, nos. 52273/16 and 4 others, 25 June 2020.</w:t>
      </w:r>
    </w:p>
    <w:p w:rsidRPr="008C7A0D" w:rsidR="004D1A77" w:rsidP="008C7A0D" w:rsidRDefault="004D1A77" w14:paraId="2356D55D" w14:textId="1AE5181A">
      <w:pPr>
        <w:pStyle w:val="JuPara"/>
      </w:pPr>
      <w:r w:rsidRPr="008C7A0D">
        <w:fldChar w:fldCharType="begin"/>
      </w:r>
      <w:r w:rsidRPr="008C7A0D">
        <w:instrText xml:space="preserve"> SEQ level0 \*arabic </w:instrText>
      </w:r>
      <w:r w:rsidRPr="008C7A0D">
        <w:fldChar w:fldCharType="separate"/>
      </w:r>
      <w:r w:rsidRPr="008C7A0D" w:rsidR="008C7A0D">
        <w:rPr>
          <w:noProof/>
        </w:rPr>
        <w:t>41</w:t>
      </w:r>
      <w:r w:rsidRPr="008C7A0D">
        <w:fldChar w:fldCharType="end"/>
      </w:r>
      <w:r w:rsidRPr="008C7A0D">
        <w:t>.  With regard to the expulsion order against him, the applicant considered that the Supreme Court had failed to take into account that he had had several jobs until 2011, that he had had no criminal record before the crime at issue, that he had studied for more than two years, from the time of his return from Syria in February 2014 until he was arrested in June 2016, and that he had showed good behaviour during the ensuing period until 19</w:t>
      </w:r>
      <w:r w:rsidRPr="008C7A0D" w:rsidR="009D72FD">
        <w:t> </w:t>
      </w:r>
      <w:r w:rsidRPr="008C7A0D">
        <w:t>November 2018, when the Supreme Court passed judgment, and subsequently to his release. He also pointed out that although his crime had been serious, he had not been convicted of planning or performing any terrorist attack or actions.</w:t>
      </w:r>
    </w:p>
    <w:p w:rsidRPr="008C7A0D" w:rsidR="004D1A77" w:rsidP="008C7A0D" w:rsidRDefault="004D1A77" w14:paraId="30EAE768" w14:textId="5A2BF9BB">
      <w:pPr>
        <w:pStyle w:val="JuPara"/>
      </w:pPr>
      <w:r w:rsidRPr="008C7A0D">
        <w:rPr>
          <w:rStyle w:val="JuParaChar"/>
        </w:rPr>
        <w:fldChar w:fldCharType="begin"/>
      </w:r>
      <w:r w:rsidRPr="008C7A0D">
        <w:rPr>
          <w:rStyle w:val="JuParaChar"/>
        </w:rPr>
        <w:instrText xml:space="preserve"> SEQ level0 \*arabic </w:instrText>
      </w:r>
      <w:r w:rsidRPr="008C7A0D">
        <w:rPr>
          <w:rStyle w:val="JuParaChar"/>
        </w:rPr>
        <w:fldChar w:fldCharType="separate"/>
      </w:r>
      <w:r w:rsidRPr="008C7A0D" w:rsidR="008C7A0D">
        <w:rPr>
          <w:rStyle w:val="JuParaChar"/>
          <w:noProof/>
        </w:rPr>
        <w:t>42</w:t>
      </w:r>
      <w:r w:rsidRPr="008C7A0D">
        <w:rPr>
          <w:rStyle w:val="JuParaChar"/>
        </w:rPr>
        <w:fldChar w:fldCharType="end"/>
      </w:r>
      <w:r w:rsidRPr="008C7A0D">
        <w:rPr>
          <w:rStyle w:val="JuParaChar"/>
        </w:rPr>
        <w:t>.  The European Centre for Law and Justice (ECLJ), adhering to the arguments put forward by the Government, found that the decision to revoke the applicant</w:t>
      </w:r>
      <w:r w:rsidRPr="008C7A0D" w:rsidR="008C7A0D">
        <w:rPr>
          <w:rStyle w:val="JuParaChar"/>
        </w:rPr>
        <w:t>’</w:t>
      </w:r>
      <w:r w:rsidRPr="008C7A0D">
        <w:rPr>
          <w:rStyle w:val="JuParaChar"/>
        </w:rPr>
        <w:t>s citizenship and to expel him were compliant with Article</w:t>
      </w:r>
      <w:r w:rsidRPr="008C7A0D" w:rsidR="009D72FD">
        <w:rPr>
          <w:rStyle w:val="JuParaChar"/>
        </w:rPr>
        <w:t> </w:t>
      </w:r>
      <w:r w:rsidRPr="008C7A0D">
        <w:rPr>
          <w:rStyle w:val="JuParaChar"/>
        </w:rPr>
        <w:t xml:space="preserve">8 of </w:t>
      </w:r>
      <w:r w:rsidRPr="008C7A0D">
        <w:t xml:space="preserve">the Convention. It added, </w:t>
      </w:r>
      <w:r w:rsidRPr="008C7A0D">
        <w:rPr>
          <w:i/>
          <w:iCs/>
        </w:rPr>
        <w:t>inter alia</w:t>
      </w:r>
      <w:r w:rsidRPr="008C7A0D">
        <w:t>, with reference to Article 5 of the European Convention on Nationality, that persons born with a specific nationality should be treated on an equal footing with persons who acquired such nationality later in life. Accordingly, the applicant should not enjoy preferential treatment because he was born a Danish citizen.</w:t>
      </w:r>
    </w:p>
    <w:p w:rsidRPr="008C7A0D" w:rsidR="004D1A77" w:rsidP="008C7A0D" w:rsidRDefault="004D1A77" w14:paraId="56A90894" w14:textId="52F1A5C8">
      <w:pPr>
        <w:pStyle w:val="JuPara"/>
      </w:pPr>
      <w:r w:rsidRPr="008C7A0D">
        <w:fldChar w:fldCharType="begin"/>
      </w:r>
      <w:r w:rsidRPr="008C7A0D">
        <w:instrText xml:space="preserve"> SEQ level0 \*arabic </w:instrText>
      </w:r>
      <w:r w:rsidRPr="008C7A0D">
        <w:fldChar w:fldCharType="separate"/>
      </w:r>
      <w:r w:rsidRPr="008C7A0D" w:rsidR="008C7A0D">
        <w:rPr>
          <w:noProof/>
        </w:rPr>
        <w:t>43</w:t>
      </w:r>
      <w:r w:rsidRPr="008C7A0D">
        <w:fldChar w:fldCharType="end"/>
      </w:r>
      <w:r w:rsidRPr="008C7A0D">
        <w:t>.  The ECLJ also invited the Court to add the following two criteria to its assessment under Article 8 of the Convention: 1) the stability of society in the host country, in particular its capacity to incorporate the applicant into its social, economic and cultural life, and 2) the degree of difficulty which the host country is likely to encounter in removing the applicant from the environment which had led him to commit the crimes in question.</w:t>
      </w:r>
    </w:p>
    <w:p w:rsidRPr="008C7A0D" w:rsidR="004D1A77" w:rsidP="008C7A0D" w:rsidRDefault="004D1A77" w14:paraId="6FA7E11D" w14:textId="176A1FB9">
      <w:pPr>
        <w:pStyle w:val="JuHA"/>
      </w:pPr>
      <w:r w:rsidRPr="008C7A0D">
        <w:t>The Court</w:t>
      </w:r>
      <w:r w:rsidRPr="008C7A0D" w:rsidR="008C7A0D">
        <w:t>’</w:t>
      </w:r>
      <w:r w:rsidRPr="008C7A0D">
        <w:t>s assessment</w:t>
      </w:r>
    </w:p>
    <w:p w:rsidRPr="008C7A0D" w:rsidR="004D1A77" w:rsidP="008C7A0D" w:rsidRDefault="004D1A77" w14:paraId="16741B49" w14:textId="77777777">
      <w:pPr>
        <w:pStyle w:val="JuH1"/>
        <w:rPr>
          <w:lang w:eastAsia="fr-FR"/>
        </w:rPr>
      </w:pPr>
      <w:r w:rsidRPr="008C7A0D">
        <w:rPr>
          <w:lang w:eastAsia="fr-FR"/>
        </w:rPr>
        <w:t>Deprivation of citizenship</w:t>
      </w:r>
    </w:p>
    <w:p w:rsidRPr="008C7A0D" w:rsidR="004D1A77" w:rsidP="008C7A0D" w:rsidRDefault="004D1A77" w14:paraId="766D2BA7" w14:textId="2315223A">
      <w:pPr>
        <w:pStyle w:val="JuPara"/>
        <w:rPr>
          <w:rFonts w:eastAsia="Times New Roman"/>
        </w:rPr>
      </w:pPr>
      <w:r w:rsidRPr="008C7A0D">
        <w:rPr>
          <w:rFonts w:eastAsia="Times New Roman"/>
        </w:rPr>
        <w:fldChar w:fldCharType="begin"/>
      </w:r>
      <w:r w:rsidRPr="008C7A0D">
        <w:rPr>
          <w:rFonts w:eastAsia="Times New Roman"/>
        </w:rPr>
        <w:instrText xml:space="preserve"> SEQ level0 \*arabic </w:instrText>
      </w:r>
      <w:r w:rsidRPr="008C7A0D">
        <w:rPr>
          <w:rFonts w:eastAsia="Times New Roman"/>
        </w:rPr>
        <w:fldChar w:fldCharType="separate"/>
      </w:r>
      <w:r w:rsidRPr="008C7A0D" w:rsidR="008C7A0D">
        <w:rPr>
          <w:rFonts w:eastAsia="Times New Roman"/>
          <w:noProof/>
        </w:rPr>
        <w:t>44</w:t>
      </w:r>
      <w:r w:rsidRPr="008C7A0D">
        <w:rPr>
          <w:rFonts w:eastAsia="Times New Roman"/>
        </w:rPr>
        <w:fldChar w:fldCharType="end"/>
      </w:r>
      <w:r w:rsidRPr="008C7A0D">
        <w:rPr>
          <w:rFonts w:eastAsia="Times New Roman"/>
        </w:rPr>
        <w:t>. </w:t>
      </w:r>
      <w:r w:rsidRPr="008C7A0D" w:rsidR="00280043">
        <w:rPr>
          <w:rFonts w:eastAsia="Times New Roman"/>
        </w:rPr>
        <w:t> </w:t>
      </w:r>
      <w:r w:rsidRPr="008C7A0D">
        <w:rPr>
          <w:rFonts w:eastAsia="Times New Roman"/>
        </w:rPr>
        <w:t xml:space="preserve">The Court reiterates that although the right to citizenship is not as such guaranteed by the Convention or its Protocols, it cannot be ruled out that an arbitrary denial of citizenship might in certain circumstances raise an issue under Article 8 of the Convention because of the impact of such a denial on the private life of the individual (see, for example, </w:t>
      </w:r>
      <w:r w:rsidRPr="008C7A0D">
        <w:rPr>
          <w:rFonts w:eastAsia="Times New Roman"/>
          <w:i/>
          <w:iCs/>
        </w:rPr>
        <w:t>Ramadan v.</w:t>
      </w:r>
      <w:r w:rsidRPr="008C7A0D" w:rsidR="009D72FD">
        <w:rPr>
          <w:rFonts w:eastAsia="Times New Roman"/>
          <w:i/>
          <w:iCs/>
        </w:rPr>
        <w:t> </w:t>
      </w:r>
      <w:r w:rsidRPr="008C7A0D">
        <w:rPr>
          <w:rFonts w:eastAsia="Times New Roman"/>
          <w:i/>
          <w:iCs/>
        </w:rPr>
        <w:t>Malta</w:t>
      </w:r>
      <w:r w:rsidRPr="008C7A0D">
        <w:rPr>
          <w:rFonts w:eastAsia="Times New Roman"/>
        </w:rPr>
        <w:t>, no. </w:t>
      </w:r>
      <w:hyperlink w:tgtFrame="_blank" w:history="1" w:anchor="{&quot;appno&quot;:[&quot;76136/12&quot;]}" r:id="rId8">
        <w:r w:rsidRPr="008C7A0D">
          <w:rPr>
            <w:rFonts w:eastAsia="Times New Roman"/>
          </w:rPr>
          <w:t>76136/12</w:t>
        </w:r>
      </w:hyperlink>
      <w:r w:rsidRPr="008C7A0D">
        <w:rPr>
          <w:rFonts w:eastAsia="Times New Roman"/>
        </w:rPr>
        <w:t xml:space="preserve">, § 62, 21 June 2016, and </w:t>
      </w:r>
      <w:r w:rsidRPr="008C7A0D">
        <w:rPr>
          <w:rFonts w:eastAsia="Times New Roman"/>
          <w:i/>
          <w:iCs/>
        </w:rPr>
        <w:t>Genovese v. Malta</w:t>
      </w:r>
      <w:r w:rsidRPr="008C7A0D">
        <w:rPr>
          <w:rFonts w:eastAsia="Times New Roman"/>
        </w:rPr>
        <w:t xml:space="preserve">, no. </w:t>
      </w:r>
      <w:hyperlink w:tgtFrame="_blank" w:history="1" w:anchor="{&quot;appno&quot;:[&quot;53124/09&quot;]}" r:id="rId9">
        <w:r w:rsidRPr="008C7A0D">
          <w:rPr>
            <w:rFonts w:eastAsia="Times New Roman"/>
          </w:rPr>
          <w:t>53124/09</w:t>
        </w:r>
      </w:hyperlink>
      <w:r w:rsidRPr="008C7A0D">
        <w:rPr>
          <w:rFonts w:eastAsia="Times New Roman"/>
        </w:rPr>
        <w:t>, §</w:t>
      </w:r>
      <w:r w:rsidRPr="008C7A0D" w:rsidR="009D72FD">
        <w:rPr>
          <w:rFonts w:eastAsia="Times New Roman"/>
        </w:rPr>
        <w:t> </w:t>
      </w:r>
      <w:r w:rsidRPr="008C7A0D">
        <w:rPr>
          <w:rFonts w:eastAsia="Times New Roman"/>
        </w:rPr>
        <w:t>30, 11</w:t>
      </w:r>
      <w:r w:rsidRPr="008C7A0D" w:rsidR="009D72FD">
        <w:rPr>
          <w:rFonts w:eastAsia="Times New Roman"/>
        </w:rPr>
        <w:t> </w:t>
      </w:r>
      <w:r w:rsidRPr="008C7A0D">
        <w:rPr>
          <w:rFonts w:eastAsia="Times New Roman"/>
        </w:rPr>
        <w:t>October 2011).</w:t>
      </w:r>
    </w:p>
    <w:p w:rsidRPr="008C7A0D" w:rsidR="004D1A77" w:rsidP="008C7A0D" w:rsidRDefault="004D1A77" w14:paraId="438F4DD5" w14:textId="542DA897">
      <w:pPr>
        <w:pStyle w:val="JuPara"/>
        <w:rPr>
          <w:rFonts w:eastAsia="Times New Roman"/>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45</w:t>
      </w:r>
      <w:r w:rsidRPr="008C7A0D">
        <w:rPr>
          <w:rFonts w:eastAsia="Times New Roman"/>
          <w:lang w:eastAsia="fr-FR"/>
        </w:rPr>
        <w:fldChar w:fldCharType="end"/>
      </w:r>
      <w:r w:rsidRPr="008C7A0D">
        <w:rPr>
          <w:rFonts w:eastAsia="Times New Roman"/>
          <w:lang w:eastAsia="fr-FR"/>
        </w:rPr>
        <w:t xml:space="preserve">.  The Court has considered that the same principles must apply to the revocation of citizenship that has already been obtained. Moreover, it has confirmed </w:t>
      </w:r>
      <w:r w:rsidRPr="008C7A0D">
        <w:t>that nationality is an element of a person</w:t>
      </w:r>
      <w:r w:rsidRPr="008C7A0D" w:rsidR="008C7A0D">
        <w:t>’</w:t>
      </w:r>
      <w:r w:rsidRPr="008C7A0D">
        <w:t>s identity</w:t>
      </w:r>
      <w:r w:rsidRPr="008C7A0D">
        <w:rPr>
          <w:rFonts w:eastAsia="Times New Roman"/>
        </w:rPr>
        <w:t xml:space="preserve"> </w:t>
      </w:r>
      <w:r w:rsidRPr="008C7A0D">
        <w:rPr>
          <w:rFonts w:eastAsia="Times New Roman"/>
          <w:lang w:eastAsia="fr-FR"/>
        </w:rPr>
        <w:t xml:space="preserve">(see, </w:t>
      </w:r>
      <w:r w:rsidRPr="008C7A0D">
        <w:rPr>
          <w:rFonts w:eastAsia="Times New Roman"/>
          <w:i/>
          <w:iCs/>
          <w:lang w:eastAsia="fr-FR"/>
        </w:rPr>
        <w:t>inter alia</w:t>
      </w:r>
      <w:r w:rsidRPr="008C7A0D">
        <w:rPr>
          <w:rFonts w:eastAsia="Times New Roman"/>
          <w:lang w:eastAsia="fr-FR"/>
        </w:rPr>
        <w:t xml:space="preserve">, </w:t>
      </w:r>
      <w:r w:rsidRPr="008C7A0D">
        <w:rPr>
          <w:rFonts w:cstheme="minorHAnsi"/>
          <w:i/>
          <w:color w:val="000000"/>
          <w:lang w:eastAsia="fr-FR"/>
        </w:rPr>
        <w:t>Usmanov v. Russia</w:t>
      </w:r>
      <w:r w:rsidRPr="008C7A0D">
        <w:rPr>
          <w:rFonts w:cstheme="minorHAnsi"/>
          <w:color w:val="000000"/>
          <w:lang w:eastAsia="fr-FR"/>
        </w:rPr>
        <w:t xml:space="preserve">, no. 43936/18, § 53, 22 December 2020 and </w:t>
      </w:r>
      <w:r w:rsidRPr="008C7A0D">
        <w:rPr>
          <w:i/>
          <w:iCs/>
        </w:rPr>
        <w:t>Ghoumid and Others v. France,</w:t>
      </w:r>
      <w:r w:rsidRPr="008C7A0D">
        <w:t xml:space="preserve"> no. </w:t>
      </w:r>
      <w:hyperlink w:tgtFrame="_blank" w:history="1" w:anchor="{&quot;appno&quot;:[&quot;52273/16&quot;]}" r:id="rId10">
        <w:r w:rsidRPr="008C7A0D">
          <w:t>52273/16</w:t>
        </w:r>
      </w:hyperlink>
      <w:r w:rsidRPr="008C7A0D">
        <w:t xml:space="preserve"> and 4 others, §§ 43-44, 25 June 2020). </w:t>
      </w:r>
      <w:r w:rsidRPr="008C7A0D">
        <w:rPr>
          <w:rFonts w:eastAsia="Times New Roman"/>
          <w:lang w:eastAsia="fr-FR"/>
        </w:rPr>
        <w:t xml:space="preserve">In determining whether a revocation of citizenship is in breach of Article 8, the Court addresses two separate issues: whether the revocation was arbitrary, and what the consequences of revocation were for the applicant (see, for example, </w:t>
      </w:r>
      <w:r w:rsidRPr="008C7A0D">
        <w:rPr>
          <w:rFonts w:ascii="Times New Roman" w:hAnsi="Times New Roman" w:eastAsia="Times New Roman" w:cs="Times New Roman"/>
          <w:i/>
          <w:iCs/>
          <w:lang w:eastAsia="fr-FR"/>
        </w:rPr>
        <w:t xml:space="preserve">Ahmadov </w:t>
      </w:r>
      <w:r w:rsidRPr="008C7A0D">
        <w:rPr>
          <w:i/>
          <w:iCs/>
        </w:rPr>
        <w:t>v.</w:t>
      </w:r>
      <w:r w:rsidRPr="008C7A0D" w:rsidR="009D72FD">
        <w:rPr>
          <w:i/>
          <w:iCs/>
        </w:rPr>
        <w:t xml:space="preserve"> </w:t>
      </w:r>
      <w:r w:rsidRPr="008C7A0D">
        <w:rPr>
          <w:i/>
          <w:iCs/>
        </w:rPr>
        <w:t>Azerbaijan</w:t>
      </w:r>
      <w:r w:rsidRPr="008C7A0D">
        <w:t>, no.</w:t>
      </w:r>
      <w:r w:rsidRPr="008C7A0D" w:rsidR="009D72FD">
        <w:t xml:space="preserve"> </w:t>
      </w:r>
      <w:hyperlink w:tgtFrame="_blank" w:history="1" w:anchor="{&quot;appno&quot;:[&quot;32538/10&quot;]}" r:id="rId11">
        <w:r w:rsidRPr="008C7A0D">
          <w:t>32538/10</w:t>
        </w:r>
      </w:hyperlink>
      <w:r w:rsidRPr="008C7A0D">
        <w:t>, § 43, 30</w:t>
      </w:r>
      <w:r w:rsidRPr="008C7A0D" w:rsidR="009D72FD">
        <w:t xml:space="preserve"> </w:t>
      </w:r>
      <w:r w:rsidRPr="008C7A0D">
        <w:t xml:space="preserve">January 2020; </w:t>
      </w:r>
      <w:r w:rsidRPr="008C7A0D">
        <w:rPr>
          <w:rFonts w:eastAsia="Times New Roman"/>
          <w:i/>
          <w:iCs/>
          <w:lang w:eastAsia="fr-FR"/>
        </w:rPr>
        <w:t>Alpeyeva and Dzhalagoniya v. Russia</w:t>
      </w:r>
      <w:r w:rsidRPr="008C7A0D">
        <w:rPr>
          <w:rFonts w:eastAsia="Times New Roman"/>
          <w:lang w:eastAsia="fr-FR"/>
        </w:rPr>
        <w:t xml:space="preserve">, nos. </w:t>
      </w:r>
      <w:hyperlink w:tgtFrame="_blank" w:history="1" w:anchor="{&quot;appno&quot;:[&quot;7549/09&quot;]}" r:id="rId12">
        <w:r w:rsidRPr="008C7A0D">
          <w:rPr>
            <w:rFonts w:eastAsia="Times New Roman"/>
            <w:lang w:eastAsia="fr-FR"/>
          </w:rPr>
          <w:t>7549/09</w:t>
        </w:r>
      </w:hyperlink>
      <w:r w:rsidRPr="008C7A0D">
        <w:rPr>
          <w:rFonts w:eastAsia="Times New Roman"/>
          <w:lang w:eastAsia="fr-FR"/>
        </w:rPr>
        <w:t xml:space="preserve"> and </w:t>
      </w:r>
      <w:hyperlink w:tgtFrame="_blank" w:history="1" w:anchor="{&quot;appno&quot;:[&quot;33330/11&quot;]}" r:id="rId13">
        <w:r w:rsidRPr="008C7A0D">
          <w:rPr>
            <w:rFonts w:eastAsia="Times New Roman"/>
            <w:lang w:eastAsia="fr-FR"/>
          </w:rPr>
          <w:t>33330/11</w:t>
        </w:r>
      </w:hyperlink>
      <w:r w:rsidRPr="008C7A0D">
        <w:rPr>
          <w:rFonts w:eastAsia="Times New Roman"/>
          <w:lang w:eastAsia="fr-FR"/>
        </w:rPr>
        <w:t>, §</w:t>
      </w:r>
      <w:r w:rsidRPr="008C7A0D" w:rsidR="009D72FD">
        <w:rPr>
          <w:rFonts w:eastAsia="Times New Roman"/>
          <w:lang w:eastAsia="fr-FR"/>
        </w:rPr>
        <w:t> </w:t>
      </w:r>
      <w:r w:rsidRPr="008C7A0D">
        <w:rPr>
          <w:rFonts w:eastAsia="Times New Roman"/>
          <w:lang w:eastAsia="fr-FR"/>
        </w:rPr>
        <w:t>108, 12</w:t>
      </w:r>
      <w:r w:rsidRPr="008C7A0D" w:rsidR="009D72FD">
        <w:rPr>
          <w:rFonts w:eastAsia="Times New Roman"/>
          <w:lang w:eastAsia="fr-FR"/>
        </w:rPr>
        <w:t> </w:t>
      </w:r>
      <w:r w:rsidRPr="008C7A0D">
        <w:rPr>
          <w:rFonts w:eastAsia="Times New Roman"/>
          <w:lang w:eastAsia="fr-FR"/>
        </w:rPr>
        <w:t xml:space="preserve">June 2018; </w:t>
      </w:r>
      <w:r w:rsidRPr="008C7A0D">
        <w:rPr>
          <w:rFonts w:ascii="Times New Roman" w:hAnsi="Times New Roman" w:eastAsia="Times New Roman" w:cs="Times New Roman"/>
          <w:i/>
          <w:iCs/>
          <w:lang w:eastAsia="fr-FR"/>
        </w:rPr>
        <w:t>Mansour Said Abdul Salam Mubarak v. Denmark</w:t>
      </w:r>
      <w:r w:rsidRPr="008C7A0D">
        <w:rPr>
          <w:rFonts w:ascii="Times New Roman" w:hAnsi="Times New Roman" w:eastAsia="Times New Roman" w:cs="Times New Roman"/>
          <w:lang w:eastAsia="fr-FR"/>
        </w:rPr>
        <w:t xml:space="preserve"> (dec.), no.</w:t>
      </w:r>
      <w:r w:rsidRPr="008C7A0D" w:rsidR="009D72FD">
        <w:rPr>
          <w:rFonts w:ascii="Times New Roman" w:hAnsi="Times New Roman" w:eastAsia="Times New Roman" w:cs="Times New Roman"/>
          <w:lang w:eastAsia="fr-FR"/>
        </w:rPr>
        <w:t> </w:t>
      </w:r>
      <w:r w:rsidRPr="008C7A0D">
        <w:rPr>
          <w:rFonts w:ascii="Times New Roman" w:hAnsi="Times New Roman" w:eastAsia="Times New Roman" w:cs="Times New Roman"/>
          <w:lang w:eastAsia="fr-FR"/>
        </w:rPr>
        <w:t xml:space="preserve">74411/16, § 62, 22 January 2019; and </w:t>
      </w:r>
      <w:r w:rsidRPr="008C7A0D">
        <w:rPr>
          <w:rFonts w:eastAsia="Times New Roman"/>
          <w:i/>
          <w:iCs/>
        </w:rPr>
        <w:t>K2 v. the United Kingdom</w:t>
      </w:r>
      <w:r w:rsidRPr="008C7A0D">
        <w:rPr>
          <w:rFonts w:eastAsia="Times New Roman"/>
        </w:rPr>
        <w:t xml:space="preserve"> (dec.), no.</w:t>
      </w:r>
      <w:r w:rsidRPr="008C7A0D" w:rsidR="009D72FD">
        <w:rPr>
          <w:rFonts w:eastAsia="Times New Roman"/>
        </w:rPr>
        <w:t> </w:t>
      </w:r>
      <w:hyperlink w:tgtFrame="_blank" w:history="1" w:anchor="{&quot;appno&quot;:[&quot;42387/13&quot;]}" r:id="rId14">
        <w:r w:rsidRPr="008C7A0D">
          <w:rPr>
            <w:rFonts w:eastAsia="Times New Roman"/>
          </w:rPr>
          <w:t>42387/13</w:t>
        </w:r>
      </w:hyperlink>
      <w:r w:rsidRPr="008C7A0D">
        <w:rPr>
          <w:rFonts w:eastAsia="Times New Roman"/>
        </w:rPr>
        <w:t>, § 49, 7 February 2017).</w:t>
      </w:r>
    </w:p>
    <w:p w:rsidRPr="008C7A0D" w:rsidR="004D1A77" w:rsidP="008C7A0D" w:rsidRDefault="004D1A77" w14:paraId="2089E930" w14:textId="55309349">
      <w:pPr>
        <w:pStyle w:val="JuHa0"/>
        <w:numPr>
          <w:ilvl w:val="0"/>
          <w:numId w:val="0"/>
        </w:numPr>
        <w:ind w:left="510"/>
        <w:rPr>
          <w:lang w:eastAsia="fr-FR"/>
        </w:rPr>
      </w:pPr>
      <w:r w:rsidRPr="008C7A0D">
        <w:rPr>
          <w:lang w:eastAsia="fr-FR"/>
        </w:rPr>
        <w:t>(a) Arbitrariness</w:t>
      </w:r>
    </w:p>
    <w:p w:rsidRPr="008C7A0D" w:rsidR="004D1A77" w:rsidP="008C7A0D" w:rsidRDefault="004D1A77" w14:paraId="68DC688F" w14:textId="606D0A1B">
      <w:pPr>
        <w:pStyle w:val="JuPara"/>
        <w:rPr>
          <w:rFonts w:ascii="Times New Roman" w:hAnsi="Times New Roman" w:eastAsia="Times New Roman" w:cs="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46</w:t>
      </w:r>
      <w:r w:rsidRPr="008C7A0D">
        <w:rPr>
          <w:rFonts w:eastAsia="Times New Roman"/>
          <w:lang w:eastAsia="fr-FR"/>
        </w:rPr>
        <w:fldChar w:fldCharType="end"/>
      </w:r>
      <w:r w:rsidRPr="008C7A0D">
        <w:rPr>
          <w:rFonts w:eastAsia="Times New Roman"/>
          <w:lang w:eastAsia="fr-FR"/>
        </w:rPr>
        <w:t>.  </w:t>
      </w:r>
      <w:r w:rsidRPr="008C7A0D">
        <w:rPr>
          <w:rFonts w:ascii="Times New Roman" w:hAnsi="Times New Roman" w:eastAsia="Times New Roman" w:cs="Times New Roman"/>
          <w:lang w:eastAsia="fr-FR"/>
        </w:rPr>
        <w:t xml:space="preserve">In determining arbitrariness, the Court should examine whether the impugned measure was in accordance with the law; whether it was accompanied by the necessary procedural safeguards, including whether the person deprived of citizenship was allowed the opportunity to challenge the decision before courts affording the relevant guarantees; and whether the authorities acted diligently and swiftly (see, among others, </w:t>
      </w:r>
      <w:r w:rsidRPr="008C7A0D">
        <w:rPr>
          <w:rFonts w:ascii="Times New Roman" w:hAnsi="Times New Roman" w:eastAsia="Times New Roman" w:cs="Times New Roman"/>
          <w:i/>
          <w:iCs/>
          <w:lang w:eastAsia="fr-FR"/>
        </w:rPr>
        <w:t>Usmanov v.</w:t>
      </w:r>
      <w:r w:rsidRPr="008C7A0D" w:rsidR="009D72FD">
        <w:rPr>
          <w:rFonts w:ascii="Times New Roman" w:hAnsi="Times New Roman" w:eastAsia="Times New Roman" w:cs="Times New Roman"/>
          <w:i/>
          <w:iCs/>
          <w:lang w:eastAsia="fr-FR"/>
        </w:rPr>
        <w:t> </w:t>
      </w:r>
      <w:r w:rsidRPr="008C7A0D">
        <w:rPr>
          <w:rFonts w:ascii="Times New Roman" w:hAnsi="Times New Roman" w:eastAsia="Times New Roman" w:cs="Times New Roman"/>
          <w:i/>
          <w:iCs/>
          <w:lang w:eastAsia="fr-FR"/>
        </w:rPr>
        <w:t xml:space="preserve">Russia, </w:t>
      </w:r>
      <w:r w:rsidRPr="008C7A0D">
        <w:rPr>
          <w:rFonts w:ascii="Times New Roman" w:hAnsi="Times New Roman" w:eastAsia="Times New Roman" w:cs="Times New Roman"/>
          <w:lang w:eastAsia="fr-FR"/>
        </w:rPr>
        <w:t>cited above, § 54).</w:t>
      </w:r>
    </w:p>
    <w:p w:rsidRPr="008C7A0D" w:rsidR="004D1A77" w:rsidP="008C7A0D" w:rsidRDefault="004D1A77" w14:paraId="355A2EE6" w14:textId="6E1830A9">
      <w:pPr>
        <w:pStyle w:val="JuPara"/>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47</w:t>
      </w:r>
      <w:r w:rsidRPr="008C7A0D">
        <w:rPr>
          <w:rFonts w:eastAsia="Times New Roman"/>
          <w:lang w:eastAsia="fr-FR"/>
        </w:rPr>
        <w:fldChar w:fldCharType="end"/>
      </w:r>
      <w:r w:rsidRPr="008C7A0D">
        <w:rPr>
          <w:rFonts w:eastAsia="Times New Roman"/>
          <w:lang w:eastAsia="fr-FR"/>
        </w:rPr>
        <w:t>.  </w:t>
      </w:r>
      <w:r w:rsidRPr="008C7A0D">
        <w:t xml:space="preserve">The decision to deprive the applicant of his Danish citizenship was based on section 8b of the Act on Danish Nationality (see paragraph 20 above). The Court notes that the applicant has called into question whether this provision is compatible with Article 7 of the European Convention on Nationality (see paragraph 39 above). However, the Court does not consider it necessary to examine this question. </w:t>
      </w:r>
      <w:r w:rsidRPr="008C7A0D">
        <w:rPr>
          <w:rFonts w:cstheme="minorHAnsi"/>
        </w:rPr>
        <w:t xml:space="preserve">The Court recalls in this context that it is competent to apply only the European Convention on Human Rights, and that it is not its task to interpret or review compliance with other international conventions as such (see, </w:t>
      </w:r>
      <w:r w:rsidRPr="008C7A0D">
        <w:rPr>
          <w:rFonts w:cstheme="minorHAnsi"/>
          <w:i/>
          <w:iCs/>
        </w:rPr>
        <w:t>inter alia</w:t>
      </w:r>
      <w:r w:rsidRPr="008C7A0D">
        <w:rPr>
          <w:rFonts w:cstheme="minorHAnsi"/>
        </w:rPr>
        <w:t xml:space="preserve">, </w:t>
      </w:r>
      <w:r w:rsidRPr="008C7A0D">
        <w:rPr>
          <w:i/>
        </w:rPr>
        <w:t>Somogyi v. Italy</w:t>
      </w:r>
      <w:r w:rsidRPr="008C7A0D">
        <w:t>, no. 67972/01, §</w:t>
      </w:r>
      <w:r w:rsidRPr="008C7A0D" w:rsidR="009D72FD">
        <w:t> </w:t>
      </w:r>
      <w:r w:rsidRPr="008C7A0D">
        <w:t>62, ECHR 2004</w:t>
      </w:r>
      <w:r w:rsidRPr="008C7A0D">
        <w:noBreakHyphen/>
        <w:t xml:space="preserve">IV; </w:t>
      </w:r>
      <w:r w:rsidRPr="008C7A0D">
        <w:rPr>
          <w:rFonts w:cstheme="minorHAnsi"/>
          <w:i/>
          <w:lang w:eastAsia="fr-FR"/>
        </w:rPr>
        <w:t>V.C.L. and A.N. v. the United Kingdom</w:t>
      </w:r>
      <w:r w:rsidRPr="008C7A0D">
        <w:rPr>
          <w:rFonts w:cstheme="minorHAnsi"/>
          <w:lang w:eastAsia="fr-FR"/>
        </w:rPr>
        <w:t xml:space="preserve">, nos. 77587/12 and 74603/12, § 113, 16 February 2021; and </w:t>
      </w:r>
      <w:r w:rsidRPr="008C7A0D">
        <w:rPr>
          <w:i/>
          <w:iCs/>
        </w:rPr>
        <w:t>K.I. v. France</w:t>
      </w:r>
      <w:r w:rsidRPr="008C7A0D">
        <w:t>, no. 5560/19, §</w:t>
      </w:r>
      <w:r w:rsidRPr="008C7A0D" w:rsidR="009D72FD">
        <w:t> </w:t>
      </w:r>
      <w:r w:rsidRPr="008C7A0D">
        <w:t>123, 15</w:t>
      </w:r>
      <w:r w:rsidRPr="008C7A0D" w:rsidR="009D72FD">
        <w:t> </w:t>
      </w:r>
      <w:r w:rsidRPr="008C7A0D">
        <w:t>April 2021). Therefore,</w:t>
      </w:r>
      <w:r w:rsidRPr="008C7A0D">
        <w:rPr>
          <w:b/>
          <w:bCs/>
        </w:rPr>
        <w:t xml:space="preserve"> </w:t>
      </w:r>
      <w:r w:rsidRPr="008C7A0D">
        <w:t xml:space="preserve">Court is satisfied by the clarity of the domestic law and can therefore conclude that the decision was “in accordance with the law” (see also, </w:t>
      </w:r>
      <w:r w:rsidRPr="008C7A0D">
        <w:rPr>
          <w:i/>
          <w:iCs/>
        </w:rPr>
        <w:t>Mansour Said Abdul Salam Mubarak v. Denmark</w:t>
      </w:r>
      <w:r w:rsidRPr="008C7A0D">
        <w:t xml:space="preserve"> (dec.), cited above, § 64).</w:t>
      </w:r>
    </w:p>
    <w:p w:rsidRPr="008C7A0D" w:rsidR="004D1A77" w:rsidP="008C7A0D" w:rsidRDefault="004D1A77" w14:paraId="60AFEFEE" w14:textId="636051CC">
      <w:pPr>
        <w:pStyle w:val="JuPara"/>
        <w:rPr>
          <w:rFonts w:ascii="Times New Roman" w:hAnsi="Times New Roman" w:eastAsia="Times New Roman" w:cs="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48</w:t>
      </w:r>
      <w:r w:rsidRPr="008C7A0D">
        <w:rPr>
          <w:rFonts w:eastAsia="Times New Roman"/>
          <w:lang w:eastAsia="fr-FR"/>
        </w:rPr>
        <w:fldChar w:fldCharType="end"/>
      </w:r>
      <w:r w:rsidRPr="008C7A0D">
        <w:rPr>
          <w:rFonts w:eastAsia="Times New Roman"/>
          <w:lang w:eastAsia="fr-FR"/>
        </w:rPr>
        <w:t>.</w:t>
      </w:r>
      <w:r w:rsidRPr="008C7A0D" w:rsidR="00280043">
        <w:rPr>
          <w:rFonts w:eastAsia="Times New Roman"/>
          <w:lang w:eastAsia="fr-FR"/>
        </w:rPr>
        <w:t>  </w:t>
      </w:r>
      <w:r w:rsidRPr="008C7A0D">
        <w:rPr>
          <w:rFonts w:ascii="Times New Roman" w:hAnsi="Times New Roman" w:eastAsia="Times New Roman" w:cs="Times New Roman"/>
          <w:lang w:eastAsia="fr-FR"/>
        </w:rPr>
        <w:t>The applicant had an opportunity to contest the prosecuting authorities</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 xml:space="preserve"> request to strip him of his Danish citizenship before the domestic courts at three levels of jurisdiction, and he has not alleged any procedural shortcomings in this regard. Accordingly, the applicant was afforded the procedural safeguards required by Article 8 of the Convention (see, </w:t>
      </w:r>
      <w:r w:rsidRPr="008C7A0D">
        <w:rPr>
          <w:rFonts w:ascii="Times New Roman" w:hAnsi="Times New Roman" w:eastAsia="Times New Roman" w:cs="Times New Roman"/>
          <w:i/>
          <w:iCs/>
          <w:lang w:eastAsia="fr-FR"/>
        </w:rPr>
        <w:t>a contrario, Usmanov</w:t>
      </w:r>
      <w:r w:rsidRPr="008C7A0D">
        <w:rPr>
          <w:rFonts w:ascii="Times New Roman" w:hAnsi="Times New Roman" w:eastAsia="Times New Roman" w:cs="Times New Roman"/>
          <w:lang w:eastAsia="fr-FR"/>
        </w:rPr>
        <w:t>, cited above § 66).</w:t>
      </w:r>
    </w:p>
    <w:p w:rsidRPr="008C7A0D" w:rsidR="004D1A77" w:rsidP="008C7A0D" w:rsidRDefault="004D1A77" w14:paraId="47CF2520" w14:textId="7D23357F">
      <w:pPr>
        <w:pStyle w:val="JuPara"/>
        <w:rPr>
          <w:rFonts w:ascii="Times New Roman" w:hAnsi="Times New Roman" w:eastAsia="Times New Roman" w:cs="Times New Roman"/>
          <w:lang w:eastAsia="fr-FR"/>
        </w:rPr>
      </w:pPr>
      <w:r w:rsidRPr="008C7A0D">
        <w:rPr>
          <w:rFonts w:ascii="Times New Roman" w:hAnsi="Times New Roman" w:eastAsia="Times New Roman" w:cs="Times New Roman"/>
          <w:lang w:eastAsia="fr-FR"/>
        </w:rPr>
        <w:fldChar w:fldCharType="begin"/>
      </w:r>
      <w:r w:rsidRPr="008C7A0D">
        <w:rPr>
          <w:rFonts w:ascii="Times New Roman" w:hAnsi="Times New Roman" w:eastAsia="Times New Roman" w:cs="Times New Roman"/>
          <w:lang w:eastAsia="fr-FR"/>
        </w:rPr>
        <w:instrText xml:space="preserve"> SEQ level0 \*arabic </w:instrText>
      </w:r>
      <w:r w:rsidRPr="008C7A0D">
        <w:rPr>
          <w:rFonts w:ascii="Times New Roman" w:hAnsi="Times New Roman" w:eastAsia="Times New Roman" w:cs="Times New Roman"/>
          <w:lang w:eastAsia="fr-FR"/>
        </w:rPr>
        <w:fldChar w:fldCharType="separate"/>
      </w:r>
      <w:r w:rsidRPr="008C7A0D" w:rsidR="008C7A0D">
        <w:rPr>
          <w:rFonts w:ascii="Times New Roman" w:hAnsi="Times New Roman" w:eastAsia="Times New Roman" w:cs="Times New Roman"/>
          <w:noProof/>
          <w:lang w:eastAsia="fr-FR"/>
        </w:rPr>
        <w:t>49</w:t>
      </w:r>
      <w:r w:rsidRPr="008C7A0D">
        <w:rPr>
          <w:rFonts w:ascii="Times New Roman" w:hAnsi="Times New Roman" w:eastAsia="Times New Roman" w:cs="Times New Roman"/>
          <w:lang w:eastAsia="fr-FR"/>
        </w:rPr>
        <w:fldChar w:fldCharType="end"/>
      </w:r>
      <w:r w:rsidRPr="008C7A0D">
        <w:rPr>
          <w:rFonts w:ascii="Times New Roman" w:hAnsi="Times New Roman" w:eastAsia="Times New Roman" w:cs="Times New Roman"/>
          <w:lang w:eastAsia="fr-FR"/>
        </w:rPr>
        <w:t>.  The Court is also satisfied that the authorities acted diligently and swiftly. It observes that in s</w:t>
      </w:r>
      <w:r w:rsidRPr="008C7A0D">
        <w:t>pring 2016 the Danish Security and Intelligence Service received information from Interpol, leading to the</w:t>
      </w:r>
      <w:r w:rsidRPr="008C7A0D">
        <w:rPr>
          <w:rFonts w:ascii="Times New Roman" w:hAnsi="Times New Roman" w:eastAsia="Times New Roman" w:cs="Times New Roman"/>
          <w:lang w:eastAsia="fr-FR"/>
        </w:rPr>
        <w:t xml:space="preserv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s</w:t>
      </w:r>
      <w:r w:rsidRPr="008C7A0D">
        <w:t xml:space="preserve"> arrest o</w:t>
      </w:r>
      <w:r w:rsidRPr="008C7A0D">
        <w:rPr>
          <w:rFonts w:ascii="Times New Roman" w:hAnsi="Times New Roman" w:eastAsia="Times New Roman" w:cs="Times New Roman"/>
          <w:lang w:eastAsia="fr-FR"/>
        </w:rPr>
        <w:t xml:space="preserve">n </w:t>
      </w:r>
      <w:r w:rsidRPr="008C7A0D">
        <w:t xml:space="preserve">7 April 2016. On 26 October 2017 the applicant was convicted by the District Court. The judgment was upheld by the </w:t>
      </w:r>
      <w:r w:rsidRPr="008C7A0D">
        <w:rPr>
          <w:rFonts w:ascii="Times New Roman" w:hAnsi="Times New Roman" w:eastAsia="Times New Roman" w:cs="Times New Roman"/>
          <w:lang w:eastAsia="fr-FR"/>
        </w:rPr>
        <w:t xml:space="preserve">High Court on 20 April 2018. On </w:t>
      </w:r>
      <w:r w:rsidRPr="008C7A0D">
        <w:t>19 November 2018</w:t>
      </w:r>
      <w:r w:rsidRPr="008C7A0D">
        <w:rPr>
          <w:rFonts w:ascii="Times New Roman" w:hAnsi="Times New Roman" w:eastAsia="Times New Roman" w:cs="Times New Roman"/>
          <w:lang w:eastAsia="fr-FR"/>
        </w:rPr>
        <w:t>, the Supreme Court overturned the decision by the District Court and the High Court.</w:t>
      </w:r>
    </w:p>
    <w:p w:rsidRPr="008C7A0D" w:rsidR="00C67D72" w:rsidP="008C7A0D" w:rsidRDefault="004D1A77" w14:paraId="3D6E905D" w14:textId="650E3C25">
      <w:pPr>
        <w:pStyle w:val="JuPara"/>
        <w:rPr>
          <w:rFonts w:ascii="Times New Roman" w:hAnsi="Times New Roman" w:eastAsia="Times New Roman" w:cs="Times New Roman"/>
          <w:lang w:eastAsia="fr-FR"/>
        </w:rPr>
      </w:pPr>
      <w:r w:rsidRPr="008C7A0D">
        <w:rPr>
          <w:rFonts w:ascii="Times New Roman" w:hAnsi="Times New Roman" w:eastAsia="Times New Roman" w:cs="Times New Roman"/>
          <w:lang w:eastAsia="fr-FR"/>
        </w:rPr>
        <w:fldChar w:fldCharType="begin"/>
      </w:r>
      <w:r w:rsidRPr="008C7A0D">
        <w:rPr>
          <w:rFonts w:ascii="Times New Roman" w:hAnsi="Times New Roman" w:eastAsia="Times New Roman" w:cs="Times New Roman"/>
          <w:lang w:eastAsia="fr-FR"/>
        </w:rPr>
        <w:instrText xml:space="preserve"> SEQ level0 \*arabic </w:instrText>
      </w:r>
      <w:r w:rsidRPr="008C7A0D">
        <w:rPr>
          <w:rFonts w:ascii="Times New Roman" w:hAnsi="Times New Roman" w:eastAsia="Times New Roman" w:cs="Times New Roman"/>
          <w:lang w:eastAsia="fr-FR"/>
        </w:rPr>
        <w:fldChar w:fldCharType="separate"/>
      </w:r>
      <w:r w:rsidRPr="008C7A0D" w:rsidR="008C7A0D">
        <w:rPr>
          <w:rFonts w:ascii="Times New Roman" w:hAnsi="Times New Roman" w:eastAsia="Times New Roman" w:cs="Times New Roman"/>
          <w:noProof/>
          <w:lang w:eastAsia="fr-FR"/>
        </w:rPr>
        <w:t>50</w:t>
      </w:r>
      <w:r w:rsidRPr="008C7A0D">
        <w:rPr>
          <w:rFonts w:ascii="Times New Roman" w:hAnsi="Times New Roman" w:eastAsia="Times New Roman" w:cs="Times New Roman"/>
          <w:lang w:eastAsia="fr-FR"/>
        </w:rPr>
        <w:fldChar w:fldCharType="end"/>
      </w:r>
      <w:r w:rsidRPr="008C7A0D">
        <w:rPr>
          <w:rFonts w:ascii="Times New Roman" w:hAnsi="Times New Roman" w:eastAsia="Times New Roman" w:cs="Times New Roman"/>
          <w:lang w:eastAsia="fr-FR"/>
        </w:rPr>
        <w:t>.  Finally, the revocation of the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 xml:space="preserve">s Danish citizenship was the consequence of his conviction of a very serious terrorist crime under </w:t>
      </w:r>
      <w:r w:rsidRPr="008C7A0D">
        <w:t>articles</w:t>
      </w:r>
      <w:r w:rsidRPr="008C7A0D" w:rsidR="009D72FD">
        <w:t> </w:t>
      </w:r>
      <w:r w:rsidRPr="008C7A0D">
        <w:t xml:space="preserve">114c(3) and 114d(3) of the Penal Code. </w:t>
      </w:r>
      <w:r w:rsidRPr="008C7A0D">
        <w:rPr>
          <w:rFonts w:ascii="Times New Roman" w:hAnsi="Times New Roman" w:eastAsia="Times New Roman" w:cs="Times New Roman"/>
          <w:lang w:eastAsia="fr-FR"/>
        </w:rPr>
        <w:t>The deprivation of his Danish nationality complained of was thus to a large extent a result of the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 xml:space="preserve">s own choices and actions (see, </w:t>
      </w:r>
      <w:r w:rsidRPr="008C7A0D">
        <w:rPr>
          <w:rFonts w:ascii="Times New Roman" w:hAnsi="Times New Roman" w:eastAsia="Times New Roman" w:cs="Times New Roman"/>
          <w:i/>
          <w:iCs/>
          <w:lang w:eastAsia="fr-FR"/>
        </w:rPr>
        <w:t>inter alia</w:t>
      </w:r>
      <w:r w:rsidRPr="008C7A0D">
        <w:rPr>
          <w:rFonts w:ascii="Times New Roman" w:hAnsi="Times New Roman" w:eastAsia="Times New Roman" w:cs="Times New Roman"/>
          <w:lang w:eastAsia="fr-FR"/>
        </w:rPr>
        <w:t xml:space="preserve">, </w:t>
      </w:r>
      <w:r w:rsidRPr="008C7A0D">
        <w:rPr>
          <w:rFonts w:ascii="Times New Roman" w:hAnsi="Times New Roman" w:eastAsia="Times New Roman" w:cs="Times New Roman"/>
          <w:i/>
          <w:iCs/>
          <w:lang w:eastAsia="fr-FR"/>
        </w:rPr>
        <w:t>Ramadan v. Malta</w:t>
      </w:r>
      <w:r w:rsidRPr="008C7A0D">
        <w:rPr>
          <w:rFonts w:ascii="Times New Roman" w:hAnsi="Times New Roman" w:eastAsia="Times New Roman" w:cs="Times New Roman"/>
          <w:lang w:eastAsia="fr-FR"/>
        </w:rPr>
        <w:t>, cited above, §</w:t>
      </w:r>
      <w:r w:rsidRPr="008C7A0D" w:rsidR="009D72FD">
        <w:rPr>
          <w:rFonts w:ascii="Times New Roman" w:hAnsi="Times New Roman" w:eastAsia="Times New Roman" w:cs="Times New Roman"/>
          <w:lang w:eastAsia="fr-FR"/>
        </w:rPr>
        <w:t> </w:t>
      </w:r>
      <w:r w:rsidRPr="008C7A0D">
        <w:rPr>
          <w:rFonts w:ascii="Times New Roman" w:hAnsi="Times New Roman" w:eastAsia="Times New Roman" w:cs="Times New Roman"/>
          <w:lang w:eastAsia="fr-FR"/>
        </w:rPr>
        <w:t xml:space="preserve">89). Moreover, as </w:t>
      </w:r>
      <w:r w:rsidRPr="008C7A0D">
        <w:t xml:space="preserve">the </w:t>
      </w:r>
      <w:r w:rsidRPr="008C7A0D">
        <w:rPr>
          <w:rFonts w:ascii="Times New Roman" w:hAnsi="Times New Roman" w:eastAsia="Times New Roman" w:cs="Times New Roman"/>
          <w:lang w:eastAsia="fr-FR"/>
        </w:rPr>
        <w:t xml:space="preserve">Court </w:t>
      </w:r>
      <w:r w:rsidRPr="008C7A0D">
        <w:t xml:space="preserve">has underlined on numerous occasions, </w:t>
      </w:r>
      <w:r w:rsidRPr="008C7A0D">
        <w:rPr>
          <w:rFonts w:ascii="Times New Roman" w:hAnsi="Times New Roman" w:eastAsia="Times New Roman" w:cs="Times New Roman"/>
          <w:lang w:eastAsia="fr-FR"/>
        </w:rPr>
        <w:t xml:space="preserve">terrorist violence, in itself, constitutes a grave threat to human rights. Accordingly, the Court considers it legitimate for Contracting States to take a firm stand against those who contribute to terrorist acts, which it cannot condone in any circumstances (see, for example, </w:t>
      </w:r>
      <w:r w:rsidRPr="008C7A0D">
        <w:rPr>
          <w:rFonts w:ascii="Times New Roman" w:hAnsi="Times New Roman" w:eastAsia="Times New Roman" w:cs="Times New Roman"/>
          <w:i/>
          <w:iCs/>
          <w:lang w:eastAsia="fr-FR"/>
        </w:rPr>
        <w:t>Ghoumid,</w:t>
      </w:r>
      <w:r w:rsidRPr="008C7A0D">
        <w:rPr>
          <w:rFonts w:ascii="Times New Roman" w:hAnsi="Times New Roman" w:eastAsia="Times New Roman" w:cs="Times New Roman"/>
          <w:lang w:eastAsia="fr-FR"/>
        </w:rPr>
        <w:t xml:space="preserve"> cited above, § 50, and the references mentioned therein).</w:t>
      </w:r>
    </w:p>
    <w:p w:rsidRPr="008C7A0D" w:rsidR="004D1A77" w:rsidP="008C7A0D" w:rsidRDefault="004D1A77" w14:paraId="21E06DD9" w14:textId="1A5AB40E">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51</w:t>
      </w:r>
      <w:r w:rsidRPr="008C7A0D">
        <w:rPr>
          <w:rFonts w:eastAsia="Times New Roman"/>
          <w:lang w:eastAsia="fr-FR"/>
        </w:rPr>
        <w:fldChar w:fldCharType="end"/>
      </w:r>
      <w:r w:rsidRPr="008C7A0D">
        <w:rPr>
          <w:rFonts w:eastAsia="Times New Roman"/>
          <w:lang w:eastAsia="fr-FR"/>
        </w:rPr>
        <w:t>.  The Court therefore concludes that the decision of the Supreme Court to deprive the applicant of his Danish citizenship was not arbitrary.</w:t>
      </w:r>
    </w:p>
    <w:p w:rsidRPr="008C7A0D" w:rsidR="004D1A77" w:rsidP="008C7A0D" w:rsidRDefault="004D1A77" w14:paraId="39E2E371" w14:textId="1F7FB729">
      <w:pPr>
        <w:pStyle w:val="JuHa0"/>
        <w:numPr>
          <w:ilvl w:val="0"/>
          <w:numId w:val="0"/>
        </w:numPr>
        <w:ind w:left="510"/>
        <w:rPr>
          <w:lang w:eastAsia="fr-FR"/>
        </w:rPr>
      </w:pPr>
      <w:r w:rsidRPr="008C7A0D">
        <w:rPr>
          <w:lang w:eastAsia="fr-FR"/>
        </w:rPr>
        <w:t>(b)</w:t>
      </w:r>
      <w:r w:rsidRPr="008C7A0D" w:rsidR="00280043">
        <w:rPr>
          <w:lang w:eastAsia="fr-FR"/>
        </w:rPr>
        <w:t xml:space="preserve"> </w:t>
      </w:r>
      <w:r w:rsidRPr="008C7A0D">
        <w:rPr>
          <w:lang w:eastAsia="fr-FR"/>
        </w:rPr>
        <w:t>Consequences of the revocation</w:t>
      </w:r>
    </w:p>
    <w:p w:rsidRPr="008C7A0D" w:rsidR="004D1A77" w:rsidP="008C7A0D" w:rsidRDefault="004D1A77" w14:paraId="0C20A8E8" w14:textId="68947F7B">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 MERGEFORMAT </w:instrText>
      </w:r>
      <w:r w:rsidRPr="008C7A0D">
        <w:rPr>
          <w:rFonts w:eastAsia="Times New Roman"/>
          <w:lang w:eastAsia="fr-FR"/>
        </w:rPr>
        <w:fldChar w:fldCharType="separate"/>
      </w:r>
      <w:r w:rsidRPr="008C7A0D" w:rsidR="008C7A0D">
        <w:rPr>
          <w:rFonts w:eastAsia="Times New Roman"/>
          <w:noProof/>
          <w:lang w:eastAsia="fr-FR"/>
        </w:rPr>
        <w:t>52</w:t>
      </w:r>
      <w:r w:rsidRPr="008C7A0D">
        <w:rPr>
          <w:rFonts w:eastAsia="Times New Roman"/>
          <w:lang w:eastAsia="fr-FR"/>
        </w:rPr>
        <w:fldChar w:fldCharType="end"/>
      </w:r>
      <w:r w:rsidRPr="008C7A0D">
        <w:rPr>
          <w:rFonts w:eastAsia="Times New Roman"/>
          <w:lang w:eastAsia="fr-FR"/>
        </w:rPr>
        <w:t>.  In determining the consequences of the revocation, the Court has never stipulated a list of elements that have to be taken into account. Nor has it applied a proportionality test similar to the test to be applied in expulsion cases (compare</w:t>
      </w:r>
      <w:r w:rsidRPr="008C7A0D">
        <w:rPr>
          <w:rFonts w:eastAsia="Times New Roman"/>
          <w:color w:val="C00000"/>
          <w:lang w:eastAsia="fr-FR"/>
        </w:rPr>
        <w:t xml:space="preserve"> </w:t>
      </w:r>
      <w:r w:rsidRPr="008C7A0D">
        <w:rPr>
          <w:rFonts w:eastAsia="Times New Roman"/>
          <w:lang w:eastAsia="fr-FR"/>
        </w:rPr>
        <w:t>§ 75 below). Instead, referring to its previous case-law, when making a concrete assessment of the consequences, the Court has taken a number of elements into account.</w:t>
      </w:r>
    </w:p>
    <w:p w:rsidRPr="008C7A0D" w:rsidR="004D1A77" w:rsidP="008C7A0D" w:rsidRDefault="008C7A0D" w14:paraId="015C200A" w14:textId="259CB104">
      <w:pPr>
        <w:pStyle w:val="JuPara"/>
      </w:pPr>
      <w:fldSimple w:instr=" SEQ level0 \*arabic \* MERGEFORMAT ">
        <w:r w:rsidRPr="008C7A0D">
          <w:rPr>
            <w:noProof/>
          </w:rPr>
          <w:t>53</w:t>
        </w:r>
      </w:fldSimple>
      <w:r w:rsidRPr="008C7A0D" w:rsidR="004D1A77">
        <w:t>. </w:t>
      </w:r>
      <w:r w:rsidRPr="008C7A0D" w:rsidR="00280043">
        <w:t> </w:t>
      </w:r>
      <w:r w:rsidRPr="008C7A0D" w:rsidR="004D1A77">
        <w:t>Thus, the Court has assessed w</w:t>
      </w:r>
      <w:bookmarkStart w:name="_Hlk84859326" w:id="5"/>
      <w:r w:rsidRPr="008C7A0D" w:rsidR="004D1A77">
        <w:t xml:space="preserve">hether </w:t>
      </w:r>
      <w:bookmarkStart w:name="_Hlk93309090" w:id="6"/>
      <w:r w:rsidRPr="008C7A0D" w:rsidR="004D1A77">
        <w:t xml:space="preserve">the revocation of nationality </w:t>
      </w:r>
      <w:bookmarkEnd w:id="5"/>
      <w:bookmarkEnd w:id="6"/>
      <w:r w:rsidRPr="008C7A0D" w:rsidR="004D1A77">
        <w:t>rendered the applicant stateless (</w:t>
      </w:r>
      <w:r w:rsidRPr="008C7A0D" w:rsidR="004D1A77">
        <w:rPr>
          <w:i/>
          <w:iCs/>
        </w:rPr>
        <w:t>Alpeyeva</w:t>
      </w:r>
      <w:r w:rsidRPr="008C7A0D" w:rsidR="004D1A77">
        <w:t xml:space="preserve">, cited above, § 112; </w:t>
      </w:r>
      <w:r w:rsidRPr="008C7A0D" w:rsidR="004D1A77">
        <w:rPr>
          <w:i/>
          <w:iCs/>
        </w:rPr>
        <w:t>Ghoumid</w:t>
      </w:r>
      <w:r w:rsidRPr="008C7A0D" w:rsidR="004D1A77">
        <w:t xml:space="preserve">, cited above, § 50; </w:t>
      </w:r>
      <w:r w:rsidRPr="008C7A0D" w:rsidR="004D1A77">
        <w:rPr>
          <w:i/>
          <w:iCs/>
        </w:rPr>
        <w:t>Ramadan</w:t>
      </w:r>
      <w:r w:rsidRPr="008C7A0D" w:rsidR="004D1A77">
        <w:t xml:space="preserve">, cited above, § 92; </w:t>
      </w:r>
      <w:r w:rsidRPr="008C7A0D" w:rsidR="004D1A77">
        <w:rPr>
          <w:i/>
          <w:iCs/>
        </w:rPr>
        <w:t>K2</w:t>
      </w:r>
      <w:r w:rsidRPr="008C7A0D" w:rsidR="004D1A77">
        <w:t xml:space="preserve">, cited above, § 62; and </w:t>
      </w:r>
      <w:r w:rsidRPr="008C7A0D" w:rsidR="004D1A77">
        <w:rPr>
          <w:i/>
          <w:iCs/>
        </w:rPr>
        <w:t>Mansour Said Abdul Salam Mubarak</w:t>
      </w:r>
      <w:r w:rsidRPr="008C7A0D" w:rsidR="004D1A77">
        <w:t>, cited above, § 69); or deprived the applicant of any legal status (</w:t>
      </w:r>
      <w:r w:rsidRPr="008C7A0D" w:rsidR="004D1A77">
        <w:rPr>
          <w:i/>
          <w:iCs/>
        </w:rPr>
        <w:t>Alpeyeva</w:t>
      </w:r>
      <w:r w:rsidRPr="008C7A0D" w:rsidR="004D1A77">
        <w:t xml:space="preserve">, § 112; and </w:t>
      </w:r>
      <w:r w:rsidRPr="008C7A0D" w:rsidR="004D1A77">
        <w:rPr>
          <w:i/>
          <w:iCs/>
        </w:rPr>
        <w:t>Usmanov</w:t>
      </w:r>
      <w:r w:rsidRPr="008C7A0D" w:rsidR="004D1A77">
        <w:t>, cited above, § 59); or whether it left the applicant without any valid documents (</w:t>
      </w:r>
      <w:r w:rsidRPr="008C7A0D" w:rsidR="004D1A77">
        <w:rPr>
          <w:i/>
          <w:iCs/>
        </w:rPr>
        <w:t>Alpeyeva</w:t>
      </w:r>
      <w:r w:rsidRPr="008C7A0D" w:rsidR="004D1A77">
        <w:t>, §</w:t>
      </w:r>
      <w:r w:rsidRPr="008C7A0D" w:rsidR="009D72FD">
        <w:t> </w:t>
      </w:r>
      <w:r w:rsidRPr="008C7A0D" w:rsidR="004D1A77">
        <w:t xml:space="preserve">113 and </w:t>
      </w:r>
      <w:r w:rsidRPr="008C7A0D" w:rsidR="004D1A77">
        <w:rPr>
          <w:i/>
          <w:iCs/>
        </w:rPr>
        <w:t>Usmanov</w:t>
      </w:r>
      <w:r w:rsidRPr="008C7A0D" w:rsidR="004D1A77">
        <w:t>, § 60).</w:t>
      </w:r>
    </w:p>
    <w:p w:rsidRPr="008C7A0D" w:rsidR="004D1A77" w:rsidP="008C7A0D" w:rsidRDefault="008C7A0D" w14:paraId="0036858C" w14:textId="4E538BBF">
      <w:pPr>
        <w:pStyle w:val="JuPara"/>
      </w:pPr>
      <w:fldSimple w:instr=" SEQ level0 \*arabic \* MERGEFORMAT ">
        <w:r w:rsidRPr="008C7A0D">
          <w:rPr>
            <w:noProof/>
          </w:rPr>
          <w:t>54</w:t>
        </w:r>
      </w:fldSimple>
      <w:r w:rsidRPr="008C7A0D" w:rsidR="004D1A77">
        <w:t>.  The Court has also taken into account whether the revocation led to expulsion or made continued stay in the country uncertain (</w:t>
      </w:r>
      <w:r w:rsidRPr="008C7A0D" w:rsidR="004D1A77">
        <w:rPr>
          <w:i/>
          <w:iCs/>
        </w:rPr>
        <w:t>Ghoumid</w:t>
      </w:r>
      <w:r w:rsidRPr="008C7A0D" w:rsidR="004D1A77">
        <w:t xml:space="preserve"> § 49 and </w:t>
      </w:r>
      <w:r w:rsidRPr="008C7A0D" w:rsidR="004D1A77">
        <w:rPr>
          <w:i/>
          <w:iCs/>
        </w:rPr>
        <w:t>Ramadan</w:t>
      </w:r>
      <w:r w:rsidRPr="008C7A0D" w:rsidR="004D1A77">
        <w:t xml:space="preserve"> § 90). However, in respect of expulsion or risk of expulsion, the Court has never found that such, in itself, rendered a revocation of nationality in violation of Article 8 of the Convention. Furthermore, when assessing expulsion or risk of expulsion, the Court has had regard to the nature and seriousness of the offence and the risk posed to society (</w:t>
      </w:r>
      <w:r w:rsidRPr="008C7A0D" w:rsidR="004D1A77">
        <w:rPr>
          <w:i/>
          <w:iCs/>
        </w:rPr>
        <w:t>Ghoumid</w:t>
      </w:r>
      <w:r w:rsidRPr="008C7A0D" w:rsidR="004D1A77">
        <w:t>, §</w:t>
      </w:r>
      <w:r w:rsidRPr="008C7A0D" w:rsidR="009D72FD">
        <w:t> </w:t>
      </w:r>
      <w:r w:rsidRPr="008C7A0D" w:rsidR="004D1A77">
        <w:t>50), when nationality was acquired (ibid.), whether the applicant has left the country voluntarily (</w:t>
      </w:r>
      <w:r w:rsidRPr="008C7A0D" w:rsidR="004D1A77">
        <w:rPr>
          <w:i/>
          <w:iCs/>
        </w:rPr>
        <w:t>K2</w:t>
      </w:r>
      <w:r w:rsidRPr="008C7A0D" w:rsidR="004D1A77">
        <w:t>, § 62) and whether revocation is a consequence of the applicant</w:t>
      </w:r>
      <w:r w:rsidRPr="008C7A0D">
        <w:t>’</w:t>
      </w:r>
      <w:r w:rsidRPr="008C7A0D" w:rsidR="004D1A77">
        <w:t>s own actions or choices (</w:t>
      </w:r>
      <w:r w:rsidRPr="008C7A0D" w:rsidR="004D1A77">
        <w:rPr>
          <w:i/>
          <w:iCs/>
        </w:rPr>
        <w:t>Ramadan</w:t>
      </w:r>
      <w:r w:rsidRPr="008C7A0D" w:rsidR="004D1A77">
        <w:t>, § 89).</w:t>
      </w:r>
    </w:p>
    <w:p w:rsidRPr="008C7A0D" w:rsidR="004D1A77" w:rsidP="008C7A0D" w:rsidRDefault="004D1A77" w14:paraId="1B7CDFAD" w14:textId="056482F3">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 MERGEFORMAT </w:instrText>
      </w:r>
      <w:r w:rsidRPr="008C7A0D">
        <w:rPr>
          <w:rFonts w:eastAsia="Times New Roman"/>
          <w:lang w:eastAsia="fr-FR"/>
        </w:rPr>
        <w:fldChar w:fldCharType="separate"/>
      </w:r>
      <w:r w:rsidRPr="008C7A0D" w:rsidR="008C7A0D">
        <w:rPr>
          <w:rFonts w:eastAsia="Times New Roman"/>
          <w:noProof/>
          <w:lang w:eastAsia="fr-FR"/>
        </w:rPr>
        <w:t>55</w:t>
      </w:r>
      <w:r w:rsidRPr="008C7A0D">
        <w:rPr>
          <w:rFonts w:eastAsia="Times New Roman"/>
          <w:lang w:eastAsia="fr-FR"/>
        </w:rPr>
        <w:fldChar w:fldCharType="end"/>
      </w:r>
      <w:r w:rsidRPr="008C7A0D">
        <w:rPr>
          <w:rFonts w:eastAsia="Times New Roman"/>
          <w:lang w:eastAsia="fr-FR"/>
        </w:rPr>
        <w:t>.  Finally, the Court has considered whether the revocation of nationality had considerable consequences for the applicant</w:t>
      </w:r>
      <w:r w:rsidRPr="008C7A0D" w:rsidR="008C7A0D">
        <w:rPr>
          <w:rFonts w:eastAsia="Times New Roman"/>
          <w:lang w:eastAsia="fr-FR"/>
        </w:rPr>
        <w:t>’</w:t>
      </w:r>
      <w:r w:rsidRPr="008C7A0D">
        <w:rPr>
          <w:rFonts w:eastAsia="Times New Roman"/>
          <w:lang w:eastAsia="fr-FR"/>
        </w:rPr>
        <w:t>s daily life (</w:t>
      </w:r>
      <w:r w:rsidRPr="008C7A0D">
        <w:rPr>
          <w:rFonts w:eastAsia="Times New Roman"/>
          <w:i/>
          <w:iCs/>
          <w:lang w:eastAsia="fr-FR"/>
        </w:rPr>
        <w:t>Alpeyeva</w:t>
      </w:r>
      <w:r w:rsidRPr="008C7A0D">
        <w:rPr>
          <w:rFonts w:eastAsia="Times New Roman"/>
          <w:lang w:eastAsia="fr-FR"/>
        </w:rPr>
        <w:t>, §</w:t>
      </w:r>
      <w:r w:rsidRPr="008C7A0D" w:rsidR="009D72FD">
        <w:rPr>
          <w:rFonts w:eastAsia="Times New Roman"/>
          <w:lang w:eastAsia="fr-FR"/>
        </w:rPr>
        <w:t> </w:t>
      </w:r>
      <w:r w:rsidRPr="008C7A0D">
        <w:rPr>
          <w:rFonts w:eastAsia="Times New Roman"/>
          <w:lang w:eastAsia="fr-FR"/>
        </w:rPr>
        <w:t>115) or consequences for spouse or children (</w:t>
      </w:r>
      <w:r w:rsidRPr="008C7A0D">
        <w:rPr>
          <w:rFonts w:eastAsia="Times New Roman"/>
          <w:i/>
          <w:iCs/>
          <w:lang w:eastAsia="fr-FR"/>
        </w:rPr>
        <w:t xml:space="preserve">Ramadan, </w:t>
      </w:r>
      <w:r w:rsidRPr="008C7A0D">
        <w:rPr>
          <w:rFonts w:eastAsia="Times New Roman"/>
          <w:lang w:eastAsia="fr-FR"/>
        </w:rPr>
        <w:t xml:space="preserve">§ 90 and </w:t>
      </w:r>
      <w:r w:rsidRPr="008C7A0D">
        <w:rPr>
          <w:rFonts w:eastAsia="Times New Roman"/>
          <w:i/>
          <w:iCs/>
          <w:lang w:eastAsia="fr-FR"/>
        </w:rPr>
        <w:t xml:space="preserve">K2, </w:t>
      </w:r>
      <w:r w:rsidRPr="008C7A0D">
        <w:rPr>
          <w:rFonts w:eastAsia="Times New Roman"/>
          <w:lang w:eastAsia="fr-FR"/>
        </w:rPr>
        <w:t>§ 62).</w:t>
      </w:r>
    </w:p>
    <w:p w:rsidRPr="008C7A0D" w:rsidR="004D1A77" w:rsidP="008C7A0D" w:rsidRDefault="004D1A77" w14:paraId="5F358348" w14:textId="5FA9B826">
      <w:pPr>
        <w:pStyle w:val="JuPara"/>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56</w:t>
      </w:r>
      <w:r w:rsidRPr="008C7A0D">
        <w:rPr>
          <w:rFonts w:eastAsia="Times New Roman"/>
          <w:lang w:eastAsia="fr-FR"/>
        </w:rPr>
        <w:fldChar w:fldCharType="end"/>
      </w:r>
      <w:r w:rsidRPr="008C7A0D">
        <w:rPr>
          <w:rFonts w:eastAsia="Times New Roman"/>
          <w:lang w:eastAsia="fr-FR"/>
        </w:rPr>
        <w:t xml:space="preserve">.  In the present case, the applicant submitted before the Court that the </w:t>
      </w:r>
      <w:r w:rsidRPr="008C7A0D">
        <w:t>Tunisian authorities had never confirmed that he held a Tunisian citizenship and that therefore the deprivation of his Danish citizenship made him stateless.</w:t>
      </w:r>
    </w:p>
    <w:p w:rsidRPr="008C7A0D" w:rsidR="004D1A77" w:rsidP="008C7A0D" w:rsidRDefault="004D1A77" w14:paraId="77ACF82A" w14:textId="37C0F7DF">
      <w:pPr>
        <w:pStyle w:val="JuPara"/>
      </w:pPr>
      <w:r w:rsidRPr="008C7A0D">
        <w:fldChar w:fldCharType="begin"/>
      </w:r>
      <w:r w:rsidRPr="008C7A0D">
        <w:instrText xml:space="preserve"> SEQ level0 \*arabic </w:instrText>
      </w:r>
      <w:r w:rsidRPr="008C7A0D">
        <w:fldChar w:fldCharType="separate"/>
      </w:r>
      <w:r w:rsidRPr="008C7A0D" w:rsidR="008C7A0D">
        <w:rPr>
          <w:noProof/>
        </w:rPr>
        <w:t>57</w:t>
      </w:r>
      <w:r w:rsidRPr="008C7A0D">
        <w:fldChar w:fldCharType="end"/>
      </w:r>
      <w:r w:rsidRPr="008C7A0D">
        <w:t>.  The Government pointed out that the applicant had not disputed his Tunisian nationality before the domestic courts, and that it had been confirmed by the facts of the case, including the discovery of a Tunisian passport at his home.</w:t>
      </w:r>
    </w:p>
    <w:p w:rsidRPr="008C7A0D" w:rsidR="004D1A77" w:rsidP="008C7A0D" w:rsidRDefault="004D1A77" w14:paraId="7E07502F" w14:textId="653BE03B">
      <w:pPr>
        <w:pStyle w:val="JuPara"/>
      </w:pPr>
      <w:r w:rsidRPr="008C7A0D">
        <w:fldChar w:fldCharType="begin"/>
      </w:r>
      <w:r w:rsidRPr="008C7A0D">
        <w:instrText xml:space="preserve"> SEQ level0 \*arabic </w:instrText>
      </w:r>
      <w:r w:rsidRPr="008C7A0D">
        <w:fldChar w:fldCharType="separate"/>
      </w:r>
      <w:r w:rsidRPr="008C7A0D" w:rsidR="008C7A0D">
        <w:rPr>
          <w:noProof/>
        </w:rPr>
        <w:t>58</w:t>
      </w:r>
      <w:r w:rsidRPr="008C7A0D">
        <w:fldChar w:fldCharType="end"/>
      </w:r>
      <w:r w:rsidRPr="008C7A0D">
        <w:t>.  The Court notes that the applicant</w:t>
      </w:r>
      <w:r w:rsidRPr="008C7A0D" w:rsidR="008C7A0D">
        <w:t>’</w:t>
      </w:r>
      <w:r w:rsidRPr="008C7A0D">
        <w:t>s nationality status was carefully examined by the domestic authorities before the criminal proceedings against the applicant commenced, and by the courts in three instances during the criminal proceedings. It was found established that the applicant</w:t>
      </w:r>
      <w:r w:rsidRPr="008C7A0D" w:rsidR="008C7A0D">
        <w:t>’</w:t>
      </w:r>
      <w:r w:rsidRPr="008C7A0D">
        <w:t>s father and paternal grandparents had all been Tunisian nationals, born in Tunisia, and that according to Article 6(1) of the Tunisian Nationality Act, a person acquires Tunisian nationality at birth if the father is a Tunisian national. Moreover, it transpired from an email of 12 August 2016 from the Tunisian Embassy in the Hague to the Copenhagen Police that a child acquires Tunisian nationality if the father is Tunisian and that it is irrelevant whether the child has also acquired another nationality. Against that background, the Ministry of Immigration and Integration considered it a fact that the applicant had acquired Tunisian nationality at birth, and therefore had dual nationality. Moreover, a Tunisian passport was found in the applicant</w:t>
      </w:r>
      <w:r w:rsidRPr="008C7A0D" w:rsidR="008C7A0D">
        <w:t>’</w:t>
      </w:r>
      <w:r w:rsidRPr="008C7A0D">
        <w:t>s home (see paragraphs 11 and 17 above). Accordingly, the domestic courts at three levels found it established that the applicant held dual nationality. The applicant has not provided any evidence for the Court to reach a different outcome.</w:t>
      </w:r>
    </w:p>
    <w:p w:rsidRPr="008C7A0D" w:rsidR="004D1A77" w:rsidP="008C7A0D" w:rsidRDefault="008C7A0D" w14:paraId="72654044" w14:textId="3BEA500F">
      <w:pPr>
        <w:pStyle w:val="JuPara"/>
      </w:pPr>
      <w:fldSimple w:instr=" SEQ level0 \*arabic \* MERGEFORMAT ">
        <w:r w:rsidRPr="008C7A0D">
          <w:rPr>
            <w:noProof/>
          </w:rPr>
          <w:t>59</w:t>
        </w:r>
      </w:fldSimple>
      <w:r w:rsidRPr="008C7A0D" w:rsidR="004D1A77">
        <w:t xml:space="preserve">.  The Court notes in addition, that during the proceedings before the Special Court of Revision (see paragraph 20 above) it transpired that </w:t>
      </w:r>
      <w:r w:rsidRPr="008C7A0D" w:rsidR="004D1A77">
        <w:rPr>
          <w:sz w:val="23"/>
          <w:szCs w:val="23"/>
        </w:rPr>
        <w:t>most recently, on 14 September 2021, the Tunisian authorities had informed the Danish authorities that “there could be no doubt that the applicant had Tunisian citizenship” and that the “necessary judicial basis existed to allow the Tunisian Ambassy to issue travel documents with a view to deporting the applicant to Tunisia”.</w:t>
      </w:r>
    </w:p>
    <w:p w:rsidRPr="008C7A0D" w:rsidR="004D1A77" w:rsidP="008C7A0D" w:rsidRDefault="008C7A0D" w14:paraId="05F70760" w14:textId="6124F595">
      <w:pPr>
        <w:pStyle w:val="JuPara"/>
        <w:rPr>
          <w:rFonts w:eastAsia="Times New Roman"/>
          <w:lang w:eastAsia="fr-FR"/>
        </w:rPr>
      </w:pPr>
      <w:fldSimple w:instr=" SEQ level0 \*arabic \* MERGEFORMAT ">
        <w:r w:rsidRPr="008C7A0D">
          <w:rPr>
            <w:noProof/>
          </w:rPr>
          <w:t>60</w:t>
        </w:r>
      </w:fldSimple>
      <w:r w:rsidRPr="008C7A0D" w:rsidR="004D1A77">
        <w:t>.  In these circumstances, it must be concluded that t</w:t>
      </w:r>
      <w:r w:rsidRPr="008C7A0D" w:rsidR="004D1A77">
        <w:rPr>
          <w:rFonts w:eastAsia="Times New Roman"/>
          <w:lang w:eastAsia="fr-FR"/>
        </w:rPr>
        <w:t xml:space="preserve">he applicant was not rendered stateless by the decision to deprive him of his Danish citizenship (see also, among others, </w:t>
      </w:r>
      <w:r w:rsidRPr="008C7A0D" w:rsidR="004D1A77">
        <w:rPr>
          <w:rFonts w:eastAsia="Times New Roman"/>
          <w:i/>
          <w:iCs/>
          <w:lang w:eastAsia="fr-FR"/>
        </w:rPr>
        <w:t>K2 v. United Kingdom</w:t>
      </w:r>
      <w:r w:rsidRPr="008C7A0D" w:rsidR="004D1A77">
        <w:rPr>
          <w:rFonts w:eastAsia="Times New Roman"/>
          <w:lang w:eastAsia="fr-FR"/>
        </w:rPr>
        <w:t>, cited above, § 62).</w:t>
      </w:r>
    </w:p>
    <w:p w:rsidRPr="008C7A0D" w:rsidR="004D1A77" w:rsidP="008C7A0D" w:rsidRDefault="004D1A77" w14:paraId="35F9C057" w14:textId="5326C6FB">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61</w:t>
      </w:r>
      <w:r w:rsidRPr="008C7A0D">
        <w:rPr>
          <w:rFonts w:eastAsia="Times New Roman"/>
          <w:lang w:eastAsia="fr-FR"/>
        </w:rPr>
        <w:fldChar w:fldCharType="end"/>
      </w:r>
      <w:r w:rsidRPr="008C7A0D">
        <w:rPr>
          <w:rFonts w:eastAsia="Times New Roman"/>
          <w:lang w:eastAsia="fr-FR"/>
        </w:rPr>
        <w:t>. </w:t>
      </w:r>
      <w:r w:rsidRPr="008C7A0D" w:rsidR="00280043">
        <w:rPr>
          <w:rFonts w:eastAsia="Times New Roman"/>
          <w:lang w:eastAsia="fr-FR"/>
        </w:rPr>
        <w:t> </w:t>
      </w:r>
      <w:r w:rsidRPr="008C7A0D">
        <w:rPr>
          <w:rFonts w:eastAsia="Times New Roman"/>
          <w:lang w:eastAsia="fr-FR"/>
        </w:rPr>
        <w:t>The preparatory work on section 8b of the Act on Danish Nationality set out that the assessment of whether to withdraw a person</w:t>
      </w:r>
      <w:r w:rsidRPr="008C7A0D" w:rsidR="008C7A0D">
        <w:rPr>
          <w:rFonts w:eastAsia="Times New Roman"/>
          <w:lang w:eastAsia="fr-FR"/>
        </w:rPr>
        <w:t>’</w:t>
      </w:r>
      <w:r w:rsidRPr="008C7A0D">
        <w:rPr>
          <w:rFonts w:eastAsia="Times New Roman"/>
          <w:lang w:eastAsia="fr-FR"/>
        </w:rPr>
        <w:t>s citizenship should be based on a weighing of the seriousness of the offence and the impact on the person concerned. Accordingly, the domestic courts carefully assessed the consequences for the applicant of a revocation of his Danish citizenship in the light of his ties with Denmark and Tunisia. The considerations set out below will focus on the Supreme Court</w:t>
      </w:r>
      <w:r w:rsidRPr="008C7A0D" w:rsidR="008C7A0D">
        <w:rPr>
          <w:rFonts w:eastAsia="Times New Roman"/>
          <w:lang w:eastAsia="fr-FR"/>
        </w:rPr>
        <w:t>’</w:t>
      </w:r>
      <w:r w:rsidRPr="008C7A0D">
        <w:rPr>
          <w:rFonts w:eastAsia="Times New Roman"/>
          <w:lang w:eastAsia="fr-FR"/>
        </w:rPr>
        <w:t>s decision depriving the applicant of his Danish citizenship.</w:t>
      </w:r>
    </w:p>
    <w:p w:rsidRPr="008C7A0D" w:rsidR="004D1A77" w:rsidP="008C7A0D" w:rsidRDefault="004D1A77" w14:paraId="4BDBE2F2" w14:textId="73B295F4">
      <w:pPr>
        <w:pStyle w:val="JuPara"/>
        <w:rPr>
          <w:rFonts w:eastAsia="Times New Roman"/>
          <w:lang w:eastAsia="fr-FR"/>
        </w:rPr>
      </w:pPr>
      <w:r w:rsidRPr="008C7A0D">
        <w:rPr>
          <w:rFonts w:eastAsia="Times New Roman"/>
          <w:lang w:eastAsia="fr-FR"/>
        </w:rPr>
        <w:t xml:space="preserve"> </w:t>
      </w: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62</w:t>
      </w:r>
      <w:r w:rsidRPr="008C7A0D">
        <w:rPr>
          <w:rFonts w:eastAsia="Times New Roman"/>
          <w:lang w:eastAsia="fr-FR"/>
        </w:rPr>
        <w:fldChar w:fldCharType="end"/>
      </w:r>
      <w:r w:rsidRPr="008C7A0D">
        <w:rPr>
          <w:rFonts w:eastAsia="Times New Roman"/>
          <w:lang w:eastAsia="fr-FR"/>
        </w:rPr>
        <w:t>.  The Supreme Court took account of the fact that the applicant was born in Denmark, to a Danish mother and a Tunisian father, and that he had acquired dual nationality by birth.</w:t>
      </w:r>
    </w:p>
    <w:p w:rsidRPr="008C7A0D" w:rsidR="004D1A77" w:rsidP="008C7A0D" w:rsidRDefault="004D1A77" w14:paraId="7D3AB80D" w14:textId="6A99B118">
      <w:pPr>
        <w:pStyle w:val="JuPara"/>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63</w:t>
      </w:r>
      <w:r w:rsidRPr="008C7A0D">
        <w:rPr>
          <w:rFonts w:eastAsia="Times New Roman"/>
          <w:lang w:eastAsia="fr-FR"/>
        </w:rPr>
        <w:fldChar w:fldCharType="end"/>
      </w:r>
      <w:r w:rsidRPr="008C7A0D">
        <w:rPr>
          <w:rFonts w:eastAsia="Times New Roman"/>
          <w:lang w:eastAsia="fr-FR"/>
        </w:rPr>
        <w:t xml:space="preserve">.  The Supreme Court found that the applicant had strong ties with Denmark. He was </w:t>
      </w:r>
      <w:r w:rsidRPr="008C7A0D">
        <w:t>raised and educated there. He spoke, read and wrote Danish. He had lived on public benefits since 2011, that is, since the age of twenty-one. He had never had a regular attachment to the Danish labour market. His mother and siblings also lived in Denmark. He had married a Danish woman in an Islamic wedding ceremony, and they had lived together since 2009. They had a son who was born in January 2010.</w:t>
      </w:r>
    </w:p>
    <w:p w:rsidRPr="008C7A0D" w:rsidR="004D1A77" w:rsidP="008C7A0D" w:rsidRDefault="004D1A77" w14:paraId="4786330A" w14:textId="3FA0EE47">
      <w:pPr>
        <w:pStyle w:val="JuPara"/>
      </w:pPr>
      <w:r w:rsidRPr="008C7A0D">
        <w:fldChar w:fldCharType="begin"/>
      </w:r>
      <w:r w:rsidRPr="008C7A0D">
        <w:instrText xml:space="preserve"> SEQ level0 \*arabic </w:instrText>
      </w:r>
      <w:r w:rsidRPr="008C7A0D">
        <w:fldChar w:fldCharType="separate"/>
      </w:r>
      <w:r w:rsidRPr="008C7A0D" w:rsidR="008C7A0D">
        <w:rPr>
          <w:noProof/>
        </w:rPr>
        <w:t>64</w:t>
      </w:r>
      <w:r w:rsidRPr="008C7A0D">
        <w:fldChar w:fldCharType="end"/>
      </w:r>
      <w:r w:rsidRPr="008C7A0D">
        <w:t>.</w:t>
      </w:r>
      <w:r w:rsidRPr="008C7A0D" w:rsidR="00280043">
        <w:t>  </w:t>
      </w:r>
      <w:r w:rsidRPr="008C7A0D">
        <w:t>The Supreme Court also considered that the applicant had ties with Tunisia, and that his familiarity with Tunisian culture and lifestyle were not insignificant. It noted that the applicant had been on holiday there for one to two weeks about eight times prior to his 15</w:t>
      </w:r>
      <w:r w:rsidRPr="008C7A0D">
        <w:rPr>
          <w:vertAlign w:val="superscript"/>
        </w:rPr>
        <w:t>th</w:t>
      </w:r>
      <w:r w:rsidRPr="008C7A0D">
        <w:t xml:space="preserve"> birthday and had lived there from December 2005 to June 2006 when he was 15 years old. His father had moved back to Tunisia in 2013 or 2014, although the applicant alleged that he did not know whether his father still lived in the country. He last saw his father in May 2016 when the latter visited him in prison. The applicant spoke and read Arabic, but he stated that it was sometimes hard for him to understand the Tunisian dialect. He had attended a Muslim school in Copenhagen. He stated that Islam meant everything to him and that he practised Islam in his everyday life.</w:t>
      </w:r>
    </w:p>
    <w:p w:rsidRPr="008C7A0D" w:rsidR="004D1A77" w:rsidP="008C7A0D" w:rsidRDefault="004D1A77" w14:paraId="58628135" w14:textId="2124A0E4">
      <w:pPr>
        <w:pStyle w:val="JuPara"/>
      </w:pPr>
      <w:r w:rsidRPr="008C7A0D">
        <w:rPr>
          <w:rFonts w:ascii="Times New Roman" w:hAnsi="Times New Roman" w:eastAsia="Times New Roman" w:cs="Times New Roman"/>
          <w:lang w:eastAsia="fr-FR"/>
        </w:rPr>
        <w:fldChar w:fldCharType="begin"/>
      </w:r>
      <w:r w:rsidRPr="008C7A0D">
        <w:rPr>
          <w:rFonts w:ascii="Times New Roman" w:hAnsi="Times New Roman" w:eastAsia="Times New Roman" w:cs="Times New Roman"/>
          <w:lang w:eastAsia="fr-FR"/>
        </w:rPr>
        <w:instrText xml:space="preserve"> SEQ level0 \*arabic </w:instrText>
      </w:r>
      <w:r w:rsidRPr="008C7A0D">
        <w:rPr>
          <w:rFonts w:ascii="Times New Roman" w:hAnsi="Times New Roman" w:eastAsia="Times New Roman" w:cs="Times New Roman"/>
          <w:lang w:eastAsia="fr-FR"/>
        </w:rPr>
        <w:fldChar w:fldCharType="separate"/>
      </w:r>
      <w:r w:rsidRPr="008C7A0D" w:rsidR="008C7A0D">
        <w:rPr>
          <w:rFonts w:ascii="Times New Roman" w:hAnsi="Times New Roman" w:eastAsia="Times New Roman" w:cs="Times New Roman"/>
          <w:noProof/>
          <w:lang w:eastAsia="fr-FR"/>
        </w:rPr>
        <w:t>65</w:t>
      </w:r>
      <w:r w:rsidRPr="008C7A0D">
        <w:rPr>
          <w:rFonts w:ascii="Times New Roman" w:hAnsi="Times New Roman" w:eastAsia="Times New Roman" w:cs="Times New Roman"/>
          <w:lang w:eastAsia="fr-FR"/>
        </w:rPr>
        <w:fldChar w:fldCharType="end"/>
      </w:r>
      <w:r w:rsidRPr="008C7A0D">
        <w:rPr>
          <w:rFonts w:ascii="Times New Roman" w:hAnsi="Times New Roman" w:eastAsia="Times New Roman" w:cs="Times New Roman"/>
          <w:lang w:eastAsia="fr-FR"/>
        </w:rPr>
        <w:t xml:space="preserve">.  The Supreme Court </w:t>
      </w:r>
      <w:r w:rsidRPr="008C7A0D">
        <w:t>further noted that if the applicant were to be deprived of his Danish nationality, in general he would also be expelled, unless the expulsion would be contrary to Denmark</w:t>
      </w:r>
      <w:r w:rsidRPr="008C7A0D" w:rsidR="008C7A0D">
        <w:t>’</w:t>
      </w:r>
      <w:r w:rsidRPr="008C7A0D">
        <w:t>s international obligations (section 26(2) of the Aliens Act then in force, read in conjunction with Article 8 of the Convention).</w:t>
      </w:r>
    </w:p>
    <w:p w:rsidRPr="008C7A0D" w:rsidR="004D1A77" w:rsidP="008C7A0D" w:rsidRDefault="008C7A0D" w14:paraId="3CC72B2E" w14:textId="6486B35F">
      <w:pPr>
        <w:pStyle w:val="JuPara"/>
      </w:pPr>
      <w:fldSimple w:instr=" SEQ level0 \*arabic \* MERGEFORMAT ">
        <w:r w:rsidRPr="008C7A0D">
          <w:rPr>
            <w:noProof/>
          </w:rPr>
          <w:t>66</w:t>
        </w:r>
      </w:fldSimple>
      <w:r w:rsidRPr="008C7A0D" w:rsidR="004D1A77">
        <w:t>.  In conclusion, based on an overall balancing test, the Supreme Court found that the deprivation of the applicant</w:t>
      </w:r>
      <w:r w:rsidRPr="008C7A0D">
        <w:t>’</w:t>
      </w:r>
      <w:r w:rsidRPr="008C7A0D" w:rsidR="004D1A77">
        <w:t>s Danish nationality would not be a disproportionate sanction.</w:t>
      </w:r>
    </w:p>
    <w:p w:rsidRPr="008C7A0D" w:rsidR="004D1A77" w:rsidP="008C7A0D" w:rsidRDefault="004D1A77" w14:paraId="66DE57AD" w14:textId="52817CD0">
      <w:pPr>
        <w:pStyle w:val="JuPara"/>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67</w:t>
      </w:r>
      <w:r w:rsidRPr="008C7A0D">
        <w:rPr>
          <w:rFonts w:eastAsia="Times New Roman"/>
          <w:lang w:eastAsia="fr-FR"/>
        </w:rPr>
        <w:fldChar w:fldCharType="end"/>
      </w:r>
      <w:r w:rsidRPr="008C7A0D">
        <w:rPr>
          <w:rFonts w:eastAsia="Times New Roman"/>
          <w:lang w:eastAsia="fr-FR"/>
        </w:rPr>
        <w:t>. </w:t>
      </w:r>
      <w:r w:rsidRPr="008C7A0D" w:rsidR="00280043">
        <w:rPr>
          <w:rFonts w:eastAsia="Times New Roman"/>
          <w:lang w:eastAsia="fr-FR"/>
        </w:rPr>
        <w:t> </w:t>
      </w:r>
      <w:r w:rsidRPr="008C7A0D">
        <w:rPr>
          <w:rFonts w:eastAsia="Times New Roman"/>
          <w:lang w:eastAsia="fr-FR"/>
        </w:rPr>
        <w:t xml:space="preserve">The applicant submitted that the Supreme Court should have attached decisive weight to the fact that he had acquired Danish nationality at birth and that therefore the present case </w:t>
      </w:r>
      <w:r w:rsidRPr="008C7A0D">
        <w:t xml:space="preserve">should be distinguished from previous case-law on deprivation of nationality, including </w:t>
      </w:r>
      <w:r w:rsidRPr="008C7A0D">
        <w:rPr>
          <w:i/>
        </w:rPr>
        <w:t>Ghoumid and Others v.</w:t>
      </w:r>
      <w:r w:rsidRPr="008C7A0D" w:rsidR="009D72FD">
        <w:rPr>
          <w:i/>
        </w:rPr>
        <w:t> </w:t>
      </w:r>
      <w:r w:rsidRPr="008C7A0D">
        <w:rPr>
          <w:i/>
        </w:rPr>
        <w:t xml:space="preserve">France, </w:t>
      </w:r>
      <w:r w:rsidRPr="008C7A0D">
        <w:rPr>
          <w:iCs/>
        </w:rPr>
        <w:t>(cited above)</w:t>
      </w:r>
      <w:r w:rsidRPr="008C7A0D">
        <w:rPr>
          <w:i/>
        </w:rPr>
        <w:t>,</w:t>
      </w:r>
      <w:r w:rsidRPr="008C7A0D">
        <w:rPr>
          <w:iCs/>
        </w:rPr>
        <w:t xml:space="preserve"> in which two of the applicants were born in France, but only acquired French citizenship later in life</w:t>
      </w:r>
      <w:r w:rsidRPr="008C7A0D">
        <w:t>.</w:t>
      </w:r>
    </w:p>
    <w:p w:rsidRPr="008C7A0D" w:rsidR="004D1A77" w:rsidP="008C7A0D" w:rsidRDefault="008C7A0D" w14:paraId="0DA22C49" w14:textId="67A8A5A6">
      <w:pPr>
        <w:pStyle w:val="JuPara"/>
      </w:pPr>
      <w:fldSimple w:instr=" SEQ level0 \*arabic \* MERGEFORMAT ">
        <w:r w:rsidRPr="008C7A0D">
          <w:rPr>
            <w:noProof/>
          </w:rPr>
          <w:t>68</w:t>
        </w:r>
      </w:fldSimple>
      <w:r w:rsidRPr="008C7A0D" w:rsidR="004D1A77">
        <w:t>.  In this respect the Court finds reason to emphasise that as</w:t>
      </w:r>
      <w:r w:rsidRPr="008C7A0D" w:rsidR="004D1A77">
        <w:rPr>
          <w:rFonts w:eastAsia="Times New Roman"/>
          <w:lang w:eastAsia="fr-FR"/>
        </w:rPr>
        <w:t xml:space="preserve"> opposed to section 8b of the Act on Danish Nationality, and, for example, the compatibility of an expulsion order with Article 8 of the Convention, the compatibility of a withdrawal of a person</w:t>
      </w:r>
      <w:r w:rsidRPr="008C7A0D">
        <w:rPr>
          <w:rFonts w:eastAsia="Times New Roman"/>
          <w:lang w:eastAsia="fr-FR"/>
        </w:rPr>
        <w:t>’</w:t>
      </w:r>
      <w:r w:rsidRPr="008C7A0D" w:rsidR="004D1A77">
        <w:rPr>
          <w:rFonts w:eastAsia="Times New Roman"/>
          <w:lang w:eastAsia="fr-FR"/>
        </w:rPr>
        <w:t>s citizenship is not based on a</w:t>
      </w:r>
      <w:r w:rsidRPr="008C7A0D" w:rsidR="004D1A77">
        <w:t xml:space="preserve"> balancing test of specific criteria, but on the requirement</w:t>
      </w:r>
      <w:r w:rsidRPr="008C7A0D" w:rsidR="004D1A77">
        <w:rPr>
          <w:rFonts w:eastAsia="Times New Roman"/>
          <w:lang w:eastAsia="fr-FR"/>
        </w:rPr>
        <w:t xml:space="preserve"> that two separate issues have been addressed: whether the revocation was arbitrary, and what the consequences of revocation were for the applicant </w:t>
      </w:r>
      <w:r w:rsidRPr="008C7A0D" w:rsidR="004D1A77">
        <w:t>(see paragraph 44 above).</w:t>
      </w:r>
    </w:p>
    <w:p w:rsidRPr="008C7A0D" w:rsidR="004D1A77" w:rsidP="008C7A0D" w:rsidRDefault="004D1A77" w14:paraId="381C47B0" w14:textId="7C3F1851">
      <w:pPr>
        <w:pStyle w:val="JuPara"/>
        <w:rPr>
          <w:rFonts w:eastAsia="Times New Roman"/>
          <w:lang w:eastAsia="fr-FR"/>
        </w:rPr>
      </w:pPr>
      <w:r w:rsidRPr="008C7A0D">
        <w:fldChar w:fldCharType="begin"/>
      </w:r>
      <w:r w:rsidRPr="008C7A0D">
        <w:instrText xml:space="preserve"> SEQ level0 \*arabic </w:instrText>
      </w:r>
      <w:r w:rsidRPr="008C7A0D">
        <w:fldChar w:fldCharType="separate"/>
      </w:r>
      <w:r w:rsidRPr="008C7A0D" w:rsidR="008C7A0D">
        <w:rPr>
          <w:noProof/>
        </w:rPr>
        <w:t>69</w:t>
      </w:r>
      <w:r w:rsidRPr="008C7A0D">
        <w:fldChar w:fldCharType="end"/>
      </w:r>
      <w:r w:rsidRPr="008C7A0D">
        <w:t xml:space="preserve">.  In the present case, the </w:t>
      </w:r>
      <w:r w:rsidRPr="008C7A0D">
        <w:rPr>
          <w:rFonts w:eastAsia="Times New Roman"/>
          <w:lang w:eastAsia="fr-FR"/>
        </w:rPr>
        <w:t>Court is satisfied that the Supreme Court diligently addressed the consequences of depriving the applicant of his Danish citizenship.</w:t>
      </w:r>
    </w:p>
    <w:p w:rsidRPr="008C7A0D" w:rsidR="004D1A77" w:rsidP="008C7A0D" w:rsidRDefault="004D1A77" w14:paraId="32625942" w14:textId="132D0A24">
      <w:pPr>
        <w:pStyle w:val="JuPara"/>
      </w:pPr>
      <w:r w:rsidRPr="008C7A0D">
        <w:fldChar w:fldCharType="begin"/>
      </w:r>
      <w:r w:rsidRPr="008C7A0D">
        <w:instrText xml:space="preserve"> SEQ level0 \*arabic </w:instrText>
      </w:r>
      <w:r w:rsidRPr="008C7A0D">
        <w:fldChar w:fldCharType="separate"/>
      </w:r>
      <w:r w:rsidRPr="008C7A0D" w:rsidR="008C7A0D">
        <w:rPr>
          <w:noProof/>
        </w:rPr>
        <w:t>70</w:t>
      </w:r>
      <w:r w:rsidRPr="008C7A0D">
        <w:fldChar w:fldCharType="end"/>
      </w:r>
      <w:r w:rsidRPr="008C7A0D">
        <w:t>.</w:t>
      </w:r>
      <w:r w:rsidRPr="008C7A0D" w:rsidR="00280043">
        <w:t>  </w:t>
      </w:r>
      <w:r w:rsidRPr="008C7A0D">
        <w:t>Moreover, in the Court</w:t>
      </w:r>
      <w:r w:rsidRPr="008C7A0D" w:rsidR="008C7A0D">
        <w:t>’</w:t>
      </w:r>
      <w:r w:rsidRPr="008C7A0D">
        <w:t xml:space="preserve">s view, taking into account that the applicant was convicted of serious terrorist offences, which themselves constituted a serious threat to human rights, and which to a large extent showed his lack of attachment to Denmark and its values (see, </w:t>
      </w:r>
      <w:r w:rsidRPr="008C7A0D">
        <w:rPr>
          <w:i/>
          <w:iCs/>
        </w:rPr>
        <w:t>mutatis mutandis</w:t>
      </w:r>
      <w:r w:rsidRPr="008C7A0D">
        <w:t xml:space="preserve">, </w:t>
      </w:r>
      <w:r w:rsidRPr="008C7A0D">
        <w:rPr>
          <w:i/>
        </w:rPr>
        <w:t xml:space="preserve">Ghoumid and Others v. France, </w:t>
      </w:r>
      <w:r w:rsidRPr="008C7A0D">
        <w:rPr>
          <w:iCs/>
        </w:rPr>
        <w:t>cited above, § 50),</w:t>
      </w:r>
      <w:r w:rsidRPr="008C7A0D">
        <w:t xml:space="preserve"> the fact that the applicant in the present case</w:t>
      </w:r>
      <w:r w:rsidRPr="008C7A0D">
        <w:rPr>
          <w:color w:val="C00000"/>
        </w:rPr>
        <w:t xml:space="preserve"> </w:t>
      </w:r>
      <w:r w:rsidRPr="008C7A0D">
        <w:t>had obtained Danish nationality by birth does not significantly alter or add to the consequences for the applicant.</w:t>
      </w:r>
    </w:p>
    <w:p w:rsidRPr="008C7A0D" w:rsidR="004D1A77" w:rsidP="008C7A0D" w:rsidRDefault="004D1A77" w14:paraId="0C8A893C" w14:textId="2FF70407">
      <w:pPr>
        <w:pStyle w:val="JuHa0"/>
        <w:numPr>
          <w:ilvl w:val="0"/>
          <w:numId w:val="0"/>
        </w:numPr>
        <w:ind w:left="510"/>
        <w:rPr>
          <w:lang w:eastAsia="fr-FR"/>
        </w:rPr>
      </w:pPr>
      <w:r w:rsidRPr="008C7A0D">
        <w:rPr>
          <w:lang w:eastAsia="fr-FR"/>
        </w:rPr>
        <w:t>(c) Conclusion</w:t>
      </w:r>
    </w:p>
    <w:p w:rsidRPr="008C7A0D" w:rsidR="004D1A77" w:rsidP="008C7A0D" w:rsidRDefault="004D1A77" w14:paraId="39BF748D" w14:textId="52C486C0">
      <w:pPr>
        <w:pStyle w:val="JuPara"/>
        <w:rPr>
          <w:rFonts w:eastAsia="Times New Roman"/>
          <w:iCs/>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71</w:t>
      </w:r>
      <w:r w:rsidRPr="008C7A0D">
        <w:rPr>
          <w:rFonts w:eastAsia="Times New Roman"/>
          <w:lang w:eastAsia="fr-FR"/>
        </w:rPr>
        <w:fldChar w:fldCharType="end"/>
      </w:r>
      <w:r w:rsidRPr="008C7A0D">
        <w:rPr>
          <w:rFonts w:eastAsia="Times New Roman"/>
          <w:lang w:eastAsia="fr-FR"/>
        </w:rPr>
        <w:t>.  </w:t>
      </w:r>
      <w:r w:rsidRPr="008C7A0D">
        <w:t>In view of the above, the Court is satisfied that the Supreme Court</w:t>
      </w:r>
      <w:r w:rsidRPr="008C7A0D" w:rsidR="008C7A0D">
        <w:t>’</w:t>
      </w:r>
      <w:r w:rsidRPr="008C7A0D">
        <w:t>s assessment of the decision to revoke the applicant</w:t>
      </w:r>
      <w:r w:rsidRPr="008C7A0D" w:rsidR="008C7A0D">
        <w:t>’</w:t>
      </w:r>
      <w:r w:rsidRPr="008C7A0D">
        <w:t>s nationality was adequate and sufficient, and does not disclose any appearance of arbitrariness or omission with regard to the applicant</w:t>
      </w:r>
      <w:r w:rsidRPr="008C7A0D" w:rsidR="008C7A0D">
        <w:t>’</w:t>
      </w:r>
      <w:r w:rsidRPr="008C7A0D">
        <w:t xml:space="preserve">s arguments. </w:t>
      </w:r>
      <w:r w:rsidRPr="008C7A0D">
        <w:rPr>
          <w:rFonts w:eastAsia="Times New Roman"/>
          <w:lang w:eastAsia="fr-FR"/>
        </w:rPr>
        <w:t xml:space="preserve">Consequently, this part of the application must be rejected as manifestly ill-founded within the meaning pursuant to Article 35 § 3(a) and 4 of the Convention (see also </w:t>
      </w:r>
      <w:r w:rsidRPr="008C7A0D">
        <w:rPr>
          <w:i/>
        </w:rPr>
        <w:t xml:space="preserve">Ghoumid and Others v. France, </w:t>
      </w:r>
      <w:r w:rsidRPr="008C7A0D">
        <w:rPr>
          <w:iCs/>
        </w:rPr>
        <w:t xml:space="preserve">§§ 51-52, </w:t>
      </w:r>
      <w:r w:rsidRPr="008C7A0D">
        <w:rPr>
          <w:rFonts w:eastAsia="Times New Roman"/>
          <w:i/>
          <w:iCs/>
          <w:lang w:eastAsia="fr-FR"/>
        </w:rPr>
        <w:t xml:space="preserve">K2 v. United Kingdom </w:t>
      </w:r>
      <w:r w:rsidRPr="008C7A0D">
        <w:rPr>
          <w:rFonts w:eastAsia="Times New Roman"/>
          <w:lang w:eastAsia="fr-FR"/>
        </w:rPr>
        <w:t>(dec.), cited above, §</w:t>
      </w:r>
      <w:r w:rsidRPr="008C7A0D" w:rsidR="009D72FD">
        <w:rPr>
          <w:rFonts w:eastAsia="Times New Roman"/>
          <w:lang w:eastAsia="fr-FR"/>
        </w:rPr>
        <w:t> </w:t>
      </w:r>
      <w:r w:rsidRPr="008C7A0D">
        <w:rPr>
          <w:rFonts w:eastAsia="Times New Roman"/>
          <w:lang w:eastAsia="fr-FR"/>
        </w:rPr>
        <w:t xml:space="preserve">64; and </w:t>
      </w:r>
      <w:r w:rsidRPr="008C7A0D">
        <w:rPr>
          <w:i/>
          <w:iCs/>
        </w:rPr>
        <w:t>Ma</w:t>
      </w:r>
      <w:r w:rsidRPr="008C7A0D">
        <w:rPr>
          <w:i/>
        </w:rPr>
        <w:t xml:space="preserve">nsour Said Abdul Salam Mubarak v. Denmark </w:t>
      </w:r>
      <w:r w:rsidRPr="008C7A0D">
        <w:rPr>
          <w:iCs/>
        </w:rPr>
        <w:t>(dec.),</w:t>
      </w:r>
      <w:r w:rsidRPr="008C7A0D">
        <w:rPr>
          <w:i/>
        </w:rPr>
        <w:t xml:space="preserve"> </w:t>
      </w:r>
      <w:r w:rsidRPr="008C7A0D">
        <w:rPr>
          <w:iCs/>
        </w:rPr>
        <w:t>cited above, §</w:t>
      </w:r>
      <w:r w:rsidRPr="008C7A0D" w:rsidR="009D72FD">
        <w:rPr>
          <w:iCs/>
        </w:rPr>
        <w:t> </w:t>
      </w:r>
      <w:r w:rsidRPr="008C7A0D">
        <w:rPr>
          <w:iCs/>
        </w:rPr>
        <w:t>71).</w:t>
      </w:r>
    </w:p>
    <w:p w:rsidRPr="008C7A0D" w:rsidR="004D1A77" w:rsidP="008C7A0D" w:rsidRDefault="004D1A77" w14:paraId="00E71B95" w14:textId="77777777">
      <w:pPr>
        <w:pStyle w:val="JuH1"/>
        <w:rPr>
          <w:lang w:eastAsia="fr-FR"/>
        </w:rPr>
      </w:pPr>
      <w:r w:rsidRPr="008C7A0D">
        <w:rPr>
          <w:lang w:eastAsia="fr-FR"/>
        </w:rPr>
        <w:t>The order to expel the applicant from Denmark</w:t>
      </w:r>
    </w:p>
    <w:p w:rsidRPr="008C7A0D" w:rsidR="00C67D72" w:rsidP="008C7A0D" w:rsidRDefault="004D1A77" w14:paraId="3A4D9B5E" w14:textId="3789E3D3">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72</w:t>
      </w:r>
      <w:r w:rsidRPr="008C7A0D">
        <w:rPr>
          <w:rFonts w:eastAsia="Times New Roman"/>
          <w:lang w:eastAsia="fr-FR"/>
        </w:rPr>
        <w:fldChar w:fldCharType="end"/>
      </w:r>
      <w:r w:rsidRPr="008C7A0D">
        <w:rPr>
          <w:rFonts w:eastAsia="Times New Roman"/>
          <w:lang w:eastAsia="fr-FR"/>
        </w:rPr>
        <w:t>.  The Court notes at the outset that the applicant was a Danish citizen and could not as such be expelled (see also Article 3 § 1 of Protocol No. 4 to the Convention). However, once he had been deprived of his nationality, it became possible under domestic law to order the applicant</w:t>
      </w:r>
      <w:r w:rsidRPr="008C7A0D" w:rsidR="008C7A0D">
        <w:rPr>
          <w:rFonts w:eastAsia="Times New Roman"/>
          <w:lang w:eastAsia="fr-FR"/>
        </w:rPr>
        <w:t>’</w:t>
      </w:r>
      <w:r w:rsidRPr="008C7A0D">
        <w:rPr>
          <w:rFonts w:eastAsia="Times New Roman"/>
          <w:lang w:eastAsia="fr-FR"/>
        </w:rPr>
        <w:t>s expulsion, provided that the conditions in domestic law was fulfilled and such order would be compatible with Article 8 § 2 of the Convention.</w:t>
      </w:r>
    </w:p>
    <w:p w:rsidRPr="008C7A0D" w:rsidR="004D1A77" w:rsidP="008C7A0D" w:rsidRDefault="004D1A77" w14:paraId="2261F476" w14:textId="58FFE5CC">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 MERGEFORMAT </w:instrText>
      </w:r>
      <w:r w:rsidRPr="008C7A0D">
        <w:rPr>
          <w:rFonts w:eastAsia="Times New Roman"/>
          <w:lang w:eastAsia="fr-FR"/>
        </w:rPr>
        <w:fldChar w:fldCharType="separate"/>
      </w:r>
      <w:r w:rsidRPr="008C7A0D" w:rsidR="008C7A0D">
        <w:rPr>
          <w:rFonts w:eastAsia="Times New Roman"/>
          <w:noProof/>
          <w:lang w:eastAsia="fr-FR"/>
        </w:rPr>
        <w:t>73</w:t>
      </w:r>
      <w:r w:rsidRPr="008C7A0D">
        <w:rPr>
          <w:rFonts w:eastAsia="Times New Roman"/>
          <w:lang w:eastAsia="fr-FR"/>
        </w:rPr>
        <w:fldChar w:fldCharType="end"/>
      </w:r>
      <w:r w:rsidRPr="008C7A0D">
        <w:rPr>
          <w:rFonts w:eastAsia="Times New Roman"/>
          <w:lang w:eastAsia="fr-FR"/>
        </w:rPr>
        <w:t xml:space="preserve">.  The Court reaffirms that a State is entitled, as a matter of international law and subject to its treaty obligations, to control the entry of aliens into its territory and their residence there (see, among many other authorities, </w:t>
      </w:r>
      <w:r w:rsidRPr="008C7A0D">
        <w:rPr>
          <w:rFonts w:eastAsia="Times New Roman"/>
          <w:i/>
          <w:iCs/>
          <w:lang w:eastAsia="fr-FR"/>
        </w:rPr>
        <w:t>Abdulaziz, Cabales and Balkandali v. the United Kingdom</w:t>
      </w:r>
      <w:r w:rsidRPr="008C7A0D">
        <w:rPr>
          <w:rFonts w:eastAsia="Times New Roman"/>
          <w:lang w:eastAsia="fr-FR"/>
        </w:rPr>
        <w:t>, 28 May 1985, §</w:t>
      </w:r>
      <w:r w:rsidRPr="008C7A0D" w:rsidR="009D72FD">
        <w:rPr>
          <w:rFonts w:eastAsia="Times New Roman"/>
          <w:lang w:eastAsia="fr-FR"/>
        </w:rPr>
        <w:t> </w:t>
      </w:r>
      <w:r w:rsidRPr="008C7A0D">
        <w:rPr>
          <w:rFonts w:eastAsia="Times New Roman"/>
          <w:lang w:eastAsia="fr-FR"/>
        </w:rPr>
        <w:t>67, Series A no. 94). The Convention does not guarantee the right of an alien to enter or to reside in a particular country and, in pursuance of their task of maintaining public order, Contracting States have the power to expel an alien convicted of criminal offences. However, an interference with a person</w:t>
      </w:r>
      <w:r w:rsidRPr="008C7A0D" w:rsidR="008C7A0D">
        <w:rPr>
          <w:rFonts w:eastAsia="Times New Roman"/>
          <w:lang w:eastAsia="fr-FR"/>
        </w:rPr>
        <w:t>’</w:t>
      </w:r>
      <w:r w:rsidRPr="008C7A0D">
        <w:rPr>
          <w:rFonts w:eastAsia="Times New Roman"/>
          <w:lang w:eastAsia="fr-FR"/>
        </w:rPr>
        <w:t>s private or family life will be in breach of Article 8 of the Convention unless it can be justified under paragraph 2 of that Article as being “in accordance with the law”, as pursuing one or more of the legitimate aims listed therein, and as being “necessary in a democratic society” in order to achieve the aim or aims concerned.</w:t>
      </w:r>
    </w:p>
    <w:p w:rsidRPr="008C7A0D" w:rsidR="004D1A77" w:rsidP="008C7A0D" w:rsidRDefault="004D1A77" w14:paraId="22EC05E5" w14:textId="166CEA14">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74</w:t>
      </w:r>
      <w:r w:rsidRPr="008C7A0D">
        <w:rPr>
          <w:rFonts w:eastAsia="Times New Roman"/>
          <w:lang w:eastAsia="fr-FR"/>
        </w:rPr>
        <w:fldChar w:fldCharType="end"/>
      </w:r>
      <w:r w:rsidRPr="008C7A0D">
        <w:rPr>
          <w:rFonts w:eastAsia="Times New Roman"/>
          <w:lang w:eastAsia="fr-FR"/>
        </w:rPr>
        <w:t>.  The Court has no doubt that there was an interference with the applicant</w:t>
      </w:r>
      <w:r w:rsidRPr="008C7A0D" w:rsidR="008C7A0D">
        <w:rPr>
          <w:rFonts w:eastAsia="Times New Roman"/>
          <w:lang w:eastAsia="fr-FR"/>
        </w:rPr>
        <w:t>’</w:t>
      </w:r>
      <w:r w:rsidRPr="008C7A0D">
        <w:rPr>
          <w:rFonts w:eastAsia="Times New Roman"/>
          <w:lang w:eastAsia="fr-FR"/>
        </w:rPr>
        <w:t>s right to respect for his private and family life within the meaning of Article 8, that the expulsion order was “in accordance with the law”, and that it pursued the legitimate aim of preventing disorder and crime.</w:t>
      </w:r>
    </w:p>
    <w:p w:rsidRPr="008C7A0D" w:rsidR="004D1A77" w:rsidP="008C7A0D" w:rsidRDefault="004D1A77" w14:paraId="53AAF06A" w14:textId="49E4F4BA">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75</w:t>
      </w:r>
      <w:r w:rsidRPr="008C7A0D">
        <w:rPr>
          <w:rFonts w:eastAsia="Times New Roman"/>
          <w:lang w:eastAsia="fr-FR"/>
        </w:rPr>
        <w:fldChar w:fldCharType="end"/>
      </w:r>
      <w:r w:rsidRPr="008C7A0D">
        <w:rPr>
          <w:rFonts w:eastAsia="Times New Roman"/>
          <w:lang w:eastAsia="fr-FR"/>
        </w:rPr>
        <w:t xml:space="preserve">.  The relevant criteria to be applied, in determining whether an interference is necessary in a democratic society, were set out in, </w:t>
      </w:r>
      <w:r w:rsidRPr="008C7A0D">
        <w:rPr>
          <w:rFonts w:eastAsia="Times New Roman"/>
          <w:i/>
          <w:iCs/>
          <w:lang w:eastAsia="fr-FR"/>
        </w:rPr>
        <w:t>inter alia</w:t>
      </w:r>
      <w:r w:rsidRPr="008C7A0D">
        <w:rPr>
          <w:rFonts w:eastAsia="Times New Roman"/>
          <w:lang w:eastAsia="fr-FR"/>
        </w:rPr>
        <w:t xml:space="preserve">, </w:t>
      </w:r>
      <w:r w:rsidRPr="008C7A0D">
        <w:rPr>
          <w:rFonts w:eastAsia="Times New Roman"/>
          <w:i/>
          <w:iCs/>
          <w:lang w:eastAsia="fr-FR"/>
        </w:rPr>
        <w:t>Üner v. the Netherlands</w:t>
      </w:r>
      <w:r w:rsidRPr="008C7A0D">
        <w:rPr>
          <w:rFonts w:eastAsia="Times New Roman"/>
          <w:lang w:eastAsia="fr-FR"/>
        </w:rPr>
        <w:t xml:space="preserve"> [GC] (no. </w:t>
      </w:r>
      <w:hyperlink w:tgtFrame="_blank" w:history="1" w:anchor="{&quot;appno&quot;:[&quot;46410/99&quot;]}" r:id="rId15">
        <w:r w:rsidRPr="008C7A0D">
          <w:rPr>
            <w:rFonts w:eastAsia="Times New Roman"/>
            <w:lang w:eastAsia="fr-FR"/>
          </w:rPr>
          <w:t>46410/99</w:t>
        </w:r>
      </w:hyperlink>
      <w:r w:rsidRPr="008C7A0D">
        <w:rPr>
          <w:rFonts w:eastAsia="Times New Roman"/>
          <w:lang w:eastAsia="fr-FR"/>
        </w:rPr>
        <w:t>, §§ 54-55 and 57-58, ECHR</w:t>
      </w:r>
      <w:r w:rsidRPr="008C7A0D" w:rsidR="009D72FD">
        <w:rPr>
          <w:rFonts w:eastAsia="Times New Roman"/>
          <w:lang w:eastAsia="fr-FR"/>
        </w:rPr>
        <w:t> </w:t>
      </w:r>
      <w:r w:rsidRPr="008C7A0D">
        <w:rPr>
          <w:rFonts w:eastAsia="Times New Roman"/>
          <w:lang w:eastAsia="fr-FR"/>
        </w:rPr>
        <w:t>2006</w:t>
      </w:r>
      <w:r w:rsidRPr="008C7A0D">
        <w:rPr>
          <w:rFonts w:eastAsia="Times New Roman"/>
          <w:lang w:eastAsia="fr-FR"/>
        </w:rPr>
        <w:noBreakHyphen/>
        <w:t xml:space="preserve">XII) and </w:t>
      </w:r>
      <w:r w:rsidRPr="008C7A0D">
        <w:rPr>
          <w:rFonts w:eastAsia="Times New Roman"/>
          <w:i/>
          <w:iCs/>
          <w:lang w:eastAsia="fr-FR"/>
        </w:rPr>
        <w:t>Maslov v. Austria</w:t>
      </w:r>
      <w:r w:rsidRPr="008C7A0D">
        <w:rPr>
          <w:rFonts w:eastAsia="Times New Roman"/>
          <w:lang w:eastAsia="fr-FR"/>
        </w:rPr>
        <w:t xml:space="preserve"> [GC] (</w:t>
      </w:r>
      <w:r w:rsidRPr="008C7A0D">
        <w:t xml:space="preserve">no. </w:t>
      </w:r>
      <w:hyperlink w:tgtFrame="_blank" w:history="1" w:anchor="{&quot;appno&quot;:[&quot;1638/03&quot;]}" r:id="rId16">
        <w:r w:rsidRPr="008C7A0D">
          <w:t>1638/03</w:t>
        </w:r>
      </w:hyperlink>
      <w:r w:rsidRPr="008C7A0D">
        <w:t>, §§</w:t>
      </w:r>
      <w:r w:rsidRPr="008C7A0D" w:rsidR="009D72FD">
        <w:t> </w:t>
      </w:r>
      <w:r w:rsidRPr="008C7A0D">
        <w:t>68-76, ECHR</w:t>
      </w:r>
      <w:r w:rsidRPr="008C7A0D" w:rsidR="009D72FD">
        <w:t> </w:t>
      </w:r>
      <w:r w:rsidRPr="008C7A0D">
        <w:t xml:space="preserve">2008). </w:t>
      </w:r>
      <w:r w:rsidRPr="008C7A0D">
        <w:rPr>
          <w:rFonts w:eastAsia="Times New Roman"/>
          <w:lang w:eastAsia="fr-FR"/>
        </w:rPr>
        <w:t>They are the following:</w:t>
      </w:r>
    </w:p>
    <w:p w:rsidRPr="008C7A0D" w:rsidR="004D1A77" w:rsidP="008C7A0D" w:rsidRDefault="004D1A77" w14:paraId="5FD6049F" w14:textId="77777777">
      <w:pPr>
        <w:pStyle w:val="JuPara"/>
        <w:rPr>
          <w:rFonts w:eastAsia="Times New Roman"/>
          <w:lang w:eastAsia="fr-FR"/>
        </w:rPr>
      </w:pPr>
      <w:r w:rsidRPr="008C7A0D">
        <w:rPr>
          <w:rFonts w:eastAsia="Times New Roman"/>
          <w:lang w:eastAsia="fr-FR"/>
        </w:rPr>
        <w:t>“- the nature and seriousness of the offence committed by the applicant;</w:t>
      </w:r>
    </w:p>
    <w:p w:rsidRPr="008C7A0D" w:rsidR="004D1A77" w:rsidP="008C7A0D" w:rsidRDefault="004D1A77" w14:paraId="307C3A1B" w14:textId="5F91630E">
      <w:pPr>
        <w:pStyle w:val="JuPara"/>
        <w:rPr>
          <w:rFonts w:eastAsia="Times New Roman"/>
          <w:lang w:eastAsia="fr-FR"/>
        </w:rPr>
      </w:pPr>
      <w:r w:rsidRPr="008C7A0D">
        <w:rPr>
          <w:rFonts w:eastAsia="Times New Roman"/>
          <w:lang w:eastAsia="fr-FR"/>
        </w:rPr>
        <w:t>- the length of the applicant</w:t>
      </w:r>
      <w:r w:rsidRPr="008C7A0D" w:rsidR="008C7A0D">
        <w:rPr>
          <w:rFonts w:eastAsia="Times New Roman"/>
          <w:lang w:eastAsia="fr-FR"/>
        </w:rPr>
        <w:t>’</w:t>
      </w:r>
      <w:r w:rsidRPr="008C7A0D">
        <w:rPr>
          <w:rFonts w:eastAsia="Times New Roman"/>
          <w:lang w:eastAsia="fr-FR"/>
        </w:rPr>
        <w:t>s stay in the country from which he or she is to be expelled;</w:t>
      </w:r>
    </w:p>
    <w:p w:rsidRPr="008C7A0D" w:rsidR="004D1A77" w:rsidP="008C7A0D" w:rsidRDefault="004D1A77" w14:paraId="28CDD854" w14:textId="659F658F">
      <w:pPr>
        <w:pStyle w:val="JuPara"/>
        <w:rPr>
          <w:rFonts w:eastAsia="Times New Roman"/>
          <w:lang w:eastAsia="fr-FR"/>
        </w:rPr>
      </w:pPr>
      <w:r w:rsidRPr="008C7A0D">
        <w:rPr>
          <w:rFonts w:eastAsia="Times New Roman"/>
          <w:lang w:eastAsia="fr-FR"/>
        </w:rPr>
        <w:t>- the time elapsed since the offence was committed and the applicant</w:t>
      </w:r>
      <w:r w:rsidRPr="008C7A0D" w:rsidR="008C7A0D">
        <w:rPr>
          <w:rFonts w:eastAsia="Times New Roman"/>
          <w:lang w:eastAsia="fr-FR"/>
        </w:rPr>
        <w:t>’</w:t>
      </w:r>
      <w:r w:rsidRPr="008C7A0D">
        <w:rPr>
          <w:rFonts w:eastAsia="Times New Roman"/>
          <w:lang w:eastAsia="fr-FR"/>
        </w:rPr>
        <w:t>s conduct during that period;</w:t>
      </w:r>
    </w:p>
    <w:p w:rsidRPr="008C7A0D" w:rsidR="004D1A77" w:rsidP="008C7A0D" w:rsidRDefault="004D1A77" w14:paraId="7BF0E308" w14:textId="77777777">
      <w:pPr>
        <w:pStyle w:val="JuPara"/>
        <w:rPr>
          <w:rFonts w:eastAsia="Times New Roman"/>
          <w:lang w:eastAsia="fr-FR"/>
        </w:rPr>
      </w:pPr>
      <w:r w:rsidRPr="008C7A0D">
        <w:rPr>
          <w:rFonts w:eastAsia="Times New Roman"/>
          <w:lang w:eastAsia="fr-FR"/>
        </w:rPr>
        <w:t>- the nationalities of the various persons concerned;</w:t>
      </w:r>
    </w:p>
    <w:p w:rsidRPr="008C7A0D" w:rsidR="004D1A77" w:rsidP="008C7A0D" w:rsidRDefault="004D1A77" w14:paraId="6342A5E9" w14:textId="74D46E11">
      <w:pPr>
        <w:pStyle w:val="JuPara"/>
        <w:rPr>
          <w:rFonts w:eastAsia="Times New Roman"/>
          <w:lang w:eastAsia="fr-FR"/>
        </w:rPr>
      </w:pPr>
      <w:r w:rsidRPr="008C7A0D">
        <w:rPr>
          <w:rFonts w:eastAsia="Times New Roman"/>
          <w:lang w:eastAsia="fr-FR"/>
        </w:rPr>
        <w:t>- the applicant</w:t>
      </w:r>
      <w:r w:rsidRPr="008C7A0D" w:rsidR="008C7A0D">
        <w:rPr>
          <w:rFonts w:eastAsia="Times New Roman"/>
          <w:lang w:eastAsia="fr-FR"/>
        </w:rPr>
        <w:t>’</w:t>
      </w:r>
      <w:r w:rsidRPr="008C7A0D">
        <w:rPr>
          <w:rFonts w:eastAsia="Times New Roman"/>
          <w:lang w:eastAsia="fr-FR"/>
        </w:rPr>
        <w:t>s family situation, such as the length of the marriage, and other factors expressing the effectiveness of a couple</w:t>
      </w:r>
      <w:r w:rsidRPr="008C7A0D" w:rsidR="008C7A0D">
        <w:rPr>
          <w:rFonts w:eastAsia="Times New Roman"/>
          <w:lang w:eastAsia="fr-FR"/>
        </w:rPr>
        <w:t>’</w:t>
      </w:r>
      <w:r w:rsidRPr="008C7A0D">
        <w:rPr>
          <w:rFonts w:eastAsia="Times New Roman"/>
          <w:lang w:eastAsia="fr-FR"/>
        </w:rPr>
        <w:t>s family life;</w:t>
      </w:r>
    </w:p>
    <w:p w:rsidRPr="008C7A0D" w:rsidR="004D1A77" w:rsidP="008C7A0D" w:rsidRDefault="004D1A77" w14:paraId="0EE3CD2A" w14:textId="77777777">
      <w:pPr>
        <w:pStyle w:val="JuPara"/>
        <w:rPr>
          <w:rFonts w:eastAsia="Times New Roman"/>
          <w:lang w:eastAsia="fr-FR"/>
        </w:rPr>
      </w:pPr>
      <w:r w:rsidRPr="008C7A0D">
        <w:rPr>
          <w:rFonts w:eastAsia="Times New Roman"/>
          <w:lang w:eastAsia="fr-FR"/>
        </w:rPr>
        <w:t>- whether the spouse knew about the offence at the time when he or she entered into a family relationship;</w:t>
      </w:r>
    </w:p>
    <w:p w:rsidRPr="008C7A0D" w:rsidR="004D1A77" w:rsidP="008C7A0D" w:rsidRDefault="004D1A77" w14:paraId="54427EDA" w14:textId="77777777">
      <w:pPr>
        <w:pStyle w:val="JuPara"/>
        <w:rPr>
          <w:rFonts w:eastAsia="Times New Roman"/>
          <w:lang w:eastAsia="fr-FR"/>
        </w:rPr>
      </w:pPr>
      <w:r w:rsidRPr="008C7A0D">
        <w:rPr>
          <w:rFonts w:eastAsia="Times New Roman"/>
          <w:lang w:eastAsia="fr-FR"/>
        </w:rPr>
        <w:t>- whether there are children of the marriage, and if so, their age; and</w:t>
      </w:r>
    </w:p>
    <w:p w:rsidRPr="008C7A0D" w:rsidR="004D1A77" w:rsidP="008C7A0D" w:rsidRDefault="004D1A77" w14:paraId="16094CB0" w14:textId="77777777">
      <w:pPr>
        <w:pStyle w:val="JuPara"/>
        <w:rPr>
          <w:rFonts w:eastAsia="Times New Roman"/>
          <w:lang w:eastAsia="fr-FR"/>
        </w:rPr>
      </w:pPr>
      <w:r w:rsidRPr="008C7A0D">
        <w:rPr>
          <w:rFonts w:eastAsia="Times New Roman"/>
          <w:lang w:eastAsia="fr-FR"/>
        </w:rPr>
        <w:t>- the seriousness of the difficulties which the spouse is likely to encounter in the country to which the applicant is to be expelled.</w:t>
      </w:r>
    </w:p>
    <w:p w:rsidRPr="008C7A0D" w:rsidR="004D1A77" w:rsidP="008C7A0D" w:rsidRDefault="004D1A77" w14:paraId="7DCFA718" w14:textId="77777777">
      <w:pPr>
        <w:pStyle w:val="JuPara"/>
        <w:rPr>
          <w:rFonts w:eastAsia="Times New Roman"/>
          <w:lang w:eastAsia="fr-FR"/>
        </w:rPr>
      </w:pPr>
      <w:r w:rsidRPr="008C7A0D">
        <w:rPr>
          <w:rFonts w:eastAsia="Times New Roman"/>
          <w:lang w:eastAsia="fr-FR"/>
        </w:rPr>
        <w:t>- the best interests and well-being of the children, in particular the seriousness of the difficulties which any children of the applicant are likely to encounter in the country to which the applicant is to be expelled; and</w:t>
      </w:r>
    </w:p>
    <w:p w:rsidRPr="008C7A0D" w:rsidR="004D1A77" w:rsidP="008C7A0D" w:rsidRDefault="004D1A77" w14:paraId="224A3589" w14:textId="77777777">
      <w:pPr>
        <w:pStyle w:val="JuPara"/>
        <w:rPr>
          <w:rFonts w:eastAsia="Times New Roman"/>
          <w:lang w:eastAsia="fr-FR"/>
        </w:rPr>
      </w:pPr>
      <w:r w:rsidRPr="008C7A0D">
        <w:rPr>
          <w:rFonts w:eastAsia="Times New Roman"/>
          <w:lang w:eastAsia="fr-FR"/>
        </w:rPr>
        <w:t>- the solidity of social, cultural and family ties with the host country and with the country of destination.”</w:t>
      </w:r>
    </w:p>
    <w:p w:rsidRPr="008C7A0D" w:rsidR="004D1A77" w:rsidP="008C7A0D" w:rsidRDefault="004D1A77" w14:paraId="13F49F51" w14:textId="46AB5901">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76</w:t>
      </w:r>
      <w:r w:rsidRPr="008C7A0D">
        <w:rPr>
          <w:rFonts w:eastAsia="Times New Roman"/>
          <w:lang w:eastAsia="fr-FR"/>
        </w:rPr>
        <w:fldChar w:fldCharType="end"/>
      </w:r>
      <w:r w:rsidRPr="008C7A0D">
        <w:rPr>
          <w:rFonts w:eastAsia="Times New Roman"/>
          <w:lang w:eastAsia="fr-FR"/>
        </w:rPr>
        <w:t>. </w:t>
      </w:r>
      <w:r w:rsidRPr="008C7A0D">
        <w:t> As to the question of whether the interference was “necessary in a democratic society”, the Court notes that the Danish courts</w:t>
      </w:r>
      <w:r w:rsidRPr="008C7A0D" w:rsidR="008C7A0D">
        <w:t>’</w:t>
      </w:r>
      <w:r w:rsidRPr="008C7A0D">
        <w:t xml:space="preserve"> legal point of departure was the relevant sections of the Aliens Act, the Penal Code, and notably the appropriate criteria to be applied in the proportionality assessment under Article 8 of the Convention and the Court</w:t>
      </w:r>
      <w:r w:rsidRPr="008C7A0D" w:rsidR="008C7A0D">
        <w:t>’</w:t>
      </w:r>
      <w:r w:rsidRPr="008C7A0D">
        <w:t xml:space="preserve">s case-law. The Court recognises that the domestic courts thoroughly examined each criterion and that they were fully aware that very serious reasons were required to justify the expulsion of the applicant, being a settled migrant, who had been born in Denmark and had lawfully spent his whole childhood and youth in the host country (see </w:t>
      </w:r>
      <w:r w:rsidRPr="008C7A0D">
        <w:rPr>
          <w:i/>
          <w:iCs/>
        </w:rPr>
        <w:t>Maslov</w:t>
      </w:r>
      <w:r w:rsidRPr="008C7A0D">
        <w:t>, cited above, § 75). The Court is therefore called upon to examine whether such “very serious reasons” were adequately adduced by the Supreme Court when assessing the applicant</w:t>
      </w:r>
      <w:r w:rsidRPr="008C7A0D" w:rsidR="008C7A0D">
        <w:t>’</w:t>
      </w:r>
      <w:r w:rsidRPr="008C7A0D">
        <w:t>s case.</w:t>
      </w:r>
    </w:p>
    <w:p w:rsidRPr="008C7A0D" w:rsidR="004D1A77" w:rsidP="008C7A0D" w:rsidRDefault="004D1A77" w14:paraId="1ED0FF2D" w14:textId="4386C0FB">
      <w:pPr>
        <w:pStyle w:val="JuPara"/>
        <w:rPr>
          <w:rFonts w:ascii="Times New Roman" w:hAnsi="Times New Roman" w:eastAsia="Times New Roman" w:cs="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77</w:t>
      </w:r>
      <w:r w:rsidRPr="008C7A0D">
        <w:rPr>
          <w:rFonts w:eastAsia="Times New Roman"/>
          <w:lang w:eastAsia="fr-FR"/>
        </w:rPr>
        <w:fldChar w:fldCharType="end"/>
      </w:r>
      <w:r w:rsidRPr="008C7A0D">
        <w:rPr>
          <w:rFonts w:eastAsia="Times New Roman"/>
          <w:lang w:eastAsia="fr-FR"/>
        </w:rPr>
        <w:t>.  </w:t>
      </w:r>
      <w:r w:rsidRPr="008C7A0D">
        <w:rPr>
          <w:rFonts w:ascii="Times New Roman" w:hAnsi="Times New Roman" w:eastAsia="Times New Roman" w:cs="Times New Roman"/>
          <w:lang w:eastAsia="fr-FR"/>
        </w:rPr>
        <w:t>In respect of the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s right to respect for his private and family life, the Supreme Court took the same factors into account as when assessing the impact on the applicant of a revocation of his Danish citizenship.</w:t>
      </w:r>
    </w:p>
    <w:p w:rsidRPr="008C7A0D" w:rsidR="004D1A77" w:rsidP="008C7A0D" w:rsidRDefault="004D1A77" w14:paraId="160135EF" w14:textId="45747EAD">
      <w:pPr>
        <w:pStyle w:val="JuPara"/>
      </w:pPr>
      <w:r w:rsidRPr="008C7A0D">
        <w:rPr>
          <w:rFonts w:ascii="Times New Roman" w:hAnsi="Times New Roman" w:eastAsia="Times New Roman" w:cs="Times New Roman"/>
          <w:lang w:eastAsia="fr-FR"/>
        </w:rPr>
        <w:fldChar w:fldCharType="begin"/>
      </w:r>
      <w:r w:rsidRPr="008C7A0D">
        <w:rPr>
          <w:rFonts w:ascii="Times New Roman" w:hAnsi="Times New Roman" w:eastAsia="Times New Roman" w:cs="Times New Roman"/>
          <w:lang w:eastAsia="fr-FR"/>
        </w:rPr>
        <w:instrText xml:space="preserve"> SEQ level0 \*arabic \* MERGEFORMAT </w:instrText>
      </w:r>
      <w:r w:rsidRPr="008C7A0D">
        <w:rPr>
          <w:rFonts w:ascii="Times New Roman" w:hAnsi="Times New Roman" w:eastAsia="Times New Roman" w:cs="Times New Roman"/>
          <w:lang w:eastAsia="fr-FR"/>
        </w:rPr>
        <w:fldChar w:fldCharType="separate"/>
      </w:r>
      <w:r w:rsidRPr="008C7A0D" w:rsidR="008C7A0D">
        <w:rPr>
          <w:rFonts w:ascii="Times New Roman" w:hAnsi="Times New Roman" w:eastAsia="Times New Roman" w:cs="Times New Roman"/>
          <w:noProof/>
          <w:lang w:eastAsia="fr-FR"/>
        </w:rPr>
        <w:t>78</w:t>
      </w:r>
      <w:r w:rsidRPr="008C7A0D">
        <w:rPr>
          <w:rFonts w:ascii="Times New Roman" w:hAnsi="Times New Roman" w:eastAsia="Times New Roman" w:cs="Times New Roman"/>
          <w:lang w:eastAsia="fr-FR"/>
        </w:rPr>
        <w:fldChar w:fldCharType="end"/>
      </w:r>
      <w:r w:rsidRPr="008C7A0D">
        <w:rPr>
          <w:rFonts w:ascii="Times New Roman" w:hAnsi="Times New Roman" w:eastAsia="Times New Roman" w:cs="Times New Roman"/>
          <w:lang w:eastAsia="fr-FR"/>
        </w:rPr>
        <w:t xml:space="preserve">.  That included </w:t>
      </w:r>
      <w:r w:rsidRPr="008C7A0D">
        <w:rPr>
          <w:rFonts w:eastAsia="Times New Roman"/>
          <w:lang w:eastAsia="fr-FR"/>
        </w:rPr>
        <w:t>the nature and seriousness of the offence committed by the applicant, the length of the applicant</w:t>
      </w:r>
      <w:r w:rsidRPr="008C7A0D" w:rsidR="008C7A0D">
        <w:rPr>
          <w:rFonts w:eastAsia="Times New Roman"/>
          <w:lang w:eastAsia="fr-FR"/>
        </w:rPr>
        <w:t>’</w:t>
      </w:r>
      <w:r w:rsidRPr="008C7A0D">
        <w:rPr>
          <w:rFonts w:eastAsia="Times New Roman"/>
          <w:lang w:eastAsia="fr-FR"/>
        </w:rPr>
        <w:t>s stay in the country from which he was going to be expelled, the nationalities of the various persons concerned, and the solidity of his social, cultural and family ties with the host country and with the country of destination. Thus, the Supreme Court took into account, among other things, that the applicant was born in Denmark and had been sentenced to four years</w:t>
      </w:r>
      <w:r w:rsidRPr="008C7A0D" w:rsidR="008C7A0D">
        <w:rPr>
          <w:rFonts w:eastAsia="Times New Roman"/>
          <w:lang w:eastAsia="fr-FR"/>
        </w:rPr>
        <w:t>’</w:t>
      </w:r>
      <w:r w:rsidRPr="008C7A0D">
        <w:rPr>
          <w:rFonts w:eastAsia="Times New Roman"/>
          <w:lang w:eastAsia="fr-FR"/>
        </w:rPr>
        <w:t xml:space="preserve"> imprisonment for serious offences committed as an adult (see, also for example, </w:t>
      </w:r>
      <w:r w:rsidRPr="008C7A0D">
        <w:rPr>
          <w:i/>
          <w:iCs/>
        </w:rPr>
        <w:t>Levakovic v. Denmark</w:t>
      </w:r>
      <w:r w:rsidRPr="008C7A0D">
        <w:rPr>
          <w:lang w:eastAsia="en-GB"/>
        </w:rPr>
        <w:t>, no.</w:t>
      </w:r>
      <w:r w:rsidRPr="008C7A0D" w:rsidR="009D72FD">
        <w:rPr>
          <w:lang w:eastAsia="en-GB"/>
        </w:rPr>
        <w:t> </w:t>
      </w:r>
      <w:r w:rsidRPr="008C7A0D">
        <w:t>7841/14</w:t>
      </w:r>
      <w:r w:rsidRPr="008C7A0D">
        <w:rPr>
          <w:lang w:eastAsia="en-GB"/>
        </w:rPr>
        <w:t>,</w:t>
      </w:r>
      <w:r w:rsidRPr="008C7A0D">
        <w:t xml:space="preserve"> 23</w:t>
      </w:r>
      <w:r w:rsidRPr="008C7A0D" w:rsidR="009D72FD">
        <w:t> </w:t>
      </w:r>
      <w:r w:rsidRPr="008C7A0D">
        <w:t xml:space="preserve">October 2018; </w:t>
      </w:r>
      <w:r w:rsidRPr="008C7A0D">
        <w:rPr>
          <w:i/>
        </w:rPr>
        <w:t>Balogun v. the United Kingdom</w:t>
      </w:r>
      <w:r w:rsidRPr="008C7A0D">
        <w:t>, no. 60286/09, 10</w:t>
      </w:r>
      <w:r w:rsidRPr="008C7A0D" w:rsidR="009D72FD">
        <w:t> </w:t>
      </w:r>
      <w:r w:rsidRPr="008C7A0D">
        <w:t xml:space="preserve">April 2012; and </w:t>
      </w:r>
      <w:r w:rsidRPr="008C7A0D">
        <w:rPr>
          <w:i/>
        </w:rPr>
        <w:t>Mutlag v. Germany</w:t>
      </w:r>
      <w:r w:rsidRPr="008C7A0D">
        <w:t>, no. 40601/05, 25 March 2010, although the applicants</w:t>
      </w:r>
      <w:r w:rsidRPr="008C7A0D" w:rsidR="008C7A0D">
        <w:t>’</w:t>
      </w:r>
      <w:r w:rsidRPr="008C7A0D">
        <w:t xml:space="preserve"> family life were not at stake in those cases).</w:t>
      </w:r>
    </w:p>
    <w:p w:rsidRPr="008C7A0D" w:rsidR="004D1A77" w:rsidP="008C7A0D" w:rsidRDefault="004D1A77" w14:paraId="69AB1B5E" w14:textId="08BF32FC">
      <w:pPr>
        <w:pStyle w:val="JuPara"/>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79</w:t>
      </w:r>
      <w:r w:rsidRPr="008C7A0D">
        <w:rPr>
          <w:rFonts w:eastAsia="Times New Roman"/>
          <w:lang w:eastAsia="fr-FR"/>
        </w:rPr>
        <w:fldChar w:fldCharType="end"/>
      </w:r>
      <w:r w:rsidRPr="008C7A0D">
        <w:rPr>
          <w:rFonts w:eastAsia="Times New Roman"/>
          <w:lang w:eastAsia="fr-FR"/>
        </w:rPr>
        <w:t>.  </w:t>
      </w:r>
      <w:r w:rsidRPr="008C7A0D">
        <w:t>Regarding the criterion “the time elapsed since the offence was committed and the applicant</w:t>
      </w:r>
      <w:r w:rsidRPr="008C7A0D" w:rsidR="008C7A0D">
        <w:t>’</w:t>
      </w:r>
      <w:r w:rsidRPr="008C7A0D">
        <w:t>s conduct during that period”, the applicant maintained that the Supreme Court had failed to take into account the fact that he had studied for more than two years, from the time of his return from Syria in February 2014 until he was arrested in June 2016, and that he had showed good behaviour until 19 November 2018, when the Supreme Court passed its judgment. In the Court</w:t>
      </w:r>
      <w:r w:rsidRPr="008C7A0D" w:rsidR="008C7A0D">
        <w:t>’</w:t>
      </w:r>
      <w:r w:rsidRPr="008C7A0D">
        <w:t>s opinion, however, it cannot and should not be ignored that the applicant was convicted of having accepted recruitment and training by a terrorist organisation in the commission of terrorist acts. Accordingly, it does not find any reason to criticise the fact that the Supreme Court did not mention or give the applicant credit for not having pursued his criminal activity in this respect after his return to Denmark in February 2014, up until his arrest in June 2016. The Court also notes that the applicant was remanded in custody from June 2016 until the Supreme Court passed its judgment on 19 November 2018, and that subsequently, he was placed in mandatory accommodation at a pre-departure centre, pending expulsion (see paragraph 19 above).</w:t>
      </w:r>
    </w:p>
    <w:p w:rsidRPr="008C7A0D" w:rsidR="004D1A77" w:rsidP="008C7A0D" w:rsidRDefault="004D1A77" w14:paraId="68D59B5B" w14:textId="513CF083">
      <w:pPr>
        <w:pStyle w:val="JuPara"/>
        <w:rPr>
          <w:rFonts w:eastAsiaTheme="majorEastAsia"/>
        </w:rPr>
      </w:pPr>
      <w:r w:rsidRPr="008C7A0D">
        <w:fldChar w:fldCharType="begin"/>
      </w:r>
      <w:r w:rsidRPr="008C7A0D">
        <w:instrText xml:space="preserve"> SEQ level0 \*arabic </w:instrText>
      </w:r>
      <w:r w:rsidRPr="008C7A0D">
        <w:fldChar w:fldCharType="separate"/>
      </w:r>
      <w:r w:rsidRPr="008C7A0D" w:rsidR="008C7A0D">
        <w:rPr>
          <w:noProof/>
        </w:rPr>
        <w:t>80</w:t>
      </w:r>
      <w:r w:rsidRPr="008C7A0D">
        <w:fldChar w:fldCharType="end"/>
      </w:r>
      <w:r w:rsidRPr="008C7A0D">
        <w:t xml:space="preserve">.  The expulsion order in the present case was issued together with a lifelong ban on re-entry. </w:t>
      </w:r>
      <w:r w:rsidRPr="008C7A0D">
        <w:rPr>
          <w:rFonts w:eastAsia="Times New Roman"/>
          <w:lang w:eastAsia="fr-FR"/>
        </w:rPr>
        <w:t>The Court notes in this context that the duration of a ban on re-entry is an element to which it has attached importance in its case-law. In the present case, the Court is convinced that the applicant</w:t>
      </w:r>
      <w:r w:rsidRPr="008C7A0D" w:rsidR="008C7A0D">
        <w:rPr>
          <w:rFonts w:eastAsia="Times New Roman"/>
          <w:lang w:eastAsia="fr-FR"/>
        </w:rPr>
        <w:t>’</w:t>
      </w:r>
      <w:r w:rsidRPr="008C7A0D">
        <w:rPr>
          <w:rFonts w:eastAsia="Times New Roman"/>
          <w:lang w:eastAsia="fr-FR"/>
        </w:rPr>
        <w:t xml:space="preserve">s crime leading to the expulsion order was of such a nature that he </w:t>
      </w:r>
      <w:r w:rsidRPr="008C7A0D">
        <w:rPr>
          <w:rFonts w:ascii="Times New Roman" w:hAnsi="Times New Roman" w:eastAsia="Times New Roman" w:cs="Times New Roman"/>
          <w:lang w:eastAsia="fr-FR"/>
        </w:rPr>
        <w:t xml:space="preserve">posed a serious threat to public order (see also, </w:t>
      </w:r>
      <w:r w:rsidRPr="008C7A0D">
        <w:rPr>
          <w:rFonts w:ascii="Times New Roman" w:hAnsi="Times New Roman" w:eastAsia="Times New Roman" w:cs="Times New Roman"/>
          <w:i/>
          <w:iCs/>
          <w:lang w:eastAsia="fr-FR"/>
        </w:rPr>
        <w:t>inter alia</w:t>
      </w:r>
      <w:r w:rsidRPr="008C7A0D">
        <w:rPr>
          <w:rFonts w:ascii="Times New Roman" w:hAnsi="Times New Roman" w:eastAsia="Times New Roman" w:cs="Times New Roman"/>
          <w:lang w:eastAsia="fr-FR"/>
        </w:rPr>
        <w:t xml:space="preserve">, </w:t>
      </w:r>
      <w:r w:rsidRPr="008C7A0D">
        <w:rPr>
          <w:rFonts w:eastAsiaTheme="majorEastAsia"/>
          <w:i/>
          <w:iCs/>
        </w:rPr>
        <w:t>Mutlag v Germany,</w:t>
      </w:r>
      <w:r w:rsidRPr="008C7A0D">
        <w:rPr>
          <w:rFonts w:eastAsiaTheme="majorEastAsia"/>
        </w:rPr>
        <w:t xml:space="preserve"> cited above, §§</w:t>
      </w:r>
      <w:r w:rsidRPr="008C7A0D" w:rsidR="009D72FD">
        <w:rPr>
          <w:rFonts w:eastAsiaTheme="majorEastAsia"/>
        </w:rPr>
        <w:t> </w:t>
      </w:r>
      <w:r w:rsidRPr="008C7A0D">
        <w:rPr>
          <w:rFonts w:eastAsiaTheme="majorEastAsia"/>
        </w:rPr>
        <w:t xml:space="preserve">61-62 and </w:t>
      </w:r>
      <w:r w:rsidRPr="008C7A0D">
        <w:rPr>
          <w:rFonts w:eastAsiaTheme="majorEastAsia"/>
          <w:i/>
          <w:iCs/>
        </w:rPr>
        <w:t>Balogun v. the United Kingdom</w:t>
      </w:r>
      <w:r w:rsidRPr="008C7A0D">
        <w:rPr>
          <w:rFonts w:eastAsiaTheme="majorEastAsia"/>
        </w:rPr>
        <w:t>, cited above, § 53).</w:t>
      </w:r>
    </w:p>
    <w:p w:rsidRPr="008C7A0D" w:rsidR="004D1A77" w:rsidP="008C7A0D" w:rsidRDefault="004D1A77" w14:paraId="0E24BCA6" w14:textId="1D1219B2">
      <w:pPr>
        <w:pStyle w:val="JuPara"/>
      </w:pPr>
      <w:r w:rsidRPr="008C7A0D">
        <w:fldChar w:fldCharType="begin"/>
      </w:r>
      <w:r w:rsidRPr="008C7A0D">
        <w:instrText xml:space="preserve"> SEQ level0 \*arabic </w:instrText>
      </w:r>
      <w:r w:rsidRPr="008C7A0D">
        <w:fldChar w:fldCharType="separate"/>
      </w:r>
      <w:r w:rsidRPr="008C7A0D" w:rsidR="008C7A0D">
        <w:rPr>
          <w:noProof/>
        </w:rPr>
        <w:t>81</w:t>
      </w:r>
      <w:r w:rsidRPr="008C7A0D">
        <w:fldChar w:fldCharType="end"/>
      </w:r>
      <w:r w:rsidRPr="008C7A0D">
        <w:t>.</w:t>
      </w:r>
      <w:r w:rsidRPr="008C7A0D">
        <w:rPr>
          <w:color w:val="C00000"/>
        </w:rPr>
        <w:t>  </w:t>
      </w:r>
      <w:r w:rsidRPr="008C7A0D">
        <w:rPr>
          <w:rFonts w:ascii="Times New Roman" w:hAnsi="Times New Roman" w:eastAsia="Times New Roman" w:cs="Times New Roman"/>
          <w:lang w:eastAsia="fr-FR"/>
        </w:rPr>
        <w:t>As regards the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 xml:space="preserve">s right to respect for his family life, the Supreme Court </w:t>
      </w:r>
      <w:r w:rsidRPr="008C7A0D">
        <w:t>observed that the applicant had married a Danish woman in a religious ceremony in 2009. That was six years before the applicant left for Syria and committed the offences at issue. Thus, the criterion of whether the spouse knew about the offence at the time when he or she entered into a family relationship does not come into play in the present case. With regard to their relationship, however, it is noteworthy, as observed by the Supreme Court, that the applicant left his family in Denmark at his own initiative, in connection with the crime committed, in order to take up residence in a war zone in Syria.</w:t>
      </w:r>
    </w:p>
    <w:p w:rsidRPr="008C7A0D" w:rsidR="004D1A77" w:rsidP="008C7A0D" w:rsidRDefault="004D1A77" w14:paraId="0650A2D6" w14:textId="2C1BE045">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82</w:t>
      </w:r>
      <w:r w:rsidRPr="008C7A0D">
        <w:rPr>
          <w:rFonts w:eastAsia="Times New Roman"/>
          <w:lang w:eastAsia="fr-FR"/>
        </w:rPr>
        <w:fldChar w:fldCharType="end"/>
      </w:r>
      <w:r w:rsidRPr="008C7A0D">
        <w:rPr>
          <w:rFonts w:eastAsia="Times New Roman"/>
          <w:lang w:eastAsia="fr-FR"/>
        </w:rPr>
        <w:t>.</w:t>
      </w:r>
      <w:r w:rsidRPr="008C7A0D" w:rsidR="00280043">
        <w:rPr>
          <w:rFonts w:eastAsia="Times New Roman"/>
          <w:lang w:eastAsia="fr-FR"/>
        </w:rPr>
        <w:t> </w:t>
      </w:r>
      <w:r w:rsidRPr="008C7A0D">
        <w:rPr>
          <w:rFonts w:eastAsia="Times New Roman"/>
          <w:lang w:eastAsia="fr-FR"/>
        </w:rPr>
        <w:t> The Supreme Court also took into account the fact that the applicant had a son, born in 2010. Regarding the criteria “the best interests and well-being of the children, in particular the seriousness of the difficulties which any children of the applicant are likely to encounter in the country to which the applicant is to be expelled; and the seriousness of the difficulties which the spouse is likely to encounter in the country to which the applicant is to be expelled”, the Supreme Court emphasised that the applicant</w:t>
      </w:r>
      <w:r w:rsidRPr="008C7A0D" w:rsidR="008C7A0D">
        <w:rPr>
          <w:rFonts w:eastAsia="Times New Roman"/>
          <w:lang w:eastAsia="fr-FR"/>
        </w:rPr>
        <w:t>’</w:t>
      </w:r>
      <w:r w:rsidRPr="008C7A0D">
        <w:rPr>
          <w:rFonts w:eastAsia="Times New Roman"/>
          <w:lang w:eastAsia="fr-FR"/>
        </w:rPr>
        <w:t xml:space="preserve">s partner, who had </w:t>
      </w:r>
      <w:r w:rsidRPr="008C7A0D">
        <w:t>converted to Islam at the age of 18, and their 8-year-old son, who had attended an Islamic school for a short period and had subsequently been home-schooled by his mother, were not entirely unprepared for accompanying the applicant to Tunisia. Moreover, if they did not wish to settle in Tunisia, they could visit him there and communicate with him by telephone and on the Internet.</w:t>
      </w:r>
    </w:p>
    <w:p w:rsidRPr="008C7A0D" w:rsidR="004D1A77" w:rsidP="008C7A0D" w:rsidRDefault="004D1A77" w14:paraId="5E83AF53" w14:textId="39720C4A">
      <w:pPr>
        <w:pStyle w:val="JuPara"/>
      </w:pPr>
      <w:r w:rsidRPr="008C7A0D">
        <w:fldChar w:fldCharType="begin"/>
      </w:r>
      <w:r w:rsidRPr="008C7A0D">
        <w:instrText xml:space="preserve"> SEQ level0 \*arabic </w:instrText>
      </w:r>
      <w:r w:rsidRPr="008C7A0D">
        <w:fldChar w:fldCharType="separate"/>
      </w:r>
      <w:r w:rsidRPr="008C7A0D" w:rsidR="008C7A0D">
        <w:rPr>
          <w:noProof/>
        </w:rPr>
        <w:t>83</w:t>
      </w:r>
      <w:r w:rsidRPr="008C7A0D">
        <w:fldChar w:fldCharType="end"/>
      </w:r>
      <w:r w:rsidRPr="008C7A0D">
        <w:t>.</w:t>
      </w:r>
      <w:r w:rsidRPr="008C7A0D" w:rsidR="00280043">
        <w:t>  </w:t>
      </w:r>
      <w:r w:rsidRPr="008C7A0D">
        <w:t>In conclusion, the Supreme Court found that there were compelling reasons to expel the applicant, and that respect for the applicant</w:t>
      </w:r>
      <w:r w:rsidRPr="008C7A0D" w:rsidR="008C7A0D">
        <w:t>’</w:t>
      </w:r>
      <w:r w:rsidRPr="008C7A0D">
        <w:t>s private and family life in Denmark did not make the deprivation of his Danish nationality and expulsion conclusively inappropriate.</w:t>
      </w:r>
    </w:p>
    <w:p w:rsidRPr="008C7A0D" w:rsidR="004D1A77" w:rsidP="008C7A0D" w:rsidRDefault="004D1A77" w14:paraId="080D7B6E" w14:textId="1B768F35">
      <w:pPr>
        <w:pStyle w:val="JuPara"/>
      </w:pPr>
      <w:r w:rsidRPr="008C7A0D">
        <w:rPr>
          <w:rFonts w:ascii="Times New Roman" w:hAnsi="Times New Roman" w:eastAsia="Times New Roman" w:cs="Times New Roman"/>
          <w:lang w:eastAsia="fr-FR"/>
        </w:rPr>
        <w:fldChar w:fldCharType="begin"/>
      </w:r>
      <w:r w:rsidRPr="008C7A0D">
        <w:rPr>
          <w:rFonts w:ascii="Times New Roman" w:hAnsi="Times New Roman" w:eastAsia="Times New Roman" w:cs="Times New Roman"/>
          <w:lang w:eastAsia="fr-FR"/>
        </w:rPr>
        <w:instrText xml:space="preserve"> SEQ level0 \*arabic </w:instrText>
      </w:r>
      <w:r w:rsidRPr="008C7A0D">
        <w:rPr>
          <w:rFonts w:ascii="Times New Roman" w:hAnsi="Times New Roman" w:eastAsia="Times New Roman" w:cs="Times New Roman"/>
          <w:lang w:eastAsia="fr-FR"/>
        </w:rPr>
        <w:fldChar w:fldCharType="separate"/>
      </w:r>
      <w:r w:rsidRPr="008C7A0D" w:rsidR="008C7A0D">
        <w:rPr>
          <w:rFonts w:ascii="Times New Roman" w:hAnsi="Times New Roman" w:eastAsia="Times New Roman" w:cs="Times New Roman"/>
          <w:noProof/>
          <w:lang w:eastAsia="fr-FR"/>
        </w:rPr>
        <w:t>84</w:t>
      </w:r>
      <w:r w:rsidRPr="008C7A0D">
        <w:rPr>
          <w:rFonts w:ascii="Times New Roman" w:hAnsi="Times New Roman" w:eastAsia="Times New Roman" w:cs="Times New Roman"/>
          <w:lang w:eastAsia="fr-FR"/>
        </w:rPr>
        <w:fldChar w:fldCharType="end"/>
      </w:r>
      <w:r w:rsidRPr="008C7A0D">
        <w:rPr>
          <w:rFonts w:ascii="Times New Roman" w:hAnsi="Times New Roman" w:eastAsia="Times New Roman" w:cs="Times New Roman"/>
          <w:lang w:eastAsia="fr-FR"/>
        </w:rPr>
        <w:t>.  Having regard to the foregoing considerations, the Court is satisfied that the Supreme Court made a thorough assessment of the applicant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s personal circumstances, carefully balanced the competing interests, took into account the criteria set out in the Court</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s case</w:t>
      </w:r>
      <w:r w:rsidRPr="008C7A0D">
        <w:rPr>
          <w:rFonts w:ascii="Times New Roman" w:hAnsi="Times New Roman" w:eastAsia="Times New Roman" w:cs="Times New Roman"/>
          <w:lang w:eastAsia="fr-FR"/>
        </w:rPr>
        <w:noBreakHyphen/>
        <w:t>law and explicitly assessed whether the expulsion order could be deemed contrary to Denmark</w:t>
      </w:r>
      <w:r w:rsidRPr="008C7A0D" w:rsidR="008C7A0D">
        <w:rPr>
          <w:rFonts w:ascii="Times New Roman" w:hAnsi="Times New Roman" w:eastAsia="Times New Roman" w:cs="Times New Roman"/>
          <w:lang w:eastAsia="fr-FR"/>
        </w:rPr>
        <w:t>’</w:t>
      </w:r>
      <w:r w:rsidRPr="008C7A0D">
        <w:rPr>
          <w:rFonts w:ascii="Times New Roman" w:hAnsi="Times New Roman" w:eastAsia="Times New Roman" w:cs="Times New Roman"/>
          <w:lang w:eastAsia="fr-FR"/>
        </w:rPr>
        <w:t xml:space="preserve">s international obligations. </w:t>
      </w:r>
      <w:r w:rsidRPr="008C7A0D">
        <w:t>“Very serious reasons” were adequately adduced by the national authorities when assessing his case, and the expulsion order</w:t>
      </w:r>
      <w:r w:rsidRPr="008C7A0D">
        <w:rPr>
          <w:color w:val="FF0000"/>
        </w:rPr>
        <w:t xml:space="preserve"> </w:t>
      </w:r>
      <w:r w:rsidRPr="008C7A0D">
        <w:rPr>
          <w:rFonts w:ascii="Times New Roman" w:hAnsi="Times New Roman" w:eastAsia="Times New Roman" w:cs="Times New Roman"/>
          <w:lang w:eastAsia="fr-FR"/>
        </w:rPr>
        <w:t xml:space="preserve">cannot be said to be disproportionate </w:t>
      </w:r>
      <w:r w:rsidRPr="008C7A0D">
        <w:t xml:space="preserve">to the legitimate aim pursued, namely, the protection of the public from the threat of terrorism (see, </w:t>
      </w:r>
      <w:r w:rsidRPr="008C7A0D">
        <w:rPr>
          <w:i/>
          <w:iCs/>
        </w:rPr>
        <w:t>inter alia</w:t>
      </w:r>
      <w:r w:rsidRPr="008C7A0D">
        <w:t xml:space="preserve">, </w:t>
      </w:r>
      <w:r w:rsidRPr="008C7A0D">
        <w:rPr>
          <w:rFonts w:eastAsia="Times New Roman"/>
          <w:i/>
          <w:iCs/>
          <w:lang w:eastAsia="fr-FR"/>
        </w:rPr>
        <w:t>K2 v.</w:t>
      </w:r>
      <w:r w:rsidRPr="008C7A0D" w:rsidR="00837EEE">
        <w:rPr>
          <w:rFonts w:eastAsia="Times New Roman"/>
          <w:i/>
          <w:iCs/>
          <w:lang w:eastAsia="fr-FR"/>
        </w:rPr>
        <w:t> </w:t>
      </w:r>
      <w:r w:rsidRPr="008C7A0D">
        <w:rPr>
          <w:rFonts w:eastAsia="Times New Roman"/>
          <w:i/>
          <w:iCs/>
          <w:lang w:eastAsia="fr-FR"/>
        </w:rPr>
        <w:t>United Kingdom</w:t>
      </w:r>
      <w:r w:rsidRPr="008C7A0D">
        <w:rPr>
          <w:rFonts w:eastAsia="Times New Roman"/>
          <w:lang w:eastAsia="fr-FR"/>
        </w:rPr>
        <w:t xml:space="preserve">, cited above, § 66; </w:t>
      </w:r>
      <w:r w:rsidRPr="008C7A0D">
        <w:rPr>
          <w:i/>
        </w:rPr>
        <w:t>Salem v. Denmark</w:t>
      </w:r>
      <w:r w:rsidRPr="008C7A0D">
        <w:t>, no. 77036/11, §</w:t>
      </w:r>
      <w:r w:rsidRPr="008C7A0D" w:rsidR="00837EEE">
        <w:t> </w:t>
      </w:r>
      <w:r w:rsidRPr="008C7A0D">
        <w:t>82, 1 December 2016</w:t>
      </w:r>
      <w:r w:rsidRPr="008C7A0D">
        <w:rPr>
          <w:sz w:val="22"/>
          <w:szCs w:val="22"/>
        </w:rPr>
        <w:t xml:space="preserve">; </w:t>
      </w:r>
      <w:r w:rsidRPr="008C7A0D">
        <w:rPr>
          <w:i/>
          <w:iCs/>
        </w:rPr>
        <w:t>Hamesevic v. Denmark</w:t>
      </w:r>
      <w:r w:rsidRPr="008C7A0D">
        <w:t xml:space="preserve"> (dec.), no. </w:t>
      </w:r>
      <w:hyperlink w:tgtFrame="_blank" w:history="1" w:anchor="%7B%22appno%22:%5B%2225748/15%22%5D%7D" r:id="rId17">
        <w:r w:rsidRPr="008C7A0D">
          <w:t>25748/15</w:t>
        </w:r>
      </w:hyperlink>
      <w:r w:rsidRPr="008C7A0D">
        <w:t>, § 43, 16</w:t>
      </w:r>
      <w:r w:rsidRPr="008C7A0D" w:rsidR="00837EEE">
        <w:t> </w:t>
      </w:r>
      <w:r w:rsidRPr="008C7A0D">
        <w:t xml:space="preserve">May 2017; </w:t>
      </w:r>
      <w:r w:rsidRPr="008C7A0D">
        <w:rPr>
          <w:i/>
          <w:iCs/>
        </w:rPr>
        <w:t>Alam v. Denmark</w:t>
      </w:r>
      <w:r w:rsidRPr="008C7A0D">
        <w:t xml:space="preserve"> (dec.), no. </w:t>
      </w:r>
      <w:hyperlink w:tgtFrame="_blank" w:history="1" w:anchor="%7B%22appno%22:%5B%2233809/15%22%5D%7D" r:id="rId18">
        <w:r w:rsidRPr="008C7A0D">
          <w:t>33809/15</w:t>
        </w:r>
      </w:hyperlink>
      <w:r w:rsidRPr="008C7A0D">
        <w:t xml:space="preserve">, § 35, 6 June 2017; and </w:t>
      </w:r>
      <w:r w:rsidRPr="008C7A0D">
        <w:rPr>
          <w:i/>
          <w:iCs/>
        </w:rPr>
        <w:t>Ndidi v.</w:t>
      </w:r>
      <w:r w:rsidRPr="008C7A0D" w:rsidR="00837EEE">
        <w:rPr>
          <w:i/>
          <w:iCs/>
        </w:rPr>
        <w:t> </w:t>
      </w:r>
      <w:r w:rsidRPr="008C7A0D">
        <w:rPr>
          <w:i/>
          <w:iCs/>
        </w:rPr>
        <w:t>the United Kingdom</w:t>
      </w:r>
      <w:r w:rsidRPr="008C7A0D">
        <w:t xml:space="preserve">, no. </w:t>
      </w:r>
      <w:hyperlink w:tgtFrame="_blank" w:history="1" w:anchor="{&quot;appno&quot;:[&quot;41215/14&quot;]}" r:id="rId19">
        <w:r w:rsidRPr="008C7A0D">
          <w:t>41215/14</w:t>
        </w:r>
      </w:hyperlink>
      <w:r w:rsidRPr="008C7A0D">
        <w:t>, § 76, 14 September 2017).</w:t>
      </w:r>
    </w:p>
    <w:p w:rsidRPr="008C7A0D" w:rsidR="004D1A77" w:rsidP="008C7A0D" w:rsidRDefault="004D1A77" w14:paraId="37A3D656" w14:textId="4D4ACADF">
      <w:pPr>
        <w:pStyle w:val="JuPara"/>
        <w:rPr>
          <w:rFonts w:eastAsia="Times New Roman"/>
          <w:lang w:eastAsia="fr-FR"/>
        </w:rPr>
      </w:pPr>
      <w:r w:rsidRPr="008C7A0D">
        <w:rPr>
          <w:rFonts w:eastAsia="Times New Roman"/>
          <w:lang w:eastAsia="fr-FR"/>
        </w:rPr>
        <w:fldChar w:fldCharType="begin"/>
      </w:r>
      <w:r w:rsidRPr="008C7A0D">
        <w:rPr>
          <w:rFonts w:eastAsia="Times New Roman"/>
          <w:lang w:eastAsia="fr-FR"/>
        </w:rPr>
        <w:instrText xml:space="preserve"> SEQ level0 \*arabic </w:instrText>
      </w:r>
      <w:r w:rsidRPr="008C7A0D">
        <w:rPr>
          <w:rFonts w:eastAsia="Times New Roman"/>
          <w:lang w:eastAsia="fr-FR"/>
        </w:rPr>
        <w:fldChar w:fldCharType="separate"/>
      </w:r>
      <w:r w:rsidRPr="008C7A0D" w:rsidR="008C7A0D">
        <w:rPr>
          <w:rFonts w:eastAsia="Times New Roman"/>
          <w:noProof/>
          <w:lang w:eastAsia="fr-FR"/>
        </w:rPr>
        <w:t>85</w:t>
      </w:r>
      <w:r w:rsidRPr="008C7A0D">
        <w:rPr>
          <w:rFonts w:eastAsia="Times New Roman"/>
          <w:lang w:eastAsia="fr-FR"/>
        </w:rPr>
        <w:fldChar w:fldCharType="end"/>
      </w:r>
      <w:r w:rsidRPr="008C7A0D">
        <w:rPr>
          <w:rFonts w:eastAsia="Times New Roman"/>
          <w:lang w:eastAsia="fr-FR"/>
        </w:rPr>
        <w:t>.  Consequently, this part of the application must also be rejected as manifestly ill-founded within the meaning pursuant to Article 35 § 3(a) and</w:t>
      </w:r>
      <w:r w:rsidRPr="008C7A0D" w:rsidR="008C7A0D">
        <w:rPr>
          <w:rFonts w:eastAsia="Times New Roman"/>
          <w:lang w:eastAsia="fr-FR"/>
        </w:rPr>
        <w:t> </w:t>
      </w:r>
      <w:r w:rsidRPr="008C7A0D">
        <w:rPr>
          <w:rFonts w:eastAsia="Times New Roman"/>
          <w:lang w:eastAsia="fr-FR"/>
        </w:rPr>
        <w:t>4 of the Convention.</w:t>
      </w:r>
    </w:p>
    <w:p w:rsidRPr="008C7A0D" w:rsidR="004D1A77" w:rsidP="008C7A0D" w:rsidRDefault="004D1A77" w14:paraId="2362734A" w14:textId="77777777">
      <w:pPr>
        <w:pStyle w:val="DecList"/>
        <w:rPr>
          <w:rFonts w:eastAsia="Times New Roman"/>
          <w:lang w:eastAsia="fr-FR"/>
        </w:rPr>
      </w:pPr>
      <w:r w:rsidRPr="008C7A0D">
        <w:rPr>
          <w:rFonts w:eastAsia="Times New Roman"/>
          <w:lang w:eastAsia="fr-FR"/>
        </w:rPr>
        <w:t>For the reasons above, the Court, unanimously,</w:t>
      </w:r>
    </w:p>
    <w:p w:rsidRPr="008C7A0D" w:rsidR="004D1A77" w:rsidP="008C7A0D" w:rsidRDefault="004D1A77" w14:paraId="12EDB3C1" w14:textId="77777777">
      <w:pPr>
        <w:pStyle w:val="JuParaLast"/>
        <w:rPr>
          <w:rFonts w:eastAsia="Times New Roman"/>
          <w:lang w:eastAsia="fr-FR"/>
        </w:rPr>
      </w:pPr>
      <w:r w:rsidRPr="008C7A0D">
        <w:rPr>
          <w:rFonts w:eastAsia="Times New Roman"/>
          <w:i/>
          <w:iCs/>
          <w:lang w:eastAsia="fr-FR"/>
        </w:rPr>
        <w:t>Declares</w:t>
      </w:r>
      <w:r w:rsidRPr="008C7A0D">
        <w:rPr>
          <w:rFonts w:eastAsia="Times New Roman"/>
          <w:lang w:eastAsia="fr-FR"/>
        </w:rPr>
        <w:t xml:space="preserve"> the application inadmissible.</w:t>
      </w:r>
    </w:p>
    <w:p w:rsidRPr="008C7A0D" w:rsidR="00BD1692" w:rsidP="008C7A0D" w:rsidRDefault="006267D3" w14:paraId="4415ACBC" w14:textId="452E2ED3">
      <w:pPr>
        <w:pStyle w:val="DecList"/>
        <w:rPr>
          <w:sz w:val="14"/>
        </w:rPr>
      </w:pPr>
      <w:r w:rsidRPr="008C7A0D">
        <w:t xml:space="preserve">Done in English and notified in writing on </w:t>
      </w:r>
      <w:r w:rsidRPr="008C7A0D" w:rsidR="004D1A77">
        <w:t>3 March 2022</w:t>
      </w:r>
      <w:r w:rsidRPr="008C7A0D">
        <w:t>.</w:t>
      </w:r>
    </w:p>
    <w:p w:rsidRPr="008C7A0D" w:rsidR="00BD1692" w:rsidP="008C7A0D" w:rsidRDefault="00C8038F" w14:paraId="0E9075ED" w14:textId="4AB00A05">
      <w:pPr>
        <w:pStyle w:val="ECHRPlaceholder"/>
      </w:pPr>
      <w:bookmarkStart w:name="_Hlk95226835" w:id="7"/>
      <w:r w:rsidRPr="008C7A0D">
        <w:tab/>
      </w:r>
    </w:p>
    <w:bookmarkEnd w:id="7"/>
    <w:p w:rsidRPr="008C7A0D" w:rsidR="00C67D72" w:rsidP="008C7A0D" w:rsidRDefault="007907C0" w14:paraId="5708BF77" w14:textId="6DD7ADC1">
      <w:pPr>
        <w:pStyle w:val="JuSigned"/>
      </w:pPr>
      <w:r w:rsidRPr="008C7A0D">
        <w:tab/>
      </w:r>
      <w:r w:rsidRPr="008C7A0D" w:rsidR="009D72FD">
        <w:t>Hasan Bakırcı</w:t>
      </w:r>
      <w:r w:rsidRPr="008C7A0D" w:rsidR="001D1233">
        <w:tab/>
      </w:r>
      <w:r w:rsidRPr="008C7A0D" w:rsidR="004D1A77">
        <w:t>Carlo Ranzoni</w:t>
      </w:r>
      <w:r w:rsidRPr="008C7A0D" w:rsidR="001D1233">
        <w:br/>
      </w:r>
      <w:r w:rsidRPr="008C7A0D" w:rsidR="001D1233">
        <w:tab/>
      </w:r>
      <w:r w:rsidRPr="008C7A0D" w:rsidR="009D72FD">
        <w:t>Deputy Registrar</w:t>
      </w:r>
      <w:r w:rsidRPr="008C7A0D" w:rsidR="006267D3">
        <w:tab/>
        <w:t>President</w:t>
      </w:r>
    </w:p>
    <w:p w:rsidRPr="008C7A0D" w:rsidR="00C67D72" w:rsidP="008C7A0D" w:rsidRDefault="00C67D72" w14:paraId="0E218121" w14:textId="6D34F14E">
      <w:pPr>
        <w:pStyle w:val="DecHTitle"/>
      </w:pPr>
    </w:p>
    <w:sectPr w:rsidRPr="008C7A0D" w:rsidR="00C67D72" w:rsidSect="00C67D72">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7D347" w14:textId="77777777" w:rsidR="00317A75" w:rsidRPr="004D1A77" w:rsidRDefault="00317A75">
      <w:r w:rsidRPr="004D1A77">
        <w:separator/>
      </w:r>
    </w:p>
  </w:endnote>
  <w:endnote w:type="continuationSeparator" w:id="0">
    <w:p w14:paraId="3B6D8E01" w14:textId="77777777" w:rsidR="00317A75" w:rsidRPr="004D1A77" w:rsidRDefault="00317A75">
      <w:r w:rsidRPr="004D1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9AD8D" w14:textId="54DD8399" w:rsidR="00317A75" w:rsidRPr="004D1A77" w:rsidRDefault="00317A75"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4E468" w14:textId="3E15ADCB" w:rsidR="00317A75" w:rsidRPr="004D1A77" w:rsidRDefault="00317A75"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FB527" w14:textId="0096E4A0" w:rsidR="00317A75" w:rsidRPr="00150BFA" w:rsidRDefault="00317A75" w:rsidP="00C67D72">
    <w:pPr>
      <w:jc w:val="center"/>
    </w:pPr>
    <w:r w:rsidRPr="004D1A77">
      <w:rPr>
        <w:noProof/>
        <w:lang w:val="en-US" w:eastAsia="ja-JP"/>
      </w:rPr>
      <w:drawing>
        <wp:inline distT="0" distB="0" distL="0" distR="0" wp14:anchorId="51771615" wp14:editId="6096F79F">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B34BAF4" w14:textId="1AA6805B" w:rsidR="00317A75" w:rsidRPr="004D1A77" w:rsidRDefault="00317A75" w:rsidP="00C67D72">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CE121" w14:textId="77777777" w:rsidR="00317A75" w:rsidRPr="004D1A77" w:rsidRDefault="00317A75">
      <w:r w:rsidRPr="004D1A77">
        <w:separator/>
      </w:r>
    </w:p>
  </w:footnote>
  <w:footnote w:type="continuationSeparator" w:id="0">
    <w:p w14:paraId="4C464A45" w14:textId="77777777" w:rsidR="00317A75" w:rsidRPr="004D1A77" w:rsidRDefault="00317A75">
      <w:r w:rsidRPr="004D1A7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1729E" w14:textId="4EE20A70" w:rsidR="00317A75" w:rsidRPr="004D1A77" w:rsidRDefault="00317A75" w:rsidP="00C67D72">
    <w:pPr>
      <w:pStyle w:val="JuHeader"/>
    </w:pPr>
    <w:r>
      <w:t>JOHANSEN v. DENMARK</w:t>
    </w:r>
    <w:r w:rsidRPr="004D1A77">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384E7" w14:textId="402C3E9B" w:rsidR="00317A75" w:rsidRPr="004D1A77" w:rsidRDefault="00317A75" w:rsidP="000D61E7">
    <w:pPr>
      <w:pStyle w:val="JuHeader"/>
    </w:pPr>
    <w:r>
      <w:t>JOHANSEN v. DENMARK</w:t>
    </w:r>
    <w:r w:rsidRPr="004D1A77">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F4818" w14:textId="0B969630" w:rsidR="00317A75" w:rsidRPr="00A45145" w:rsidRDefault="00317A75" w:rsidP="00C67D72">
    <w:pPr>
      <w:jc w:val="center"/>
    </w:pPr>
    <w:r>
      <w:rPr>
        <w:noProof/>
        <w:lang w:val="en-US" w:eastAsia="ja-JP"/>
      </w:rPr>
      <w:drawing>
        <wp:inline distT="0" distB="0" distL="0" distR="0" wp14:anchorId="3B785C57" wp14:editId="137B59D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9DCD34E" w14:textId="7E33281B" w:rsidR="00317A75" w:rsidRPr="004D1A77" w:rsidRDefault="00317A75" w:rsidP="00C67D72">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4D1A77"/>
    <w:rsid w:val="00095FD8"/>
    <w:rsid w:val="000B0741"/>
    <w:rsid w:val="000B1FA9"/>
    <w:rsid w:val="000D2FB9"/>
    <w:rsid w:val="000D61E7"/>
    <w:rsid w:val="000E3A89"/>
    <w:rsid w:val="00132029"/>
    <w:rsid w:val="00144EBC"/>
    <w:rsid w:val="001B1257"/>
    <w:rsid w:val="001D1233"/>
    <w:rsid w:val="00223591"/>
    <w:rsid w:val="00280043"/>
    <w:rsid w:val="002855E8"/>
    <w:rsid w:val="002A7443"/>
    <w:rsid w:val="00317A75"/>
    <w:rsid w:val="003B50D7"/>
    <w:rsid w:val="003D798E"/>
    <w:rsid w:val="003E3C60"/>
    <w:rsid w:val="00452087"/>
    <w:rsid w:val="00464268"/>
    <w:rsid w:val="004A4C71"/>
    <w:rsid w:val="004B4E73"/>
    <w:rsid w:val="004C3F8A"/>
    <w:rsid w:val="004D1021"/>
    <w:rsid w:val="004D1A77"/>
    <w:rsid w:val="00521EFB"/>
    <w:rsid w:val="005412C4"/>
    <w:rsid w:val="005E56C2"/>
    <w:rsid w:val="005F11CB"/>
    <w:rsid w:val="00610354"/>
    <w:rsid w:val="006262FA"/>
    <w:rsid w:val="006267D3"/>
    <w:rsid w:val="006300E9"/>
    <w:rsid w:val="00653EF4"/>
    <w:rsid w:val="00656B81"/>
    <w:rsid w:val="006D4D63"/>
    <w:rsid w:val="006E123B"/>
    <w:rsid w:val="007907C0"/>
    <w:rsid w:val="007A74FC"/>
    <w:rsid w:val="007B2364"/>
    <w:rsid w:val="00812D10"/>
    <w:rsid w:val="00837EEE"/>
    <w:rsid w:val="008C7A0D"/>
    <w:rsid w:val="008D10E4"/>
    <w:rsid w:val="008E44D4"/>
    <w:rsid w:val="008F0A92"/>
    <w:rsid w:val="008F7189"/>
    <w:rsid w:val="009136AE"/>
    <w:rsid w:val="00956B2A"/>
    <w:rsid w:val="0096293E"/>
    <w:rsid w:val="009656DE"/>
    <w:rsid w:val="009B6F49"/>
    <w:rsid w:val="009C21E8"/>
    <w:rsid w:val="009D72FD"/>
    <w:rsid w:val="009E01FB"/>
    <w:rsid w:val="00A72716"/>
    <w:rsid w:val="00AA5AEE"/>
    <w:rsid w:val="00AC58E5"/>
    <w:rsid w:val="00B140D3"/>
    <w:rsid w:val="00BD1692"/>
    <w:rsid w:val="00C42C12"/>
    <w:rsid w:val="00C67D72"/>
    <w:rsid w:val="00C8038F"/>
    <w:rsid w:val="00CB3BD9"/>
    <w:rsid w:val="00D415D6"/>
    <w:rsid w:val="00DB6354"/>
    <w:rsid w:val="00E5464B"/>
    <w:rsid w:val="00EA1E3A"/>
    <w:rsid w:val="00EE38CA"/>
    <w:rsid w:val="00F0534F"/>
    <w:rsid w:val="00F24AB9"/>
    <w:rsid w:val="00F63618"/>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783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C7A0D"/>
    <w:rPr>
      <w:sz w:val="24"/>
      <w:szCs w:val="24"/>
      <w:lang w:val="en-GB"/>
    </w:rPr>
  </w:style>
  <w:style w:type="paragraph" w:styleId="Heading1">
    <w:name w:val="heading 1"/>
    <w:basedOn w:val="Normal"/>
    <w:next w:val="Normal"/>
    <w:link w:val="Heading1Char"/>
    <w:uiPriority w:val="98"/>
    <w:semiHidden/>
    <w:rsid w:val="008C7A0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C7A0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C7A0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C7A0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C7A0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C7A0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C7A0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C7A0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C7A0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8C7A0D"/>
    <w:pPr>
      <w:tabs>
        <w:tab w:val="center" w:pos="1418"/>
        <w:tab w:val="center" w:pos="5954"/>
      </w:tabs>
      <w:spacing w:before="720"/>
    </w:pPr>
  </w:style>
  <w:style w:type="paragraph" w:customStyle="1" w:styleId="JuPara">
    <w:name w:val="Ju_Para"/>
    <w:aliases w:val="_Para"/>
    <w:basedOn w:val="NormalJustified"/>
    <w:link w:val="JuParaChar"/>
    <w:uiPriority w:val="4"/>
    <w:qFormat/>
    <w:rsid w:val="008C7A0D"/>
    <w:pPr>
      <w:ind w:firstLine="284"/>
    </w:pPr>
  </w:style>
  <w:style w:type="character" w:styleId="PageNumber">
    <w:name w:val="page number"/>
    <w:uiPriority w:val="98"/>
    <w:semiHidden/>
    <w:rsid w:val="008C7A0D"/>
    <w:rPr>
      <w:sz w:val="18"/>
    </w:rPr>
  </w:style>
  <w:style w:type="character" w:styleId="CommentReference">
    <w:name w:val="annotation reference"/>
    <w:basedOn w:val="DefaultParagraphFont"/>
    <w:uiPriority w:val="98"/>
    <w:semiHidden/>
    <w:rsid w:val="008C7A0D"/>
    <w:rPr>
      <w:sz w:val="16"/>
      <w:szCs w:val="16"/>
    </w:rPr>
  </w:style>
  <w:style w:type="paragraph" w:styleId="CommentText">
    <w:name w:val="annotation text"/>
    <w:basedOn w:val="Normal"/>
    <w:link w:val="CommentTextChar"/>
    <w:uiPriority w:val="98"/>
    <w:semiHidden/>
    <w:rsid w:val="008C7A0D"/>
    <w:rPr>
      <w:sz w:val="20"/>
      <w:szCs w:val="20"/>
    </w:rPr>
  </w:style>
  <w:style w:type="character" w:customStyle="1" w:styleId="CommentTextChar">
    <w:name w:val="Comment Text Char"/>
    <w:basedOn w:val="DefaultParagraphFont"/>
    <w:link w:val="CommentText"/>
    <w:uiPriority w:val="98"/>
    <w:semiHidden/>
    <w:rsid w:val="008C7A0D"/>
    <w:rPr>
      <w:sz w:val="20"/>
      <w:szCs w:val="20"/>
      <w:lang w:val="en-GB"/>
    </w:rPr>
  </w:style>
  <w:style w:type="paragraph" w:customStyle="1" w:styleId="DecHTitle">
    <w:name w:val="Dec_H_Title"/>
    <w:aliases w:val="_Title_1"/>
    <w:basedOn w:val="JuPara"/>
    <w:next w:val="JuPara"/>
    <w:uiPriority w:val="38"/>
    <w:qFormat/>
    <w:rsid w:val="008C7A0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8C7A0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C7A0D"/>
    <w:pPr>
      <w:keepNext/>
      <w:keepLines/>
      <w:spacing w:before="1320" w:after="280"/>
      <w:contextualSpacing/>
      <w:jc w:val="center"/>
    </w:pPr>
    <w:rPr>
      <w:b/>
    </w:rPr>
  </w:style>
  <w:style w:type="paragraph" w:customStyle="1" w:styleId="JuHeader">
    <w:name w:val="Ju_Header"/>
    <w:aliases w:val="_Header"/>
    <w:basedOn w:val="Header"/>
    <w:uiPriority w:val="29"/>
    <w:qFormat/>
    <w:rsid w:val="008C7A0D"/>
    <w:pPr>
      <w:tabs>
        <w:tab w:val="clear" w:pos="4536"/>
        <w:tab w:val="clear" w:pos="9072"/>
      </w:tabs>
      <w:jc w:val="center"/>
    </w:pPr>
    <w:rPr>
      <w:sz w:val="18"/>
    </w:rPr>
  </w:style>
  <w:style w:type="paragraph" w:styleId="Header">
    <w:name w:val="header"/>
    <w:basedOn w:val="Normal"/>
    <w:link w:val="HeaderChar"/>
    <w:uiPriority w:val="98"/>
    <w:semiHidden/>
    <w:rsid w:val="008C7A0D"/>
    <w:pPr>
      <w:tabs>
        <w:tab w:val="center" w:pos="4536"/>
        <w:tab w:val="right" w:pos="9072"/>
      </w:tabs>
    </w:pPr>
  </w:style>
  <w:style w:type="character" w:customStyle="1" w:styleId="HeaderChar">
    <w:name w:val="Header Char"/>
    <w:basedOn w:val="DefaultParagraphFont"/>
    <w:link w:val="Header"/>
    <w:uiPriority w:val="98"/>
    <w:semiHidden/>
    <w:rsid w:val="008C7A0D"/>
    <w:rPr>
      <w:sz w:val="24"/>
      <w:szCs w:val="24"/>
      <w:lang w:val="en-GB"/>
    </w:rPr>
  </w:style>
  <w:style w:type="paragraph" w:styleId="BalloonText">
    <w:name w:val="Balloon Text"/>
    <w:basedOn w:val="Normal"/>
    <w:link w:val="BalloonTextChar"/>
    <w:uiPriority w:val="98"/>
    <w:semiHidden/>
    <w:rsid w:val="008C7A0D"/>
    <w:rPr>
      <w:rFonts w:ascii="Tahoma" w:hAnsi="Tahoma" w:cs="Tahoma"/>
      <w:sz w:val="16"/>
      <w:szCs w:val="16"/>
    </w:rPr>
  </w:style>
  <w:style w:type="character" w:customStyle="1" w:styleId="BalloonTextChar">
    <w:name w:val="Balloon Text Char"/>
    <w:basedOn w:val="DefaultParagraphFont"/>
    <w:link w:val="BalloonText"/>
    <w:uiPriority w:val="98"/>
    <w:semiHidden/>
    <w:rsid w:val="008C7A0D"/>
    <w:rPr>
      <w:rFonts w:ascii="Tahoma" w:hAnsi="Tahoma" w:cs="Tahoma"/>
      <w:sz w:val="16"/>
      <w:szCs w:val="16"/>
      <w:lang w:val="en-GB"/>
    </w:rPr>
  </w:style>
  <w:style w:type="paragraph" w:customStyle="1" w:styleId="DummyStyle">
    <w:name w:val="Dummy_Style"/>
    <w:aliases w:val="_Dummy"/>
    <w:basedOn w:val="Normal"/>
    <w:semiHidden/>
    <w:qFormat/>
    <w:rsid w:val="008C7A0D"/>
    <w:rPr>
      <w:color w:val="00B050"/>
      <w:sz w:val="22"/>
    </w:rPr>
  </w:style>
  <w:style w:type="paragraph" w:customStyle="1" w:styleId="NormalJustified">
    <w:name w:val="Normal_Justified"/>
    <w:basedOn w:val="Normal"/>
    <w:semiHidden/>
    <w:rsid w:val="008C7A0D"/>
    <w:pPr>
      <w:jc w:val="both"/>
    </w:pPr>
  </w:style>
  <w:style w:type="paragraph" w:customStyle="1" w:styleId="JuQuot">
    <w:name w:val="Ju_Quot"/>
    <w:aliases w:val="_Quote"/>
    <w:basedOn w:val="NormalJustified"/>
    <w:uiPriority w:val="20"/>
    <w:qFormat/>
    <w:rsid w:val="008C7A0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8C7A0D"/>
    <w:pPr>
      <w:keepNext/>
      <w:keepLines/>
      <w:tabs>
        <w:tab w:val="right" w:pos="7938"/>
      </w:tabs>
      <w:ind w:firstLine="0"/>
      <w:jc w:val="center"/>
    </w:pPr>
    <w:rPr>
      <w:i/>
    </w:rPr>
  </w:style>
  <w:style w:type="table" w:customStyle="1" w:styleId="ECHRDNTable">
    <w:name w:val="ECHR_DN_Table"/>
    <w:basedOn w:val="TableNormal"/>
    <w:uiPriority w:val="99"/>
    <w:rsid w:val="008C7A0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8C7A0D"/>
    <w:pPr>
      <w:numPr>
        <w:numId w:val="4"/>
      </w:numPr>
    </w:pPr>
  </w:style>
  <w:style w:type="numbering" w:customStyle="1" w:styleId="ECHRA1StyleList">
    <w:name w:val="ECHR_A1_Style_List"/>
    <w:basedOn w:val="NoList"/>
    <w:uiPriority w:val="99"/>
    <w:rsid w:val="008C7A0D"/>
    <w:pPr>
      <w:numPr>
        <w:numId w:val="5"/>
      </w:numPr>
    </w:pPr>
  </w:style>
  <w:style w:type="paragraph" w:customStyle="1" w:styleId="JuHArticle">
    <w:name w:val="Ju_H_Article"/>
    <w:aliases w:val="_Title_Quote"/>
    <w:basedOn w:val="Normal"/>
    <w:next w:val="JuQuot"/>
    <w:uiPriority w:val="19"/>
    <w:qFormat/>
    <w:rsid w:val="008C7A0D"/>
    <w:pPr>
      <w:keepNext/>
      <w:spacing w:before="100" w:beforeAutospacing="1" w:after="120"/>
      <w:contextualSpacing/>
      <w:jc w:val="center"/>
    </w:pPr>
    <w:rPr>
      <w:b/>
      <w:sz w:val="20"/>
    </w:rPr>
  </w:style>
  <w:style w:type="numbering" w:customStyle="1" w:styleId="ECHRA1StyleNumberedList">
    <w:name w:val="ECHR_A1_Style_Numbered_List"/>
    <w:basedOn w:val="NoList"/>
    <w:rsid w:val="008C7A0D"/>
    <w:pPr>
      <w:numPr>
        <w:numId w:val="6"/>
      </w:numPr>
    </w:pPr>
  </w:style>
  <w:style w:type="table" w:customStyle="1" w:styleId="ECHRHeaderTable">
    <w:name w:val="ECHR_Header_Table"/>
    <w:basedOn w:val="TableNormal"/>
    <w:uiPriority w:val="99"/>
    <w:rsid w:val="008C7A0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8C7A0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8C7A0D"/>
    <w:pPr>
      <w:tabs>
        <w:tab w:val="center" w:pos="6407"/>
      </w:tabs>
      <w:spacing w:before="720"/>
      <w:jc w:val="right"/>
    </w:pPr>
  </w:style>
  <w:style w:type="table" w:customStyle="1" w:styleId="ECHRHeaderTableReduced">
    <w:name w:val="ECHR_Header_Table_Reduced"/>
    <w:basedOn w:val="TableNormal"/>
    <w:uiPriority w:val="99"/>
    <w:rsid w:val="008C7A0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8C7A0D"/>
    <w:rPr>
      <w:caps w:val="0"/>
      <w:smallCaps/>
    </w:rPr>
  </w:style>
  <w:style w:type="character" w:customStyle="1" w:styleId="JuITMark">
    <w:name w:val="Ju_ITMark"/>
    <w:aliases w:val="_ITMark"/>
    <w:basedOn w:val="DefaultParagraphFont"/>
    <w:uiPriority w:val="54"/>
    <w:qFormat/>
    <w:rsid w:val="008C7A0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8C7A0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8C7A0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C7A0D"/>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8C7A0D"/>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8C7A0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8C7A0D"/>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8C7A0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8C7A0D"/>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8C7A0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8C7A0D"/>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8C7A0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8C7A0D"/>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8C7A0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8C7A0D"/>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8C7A0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8C7A0D"/>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8C7A0D"/>
    <w:pPr>
      <w:keepNext/>
      <w:keepLines/>
      <w:spacing w:before="240" w:after="240"/>
      <w:ind w:firstLine="284"/>
    </w:pPr>
  </w:style>
  <w:style w:type="table" w:customStyle="1" w:styleId="ECHRTableBoxHeader">
    <w:name w:val="ECHR_Table_Box_Header"/>
    <w:basedOn w:val="TableNormal"/>
    <w:rsid w:val="008C7A0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8C7A0D"/>
    <w:pPr>
      <w:tabs>
        <w:tab w:val="left" w:pos="567"/>
        <w:tab w:val="left" w:pos="1134"/>
      </w:tabs>
    </w:pPr>
  </w:style>
  <w:style w:type="paragraph" w:customStyle="1" w:styleId="JuList">
    <w:name w:val="Ju_List"/>
    <w:aliases w:val="_List_1"/>
    <w:basedOn w:val="NormalJustified"/>
    <w:uiPriority w:val="23"/>
    <w:qFormat/>
    <w:rsid w:val="008C7A0D"/>
    <w:pPr>
      <w:numPr>
        <w:numId w:val="10"/>
      </w:numPr>
      <w:spacing w:before="280" w:after="60"/>
    </w:pPr>
  </w:style>
  <w:style w:type="paragraph" w:customStyle="1" w:styleId="JuLista">
    <w:name w:val="Ju_List_a"/>
    <w:aliases w:val="_List_2"/>
    <w:basedOn w:val="NormalJustified"/>
    <w:uiPriority w:val="23"/>
    <w:rsid w:val="008C7A0D"/>
    <w:pPr>
      <w:numPr>
        <w:ilvl w:val="1"/>
        <w:numId w:val="10"/>
      </w:numPr>
    </w:pPr>
  </w:style>
  <w:style w:type="paragraph" w:customStyle="1" w:styleId="JuListi">
    <w:name w:val="Ju_List_i"/>
    <w:aliases w:val="_List_3"/>
    <w:basedOn w:val="NormalJustified"/>
    <w:uiPriority w:val="23"/>
    <w:rsid w:val="008C7A0D"/>
    <w:pPr>
      <w:numPr>
        <w:ilvl w:val="2"/>
        <w:numId w:val="10"/>
      </w:numPr>
    </w:pPr>
  </w:style>
  <w:style w:type="table" w:customStyle="1" w:styleId="ECHRTableFax">
    <w:name w:val="ECHR_Table_Fax"/>
    <w:basedOn w:val="TableNormal"/>
    <w:uiPriority w:val="99"/>
    <w:rsid w:val="008C7A0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8C7A0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8C7A0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8C7A0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C7A0D"/>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8C7A0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C7A0D"/>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8C7A0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C7A0D"/>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8C7A0D"/>
    <w:rPr>
      <w:b/>
      <w:bCs/>
    </w:rPr>
  </w:style>
  <w:style w:type="character" w:styleId="Emphasis">
    <w:name w:val="Emphasis"/>
    <w:uiPriority w:val="98"/>
    <w:semiHidden/>
    <w:qFormat/>
    <w:rsid w:val="008C7A0D"/>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8C7A0D"/>
  </w:style>
  <w:style w:type="character" w:customStyle="1" w:styleId="NoSpacingChar">
    <w:name w:val="No Spacing Char"/>
    <w:basedOn w:val="DefaultParagraphFont"/>
    <w:link w:val="NoSpacing"/>
    <w:uiPriority w:val="98"/>
    <w:semiHidden/>
    <w:rsid w:val="008C7A0D"/>
    <w:rPr>
      <w:sz w:val="24"/>
      <w:szCs w:val="24"/>
      <w:lang w:val="en-GB"/>
    </w:rPr>
  </w:style>
  <w:style w:type="paragraph" w:styleId="ListParagraph">
    <w:name w:val="List Paragraph"/>
    <w:basedOn w:val="Normal"/>
    <w:uiPriority w:val="98"/>
    <w:semiHidden/>
    <w:qFormat/>
    <w:rsid w:val="008C7A0D"/>
    <w:pPr>
      <w:ind w:left="720"/>
      <w:contextualSpacing/>
    </w:pPr>
  </w:style>
  <w:style w:type="paragraph" w:styleId="Quote">
    <w:name w:val="Quote"/>
    <w:basedOn w:val="Normal"/>
    <w:next w:val="Normal"/>
    <w:link w:val="QuoteChar"/>
    <w:uiPriority w:val="98"/>
    <w:semiHidden/>
    <w:qFormat/>
    <w:rsid w:val="008C7A0D"/>
    <w:pPr>
      <w:spacing w:before="200"/>
      <w:ind w:left="360" w:right="360"/>
    </w:pPr>
    <w:rPr>
      <w:i/>
      <w:iCs/>
      <w:lang w:bidi="en-US"/>
    </w:rPr>
  </w:style>
  <w:style w:type="character" w:customStyle="1" w:styleId="QuoteChar">
    <w:name w:val="Quote Char"/>
    <w:basedOn w:val="DefaultParagraphFont"/>
    <w:link w:val="Quote"/>
    <w:uiPriority w:val="98"/>
    <w:semiHidden/>
    <w:rsid w:val="008C7A0D"/>
    <w:rPr>
      <w:i/>
      <w:iCs/>
      <w:sz w:val="24"/>
      <w:szCs w:val="24"/>
      <w:lang w:val="en-GB" w:bidi="en-US"/>
    </w:rPr>
  </w:style>
  <w:style w:type="paragraph" w:styleId="IntenseQuote">
    <w:name w:val="Intense Quote"/>
    <w:basedOn w:val="Normal"/>
    <w:next w:val="Normal"/>
    <w:link w:val="IntenseQuoteChar"/>
    <w:uiPriority w:val="98"/>
    <w:semiHidden/>
    <w:qFormat/>
    <w:rsid w:val="008C7A0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C7A0D"/>
    <w:rPr>
      <w:b/>
      <w:bCs/>
      <w:i/>
      <w:iCs/>
      <w:sz w:val="24"/>
      <w:szCs w:val="24"/>
      <w:lang w:val="en-GB" w:bidi="en-US"/>
    </w:rPr>
  </w:style>
  <w:style w:type="character" w:styleId="SubtleEmphasis">
    <w:name w:val="Subtle Emphasis"/>
    <w:uiPriority w:val="98"/>
    <w:semiHidden/>
    <w:qFormat/>
    <w:rsid w:val="008C7A0D"/>
    <w:rPr>
      <w:i/>
      <w:iCs/>
    </w:rPr>
  </w:style>
  <w:style w:type="character" w:styleId="IntenseEmphasis">
    <w:name w:val="Intense Emphasis"/>
    <w:uiPriority w:val="98"/>
    <w:semiHidden/>
    <w:qFormat/>
    <w:rsid w:val="008C7A0D"/>
    <w:rPr>
      <w:b/>
      <w:bCs/>
    </w:rPr>
  </w:style>
  <w:style w:type="character" w:styleId="SubtleReference">
    <w:name w:val="Subtle Reference"/>
    <w:uiPriority w:val="98"/>
    <w:semiHidden/>
    <w:qFormat/>
    <w:rsid w:val="008C7A0D"/>
    <w:rPr>
      <w:smallCaps/>
    </w:rPr>
  </w:style>
  <w:style w:type="character" w:styleId="IntenseReference">
    <w:name w:val="Intense Reference"/>
    <w:uiPriority w:val="98"/>
    <w:semiHidden/>
    <w:qFormat/>
    <w:rsid w:val="008C7A0D"/>
    <w:rPr>
      <w:smallCaps/>
      <w:spacing w:val="5"/>
      <w:u w:val="single"/>
    </w:rPr>
  </w:style>
  <w:style w:type="character" w:styleId="BookTitle">
    <w:name w:val="Book Title"/>
    <w:uiPriority w:val="98"/>
    <w:semiHidden/>
    <w:qFormat/>
    <w:rsid w:val="008C7A0D"/>
    <w:rPr>
      <w:i/>
      <w:iCs/>
      <w:smallCaps/>
      <w:spacing w:val="5"/>
    </w:rPr>
  </w:style>
  <w:style w:type="paragraph" w:styleId="TOCHeading">
    <w:name w:val="TOC Heading"/>
    <w:basedOn w:val="Normal"/>
    <w:next w:val="Normal"/>
    <w:uiPriority w:val="98"/>
    <w:semiHidden/>
    <w:qFormat/>
    <w:rsid w:val="008C7A0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8C7A0D"/>
    <w:pPr>
      <w:numPr>
        <w:numId w:val="1"/>
      </w:numPr>
    </w:pPr>
  </w:style>
  <w:style w:type="numbering" w:styleId="1ai">
    <w:name w:val="Outline List 1"/>
    <w:basedOn w:val="NoList"/>
    <w:uiPriority w:val="99"/>
    <w:semiHidden/>
    <w:unhideWhenUsed/>
    <w:rsid w:val="008C7A0D"/>
    <w:pPr>
      <w:numPr>
        <w:numId w:val="2"/>
      </w:numPr>
    </w:pPr>
  </w:style>
  <w:style w:type="numbering" w:styleId="ArticleSection">
    <w:name w:val="Outline List 3"/>
    <w:basedOn w:val="NoList"/>
    <w:uiPriority w:val="99"/>
    <w:semiHidden/>
    <w:unhideWhenUsed/>
    <w:rsid w:val="008C7A0D"/>
    <w:pPr>
      <w:numPr>
        <w:numId w:val="3"/>
      </w:numPr>
    </w:pPr>
  </w:style>
  <w:style w:type="paragraph" w:styleId="Bibliography">
    <w:name w:val="Bibliography"/>
    <w:basedOn w:val="Normal"/>
    <w:next w:val="Normal"/>
    <w:uiPriority w:val="98"/>
    <w:semiHidden/>
    <w:rsid w:val="008C7A0D"/>
  </w:style>
  <w:style w:type="paragraph" w:styleId="BlockText">
    <w:name w:val="Block Text"/>
    <w:basedOn w:val="Normal"/>
    <w:uiPriority w:val="98"/>
    <w:semiHidden/>
    <w:rsid w:val="008C7A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8C7A0D"/>
    <w:pPr>
      <w:spacing w:after="120"/>
    </w:pPr>
  </w:style>
  <w:style w:type="character" w:customStyle="1" w:styleId="BodyTextChar">
    <w:name w:val="Body Text Char"/>
    <w:basedOn w:val="DefaultParagraphFont"/>
    <w:link w:val="BodyText"/>
    <w:uiPriority w:val="98"/>
    <w:semiHidden/>
    <w:rsid w:val="008C7A0D"/>
    <w:rPr>
      <w:sz w:val="24"/>
      <w:szCs w:val="24"/>
      <w:lang w:val="en-GB"/>
    </w:rPr>
  </w:style>
  <w:style w:type="paragraph" w:styleId="BodyText2">
    <w:name w:val="Body Text 2"/>
    <w:basedOn w:val="Normal"/>
    <w:link w:val="BodyText2Char"/>
    <w:uiPriority w:val="98"/>
    <w:semiHidden/>
    <w:rsid w:val="008C7A0D"/>
    <w:pPr>
      <w:spacing w:after="120" w:line="480" w:lineRule="auto"/>
    </w:pPr>
  </w:style>
  <w:style w:type="character" w:customStyle="1" w:styleId="BodyText2Char">
    <w:name w:val="Body Text 2 Char"/>
    <w:basedOn w:val="DefaultParagraphFont"/>
    <w:link w:val="BodyText2"/>
    <w:uiPriority w:val="98"/>
    <w:semiHidden/>
    <w:rsid w:val="008C7A0D"/>
    <w:rPr>
      <w:sz w:val="24"/>
      <w:szCs w:val="24"/>
      <w:lang w:val="en-GB"/>
    </w:rPr>
  </w:style>
  <w:style w:type="paragraph" w:styleId="BodyText3">
    <w:name w:val="Body Text 3"/>
    <w:basedOn w:val="Normal"/>
    <w:link w:val="BodyText3Char"/>
    <w:uiPriority w:val="98"/>
    <w:semiHidden/>
    <w:rsid w:val="008C7A0D"/>
    <w:pPr>
      <w:spacing w:after="120"/>
    </w:pPr>
    <w:rPr>
      <w:sz w:val="16"/>
      <w:szCs w:val="16"/>
    </w:rPr>
  </w:style>
  <w:style w:type="character" w:customStyle="1" w:styleId="BodyText3Char">
    <w:name w:val="Body Text 3 Char"/>
    <w:basedOn w:val="DefaultParagraphFont"/>
    <w:link w:val="BodyText3"/>
    <w:uiPriority w:val="98"/>
    <w:semiHidden/>
    <w:rsid w:val="008C7A0D"/>
    <w:rPr>
      <w:sz w:val="16"/>
      <w:szCs w:val="16"/>
      <w:lang w:val="en-GB"/>
    </w:rPr>
  </w:style>
  <w:style w:type="paragraph" w:styleId="BodyTextFirstIndent">
    <w:name w:val="Body Text First Indent"/>
    <w:basedOn w:val="BodyText"/>
    <w:link w:val="BodyTextFirstIndentChar"/>
    <w:uiPriority w:val="98"/>
    <w:semiHidden/>
    <w:rsid w:val="008C7A0D"/>
    <w:pPr>
      <w:spacing w:after="0"/>
      <w:ind w:firstLine="360"/>
    </w:pPr>
  </w:style>
  <w:style w:type="character" w:customStyle="1" w:styleId="BodyTextFirstIndentChar">
    <w:name w:val="Body Text First Indent Char"/>
    <w:basedOn w:val="BodyTextChar"/>
    <w:link w:val="BodyTextFirstIndent"/>
    <w:uiPriority w:val="98"/>
    <w:semiHidden/>
    <w:rsid w:val="008C7A0D"/>
    <w:rPr>
      <w:sz w:val="24"/>
      <w:szCs w:val="24"/>
      <w:lang w:val="en-GB"/>
    </w:rPr>
  </w:style>
  <w:style w:type="paragraph" w:styleId="BodyTextIndent">
    <w:name w:val="Body Text Indent"/>
    <w:basedOn w:val="Normal"/>
    <w:link w:val="BodyTextIndentChar"/>
    <w:uiPriority w:val="98"/>
    <w:semiHidden/>
    <w:rsid w:val="008C7A0D"/>
    <w:pPr>
      <w:spacing w:after="120"/>
      <w:ind w:left="283"/>
    </w:pPr>
  </w:style>
  <w:style w:type="character" w:customStyle="1" w:styleId="BodyTextIndentChar">
    <w:name w:val="Body Text Indent Char"/>
    <w:basedOn w:val="DefaultParagraphFont"/>
    <w:link w:val="BodyTextIndent"/>
    <w:uiPriority w:val="98"/>
    <w:semiHidden/>
    <w:rsid w:val="008C7A0D"/>
    <w:rPr>
      <w:sz w:val="24"/>
      <w:szCs w:val="24"/>
      <w:lang w:val="en-GB"/>
    </w:rPr>
  </w:style>
  <w:style w:type="paragraph" w:styleId="BodyTextFirstIndent2">
    <w:name w:val="Body Text First Indent 2"/>
    <w:basedOn w:val="BodyTextIndent"/>
    <w:link w:val="BodyTextFirstIndent2Char"/>
    <w:uiPriority w:val="98"/>
    <w:semiHidden/>
    <w:rsid w:val="008C7A0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C7A0D"/>
    <w:rPr>
      <w:sz w:val="24"/>
      <w:szCs w:val="24"/>
      <w:lang w:val="en-GB"/>
    </w:rPr>
  </w:style>
  <w:style w:type="paragraph" w:styleId="BodyTextIndent2">
    <w:name w:val="Body Text Indent 2"/>
    <w:basedOn w:val="Normal"/>
    <w:link w:val="BodyTextIndent2Char"/>
    <w:uiPriority w:val="98"/>
    <w:semiHidden/>
    <w:rsid w:val="008C7A0D"/>
    <w:pPr>
      <w:spacing w:after="120" w:line="480" w:lineRule="auto"/>
      <w:ind w:left="283"/>
    </w:pPr>
  </w:style>
  <w:style w:type="character" w:customStyle="1" w:styleId="BodyTextIndent2Char">
    <w:name w:val="Body Text Indent 2 Char"/>
    <w:basedOn w:val="DefaultParagraphFont"/>
    <w:link w:val="BodyTextIndent2"/>
    <w:uiPriority w:val="98"/>
    <w:semiHidden/>
    <w:rsid w:val="008C7A0D"/>
    <w:rPr>
      <w:sz w:val="24"/>
      <w:szCs w:val="24"/>
      <w:lang w:val="en-GB"/>
    </w:rPr>
  </w:style>
  <w:style w:type="paragraph" w:styleId="BodyTextIndent3">
    <w:name w:val="Body Text Indent 3"/>
    <w:basedOn w:val="Normal"/>
    <w:link w:val="BodyTextIndent3Char"/>
    <w:uiPriority w:val="98"/>
    <w:semiHidden/>
    <w:rsid w:val="008C7A0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C7A0D"/>
    <w:rPr>
      <w:sz w:val="16"/>
      <w:szCs w:val="16"/>
      <w:lang w:val="en-GB"/>
    </w:rPr>
  </w:style>
  <w:style w:type="paragraph" w:styleId="Caption">
    <w:name w:val="caption"/>
    <w:basedOn w:val="Normal"/>
    <w:next w:val="Normal"/>
    <w:uiPriority w:val="98"/>
    <w:semiHidden/>
    <w:qFormat/>
    <w:rsid w:val="008C7A0D"/>
    <w:pPr>
      <w:spacing w:after="200"/>
    </w:pPr>
    <w:rPr>
      <w:b/>
      <w:bCs/>
      <w:color w:val="0072BC" w:themeColor="accent1"/>
      <w:sz w:val="18"/>
      <w:szCs w:val="18"/>
    </w:rPr>
  </w:style>
  <w:style w:type="paragraph" w:styleId="Closing">
    <w:name w:val="Closing"/>
    <w:basedOn w:val="Normal"/>
    <w:link w:val="ClosingChar"/>
    <w:uiPriority w:val="98"/>
    <w:semiHidden/>
    <w:rsid w:val="008C7A0D"/>
    <w:pPr>
      <w:ind w:left="4252"/>
    </w:pPr>
  </w:style>
  <w:style w:type="character" w:customStyle="1" w:styleId="ClosingChar">
    <w:name w:val="Closing Char"/>
    <w:basedOn w:val="DefaultParagraphFont"/>
    <w:link w:val="Closing"/>
    <w:uiPriority w:val="98"/>
    <w:semiHidden/>
    <w:rsid w:val="008C7A0D"/>
    <w:rPr>
      <w:sz w:val="24"/>
      <w:szCs w:val="24"/>
      <w:lang w:val="en-GB"/>
    </w:rPr>
  </w:style>
  <w:style w:type="table" w:styleId="ColorfulGrid">
    <w:name w:val="Colorful Grid"/>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C7A0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C7A0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C7A0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C7A0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C7A0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C7A0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C7A0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C7A0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C7A0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C7A0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C7A0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C7A0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C7A0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C7A0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C7A0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C7A0D"/>
    <w:rPr>
      <w:b/>
      <w:bCs/>
    </w:rPr>
  </w:style>
  <w:style w:type="character" w:customStyle="1" w:styleId="CommentSubjectChar">
    <w:name w:val="Comment Subject Char"/>
    <w:basedOn w:val="CommentTextChar"/>
    <w:link w:val="CommentSubject"/>
    <w:uiPriority w:val="98"/>
    <w:semiHidden/>
    <w:rsid w:val="008C7A0D"/>
    <w:rPr>
      <w:b/>
      <w:bCs/>
      <w:sz w:val="20"/>
      <w:szCs w:val="20"/>
      <w:lang w:val="en-GB"/>
    </w:rPr>
  </w:style>
  <w:style w:type="table" w:styleId="DarkList">
    <w:name w:val="Dark List"/>
    <w:basedOn w:val="TableNormal"/>
    <w:uiPriority w:val="70"/>
    <w:semiHidden/>
    <w:rsid w:val="008C7A0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C7A0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C7A0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C7A0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C7A0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C7A0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C7A0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C7A0D"/>
  </w:style>
  <w:style w:type="character" w:customStyle="1" w:styleId="DateChar">
    <w:name w:val="Date Char"/>
    <w:basedOn w:val="DefaultParagraphFont"/>
    <w:link w:val="Date"/>
    <w:uiPriority w:val="98"/>
    <w:semiHidden/>
    <w:rsid w:val="008C7A0D"/>
    <w:rPr>
      <w:sz w:val="24"/>
      <w:szCs w:val="24"/>
      <w:lang w:val="en-GB"/>
    </w:rPr>
  </w:style>
  <w:style w:type="paragraph" w:styleId="DocumentMap">
    <w:name w:val="Document Map"/>
    <w:basedOn w:val="Normal"/>
    <w:link w:val="DocumentMapChar"/>
    <w:uiPriority w:val="98"/>
    <w:semiHidden/>
    <w:rsid w:val="008C7A0D"/>
    <w:rPr>
      <w:rFonts w:ascii="Tahoma" w:hAnsi="Tahoma" w:cs="Tahoma"/>
      <w:sz w:val="16"/>
      <w:szCs w:val="16"/>
    </w:rPr>
  </w:style>
  <w:style w:type="character" w:customStyle="1" w:styleId="DocumentMapChar">
    <w:name w:val="Document Map Char"/>
    <w:basedOn w:val="DefaultParagraphFont"/>
    <w:link w:val="DocumentMap"/>
    <w:uiPriority w:val="98"/>
    <w:semiHidden/>
    <w:rsid w:val="008C7A0D"/>
    <w:rPr>
      <w:rFonts w:ascii="Tahoma" w:hAnsi="Tahoma" w:cs="Tahoma"/>
      <w:sz w:val="16"/>
      <w:szCs w:val="16"/>
      <w:lang w:val="en-GB"/>
    </w:rPr>
  </w:style>
  <w:style w:type="paragraph" w:styleId="E-mailSignature">
    <w:name w:val="E-mail Signature"/>
    <w:basedOn w:val="Normal"/>
    <w:link w:val="E-mailSignatureChar"/>
    <w:uiPriority w:val="98"/>
    <w:semiHidden/>
    <w:rsid w:val="008C7A0D"/>
  </w:style>
  <w:style w:type="character" w:customStyle="1" w:styleId="E-mailSignatureChar">
    <w:name w:val="E-mail Signature Char"/>
    <w:basedOn w:val="DefaultParagraphFont"/>
    <w:link w:val="E-mailSignature"/>
    <w:uiPriority w:val="98"/>
    <w:semiHidden/>
    <w:rsid w:val="008C7A0D"/>
    <w:rPr>
      <w:sz w:val="24"/>
      <w:szCs w:val="24"/>
      <w:lang w:val="en-GB"/>
    </w:rPr>
  </w:style>
  <w:style w:type="character" w:styleId="EndnoteReference">
    <w:name w:val="endnote reference"/>
    <w:basedOn w:val="DefaultParagraphFont"/>
    <w:uiPriority w:val="98"/>
    <w:semiHidden/>
    <w:rsid w:val="008C7A0D"/>
    <w:rPr>
      <w:vertAlign w:val="superscript"/>
    </w:rPr>
  </w:style>
  <w:style w:type="paragraph" w:styleId="EndnoteText">
    <w:name w:val="endnote text"/>
    <w:basedOn w:val="Normal"/>
    <w:link w:val="EndnoteTextChar"/>
    <w:uiPriority w:val="98"/>
    <w:semiHidden/>
    <w:rsid w:val="008C7A0D"/>
    <w:rPr>
      <w:sz w:val="20"/>
      <w:szCs w:val="20"/>
    </w:rPr>
  </w:style>
  <w:style w:type="character" w:customStyle="1" w:styleId="EndnoteTextChar">
    <w:name w:val="Endnote Text Char"/>
    <w:basedOn w:val="DefaultParagraphFont"/>
    <w:link w:val="EndnoteText"/>
    <w:uiPriority w:val="98"/>
    <w:semiHidden/>
    <w:rsid w:val="008C7A0D"/>
    <w:rPr>
      <w:sz w:val="20"/>
      <w:szCs w:val="20"/>
      <w:lang w:val="en-GB"/>
    </w:rPr>
  </w:style>
  <w:style w:type="paragraph" w:styleId="EnvelopeAddress">
    <w:name w:val="envelope address"/>
    <w:basedOn w:val="Normal"/>
    <w:uiPriority w:val="98"/>
    <w:semiHidden/>
    <w:rsid w:val="008C7A0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C7A0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C7A0D"/>
    <w:rPr>
      <w:color w:val="7030A0" w:themeColor="followedHyperlink"/>
      <w:u w:val="single"/>
    </w:rPr>
  </w:style>
  <w:style w:type="character" w:styleId="FootnoteReference">
    <w:name w:val="footnote reference"/>
    <w:basedOn w:val="DefaultParagraphFont"/>
    <w:uiPriority w:val="98"/>
    <w:semiHidden/>
    <w:rsid w:val="008C7A0D"/>
    <w:rPr>
      <w:vertAlign w:val="superscript"/>
    </w:rPr>
  </w:style>
  <w:style w:type="paragraph" w:styleId="FootnoteText">
    <w:name w:val="footnote text"/>
    <w:basedOn w:val="NormalJustified"/>
    <w:link w:val="FootnoteTextChar"/>
    <w:uiPriority w:val="98"/>
    <w:semiHidden/>
    <w:rsid w:val="008C7A0D"/>
    <w:rPr>
      <w:sz w:val="20"/>
      <w:szCs w:val="20"/>
    </w:rPr>
  </w:style>
  <w:style w:type="character" w:customStyle="1" w:styleId="FootnoteTextChar">
    <w:name w:val="Footnote Text Char"/>
    <w:basedOn w:val="DefaultParagraphFont"/>
    <w:link w:val="FootnoteText"/>
    <w:uiPriority w:val="98"/>
    <w:semiHidden/>
    <w:rsid w:val="008C7A0D"/>
    <w:rPr>
      <w:sz w:val="20"/>
      <w:szCs w:val="20"/>
      <w:lang w:val="en-GB"/>
    </w:rPr>
  </w:style>
  <w:style w:type="character" w:styleId="HTMLAcronym">
    <w:name w:val="HTML Acronym"/>
    <w:basedOn w:val="DefaultParagraphFont"/>
    <w:uiPriority w:val="98"/>
    <w:semiHidden/>
    <w:rsid w:val="008C7A0D"/>
  </w:style>
  <w:style w:type="paragraph" w:styleId="HTMLAddress">
    <w:name w:val="HTML Address"/>
    <w:basedOn w:val="Normal"/>
    <w:link w:val="HTMLAddressChar"/>
    <w:uiPriority w:val="98"/>
    <w:semiHidden/>
    <w:rsid w:val="008C7A0D"/>
    <w:rPr>
      <w:i/>
      <w:iCs/>
    </w:rPr>
  </w:style>
  <w:style w:type="character" w:customStyle="1" w:styleId="HTMLAddressChar">
    <w:name w:val="HTML Address Char"/>
    <w:basedOn w:val="DefaultParagraphFont"/>
    <w:link w:val="HTMLAddress"/>
    <w:uiPriority w:val="98"/>
    <w:semiHidden/>
    <w:rsid w:val="008C7A0D"/>
    <w:rPr>
      <w:i/>
      <w:iCs/>
      <w:sz w:val="24"/>
      <w:szCs w:val="24"/>
      <w:lang w:val="en-GB"/>
    </w:rPr>
  </w:style>
  <w:style w:type="character" w:styleId="HTMLCite">
    <w:name w:val="HTML Cite"/>
    <w:basedOn w:val="DefaultParagraphFont"/>
    <w:uiPriority w:val="98"/>
    <w:semiHidden/>
    <w:rsid w:val="008C7A0D"/>
    <w:rPr>
      <w:i/>
      <w:iCs/>
    </w:rPr>
  </w:style>
  <w:style w:type="character" w:styleId="HTMLCode">
    <w:name w:val="HTML Code"/>
    <w:basedOn w:val="DefaultParagraphFont"/>
    <w:uiPriority w:val="98"/>
    <w:semiHidden/>
    <w:rsid w:val="008C7A0D"/>
    <w:rPr>
      <w:rFonts w:ascii="Consolas" w:hAnsi="Consolas" w:cs="Consolas"/>
      <w:sz w:val="20"/>
      <w:szCs w:val="20"/>
    </w:rPr>
  </w:style>
  <w:style w:type="character" w:styleId="HTMLDefinition">
    <w:name w:val="HTML Definition"/>
    <w:basedOn w:val="DefaultParagraphFont"/>
    <w:uiPriority w:val="98"/>
    <w:semiHidden/>
    <w:rsid w:val="008C7A0D"/>
    <w:rPr>
      <w:i/>
      <w:iCs/>
    </w:rPr>
  </w:style>
  <w:style w:type="character" w:styleId="HTMLKeyboard">
    <w:name w:val="HTML Keyboard"/>
    <w:basedOn w:val="DefaultParagraphFont"/>
    <w:uiPriority w:val="98"/>
    <w:semiHidden/>
    <w:rsid w:val="008C7A0D"/>
    <w:rPr>
      <w:rFonts w:ascii="Consolas" w:hAnsi="Consolas" w:cs="Consolas"/>
      <w:sz w:val="20"/>
      <w:szCs w:val="20"/>
    </w:rPr>
  </w:style>
  <w:style w:type="paragraph" w:styleId="HTMLPreformatted">
    <w:name w:val="HTML Preformatted"/>
    <w:basedOn w:val="Normal"/>
    <w:link w:val="HTMLPreformattedChar"/>
    <w:uiPriority w:val="98"/>
    <w:semiHidden/>
    <w:rsid w:val="008C7A0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C7A0D"/>
    <w:rPr>
      <w:rFonts w:ascii="Consolas" w:hAnsi="Consolas" w:cs="Consolas"/>
      <w:sz w:val="20"/>
      <w:szCs w:val="20"/>
      <w:lang w:val="en-GB"/>
    </w:rPr>
  </w:style>
  <w:style w:type="character" w:styleId="HTMLSample">
    <w:name w:val="HTML Sample"/>
    <w:basedOn w:val="DefaultParagraphFont"/>
    <w:uiPriority w:val="98"/>
    <w:semiHidden/>
    <w:rsid w:val="008C7A0D"/>
    <w:rPr>
      <w:rFonts w:ascii="Consolas" w:hAnsi="Consolas" w:cs="Consolas"/>
      <w:sz w:val="24"/>
      <w:szCs w:val="24"/>
    </w:rPr>
  </w:style>
  <w:style w:type="character" w:styleId="HTMLTypewriter">
    <w:name w:val="HTML Typewriter"/>
    <w:basedOn w:val="DefaultParagraphFont"/>
    <w:uiPriority w:val="98"/>
    <w:semiHidden/>
    <w:rsid w:val="008C7A0D"/>
    <w:rPr>
      <w:rFonts w:ascii="Consolas" w:hAnsi="Consolas" w:cs="Consolas"/>
      <w:sz w:val="20"/>
      <w:szCs w:val="20"/>
    </w:rPr>
  </w:style>
  <w:style w:type="character" w:styleId="HTMLVariable">
    <w:name w:val="HTML Variable"/>
    <w:basedOn w:val="DefaultParagraphFont"/>
    <w:uiPriority w:val="98"/>
    <w:semiHidden/>
    <w:rsid w:val="008C7A0D"/>
    <w:rPr>
      <w:i/>
      <w:iCs/>
    </w:rPr>
  </w:style>
  <w:style w:type="character" w:styleId="Hyperlink">
    <w:name w:val="Hyperlink"/>
    <w:basedOn w:val="DefaultParagraphFont"/>
    <w:uiPriority w:val="98"/>
    <w:semiHidden/>
    <w:rsid w:val="008C7A0D"/>
    <w:rPr>
      <w:color w:val="0072BC" w:themeColor="hyperlink"/>
      <w:u w:val="single"/>
    </w:rPr>
  </w:style>
  <w:style w:type="paragraph" w:styleId="Index1">
    <w:name w:val="index 1"/>
    <w:basedOn w:val="Normal"/>
    <w:next w:val="Normal"/>
    <w:autoRedefine/>
    <w:uiPriority w:val="98"/>
    <w:semiHidden/>
    <w:rsid w:val="008C7A0D"/>
    <w:pPr>
      <w:ind w:left="240" w:hanging="240"/>
    </w:pPr>
  </w:style>
  <w:style w:type="paragraph" w:styleId="Index2">
    <w:name w:val="index 2"/>
    <w:basedOn w:val="Normal"/>
    <w:next w:val="Normal"/>
    <w:autoRedefine/>
    <w:uiPriority w:val="98"/>
    <w:semiHidden/>
    <w:rsid w:val="008C7A0D"/>
    <w:pPr>
      <w:ind w:left="480" w:hanging="240"/>
    </w:pPr>
  </w:style>
  <w:style w:type="paragraph" w:styleId="Index3">
    <w:name w:val="index 3"/>
    <w:basedOn w:val="Normal"/>
    <w:next w:val="Normal"/>
    <w:autoRedefine/>
    <w:uiPriority w:val="98"/>
    <w:semiHidden/>
    <w:rsid w:val="008C7A0D"/>
    <w:pPr>
      <w:ind w:left="720" w:hanging="240"/>
    </w:pPr>
  </w:style>
  <w:style w:type="paragraph" w:styleId="Index4">
    <w:name w:val="index 4"/>
    <w:basedOn w:val="Normal"/>
    <w:next w:val="Normal"/>
    <w:autoRedefine/>
    <w:uiPriority w:val="98"/>
    <w:semiHidden/>
    <w:rsid w:val="008C7A0D"/>
    <w:pPr>
      <w:ind w:left="960" w:hanging="240"/>
    </w:pPr>
  </w:style>
  <w:style w:type="paragraph" w:styleId="Index5">
    <w:name w:val="index 5"/>
    <w:basedOn w:val="Normal"/>
    <w:next w:val="Normal"/>
    <w:autoRedefine/>
    <w:uiPriority w:val="98"/>
    <w:semiHidden/>
    <w:rsid w:val="008C7A0D"/>
    <w:pPr>
      <w:ind w:left="1200" w:hanging="240"/>
    </w:pPr>
  </w:style>
  <w:style w:type="paragraph" w:styleId="Index6">
    <w:name w:val="index 6"/>
    <w:basedOn w:val="Normal"/>
    <w:next w:val="Normal"/>
    <w:autoRedefine/>
    <w:uiPriority w:val="98"/>
    <w:semiHidden/>
    <w:rsid w:val="008C7A0D"/>
    <w:pPr>
      <w:ind w:left="1440" w:hanging="240"/>
    </w:pPr>
  </w:style>
  <w:style w:type="paragraph" w:styleId="Index7">
    <w:name w:val="index 7"/>
    <w:basedOn w:val="Normal"/>
    <w:next w:val="Normal"/>
    <w:autoRedefine/>
    <w:uiPriority w:val="98"/>
    <w:semiHidden/>
    <w:rsid w:val="008C7A0D"/>
    <w:pPr>
      <w:ind w:left="1680" w:hanging="240"/>
    </w:pPr>
  </w:style>
  <w:style w:type="paragraph" w:styleId="Index8">
    <w:name w:val="index 8"/>
    <w:basedOn w:val="Normal"/>
    <w:next w:val="Normal"/>
    <w:autoRedefine/>
    <w:uiPriority w:val="98"/>
    <w:semiHidden/>
    <w:rsid w:val="008C7A0D"/>
    <w:pPr>
      <w:ind w:left="1920" w:hanging="240"/>
    </w:pPr>
  </w:style>
  <w:style w:type="paragraph" w:styleId="Index9">
    <w:name w:val="index 9"/>
    <w:basedOn w:val="Normal"/>
    <w:next w:val="Normal"/>
    <w:autoRedefine/>
    <w:uiPriority w:val="98"/>
    <w:semiHidden/>
    <w:rsid w:val="008C7A0D"/>
    <w:pPr>
      <w:ind w:left="2160" w:hanging="240"/>
    </w:pPr>
  </w:style>
  <w:style w:type="paragraph" w:styleId="IndexHeading">
    <w:name w:val="index heading"/>
    <w:basedOn w:val="Normal"/>
    <w:next w:val="Index1"/>
    <w:uiPriority w:val="98"/>
    <w:semiHidden/>
    <w:rsid w:val="008C7A0D"/>
    <w:rPr>
      <w:rFonts w:asciiTheme="majorHAnsi" w:eastAsiaTheme="majorEastAsia" w:hAnsiTheme="majorHAnsi" w:cstheme="majorBidi"/>
      <w:b/>
      <w:bCs/>
    </w:rPr>
  </w:style>
  <w:style w:type="table" w:styleId="LightGrid">
    <w:name w:val="Light Grid"/>
    <w:basedOn w:val="TableNormal"/>
    <w:uiPriority w:val="62"/>
    <w:semiHidden/>
    <w:rsid w:val="008C7A0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C7A0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C7A0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C7A0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C7A0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C7A0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C7A0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C7A0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C7A0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C7A0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C7A0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C7A0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C7A0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C7A0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C7A0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C7A0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C7A0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C7A0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C7A0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C7A0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C7A0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C7A0D"/>
  </w:style>
  <w:style w:type="paragraph" w:styleId="List">
    <w:name w:val="List"/>
    <w:basedOn w:val="Normal"/>
    <w:uiPriority w:val="98"/>
    <w:semiHidden/>
    <w:rsid w:val="008C7A0D"/>
    <w:pPr>
      <w:ind w:left="283" w:hanging="283"/>
      <w:contextualSpacing/>
    </w:pPr>
  </w:style>
  <w:style w:type="paragraph" w:styleId="List2">
    <w:name w:val="List 2"/>
    <w:basedOn w:val="Normal"/>
    <w:uiPriority w:val="98"/>
    <w:semiHidden/>
    <w:rsid w:val="008C7A0D"/>
    <w:pPr>
      <w:ind w:left="566" w:hanging="283"/>
      <w:contextualSpacing/>
    </w:pPr>
  </w:style>
  <w:style w:type="paragraph" w:styleId="List3">
    <w:name w:val="List 3"/>
    <w:basedOn w:val="Normal"/>
    <w:uiPriority w:val="98"/>
    <w:semiHidden/>
    <w:rsid w:val="008C7A0D"/>
    <w:pPr>
      <w:ind w:left="849" w:hanging="283"/>
      <w:contextualSpacing/>
    </w:pPr>
  </w:style>
  <w:style w:type="paragraph" w:styleId="List4">
    <w:name w:val="List 4"/>
    <w:basedOn w:val="Normal"/>
    <w:uiPriority w:val="98"/>
    <w:semiHidden/>
    <w:rsid w:val="008C7A0D"/>
    <w:pPr>
      <w:ind w:left="1132" w:hanging="283"/>
      <w:contextualSpacing/>
    </w:pPr>
  </w:style>
  <w:style w:type="paragraph" w:styleId="List5">
    <w:name w:val="List 5"/>
    <w:basedOn w:val="Normal"/>
    <w:uiPriority w:val="98"/>
    <w:semiHidden/>
    <w:rsid w:val="008C7A0D"/>
    <w:pPr>
      <w:ind w:left="1415" w:hanging="283"/>
      <w:contextualSpacing/>
    </w:pPr>
  </w:style>
  <w:style w:type="paragraph" w:styleId="ListBullet">
    <w:name w:val="List Bullet"/>
    <w:basedOn w:val="Normal"/>
    <w:uiPriority w:val="98"/>
    <w:semiHidden/>
    <w:rsid w:val="008C7A0D"/>
    <w:pPr>
      <w:numPr>
        <w:numId w:val="11"/>
      </w:numPr>
    </w:pPr>
  </w:style>
  <w:style w:type="paragraph" w:styleId="ListBullet2">
    <w:name w:val="List Bullet 2"/>
    <w:basedOn w:val="Normal"/>
    <w:uiPriority w:val="98"/>
    <w:semiHidden/>
    <w:rsid w:val="008C7A0D"/>
    <w:pPr>
      <w:numPr>
        <w:numId w:val="12"/>
      </w:numPr>
      <w:contextualSpacing/>
    </w:pPr>
  </w:style>
  <w:style w:type="paragraph" w:styleId="ListBullet3">
    <w:name w:val="List Bullet 3"/>
    <w:basedOn w:val="Normal"/>
    <w:uiPriority w:val="98"/>
    <w:semiHidden/>
    <w:rsid w:val="008C7A0D"/>
    <w:pPr>
      <w:numPr>
        <w:numId w:val="13"/>
      </w:numPr>
      <w:contextualSpacing/>
    </w:pPr>
  </w:style>
  <w:style w:type="paragraph" w:styleId="ListBullet4">
    <w:name w:val="List Bullet 4"/>
    <w:basedOn w:val="Normal"/>
    <w:uiPriority w:val="98"/>
    <w:semiHidden/>
    <w:rsid w:val="008C7A0D"/>
    <w:pPr>
      <w:numPr>
        <w:numId w:val="14"/>
      </w:numPr>
      <w:contextualSpacing/>
    </w:pPr>
  </w:style>
  <w:style w:type="paragraph" w:styleId="ListBullet5">
    <w:name w:val="List Bullet 5"/>
    <w:basedOn w:val="Normal"/>
    <w:uiPriority w:val="98"/>
    <w:semiHidden/>
    <w:rsid w:val="008C7A0D"/>
    <w:pPr>
      <w:numPr>
        <w:numId w:val="15"/>
      </w:numPr>
      <w:contextualSpacing/>
    </w:pPr>
  </w:style>
  <w:style w:type="paragraph" w:styleId="ListContinue">
    <w:name w:val="List Continue"/>
    <w:basedOn w:val="Normal"/>
    <w:uiPriority w:val="98"/>
    <w:semiHidden/>
    <w:rsid w:val="008C7A0D"/>
    <w:pPr>
      <w:spacing w:after="120"/>
      <w:ind w:left="283"/>
      <w:contextualSpacing/>
    </w:pPr>
  </w:style>
  <w:style w:type="paragraph" w:styleId="ListContinue2">
    <w:name w:val="List Continue 2"/>
    <w:basedOn w:val="Normal"/>
    <w:uiPriority w:val="98"/>
    <w:semiHidden/>
    <w:rsid w:val="008C7A0D"/>
    <w:pPr>
      <w:spacing w:after="120"/>
      <w:ind w:left="566"/>
      <w:contextualSpacing/>
    </w:pPr>
  </w:style>
  <w:style w:type="paragraph" w:styleId="ListContinue3">
    <w:name w:val="List Continue 3"/>
    <w:basedOn w:val="Normal"/>
    <w:uiPriority w:val="98"/>
    <w:semiHidden/>
    <w:rsid w:val="008C7A0D"/>
    <w:pPr>
      <w:spacing w:after="120"/>
      <w:ind w:left="849"/>
      <w:contextualSpacing/>
    </w:pPr>
  </w:style>
  <w:style w:type="paragraph" w:styleId="ListContinue4">
    <w:name w:val="List Continue 4"/>
    <w:basedOn w:val="Normal"/>
    <w:uiPriority w:val="98"/>
    <w:semiHidden/>
    <w:rsid w:val="008C7A0D"/>
    <w:pPr>
      <w:spacing w:after="120"/>
      <w:ind w:left="1132"/>
      <w:contextualSpacing/>
    </w:pPr>
  </w:style>
  <w:style w:type="paragraph" w:styleId="ListContinue5">
    <w:name w:val="List Continue 5"/>
    <w:basedOn w:val="Normal"/>
    <w:uiPriority w:val="98"/>
    <w:semiHidden/>
    <w:rsid w:val="008C7A0D"/>
    <w:pPr>
      <w:spacing w:after="120"/>
      <w:ind w:left="1415"/>
      <w:contextualSpacing/>
    </w:pPr>
  </w:style>
  <w:style w:type="paragraph" w:styleId="ListNumber">
    <w:name w:val="List Number"/>
    <w:basedOn w:val="Normal"/>
    <w:uiPriority w:val="98"/>
    <w:semiHidden/>
    <w:rsid w:val="008C7A0D"/>
    <w:pPr>
      <w:numPr>
        <w:numId w:val="16"/>
      </w:numPr>
      <w:contextualSpacing/>
    </w:pPr>
  </w:style>
  <w:style w:type="paragraph" w:styleId="ListNumber2">
    <w:name w:val="List Number 2"/>
    <w:basedOn w:val="Normal"/>
    <w:uiPriority w:val="98"/>
    <w:semiHidden/>
    <w:rsid w:val="008C7A0D"/>
    <w:pPr>
      <w:numPr>
        <w:numId w:val="17"/>
      </w:numPr>
      <w:contextualSpacing/>
    </w:pPr>
  </w:style>
  <w:style w:type="paragraph" w:styleId="ListNumber3">
    <w:name w:val="List Number 3"/>
    <w:basedOn w:val="Normal"/>
    <w:uiPriority w:val="98"/>
    <w:semiHidden/>
    <w:rsid w:val="008C7A0D"/>
    <w:pPr>
      <w:numPr>
        <w:numId w:val="18"/>
      </w:numPr>
      <w:contextualSpacing/>
    </w:pPr>
  </w:style>
  <w:style w:type="paragraph" w:styleId="ListNumber4">
    <w:name w:val="List Number 4"/>
    <w:basedOn w:val="Normal"/>
    <w:uiPriority w:val="98"/>
    <w:semiHidden/>
    <w:rsid w:val="008C7A0D"/>
    <w:pPr>
      <w:numPr>
        <w:numId w:val="19"/>
      </w:numPr>
      <w:contextualSpacing/>
    </w:pPr>
  </w:style>
  <w:style w:type="paragraph" w:styleId="ListNumber5">
    <w:name w:val="List Number 5"/>
    <w:basedOn w:val="Normal"/>
    <w:uiPriority w:val="98"/>
    <w:semiHidden/>
    <w:rsid w:val="008C7A0D"/>
    <w:pPr>
      <w:numPr>
        <w:numId w:val="20"/>
      </w:numPr>
      <w:contextualSpacing/>
    </w:pPr>
  </w:style>
  <w:style w:type="paragraph" w:styleId="MacroText">
    <w:name w:val="macro"/>
    <w:link w:val="MacroTextChar"/>
    <w:uiPriority w:val="98"/>
    <w:semiHidden/>
    <w:rsid w:val="008C7A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C7A0D"/>
    <w:rPr>
      <w:rFonts w:ascii="Consolas" w:eastAsiaTheme="minorEastAsia" w:hAnsi="Consolas" w:cs="Consolas"/>
      <w:sz w:val="20"/>
      <w:szCs w:val="20"/>
    </w:rPr>
  </w:style>
  <w:style w:type="table" w:styleId="MediumGrid1">
    <w:name w:val="Medium Grid 1"/>
    <w:basedOn w:val="TableNormal"/>
    <w:uiPriority w:val="67"/>
    <w:semiHidden/>
    <w:rsid w:val="008C7A0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C7A0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C7A0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C7A0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C7A0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C7A0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C7A0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C7A0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C7A0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C7A0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C7A0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C7A0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C7A0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C7A0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C7A0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C7A0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C7A0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C7A0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C7A0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C7A0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C7A0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C7A0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C7A0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C7A0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C7A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C7A0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C7A0D"/>
    <w:rPr>
      <w:rFonts w:ascii="Times New Roman" w:hAnsi="Times New Roman" w:cs="Times New Roman"/>
    </w:rPr>
  </w:style>
  <w:style w:type="paragraph" w:styleId="NormalIndent">
    <w:name w:val="Normal Indent"/>
    <w:basedOn w:val="Normal"/>
    <w:uiPriority w:val="98"/>
    <w:semiHidden/>
    <w:rsid w:val="008C7A0D"/>
    <w:pPr>
      <w:ind w:left="720"/>
    </w:pPr>
  </w:style>
  <w:style w:type="table" w:customStyle="1" w:styleId="ECHRTableNoLines">
    <w:name w:val="ECHR_Table_No_Lines"/>
    <w:basedOn w:val="TableNormal"/>
    <w:uiPriority w:val="99"/>
    <w:rsid w:val="008C7A0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8C7A0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8C7A0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C7A0D"/>
    <w:rPr>
      <w:rFonts w:ascii="Consolas" w:hAnsi="Consolas" w:cs="Consolas"/>
      <w:sz w:val="21"/>
      <w:szCs w:val="21"/>
    </w:rPr>
  </w:style>
  <w:style w:type="character" w:customStyle="1" w:styleId="PlainTextChar">
    <w:name w:val="Plain Text Char"/>
    <w:basedOn w:val="DefaultParagraphFont"/>
    <w:link w:val="PlainText"/>
    <w:uiPriority w:val="98"/>
    <w:semiHidden/>
    <w:rsid w:val="008C7A0D"/>
    <w:rPr>
      <w:rFonts w:ascii="Consolas" w:hAnsi="Consolas" w:cs="Consolas"/>
      <w:sz w:val="21"/>
      <w:szCs w:val="21"/>
      <w:lang w:val="en-GB"/>
    </w:rPr>
  </w:style>
  <w:style w:type="paragraph" w:styleId="Salutation">
    <w:name w:val="Salutation"/>
    <w:basedOn w:val="Normal"/>
    <w:next w:val="Normal"/>
    <w:link w:val="SalutationChar"/>
    <w:uiPriority w:val="98"/>
    <w:semiHidden/>
    <w:rsid w:val="008C7A0D"/>
  </w:style>
  <w:style w:type="character" w:customStyle="1" w:styleId="SalutationChar">
    <w:name w:val="Salutation Char"/>
    <w:basedOn w:val="DefaultParagraphFont"/>
    <w:link w:val="Salutation"/>
    <w:uiPriority w:val="98"/>
    <w:semiHidden/>
    <w:rsid w:val="008C7A0D"/>
    <w:rPr>
      <w:sz w:val="24"/>
      <w:szCs w:val="24"/>
      <w:lang w:val="en-GB"/>
    </w:rPr>
  </w:style>
  <w:style w:type="paragraph" w:styleId="Signature">
    <w:name w:val="Signature"/>
    <w:basedOn w:val="Normal"/>
    <w:link w:val="SignatureChar"/>
    <w:uiPriority w:val="98"/>
    <w:semiHidden/>
    <w:rsid w:val="008C7A0D"/>
    <w:pPr>
      <w:ind w:left="4252"/>
    </w:pPr>
  </w:style>
  <w:style w:type="character" w:customStyle="1" w:styleId="SignatureChar">
    <w:name w:val="Signature Char"/>
    <w:basedOn w:val="DefaultParagraphFont"/>
    <w:link w:val="Signature"/>
    <w:uiPriority w:val="98"/>
    <w:semiHidden/>
    <w:rsid w:val="008C7A0D"/>
    <w:rPr>
      <w:sz w:val="24"/>
      <w:szCs w:val="24"/>
      <w:lang w:val="en-GB"/>
    </w:rPr>
  </w:style>
  <w:style w:type="table" w:styleId="Table3Deffects1">
    <w:name w:val="Table 3D effects 1"/>
    <w:basedOn w:val="TableNormal"/>
    <w:uiPriority w:val="99"/>
    <w:semiHidden/>
    <w:unhideWhenUsed/>
    <w:rsid w:val="008C7A0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C7A0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C7A0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C7A0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C7A0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C7A0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C7A0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C7A0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C7A0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C7A0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C7A0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C7A0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C7A0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C7A0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C7A0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C7A0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C7A0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C7A0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8C7A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C7A0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C7A0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C7A0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C7A0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C7A0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C7A0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C7A0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C7A0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C7A0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C7A0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C7A0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C7A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C7A0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C7A0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C7A0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C7A0D"/>
    <w:pPr>
      <w:ind w:left="240" w:hanging="240"/>
    </w:pPr>
  </w:style>
  <w:style w:type="paragraph" w:styleId="TableofFigures">
    <w:name w:val="table of figures"/>
    <w:basedOn w:val="Normal"/>
    <w:next w:val="Normal"/>
    <w:uiPriority w:val="98"/>
    <w:semiHidden/>
    <w:rsid w:val="008C7A0D"/>
  </w:style>
  <w:style w:type="table" w:styleId="TableProfessional">
    <w:name w:val="Table Professional"/>
    <w:basedOn w:val="TableNormal"/>
    <w:uiPriority w:val="99"/>
    <w:semiHidden/>
    <w:unhideWhenUsed/>
    <w:rsid w:val="008C7A0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C7A0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C7A0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C7A0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C7A0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C7A0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C7A0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C7A0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C7A0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C7A0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8C7A0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8C7A0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C7A0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C7A0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C7A0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C7A0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8C7A0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C7A0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C7A0D"/>
    <w:pPr>
      <w:spacing w:after="100"/>
      <w:ind w:left="1680"/>
    </w:pPr>
  </w:style>
  <w:style w:type="paragraph" w:styleId="TOC9">
    <w:name w:val="toc 9"/>
    <w:basedOn w:val="Normal"/>
    <w:next w:val="Normal"/>
    <w:autoRedefine/>
    <w:uiPriority w:val="98"/>
    <w:semiHidden/>
    <w:rsid w:val="008C7A0D"/>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8C7A0D"/>
    <w:pPr>
      <w:tabs>
        <w:tab w:val="center" w:pos="3686"/>
        <w:tab w:val="right" w:pos="7371"/>
      </w:tabs>
    </w:pPr>
  </w:style>
  <w:style w:type="character" w:customStyle="1" w:styleId="FooterChar">
    <w:name w:val="Footer Char"/>
    <w:basedOn w:val="DefaultParagraphFont"/>
    <w:link w:val="Footer"/>
    <w:uiPriority w:val="98"/>
    <w:semiHidden/>
    <w:rsid w:val="008C7A0D"/>
    <w:rPr>
      <w:sz w:val="24"/>
      <w:szCs w:val="24"/>
      <w:lang w:val="en-GB"/>
    </w:rPr>
  </w:style>
  <w:style w:type="paragraph" w:customStyle="1" w:styleId="ECHRFooterLine">
    <w:name w:val="ECHR_Footer_Line"/>
    <w:aliases w:val="_Footer_Line"/>
    <w:basedOn w:val="Normal"/>
    <w:next w:val="Normal"/>
    <w:uiPriority w:val="30"/>
    <w:semiHidden/>
    <w:rsid w:val="008C7A0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8C7A0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8C7A0D"/>
    <w:pPr>
      <w:ind w:firstLine="284"/>
    </w:pPr>
    <w:rPr>
      <w:b/>
    </w:rPr>
  </w:style>
  <w:style w:type="paragraph" w:styleId="NoteHeading">
    <w:name w:val="Note Heading"/>
    <w:basedOn w:val="Normal"/>
    <w:next w:val="Normal"/>
    <w:link w:val="NoteHeadingChar"/>
    <w:uiPriority w:val="98"/>
    <w:semiHidden/>
    <w:rsid w:val="008C7A0D"/>
  </w:style>
  <w:style w:type="character" w:customStyle="1" w:styleId="NoteHeadingChar">
    <w:name w:val="Note Heading Char"/>
    <w:basedOn w:val="DefaultParagraphFont"/>
    <w:link w:val="NoteHeading"/>
    <w:uiPriority w:val="98"/>
    <w:semiHidden/>
    <w:rsid w:val="008C7A0D"/>
    <w:rPr>
      <w:sz w:val="24"/>
      <w:szCs w:val="24"/>
      <w:lang w:val="en-GB"/>
    </w:rPr>
  </w:style>
  <w:style w:type="paragraph" w:customStyle="1" w:styleId="ECHRHeaderLandscape">
    <w:name w:val="ECHR_Header_Landscape"/>
    <w:aliases w:val="_Header_Landscape"/>
    <w:basedOn w:val="JuHeader"/>
    <w:uiPriority w:val="29"/>
    <w:semiHidden/>
    <w:rsid w:val="008C7A0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C7A0D"/>
    <w:pPr>
      <w:numPr>
        <w:numId w:val="7"/>
      </w:numPr>
      <w:spacing w:before="60" w:after="60"/>
    </w:pPr>
  </w:style>
  <w:style w:type="paragraph" w:customStyle="1" w:styleId="ECHRBullet2">
    <w:name w:val="ECHR_Bullet_2"/>
    <w:aliases w:val="_Bul_2"/>
    <w:basedOn w:val="ECHRBullet1"/>
    <w:uiPriority w:val="23"/>
    <w:semiHidden/>
    <w:rsid w:val="008C7A0D"/>
    <w:pPr>
      <w:numPr>
        <w:ilvl w:val="1"/>
      </w:numPr>
    </w:pPr>
  </w:style>
  <w:style w:type="paragraph" w:customStyle="1" w:styleId="ECHRBullet3">
    <w:name w:val="ECHR_Bullet_3"/>
    <w:aliases w:val="_Bul_3"/>
    <w:basedOn w:val="ECHRBullet2"/>
    <w:uiPriority w:val="23"/>
    <w:semiHidden/>
    <w:rsid w:val="008C7A0D"/>
    <w:pPr>
      <w:numPr>
        <w:ilvl w:val="2"/>
      </w:numPr>
    </w:pPr>
  </w:style>
  <w:style w:type="paragraph" w:customStyle="1" w:styleId="ECHRBullet4">
    <w:name w:val="ECHR_Bullet_4"/>
    <w:aliases w:val="_Bul_4"/>
    <w:basedOn w:val="ECHRBullet3"/>
    <w:uiPriority w:val="23"/>
    <w:semiHidden/>
    <w:rsid w:val="008C7A0D"/>
    <w:pPr>
      <w:numPr>
        <w:ilvl w:val="3"/>
      </w:numPr>
    </w:pPr>
  </w:style>
  <w:style w:type="paragraph" w:customStyle="1" w:styleId="ECHRConfidential">
    <w:name w:val="ECHR_Confidential"/>
    <w:aliases w:val="_Confidential"/>
    <w:basedOn w:val="Normal"/>
    <w:next w:val="Normal"/>
    <w:uiPriority w:val="42"/>
    <w:semiHidden/>
    <w:qFormat/>
    <w:rsid w:val="008C7A0D"/>
    <w:pPr>
      <w:jc w:val="right"/>
    </w:pPr>
    <w:rPr>
      <w:color w:val="C00000"/>
      <w:sz w:val="20"/>
    </w:rPr>
  </w:style>
  <w:style w:type="paragraph" w:customStyle="1" w:styleId="ECHRDecisionBody">
    <w:name w:val="ECHR_Decision_Body"/>
    <w:aliases w:val="_Decision_Body"/>
    <w:basedOn w:val="NormalJustified"/>
    <w:uiPriority w:val="54"/>
    <w:semiHidden/>
    <w:rsid w:val="008C7A0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C7A0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C7A0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C7A0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C7A0D"/>
    <w:pPr>
      <w:jc w:val="right"/>
    </w:pPr>
    <w:rPr>
      <w:sz w:val="20"/>
    </w:rPr>
  </w:style>
  <w:style w:type="paragraph" w:customStyle="1" w:styleId="ECHRHeaderRefIt">
    <w:name w:val="ECHR_Header_Ref_It"/>
    <w:aliases w:val="_Ref_Ital"/>
    <w:basedOn w:val="Normal"/>
    <w:next w:val="ECHRHeaderDate"/>
    <w:uiPriority w:val="43"/>
    <w:semiHidden/>
    <w:qFormat/>
    <w:rsid w:val="008C7A0D"/>
    <w:pPr>
      <w:jc w:val="right"/>
    </w:pPr>
    <w:rPr>
      <w:i/>
      <w:sz w:val="20"/>
    </w:rPr>
  </w:style>
  <w:style w:type="paragraph" w:customStyle="1" w:styleId="ECHRHeading9">
    <w:name w:val="ECHR_Heading_9"/>
    <w:aliases w:val="_Head_9"/>
    <w:basedOn w:val="Heading9"/>
    <w:uiPriority w:val="17"/>
    <w:semiHidden/>
    <w:rsid w:val="008C7A0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C7A0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C7A0D"/>
    <w:pPr>
      <w:numPr>
        <w:numId w:val="8"/>
      </w:numPr>
      <w:spacing w:before="60" w:after="60"/>
    </w:pPr>
  </w:style>
  <w:style w:type="paragraph" w:customStyle="1" w:styleId="ECHRNumberedList2">
    <w:name w:val="ECHR_Numbered_List_2"/>
    <w:aliases w:val="_Num_2"/>
    <w:basedOn w:val="ECHRNumberedList1"/>
    <w:uiPriority w:val="23"/>
    <w:semiHidden/>
    <w:rsid w:val="008C7A0D"/>
    <w:pPr>
      <w:numPr>
        <w:ilvl w:val="1"/>
      </w:numPr>
    </w:pPr>
  </w:style>
  <w:style w:type="paragraph" w:customStyle="1" w:styleId="ECHRNumberedList3">
    <w:name w:val="ECHR_Numbered_List_3"/>
    <w:aliases w:val="_Num_3"/>
    <w:basedOn w:val="ECHRNumberedList2"/>
    <w:uiPriority w:val="23"/>
    <w:semiHidden/>
    <w:rsid w:val="008C7A0D"/>
    <w:pPr>
      <w:numPr>
        <w:ilvl w:val="2"/>
      </w:numPr>
    </w:pPr>
  </w:style>
  <w:style w:type="paragraph" w:customStyle="1" w:styleId="ECHRParaHanging">
    <w:name w:val="ECHR_Para_Hanging"/>
    <w:aliases w:val="_Hanging"/>
    <w:basedOn w:val="NormalJustified"/>
    <w:uiPriority w:val="8"/>
    <w:semiHidden/>
    <w:qFormat/>
    <w:rsid w:val="008C7A0D"/>
    <w:pPr>
      <w:ind w:left="567" w:hanging="567"/>
    </w:pPr>
  </w:style>
  <w:style w:type="paragraph" w:customStyle="1" w:styleId="ECHRParaIndent">
    <w:name w:val="ECHR_Para_Indent"/>
    <w:aliases w:val="_Indent"/>
    <w:basedOn w:val="NormalJustified"/>
    <w:uiPriority w:val="7"/>
    <w:semiHidden/>
    <w:qFormat/>
    <w:rsid w:val="008C7A0D"/>
    <w:pPr>
      <w:spacing w:before="120" w:after="120"/>
      <w:ind w:left="284"/>
    </w:pPr>
  </w:style>
  <w:style w:type="character" w:customStyle="1" w:styleId="ECHRRed">
    <w:name w:val="ECHR_Red"/>
    <w:aliases w:val="_Red"/>
    <w:basedOn w:val="DefaultParagraphFont"/>
    <w:uiPriority w:val="15"/>
    <w:semiHidden/>
    <w:qFormat/>
    <w:rsid w:val="008C7A0D"/>
    <w:rPr>
      <w:color w:val="C00000" w:themeColor="accent2"/>
    </w:rPr>
  </w:style>
  <w:style w:type="paragraph" w:customStyle="1" w:styleId="DecList">
    <w:name w:val="Dec_List"/>
    <w:aliases w:val="_List"/>
    <w:basedOn w:val="JuList"/>
    <w:uiPriority w:val="22"/>
    <w:rsid w:val="008C7A0D"/>
    <w:pPr>
      <w:numPr>
        <w:numId w:val="0"/>
      </w:numPr>
      <w:ind w:left="284"/>
    </w:pPr>
  </w:style>
  <w:style w:type="table" w:customStyle="1" w:styleId="ECHRTable">
    <w:name w:val="ECHR_Table"/>
    <w:basedOn w:val="TableNormal"/>
    <w:rsid w:val="008C7A0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8C7A0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C7A0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C7A0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C7A0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C7A0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C7A0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C7A0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C7A0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C7A0D"/>
    <w:pPr>
      <w:outlineLvl w:val="0"/>
    </w:pPr>
  </w:style>
  <w:style w:type="paragraph" w:customStyle="1" w:styleId="ECHRTitleTOC1">
    <w:name w:val="ECHR_Title_TOC_1"/>
    <w:aliases w:val="_Title_L_TOC"/>
    <w:basedOn w:val="ECHRTitle1"/>
    <w:next w:val="Normal"/>
    <w:uiPriority w:val="27"/>
    <w:semiHidden/>
    <w:qFormat/>
    <w:rsid w:val="008C7A0D"/>
    <w:pPr>
      <w:outlineLvl w:val="0"/>
    </w:pPr>
  </w:style>
  <w:style w:type="table" w:customStyle="1" w:styleId="LtrTableAddress">
    <w:name w:val="Ltr_Table_Address"/>
    <w:aliases w:val="ECHR_Ltr_Table_Address"/>
    <w:basedOn w:val="TableNormal"/>
    <w:uiPriority w:val="99"/>
    <w:rsid w:val="008C7A0D"/>
    <w:rPr>
      <w:sz w:val="24"/>
      <w:szCs w:val="24"/>
    </w:rPr>
    <w:tblPr>
      <w:tblInd w:w="5103" w:type="dxa"/>
    </w:tblPr>
  </w:style>
  <w:style w:type="table" w:customStyle="1" w:styleId="PCFTableStyle">
    <w:name w:val="PCF_Table_Style"/>
    <w:aliases w:val="ECHR_PCF_Table_Style"/>
    <w:basedOn w:val="TableNormal"/>
    <w:uiPriority w:val="99"/>
    <w:rsid w:val="008C7A0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8C7A0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C7A0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8C7A0D"/>
    <w:rPr>
      <w:color w:val="FFFFFF"/>
    </w:rPr>
  </w:style>
  <w:style w:type="paragraph" w:customStyle="1" w:styleId="ECHRSpacer">
    <w:name w:val="ECHR_Spacer"/>
    <w:aliases w:val="_Spacer"/>
    <w:basedOn w:val="Normal"/>
    <w:uiPriority w:val="45"/>
    <w:semiHidden/>
    <w:rsid w:val="008C7A0D"/>
    <w:rPr>
      <w:sz w:val="4"/>
    </w:rPr>
  </w:style>
  <w:style w:type="table" w:customStyle="1" w:styleId="ECHRTableGrey">
    <w:name w:val="ECHR_Table_Grey"/>
    <w:basedOn w:val="TableNormal"/>
    <w:uiPriority w:val="99"/>
    <w:rsid w:val="008C7A0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8C7A0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8C7A0D"/>
    <w:rPr>
      <w:color w:val="605E5C"/>
      <w:shd w:val="clear" w:color="auto" w:fill="E1DFDD"/>
    </w:rPr>
  </w:style>
  <w:style w:type="character" w:customStyle="1" w:styleId="JuParaChar">
    <w:name w:val="Ju_Para Char"/>
    <w:aliases w:val="_Para Char"/>
    <w:link w:val="JuPara"/>
    <w:uiPriority w:val="4"/>
    <w:rsid w:val="004D1A77"/>
    <w:rPr>
      <w:sz w:val="24"/>
      <w:szCs w:val="24"/>
      <w:lang w:val="en-GB"/>
    </w:rPr>
  </w:style>
  <w:style w:type="numbering" w:customStyle="1" w:styleId="ECHRA1StyleList1">
    <w:name w:val="ECHR_A1_Style_List1"/>
    <w:basedOn w:val="NoList"/>
    <w:uiPriority w:val="99"/>
    <w:rsid w:val="004D1A77"/>
  </w:style>
  <w:style w:type="table" w:customStyle="1" w:styleId="DNTable1">
    <w:name w:val="DN_Table1"/>
    <w:basedOn w:val="TableNormal"/>
    <w:uiPriority w:val="99"/>
    <w:rsid w:val="004D1A7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styleId="GridTable1Light">
    <w:name w:val="Grid Table 1 Light"/>
    <w:basedOn w:val="TableNormal"/>
    <w:uiPriority w:val="46"/>
    <w:semiHidden/>
    <w:rsid w:val="004D1A7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D1A7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D1A7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D1A7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D1A7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D1A7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D1A7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D1A7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D1A7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D1A7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D1A7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D1A7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D1A7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D1A7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D1A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D1A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D1A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D1A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D1A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D1A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D1A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D1A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D1A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D1A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D1A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D1A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D1A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D1A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D1A7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D1A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D1A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D1A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D1A7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D1A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D1A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D1A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D1A7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D1A7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D1A7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D1A7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D1A7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D1A7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D1A7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D1A77"/>
    <w:rPr>
      <w:color w:val="2B579A"/>
      <w:shd w:val="clear" w:color="auto" w:fill="E1DFDD"/>
    </w:rPr>
  </w:style>
  <w:style w:type="table" w:styleId="ListTable1Light">
    <w:name w:val="List Table 1 Light"/>
    <w:basedOn w:val="TableNormal"/>
    <w:uiPriority w:val="46"/>
    <w:semiHidden/>
    <w:rsid w:val="004D1A7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D1A7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D1A7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D1A7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D1A7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D1A7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D1A7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D1A7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D1A7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D1A7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D1A7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D1A7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D1A7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D1A7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D1A7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D1A7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D1A7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D1A7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D1A7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D1A7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D1A7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D1A7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D1A7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D1A7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D1A7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D1A7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D1A7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D1A7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D1A7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D1A7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D1A7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D1A7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D1A7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D1A7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D1A7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D1A7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D1A7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D1A7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D1A7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D1A7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D1A7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D1A7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D1A7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D1A7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D1A7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D1A7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D1A7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D1A7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D1A7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D1A77"/>
    <w:rPr>
      <w:color w:val="2B579A"/>
      <w:shd w:val="clear" w:color="auto" w:fill="E1DFDD"/>
    </w:rPr>
  </w:style>
  <w:style w:type="table" w:styleId="PlainTable1">
    <w:name w:val="Plain Table 1"/>
    <w:basedOn w:val="TableNormal"/>
    <w:uiPriority w:val="41"/>
    <w:semiHidden/>
    <w:rsid w:val="004D1A7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D1A7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D1A7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D1A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D1A7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D1A77"/>
    <w:rPr>
      <w:u w:val="dotted"/>
    </w:rPr>
  </w:style>
  <w:style w:type="character" w:customStyle="1" w:styleId="SmartLink">
    <w:name w:val="Smart Link"/>
    <w:basedOn w:val="DefaultParagraphFont"/>
    <w:uiPriority w:val="99"/>
    <w:semiHidden/>
    <w:unhideWhenUsed/>
    <w:rsid w:val="004D1A77"/>
    <w:rPr>
      <w:color w:val="0000FF"/>
      <w:u w:val="single"/>
      <w:shd w:val="clear" w:color="auto" w:fill="F3F2F1"/>
    </w:rPr>
  </w:style>
  <w:style w:type="table" w:styleId="TableGridLight">
    <w:name w:val="Grid Table Light"/>
    <w:basedOn w:val="TableNormal"/>
    <w:uiPriority w:val="40"/>
    <w:semiHidden/>
    <w:rsid w:val="004D1A7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1.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oter" Target="footer2.xml"/><Relationship Id="rId28" Type="http://schemas.openxmlformats.org/officeDocument/2006/relationships/customXml" Target="../customXml/item2.xml"/><Relationship Id="rId10" Type="http://schemas.openxmlformats.org/officeDocument/2006/relationships/hyperlink" Target="https://hudoc.echr.coe.int/eng" TargetMode="External"/><Relationship Id="rId19"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hyperlink" Target="https://hudoc.echr.coe.int/eng" TargetMode="External"/><Relationship Id="rId22" Type="http://schemas.openxmlformats.org/officeDocument/2006/relationships/footer" Target="footer1.xml"/><Relationship Id="rId27" Type="http://schemas.openxmlformats.org/officeDocument/2006/relationships/theme" Target="theme/theme1.xml"/><Relationship Id="rId30"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87F515-CC22-4A16-8E5E-99FA17C8DECE}">
  <ds:schemaRefs>
    <ds:schemaRef ds:uri="http://schemas.openxmlformats.org/officeDocument/2006/bibliography"/>
  </ds:schemaRefs>
</ds:datastoreItem>
</file>

<file path=customXml/itemProps2.xml><?xml version="1.0" encoding="utf-8"?>
<ds:datastoreItem xmlns:ds="http://schemas.openxmlformats.org/officeDocument/2006/customXml" ds:itemID="{F821E9F4-136D-4610-84F5-65ACDDF711C0}"/>
</file>

<file path=customXml/itemProps3.xml><?xml version="1.0" encoding="utf-8"?>
<ds:datastoreItem xmlns:ds="http://schemas.openxmlformats.org/officeDocument/2006/customXml" ds:itemID="{ECFA21FE-8221-4C76-9E4A-C3A397CF71C5}"/>
</file>

<file path=customXml/itemProps4.xml><?xml version="1.0" encoding="utf-8"?>
<ds:datastoreItem xmlns:ds="http://schemas.openxmlformats.org/officeDocument/2006/customXml" ds:itemID="{08E5F833-F10F-4C19-9403-9254F87AE4AE}"/>
</file>

<file path=docProps/app.xml><?xml version="1.0" encoding="utf-8"?>
<Properties xmlns="http://schemas.openxmlformats.org/officeDocument/2006/extended-properties" xmlns:vt="http://schemas.openxmlformats.org/officeDocument/2006/docPropsVTypes">
  <Template>Normal.dotm</Template>
  <TotalTime>0</TotalTime>
  <Pages>1</Pages>
  <Words>9276</Words>
  <Characters>52874</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2023-03-20T08:34:00Z</dcterms:created>
  <dcterms:modified xsi:type="dcterms:W3CDTF">2023-03-20T08:34:00Z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27801/19</vt:lpwstr>
  </property>
  <property fmtid="{D5CDD505-2E9C-101B-9397-08002B2CF9AE}" pid="4" name="CASEID">
    <vt:lpwstr>1455826</vt:lpwstr>
  </property>
  <property fmtid="{D5CDD505-2E9C-101B-9397-08002B2CF9AE}" pid="5" name="ContentTypeId">
    <vt:lpwstr>0x010100558EB02BDB9E204AB350EDD385B68E10</vt:lpwstr>
  </property>
</Properties>
</file>