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92DEC" w:rsidR="0098410D" w:rsidP="00492DEC" w:rsidRDefault="0098410D" w14:paraId="52F129E8" w14:textId="77777777">
      <w:pPr>
        <w:jc w:val="center"/>
      </w:pPr>
    </w:p>
    <w:p w:rsidRPr="00492DEC" w:rsidR="0098410D" w:rsidP="00492DEC" w:rsidRDefault="008D3977" w14:paraId="08E19A6D" w14:textId="20584A6B">
      <w:pPr>
        <w:pStyle w:val="DecHTitle"/>
      </w:pPr>
      <w:r w:rsidRPr="00492DEC">
        <w:t>SECOND SECTION</w:t>
      </w:r>
    </w:p>
    <w:p w:rsidRPr="00492DEC" w:rsidR="008E6217" w:rsidP="00AC04F4" w:rsidRDefault="008E6217" w14:paraId="51EE05B6" w14:textId="06E45A47">
      <w:pPr>
        <w:pStyle w:val="JuTitle"/>
        <w:spacing w:before="1080"/>
      </w:pPr>
      <w:bookmarkStart w:name="To" w:id="0"/>
      <w:r w:rsidRPr="00492DEC">
        <w:rPr>
          <w:color w:val="000000" w:themeColor="text1"/>
        </w:rPr>
        <w:t xml:space="preserve">CASE OF </w:t>
      </w:r>
      <w:bookmarkEnd w:id="0"/>
      <w:r w:rsidRPr="00492DEC" w:rsidR="008D3977">
        <w:t>EKREM CAN AND OTHERS v. TURKEY</w:t>
      </w:r>
    </w:p>
    <w:p w:rsidRPr="00492DEC" w:rsidR="00D74888" w:rsidP="00492DEC" w:rsidRDefault="008E6217" w14:paraId="335E0736" w14:textId="3F9788AF">
      <w:pPr>
        <w:pStyle w:val="ECHRCoverTitle4"/>
      </w:pPr>
      <w:r w:rsidRPr="00492DEC">
        <w:t>(</w:t>
      </w:r>
      <w:r w:rsidRPr="00492DEC" w:rsidR="008D3977">
        <w:t>Application no.</w:t>
      </w:r>
      <w:r w:rsidRPr="00492DEC">
        <w:t xml:space="preserve"> </w:t>
      </w:r>
      <w:r w:rsidRPr="00492DEC" w:rsidR="008D3977">
        <w:t>10613/10</w:t>
      </w:r>
      <w:r w:rsidRPr="00492DEC">
        <w:t>)</w:t>
      </w:r>
    </w:p>
    <w:p w:rsidRPr="00492DEC" w:rsidR="0098410D" w:rsidP="00492DEC" w:rsidRDefault="0098410D" w14:paraId="39477244" w14:textId="77777777">
      <w:pPr>
        <w:pStyle w:val="DecHCase"/>
      </w:pPr>
    </w:p>
    <w:p w:rsidRPr="00492DEC" w:rsidR="0098410D" w:rsidP="00492DEC" w:rsidRDefault="0098410D" w14:paraId="1DB27650" w14:textId="77777777">
      <w:pPr>
        <w:pStyle w:val="DecHCase"/>
      </w:pPr>
    </w:p>
    <w:p w:rsidRPr="00492DEC" w:rsidR="00492DEC" w:rsidP="00492DEC" w:rsidRDefault="0098410D" w14:paraId="2B65ECBC" w14:textId="77777777">
      <w:pPr>
        <w:pStyle w:val="DecHCase"/>
      </w:pPr>
      <w:r w:rsidRPr="00492DEC">
        <w:t>JUDGMENT</w:t>
      </w:r>
      <w:r w:rsidRPr="00492DEC" w:rsidR="00AC4CD4">
        <w:br/>
      </w:r>
    </w:p>
    <w:p w:rsidR="00492DEC" w:rsidP="00492DEC" w:rsidRDefault="00492DEC" w14:paraId="40827B8D" w14:textId="77777777">
      <w:pPr>
        <w:pStyle w:val="JuPara"/>
        <w:pBdr>
          <w:top w:val="single" w:color="auto" w:sz="4" w:space="1"/>
          <w:left w:val="single" w:color="auto" w:sz="4" w:space="4"/>
          <w:bottom w:val="single" w:color="auto" w:sz="4" w:space="1"/>
          <w:right w:val="single" w:color="auto" w:sz="4" w:space="4"/>
        </w:pBdr>
        <w:ind w:firstLine="0"/>
      </w:pPr>
      <w:r>
        <w:t xml:space="preserve">Art 11 read </w:t>
      </w:r>
      <w:proofErr w:type="gramStart"/>
      <w:r>
        <w:t>in light of</w:t>
      </w:r>
      <w:proofErr w:type="gramEnd"/>
      <w:r>
        <w:t xml:space="preserve"> Art 10 • Freedom of peaceful assembly • Disproportionately lengthy pre-trial detention and prison sentences for involvement in non-violent courthouse protest disturbing the orderly administration of justice • Margin of appreciation wide but not unlimited</w:t>
      </w:r>
    </w:p>
    <w:p w:rsidRPr="00492DEC" w:rsidR="00492DEC" w:rsidP="00492DEC" w:rsidRDefault="00492DEC" w14:paraId="0037B600" w14:textId="68CAA856">
      <w:pPr>
        <w:pStyle w:val="JuPara"/>
        <w:pBdr>
          <w:top w:val="single" w:color="auto" w:sz="4" w:space="1"/>
          <w:left w:val="single" w:color="auto" w:sz="4" w:space="4"/>
          <w:bottom w:val="single" w:color="auto" w:sz="4" w:space="1"/>
          <w:right w:val="single" w:color="auto" w:sz="4" w:space="4"/>
        </w:pBdr>
        <w:ind w:firstLine="0"/>
      </w:pPr>
      <w:r>
        <w:t>Art 6 § 1 (criminal) and Art 6 § 3 (c) • Fair hearing • Domestic courts’ failure to examine conditions surrounding alleged waiver of applicants’ right to a lawyer while in police custody • Use of evidence given in the absence of a lawyer to convict the applicants • Failure to observe necessary procedural safeguards • Trial rendered unfair as a whole</w:t>
      </w:r>
    </w:p>
    <w:p w:rsidRPr="00492DEC" w:rsidR="0098410D" w:rsidP="00AC04F4" w:rsidRDefault="0098410D" w14:paraId="62719308" w14:textId="744DDF56">
      <w:pPr>
        <w:pStyle w:val="DecHCase"/>
        <w:spacing w:after="120"/>
      </w:pPr>
    </w:p>
    <w:p w:rsidRPr="00492DEC" w:rsidR="0098410D" w:rsidP="00492DEC" w:rsidRDefault="0098410D" w14:paraId="3A228E0C" w14:textId="77777777">
      <w:pPr>
        <w:pStyle w:val="DecHCase"/>
      </w:pPr>
      <w:r w:rsidRPr="00492DEC">
        <w:t>STRASBOURG</w:t>
      </w:r>
    </w:p>
    <w:p w:rsidR="0098410D" w:rsidP="00AC04F4" w:rsidRDefault="008D3977" w14:paraId="5AB02AAA" w14:textId="0C4797F1">
      <w:pPr>
        <w:pStyle w:val="DecHCase"/>
        <w:spacing w:after="120"/>
        <w:rPr>
          <w:rFonts w:ascii="Times New Roman" w:hAnsi="Times New Roman" w:cs="Times New Roman"/>
        </w:rPr>
      </w:pPr>
      <w:r w:rsidRPr="00492DEC">
        <w:rPr>
          <w:rFonts w:ascii="Times New Roman" w:hAnsi="Times New Roman" w:cs="Times New Roman"/>
        </w:rPr>
        <w:t>8 March 2022</w:t>
      </w:r>
    </w:p>
    <w:p w:rsidRPr="00074ABB" w:rsidR="00074ABB" w:rsidP="00074ABB" w:rsidRDefault="00074ABB" w14:paraId="319CBB3D" w14:textId="77777777">
      <w:pPr>
        <w:pStyle w:val="JuPara"/>
      </w:pPr>
    </w:p>
    <w:p w:rsidR="00AC04F4" w:rsidP="00AC04F4" w:rsidRDefault="00AC04F4" w14:paraId="7C3CE882"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AC04F4" w:rsidP="00AC04F4" w:rsidRDefault="00AC04F4" w14:paraId="47B0C274" w14:textId="77777777">
      <w:pPr>
        <w:pStyle w:val="jucase0"/>
        <w:ind w:firstLine="0"/>
        <w:jc w:val="center"/>
        <w:rPr>
          <w:b w:val="0"/>
          <w:bCs w:val="0"/>
          <w:color w:val="FF0000"/>
          <w:u w:val="single"/>
        </w:rPr>
      </w:pPr>
    </w:p>
    <w:p w:rsidRPr="00E974D6" w:rsidR="00AC04F4" w:rsidP="00AC04F4" w:rsidRDefault="00AC04F4" w14:paraId="6320C676" w14:textId="77777777">
      <w:pPr>
        <w:pStyle w:val="jucase0"/>
        <w:ind w:firstLine="0"/>
        <w:jc w:val="center"/>
        <w:rPr>
          <w:b w:val="0"/>
          <w:color w:val="FF0000"/>
          <w:sz w:val="28"/>
          <w:szCs w:val="28"/>
        </w:rPr>
      </w:pPr>
      <w:r>
        <w:rPr>
          <w:b w:val="0"/>
          <w:color w:val="FF0000"/>
          <w:sz w:val="28"/>
          <w:szCs w:val="28"/>
        </w:rPr>
        <w:t>05/09/2022</w:t>
      </w:r>
    </w:p>
    <w:p w:rsidR="00AC04F4" w:rsidP="00AC04F4" w:rsidRDefault="00AC04F4" w14:paraId="7B6A9367" w14:textId="7FF60F2C">
      <w:pPr>
        <w:pStyle w:val="jupara0"/>
        <w:ind w:firstLine="0"/>
        <w:jc w:val="center"/>
      </w:pPr>
    </w:p>
    <w:p w:rsidRPr="00261F46" w:rsidR="00AC04F4" w:rsidP="00AC04F4" w:rsidRDefault="00AC04F4" w14:paraId="1DB10785" w14:textId="77777777">
      <w:pPr>
        <w:pStyle w:val="jupara0"/>
        <w:ind w:firstLine="0"/>
        <w:jc w:val="center"/>
      </w:pPr>
    </w:p>
    <w:p w:rsidRPr="00492DEC" w:rsidR="002422B6" w:rsidP="00AC04F4" w:rsidRDefault="00AC04F4" w14:paraId="4355AD80" w14:textId="2B7A2899">
      <w:pPr>
        <w:rPr>
          <w:i/>
          <w:sz w:val="22"/>
        </w:rPr>
      </w:pPr>
      <w:r w:rsidRPr="00261F46">
        <w:rPr>
          <w:i/>
          <w:iCs/>
          <w:sz w:val="22"/>
          <w:szCs w:val="22"/>
        </w:rPr>
        <w:t>This judgment has become final under Article 44 § 2 of the Convention. It may be subject to editorial revision.</w:t>
      </w:r>
      <w:bookmarkEnd w:id="1"/>
      <w:bookmarkEnd w:id="2"/>
    </w:p>
    <w:p w:rsidRPr="00492DEC" w:rsidR="0098410D" w:rsidP="00492DEC" w:rsidRDefault="0098410D" w14:paraId="48EDF126" w14:textId="77777777">
      <w:pPr>
        <w:sectPr w:rsidRPr="00492DEC"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92DEC" w:rsidR="0098410D" w:rsidP="00492DEC" w:rsidRDefault="0098410D" w14:paraId="6B491CFD" w14:textId="6F77FA04">
      <w:pPr>
        <w:pStyle w:val="JuCase"/>
      </w:pPr>
      <w:r w:rsidRPr="00492DEC">
        <w:t xml:space="preserve">In the case of </w:t>
      </w:r>
      <w:proofErr w:type="spellStart"/>
      <w:r w:rsidRPr="00492DEC" w:rsidR="008D3977">
        <w:t>Ekrem</w:t>
      </w:r>
      <w:proofErr w:type="spellEnd"/>
      <w:r w:rsidRPr="00492DEC" w:rsidR="008D3977">
        <w:t xml:space="preserve"> Can and Others v. Turkey</w:t>
      </w:r>
      <w:r w:rsidRPr="00492DEC">
        <w:t>,</w:t>
      </w:r>
    </w:p>
    <w:p w:rsidRPr="00492DEC" w:rsidR="009F4C8F" w:rsidP="00492DEC" w:rsidRDefault="009F4C8F" w14:paraId="6EE9FC1C" w14:textId="007E9592">
      <w:pPr>
        <w:pStyle w:val="JuPara"/>
      </w:pPr>
      <w:r w:rsidRPr="00492DEC">
        <w:t>The European Court of Human Rights (</w:t>
      </w:r>
      <w:r w:rsidRPr="00492DEC" w:rsidR="008D3977">
        <w:t>Second Section</w:t>
      </w:r>
      <w:r w:rsidRPr="00492DEC">
        <w:t xml:space="preserve">), sitting as a </w:t>
      </w:r>
      <w:r w:rsidRPr="00492DEC" w:rsidR="008D3977">
        <w:t>Chamber</w:t>
      </w:r>
      <w:r w:rsidRPr="00492DEC">
        <w:t xml:space="preserve"> composed of:</w:t>
      </w:r>
    </w:p>
    <w:p w:rsidRPr="00492DEC" w:rsidR="0021002D" w:rsidP="00492DEC" w:rsidRDefault="00957B4B" w14:paraId="68D0E96F" w14:textId="7DD4A2DF">
      <w:pPr>
        <w:pStyle w:val="JuJudges"/>
      </w:pPr>
      <w:r w:rsidRPr="00492DEC">
        <w:tab/>
        <w:t xml:space="preserve">Jon </w:t>
      </w:r>
      <w:proofErr w:type="spellStart"/>
      <w:r w:rsidRPr="00492DEC">
        <w:t>Fridrik</w:t>
      </w:r>
      <w:proofErr w:type="spellEnd"/>
      <w:r w:rsidRPr="00492DEC">
        <w:t xml:space="preserve"> </w:t>
      </w:r>
      <w:proofErr w:type="spellStart"/>
      <w:r w:rsidRPr="00492DEC">
        <w:t>Kjølbro</w:t>
      </w:r>
      <w:proofErr w:type="spellEnd"/>
      <w:r w:rsidRPr="00492DEC">
        <w:t>,</w:t>
      </w:r>
      <w:r w:rsidRPr="00492DEC">
        <w:rPr>
          <w:i/>
        </w:rPr>
        <w:t xml:space="preserve"> President,</w:t>
      </w:r>
      <w:r w:rsidRPr="00492DEC">
        <w:rPr>
          <w:i/>
        </w:rPr>
        <w:br/>
      </w:r>
      <w:r w:rsidRPr="00492DEC">
        <w:tab/>
        <w:t>Carlo Ranzoni,</w:t>
      </w:r>
      <w:r w:rsidRPr="00492DEC">
        <w:rPr>
          <w:i/>
        </w:rPr>
        <w:br/>
      </w:r>
      <w:r w:rsidRPr="00492DEC">
        <w:tab/>
      </w:r>
      <w:proofErr w:type="spellStart"/>
      <w:r w:rsidRPr="00492DEC">
        <w:t>Branko</w:t>
      </w:r>
      <w:proofErr w:type="spellEnd"/>
      <w:r w:rsidRPr="00492DEC">
        <w:t xml:space="preserve"> </w:t>
      </w:r>
      <w:proofErr w:type="spellStart"/>
      <w:r w:rsidRPr="00492DEC">
        <w:t>Lubarda</w:t>
      </w:r>
      <w:proofErr w:type="spellEnd"/>
      <w:r w:rsidRPr="00492DEC">
        <w:t>,</w:t>
      </w:r>
      <w:r w:rsidRPr="00492DEC">
        <w:rPr>
          <w:i/>
        </w:rPr>
        <w:br/>
      </w:r>
      <w:r w:rsidRPr="00492DEC">
        <w:tab/>
      </w:r>
      <w:proofErr w:type="spellStart"/>
      <w:r w:rsidRPr="00492DEC">
        <w:t>Pauliine</w:t>
      </w:r>
      <w:proofErr w:type="spellEnd"/>
      <w:r w:rsidRPr="00492DEC">
        <w:t xml:space="preserve"> </w:t>
      </w:r>
      <w:proofErr w:type="spellStart"/>
      <w:r w:rsidRPr="00492DEC">
        <w:t>Koskelo</w:t>
      </w:r>
      <w:proofErr w:type="spellEnd"/>
      <w:r w:rsidRPr="00492DEC">
        <w:t>,</w:t>
      </w:r>
      <w:r w:rsidRPr="00492DEC">
        <w:rPr>
          <w:i/>
        </w:rPr>
        <w:br/>
      </w:r>
      <w:r w:rsidRPr="00492DEC">
        <w:tab/>
        <w:t xml:space="preserve">Jovan </w:t>
      </w:r>
      <w:proofErr w:type="spellStart"/>
      <w:r w:rsidRPr="00492DEC">
        <w:t>Ilievski</w:t>
      </w:r>
      <w:proofErr w:type="spellEnd"/>
      <w:r w:rsidRPr="00492DEC">
        <w:t>,</w:t>
      </w:r>
      <w:r w:rsidRPr="00492DEC">
        <w:rPr>
          <w:i/>
        </w:rPr>
        <w:br/>
      </w:r>
      <w:r w:rsidRPr="00492DEC">
        <w:tab/>
        <w:t xml:space="preserve">Gilberto </w:t>
      </w:r>
      <w:proofErr w:type="spellStart"/>
      <w:r w:rsidRPr="00492DEC">
        <w:t>Felici</w:t>
      </w:r>
      <w:proofErr w:type="spellEnd"/>
      <w:r w:rsidRPr="00492DEC">
        <w:t>,</w:t>
      </w:r>
      <w:r w:rsidRPr="00492DEC">
        <w:rPr>
          <w:i/>
        </w:rPr>
        <w:br/>
      </w:r>
      <w:r w:rsidRPr="00492DEC">
        <w:tab/>
      </w:r>
      <w:proofErr w:type="spellStart"/>
      <w:r w:rsidRPr="00492DEC">
        <w:t>Saadet</w:t>
      </w:r>
      <w:proofErr w:type="spellEnd"/>
      <w:r w:rsidRPr="00492DEC">
        <w:t xml:space="preserve"> </w:t>
      </w:r>
      <w:proofErr w:type="spellStart"/>
      <w:r w:rsidRPr="00492DEC">
        <w:t>Yüksel</w:t>
      </w:r>
      <w:proofErr w:type="spellEnd"/>
      <w:r w:rsidRPr="00492DEC">
        <w:t>,</w:t>
      </w:r>
      <w:r w:rsidRPr="00492DEC">
        <w:rPr>
          <w:i/>
        </w:rPr>
        <w:t xml:space="preserve"> judges,</w:t>
      </w:r>
      <w:r w:rsidRPr="00492DEC" w:rsidR="009F4C8F">
        <w:br/>
      </w:r>
      <w:r w:rsidRPr="00492DEC" w:rsidR="0021002D">
        <w:t xml:space="preserve">and Hasan </w:t>
      </w:r>
      <w:proofErr w:type="spellStart"/>
      <w:r w:rsidRPr="00492DEC" w:rsidR="0021002D">
        <w:t>Bakırcı</w:t>
      </w:r>
      <w:proofErr w:type="spellEnd"/>
      <w:r w:rsidRPr="00492DEC" w:rsidR="0021002D">
        <w:t xml:space="preserve">, </w:t>
      </w:r>
      <w:r w:rsidRPr="00492DEC" w:rsidR="0021002D">
        <w:rPr>
          <w:i/>
        </w:rPr>
        <w:t xml:space="preserve">Deputy Section </w:t>
      </w:r>
      <w:r w:rsidRPr="00492DEC" w:rsidR="0021002D">
        <w:rPr>
          <w:i/>
          <w:iCs/>
        </w:rPr>
        <w:t>Registrar</w:t>
      </w:r>
      <w:r w:rsidRPr="00492DEC" w:rsidR="0021002D">
        <w:rPr>
          <w:i/>
        </w:rPr>
        <w:t>,</w:t>
      </w:r>
    </w:p>
    <w:p w:rsidRPr="00492DEC" w:rsidR="0021002D" w:rsidP="00492DEC" w:rsidRDefault="0021002D" w14:paraId="117E3895" w14:textId="77777777">
      <w:pPr>
        <w:pStyle w:val="JuPara"/>
      </w:pPr>
      <w:bookmarkStart w:name="_Hlk90479034" w:id="3"/>
      <w:r w:rsidRPr="00492DEC">
        <w:t>Having regard to:</w:t>
      </w:r>
    </w:p>
    <w:p w:rsidRPr="00492DEC" w:rsidR="008D3977" w:rsidP="00492DEC" w:rsidRDefault="008D3977" w14:paraId="7F7F7BAC" w14:textId="77777777">
      <w:pPr>
        <w:pStyle w:val="JuPara"/>
      </w:pPr>
      <w:r w:rsidRPr="00492DEC">
        <w:t xml:space="preserve">the application (no. 10613/10) against the Republic </w:t>
      </w:r>
      <w:bookmarkEnd w:id="3"/>
      <w:r w:rsidRPr="00492DEC">
        <w:t xml:space="preserve">of Turkey lodged with the Court under Article 34 of the Convention for the Protection of Human Rights and Fundamental Freedoms (“the Convention”) by fifteen Turkish nationals, listed in the appendix (“the applicants”), on 3 February </w:t>
      </w:r>
      <w:proofErr w:type="gramStart"/>
      <w:r w:rsidRPr="00492DEC">
        <w:t>2010;</w:t>
      </w:r>
      <w:proofErr w:type="gramEnd"/>
    </w:p>
    <w:p w:rsidRPr="00492DEC" w:rsidR="008D3977" w:rsidP="00492DEC" w:rsidRDefault="008D3977" w14:paraId="58B88439" w14:textId="77777777">
      <w:pPr>
        <w:pStyle w:val="JuPara"/>
      </w:pPr>
      <w:r w:rsidRPr="00492DEC">
        <w:t xml:space="preserve">the decision to give notice to the Turkish Government (“the Government”) of the complaints concerning the alleged unfairness of the criminal proceedings against the applicants under Article 6 of the Convention and the alleged breach of their right to freedom of assembly under Article 11 of the Convention, and to declare inadmissible the remainder of the </w:t>
      </w:r>
      <w:proofErr w:type="gramStart"/>
      <w:r w:rsidRPr="00492DEC">
        <w:t>complaints;</w:t>
      </w:r>
      <w:proofErr w:type="gramEnd"/>
    </w:p>
    <w:p w:rsidRPr="00492DEC" w:rsidR="008D3977" w:rsidP="00492DEC" w:rsidRDefault="008D3977" w14:paraId="39B55999" w14:textId="2DCA28FB">
      <w:pPr>
        <w:pStyle w:val="JuPara"/>
      </w:pPr>
      <w:r w:rsidRPr="00492DEC">
        <w:t>the parties</w:t>
      </w:r>
      <w:r w:rsidRPr="00492DEC" w:rsidR="00492DEC">
        <w:t>’</w:t>
      </w:r>
      <w:r w:rsidRPr="00492DEC">
        <w:t xml:space="preserve"> </w:t>
      </w:r>
      <w:proofErr w:type="gramStart"/>
      <w:r w:rsidRPr="00492DEC">
        <w:t>observations;</w:t>
      </w:r>
      <w:proofErr w:type="gramEnd"/>
    </w:p>
    <w:p w:rsidRPr="00492DEC" w:rsidR="009F4C8F" w:rsidP="00492DEC" w:rsidRDefault="009F4C8F" w14:paraId="7D3B02B8" w14:textId="3C53FDE3">
      <w:pPr>
        <w:pStyle w:val="JuPara"/>
      </w:pPr>
      <w:r w:rsidRPr="00492DEC">
        <w:t xml:space="preserve">Having deliberated in private on </w:t>
      </w:r>
      <w:r w:rsidRPr="00492DEC" w:rsidR="008D3977">
        <w:t>14 February 2022</w:t>
      </w:r>
      <w:r w:rsidRPr="00492DEC">
        <w:t>,</w:t>
      </w:r>
    </w:p>
    <w:p w:rsidRPr="00492DEC" w:rsidR="009F4C8F" w:rsidP="00492DEC" w:rsidRDefault="009F4C8F" w14:paraId="5BE43943" w14:textId="77777777">
      <w:pPr>
        <w:pStyle w:val="JuPara"/>
      </w:pPr>
      <w:r w:rsidRPr="00492DEC">
        <w:t>Delivers the following judgment, which was adopted on that date:</w:t>
      </w:r>
    </w:p>
    <w:p w:rsidRPr="00492DEC" w:rsidR="008D3977" w:rsidP="00492DEC" w:rsidRDefault="008D3977" w14:paraId="5D75B93F" w14:textId="77777777">
      <w:pPr>
        <w:pStyle w:val="JuHHead"/>
        <w:numPr>
          <w:ilvl w:val="0"/>
          <w:numId w:val="0"/>
        </w:numPr>
      </w:pPr>
      <w:r w:rsidRPr="00492DEC">
        <w:t>INTRODUCTION</w:t>
      </w:r>
    </w:p>
    <w:p w:rsidRPr="00492DEC" w:rsidR="008D3977" w:rsidP="00492DEC" w:rsidRDefault="008D3977" w14:paraId="08509409" w14:textId="02F2B604">
      <w:pPr>
        <w:pStyle w:val="JuPara"/>
      </w:pPr>
      <w:r w:rsidRPr="00492DEC">
        <w:fldChar w:fldCharType="begin"/>
      </w:r>
      <w:r w:rsidRPr="00492DEC">
        <w:instrText xml:space="preserve"> SEQ level0 \*arabic \r1 </w:instrText>
      </w:r>
      <w:r w:rsidRPr="00492DEC">
        <w:fldChar w:fldCharType="separate"/>
      </w:r>
      <w:r w:rsidRPr="00492DEC" w:rsidR="00492DEC">
        <w:rPr>
          <w:noProof/>
        </w:rPr>
        <w:t>1</w:t>
      </w:r>
      <w:r w:rsidRPr="00492DEC">
        <w:fldChar w:fldCharType="end"/>
      </w:r>
      <w:r w:rsidRPr="00492DEC">
        <w:t>.  The application concerns the alleged breach of the applicants</w:t>
      </w:r>
      <w:r w:rsidRPr="00492DEC" w:rsidR="00492DEC">
        <w:t>’</w:t>
      </w:r>
      <w:r w:rsidRPr="00492DEC">
        <w:t xml:space="preserve"> right to freedom of assembly under Article 11 of the Convention on account of their conviction for having staged a protest in a courthouse, during which they chanted slogans, displayed a banner, threw leaflets around, and locked themselves in one of its corridors, thereby impeding hearings that were taking place. It further concerns the fairness of criminal proceedings against the applicants under Article 6 of the Convention owing to the alleged invalidity of their waiver of their right to a lawyer when making statements to the police during the preliminary investigation stage.</w:t>
      </w:r>
    </w:p>
    <w:p w:rsidRPr="00492DEC" w:rsidR="008D3977" w:rsidP="00492DEC" w:rsidRDefault="008D3977" w14:paraId="164BD133" w14:textId="77777777">
      <w:pPr>
        <w:pStyle w:val="JuHHead"/>
      </w:pPr>
      <w:r w:rsidRPr="00492DEC">
        <w:t>THE FACTS</w:t>
      </w:r>
    </w:p>
    <w:p w:rsidRPr="00492DEC" w:rsidR="008D3977" w:rsidP="00492DEC" w:rsidRDefault="00AC04F4" w14:paraId="75A54048" w14:textId="30A11C24">
      <w:pPr>
        <w:pStyle w:val="JuPara"/>
      </w:pPr>
      <w:fldSimple w:instr=" SEQ level0 \*arabic \* MERGEFORMAT ">
        <w:r w:rsidRPr="00492DEC" w:rsidR="00492DEC">
          <w:rPr>
            <w:noProof/>
          </w:rPr>
          <w:t>2</w:t>
        </w:r>
      </w:fldSimple>
      <w:r w:rsidRPr="00492DEC" w:rsidR="008D3977">
        <w:t>.  The applicants</w:t>
      </w:r>
      <w:r w:rsidRPr="00492DEC" w:rsidR="00492DEC">
        <w:t>’</w:t>
      </w:r>
      <w:r w:rsidRPr="00492DEC" w:rsidR="008D3977">
        <w:t xml:space="preserve"> personal details are set out in the appendix. The applicants were represented by Mr M. Erbil and Mrs N. </w:t>
      </w:r>
      <w:proofErr w:type="spellStart"/>
      <w:r w:rsidRPr="00492DEC" w:rsidR="008D3977">
        <w:t>Sel</w:t>
      </w:r>
      <w:r w:rsidRPr="00492DEC" w:rsidR="008D3977">
        <w:rPr>
          <w:lang w:val="tr-TR"/>
        </w:rPr>
        <w:t>çuk</w:t>
      </w:r>
      <w:proofErr w:type="spellEnd"/>
      <w:r w:rsidRPr="00492DEC" w:rsidR="008D3977">
        <w:t>, lawyers practising in Istanbul.</w:t>
      </w:r>
    </w:p>
    <w:p w:rsidRPr="00492DEC" w:rsidR="008D3977" w:rsidP="00492DEC" w:rsidRDefault="008D3977" w14:paraId="5F9FF12E" w14:textId="15BC7D7D">
      <w:pPr>
        <w:pStyle w:val="JuPara"/>
      </w:pPr>
      <w:r w:rsidRPr="00492DEC">
        <w:fldChar w:fldCharType="begin"/>
      </w:r>
      <w:r w:rsidRPr="00492DEC">
        <w:instrText xml:space="preserve"> SEQ level0 \*arabic </w:instrText>
      </w:r>
      <w:r w:rsidRPr="00492DEC">
        <w:fldChar w:fldCharType="separate"/>
      </w:r>
      <w:r w:rsidRPr="00492DEC" w:rsidR="00492DEC">
        <w:rPr>
          <w:noProof/>
        </w:rPr>
        <w:t>3</w:t>
      </w:r>
      <w:r w:rsidRPr="00492DEC">
        <w:fldChar w:fldCharType="end"/>
      </w:r>
      <w:r w:rsidRPr="00492DEC">
        <w:t xml:space="preserve">.  The Government were represented by their Agent, Mr </w:t>
      </w:r>
      <w:proofErr w:type="spellStart"/>
      <w:r w:rsidRPr="00492DEC">
        <w:t>Hacı</w:t>
      </w:r>
      <w:proofErr w:type="spellEnd"/>
      <w:r w:rsidRPr="00492DEC">
        <w:t xml:space="preserve"> Ali </w:t>
      </w:r>
      <w:proofErr w:type="spellStart"/>
      <w:r w:rsidRPr="00492DEC">
        <w:t>Açıkgül</w:t>
      </w:r>
      <w:proofErr w:type="spellEnd"/>
      <w:r w:rsidRPr="00492DEC">
        <w:t xml:space="preserve">, </w:t>
      </w:r>
      <w:r w:rsidRPr="00492DEC" w:rsidR="0064570D">
        <w:t>H</w:t>
      </w:r>
      <w:r w:rsidRPr="00492DEC">
        <w:t>ead of the Department of Human Rights of the Ministry of Justice of the Republic of Turkey.</w:t>
      </w:r>
    </w:p>
    <w:p w:rsidRPr="00492DEC" w:rsidR="008D3977" w:rsidP="00492DEC" w:rsidRDefault="008D3977" w14:paraId="15F468A0" w14:textId="35117AA1">
      <w:pPr>
        <w:pStyle w:val="JuPara"/>
      </w:pPr>
      <w:r w:rsidRPr="00492DEC">
        <w:fldChar w:fldCharType="begin"/>
      </w:r>
      <w:r w:rsidRPr="00492DEC">
        <w:instrText xml:space="preserve"> SEQ level0 \*arabic </w:instrText>
      </w:r>
      <w:r w:rsidRPr="00492DEC">
        <w:fldChar w:fldCharType="separate"/>
      </w:r>
      <w:r w:rsidRPr="00492DEC" w:rsidR="00492DEC">
        <w:rPr>
          <w:noProof/>
        </w:rPr>
        <w:t>4</w:t>
      </w:r>
      <w:r w:rsidRPr="00492DEC">
        <w:fldChar w:fldCharType="end"/>
      </w:r>
      <w:r w:rsidRPr="00492DEC">
        <w:t>.  The facts of the case, as submitted by the parties, may be summarised as follows.</w:t>
      </w:r>
    </w:p>
    <w:bookmarkStart w:name="Slogans" w:id="4"/>
    <w:p w:rsidRPr="00492DEC" w:rsidR="008D3977" w:rsidP="00492DEC" w:rsidRDefault="008D3977" w14:paraId="5C5E7FB7" w14:textId="485A474C">
      <w:pPr>
        <w:pStyle w:val="JuPara"/>
      </w:pPr>
      <w:r w:rsidRPr="00492DEC">
        <w:fldChar w:fldCharType="begin"/>
      </w:r>
      <w:r w:rsidRPr="00492DEC">
        <w:instrText xml:space="preserve"> SEQ level0 \*arabic </w:instrText>
      </w:r>
      <w:r w:rsidRPr="00492DEC">
        <w:fldChar w:fldCharType="separate"/>
      </w:r>
      <w:r w:rsidRPr="00492DEC" w:rsidR="00492DEC">
        <w:rPr>
          <w:noProof/>
        </w:rPr>
        <w:t>5</w:t>
      </w:r>
      <w:r w:rsidRPr="00492DEC">
        <w:fldChar w:fldCharType="end"/>
      </w:r>
      <w:bookmarkEnd w:id="4"/>
      <w:r w:rsidRPr="00492DEC">
        <w:t>.  </w:t>
      </w:r>
      <w:bookmarkStart w:name="_Hlk89962340" w:id="5"/>
      <w:r w:rsidRPr="00492DEC">
        <w:t xml:space="preserve">On 18 November 2003 at around 10.50 a.m. a group of twenty-three individuals, including the applicants, entered the corridor of the third floor of the Sultanahmet Courthouse in Istanbul, where the registries and hearing rooms of several courts were located, while some civilians and court officials were present in the same </w:t>
      </w:r>
      <w:proofErr w:type="gramStart"/>
      <w:r w:rsidRPr="00492DEC">
        <w:t>corridor .</w:t>
      </w:r>
      <w:proofErr w:type="gramEnd"/>
      <w:r w:rsidRPr="00492DEC">
        <w:t xml:space="preserve"> </w:t>
      </w:r>
      <w:bookmarkStart w:name="_Hlk88658258" w:id="6"/>
      <w:bookmarkEnd w:id="5"/>
      <w:r w:rsidRPr="00492DEC">
        <w:t xml:space="preserve">The group began chanting slogans such as </w:t>
      </w:r>
      <w:r w:rsidRPr="00492DEC">
        <w:rPr>
          <w:iCs/>
          <w:lang w:val="tr-TR"/>
        </w:rPr>
        <w:t>“</w:t>
      </w:r>
      <w:r w:rsidRPr="00492DEC">
        <w:t>End the Isolation”</w:t>
      </w:r>
      <w:r w:rsidRPr="00492DEC">
        <w:rPr>
          <w:i/>
          <w:lang w:val="tr-TR"/>
        </w:rPr>
        <w:t xml:space="preserve"> </w:t>
      </w:r>
      <w:r w:rsidRPr="00492DEC">
        <w:rPr>
          <w:iCs/>
          <w:lang w:val="tr-TR"/>
        </w:rPr>
        <w:t>(</w:t>
      </w:r>
      <w:r w:rsidRPr="00492DEC">
        <w:t>“</w:t>
      </w:r>
      <w:r w:rsidRPr="00492DEC">
        <w:rPr>
          <w:i/>
          <w:lang w:val="tr-TR"/>
        </w:rPr>
        <w:t>Tecride Son</w:t>
      </w:r>
      <w:r w:rsidRPr="00492DEC">
        <w:rPr>
          <w:iCs/>
          <w:lang w:val="tr-TR"/>
        </w:rPr>
        <w:t>”),</w:t>
      </w:r>
      <w:r w:rsidRPr="00492DEC">
        <w:rPr>
          <w:i/>
          <w:lang w:val="tr-TR"/>
        </w:rPr>
        <w:t xml:space="preserve"> </w:t>
      </w:r>
      <w:r w:rsidRPr="00492DEC">
        <w:rPr>
          <w:iCs/>
          <w:lang w:val="tr-TR"/>
        </w:rPr>
        <w:t xml:space="preserve">“No </w:t>
      </w:r>
      <w:proofErr w:type="spellStart"/>
      <w:r w:rsidRPr="00492DEC">
        <w:rPr>
          <w:iCs/>
          <w:lang w:val="tr-TR"/>
        </w:rPr>
        <w:t>to</w:t>
      </w:r>
      <w:proofErr w:type="spellEnd"/>
      <w:r w:rsidRPr="00492DEC">
        <w:rPr>
          <w:iCs/>
          <w:lang w:val="tr-TR"/>
        </w:rPr>
        <w:t xml:space="preserve"> </w:t>
      </w:r>
      <w:proofErr w:type="spellStart"/>
      <w:r w:rsidRPr="00492DEC">
        <w:rPr>
          <w:iCs/>
          <w:lang w:val="tr-TR"/>
        </w:rPr>
        <w:t>invasion</w:t>
      </w:r>
      <w:proofErr w:type="spellEnd"/>
      <w:r w:rsidRPr="00492DEC">
        <w:rPr>
          <w:iCs/>
          <w:lang w:val="tr-TR"/>
        </w:rPr>
        <w:t>” (“</w:t>
      </w:r>
      <w:r w:rsidRPr="00492DEC">
        <w:rPr>
          <w:i/>
          <w:lang w:val="tr-TR"/>
        </w:rPr>
        <w:t>İşgale Hayır</w:t>
      </w:r>
      <w:r w:rsidRPr="00492DEC">
        <w:rPr>
          <w:iCs/>
          <w:lang w:val="tr-TR"/>
        </w:rPr>
        <w:t>”),</w:t>
      </w:r>
      <w:r w:rsidRPr="00492DEC">
        <w:rPr>
          <w:i/>
          <w:lang w:val="tr-TR"/>
        </w:rPr>
        <w:t xml:space="preserve"> </w:t>
      </w:r>
      <w:r w:rsidRPr="00492DEC">
        <w:rPr>
          <w:iCs/>
          <w:lang w:val="tr-TR"/>
        </w:rPr>
        <w:t>“Close</w:t>
      </w:r>
      <w:r w:rsidRPr="00492DEC">
        <w:rPr>
          <w:i/>
          <w:lang w:val="tr-TR"/>
        </w:rPr>
        <w:t xml:space="preserve"> </w:t>
      </w:r>
      <w:r w:rsidRPr="00492DEC">
        <w:rPr>
          <w:lang w:val="tr-TR"/>
        </w:rPr>
        <w:t>İ</w:t>
      </w:r>
      <w:proofErr w:type="spellStart"/>
      <w:r w:rsidRPr="00492DEC">
        <w:t>mralı</w:t>
      </w:r>
      <w:proofErr w:type="spellEnd"/>
      <w:r w:rsidRPr="00492DEC">
        <w:t xml:space="preserve"> Prison” (</w:t>
      </w:r>
      <w:r w:rsidRPr="00492DEC">
        <w:rPr>
          <w:iCs/>
          <w:lang w:val="tr-TR"/>
        </w:rPr>
        <w:t>“</w:t>
      </w:r>
      <w:r w:rsidRPr="00492DEC">
        <w:rPr>
          <w:i/>
          <w:lang w:val="tr-TR"/>
        </w:rPr>
        <w:t>İmralı Cezaevi Kapatılsın</w:t>
      </w:r>
      <w:r w:rsidRPr="00492DEC">
        <w:rPr>
          <w:iCs/>
          <w:lang w:val="tr-TR"/>
        </w:rPr>
        <w:t>”), “</w:t>
      </w:r>
      <w:r w:rsidRPr="00492DEC">
        <w:t>We have not surrendered and we will not surrender” (“</w:t>
      </w:r>
      <w:r w:rsidRPr="00492DEC">
        <w:rPr>
          <w:i/>
          <w:lang w:val="tr-TR"/>
        </w:rPr>
        <w:t>Teslim olmadık olmayacağız</w:t>
      </w:r>
      <w:r w:rsidRPr="00492DEC" w:rsidR="0064570D">
        <w:rPr>
          <w:iCs/>
          <w:lang w:val="tr-TR"/>
        </w:rPr>
        <w:t>”)</w:t>
      </w:r>
      <w:r w:rsidRPr="00492DEC">
        <w:rPr>
          <w:iCs/>
          <w:lang w:val="tr-TR"/>
        </w:rPr>
        <w:t>,</w:t>
      </w:r>
      <w:r w:rsidRPr="00492DEC">
        <w:rPr>
          <w:i/>
          <w:lang w:val="tr-TR"/>
        </w:rPr>
        <w:t xml:space="preserve"> </w:t>
      </w:r>
      <w:r w:rsidRPr="00492DEC">
        <w:rPr>
          <w:iCs/>
          <w:lang w:val="tr-TR"/>
        </w:rPr>
        <w:t>“</w:t>
      </w:r>
      <w:r w:rsidRPr="00492DEC">
        <w:t xml:space="preserve">Salute, salute a thousand salutes to </w:t>
      </w:r>
      <w:r w:rsidRPr="00492DEC">
        <w:rPr>
          <w:lang w:val="tr-TR"/>
        </w:rPr>
        <w:t>İ</w:t>
      </w:r>
      <w:proofErr w:type="spellStart"/>
      <w:r w:rsidRPr="00492DEC">
        <w:t>mralı</w:t>
      </w:r>
      <w:proofErr w:type="spellEnd"/>
      <w:r w:rsidRPr="00492DEC">
        <w:t>” (</w:t>
      </w:r>
      <w:r w:rsidRPr="00492DEC">
        <w:rPr>
          <w:iCs/>
          <w:lang w:val="tr-TR"/>
        </w:rPr>
        <w:t>“</w:t>
      </w:r>
      <w:r w:rsidRPr="00492DEC">
        <w:rPr>
          <w:i/>
          <w:lang w:val="tr-TR"/>
        </w:rPr>
        <w:t xml:space="preserve">Selam, Selam, </w:t>
      </w:r>
      <w:proofErr w:type="spellStart"/>
      <w:r w:rsidRPr="00492DEC">
        <w:rPr>
          <w:i/>
          <w:lang w:val="tr-TR"/>
        </w:rPr>
        <w:t>İmralıya</w:t>
      </w:r>
      <w:proofErr w:type="spellEnd"/>
      <w:r w:rsidRPr="00492DEC">
        <w:rPr>
          <w:i/>
          <w:lang w:val="tr-TR"/>
        </w:rPr>
        <w:t xml:space="preserve"> Bin Selam</w:t>
      </w:r>
      <w:r w:rsidRPr="00492DEC">
        <w:rPr>
          <w:iCs/>
          <w:lang w:val="tr-TR"/>
        </w:rPr>
        <w:t>”), “</w:t>
      </w:r>
      <w:r w:rsidRPr="00492DEC">
        <w:t xml:space="preserve">Freedom to </w:t>
      </w:r>
      <w:r w:rsidRPr="00492DEC">
        <w:rPr>
          <w:lang w:val="tr-TR"/>
        </w:rPr>
        <w:t>Ö</w:t>
      </w:r>
      <w:proofErr w:type="spellStart"/>
      <w:r w:rsidRPr="00492DEC">
        <w:t>calan</w:t>
      </w:r>
      <w:proofErr w:type="spellEnd"/>
      <w:r w:rsidRPr="00492DEC">
        <w:t>”</w:t>
      </w:r>
      <w:r w:rsidRPr="00492DEC">
        <w:rPr>
          <w:i/>
          <w:lang w:val="tr-TR"/>
        </w:rPr>
        <w:t xml:space="preserve"> </w:t>
      </w:r>
      <w:r w:rsidRPr="00492DEC">
        <w:rPr>
          <w:iCs/>
          <w:lang w:val="tr-TR"/>
        </w:rPr>
        <w:t>(</w:t>
      </w:r>
      <w:r w:rsidRPr="00492DEC">
        <w:t>“</w:t>
      </w:r>
      <w:r w:rsidRPr="00492DEC">
        <w:rPr>
          <w:i/>
          <w:lang w:val="tr-TR"/>
        </w:rPr>
        <w:t>Öcalan</w:t>
      </w:r>
      <w:r w:rsidRPr="00492DEC" w:rsidR="00492DEC">
        <w:rPr>
          <w:i/>
          <w:lang w:val="tr-TR"/>
        </w:rPr>
        <w:t>’</w:t>
      </w:r>
      <w:r w:rsidRPr="00492DEC">
        <w:rPr>
          <w:i/>
          <w:lang w:val="tr-TR"/>
        </w:rPr>
        <w:t>a Özgürlük</w:t>
      </w:r>
      <w:r w:rsidRPr="00492DEC">
        <w:rPr>
          <w:iCs/>
          <w:lang w:val="tr-TR"/>
        </w:rPr>
        <w:t>”)</w:t>
      </w:r>
      <w:r w:rsidRPr="00492DEC">
        <w:rPr>
          <w:i/>
          <w:lang w:val="tr-TR"/>
        </w:rPr>
        <w:t xml:space="preserve"> </w:t>
      </w:r>
      <w:r w:rsidRPr="00492DEC">
        <w:t>and</w:t>
      </w:r>
      <w:r w:rsidRPr="00492DEC">
        <w:rPr>
          <w:i/>
          <w:lang w:val="tr-TR"/>
        </w:rPr>
        <w:t xml:space="preserve"> </w:t>
      </w:r>
      <w:r w:rsidRPr="00492DEC">
        <w:rPr>
          <w:lang w:val="tr-TR"/>
        </w:rPr>
        <w:t>“</w:t>
      </w:r>
      <w:r w:rsidRPr="00492DEC">
        <w:t xml:space="preserve">The messenger of peace is in </w:t>
      </w:r>
      <w:r w:rsidRPr="00492DEC">
        <w:rPr>
          <w:lang w:val="tr-TR"/>
        </w:rPr>
        <w:t>İ</w:t>
      </w:r>
      <w:proofErr w:type="spellStart"/>
      <w:r w:rsidRPr="00492DEC">
        <w:t>mralı</w:t>
      </w:r>
      <w:proofErr w:type="spellEnd"/>
      <w:r w:rsidRPr="00492DEC">
        <w:t>”</w:t>
      </w:r>
      <w:r w:rsidRPr="00492DEC">
        <w:rPr>
          <w:iCs/>
          <w:lang w:val="tr-TR"/>
        </w:rPr>
        <w:t xml:space="preserve"> (“</w:t>
      </w:r>
      <w:r w:rsidRPr="00492DEC">
        <w:rPr>
          <w:i/>
          <w:lang w:val="tr-TR"/>
        </w:rPr>
        <w:t>Barış elçisi İmralı</w:t>
      </w:r>
      <w:r w:rsidRPr="00492DEC" w:rsidR="00492DEC">
        <w:rPr>
          <w:i/>
          <w:lang w:val="tr-TR"/>
        </w:rPr>
        <w:t>’</w:t>
      </w:r>
      <w:r w:rsidRPr="00492DEC">
        <w:rPr>
          <w:i/>
          <w:lang w:val="tr-TR"/>
        </w:rPr>
        <w:t>da</w:t>
      </w:r>
      <w:r w:rsidRPr="00492DEC">
        <w:rPr>
          <w:lang w:val="tr-TR"/>
        </w:rPr>
        <w:t>”)</w:t>
      </w:r>
      <w:r w:rsidRPr="00492DEC">
        <w:t>.</w:t>
      </w:r>
    </w:p>
    <w:bookmarkStart w:name="banner" w:id="7"/>
    <w:bookmarkEnd w:id="6"/>
    <w:p w:rsidRPr="00492DEC" w:rsidR="008D3977" w:rsidP="00492DEC" w:rsidRDefault="008D3977" w14:paraId="30567529" w14:textId="48A8DB57">
      <w:pPr>
        <w:pStyle w:val="JuPara"/>
      </w:pPr>
      <w:r w:rsidRPr="00492DEC">
        <w:fldChar w:fldCharType="begin"/>
      </w:r>
      <w:r w:rsidRPr="00492DEC">
        <w:instrText xml:space="preserve"> SEQ level0 \*arabic </w:instrText>
      </w:r>
      <w:r w:rsidRPr="00492DEC">
        <w:fldChar w:fldCharType="separate"/>
      </w:r>
      <w:r w:rsidRPr="00492DEC" w:rsidR="00492DEC">
        <w:rPr>
          <w:noProof/>
        </w:rPr>
        <w:t>6</w:t>
      </w:r>
      <w:r w:rsidRPr="00492DEC">
        <w:fldChar w:fldCharType="end"/>
      </w:r>
      <w:bookmarkEnd w:id="7"/>
      <w:r w:rsidRPr="00492DEC">
        <w:t xml:space="preserve">.  Subsequently, some members of the group closed the door to the corridor and locked themselves in the corridor by toppling metal cupboards behind the door. </w:t>
      </w:r>
      <w:r w:rsidRPr="00492DEC">
        <w:rPr>
          <w:lang w:val="en-US"/>
        </w:rPr>
        <w:t xml:space="preserve">They then hung a large banner from one of the windows of the corridor and threw leaflets outside. </w:t>
      </w:r>
      <w:r w:rsidRPr="00492DEC">
        <w:t xml:space="preserve">The banner read: “A democratic solution to the Kurdish problem; </w:t>
      </w:r>
      <w:proofErr w:type="spellStart"/>
      <w:r w:rsidRPr="00492DEC">
        <w:t>İmralı</w:t>
      </w:r>
      <w:proofErr w:type="spellEnd"/>
      <w:r w:rsidRPr="00492DEC">
        <w:t xml:space="preserve"> Prison must be shut down” (“</w:t>
      </w:r>
      <w:r w:rsidRPr="00492DEC">
        <w:rPr>
          <w:i/>
          <w:iCs/>
          <w:lang w:val="tr-TR"/>
        </w:rPr>
        <w:t>Kürt sorununa demokratik çözüm, İmralı Cezaevi kapatılsın</w:t>
      </w:r>
      <w:r w:rsidRPr="00492DEC">
        <w:t>”), and “Youth Initiative for Social Peace” (“</w:t>
      </w:r>
      <w:proofErr w:type="spellStart"/>
      <w:r w:rsidRPr="00492DEC">
        <w:rPr>
          <w:i/>
          <w:iCs/>
        </w:rPr>
        <w:t>Toplumsal</w:t>
      </w:r>
      <w:proofErr w:type="spellEnd"/>
      <w:r w:rsidRPr="00492DEC">
        <w:rPr>
          <w:i/>
          <w:iCs/>
        </w:rPr>
        <w:t xml:space="preserve"> </w:t>
      </w:r>
      <w:r w:rsidRPr="00492DEC">
        <w:rPr>
          <w:i/>
          <w:iCs/>
          <w:lang w:val="tr-TR"/>
        </w:rPr>
        <w:t>Barış için Gençlik Girişimi</w:t>
      </w:r>
      <w:r w:rsidRPr="00492DEC">
        <w:t>”). The leaflets contained critical remarks concerning the policies of the governing Justice and Development Party. The applicants later submitted to the trial court that they had locked themselves in and that they had originally planned to make a press statement in front of the courthouse, but that they had entered the building owing to the rain. The applicants furthermore submitted to the trial court that they had attempted to go outside again to make the press statement, but that certain civilians had attacked them with a view to lynching them, forcing them to seek shelter in the closest corridor. The door of the corridor had then been shut behind them and as the door had only had one handle, they had not been able to open it from the corridor.</w:t>
      </w:r>
    </w:p>
    <w:bookmarkStart w:name="Prosecutor_report" w:id="8"/>
    <w:p w:rsidRPr="00492DEC" w:rsidR="008D3977" w:rsidP="00492DEC" w:rsidRDefault="008D3977" w14:paraId="7FD96C06" w14:textId="7A6C0F33">
      <w:pPr>
        <w:pStyle w:val="JuPara"/>
        <w:rPr>
          <w:lang w:val="en-US"/>
        </w:rPr>
      </w:pPr>
      <w:r w:rsidRPr="00492DEC">
        <w:fldChar w:fldCharType="begin"/>
      </w:r>
      <w:r w:rsidRPr="00492DEC">
        <w:instrText xml:space="preserve"> SEQ level0 \*arabic </w:instrText>
      </w:r>
      <w:r w:rsidRPr="00492DEC">
        <w:fldChar w:fldCharType="separate"/>
      </w:r>
      <w:r w:rsidRPr="00492DEC" w:rsidR="00492DEC">
        <w:rPr>
          <w:noProof/>
        </w:rPr>
        <w:t>7</w:t>
      </w:r>
      <w:r w:rsidRPr="00492DEC">
        <w:fldChar w:fldCharType="end"/>
      </w:r>
      <w:bookmarkEnd w:id="8"/>
      <w:r w:rsidRPr="00492DEC">
        <w:t>.  </w:t>
      </w:r>
      <w:r w:rsidRPr="00492DEC">
        <w:rPr>
          <w:lang w:val="en-US"/>
        </w:rPr>
        <w:t xml:space="preserve">According to witness statements, the protesters warned other individuals present in the corridor and inside the offices that they were going to stage a protest but that there was no need to be afraid. It appears that some of the witnesses locked themselves in the hearing rooms and some in the registries during the protest by blocking the entrances to those rooms. The witnesses mainly reported hearing repetitive slogans being chanted outside in the corridor, but they reported that they had come to no harm. Similarly, the incident report of 18 November 2003 drawn up by the </w:t>
      </w:r>
      <w:bookmarkStart w:name="_Hlk88944355" w:id="9"/>
      <w:r w:rsidRPr="00492DEC">
        <w:rPr>
          <w:lang w:val="en-US"/>
        </w:rPr>
        <w:t xml:space="preserve">Deputy Public Prosecutor of Istanbul </w:t>
      </w:r>
      <w:bookmarkEnd w:id="9"/>
      <w:r w:rsidRPr="00492DEC">
        <w:rPr>
          <w:lang w:val="en-US"/>
        </w:rPr>
        <w:t>indicated that no material damage had been caused in the corridor or to its furniture.</w:t>
      </w:r>
    </w:p>
    <w:p w:rsidRPr="00492DEC" w:rsidR="008D3977" w:rsidP="00492DEC" w:rsidRDefault="008D3977" w14:paraId="531222FB" w14:textId="266F6A07">
      <w:pPr>
        <w:pStyle w:val="JuPara"/>
        <w:rPr>
          <w:lang w:val="en-US"/>
        </w:rPr>
      </w:pPr>
      <w:r w:rsidRPr="00492DEC">
        <w:fldChar w:fldCharType="begin"/>
      </w:r>
      <w:r w:rsidRPr="00492DEC">
        <w:instrText xml:space="preserve"> SEQ level0 \*arabic </w:instrText>
      </w:r>
      <w:r w:rsidRPr="00492DEC">
        <w:fldChar w:fldCharType="separate"/>
      </w:r>
      <w:r w:rsidRPr="00492DEC" w:rsidR="00492DEC">
        <w:rPr>
          <w:noProof/>
        </w:rPr>
        <w:t>8</w:t>
      </w:r>
      <w:r w:rsidRPr="00492DEC">
        <w:fldChar w:fldCharType="end"/>
      </w:r>
      <w:r w:rsidRPr="00492DEC">
        <w:t xml:space="preserve">.  The protesters, including the applicants, </w:t>
      </w:r>
      <w:r w:rsidRPr="00492DEC">
        <w:rPr>
          <w:lang w:val="en-US"/>
        </w:rPr>
        <w:t>continued their actions for about an hour until the police broke in and arrested them. According to the Government</w:t>
      </w:r>
      <w:r w:rsidRPr="00492DEC" w:rsidR="00492DEC">
        <w:rPr>
          <w:lang w:val="en-US"/>
        </w:rPr>
        <w:t>’</w:t>
      </w:r>
      <w:r w:rsidRPr="00492DEC">
        <w:rPr>
          <w:lang w:val="en-US"/>
        </w:rPr>
        <w:t xml:space="preserve">s version of events the protestors resisted the officers during their arrest by locking arms, prompting the police to use tear gas to disperse them. The applicants contested that </w:t>
      </w:r>
      <w:r w:rsidRPr="00492DEC">
        <w:t xml:space="preserve">version of events, arguing that they had </w:t>
      </w:r>
      <w:r w:rsidRPr="00492DEC">
        <w:rPr>
          <w:lang w:val="en-US"/>
        </w:rPr>
        <w:t>surrendered to the police but that they had nevertheless been beaten at the time of their arrest.</w:t>
      </w:r>
    </w:p>
    <w:p w:rsidRPr="00492DEC" w:rsidR="008D3977" w:rsidP="00492DEC" w:rsidRDefault="008D3977" w14:paraId="79D4DA4F" w14:textId="475218EC">
      <w:pPr>
        <w:pStyle w:val="JuPara"/>
        <w:rPr>
          <w:lang w:val="en-US"/>
        </w:rPr>
      </w:pPr>
      <w:r w:rsidRPr="00492DEC">
        <w:rPr>
          <w:lang w:val="en-US"/>
        </w:rPr>
        <w:fldChar w:fldCharType="begin"/>
      </w:r>
      <w:r w:rsidRPr="00492DEC">
        <w:rPr>
          <w:lang w:val="en-US"/>
        </w:rPr>
        <w:instrText xml:space="preserve"> SEQ level0 \*arabic </w:instrText>
      </w:r>
      <w:r w:rsidRPr="00492DEC">
        <w:rPr>
          <w:lang w:val="en-US"/>
        </w:rPr>
        <w:fldChar w:fldCharType="separate"/>
      </w:r>
      <w:r w:rsidRPr="00492DEC" w:rsidR="00492DEC">
        <w:rPr>
          <w:noProof/>
          <w:lang w:val="en-US"/>
        </w:rPr>
        <w:t>9</w:t>
      </w:r>
      <w:r w:rsidRPr="00492DEC">
        <w:fldChar w:fldCharType="end"/>
      </w:r>
      <w:r w:rsidRPr="00492DEC">
        <w:rPr>
          <w:lang w:val="en-US"/>
        </w:rPr>
        <w:t xml:space="preserve">.  Following their arrest, the applicants were first taken to </w:t>
      </w:r>
      <w:proofErr w:type="spellStart"/>
      <w:r w:rsidRPr="00492DEC">
        <w:rPr>
          <w:lang w:val="en-US"/>
        </w:rPr>
        <w:t>Haseki</w:t>
      </w:r>
      <w:proofErr w:type="spellEnd"/>
      <w:r w:rsidRPr="00492DEC">
        <w:rPr>
          <w:lang w:val="en-US"/>
        </w:rPr>
        <w:t xml:space="preserve"> Hospital and then examined by the </w:t>
      </w:r>
      <w:r w:rsidRPr="00492DEC">
        <w:t>Forensic Medicine Institute</w:t>
      </w:r>
      <w:r w:rsidRPr="00492DEC">
        <w:rPr>
          <w:lang w:val="en-US"/>
        </w:rPr>
        <w:t xml:space="preserve">. According to the medical reports added to the case file, </w:t>
      </w:r>
      <w:proofErr w:type="gramStart"/>
      <w:r w:rsidRPr="00492DEC">
        <w:rPr>
          <w:lang w:val="en-US"/>
        </w:rPr>
        <w:t>all of</w:t>
      </w:r>
      <w:proofErr w:type="gramEnd"/>
      <w:r w:rsidRPr="00492DEC">
        <w:rPr>
          <w:lang w:val="en-US"/>
        </w:rPr>
        <w:t xml:space="preserve"> the applicants, except for Mehmet </w:t>
      </w:r>
      <w:r w:rsidRPr="00492DEC">
        <w:rPr>
          <w:lang w:val="tr-TR"/>
        </w:rPr>
        <w:t>Şahin</w:t>
      </w:r>
      <w:r w:rsidRPr="00492DEC">
        <w:rPr>
          <w:lang w:val="en-US"/>
        </w:rPr>
        <w:t xml:space="preserve">, </w:t>
      </w:r>
      <w:r w:rsidRPr="00492DEC">
        <w:rPr>
          <w:lang w:val="tr-TR"/>
        </w:rPr>
        <w:t>Özgür</w:t>
      </w:r>
      <w:r w:rsidRPr="00492DEC">
        <w:rPr>
          <w:lang w:val="en-US"/>
        </w:rPr>
        <w:t xml:space="preserve"> Tan and Mahmut Cengiz, presented signs of physical trauma, either at the beginning or at the end of their custody. </w:t>
      </w:r>
      <w:proofErr w:type="gramStart"/>
      <w:r w:rsidRPr="00492DEC">
        <w:rPr>
          <w:lang w:val="en-US"/>
        </w:rPr>
        <w:t>In particular, even</w:t>
      </w:r>
      <w:proofErr w:type="gramEnd"/>
      <w:r w:rsidRPr="00492DEC">
        <w:rPr>
          <w:lang w:val="en-US"/>
        </w:rPr>
        <w:t xml:space="preserve"> though </w:t>
      </w:r>
      <w:r w:rsidRPr="00492DEC">
        <w:t xml:space="preserve">the medical reports drawn up in respect of the applicants </w:t>
      </w:r>
      <w:proofErr w:type="spellStart"/>
      <w:r w:rsidRPr="00492DEC">
        <w:t>Ekrem</w:t>
      </w:r>
      <w:proofErr w:type="spellEnd"/>
      <w:r w:rsidRPr="00492DEC">
        <w:t xml:space="preserve"> Can and </w:t>
      </w:r>
      <w:proofErr w:type="spellStart"/>
      <w:r w:rsidRPr="00492DEC">
        <w:t>Fikret</w:t>
      </w:r>
      <w:proofErr w:type="spellEnd"/>
      <w:r w:rsidRPr="00492DEC">
        <w:t xml:space="preserve"> </w:t>
      </w:r>
      <w:proofErr w:type="spellStart"/>
      <w:r w:rsidRPr="00492DEC">
        <w:t>Avras</w:t>
      </w:r>
      <w:proofErr w:type="spellEnd"/>
      <w:r w:rsidRPr="00492DEC">
        <w:t xml:space="preserve"> at the beginning of their time in police custody did not note any signs of ill-treatment, the reports compiled at the end of that time concluded that they had been unfit – for a period of one day – for work.</w:t>
      </w:r>
    </w:p>
    <w:bookmarkStart w:name="_Hlk95814343" w:id="10"/>
    <w:p w:rsidRPr="00492DEC" w:rsidR="008D3977" w:rsidP="00492DEC" w:rsidRDefault="008D3977" w14:paraId="75C814D0" w14:textId="4161E5EA">
      <w:pPr>
        <w:pStyle w:val="JuPara"/>
        <w:rPr>
          <w:lang w:val="en-US"/>
        </w:rPr>
      </w:pPr>
      <w:r w:rsidRPr="00492DEC">
        <w:rPr>
          <w:lang w:val="en-US"/>
        </w:rPr>
        <w:fldChar w:fldCharType="begin"/>
      </w:r>
      <w:r w:rsidRPr="00492DEC">
        <w:rPr>
          <w:lang w:val="en-US"/>
        </w:rPr>
        <w:instrText xml:space="preserve"> SEQ level0 \*arabic </w:instrText>
      </w:r>
      <w:r w:rsidRPr="00492DEC">
        <w:rPr>
          <w:lang w:val="en-US"/>
        </w:rPr>
        <w:fldChar w:fldCharType="separate"/>
      </w:r>
      <w:r w:rsidRPr="00492DEC" w:rsidR="00492DEC">
        <w:rPr>
          <w:noProof/>
          <w:lang w:val="en-US"/>
        </w:rPr>
        <w:t>10</w:t>
      </w:r>
      <w:r w:rsidRPr="00492DEC">
        <w:fldChar w:fldCharType="end"/>
      </w:r>
      <w:r w:rsidRPr="00492DEC">
        <w:rPr>
          <w:lang w:val="en-US"/>
        </w:rPr>
        <w:t xml:space="preserve">.  Between 18 and 22 November 2003, the applicants were held in police custody on terrorism-related charges and were interviewed by the </w:t>
      </w:r>
      <w:r w:rsidRPr="00492DEC" w:rsidR="0064570D">
        <w:rPr>
          <w:lang w:val="en-US"/>
        </w:rPr>
        <w:br/>
      </w:r>
      <w:r w:rsidRPr="00492DEC">
        <w:rPr>
          <w:lang w:val="en-US"/>
        </w:rPr>
        <w:t xml:space="preserve">Anti-Terrorism branch of the Istanbul Security Directorate. According to some documents in the case file, most of the applicants met their lawyer before and after giving statements to the police. According to other forms bearing the signature of each applicant (save for the applicant Mehmet </w:t>
      </w:r>
      <w:proofErr w:type="spellStart"/>
      <w:r w:rsidRPr="00492DEC">
        <w:rPr>
          <w:lang w:val="en-US"/>
        </w:rPr>
        <w:t>Şahin</w:t>
      </w:r>
      <w:proofErr w:type="spellEnd"/>
      <w:r w:rsidRPr="00492DEC">
        <w:rPr>
          <w:lang w:val="en-US"/>
        </w:rPr>
        <w:t xml:space="preserve">), the applicants chose to give their statements without the presence of a lawyer. Those forms also indicated that each applicant </w:t>
      </w:r>
      <w:r w:rsidRPr="00492DEC">
        <w:t>had been</w:t>
      </w:r>
      <w:r w:rsidRPr="00492DEC" w:rsidR="007462D0">
        <w:t xml:space="preserve"> </w:t>
      </w:r>
      <w:r w:rsidRPr="00492DEC">
        <w:t>informed</w:t>
      </w:r>
      <w:r w:rsidRPr="00492DEC" w:rsidR="007462D0">
        <w:t xml:space="preserve"> </w:t>
      </w:r>
      <w:r w:rsidRPr="00492DEC">
        <w:t>of his rights under Article</w:t>
      </w:r>
      <w:r w:rsidRPr="00492DEC" w:rsidR="007462D0">
        <w:t xml:space="preserve"> </w:t>
      </w:r>
      <w:r w:rsidRPr="00492DEC">
        <w:t>135 of the former Code of Criminal Procedure</w:t>
      </w:r>
      <w:r w:rsidRPr="00492DEC" w:rsidR="007462D0">
        <w:t xml:space="preserve"> </w:t>
      </w:r>
      <w:r w:rsidRPr="00492DEC">
        <w:t>and that a</w:t>
      </w:r>
      <w:r w:rsidRPr="00492DEC" w:rsidR="007462D0">
        <w:t xml:space="preserve"> </w:t>
      </w:r>
      <w:r w:rsidRPr="00492DEC">
        <w:t>copy of</w:t>
      </w:r>
      <w:r w:rsidRPr="00492DEC" w:rsidR="00747AE3">
        <w:t xml:space="preserve"> </w:t>
      </w:r>
      <w:r w:rsidRPr="00492DEC">
        <w:t>a form explaining their rights</w:t>
      </w:r>
      <w:r w:rsidRPr="00492DEC" w:rsidR="007462D0">
        <w:t xml:space="preserve"> </w:t>
      </w:r>
      <w:r w:rsidRPr="00492DEC">
        <w:t>had been handed to each of them.</w:t>
      </w:r>
      <w:r w:rsidRPr="00492DEC" w:rsidR="007462D0">
        <w:t xml:space="preserve"> </w:t>
      </w:r>
      <w:r w:rsidRPr="00492DEC">
        <w:t>The forms did not bear the time at which they had been signed, but the dates were recorded by hand.</w:t>
      </w:r>
    </w:p>
    <w:bookmarkStart w:name="Different_officers" w:id="11"/>
    <w:bookmarkEnd w:id="10"/>
    <w:p w:rsidRPr="00492DEC" w:rsidR="008D3977" w:rsidP="00492DEC" w:rsidRDefault="008D3977" w14:paraId="17D3632E" w14:textId="0AEEB0DA">
      <w:pPr>
        <w:pStyle w:val="JuPara"/>
      </w:pPr>
      <w:r w:rsidRPr="00492DEC">
        <w:fldChar w:fldCharType="begin"/>
      </w:r>
      <w:r w:rsidRPr="00492DEC">
        <w:instrText xml:space="preserve"> SEQ level0 \*arabic </w:instrText>
      </w:r>
      <w:r w:rsidRPr="00492DEC">
        <w:fldChar w:fldCharType="separate"/>
      </w:r>
      <w:r w:rsidRPr="00492DEC" w:rsidR="00492DEC">
        <w:rPr>
          <w:noProof/>
        </w:rPr>
        <w:t>11</w:t>
      </w:r>
      <w:r w:rsidRPr="00492DEC">
        <w:fldChar w:fldCharType="end"/>
      </w:r>
      <w:bookmarkEnd w:id="11"/>
      <w:r w:rsidRPr="00492DEC">
        <w:t xml:space="preserve">.  The applicant Mehmet </w:t>
      </w:r>
      <w:proofErr w:type="spellStart"/>
      <w:r w:rsidRPr="00492DEC">
        <w:t>Şahin</w:t>
      </w:r>
      <w:proofErr w:type="spellEnd"/>
      <w:r w:rsidRPr="00492DEC">
        <w:t xml:space="preserve"> was the only applicant who requested the assistance of a lawyer during the taking of his statement by the police. A certain A.P., who is not one of the applicants, also appears to have requested the assistance of a lawyer. Both the applicant Mehmet </w:t>
      </w:r>
      <w:proofErr w:type="spellStart"/>
      <w:r w:rsidRPr="00492DEC">
        <w:t>Şahin</w:t>
      </w:r>
      <w:proofErr w:type="spellEnd"/>
      <w:r w:rsidRPr="00492DEC">
        <w:t xml:space="preserve"> and A.P. were interviewed in the presence of a lawyer and remained silent before the police. The officers involved in the questioning of Mehmet </w:t>
      </w:r>
      <w:proofErr w:type="spellStart"/>
      <w:r w:rsidRPr="00492DEC">
        <w:t>Şahin</w:t>
      </w:r>
      <w:proofErr w:type="spellEnd"/>
      <w:r w:rsidRPr="00492DEC">
        <w:t xml:space="preserve"> and A.P. were not the same as those involved in the questioning of the other applicants. The applicant </w:t>
      </w:r>
      <w:proofErr w:type="spellStart"/>
      <w:r w:rsidRPr="00492DEC">
        <w:t>Kerim</w:t>
      </w:r>
      <w:proofErr w:type="spellEnd"/>
      <w:r w:rsidRPr="00492DEC">
        <w:t xml:space="preserve"> </w:t>
      </w:r>
      <w:r w:rsidRPr="00492DEC">
        <w:rPr>
          <w:lang w:val="tr-TR"/>
        </w:rPr>
        <w:t xml:space="preserve">Taştan </w:t>
      </w:r>
      <w:proofErr w:type="spellStart"/>
      <w:r w:rsidRPr="00492DEC">
        <w:rPr>
          <w:lang w:val="tr-TR"/>
        </w:rPr>
        <w:t>also</w:t>
      </w:r>
      <w:proofErr w:type="spellEnd"/>
      <w:r w:rsidRPr="00492DEC">
        <w:rPr>
          <w:lang w:val="tr-TR"/>
        </w:rPr>
        <w:t xml:space="preserve"> </w:t>
      </w:r>
      <w:r w:rsidRPr="00492DEC">
        <w:t>exercised his right to remain silent, without requesting the assistance of a lawyer.</w:t>
      </w:r>
    </w:p>
    <w:p w:rsidRPr="00492DEC" w:rsidR="008D3977" w:rsidP="00492DEC" w:rsidRDefault="008D3977" w14:paraId="2821F65A" w14:textId="00A71034">
      <w:pPr>
        <w:pStyle w:val="JuPara"/>
      </w:pPr>
      <w:r w:rsidRPr="00492DEC">
        <w:fldChar w:fldCharType="begin"/>
      </w:r>
      <w:r w:rsidRPr="00492DEC">
        <w:instrText xml:space="preserve"> SEQ level0 \*arabic </w:instrText>
      </w:r>
      <w:r w:rsidRPr="00492DEC">
        <w:fldChar w:fldCharType="separate"/>
      </w:r>
      <w:r w:rsidRPr="00492DEC" w:rsidR="00492DEC">
        <w:rPr>
          <w:noProof/>
        </w:rPr>
        <w:t>12</w:t>
      </w:r>
      <w:r w:rsidRPr="00492DEC">
        <w:fldChar w:fldCharType="end"/>
      </w:r>
      <w:r w:rsidRPr="00492DEC">
        <w:t>.  The rest of the applicants gave statements to the police between 19</w:t>
      </w:r>
      <w:r w:rsidRPr="00492DEC" w:rsidR="001C6BDC">
        <w:t> </w:t>
      </w:r>
      <w:r w:rsidRPr="00492DEC">
        <w:t xml:space="preserve">and 21 November 2003, in the absence of a lawyer. Their statements were transcribed on printed forms, the first page of which was filled in to indicate </w:t>
      </w:r>
      <w:r w:rsidRPr="00492DEC">
        <w:rPr>
          <w:i/>
          <w:iCs/>
        </w:rPr>
        <w:t>inter alia</w:t>
      </w:r>
      <w:r w:rsidRPr="00492DEC">
        <w:t xml:space="preserve"> that they were suspected of, </w:t>
      </w:r>
      <w:r w:rsidRPr="00492DEC">
        <w:rPr>
          <w:i/>
          <w:iCs/>
        </w:rPr>
        <w:t>inter alia</w:t>
      </w:r>
      <w:r w:rsidRPr="00492DEC">
        <w:t>, acting on behalf of the PKK (the Workers</w:t>
      </w:r>
      <w:r w:rsidRPr="00492DEC" w:rsidR="00492DEC">
        <w:t>’</w:t>
      </w:r>
      <w:r w:rsidRPr="00492DEC">
        <w:t xml:space="preserve"> Party of Kurdistan), an illegal organisation. The same page also included</w:t>
      </w:r>
      <w:r w:rsidRPr="00492DEC" w:rsidR="00576B73">
        <w:t xml:space="preserve"> </w:t>
      </w:r>
      <w:r w:rsidRPr="00492DEC">
        <w:t>a</w:t>
      </w:r>
      <w:r w:rsidRPr="00492DEC" w:rsidR="00576B73">
        <w:t xml:space="preserve"> </w:t>
      </w:r>
      <w:r w:rsidRPr="00492DEC">
        <w:t xml:space="preserve">printed message that stated, </w:t>
      </w:r>
      <w:r w:rsidRPr="00492DEC">
        <w:rPr>
          <w:i/>
          <w:iCs/>
        </w:rPr>
        <w:t>inter alia</w:t>
      </w:r>
      <w:r w:rsidRPr="00492DEC">
        <w:t>, that the person being questioned had the right to remain silent and the right to choose a lawyer. It appears from the forms that all the applicants refused legal assistance,</w:t>
      </w:r>
      <w:r w:rsidRPr="00492DEC" w:rsidR="00576B73">
        <w:t xml:space="preserve"> </w:t>
      </w:r>
      <w:r w:rsidRPr="00492DEC">
        <w:t>as on each of their forms the box entitled “No lawyer sought” was marked with a</w:t>
      </w:r>
      <w:r w:rsidRPr="00492DEC" w:rsidR="00576B73">
        <w:t xml:space="preserve"> </w:t>
      </w:r>
      <w:r w:rsidRPr="00492DEC">
        <w:t>printed</w:t>
      </w:r>
      <w:r w:rsidRPr="00492DEC" w:rsidR="0064570D">
        <w:t xml:space="preserve"> </w:t>
      </w:r>
      <w:r w:rsidRPr="00492DEC">
        <w:t>“X”. Moreover, according to these records, all the applicants, except for one, also stated that they did not wish to have a lawyer or to remain silent.</w:t>
      </w:r>
    </w:p>
    <w:p w:rsidRPr="00492DEC" w:rsidR="008D3977" w:rsidP="00492DEC" w:rsidRDefault="008D3977" w14:paraId="77D94A50" w14:textId="1C2A23C1">
      <w:pPr>
        <w:pStyle w:val="JuPara"/>
      </w:pPr>
      <w:r w:rsidRPr="00492DEC">
        <w:fldChar w:fldCharType="begin"/>
      </w:r>
      <w:r w:rsidRPr="00492DEC">
        <w:instrText xml:space="preserve"> SEQ level0 \*arabic </w:instrText>
      </w:r>
      <w:r w:rsidRPr="00492DEC">
        <w:fldChar w:fldCharType="separate"/>
      </w:r>
      <w:r w:rsidRPr="00492DEC" w:rsidR="00492DEC">
        <w:rPr>
          <w:noProof/>
        </w:rPr>
        <w:t>13</w:t>
      </w:r>
      <w:r w:rsidRPr="00492DEC">
        <w:fldChar w:fldCharType="end"/>
      </w:r>
      <w:r w:rsidRPr="00492DEC">
        <w:t xml:space="preserve">.  The applicant </w:t>
      </w:r>
      <w:proofErr w:type="spellStart"/>
      <w:r w:rsidRPr="00492DEC">
        <w:t>Fikret</w:t>
      </w:r>
      <w:proofErr w:type="spellEnd"/>
      <w:r w:rsidRPr="00492DEC">
        <w:t xml:space="preserve"> </w:t>
      </w:r>
      <w:proofErr w:type="spellStart"/>
      <w:r w:rsidRPr="00492DEC">
        <w:t>Avras</w:t>
      </w:r>
      <w:proofErr w:type="spellEnd"/>
      <w:r w:rsidRPr="00492DEC">
        <w:t xml:space="preserve"> met a different lawyer respectively on 19</w:t>
      </w:r>
      <w:r w:rsidRPr="00492DEC" w:rsidR="001C6BDC">
        <w:t> </w:t>
      </w:r>
      <w:r w:rsidRPr="00492DEC">
        <w:t xml:space="preserve">November 2003 at 10.35 a.m. and on 21 November 2003 at 9.30 p.m., and the applicant </w:t>
      </w:r>
      <w:proofErr w:type="spellStart"/>
      <w:r w:rsidRPr="00492DEC">
        <w:t>Ekrem</w:t>
      </w:r>
      <w:proofErr w:type="spellEnd"/>
      <w:r w:rsidRPr="00492DEC">
        <w:t xml:space="preserve"> Can met a lawyer on 19 November 2003 at 11.20</w:t>
      </w:r>
      <w:r w:rsidRPr="00492DEC" w:rsidR="001C6BDC">
        <w:t> </w:t>
      </w:r>
      <w:r w:rsidRPr="00492DEC">
        <w:t>a.m.</w:t>
      </w:r>
    </w:p>
    <w:p w:rsidRPr="00492DEC" w:rsidR="008D3977" w:rsidP="00492DEC" w:rsidRDefault="008D3977" w14:paraId="0F5D5242" w14:textId="246F81CA">
      <w:pPr>
        <w:pStyle w:val="JuPara"/>
      </w:pPr>
      <w:r w:rsidRPr="00492DEC">
        <w:fldChar w:fldCharType="begin"/>
      </w:r>
      <w:r w:rsidRPr="00492DEC">
        <w:instrText xml:space="preserve"> SEQ level0 \*arabic </w:instrText>
      </w:r>
      <w:r w:rsidRPr="00492DEC">
        <w:fldChar w:fldCharType="separate"/>
      </w:r>
      <w:r w:rsidRPr="00492DEC" w:rsidR="00492DEC">
        <w:rPr>
          <w:noProof/>
        </w:rPr>
        <w:t>14</w:t>
      </w:r>
      <w:r w:rsidRPr="00492DEC">
        <w:fldChar w:fldCharType="end"/>
      </w:r>
      <w:r w:rsidRPr="00492DEC">
        <w:t xml:space="preserve">.  The applicants, except for </w:t>
      </w:r>
      <w:proofErr w:type="spellStart"/>
      <w:r w:rsidRPr="00492DEC">
        <w:t>Kerim</w:t>
      </w:r>
      <w:proofErr w:type="spellEnd"/>
      <w:r w:rsidRPr="00492DEC">
        <w:t xml:space="preserve"> </w:t>
      </w:r>
      <w:proofErr w:type="spellStart"/>
      <w:r w:rsidRPr="00492DEC">
        <w:t>Taştan</w:t>
      </w:r>
      <w:proofErr w:type="spellEnd"/>
      <w:r w:rsidRPr="00492DEC">
        <w:t xml:space="preserve"> and Mehmet </w:t>
      </w:r>
      <w:proofErr w:type="spellStart"/>
      <w:r w:rsidRPr="00492DEC">
        <w:t>Şahin</w:t>
      </w:r>
      <w:proofErr w:type="spellEnd"/>
      <w:r w:rsidRPr="00492DEC">
        <w:t xml:space="preserve"> (who did not give statements to the police), acknowledged having wilfully participated in the protest, pursuant to decisions made by the council of the PKK. Many of the applicants also acknowledged having taken part in other protests organised in support of the PKK.</w:t>
      </w:r>
    </w:p>
    <w:p w:rsidRPr="00492DEC" w:rsidR="008D3977" w:rsidP="00492DEC" w:rsidRDefault="008D3977" w14:paraId="0A296401" w14:textId="41E7433D">
      <w:pPr>
        <w:pStyle w:val="JuPara"/>
      </w:pPr>
      <w:r w:rsidRPr="00492DEC">
        <w:fldChar w:fldCharType="begin"/>
      </w:r>
      <w:r w:rsidRPr="00492DEC">
        <w:instrText xml:space="preserve"> SEQ level0 \*arabic </w:instrText>
      </w:r>
      <w:r w:rsidRPr="00492DEC">
        <w:fldChar w:fldCharType="separate"/>
      </w:r>
      <w:r w:rsidRPr="00492DEC" w:rsidR="00492DEC">
        <w:rPr>
          <w:noProof/>
        </w:rPr>
        <w:t>15</w:t>
      </w:r>
      <w:r w:rsidRPr="00492DEC">
        <w:fldChar w:fldCharType="end"/>
      </w:r>
      <w:r w:rsidRPr="00492DEC">
        <w:t xml:space="preserve">.  On 21 November 2003 the applicants </w:t>
      </w:r>
      <w:proofErr w:type="spellStart"/>
      <w:r w:rsidRPr="00492DEC">
        <w:t>Ekrem</w:t>
      </w:r>
      <w:proofErr w:type="spellEnd"/>
      <w:r w:rsidRPr="00492DEC">
        <w:t xml:space="preserve"> Can and </w:t>
      </w:r>
      <w:proofErr w:type="spellStart"/>
      <w:r w:rsidRPr="00492DEC">
        <w:t>Fikret</w:t>
      </w:r>
      <w:proofErr w:type="spellEnd"/>
      <w:r w:rsidRPr="00492DEC">
        <w:t xml:space="preserve"> </w:t>
      </w:r>
      <w:proofErr w:type="spellStart"/>
      <w:r w:rsidRPr="00492DEC">
        <w:t>Avras</w:t>
      </w:r>
      <w:proofErr w:type="spellEnd"/>
      <w:r w:rsidRPr="00492DEC">
        <w:t xml:space="preserve"> additionally participated in an “identity parade” conducted with photographs (</w:t>
      </w:r>
      <w:proofErr w:type="spellStart"/>
      <w:r w:rsidRPr="00492DEC">
        <w:rPr>
          <w:i/>
        </w:rPr>
        <w:t>fotoğraftan</w:t>
      </w:r>
      <w:proofErr w:type="spellEnd"/>
      <w:r w:rsidRPr="00492DEC">
        <w:rPr>
          <w:i/>
        </w:rPr>
        <w:t xml:space="preserve"> </w:t>
      </w:r>
      <w:proofErr w:type="spellStart"/>
      <w:r w:rsidRPr="00492DEC">
        <w:rPr>
          <w:i/>
        </w:rPr>
        <w:t>teşhis</w:t>
      </w:r>
      <w:proofErr w:type="spellEnd"/>
      <w:r w:rsidRPr="00492DEC">
        <w:t xml:space="preserve">) and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and Mahmut Cengiz were also taken to certain locations for a reconstruction of the events in question (</w:t>
      </w:r>
      <w:r w:rsidRPr="00492DEC">
        <w:rPr>
          <w:i/>
          <w:lang w:val="tr-TR"/>
        </w:rPr>
        <w:t>yer gösterme</w:t>
      </w:r>
      <w:r w:rsidRPr="00492DEC">
        <w:t>), during which they were not assisted by a lawyer and acknowledged having been involved in throwing Molotov cocktails at police vehicles, throwing stones at public buses, and attacking a bank on different occasions.</w:t>
      </w:r>
    </w:p>
    <w:bookmarkStart w:name="Report1" w:id="12"/>
    <w:p w:rsidRPr="00492DEC" w:rsidR="008D3977" w:rsidP="00492DEC" w:rsidRDefault="008D3977" w14:paraId="70EE2C6A" w14:textId="50A65FBC">
      <w:pPr>
        <w:pStyle w:val="JuPara"/>
      </w:pPr>
      <w:r w:rsidRPr="00492DEC">
        <w:fldChar w:fldCharType="begin"/>
      </w:r>
      <w:r w:rsidRPr="00492DEC">
        <w:instrText xml:space="preserve"> SEQ level0 \*arabic </w:instrText>
      </w:r>
      <w:r w:rsidRPr="00492DEC">
        <w:fldChar w:fldCharType="separate"/>
      </w:r>
      <w:r w:rsidRPr="00492DEC" w:rsidR="00492DEC">
        <w:rPr>
          <w:noProof/>
        </w:rPr>
        <w:t>16</w:t>
      </w:r>
      <w:r w:rsidRPr="00492DEC">
        <w:fldChar w:fldCharType="end"/>
      </w:r>
      <w:bookmarkEnd w:id="12"/>
      <w:r w:rsidRPr="00492DEC">
        <w:t>.  The case file contains the copies of two separate handwritten records (</w:t>
      </w:r>
      <w:proofErr w:type="spellStart"/>
      <w:r w:rsidRPr="00492DEC">
        <w:rPr>
          <w:i/>
        </w:rPr>
        <w:t>tutanak</w:t>
      </w:r>
      <w:proofErr w:type="spellEnd"/>
      <w:r w:rsidRPr="00492DEC">
        <w:t>). The first record read as follows:</w:t>
      </w:r>
    </w:p>
    <w:p w:rsidRPr="00492DEC" w:rsidR="008D3977" w:rsidP="00492DEC" w:rsidRDefault="008D3977" w14:paraId="7C2AC53B" w14:textId="77777777">
      <w:pPr>
        <w:pStyle w:val="JuQuot"/>
      </w:pPr>
      <w:r w:rsidRPr="00492DEC">
        <w:t xml:space="preserve">“On 18 November 2003 I was assigned to represent the defendant, </w:t>
      </w:r>
      <w:proofErr w:type="spellStart"/>
      <w:r w:rsidRPr="00492DEC">
        <w:t>Ekrem</w:t>
      </w:r>
      <w:proofErr w:type="spellEnd"/>
      <w:r w:rsidRPr="00492DEC">
        <w:t xml:space="preserve"> Can, by the [Istanbul] Bar Association.</w:t>
      </w:r>
    </w:p>
    <w:p w:rsidRPr="00492DEC" w:rsidR="008D3977" w:rsidP="00492DEC" w:rsidRDefault="008D3977" w14:paraId="0FDD69D7" w14:textId="77777777">
      <w:pPr>
        <w:pStyle w:val="JuQuot"/>
      </w:pPr>
      <w:r w:rsidRPr="00492DEC">
        <w:t xml:space="preserve">The defendant, </w:t>
      </w:r>
      <w:proofErr w:type="spellStart"/>
      <w:r w:rsidRPr="00492DEC">
        <w:t>Ekrem</w:t>
      </w:r>
      <w:proofErr w:type="spellEnd"/>
      <w:r w:rsidRPr="00492DEC">
        <w:t xml:space="preserve"> Can, stated during our meeting, which was held on 19 November 2003 at 11.34 a.m. at the Anti-Terrorism branch of the Istanbul Security Directorate, that he would not give statements to the police, he would not attend any investigative acts without a lawyer and that he would exercise his right to remain silent; this record was prepared and signed together. 19 November 2003 (time: 11.40 a.m.)</w:t>
      </w:r>
    </w:p>
    <w:p w:rsidRPr="00492DEC" w:rsidR="008D3977" w:rsidP="00492DEC" w:rsidRDefault="008D3977" w14:paraId="3C3204E5" w14:textId="77777777">
      <w:pPr>
        <w:pStyle w:val="JuQuot"/>
      </w:pPr>
      <w:proofErr w:type="spellStart"/>
      <w:r w:rsidRPr="00492DEC">
        <w:t>Suat</w:t>
      </w:r>
      <w:proofErr w:type="spellEnd"/>
      <w:r w:rsidRPr="00492DEC">
        <w:t xml:space="preserve"> </w:t>
      </w:r>
      <w:proofErr w:type="spellStart"/>
      <w:r w:rsidRPr="00492DEC">
        <w:t>Eren</w:t>
      </w:r>
      <w:proofErr w:type="spellEnd"/>
      <w:r w:rsidRPr="00492DEC">
        <w:t xml:space="preserve"> (Lawyer) </w:t>
      </w:r>
      <w:r w:rsidRPr="00492DEC">
        <w:tab/>
      </w:r>
      <w:r w:rsidRPr="00492DEC">
        <w:tab/>
      </w:r>
      <w:r w:rsidRPr="00492DEC">
        <w:tab/>
      </w:r>
      <w:proofErr w:type="spellStart"/>
      <w:r w:rsidRPr="00492DEC">
        <w:t>Ekrem</w:t>
      </w:r>
      <w:proofErr w:type="spellEnd"/>
      <w:r w:rsidRPr="00492DEC">
        <w:t xml:space="preserve"> Can (arrestee)</w:t>
      </w:r>
    </w:p>
    <w:p w:rsidRPr="00492DEC" w:rsidR="008D3977" w:rsidP="00492DEC" w:rsidRDefault="008D3977" w14:paraId="65F289F9" w14:textId="77777777">
      <w:pPr>
        <w:pStyle w:val="JuQuot"/>
      </w:pPr>
      <w:bookmarkStart w:name="_Hlk94100948" w:id="13"/>
      <w:r w:rsidRPr="00492DEC">
        <w:t xml:space="preserve">Despite this record, there exists a statement record showing that statements were taken [from </w:t>
      </w:r>
      <w:proofErr w:type="spellStart"/>
      <w:r w:rsidRPr="00492DEC">
        <w:t>Ekrem</w:t>
      </w:r>
      <w:proofErr w:type="spellEnd"/>
      <w:r w:rsidRPr="00492DEC">
        <w:t xml:space="preserve"> Can].”</w:t>
      </w:r>
    </w:p>
    <w:bookmarkStart w:name="Report2" w:id="14"/>
    <w:bookmarkEnd w:id="13"/>
    <w:p w:rsidRPr="00492DEC" w:rsidR="008D3977" w:rsidP="00492DEC" w:rsidRDefault="008D3977" w14:paraId="24A40BEC" w14:textId="68577CBC">
      <w:pPr>
        <w:pStyle w:val="JuPara"/>
      </w:pPr>
      <w:r w:rsidRPr="00492DEC">
        <w:fldChar w:fldCharType="begin"/>
      </w:r>
      <w:r w:rsidRPr="00492DEC">
        <w:instrText xml:space="preserve"> SEQ level0 \*arabic \* MERGEFORMAT </w:instrText>
      </w:r>
      <w:r w:rsidRPr="00492DEC">
        <w:fldChar w:fldCharType="separate"/>
      </w:r>
      <w:r w:rsidRPr="00492DEC" w:rsidR="00492DEC">
        <w:rPr>
          <w:noProof/>
        </w:rPr>
        <w:t>17</w:t>
      </w:r>
      <w:r w:rsidRPr="00492DEC">
        <w:fldChar w:fldCharType="end"/>
      </w:r>
      <w:bookmarkEnd w:id="14"/>
      <w:r w:rsidRPr="00492DEC">
        <w:t>.  The second record read as follows:</w:t>
      </w:r>
    </w:p>
    <w:p w:rsidRPr="00492DEC" w:rsidR="008D3977" w:rsidP="00492DEC" w:rsidRDefault="008D3977" w14:paraId="446A16E1" w14:textId="51842101">
      <w:pPr>
        <w:pStyle w:val="JuQuot"/>
      </w:pPr>
      <w:r w:rsidRPr="00492DEC">
        <w:t xml:space="preserve">“On 18 November 2003 I was assigned by the Bar Association to represent the defendant, </w:t>
      </w:r>
      <w:proofErr w:type="spellStart"/>
      <w:r w:rsidRPr="00492DEC">
        <w:t>Ekrem</w:t>
      </w:r>
      <w:proofErr w:type="spellEnd"/>
      <w:r w:rsidRPr="00492DEC">
        <w:t xml:space="preserve"> Can. On 20 November 2003 at 9 p.m. I attempted to hold a meeting with the defendant on the premises of the [Anti-Terrorism] branch of the Istanbul police headquarters. I was prevented from meeting my client </w:t>
      </w:r>
      <w:proofErr w:type="gramStart"/>
      <w:r w:rsidRPr="00492DEC">
        <w:t>on the basis of</w:t>
      </w:r>
      <w:proofErr w:type="gramEnd"/>
      <w:r w:rsidRPr="00492DEC">
        <w:t xml:space="preserve"> the usual pretext that </w:t>
      </w:r>
      <w:r w:rsidRPr="00492DEC" w:rsidR="00492DEC">
        <w:t>‘</w:t>
      </w:r>
      <w:r w:rsidRPr="00492DEC">
        <w:t>he was not present on the premises [because] he had been taken outside for the reconstruction of events</w:t>
      </w:r>
      <w:r w:rsidRPr="00492DEC" w:rsidR="00492DEC">
        <w:t>’</w:t>
      </w:r>
      <w:r w:rsidRPr="00492DEC">
        <w:t>.</w:t>
      </w:r>
    </w:p>
    <w:p w:rsidRPr="00492DEC" w:rsidR="008D3977" w:rsidP="00492DEC" w:rsidRDefault="008D3977" w14:paraId="34FC8DC8" w14:textId="77777777">
      <w:pPr>
        <w:pStyle w:val="JuQuot"/>
      </w:pPr>
      <w:r w:rsidRPr="00492DEC">
        <w:t>I have previously been [“fobbed off”] from holding meetings with similar excuses.</w:t>
      </w:r>
    </w:p>
    <w:p w:rsidRPr="00492DEC" w:rsidR="008D3977" w:rsidP="00492DEC" w:rsidRDefault="008D3977" w14:paraId="57D7F58A" w14:textId="77777777">
      <w:pPr>
        <w:pStyle w:val="JuQuot"/>
      </w:pPr>
      <w:r w:rsidRPr="00492DEC">
        <w:t>The drawing up of this report has been deemed necessary. 20 November 2003, 9 p.m.</w:t>
      </w:r>
    </w:p>
    <w:p w:rsidRPr="00492DEC" w:rsidR="008D3977" w:rsidP="00492DEC" w:rsidRDefault="008D3977" w14:paraId="12F39EB4" w14:textId="5E495771">
      <w:pPr>
        <w:pStyle w:val="JuQuot"/>
      </w:pPr>
      <w:proofErr w:type="spellStart"/>
      <w:r w:rsidRPr="00492DEC">
        <w:t>Suat</w:t>
      </w:r>
      <w:proofErr w:type="spellEnd"/>
      <w:r w:rsidRPr="00492DEC">
        <w:t xml:space="preserve"> </w:t>
      </w:r>
      <w:proofErr w:type="spellStart"/>
      <w:r w:rsidRPr="00492DEC">
        <w:t>Eren</w:t>
      </w:r>
      <w:proofErr w:type="spellEnd"/>
      <w:r w:rsidRPr="00492DEC">
        <w:t xml:space="preserve"> (Lawyer)</w:t>
      </w:r>
      <w:r w:rsidRPr="00492DEC" w:rsidR="00492DEC">
        <w:t xml:space="preserve"> </w:t>
      </w:r>
      <w:r w:rsidRPr="00492DEC">
        <w:t xml:space="preserve">Sami </w:t>
      </w:r>
      <w:proofErr w:type="spellStart"/>
      <w:r w:rsidRPr="00492DEC">
        <w:t>Almaz</w:t>
      </w:r>
      <w:proofErr w:type="spellEnd"/>
      <w:r w:rsidRPr="00492DEC">
        <w:t xml:space="preserve"> (Lawyer</w:t>
      </w:r>
      <w:proofErr w:type="gramStart"/>
      <w:r w:rsidRPr="00492DEC">
        <w:t>) ”</w:t>
      </w:r>
      <w:proofErr w:type="gramEnd"/>
    </w:p>
    <w:p w:rsidRPr="00492DEC" w:rsidR="008D3977" w:rsidP="00492DEC" w:rsidRDefault="008D3977" w14:paraId="271C24A0" w14:textId="1114CE68">
      <w:pPr>
        <w:pStyle w:val="JuPara"/>
      </w:pPr>
      <w:r w:rsidRPr="00492DEC">
        <w:fldChar w:fldCharType="begin"/>
      </w:r>
      <w:r w:rsidRPr="00492DEC">
        <w:instrText xml:space="preserve"> SEQ level0 \*arabic </w:instrText>
      </w:r>
      <w:r w:rsidRPr="00492DEC">
        <w:fldChar w:fldCharType="separate"/>
      </w:r>
      <w:r w:rsidRPr="00492DEC" w:rsidR="00492DEC">
        <w:rPr>
          <w:noProof/>
        </w:rPr>
        <w:t>18</w:t>
      </w:r>
      <w:r w:rsidRPr="00492DEC">
        <w:fldChar w:fldCharType="end"/>
      </w:r>
      <w:r w:rsidRPr="00492DEC">
        <w:t xml:space="preserve">.  At the end of their period in police custody on 22 November 2003, the applicants were taken to the Forensic Medicine Institute for medical examination. It was found that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w:t>
      </w:r>
      <w:proofErr w:type="spellStart"/>
      <w:r w:rsidRPr="00492DEC">
        <w:t>Şenol</w:t>
      </w:r>
      <w:proofErr w:type="spellEnd"/>
      <w:r w:rsidRPr="00492DEC">
        <w:t xml:space="preserve"> </w:t>
      </w:r>
      <w:proofErr w:type="spellStart"/>
      <w:r w:rsidRPr="00492DEC">
        <w:t>Akyaz</w:t>
      </w:r>
      <w:proofErr w:type="spellEnd"/>
      <w:r w:rsidRPr="00492DEC">
        <w:t xml:space="preserve">, Ahmet </w:t>
      </w:r>
      <w:proofErr w:type="spellStart"/>
      <w:r w:rsidRPr="00492DEC">
        <w:t>Işık</w:t>
      </w:r>
      <w:proofErr w:type="spellEnd"/>
      <w:r w:rsidRPr="00492DEC">
        <w:t xml:space="preserve">, </w:t>
      </w:r>
      <w:proofErr w:type="spellStart"/>
      <w:r w:rsidRPr="00492DEC">
        <w:t>Güven</w:t>
      </w:r>
      <w:proofErr w:type="spellEnd"/>
      <w:r w:rsidRPr="00492DEC">
        <w:t xml:space="preserve"> </w:t>
      </w:r>
      <w:proofErr w:type="spellStart"/>
      <w:r w:rsidRPr="00492DEC">
        <w:t>Öztürk</w:t>
      </w:r>
      <w:proofErr w:type="spellEnd"/>
      <w:r w:rsidRPr="00492DEC">
        <w:t xml:space="preserve">, </w:t>
      </w:r>
      <w:proofErr w:type="spellStart"/>
      <w:r w:rsidRPr="00492DEC">
        <w:t>Kerim</w:t>
      </w:r>
      <w:proofErr w:type="spellEnd"/>
      <w:r w:rsidRPr="00492DEC">
        <w:t xml:space="preserve"> </w:t>
      </w:r>
      <w:proofErr w:type="spellStart"/>
      <w:r w:rsidRPr="00492DEC">
        <w:t>Taştan</w:t>
      </w:r>
      <w:proofErr w:type="spellEnd"/>
      <w:r w:rsidRPr="00492DEC">
        <w:t xml:space="preserve">, </w:t>
      </w:r>
      <w:proofErr w:type="spellStart"/>
      <w:r w:rsidRPr="00492DEC">
        <w:t>Muhlis</w:t>
      </w:r>
      <w:proofErr w:type="spellEnd"/>
      <w:r w:rsidRPr="00492DEC">
        <w:t xml:space="preserve"> </w:t>
      </w:r>
      <w:proofErr w:type="spellStart"/>
      <w:r w:rsidRPr="00492DEC">
        <w:t>Doğan</w:t>
      </w:r>
      <w:proofErr w:type="spellEnd"/>
      <w:r w:rsidRPr="00492DEC">
        <w:t xml:space="preserve">, Yavuz </w:t>
      </w:r>
      <w:proofErr w:type="spellStart"/>
      <w:r w:rsidRPr="00492DEC">
        <w:t>Oğur</w:t>
      </w:r>
      <w:proofErr w:type="spellEnd"/>
      <w:r w:rsidRPr="00492DEC">
        <w:t xml:space="preserve">, </w:t>
      </w:r>
      <w:proofErr w:type="spellStart"/>
      <w:r w:rsidRPr="00492DEC">
        <w:t>Esat</w:t>
      </w:r>
      <w:proofErr w:type="spellEnd"/>
      <w:r w:rsidRPr="00492DEC">
        <w:t xml:space="preserve"> Gezer and </w:t>
      </w:r>
      <w:proofErr w:type="spellStart"/>
      <w:r w:rsidRPr="00492DEC">
        <w:t>Abdulkerim</w:t>
      </w:r>
      <w:proofErr w:type="spellEnd"/>
      <w:r w:rsidRPr="00492DEC">
        <w:t xml:space="preserve"> </w:t>
      </w:r>
      <w:proofErr w:type="spellStart"/>
      <w:r w:rsidRPr="00492DEC">
        <w:t>Doğan</w:t>
      </w:r>
      <w:proofErr w:type="spellEnd"/>
      <w:r w:rsidRPr="00492DEC">
        <w:t xml:space="preserve"> bore marks of physical trauma on different parts of their bodies that were not life-threatening. Medical reports drawn up in respect of the applicants </w:t>
      </w:r>
      <w:proofErr w:type="spellStart"/>
      <w:r w:rsidRPr="00492DEC">
        <w:t>Ekrem</w:t>
      </w:r>
      <w:proofErr w:type="spellEnd"/>
      <w:r w:rsidRPr="00492DEC">
        <w:t xml:space="preserve"> Can and </w:t>
      </w:r>
      <w:proofErr w:type="spellStart"/>
      <w:r w:rsidRPr="00492DEC">
        <w:t>Fikret</w:t>
      </w:r>
      <w:proofErr w:type="spellEnd"/>
      <w:r w:rsidRPr="00492DEC">
        <w:t xml:space="preserve"> </w:t>
      </w:r>
      <w:proofErr w:type="spellStart"/>
      <w:r w:rsidRPr="00492DEC">
        <w:t>Avras</w:t>
      </w:r>
      <w:proofErr w:type="spellEnd"/>
      <w:r w:rsidRPr="00492DEC">
        <w:t xml:space="preserve"> indicated that they were unfit for work for one day, even though the medical reports compiled at the beginning of their custody indicated no such finding.</w:t>
      </w:r>
      <w:bookmarkStart w:name="Ekrem_Fikret_Lawyer" w:id="15"/>
    </w:p>
    <w:p w:rsidRPr="00492DEC" w:rsidR="008D3977" w:rsidP="00492DEC" w:rsidRDefault="008D3977" w14:paraId="7DB5E1AB" w14:textId="526DCD24">
      <w:pPr>
        <w:pStyle w:val="JuPara"/>
      </w:pPr>
      <w:r w:rsidRPr="00492DEC">
        <w:fldChar w:fldCharType="begin"/>
      </w:r>
      <w:r w:rsidRPr="00492DEC">
        <w:instrText xml:space="preserve"> SEQ level0 \*arabic </w:instrText>
      </w:r>
      <w:r w:rsidRPr="00492DEC">
        <w:fldChar w:fldCharType="separate"/>
      </w:r>
      <w:r w:rsidRPr="00492DEC" w:rsidR="00492DEC">
        <w:rPr>
          <w:noProof/>
        </w:rPr>
        <w:t>19</w:t>
      </w:r>
      <w:r w:rsidRPr="00492DEC">
        <w:fldChar w:fldCharType="end"/>
      </w:r>
      <w:bookmarkEnd w:id="15"/>
      <w:r w:rsidRPr="00492DEC">
        <w:t xml:space="preserve">.  On 22 November 2003 the applicants gave statements to </w:t>
      </w:r>
      <w:bookmarkStart w:name="_Hlk88944384" w:id="16"/>
      <w:r w:rsidRPr="00492DEC">
        <w:t xml:space="preserve">the public prosecutor </w:t>
      </w:r>
      <w:bookmarkEnd w:id="16"/>
      <w:r w:rsidRPr="00492DEC">
        <w:t xml:space="preserve">in the presence of their lawyers. All the applicants, except for the applicant </w:t>
      </w:r>
      <w:proofErr w:type="spellStart"/>
      <w:r w:rsidRPr="00492DEC">
        <w:t>Muhlis</w:t>
      </w:r>
      <w:proofErr w:type="spellEnd"/>
      <w:r w:rsidRPr="00492DEC">
        <w:t xml:space="preserve"> </w:t>
      </w:r>
      <w:proofErr w:type="spellStart"/>
      <w:r w:rsidRPr="00492DEC">
        <w:t>Doğan</w:t>
      </w:r>
      <w:proofErr w:type="spellEnd"/>
      <w:r w:rsidRPr="00492DEC">
        <w:t xml:space="preserve">, </w:t>
      </w:r>
      <w:bookmarkStart w:name="_Hlk94122034" w:id="17"/>
      <w:r w:rsidRPr="00492DEC">
        <w:t xml:space="preserve">contested the version of events </w:t>
      </w:r>
      <w:bookmarkEnd w:id="17"/>
      <w:r w:rsidRPr="00492DEC">
        <w:t xml:space="preserve">and the additional offences to which they had confessed when being interviewed by the police. </w:t>
      </w:r>
      <w:bookmarkStart w:name="_Hlk94106298" w:id="18"/>
      <w:r w:rsidRPr="00492DEC">
        <w:t xml:space="preserve">In that connection, the applicants </w:t>
      </w:r>
      <w:proofErr w:type="spellStart"/>
      <w:r w:rsidRPr="00492DEC">
        <w:t>Fikret</w:t>
      </w:r>
      <w:proofErr w:type="spellEnd"/>
      <w:r w:rsidRPr="00492DEC">
        <w:t xml:space="preserve"> </w:t>
      </w:r>
      <w:proofErr w:type="spellStart"/>
      <w:r w:rsidRPr="00492DEC">
        <w:t>Avras</w:t>
      </w:r>
      <w:proofErr w:type="spellEnd"/>
      <w:r w:rsidRPr="00492DEC">
        <w:t xml:space="preserve"> and Mahmut Cengiz denied the accuracy of the records concerning the reconstruction of events. </w:t>
      </w:r>
      <w:bookmarkEnd w:id="18"/>
      <w:r w:rsidRPr="00492DEC">
        <w:t xml:space="preserve">The applicants mainly stated that they had agreed to take part in a peaceful protest concerning the “Kurdish problem” and that they had locked themselves in the corridor of the third floor of the courthouse for fear of being forcibly dispersed by the police. The respective lawyers of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Yavuz </w:t>
      </w:r>
      <w:proofErr w:type="spellStart"/>
      <w:r w:rsidRPr="00492DEC">
        <w:t>Oğur</w:t>
      </w:r>
      <w:proofErr w:type="spellEnd"/>
      <w:r w:rsidRPr="00492DEC">
        <w:t xml:space="preserve"> and Osman </w:t>
      </w:r>
      <w:proofErr w:type="spellStart"/>
      <w:r w:rsidRPr="00492DEC">
        <w:t>Taşdemir</w:t>
      </w:r>
      <w:proofErr w:type="spellEnd"/>
      <w:r w:rsidRPr="00492DEC">
        <w:t xml:space="preserve"> informed the public prosecutor that they had not been allowed to be present at the police interviews of their clients or the reconstruction of events.</w:t>
      </w:r>
    </w:p>
    <w:p w:rsidRPr="00492DEC" w:rsidR="008D3977" w:rsidP="00492DEC" w:rsidRDefault="008D3977" w14:paraId="459F4B44" w14:textId="1D0CB513">
      <w:pPr>
        <w:pStyle w:val="JuPara"/>
      </w:pPr>
      <w:r w:rsidRPr="00492DEC">
        <w:fldChar w:fldCharType="begin"/>
      </w:r>
      <w:r w:rsidRPr="00492DEC">
        <w:instrText xml:space="preserve"> SEQ level0 \*arabic </w:instrText>
      </w:r>
      <w:r w:rsidRPr="00492DEC">
        <w:fldChar w:fldCharType="separate"/>
      </w:r>
      <w:r w:rsidRPr="00492DEC" w:rsidR="00492DEC">
        <w:rPr>
          <w:noProof/>
        </w:rPr>
        <w:t>20</w:t>
      </w:r>
      <w:r w:rsidRPr="00492DEC">
        <w:fldChar w:fldCharType="end"/>
      </w:r>
      <w:r w:rsidRPr="00492DEC">
        <w:t xml:space="preserve">.  Subsequently, on the same day, the applicants were questioned by a judge of the Istanbul State Security Court. The applicants gave similar accounts of the event as those that they had given to the public prosecutor, affirming that they had had the intention of taking part in the making of a press statement in front of or inside the Sultanahmet Courthouse. As in his statements to the public prosecutor, the applicant </w:t>
      </w:r>
      <w:proofErr w:type="spellStart"/>
      <w:r w:rsidRPr="00492DEC">
        <w:t>Ekrem</w:t>
      </w:r>
      <w:proofErr w:type="spellEnd"/>
      <w:r w:rsidRPr="00492DEC">
        <w:t xml:space="preserve"> Can denied his affiliation with the group. The lawyer of </w:t>
      </w:r>
      <w:proofErr w:type="spellStart"/>
      <w:r w:rsidRPr="00492DEC">
        <w:t>Fikret</w:t>
      </w:r>
      <w:proofErr w:type="spellEnd"/>
      <w:r w:rsidRPr="00492DEC">
        <w:t xml:space="preserve"> </w:t>
      </w:r>
      <w:proofErr w:type="spellStart"/>
      <w:r w:rsidRPr="00492DEC">
        <w:t>Avras</w:t>
      </w:r>
      <w:proofErr w:type="spellEnd"/>
      <w:r w:rsidRPr="00492DEC">
        <w:t xml:space="preserve"> requested the judge to bear in mind the fact that he had not been allowed to be present during the taking of statements by the police from his client or during the reconstruction of events. At the end of the questioning, the judge placed all the applicants in pre-trial detention.</w:t>
      </w:r>
    </w:p>
    <w:p w:rsidRPr="00492DEC" w:rsidR="008D3977" w:rsidP="00492DEC" w:rsidRDefault="008D3977" w14:paraId="0B174A25" w14:textId="7DA4520D">
      <w:pPr>
        <w:pStyle w:val="JuPara"/>
      </w:pPr>
      <w:r w:rsidRPr="00492DEC">
        <w:fldChar w:fldCharType="begin"/>
      </w:r>
      <w:r w:rsidRPr="00492DEC">
        <w:instrText xml:space="preserve"> SEQ level0 \*arabic </w:instrText>
      </w:r>
      <w:r w:rsidRPr="00492DEC">
        <w:fldChar w:fldCharType="separate"/>
      </w:r>
      <w:r w:rsidRPr="00492DEC" w:rsidR="00492DEC">
        <w:rPr>
          <w:noProof/>
        </w:rPr>
        <w:t>21</w:t>
      </w:r>
      <w:r w:rsidRPr="00492DEC">
        <w:fldChar w:fldCharType="end"/>
      </w:r>
      <w:r w:rsidRPr="00492DEC">
        <w:t xml:space="preserve">.  On 10 December 2003 the </w:t>
      </w:r>
      <w:bookmarkStart w:name="_Hlk88944420" w:id="19"/>
      <w:r w:rsidRPr="00492DEC">
        <w:t xml:space="preserve">Istanbul public prosecutor </w:t>
      </w:r>
      <w:bookmarkEnd w:id="19"/>
      <w:r w:rsidRPr="00492DEC">
        <w:t xml:space="preserve">filed a bill of indictment against the applicants and charged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Mahmut Cengiz and </w:t>
      </w:r>
      <w:proofErr w:type="spellStart"/>
      <w:r w:rsidRPr="00492DEC">
        <w:t>Şenol</w:t>
      </w:r>
      <w:proofErr w:type="spellEnd"/>
      <w:r w:rsidRPr="00492DEC">
        <w:t xml:space="preserve"> </w:t>
      </w:r>
      <w:proofErr w:type="spellStart"/>
      <w:r w:rsidRPr="00492DEC">
        <w:t>Akyaz</w:t>
      </w:r>
      <w:proofErr w:type="spellEnd"/>
      <w:r w:rsidRPr="00492DEC">
        <w:t xml:space="preserve">, with, </w:t>
      </w:r>
      <w:r w:rsidRPr="00492DEC">
        <w:rPr>
          <w:i/>
        </w:rPr>
        <w:t>inter alia</w:t>
      </w:r>
      <w:r w:rsidRPr="00492DEC">
        <w:rPr>
          <w:iCs/>
        </w:rPr>
        <w:t>,</w:t>
      </w:r>
      <w:r w:rsidRPr="00492DEC">
        <w:rPr>
          <w:i/>
        </w:rPr>
        <w:t xml:space="preserve"> </w:t>
      </w:r>
      <w:r w:rsidRPr="00492DEC">
        <w:t xml:space="preserve">membership of a terrorist organisation (Article 168 of the former Criminal Code) and possessing and using explosive materials (Article 264 § 6 </w:t>
      </w:r>
      <w:r w:rsidRPr="00492DEC">
        <w:rPr>
          <w:i/>
          <w:iCs/>
        </w:rPr>
        <w:t>in fine</w:t>
      </w:r>
      <w:r w:rsidRPr="00492DEC">
        <w:t xml:space="preserve"> of the former Criminal Code) and the rest of the applicants with aiding and abetting a terrorist organisation (Article 169 of the former Criminal Code). Furthermore, the public prosecutor charged all the applicants with “interrupting public services through coercion, distortion or the commission of unlawful acts” (Article 188 § 5 </w:t>
      </w:r>
      <w:r w:rsidRPr="00492DEC">
        <w:rPr>
          <w:i/>
          <w:iCs/>
        </w:rPr>
        <w:t xml:space="preserve">in fine </w:t>
      </w:r>
      <w:r w:rsidRPr="00492DEC">
        <w:t>of the former Criminal Code).</w:t>
      </w:r>
    </w:p>
    <w:p w:rsidRPr="00492DEC" w:rsidR="008D3977" w:rsidP="00492DEC" w:rsidRDefault="008D3977" w14:paraId="17842A23" w14:textId="557DE25A">
      <w:pPr>
        <w:pStyle w:val="JuPara"/>
      </w:pPr>
      <w:r w:rsidRPr="00492DEC">
        <w:fldChar w:fldCharType="begin"/>
      </w:r>
      <w:r w:rsidRPr="00492DEC">
        <w:instrText xml:space="preserve"> SEQ level0 \*arabic </w:instrText>
      </w:r>
      <w:r w:rsidRPr="00492DEC">
        <w:fldChar w:fldCharType="separate"/>
      </w:r>
      <w:r w:rsidRPr="00492DEC" w:rsidR="00492DEC">
        <w:rPr>
          <w:noProof/>
        </w:rPr>
        <w:t>22</w:t>
      </w:r>
      <w:r w:rsidRPr="00492DEC">
        <w:fldChar w:fldCharType="end"/>
      </w:r>
      <w:r w:rsidRPr="00492DEC">
        <w:t xml:space="preserve">.  At a hearing held on 19 April 2004, the applicants gave evidence to the Istanbul Assize Court (“the trial court”). The applicant </w:t>
      </w:r>
      <w:proofErr w:type="spellStart"/>
      <w:r w:rsidRPr="00492DEC">
        <w:t>Ekrem</w:t>
      </w:r>
      <w:proofErr w:type="spellEnd"/>
      <w:r w:rsidRPr="00492DEC">
        <w:t xml:space="preserve"> Can reiterated the statements that he had given to the public prosecutor, asserting that he had become caught up in the protest by mere accident. He further denied any affiliation with the PKK and denied the charges.</w:t>
      </w:r>
    </w:p>
    <w:bookmarkStart w:name="Mahmut_lawyer" w:id="20"/>
    <w:p w:rsidRPr="00492DEC" w:rsidR="008D3977" w:rsidP="00492DEC" w:rsidRDefault="008D3977" w14:paraId="44513923" w14:textId="3071C33C">
      <w:pPr>
        <w:pStyle w:val="JuPara"/>
      </w:pPr>
      <w:r w:rsidRPr="00492DEC">
        <w:fldChar w:fldCharType="begin"/>
      </w:r>
      <w:r w:rsidRPr="00492DEC">
        <w:instrText xml:space="preserve"> SEQ level0 \*arabic </w:instrText>
      </w:r>
      <w:r w:rsidRPr="00492DEC">
        <w:fldChar w:fldCharType="separate"/>
      </w:r>
      <w:r w:rsidRPr="00492DEC" w:rsidR="00492DEC">
        <w:rPr>
          <w:noProof/>
        </w:rPr>
        <w:t>23</w:t>
      </w:r>
      <w:r w:rsidRPr="00492DEC">
        <w:fldChar w:fldCharType="end"/>
      </w:r>
      <w:bookmarkEnd w:id="20"/>
      <w:r w:rsidRPr="00492DEC">
        <w:t xml:space="preserve">.  The applicant Mahmut Cengiz acknowledged that the applicants had planned to make a press statement in front of the Sultanahmet Courthouse regarding the fact that Abdullah </w:t>
      </w:r>
      <w:proofErr w:type="spellStart"/>
      <w:r w:rsidRPr="00492DEC">
        <w:t>Öcalan</w:t>
      </w:r>
      <w:proofErr w:type="spellEnd"/>
      <w:r w:rsidRPr="00492DEC">
        <w:t xml:space="preserve"> was being held in isolation in </w:t>
      </w:r>
      <w:proofErr w:type="spellStart"/>
      <w:r w:rsidRPr="00492DEC">
        <w:t>İmralı</w:t>
      </w:r>
      <w:proofErr w:type="spellEnd"/>
      <w:r w:rsidRPr="00492DEC">
        <w:t xml:space="preserve"> Prison, adding that they had gone inside the building owing to the rain. He maintained that the police had kept him awake over the course of the three days that he had been held in custody and had forced him into signing certain documents; he did, owing to the refusal of the police to allow him to see his lawyer, despite his repeated requests.</w:t>
      </w:r>
    </w:p>
    <w:p w:rsidRPr="00492DEC" w:rsidR="008D3977" w:rsidP="00492DEC" w:rsidRDefault="008D3977" w14:paraId="7B09C4EF" w14:textId="76747E98">
      <w:pPr>
        <w:pStyle w:val="JuPara"/>
      </w:pPr>
      <w:r w:rsidRPr="00492DEC">
        <w:fldChar w:fldCharType="begin"/>
      </w:r>
      <w:r w:rsidRPr="00492DEC">
        <w:instrText xml:space="preserve"> SEQ level0 \*arabic </w:instrText>
      </w:r>
      <w:r w:rsidRPr="00492DEC">
        <w:fldChar w:fldCharType="separate"/>
      </w:r>
      <w:r w:rsidRPr="00492DEC" w:rsidR="00492DEC">
        <w:rPr>
          <w:noProof/>
        </w:rPr>
        <w:t>24</w:t>
      </w:r>
      <w:r w:rsidRPr="00492DEC">
        <w:fldChar w:fldCharType="end"/>
      </w:r>
      <w:r w:rsidRPr="00492DEC">
        <w:t xml:space="preserve">.  The applicant </w:t>
      </w:r>
      <w:proofErr w:type="spellStart"/>
      <w:r w:rsidRPr="00492DEC">
        <w:t>Fikret</w:t>
      </w:r>
      <w:proofErr w:type="spellEnd"/>
      <w:r w:rsidRPr="00492DEC">
        <w:t xml:space="preserve"> </w:t>
      </w:r>
      <w:proofErr w:type="spellStart"/>
      <w:r w:rsidRPr="00492DEC">
        <w:t>Avras</w:t>
      </w:r>
      <w:proofErr w:type="spellEnd"/>
      <w:r w:rsidRPr="00492DEC">
        <w:t xml:space="preserve"> gave a similar version of events. He also submitted that he had been deprived of sleep during his time in police custody and that officers had slapped him every time that he had replied to their questions with a “no”. He further noted that he, </w:t>
      </w:r>
      <w:proofErr w:type="spellStart"/>
      <w:r w:rsidRPr="00492DEC">
        <w:t>Ekrem</w:t>
      </w:r>
      <w:proofErr w:type="spellEnd"/>
      <w:r w:rsidRPr="00492DEC">
        <w:t xml:space="preserve"> Can and Mahmut Cengiz had been taken to certain locations by car, and that one of the police officers had forcibly ejected him from the police vehicle and had then forced him – squeezing his arm – to admit while being recorded on video to committing crimes.</w:t>
      </w:r>
    </w:p>
    <w:p w:rsidRPr="00492DEC" w:rsidR="008D3977" w:rsidP="00492DEC" w:rsidRDefault="00AC04F4" w14:paraId="40D50121" w14:textId="5BC9C72E">
      <w:pPr>
        <w:pStyle w:val="JuPara"/>
      </w:pPr>
      <w:fldSimple w:instr=" SEQ level0 \*arabic \* MERGEFORMAT ">
        <w:r w:rsidRPr="00492DEC" w:rsidR="00492DEC">
          <w:rPr>
            <w:noProof/>
          </w:rPr>
          <w:t>25</w:t>
        </w:r>
      </w:fldSimple>
      <w:r w:rsidRPr="00492DEC" w:rsidR="008D3977">
        <w:t xml:space="preserve">.  The rest of the applicants also stated that they had planned to peacefully make a press statement in front of the courthouse. All the applicants, except for the applicants Mehmet </w:t>
      </w:r>
      <w:proofErr w:type="spellStart"/>
      <w:r w:rsidRPr="00492DEC" w:rsidR="008D3977">
        <w:t>Şahin</w:t>
      </w:r>
      <w:proofErr w:type="spellEnd"/>
      <w:r w:rsidRPr="00492DEC" w:rsidR="008D3977">
        <w:t xml:space="preserve"> and </w:t>
      </w:r>
      <w:proofErr w:type="spellStart"/>
      <w:r w:rsidRPr="00492DEC" w:rsidR="008D3977">
        <w:t>Kerim</w:t>
      </w:r>
      <w:proofErr w:type="spellEnd"/>
      <w:r w:rsidRPr="00492DEC" w:rsidR="008D3977">
        <w:t xml:space="preserve"> </w:t>
      </w:r>
      <w:proofErr w:type="spellStart"/>
      <w:r w:rsidRPr="00492DEC" w:rsidR="008D3977">
        <w:t>Taştan</w:t>
      </w:r>
      <w:proofErr w:type="spellEnd"/>
      <w:r w:rsidRPr="00492DEC" w:rsidR="008D3977">
        <w:t xml:space="preserve"> (who had not given statements to the police), retracted the statements that they had given to the police. The rest of the applicants further stated to the trial court that they had been subjected to pressure or ill-treated while in police custody.</w:t>
      </w:r>
    </w:p>
    <w:p w:rsidRPr="00492DEC" w:rsidR="008D3977" w:rsidP="00492DEC" w:rsidRDefault="008D3977" w14:paraId="46993604" w14:textId="085E8BC6">
      <w:pPr>
        <w:pStyle w:val="JuPara"/>
      </w:pPr>
      <w:r w:rsidRPr="00492DEC">
        <w:fldChar w:fldCharType="begin"/>
      </w:r>
      <w:r w:rsidRPr="00492DEC">
        <w:instrText xml:space="preserve"> SEQ level0 \*arabic </w:instrText>
      </w:r>
      <w:r w:rsidRPr="00492DEC">
        <w:fldChar w:fldCharType="separate"/>
      </w:r>
      <w:r w:rsidRPr="00492DEC" w:rsidR="00492DEC">
        <w:rPr>
          <w:noProof/>
        </w:rPr>
        <w:t>26</w:t>
      </w:r>
      <w:r w:rsidRPr="00492DEC">
        <w:fldChar w:fldCharType="end"/>
      </w:r>
      <w:r w:rsidRPr="00492DEC">
        <w:t>.  At the same hearing,</w:t>
      </w:r>
      <w:r w:rsidRPr="00492DEC" w:rsidR="005D23C7">
        <w:t xml:space="preserve"> </w:t>
      </w:r>
      <w:r w:rsidRPr="00492DEC">
        <w:t>the applicants</w:t>
      </w:r>
      <w:r w:rsidRPr="00492DEC" w:rsidR="00492DEC">
        <w:t>’</w:t>
      </w:r>
      <w:r w:rsidRPr="00492DEC">
        <w:t xml:space="preserve"> lawyers submitted that the incident had in fact comprised no more than the making of a simple press statement, and that the applicants should not have been charged with terrorism-related offences. They also submitted that even though they had been present at the police station during the time that the applicants had been held in custody, they had never been called by the police to take part in the interviews of their clients.</w:t>
      </w:r>
    </w:p>
    <w:p w:rsidRPr="00492DEC" w:rsidR="008D3977" w:rsidP="00492DEC" w:rsidRDefault="008D3977" w14:paraId="7EBA07EC" w14:textId="5849C3E2">
      <w:pPr>
        <w:pStyle w:val="JuPara"/>
      </w:pPr>
      <w:r w:rsidRPr="00492DEC">
        <w:fldChar w:fldCharType="begin"/>
      </w:r>
      <w:r w:rsidRPr="00492DEC">
        <w:instrText xml:space="preserve"> SEQ level0 \*arabic </w:instrText>
      </w:r>
      <w:r w:rsidRPr="00492DEC">
        <w:fldChar w:fldCharType="separate"/>
      </w:r>
      <w:r w:rsidRPr="00492DEC" w:rsidR="00492DEC">
        <w:rPr>
          <w:noProof/>
        </w:rPr>
        <w:t>27</w:t>
      </w:r>
      <w:r w:rsidRPr="00492DEC">
        <w:fldChar w:fldCharType="end"/>
      </w:r>
      <w:r w:rsidRPr="00492DEC">
        <w:t xml:space="preserve">.  At a hearing held on 1 November 2004 </w:t>
      </w:r>
      <w:proofErr w:type="gramStart"/>
      <w:r w:rsidRPr="00492DEC">
        <w:t>a number of</w:t>
      </w:r>
      <w:proofErr w:type="gramEnd"/>
      <w:r w:rsidRPr="00492DEC">
        <w:t xml:space="preserve"> witnesses gave evidence. M.A.İ. stated that he had been waiting his turn to attend a hearing before a court when a noisy quarrel had broken out in the corridor. According to his statement, after the clamour in the corridor had escalated, the judge had discontinued the hearing, and the people in the hearing room had moved some cabinets behind the hearing room</w:t>
      </w:r>
      <w:r w:rsidRPr="00492DEC" w:rsidR="00492DEC">
        <w:t>’</w:t>
      </w:r>
      <w:r w:rsidRPr="00492DEC">
        <w:t xml:space="preserve">s door </w:t>
      </w:r>
      <w:proofErr w:type="gramStart"/>
      <w:r w:rsidRPr="00492DEC">
        <w:t>in order to</w:t>
      </w:r>
      <w:proofErr w:type="gramEnd"/>
      <w:r w:rsidRPr="00492DEC">
        <w:t xml:space="preserve"> securely block the entrance. M.A.İ. further stated that he and others had been confined in the hearing room for a further forty-five minutes. He also stated that the tear gas used to disperse the group had affected the people in the hearing room and that the judge had postponed the rest of the proceedings scheduled for that day. Another witness, G.İ., a clerk working for a court, attested that at around 10 a.m. two individuals had come into the registry of that court, stating that they would give a statement </w:t>
      </w:r>
      <w:r w:rsidRPr="00492DEC">
        <w:rPr>
          <w:iCs/>
        </w:rPr>
        <w:t xml:space="preserve">(in the corridor) </w:t>
      </w:r>
      <w:r w:rsidRPr="00492DEC">
        <w:t xml:space="preserve">and would not harm anyone. G.İ. stated that the group had first chanted PKK-related slogans and the name of Abdullah </w:t>
      </w:r>
      <w:proofErr w:type="spellStart"/>
      <w:r w:rsidRPr="00492DEC">
        <w:t>Öcalan</w:t>
      </w:r>
      <w:proofErr w:type="spellEnd"/>
      <w:r w:rsidRPr="00492DEC">
        <w:t>. She and the other people who had barricaded themselves into the hearing room had then unblocked the door and left the office</w:t>
      </w:r>
      <w:r w:rsidRPr="00492DEC" w:rsidDel="00A80EF8">
        <w:t xml:space="preserve"> </w:t>
      </w:r>
      <w:r w:rsidRPr="00492DEC">
        <w:t>after about an hour; she had not identified any damage in the corridor.</w:t>
      </w:r>
    </w:p>
    <w:p w:rsidRPr="00492DEC" w:rsidR="008D3977" w:rsidP="00492DEC" w:rsidRDefault="00AC04F4" w14:paraId="41CEEC15" w14:textId="5C2ADAB3">
      <w:pPr>
        <w:pStyle w:val="JuPara"/>
      </w:pPr>
      <w:fldSimple w:instr=" SEQ level0 \*arabic \* MERGEFORMAT ">
        <w:r w:rsidRPr="00492DEC" w:rsidR="00492DEC">
          <w:rPr>
            <w:noProof/>
          </w:rPr>
          <w:t>28</w:t>
        </w:r>
      </w:fldSimple>
      <w:r w:rsidRPr="00492DEC" w:rsidR="008D3977">
        <w:t xml:space="preserve">.  At the hearing held on 1 August 2005, the trial court ordered the release of the applicants, except for the applicants </w:t>
      </w:r>
      <w:proofErr w:type="spellStart"/>
      <w:r w:rsidRPr="00492DEC" w:rsidR="008D3977">
        <w:t>Ekrem</w:t>
      </w:r>
      <w:proofErr w:type="spellEnd"/>
      <w:r w:rsidRPr="00492DEC" w:rsidR="008D3977">
        <w:t xml:space="preserve"> Can, </w:t>
      </w:r>
      <w:proofErr w:type="spellStart"/>
      <w:r w:rsidRPr="00492DEC" w:rsidR="008D3977">
        <w:t>Fikret</w:t>
      </w:r>
      <w:proofErr w:type="spellEnd"/>
      <w:r w:rsidRPr="00492DEC" w:rsidR="008D3977">
        <w:t xml:space="preserve"> </w:t>
      </w:r>
      <w:proofErr w:type="spellStart"/>
      <w:r w:rsidRPr="00492DEC" w:rsidR="008D3977">
        <w:t>Avras</w:t>
      </w:r>
      <w:proofErr w:type="spellEnd"/>
      <w:r w:rsidRPr="00492DEC" w:rsidR="008D3977">
        <w:t xml:space="preserve">, Mahmut Cengiz and </w:t>
      </w:r>
      <w:proofErr w:type="spellStart"/>
      <w:r w:rsidRPr="00492DEC" w:rsidR="008D3977">
        <w:t>Şenol</w:t>
      </w:r>
      <w:proofErr w:type="spellEnd"/>
      <w:r w:rsidRPr="00492DEC" w:rsidR="008D3977">
        <w:t xml:space="preserve"> </w:t>
      </w:r>
      <w:proofErr w:type="spellStart"/>
      <w:r w:rsidRPr="00492DEC" w:rsidR="008D3977">
        <w:t>Akyaz</w:t>
      </w:r>
      <w:proofErr w:type="spellEnd"/>
      <w:r w:rsidRPr="00492DEC" w:rsidR="008D3977">
        <w:t>.</w:t>
      </w:r>
    </w:p>
    <w:p w:rsidRPr="00492DEC" w:rsidR="008D3977" w:rsidP="00492DEC" w:rsidRDefault="008D3977" w14:paraId="3A43CB81" w14:textId="2911925D">
      <w:pPr>
        <w:pStyle w:val="JuPara"/>
      </w:pPr>
      <w:r w:rsidRPr="00492DEC">
        <w:fldChar w:fldCharType="begin"/>
      </w:r>
      <w:r w:rsidRPr="00492DEC">
        <w:instrText xml:space="preserve"> SEQ level0 \*arabic </w:instrText>
      </w:r>
      <w:r w:rsidRPr="00492DEC">
        <w:fldChar w:fldCharType="separate"/>
      </w:r>
      <w:r w:rsidRPr="00492DEC" w:rsidR="00492DEC">
        <w:rPr>
          <w:noProof/>
        </w:rPr>
        <w:t>29</w:t>
      </w:r>
      <w:r w:rsidRPr="00492DEC">
        <w:fldChar w:fldCharType="end"/>
      </w:r>
      <w:r w:rsidRPr="00492DEC">
        <w:t>.  On 26 December 2006 the Istanbul Assize Court delivered its judgment in the case and found that the applicants had chanted certain slogans (see paragraph</w:t>
      </w:r>
      <w:r w:rsidRPr="00492DEC" w:rsidR="001C6BDC">
        <w:t xml:space="preserve"> 5</w:t>
      </w:r>
      <w:r w:rsidRPr="00492DEC">
        <w:t>), waved a banner from the windows (see paragraph</w:t>
      </w:r>
      <w:r w:rsidRPr="00492DEC" w:rsidR="001C6BDC">
        <w:t xml:space="preserve"> 6</w:t>
      </w:r>
      <w:proofErr w:type="gramStart"/>
      <w:r w:rsidRPr="00492DEC">
        <w:t>)</w:t>
      </w:r>
      <w:proofErr w:type="gramEnd"/>
      <w:r w:rsidRPr="00492DEC">
        <w:t xml:space="preserve"> and closed the door to the corridor, preventing officials from entering by placing metal cupboards behind the door to form a barricade, thereby trapping the lawyers and the court personnel and hampering them in the performance of their duties. On this basis, the trial court found all the applicants guilty under Article 113 § 1 of the Criminal Code of “interrupting public services through coercion, distortion or the commission of unlawful acts”, and sentenced each of them to one year and eight months</w:t>
      </w:r>
      <w:r w:rsidRPr="00492DEC" w:rsidR="00492DEC">
        <w:t>’</w:t>
      </w:r>
      <w:r w:rsidRPr="00492DEC">
        <w:t xml:space="preserve"> imprisonment. On the basis of the same acts, all the applicants, except for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Mahmut Cengiz and </w:t>
      </w:r>
      <w:proofErr w:type="spellStart"/>
      <w:r w:rsidRPr="00492DEC">
        <w:t>Şenol</w:t>
      </w:r>
      <w:proofErr w:type="spellEnd"/>
      <w:r w:rsidRPr="00492DEC">
        <w:t xml:space="preserve"> </w:t>
      </w:r>
      <w:proofErr w:type="spellStart"/>
      <w:r w:rsidRPr="00492DEC">
        <w:t>Akyaz</w:t>
      </w:r>
      <w:proofErr w:type="spellEnd"/>
      <w:r w:rsidRPr="00492DEC">
        <w:t xml:space="preserve">, were also found guilty under Article 169 of the former Criminal Code of aiding and abetting an armed </w:t>
      </w:r>
      <w:proofErr w:type="gramStart"/>
      <w:r w:rsidRPr="00492DEC">
        <w:t>gang, and</w:t>
      </w:r>
      <w:proofErr w:type="gramEnd"/>
      <w:r w:rsidRPr="00492DEC">
        <w:t xml:space="preserve"> were each sentenced to three years and nine months</w:t>
      </w:r>
      <w:r w:rsidRPr="00492DEC" w:rsidR="00492DEC">
        <w:t>’</w:t>
      </w:r>
      <w:r w:rsidRPr="00492DEC">
        <w:t xml:space="preserve"> imprisonment.</w:t>
      </w:r>
    </w:p>
    <w:p w:rsidRPr="00492DEC" w:rsidR="008D3977" w:rsidP="00492DEC" w:rsidRDefault="00AC04F4" w14:paraId="55E2E097" w14:textId="18289126">
      <w:pPr>
        <w:pStyle w:val="JuPara"/>
      </w:pPr>
      <w:fldSimple w:instr=" SEQ level0 \*arabic \* MERGEFORMAT ">
        <w:r w:rsidRPr="00492DEC" w:rsidR="00492DEC">
          <w:rPr>
            <w:noProof/>
          </w:rPr>
          <w:t>30</w:t>
        </w:r>
      </w:fldSimple>
      <w:r w:rsidRPr="00492DEC" w:rsidR="008D3977">
        <w:t>.  </w:t>
      </w:r>
      <w:bookmarkStart w:name="_Hlk90309755" w:id="21"/>
      <w:r w:rsidRPr="00492DEC" w:rsidR="008D3977">
        <w:t xml:space="preserve">The trial court further found the applicants </w:t>
      </w:r>
      <w:proofErr w:type="spellStart"/>
      <w:r w:rsidRPr="00492DEC" w:rsidR="008D3977">
        <w:t>Ekrem</w:t>
      </w:r>
      <w:proofErr w:type="spellEnd"/>
      <w:r w:rsidRPr="00492DEC" w:rsidR="008D3977">
        <w:t xml:space="preserve"> Can, </w:t>
      </w:r>
      <w:proofErr w:type="spellStart"/>
      <w:r w:rsidRPr="00492DEC" w:rsidR="008D3977">
        <w:t>Fikret</w:t>
      </w:r>
      <w:proofErr w:type="spellEnd"/>
      <w:r w:rsidRPr="00492DEC" w:rsidR="008D3977">
        <w:t xml:space="preserve"> </w:t>
      </w:r>
      <w:proofErr w:type="spellStart"/>
      <w:r w:rsidRPr="00492DEC" w:rsidR="008D3977">
        <w:t>Avras</w:t>
      </w:r>
      <w:proofErr w:type="spellEnd"/>
      <w:r w:rsidRPr="00492DEC" w:rsidR="008D3977">
        <w:t xml:space="preserve">, Mahmut Cengiz and </w:t>
      </w:r>
      <w:proofErr w:type="spellStart"/>
      <w:r w:rsidRPr="00492DEC" w:rsidR="008D3977">
        <w:t>Şenol</w:t>
      </w:r>
      <w:proofErr w:type="spellEnd"/>
      <w:r w:rsidRPr="00492DEC" w:rsidR="008D3977">
        <w:t xml:space="preserve"> </w:t>
      </w:r>
      <w:proofErr w:type="spellStart"/>
      <w:r w:rsidRPr="00492DEC" w:rsidR="008D3977">
        <w:t>Akyaz</w:t>
      </w:r>
      <w:proofErr w:type="spellEnd"/>
      <w:r w:rsidRPr="00492DEC" w:rsidR="008D3977">
        <w:t xml:space="preserve"> guilty of membership of an armed terrorist organisation under Article 314 § 2 of the Criminal Code, and sentenced each of them to six years and three months</w:t>
      </w:r>
      <w:r w:rsidRPr="00492DEC" w:rsidR="00492DEC">
        <w:t>’</w:t>
      </w:r>
      <w:r w:rsidRPr="00492DEC" w:rsidR="008D3977">
        <w:t xml:space="preserve"> imprisonment on the basis of their actions </w:t>
      </w:r>
      <w:bookmarkStart w:name="_Hlk90309846" w:id="22"/>
      <w:bookmarkEnd w:id="21"/>
      <w:r w:rsidRPr="00492DEC" w:rsidR="008D3977">
        <w:t>within the courthouse and on the basis of certain other activities, such as procuring new members for the PKK (</w:t>
      </w:r>
      <w:proofErr w:type="spellStart"/>
      <w:r w:rsidRPr="00492DEC" w:rsidR="008D3977">
        <w:t>Şenol</w:t>
      </w:r>
      <w:proofErr w:type="spellEnd"/>
      <w:r w:rsidRPr="00492DEC" w:rsidR="008D3977">
        <w:t xml:space="preserve"> </w:t>
      </w:r>
      <w:proofErr w:type="spellStart"/>
      <w:r w:rsidRPr="00492DEC" w:rsidR="008D3977">
        <w:t>Akyaz</w:t>
      </w:r>
      <w:proofErr w:type="spellEnd"/>
      <w:r w:rsidRPr="00492DEC" w:rsidR="008D3977">
        <w:t xml:space="preserve">) and throwing Molotov cocktails </w:t>
      </w:r>
      <w:bookmarkEnd w:id="22"/>
      <w:r w:rsidRPr="00492DEC" w:rsidR="008D3977">
        <w:t>(</w:t>
      </w:r>
      <w:proofErr w:type="spellStart"/>
      <w:r w:rsidRPr="00492DEC" w:rsidR="008D3977">
        <w:t>Ekrem</w:t>
      </w:r>
      <w:proofErr w:type="spellEnd"/>
      <w:r w:rsidRPr="00492DEC" w:rsidR="008D3977">
        <w:t xml:space="preserve"> Can, </w:t>
      </w:r>
      <w:proofErr w:type="spellStart"/>
      <w:r w:rsidRPr="00492DEC" w:rsidR="008D3977">
        <w:t>Fikret</w:t>
      </w:r>
      <w:proofErr w:type="spellEnd"/>
      <w:r w:rsidRPr="00492DEC" w:rsidR="008D3977">
        <w:t xml:space="preserve"> </w:t>
      </w:r>
      <w:proofErr w:type="spellStart"/>
      <w:r w:rsidRPr="00492DEC" w:rsidR="008D3977">
        <w:t>Avras</w:t>
      </w:r>
      <w:proofErr w:type="spellEnd"/>
      <w:r w:rsidRPr="00492DEC" w:rsidR="008D3977">
        <w:t xml:space="preserve">, Mahmut Cengiz), which had been proved by the statements they had made during the police interviews and the reconstruction of events. </w:t>
      </w:r>
      <w:bookmarkStart w:name="_Hlk90309778" w:id="23"/>
      <w:proofErr w:type="gramStart"/>
      <w:r w:rsidRPr="00492DEC" w:rsidR="008D3977">
        <w:t>On the basis of</w:t>
      </w:r>
      <w:proofErr w:type="gramEnd"/>
      <w:r w:rsidRPr="00492DEC" w:rsidR="008D3977">
        <w:t xml:space="preserve"> those acts, the trial court furthermore convicted </w:t>
      </w:r>
      <w:proofErr w:type="spellStart"/>
      <w:r w:rsidRPr="00492DEC" w:rsidR="008D3977">
        <w:t>Ekrem</w:t>
      </w:r>
      <w:proofErr w:type="spellEnd"/>
      <w:r w:rsidRPr="00492DEC" w:rsidR="008D3977">
        <w:t xml:space="preserve"> Can on two counts of possessing (Article 174 of the Criminal Code) and using explosive materials (Article 170 § 1 (c) of the Criminal Code) and sentenced him to an additional term of eight years and four months</w:t>
      </w:r>
      <w:r w:rsidRPr="00492DEC" w:rsidR="00492DEC">
        <w:t>’</w:t>
      </w:r>
      <w:r w:rsidRPr="00492DEC" w:rsidR="008D3977">
        <w:t xml:space="preserve"> imprisonment and a judicial fine. </w:t>
      </w:r>
      <w:bookmarkEnd w:id="23"/>
      <w:r w:rsidRPr="00492DEC" w:rsidR="008D3977">
        <w:t xml:space="preserve">Lastly, Mahmut Cengiz and </w:t>
      </w:r>
      <w:proofErr w:type="spellStart"/>
      <w:r w:rsidRPr="00492DEC" w:rsidR="008D3977">
        <w:t>Fikret</w:t>
      </w:r>
      <w:proofErr w:type="spellEnd"/>
      <w:r w:rsidRPr="00492DEC" w:rsidR="008D3977">
        <w:t xml:space="preserve"> </w:t>
      </w:r>
      <w:proofErr w:type="spellStart"/>
      <w:r w:rsidRPr="00492DEC" w:rsidR="008D3977">
        <w:t>Avras</w:t>
      </w:r>
      <w:proofErr w:type="spellEnd"/>
      <w:r w:rsidRPr="00492DEC" w:rsidR="008D3977">
        <w:t xml:space="preserve"> were also convicted of possessing and using explosive </w:t>
      </w:r>
      <w:proofErr w:type="gramStart"/>
      <w:r w:rsidRPr="00492DEC" w:rsidR="008D3977">
        <w:t>materials, and</w:t>
      </w:r>
      <w:proofErr w:type="gramEnd"/>
      <w:r w:rsidRPr="00492DEC" w:rsidR="008D3977">
        <w:t xml:space="preserve"> were each sentenced to four years and two months</w:t>
      </w:r>
      <w:r w:rsidRPr="00492DEC" w:rsidR="00492DEC">
        <w:t>’</w:t>
      </w:r>
      <w:r w:rsidRPr="00492DEC" w:rsidR="008D3977">
        <w:t xml:space="preserve"> imprisonment and a judicial fine under the above-mentioned Articles.</w:t>
      </w:r>
    </w:p>
    <w:p w:rsidRPr="00492DEC" w:rsidR="008D3977" w:rsidP="00492DEC" w:rsidRDefault="008D3977" w14:paraId="7BCEDAB1" w14:textId="44803347">
      <w:pPr>
        <w:pStyle w:val="JuPara"/>
      </w:pPr>
      <w:r w:rsidRPr="00492DEC">
        <w:fldChar w:fldCharType="begin"/>
      </w:r>
      <w:r w:rsidRPr="00492DEC">
        <w:instrText xml:space="preserve"> SEQ level0 \*arabic </w:instrText>
      </w:r>
      <w:r w:rsidRPr="00492DEC">
        <w:fldChar w:fldCharType="separate"/>
      </w:r>
      <w:r w:rsidRPr="00492DEC" w:rsidR="00492DEC">
        <w:rPr>
          <w:noProof/>
        </w:rPr>
        <w:t>31</w:t>
      </w:r>
      <w:r w:rsidRPr="00492DEC">
        <w:fldChar w:fldCharType="end"/>
      </w:r>
      <w:r w:rsidRPr="00492DEC">
        <w:t>.  On 18 March 2009, following an appeal by the applicants, the Court of Cassation partially upheld and partially quashed the trial court</w:t>
      </w:r>
      <w:r w:rsidRPr="00492DEC" w:rsidR="00492DEC">
        <w:t>’</w:t>
      </w:r>
      <w:r w:rsidRPr="00492DEC">
        <w:t xml:space="preserve">s judgment. The Court of Cassation upheld the convictions of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Mahmut Cengiz and </w:t>
      </w:r>
      <w:proofErr w:type="spellStart"/>
      <w:r w:rsidRPr="00492DEC">
        <w:t>Şenol</w:t>
      </w:r>
      <w:proofErr w:type="spellEnd"/>
      <w:r w:rsidRPr="00492DEC">
        <w:t xml:space="preserve"> </w:t>
      </w:r>
      <w:proofErr w:type="spellStart"/>
      <w:r w:rsidRPr="00492DEC">
        <w:t>Akyaz</w:t>
      </w:r>
      <w:proofErr w:type="spellEnd"/>
      <w:r w:rsidRPr="00492DEC">
        <w:t xml:space="preserve"> under Article</w:t>
      </w:r>
      <w:r w:rsidRPr="00492DEC" w:rsidR="001C6BDC">
        <w:t xml:space="preserve"> </w:t>
      </w:r>
      <w:r w:rsidRPr="00492DEC">
        <w:t xml:space="preserve">314 § 2 of the Criminal Code, those of the applicants </w:t>
      </w:r>
      <w:bookmarkStart w:name="_Hlk94101615" w:id="24"/>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and Mahmut Cengiz </w:t>
      </w:r>
      <w:bookmarkEnd w:id="24"/>
      <w:r w:rsidRPr="00492DEC">
        <w:t>under Article 174 § 1 and those of the rest of the applicants under Article</w:t>
      </w:r>
      <w:r w:rsidRPr="00492DEC" w:rsidR="001C6BDC">
        <w:t> </w:t>
      </w:r>
      <w:r w:rsidRPr="00492DEC">
        <w:t>169 of the former Criminal Code. However, the Court of Cassation quashed the convictions of all the applicants under Article 113 §</w:t>
      </w:r>
      <w:r w:rsidRPr="00492DEC" w:rsidR="00C01793">
        <w:t xml:space="preserve"> </w:t>
      </w:r>
      <w:r w:rsidRPr="00492DEC">
        <w:t xml:space="preserve">1 of the Criminal Code and those of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and Mahmut Cengiz for using explosive materials under Article 170 § 1 (c) of the Criminal Code. Accordingly, the case file was remitted to the trial court in respect of the convictions that were quashed.</w:t>
      </w:r>
    </w:p>
    <w:p w:rsidRPr="00492DEC" w:rsidR="008D3977" w:rsidP="00492DEC" w:rsidRDefault="008D3977" w14:paraId="49A8B056" w14:textId="62E65D14">
      <w:pPr>
        <w:pStyle w:val="JuPara"/>
      </w:pPr>
      <w:r w:rsidRPr="00492DEC">
        <w:fldChar w:fldCharType="begin"/>
      </w:r>
      <w:r w:rsidRPr="00492DEC">
        <w:instrText xml:space="preserve"> SEQ level0 \*arabic </w:instrText>
      </w:r>
      <w:r w:rsidRPr="00492DEC">
        <w:fldChar w:fldCharType="separate"/>
      </w:r>
      <w:r w:rsidRPr="00492DEC" w:rsidR="00492DEC">
        <w:rPr>
          <w:noProof/>
        </w:rPr>
        <w:t>32</w:t>
      </w:r>
      <w:r w:rsidRPr="00492DEC">
        <w:fldChar w:fldCharType="end"/>
      </w:r>
      <w:r w:rsidRPr="00492DEC">
        <w:t>.  On 3 February 2010 the applicants lodged their application with the Court while the proceedings were still pending before the trial court.</w:t>
      </w:r>
    </w:p>
    <w:p w:rsidRPr="00492DEC" w:rsidR="008D3977" w:rsidP="00492DEC" w:rsidRDefault="008D3977" w14:paraId="6781ACC8" w14:textId="4BEF9377">
      <w:pPr>
        <w:pStyle w:val="JuPara"/>
      </w:pPr>
      <w:r w:rsidRPr="00492DEC">
        <w:fldChar w:fldCharType="begin"/>
      </w:r>
      <w:r w:rsidRPr="00492DEC">
        <w:instrText xml:space="preserve"> SEQ level0 \*arabic </w:instrText>
      </w:r>
      <w:r w:rsidRPr="00492DEC">
        <w:fldChar w:fldCharType="separate"/>
      </w:r>
      <w:r w:rsidRPr="00492DEC" w:rsidR="00492DEC">
        <w:rPr>
          <w:noProof/>
        </w:rPr>
        <w:t>33</w:t>
      </w:r>
      <w:r w:rsidRPr="00492DEC">
        <w:fldChar w:fldCharType="end"/>
      </w:r>
      <w:r w:rsidRPr="00492DEC">
        <w:t>.  On 30 June 2010 the Istanbul Assize Court once again convicted all the applicants under Article</w:t>
      </w:r>
      <w:r w:rsidRPr="00492DEC" w:rsidR="005D23C7">
        <w:t xml:space="preserve"> </w:t>
      </w:r>
      <w:r w:rsidRPr="00492DEC">
        <w:t xml:space="preserve">113 § 1 of the Criminal </w:t>
      </w:r>
      <w:proofErr w:type="gramStart"/>
      <w:r w:rsidRPr="00492DEC">
        <w:t>Code, and</w:t>
      </w:r>
      <w:proofErr w:type="gramEnd"/>
      <w:r w:rsidRPr="00492DEC">
        <w:t xml:space="preserve"> sentenced them each to one year and eight months</w:t>
      </w:r>
      <w:r w:rsidRPr="00492DEC" w:rsidR="00492DEC">
        <w:t>’</w:t>
      </w:r>
      <w:r w:rsidRPr="00492DEC">
        <w:t xml:space="preserve"> imprisonment. The trial court went on to convict the applicant </w:t>
      </w:r>
      <w:proofErr w:type="spellStart"/>
      <w:r w:rsidRPr="00492DEC">
        <w:t>Ekrem</w:t>
      </w:r>
      <w:proofErr w:type="spellEnd"/>
      <w:r w:rsidRPr="00492DEC">
        <w:t xml:space="preserve"> Can on two counts of using explosive </w:t>
      </w:r>
      <w:proofErr w:type="gramStart"/>
      <w:r w:rsidRPr="00492DEC">
        <w:t>materials, and</w:t>
      </w:r>
      <w:proofErr w:type="gramEnd"/>
      <w:r w:rsidRPr="00492DEC">
        <w:t xml:space="preserve"> sentenced him to ten months</w:t>
      </w:r>
      <w:r w:rsidRPr="00492DEC" w:rsidR="00492DEC">
        <w:t>’</w:t>
      </w:r>
      <w:r w:rsidRPr="00492DEC">
        <w:t xml:space="preserve"> imprisonment under Article</w:t>
      </w:r>
      <w:r w:rsidRPr="00492DEC" w:rsidR="005D23C7">
        <w:t xml:space="preserve"> </w:t>
      </w:r>
      <w:r w:rsidRPr="00492DEC">
        <w:t>170 §</w:t>
      </w:r>
      <w:r w:rsidRPr="00492DEC" w:rsidR="005D23C7">
        <w:t xml:space="preserve"> </w:t>
      </w:r>
      <w:r w:rsidRPr="00492DEC">
        <w:t>1</w:t>
      </w:r>
      <w:r w:rsidRPr="00492DEC" w:rsidR="005D23C7">
        <w:t xml:space="preserve"> </w:t>
      </w:r>
      <w:r w:rsidRPr="00492DEC">
        <w:t xml:space="preserve">(c) of the Criminal Code. The applicants </w:t>
      </w:r>
      <w:proofErr w:type="spellStart"/>
      <w:r w:rsidRPr="00492DEC">
        <w:t>Fikret</w:t>
      </w:r>
      <w:proofErr w:type="spellEnd"/>
      <w:r w:rsidRPr="00492DEC">
        <w:t xml:space="preserve"> </w:t>
      </w:r>
      <w:proofErr w:type="spellStart"/>
      <w:r w:rsidRPr="00492DEC">
        <w:t>Avras</w:t>
      </w:r>
      <w:proofErr w:type="spellEnd"/>
      <w:r w:rsidRPr="00492DEC">
        <w:t xml:space="preserve"> and Mahmut Cengiz were also convicted under the same Article and were each sentenced to five months for throwing Molotov cocktails.</w:t>
      </w:r>
    </w:p>
    <w:p w:rsidRPr="00492DEC" w:rsidR="008D3977" w:rsidP="00492DEC" w:rsidRDefault="008D3977" w14:paraId="74CE50D1" w14:textId="30770F34">
      <w:pPr>
        <w:pStyle w:val="JuPara"/>
      </w:pPr>
      <w:r w:rsidRPr="00492DEC">
        <w:fldChar w:fldCharType="begin"/>
      </w:r>
      <w:r w:rsidRPr="00492DEC">
        <w:instrText xml:space="preserve"> SEQ level0 \*arabic </w:instrText>
      </w:r>
      <w:r w:rsidRPr="00492DEC">
        <w:fldChar w:fldCharType="separate"/>
      </w:r>
      <w:r w:rsidRPr="00492DEC" w:rsidR="00492DEC">
        <w:rPr>
          <w:noProof/>
        </w:rPr>
        <w:t>34</w:t>
      </w:r>
      <w:r w:rsidRPr="00492DEC">
        <w:fldChar w:fldCharType="end"/>
      </w:r>
      <w:r w:rsidRPr="00492DEC">
        <w:t>.  On 2 April 2012 the Court of Cassation upheld the first-instance court</w:t>
      </w:r>
      <w:r w:rsidRPr="00492DEC" w:rsidR="00492DEC">
        <w:t>’</w:t>
      </w:r>
      <w:r w:rsidRPr="00492DEC">
        <w:t>s judgment in so far as it concerned the applicants.</w:t>
      </w:r>
    </w:p>
    <w:p w:rsidRPr="00492DEC" w:rsidR="008D3977" w:rsidP="00492DEC" w:rsidRDefault="008D3977" w14:paraId="29FF4BCD" w14:textId="77777777">
      <w:pPr>
        <w:pStyle w:val="JuHHead"/>
      </w:pPr>
      <w:r w:rsidRPr="00492DEC">
        <w:t>RELEVANT LEGAL FRAMEWORK AND PRACTICE</w:t>
      </w:r>
    </w:p>
    <w:p w:rsidRPr="00492DEC" w:rsidR="008D3977" w:rsidP="00492DEC" w:rsidRDefault="008D3977" w14:paraId="420BC446" w14:textId="1315E8C7">
      <w:pPr>
        <w:pStyle w:val="JuPara"/>
      </w:pPr>
      <w:r w:rsidRPr="00492DEC">
        <w:fldChar w:fldCharType="begin"/>
      </w:r>
      <w:r w:rsidRPr="00492DEC">
        <w:instrText xml:space="preserve"> SEQ level0 \*arabic </w:instrText>
      </w:r>
      <w:r w:rsidRPr="00492DEC">
        <w:fldChar w:fldCharType="separate"/>
      </w:r>
      <w:r w:rsidRPr="00492DEC" w:rsidR="00492DEC">
        <w:rPr>
          <w:noProof/>
        </w:rPr>
        <w:t>35</w:t>
      </w:r>
      <w:r w:rsidRPr="00492DEC">
        <w:fldChar w:fldCharType="end"/>
      </w:r>
      <w:r w:rsidRPr="00492DEC">
        <w:t xml:space="preserve">.  The relevant domestic law (as in force at the material time), as well as the case-law of the Constitutional Court regarding the issue of waiver of the right to a lawyer, may be found in </w:t>
      </w:r>
      <w:proofErr w:type="spellStart"/>
      <w:r w:rsidRPr="00492DEC">
        <w:rPr>
          <w:i/>
        </w:rPr>
        <w:t>Ruşen</w:t>
      </w:r>
      <w:proofErr w:type="spellEnd"/>
      <w:r w:rsidRPr="00492DEC">
        <w:rPr>
          <w:i/>
        </w:rPr>
        <w:t xml:space="preserve"> Bayar v. Turkey</w:t>
      </w:r>
      <w:r w:rsidRPr="00492DEC">
        <w:t>, (no. 25253/08, §§ 41</w:t>
      </w:r>
      <w:r w:rsidRPr="00492DEC">
        <w:noBreakHyphen/>
        <w:t>46, 19 February 2019).</w:t>
      </w:r>
    </w:p>
    <w:p w:rsidRPr="00492DEC" w:rsidR="008D3977" w:rsidP="00492DEC" w:rsidRDefault="00AC04F4" w14:paraId="5875923C" w14:textId="16A0C19D">
      <w:pPr>
        <w:pStyle w:val="JuPara"/>
      </w:pPr>
      <w:fldSimple w:instr=" SEQ level0 \*arabic \* MERGEFORMAT ">
        <w:r w:rsidRPr="00492DEC" w:rsidR="00492DEC">
          <w:rPr>
            <w:noProof/>
          </w:rPr>
          <w:t>36</w:t>
        </w:r>
      </w:fldSimple>
      <w:r w:rsidRPr="00492DEC" w:rsidR="008D3977">
        <w:t>.  The relevant provisions of the Criminal Code provided as follows at the material time:</w:t>
      </w:r>
    </w:p>
    <w:p w:rsidRPr="00492DEC" w:rsidR="008D3977" w:rsidP="00492DEC" w:rsidRDefault="008D3977" w14:paraId="3177FBB6" w14:textId="77777777">
      <w:pPr>
        <w:pStyle w:val="JuQuot"/>
        <w:jc w:val="center"/>
        <w:rPr>
          <w:b/>
        </w:rPr>
      </w:pPr>
      <w:r w:rsidRPr="00492DEC">
        <w:rPr>
          <w:b/>
        </w:rPr>
        <w:t>Article 113</w:t>
      </w:r>
    </w:p>
    <w:p w:rsidRPr="00492DEC" w:rsidR="008D3977" w:rsidP="00492DEC" w:rsidRDefault="008D3977" w14:paraId="63004EE1" w14:textId="77777777">
      <w:pPr>
        <w:pStyle w:val="JuQuot"/>
      </w:pPr>
      <w:r w:rsidRPr="00492DEC">
        <w:t xml:space="preserve">“1.  Where the activities of a public institution are prevented </w:t>
      </w:r>
      <w:proofErr w:type="gramStart"/>
      <w:r w:rsidRPr="00492DEC">
        <w:t>by the use of</w:t>
      </w:r>
      <w:proofErr w:type="gramEnd"/>
      <w:r w:rsidRPr="00492DEC">
        <w:t xml:space="preserve"> violence or threats or by any other unlawful act, a penalty of imprisonment for a term of two to five years shall be imposed.”</w:t>
      </w:r>
    </w:p>
    <w:p w:rsidRPr="00492DEC" w:rsidR="008D3977" w:rsidP="00492DEC" w:rsidRDefault="008D3977" w14:paraId="1DDEFECF" w14:textId="77777777">
      <w:pPr>
        <w:pStyle w:val="JuQuot"/>
        <w:jc w:val="center"/>
        <w:rPr>
          <w:b/>
          <w:bCs/>
          <w:lang w:val="en-US"/>
        </w:rPr>
      </w:pPr>
      <w:bookmarkStart w:name="170" w:id="25"/>
      <w:bookmarkEnd w:id="25"/>
      <w:r w:rsidRPr="00492DEC">
        <w:rPr>
          <w:b/>
          <w:bCs/>
          <w:lang w:val="en-US"/>
        </w:rPr>
        <w:t>Article 170</w:t>
      </w:r>
    </w:p>
    <w:p w:rsidRPr="00492DEC" w:rsidR="008D3977" w:rsidP="00492DEC" w:rsidRDefault="008D3977" w14:paraId="0EE2025A" w14:textId="77777777">
      <w:pPr>
        <w:pStyle w:val="JuQuot"/>
      </w:pPr>
      <w:r w:rsidRPr="00492DEC">
        <w:t xml:space="preserve">“1.  Any person who acts in such a way that </w:t>
      </w:r>
      <w:proofErr w:type="gramStart"/>
      <w:r w:rsidRPr="00492DEC">
        <w:t>is capable of creating</w:t>
      </w:r>
      <w:proofErr w:type="gramEnd"/>
      <w:r w:rsidRPr="00492DEC">
        <w:t xml:space="preserve"> panic, fear or anxiety among the public or of endangering the life, health, property of the public by:</w:t>
      </w:r>
    </w:p>
    <w:p w:rsidRPr="00492DEC" w:rsidR="008D3977" w:rsidP="00492DEC" w:rsidRDefault="008D3977" w14:paraId="0F80DE30" w14:textId="77777777">
      <w:pPr>
        <w:pStyle w:val="JuQuot"/>
      </w:pPr>
      <w:r w:rsidRPr="00492DEC">
        <w:t>....</w:t>
      </w:r>
    </w:p>
    <w:p w:rsidRPr="00492DEC" w:rsidR="008D3977" w:rsidP="00492DEC" w:rsidRDefault="008D3977" w14:paraId="5DD88059" w14:textId="77777777">
      <w:pPr>
        <w:pStyle w:val="JuQuot"/>
      </w:pPr>
      <w:r w:rsidRPr="00492DEC">
        <w:t>c)  firing weapons or using explosives,</w:t>
      </w:r>
    </w:p>
    <w:p w:rsidRPr="00492DEC" w:rsidR="008D3977" w:rsidP="00492DEC" w:rsidRDefault="008D3977" w14:paraId="55C0B6EA" w14:textId="77777777">
      <w:pPr>
        <w:pStyle w:val="JuQuot"/>
      </w:pPr>
      <w:r w:rsidRPr="00492DEC">
        <w:t>...</w:t>
      </w:r>
    </w:p>
    <w:p w:rsidRPr="00492DEC" w:rsidR="008D3977" w:rsidP="00492DEC" w:rsidRDefault="008D3977" w14:paraId="5D360E04" w14:textId="77777777">
      <w:pPr>
        <w:pStyle w:val="JuQuot"/>
      </w:pPr>
      <w:r w:rsidRPr="00492DEC">
        <w:t>shall be sentenced to a penalty of imprisonment for a term of six months to three years.”</w:t>
      </w:r>
    </w:p>
    <w:p w:rsidRPr="00492DEC" w:rsidR="008D3977" w:rsidP="00492DEC" w:rsidRDefault="008D3977" w14:paraId="7DC49594" w14:textId="77777777">
      <w:pPr>
        <w:pStyle w:val="JuHHead"/>
        <w:numPr>
          <w:ilvl w:val="0"/>
          <w:numId w:val="1"/>
        </w:numPr>
        <w:ind w:left="360" w:hanging="360"/>
      </w:pPr>
      <w:r w:rsidRPr="00492DEC">
        <w:t>THE LAW</w:t>
      </w:r>
    </w:p>
    <w:p w:rsidRPr="00492DEC" w:rsidR="008D3977" w:rsidP="00492DEC" w:rsidRDefault="008D3977" w14:paraId="79AB3EB5" w14:textId="77777777">
      <w:pPr>
        <w:pStyle w:val="JuHIRoman"/>
      </w:pPr>
      <w:r w:rsidRPr="00492DEC">
        <w:t>PRELIMINARY ISSUES</w:t>
      </w:r>
    </w:p>
    <w:p w:rsidRPr="00492DEC" w:rsidR="008D3977" w:rsidP="00492DEC" w:rsidRDefault="008D3977" w14:paraId="39918DFB" w14:textId="151F06EB">
      <w:pPr>
        <w:pStyle w:val="JuHA"/>
      </w:pPr>
      <w:r w:rsidRPr="00492DEC">
        <w:t>The Government</w:t>
      </w:r>
      <w:r w:rsidRPr="00492DEC" w:rsidR="00492DEC">
        <w:t>’</w:t>
      </w:r>
      <w:r w:rsidRPr="00492DEC">
        <w:t>s preliminary objection and request for the case to be struck out of the Court</w:t>
      </w:r>
      <w:r w:rsidRPr="00492DEC" w:rsidR="00492DEC">
        <w:t>’</w:t>
      </w:r>
      <w:r w:rsidRPr="00492DEC">
        <w:t>s list of cases</w:t>
      </w:r>
    </w:p>
    <w:p w:rsidRPr="00492DEC" w:rsidR="008D3977" w:rsidP="00492DEC" w:rsidRDefault="008D3977" w14:paraId="2000A323" w14:textId="112ED695">
      <w:pPr>
        <w:pStyle w:val="JuPara"/>
      </w:pPr>
      <w:r w:rsidRPr="00492DEC">
        <w:fldChar w:fldCharType="begin"/>
      </w:r>
      <w:r w:rsidRPr="00492DEC">
        <w:instrText xml:space="preserve"> SEQ level0 \*arabic </w:instrText>
      </w:r>
      <w:r w:rsidRPr="00492DEC">
        <w:fldChar w:fldCharType="separate"/>
      </w:r>
      <w:r w:rsidRPr="00492DEC" w:rsidR="00492DEC">
        <w:rPr>
          <w:noProof/>
        </w:rPr>
        <w:t>37</w:t>
      </w:r>
      <w:r w:rsidRPr="00492DEC">
        <w:fldChar w:fldCharType="end"/>
      </w:r>
      <w:r w:rsidRPr="00492DEC">
        <w:t>.  The Government submitted that the applicants, except for Mahmut Cengiz, who had duly authorised Mr Erbil as his representative when the application had been lodged, had failed to appoint a representative or to submit a letter of authority. Accordingly, the Government invited the Court to strike the application out of its list of cases, pursuant to Article 37 § 1 (a) of the Convention, contending that it was clear that the applicants, other than Mahmut Cengiz, had chosen not to pursue their application. Furthermore, the Government invited the Court to disregard the applicants</w:t>
      </w:r>
      <w:r w:rsidRPr="00492DEC" w:rsidR="00492DEC">
        <w:t>’</w:t>
      </w:r>
      <w:r w:rsidRPr="00492DEC">
        <w:t xml:space="preserve"> observations regarding (</w:t>
      </w:r>
      <w:proofErr w:type="spellStart"/>
      <w:r w:rsidRPr="00492DEC">
        <w:t>i</w:t>
      </w:r>
      <w:proofErr w:type="spellEnd"/>
      <w:proofErr w:type="gramStart"/>
      <w:r w:rsidRPr="00492DEC">
        <w:t>)</w:t>
      </w:r>
      <w:r w:rsidRPr="00492DEC" w:rsidR="001C6BDC">
        <w:t>  </w:t>
      </w:r>
      <w:r w:rsidRPr="00492DEC">
        <w:t>the</w:t>
      </w:r>
      <w:proofErr w:type="gramEnd"/>
      <w:r w:rsidRPr="00492DEC">
        <w:t xml:space="preserve"> admissibility and merits of the case and (ii)</w:t>
      </w:r>
      <w:r w:rsidRPr="00492DEC" w:rsidR="001C6BDC">
        <w:t>  </w:t>
      </w:r>
      <w:r w:rsidRPr="00492DEC">
        <w:t>the just satisfaction claims submitted on behalf of the same fourteen applicants, as they had only been signed by Mr Erbil, who had not been authorised to act on their behalf.</w:t>
      </w:r>
    </w:p>
    <w:p w:rsidRPr="00492DEC" w:rsidR="008D3977" w:rsidP="00492DEC" w:rsidRDefault="00AC04F4" w14:paraId="537F3E18" w14:textId="2A591B3B">
      <w:pPr>
        <w:pStyle w:val="JuPara"/>
      </w:pPr>
      <w:fldSimple w:instr=" SEQ level0 \*arabic \* MERGEFORMAT ">
        <w:r w:rsidRPr="00492DEC" w:rsidR="00492DEC">
          <w:rPr>
            <w:noProof/>
          </w:rPr>
          <w:t>38</w:t>
        </w:r>
      </w:fldSimple>
      <w:r w:rsidRPr="00492DEC" w:rsidR="008D3977">
        <w:t>.  The applicants did not comment on this point.</w:t>
      </w:r>
    </w:p>
    <w:p w:rsidRPr="00492DEC" w:rsidR="008D3977" w:rsidP="00492DEC" w:rsidRDefault="00AC04F4" w14:paraId="537E0A64" w14:textId="66553559">
      <w:pPr>
        <w:pStyle w:val="JuPara"/>
      </w:pPr>
      <w:fldSimple w:instr=" SEQ level0 \*arabic \* MERGEFORMAT ">
        <w:r w:rsidRPr="00492DEC" w:rsidR="00492DEC">
          <w:rPr>
            <w:noProof/>
          </w:rPr>
          <w:t>39</w:t>
        </w:r>
      </w:fldSimple>
      <w:r w:rsidRPr="00492DEC" w:rsidR="008D3977">
        <w:t xml:space="preserve">.  The Court notes that when the application was lodged with the Court in 2010, all the applicants were duly represented in accordance with the practice then in force, since both Mr Erbil and Mrs </w:t>
      </w:r>
      <w:proofErr w:type="spellStart"/>
      <w:r w:rsidRPr="00492DEC" w:rsidR="008D3977">
        <w:t>Selçuk</w:t>
      </w:r>
      <w:proofErr w:type="spellEnd"/>
      <w:r w:rsidRPr="00492DEC" w:rsidR="008D3977">
        <w:t xml:space="preserve"> had signed the application form, to which were attached, </w:t>
      </w:r>
      <w:r w:rsidRPr="00492DEC" w:rsidR="008D3977">
        <w:rPr>
          <w:i/>
          <w:iCs/>
        </w:rPr>
        <w:t>inter alia</w:t>
      </w:r>
      <w:r w:rsidRPr="00492DEC" w:rsidR="008D3977">
        <w:t>, the two following annexes: (</w:t>
      </w:r>
      <w:proofErr w:type="spellStart"/>
      <w:r w:rsidRPr="00492DEC" w:rsidR="008D3977">
        <w:t>i</w:t>
      </w:r>
      <w:proofErr w:type="spellEnd"/>
      <w:r w:rsidRPr="00492DEC" w:rsidR="008D3977">
        <w:t>)</w:t>
      </w:r>
      <w:r w:rsidRPr="00492DEC" w:rsidR="00957767">
        <w:t>  </w:t>
      </w:r>
      <w:r w:rsidRPr="00492DEC" w:rsidR="008D3977">
        <w:t>an authority form signed by the applicant Mahmut Cengiz and Mr</w:t>
      </w:r>
      <w:r w:rsidRPr="00492DEC" w:rsidR="00957767">
        <w:t> </w:t>
      </w:r>
      <w:r w:rsidRPr="00492DEC" w:rsidR="008D3977">
        <w:t>Erbil, and (ii)</w:t>
      </w:r>
      <w:r w:rsidRPr="00492DEC" w:rsidR="00957767">
        <w:t>  </w:t>
      </w:r>
      <w:r w:rsidRPr="00492DEC" w:rsidR="008D3977">
        <w:t xml:space="preserve">a power of attorney authorising Ms </w:t>
      </w:r>
      <w:proofErr w:type="spellStart"/>
      <w:r w:rsidRPr="00492DEC" w:rsidR="008D3977">
        <w:t>Selçuk</w:t>
      </w:r>
      <w:proofErr w:type="spellEnd"/>
      <w:r w:rsidRPr="00492DEC" w:rsidR="008D3977">
        <w:t xml:space="preserve"> to act as the lawyer of the remaining fourteen applicants. Accordingly, the Government argue, in essence, that the applicants should be required to comply with Rule</w:t>
      </w:r>
      <w:r w:rsidRPr="00492DEC" w:rsidR="00957767">
        <w:t> </w:t>
      </w:r>
      <w:r w:rsidRPr="00492DEC" w:rsidR="008D3977">
        <w:t>47 of the Rules of Court, as amended in 2014 – even though the application was lodged prior to that amendment. As it is not possible to apply that provision retroactively, the Court dismisses the Government</w:t>
      </w:r>
      <w:r w:rsidRPr="00492DEC" w:rsidR="00492DEC">
        <w:t>’</w:t>
      </w:r>
      <w:r w:rsidRPr="00492DEC" w:rsidR="008D3977">
        <w:t xml:space="preserve">s request (see </w:t>
      </w:r>
      <w:r w:rsidRPr="00492DEC" w:rsidR="008D3977">
        <w:rPr>
          <w:rFonts w:cstheme="minorHAnsi"/>
          <w:i/>
          <w:color w:val="000000"/>
          <w:lang w:val="en-US" w:eastAsia="fr-FR"/>
        </w:rPr>
        <w:t xml:space="preserve">Beg </w:t>
      </w:r>
      <w:proofErr w:type="spellStart"/>
      <w:r w:rsidRPr="00492DEC" w:rsidR="008D3977">
        <w:rPr>
          <w:rFonts w:cstheme="minorHAnsi"/>
          <w:i/>
          <w:color w:val="000000"/>
          <w:lang w:val="en-US" w:eastAsia="fr-FR"/>
        </w:rPr>
        <w:t>S.p.a</w:t>
      </w:r>
      <w:proofErr w:type="spellEnd"/>
      <w:r w:rsidRPr="00492DEC" w:rsidR="008D3977">
        <w:rPr>
          <w:rFonts w:cstheme="minorHAnsi"/>
          <w:i/>
          <w:color w:val="000000"/>
          <w:lang w:val="en-US" w:eastAsia="fr-FR"/>
        </w:rPr>
        <w:t>. v. Italy</w:t>
      </w:r>
      <w:r w:rsidRPr="00492DEC" w:rsidR="008D3977">
        <w:rPr>
          <w:rFonts w:cstheme="minorHAnsi"/>
          <w:color w:val="000000"/>
          <w:lang w:val="en-US" w:eastAsia="fr-FR"/>
        </w:rPr>
        <w:t>, no. 5312/11, § 60, 20 May 2021).</w:t>
      </w:r>
    </w:p>
    <w:p w:rsidRPr="00492DEC" w:rsidR="008D3977" w:rsidP="00492DEC" w:rsidRDefault="00AC04F4" w14:paraId="256178D8" w14:textId="267BAB98">
      <w:pPr>
        <w:pStyle w:val="JuPara"/>
      </w:pPr>
      <w:fldSimple w:instr=" SEQ level0 \*arabic \* MERGEFORMAT ">
        <w:r w:rsidRPr="00492DEC" w:rsidR="00492DEC">
          <w:rPr>
            <w:noProof/>
          </w:rPr>
          <w:t>40</w:t>
        </w:r>
      </w:fldSimple>
      <w:r w:rsidRPr="00492DEC" w:rsidR="008D3977">
        <w:t xml:space="preserve">.  Moreover, while it is true that the Court corresponded only with Mr Erbil after the Government were given notice of the application on 8 June 2017, Mrs </w:t>
      </w:r>
      <w:proofErr w:type="spellStart"/>
      <w:r w:rsidRPr="00492DEC" w:rsidR="008D3977">
        <w:t>Selçuk</w:t>
      </w:r>
      <w:proofErr w:type="spellEnd"/>
      <w:r w:rsidRPr="00492DEC" w:rsidR="008D3977">
        <w:t xml:space="preserve"> informed the Court by a letter dated 6 October 2020 that all such correspondence had been undertaken with her knowledge and approval. That being the case, the Court dismisses the Government</w:t>
      </w:r>
      <w:r w:rsidRPr="00492DEC" w:rsidR="00492DEC">
        <w:t>’</w:t>
      </w:r>
      <w:r w:rsidRPr="00492DEC" w:rsidR="008D3977">
        <w:t>s request under Article</w:t>
      </w:r>
      <w:r w:rsidRPr="00492DEC" w:rsidR="005D23C7">
        <w:t xml:space="preserve"> </w:t>
      </w:r>
      <w:r w:rsidRPr="00492DEC" w:rsidR="008D3977">
        <w:t>37 § 1 (a) of the Convention.</w:t>
      </w:r>
    </w:p>
    <w:p w:rsidRPr="00492DEC" w:rsidR="008D3977" w:rsidP="00492DEC" w:rsidRDefault="008D3977" w14:paraId="2765BA21" w14:textId="77777777">
      <w:pPr>
        <w:pStyle w:val="JuHA"/>
      </w:pPr>
      <w:r w:rsidRPr="00492DEC">
        <w:t>Six-month rule and the scope of the case</w:t>
      </w:r>
    </w:p>
    <w:p w:rsidRPr="00492DEC" w:rsidR="008D3977" w:rsidP="00492DEC" w:rsidRDefault="008D3977" w14:paraId="04A25EA8" w14:textId="55C104DA">
      <w:pPr>
        <w:pStyle w:val="JuPara"/>
        <w:rPr>
          <w:lang w:val="en-US"/>
        </w:rPr>
      </w:pPr>
      <w:r w:rsidRPr="00492DEC">
        <w:rPr>
          <w:lang w:val="en-US"/>
        </w:rPr>
        <w:fldChar w:fldCharType="begin"/>
      </w:r>
      <w:r w:rsidRPr="00492DEC">
        <w:rPr>
          <w:lang w:val="en-US"/>
        </w:rPr>
        <w:instrText xml:space="preserve"> SEQ level0 \*arabic \* MERGEFORMAT </w:instrText>
      </w:r>
      <w:r w:rsidRPr="00492DEC">
        <w:rPr>
          <w:lang w:val="en-US"/>
        </w:rPr>
        <w:fldChar w:fldCharType="separate"/>
      </w:r>
      <w:r w:rsidRPr="00492DEC" w:rsidR="00492DEC">
        <w:rPr>
          <w:noProof/>
          <w:lang w:val="en-US"/>
        </w:rPr>
        <w:t>41</w:t>
      </w:r>
      <w:r w:rsidRPr="00492DEC">
        <w:rPr>
          <w:lang w:val="en-US"/>
        </w:rPr>
        <w:fldChar w:fldCharType="end"/>
      </w:r>
      <w:r w:rsidRPr="00492DEC">
        <w:rPr>
          <w:lang w:val="en-US"/>
        </w:rPr>
        <w:t>.  Even though the Government did not raise a preliminary objection as regards the applicants</w:t>
      </w:r>
      <w:r w:rsidRPr="00492DEC" w:rsidR="00492DEC">
        <w:rPr>
          <w:lang w:val="en-US"/>
        </w:rPr>
        <w:t>’</w:t>
      </w:r>
      <w:r w:rsidRPr="00492DEC">
        <w:rPr>
          <w:lang w:val="en-US"/>
        </w:rPr>
        <w:t xml:space="preserve"> compliance with the six-month rule, this question calls for consideration by the Court of its own motion (see </w:t>
      </w:r>
      <w:r w:rsidRPr="00492DEC">
        <w:rPr>
          <w:i/>
          <w:iCs/>
          <w:lang w:val="en-US"/>
        </w:rPr>
        <w:t xml:space="preserve">Sabri </w:t>
      </w:r>
      <w:proofErr w:type="spellStart"/>
      <w:r w:rsidRPr="00492DEC">
        <w:rPr>
          <w:i/>
          <w:iCs/>
          <w:lang w:val="en-US"/>
        </w:rPr>
        <w:t>Güneş</w:t>
      </w:r>
      <w:proofErr w:type="spellEnd"/>
      <w:r w:rsidRPr="00492DEC">
        <w:rPr>
          <w:i/>
          <w:iCs/>
          <w:lang w:val="en-US"/>
        </w:rPr>
        <w:t xml:space="preserve"> v. Turkey </w:t>
      </w:r>
      <w:r w:rsidRPr="00492DEC">
        <w:rPr>
          <w:lang w:val="en-US"/>
        </w:rPr>
        <w:t>[GC], no. 27396/06, § 29, 29 June 2012).</w:t>
      </w:r>
    </w:p>
    <w:p w:rsidRPr="00492DEC" w:rsidR="008D3977" w:rsidP="00492DEC" w:rsidRDefault="008D3977" w14:paraId="6415FE43" w14:textId="4D01358E">
      <w:pPr>
        <w:pStyle w:val="JuPara"/>
      </w:pPr>
      <w:r w:rsidRPr="00492DEC">
        <w:rPr>
          <w:lang w:val="en-US"/>
        </w:rPr>
        <w:fldChar w:fldCharType="begin"/>
      </w:r>
      <w:r w:rsidRPr="00492DEC">
        <w:rPr>
          <w:lang w:val="en-US"/>
        </w:rPr>
        <w:instrText xml:space="preserve"> SEQ level0 \*arabic </w:instrText>
      </w:r>
      <w:r w:rsidRPr="00492DEC">
        <w:rPr>
          <w:lang w:val="en-US"/>
        </w:rPr>
        <w:fldChar w:fldCharType="separate"/>
      </w:r>
      <w:r w:rsidRPr="00492DEC" w:rsidR="00492DEC">
        <w:rPr>
          <w:noProof/>
          <w:lang w:val="en-US"/>
        </w:rPr>
        <w:t>42</w:t>
      </w:r>
      <w:r w:rsidRPr="00492DEC">
        <w:rPr>
          <w:lang w:val="en-US"/>
        </w:rPr>
        <w:fldChar w:fldCharType="end"/>
      </w:r>
      <w:r w:rsidRPr="00492DEC">
        <w:rPr>
          <w:lang w:val="en-US"/>
        </w:rPr>
        <w:t>.  On 18 March 2009 the Court of Cassation upheld the convictions of</w:t>
      </w:r>
      <w:r w:rsidRPr="00492DEC">
        <w:t xml:space="preserve"> of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Mahmut Cengiz and </w:t>
      </w:r>
      <w:proofErr w:type="spellStart"/>
      <w:r w:rsidRPr="00492DEC">
        <w:t>Şenol</w:t>
      </w:r>
      <w:proofErr w:type="spellEnd"/>
      <w:r w:rsidRPr="00492DEC">
        <w:t xml:space="preserve"> </w:t>
      </w:r>
      <w:proofErr w:type="spellStart"/>
      <w:r w:rsidRPr="00492DEC">
        <w:t>Akyaz</w:t>
      </w:r>
      <w:proofErr w:type="spellEnd"/>
      <w:r w:rsidRPr="00492DEC">
        <w:t xml:space="preserve"> under Article</w:t>
      </w:r>
      <w:r w:rsidRPr="00492DEC" w:rsidR="00957767">
        <w:t xml:space="preserve"> </w:t>
      </w:r>
      <w:r w:rsidRPr="00492DEC">
        <w:t xml:space="preserve">314 § 2 of the Criminal Code, those of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and Mahmut Cengiz under Article 174 § 1 and those of the rest of the applicants under Article 169 of the former Criminal Code</w:t>
      </w:r>
      <w:r w:rsidRPr="00492DEC">
        <w:rPr>
          <w:lang w:val="en-US"/>
        </w:rPr>
        <w:t xml:space="preserve">. </w:t>
      </w:r>
      <w:r w:rsidRPr="00492DEC">
        <w:t>As a result, those convictions became final.</w:t>
      </w:r>
    </w:p>
    <w:p w:rsidRPr="00492DEC" w:rsidR="008D3977" w:rsidP="00492DEC" w:rsidRDefault="00AC04F4" w14:paraId="3AC84920" w14:textId="69A4DCB8">
      <w:pPr>
        <w:pStyle w:val="JuPara"/>
      </w:pPr>
      <w:fldSimple w:instr=" SEQ level0 \*arabic \* MERGEFORMAT ">
        <w:r w:rsidRPr="00492DEC" w:rsidR="00492DEC">
          <w:rPr>
            <w:noProof/>
          </w:rPr>
          <w:t>43</w:t>
        </w:r>
      </w:fldSimple>
      <w:r w:rsidRPr="00492DEC" w:rsidR="008D3977">
        <w:t>.  The Court does not have in its possession any document showing that the Court of Cassation</w:t>
      </w:r>
      <w:r w:rsidRPr="00492DEC" w:rsidR="00492DEC">
        <w:t>’</w:t>
      </w:r>
      <w:r w:rsidRPr="00492DEC" w:rsidR="008D3977">
        <w:t>s decision was duly served on the applicants or on their lawyers. Neither did the application form contain the date on which the applicants or their lawyers had been apprised of the Court of Cassation</w:t>
      </w:r>
      <w:r w:rsidRPr="00492DEC" w:rsidR="00492DEC">
        <w:t>’</w:t>
      </w:r>
      <w:r w:rsidRPr="00492DEC" w:rsidR="008D3977">
        <w:t>s decision. Similarly, the information available in the case file is not such as to enable the Court to discern the exact date on which the decision of the Court of Cassation was deposited with the registry of the trial court. Nevertheless, on 18 June 2009 the trial court drew up a preparatory report (</w:t>
      </w:r>
      <w:proofErr w:type="spellStart"/>
      <w:r w:rsidRPr="00492DEC" w:rsidR="008D3977">
        <w:rPr>
          <w:i/>
          <w:iCs/>
        </w:rPr>
        <w:t>tensip</w:t>
      </w:r>
      <w:proofErr w:type="spellEnd"/>
      <w:r w:rsidRPr="00492DEC" w:rsidR="008D3977">
        <w:rPr>
          <w:i/>
          <w:iCs/>
        </w:rPr>
        <w:t xml:space="preserve"> </w:t>
      </w:r>
      <w:proofErr w:type="spellStart"/>
      <w:r w:rsidRPr="00492DEC" w:rsidR="008D3977">
        <w:rPr>
          <w:i/>
          <w:iCs/>
        </w:rPr>
        <w:t>tutana</w:t>
      </w:r>
      <w:r w:rsidRPr="00492DEC" w:rsidR="008D3977">
        <w:rPr>
          <w:i/>
          <w:iCs/>
          <w:lang w:val="tr-TR"/>
        </w:rPr>
        <w:t>ğı</w:t>
      </w:r>
      <w:proofErr w:type="spellEnd"/>
      <w:r w:rsidRPr="00492DEC" w:rsidR="008D3977">
        <w:t>) whereby it set the date of the first hearing after the Court of Cassation had delivered its decision.</w:t>
      </w:r>
    </w:p>
    <w:p w:rsidRPr="00492DEC" w:rsidR="008D3977" w:rsidP="00492DEC" w:rsidRDefault="00AC04F4" w14:paraId="30AA22F9" w14:textId="66C99F6C">
      <w:pPr>
        <w:pStyle w:val="JuPara"/>
      </w:pPr>
      <w:fldSimple w:instr=" SEQ level0 \*arabic \* MERGEFORMAT ">
        <w:r w:rsidRPr="00492DEC" w:rsidR="00492DEC">
          <w:rPr>
            <w:noProof/>
          </w:rPr>
          <w:t>44</w:t>
        </w:r>
      </w:fldSimple>
      <w:r w:rsidRPr="00492DEC" w:rsidR="008D3977">
        <w:t>.  In view of the above, the Court of Cassation</w:t>
      </w:r>
      <w:r w:rsidRPr="00492DEC" w:rsidR="00492DEC">
        <w:t>’</w:t>
      </w:r>
      <w:r w:rsidRPr="00492DEC" w:rsidR="008D3977">
        <w:t>s decision should be presumed to have been available at the trial court</w:t>
      </w:r>
      <w:r w:rsidRPr="00492DEC" w:rsidR="00492DEC">
        <w:t>’</w:t>
      </w:r>
      <w:r w:rsidRPr="00492DEC" w:rsidR="008D3977">
        <w:t>s registry, at the latest, by 18 June 2009. The time-limit started to run on the following day and expired on 18 January 2010. However, the application was lodged with the Court on 3 February 2010 – that is, after the expiry of the six-month time-limit in respect of the above-mentioned convictions.</w:t>
      </w:r>
    </w:p>
    <w:bookmarkStart w:name="six_months" w:id="26"/>
    <w:p w:rsidRPr="00492DEC" w:rsidR="008D3977" w:rsidP="00492DEC" w:rsidRDefault="008D3977" w14:paraId="0A0C75D7" w14:textId="62181831">
      <w:pPr>
        <w:pStyle w:val="JuPara"/>
        <w:rPr>
          <w:lang w:val="en-US"/>
        </w:rPr>
      </w:pPr>
      <w:r w:rsidRPr="00492DEC">
        <w:fldChar w:fldCharType="begin"/>
      </w:r>
      <w:r w:rsidRPr="00492DEC">
        <w:instrText xml:space="preserve"> SEQ level0 \*arabic </w:instrText>
      </w:r>
      <w:r w:rsidRPr="00492DEC">
        <w:fldChar w:fldCharType="separate"/>
      </w:r>
      <w:r w:rsidRPr="00492DEC" w:rsidR="00492DEC">
        <w:rPr>
          <w:noProof/>
        </w:rPr>
        <w:t>45</w:t>
      </w:r>
      <w:r w:rsidRPr="00492DEC">
        <w:fldChar w:fldCharType="end"/>
      </w:r>
      <w:bookmarkEnd w:id="26"/>
      <w:r w:rsidRPr="00492DEC">
        <w:t>.  Accordingly, the scope of the Court</w:t>
      </w:r>
      <w:r w:rsidRPr="00492DEC" w:rsidR="00492DEC">
        <w:t>’</w:t>
      </w:r>
      <w:r w:rsidRPr="00492DEC">
        <w:t>s examination will be confined to (</w:t>
      </w:r>
      <w:proofErr w:type="spellStart"/>
      <w:r w:rsidRPr="00492DEC">
        <w:t>i</w:t>
      </w:r>
      <w:proofErr w:type="spellEnd"/>
      <w:proofErr w:type="gramStart"/>
      <w:r w:rsidRPr="00492DEC">
        <w:t>)  all</w:t>
      </w:r>
      <w:proofErr w:type="gramEnd"/>
      <w:r w:rsidRPr="00492DEC">
        <w:t xml:space="preserve"> the applicants</w:t>
      </w:r>
      <w:r w:rsidRPr="00492DEC" w:rsidR="00492DEC">
        <w:t>’</w:t>
      </w:r>
      <w:r w:rsidRPr="00492DEC">
        <w:t xml:space="preserve"> convictions under Article 113 of the Criminal Code and (ii)  the convictions of the applicants </w:t>
      </w:r>
      <w:proofErr w:type="spellStart"/>
      <w:r w:rsidRPr="00492DEC">
        <w:t>Ekrem</w:t>
      </w:r>
      <w:proofErr w:type="spellEnd"/>
      <w:r w:rsidRPr="00492DEC">
        <w:t xml:space="preserve"> Can, Mahmut Cengiz and </w:t>
      </w:r>
      <w:proofErr w:type="spellStart"/>
      <w:r w:rsidRPr="00492DEC">
        <w:t>Fikret</w:t>
      </w:r>
      <w:proofErr w:type="spellEnd"/>
      <w:r w:rsidRPr="00492DEC">
        <w:t xml:space="preserve"> </w:t>
      </w:r>
      <w:proofErr w:type="spellStart"/>
      <w:r w:rsidRPr="00492DEC">
        <w:t>Avras</w:t>
      </w:r>
      <w:proofErr w:type="spellEnd"/>
      <w:r w:rsidRPr="00492DEC">
        <w:t xml:space="preserve"> under Article 170 § 1 (c) of the Criminal Code (see </w:t>
      </w:r>
      <w:proofErr w:type="spellStart"/>
      <w:r w:rsidRPr="00492DEC">
        <w:rPr>
          <w:i/>
        </w:rPr>
        <w:t>Keskin</w:t>
      </w:r>
      <w:proofErr w:type="spellEnd"/>
      <w:r w:rsidRPr="00492DEC">
        <w:rPr>
          <w:i/>
        </w:rPr>
        <w:t xml:space="preserve"> v. Turkey</w:t>
      </w:r>
      <w:r w:rsidRPr="00492DEC">
        <w:t xml:space="preserve"> (dec.), no. 12923/12, 8 July 2014)</w:t>
      </w:r>
      <w:r w:rsidRPr="00492DEC">
        <w:rPr>
          <w:lang w:val="en-US"/>
        </w:rPr>
        <w:t>. The Court will carry out a separate analysis of the admissibility of each complaint below, having regard to the preliminary objections raised by the Government.</w:t>
      </w:r>
    </w:p>
    <w:p w:rsidRPr="00492DEC" w:rsidR="008D3977" w:rsidP="00492DEC" w:rsidRDefault="008D3977" w14:paraId="1B11623E" w14:textId="6FF32FBB">
      <w:pPr>
        <w:pStyle w:val="JuPara"/>
      </w:pPr>
      <w:r w:rsidRPr="00492DEC">
        <w:rPr>
          <w:lang w:val="en-US"/>
        </w:rPr>
        <w:fldChar w:fldCharType="begin"/>
      </w:r>
      <w:r w:rsidRPr="00492DEC">
        <w:rPr>
          <w:lang w:val="en-US"/>
        </w:rPr>
        <w:instrText xml:space="preserve"> SEQ level0 \*arabic \* MERGEFORMAT </w:instrText>
      </w:r>
      <w:r w:rsidRPr="00492DEC">
        <w:rPr>
          <w:lang w:val="en-US"/>
        </w:rPr>
        <w:fldChar w:fldCharType="separate"/>
      </w:r>
      <w:r w:rsidRPr="00492DEC" w:rsidR="00492DEC">
        <w:rPr>
          <w:noProof/>
          <w:lang w:val="en-US"/>
        </w:rPr>
        <w:t>46</w:t>
      </w:r>
      <w:r w:rsidRPr="00492DEC">
        <w:rPr>
          <w:lang w:val="en-US"/>
        </w:rPr>
        <w:fldChar w:fldCharType="end"/>
      </w:r>
      <w:r w:rsidRPr="00492DEC">
        <w:rPr>
          <w:lang w:val="en-US"/>
        </w:rPr>
        <w:t>.  As regards the remainder of the application, the Court finds that it was introduced out of time and must be rejected, pursuant to Article 35 §§ 1 and 4 of the Convention.</w:t>
      </w:r>
    </w:p>
    <w:p w:rsidRPr="00492DEC" w:rsidR="008D3977" w:rsidP="00492DEC" w:rsidRDefault="008D3977" w14:paraId="04F2B3A7" w14:textId="77777777">
      <w:pPr>
        <w:pStyle w:val="JuHIRoman"/>
      </w:pPr>
      <w:r w:rsidRPr="00492DEC">
        <w:t>ALLEGED VIOLATION OF ARTICLE 6 §§ 1 and 3 (</w:t>
      </w:r>
      <w:r w:rsidRPr="00492DEC">
        <w:rPr>
          <w:caps w:val="0"/>
        </w:rPr>
        <w:t>c</w:t>
      </w:r>
      <w:r w:rsidRPr="00492DEC">
        <w:t>) OF THE CONVENTION</w:t>
      </w:r>
    </w:p>
    <w:p w:rsidRPr="00492DEC" w:rsidR="008D3977" w:rsidP="00492DEC" w:rsidRDefault="008D3977" w14:paraId="6DE2B9F3" w14:textId="3FD1DF68">
      <w:pPr>
        <w:pStyle w:val="JuPara"/>
      </w:pPr>
      <w:r w:rsidRPr="00492DEC">
        <w:fldChar w:fldCharType="begin"/>
      </w:r>
      <w:r w:rsidRPr="00492DEC">
        <w:instrText xml:space="preserve"> SEQ level0 \*arabic </w:instrText>
      </w:r>
      <w:r w:rsidRPr="00492DEC">
        <w:fldChar w:fldCharType="separate"/>
      </w:r>
      <w:r w:rsidRPr="00492DEC" w:rsidR="00492DEC">
        <w:rPr>
          <w:noProof/>
        </w:rPr>
        <w:t>47</w:t>
      </w:r>
      <w:r w:rsidRPr="00492DEC">
        <w:fldChar w:fldCharType="end"/>
      </w:r>
      <w:r w:rsidRPr="00492DEC">
        <w:t>.  The applicants complained that they had not been allowed to benefit from legal assistance when they had given statements to the police, in breach of Article 6 §§ 1 and 3 (c) of the Convention, which, in so far as relevant, provides:</w:t>
      </w:r>
    </w:p>
    <w:p w:rsidRPr="00492DEC" w:rsidR="008D3977" w:rsidP="00492DEC" w:rsidRDefault="008D3977" w14:paraId="2E048688" w14:textId="77777777">
      <w:pPr>
        <w:pStyle w:val="JuQuot"/>
      </w:pPr>
      <w:r w:rsidRPr="00492DEC">
        <w:t>“1.  In the determination of ... any criminal charge against him, everyone is entitled to a fair and public hearing within a reasonable time by [a] tribunal ...</w:t>
      </w:r>
    </w:p>
    <w:p w:rsidRPr="00492DEC" w:rsidR="008D3977" w:rsidP="00492DEC" w:rsidRDefault="008D3977" w14:paraId="7EA9CE91" w14:textId="77777777">
      <w:pPr>
        <w:pStyle w:val="JuQuot"/>
      </w:pPr>
      <w:r w:rsidRPr="00492DEC">
        <w:t>3.  Everyone charged with a criminal offence has the following minimum rights:</w:t>
      </w:r>
    </w:p>
    <w:p w:rsidRPr="00492DEC" w:rsidR="008D3977" w:rsidP="00492DEC" w:rsidRDefault="008D3977" w14:paraId="53669599" w14:textId="77777777">
      <w:pPr>
        <w:pStyle w:val="JuQuot"/>
      </w:pPr>
      <w:r w:rsidRPr="00492DEC">
        <w:t>...</w:t>
      </w:r>
    </w:p>
    <w:p w:rsidRPr="00492DEC" w:rsidR="008D3977" w:rsidP="00492DEC" w:rsidRDefault="008D3977" w14:paraId="2185F16A" w14:textId="77777777">
      <w:pPr>
        <w:pStyle w:val="JuQuot"/>
      </w:pPr>
      <w:r w:rsidRPr="00492DEC">
        <w:t>(c)  to defend himself in person or through legal assistance of his own choosing or, if he has not sufficient means to pay for legal assistance, to be given it free when the interests of justice so require;”</w:t>
      </w:r>
    </w:p>
    <w:p w:rsidRPr="00492DEC" w:rsidR="008D3977" w:rsidP="00215001" w:rsidRDefault="008D3977" w14:paraId="2A8B3964" w14:textId="77777777">
      <w:pPr>
        <w:pStyle w:val="JuHA"/>
        <w:numPr>
          <w:ilvl w:val="2"/>
          <w:numId w:val="23"/>
        </w:numPr>
      </w:pPr>
      <w:r w:rsidRPr="00492DEC">
        <w:t>Admissibility</w:t>
      </w:r>
    </w:p>
    <w:p w:rsidRPr="00492DEC" w:rsidR="008D3977" w:rsidP="00492DEC" w:rsidRDefault="008D3977" w14:paraId="3A25688D" w14:textId="4296DD89">
      <w:pPr>
        <w:pStyle w:val="JuPara"/>
      </w:pPr>
      <w:r w:rsidRPr="00492DEC">
        <w:fldChar w:fldCharType="begin"/>
      </w:r>
      <w:r w:rsidRPr="00492DEC">
        <w:instrText xml:space="preserve"> SEQ level0 \*arabic </w:instrText>
      </w:r>
      <w:r w:rsidRPr="00492DEC">
        <w:fldChar w:fldCharType="separate"/>
      </w:r>
      <w:r w:rsidRPr="00492DEC" w:rsidR="00492DEC">
        <w:rPr>
          <w:noProof/>
        </w:rPr>
        <w:t>48</w:t>
      </w:r>
      <w:r w:rsidRPr="00492DEC">
        <w:fldChar w:fldCharType="end"/>
      </w:r>
      <w:r w:rsidRPr="00492DEC">
        <w:t>.  The Court considers that this complaint is not manifestly ill-founded within the meaning of Article</w:t>
      </w:r>
      <w:r w:rsidRPr="00492DEC" w:rsidR="005D23C7">
        <w:t xml:space="preserve"> </w:t>
      </w:r>
      <w:r w:rsidRPr="00492DEC">
        <w:t>35</w:t>
      </w:r>
      <w:r w:rsidRPr="00492DEC" w:rsidR="005D23C7">
        <w:t xml:space="preserve"> </w:t>
      </w:r>
      <w:r w:rsidRPr="00492DEC">
        <w:t>§</w:t>
      </w:r>
      <w:r w:rsidRPr="00492DEC" w:rsidR="005D23C7">
        <w:t xml:space="preserve"> </w:t>
      </w:r>
      <w:r w:rsidRPr="00492DEC">
        <w:t>3</w:t>
      </w:r>
      <w:r w:rsidRPr="00492DEC" w:rsidR="005D23C7">
        <w:t xml:space="preserve"> </w:t>
      </w:r>
      <w:r w:rsidRPr="00492DEC">
        <w:t>(a) of the Convention, nor is it inadmissible on any other grounds. It must therefore be declared admissible.</w:t>
      </w:r>
    </w:p>
    <w:p w:rsidRPr="00492DEC" w:rsidR="008D3977" w:rsidP="00492DEC" w:rsidRDefault="008D3977" w14:paraId="4828BE0B" w14:textId="77777777">
      <w:pPr>
        <w:pStyle w:val="JuHA"/>
      </w:pPr>
      <w:r w:rsidRPr="00492DEC">
        <w:t>Merits</w:t>
      </w:r>
    </w:p>
    <w:p w:rsidRPr="00492DEC" w:rsidR="008D3977" w:rsidP="00492DEC" w:rsidRDefault="008D3977" w14:paraId="5E0F7726" w14:textId="2B0FFFF6">
      <w:pPr>
        <w:pStyle w:val="JuH1"/>
        <w:ind w:left="731" w:hanging="300"/>
        <w:jc w:val="left"/>
      </w:pPr>
      <w:r w:rsidRPr="00492DEC">
        <w:t>The parties</w:t>
      </w:r>
      <w:r w:rsidRPr="00492DEC" w:rsidR="00492DEC">
        <w:t>’</w:t>
      </w:r>
      <w:r w:rsidRPr="00492DEC">
        <w:t xml:space="preserve"> submissions</w:t>
      </w:r>
    </w:p>
    <w:p w:rsidRPr="00492DEC" w:rsidR="008D3977" w:rsidP="00492DEC" w:rsidRDefault="00AC04F4" w14:paraId="125ACDC4" w14:textId="40D7C695">
      <w:pPr>
        <w:pStyle w:val="JuPara"/>
      </w:pPr>
      <w:fldSimple w:instr=" SEQ level0 \*arabic \* MERGEFORMAT ">
        <w:r w:rsidRPr="00492DEC" w:rsidR="00492DEC">
          <w:rPr>
            <w:noProof/>
          </w:rPr>
          <w:t>49</w:t>
        </w:r>
      </w:fldSimple>
      <w:r w:rsidRPr="00492DEC" w:rsidR="008D3977">
        <w:t xml:space="preserve">.  The applicants claimed that the police officers had forced them into signing certain documents which allegedly showed that they had waived their right to a lawyer. However, the fact that all the applicants had asked for a lawyer when giving statements to the public prosecutor and to the above-mentioned judge of the Istanbul State Security Court constituted proof that the </w:t>
      </w:r>
      <w:proofErr w:type="gramStart"/>
      <w:r w:rsidRPr="00492DEC" w:rsidR="008D3977">
        <w:t>documents</w:t>
      </w:r>
      <w:proofErr w:type="gramEnd"/>
      <w:r w:rsidRPr="00492DEC" w:rsidR="008D3977">
        <w:t xml:space="preserve"> they had signed during police custody had not reflected the truth. In fact, the applicants had asked for a lawyer during their time in custody, as was shown by the reports drawn up by the lawyers.</w:t>
      </w:r>
    </w:p>
    <w:p w:rsidRPr="00492DEC" w:rsidR="008D3977" w:rsidP="00492DEC" w:rsidRDefault="008D3977" w14:paraId="40948D54" w14:textId="3F74283D">
      <w:pPr>
        <w:pStyle w:val="JuPara"/>
      </w:pPr>
      <w:r w:rsidRPr="00492DEC">
        <w:fldChar w:fldCharType="begin"/>
      </w:r>
      <w:r w:rsidRPr="00492DEC">
        <w:instrText xml:space="preserve"> SEQ level0 \*arabic </w:instrText>
      </w:r>
      <w:r w:rsidRPr="00492DEC">
        <w:fldChar w:fldCharType="separate"/>
      </w:r>
      <w:r w:rsidRPr="00492DEC" w:rsidR="00492DEC">
        <w:rPr>
          <w:noProof/>
        </w:rPr>
        <w:t>50</w:t>
      </w:r>
      <w:r w:rsidRPr="00492DEC">
        <w:fldChar w:fldCharType="end"/>
      </w:r>
      <w:r w:rsidRPr="00492DEC">
        <w:t>.  </w:t>
      </w:r>
      <w:bookmarkStart w:name="_Hlk90226375" w:id="27"/>
      <w:r w:rsidRPr="00492DEC">
        <w:t>The Government argued that the contents of the documents that the applicants had signed while in police custody showed that they had waived their right to a lawyer after being duly informed of their fundamental rights.</w:t>
      </w:r>
      <w:bookmarkEnd w:id="27"/>
      <w:r w:rsidRPr="00492DEC">
        <w:t xml:space="preserve"> More importantly, the applicants </w:t>
      </w:r>
      <w:proofErr w:type="spellStart"/>
      <w:r w:rsidRPr="00492DEC">
        <w:t>Ekrem</w:t>
      </w:r>
      <w:proofErr w:type="spellEnd"/>
      <w:r w:rsidRPr="00492DEC">
        <w:t xml:space="preserve"> Can and </w:t>
      </w:r>
      <w:proofErr w:type="spellStart"/>
      <w:r w:rsidRPr="00492DEC">
        <w:t>Fikret</w:t>
      </w:r>
      <w:proofErr w:type="spellEnd"/>
      <w:r w:rsidRPr="00492DEC">
        <w:t xml:space="preserve"> </w:t>
      </w:r>
      <w:proofErr w:type="spellStart"/>
      <w:r w:rsidRPr="00492DEC">
        <w:t>Avras</w:t>
      </w:r>
      <w:proofErr w:type="spellEnd"/>
      <w:r w:rsidRPr="00492DEC">
        <w:t xml:space="preserve"> had met their lawyers while in police custody – on 19 November 2003 (both applicants) and on 21 November 2003 (the latter). The validity of the documents signed by the applicants was further supported by the fact that a lawyer had been appointed to represent the applicant Mehmet </w:t>
      </w:r>
      <w:proofErr w:type="spellStart"/>
      <w:r w:rsidRPr="00492DEC">
        <w:t>Şahin</w:t>
      </w:r>
      <w:proofErr w:type="spellEnd"/>
      <w:r w:rsidRPr="00492DEC">
        <w:t xml:space="preserve"> at his own request; that lawyer had, moreover, been present at his interview.</w:t>
      </w:r>
      <w:r w:rsidRPr="00492DEC">
        <w:rPr>
          <w:lang w:val="tr-TR"/>
        </w:rPr>
        <w:t xml:space="preserve"> </w:t>
      </w:r>
      <w:r w:rsidRPr="00492DEC">
        <w:t>Lastly</w:t>
      </w:r>
      <w:r w:rsidRPr="00492DEC">
        <w:rPr>
          <w:lang w:val="tr-TR"/>
        </w:rPr>
        <w:t>, t</w:t>
      </w:r>
      <w:r w:rsidRPr="00492DEC">
        <w:t>he applicants</w:t>
      </w:r>
      <w:r w:rsidRPr="00492DEC" w:rsidR="00492DEC">
        <w:t>’</w:t>
      </w:r>
      <w:r w:rsidRPr="00492DEC">
        <w:t xml:space="preserve"> convictions had not been solely based on the statements that they had made in the absence of a lawyer. Accordingly, the Government invited the Court to declare the applicants</w:t>
      </w:r>
      <w:r w:rsidRPr="00492DEC" w:rsidR="00492DEC">
        <w:t>’</w:t>
      </w:r>
      <w:r w:rsidRPr="00492DEC">
        <w:t xml:space="preserve"> complaints under Article 6 §§ 1 and 3 (c) of the Convention inadmissible as being manifestly ill-founded.</w:t>
      </w:r>
    </w:p>
    <w:p w:rsidRPr="00492DEC" w:rsidR="008D3977" w:rsidP="00492DEC" w:rsidRDefault="008D3977" w14:paraId="1DFEA10A" w14:textId="2256D5B7">
      <w:pPr>
        <w:pStyle w:val="JuH1"/>
      </w:pPr>
      <w:r w:rsidRPr="00492DEC">
        <w:t>The Court</w:t>
      </w:r>
      <w:r w:rsidRPr="00492DEC" w:rsidR="00492DEC">
        <w:t>’</w:t>
      </w:r>
      <w:r w:rsidRPr="00492DEC">
        <w:t>s assessment</w:t>
      </w:r>
    </w:p>
    <w:p w:rsidRPr="00492DEC" w:rsidR="008D3977" w:rsidP="00492DEC" w:rsidRDefault="008D3977" w14:paraId="4C74C816" w14:textId="77777777">
      <w:pPr>
        <w:pStyle w:val="JuHa0"/>
      </w:pPr>
      <w:r w:rsidRPr="00492DEC">
        <w:t>General principles</w:t>
      </w:r>
    </w:p>
    <w:bookmarkStart w:name="GeneralPrinciples" w:id="28"/>
    <w:p w:rsidRPr="00492DEC" w:rsidR="008D3977" w:rsidP="00492DEC" w:rsidRDefault="008D3977" w14:paraId="372CCA76" w14:textId="4C8280C1">
      <w:pPr>
        <w:pStyle w:val="JuPara"/>
      </w:pPr>
      <w:r w:rsidRPr="00492DEC">
        <w:fldChar w:fldCharType="begin"/>
      </w:r>
      <w:r w:rsidRPr="00492DEC">
        <w:instrText xml:space="preserve"> SEQ level0 \*arabic </w:instrText>
      </w:r>
      <w:r w:rsidRPr="00492DEC">
        <w:fldChar w:fldCharType="separate"/>
      </w:r>
      <w:r w:rsidRPr="00492DEC" w:rsidR="00492DEC">
        <w:rPr>
          <w:noProof/>
        </w:rPr>
        <w:t>51</w:t>
      </w:r>
      <w:r w:rsidRPr="00492DEC">
        <w:fldChar w:fldCharType="end"/>
      </w:r>
      <w:bookmarkEnd w:id="28"/>
      <w:r w:rsidRPr="00492DEC">
        <w:t xml:space="preserve">.  The general principles regarding access to a lawyer, the right to remain silent, the privilege against self-incrimination, waiver of the right to legal assistance and the relationship of those rights to the overall fairness of proceedings under the criminal limb of Article 6 of the Convention can be found in the judgment in the case of </w:t>
      </w:r>
      <w:proofErr w:type="spellStart"/>
      <w:r w:rsidRPr="00492DEC">
        <w:rPr>
          <w:i/>
        </w:rPr>
        <w:t>Simeonovi</w:t>
      </w:r>
      <w:proofErr w:type="spellEnd"/>
      <w:r w:rsidRPr="00492DEC">
        <w:rPr>
          <w:i/>
        </w:rPr>
        <w:t xml:space="preserve"> v. Bulgaria</w:t>
      </w:r>
      <w:r w:rsidRPr="00492DEC">
        <w:t xml:space="preserve"> ([GC], no. 21980/04, §§ 112-120, 12 May 2017). The Court reiterates that it examines complaints concerning the restriction of access to a lawyer in the light of a three-pronged test which consists of the following steps: (</w:t>
      </w:r>
      <w:proofErr w:type="spellStart"/>
      <w:r w:rsidRPr="00492DEC">
        <w:t>i</w:t>
      </w:r>
      <w:proofErr w:type="spellEnd"/>
      <w:r w:rsidRPr="00492DEC">
        <w:t>) whether the applicant waived his right to legal assistance in an unequivocal manner and whether the waiver was attended by minimum safeguards commensurate with its importance; (ii)</w:t>
      </w:r>
      <w:r w:rsidRPr="00492DEC" w:rsidR="00957767">
        <w:t> </w:t>
      </w:r>
      <w:r w:rsidRPr="00492DEC">
        <w:t> whether there were “compelling reasons” to restrict access to a lawyer; and (iii) </w:t>
      </w:r>
      <w:r w:rsidRPr="00492DEC" w:rsidR="00957767">
        <w:t> </w:t>
      </w:r>
      <w:r w:rsidRPr="00492DEC">
        <w:t>whether, despite the temporary absence of a lawyer, the overall fairness of the proceedings was ensured.</w:t>
      </w:r>
    </w:p>
    <w:p w:rsidRPr="00492DEC" w:rsidR="008D3977" w:rsidP="00492DEC" w:rsidRDefault="008D3977" w14:paraId="4C5FDBDF" w14:textId="77777777">
      <w:pPr>
        <w:pStyle w:val="JuHa0"/>
      </w:pPr>
      <w:r w:rsidRPr="00492DEC">
        <w:t>Application of the principles to the instant case</w:t>
      </w:r>
    </w:p>
    <w:p w:rsidRPr="00492DEC" w:rsidR="008D3977" w:rsidP="00492DEC" w:rsidRDefault="00AC04F4" w14:paraId="1482CD09" w14:textId="51D4E2BB">
      <w:pPr>
        <w:pStyle w:val="JuPara"/>
        <w:rPr>
          <w:lang w:val="en-US"/>
        </w:rPr>
      </w:pPr>
      <w:fldSimple w:instr=" SEQ level0 \*arabic \* MERGEFORMAT ">
        <w:r w:rsidRPr="00492DEC" w:rsidR="00492DEC">
          <w:rPr>
            <w:noProof/>
          </w:rPr>
          <w:t>52</w:t>
        </w:r>
      </w:fldSimple>
      <w:r w:rsidRPr="00492DEC" w:rsidR="008D3977">
        <w:t>.  </w:t>
      </w:r>
      <w:bookmarkStart w:name="_Hlk85552331" w:id="29"/>
      <w:r w:rsidRPr="00492DEC" w:rsidR="008D3977">
        <w:t xml:space="preserve">In view of the differences in the facts of their respective cases, the Court deems it appropriate to divide the applicants into two groups for the purposes of its examination under </w:t>
      </w:r>
      <w:r w:rsidRPr="00492DEC" w:rsidR="008D3977">
        <w:rPr>
          <w:lang w:val="en-US"/>
        </w:rPr>
        <w:t>Article 6 §§ 1 and 3 (c) of the Convention.</w:t>
      </w:r>
      <w:bookmarkEnd w:id="29"/>
    </w:p>
    <w:p w:rsidRPr="00492DEC" w:rsidR="008D3977" w:rsidP="00492DEC" w:rsidRDefault="008D3977" w14:paraId="79008FA2" w14:textId="43A9E796">
      <w:pPr>
        <w:pStyle w:val="JuHi"/>
      </w:pPr>
      <w:r w:rsidRPr="00492DEC">
        <w:t xml:space="preserve">In respect of the applicants </w:t>
      </w:r>
      <w:proofErr w:type="spellStart"/>
      <w:r w:rsidRPr="00492DEC">
        <w:t>Ekrem</w:t>
      </w:r>
      <w:proofErr w:type="spellEnd"/>
      <w:r w:rsidRPr="00492DEC">
        <w:t xml:space="preserve"> Can, </w:t>
      </w:r>
      <w:bookmarkStart w:name="_Hlk92893071" w:id="30"/>
      <w:r w:rsidRPr="00492DEC">
        <w:t xml:space="preserve">Mahmut Cengiz </w:t>
      </w:r>
      <w:bookmarkEnd w:id="30"/>
      <w:r w:rsidRPr="00492DEC">
        <w:t xml:space="preserve">and </w:t>
      </w:r>
      <w:proofErr w:type="spellStart"/>
      <w:r w:rsidRPr="00492DEC">
        <w:t>Fikret</w:t>
      </w:r>
      <w:proofErr w:type="spellEnd"/>
      <w:r w:rsidRPr="00492DEC">
        <w:t xml:space="preserve"> </w:t>
      </w:r>
      <w:proofErr w:type="spellStart"/>
      <w:r w:rsidRPr="00492DEC">
        <w:t>Avras</w:t>
      </w:r>
      <w:proofErr w:type="spellEnd"/>
    </w:p>
    <w:p w:rsidRPr="00492DEC" w:rsidR="008D3977" w:rsidP="00492DEC" w:rsidRDefault="008D3977" w14:paraId="259330FD" w14:textId="77777777">
      <w:pPr>
        <w:pStyle w:val="JuHalpha"/>
      </w:pPr>
      <w:r w:rsidRPr="00492DEC">
        <w:t>Whether the applicants waived their right to legal assistance</w:t>
      </w:r>
    </w:p>
    <w:bookmarkStart w:name="Waiver1" w:id="31"/>
    <w:p w:rsidRPr="00492DEC" w:rsidR="008D3977" w:rsidP="00492DEC" w:rsidRDefault="008D3977" w14:paraId="1ACB2C8F" w14:textId="43ACD395">
      <w:pPr>
        <w:pStyle w:val="JuPara"/>
      </w:pPr>
      <w:r w:rsidRPr="00492DEC">
        <w:fldChar w:fldCharType="begin"/>
      </w:r>
      <w:r w:rsidRPr="00492DEC">
        <w:instrText xml:space="preserve"> SEQ level0 \*arabic \* MERGEFORMAT </w:instrText>
      </w:r>
      <w:r w:rsidRPr="00492DEC">
        <w:fldChar w:fldCharType="separate"/>
      </w:r>
      <w:r w:rsidRPr="00492DEC" w:rsidR="00492DEC">
        <w:rPr>
          <w:noProof/>
        </w:rPr>
        <w:t>53</w:t>
      </w:r>
      <w:r w:rsidRPr="00492DEC">
        <w:fldChar w:fldCharType="end"/>
      </w:r>
      <w:bookmarkEnd w:id="31"/>
      <w:r w:rsidRPr="00492DEC">
        <w:t xml:space="preserve">.  The Court is called upon to examine whether the applicants validly waived their right of access to a lawyer </w:t>
      </w:r>
      <w:bookmarkStart w:name="_Hlk92893638" w:id="32"/>
      <w:r w:rsidRPr="00492DEC">
        <w:t xml:space="preserve">during their police interviews and the reconstruction of events that took place during the time they spent in police custody </w:t>
      </w:r>
      <w:bookmarkEnd w:id="32"/>
      <w:r w:rsidRPr="00492DEC">
        <w:t xml:space="preserve">from 18 until 21 November 2003, as it is not disputed between the parties that the applicants were represented by a lawyer when giving statements to the public prosecutor and to the judge of the Istanbul State Security Court on 22 November 2003. Referring to the documents that the applicants had signed while in police custody, the Government asserted that they had validly waived their right to a lawyer. </w:t>
      </w:r>
      <w:r w:rsidRPr="00492DEC">
        <w:rPr>
          <w:lang w:bidi="en-US"/>
        </w:rPr>
        <w:t xml:space="preserve">The Government further argued that </w:t>
      </w:r>
      <w:r w:rsidRPr="00492DEC">
        <w:rPr>
          <w:iCs/>
        </w:rPr>
        <w:t xml:space="preserve">the fact that the applicants </w:t>
      </w:r>
      <w:proofErr w:type="spellStart"/>
      <w:r w:rsidRPr="00492DEC">
        <w:t>Ekrem</w:t>
      </w:r>
      <w:proofErr w:type="spellEnd"/>
      <w:r w:rsidRPr="00492DEC">
        <w:t xml:space="preserve"> Can and </w:t>
      </w:r>
      <w:proofErr w:type="spellStart"/>
      <w:r w:rsidRPr="00492DEC">
        <w:t>Fikret</w:t>
      </w:r>
      <w:proofErr w:type="spellEnd"/>
      <w:r w:rsidRPr="00492DEC">
        <w:t xml:space="preserve"> </w:t>
      </w:r>
      <w:proofErr w:type="spellStart"/>
      <w:r w:rsidRPr="00492DEC">
        <w:t>Avras</w:t>
      </w:r>
      <w:proofErr w:type="spellEnd"/>
      <w:r w:rsidRPr="00492DEC">
        <w:t xml:space="preserve"> had met their lawyers during the time that they had been in police custody constituted proof that the waivers had been genuine.</w:t>
      </w:r>
    </w:p>
    <w:p w:rsidRPr="00492DEC" w:rsidR="008D3977" w:rsidP="00492DEC" w:rsidRDefault="00AC04F4" w14:paraId="7F792AD5" w14:textId="4B290171">
      <w:pPr>
        <w:pStyle w:val="JuPara"/>
      </w:pPr>
      <w:fldSimple w:instr=" SEQ level0 \*arabic \* MERGEFORMAT ">
        <w:r w:rsidRPr="00492DEC" w:rsidR="00492DEC">
          <w:rPr>
            <w:noProof/>
          </w:rPr>
          <w:t>54</w:t>
        </w:r>
      </w:fldSimple>
      <w:r w:rsidRPr="00492DEC" w:rsidR="008D3977">
        <w:t>.  The Court has already found in cases against Turkey that the validity of a waiver of the right to legal assistance during police custody cannot be shown by mere reference to the documents that an applicant signed while in police custody where that applicant (</w:t>
      </w:r>
      <w:proofErr w:type="spellStart"/>
      <w:r w:rsidRPr="00492DEC" w:rsidR="008D3977">
        <w:t>i</w:t>
      </w:r>
      <w:proofErr w:type="spellEnd"/>
      <w:r w:rsidRPr="00492DEC" w:rsidR="008D3977">
        <w:t>)</w:t>
      </w:r>
      <w:r w:rsidRPr="00492DEC" w:rsidR="001C6BDC">
        <w:t> </w:t>
      </w:r>
      <w:r w:rsidRPr="00492DEC" w:rsidR="002D5CB4">
        <w:t> </w:t>
      </w:r>
      <w:r w:rsidRPr="00492DEC" w:rsidR="008D3977">
        <w:t>after being granted access to a lawyer neither admitted his or her guilt nor maintained statements that he or she had made to the police before being granted access to that lawyer, and (ii) </w:t>
      </w:r>
      <w:r w:rsidRPr="00492DEC" w:rsidR="002D5CB4">
        <w:t> </w:t>
      </w:r>
      <w:r w:rsidRPr="00492DEC" w:rsidR="008D3977">
        <w:t xml:space="preserve">consistently repudiated the self-incriminatory police statements throughout the ensuing proceedings, in which he or she was represented by a lawyer (see </w:t>
      </w:r>
      <w:proofErr w:type="spellStart"/>
      <w:r w:rsidRPr="00492DEC" w:rsidR="008D3977">
        <w:rPr>
          <w:i/>
        </w:rPr>
        <w:t>Akdağ</w:t>
      </w:r>
      <w:proofErr w:type="spellEnd"/>
      <w:r w:rsidRPr="00492DEC" w:rsidR="008D3977">
        <w:rPr>
          <w:i/>
        </w:rPr>
        <w:t xml:space="preserve"> v.</w:t>
      </w:r>
      <w:r w:rsidRPr="00492DEC" w:rsidR="002D5CB4">
        <w:rPr>
          <w:i/>
        </w:rPr>
        <w:t xml:space="preserve"> </w:t>
      </w:r>
      <w:r w:rsidRPr="00492DEC" w:rsidR="008D3977">
        <w:rPr>
          <w:i/>
        </w:rPr>
        <w:t>Turkey</w:t>
      </w:r>
      <w:r w:rsidRPr="00492DEC" w:rsidR="008D3977">
        <w:t>, no. 75460/10, §§ 48-61, 17 September 2019</w:t>
      </w:r>
      <w:r w:rsidRPr="00492DEC" w:rsidR="005D23C7">
        <w:t>,</w:t>
      </w:r>
      <w:r w:rsidRPr="00492DEC" w:rsidR="008D3977">
        <w:t xml:space="preserve"> and </w:t>
      </w:r>
      <w:proofErr w:type="spellStart"/>
      <w:r w:rsidRPr="00492DEC" w:rsidR="008D3977">
        <w:rPr>
          <w:i/>
        </w:rPr>
        <w:t>Ruşen</w:t>
      </w:r>
      <w:proofErr w:type="spellEnd"/>
      <w:r w:rsidRPr="00492DEC" w:rsidR="008D3977">
        <w:rPr>
          <w:i/>
        </w:rPr>
        <w:t xml:space="preserve"> Bayar v.</w:t>
      </w:r>
      <w:r w:rsidRPr="00492DEC" w:rsidR="002D5CB4">
        <w:rPr>
          <w:i/>
        </w:rPr>
        <w:t xml:space="preserve"> </w:t>
      </w:r>
      <w:r w:rsidRPr="00492DEC" w:rsidR="008D3977">
        <w:rPr>
          <w:i/>
        </w:rPr>
        <w:t>Turkey</w:t>
      </w:r>
      <w:r w:rsidRPr="00492DEC" w:rsidR="008D3977">
        <w:t xml:space="preserve">, no. 25253/08, §§ 113-123, 19 February 2019 with further references). The Court has also had regard to any indications that an applicant told the domestic courts that he had made a request for legal assistance (contrast </w:t>
      </w:r>
      <w:proofErr w:type="spellStart"/>
      <w:r w:rsidRPr="00492DEC" w:rsidR="008D3977">
        <w:rPr>
          <w:i/>
          <w:iCs/>
        </w:rPr>
        <w:t>Kaytan</w:t>
      </w:r>
      <w:proofErr w:type="spellEnd"/>
      <w:r w:rsidRPr="00492DEC" w:rsidR="008D3977">
        <w:rPr>
          <w:i/>
          <w:iCs/>
        </w:rPr>
        <w:t xml:space="preserve"> v. Turkey</w:t>
      </w:r>
      <w:r w:rsidRPr="00492DEC" w:rsidR="008D3977">
        <w:t xml:space="preserve">, no. 27422/05, § 31, 15 September 2015, and </w:t>
      </w:r>
      <w:proofErr w:type="spellStart"/>
      <w:r w:rsidRPr="00492DEC" w:rsidR="008D3977">
        <w:rPr>
          <w:i/>
          <w:iCs/>
        </w:rPr>
        <w:t>Gür</w:t>
      </w:r>
      <w:proofErr w:type="spellEnd"/>
      <w:r w:rsidRPr="00492DEC" w:rsidR="008D3977">
        <w:rPr>
          <w:i/>
          <w:iCs/>
        </w:rPr>
        <w:t xml:space="preserve"> v.</w:t>
      </w:r>
      <w:r w:rsidRPr="00492DEC" w:rsidR="002D5CB4">
        <w:rPr>
          <w:i/>
          <w:iCs/>
        </w:rPr>
        <w:t xml:space="preserve"> </w:t>
      </w:r>
      <w:r w:rsidRPr="00492DEC" w:rsidR="008D3977">
        <w:rPr>
          <w:i/>
          <w:iCs/>
        </w:rPr>
        <w:t>Turkey</w:t>
      </w:r>
      <w:r w:rsidRPr="00492DEC" w:rsidR="008D3977">
        <w:t xml:space="preserve"> (dec.), no. 39182/08, 14 January 2014).</w:t>
      </w:r>
    </w:p>
    <w:p w:rsidRPr="00492DEC" w:rsidR="008D3977" w:rsidP="00492DEC" w:rsidRDefault="00AC04F4" w14:paraId="666D391E" w14:textId="5CDD02BF">
      <w:pPr>
        <w:pStyle w:val="JuPara"/>
        <w:rPr>
          <w:iCs/>
        </w:rPr>
      </w:pPr>
      <w:fldSimple w:instr=" SEQ level0 \*arabic \* MERGEFORMAT ">
        <w:r w:rsidRPr="00492DEC" w:rsidR="00492DEC">
          <w:rPr>
            <w:noProof/>
          </w:rPr>
          <w:t>55</w:t>
        </w:r>
      </w:fldSimple>
      <w:r w:rsidRPr="00492DEC" w:rsidR="008D3977">
        <w:t>.  As regards the first limb of the Government</w:t>
      </w:r>
      <w:r w:rsidRPr="00492DEC" w:rsidR="00492DEC">
        <w:t>’</w:t>
      </w:r>
      <w:r w:rsidRPr="00492DEC" w:rsidR="008D3977">
        <w:t>s argument, the Court reiterates that it has already examined an identical argument i</w:t>
      </w:r>
      <w:r w:rsidRPr="00492DEC" w:rsidR="008D3977">
        <w:rPr>
          <w:lang w:bidi="en-US"/>
        </w:rPr>
        <w:t xml:space="preserve">n </w:t>
      </w:r>
      <w:proofErr w:type="spellStart"/>
      <w:r w:rsidRPr="00492DEC" w:rsidR="008D3977">
        <w:rPr>
          <w:i/>
        </w:rPr>
        <w:t>Ruşen</w:t>
      </w:r>
      <w:proofErr w:type="spellEnd"/>
      <w:r w:rsidRPr="00492DEC" w:rsidR="008D3977">
        <w:rPr>
          <w:i/>
        </w:rPr>
        <w:t xml:space="preserve"> Bayar </w:t>
      </w:r>
      <w:r w:rsidRPr="00492DEC" w:rsidR="008D3977">
        <w:rPr>
          <w:iCs/>
        </w:rPr>
        <w:t xml:space="preserve">(cited above, §§ 115-123) and dismissed it. </w:t>
      </w:r>
      <w:bookmarkStart w:name="_Hlk89962926" w:id="33"/>
      <w:r w:rsidRPr="00492DEC" w:rsidR="008D3977">
        <w:rPr>
          <w:iCs/>
        </w:rPr>
        <w:t>As the Government did not put forward any reason capable of requiring it to depart from the conclusion reached therein, the Court rejects the first limb of the Government</w:t>
      </w:r>
      <w:r w:rsidRPr="00492DEC" w:rsidR="00492DEC">
        <w:rPr>
          <w:iCs/>
        </w:rPr>
        <w:t>’</w:t>
      </w:r>
      <w:r w:rsidRPr="00492DEC" w:rsidR="008D3977">
        <w:rPr>
          <w:iCs/>
        </w:rPr>
        <w:t>s argument.</w:t>
      </w:r>
    </w:p>
    <w:bookmarkEnd w:id="33"/>
    <w:p w:rsidRPr="00492DEC" w:rsidR="008D3977" w:rsidP="00492DEC" w:rsidRDefault="008D3977" w14:paraId="07352AF7" w14:textId="462E0BAE">
      <w:pPr>
        <w:pStyle w:val="JuPara"/>
      </w:pPr>
      <w:r w:rsidRPr="00492DEC">
        <w:rPr>
          <w:iCs/>
        </w:rPr>
        <w:fldChar w:fldCharType="begin"/>
      </w:r>
      <w:r w:rsidRPr="00492DEC">
        <w:rPr>
          <w:iCs/>
        </w:rPr>
        <w:instrText xml:space="preserve"> SEQ level0 \*arabic \* MERGEFORMAT </w:instrText>
      </w:r>
      <w:r w:rsidRPr="00492DEC">
        <w:rPr>
          <w:iCs/>
        </w:rPr>
        <w:fldChar w:fldCharType="separate"/>
      </w:r>
      <w:r w:rsidRPr="00492DEC" w:rsidR="00492DEC">
        <w:rPr>
          <w:iCs/>
          <w:noProof/>
        </w:rPr>
        <w:t>56</w:t>
      </w:r>
      <w:r w:rsidRPr="00492DEC">
        <w:rPr>
          <w:iCs/>
        </w:rPr>
        <w:fldChar w:fldCharType="end"/>
      </w:r>
      <w:r w:rsidRPr="00492DEC">
        <w:rPr>
          <w:iCs/>
        </w:rPr>
        <w:t xml:space="preserve">.  As regards the second limb of the </w:t>
      </w:r>
      <w:r w:rsidRPr="00492DEC">
        <w:t>Government</w:t>
      </w:r>
      <w:r w:rsidRPr="00492DEC" w:rsidR="00492DEC">
        <w:t>’</w:t>
      </w:r>
      <w:r w:rsidRPr="00492DEC">
        <w:t>s argument, the Court notes that the case file contains two records drawn up in handwriting (</w:t>
      </w:r>
      <w:proofErr w:type="spellStart"/>
      <w:r w:rsidRPr="00492DEC">
        <w:rPr>
          <w:i/>
        </w:rPr>
        <w:t>Tutanak</w:t>
      </w:r>
      <w:proofErr w:type="spellEnd"/>
      <w:r w:rsidRPr="00492DEC">
        <w:t xml:space="preserve">) by the lawyer of the applicant </w:t>
      </w:r>
      <w:proofErr w:type="spellStart"/>
      <w:r w:rsidRPr="00492DEC">
        <w:t>Ekrem</w:t>
      </w:r>
      <w:proofErr w:type="spellEnd"/>
      <w:r w:rsidRPr="00492DEC">
        <w:t xml:space="preserve"> Can on 19 and 20 November 2003, which were signed by that applicant, his </w:t>
      </w:r>
      <w:proofErr w:type="gramStart"/>
      <w:r w:rsidRPr="00492DEC">
        <w:t>lawyer</w:t>
      </w:r>
      <w:proofErr w:type="gramEnd"/>
      <w:r w:rsidRPr="00492DEC">
        <w:t xml:space="preserve"> and another lawyer (see paragraphs</w:t>
      </w:r>
      <w:r w:rsidRPr="00492DEC" w:rsidR="004C14F9">
        <w:t xml:space="preserve"> 16</w:t>
      </w:r>
      <w:r w:rsidRPr="00492DEC">
        <w:t xml:space="preserve"> and</w:t>
      </w:r>
      <w:r w:rsidRPr="00492DEC" w:rsidR="004C14F9">
        <w:t xml:space="preserve"> 17</w:t>
      </w:r>
      <w:r w:rsidRPr="00492DEC">
        <w:t xml:space="preserve">). Those records attested that the applicant </w:t>
      </w:r>
      <w:proofErr w:type="spellStart"/>
      <w:r w:rsidRPr="00492DEC">
        <w:t>Ekrem</w:t>
      </w:r>
      <w:proofErr w:type="spellEnd"/>
      <w:r w:rsidRPr="00492DEC">
        <w:t xml:space="preserve"> Can had told his lawyer that he would neither make statements to the police, nor take part in any other investigative acts. The second record stated that </w:t>
      </w:r>
      <w:proofErr w:type="spellStart"/>
      <w:r w:rsidRPr="00492DEC">
        <w:t>Ekrem</w:t>
      </w:r>
      <w:proofErr w:type="spellEnd"/>
      <w:r w:rsidRPr="00492DEC">
        <w:t xml:space="preserve"> Can</w:t>
      </w:r>
      <w:r w:rsidRPr="00492DEC" w:rsidR="00492DEC">
        <w:t>’</w:t>
      </w:r>
      <w:r w:rsidRPr="00492DEC">
        <w:t xml:space="preserve">s lawyer had been prevented from meeting his client and that the recording of the incident had been deemed necessary </w:t>
      </w:r>
      <w:r w:rsidRPr="00492DEC">
        <w:rPr>
          <w:iCs/>
        </w:rPr>
        <w:t xml:space="preserve">(see </w:t>
      </w:r>
      <w:proofErr w:type="spellStart"/>
      <w:r w:rsidRPr="00492DEC">
        <w:rPr>
          <w:i/>
        </w:rPr>
        <w:t>Öcalan</w:t>
      </w:r>
      <w:proofErr w:type="spellEnd"/>
      <w:r w:rsidRPr="00492DEC">
        <w:rPr>
          <w:i/>
        </w:rPr>
        <w:t xml:space="preserve"> v. Turkey</w:t>
      </w:r>
      <w:r w:rsidRPr="00492DEC">
        <w:t xml:space="preserve"> [GC], no. 46221/99, § 131, ECHR 2005</w:t>
      </w:r>
      <w:r w:rsidRPr="00492DEC">
        <w:noBreakHyphen/>
        <w:t>IV). In the Court</w:t>
      </w:r>
      <w:r w:rsidRPr="00492DEC" w:rsidR="00492DEC">
        <w:t>’</w:t>
      </w:r>
      <w:r w:rsidRPr="00492DEC">
        <w:t>s view, those records seriously undermine the Government</w:t>
      </w:r>
      <w:r w:rsidRPr="00492DEC" w:rsidR="00492DEC">
        <w:t>’</w:t>
      </w:r>
      <w:r w:rsidRPr="00492DEC">
        <w:t>s contention that the applicants</w:t>
      </w:r>
      <w:r w:rsidRPr="00492DEC" w:rsidR="00492DEC">
        <w:t>’</w:t>
      </w:r>
      <w:r w:rsidRPr="00492DEC">
        <w:t xml:space="preserve"> waivers were genuine.</w:t>
      </w:r>
    </w:p>
    <w:p w:rsidRPr="00492DEC" w:rsidR="008D3977" w:rsidP="00492DEC" w:rsidRDefault="00AC04F4" w14:paraId="1DBDEAE6" w14:textId="4A0CE05A">
      <w:pPr>
        <w:pStyle w:val="JuPara"/>
      </w:pPr>
      <w:fldSimple w:instr=" SEQ level0 \*arabic \* MERGEFORMAT ">
        <w:r w:rsidRPr="00492DEC" w:rsidR="00492DEC">
          <w:rPr>
            <w:noProof/>
          </w:rPr>
          <w:t>57</w:t>
        </w:r>
      </w:fldSimple>
      <w:r w:rsidRPr="00492DEC" w:rsidR="008D3977">
        <w:t xml:space="preserve">.  Furthermore, </w:t>
      </w:r>
      <w:r w:rsidRPr="00492DEC" w:rsidR="008D3977">
        <w:rPr>
          <w:iCs/>
        </w:rPr>
        <w:t xml:space="preserve">the </w:t>
      </w:r>
      <w:r w:rsidRPr="00492DEC" w:rsidR="008D3977">
        <w:t xml:space="preserve">applicants retracted the statements that they had made to the police as soon as they were brought before the public prosecutor on 22 November 2003, submitting that they had not been involved in any acts of violence (including the incidents involving Molotov cocktails referred to above), and the applicants Mahmut Cengiz and </w:t>
      </w:r>
      <w:proofErr w:type="spellStart"/>
      <w:r w:rsidRPr="00492DEC" w:rsidR="008D3977">
        <w:t>Fikret</w:t>
      </w:r>
      <w:proofErr w:type="spellEnd"/>
      <w:r w:rsidRPr="00492DEC" w:rsidR="008D3977">
        <w:t xml:space="preserve"> </w:t>
      </w:r>
      <w:proofErr w:type="spellStart"/>
      <w:r w:rsidRPr="00492DEC" w:rsidR="008D3977">
        <w:t>Avras</w:t>
      </w:r>
      <w:proofErr w:type="spellEnd"/>
      <w:r w:rsidRPr="00492DEC" w:rsidR="008D3977">
        <w:t xml:space="preserve"> specifically denied having taken part, while they had been in police custody, in any reconstruction of events. The applicants also told the public prosecutor and the trial court that they had indeed asked, while they had been in police custody, for a lawyer (see paragraphs</w:t>
      </w:r>
      <w:r w:rsidRPr="00492DEC" w:rsidR="009C1D32">
        <w:t xml:space="preserve"> 19</w:t>
      </w:r>
      <w:r w:rsidRPr="00492DEC" w:rsidR="008D3977">
        <w:t xml:space="preserve"> and</w:t>
      </w:r>
      <w:r w:rsidRPr="00492DEC" w:rsidR="009C1D32">
        <w:t xml:space="preserve"> 23</w:t>
      </w:r>
      <w:r w:rsidRPr="00492DEC" w:rsidR="008D3977">
        <w:t>).</w:t>
      </w:r>
    </w:p>
    <w:p w:rsidRPr="00492DEC" w:rsidR="008D3977" w:rsidP="00492DEC" w:rsidRDefault="00AC04F4" w14:paraId="657A1410" w14:textId="38FE7C93">
      <w:pPr>
        <w:pStyle w:val="JuPara"/>
      </w:pPr>
      <w:fldSimple w:instr=" SEQ level0 \*arabic \* MERGEFORMAT ">
        <w:r w:rsidRPr="00492DEC" w:rsidR="00492DEC">
          <w:rPr>
            <w:noProof/>
          </w:rPr>
          <w:t>58</w:t>
        </w:r>
      </w:fldSimple>
      <w:r w:rsidRPr="00492DEC" w:rsidR="008D3977">
        <w:t>.  As regards the Government</w:t>
      </w:r>
      <w:r w:rsidRPr="00492DEC" w:rsidR="00492DEC">
        <w:t>’</w:t>
      </w:r>
      <w:r w:rsidRPr="00492DEC" w:rsidR="008D3977">
        <w:t xml:space="preserve">s argument that the applicant Mehmet </w:t>
      </w:r>
      <w:proofErr w:type="spellStart"/>
      <w:r w:rsidRPr="00492DEC" w:rsidR="008D3977">
        <w:t>Şahin</w:t>
      </w:r>
      <w:proofErr w:type="spellEnd"/>
      <w:r w:rsidRPr="00492DEC" w:rsidR="008D3977">
        <w:t xml:space="preserve"> had in fact been able to exercise his right to a lawyer and that the applicant </w:t>
      </w:r>
      <w:proofErr w:type="spellStart"/>
      <w:r w:rsidRPr="00492DEC" w:rsidR="008D3977">
        <w:t>Kerim</w:t>
      </w:r>
      <w:proofErr w:type="spellEnd"/>
      <w:r w:rsidRPr="00492DEC" w:rsidR="008D3977">
        <w:t xml:space="preserve"> </w:t>
      </w:r>
      <w:proofErr w:type="spellStart"/>
      <w:r w:rsidRPr="00492DEC" w:rsidR="008D3977">
        <w:t>Taştan</w:t>
      </w:r>
      <w:proofErr w:type="spellEnd"/>
      <w:r w:rsidRPr="00492DEC" w:rsidR="008D3977">
        <w:t xml:space="preserve"> had been able to exercise his right to remain silent, the Court notes that the police officers involved in those two applicants</w:t>
      </w:r>
      <w:r w:rsidRPr="00492DEC" w:rsidR="00492DEC">
        <w:t>’</w:t>
      </w:r>
      <w:r w:rsidRPr="00492DEC" w:rsidR="008D3977">
        <w:t xml:space="preserve"> interviews and those involved in the interviews of the applicants </w:t>
      </w:r>
      <w:proofErr w:type="spellStart"/>
      <w:r w:rsidRPr="00492DEC" w:rsidR="008D3977">
        <w:t>Ekrem</w:t>
      </w:r>
      <w:proofErr w:type="spellEnd"/>
      <w:r w:rsidRPr="00492DEC" w:rsidR="008D3977">
        <w:t xml:space="preserve"> Can, Mahmut Cengiz and </w:t>
      </w:r>
      <w:proofErr w:type="spellStart"/>
      <w:r w:rsidRPr="00492DEC" w:rsidR="008D3977">
        <w:t>Fikret</w:t>
      </w:r>
      <w:proofErr w:type="spellEnd"/>
      <w:r w:rsidRPr="00492DEC" w:rsidR="008D3977">
        <w:t xml:space="preserve"> </w:t>
      </w:r>
      <w:proofErr w:type="spellStart"/>
      <w:r w:rsidRPr="00492DEC" w:rsidR="008D3977">
        <w:t>Avras</w:t>
      </w:r>
      <w:proofErr w:type="spellEnd"/>
      <w:r w:rsidRPr="00492DEC" w:rsidR="008D3977">
        <w:t xml:space="preserve"> were entirely different (see paragraph</w:t>
      </w:r>
      <w:r w:rsidRPr="00492DEC" w:rsidR="00374F66">
        <w:t> 11</w:t>
      </w:r>
      <w:r w:rsidRPr="00492DEC" w:rsidR="008D3977">
        <w:t xml:space="preserve">). </w:t>
      </w:r>
      <w:r w:rsidRPr="00492DEC" w:rsidR="008D3977">
        <w:rPr>
          <w:iCs/>
        </w:rPr>
        <w:t>Therefore, the mere fact that other applicants could exercise their rights under Article</w:t>
      </w:r>
      <w:r w:rsidRPr="00492DEC" w:rsidR="00374F66">
        <w:rPr>
          <w:iCs/>
        </w:rPr>
        <w:t> </w:t>
      </w:r>
      <w:r w:rsidRPr="00492DEC" w:rsidR="008D3977">
        <w:rPr>
          <w:iCs/>
        </w:rPr>
        <w:t xml:space="preserve">6 does not suffice to demonstrate that the applicants </w:t>
      </w:r>
      <w:proofErr w:type="spellStart"/>
      <w:r w:rsidRPr="00492DEC" w:rsidR="008D3977">
        <w:t>Ekrem</w:t>
      </w:r>
      <w:proofErr w:type="spellEnd"/>
      <w:r w:rsidRPr="00492DEC" w:rsidR="008D3977">
        <w:t xml:space="preserve"> Can, </w:t>
      </w:r>
      <w:proofErr w:type="spellStart"/>
      <w:r w:rsidRPr="00492DEC" w:rsidR="008D3977">
        <w:t>Fikret</w:t>
      </w:r>
      <w:proofErr w:type="spellEnd"/>
      <w:r w:rsidRPr="00492DEC" w:rsidR="008D3977">
        <w:t xml:space="preserve"> </w:t>
      </w:r>
      <w:proofErr w:type="spellStart"/>
      <w:r w:rsidRPr="00492DEC" w:rsidR="008D3977">
        <w:t>Avras</w:t>
      </w:r>
      <w:proofErr w:type="spellEnd"/>
      <w:r w:rsidRPr="00492DEC" w:rsidR="008D3977">
        <w:t xml:space="preserve"> and Mahmut Cengiz were able to exercise these rights in the same way.</w:t>
      </w:r>
    </w:p>
    <w:p w:rsidRPr="00492DEC" w:rsidR="008D3977" w:rsidP="00492DEC" w:rsidRDefault="00AC04F4" w14:paraId="21FB575F" w14:textId="60183270">
      <w:pPr>
        <w:pStyle w:val="JuPara"/>
        <w:rPr>
          <w:lang w:bidi="en-US"/>
        </w:rPr>
      </w:pPr>
      <w:fldSimple w:instr=" SEQ level0 \*arabic \* MERGEFORMAT ">
        <w:r w:rsidRPr="00492DEC" w:rsidR="00492DEC">
          <w:rPr>
            <w:noProof/>
          </w:rPr>
          <w:t>59</w:t>
        </w:r>
      </w:fldSimple>
      <w:r w:rsidRPr="00492DEC" w:rsidR="008D3977">
        <w:t>.  </w:t>
      </w:r>
      <w:r w:rsidRPr="00492DEC" w:rsidR="008D3977">
        <w:rPr>
          <w:iCs/>
        </w:rPr>
        <w:t xml:space="preserve">In view of the above, the Court considers that it is unable to find that it has been established beyond any reasonable doubt that the three above-mentioned applicants </w:t>
      </w:r>
      <w:r w:rsidRPr="00492DEC" w:rsidR="008D3977">
        <w:t xml:space="preserve">unequivocally, knowingly and intelligently waived their rights under Article 6 of the Convention (see </w:t>
      </w:r>
      <w:proofErr w:type="spellStart"/>
      <w:r w:rsidRPr="00492DEC" w:rsidR="008D3977">
        <w:rPr>
          <w:rFonts w:asciiTheme="majorHAnsi" w:hAnsiTheme="majorHAnsi" w:eastAsiaTheme="majorEastAsia" w:cstheme="majorBidi"/>
          <w:i/>
        </w:rPr>
        <w:t>Ruşen</w:t>
      </w:r>
      <w:proofErr w:type="spellEnd"/>
      <w:r w:rsidRPr="00492DEC" w:rsidR="008D3977">
        <w:rPr>
          <w:rFonts w:asciiTheme="majorHAnsi" w:hAnsiTheme="majorHAnsi" w:eastAsiaTheme="majorEastAsia" w:cstheme="majorBidi"/>
          <w:i/>
        </w:rPr>
        <w:t xml:space="preserve"> Bayar</w:t>
      </w:r>
      <w:r w:rsidRPr="00492DEC" w:rsidR="008D3977">
        <w:rPr>
          <w:rFonts w:asciiTheme="majorHAnsi" w:hAnsiTheme="majorHAnsi" w:eastAsiaTheme="majorEastAsia" w:cstheme="majorBidi"/>
        </w:rPr>
        <w:t>, cited above, § 123</w:t>
      </w:r>
      <w:r w:rsidRPr="00492DEC" w:rsidR="008D3977">
        <w:t>), notably their right to a lawyer when giving statements during the police interviews and the reconstruction of events that took place while they were in police custody.</w:t>
      </w:r>
    </w:p>
    <w:p w:rsidRPr="00492DEC" w:rsidR="008D3977" w:rsidP="00492DEC" w:rsidRDefault="008D3977" w14:paraId="4253AAE8" w14:textId="77777777">
      <w:pPr>
        <w:pStyle w:val="JuHalpha"/>
      </w:pPr>
      <w:r w:rsidRPr="00492DEC">
        <w:t>Whether there were compelling reasons to restrict access to a lawyer</w:t>
      </w:r>
    </w:p>
    <w:p w:rsidRPr="00492DEC" w:rsidR="008D3977" w:rsidP="00492DEC" w:rsidRDefault="008D3977" w14:paraId="1ED0667E" w14:textId="03F6A543">
      <w:pPr>
        <w:pStyle w:val="JuPara"/>
        <w:rPr>
          <w:rFonts w:asciiTheme="majorHAnsi" w:hAnsiTheme="majorHAnsi" w:eastAsiaTheme="majorEastAsia" w:cstheme="majorBidi"/>
        </w:rPr>
      </w:pPr>
      <w:r w:rsidRPr="00492DEC">
        <w:rPr>
          <w:rFonts w:asciiTheme="majorHAnsi" w:hAnsiTheme="majorHAnsi" w:eastAsiaTheme="majorEastAsia" w:cstheme="majorBidi"/>
        </w:rPr>
        <w:fldChar w:fldCharType="begin"/>
      </w:r>
      <w:r w:rsidRPr="00492DEC">
        <w:rPr>
          <w:rFonts w:asciiTheme="majorHAnsi" w:hAnsiTheme="majorHAnsi" w:eastAsiaTheme="majorEastAsia" w:cstheme="majorBidi"/>
        </w:rPr>
        <w:instrText xml:space="preserve"> SEQ level0 \*arabic \* MERGEFORMAT </w:instrText>
      </w:r>
      <w:r w:rsidRPr="00492DEC">
        <w:rPr>
          <w:rFonts w:asciiTheme="majorHAnsi" w:hAnsiTheme="majorHAnsi" w:eastAsiaTheme="majorEastAsia" w:cstheme="majorBidi"/>
        </w:rPr>
        <w:fldChar w:fldCharType="separate"/>
      </w:r>
      <w:r w:rsidRPr="00492DEC" w:rsidR="00492DEC">
        <w:rPr>
          <w:rFonts w:asciiTheme="majorHAnsi" w:hAnsiTheme="majorHAnsi" w:eastAsiaTheme="majorEastAsia" w:cstheme="majorBidi"/>
          <w:noProof/>
        </w:rPr>
        <w:t>60</w:t>
      </w:r>
      <w:r w:rsidRPr="00492DEC">
        <w:rPr>
          <w:rFonts w:asciiTheme="majorHAnsi" w:hAnsiTheme="majorHAnsi" w:eastAsiaTheme="majorEastAsia" w:cstheme="majorBidi"/>
        </w:rPr>
        <w:fldChar w:fldCharType="end"/>
      </w:r>
      <w:r w:rsidRPr="00492DEC">
        <w:rPr>
          <w:rFonts w:asciiTheme="majorHAnsi" w:hAnsiTheme="majorHAnsi" w:eastAsiaTheme="majorEastAsia" w:cstheme="majorBidi"/>
        </w:rPr>
        <w:t>.  The Court notes that the Government have not offered any compelling reasons for restricting the applicants</w:t>
      </w:r>
      <w:r w:rsidRPr="00492DEC" w:rsidR="00492DEC">
        <w:rPr>
          <w:rFonts w:asciiTheme="majorHAnsi" w:hAnsiTheme="majorHAnsi" w:eastAsiaTheme="majorEastAsia" w:cstheme="majorBidi"/>
        </w:rPr>
        <w:t>’</w:t>
      </w:r>
      <w:r w:rsidRPr="00492DEC">
        <w:rPr>
          <w:rFonts w:asciiTheme="majorHAnsi" w:hAnsiTheme="majorHAnsi" w:eastAsiaTheme="majorEastAsia" w:cstheme="majorBidi"/>
        </w:rPr>
        <w:t xml:space="preserve"> access to a lawyer during their police interviews. Furthermore, the domestic legislation in force at the material time did not provide for any reasons for such a restriction, let alone a compelling one (see </w:t>
      </w:r>
      <w:proofErr w:type="spellStart"/>
      <w:r w:rsidRPr="00492DEC">
        <w:rPr>
          <w:rFonts w:asciiTheme="majorHAnsi" w:hAnsiTheme="majorHAnsi" w:eastAsiaTheme="majorEastAsia" w:cstheme="majorBidi"/>
          <w:i/>
        </w:rPr>
        <w:t>Ruşen</w:t>
      </w:r>
      <w:proofErr w:type="spellEnd"/>
      <w:r w:rsidRPr="00492DEC">
        <w:rPr>
          <w:rFonts w:asciiTheme="majorHAnsi" w:hAnsiTheme="majorHAnsi" w:eastAsiaTheme="majorEastAsia" w:cstheme="majorBidi"/>
          <w:i/>
        </w:rPr>
        <w:t xml:space="preserve"> Bayar</w:t>
      </w:r>
      <w:r w:rsidRPr="00492DEC">
        <w:rPr>
          <w:rFonts w:asciiTheme="majorHAnsi" w:hAnsiTheme="majorHAnsi" w:eastAsiaTheme="majorEastAsia" w:cstheme="majorBidi"/>
        </w:rPr>
        <w:t>, cited above, § 125). Accordingly, there was no compelling reason to restrict the applicants</w:t>
      </w:r>
      <w:r w:rsidRPr="00492DEC" w:rsidR="00492DEC">
        <w:rPr>
          <w:rFonts w:asciiTheme="majorHAnsi" w:hAnsiTheme="majorHAnsi" w:eastAsiaTheme="majorEastAsia" w:cstheme="majorBidi"/>
        </w:rPr>
        <w:t>’</w:t>
      </w:r>
      <w:r w:rsidRPr="00492DEC">
        <w:rPr>
          <w:rFonts w:asciiTheme="majorHAnsi" w:hAnsiTheme="majorHAnsi" w:eastAsiaTheme="majorEastAsia" w:cstheme="majorBidi"/>
        </w:rPr>
        <w:t xml:space="preserve"> access to a lawyer during their time in police custody.</w:t>
      </w:r>
    </w:p>
    <w:p w:rsidRPr="00492DEC" w:rsidR="008D3977" w:rsidP="00492DEC" w:rsidRDefault="008D3977" w14:paraId="3BF8ABF1" w14:textId="77777777">
      <w:pPr>
        <w:pStyle w:val="JuHalpha"/>
      </w:pPr>
      <w:r w:rsidRPr="00492DEC">
        <w:t>Whether the overall fairness of the proceedings was ensured</w:t>
      </w:r>
    </w:p>
    <w:p w:rsidRPr="00492DEC" w:rsidR="008D3977" w:rsidP="00492DEC" w:rsidRDefault="008D3977" w14:paraId="4DE910EB" w14:textId="6CBBACDE">
      <w:pPr>
        <w:pStyle w:val="JuPara"/>
        <w:rPr>
          <w:rFonts w:asciiTheme="majorHAnsi" w:hAnsiTheme="majorHAnsi" w:eastAsiaTheme="majorEastAsia" w:cstheme="majorBidi"/>
          <w:lang w:val="en-US"/>
        </w:rPr>
      </w:pPr>
      <w:r w:rsidRPr="00492DEC">
        <w:rPr>
          <w:rFonts w:asciiTheme="majorHAnsi" w:hAnsiTheme="majorHAnsi" w:eastAsiaTheme="majorEastAsia" w:cstheme="majorBidi"/>
          <w:lang w:val="en-US"/>
        </w:rPr>
        <w:fldChar w:fldCharType="begin"/>
      </w:r>
      <w:r w:rsidRPr="00492DEC">
        <w:rPr>
          <w:rFonts w:asciiTheme="majorHAnsi" w:hAnsiTheme="majorHAnsi" w:eastAsiaTheme="majorEastAsia" w:cstheme="majorBidi"/>
          <w:lang w:val="en-US"/>
        </w:rPr>
        <w:instrText xml:space="preserve"> SEQ level0 \*arabic \* MERGEFORMAT </w:instrText>
      </w:r>
      <w:r w:rsidRPr="00492DEC">
        <w:rPr>
          <w:rFonts w:asciiTheme="majorHAnsi" w:hAnsiTheme="majorHAnsi" w:eastAsiaTheme="majorEastAsia" w:cstheme="majorBidi"/>
          <w:lang w:val="en-US"/>
        </w:rPr>
        <w:fldChar w:fldCharType="separate"/>
      </w:r>
      <w:r w:rsidRPr="00492DEC" w:rsidR="00492DEC">
        <w:rPr>
          <w:rFonts w:asciiTheme="majorHAnsi" w:hAnsiTheme="majorHAnsi" w:eastAsiaTheme="majorEastAsia" w:cstheme="majorBidi"/>
          <w:noProof/>
          <w:lang w:val="en-US"/>
        </w:rPr>
        <w:t>61</w:t>
      </w:r>
      <w:r w:rsidRPr="00492DEC">
        <w:rPr>
          <w:rFonts w:asciiTheme="majorHAnsi" w:hAnsiTheme="majorHAnsi" w:eastAsiaTheme="majorEastAsia" w:cstheme="majorBidi"/>
          <w:lang w:val="en-US"/>
        </w:rPr>
        <w:fldChar w:fldCharType="end"/>
      </w:r>
      <w:r w:rsidRPr="00492DEC">
        <w:rPr>
          <w:rFonts w:asciiTheme="majorHAnsi" w:hAnsiTheme="majorHAnsi" w:eastAsiaTheme="majorEastAsia" w:cstheme="majorBidi"/>
          <w:lang w:val="en-US"/>
        </w:rPr>
        <w:t>.  </w:t>
      </w:r>
      <w:bookmarkStart w:name="_Hlk93062634" w:id="34"/>
      <w:r w:rsidRPr="00492DEC">
        <w:t xml:space="preserve">The lack of “compelling reasons” </w:t>
      </w:r>
      <w:r w:rsidRPr="00492DEC">
        <w:rPr>
          <w:rFonts w:asciiTheme="majorHAnsi" w:hAnsiTheme="majorHAnsi" w:eastAsiaTheme="majorEastAsia" w:cstheme="majorBidi"/>
        </w:rPr>
        <w:t>for restricting the applicants</w:t>
      </w:r>
      <w:r w:rsidRPr="00492DEC" w:rsidR="00492DEC">
        <w:rPr>
          <w:rFonts w:asciiTheme="majorHAnsi" w:hAnsiTheme="majorHAnsi" w:eastAsiaTheme="majorEastAsia" w:cstheme="majorBidi"/>
        </w:rPr>
        <w:t>’</w:t>
      </w:r>
      <w:r w:rsidRPr="00492DEC">
        <w:rPr>
          <w:rFonts w:asciiTheme="majorHAnsi" w:hAnsiTheme="majorHAnsi" w:eastAsiaTheme="majorEastAsia" w:cstheme="majorBidi"/>
        </w:rPr>
        <w:t xml:space="preserve"> access to a lawyer</w:t>
      </w:r>
      <w:r w:rsidRPr="00492DEC">
        <w:t xml:space="preserve"> in the present case requires the Court to conduct a very strict scrutiny of the fairness of the proceedings. The absence of such reasons weighs heavily in the balance when assessing the overall fairness of the criminal proceedings and may tip the balance towards finding a violation. It is incumbent on the Government to demonstrate convincingly why, exceptionally and in the specific circumstances of the case, the overall fairness of the trial was not irretrievably prejudiced by the restriction of the applicants</w:t>
      </w:r>
      <w:r w:rsidRPr="00492DEC" w:rsidR="00492DEC">
        <w:t>’</w:t>
      </w:r>
      <w:r w:rsidRPr="00492DEC">
        <w:t xml:space="preserve"> access to a lawyer</w:t>
      </w:r>
      <w:r w:rsidRPr="00492DEC" w:rsidDel="00D8790C">
        <w:t xml:space="preserve"> </w:t>
      </w:r>
      <w:r w:rsidRPr="00492DEC">
        <w:t xml:space="preserve">(see </w:t>
      </w:r>
      <w:proofErr w:type="spellStart"/>
      <w:r w:rsidRPr="00492DEC">
        <w:rPr>
          <w:i/>
          <w:iCs/>
        </w:rPr>
        <w:t>Beuze</w:t>
      </w:r>
      <w:proofErr w:type="spellEnd"/>
      <w:r w:rsidRPr="00492DEC">
        <w:rPr>
          <w:i/>
          <w:iCs/>
        </w:rPr>
        <w:t xml:space="preserve"> v. Belgium</w:t>
      </w:r>
      <w:r w:rsidRPr="00492DEC">
        <w:t xml:space="preserve"> [GC], no. 71409/10, § 145, 9 November 2018; </w:t>
      </w:r>
      <w:r w:rsidRPr="00492DEC">
        <w:rPr>
          <w:i/>
          <w:iCs/>
        </w:rPr>
        <w:t>Ibrahim and Others v. the United Kingdom</w:t>
      </w:r>
      <w:r w:rsidRPr="00492DEC" w:rsidR="005D23C7">
        <w:t xml:space="preserve">, </w:t>
      </w:r>
      <w:r w:rsidRPr="00492DEC">
        <w:t>[GC], nos. 50541/08</w:t>
      </w:r>
      <w:r w:rsidRPr="00492DEC" w:rsidR="002D5CB4">
        <w:t xml:space="preserve"> </w:t>
      </w:r>
      <w:r w:rsidRPr="00492DEC">
        <w:t>and 3 others, §</w:t>
      </w:r>
      <w:r w:rsidRPr="00492DEC" w:rsidR="002D5CB4">
        <w:t xml:space="preserve"> </w:t>
      </w:r>
      <w:r w:rsidRPr="00492DEC">
        <w:t>265,</w:t>
      </w:r>
      <w:r w:rsidRPr="00492DEC" w:rsidR="002D5CB4">
        <w:t xml:space="preserve"> </w:t>
      </w:r>
      <w:r w:rsidRPr="00492DEC">
        <w:t>13 September</w:t>
      </w:r>
      <w:r w:rsidRPr="00492DEC" w:rsidR="00B14E6A">
        <w:t xml:space="preserve"> </w:t>
      </w:r>
      <w:r w:rsidRPr="00492DEC">
        <w:t xml:space="preserve">2016; and the above-cited cases of </w:t>
      </w:r>
      <w:proofErr w:type="spellStart"/>
      <w:r w:rsidRPr="00492DEC">
        <w:rPr>
          <w:i/>
        </w:rPr>
        <w:t>Simeonovi</w:t>
      </w:r>
      <w:proofErr w:type="spellEnd"/>
      <w:r w:rsidRPr="00492DEC">
        <w:rPr>
          <w:iCs/>
        </w:rPr>
        <w:t>, §§ 118 and 132</w:t>
      </w:r>
      <w:r w:rsidRPr="00492DEC" w:rsidR="00B14E6A">
        <w:rPr>
          <w:iCs/>
        </w:rPr>
        <w:t>;</w:t>
      </w:r>
      <w:r w:rsidRPr="00492DEC">
        <w:rPr>
          <w:iCs/>
        </w:rPr>
        <w:t xml:space="preserve"> and </w:t>
      </w:r>
      <w:proofErr w:type="spellStart"/>
      <w:r w:rsidRPr="00492DEC">
        <w:rPr>
          <w:rFonts w:asciiTheme="majorHAnsi" w:hAnsiTheme="majorHAnsi" w:eastAsiaTheme="majorEastAsia" w:cstheme="majorBidi"/>
          <w:i/>
        </w:rPr>
        <w:t>Ruşen</w:t>
      </w:r>
      <w:proofErr w:type="spellEnd"/>
      <w:r w:rsidRPr="00492DEC">
        <w:rPr>
          <w:rFonts w:asciiTheme="majorHAnsi" w:hAnsiTheme="majorHAnsi" w:eastAsiaTheme="majorEastAsia" w:cstheme="majorBidi"/>
          <w:i/>
        </w:rPr>
        <w:t xml:space="preserve"> Bayar</w:t>
      </w:r>
      <w:r w:rsidRPr="00492DEC">
        <w:rPr>
          <w:rFonts w:asciiTheme="majorHAnsi" w:hAnsiTheme="majorHAnsi" w:eastAsiaTheme="majorEastAsia" w:cstheme="majorBidi"/>
        </w:rPr>
        <w:t>, §</w:t>
      </w:r>
      <w:r w:rsidRPr="00492DEC" w:rsidR="005D23C7">
        <w:rPr>
          <w:rFonts w:asciiTheme="majorHAnsi" w:hAnsiTheme="majorHAnsi" w:eastAsiaTheme="majorEastAsia" w:cstheme="majorBidi"/>
        </w:rPr>
        <w:t xml:space="preserve"> </w:t>
      </w:r>
      <w:r w:rsidRPr="00492DEC">
        <w:rPr>
          <w:rFonts w:asciiTheme="majorHAnsi" w:hAnsiTheme="majorHAnsi" w:eastAsiaTheme="majorEastAsia" w:cstheme="majorBidi"/>
        </w:rPr>
        <w:t>126).</w:t>
      </w:r>
    </w:p>
    <w:bookmarkEnd w:id="34"/>
    <w:p w:rsidRPr="00492DEC" w:rsidR="008D3977" w:rsidP="00492DEC" w:rsidRDefault="008D3977" w14:paraId="013AF572" w14:textId="3CAF30EB">
      <w:pPr>
        <w:pStyle w:val="JuPara"/>
        <w:rPr>
          <w:rFonts w:asciiTheme="majorHAnsi" w:hAnsiTheme="majorHAnsi" w:eastAsiaTheme="majorEastAsia" w:cstheme="majorBidi"/>
        </w:rPr>
      </w:pPr>
      <w:r w:rsidRPr="00492DEC">
        <w:rPr>
          <w:rFonts w:asciiTheme="majorHAnsi" w:hAnsiTheme="majorHAnsi" w:eastAsiaTheme="majorEastAsia" w:cstheme="majorBidi"/>
          <w:lang w:val="en-US"/>
        </w:rPr>
        <w:fldChar w:fldCharType="begin"/>
      </w:r>
      <w:r w:rsidRPr="00492DEC">
        <w:rPr>
          <w:rFonts w:asciiTheme="majorHAnsi" w:hAnsiTheme="majorHAnsi" w:eastAsiaTheme="majorEastAsia" w:cstheme="majorBidi"/>
          <w:lang w:val="en-US"/>
        </w:rPr>
        <w:instrText xml:space="preserve"> SEQ level0 \*arabic \* MERGEFORMAT </w:instrText>
      </w:r>
      <w:r w:rsidRPr="00492DEC">
        <w:rPr>
          <w:rFonts w:asciiTheme="majorHAnsi" w:hAnsiTheme="majorHAnsi" w:eastAsiaTheme="majorEastAsia" w:cstheme="majorBidi"/>
          <w:lang w:val="en-US"/>
        </w:rPr>
        <w:fldChar w:fldCharType="separate"/>
      </w:r>
      <w:r w:rsidRPr="00492DEC" w:rsidR="00492DEC">
        <w:rPr>
          <w:rFonts w:asciiTheme="majorHAnsi" w:hAnsiTheme="majorHAnsi" w:eastAsiaTheme="majorEastAsia" w:cstheme="majorBidi"/>
          <w:noProof/>
          <w:lang w:val="en-US"/>
        </w:rPr>
        <w:t>62</w:t>
      </w:r>
      <w:r w:rsidRPr="00492DEC">
        <w:rPr>
          <w:rFonts w:asciiTheme="majorHAnsi" w:hAnsiTheme="majorHAnsi" w:eastAsiaTheme="majorEastAsia" w:cstheme="majorBidi"/>
          <w:lang w:val="en-US"/>
        </w:rPr>
        <w:fldChar w:fldCharType="end"/>
      </w:r>
      <w:r w:rsidRPr="00492DEC">
        <w:rPr>
          <w:rFonts w:asciiTheme="majorHAnsi" w:hAnsiTheme="majorHAnsi" w:eastAsiaTheme="majorEastAsia" w:cstheme="majorBidi"/>
          <w:lang w:val="en-US"/>
        </w:rPr>
        <w:t>.  Having weighed the procedural shortcoming (namely the invalidity of the applicants</w:t>
      </w:r>
      <w:r w:rsidRPr="00492DEC" w:rsidR="00492DEC">
        <w:rPr>
          <w:rFonts w:asciiTheme="majorHAnsi" w:hAnsiTheme="majorHAnsi" w:eastAsiaTheme="majorEastAsia" w:cstheme="majorBidi"/>
          <w:lang w:val="en-US"/>
        </w:rPr>
        <w:t>’</w:t>
      </w:r>
      <w:r w:rsidRPr="00492DEC">
        <w:rPr>
          <w:rFonts w:asciiTheme="majorHAnsi" w:hAnsiTheme="majorHAnsi" w:eastAsiaTheme="majorEastAsia" w:cstheme="majorBidi"/>
          <w:lang w:val="en-US"/>
        </w:rPr>
        <w:t xml:space="preserve"> waiver of their right to legal assistance) against the overall fairness of the criminal proceedings, the Court notes that the trial court neither attempted to examine the circumstances surrounding those waivers nor subjected to scrutiny their self-incriminatory police statements and the evidence that they had given during the reconstruction of events; nor did it examine the admissibility of those before convicting the applicants (see </w:t>
      </w:r>
      <w:proofErr w:type="spellStart"/>
      <w:r w:rsidRPr="00492DEC">
        <w:rPr>
          <w:rFonts w:asciiTheme="majorHAnsi" w:hAnsiTheme="majorHAnsi" w:eastAsiaTheme="majorEastAsia" w:cstheme="majorBidi"/>
          <w:i/>
        </w:rPr>
        <w:t>Yunus</w:t>
      </w:r>
      <w:proofErr w:type="spellEnd"/>
      <w:r w:rsidRPr="00492DEC">
        <w:rPr>
          <w:rFonts w:asciiTheme="majorHAnsi" w:hAnsiTheme="majorHAnsi" w:eastAsiaTheme="majorEastAsia" w:cstheme="majorBidi"/>
          <w:i/>
        </w:rPr>
        <w:t xml:space="preserve"> </w:t>
      </w:r>
      <w:proofErr w:type="spellStart"/>
      <w:r w:rsidRPr="00492DEC">
        <w:rPr>
          <w:rFonts w:asciiTheme="majorHAnsi" w:hAnsiTheme="majorHAnsi" w:eastAsiaTheme="majorEastAsia" w:cstheme="majorBidi"/>
          <w:i/>
        </w:rPr>
        <w:t>Aktaş</w:t>
      </w:r>
      <w:proofErr w:type="spellEnd"/>
      <w:r w:rsidRPr="00492DEC">
        <w:rPr>
          <w:rFonts w:asciiTheme="majorHAnsi" w:hAnsiTheme="majorHAnsi" w:eastAsiaTheme="majorEastAsia" w:cstheme="majorBidi"/>
          <w:i/>
        </w:rPr>
        <w:t xml:space="preserve"> and Others v. Turkey</w:t>
      </w:r>
      <w:r w:rsidRPr="00492DEC">
        <w:rPr>
          <w:rFonts w:asciiTheme="majorHAnsi" w:hAnsiTheme="majorHAnsi" w:eastAsiaTheme="majorEastAsia" w:cstheme="majorBidi"/>
        </w:rPr>
        <w:t>, no. 24744/03, § 51, 20 October 2009). Similarly, the Court of Cassation did not remedy the shortcomings either.</w:t>
      </w:r>
    </w:p>
    <w:p w:rsidRPr="00492DEC" w:rsidR="008D3977" w:rsidP="00492DEC" w:rsidRDefault="008D3977" w14:paraId="4DE6C35F" w14:textId="6997EB97">
      <w:pPr>
        <w:pStyle w:val="JuPara"/>
        <w:rPr>
          <w:rFonts w:asciiTheme="majorHAnsi" w:hAnsiTheme="majorHAnsi" w:eastAsiaTheme="majorEastAsia" w:cstheme="majorBidi"/>
        </w:rPr>
      </w:pPr>
      <w:r w:rsidRPr="00492DEC">
        <w:rPr>
          <w:rFonts w:asciiTheme="majorHAnsi" w:hAnsiTheme="majorHAnsi" w:eastAsiaTheme="majorEastAsia" w:cstheme="majorBidi"/>
          <w:lang w:val="en-US"/>
        </w:rPr>
        <w:fldChar w:fldCharType="begin"/>
      </w:r>
      <w:r w:rsidRPr="00492DEC">
        <w:rPr>
          <w:rFonts w:asciiTheme="majorHAnsi" w:hAnsiTheme="majorHAnsi" w:eastAsiaTheme="majorEastAsia" w:cstheme="majorBidi"/>
          <w:lang w:val="en-US"/>
        </w:rPr>
        <w:instrText xml:space="preserve"> SEQ level0 \*arabic </w:instrText>
      </w:r>
      <w:r w:rsidRPr="00492DEC">
        <w:rPr>
          <w:rFonts w:asciiTheme="majorHAnsi" w:hAnsiTheme="majorHAnsi" w:eastAsiaTheme="majorEastAsia" w:cstheme="majorBidi"/>
          <w:lang w:val="en-US"/>
        </w:rPr>
        <w:fldChar w:fldCharType="separate"/>
      </w:r>
      <w:r w:rsidRPr="00492DEC" w:rsidR="00492DEC">
        <w:rPr>
          <w:rFonts w:asciiTheme="majorHAnsi" w:hAnsiTheme="majorHAnsi" w:eastAsiaTheme="majorEastAsia" w:cstheme="majorBidi"/>
          <w:noProof/>
          <w:lang w:val="en-US"/>
        </w:rPr>
        <w:t>63</w:t>
      </w:r>
      <w:r w:rsidRPr="00492DEC">
        <w:rPr>
          <w:rFonts w:asciiTheme="majorHAnsi" w:hAnsiTheme="majorHAnsi" w:eastAsiaTheme="majorEastAsia" w:cstheme="majorBidi"/>
          <w:lang w:val="en-US"/>
        </w:rPr>
        <w:fldChar w:fldCharType="end"/>
      </w:r>
      <w:r w:rsidRPr="00492DEC">
        <w:rPr>
          <w:rFonts w:asciiTheme="majorHAnsi" w:hAnsiTheme="majorHAnsi" w:eastAsiaTheme="majorEastAsia" w:cstheme="majorBidi"/>
          <w:lang w:val="en-US"/>
        </w:rPr>
        <w:t>.  The absence of the aforesaid procedural safeguards has already been found by the Court to have violated the overall fairness of criminal proceedings in respect of the same legal question and in a situation where the applicants</w:t>
      </w:r>
      <w:r w:rsidRPr="00492DEC" w:rsidR="00492DEC">
        <w:rPr>
          <w:rFonts w:asciiTheme="majorHAnsi" w:hAnsiTheme="majorHAnsi" w:eastAsiaTheme="majorEastAsia" w:cstheme="majorBidi"/>
          <w:lang w:val="en-US"/>
        </w:rPr>
        <w:t>’</w:t>
      </w:r>
      <w:r w:rsidRPr="00492DEC">
        <w:rPr>
          <w:rFonts w:asciiTheme="majorHAnsi" w:hAnsiTheme="majorHAnsi" w:eastAsiaTheme="majorEastAsia" w:cstheme="majorBidi"/>
          <w:lang w:val="en-US"/>
        </w:rPr>
        <w:t xml:space="preserve"> statements were used by the national courts to convict them (see </w:t>
      </w:r>
      <w:proofErr w:type="spellStart"/>
      <w:r w:rsidRPr="00492DEC">
        <w:rPr>
          <w:rFonts w:asciiTheme="majorHAnsi" w:hAnsiTheme="majorHAnsi" w:eastAsiaTheme="majorEastAsia" w:cstheme="majorBidi"/>
          <w:i/>
        </w:rPr>
        <w:t>Akdağ</w:t>
      </w:r>
      <w:proofErr w:type="spellEnd"/>
      <w:r w:rsidRPr="00492DEC">
        <w:rPr>
          <w:rFonts w:asciiTheme="majorHAnsi" w:hAnsiTheme="majorHAnsi" w:eastAsiaTheme="majorEastAsia" w:cstheme="majorBidi"/>
        </w:rPr>
        <w:t>, cited above,</w:t>
      </w:r>
      <w:r w:rsidRPr="00492DEC">
        <w:rPr>
          <w:rFonts w:asciiTheme="majorHAnsi" w:hAnsiTheme="majorHAnsi" w:eastAsiaTheme="majorEastAsia" w:cstheme="majorBidi"/>
          <w:i/>
        </w:rPr>
        <w:t xml:space="preserve"> </w:t>
      </w:r>
      <w:r w:rsidRPr="00492DEC">
        <w:rPr>
          <w:rFonts w:asciiTheme="majorHAnsi" w:hAnsiTheme="majorHAnsi" w:eastAsiaTheme="majorEastAsia" w:cstheme="majorBidi"/>
        </w:rPr>
        <w:t>§§ 64</w:t>
      </w:r>
      <w:r w:rsidRPr="00492DEC">
        <w:rPr>
          <w:rFonts w:asciiTheme="majorHAnsi" w:hAnsiTheme="majorHAnsi" w:eastAsiaTheme="majorEastAsia" w:cstheme="majorBidi"/>
        </w:rPr>
        <w:noBreakHyphen/>
        <w:t xml:space="preserve">71; </w:t>
      </w:r>
      <w:proofErr w:type="spellStart"/>
      <w:r w:rsidRPr="00492DEC">
        <w:rPr>
          <w:rFonts w:asciiTheme="majorHAnsi" w:hAnsiTheme="majorHAnsi" w:eastAsiaTheme="majorEastAsia" w:cstheme="majorBidi"/>
          <w:i/>
        </w:rPr>
        <w:t>Ruşen</w:t>
      </w:r>
      <w:proofErr w:type="spellEnd"/>
      <w:r w:rsidRPr="00492DEC">
        <w:rPr>
          <w:rFonts w:asciiTheme="majorHAnsi" w:hAnsiTheme="majorHAnsi" w:eastAsiaTheme="majorEastAsia" w:cstheme="majorBidi"/>
          <w:i/>
        </w:rPr>
        <w:t xml:space="preserve"> Bayar</w:t>
      </w:r>
      <w:r w:rsidRPr="00492DEC">
        <w:rPr>
          <w:rFonts w:asciiTheme="majorHAnsi" w:hAnsiTheme="majorHAnsi" w:eastAsiaTheme="majorEastAsia" w:cstheme="majorBidi"/>
        </w:rPr>
        <w:t>, cited above, §§</w:t>
      </w:r>
      <w:r w:rsidRPr="00492DEC" w:rsidR="00374F66">
        <w:rPr>
          <w:rFonts w:asciiTheme="majorHAnsi" w:hAnsiTheme="majorHAnsi" w:eastAsiaTheme="majorEastAsia" w:cstheme="majorBidi"/>
        </w:rPr>
        <w:t> </w:t>
      </w:r>
      <w:r w:rsidRPr="00492DEC">
        <w:rPr>
          <w:rFonts w:asciiTheme="majorHAnsi" w:hAnsiTheme="majorHAnsi" w:eastAsiaTheme="majorEastAsia" w:cstheme="majorBidi"/>
        </w:rPr>
        <w:t>126</w:t>
      </w:r>
      <w:r w:rsidRPr="00492DEC" w:rsidR="00374F66">
        <w:rPr>
          <w:rFonts w:asciiTheme="majorHAnsi" w:hAnsiTheme="majorHAnsi" w:eastAsiaTheme="majorEastAsia" w:cstheme="majorBidi"/>
        </w:rPr>
        <w:noBreakHyphen/>
      </w:r>
      <w:r w:rsidRPr="00492DEC">
        <w:rPr>
          <w:rFonts w:asciiTheme="majorHAnsi" w:hAnsiTheme="majorHAnsi" w:eastAsiaTheme="majorEastAsia" w:cstheme="majorBidi"/>
        </w:rPr>
        <w:t xml:space="preserve">136; </w:t>
      </w:r>
      <w:r w:rsidRPr="00492DEC">
        <w:rPr>
          <w:rFonts w:asciiTheme="majorHAnsi" w:hAnsiTheme="majorHAnsi" w:eastAsiaTheme="majorEastAsia" w:cstheme="majorBidi"/>
          <w:i/>
          <w:iCs/>
        </w:rPr>
        <w:t>Bozkaya v. Turkey</w:t>
      </w:r>
      <w:r w:rsidRPr="00492DEC">
        <w:rPr>
          <w:rFonts w:asciiTheme="majorHAnsi" w:hAnsiTheme="majorHAnsi" w:eastAsiaTheme="majorEastAsia" w:cstheme="majorBidi"/>
        </w:rPr>
        <w:t>, no. 46661/09, §§ 49</w:t>
      </w:r>
      <w:r w:rsidRPr="00492DEC">
        <w:rPr>
          <w:rFonts w:asciiTheme="majorHAnsi" w:hAnsiTheme="majorHAnsi" w:eastAsiaTheme="majorEastAsia" w:cstheme="majorBidi"/>
        </w:rPr>
        <w:noBreakHyphen/>
        <w:t xml:space="preserve">54, 5 September 2017; and </w:t>
      </w:r>
      <w:proofErr w:type="spellStart"/>
      <w:r w:rsidRPr="00492DEC">
        <w:rPr>
          <w:rFonts w:asciiTheme="majorHAnsi" w:hAnsiTheme="majorHAnsi" w:eastAsiaTheme="majorEastAsia" w:cstheme="majorBidi"/>
          <w:i/>
          <w:iCs/>
        </w:rPr>
        <w:t>Türk</w:t>
      </w:r>
      <w:proofErr w:type="spellEnd"/>
      <w:r w:rsidRPr="00492DEC">
        <w:rPr>
          <w:rFonts w:asciiTheme="majorHAnsi" w:hAnsiTheme="majorHAnsi" w:eastAsiaTheme="majorEastAsia" w:cstheme="majorBidi"/>
          <w:i/>
          <w:iCs/>
        </w:rPr>
        <w:t xml:space="preserve"> v. Turkey</w:t>
      </w:r>
      <w:r w:rsidRPr="00492DEC">
        <w:rPr>
          <w:rFonts w:asciiTheme="majorHAnsi" w:hAnsiTheme="majorHAnsi" w:eastAsiaTheme="majorEastAsia" w:cstheme="majorBidi"/>
        </w:rPr>
        <w:t>, no. 22744/07, §§ 53-59, 5 September 2017)</w:t>
      </w:r>
      <w:r w:rsidRPr="00492DEC">
        <w:rPr>
          <w:rFonts w:asciiTheme="majorHAnsi" w:hAnsiTheme="majorHAnsi" w:eastAsiaTheme="majorEastAsia" w:cstheme="majorBidi"/>
          <w:lang w:val="en-US"/>
        </w:rPr>
        <w:t xml:space="preserve">. The same is also true in respect of the present case, </w:t>
      </w:r>
      <w:r w:rsidRPr="00492DEC">
        <w:rPr>
          <w:rFonts w:asciiTheme="majorHAnsi" w:hAnsiTheme="majorHAnsi" w:eastAsiaTheme="majorEastAsia" w:cstheme="majorBidi"/>
        </w:rPr>
        <w:t xml:space="preserve">particularly in respect of the fact that the accusations against </w:t>
      </w:r>
      <w:proofErr w:type="spellStart"/>
      <w:r w:rsidRPr="00492DEC">
        <w:rPr>
          <w:rFonts w:asciiTheme="majorHAnsi" w:hAnsiTheme="majorHAnsi" w:eastAsiaTheme="majorEastAsia" w:cstheme="majorBidi"/>
        </w:rPr>
        <w:t>Ekrem</w:t>
      </w:r>
      <w:proofErr w:type="spellEnd"/>
      <w:r w:rsidRPr="00492DEC">
        <w:rPr>
          <w:rFonts w:asciiTheme="majorHAnsi" w:hAnsiTheme="majorHAnsi" w:eastAsiaTheme="majorEastAsia" w:cstheme="majorBidi"/>
        </w:rPr>
        <w:t xml:space="preserve"> Can, </w:t>
      </w:r>
      <w:proofErr w:type="spellStart"/>
      <w:r w:rsidRPr="00492DEC">
        <w:rPr>
          <w:rFonts w:asciiTheme="majorHAnsi" w:hAnsiTheme="majorHAnsi" w:eastAsiaTheme="majorEastAsia" w:cstheme="majorBidi"/>
        </w:rPr>
        <w:t>Fikret</w:t>
      </w:r>
      <w:proofErr w:type="spellEnd"/>
      <w:r w:rsidRPr="00492DEC">
        <w:rPr>
          <w:rFonts w:asciiTheme="majorHAnsi" w:hAnsiTheme="majorHAnsi" w:eastAsiaTheme="majorEastAsia" w:cstheme="majorBidi"/>
        </w:rPr>
        <w:t xml:space="preserve"> </w:t>
      </w:r>
      <w:proofErr w:type="spellStart"/>
      <w:r w:rsidRPr="00492DEC">
        <w:rPr>
          <w:rFonts w:asciiTheme="majorHAnsi" w:hAnsiTheme="majorHAnsi" w:eastAsiaTheme="majorEastAsia" w:cstheme="majorBidi"/>
        </w:rPr>
        <w:t>Avras</w:t>
      </w:r>
      <w:proofErr w:type="spellEnd"/>
      <w:r w:rsidRPr="00492DEC">
        <w:rPr>
          <w:rFonts w:asciiTheme="majorHAnsi" w:hAnsiTheme="majorHAnsi" w:eastAsiaTheme="majorEastAsia" w:cstheme="majorBidi"/>
        </w:rPr>
        <w:t xml:space="preserve"> and Mahmut Cengiz regarding the throwing of Molotov cocktails were made after those applicants had already given confessions in respect thereof to the police and provided information </w:t>
      </w:r>
      <w:proofErr w:type="gramStart"/>
      <w:r w:rsidRPr="00492DEC">
        <w:rPr>
          <w:rFonts w:asciiTheme="majorHAnsi" w:hAnsiTheme="majorHAnsi" w:eastAsiaTheme="majorEastAsia" w:cstheme="majorBidi"/>
        </w:rPr>
        <w:t>during the course of</w:t>
      </w:r>
      <w:proofErr w:type="gramEnd"/>
      <w:r w:rsidRPr="00492DEC">
        <w:rPr>
          <w:rFonts w:asciiTheme="majorHAnsi" w:hAnsiTheme="majorHAnsi" w:eastAsiaTheme="majorEastAsia" w:cstheme="majorBidi"/>
        </w:rPr>
        <w:t xml:space="preserve"> the reconstruction of events, which subsequently formed the sole basis of their conviction on those charges.</w:t>
      </w:r>
    </w:p>
    <w:p w:rsidRPr="00492DEC" w:rsidR="008D3977" w:rsidP="00492DEC" w:rsidRDefault="008D3977" w14:paraId="28E1ECC1" w14:textId="59EE84D5">
      <w:pPr>
        <w:pStyle w:val="JuPara"/>
      </w:pPr>
      <w:r w:rsidRPr="00492DEC">
        <w:fldChar w:fldCharType="begin"/>
      </w:r>
      <w:r w:rsidRPr="00492DEC">
        <w:instrText xml:space="preserve"> SEQ level0 \*arabic </w:instrText>
      </w:r>
      <w:r w:rsidRPr="00492DEC">
        <w:fldChar w:fldCharType="separate"/>
      </w:r>
      <w:r w:rsidRPr="00492DEC" w:rsidR="00492DEC">
        <w:rPr>
          <w:noProof/>
        </w:rPr>
        <w:t>64</w:t>
      </w:r>
      <w:r w:rsidRPr="00492DEC">
        <w:fldChar w:fldCharType="end"/>
      </w:r>
      <w:r w:rsidRPr="00492DEC">
        <w:t>.  Accordingly, the Court concludes that the domestic courts</w:t>
      </w:r>
      <w:r w:rsidRPr="00492DEC" w:rsidR="00492DEC">
        <w:t>’</w:t>
      </w:r>
      <w:r w:rsidRPr="00492DEC">
        <w:t xml:space="preserve"> failure to examine the conditions surrounding the applicants</w:t>
      </w:r>
      <w:r w:rsidRPr="00492DEC" w:rsidR="00492DEC">
        <w:t>’</w:t>
      </w:r>
      <w:r w:rsidRPr="00492DEC">
        <w:t xml:space="preserve"> alleged waiver of their right to a lawyer between 18 and 21 November 2003 (during the time that they spent in police custody) and the use that they made of evidence given in the absence of a lawyer to convict them, without observing the necessary procedural safeguards, rendered the trial as a whole unfair (see the above-cited cases of </w:t>
      </w:r>
      <w:proofErr w:type="spellStart"/>
      <w:r w:rsidRPr="00492DEC">
        <w:rPr>
          <w:rFonts w:asciiTheme="majorHAnsi" w:hAnsiTheme="majorHAnsi" w:eastAsiaTheme="majorEastAsia" w:cstheme="majorBidi"/>
          <w:i/>
        </w:rPr>
        <w:t>Ruşen</w:t>
      </w:r>
      <w:proofErr w:type="spellEnd"/>
      <w:r w:rsidRPr="00492DEC">
        <w:rPr>
          <w:rFonts w:asciiTheme="majorHAnsi" w:hAnsiTheme="majorHAnsi" w:eastAsiaTheme="majorEastAsia" w:cstheme="majorBidi"/>
          <w:i/>
        </w:rPr>
        <w:t xml:space="preserve"> </w:t>
      </w:r>
      <w:r w:rsidRPr="00492DEC">
        <w:rPr>
          <w:i/>
        </w:rPr>
        <w:t>Bayar</w:t>
      </w:r>
      <w:r w:rsidRPr="00492DEC">
        <w:t xml:space="preserve">, § 135; </w:t>
      </w:r>
      <w:r w:rsidRPr="00492DEC">
        <w:rPr>
          <w:i/>
        </w:rPr>
        <w:t>Bozkaya</w:t>
      </w:r>
      <w:r w:rsidRPr="00492DEC">
        <w:t>, § 53</w:t>
      </w:r>
      <w:r w:rsidRPr="00492DEC" w:rsidR="00D73B94">
        <w:t>;</w:t>
      </w:r>
      <w:r w:rsidRPr="00492DEC">
        <w:t xml:space="preserve"> and </w:t>
      </w:r>
      <w:proofErr w:type="spellStart"/>
      <w:r w:rsidRPr="00492DEC">
        <w:rPr>
          <w:i/>
          <w:iCs/>
        </w:rPr>
        <w:t>Türk</w:t>
      </w:r>
      <w:proofErr w:type="spellEnd"/>
      <w:r w:rsidRPr="00492DEC">
        <w:rPr>
          <w:iCs/>
        </w:rPr>
        <w:t>,</w:t>
      </w:r>
      <w:r w:rsidRPr="00492DEC">
        <w:rPr>
          <w:i/>
          <w:iCs/>
        </w:rPr>
        <w:t xml:space="preserve"> </w:t>
      </w:r>
      <w:r w:rsidRPr="00492DEC">
        <w:t>§ 58).</w:t>
      </w:r>
    </w:p>
    <w:bookmarkStart w:name="WaiverSon" w:id="35"/>
    <w:p w:rsidRPr="00492DEC" w:rsidR="008D3977" w:rsidP="00492DEC" w:rsidRDefault="008D3977" w14:paraId="7E4473DD" w14:textId="26E02E65">
      <w:pPr>
        <w:pStyle w:val="JuPara"/>
      </w:pPr>
      <w:r w:rsidRPr="00492DEC">
        <w:fldChar w:fldCharType="begin"/>
      </w:r>
      <w:r w:rsidRPr="00492DEC">
        <w:instrText xml:space="preserve"> SEQ level0 \*arabic </w:instrText>
      </w:r>
      <w:r w:rsidRPr="00492DEC">
        <w:fldChar w:fldCharType="separate"/>
      </w:r>
      <w:r w:rsidRPr="00492DEC" w:rsidR="00492DEC">
        <w:rPr>
          <w:noProof/>
        </w:rPr>
        <w:t>65</w:t>
      </w:r>
      <w:r w:rsidRPr="00492DEC">
        <w:fldChar w:fldCharType="end"/>
      </w:r>
      <w:bookmarkEnd w:id="35"/>
      <w:r w:rsidRPr="00492DEC">
        <w:t xml:space="preserve">.  There has therefore been a violation of Article 6 §§ 1 and 3 (c) of the Convention in respect of the applicants </w:t>
      </w:r>
      <w:proofErr w:type="spellStart"/>
      <w:r w:rsidRPr="00492DEC">
        <w:t>Ekrem</w:t>
      </w:r>
      <w:proofErr w:type="spellEnd"/>
      <w:r w:rsidRPr="00492DEC">
        <w:t xml:space="preserve"> Can, Mahmut Cengiz and </w:t>
      </w:r>
      <w:proofErr w:type="spellStart"/>
      <w:r w:rsidRPr="00492DEC">
        <w:t>Fikret</w:t>
      </w:r>
      <w:proofErr w:type="spellEnd"/>
      <w:r w:rsidRPr="00492DEC">
        <w:t xml:space="preserve"> </w:t>
      </w:r>
      <w:proofErr w:type="spellStart"/>
      <w:r w:rsidRPr="00492DEC">
        <w:t>Avras</w:t>
      </w:r>
      <w:proofErr w:type="spellEnd"/>
      <w:r w:rsidRPr="00492DEC">
        <w:t>.</w:t>
      </w:r>
    </w:p>
    <w:p w:rsidRPr="00492DEC" w:rsidR="008D3977" w:rsidP="00492DEC" w:rsidRDefault="008D3977" w14:paraId="231DD7A1" w14:textId="77777777">
      <w:pPr>
        <w:pStyle w:val="JuHi"/>
      </w:pPr>
      <w:r w:rsidRPr="00492DEC">
        <w:t>In respect of the remaining applicants</w:t>
      </w:r>
    </w:p>
    <w:p w:rsidRPr="00492DEC" w:rsidR="008D3977" w:rsidP="00492DEC" w:rsidRDefault="00AC04F4" w14:paraId="4AE5F628" w14:textId="505BBEFD">
      <w:pPr>
        <w:pStyle w:val="JuPara"/>
      </w:pPr>
      <w:fldSimple w:instr=" SEQ level0 \*arabic \* MERGEFORMAT ">
        <w:r w:rsidRPr="00492DEC" w:rsidR="00492DEC">
          <w:rPr>
            <w:noProof/>
          </w:rPr>
          <w:t>66</w:t>
        </w:r>
      </w:fldSimple>
      <w:r w:rsidRPr="00492DEC" w:rsidR="008D3977">
        <w:t>.  Having regard to the conclusions reached in paragraph</w:t>
      </w:r>
      <w:r w:rsidRPr="00492DEC" w:rsidR="00934F33">
        <w:t xml:space="preserve"> 96</w:t>
      </w:r>
      <w:r w:rsidRPr="00492DEC" w:rsidR="008D3977">
        <w:t xml:space="preserve"> below, the Court does not find it necessary to separately examine the complaint lodged by the remaining applicants under Article 6 §§ 1 and 3 (c) of the Convention in view of the fact that the only conviction relevant to the examination of those applicants</w:t>
      </w:r>
      <w:r w:rsidRPr="00492DEC" w:rsidR="00492DEC">
        <w:t>’</w:t>
      </w:r>
      <w:r w:rsidRPr="00492DEC" w:rsidR="008D3977">
        <w:t xml:space="preserve"> complaint is that under Article 113 of the Criminal Code, which the Court considers is more appropriately examined under only Article 11 of the Convention.</w:t>
      </w:r>
    </w:p>
    <w:p w:rsidRPr="00492DEC" w:rsidR="008D3977" w:rsidP="00492DEC" w:rsidRDefault="008D3977" w14:paraId="73213EFC" w14:textId="77777777">
      <w:pPr>
        <w:pStyle w:val="JuHIRoman"/>
      </w:pPr>
      <w:r w:rsidRPr="00492DEC">
        <w:t>ALLEGED VIOLATION OF ARTICLE 11 OF THE CONVENTION</w:t>
      </w:r>
    </w:p>
    <w:p w:rsidRPr="00492DEC" w:rsidR="008D3977" w:rsidP="00492DEC" w:rsidRDefault="008D3977" w14:paraId="5D7A3D4F" w14:textId="7BC6E41A">
      <w:pPr>
        <w:pStyle w:val="JuPara"/>
      </w:pPr>
      <w:r w:rsidRPr="00492DEC">
        <w:fldChar w:fldCharType="begin"/>
      </w:r>
      <w:r w:rsidRPr="00492DEC">
        <w:instrText xml:space="preserve"> SEQ level0 \*arabic </w:instrText>
      </w:r>
      <w:r w:rsidRPr="00492DEC">
        <w:fldChar w:fldCharType="separate"/>
      </w:r>
      <w:r w:rsidRPr="00492DEC" w:rsidR="00492DEC">
        <w:rPr>
          <w:noProof/>
        </w:rPr>
        <w:t>67</w:t>
      </w:r>
      <w:r w:rsidRPr="00492DEC">
        <w:fldChar w:fldCharType="end"/>
      </w:r>
      <w:r w:rsidRPr="00492DEC">
        <w:t>.  The applicants complained that they had been intimidated for exercising their right to freedom of peaceful assembly and to make a press statement (containing no incitement to violence), in breach of Articles 10 and 11 of the Convention, which read as follows:</w:t>
      </w:r>
    </w:p>
    <w:p w:rsidRPr="00492DEC" w:rsidR="008D3977" w:rsidP="00150A54" w:rsidRDefault="008D3977" w14:paraId="358EF1F7" w14:textId="77777777">
      <w:pPr>
        <w:pStyle w:val="JuHArticle"/>
      </w:pPr>
      <w:r w:rsidRPr="00492DEC">
        <w:t>Article 10</w:t>
      </w:r>
    </w:p>
    <w:p w:rsidRPr="00492DEC" w:rsidR="008D3977" w:rsidP="00492DEC" w:rsidRDefault="008D3977" w14:paraId="47E56AA5" w14:textId="77777777">
      <w:pPr>
        <w:pStyle w:val="JuQuot"/>
      </w:pPr>
      <w:r w:rsidRPr="00492DEC">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w:t>
      </w:r>
      <w:proofErr w:type="gramStart"/>
      <w:r w:rsidRPr="00492DEC">
        <w:t>television</w:t>
      </w:r>
      <w:proofErr w:type="gramEnd"/>
      <w:r w:rsidRPr="00492DEC">
        <w:t xml:space="preserve"> or cinema enterprises.</w:t>
      </w:r>
    </w:p>
    <w:p w:rsidRPr="00492DEC" w:rsidR="008D3977" w:rsidP="00492DEC" w:rsidRDefault="008D3977" w14:paraId="47391495" w14:textId="77777777">
      <w:pPr>
        <w:pStyle w:val="JuQuot"/>
      </w:pPr>
      <w:r w:rsidRPr="00492DE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492DEC" w:rsidR="008D3977" w:rsidP="00150A54" w:rsidRDefault="008D3977" w14:paraId="73D76D65" w14:textId="77777777">
      <w:pPr>
        <w:pStyle w:val="JuHArticle"/>
      </w:pPr>
      <w:r w:rsidRPr="00492DEC">
        <w:t>Article 11</w:t>
      </w:r>
    </w:p>
    <w:p w:rsidRPr="00492DEC" w:rsidR="008D3977" w:rsidP="00492DEC" w:rsidRDefault="008D3977" w14:paraId="2A8CB0A8" w14:textId="77777777">
      <w:pPr>
        <w:pStyle w:val="JuQuot"/>
        <w:rPr>
          <w:lang w:val="en-US"/>
        </w:rPr>
      </w:pPr>
      <w:r w:rsidRPr="00492DEC">
        <w:rPr>
          <w:sz w:val="24"/>
          <w:lang w:val="en-US"/>
        </w:rPr>
        <w:t>“</w:t>
      </w:r>
      <w:r w:rsidRPr="00492DEC">
        <w:rPr>
          <w:lang w:val="en-US"/>
        </w:rPr>
        <w:t>1.  Everyone has the right to freedom of peaceful assembly and to freedom of association with others, including the right to form and to join trade unions for the protection of his interests.</w:t>
      </w:r>
    </w:p>
    <w:p w:rsidRPr="00492DEC" w:rsidR="008D3977" w:rsidP="00492DEC" w:rsidRDefault="008D3977" w14:paraId="7261E556" w14:textId="77777777">
      <w:pPr>
        <w:pStyle w:val="JuQuot"/>
        <w:rPr>
          <w:lang w:val="en-US"/>
        </w:rPr>
      </w:pPr>
      <w:r w:rsidRPr="00492DEC">
        <w:rPr>
          <w:lang w:val="en-US"/>
        </w:rP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492DEC" w:rsidR="008D3977" w:rsidP="00492DEC" w:rsidRDefault="008D3977" w14:paraId="30A7F8F2" w14:textId="1AD7BC8E">
      <w:pPr>
        <w:pStyle w:val="JuPara"/>
      </w:pPr>
      <w:r w:rsidRPr="00492DEC">
        <w:fldChar w:fldCharType="begin"/>
      </w:r>
      <w:r w:rsidRPr="00492DEC">
        <w:instrText xml:space="preserve"> SEQ level0 \*arabic </w:instrText>
      </w:r>
      <w:r w:rsidRPr="00492DEC">
        <w:fldChar w:fldCharType="separate"/>
      </w:r>
      <w:r w:rsidRPr="00492DEC" w:rsidR="00492DEC">
        <w:rPr>
          <w:noProof/>
        </w:rPr>
        <w:t>68</w:t>
      </w:r>
      <w:r w:rsidRPr="00492DEC">
        <w:fldChar w:fldCharType="end"/>
      </w:r>
      <w:r w:rsidRPr="00492DEC">
        <w:t xml:space="preserve">.  The Court notes that even though the applicants relied on both Articles 10 and 11 of the Convention in relation to the same set of facts, their complaints stem not only from their being prevented from making a press statement, but also (and predominantly) from the intervention staged by the police in respect of their protest action, resulting in their forcible removal from the courthouse, where they had opened a banner, chanted slogans and thrown leaflets (see </w:t>
      </w:r>
      <w:bookmarkStart w:name="_Hlk97294944" w:id="36"/>
      <w:proofErr w:type="spellStart"/>
      <w:r w:rsidRPr="00492DEC">
        <w:rPr>
          <w:i/>
          <w:iCs/>
        </w:rPr>
        <w:t>Tuskia</w:t>
      </w:r>
      <w:proofErr w:type="spellEnd"/>
      <w:r w:rsidRPr="00492DEC">
        <w:rPr>
          <w:i/>
          <w:iCs/>
        </w:rPr>
        <w:t xml:space="preserve"> and Others v. Georgia</w:t>
      </w:r>
      <w:r w:rsidRPr="00492DEC">
        <w:rPr>
          <w:lang w:eastAsia="en-GB"/>
        </w:rPr>
        <w:t xml:space="preserve">, no. </w:t>
      </w:r>
      <w:r w:rsidRPr="00492DEC">
        <w:t>14237/07</w:t>
      </w:r>
      <w:r w:rsidRPr="00492DEC">
        <w:rPr>
          <w:lang w:eastAsia="en-GB"/>
        </w:rPr>
        <w:t xml:space="preserve">, </w:t>
      </w:r>
      <w:r w:rsidRPr="00492DEC">
        <w:t xml:space="preserve">§ 73, 11 October 2018; also compare </w:t>
      </w:r>
      <w:proofErr w:type="spellStart"/>
      <w:r w:rsidRPr="00492DEC">
        <w:rPr>
          <w:i/>
        </w:rPr>
        <w:t>Açık</w:t>
      </w:r>
      <w:proofErr w:type="spellEnd"/>
      <w:r w:rsidRPr="00492DEC">
        <w:rPr>
          <w:i/>
        </w:rPr>
        <w:t xml:space="preserve"> and Others v. Turkey</w:t>
      </w:r>
      <w:r w:rsidRPr="00492DEC">
        <w:t>, no. 31451/03, § 40, 13 January 2009</w:t>
      </w:r>
      <w:r w:rsidRPr="00492DEC" w:rsidR="005F524B">
        <w:t>;</w:t>
      </w:r>
      <w:r w:rsidRPr="00492DEC">
        <w:t xml:space="preserve"> and </w:t>
      </w:r>
      <w:proofErr w:type="spellStart"/>
      <w:r w:rsidRPr="00492DEC">
        <w:rPr>
          <w:i/>
        </w:rPr>
        <w:t>Karademirci</w:t>
      </w:r>
      <w:proofErr w:type="spellEnd"/>
      <w:r w:rsidRPr="00492DEC">
        <w:rPr>
          <w:i/>
        </w:rPr>
        <w:t xml:space="preserve"> and Others v. Turkey</w:t>
      </w:r>
      <w:r w:rsidRPr="00492DEC">
        <w:t>, nos. 37096/97 and 37101/97, § 26, ECHR 2005</w:t>
      </w:r>
      <w:r w:rsidRPr="00492DEC">
        <w:noBreakHyphen/>
        <w:t>I), which appears to constitute the thrust of their complaints. That being the case, the Court considers that the applicants</w:t>
      </w:r>
      <w:r w:rsidRPr="00492DEC" w:rsidR="00492DEC">
        <w:t>’</w:t>
      </w:r>
      <w:r w:rsidRPr="00492DEC">
        <w:t xml:space="preserve"> complaints should be examined under Article 11 alone which, however, must be </w:t>
      </w:r>
      <w:bookmarkStart w:name="_Hlk92903079" w:id="37"/>
      <w:r w:rsidRPr="00492DEC">
        <w:t>considered in the light of Article 10</w:t>
      </w:r>
      <w:bookmarkEnd w:id="37"/>
      <w:r w:rsidRPr="00492DEC">
        <w:t xml:space="preserve">. In that connection, the Court reiterates that the protection of personal opinions under Article 10 of the Convention is one of the objectives of freedom of peaceful assembly, as enshrined in Article 11 (see </w:t>
      </w:r>
      <w:proofErr w:type="spellStart"/>
      <w:r w:rsidRPr="00492DEC">
        <w:rPr>
          <w:i/>
        </w:rPr>
        <w:t>Kudrevičius</w:t>
      </w:r>
      <w:proofErr w:type="spellEnd"/>
      <w:r w:rsidRPr="00492DEC">
        <w:t xml:space="preserve"> </w:t>
      </w:r>
      <w:r w:rsidRPr="00492DEC">
        <w:rPr>
          <w:i/>
        </w:rPr>
        <w:t>and Others v. Lithuania</w:t>
      </w:r>
      <w:r w:rsidRPr="00492DEC">
        <w:t xml:space="preserve"> [GC], no. 37553/05, §§ 85</w:t>
      </w:r>
      <w:r w:rsidRPr="00492DEC">
        <w:noBreakHyphen/>
        <w:t>86, ECHR 2015</w:t>
      </w:r>
      <w:bookmarkEnd w:id="36"/>
      <w:r w:rsidRPr="00492DEC">
        <w:t>).</w:t>
      </w:r>
    </w:p>
    <w:p w:rsidRPr="00492DEC" w:rsidR="008D3977" w:rsidP="00215001" w:rsidRDefault="008D3977" w14:paraId="37063A8D" w14:textId="77777777">
      <w:pPr>
        <w:pStyle w:val="JuHA"/>
        <w:numPr>
          <w:ilvl w:val="2"/>
          <w:numId w:val="24"/>
        </w:numPr>
      </w:pPr>
      <w:r w:rsidRPr="00492DEC">
        <w:t>Admissibility</w:t>
      </w:r>
    </w:p>
    <w:bookmarkStart w:name="GovArt17" w:id="38"/>
    <w:p w:rsidRPr="00492DEC" w:rsidR="008D3977" w:rsidP="00492DEC" w:rsidRDefault="008D3977" w14:paraId="0500F683" w14:textId="20193D41">
      <w:pPr>
        <w:pStyle w:val="JuPara"/>
      </w:pPr>
      <w:r w:rsidRPr="00492DEC">
        <w:fldChar w:fldCharType="begin"/>
      </w:r>
      <w:r w:rsidRPr="00492DEC">
        <w:instrText xml:space="preserve"> SEQ level0 \*arabic </w:instrText>
      </w:r>
      <w:r w:rsidRPr="00492DEC">
        <w:fldChar w:fldCharType="separate"/>
      </w:r>
      <w:r w:rsidRPr="00492DEC" w:rsidR="00492DEC">
        <w:rPr>
          <w:noProof/>
        </w:rPr>
        <w:t>69</w:t>
      </w:r>
      <w:r w:rsidRPr="00492DEC">
        <w:fldChar w:fldCharType="end"/>
      </w:r>
      <w:bookmarkEnd w:id="38"/>
      <w:r w:rsidRPr="00492DEC">
        <w:t xml:space="preserve">.  The Government invited the Court to declare this complaint inadmissible as being incompatible </w:t>
      </w:r>
      <w:proofErr w:type="spellStart"/>
      <w:r w:rsidRPr="00492DEC">
        <w:rPr>
          <w:i/>
          <w:iCs/>
        </w:rPr>
        <w:t>ratione</w:t>
      </w:r>
      <w:proofErr w:type="spellEnd"/>
      <w:r w:rsidRPr="00492DEC">
        <w:rPr>
          <w:i/>
          <w:iCs/>
        </w:rPr>
        <w:t xml:space="preserve"> </w:t>
      </w:r>
      <w:proofErr w:type="spellStart"/>
      <w:r w:rsidRPr="00492DEC">
        <w:rPr>
          <w:i/>
          <w:iCs/>
        </w:rPr>
        <w:t>materiae</w:t>
      </w:r>
      <w:proofErr w:type="spellEnd"/>
      <w:r w:rsidRPr="00492DEC">
        <w:t xml:space="preserve"> with the provisions of the Convention, arguing that the acts and activities of the applicants fell within the ambit of Article 17 of the Convention in view of the fact that they had (</w:t>
      </w:r>
      <w:proofErr w:type="spellStart"/>
      <w:r w:rsidRPr="00492DEC">
        <w:t>i</w:t>
      </w:r>
      <w:proofErr w:type="spellEnd"/>
      <w:r w:rsidRPr="00492DEC">
        <w:t>)  chanted slogans praising and glorifying the PKK and its leader, and (ii)  occupied the courthouse during the demonstration and set up a barricade, thereby preventing the orderly administration of justice, depriving some of the court personnel of their liberty, and putting at risk the safety of judges. Moreover, prior to the impugned incident, some of the applicants had thrown Molotov cocktails or participated in demonstrations during which acts of violence had been committed.</w:t>
      </w:r>
    </w:p>
    <w:p w:rsidRPr="00492DEC" w:rsidR="008D3977" w:rsidP="00492DEC" w:rsidRDefault="008D3977" w14:paraId="10FDB76A" w14:textId="266D1393">
      <w:pPr>
        <w:pStyle w:val="JuPara"/>
      </w:pPr>
      <w:r w:rsidRPr="00492DEC">
        <w:fldChar w:fldCharType="begin"/>
      </w:r>
      <w:r w:rsidRPr="00492DEC">
        <w:instrText xml:space="preserve"> SEQ level0 \*arabic </w:instrText>
      </w:r>
      <w:r w:rsidRPr="00492DEC">
        <w:fldChar w:fldCharType="separate"/>
      </w:r>
      <w:r w:rsidRPr="00492DEC" w:rsidR="00492DEC">
        <w:rPr>
          <w:noProof/>
        </w:rPr>
        <w:t>70</w:t>
      </w:r>
      <w:r w:rsidRPr="00492DEC">
        <w:fldChar w:fldCharType="end"/>
      </w:r>
      <w:r w:rsidRPr="00492DEC">
        <w:t>.  The applicants did not comment on this submission.</w:t>
      </w:r>
    </w:p>
    <w:p w:rsidRPr="00492DEC" w:rsidR="008D3977" w:rsidP="00492DEC" w:rsidRDefault="00AC04F4" w14:paraId="70721D58" w14:textId="6C19D735">
      <w:pPr>
        <w:pStyle w:val="JuPara"/>
      </w:pPr>
      <w:fldSimple w:instr=" SEQ level0 \*arabic \* MERGEFORMAT ">
        <w:r w:rsidRPr="00492DEC" w:rsidR="00492DEC">
          <w:rPr>
            <w:noProof/>
          </w:rPr>
          <w:t>71</w:t>
        </w:r>
      </w:fldSimple>
      <w:r w:rsidRPr="00492DEC" w:rsidR="008D3977">
        <w:t>.  Article 17 of the Convention reads as follows:</w:t>
      </w:r>
    </w:p>
    <w:p w:rsidRPr="00492DEC" w:rsidR="008D3977" w:rsidP="00492DEC" w:rsidRDefault="008D3977" w14:paraId="64DCAFE1" w14:textId="77777777">
      <w:pPr>
        <w:pStyle w:val="JuQuot"/>
      </w:pPr>
      <w:r w:rsidRPr="00492DEC">
        <w:t>“Nothing in [the]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p>
    <w:p w:rsidRPr="00492DEC" w:rsidR="008D3977" w:rsidP="00492DEC" w:rsidRDefault="008D3977" w14:paraId="01542EC6" w14:textId="57834BF8">
      <w:pPr>
        <w:pStyle w:val="JuPara"/>
        <w:rPr>
          <w:bCs/>
        </w:rPr>
      </w:pPr>
      <w:r w:rsidRPr="00492DEC">
        <w:rPr>
          <w:bCs/>
        </w:rPr>
        <w:fldChar w:fldCharType="begin"/>
      </w:r>
      <w:r w:rsidRPr="00492DEC">
        <w:rPr>
          <w:bCs/>
        </w:rPr>
        <w:instrText xml:space="preserve"> SEQ level0 \*arabic \* MERGEFORMAT </w:instrText>
      </w:r>
      <w:r w:rsidRPr="00492DEC">
        <w:rPr>
          <w:bCs/>
        </w:rPr>
        <w:fldChar w:fldCharType="separate"/>
      </w:r>
      <w:r w:rsidRPr="00492DEC" w:rsidR="00492DEC">
        <w:rPr>
          <w:bCs/>
          <w:noProof/>
        </w:rPr>
        <w:t>72</w:t>
      </w:r>
      <w:r w:rsidRPr="00492DEC">
        <w:rPr>
          <w:bCs/>
        </w:rPr>
        <w:fldChar w:fldCharType="end"/>
      </w:r>
      <w:r w:rsidRPr="00492DEC">
        <w:rPr>
          <w:bCs/>
        </w:rPr>
        <w:t xml:space="preserve">.  Article 17 is only applicable on an exceptional basis and in extreme cases (see </w:t>
      </w:r>
      <w:bookmarkStart w:name="_Hlk97295001" w:id="39"/>
      <w:proofErr w:type="spellStart"/>
      <w:r w:rsidRPr="00492DEC">
        <w:rPr>
          <w:i/>
        </w:rPr>
        <w:t>Paksas</w:t>
      </w:r>
      <w:proofErr w:type="spellEnd"/>
      <w:r w:rsidRPr="00492DEC">
        <w:rPr>
          <w:i/>
        </w:rPr>
        <w:t xml:space="preserve"> v. Lithuania</w:t>
      </w:r>
      <w:r w:rsidRPr="00492DEC">
        <w:t xml:space="preserve"> [GC], no. 34932/04, § 87, ECHR</w:t>
      </w:r>
      <w:r w:rsidRPr="00492DEC" w:rsidR="00757B5F">
        <w:t xml:space="preserve"> </w:t>
      </w:r>
      <w:r w:rsidRPr="00492DEC">
        <w:t>2011 (extracts))</w:t>
      </w:r>
      <w:r w:rsidRPr="00492DEC">
        <w:rPr>
          <w:bCs/>
        </w:rPr>
        <w:t>. In cases concerning Article 10 of the Convention, it should only be resorted to if it is immediately clear that the impugned statements sought to deflect this Article from its real purpose by employing the right to freedom of expression for ends clearly contrary to the values of the Convention (see</w:t>
      </w:r>
      <w:r w:rsidRPr="00492DEC">
        <w:rPr>
          <w:i/>
        </w:rPr>
        <w:t xml:space="preserve"> </w:t>
      </w:r>
      <w:proofErr w:type="spellStart"/>
      <w:r w:rsidRPr="00492DEC">
        <w:rPr>
          <w:i/>
        </w:rPr>
        <w:t>Perinçek</w:t>
      </w:r>
      <w:proofErr w:type="spellEnd"/>
      <w:r w:rsidRPr="00492DEC">
        <w:rPr>
          <w:i/>
        </w:rPr>
        <w:t xml:space="preserve"> v. Switzerland</w:t>
      </w:r>
      <w:r w:rsidRPr="00492DEC">
        <w:t xml:space="preserve"> [GC], no. 27510/08, § 114, ECHR 2015 (extracts))</w:t>
      </w:r>
      <w:r w:rsidRPr="00492DEC">
        <w:rPr>
          <w:bCs/>
        </w:rPr>
        <w:t>.</w:t>
      </w:r>
    </w:p>
    <w:p w:rsidRPr="00492DEC" w:rsidR="008D3977" w:rsidP="00492DEC" w:rsidRDefault="008D3977" w14:paraId="159301DA" w14:textId="1F64DC26">
      <w:pPr>
        <w:pStyle w:val="JuPara"/>
      </w:pPr>
      <w:r w:rsidRPr="00492DEC">
        <w:fldChar w:fldCharType="begin"/>
      </w:r>
      <w:r w:rsidRPr="00492DEC">
        <w:instrText xml:space="preserve"> SEQ level0 \*arabic </w:instrText>
      </w:r>
      <w:r w:rsidRPr="00492DEC">
        <w:fldChar w:fldCharType="separate"/>
      </w:r>
      <w:r w:rsidRPr="00492DEC" w:rsidR="00492DEC">
        <w:rPr>
          <w:noProof/>
        </w:rPr>
        <w:t>73</w:t>
      </w:r>
      <w:r w:rsidRPr="00492DEC">
        <w:fldChar w:fldCharType="end"/>
      </w:r>
      <w:r w:rsidRPr="00492DEC">
        <w:t>.  While it is true that some of the slogans chanted by the applicants referred to the leader of the PKK and the conditions of his detention (see paragraph </w:t>
      </w:r>
      <w:r w:rsidRPr="00492DEC" w:rsidR="00757B5F">
        <w:t>5</w:t>
      </w:r>
      <w:r w:rsidRPr="00492DEC">
        <w:t xml:space="preserve"> above), the Court notes that it has already examined almost identical slogans within the context of other applications lodged against Turkey under Article</w:t>
      </w:r>
      <w:r w:rsidRPr="00492DEC" w:rsidR="00296D5E">
        <w:t xml:space="preserve"> </w:t>
      </w:r>
      <w:r w:rsidRPr="00492DEC">
        <w:t xml:space="preserve">10 of the Convention. It concluded in respect of those cases that such slogans did not constitute an incitement to violence (see, among others, </w:t>
      </w:r>
      <w:proofErr w:type="spellStart"/>
      <w:r w:rsidRPr="00492DEC">
        <w:rPr>
          <w:i/>
        </w:rPr>
        <w:t>Belge</w:t>
      </w:r>
      <w:proofErr w:type="spellEnd"/>
      <w:r w:rsidRPr="00492DEC">
        <w:rPr>
          <w:i/>
        </w:rPr>
        <w:t xml:space="preserve"> v. Turkey</w:t>
      </w:r>
      <w:r w:rsidRPr="00492DEC">
        <w:t xml:space="preserve">, no. 50171/09, §§ 34-35, 6 December 2016 and the cases cited therein, and </w:t>
      </w:r>
      <w:r w:rsidRPr="00492DEC">
        <w:rPr>
          <w:i/>
        </w:rPr>
        <w:t xml:space="preserve">Belek and </w:t>
      </w:r>
      <w:proofErr w:type="spellStart"/>
      <w:r w:rsidRPr="00492DEC">
        <w:rPr>
          <w:i/>
        </w:rPr>
        <w:t>Velioğlu</w:t>
      </w:r>
      <w:proofErr w:type="spellEnd"/>
      <w:r w:rsidRPr="00492DEC">
        <w:t xml:space="preserve"> </w:t>
      </w:r>
      <w:r w:rsidRPr="00492DEC">
        <w:rPr>
          <w:i/>
        </w:rPr>
        <w:t>v. Turkey</w:t>
      </w:r>
      <w:r w:rsidRPr="00492DEC">
        <w:t>, no.</w:t>
      </w:r>
      <w:r w:rsidRPr="00492DEC" w:rsidR="00757B5F">
        <w:t> </w:t>
      </w:r>
      <w:r w:rsidRPr="00492DEC">
        <w:t>44227/04, §§ 24</w:t>
      </w:r>
      <w:r w:rsidRPr="00492DEC">
        <w:noBreakHyphen/>
        <w:t>25, 6</w:t>
      </w:r>
      <w:r w:rsidRPr="00492DEC" w:rsidR="00D57E08">
        <w:t xml:space="preserve"> </w:t>
      </w:r>
      <w:r w:rsidRPr="00492DEC">
        <w:t>October 2015</w:t>
      </w:r>
      <w:bookmarkEnd w:id="39"/>
      <w:r w:rsidRPr="00492DEC">
        <w:t xml:space="preserve">), and it does not discern any reason in the present case to depart from those findings. </w:t>
      </w:r>
      <w:bookmarkStart w:name="_Hlk89962985" w:id="40"/>
      <w:r w:rsidRPr="00492DEC">
        <w:t>Accordingly, the Court dismisses the first limb of the Government</w:t>
      </w:r>
      <w:r w:rsidRPr="00492DEC" w:rsidR="00492DEC">
        <w:t>’</w:t>
      </w:r>
      <w:r w:rsidRPr="00492DEC">
        <w:t xml:space="preserve">s preliminary objection </w:t>
      </w:r>
      <w:proofErr w:type="gramStart"/>
      <w:r w:rsidRPr="00492DEC">
        <w:t>on the basis of</w:t>
      </w:r>
      <w:proofErr w:type="gramEnd"/>
      <w:r w:rsidRPr="00492DEC">
        <w:t xml:space="preserve"> Article 17 of the Convention.</w:t>
      </w:r>
    </w:p>
    <w:bookmarkEnd w:id="40"/>
    <w:p w:rsidRPr="00492DEC" w:rsidR="008D3977" w:rsidP="00492DEC" w:rsidRDefault="008D3977" w14:paraId="43BACA35" w14:textId="6B10895D">
      <w:pPr>
        <w:pStyle w:val="JuPara"/>
      </w:pPr>
      <w:r w:rsidRPr="00492DEC">
        <w:fldChar w:fldCharType="begin"/>
      </w:r>
      <w:r w:rsidRPr="00492DEC">
        <w:instrText xml:space="preserve"> SEQ level0 \*arabic \* MERGEFORMAT </w:instrText>
      </w:r>
      <w:r w:rsidRPr="00492DEC">
        <w:fldChar w:fldCharType="separate"/>
      </w:r>
      <w:r w:rsidRPr="00492DEC" w:rsidR="00492DEC">
        <w:rPr>
          <w:noProof/>
        </w:rPr>
        <w:t>74</w:t>
      </w:r>
      <w:r w:rsidRPr="00492DEC">
        <w:fldChar w:fldCharType="end"/>
      </w:r>
      <w:r w:rsidRPr="00492DEC">
        <w:t>.  As regards the second limb of the Government</w:t>
      </w:r>
      <w:r w:rsidRPr="00492DEC" w:rsidR="00492DEC">
        <w:t>’</w:t>
      </w:r>
      <w:r w:rsidRPr="00492DEC">
        <w:t>s objection, which focused on the applicants</w:t>
      </w:r>
      <w:r w:rsidRPr="00492DEC" w:rsidR="00492DEC">
        <w:t>’</w:t>
      </w:r>
      <w:r w:rsidRPr="00492DEC">
        <w:t xml:space="preserve"> actions during the protest, the Court finds it more appropriate to join it to the merits of the complaint under Article 11 of the Convention, given that the question of whether the applicants had violent intentions, incited others to violence or committed any violent acts themselves during the protest is inherently linked to and overlaps with the Court</w:t>
      </w:r>
      <w:r w:rsidRPr="00492DEC" w:rsidR="00492DEC">
        <w:t>’</w:t>
      </w:r>
      <w:r w:rsidRPr="00492DEC">
        <w:t>s examination of the question of whether there has been an interference with the applicant</w:t>
      </w:r>
      <w:r w:rsidRPr="00492DEC" w:rsidR="00492DEC">
        <w:t>’</w:t>
      </w:r>
      <w:r w:rsidRPr="00492DEC">
        <w:t xml:space="preserve">s rights under that provision (see, </w:t>
      </w:r>
      <w:r w:rsidRPr="00492DEC">
        <w:rPr>
          <w:i/>
          <w:iCs/>
        </w:rPr>
        <w:t>mutatis mutandis</w:t>
      </w:r>
      <w:r w:rsidRPr="00492DEC">
        <w:t xml:space="preserve">, </w:t>
      </w:r>
      <w:bookmarkStart w:name="_Hlk97295046" w:id="41"/>
      <w:proofErr w:type="spellStart"/>
      <w:r w:rsidRPr="00492DEC">
        <w:rPr>
          <w:i/>
          <w:iCs/>
        </w:rPr>
        <w:t>Kilin</w:t>
      </w:r>
      <w:proofErr w:type="spellEnd"/>
      <w:r w:rsidRPr="00492DEC">
        <w:rPr>
          <w:i/>
          <w:iCs/>
        </w:rPr>
        <w:t xml:space="preserve"> v. Russia</w:t>
      </w:r>
      <w:r w:rsidRPr="00492DEC">
        <w:t>, no. 10271/12, § 49, 11 May 2021</w:t>
      </w:r>
      <w:bookmarkEnd w:id="41"/>
      <w:r w:rsidRPr="00492DEC">
        <w:t>).</w:t>
      </w:r>
    </w:p>
    <w:p w:rsidRPr="00492DEC" w:rsidR="008D3977" w:rsidP="00492DEC" w:rsidRDefault="008D3977" w14:paraId="6FEC3991" w14:textId="02729FA4">
      <w:pPr>
        <w:pStyle w:val="JuPara"/>
      </w:pPr>
      <w:r w:rsidRPr="00492DEC">
        <w:fldChar w:fldCharType="begin"/>
      </w:r>
      <w:r w:rsidRPr="00492DEC">
        <w:instrText xml:space="preserve"> SEQ level0 \*arabic </w:instrText>
      </w:r>
      <w:r w:rsidRPr="00492DEC">
        <w:fldChar w:fldCharType="separate"/>
      </w:r>
      <w:r w:rsidRPr="00492DEC" w:rsidR="00492DEC">
        <w:rPr>
          <w:noProof/>
        </w:rPr>
        <w:t>75</w:t>
      </w:r>
      <w:r w:rsidRPr="00492DEC">
        <w:fldChar w:fldCharType="end"/>
      </w:r>
      <w:r w:rsidRPr="00492DEC">
        <w:t>.  The Court notes that this complaint is neither manifestly ill-founded nor inadmissible on any other grounds listed in Article 35 of the Convention. It must therefore be declared admissible.</w:t>
      </w:r>
    </w:p>
    <w:p w:rsidRPr="00492DEC" w:rsidR="008D3977" w:rsidP="00492DEC" w:rsidRDefault="008D3977" w14:paraId="54695DD2" w14:textId="77777777">
      <w:pPr>
        <w:pStyle w:val="JuHA"/>
      </w:pPr>
      <w:r w:rsidRPr="00492DEC">
        <w:t>Merits</w:t>
      </w:r>
    </w:p>
    <w:p w:rsidRPr="00492DEC" w:rsidR="008D3977" w:rsidP="00492DEC" w:rsidRDefault="008D3977" w14:paraId="69411BBA" w14:textId="6FB2DE5C">
      <w:pPr>
        <w:pStyle w:val="JuH1"/>
        <w:ind w:left="731" w:hanging="300"/>
        <w:jc w:val="left"/>
      </w:pPr>
      <w:r w:rsidRPr="00492DEC">
        <w:t>The parties</w:t>
      </w:r>
      <w:r w:rsidRPr="00492DEC" w:rsidR="00492DEC">
        <w:t>’</w:t>
      </w:r>
      <w:r w:rsidRPr="00492DEC">
        <w:t xml:space="preserve"> submissions</w:t>
      </w:r>
    </w:p>
    <w:p w:rsidRPr="00492DEC" w:rsidR="008D3977" w:rsidP="00492DEC" w:rsidRDefault="008D3977" w14:paraId="01D191A1" w14:textId="096BB4F9">
      <w:pPr>
        <w:pStyle w:val="JuPara"/>
      </w:pPr>
      <w:r w:rsidRPr="00492DEC">
        <w:rPr>
          <w:i/>
          <w:iCs/>
        </w:rPr>
        <w:fldChar w:fldCharType="begin"/>
      </w:r>
      <w:r w:rsidRPr="00492DEC">
        <w:rPr>
          <w:i/>
          <w:iCs/>
        </w:rPr>
        <w:instrText xml:space="preserve"> SEQ level0 \*arabic \* MERGEFORMAT </w:instrText>
      </w:r>
      <w:r w:rsidRPr="00492DEC">
        <w:rPr>
          <w:i/>
          <w:iCs/>
        </w:rPr>
        <w:fldChar w:fldCharType="separate"/>
      </w:r>
      <w:r w:rsidRPr="00492DEC" w:rsidR="00492DEC">
        <w:rPr>
          <w:i/>
          <w:iCs/>
          <w:noProof/>
        </w:rPr>
        <w:t>76</w:t>
      </w:r>
      <w:r w:rsidRPr="00492DEC">
        <w:rPr>
          <w:i/>
          <w:iCs/>
        </w:rPr>
        <w:fldChar w:fldCharType="end"/>
      </w:r>
      <w:r w:rsidRPr="00492DEC">
        <w:t>.  The Government reiterated that the applicants</w:t>
      </w:r>
      <w:r w:rsidRPr="00492DEC" w:rsidR="00492DEC">
        <w:t>’</w:t>
      </w:r>
      <w:r w:rsidRPr="00492DEC">
        <w:t xml:space="preserve"> complaint must be rejected as falling outside of the scope of Article 11 of the Convention. In the alternative, the Government argued that the interference with the applicants</w:t>
      </w:r>
      <w:r w:rsidRPr="00492DEC" w:rsidR="00492DEC">
        <w:t>’</w:t>
      </w:r>
      <w:r w:rsidRPr="00492DEC">
        <w:t xml:space="preserve"> rights under Article 11 had been prescribed by law (namely Article 113 of the Criminal Code) and that it had pursued the legitimate aims of protecting national security, health, morals, and the rights and freedom of others and of preventing disorder and crime. The Government further maintained that the applicants had not put an end to their conduct, despite warnings issued by the law enforcement officials, and that the interference by the police had been necessary and proportionate, having regard to the fact that the applicants had chanted slogans in support of a terrorist organisation, deprived civilians and court officials of their liberty and placed those people</w:t>
      </w:r>
      <w:r w:rsidRPr="00492DEC" w:rsidR="00492DEC">
        <w:t>’</w:t>
      </w:r>
      <w:r w:rsidRPr="00492DEC">
        <w:t>s security at risk, while disrupting judicial services for a period of at least an hour. The Government did not submit any comments in respect of the criminal sanctions imposed on the applicants.</w:t>
      </w:r>
    </w:p>
    <w:p w:rsidRPr="00492DEC" w:rsidR="008D3977" w:rsidP="00492DEC" w:rsidRDefault="008D3977" w14:paraId="5FCC85E8" w14:textId="20DA269E">
      <w:pPr>
        <w:pStyle w:val="JuPara"/>
      </w:pPr>
      <w:r w:rsidRPr="00492DEC">
        <w:fldChar w:fldCharType="begin"/>
      </w:r>
      <w:r w:rsidRPr="00492DEC">
        <w:instrText xml:space="preserve"> SEQ level0 \*arabic </w:instrText>
      </w:r>
      <w:r w:rsidRPr="00492DEC">
        <w:fldChar w:fldCharType="separate"/>
      </w:r>
      <w:r w:rsidRPr="00492DEC" w:rsidR="00492DEC">
        <w:rPr>
          <w:noProof/>
        </w:rPr>
        <w:t>77</w:t>
      </w:r>
      <w:r w:rsidRPr="00492DEC">
        <w:fldChar w:fldCharType="end"/>
      </w:r>
      <w:r w:rsidRPr="00492DEC">
        <w:t xml:space="preserve">.  The applicants submitted that the police had used excessive force and prevented them from making a press statement </w:t>
      </w:r>
      <w:proofErr w:type="gramStart"/>
      <w:r w:rsidRPr="00492DEC">
        <w:t>in order to</w:t>
      </w:r>
      <w:proofErr w:type="gramEnd"/>
      <w:r w:rsidRPr="00492DEC">
        <w:t xml:space="preserve"> bring certain aspects of the Kurdish problem to the public</w:t>
      </w:r>
      <w:r w:rsidRPr="00492DEC" w:rsidR="00492DEC">
        <w:t>’</w:t>
      </w:r>
      <w:r w:rsidRPr="00492DEC">
        <w:t>s attention. They further maintained that during the protest, they had not committed any acts of violence, and nor had their press statement contained any remarks inciting the public to violence. The fact that their protest had neither harmed anyone nor resulted in any damage was important. According to the applicants, the police had blockaded the courthouse, and had portrayed what in fact had been a peaceful protest as an act of terrorism and the forcible occupation of the courthouse.</w:t>
      </w:r>
    </w:p>
    <w:p w:rsidRPr="00492DEC" w:rsidR="008D3977" w:rsidP="00492DEC" w:rsidRDefault="008D3977" w14:paraId="443A0CDF" w14:textId="14158951">
      <w:pPr>
        <w:pStyle w:val="JuH1"/>
      </w:pPr>
      <w:r w:rsidRPr="00492DEC">
        <w:t>The Court</w:t>
      </w:r>
      <w:r w:rsidRPr="00492DEC" w:rsidR="00492DEC">
        <w:t>’</w:t>
      </w:r>
      <w:r w:rsidRPr="00492DEC">
        <w:t>s assessment</w:t>
      </w:r>
    </w:p>
    <w:p w:rsidRPr="00492DEC" w:rsidR="008D3977" w:rsidP="00492DEC" w:rsidRDefault="008D3977" w14:paraId="020C8D99" w14:textId="77777777">
      <w:pPr>
        <w:pStyle w:val="JuHa0"/>
      </w:pPr>
      <w:r w:rsidRPr="00492DEC">
        <w:t>General principles</w:t>
      </w:r>
    </w:p>
    <w:p w:rsidRPr="00492DEC" w:rsidR="008D3977" w:rsidP="00492DEC" w:rsidRDefault="00AC04F4" w14:paraId="7189D715" w14:textId="7A21B29B">
      <w:pPr>
        <w:pStyle w:val="JuPara"/>
      </w:pPr>
      <w:fldSimple w:instr=" SEQ level0 \*arabic \* MERGEFORMAT ">
        <w:r w:rsidRPr="00492DEC" w:rsidR="00492DEC">
          <w:rPr>
            <w:noProof/>
          </w:rPr>
          <w:t>78</w:t>
        </w:r>
      </w:fldSimple>
      <w:r w:rsidRPr="00492DEC" w:rsidR="008D3977">
        <w:t xml:space="preserve">.  The general principles </w:t>
      </w:r>
      <w:proofErr w:type="gramStart"/>
      <w:r w:rsidRPr="00492DEC" w:rsidR="008D3977">
        <w:t>with regard to</w:t>
      </w:r>
      <w:proofErr w:type="gramEnd"/>
      <w:r w:rsidRPr="00492DEC" w:rsidR="008D3977">
        <w:t xml:space="preserve"> the right to freedom of assembly can be found in </w:t>
      </w:r>
      <w:bookmarkStart w:name="_Hlk97295078" w:id="42"/>
      <w:proofErr w:type="spellStart"/>
      <w:r w:rsidRPr="00492DEC" w:rsidR="008D3977">
        <w:rPr>
          <w:i/>
        </w:rPr>
        <w:t>Navalnyy</w:t>
      </w:r>
      <w:proofErr w:type="spellEnd"/>
      <w:r w:rsidRPr="00492DEC" w:rsidR="008D3977">
        <w:rPr>
          <w:i/>
        </w:rPr>
        <w:t xml:space="preserve"> v. Russia</w:t>
      </w:r>
      <w:r w:rsidRPr="00492DEC" w:rsidR="008D3977">
        <w:t xml:space="preserve"> ([GC], nos. 29580/12 and</w:t>
      </w:r>
      <w:r w:rsidRPr="00492DEC" w:rsidR="00296D5E">
        <w:t xml:space="preserve"> </w:t>
      </w:r>
      <w:r w:rsidRPr="00492DEC" w:rsidR="008D3977">
        <w:t>4</w:t>
      </w:r>
      <w:r w:rsidRPr="00492DEC" w:rsidR="002609F4">
        <w:t> </w:t>
      </w:r>
      <w:r w:rsidRPr="00492DEC" w:rsidR="008D3977">
        <w:t>others, §§ 98</w:t>
      </w:r>
      <w:r w:rsidRPr="00492DEC" w:rsidR="00913306">
        <w:noBreakHyphen/>
      </w:r>
      <w:r w:rsidRPr="00492DEC" w:rsidR="008D3977">
        <w:t>103, 114-115, 120-122, and 128, 15 November 2018).</w:t>
      </w:r>
    </w:p>
    <w:p w:rsidRPr="00492DEC" w:rsidR="008D3977" w:rsidP="00492DEC" w:rsidRDefault="00AC04F4" w14:paraId="54757C24" w14:textId="3CD7F61A">
      <w:pPr>
        <w:pStyle w:val="JuPara"/>
      </w:pPr>
      <w:fldSimple w:instr=" SEQ level0 \*arabic \* MERGEFORMAT ">
        <w:r w:rsidRPr="00492DEC" w:rsidR="00492DEC">
          <w:rPr>
            <w:noProof/>
          </w:rPr>
          <w:t>79</w:t>
        </w:r>
      </w:fldSimple>
      <w:r w:rsidRPr="00492DEC" w:rsidR="008D3977">
        <w:t>.  T</w:t>
      </w:r>
      <w:r w:rsidRPr="00492DEC" w:rsidR="008D3977">
        <w:rPr>
          <w:lang w:val="en-US"/>
        </w:rPr>
        <w:t xml:space="preserve">he right to freedom of assembly is a fundamental right in a democratic society and, like the right to freedom of expression, is one of the foundations of such a society (see </w:t>
      </w:r>
      <w:proofErr w:type="spellStart"/>
      <w:r w:rsidRPr="00492DEC" w:rsidR="008D3977">
        <w:rPr>
          <w:i/>
        </w:rPr>
        <w:t>Taranenko</w:t>
      </w:r>
      <w:proofErr w:type="spellEnd"/>
      <w:r w:rsidRPr="00492DEC" w:rsidR="008D3977">
        <w:rPr>
          <w:i/>
        </w:rPr>
        <w:t xml:space="preserve"> v. Russia</w:t>
      </w:r>
      <w:r w:rsidRPr="00492DEC" w:rsidR="008D3977">
        <w:t>, no. 19554/05, § 65, 15 May 2014)</w:t>
      </w:r>
      <w:r w:rsidRPr="00492DEC" w:rsidR="008D3977">
        <w:rPr>
          <w:lang w:val="en-US"/>
        </w:rPr>
        <w:t xml:space="preserve">. Thus, it should not be interpreted restrictively (see </w:t>
      </w:r>
      <w:proofErr w:type="spellStart"/>
      <w:r w:rsidRPr="00492DEC" w:rsidR="008D3977">
        <w:rPr>
          <w:i/>
          <w:lang w:val="en-US"/>
        </w:rPr>
        <w:t>Djavit</w:t>
      </w:r>
      <w:proofErr w:type="spellEnd"/>
      <w:r w:rsidRPr="00492DEC" w:rsidR="008D3977">
        <w:rPr>
          <w:i/>
          <w:lang w:val="en-US"/>
        </w:rPr>
        <w:t xml:space="preserve"> An v. Turkey</w:t>
      </w:r>
      <w:r w:rsidRPr="00492DEC" w:rsidR="008D3977">
        <w:rPr>
          <w:lang w:val="en-US"/>
        </w:rPr>
        <w:t>, no.</w:t>
      </w:r>
      <w:r w:rsidRPr="00492DEC" w:rsidR="00913306">
        <w:rPr>
          <w:lang w:val="en-US"/>
        </w:rPr>
        <w:t xml:space="preserve"> </w:t>
      </w:r>
      <w:r w:rsidRPr="00492DEC" w:rsidR="008D3977">
        <w:rPr>
          <w:lang w:val="en-US"/>
        </w:rPr>
        <w:t>20652/92, § 56, ECHR 2003</w:t>
      </w:r>
      <w:r w:rsidRPr="00492DEC" w:rsidR="008D3977">
        <w:rPr>
          <w:lang w:val="en-US"/>
        </w:rPr>
        <w:noBreakHyphen/>
        <w:t xml:space="preserve">III, and </w:t>
      </w:r>
      <w:proofErr w:type="spellStart"/>
      <w:r w:rsidRPr="00492DEC" w:rsidR="008D3977">
        <w:rPr>
          <w:i/>
          <w:lang w:val="en-US"/>
        </w:rPr>
        <w:t>Barraco</w:t>
      </w:r>
      <w:proofErr w:type="spellEnd"/>
      <w:r w:rsidRPr="00492DEC" w:rsidR="008D3977">
        <w:rPr>
          <w:i/>
          <w:lang w:val="en-US"/>
        </w:rPr>
        <w:t xml:space="preserve"> v.</w:t>
      </w:r>
      <w:r w:rsidRPr="00492DEC" w:rsidR="00913306">
        <w:rPr>
          <w:i/>
          <w:lang w:val="en-US"/>
        </w:rPr>
        <w:t> </w:t>
      </w:r>
      <w:r w:rsidRPr="00492DEC" w:rsidR="008D3977">
        <w:rPr>
          <w:i/>
          <w:lang w:val="en-US"/>
        </w:rPr>
        <w:t>France</w:t>
      </w:r>
      <w:r w:rsidRPr="00492DEC" w:rsidR="008D3977">
        <w:rPr>
          <w:lang w:val="en-US"/>
        </w:rPr>
        <w:t xml:space="preserve">, no. 31684/05, § 41, 5 March 2009). A balance must be always struck between the legitimate aims listed in Article 11 § 2 and the right to free expression of opinions by word, gesture or even silence by persons assembled on the streets or in other public places (see </w:t>
      </w:r>
      <w:proofErr w:type="spellStart"/>
      <w:r w:rsidRPr="00492DEC" w:rsidR="008D3977">
        <w:rPr>
          <w:i/>
          <w:lang w:val="en-US"/>
        </w:rPr>
        <w:t>Ezelin</w:t>
      </w:r>
      <w:proofErr w:type="spellEnd"/>
      <w:r w:rsidRPr="00492DEC" w:rsidR="008D3977">
        <w:rPr>
          <w:i/>
          <w:lang w:val="en-US"/>
        </w:rPr>
        <w:t xml:space="preserve"> v.</w:t>
      </w:r>
      <w:r w:rsidRPr="00492DEC" w:rsidR="00913306">
        <w:rPr>
          <w:i/>
          <w:lang w:val="en-US"/>
        </w:rPr>
        <w:t xml:space="preserve"> </w:t>
      </w:r>
      <w:r w:rsidRPr="00492DEC" w:rsidR="008D3977">
        <w:rPr>
          <w:i/>
          <w:lang w:val="en-US"/>
        </w:rPr>
        <w:t>France</w:t>
      </w:r>
      <w:r w:rsidRPr="00492DEC" w:rsidR="008D3977">
        <w:rPr>
          <w:lang w:val="en-US"/>
        </w:rPr>
        <w:t>, 26 April 1991, § 52, Series</w:t>
      </w:r>
      <w:r w:rsidRPr="00492DEC" w:rsidR="00913306">
        <w:rPr>
          <w:lang w:val="en-US"/>
        </w:rPr>
        <w:t> </w:t>
      </w:r>
      <w:r w:rsidRPr="00492DEC" w:rsidR="008D3977">
        <w:rPr>
          <w:lang w:val="en-US"/>
        </w:rPr>
        <w:t>A no. 202).</w:t>
      </w:r>
    </w:p>
    <w:p w:rsidRPr="00492DEC" w:rsidR="008D3977" w:rsidP="00492DEC" w:rsidRDefault="00AC04F4" w14:paraId="3A2842C0" w14:textId="2CBB52D2">
      <w:pPr>
        <w:pStyle w:val="JuPara"/>
      </w:pPr>
      <w:fldSimple w:instr=" SEQ level0 \*arabic \* MERGEFORMAT ">
        <w:r w:rsidRPr="00492DEC" w:rsidR="00492DEC">
          <w:rPr>
            <w:noProof/>
          </w:rPr>
          <w:t>80</w:t>
        </w:r>
      </w:fldSimple>
      <w:r w:rsidRPr="00492DEC" w:rsidR="008D3977">
        <w:t xml:space="preserve">.  Article 11 of the Convention only protects the right to “peaceful assembly” (see, among many others, </w:t>
      </w:r>
      <w:proofErr w:type="spellStart"/>
      <w:r w:rsidRPr="00492DEC" w:rsidR="008D3977">
        <w:rPr>
          <w:i/>
        </w:rPr>
        <w:t>Gün</w:t>
      </w:r>
      <w:proofErr w:type="spellEnd"/>
      <w:r w:rsidRPr="00492DEC" w:rsidR="008D3977">
        <w:rPr>
          <w:i/>
        </w:rPr>
        <w:t xml:space="preserve"> and Others v. Turkey</w:t>
      </w:r>
      <w:r w:rsidRPr="00492DEC" w:rsidR="008D3977">
        <w:t>, no.</w:t>
      </w:r>
      <w:r w:rsidRPr="00492DEC" w:rsidR="00913306">
        <w:t> </w:t>
      </w:r>
      <w:r w:rsidRPr="00492DEC" w:rsidR="008D3977">
        <w:t xml:space="preserve">8029/07, § 49, 18 June 2013) and that notion does not cover a demonstration where the organisers and participants have violent intentions (see </w:t>
      </w:r>
      <w:r w:rsidRPr="00492DEC" w:rsidR="008D3977">
        <w:rPr>
          <w:i/>
        </w:rPr>
        <w:t xml:space="preserve">Stankov and the United Macedonian Organisation </w:t>
      </w:r>
      <w:proofErr w:type="spellStart"/>
      <w:r w:rsidRPr="00492DEC" w:rsidR="008D3977">
        <w:rPr>
          <w:i/>
        </w:rPr>
        <w:t>Ilinden</w:t>
      </w:r>
      <w:proofErr w:type="spellEnd"/>
      <w:r w:rsidRPr="00492DEC" w:rsidR="008D3977">
        <w:rPr>
          <w:i/>
        </w:rPr>
        <w:t xml:space="preserve"> v. Bulgaria</w:t>
      </w:r>
      <w:r w:rsidRPr="00492DEC" w:rsidR="008D3977">
        <w:t>, nos.</w:t>
      </w:r>
      <w:r w:rsidRPr="00492DEC" w:rsidR="00913306">
        <w:t> </w:t>
      </w:r>
      <w:r w:rsidRPr="00492DEC" w:rsidR="008D3977">
        <w:t>29221/95 and</w:t>
      </w:r>
      <w:r w:rsidRPr="00492DEC" w:rsidR="00913306">
        <w:t> </w:t>
      </w:r>
      <w:r w:rsidRPr="00492DEC" w:rsidR="008D3977">
        <w:t>29225/95, § 77, ECHR 2001</w:t>
      </w:r>
      <w:r w:rsidRPr="00492DEC" w:rsidR="008D3977">
        <w:noBreakHyphen/>
        <w:t>IX, and</w:t>
      </w:r>
      <w:r w:rsidRPr="00492DEC" w:rsidR="00B279C7">
        <w:t xml:space="preserve"> </w:t>
      </w:r>
      <w:proofErr w:type="spellStart"/>
      <w:r w:rsidRPr="00492DEC" w:rsidR="00B279C7">
        <w:rPr>
          <w:i/>
          <w:iCs/>
          <w:lang w:val="en-US"/>
        </w:rPr>
        <w:t>Razvozzhayev</w:t>
      </w:r>
      <w:proofErr w:type="spellEnd"/>
      <w:r w:rsidRPr="00492DEC" w:rsidR="00B279C7">
        <w:rPr>
          <w:i/>
          <w:iCs/>
          <w:lang w:val="en-US"/>
        </w:rPr>
        <w:t xml:space="preserve"> v. Russia and Ukraine and </w:t>
      </w:r>
      <w:proofErr w:type="spellStart"/>
      <w:r w:rsidRPr="00492DEC" w:rsidR="00B279C7">
        <w:rPr>
          <w:i/>
          <w:iCs/>
          <w:lang w:val="en-US"/>
        </w:rPr>
        <w:t>Udaltsov</w:t>
      </w:r>
      <w:proofErr w:type="spellEnd"/>
      <w:r w:rsidRPr="00492DEC" w:rsidR="00B279C7">
        <w:rPr>
          <w:i/>
          <w:iCs/>
          <w:lang w:val="en-US"/>
        </w:rPr>
        <w:t xml:space="preserve"> v. Russia</w:t>
      </w:r>
      <w:r w:rsidRPr="00492DEC" w:rsidR="00B279C7">
        <w:rPr>
          <w:lang w:val="en-US"/>
        </w:rPr>
        <w:t xml:space="preserve">, nos. 75734/12 and 2 others, </w:t>
      </w:r>
      <w:r w:rsidRPr="00492DEC" w:rsidR="00B279C7">
        <w:t>§ 285, 19 November 2019</w:t>
      </w:r>
      <w:bookmarkEnd w:id="42"/>
      <w:r w:rsidRPr="00492DEC" w:rsidR="00B279C7">
        <w:t xml:space="preserve">, </w:t>
      </w:r>
      <w:r w:rsidRPr="00492DEC" w:rsidR="008D3977">
        <w:t>and the cases cited therein). The guarantees of Article</w:t>
      </w:r>
      <w:r w:rsidRPr="00492DEC" w:rsidR="00913306">
        <w:t> </w:t>
      </w:r>
      <w:r w:rsidRPr="00492DEC" w:rsidR="008D3977">
        <w:t xml:space="preserve">11 therefore apply to all gatherings except those where the organisers and participants have such intentions, incite </w:t>
      </w:r>
      <w:proofErr w:type="gramStart"/>
      <w:r w:rsidRPr="00492DEC" w:rsidR="008D3977">
        <w:t>violence</w:t>
      </w:r>
      <w:proofErr w:type="gramEnd"/>
      <w:r w:rsidRPr="00492DEC" w:rsidR="008D3977">
        <w:t xml:space="preserve"> or otherwise reject the foundations of a democratic society (see </w:t>
      </w:r>
      <w:bookmarkStart w:name="_Hlk97295160" w:id="43"/>
      <w:proofErr w:type="spellStart"/>
      <w:r w:rsidRPr="00492DEC" w:rsidR="008D3977">
        <w:rPr>
          <w:i/>
        </w:rPr>
        <w:t>Kudrevičius</w:t>
      </w:r>
      <w:proofErr w:type="spellEnd"/>
      <w:r w:rsidRPr="00492DEC" w:rsidR="008D3977">
        <w:t xml:space="preserve"> </w:t>
      </w:r>
      <w:r w:rsidRPr="00492DEC" w:rsidR="008D3977">
        <w:rPr>
          <w:i/>
        </w:rPr>
        <w:t>and Others</w:t>
      </w:r>
      <w:r w:rsidRPr="00492DEC" w:rsidR="008D3977">
        <w:t>, cited above, §</w:t>
      </w:r>
      <w:r w:rsidRPr="00492DEC" w:rsidR="00913306">
        <w:t> </w:t>
      </w:r>
      <w:r w:rsidRPr="00492DEC" w:rsidR="008D3977">
        <w:t xml:space="preserve">92). An assembly tarnished with isolated acts of violence is not automatically considered non-peaceful </w:t>
      </w:r>
      <w:proofErr w:type="gramStart"/>
      <w:r w:rsidRPr="00492DEC" w:rsidR="008D3977">
        <w:t>so as to</w:t>
      </w:r>
      <w:proofErr w:type="gramEnd"/>
      <w:r w:rsidRPr="00492DEC" w:rsidR="008D3977">
        <w:t xml:space="preserve"> forfeit the protection of Article</w:t>
      </w:r>
      <w:r w:rsidRPr="00492DEC" w:rsidR="00913306">
        <w:t> </w:t>
      </w:r>
      <w:r w:rsidRPr="00492DEC" w:rsidR="008D3977">
        <w:t xml:space="preserve">11. In </w:t>
      </w:r>
      <w:proofErr w:type="gramStart"/>
      <w:r w:rsidRPr="00492DEC" w:rsidR="008D3977">
        <w:t>a number of</w:t>
      </w:r>
      <w:proofErr w:type="gramEnd"/>
      <w:r w:rsidRPr="00492DEC" w:rsidR="008D3977">
        <w:t xml:space="preserve"> cases where demonstrators had engaged in acts of violence, the Court has held that the demonstrations in question fell within the scope of Article 11 of the Convention but that the interferences with the right guaranteed by that Article were justified for the prevention of disorder or crime and for the protection of the rights and freedoms of others (see </w:t>
      </w:r>
      <w:proofErr w:type="spellStart"/>
      <w:r w:rsidRPr="00492DEC" w:rsidR="008D3977">
        <w:rPr>
          <w:i/>
          <w:iCs/>
        </w:rPr>
        <w:t>Knežević</w:t>
      </w:r>
      <w:proofErr w:type="spellEnd"/>
      <w:r w:rsidRPr="00492DEC" w:rsidR="008D3977">
        <w:rPr>
          <w:i/>
          <w:iCs/>
        </w:rPr>
        <w:t xml:space="preserve"> v. Montenegro</w:t>
      </w:r>
      <w:r w:rsidRPr="00492DEC" w:rsidR="008D3977">
        <w:t xml:space="preserve"> (dec.), no.</w:t>
      </w:r>
      <w:r w:rsidRPr="00492DEC" w:rsidR="00296D5E">
        <w:t xml:space="preserve"> </w:t>
      </w:r>
      <w:r w:rsidRPr="00492DEC" w:rsidR="008D3977">
        <w:t>54228/18, § 70, 2 February 2021).</w:t>
      </w:r>
    </w:p>
    <w:p w:rsidRPr="00492DEC" w:rsidR="008D3977" w:rsidP="00492DEC" w:rsidRDefault="00AC04F4" w14:paraId="35959924" w14:textId="7EA5ED5C">
      <w:pPr>
        <w:pStyle w:val="JuPara"/>
      </w:pPr>
      <w:fldSimple w:instr=" SEQ level0 \*arabic \* MERGEFORMAT ">
        <w:r w:rsidRPr="00492DEC" w:rsidR="00492DEC">
          <w:rPr>
            <w:noProof/>
          </w:rPr>
          <w:t>81</w:t>
        </w:r>
      </w:fldSimple>
      <w:r w:rsidRPr="00492DEC" w:rsidR="008D3977">
        <w:t xml:space="preserve">.  The right to freedom of assembly includes the right to choose the time, place and manner of conduct of the assembly in question, within the limits established in paragraph 2 of Article 11 (see </w:t>
      </w:r>
      <w:proofErr w:type="spellStart"/>
      <w:r w:rsidRPr="00492DEC" w:rsidR="008D3977">
        <w:rPr>
          <w:i/>
        </w:rPr>
        <w:t>Sáska</w:t>
      </w:r>
      <w:proofErr w:type="spellEnd"/>
      <w:r w:rsidRPr="00492DEC" w:rsidR="008D3977">
        <w:rPr>
          <w:i/>
        </w:rPr>
        <w:t xml:space="preserve"> v. Hungary</w:t>
      </w:r>
      <w:r w:rsidRPr="00492DEC" w:rsidR="008D3977">
        <w:t>, no. </w:t>
      </w:r>
      <w:hyperlink w:tgtFrame="_blank" w:history="1" w:anchor="{&quot;appno&quot;:[&quot;58050/08&quot;]}" r:id="rId12">
        <w:r w:rsidRPr="00492DEC" w:rsidR="008D3977">
          <w:t>58050/08</w:t>
        </w:r>
      </w:hyperlink>
      <w:r w:rsidRPr="00492DEC" w:rsidR="008D3977">
        <w:t>, § 21, 27 November 2012).</w:t>
      </w:r>
      <w:r w:rsidRPr="00492DEC" w:rsidR="008D3977">
        <w:rPr>
          <w:rFonts w:eastAsiaTheme="minorEastAsia"/>
          <w:color w:val="000000"/>
          <w:lang w:eastAsia="en-GB"/>
        </w:rPr>
        <w:t xml:space="preserve"> </w:t>
      </w:r>
      <w:proofErr w:type="gramStart"/>
      <w:r w:rsidRPr="00492DEC" w:rsidR="008D3977">
        <w:t>In particular, that</w:t>
      </w:r>
      <w:proofErr w:type="gramEnd"/>
      <w:r w:rsidRPr="00492DEC" w:rsidR="008D3977">
        <w:t xml:space="preserve"> provision does not require the automatic creation of rights of entry to private property, or even, necessarily, to all publicly owned property, such as, for instance, government offices and ministries (see </w:t>
      </w:r>
      <w:r w:rsidRPr="00492DEC" w:rsidR="008D3977">
        <w:rPr>
          <w:i/>
        </w:rPr>
        <w:t>Appleby and Others v. the United Kingdom</w:t>
      </w:r>
      <w:r w:rsidRPr="00492DEC" w:rsidR="008D3977">
        <w:t>, no. 44306/98, § 47, ECHR 2003</w:t>
      </w:r>
      <w:r w:rsidRPr="00492DEC" w:rsidR="008D3977">
        <w:noBreakHyphen/>
        <w:t>VI).</w:t>
      </w:r>
    </w:p>
    <w:bookmarkEnd w:id="43"/>
    <w:p w:rsidRPr="00492DEC" w:rsidR="008D3977" w:rsidP="00492DEC" w:rsidRDefault="008D3977" w14:paraId="4720C84E" w14:textId="77777777">
      <w:pPr>
        <w:pStyle w:val="JuHa0"/>
      </w:pPr>
      <w:r w:rsidRPr="00492DEC">
        <w:t>Application to the present case</w:t>
      </w:r>
    </w:p>
    <w:p w:rsidRPr="00492DEC" w:rsidR="008D3977" w:rsidP="00492DEC" w:rsidRDefault="008D3977" w14:paraId="4FB12416" w14:textId="06E3E920">
      <w:pPr>
        <w:pStyle w:val="JuHi"/>
        <w:rPr>
          <w:lang w:val="tr-TR"/>
        </w:rPr>
      </w:pPr>
      <w:r w:rsidRPr="00492DEC">
        <w:t>Whether there has been an interference with the exercise of the applicants</w:t>
      </w:r>
      <w:r w:rsidRPr="00492DEC" w:rsidR="00492DEC">
        <w:t>’</w:t>
      </w:r>
      <w:r w:rsidRPr="00492DEC">
        <w:t xml:space="preserve"> freedom of assembly</w:t>
      </w:r>
    </w:p>
    <w:bookmarkStart w:name="nonviolent" w:id="44"/>
    <w:bookmarkStart w:name="_Hlk95903615" w:id="45"/>
    <w:p w:rsidRPr="00492DEC" w:rsidR="008D3977" w:rsidP="00492DEC" w:rsidRDefault="008D3977" w14:paraId="59C25255" w14:textId="50B10212">
      <w:pPr>
        <w:pStyle w:val="JuPara"/>
      </w:pPr>
      <w:r w:rsidRPr="00492DEC">
        <w:rPr>
          <w:iCs/>
        </w:rPr>
        <w:fldChar w:fldCharType="begin"/>
      </w:r>
      <w:r w:rsidRPr="00492DEC">
        <w:rPr>
          <w:iCs/>
        </w:rPr>
        <w:instrText xml:space="preserve"> SEQ level0 \*arabic \* MERGEFORMAT </w:instrText>
      </w:r>
      <w:r w:rsidRPr="00492DEC">
        <w:rPr>
          <w:iCs/>
        </w:rPr>
        <w:fldChar w:fldCharType="separate"/>
      </w:r>
      <w:r w:rsidRPr="00492DEC" w:rsidR="00492DEC">
        <w:rPr>
          <w:iCs/>
          <w:noProof/>
        </w:rPr>
        <w:t>82</w:t>
      </w:r>
      <w:r w:rsidRPr="00492DEC">
        <w:rPr>
          <w:iCs/>
        </w:rPr>
        <w:fldChar w:fldCharType="end"/>
      </w:r>
      <w:bookmarkEnd w:id="44"/>
      <w:r w:rsidRPr="00492DEC">
        <w:rPr>
          <w:iCs/>
        </w:rPr>
        <w:t xml:space="preserve">.  The Court notes that the applicants were arrested, placed in pre-trial detention, </w:t>
      </w:r>
      <w:proofErr w:type="gramStart"/>
      <w:r w:rsidRPr="00492DEC">
        <w:rPr>
          <w:iCs/>
        </w:rPr>
        <w:t>prosecuted</w:t>
      </w:r>
      <w:proofErr w:type="gramEnd"/>
      <w:r w:rsidRPr="00492DEC">
        <w:rPr>
          <w:iCs/>
        </w:rPr>
        <w:t xml:space="preserve"> and convicted on the basis of their actions during their protest on 18 November 2003 at the Sultanahmet Courthouse, which led to the cancellation of some of the hearings scheduled for that day. Nevertheless, none of the witnesses who were present during that protest and who made statements during the ensuing criminal proceedings complained of having suffered any </w:t>
      </w:r>
      <w:proofErr w:type="gramStart"/>
      <w:r w:rsidRPr="00492DEC">
        <w:rPr>
          <w:iCs/>
        </w:rPr>
        <w:t>particular bodily</w:t>
      </w:r>
      <w:proofErr w:type="gramEnd"/>
      <w:r w:rsidRPr="00492DEC">
        <w:rPr>
          <w:iCs/>
        </w:rPr>
        <w:t xml:space="preserve"> harm or of any other kind of damage being inflicted, and nor did they allege that the applicants had engaged in any other kind of violent act (see </w:t>
      </w:r>
      <w:bookmarkStart w:name="_Hlk97295221" w:id="46"/>
      <w:proofErr w:type="spellStart"/>
      <w:r w:rsidRPr="00492DEC">
        <w:rPr>
          <w:i/>
          <w:iCs/>
        </w:rPr>
        <w:t>Razvozzhayev</w:t>
      </w:r>
      <w:proofErr w:type="spellEnd"/>
      <w:r w:rsidRPr="00492DEC">
        <w:rPr>
          <w:i/>
          <w:iCs/>
        </w:rPr>
        <w:t xml:space="preserve"> and </w:t>
      </w:r>
      <w:proofErr w:type="spellStart"/>
      <w:r w:rsidRPr="00492DEC">
        <w:rPr>
          <w:i/>
          <w:iCs/>
        </w:rPr>
        <w:t>Udaltsov</w:t>
      </w:r>
      <w:proofErr w:type="spellEnd"/>
      <w:r w:rsidRPr="00492DEC">
        <w:t>, cited above, § 285</w:t>
      </w:r>
      <w:bookmarkEnd w:id="46"/>
      <w:r w:rsidRPr="00492DEC">
        <w:t>)</w:t>
      </w:r>
      <w:r w:rsidRPr="00492DEC">
        <w:rPr>
          <w:iCs/>
        </w:rPr>
        <w:t>. Similarly, the deputy public prosecutor</w:t>
      </w:r>
      <w:r w:rsidRPr="00492DEC" w:rsidR="00492DEC">
        <w:rPr>
          <w:iCs/>
        </w:rPr>
        <w:t>’</w:t>
      </w:r>
      <w:r w:rsidRPr="00492DEC">
        <w:rPr>
          <w:iCs/>
        </w:rPr>
        <w:t>s incident report dated 18 November 2003 (see paragraph</w:t>
      </w:r>
      <w:r w:rsidRPr="00492DEC" w:rsidR="00913306">
        <w:rPr>
          <w:iCs/>
        </w:rPr>
        <w:t xml:space="preserve"> 7</w:t>
      </w:r>
      <w:r w:rsidRPr="00492DEC">
        <w:rPr>
          <w:iCs/>
        </w:rPr>
        <w:t xml:space="preserve"> above) did not note any damage caused by the applicants</w:t>
      </w:r>
      <w:r w:rsidRPr="00492DEC" w:rsidR="00492DEC">
        <w:rPr>
          <w:iCs/>
        </w:rPr>
        <w:t>’</w:t>
      </w:r>
      <w:r w:rsidRPr="00492DEC">
        <w:rPr>
          <w:iCs/>
        </w:rPr>
        <w:t xml:space="preserve"> conduct</w:t>
      </w:r>
      <w:r w:rsidRPr="00492DEC">
        <w:t xml:space="preserve">. </w:t>
      </w:r>
      <w:r w:rsidRPr="00492DEC">
        <w:rPr>
          <w:iCs/>
        </w:rPr>
        <w:t>Even though the Government argued before the Court that the applicants had deprived of their liberties those who had been in the corridor at the time of the protest, the Court notes that the applicants were neither indicted for nor convicted of false imprisonment. It further appears that the court officials and certain other individuals present in the corridor entered the courtrooms or the registries of those courts and locked themselves in; however, they did not complain of the applicants</w:t>
      </w:r>
      <w:r w:rsidRPr="00492DEC" w:rsidR="00492DEC">
        <w:rPr>
          <w:iCs/>
        </w:rPr>
        <w:t>’</w:t>
      </w:r>
      <w:r w:rsidRPr="00492DEC">
        <w:rPr>
          <w:iCs/>
        </w:rPr>
        <w:t xml:space="preserve"> conduct when they testified as witnesses during the trial.</w:t>
      </w:r>
    </w:p>
    <w:bookmarkEnd w:id="45"/>
    <w:p w:rsidRPr="00492DEC" w:rsidR="008D3977" w:rsidP="00492DEC" w:rsidRDefault="0064570D" w14:paraId="0EDD67C4" w14:textId="7A6E598A">
      <w:pPr>
        <w:pStyle w:val="JuPara"/>
      </w:pPr>
      <w:r w:rsidRPr="00492DEC">
        <w:fldChar w:fldCharType="begin"/>
      </w:r>
      <w:r w:rsidRPr="00492DEC">
        <w:instrText xml:space="preserve"> SEQ level0 \*arabic \* MERGEFORMAT </w:instrText>
      </w:r>
      <w:r w:rsidRPr="00492DEC">
        <w:fldChar w:fldCharType="separate"/>
      </w:r>
      <w:r w:rsidRPr="00492DEC" w:rsidR="00492DEC">
        <w:rPr>
          <w:noProof/>
        </w:rPr>
        <w:t>83</w:t>
      </w:r>
      <w:r w:rsidRPr="00492DEC">
        <w:fldChar w:fldCharType="end"/>
      </w:r>
      <w:r w:rsidRPr="00492DEC" w:rsidR="008D3977">
        <w:t xml:space="preserve">.  Furthermore, </w:t>
      </w:r>
      <w:r w:rsidRPr="00492DEC" w:rsidR="008D3977">
        <w:rPr>
          <w:iCs/>
        </w:rPr>
        <w:t xml:space="preserve">while the alleged prior involvement of the applicants </w:t>
      </w:r>
      <w:proofErr w:type="spellStart"/>
      <w:r w:rsidRPr="00492DEC" w:rsidR="008D3977">
        <w:rPr>
          <w:iCs/>
        </w:rPr>
        <w:t>Ekrem</w:t>
      </w:r>
      <w:proofErr w:type="spellEnd"/>
      <w:r w:rsidRPr="00492DEC" w:rsidR="008D3977">
        <w:rPr>
          <w:iCs/>
        </w:rPr>
        <w:t xml:space="preserve"> Can, Mahmut Cengiz and </w:t>
      </w:r>
      <w:proofErr w:type="spellStart"/>
      <w:r w:rsidRPr="00492DEC" w:rsidR="008D3977">
        <w:rPr>
          <w:iCs/>
        </w:rPr>
        <w:t>Fikret</w:t>
      </w:r>
      <w:proofErr w:type="spellEnd"/>
      <w:r w:rsidRPr="00492DEC" w:rsidR="008D3977">
        <w:rPr>
          <w:iCs/>
        </w:rPr>
        <w:t xml:space="preserve"> </w:t>
      </w:r>
      <w:proofErr w:type="spellStart"/>
      <w:r w:rsidRPr="00492DEC" w:rsidR="008D3977">
        <w:rPr>
          <w:iCs/>
        </w:rPr>
        <w:t>Avras</w:t>
      </w:r>
      <w:proofErr w:type="spellEnd"/>
      <w:r w:rsidRPr="00492DEC" w:rsidR="008D3977">
        <w:rPr>
          <w:iCs/>
        </w:rPr>
        <w:t xml:space="preserve"> in certain other violent acts (which were also examined in the course of the criminal proceedings forming the basis of the present application) may be a relevant consideration when ascertaining whether they had violent intentions when staging their protest at the Sultanahmet Courthouse, it is not in and of itself sufficient to warrant the conclusion that they did in fact have such intentions – particularly when viewed in the light of the fact that certain witnesses attested that the applicants had told them that they should have no fear, assuring them that they would not harm anybody (compare </w:t>
      </w:r>
      <w:bookmarkStart w:name="_Hlk97295244" w:id="47"/>
      <w:r w:rsidRPr="00492DEC" w:rsidR="008D3977">
        <w:rPr>
          <w:i/>
        </w:rPr>
        <w:t>Schwabe and M.G. v. Germany</w:t>
      </w:r>
      <w:r w:rsidRPr="00492DEC" w:rsidR="008D3977">
        <w:t xml:space="preserve">, nos. 8080/08 and 8577/08, § 103, ECHR 2011 (extracts) </w:t>
      </w:r>
      <w:bookmarkEnd w:id="47"/>
      <w:r w:rsidRPr="00492DEC" w:rsidR="008D3977">
        <w:t>and the cases cited therein). Furthermore, the trial court based its conclusion that certain applicants had participated in the impugned acts on the evidence that they had given in the absence of a lawyer while they had been in police custody, in respect of which the Court has already found a violation of Article 6 §§ 1 and 3 (c) of the Convention (see paragraphs</w:t>
      </w:r>
      <w:r w:rsidRPr="00492DEC" w:rsidR="00913306">
        <w:t xml:space="preserve"> 53</w:t>
      </w:r>
      <w:r w:rsidRPr="00492DEC" w:rsidR="008D3977">
        <w:t xml:space="preserve"> to</w:t>
      </w:r>
      <w:r w:rsidRPr="00492DEC" w:rsidR="00913306">
        <w:t xml:space="preserve"> 65</w:t>
      </w:r>
      <w:r w:rsidRPr="00492DEC" w:rsidR="008D3977">
        <w:t xml:space="preserve"> above). It is also important that no weapons or any other dangerous material were found on the applicants at the time of their arrest.</w:t>
      </w:r>
    </w:p>
    <w:bookmarkStart w:name="nonviolent2" w:id="48"/>
    <w:p w:rsidRPr="00492DEC" w:rsidR="008D3977" w:rsidP="00492DEC" w:rsidRDefault="008D3977" w14:paraId="5EE2785B" w14:textId="3B76B2D8">
      <w:pPr>
        <w:pStyle w:val="JuPara"/>
        <w:rPr>
          <w:iCs/>
        </w:rPr>
      </w:pPr>
      <w:r w:rsidRPr="00492DEC">
        <w:rPr>
          <w:iCs/>
        </w:rPr>
        <w:fldChar w:fldCharType="begin"/>
      </w:r>
      <w:r w:rsidRPr="00492DEC">
        <w:rPr>
          <w:iCs/>
        </w:rPr>
        <w:instrText xml:space="preserve"> SEQ level0 \*arabic \* MERGEFORMAT </w:instrText>
      </w:r>
      <w:r w:rsidRPr="00492DEC">
        <w:rPr>
          <w:iCs/>
        </w:rPr>
        <w:fldChar w:fldCharType="separate"/>
      </w:r>
      <w:r w:rsidRPr="00492DEC" w:rsidR="00492DEC">
        <w:rPr>
          <w:iCs/>
          <w:noProof/>
        </w:rPr>
        <w:t>84</w:t>
      </w:r>
      <w:r w:rsidRPr="00492DEC">
        <w:rPr>
          <w:iCs/>
        </w:rPr>
        <w:fldChar w:fldCharType="end"/>
      </w:r>
      <w:bookmarkEnd w:id="48"/>
      <w:r w:rsidRPr="00492DEC">
        <w:rPr>
          <w:iCs/>
        </w:rPr>
        <w:t xml:space="preserve">.  Be that as it may, the Court does not lose sight of the fact that </w:t>
      </w:r>
      <w:proofErr w:type="gramStart"/>
      <w:r w:rsidRPr="00492DEC">
        <w:rPr>
          <w:iCs/>
        </w:rPr>
        <w:t>a number of</w:t>
      </w:r>
      <w:proofErr w:type="gramEnd"/>
      <w:r w:rsidRPr="00492DEC">
        <w:rPr>
          <w:iCs/>
        </w:rPr>
        <w:t xml:space="preserve"> civilians and court officials were confined for approximately one hour inside the offices and hearing rooms as a result of the protest held by the applicants. Those persons were affected by the tear gas that the police administered when dealing with the incident. These elements are sufficient to conclude that the impugned protest negatively impacted the orderly provision of an essential public service (namely judicial services) and disturbed public order for a period of an hour and may have caused fear and discomfort in those who were in the vicinity of the corridor on the third floor of the Sultanahmet Courthouse. That said, in the absence of any violent intention or violent conduct on the part of the applicants, those factors alone do not suffice for the impugned protest to fall outside the scope of Article 11 of the Convention (see </w:t>
      </w:r>
      <w:bookmarkStart w:name="_Hlk97295258" w:id="49"/>
      <w:proofErr w:type="spellStart"/>
      <w:r w:rsidRPr="00492DEC">
        <w:rPr>
          <w:i/>
          <w:iCs/>
        </w:rPr>
        <w:t>Kudrevičius</w:t>
      </w:r>
      <w:proofErr w:type="spellEnd"/>
      <w:r w:rsidRPr="00492DEC">
        <w:rPr>
          <w:i/>
          <w:iCs/>
        </w:rPr>
        <w:t xml:space="preserve"> and Others</w:t>
      </w:r>
      <w:r w:rsidRPr="00492DEC">
        <w:rPr>
          <w:iCs/>
        </w:rPr>
        <w:t>, cited above, § 98</w:t>
      </w:r>
      <w:bookmarkEnd w:id="49"/>
      <w:r w:rsidRPr="00492DEC">
        <w:rPr>
          <w:iCs/>
        </w:rPr>
        <w:t>).</w:t>
      </w:r>
    </w:p>
    <w:p w:rsidRPr="00492DEC" w:rsidR="008D3977" w:rsidP="00492DEC" w:rsidRDefault="008D3977" w14:paraId="31303711" w14:textId="0D947EAC">
      <w:pPr>
        <w:pStyle w:val="JuPara"/>
        <w:rPr>
          <w:iCs/>
          <w:lang w:val="en-US"/>
        </w:rPr>
      </w:pPr>
      <w:r w:rsidRPr="00492DEC">
        <w:rPr>
          <w:iCs/>
          <w:lang w:val="en-US"/>
        </w:rPr>
        <w:fldChar w:fldCharType="begin"/>
      </w:r>
      <w:r w:rsidRPr="00492DEC">
        <w:rPr>
          <w:iCs/>
          <w:lang w:val="en-US"/>
        </w:rPr>
        <w:instrText xml:space="preserve"> SEQ level0 \*arabic \* MERGEFORMAT </w:instrText>
      </w:r>
      <w:r w:rsidRPr="00492DEC">
        <w:rPr>
          <w:iCs/>
          <w:lang w:val="en-US"/>
        </w:rPr>
        <w:fldChar w:fldCharType="separate"/>
      </w:r>
      <w:r w:rsidRPr="00492DEC" w:rsidR="00492DEC">
        <w:rPr>
          <w:iCs/>
          <w:noProof/>
          <w:lang w:val="en-US"/>
        </w:rPr>
        <w:t>85</w:t>
      </w:r>
      <w:r w:rsidRPr="00492DEC">
        <w:rPr>
          <w:iCs/>
          <w:lang w:val="en-US"/>
        </w:rPr>
        <w:fldChar w:fldCharType="end"/>
      </w:r>
      <w:r w:rsidRPr="00492DEC">
        <w:rPr>
          <w:iCs/>
          <w:lang w:val="en-US"/>
        </w:rPr>
        <w:t>.  </w:t>
      </w:r>
      <w:r w:rsidRPr="00492DEC">
        <w:rPr>
          <w:iCs/>
        </w:rPr>
        <w:t>In view of the above, and despite the disturbance caused to public order by the applicants</w:t>
      </w:r>
      <w:r w:rsidRPr="00492DEC" w:rsidR="00492DEC">
        <w:rPr>
          <w:iCs/>
        </w:rPr>
        <w:t>’</w:t>
      </w:r>
      <w:r w:rsidRPr="00492DEC">
        <w:rPr>
          <w:iCs/>
        </w:rPr>
        <w:t xml:space="preserve"> conduct for a period of one hour, their actions were not such as to warrant the conclusion that they relied on the Convention to engage in activity or in acts aimed at the destruction of any of the rights and freedoms set forth in it. </w:t>
      </w:r>
      <w:bookmarkStart w:name="_Hlk89960330" w:id="50"/>
      <w:r w:rsidRPr="00492DEC">
        <w:rPr>
          <w:iCs/>
        </w:rPr>
        <w:t xml:space="preserve">On those grounds, </w:t>
      </w:r>
      <w:r w:rsidRPr="00492DEC">
        <w:rPr>
          <w:iCs/>
          <w:lang w:val="en-US"/>
        </w:rPr>
        <w:t>the Court dismisses the Government</w:t>
      </w:r>
      <w:r w:rsidRPr="00492DEC" w:rsidR="00492DEC">
        <w:rPr>
          <w:iCs/>
          <w:lang w:val="en-US"/>
        </w:rPr>
        <w:t>’</w:t>
      </w:r>
      <w:r w:rsidRPr="00492DEC">
        <w:rPr>
          <w:iCs/>
          <w:lang w:val="en-US"/>
        </w:rPr>
        <w:t>s preliminary objection based on Article 17 of the Convention (see paragraph</w:t>
      </w:r>
      <w:r w:rsidRPr="00492DEC" w:rsidR="00913306">
        <w:rPr>
          <w:iCs/>
          <w:lang w:val="en-US"/>
        </w:rPr>
        <w:t xml:space="preserve"> 69</w:t>
      </w:r>
      <w:r w:rsidRPr="00492DEC">
        <w:rPr>
          <w:iCs/>
          <w:lang w:val="en-US"/>
        </w:rPr>
        <w:t xml:space="preserve"> above).</w:t>
      </w:r>
      <w:bookmarkEnd w:id="50"/>
    </w:p>
    <w:p w:rsidRPr="00492DEC" w:rsidR="008D3977" w:rsidP="00492DEC" w:rsidRDefault="008D3977" w14:paraId="21BD5242" w14:textId="753DF1DE">
      <w:pPr>
        <w:pStyle w:val="JuPara"/>
        <w:rPr>
          <w:iCs/>
        </w:rPr>
      </w:pPr>
      <w:r w:rsidRPr="00492DEC">
        <w:rPr>
          <w:iCs/>
        </w:rPr>
        <w:fldChar w:fldCharType="begin"/>
      </w:r>
      <w:r w:rsidRPr="00492DEC">
        <w:rPr>
          <w:iCs/>
        </w:rPr>
        <w:instrText xml:space="preserve"> SEQ level0 \*arabic </w:instrText>
      </w:r>
      <w:r w:rsidRPr="00492DEC">
        <w:rPr>
          <w:iCs/>
        </w:rPr>
        <w:fldChar w:fldCharType="separate"/>
      </w:r>
      <w:r w:rsidRPr="00492DEC" w:rsidR="00492DEC">
        <w:rPr>
          <w:iCs/>
          <w:noProof/>
        </w:rPr>
        <w:t>86</w:t>
      </w:r>
      <w:r w:rsidRPr="00492DEC">
        <w:rPr>
          <w:iCs/>
        </w:rPr>
        <w:fldChar w:fldCharType="end"/>
      </w:r>
      <w:r w:rsidRPr="00492DEC">
        <w:rPr>
          <w:iCs/>
        </w:rPr>
        <w:t>.  </w:t>
      </w:r>
      <w:r w:rsidRPr="00492DEC">
        <w:rPr>
          <w:iCs/>
          <w:lang w:val="en-US"/>
        </w:rPr>
        <w:t xml:space="preserve">Accordingly, </w:t>
      </w:r>
      <w:r w:rsidRPr="00492DEC">
        <w:t>t</w:t>
      </w:r>
      <w:r w:rsidRPr="00492DEC">
        <w:rPr>
          <w:lang w:val="en-US"/>
        </w:rPr>
        <w:t>here has been an interference with the applicants</w:t>
      </w:r>
      <w:r w:rsidRPr="00492DEC" w:rsidR="00492DEC">
        <w:rPr>
          <w:lang w:val="en-US"/>
        </w:rPr>
        <w:t>’</w:t>
      </w:r>
      <w:r w:rsidRPr="00492DEC">
        <w:rPr>
          <w:lang w:val="en-US"/>
        </w:rPr>
        <w:t xml:space="preserve"> exercise of their right to freedom of assembly on account of their arrest, detention, </w:t>
      </w:r>
      <w:proofErr w:type="gramStart"/>
      <w:r w:rsidRPr="00492DEC">
        <w:rPr>
          <w:lang w:val="en-US"/>
        </w:rPr>
        <w:t>prosecution</w:t>
      </w:r>
      <w:proofErr w:type="gramEnd"/>
      <w:r w:rsidRPr="00492DEC">
        <w:rPr>
          <w:lang w:val="en-US"/>
        </w:rPr>
        <w:t xml:space="preserve"> and conviction on the basis of their participation in a </w:t>
      </w:r>
      <w:r w:rsidRPr="00492DEC">
        <w:t>protest within the premises of the Sultanahmet Courthouse.</w:t>
      </w:r>
    </w:p>
    <w:p w:rsidRPr="00492DEC" w:rsidR="008D3977" w:rsidP="00492DEC" w:rsidRDefault="008D3977" w14:paraId="77096199" w14:textId="77777777">
      <w:pPr>
        <w:pStyle w:val="JuHi"/>
        <w:rPr>
          <w:lang w:val="tr-TR"/>
        </w:rPr>
      </w:pPr>
      <w:bookmarkStart w:name="interference2" w:id="51"/>
      <w:r w:rsidRPr="00492DEC">
        <w:t xml:space="preserve">Whether the interference </w:t>
      </w:r>
      <w:bookmarkEnd w:id="51"/>
      <w:r w:rsidRPr="00492DEC">
        <w:t>was prescribed by law and pursued a legitimate aim</w:t>
      </w:r>
    </w:p>
    <w:p w:rsidRPr="00492DEC" w:rsidR="008D3977" w:rsidP="00492DEC" w:rsidRDefault="008D3977" w14:paraId="3DF2308E" w14:textId="6F199BBB">
      <w:pPr>
        <w:pStyle w:val="JuPara"/>
      </w:pPr>
      <w:r w:rsidRPr="00492DEC">
        <w:rPr>
          <w:lang w:val="tr-TR"/>
        </w:rPr>
        <w:fldChar w:fldCharType="begin"/>
      </w:r>
      <w:r w:rsidRPr="00492DEC">
        <w:rPr>
          <w:lang w:val="tr-TR"/>
        </w:rPr>
        <w:instrText xml:space="preserve"> SEQ level0 \*arabic \* MERGEFORMAT </w:instrText>
      </w:r>
      <w:r w:rsidRPr="00492DEC">
        <w:rPr>
          <w:lang w:val="tr-TR"/>
        </w:rPr>
        <w:fldChar w:fldCharType="separate"/>
      </w:r>
      <w:r w:rsidRPr="00492DEC" w:rsidR="00492DEC">
        <w:rPr>
          <w:noProof/>
          <w:lang w:val="tr-TR"/>
        </w:rPr>
        <w:t>87</w:t>
      </w:r>
      <w:r w:rsidRPr="00492DEC">
        <w:rPr>
          <w:lang w:val="tr-TR"/>
        </w:rPr>
        <w:fldChar w:fldCharType="end"/>
      </w:r>
      <w:r w:rsidRPr="00492DEC">
        <w:rPr>
          <w:lang w:val="tr-TR"/>
        </w:rPr>
        <w:t>.  </w:t>
      </w:r>
      <w:r w:rsidRPr="00492DEC">
        <w:t>It is not disputed between the parties that the interference with the applicants</w:t>
      </w:r>
      <w:r w:rsidRPr="00492DEC" w:rsidR="00492DEC">
        <w:t>’</w:t>
      </w:r>
      <w:r w:rsidRPr="00492DEC">
        <w:t xml:space="preserve"> right to freedom of expression had a legal basis under the domestic law – </w:t>
      </w:r>
      <w:proofErr w:type="gramStart"/>
      <w:r w:rsidRPr="00492DEC">
        <w:t>in particular under</w:t>
      </w:r>
      <w:proofErr w:type="gramEnd"/>
      <w:r w:rsidRPr="00492DEC">
        <w:t xml:space="preserve"> Article 113 § 1 of the Criminal Code and that the relevant law satisfied the quality-of-law requirements under the Convention.</w:t>
      </w:r>
    </w:p>
    <w:p w:rsidRPr="00492DEC" w:rsidR="008D3977" w:rsidP="00492DEC" w:rsidRDefault="008D3977" w14:paraId="0F3D88BD" w14:textId="29A1C732">
      <w:pPr>
        <w:pStyle w:val="JuPara"/>
      </w:pPr>
      <w:r w:rsidRPr="00492DEC">
        <w:fldChar w:fldCharType="begin"/>
      </w:r>
      <w:r w:rsidRPr="00492DEC">
        <w:instrText xml:space="preserve"> SEQ level0 \*arabic </w:instrText>
      </w:r>
      <w:r w:rsidRPr="00492DEC">
        <w:fldChar w:fldCharType="separate"/>
      </w:r>
      <w:r w:rsidRPr="00492DEC" w:rsidR="00492DEC">
        <w:rPr>
          <w:noProof/>
        </w:rPr>
        <w:t>88</w:t>
      </w:r>
      <w:r w:rsidRPr="00492DEC">
        <w:rPr>
          <w:lang w:val="en-US"/>
        </w:rPr>
        <w:fldChar w:fldCharType="end"/>
      </w:r>
      <w:r w:rsidRPr="00492DEC">
        <w:t>.  The Court further considers that the interference in question pursued the legitimate aims of protecting public safety and the rights and freedoms of others, and of preventing disorder.</w:t>
      </w:r>
    </w:p>
    <w:p w:rsidRPr="00492DEC" w:rsidR="008D3977" w:rsidP="00492DEC" w:rsidRDefault="008D3977" w14:paraId="46B36345" w14:textId="57CB8D02">
      <w:pPr>
        <w:pStyle w:val="JuHi"/>
        <w:rPr>
          <w:lang w:val="tr-TR"/>
        </w:rPr>
      </w:pPr>
      <w:r w:rsidRPr="00492DEC">
        <w:t>Necessity</w:t>
      </w:r>
      <w:r w:rsidRPr="00492DEC">
        <w:rPr>
          <w:bCs w:val="0"/>
        </w:rPr>
        <w:t xml:space="preserve"> in a democratic society </w:t>
      </w:r>
      <w:r w:rsidRPr="00492DEC">
        <w:t>of the interference with the applicants</w:t>
      </w:r>
      <w:r w:rsidRPr="00492DEC" w:rsidR="00492DEC">
        <w:t>’</w:t>
      </w:r>
      <w:r w:rsidRPr="00492DEC">
        <w:t xml:space="preserve"> rights under Article 11 of the Convention, read in the light of Article 10</w:t>
      </w:r>
    </w:p>
    <w:p w:rsidRPr="00492DEC" w:rsidR="008D3977" w:rsidP="00492DEC" w:rsidRDefault="008D3977" w14:paraId="6AF43923" w14:textId="05686675">
      <w:pPr>
        <w:pStyle w:val="JuPara"/>
        <w:rPr>
          <w:lang w:val="en-US"/>
        </w:rPr>
      </w:pPr>
      <w:r w:rsidRPr="00492DEC">
        <w:rPr>
          <w:lang w:val="en-US"/>
        </w:rPr>
        <w:fldChar w:fldCharType="begin"/>
      </w:r>
      <w:r w:rsidRPr="00492DEC">
        <w:rPr>
          <w:lang w:val="en-US"/>
        </w:rPr>
        <w:instrText xml:space="preserve"> SEQ level0 \*arabic </w:instrText>
      </w:r>
      <w:r w:rsidRPr="00492DEC">
        <w:rPr>
          <w:lang w:val="en-US"/>
        </w:rPr>
        <w:fldChar w:fldCharType="separate"/>
      </w:r>
      <w:r w:rsidRPr="00492DEC" w:rsidR="00492DEC">
        <w:rPr>
          <w:noProof/>
          <w:lang w:val="en-US"/>
        </w:rPr>
        <w:t>89</w:t>
      </w:r>
      <w:r w:rsidRPr="00492DEC">
        <w:rPr>
          <w:lang w:val="en-US"/>
        </w:rPr>
        <w:fldChar w:fldCharType="end"/>
      </w:r>
      <w:r w:rsidRPr="00492DEC">
        <w:rPr>
          <w:lang w:val="en-US"/>
        </w:rPr>
        <w:t xml:space="preserve">.  The test of necessity in a democratic society requires the Court to determine whether the interference complained of corresponded to a “pressing social need”, whether it was proportionate to the legitimate aim pursued and whether the reasons given by the national authorities to justify it were relevant and sufficient (see </w:t>
      </w:r>
      <w:bookmarkStart w:name="_Hlk97295284" w:id="52"/>
      <w:proofErr w:type="spellStart"/>
      <w:r w:rsidRPr="00492DEC">
        <w:rPr>
          <w:i/>
        </w:rPr>
        <w:t>Taranenko</w:t>
      </w:r>
      <w:proofErr w:type="spellEnd"/>
      <w:r w:rsidRPr="00492DEC">
        <w:rPr>
          <w:iCs/>
        </w:rPr>
        <w:t>, cited above</w:t>
      </w:r>
      <w:r w:rsidRPr="00492DEC">
        <w:t>, § 74</w:t>
      </w:r>
      <w:bookmarkEnd w:id="52"/>
      <w:r w:rsidRPr="00492DEC">
        <w:rPr>
          <w:lang w:val="en-US"/>
        </w:rPr>
        <w:t>).</w:t>
      </w:r>
    </w:p>
    <w:p w:rsidRPr="00492DEC" w:rsidR="008D3977" w:rsidP="00492DEC" w:rsidRDefault="008D3977" w14:paraId="3640E336" w14:textId="4EDF0829">
      <w:pPr>
        <w:pStyle w:val="JuPara"/>
        <w:rPr>
          <w:lang w:val="en-US"/>
        </w:rPr>
      </w:pPr>
      <w:r w:rsidRPr="00492DEC">
        <w:fldChar w:fldCharType="begin"/>
      </w:r>
      <w:r w:rsidRPr="00492DEC">
        <w:instrText xml:space="preserve"> SEQ level0 \*arabic </w:instrText>
      </w:r>
      <w:r w:rsidRPr="00492DEC">
        <w:fldChar w:fldCharType="separate"/>
      </w:r>
      <w:r w:rsidRPr="00492DEC" w:rsidR="00492DEC">
        <w:rPr>
          <w:noProof/>
        </w:rPr>
        <w:t>90</w:t>
      </w:r>
      <w:r w:rsidRPr="00492DEC">
        <w:fldChar w:fldCharType="end"/>
      </w:r>
      <w:r w:rsidRPr="00492DEC">
        <w:t xml:space="preserve">.  The Court notes that even though </w:t>
      </w:r>
      <w:r w:rsidRPr="00492DEC">
        <w:rPr>
          <w:lang w:val="en-US"/>
        </w:rPr>
        <w:t>the applicants</w:t>
      </w:r>
      <w:r w:rsidRPr="00492DEC" w:rsidR="00492DEC">
        <w:rPr>
          <w:lang w:val="en-US"/>
        </w:rPr>
        <w:t>’</w:t>
      </w:r>
      <w:r w:rsidRPr="00492DEC">
        <w:rPr>
          <w:lang w:val="en-US"/>
        </w:rPr>
        <w:t xml:space="preserve"> protest concerned an issue of public interest, the manner in which they opted to convey their message and exercised their rights under Article 11 of the Convention not only disturbed public safety and constituted a risk in respect of the protection of the rights and freedoms of “others” present at the Sultanahmet Courthouse, but also disrupted an essential public service – namely the orderly administration of justice (see </w:t>
      </w:r>
      <w:bookmarkStart w:name="_Hlk97295297" w:id="53"/>
      <w:proofErr w:type="spellStart"/>
      <w:r w:rsidRPr="00492DEC">
        <w:rPr>
          <w:i/>
          <w:iCs/>
        </w:rPr>
        <w:t>Öğrü</w:t>
      </w:r>
      <w:proofErr w:type="spellEnd"/>
      <w:r w:rsidRPr="00492DEC">
        <w:rPr>
          <w:i/>
          <w:iCs/>
        </w:rPr>
        <w:t xml:space="preserve"> v. Turkey</w:t>
      </w:r>
      <w:r w:rsidRPr="00492DEC">
        <w:rPr>
          <w:lang w:eastAsia="en-GB"/>
        </w:rPr>
        <w:t xml:space="preserve">, no. </w:t>
      </w:r>
      <w:r w:rsidRPr="00492DEC">
        <w:t>19631/12</w:t>
      </w:r>
      <w:r w:rsidRPr="00492DEC">
        <w:rPr>
          <w:lang w:eastAsia="en-GB"/>
        </w:rPr>
        <w:t xml:space="preserve">, </w:t>
      </w:r>
      <w:r w:rsidRPr="00492DEC">
        <w:t>§ 25, 17 October 2017</w:t>
      </w:r>
      <w:bookmarkEnd w:id="53"/>
      <w:r w:rsidRPr="00492DEC">
        <w:t>)</w:t>
      </w:r>
      <w:r w:rsidRPr="00492DEC">
        <w:rPr>
          <w:lang w:val="en-US"/>
        </w:rPr>
        <w:t>. That being the case, the Court concludes that the interference in the instant case corresponded to a pressing social need.</w:t>
      </w:r>
    </w:p>
    <w:p w:rsidRPr="00492DEC" w:rsidR="008D3977" w:rsidP="00492DEC" w:rsidRDefault="00AC04F4" w14:paraId="72594CE1" w14:textId="278E5676">
      <w:pPr>
        <w:pStyle w:val="JuPara"/>
      </w:pPr>
      <w:fldSimple w:instr=" SEQ level0 \*arabic \* MERGEFORMAT ">
        <w:r w:rsidRPr="00492DEC" w:rsidR="00492DEC">
          <w:rPr>
            <w:noProof/>
          </w:rPr>
          <w:t>91</w:t>
        </w:r>
      </w:fldSimple>
      <w:r w:rsidRPr="00492DEC" w:rsidR="008D3977">
        <w:t xml:space="preserve">.  The Court notes that in cases where the exercise of freedom of expression or association is combined with illegal conduct which is disrupting ordinary life and other activities to a degree exceeding that which is inevitable in the circumstances, the Contracting States enjoy a wide margin of appreciation in their assessment of the necessity of taking measures to restrict such conduct, which cannot enjoy the same privileged protection under the Convention as political speech or debate on questions of public interest or the peaceful manifestation of opinions on such matters (see </w:t>
      </w:r>
      <w:bookmarkStart w:name="_Hlk97295313" w:id="54"/>
      <w:proofErr w:type="spellStart"/>
      <w:r w:rsidRPr="00492DEC" w:rsidR="008D3977">
        <w:rPr>
          <w:i/>
        </w:rPr>
        <w:t>Kudrevičius</w:t>
      </w:r>
      <w:proofErr w:type="spellEnd"/>
      <w:r w:rsidRPr="00492DEC" w:rsidR="008D3977">
        <w:t xml:space="preserve"> </w:t>
      </w:r>
      <w:r w:rsidRPr="00492DEC" w:rsidR="008D3977">
        <w:rPr>
          <w:i/>
        </w:rPr>
        <w:t>and Others</w:t>
      </w:r>
      <w:r w:rsidRPr="00492DEC" w:rsidR="008D3977">
        <w:t xml:space="preserve">, cited above, § 156, and </w:t>
      </w:r>
      <w:proofErr w:type="spellStart"/>
      <w:r w:rsidRPr="00492DEC" w:rsidR="008D3977">
        <w:rPr>
          <w:i/>
          <w:iCs/>
        </w:rPr>
        <w:t>Taranenko</w:t>
      </w:r>
      <w:proofErr w:type="spellEnd"/>
      <w:r w:rsidRPr="00492DEC" w:rsidR="008D3977">
        <w:t>, cited above, § 87</w:t>
      </w:r>
      <w:bookmarkEnd w:id="54"/>
      <w:r w:rsidRPr="00492DEC" w:rsidR="008D3977">
        <w:t>). These considerations are equally valid in the context of the present case where the applicants staged their protest in a courthouse in combination with other acts that were, albeit non-violent, capable of seriously disturbing the orderly administration of justice.</w:t>
      </w:r>
    </w:p>
    <w:p w:rsidRPr="00492DEC" w:rsidR="008D3977" w:rsidP="00492DEC" w:rsidRDefault="00AC04F4" w14:paraId="66E751C4" w14:textId="1A055479">
      <w:pPr>
        <w:pStyle w:val="JuPara"/>
      </w:pPr>
      <w:fldSimple w:instr=" SEQ level0 \*arabic \* MERGEFORMAT ">
        <w:r w:rsidRPr="00492DEC" w:rsidR="00492DEC">
          <w:rPr>
            <w:noProof/>
          </w:rPr>
          <w:t>92</w:t>
        </w:r>
      </w:fldSimple>
      <w:r w:rsidRPr="00492DEC" w:rsidR="008D3977">
        <w:t xml:space="preserve">.  That being said, the Contracting States do not enjoy unlimited discretion to take any measure they consider appropriate, and it is for the Court to assess the nature and severity of the penalties imposed for conduct involving some degree of disturbance of public order (see </w:t>
      </w:r>
      <w:bookmarkStart w:name="_Hlk97295397" w:id="55"/>
      <w:proofErr w:type="spellStart"/>
      <w:r w:rsidRPr="00492DEC" w:rsidR="008D3977">
        <w:rPr>
          <w:i/>
        </w:rPr>
        <w:t>Taranenko</w:t>
      </w:r>
      <w:proofErr w:type="spellEnd"/>
      <w:r w:rsidRPr="00492DEC" w:rsidR="008D3977">
        <w:t>,</w:t>
      </w:r>
      <w:r w:rsidRPr="00492DEC" w:rsidR="008D3977">
        <w:rPr>
          <w:i/>
        </w:rPr>
        <w:t xml:space="preserve"> </w:t>
      </w:r>
      <w:r w:rsidRPr="00492DEC" w:rsidR="008D3977">
        <w:t>cited above, §§ 80-87</w:t>
      </w:r>
      <w:bookmarkEnd w:id="55"/>
      <w:r w:rsidRPr="00492DEC" w:rsidR="008D3977">
        <w:t xml:space="preserve">), with a view to examining the proportionality of an interference in relation to the aim pursued (see the above-cited cases of </w:t>
      </w:r>
      <w:bookmarkStart w:name="_Hlk97295351" w:id="56"/>
      <w:proofErr w:type="spellStart"/>
      <w:r w:rsidRPr="00492DEC" w:rsidR="008D3977">
        <w:rPr>
          <w:i/>
        </w:rPr>
        <w:t>Kudrevičius</w:t>
      </w:r>
      <w:proofErr w:type="spellEnd"/>
      <w:r w:rsidRPr="00492DEC" w:rsidR="008D3977">
        <w:rPr>
          <w:i/>
        </w:rPr>
        <w:t xml:space="preserve"> and Others</w:t>
      </w:r>
      <w:r w:rsidRPr="00492DEC" w:rsidR="008D3977">
        <w:t xml:space="preserve">, § 146, and </w:t>
      </w:r>
      <w:proofErr w:type="spellStart"/>
      <w:r w:rsidRPr="00492DEC" w:rsidR="008D3977">
        <w:rPr>
          <w:i/>
          <w:iCs/>
        </w:rPr>
        <w:t>Razvozzhayev</w:t>
      </w:r>
      <w:proofErr w:type="spellEnd"/>
      <w:r w:rsidRPr="00492DEC" w:rsidR="008D3977">
        <w:rPr>
          <w:i/>
          <w:iCs/>
        </w:rPr>
        <w:t xml:space="preserve"> and </w:t>
      </w:r>
      <w:proofErr w:type="spellStart"/>
      <w:r w:rsidRPr="00492DEC" w:rsidR="008D3977">
        <w:rPr>
          <w:i/>
          <w:iCs/>
        </w:rPr>
        <w:t>Udaltsov</w:t>
      </w:r>
      <w:proofErr w:type="spellEnd"/>
      <w:r w:rsidRPr="00492DEC" w:rsidR="008D3977">
        <w:t xml:space="preserve">, § 295 and the cases cited therein). At this point, the Court reiterates that a peaceful demonstration should not, in principle, be rendered subject to the threat of a criminal sanction (see </w:t>
      </w:r>
      <w:proofErr w:type="spellStart"/>
      <w:r w:rsidRPr="00492DEC" w:rsidR="008D3977">
        <w:rPr>
          <w:i/>
          <w:iCs/>
        </w:rPr>
        <w:t>Akgöl</w:t>
      </w:r>
      <w:proofErr w:type="spellEnd"/>
      <w:r w:rsidRPr="00492DEC" w:rsidR="008D3977">
        <w:rPr>
          <w:i/>
          <w:iCs/>
        </w:rPr>
        <w:t xml:space="preserve"> and </w:t>
      </w:r>
      <w:proofErr w:type="spellStart"/>
      <w:r w:rsidRPr="00492DEC" w:rsidR="008D3977">
        <w:rPr>
          <w:i/>
          <w:iCs/>
        </w:rPr>
        <w:t>Göl</w:t>
      </w:r>
      <w:proofErr w:type="spellEnd"/>
      <w:r w:rsidRPr="00492DEC" w:rsidR="008D3977">
        <w:rPr>
          <w:i/>
          <w:iCs/>
        </w:rPr>
        <w:t xml:space="preserve"> v. Turkey</w:t>
      </w:r>
      <w:r w:rsidRPr="00492DEC" w:rsidR="008D3977">
        <w:t>, nos. 28495/06 and</w:t>
      </w:r>
      <w:r w:rsidRPr="00492DEC" w:rsidR="00913306">
        <w:t> </w:t>
      </w:r>
      <w:r w:rsidRPr="00492DEC" w:rsidR="008D3977">
        <w:t xml:space="preserve">28516/06, § 43, 17 May 2011), and notably to deprivation of liberty (see </w:t>
      </w:r>
      <w:proofErr w:type="spellStart"/>
      <w:r w:rsidRPr="00492DEC" w:rsidR="008D3977">
        <w:rPr>
          <w:i/>
          <w:iCs/>
        </w:rPr>
        <w:t>Gün</w:t>
      </w:r>
      <w:proofErr w:type="spellEnd"/>
      <w:r w:rsidRPr="00492DEC" w:rsidR="008D3977">
        <w:rPr>
          <w:i/>
          <w:iCs/>
        </w:rPr>
        <w:t xml:space="preserve"> and Others</w:t>
      </w:r>
      <w:r w:rsidRPr="00492DEC" w:rsidR="008D3977">
        <w:t>, cited above, § 83</w:t>
      </w:r>
      <w:bookmarkEnd w:id="56"/>
      <w:r w:rsidRPr="00492DEC" w:rsidR="008D3977">
        <w:t xml:space="preserve">). Thus, the Court must examine with </w:t>
      </w:r>
      <w:proofErr w:type="gramStart"/>
      <w:r w:rsidRPr="00492DEC" w:rsidR="008D3977">
        <w:t>particular scrutiny</w:t>
      </w:r>
      <w:proofErr w:type="gramEnd"/>
      <w:r w:rsidRPr="00492DEC" w:rsidR="008D3977">
        <w:t xml:space="preserve"> the cases where sanctions imposed by the national authorities for non-violent conduct involve a prison sentence (see</w:t>
      </w:r>
      <w:r w:rsidRPr="00492DEC" w:rsidR="002609F4">
        <w:t xml:space="preserve"> </w:t>
      </w:r>
      <w:proofErr w:type="spellStart"/>
      <w:r w:rsidRPr="00492DEC" w:rsidR="008D3977">
        <w:rPr>
          <w:i/>
          <w:iCs/>
        </w:rPr>
        <w:t>Taranenko</w:t>
      </w:r>
      <w:proofErr w:type="spellEnd"/>
      <w:r w:rsidRPr="00492DEC" w:rsidR="008D3977">
        <w:t>, cited above, § 87).</w:t>
      </w:r>
    </w:p>
    <w:p w:rsidRPr="00492DEC" w:rsidR="008D3977" w:rsidP="00492DEC" w:rsidRDefault="008D3977" w14:paraId="233B8E11" w14:textId="72E61AAC">
      <w:pPr>
        <w:pStyle w:val="JuPara"/>
        <w:rPr>
          <w:lang w:val="en-US"/>
        </w:rPr>
      </w:pPr>
      <w:r w:rsidRPr="00492DEC">
        <w:rPr>
          <w:lang w:val="en-US"/>
        </w:rPr>
        <w:fldChar w:fldCharType="begin"/>
      </w:r>
      <w:r w:rsidRPr="00492DEC">
        <w:rPr>
          <w:lang w:val="en-US"/>
        </w:rPr>
        <w:instrText xml:space="preserve"> SEQ level0 \*arabic </w:instrText>
      </w:r>
      <w:r w:rsidRPr="00492DEC">
        <w:rPr>
          <w:lang w:val="en-US"/>
        </w:rPr>
        <w:fldChar w:fldCharType="separate"/>
      </w:r>
      <w:r w:rsidRPr="00492DEC" w:rsidR="00492DEC">
        <w:rPr>
          <w:noProof/>
          <w:lang w:val="en-US"/>
        </w:rPr>
        <w:t>93</w:t>
      </w:r>
      <w:r w:rsidRPr="00492DEC">
        <w:rPr>
          <w:lang w:val="en-US"/>
        </w:rPr>
        <w:fldChar w:fldCharType="end"/>
      </w:r>
      <w:r w:rsidRPr="00492DEC">
        <w:rPr>
          <w:lang w:val="en-US"/>
        </w:rPr>
        <w:t>.  The Court has already established that the applicants</w:t>
      </w:r>
      <w:r w:rsidRPr="00492DEC" w:rsidR="00492DEC">
        <w:rPr>
          <w:lang w:val="en-US"/>
        </w:rPr>
        <w:t>’</w:t>
      </w:r>
      <w:r w:rsidRPr="00492DEC">
        <w:rPr>
          <w:lang w:val="en-US"/>
        </w:rPr>
        <w:t xml:space="preserve"> conduct, albeit involving a certain degree of disturbance, was not violent and caused no damage (see paragraphs</w:t>
      </w:r>
      <w:r w:rsidRPr="00492DEC" w:rsidR="00913306">
        <w:rPr>
          <w:lang w:val="en-US"/>
        </w:rPr>
        <w:t xml:space="preserve"> 82</w:t>
      </w:r>
      <w:r w:rsidRPr="00492DEC">
        <w:rPr>
          <w:lang w:val="en-US"/>
        </w:rPr>
        <w:t xml:space="preserve"> to</w:t>
      </w:r>
      <w:r w:rsidRPr="00492DEC" w:rsidR="00913306">
        <w:rPr>
          <w:lang w:val="en-US"/>
        </w:rPr>
        <w:t xml:space="preserve"> 84</w:t>
      </w:r>
      <w:r w:rsidRPr="00492DEC">
        <w:rPr>
          <w:lang w:val="en-US"/>
        </w:rPr>
        <w:t xml:space="preserve"> above). The Court cannot therefore discern, including from the domestic courts</w:t>
      </w:r>
      <w:r w:rsidRPr="00492DEC" w:rsidR="00492DEC">
        <w:rPr>
          <w:lang w:val="en-US"/>
        </w:rPr>
        <w:t>’</w:t>
      </w:r>
      <w:r w:rsidRPr="00492DEC">
        <w:rPr>
          <w:lang w:val="en-US"/>
        </w:rPr>
        <w:t xml:space="preserve"> decisions, any justification for sentencing each of the applicants – on account solely of their </w:t>
      </w:r>
      <w:proofErr w:type="spellStart"/>
      <w:r w:rsidRPr="00492DEC">
        <w:rPr>
          <w:lang w:val="en-US"/>
        </w:rPr>
        <w:t>behaviour</w:t>
      </w:r>
      <w:proofErr w:type="spellEnd"/>
      <w:r w:rsidRPr="00492DEC">
        <w:rPr>
          <w:lang w:val="en-US"/>
        </w:rPr>
        <w:t xml:space="preserve"> at the courthouse –</w:t>
      </w:r>
      <w:r w:rsidRPr="00492DEC" w:rsidR="00507BE3">
        <w:rPr>
          <w:lang w:val="en-US"/>
        </w:rPr>
        <w:t> </w:t>
      </w:r>
      <w:r w:rsidRPr="00492DEC">
        <w:rPr>
          <w:lang w:val="en-US"/>
        </w:rPr>
        <w:t>to one year and eight months</w:t>
      </w:r>
      <w:r w:rsidRPr="00492DEC" w:rsidR="00492DEC">
        <w:rPr>
          <w:lang w:val="en-US"/>
        </w:rPr>
        <w:t>’</w:t>
      </w:r>
      <w:r w:rsidRPr="00492DEC">
        <w:rPr>
          <w:lang w:val="en-US"/>
        </w:rPr>
        <w:t xml:space="preserve"> imprisonment, which is a particularly severe</w:t>
      </w:r>
      <w:r w:rsidRPr="00492DEC">
        <w:rPr>
          <w:color w:val="FF0000"/>
          <w:lang w:val="en-US"/>
        </w:rPr>
        <w:t xml:space="preserve"> </w:t>
      </w:r>
      <w:r w:rsidRPr="00492DEC">
        <w:rPr>
          <w:lang w:val="en-US"/>
        </w:rPr>
        <w:t>prison sentence. Although sanctions for the applicants</w:t>
      </w:r>
      <w:r w:rsidRPr="00492DEC" w:rsidR="00492DEC">
        <w:rPr>
          <w:lang w:val="en-US"/>
        </w:rPr>
        <w:t>’</w:t>
      </w:r>
      <w:r w:rsidRPr="00492DEC">
        <w:rPr>
          <w:lang w:val="en-US"/>
        </w:rPr>
        <w:t xml:space="preserve"> actions might have been warranted by the demands of public order, such lengthy prison sentences were not proportionate to the legitimate aims</w:t>
      </w:r>
      <w:r w:rsidRPr="00492DEC">
        <w:t xml:space="preserve"> of protecting public safety and the rights and freedoms of others, or of preventing disorder</w:t>
      </w:r>
      <w:r w:rsidRPr="00492DEC">
        <w:rPr>
          <w:lang w:val="en-US"/>
        </w:rPr>
        <w:t>.</w:t>
      </w:r>
    </w:p>
    <w:p w:rsidRPr="00492DEC" w:rsidR="008D3977" w:rsidP="00492DEC" w:rsidRDefault="00AC04F4" w14:paraId="4AAA2AE9" w14:textId="56E06E5E">
      <w:pPr>
        <w:pStyle w:val="JuPara"/>
      </w:pPr>
      <w:fldSimple w:instr=" SEQ level0 \*arabic \* MERGEFORMAT ">
        <w:r w:rsidRPr="00492DEC" w:rsidR="00492DEC">
          <w:rPr>
            <w:noProof/>
          </w:rPr>
          <w:t>94</w:t>
        </w:r>
      </w:fldSimple>
      <w:r w:rsidRPr="00492DEC" w:rsidR="008D3977">
        <w:t>.  In addition, all the applicants were also held in pre-trial detention for a period of at least one year, eight months and fourteen days –</w:t>
      </w:r>
      <w:r w:rsidRPr="00492DEC" w:rsidR="00507BE3">
        <w:t> </w:t>
      </w:r>
      <w:r w:rsidRPr="00492DEC" w:rsidR="008D3977">
        <w:t>again very long</w:t>
      </w:r>
      <w:r w:rsidRPr="00492DEC" w:rsidR="008D3977">
        <w:rPr>
          <w:color w:val="FF0000"/>
        </w:rPr>
        <w:t xml:space="preserve"> </w:t>
      </w:r>
      <w:r w:rsidRPr="00492DEC" w:rsidR="008D3977">
        <w:t>periods</w:t>
      </w:r>
      <w:r w:rsidRPr="00492DEC" w:rsidR="00507BE3">
        <w:t> </w:t>
      </w:r>
      <w:r w:rsidRPr="00492DEC" w:rsidR="008D3977">
        <w:t xml:space="preserve">– on the basis, notably, of acts that fell within the purview of Article 11 of the Convention, notwithstanding the disturbance caused by their protest in the courthouse (see </w:t>
      </w:r>
      <w:bookmarkStart w:name="_Hlk97295429" w:id="57"/>
      <w:proofErr w:type="spellStart"/>
      <w:r w:rsidRPr="00492DEC" w:rsidR="008D3977">
        <w:rPr>
          <w:i/>
          <w:iCs/>
        </w:rPr>
        <w:t>Taranenko</w:t>
      </w:r>
      <w:proofErr w:type="spellEnd"/>
      <w:r w:rsidRPr="00492DEC" w:rsidR="008D3977">
        <w:t xml:space="preserve">, cited above, § 94; also compare the above-cited cases of </w:t>
      </w:r>
      <w:proofErr w:type="spellStart"/>
      <w:r w:rsidRPr="00492DEC" w:rsidR="008D3977">
        <w:rPr>
          <w:i/>
          <w:iCs/>
        </w:rPr>
        <w:t>Knežević</w:t>
      </w:r>
      <w:proofErr w:type="spellEnd"/>
      <w:r w:rsidRPr="00492DEC" w:rsidR="008D3977">
        <w:t xml:space="preserve">, § 88, with further references, and </w:t>
      </w:r>
      <w:proofErr w:type="spellStart"/>
      <w:r w:rsidRPr="00492DEC" w:rsidR="008D3977">
        <w:rPr>
          <w:i/>
        </w:rPr>
        <w:t>Tuskia</w:t>
      </w:r>
      <w:proofErr w:type="spellEnd"/>
      <w:r w:rsidRPr="00492DEC" w:rsidR="008D3977">
        <w:rPr>
          <w:i/>
        </w:rPr>
        <w:t xml:space="preserve"> and Others</w:t>
      </w:r>
      <w:r w:rsidRPr="00492DEC" w:rsidR="008D3977">
        <w:t>, cited above,§ 86</w:t>
      </w:r>
      <w:bookmarkEnd w:id="57"/>
      <w:r w:rsidRPr="00492DEC" w:rsidR="008D3977">
        <w:t>).</w:t>
      </w:r>
    </w:p>
    <w:p w:rsidRPr="00492DEC" w:rsidR="008D3977" w:rsidP="00492DEC" w:rsidRDefault="008D3977" w14:paraId="0AD0E536" w14:textId="3786295F">
      <w:pPr>
        <w:pStyle w:val="JuPara"/>
        <w:rPr>
          <w:i/>
          <w:iCs/>
          <w:lang w:val="en-US"/>
        </w:rPr>
      </w:pPr>
      <w:r w:rsidRPr="00492DEC">
        <w:fldChar w:fldCharType="begin"/>
      </w:r>
      <w:r w:rsidRPr="00492DEC">
        <w:rPr>
          <w:lang w:val="en-US"/>
        </w:rPr>
        <w:instrText xml:space="preserve"> SEQ level0 \*arabic </w:instrText>
      </w:r>
      <w:r w:rsidRPr="00492DEC">
        <w:fldChar w:fldCharType="separate"/>
      </w:r>
      <w:r w:rsidRPr="00492DEC" w:rsidR="00492DEC">
        <w:rPr>
          <w:noProof/>
          <w:lang w:val="en-US"/>
        </w:rPr>
        <w:t>95</w:t>
      </w:r>
      <w:r w:rsidRPr="00492DEC">
        <w:fldChar w:fldCharType="end"/>
      </w:r>
      <w:r w:rsidRPr="00492DEC">
        <w:rPr>
          <w:lang w:val="en-US"/>
        </w:rPr>
        <w:t xml:space="preserve">.  Accordingly, the Court concludes that </w:t>
      </w:r>
      <w:r w:rsidRPr="00492DEC">
        <w:t>the interference with the applicants</w:t>
      </w:r>
      <w:r w:rsidRPr="00492DEC" w:rsidR="00492DEC">
        <w:t>’</w:t>
      </w:r>
      <w:r w:rsidRPr="00492DEC">
        <w:t xml:space="preserve"> right to freedom of assembly under Article 11 of the Convention, considered in the light of Article 10, was not “necessary in a democratic society”.</w:t>
      </w:r>
    </w:p>
    <w:bookmarkStart w:name="ViolationofArt11" w:id="58"/>
    <w:p w:rsidRPr="00492DEC" w:rsidR="008D3977" w:rsidP="00492DEC" w:rsidRDefault="008D3977" w14:paraId="0AF60829" w14:textId="69F7EF07">
      <w:pPr>
        <w:pStyle w:val="JuPara"/>
      </w:pPr>
      <w:r w:rsidRPr="00492DEC">
        <w:fldChar w:fldCharType="begin"/>
      </w:r>
      <w:r w:rsidRPr="00492DEC">
        <w:instrText xml:space="preserve"> SEQ level0 \*arabic </w:instrText>
      </w:r>
      <w:r w:rsidRPr="00492DEC">
        <w:fldChar w:fldCharType="separate"/>
      </w:r>
      <w:r w:rsidRPr="00492DEC" w:rsidR="00492DEC">
        <w:rPr>
          <w:noProof/>
        </w:rPr>
        <w:t>96</w:t>
      </w:r>
      <w:r w:rsidRPr="00492DEC">
        <w:fldChar w:fldCharType="end"/>
      </w:r>
      <w:bookmarkEnd w:id="58"/>
      <w:r w:rsidRPr="00492DEC">
        <w:t>.  There has therefore been a violation of Article 11 of the Convention.</w:t>
      </w:r>
    </w:p>
    <w:p w:rsidRPr="00492DEC" w:rsidR="008D3977" w:rsidP="00492DEC" w:rsidRDefault="008D3977" w14:paraId="1BA3C192" w14:textId="77777777">
      <w:pPr>
        <w:pStyle w:val="JuHIRoman"/>
      </w:pPr>
      <w:r w:rsidRPr="00492DEC">
        <w:t>OTHER ALLEGED VIOLATIONS OF THE CONVENTION</w:t>
      </w:r>
    </w:p>
    <w:p w:rsidRPr="00492DEC" w:rsidR="008D3977" w:rsidP="00492DEC" w:rsidRDefault="008D3977" w14:paraId="7445CC1D" w14:textId="09DA3380">
      <w:pPr>
        <w:pStyle w:val="JuPara"/>
        <w:rPr>
          <w:rFonts w:eastAsia="PMingLiU"/>
          <w:iCs/>
        </w:rPr>
      </w:pPr>
      <w:r w:rsidRPr="00492DEC">
        <w:fldChar w:fldCharType="begin"/>
      </w:r>
      <w:r w:rsidRPr="00492DEC">
        <w:instrText xml:space="preserve"> SEQ level0 \*arabic </w:instrText>
      </w:r>
      <w:r w:rsidRPr="00492DEC">
        <w:fldChar w:fldCharType="separate"/>
      </w:r>
      <w:r w:rsidRPr="00492DEC" w:rsidR="00492DEC">
        <w:rPr>
          <w:noProof/>
        </w:rPr>
        <w:t>97</w:t>
      </w:r>
      <w:r w:rsidRPr="00492DEC">
        <w:fldChar w:fldCharType="end"/>
      </w:r>
      <w:r w:rsidRPr="00492DEC">
        <w:t>.  In their submissions dated 14 December 2017, the applicants reiterated that they maintained their complaint that the Istanbul State Security Court, which had tried them, had been neither independent nor impartial. The Court examined this complaint, as specified in the application forms, and declared it inadmissible (pursuant to Rule 54 § 3 of the Rules of Court) on 8 June 2017, when notice of the application was given to the Government. It follows that this complaint concerns substantially the same</w:t>
      </w:r>
      <w:r w:rsidRPr="00492DEC" w:rsidDel="001C4661">
        <w:t xml:space="preserve"> </w:t>
      </w:r>
      <w:r w:rsidRPr="00492DEC">
        <w:rPr>
          <w:rFonts w:eastAsia="PMingLiU"/>
        </w:rPr>
        <w:t xml:space="preserve">matter as that which has already been examined by the Court and must be rejected, in accordance with Article 35 </w:t>
      </w:r>
      <w:r w:rsidRPr="00492DEC">
        <w:rPr>
          <w:rFonts w:eastAsia="PMingLiU"/>
          <w:lang w:val="sk-SK"/>
        </w:rPr>
        <w:t xml:space="preserve">§§ </w:t>
      </w:r>
      <w:r w:rsidRPr="00492DEC">
        <w:rPr>
          <w:rFonts w:eastAsia="PMingLiU"/>
        </w:rPr>
        <w:t>2 (b) and 4 of the Convention.</w:t>
      </w:r>
    </w:p>
    <w:p w:rsidRPr="00492DEC" w:rsidR="008D3977" w:rsidP="00492DEC" w:rsidRDefault="008D3977" w14:paraId="34B458B7" w14:textId="77777777">
      <w:pPr>
        <w:pStyle w:val="JuHIRoman"/>
      </w:pPr>
      <w:r w:rsidRPr="00492DEC">
        <w:t>APPLICATION OF ARTICLE 41 OF THE CONVENTION</w:t>
      </w:r>
    </w:p>
    <w:p w:rsidRPr="00492DEC" w:rsidR="008D3977" w:rsidP="00492DEC" w:rsidRDefault="008D3977" w14:paraId="05BC38C7" w14:textId="484DDE20">
      <w:pPr>
        <w:pStyle w:val="JuPara"/>
        <w:keepNext/>
        <w:keepLines/>
      </w:pPr>
      <w:r w:rsidRPr="00492DEC">
        <w:fldChar w:fldCharType="begin"/>
      </w:r>
      <w:r w:rsidRPr="00492DEC">
        <w:instrText xml:space="preserve"> SEQ level0 \*arabic </w:instrText>
      </w:r>
      <w:r w:rsidRPr="00492DEC">
        <w:fldChar w:fldCharType="separate"/>
      </w:r>
      <w:r w:rsidRPr="00492DEC" w:rsidR="00492DEC">
        <w:rPr>
          <w:noProof/>
        </w:rPr>
        <w:t>98</w:t>
      </w:r>
      <w:r w:rsidRPr="00492DEC">
        <w:fldChar w:fldCharType="end"/>
      </w:r>
      <w:r w:rsidRPr="00492DEC">
        <w:t>.  Article 41 of the Convention provides:</w:t>
      </w:r>
    </w:p>
    <w:p w:rsidRPr="00492DEC" w:rsidR="008D3977" w:rsidP="00492DEC" w:rsidRDefault="008D3977" w14:paraId="20DAEB09" w14:textId="77777777">
      <w:pPr>
        <w:pStyle w:val="JuQuot"/>
      </w:pPr>
      <w:r w:rsidRPr="00492DE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92DEC" w:rsidR="008D3977" w:rsidP="00215001" w:rsidRDefault="008D3977" w14:paraId="0977695A" w14:textId="77777777">
      <w:pPr>
        <w:pStyle w:val="JuHA"/>
        <w:numPr>
          <w:ilvl w:val="2"/>
          <w:numId w:val="25"/>
        </w:numPr>
      </w:pPr>
      <w:r w:rsidRPr="00492DEC">
        <w:t>Damage</w:t>
      </w:r>
    </w:p>
    <w:p w:rsidRPr="00492DEC" w:rsidR="008D3977" w:rsidP="00492DEC" w:rsidRDefault="008D3977" w14:paraId="45115432" w14:textId="5B961FFC">
      <w:pPr>
        <w:pStyle w:val="JuPara"/>
      </w:pPr>
      <w:r w:rsidRPr="00492DEC">
        <w:fldChar w:fldCharType="begin"/>
      </w:r>
      <w:r w:rsidRPr="00492DEC">
        <w:instrText xml:space="preserve"> SEQ level0 \*arabic </w:instrText>
      </w:r>
      <w:r w:rsidRPr="00492DEC">
        <w:fldChar w:fldCharType="separate"/>
      </w:r>
      <w:r w:rsidRPr="00492DEC" w:rsidR="00492DEC">
        <w:rPr>
          <w:noProof/>
        </w:rPr>
        <w:t>99</w:t>
      </w:r>
      <w:r w:rsidRPr="00492DEC">
        <w:fldChar w:fldCharType="end"/>
      </w:r>
      <w:r w:rsidRPr="00492DEC">
        <w:t>.  The applicants claimed 10,000 euros (EUR) each in respect of non</w:t>
      </w:r>
      <w:r w:rsidRPr="00492DEC" w:rsidR="00913306">
        <w:noBreakHyphen/>
      </w:r>
      <w:r w:rsidRPr="00492DEC">
        <w:t>pecuniary damage.</w:t>
      </w:r>
    </w:p>
    <w:p w:rsidRPr="00492DEC" w:rsidR="008D3977" w:rsidP="00492DEC" w:rsidRDefault="008D3977" w14:paraId="44D7EC56" w14:textId="1B9049D0">
      <w:pPr>
        <w:pStyle w:val="JuPara"/>
      </w:pPr>
      <w:r w:rsidRPr="00492DEC">
        <w:fldChar w:fldCharType="begin"/>
      </w:r>
      <w:r w:rsidRPr="00492DEC">
        <w:instrText xml:space="preserve"> SEQ level0 \*arabic </w:instrText>
      </w:r>
      <w:r w:rsidRPr="00492DEC">
        <w:fldChar w:fldCharType="separate"/>
      </w:r>
      <w:r w:rsidRPr="00492DEC" w:rsidR="00492DEC">
        <w:rPr>
          <w:noProof/>
        </w:rPr>
        <w:t>100</w:t>
      </w:r>
      <w:r w:rsidRPr="00492DEC">
        <w:fldChar w:fldCharType="end"/>
      </w:r>
      <w:r w:rsidRPr="00492DEC">
        <w:t>.  The Government contested the claims, submitting that they were excessive.</w:t>
      </w:r>
    </w:p>
    <w:p w:rsidRPr="00492DEC" w:rsidR="008D3977" w:rsidP="00492DEC" w:rsidRDefault="008D3977" w14:paraId="2A9287D8" w14:textId="1CD9AED7">
      <w:pPr>
        <w:pStyle w:val="JuPara"/>
      </w:pPr>
      <w:r w:rsidRPr="00492DEC">
        <w:fldChar w:fldCharType="begin"/>
      </w:r>
      <w:r w:rsidRPr="00492DEC">
        <w:instrText xml:space="preserve"> SEQ level0 \*arabic </w:instrText>
      </w:r>
      <w:r w:rsidRPr="00492DEC">
        <w:fldChar w:fldCharType="separate"/>
      </w:r>
      <w:r w:rsidRPr="00492DEC" w:rsidR="00492DEC">
        <w:rPr>
          <w:noProof/>
        </w:rPr>
        <w:t>101</w:t>
      </w:r>
      <w:r w:rsidRPr="00492DEC">
        <w:fldChar w:fldCharType="end"/>
      </w:r>
      <w:r w:rsidRPr="00492DEC">
        <w:t xml:space="preserve">.  The Court considers that the finding of a violation of Article 6 §§ 1 and 3 (c) of the Convention in respect of the applicants </w:t>
      </w:r>
      <w:proofErr w:type="spellStart"/>
      <w:r w:rsidRPr="00492DEC">
        <w:t>Fikret</w:t>
      </w:r>
      <w:proofErr w:type="spellEnd"/>
      <w:r w:rsidRPr="00492DEC">
        <w:t xml:space="preserve"> </w:t>
      </w:r>
      <w:proofErr w:type="spellStart"/>
      <w:r w:rsidRPr="00492DEC">
        <w:rPr>
          <w:lang w:val="en-US"/>
        </w:rPr>
        <w:t>Avras</w:t>
      </w:r>
      <w:proofErr w:type="spellEnd"/>
      <w:r w:rsidRPr="00492DEC">
        <w:t xml:space="preserve">, Mahmut Cengiz and </w:t>
      </w:r>
      <w:proofErr w:type="spellStart"/>
      <w:r w:rsidRPr="00492DEC">
        <w:t>Ekrem</w:t>
      </w:r>
      <w:proofErr w:type="spellEnd"/>
      <w:r w:rsidRPr="00492DEC">
        <w:t xml:space="preserve"> Can constitutes sufficient just satisfaction in respect of the complaints under that provision. The Court further notes, in respect of all the applicants, that Article 311 of the current Code of Criminal Procedure allows for the reopening of domestic proceedings </w:t>
      </w:r>
      <w:proofErr w:type="gramStart"/>
      <w:r w:rsidRPr="00492DEC">
        <w:t>in the event that</w:t>
      </w:r>
      <w:proofErr w:type="gramEnd"/>
      <w:r w:rsidRPr="00492DEC">
        <w:t xml:space="preserve"> the Court finds a violation of the Convention (see </w:t>
      </w:r>
      <w:bookmarkStart w:name="_Hlk97295472" w:id="59"/>
      <w:r w:rsidRPr="00492DEC">
        <w:rPr>
          <w:i/>
          <w:lang w:val="en-US"/>
        </w:rPr>
        <w:t xml:space="preserve">Mehmet Zeki </w:t>
      </w:r>
      <w:proofErr w:type="spellStart"/>
      <w:r w:rsidRPr="00492DEC">
        <w:rPr>
          <w:i/>
          <w:lang w:val="en-US"/>
        </w:rPr>
        <w:t>Çelebi</w:t>
      </w:r>
      <w:proofErr w:type="spellEnd"/>
      <w:r w:rsidRPr="00492DEC">
        <w:rPr>
          <w:i/>
          <w:lang w:val="en-US"/>
        </w:rPr>
        <w:t xml:space="preserve"> v. Turkey</w:t>
      </w:r>
      <w:r w:rsidRPr="00492DEC">
        <w:rPr>
          <w:lang w:val="en-US"/>
        </w:rPr>
        <w:t>, no.</w:t>
      </w:r>
      <w:r w:rsidRPr="00492DEC" w:rsidR="00913306">
        <w:rPr>
          <w:lang w:val="en-US"/>
        </w:rPr>
        <w:t> </w:t>
      </w:r>
      <w:r w:rsidRPr="00492DEC">
        <w:rPr>
          <w:lang w:val="en-US"/>
        </w:rPr>
        <w:t>27582/07, § 80, 28 January 2020</w:t>
      </w:r>
      <w:bookmarkEnd w:id="59"/>
      <w:r w:rsidRPr="00492DEC">
        <w:t>).</w:t>
      </w:r>
    </w:p>
    <w:p w:rsidRPr="00492DEC" w:rsidR="008D3977" w:rsidP="00492DEC" w:rsidRDefault="00AC04F4" w14:paraId="527232D3" w14:textId="37E82E63">
      <w:pPr>
        <w:pStyle w:val="JuPara"/>
      </w:pPr>
      <w:fldSimple w:instr=" SEQ level0 \*arabic \* MERGEFORMAT ">
        <w:r w:rsidRPr="00492DEC" w:rsidR="00492DEC">
          <w:rPr>
            <w:noProof/>
          </w:rPr>
          <w:t>102</w:t>
        </w:r>
      </w:fldSimple>
      <w:r w:rsidRPr="00492DEC" w:rsidR="008D3977">
        <w:t xml:space="preserve">.  As regards the complaint under Article 11 of the Convention, the Court considers that the applicants must have sustained non-pecuniary damage which the finding of a violation of the Convention does not suffice to remedy. Therefore, and making its assessment on an equitable basis, the Court finds it appropriate to award each applicant EUR 7,500 plus any tax that may be chargeable </w:t>
      </w:r>
      <w:r w:rsidRPr="00492DEC" w:rsidR="008D3977">
        <w:rPr>
          <w:lang w:val="en"/>
        </w:rPr>
        <w:t>on that amount.</w:t>
      </w:r>
    </w:p>
    <w:p w:rsidRPr="00492DEC" w:rsidR="008D3977" w:rsidP="00492DEC" w:rsidRDefault="008D3977" w14:paraId="02149BD4" w14:textId="77777777">
      <w:pPr>
        <w:pStyle w:val="JuHA"/>
      </w:pPr>
      <w:r w:rsidRPr="00492DEC">
        <w:t>Costs and expenses</w:t>
      </w:r>
    </w:p>
    <w:p w:rsidRPr="00492DEC" w:rsidR="008D3977" w:rsidP="00492DEC" w:rsidRDefault="008D3977" w14:paraId="6BAAB8F4" w14:textId="34FBA6E4">
      <w:pPr>
        <w:pStyle w:val="JuPara"/>
      </w:pPr>
      <w:r w:rsidRPr="00492DEC">
        <w:fldChar w:fldCharType="begin"/>
      </w:r>
      <w:r w:rsidRPr="00492DEC">
        <w:instrText xml:space="preserve"> SEQ level0 \*arabic </w:instrText>
      </w:r>
      <w:r w:rsidRPr="00492DEC">
        <w:fldChar w:fldCharType="separate"/>
      </w:r>
      <w:r w:rsidRPr="00492DEC" w:rsidR="00492DEC">
        <w:rPr>
          <w:noProof/>
        </w:rPr>
        <w:t>103</w:t>
      </w:r>
      <w:r w:rsidRPr="00492DEC">
        <w:fldChar w:fldCharType="end"/>
      </w:r>
      <w:r w:rsidRPr="00492DEC">
        <w:t xml:space="preserve">.  The applicants also claimed EUR 4,400 for the costs and expenses incurred before the Court, corresponding to the work undertaken by their lawyer and his assistants and to expenses relating to translation services, </w:t>
      </w:r>
      <w:proofErr w:type="gramStart"/>
      <w:r w:rsidRPr="00492DEC">
        <w:t>stationery</w:t>
      </w:r>
      <w:proofErr w:type="gramEnd"/>
      <w:r w:rsidRPr="00492DEC">
        <w:t xml:space="preserve"> and postage costs. In support of those claims, the applicants submitted a timesheet drawn up by their lawyer, together with the Turkish Bar Association</w:t>
      </w:r>
      <w:r w:rsidRPr="00492DEC" w:rsidR="00492DEC">
        <w:t>’</w:t>
      </w:r>
      <w:r w:rsidRPr="00492DEC">
        <w:t>s 2017 fee scales.</w:t>
      </w:r>
    </w:p>
    <w:p w:rsidRPr="00492DEC" w:rsidR="008D3977" w:rsidP="00492DEC" w:rsidRDefault="008D3977" w14:paraId="0F86578A" w14:textId="33ED70AC">
      <w:pPr>
        <w:pStyle w:val="JuPara"/>
      </w:pPr>
      <w:r w:rsidRPr="00492DEC">
        <w:fldChar w:fldCharType="begin"/>
      </w:r>
      <w:r w:rsidRPr="00492DEC">
        <w:instrText xml:space="preserve"> SEQ level0 \*arabic </w:instrText>
      </w:r>
      <w:r w:rsidRPr="00492DEC">
        <w:fldChar w:fldCharType="separate"/>
      </w:r>
      <w:r w:rsidRPr="00492DEC" w:rsidR="00492DEC">
        <w:rPr>
          <w:noProof/>
        </w:rPr>
        <w:t>104</w:t>
      </w:r>
      <w:r w:rsidRPr="00492DEC">
        <w:fldChar w:fldCharType="end"/>
      </w:r>
      <w:r w:rsidRPr="00492DEC">
        <w:t>.  The Government invited the Court not to award any sum under this head, arguing that the documents submitted in support of the claims were of a purely “declaratory” nature, given the applicants</w:t>
      </w:r>
      <w:r w:rsidRPr="00492DEC" w:rsidR="00492DEC">
        <w:t>’</w:t>
      </w:r>
      <w:r w:rsidRPr="00492DEC">
        <w:t xml:space="preserve"> failure to substantiate them with any official document capable of showing that the above-noted costs and expenses had </w:t>
      </w:r>
      <w:proofErr w:type="gramStart"/>
      <w:r w:rsidRPr="00492DEC">
        <w:t>actually been</w:t>
      </w:r>
      <w:proofErr w:type="gramEnd"/>
      <w:r w:rsidRPr="00492DEC">
        <w:t xml:space="preserve"> incurred.</w:t>
      </w:r>
    </w:p>
    <w:p w:rsidRPr="00492DEC" w:rsidR="008D3977" w:rsidP="00492DEC" w:rsidRDefault="008D3977" w14:paraId="2FD90D18" w14:textId="538E6261">
      <w:pPr>
        <w:pStyle w:val="JuPara"/>
      </w:pPr>
      <w:r w:rsidRPr="00492DEC">
        <w:fldChar w:fldCharType="begin"/>
      </w:r>
      <w:r w:rsidRPr="00492DEC">
        <w:instrText xml:space="preserve"> SEQ level0 \*arabic </w:instrText>
      </w:r>
      <w:r w:rsidRPr="00492DEC">
        <w:fldChar w:fldCharType="separate"/>
      </w:r>
      <w:r w:rsidRPr="00492DEC" w:rsidR="00492DEC">
        <w:rPr>
          <w:noProof/>
        </w:rPr>
        <w:t>105</w:t>
      </w:r>
      <w:r w:rsidRPr="00492DEC">
        <w:fldChar w:fldCharType="end"/>
      </w:r>
      <w:r w:rsidRPr="00492DEC">
        <w:t>.  According to the Court</w:t>
      </w:r>
      <w:r w:rsidRPr="00492DEC" w:rsidR="00492DEC">
        <w:t>’</w:t>
      </w:r>
      <w:r w:rsidRPr="00492DEC">
        <w:t xml:space="preserve">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2,000 jointly covering costs under all heads for costs and expenses, plus any tax that may be chargeable to the applicants (see </w:t>
      </w:r>
      <w:bookmarkStart w:name="_Hlk97295497" w:id="60"/>
      <w:proofErr w:type="spellStart"/>
      <w:r w:rsidRPr="00492DEC">
        <w:rPr>
          <w:i/>
          <w:iCs/>
        </w:rPr>
        <w:t>Soytemiz</w:t>
      </w:r>
      <w:proofErr w:type="spellEnd"/>
      <w:r w:rsidRPr="00492DEC">
        <w:rPr>
          <w:i/>
          <w:iCs/>
        </w:rPr>
        <w:t xml:space="preserve"> v. Turkey</w:t>
      </w:r>
      <w:r w:rsidRPr="00492DEC">
        <w:rPr>
          <w:lang w:eastAsia="en-GB"/>
        </w:rPr>
        <w:t xml:space="preserve">, no. </w:t>
      </w:r>
      <w:r w:rsidRPr="00492DEC">
        <w:t>57837/09</w:t>
      </w:r>
      <w:r w:rsidRPr="00492DEC">
        <w:rPr>
          <w:lang w:eastAsia="en-GB"/>
        </w:rPr>
        <w:t xml:space="preserve">, </w:t>
      </w:r>
      <w:r w:rsidRPr="00492DEC">
        <w:t xml:space="preserve">§ 67, 27 November 2018 </w:t>
      </w:r>
      <w:bookmarkEnd w:id="60"/>
      <w:r w:rsidRPr="00492DEC">
        <w:t>with further references).</w:t>
      </w:r>
    </w:p>
    <w:p w:rsidRPr="00492DEC" w:rsidR="008D3977" w:rsidP="00492DEC" w:rsidRDefault="008D3977" w14:paraId="34D821E5" w14:textId="77777777">
      <w:pPr>
        <w:pStyle w:val="JuHA"/>
      </w:pPr>
      <w:r w:rsidRPr="00492DEC">
        <w:t>Default interest</w:t>
      </w:r>
    </w:p>
    <w:p w:rsidRPr="00492DEC" w:rsidR="008D3977" w:rsidP="00492DEC" w:rsidRDefault="008D3977" w14:paraId="62990F4D" w14:textId="195A485C">
      <w:pPr>
        <w:pStyle w:val="JuPara"/>
      </w:pPr>
      <w:r w:rsidRPr="00492DEC">
        <w:fldChar w:fldCharType="begin"/>
      </w:r>
      <w:r w:rsidRPr="00492DEC">
        <w:instrText xml:space="preserve"> SEQ level0 \*arabic </w:instrText>
      </w:r>
      <w:r w:rsidRPr="00492DEC">
        <w:fldChar w:fldCharType="separate"/>
      </w:r>
      <w:r w:rsidRPr="00492DEC" w:rsidR="00492DEC">
        <w:rPr>
          <w:noProof/>
        </w:rPr>
        <w:t>106</w:t>
      </w:r>
      <w:r w:rsidRPr="00492DEC">
        <w:fldChar w:fldCharType="end"/>
      </w:r>
      <w:r w:rsidRPr="00492DEC">
        <w:t>.  The Court considers it appropriate that the default interest rate should be based on the marginal lending rate of the European Central Bank, to which should be added three percentage points.</w:t>
      </w:r>
    </w:p>
    <w:p w:rsidRPr="00492DEC" w:rsidR="008D3977" w:rsidP="00492DEC" w:rsidRDefault="008D3977" w14:paraId="24ECF742" w14:textId="2AE01878">
      <w:pPr>
        <w:pStyle w:val="JuHHead"/>
        <w:numPr>
          <w:ilvl w:val="0"/>
          <w:numId w:val="2"/>
        </w:numPr>
        <w:ind w:left="360" w:hanging="360"/>
      </w:pPr>
      <w:r w:rsidRPr="00492DEC">
        <w:t>FOR THESE REASONS, THE COURT, UNANIMOUSLY,</w:t>
      </w:r>
    </w:p>
    <w:p w:rsidRPr="00492DEC" w:rsidR="008D3977" w:rsidP="00492DEC" w:rsidRDefault="008D3977" w14:paraId="31D6633D" w14:textId="5A588B44">
      <w:pPr>
        <w:pStyle w:val="JuList"/>
      </w:pPr>
      <w:r w:rsidRPr="00492DEC">
        <w:rPr>
          <w:i/>
        </w:rPr>
        <w:t>Dismisses</w:t>
      </w:r>
      <w:r w:rsidRPr="00492DEC" w:rsidR="00913306">
        <w:rPr>
          <w:i/>
        </w:rPr>
        <w:t xml:space="preserve"> </w:t>
      </w:r>
      <w:r w:rsidRPr="00492DEC">
        <w:t>the Government</w:t>
      </w:r>
      <w:r w:rsidRPr="00492DEC" w:rsidR="00492DEC">
        <w:t>’</w:t>
      </w:r>
      <w:r w:rsidRPr="00492DEC">
        <w:t>s preliminary objection under Article</w:t>
      </w:r>
      <w:r w:rsidRPr="00492DEC" w:rsidR="00913306">
        <w:t> </w:t>
      </w:r>
      <w:r w:rsidRPr="00492DEC">
        <w:t>37 §</w:t>
      </w:r>
      <w:r w:rsidRPr="00492DEC" w:rsidR="00913306">
        <w:t> </w:t>
      </w:r>
      <w:r w:rsidRPr="00492DEC">
        <w:t>1</w:t>
      </w:r>
      <w:r w:rsidRPr="00492DEC" w:rsidR="00913306">
        <w:t> </w:t>
      </w:r>
      <w:r w:rsidRPr="00492DEC">
        <w:t xml:space="preserve">(a) of the </w:t>
      </w:r>
      <w:proofErr w:type="gramStart"/>
      <w:r w:rsidRPr="00492DEC">
        <w:t>Convention;</w:t>
      </w:r>
      <w:proofErr w:type="gramEnd"/>
    </w:p>
    <w:p w:rsidRPr="00492DEC" w:rsidR="008D3977" w:rsidP="00492DEC" w:rsidRDefault="008D3977" w14:paraId="08A9E0D9" w14:textId="6353D1D1">
      <w:pPr>
        <w:pStyle w:val="JuList"/>
      </w:pPr>
      <w:r w:rsidRPr="00492DEC">
        <w:rPr>
          <w:i/>
        </w:rPr>
        <w:t xml:space="preserve">Decides to join </w:t>
      </w:r>
      <w:r w:rsidRPr="00492DEC">
        <w:rPr>
          <w:iCs/>
        </w:rPr>
        <w:t>to the merits of the complaint under Article 1</w:t>
      </w:r>
      <w:r w:rsidRPr="00492DEC" w:rsidR="005D4012">
        <w:rPr>
          <w:iCs/>
        </w:rPr>
        <w:t>1</w:t>
      </w:r>
      <w:r w:rsidRPr="00492DEC">
        <w:rPr>
          <w:iCs/>
        </w:rPr>
        <w:t xml:space="preserve"> of the Convention the second limb of the Government</w:t>
      </w:r>
      <w:r w:rsidRPr="00492DEC" w:rsidR="00492DEC">
        <w:rPr>
          <w:iCs/>
        </w:rPr>
        <w:t>’</w:t>
      </w:r>
      <w:r w:rsidRPr="00492DEC">
        <w:rPr>
          <w:iCs/>
        </w:rPr>
        <w:t xml:space="preserve">s preliminary objection under Article 17 of the Convention, and rejects </w:t>
      </w:r>
      <w:proofErr w:type="gramStart"/>
      <w:r w:rsidRPr="00492DEC">
        <w:rPr>
          <w:iCs/>
        </w:rPr>
        <w:t>it;</w:t>
      </w:r>
      <w:proofErr w:type="gramEnd"/>
    </w:p>
    <w:p w:rsidRPr="00492DEC" w:rsidR="008D3977" w:rsidP="00492DEC" w:rsidRDefault="008D3977" w14:paraId="78239575" w14:textId="77777777">
      <w:pPr>
        <w:pStyle w:val="JuList"/>
      </w:pPr>
      <w:r w:rsidRPr="00492DEC">
        <w:rPr>
          <w:i/>
          <w:iCs/>
        </w:rPr>
        <w:t xml:space="preserve">Declares </w:t>
      </w:r>
      <w:r w:rsidRPr="00492DEC">
        <w:t xml:space="preserve">the application inadmissible in so far as it concerns the convictions of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Mahmut Cengiz and </w:t>
      </w:r>
      <w:proofErr w:type="spellStart"/>
      <w:r w:rsidRPr="00492DEC">
        <w:t>Şenol</w:t>
      </w:r>
      <w:proofErr w:type="spellEnd"/>
      <w:r w:rsidRPr="00492DEC">
        <w:t xml:space="preserve"> </w:t>
      </w:r>
      <w:proofErr w:type="spellStart"/>
      <w:r w:rsidRPr="00492DEC">
        <w:t>Akyaz</w:t>
      </w:r>
      <w:proofErr w:type="spellEnd"/>
      <w:r w:rsidRPr="00492DEC">
        <w:t xml:space="preserve"> under Article 314 § 2 of the Criminal Code, those of the applicants </w:t>
      </w:r>
      <w:proofErr w:type="spellStart"/>
      <w:r w:rsidRPr="00492DEC">
        <w:t>Ekrem</w:t>
      </w:r>
      <w:proofErr w:type="spellEnd"/>
      <w:r w:rsidRPr="00492DEC">
        <w:t xml:space="preserve"> Can, </w:t>
      </w:r>
      <w:proofErr w:type="spellStart"/>
      <w:r w:rsidRPr="00492DEC">
        <w:t>Fikret</w:t>
      </w:r>
      <w:proofErr w:type="spellEnd"/>
      <w:r w:rsidRPr="00492DEC">
        <w:t xml:space="preserve"> </w:t>
      </w:r>
      <w:proofErr w:type="spellStart"/>
      <w:r w:rsidRPr="00492DEC">
        <w:t>Avras</w:t>
      </w:r>
      <w:proofErr w:type="spellEnd"/>
      <w:r w:rsidRPr="00492DEC">
        <w:t xml:space="preserve"> and Mahmut Cengiz under Article 174 § 1 and those of the rest of the applicants under Article 169 of the former Criminal Code, as having been introduced outside of the six-month time-limit set by Article 35 § 1 of the </w:t>
      </w:r>
      <w:proofErr w:type="gramStart"/>
      <w:r w:rsidRPr="00492DEC">
        <w:t>Convention;</w:t>
      </w:r>
      <w:proofErr w:type="gramEnd"/>
    </w:p>
    <w:p w:rsidRPr="00492DEC" w:rsidR="008D3977" w:rsidP="00492DEC" w:rsidRDefault="008D3977" w14:paraId="0829A54A" w14:textId="5B11EB0E">
      <w:pPr>
        <w:pStyle w:val="JuList"/>
      </w:pPr>
      <w:r w:rsidRPr="00492DEC">
        <w:rPr>
          <w:i/>
        </w:rPr>
        <w:t>Declares</w:t>
      </w:r>
      <w:r w:rsidRPr="00492DEC">
        <w:rPr>
          <w:iCs/>
        </w:rPr>
        <w:t xml:space="preserve"> the application admissible in so far as it concerns (</w:t>
      </w:r>
      <w:proofErr w:type="spellStart"/>
      <w:r w:rsidRPr="00492DEC">
        <w:rPr>
          <w:iCs/>
        </w:rPr>
        <w:t>i</w:t>
      </w:r>
      <w:proofErr w:type="spellEnd"/>
      <w:proofErr w:type="gramStart"/>
      <w:r w:rsidRPr="00492DEC">
        <w:rPr>
          <w:iCs/>
        </w:rPr>
        <w:t>) </w:t>
      </w:r>
      <w:r w:rsidRPr="00492DEC" w:rsidR="00913306">
        <w:rPr>
          <w:iCs/>
        </w:rPr>
        <w:t> </w:t>
      </w:r>
      <w:r w:rsidRPr="00492DEC">
        <w:rPr>
          <w:iCs/>
        </w:rPr>
        <w:t>all</w:t>
      </w:r>
      <w:proofErr w:type="gramEnd"/>
      <w:r w:rsidRPr="00492DEC">
        <w:rPr>
          <w:iCs/>
        </w:rPr>
        <w:t xml:space="preserve"> the applicants</w:t>
      </w:r>
      <w:r w:rsidRPr="00492DEC" w:rsidR="00492DEC">
        <w:rPr>
          <w:iCs/>
        </w:rPr>
        <w:t>’</w:t>
      </w:r>
      <w:r w:rsidRPr="00492DEC">
        <w:rPr>
          <w:iCs/>
        </w:rPr>
        <w:t xml:space="preserve"> convictions under Article 113 of the Criminal Code and (ii) </w:t>
      </w:r>
      <w:r w:rsidRPr="00492DEC" w:rsidR="00913306">
        <w:rPr>
          <w:iCs/>
        </w:rPr>
        <w:t> </w:t>
      </w:r>
      <w:r w:rsidRPr="00492DEC">
        <w:rPr>
          <w:iCs/>
        </w:rPr>
        <w:t xml:space="preserve">the convictions of the applicants </w:t>
      </w:r>
      <w:proofErr w:type="spellStart"/>
      <w:r w:rsidRPr="00492DEC">
        <w:rPr>
          <w:iCs/>
        </w:rPr>
        <w:t>Ekrem</w:t>
      </w:r>
      <w:proofErr w:type="spellEnd"/>
      <w:r w:rsidRPr="00492DEC">
        <w:rPr>
          <w:iCs/>
        </w:rPr>
        <w:t xml:space="preserve"> Can, Mahmut Cengiz and </w:t>
      </w:r>
      <w:proofErr w:type="spellStart"/>
      <w:r w:rsidRPr="00492DEC">
        <w:rPr>
          <w:iCs/>
        </w:rPr>
        <w:t>Fikret</w:t>
      </w:r>
      <w:proofErr w:type="spellEnd"/>
      <w:r w:rsidRPr="00492DEC">
        <w:rPr>
          <w:iCs/>
        </w:rPr>
        <w:t xml:space="preserve"> </w:t>
      </w:r>
      <w:proofErr w:type="spellStart"/>
      <w:r w:rsidRPr="00492DEC">
        <w:rPr>
          <w:iCs/>
        </w:rPr>
        <w:t>Avras</w:t>
      </w:r>
      <w:proofErr w:type="spellEnd"/>
      <w:r w:rsidRPr="00492DEC">
        <w:rPr>
          <w:iCs/>
        </w:rPr>
        <w:t xml:space="preserve"> under Article 170 § 1 (c) of the Criminal Code;</w:t>
      </w:r>
    </w:p>
    <w:p w:rsidRPr="00492DEC" w:rsidR="008D3977" w:rsidP="00492DEC" w:rsidRDefault="008D3977" w14:paraId="40B6BE0E" w14:textId="50C13B8A">
      <w:pPr>
        <w:pStyle w:val="JuList"/>
      </w:pPr>
      <w:r w:rsidRPr="00492DEC">
        <w:rPr>
          <w:i/>
        </w:rPr>
        <w:t>Holds</w:t>
      </w:r>
      <w:r w:rsidRPr="00492DEC" w:rsidR="00913306">
        <w:rPr>
          <w:i/>
        </w:rPr>
        <w:t xml:space="preserve"> </w:t>
      </w:r>
      <w:r w:rsidRPr="00492DEC">
        <w:t xml:space="preserve">that there has been a violation of Article 6 §§ 1 and 3 (c) of the Convention in respect of the applicants </w:t>
      </w:r>
      <w:proofErr w:type="spellStart"/>
      <w:r w:rsidRPr="00492DEC">
        <w:t>Ekrem</w:t>
      </w:r>
      <w:proofErr w:type="spellEnd"/>
      <w:r w:rsidRPr="00492DEC">
        <w:t xml:space="preserve"> Can, Mahmut Cengiz and </w:t>
      </w:r>
      <w:proofErr w:type="spellStart"/>
      <w:r w:rsidRPr="00492DEC">
        <w:t>Fikret</w:t>
      </w:r>
      <w:proofErr w:type="spellEnd"/>
      <w:r w:rsidRPr="00492DEC">
        <w:t xml:space="preserve"> </w:t>
      </w:r>
      <w:proofErr w:type="spellStart"/>
      <w:proofErr w:type="gramStart"/>
      <w:r w:rsidRPr="00492DEC">
        <w:t>Avras</w:t>
      </w:r>
      <w:proofErr w:type="spellEnd"/>
      <w:r w:rsidRPr="00492DEC">
        <w:t>;</w:t>
      </w:r>
      <w:proofErr w:type="gramEnd"/>
    </w:p>
    <w:p w:rsidRPr="00492DEC" w:rsidR="008D3977" w:rsidP="00492DEC" w:rsidRDefault="008D3977" w14:paraId="3DA60570" w14:textId="3BC9985A">
      <w:pPr>
        <w:pStyle w:val="JuList"/>
      </w:pPr>
      <w:r w:rsidRPr="00492DEC">
        <w:rPr>
          <w:i/>
        </w:rPr>
        <w:t>Holds</w:t>
      </w:r>
      <w:r w:rsidRPr="00492DEC" w:rsidR="00913306">
        <w:rPr>
          <w:i/>
        </w:rPr>
        <w:t xml:space="preserve"> </w:t>
      </w:r>
      <w:r w:rsidRPr="00492DEC">
        <w:t>that there is no need to examine the remaining applicants</w:t>
      </w:r>
      <w:r w:rsidRPr="00492DEC" w:rsidR="00492DEC">
        <w:t>’</w:t>
      </w:r>
      <w:r w:rsidRPr="00492DEC">
        <w:t xml:space="preserve"> complaints under Article</w:t>
      </w:r>
      <w:r w:rsidRPr="00492DEC" w:rsidR="00DA34CA">
        <w:t xml:space="preserve"> </w:t>
      </w:r>
      <w:r w:rsidRPr="00492DEC">
        <w:t xml:space="preserve">6 §§ 1 and 3 (c) of the </w:t>
      </w:r>
      <w:proofErr w:type="gramStart"/>
      <w:r w:rsidRPr="00492DEC">
        <w:t>Convention;</w:t>
      </w:r>
      <w:proofErr w:type="gramEnd"/>
    </w:p>
    <w:p w:rsidRPr="00492DEC" w:rsidR="008D3977" w:rsidP="00492DEC" w:rsidRDefault="008D3977" w14:paraId="252B782D" w14:textId="4AC004B2">
      <w:pPr>
        <w:pStyle w:val="JuList"/>
      </w:pPr>
      <w:r w:rsidRPr="00492DEC">
        <w:rPr>
          <w:i/>
        </w:rPr>
        <w:t>Holds</w:t>
      </w:r>
      <w:r w:rsidRPr="00492DEC" w:rsidR="00913306">
        <w:rPr>
          <w:i/>
        </w:rPr>
        <w:t xml:space="preserve"> </w:t>
      </w:r>
      <w:r w:rsidRPr="00492DEC">
        <w:t xml:space="preserve">that there has been a violation of Article 11 of the </w:t>
      </w:r>
      <w:proofErr w:type="gramStart"/>
      <w:r w:rsidRPr="00492DEC">
        <w:t>Convention;</w:t>
      </w:r>
      <w:proofErr w:type="gramEnd"/>
    </w:p>
    <w:p w:rsidRPr="00492DEC" w:rsidR="008D3977" w:rsidP="00492DEC" w:rsidRDefault="008D3977" w14:paraId="0FAE0BB3" w14:textId="4663D289">
      <w:pPr>
        <w:pStyle w:val="JuList"/>
      </w:pPr>
      <w:r w:rsidRPr="00492DEC">
        <w:rPr>
          <w:i/>
        </w:rPr>
        <w:t>Holds</w:t>
      </w:r>
      <w:r w:rsidRPr="00492DEC" w:rsidR="00913306">
        <w:rPr>
          <w:i/>
        </w:rPr>
        <w:t xml:space="preserve"> </w:t>
      </w:r>
      <w:r w:rsidRPr="00492DEC">
        <w:t xml:space="preserve">that the finding of a violation of Article 6 §§ 1 and 3 (c) of the Convention constitutes in itself sufficient just satisfaction for the non-pecuniary damage that may have been sustained by the applicants </w:t>
      </w:r>
      <w:proofErr w:type="spellStart"/>
      <w:r w:rsidRPr="00492DEC">
        <w:t>Ekrem</w:t>
      </w:r>
      <w:proofErr w:type="spellEnd"/>
      <w:r w:rsidRPr="00492DEC">
        <w:t xml:space="preserve"> Can, Mahmut Cengiz and </w:t>
      </w:r>
      <w:proofErr w:type="spellStart"/>
      <w:r w:rsidRPr="00492DEC">
        <w:t>Fikret</w:t>
      </w:r>
      <w:proofErr w:type="spellEnd"/>
      <w:r w:rsidRPr="00492DEC">
        <w:t xml:space="preserve"> </w:t>
      </w:r>
      <w:proofErr w:type="spellStart"/>
      <w:r w:rsidRPr="00492DEC">
        <w:t>Avras</w:t>
      </w:r>
      <w:proofErr w:type="spellEnd"/>
      <w:r w:rsidRPr="00492DEC">
        <w:t xml:space="preserve"> in that </w:t>
      </w:r>
      <w:proofErr w:type="gramStart"/>
      <w:r w:rsidRPr="00492DEC">
        <w:t>connection;</w:t>
      </w:r>
      <w:proofErr w:type="gramEnd"/>
    </w:p>
    <w:p w:rsidRPr="00492DEC" w:rsidR="008D3977" w:rsidP="00492DEC" w:rsidRDefault="008D3977" w14:paraId="23039218" w14:textId="6D64C351">
      <w:pPr>
        <w:pStyle w:val="JuList"/>
      </w:pPr>
      <w:r w:rsidRPr="00492DEC">
        <w:rPr>
          <w:i/>
        </w:rPr>
        <w:t>Holds</w:t>
      </w:r>
    </w:p>
    <w:p w:rsidRPr="00492DEC" w:rsidR="008D3977" w:rsidP="00492DEC" w:rsidRDefault="008D3977" w14:paraId="5B0861CF" w14:textId="7E90A683">
      <w:pPr>
        <w:pStyle w:val="JuLista"/>
      </w:pPr>
      <w:r w:rsidRPr="00492DEC">
        <w:t>that the respondent State is to pay each applicant, within three months from the date on which the judgment becomes final in accordance with Article 44 § 2 of the Convention, the following amounts</w:t>
      </w:r>
      <w:r w:rsidRPr="00492DEC">
        <w:rPr>
          <w:bCs/>
        </w:rPr>
        <w:t xml:space="preserve"> to be converted into </w:t>
      </w:r>
      <w:r w:rsidRPr="00492DEC">
        <w:rPr>
          <w:bCs/>
          <w:color w:val="000000"/>
        </w:rPr>
        <w:t>the currency of the respondent State</w:t>
      </w:r>
      <w:r w:rsidRPr="00492DEC">
        <w:rPr>
          <w:bCs/>
        </w:rPr>
        <w:t xml:space="preserve"> </w:t>
      </w:r>
      <w:r w:rsidRPr="00492DEC">
        <w:t>at the rate applicable at the date of settlement:</w:t>
      </w:r>
    </w:p>
    <w:p w:rsidRPr="00492DEC" w:rsidR="008D3977" w:rsidP="00492DEC" w:rsidRDefault="008D3977" w14:paraId="6B9D19CA" w14:textId="77777777">
      <w:pPr>
        <w:pStyle w:val="JuListi"/>
        <w:numPr>
          <w:ilvl w:val="0"/>
          <w:numId w:val="0"/>
        </w:numPr>
        <w:ind w:left="709"/>
      </w:pPr>
      <w:r w:rsidRPr="00492DEC">
        <w:t>(</w:t>
      </w:r>
      <w:proofErr w:type="spellStart"/>
      <w:r w:rsidRPr="00492DEC">
        <w:t>i</w:t>
      </w:r>
      <w:proofErr w:type="spellEnd"/>
      <w:r w:rsidRPr="00492DEC">
        <w:t xml:space="preserve">)  EUR 7,500 (seven thousand five hundred euros), plus any tax that may be chargeable, in respect of non-pecuniary </w:t>
      </w:r>
      <w:proofErr w:type="gramStart"/>
      <w:r w:rsidRPr="00492DEC">
        <w:t>damage;</w:t>
      </w:r>
      <w:proofErr w:type="gramEnd"/>
    </w:p>
    <w:p w:rsidRPr="00492DEC" w:rsidR="008D3977" w:rsidP="00492DEC" w:rsidRDefault="008D3977" w14:paraId="04F34130" w14:textId="77777777">
      <w:pPr>
        <w:pStyle w:val="JuLista"/>
      </w:pPr>
      <w:r w:rsidRPr="00492DEC">
        <w:t xml:space="preserve">that the respondent State is to pay the applicants jointly, within the same three months, EUR 2,000 (two thousand euros), to be converted into the currency of the respondent State at the rate applicable at the date of settlement, plus any tax that may be chargeable to the applicants, in respect of costs and </w:t>
      </w:r>
      <w:proofErr w:type="gramStart"/>
      <w:r w:rsidRPr="00492DEC">
        <w:t>expenses;</w:t>
      </w:r>
      <w:proofErr w:type="gramEnd"/>
    </w:p>
    <w:p w:rsidRPr="00492DEC" w:rsidR="008D3977" w:rsidP="00492DEC" w:rsidRDefault="008D3977" w14:paraId="03188A02" w14:textId="3D14AAA8">
      <w:pPr>
        <w:pStyle w:val="JuLista"/>
      </w:pPr>
      <w:r w:rsidRPr="00492DEC">
        <w:t xml:space="preserve">that from the expiry of the above-mentioned three months until settlement simple interest shall be payable on the above amounts at a rate equal to the marginal lending rate of the European Central Bank during the default period, plus three percentage </w:t>
      </w:r>
      <w:proofErr w:type="gramStart"/>
      <w:r w:rsidRPr="00492DEC">
        <w:t>points;</w:t>
      </w:r>
      <w:proofErr w:type="gramEnd"/>
    </w:p>
    <w:p w:rsidRPr="00492DEC" w:rsidR="004D0EC7" w:rsidP="00492DEC" w:rsidRDefault="008D3977" w14:paraId="5F7331B6" w14:textId="098CBFBD">
      <w:pPr>
        <w:pStyle w:val="JuList"/>
      </w:pPr>
      <w:r w:rsidRPr="00492DEC">
        <w:rPr>
          <w:i/>
        </w:rPr>
        <w:t>Dismisses</w:t>
      </w:r>
      <w:r w:rsidRPr="00492DEC" w:rsidR="00BA0DFF">
        <w:rPr>
          <w:i/>
        </w:rPr>
        <w:t xml:space="preserve"> </w:t>
      </w:r>
      <w:r w:rsidRPr="00492DEC">
        <w:t>the remainder of the applicants</w:t>
      </w:r>
      <w:r w:rsidRPr="00492DEC" w:rsidR="00492DEC">
        <w:t>’</w:t>
      </w:r>
      <w:r w:rsidRPr="00492DEC">
        <w:t xml:space="preserve"> claim for just satisfaction.</w:t>
      </w:r>
    </w:p>
    <w:p w:rsidRPr="00492DEC" w:rsidR="008E3A08" w:rsidP="00492DEC" w:rsidRDefault="007E2C8C" w14:paraId="6146FBCB" w14:textId="126091ED">
      <w:pPr>
        <w:pStyle w:val="JuParaLast"/>
      </w:pPr>
      <w:r w:rsidRPr="00492DEC">
        <w:t xml:space="preserve">Done in English, and notified in writing on </w:t>
      </w:r>
      <w:r w:rsidRPr="00492DEC" w:rsidR="008D3977">
        <w:rPr>
          <w:rFonts w:ascii="Times New Roman" w:hAnsi="Times New Roman" w:cs="Times New Roman"/>
        </w:rPr>
        <w:t>8 March 2022</w:t>
      </w:r>
      <w:r w:rsidRPr="00492DEC">
        <w:t>, pursuant to Rule 77 §§ 2 and 3 of the Rules of Court.</w:t>
      </w:r>
    </w:p>
    <w:p w:rsidRPr="00492DEC" w:rsidR="008B092C" w:rsidP="00492DEC" w:rsidRDefault="00281B7C" w14:paraId="7B368212" w14:textId="5DC3E4FF">
      <w:pPr>
        <w:pStyle w:val="ECHRPlaceholder"/>
        <w:rPr>
          <w:szCs w:val="22"/>
        </w:rPr>
      </w:pPr>
      <w:r w:rsidRPr="00492DEC">
        <w:tab/>
      </w:r>
    </w:p>
    <w:p w:rsidRPr="00492DEC" w:rsidR="00207FF7" w:rsidP="00492DEC" w:rsidRDefault="00207FF7" w14:paraId="78178F84" w14:textId="77777777">
      <w:pPr>
        <w:pStyle w:val="JuSigned"/>
      </w:pPr>
      <w:r w:rsidRPr="00492DEC">
        <w:tab/>
        <w:t xml:space="preserve">Hasan </w:t>
      </w:r>
      <w:proofErr w:type="spellStart"/>
      <w:r w:rsidRPr="00492DEC">
        <w:t>Bakırcı</w:t>
      </w:r>
      <w:proofErr w:type="spellEnd"/>
      <w:r w:rsidRPr="00492DEC">
        <w:tab/>
        <w:t xml:space="preserve">Jon </w:t>
      </w:r>
      <w:proofErr w:type="spellStart"/>
      <w:r w:rsidRPr="00492DEC">
        <w:t>Fridrik</w:t>
      </w:r>
      <w:proofErr w:type="spellEnd"/>
      <w:r w:rsidRPr="00492DEC">
        <w:t xml:space="preserve"> </w:t>
      </w:r>
      <w:proofErr w:type="spellStart"/>
      <w:r w:rsidRPr="00492DEC">
        <w:t>Kjølbro</w:t>
      </w:r>
      <w:proofErr w:type="spellEnd"/>
      <w:r w:rsidRPr="00492DEC">
        <w:br/>
      </w:r>
      <w:r w:rsidRPr="00492DEC">
        <w:tab/>
        <w:t xml:space="preserve">Deputy </w:t>
      </w:r>
      <w:r w:rsidRPr="00492DEC">
        <w:rPr>
          <w:iCs/>
        </w:rPr>
        <w:t>Registrar</w:t>
      </w:r>
      <w:r w:rsidRPr="00492DEC">
        <w:tab/>
        <w:t>President</w:t>
      </w:r>
    </w:p>
    <w:p w:rsidRPr="00492DEC" w:rsidR="00EE7B16" w:rsidP="00492DEC" w:rsidRDefault="00EE7B16" w14:paraId="3E7275EB" w14:textId="13BB7447">
      <w:r w:rsidRPr="00492DEC">
        <w:br w:type="page"/>
      </w:r>
    </w:p>
    <w:p w:rsidRPr="00492DEC" w:rsidR="00BA0DFF" w:rsidP="00492DEC" w:rsidRDefault="00BA0DFF" w14:paraId="19688204" w14:textId="77777777">
      <w:pPr>
        <w:pStyle w:val="JuPara"/>
      </w:pPr>
    </w:p>
    <w:p w:rsidRPr="00492DEC" w:rsidR="00BA0DFF" w:rsidP="00492DEC" w:rsidRDefault="00BA0DFF" w14:paraId="2F80E8CE" w14:textId="77777777">
      <w:pPr>
        <w:pStyle w:val="DecHTitle"/>
      </w:pPr>
      <w:r w:rsidRPr="00492DEC">
        <w:t>APPENDIX</w:t>
      </w:r>
    </w:p>
    <w:p w:rsidRPr="00492DEC" w:rsidR="00BA0DFF" w:rsidP="00492DEC" w:rsidRDefault="00BA0DFF" w14:paraId="7F6FF582" w14:textId="77777777">
      <w:pPr>
        <w:pStyle w:val="DecHCase"/>
        <w:keepNext w:val="0"/>
        <w:keepLines w:val="0"/>
        <w:rPr>
          <w:rFonts w:ascii="Times New Roman" w:hAnsi="Times New Roman" w:cs="Times New Roman"/>
        </w:rPr>
      </w:pPr>
      <w:r w:rsidRPr="00492DEC">
        <w:rPr>
          <w:rFonts w:ascii="Times New Roman" w:hAnsi="Times New Roman" w:cs="Times New Roman"/>
          <w:b/>
          <w:bCs/>
          <w:u w:val="single"/>
        </w:rPr>
        <w:t>List of applicants</w:t>
      </w:r>
    </w:p>
    <w:p w:rsidRPr="00492DEC" w:rsidR="00BA0DFF" w:rsidP="00492DEC" w:rsidRDefault="00BA0DFF" w14:paraId="052A7D4B" w14:textId="77777777">
      <w:pPr>
        <w:pStyle w:val="JuPara"/>
        <w:jc w:val="center"/>
        <w:rPr>
          <w:rFonts w:ascii="Times New Roman" w:hAnsi="Times New Roman" w:eastAsia="Times New Roman" w:cs="Times New Roman"/>
        </w:rPr>
      </w:pPr>
      <w:r w:rsidRPr="00492DEC">
        <w:rPr>
          <w:rFonts w:ascii="Times New Roman" w:hAnsi="Times New Roman" w:eastAsia="Times New Roman" w:cs="Times New Roman"/>
        </w:rPr>
        <w:t>Application no. 10613/10</w:t>
      </w:r>
    </w:p>
    <w:p w:rsidRPr="00492DEC" w:rsidR="00BA0DFF" w:rsidP="00492DEC" w:rsidRDefault="00BA0DFF" w14:paraId="4A156842" w14:textId="77777777">
      <w:pPr>
        <w:pStyle w:val="JuPara"/>
        <w:rPr>
          <w:rFonts w:ascii="Times New Roman" w:hAnsi="Times New Roman" w:eastAsia="Times New Roman" w:cs="Times New Roman"/>
        </w:rPr>
      </w:pPr>
    </w:p>
    <w:tbl>
      <w:tblPr>
        <w:tblStyle w:val="ECHRListTable"/>
        <w:tblW w:w="4377" w:type="pct"/>
        <w:tblLook w:val="0420" w:firstRow="1" w:lastRow="0" w:firstColumn="0" w:lastColumn="0" w:noHBand="0" w:noVBand="1"/>
      </w:tblPr>
      <w:tblGrid>
        <w:gridCol w:w="570"/>
        <w:gridCol w:w="1443"/>
        <w:gridCol w:w="2003"/>
        <w:gridCol w:w="1363"/>
        <w:gridCol w:w="1176"/>
      </w:tblGrid>
      <w:tr w:rsidRPr="00492DEC" w:rsidR="00BA0DFF" w:rsidTr="0064570D" w14:paraId="0FA5B948" w14:textId="77777777">
        <w:trPr>
          <w:cnfStyle w:val="100000000000" w:firstRow="1" w:lastRow="0" w:firstColumn="0" w:lastColumn="0" w:oddVBand="0" w:evenVBand="0" w:oddHBand="0" w:evenHBand="0" w:firstRowFirstColumn="0" w:firstRowLastColumn="0" w:lastRowFirstColumn="0" w:lastRowLastColumn="0"/>
        </w:trPr>
        <w:tc>
          <w:tcPr>
            <w:tcW w:w="424" w:type="pct"/>
          </w:tcPr>
          <w:p w:rsidRPr="00492DEC" w:rsidR="00BA0DFF" w:rsidP="00492DEC" w:rsidRDefault="00BA0DFF" w14:paraId="324D86CA" w14:textId="77777777">
            <w:pPr>
              <w:rPr>
                <w:rFonts w:eastAsia="Times New Roman"/>
              </w:rPr>
            </w:pPr>
            <w:r w:rsidRPr="00492DEC">
              <w:rPr>
                <w:rFonts w:eastAsia="Times New Roman"/>
              </w:rPr>
              <w:t>No.</w:t>
            </w:r>
          </w:p>
        </w:tc>
        <w:tc>
          <w:tcPr>
            <w:tcW w:w="1143" w:type="pct"/>
          </w:tcPr>
          <w:p w:rsidRPr="00492DEC" w:rsidR="00BA0DFF" w:rsidP="00492DEC" w:rsidRDefault="00BA0DFF" w14:paraId="6338D2EA" w14:textId="7C6492B9">
            <w:pPr>
              <w:rPr>
                <w:rFonts w:eastAsia="Times New Roman"/>
              </w:rPr>
            </w:pPr>
            <w:r w:rsidRPr="00492DEC">
              <w:rPr>
                <w:rFonts w:eastAsia="Times New Roman"/>
              </w:rPr>
              <w:t>Applicant</w:t>
            </w:r>
            <w:r w:rsidRPr="00492DEC" w:rsidR="00492DEC">
              <w:rPr>
                <w:rFonts w:eastAsia="Times New Roman"/>
              </w:rPr>
              <w:t>’</w:t>
            </w:r>
            <w:r w:rsidRPr="00492DEC">
              <w:rPr>
                <w:rFonts w:eastAsia="Times New Roman"/>
              </w:rPr>
              <w:t>s Name</w:t>
            </w:r>
          </w:p>
        </w:tc>
        <w:tc>
          <w:tcPr>
            <w:tcW w:w="1144" w:type="pct"/>
          </w:tcPr>
          <w:p w:rsidRPr="00492DEC" w:rsidR="00BA0DFF" w:rsidP="00492DEC" w:rsidRDefault="00BA0DFF" w14:paraId="16004B8E" w14:textId="77777777">
            <w:pPr>
              <w:rPr>
                <w:rFonts w:eastAsia="Times New Roman"/>
              </w:rPr>
            </w:pPr>
            <w:r w:rsidRPr="00492DEC">
              <w:rPr>
                <w:rFonts w:eastAsia="Times New Roman"/>
              </w:rPr>
              <w:t>Year of birth/registration</w:t>
            </w:r>
          </w:p>
        </w:tc>
        <w:tc>
          <w:tcPr>
            <w:tcW w:w="1144" w:type="pct"/>
          </w:tcPr>
          <w:p w:rsidRPr="00492DEC" w:rsidR="00BA0DFF" w:rsidP="00492DEC" w:rsidRDefault="00BA0DFF" w14:paraId="245F3352" w14:textId="77777777">
            <w:pPr>
              <w:rPr>
                <w:rFonts w:eastAsia="Times New Roman"/>
              </w:rPr>
            </w:pPr>
            <w:r w:rsidRPr="00492DEC">
              <w:rPr>
                <w:rFonts w:eastAsia="Times New Roman"/>
              </w:rPr>
              <w:t>Nationality</w:t>
            </w:r>
          </w:p>
        </w:tc>
        <w:tc>
          <w:tcPr>
            <w:tcW w:w="1144" w:type="pct"/>
          </w:tcPr>
          <w:p w:rsidRPr="00492DEC" w:rsidR="00BA0DFF" w:rsidP="00492DEC" w:rsidRDefault="00BA0DFF" w14:paraId="7340951F" w14:textId="77777777">
            <w:pPr>
              <w:rPr>
                <w:rFonts w:eastAsia="Times New Roman"/>
              </w:rPr>
            </w:pPr>
            <w:r w:rsidRPr="00492DEC">
              <w:rPr>
                <w:rFonts w:eastAsia="Times New Roman"/>
              </w:rPr>
              <w:t>Place of residence</w:t>
            </w:r>
          </w:p>
        </w:tc>
      </w:tr>
      <w:tr w:rsidRPr="00492DEC" w:rsidR="00BA0DFF" w:rsidTr="0064570D" w14:paraId="7E394196" w14:textId="77777777">
        <w:tc>
          <w:tcPr>
            <w:tcW w:w="424" w:type="pct"/>
          </w:tcPr>
          <w:p w:rsidRPr="00492DEC" w:rsidR="00BA0DFF" w:rsidP="00492DEC" w:rsidRDefault="00BA0DFF" w14:paraId="63C1ABBD" w14:textId="77777777">
            <w:pPr>
              <w:rPr>
                <w:rFonts w:eastAsia="Times New Roman"/>
              </w:rPr>
            </w:pPr>
            <w:r w:rsidRPr="00492DEC">
              <w:rPr>
                <w:rFonts w:eastAsia="Times New Roman"/>
              </w:rPr>
              <w:t>1.</w:t>
            </w:r>
          </w:p>
        </w:tc>
        <w:tc>
          <w:tcPr>
            <w:tcW w:w="1143" w:type="pct"/>
          </w:tcPr>
          <w:p w:rsidRPr="00492DEC" w:rsidR="00BA0DFF" w:rsidP="00492DEC" w:rsidRDefault="00BA0DFF" w14:paraId="17E64E6D" w14:textId="77777777">
            <w:pPr>
              <w:rPr>
                <w:rFonts w:eastAsia="Times New Roman"/>
              </w:rPr>
            </w:pPr>
            <w:proofErr w:type="spellStart"/>
            <w:r w:rsidRPr="00492DEC">
              <w:rPr>
                <w:rFonts w:eastAsia="Times New Roman"/>
              </w:rPr>
              <w:t>Ekrem</w:t>
            </w:r>
            <w:proofErr w:type="spellEnd"/>
            <w:r w:rsidRPr="00492DEC">
              <w:rPr>
                <w:rFonts w:eastAsia="Times New Roman"/>
              </w:rPr>
              <w:t xml:space="preserve"> CAN</w:t>
            </w:r>
          </w:p>
        </w:tc>
        <w:tc>
          <w:tcPr>
            <w:tcW w:w="1144" w:type="pct"/>
          </w:tcPr>
          <w:p w:rsidRPr="00492DEC" w:rsidR="00BA0DFF" w:rsidP="00492DEC" w:rsidRDefault="00BA0DFF" w14:paraId="795B5A20" w14:textId="77777777">
            <w:pPr>
              <w:rPr>
                <w:rFonts w:eastAsia="Times New Roman"/>
              </w:rPr>
            </w:pPr>
            <w:r w:rsidRPr="00492DEC">
              <w:rPr>
                <w:rFonts w:eastAsia="Times New Roman"/>
              </w:rPr>
              <w:t>1982</w:t>
            </w:r>
          </w:p>
        </w:tc>
        <w:tc>
          <w:tcPr>
            <w:tcW w:w="1144" w:type="pct"/>
          </w:tcPr>
          <w:p w:rsidRPr="00492DEC" w:rsidR="00BA0DFF" w:rsidP="00492DEC" w:rsidRDefault="00BA0DFF" w14:paraId="409D761C" w14:textId="77777777">
            <w:pPr>
              <w:rPr>
                <w:rFonts w:eastAsia="Times New Roman"/>
              </w:rPr>
            </w:pPr>
            <w:r w:rsidRPr="00492DEC">
              <w:rPr>
                <w:rFonts w:eastAsia="Times New Roman"/>
              </w:rPr>
              <w:t>Turkish</w:t>
            </w:r>
          </w:p>
        </w:tc>
        <w:tc>
          <w:tcPr>
            <w:tcW w:w="1144" w:type="pct"/>
          </w:tcPr>
          <w:p w:rsidRPr="00492DEC" w:rsidR="00BA0DFF" w:rsidP="00492DEC" w:rsidRDefault="00BA0DFF" w14:paraId="73C8ED01" w14:textId="77777777">
            <w:pPr>
              <w:rPr>
                <w:rFonts w:eastAsia="Times New Roman"/>
              </w:rPr>
            </w:pPr>
            <w:proofErr w:type="spellStart"/>
            <w:r w:rsidRPr="00492DEC">
              <w:rPr>
                <w:rFonts w:eastAsia="Times New Roman"/>
              </w:rPr>
              <w:t>Tekirdağ</w:t>
            </w:r>
            <w:proofErr w:type="spellEnd"/>
          </w:p>
        </w:tc>
      </w:tr>
      <w:tr w:rsidRPr="00492DEC" w:rsidR="00BA0DFF" w:rsidTr="0064570D" w14:paraId="2B54BEB4" w14:textId="77777777">
        <w:tc>
          <w:tcPr>
            <w:tcW w:w="424" w:type="pct"/>
          </w:tcPr>
          <w:p w:rsidRPr="00492DEC" w:rsidR="00BA0DFF" w:rsidP="00492DEC" w:rsidRDefault="00BA0DFF" w14:paraId="75960C01" w14:textId="77777777">
            <w:pPr>
              <w:rPr>
                <w:rFonts w:eastAsia="Times New Roman"/>
              </w:rPr>
            </w:pPr>
            <w:r w:rsidRPr="00492DEC">
              <w:rPr>
                <w:rFonts w:eastAsia="Times New Roman"/>
              </w:rPr>
              <w:t>2.</w:t>
            </w:r>
          </w:p>
        </w:tc>
        <w:tc>
          <w:tcPr>
            <w:tcW w:w="1143" w:type="pct"/>
          </w:tcPr>
          <w:p w:rsidRPr="00492DEC" w:rsidR="00BA0DFF" w:rsidP="00492DEC" w:rsidRDefault="00BA0DFF" w14:paraId="18576D97" w14:textId="77777777">
            <w:pPr>
              <w:rPr>
                <w:rFonts w:eastAsia="Times New Roman"/>
              </w:rPr>
            </w:pPr>
            <w:proofErr w:type="spellStart"/>
            <w:r w:rsidRPr="00492DEC">
              <w:rPr>
                <w:rFonts w:eastAsia="Times New Roman"/>
              </w:rPr>
              <w:t>Servet</w:t>
            </w:r>
            <w:proofErr w:type="spellEnd"/>
            <w:r w:rsidRPr="00492DEC">
              <w:rPr>
                <w:rFonts w:eastAsia="Times New Roman"/>
              </w:rPr>
              <w:t xml:space="preserve"> AKDENİZ</w:t>
            </w:r>
          </w:p>
        </w:tc>
        <w:tc>
          <w:tcPr>
            <w:tcW w:w="1144" w:type="pct"/>
          </w:tcPr>
          <w:p w:rsidRPr="00492DEC" w:rsidR="00BA0DFF" w:rsidP="00492DEC" w:rsidRDefault="00BA0DFF" w14:paraId="6D13EAA2" w14:textId="77777777">
            <w:pPr>
              <w:rPr>
                <w:rFonts w:eastAsia="Times New Roman"/>
              </w:rPr>
            </w:pPr>
            <w:r w:rsidRPr="00492DEC">
              <w:rPr>
                <w:rFonts w:eastAsia="Times New Roman"/>
              </w:rPr>
              <w:t>1985</w:t>
            </w:r>
          </w:p>
        </w:tc>
        <w:tc>
          <w:tcPr>
            <w:tcW w:w="1144" w:type="pct"/>
          </w:tcPr>
          <w:p w:rsidRPr="00492DEC" w:rsidR="00BA0DFF" w:rsidP="00492DEC" w:rsidRDefault="00BA0DFF" w14:paraId="301D2C35" w14:textId="77777777">
            <w:pPr>
              <w:rPr>
                <w:rFonts w:eastAsia="Times New Roman"/>
              </w:rPr>
            </w:pPr>
            <w:r w:rsidRPr="00492DEC">
              <w:rPr>
                <w:rFonts w:eastAsia="Times New Roman"/>
              </w:rPr>
              <w:t>Turkish</w:t>
            </w:r>
          </w:p>
        </w:tc>
        <w:tc>
          <w:tcPr>
            <w:tcW w:w="1144" w:type="pct"/>
          </w:tcPr>
          <w:p w:rsidRPr="00492DEC" w:rsidR="00BA0DFF" w:rsidP="00492DEC" w:rsidRDefault="00BA0DFF" w14:paraId="6A35C1B2" w14:textId="77777777">
            <w:pPr>
              <w:rPr>
                <w:rFonts w:eastAsia="Times New Roman"/>
              </w:rPr>
            </w:pPr>
            <w:r w:rsidRPr="00492DEC">
              <w:rPr>
                <w:rFonts w:eastAsia="Times New Roman"/>
              </w:rPr>
              <w:t>Edirne</w:t>
            </w:r>
          </w:p>
        </w:tc>
      </w:tr>
      <w:tr w:rsidRPr="00492DEC" w:rsidR="00BA0DFF" w:rsidTr="0064570D" w14:paraId="706147E9" w14:textId="77777777">
        <w:tc>
          <w:tcPr>
            <w:tcW w:w="424" w:type="pct"/>
          </w:tcPr>
          <w:p w:rsidRPr="00492DEC" w:rsidR="00BA0DFF" w:rsidP="00492DEC" w:rsidRDefault="00BA0DFF" w14:paraId="6D24CE96" w14:textId="77777777">
            <w:pPr>
              <w:rPr>
                <w:rFonts w:eastAsia="Times New Roman"/>
              </w:rPr>
            </w:pPr>
            <w:r w:rsidRPr="00492DEC">
              <w:rPr>
                <w:rFonts w:eastAsia="Times New Roman"/>
              </w:rPr>
              <w:t>3.</w:t>
            </w:r>
          </w:p>
        </w:tc>
        <w:tc>
          <w:tcPr>
            <w:tcW w:w="1143" w:type="pct"/>
          </w:tcPr>
          <w:p w:rsidRPr="00492DEC" w:rsidR="00BA0DFF" w:rsidP="00492DEC" w:rsidRDefault="00BA0DFF" w14:paraId="38165078" w14:textId="77777777">
            <w:pPr>
              <w:rPr>
                <w:rFonts w:eastAsia="Times New Roman"/>
              </w:rPr>
            </w:pPr>
            <w:proofErr w:type="spellStart"/>
            <w:r w:rsidRPr="00492DEC">
              <w:rPr>
                <w:rFonts w:eastAsia="Times New Roman"/>
              </w:rPr>
              <w:t>Şenol</w:t>
            </w:r>
            <w:proofErr w:type="spellEnd"/>
            <w:r w:rsidRPr="00492DEC">
              <w:rPr>
                <w:rFonts w:eastAsia="Times New Roman"/>
              </w:rPr>
              <w:t xml:space="preserve"> AKYAZ</w:t>
            </w:r>
          </w:p>
        </w:tc>
        <w:tc>
          <w:tcPr>
            <w:tcW w:w="1144" w:type="pct"/>
          </w:tcPr>
          <w:p w:rsidRPr="00492DEC" w:rsidR="00BA0DFF" w:rsidP="00492DEC" w:rsidRDefault="00BA0DFF" w14:paraId="4B19EEB9" w14:textId="77777777">
            <w:pPr>
              <w:rPr>
                <w:rFonts w:eastAsia="Times New Roman"/>
              </w:rPr>
            </w:pPr>
            <w:r w:rsidRPr="00492DEC">
              <w:rPr>
                <w:rFonts w:eastAsia="Times New Roman"/>
              </w:rPr>
              <w:t>1981</w:t>
            </w:r>
          </w:p>
        </w:tc>
        <w:tc>
          <w:tcPr>
            <w:tcW w:w="1144" w:type="pct"/>
          </w:tcPr>
          <w:p w:rsidRPr="00492DEC" w:rsidR="00BA0DFF" w:rsidP="00492DEC" w:rsidRDefault="00BA0DFF" w14:paraId="3CE814F6" w14:textId="77777777">
            <w:pPr>
              <w:rPr>
                <w:rFonts w:eastAsia="Times New Roman"/>
              </w:rPr>
            </w:pPr>
            <w:r w:rsidRPr="00492DEC">
              <w:rPr>
                <w:rFonts w:eastAsia="Times New Roman"/>
              </w:rPr>
              <w:t>Turkish</w:t>
            </w:r>
          </w:p>
        </w:tc>
        <w:tc>
          <w:tcPr>
            <w:tcW w:w="1144" w:type="pct"/>
          </w:tcPr>
          <w:p w:rsidRPr="00492DEC" w:rsidR="00BA0DFF" w:rsidP="00492DEC" w:rsidRDefault="00BA0DFF" w14:paraId="2E78EE78" w14:textId="77777777">
            <w:pPr>
              <w:rPr>
                <w:rFonts w:eastAsia="Times New Roman"/>
              </w:rPr>
            </w:pPr>
            <w:r w:rsidRPr="00492DEC">
              <w:rPr>
                <w:rFonts w:eastAsia="Times New Roman"/>
              </w:rPr>
              <w:t>Istanbul</w:t>
            </w:r>
          </w:p>
        </w:tc>
      </w:tr>
      <w:tr w:rsidRPr="00492DEC" w:rsidR="00BA0DFF" w:rsidTr="0064570D" w14:paraId="451A2632" w14:textId="77777777">
        <w:tc>
          <w:tcPr>
            <w:tcW w:w="424" w:type="pct"/>
          </w:tcPr>
          <w:p w:rsidRPr="00492DEC" w:rsidR="00BA0DFF" w:rsidP="00492DEC" w:rsidRDefault="00BA0DFF" w14:paraId="5F109913" w14:textId="77777777">
            <w:pPr>
              <w:rPr>
                <w:rFonts w:eastAsia="Times New Roman"/>
              </w:rPr>
            </w:pPr>
            <w:r w:rsidRPr="00492DEC">
              <w:rPr>
                <w:rFonts w:eastAsia="Times New Roman"/>
              </w:rPr>
              <w:t>4.</w:t>
            </w:r>
          </w:p>
        </w:tc>
        <w:tc>
          <w:tcPr>
            <w:tcW w:w="1143" w:type="pct"/>
          </w:tcPr>
          <w:p w:rsidRPr="00492DEC" w:rsidR="00BA0DFF" w:rsidP="00492DEC" w:rsidRDefault="00BA0DFF" w14:paraId="1ACD493E" w14:textId="77777777">
            <w:pPr>
              <w:rPr>
                <w:rFonts w:eastAsia="Times New Roman"/>
              </w:rPr>
            </w:pPr>
            <w:proofErr w:type="spellStart"/>
            <w:r w:rsidRPr="00492DEC">
              <w:rPr>
                <w:rFonts w:eastAsia="Times New Roman"/>
              </w:rPr>
              <w:t>Fikret</w:t>
            </w:r>
            <w:proofErr w:type="spellEnd"/>
            <w:r w:rsidRPr="00492DEC">
              <w:rPr>
                <w:rFonts w:eastAsia="Times New Roman"/>
              </w:rPr>
              <w:t xml:space="preserve"> ARVAS</w:t>
            </w:r>
          </w:p>
        </w:tc>
        <w:tc>
          <w:tcPr>
            <w:tcW w:w="1144" w:type="pct"/>
          </w:tcPr>
          <w:p w:rsidRPr="00492DEC" w:rsidR="00BA0DFF" w:rsidP="00492DEC" w:rsidRDefault="00BA0DFF" w14:paraId="507F931C" w14:textId="77777777">
            <w:pPr>
              <w:rPr>
                <w:rFonts w:eastAsia="Times New Roman"/>
              </w:rPr>
            </w:pPr>
            <w:r w:rsidRPr="00492DEC">
              <w:rPr>
                <w:rFonts w:eastAsia="Times New Roman"/>
              </w:rPr>
              <w:t>1985</w:t>
            </w:r>
          </w:p>
        </w:tc>
        <w:tc>
          <w:tcPr>
            <w:tcW w:w="1144" w:type="pct"/>
          </w:tcPr>
          <w:p w:rsidRPr="00492DEC" w:rsidR="00BA0DFF" w:rsidP="00492DEC" w:rsidRDefault="00BA0DFF" w14:paraId="493B6CDE" w14:textId="77777777">
            <w:pPr>
              <w:rPr>
                <w:rFonts w:eastAsia="Times New Roman"/>
              </w:rPr>
            </w:pPr>
            <w:r w:rsidRPr="00492DEC">
              <w:rPr>
                <w:rFonts w:eastAsia="Times New Roman"/>
              </w:rPr>
              <w:t>Turkish</w:t>
            </w:r>
          </w:p>
        </w:tc>
        <w:tc>
          <w:tcPr>
            <w:tcW w:w="1144" w:type="pct"/>
          </w:tcPr>
          <w:p w:rsidRPr="00492DEC" w:rsidR="00BA0DFF" w:rsidP="00492DEC" w:rsidRDefault="00BA0DFF" w14:paraId="07CC565F" w14:textId="77777777">
            <w:pPr>
              <w:rPr>
                <w:rFonts w:eastAsia="Times New Roman"/>
              </w:rPr>
            </w:pPr>
            <w:proofErr w:type="spellStart"/>
            <w:r w:rsidRPr="00492DEC">
              <w:rPr>
                <w:rFonts w:eastAsia="Times New Roman"/>
              </w:rPr>
              <w:t>Tekirdağ</w:t>
            </w:r>
            <w:proofErr w:type="spellEnd"/>
          </w:p>
        </w:tc>
      </w:tr>
      <w:tr w:rsidRPr="00492DEC" w:rsidR="00BA0DFF" w:rsidTr="0064570D" w14:paraId="30C205E4" w14:textId="77777777">
        <w:tc>
          <w:tcPr>
            <w:tcW w:w="424" w:type="pct"/>
          </w:tcPr>
          <w:p w:rsidRPr="00492DEC" w:rsidR="00BA0DFF" w:rsidP="00492DEC" w:rsidRDefault="00BA0DFF" w14:paraId="17382209" w14:textId="77777777">
            <w:pPr>
              <w:rPr>
                <w:rFonts w:eastAsia="Times New Roman"/>
              </w:rPr>
            </w:pPr>
            <w:r w:rsidRPr="00492DEC">
              <w:rPr>
                <w:rFonts w:eastAsia="Times New Roman"/>
              </w:rPr>
              <w:t>5.</w:t>
            </w:r>
          </w:p>
        </w:tc>
        <w:tc>
          <w:tcPr>
            <w:tcW w:w="1143" w:type="pct"/>
          </w:tcPr>
          <w:p w:rsidRPr="00492DEC" w:rsidR="00BA0DFF" w:rsidP="00492DEC" w:rsidRDefault="00BA0DFF" w14:paraId="5F7E6CE3" w14:textId="77777777">
            <w:pPr>
              <w:rPr>
                <w:rFonts w:eastAsia="Times New Roman"/>
              </w:rPr>
            </w:pPr>
            <w:r w:rsidRPr="00492DEC">
              <w:rPr>
                <w:rFonts w:eastAsia="Times New Roman"/>
              </w:rPr>
              <w:t>Mahmut CENG</w:t>
            </w:r>
            <w:r w:rsidRPr="00492DEC">
              <w:rPr>
                <w:rFonts w:eastAsia="Times New Roman"/>
                <w:lang w:val="tr-TR"/>
              </w:rPr>
              <w:t>İ</w:t>
            </w:r>
            <w:r w:rsidRPr="00492DEC">
              <w:rPr>
                <w:rFonts w:eastAsia="Times New Roman"/>
              </w:rPr>
              <w:t>Z</w:t>
            </w:r>
          </w:p>
        </w:tc>
        <w:tc>
          <w:tcPr>
            <w:tcW w:w="1144" w:type="pct"/>
          </w:tcPr>
          <w:p w:rsidRPr="00492DEC" w:rsidR="00BA0DFF" w:rsidP="00492DEC" w:rsidRDefault="00BA0DFF" w14:paraId="10243475" w14:textId="77777777">
            <w:pPr>
              <w:rPr>
                <w:rFonts w:eastAsia="Times New Roman"/>
              </w:rPr>
            </w:pPr>
            <w:r w:rsidRPr="00492DEC">
              <w:rPr>
                <w:rFonts w:eastAsia="Times New Roman"/>
              </w:rPr>
              <w:t>1983</w:t>
            </w:r>
          </w:p>
        </w:tc>
        <w:tc>
          <w:tcPr>
            <w:tcW w:w="1144" w:type="pct"/>
          </w:tcPr>
          <w:p w:rsidRPr="00492DEC" w:rsidR="00BA0DFF" w:rsidP="00492DEC" w:rsidRDefault="00BA0DFF" w14:paraId="57FD26DF" w14:textId="77777777">
            <w:pPr>
              <w:rPr>
                <w:rFonts w:eastAsia="Times New Roman"/>
              </w:rPr>
            </w:pPr>
            <w:r w:rsidRPr="00492DEC">
              <w:rPr>
                <w:rFonts w:eastAsia="Times New Roman"/>
              </w:rPr>
              <w:t>Turkish</w:t>
            </w:r>
          </w:p>
        </w:tc>
        <w:tc>
          <w:tcPr>
            <w:tcW w:w="1144" w:type="pct"/>
          </w:tcPr>
          <w:p w:rsidRPr="00492DEC" w:rsidR="00BA0DFF" w:rsidP="00492DEC" w:rsidRDefault="00BA0DFF" w14:paraId="25C925F6" w14:textId="77777777">
            <w:pPr>
              <w:rPr>
                <w:rFonts w:eastAsia="Times New Roman"/>
              </w:rPr>
            </w:pPr>
            <w:proofErr w:type="spellStart"/>
            <w:r w:rsidRPr="00492DEC">
              <w:rPr>
                <w:rFonts w:eastAsia="Times New Roman"/>
              </w:rPr>
              <w:t>Tekirdağ</w:t>
            </w:r>
            <w:proofErr w:type="spellEnd"/>
          </w:p>
        </w:tc>
      </w:tr>
      <w:tr w:rsidRPr="00492DEC" w:rsidR="00BA0DFF" w:rsidTr="0064570D" w14:paraId="1BDD3EAF" w14:textId="77777777">
        <w:tc>
          <w:tcPr>
            <w:tcW w:w="424" w:type="pct"/>
          </w:tcPr>
          <w:p w:rsidRPr="00492DEC" w:rsidR="00BA0DFF" w:rsidP="00492DEC" w:rsidRDefault="00BA0DFF" w14:paraId="1E68C629" w14:textId="77777777">
            <w:pPr>
              <w:rPr>
                <w:rFonts w:eastAsia="Times New Roman"/>
              </w:rPr>
            </w:pPr>
            <w:r w:rsidRPr="00492DEC">
              <w:rPr>
                <w:rFonts w:eastAsia="Times New Roman"/>
              </w:rPr>
              <w:t>6.</w:t>
            </w:r>
          </w:p>
        </w:tc>
        <w:tc>
          <w:tcPr>
            <w:tcW w:w="1143" w:type="pct"/>
          </w:tcPr>
          <w:p w:rsidRPr="00492DEC" w:rsidR="00BA0DFF" w:rsidP="00492DEC" w:rsidRDefault="00BA0DFF" w14:paraId="3486CD90" w14:textId="77777777">
            <w:pPr>
              <w:rPr>
                <w:rFonts w:eastAsia="Times New Roman"/>
              </w:rPr>
            </w:pPr>
            <w:proofErr w:type="spellStart"/>
            <w:r w:rsidRPr="00492DEC">
              <w:rPr>
                <w:rFonts w:eastAsia="Times New Roman"/>
              </w:rPr>
              <w:t>Abdulkerim</w:t>
            </w:r>
            <w:proofErr w:type="spellEnd"/>
            <w:r w:rsidRPr="00492DEC">
              <w:rPr>
                <w:rFonts w:eastAsia="Times New Roman"/>
              </w:rPr>
              <w:t xml:space="preserve"> DOĞAN</w:t>
            </w:r>
          </w:p>
        </w:tc>
        <w:tc>
          <w:tcPr>
            <w:tcW w:w="1144" w:type="pct"/>
          </w:tcPr>
          <w:p w:rsidRPr="00492DEC" w:rsidR="00BA0DFF" w:rsidP="00492DEC" w:rsidRDefault="00BA0DFF" w14:paraId="3288EFC5" w14:textId="77777777">
            <w:pPr>
              <w:rPr>
                <w:rFonts w:eastAsia="Times New Roman"/>
              </w:rPr>
            </w:pPr>
            <w:r w:rsidRPr="00492DEC">
              <w:rPr>
                <w:rFonts w:eastAsia="Times New Roman"/>
              </w:rPr>
              <w:t>1979</w:t>
            </w:r>
          </w:p>
        </w:tc>
        <w:tc>
          <w:tcPr>
            <w:tcW w:w="1144" w:type="pct"/>
          </w:tcPr>
          <w:p w:rsidRPr="00492DEC" w:rsidR="00BA0DFF" w:rsidP="00492DEC" w:rsidRDefault="00BA0DFF" w14:paraId="4A6325F8" w14:textId="77777777">
            <w:pPr>
              <w:rPr>
                <w:rFonts w:eastAsia="Times New Roman"/>
              </w:rPr>
            </w:pPr>
            <w:r w:rsidRPr="00492DEC">
              <w:rPr>
                <w:rFonts w:eastAsia="Times New Roman"/>
              </w:rPr>
              <w:t>Turkish</w:t>
            </w:r>
          </w:p>
        </w:tc>
        <w:tc>
          <w:tcPr>
            <w:tcW w:w="1144" w:type="pct"/>
          </w:tcPr>
          <w:p w:rsidRPr="00492DEC" w:rsidR="00BA0DFF" w:rsidP="00492DEC" w:rsidRDefault="00BA0DFF" w14:paraId="58B466EC" w14:textId="77777777">
            <w:pPr>
              <w:rPr>
                <w:rFonts w:eastAsia="Times New Roman"/>
              </w:rPr>
            </w:pPr>
            <w:r w:rsidRPr="00492DEC">
              <w:rPr>
                <w:rFonts w:eastAsia="Times New Roman"/>
              </w:rPr>
              <w:t>Istanbul</w:t>
            </w:r>
          </w:p>
        </w:tc>
      </w:tr>
      <w:tr w:rsidRPr="00492DEC" w:rsidR="00BA0DFF" w:rsidTr="0064570D" w14:paraId="3AE03564" w14:textId="77777777">
        <w:tc>
          <w:tcPr>
            <w:tcW w:w="424" w:type="pct"/>
          </w:tcPr>
          <w:p w:rsidRPr="00492DEC" w:rsidR="00BA0DFF" w:rsidP="00492DEC" w:rsidRDefault="00BA0DFF" w14:paraId="11BA75FA" w14:textId="77777777">
            <w:pPr>
              <w:rPr>
                <w:rFonts w:eastAsia="Times New Roman"/>
              </w:rPr>
            </w:pPr>
            <w:r w:rsidRPr="00492DEC">
              <w:rPr>
                <w:rFonts w:eastAsia="Times New Roman"/>
              </w:rPr>
              <w:t>7.</w:t>
            </w:r>
          </w:p>
        </w:tc>
        <w:tc>
          <w:tcPr>
            <w:tcW w:w="1143" w:type="pct"/>
          </w:tcPr>
          <w:p w:rsidRPr="00492DEC" w:rsidR="00BA0DFF" w:rsidP="00492DEC" w:rsidRDefault="00BA0DFF" w14:paraId="394CA65A" w14:textId="77777777">
            <w:pPr>
              <w:rPr>
                <w:rFonts w:eastAsia="Times New Roman"/>
              </w:rPr>
            </w:pPr>
            <w:proofErr w:type="spellStart"/>
            <w:r w:rsidRPr="00492DEC">
              <w:rPr>
                <w:rFonts w:eastAsia="Times New Roman"/>
              </w:rPr>
              <w:t>Muhlis</w:t>
            </w:r>
            <w:proofErr w:type="spellEnd"/>
            <w:r w:rsidRPr="00492DEC">
              <w:rPr>
                <w:rFonts w:eastAsia="Times New Roman"/>
              </w:rPr>
              <w:t xml:space="preserve"> DOĞAN</w:t>
            </w:r>
          </w:p>
        </w:tc>
        <w:tc>
          <w:tcPr>
            <w:tcW w:w="1144" w:type="pct"/>
          </w:tcPr>
          <w:p w:rsidRPr="00492DEC" w:rsidR="00BA0DFF" w:rsidP="00492DEC" w:rsidRDefault="00BA0DFF" w14:paraId="4C969CD1" w14:textId="77777777">
            <w:pPr>
              <w:rPr>
                <w:rFonts w:eastAsia="Times New Roman"/>
              </w:rPr>
            </w:pPr>
            <w:r w:rsidRPr="00492DEC">
              <w:rPr>
                <w:rFonts w:eastAsia="Times New Roman"/>
              </w:rPr>
              <w:t>1979</w:t>
            </w:r>
          </w:p>
        </w:tc>
        <w:tc>
          <w:tcPr>
            <w:tcW w:w="1144" w:type="pct"/>
          </w:tcPr>
          <w:p w:rsidRPr="00492DEC" w:rsidR="00BA0DFF" w:rsidP="00492DEC" w:rsidRDefault="00BA0DFF" w14:paraId="490ADAC3" w14:textId="77777777">
            <w:pPr>
              <w:rPr>
                <w:rFonts w:eastAsia="Times New Roman"/>
              </w:rPr>
            </w:pPr>
            <w:r w:rsidRPr="00492DEC">
              <w:rPr>
                <w:rFonts w:eastAsia="Times New Roman"/>
              </w:rPr>
              <w:t>Turkish</w:t>
            </w:r>
          </w:p>
        </w:tc>
        <w:tc>
          <w:tcPr>
            <w:tcW w:w="1144" w:type="pct"/>
          </w:tcPr>
          <w:p w:rsidRPr="00492DEC" w:rsidR="00BA0DFF" w:rsidP="00492DEC" w:rsidRDefault="00BA0DFF" w14:paraId="407746B4" w14:textId="77777777">
            <w:pPr>
              <w:rPr>
                <w:rFonts w:eastAsia="Times New Roman"/>
              </w:rPr>
            </w:pPr>
            <w:r w:rsidRPr="00492DEC">
              <w:rPr>
                <w:rFonts w:eastAsia="Times New Roman"/>
              </w:rPr>
              <w:t>Istanbul</w:t>
            </w:r>
          </w:p>
        </w:tc>
      </w:tr>
      <w:tr w:rsidRPr="00492DEC" w:rsidR="00BA0DFF" w:rsidTr="0064570D" w14:paraId="1191BE9B" w14:textId="77777777">
        <w:tc>
          <w:tcPr>
            <w:tcW w:w="424" w:type="pct"/>
          </w:tcPr>
          <w:p w:rsidRPr="00492DEC" w:rsidR="00BA0DFF" w:rsidP="00492DEC" w:rsidRDefault="00BA0DFF" w14:paraId="466D1A8A" w14:textId="77777777">
            <w:pPr>
              <w:rPr>
                <w:rFonts w:eastAsia="Times New Roman"/>
              </w:rPr>
            </w:pPr>
            <w:r w:rsidRPr="00492DEC">
              <w:rPr>
                <w:rFonts w:eastAsia="Times New Roman"/>
              </w:rPr>
              <w:t>8.</w:t>
            </w:r>
          </w:p>
        </w:tc>
        <w:tc>
          <w:tcPr>
            <w:tcW w:w="1143" w:type="pct"/>
          </w:tcPr>
          <w:p w:rsidRPr="00492DEC" w:rsidR="00BA0DFF" w:rsidP="00492DEC" w:rsidRDefault="00BA0DFF" w14:paraId="629FF879" w14:textId="77777777">
            <w:pPr>
              <w:rPr>
                <w:rFonts w:eastAsia="Times New Roman"/>
              </w:rPr>
            </w:pPr>
            <w:proofErr w:type="spellStart"/>
            <w:r w:rsidRPr="00492DEC">
              <w:rPr>
                <w:rFonts w:eastAsia="Times New Roman"/>
              </w:rPr>
              <w:t>Esat</w:t>
            </w:r>
            <w:proofErr w:type="spellEnd"/>
            <w:r w:rsidRPr="00492DEC">
              <w:rPr>
                <w:rFonts w:eastAsia="Times New Roman"/>
              </w:rPr>
              <w:t xml:space="preserve"> GEZER</w:t>
            </w:r>
          </w:p>
        </w:tc>
        <w:tc>
          <w:tcPr>
            <w:tcW w:w="1144" w:type="pct"/>
          </w:tcPr>
          <w:p w:rsidRPr="00492DEC" w:rsidR="00BA0DFF" w:rsidP="00492DEC" w:rsidRDefault="00BA0DFF" w14:paraId="2E0C19B8" w14:textId="77777777">
            <w:pPr>
              <w:rPr>
                <w:rFonts w:eastAsia="Times New Roman"/>
              </w:rPr>
            </w:pPr>
            <w:r w:rsidRPr="00492DEC">
              <w:rPr>
                <w:rFonts w:eastAsia="Times New Roman"/>
              </w:rPr>
              <w:t>1982</w:t>
            </w:r>
          </w:p>
        </w:tc>
        <w:tc>
          <w:tcPr>
            <w:tcW w:w="1144" w:type="pct"/>
          </w:tcPr>
          <w:p w:rsidRPr="00492DEC" w:rsidR="00BA0DFF" w:rsidP="00492DEC" w:rsidRDefault="00BA0DFF" w14:paraId="21436091" w14:textId="77777777">
            <w:pPr>
              <w:rPr>
                <w:rFonts w:eastAsia="Times New Roman"/>
              </w:rPr>
            </w:pPr>
            <w:r w:rsidRPr="00492DEC">
              <w:rPr>
                <w:rFonts w:eastAsia="Times New Roman"/>
              </w:rPr>
              <w:t>Turkish</w:t>
            </w:r>
          </w:p>
        </w:tc>
        <w:tc>
          <w:tcPr>
            <w:tcW w:w="1144" w:type="pct"/>
          </w:tcPr>
          <w:p w:rsidRPr="00492DEC" w:rsidR="00BA0DFF" w:rsidP="00492DEC" w:rsidRDefault="00BA0DFF" w14:paraId="30DC6169" w14:textId="77777777">
            <w:pPr>
              <w:rPr>
                <w:rFonts w:eastAsia="Times New Roman"/>
              </w:rPr>
            </w:pPr>
            <w:r w:rsidRPr="00492DEC">
              <w:rPr>
                <w:rFonts w:eastAsia="Times New Roman"/>
              </w:rPr>
              <w:t>Istanbul</w:t>
            </w:r>
          </w:p>
        </w:tc>
      </w:tr>
      <w:tr w:rsidRPr="00492DEC" w:rsidR="00BA0DFF" w:rsidTr="0064570D" w14:paraId="055D38D9" w14:textId="77777777">
        <w:tc>
          <w:tcPr>
            <w:tcW w:w="424" w:type="pct"/>
          </w:tcPr>
          <w:p w:rsidRPr="00492DEC" w:rsidR="00BA0DFF" w:rsidP="00492DEC" w:rsidRDefault="00BA0DFF" w14:paraId="1F4A0266" w14:textId="77777777">
            <w:pPr>
              <w:rPr>
                <w:rFonts w:eastAsia="Times New Roman"/>
              </w:rPr>
            </w:pPr>
            <w:r w:rsidRPr="00492DEC">
              <w:rPr>
                <w:rFonts w:eastAsia="Times New Roman"/>
              </w:rPr>
              <w:t>9.</w:t>
            </w:r>
          </w:p>
        </w:tc>
        <w:tc>
          <w:tcPr>
            <w:tcW w:w="1143" w:type="pct"/>
          </w:tcPr>
          <w:p w:rsidRPr="00492DEC" w:rsidR="00BA0DFF" w:rsidP="00492DEC" w:rsidRDefault="00BA0DFF" w14:paraId="754ABE78" w14:textId="77777777">
            <w:pPr>
              <w:rPr>
                <w:rFonts w:eastAsia="Times New Roman"/>
              </w:rPr>
            </w:pPr>
            <w:r w:rsidRPr="00492DEC">
              <w:rPr>
                <w:rFonts w:eastAsia="Times New Roman"/>
              </w:rPr>
              <w:t>Ahmet IŞIK</w:t>
            </w:r>
          </w:p>
        </w:tc>
        <w:tc>
          <w:tcPr>
            <w:tcW w:w="1144" w:type="pct"/>
          </w:tcPr>
          <w:p w:rsidRPr="00492DEC" w:rsidR="00BA0DFF" w:rsidP="00492DEC" w:rsidRDefault="00BA0DFF" w14:paraId="4F7A035E" w14:textId="77777777">
            <w:pPr>
              <w:rPr>
                <w:rFonts w:eastAsia="Times New Roman"/>
              </w:rPr>
            </w:pPr>
            <w:r w:rsidRPr="00492DEC">
              <w:rPr>
                <w:rFonts w:eastAsia="Times New Roman"/>
              </w:rPr>
              <w:t>1978</w:t>
            </w:r>
          </w:p>
        </w:tc>
        <w:tc>
          <w:tcPr>
            <w:tcW w:w="1144" w:type="pct"/>
          </w:tcPr>
          <w:p w:rsidRPr="00492DEC" w:rsidR="00BA0DFF" w:rsidP="00492DEC" w:rsidRDefault="00BA0DFF" w14:paraId="16E01E11" w14:textId="77777777">
            <w:pPr>
              <w:rPr>
                <w:rFonts w:eastAsia="Times New Roman"/>
              </w:rPr>
            </w:pPr>
            <w:r w:rsidRPr="00492DEC">
              <w:rPr>
                <w:rFonts w:eastAsia="Times New Roman"/>
              </w:rPr>
              <w:t>Turkish</w:t>
            </w:r>
          </w:p>
        </w:tc>
        <w:tc>
          <w:tcPr>
            <w:tcW w:w="1144" w:type="pct"/>
          </w:tcPr>
          <w:p w:rsidRPr="00492DEC" w:rsidR="00BA0DFF" w:rsidP="00492DEC" w:rsidRDefault="00BA0DFF" w14:paraId="2EEE41C0" w14:textId="77777777">
            <w:pPr>
              <w:rPr>
                <w:rFonts w:eastAsia="Times New Roman"/>
              </w:rPr>
            </w:pPr>
            <w:r w:rsidRPr="00492DEC">
              <w:rPr>
                <w:rFonts w:eastAsia="Times New Roman"/>
              </w:rPr>
              <w:t>Istanbul</w:t>
            </w:r>
          </w:p>
        </w:tc>
      </w:tr>
      <w:tr w:rsidRPr="00492DEC" w:rsidR="00BA0DFF" w:rsidTr="0064570D" w14:paraId="141AEF0E" w14:textId="77777777">
        <w:tc>
          <w:tcPr>
            <w:tcW w:w="424" w:type="pct"/>
          </w:tcPr>
          <w:p w:rsidRPr="00492DEC" w:rsidR="00BA0DFF" w:rsidP="00492DEC" w:rsidRDefault="00BA0DFF" w14:paraId="645A84FE" w14:textId="77777777">
            <w:pPr>
              <w:rPr>
                <w:rFonts w:eastAsia="Times New Roman"/>
              </w:rPr>
            </w:pPr>
            <w:r w:rsidRPr="00492DEC">
              <w:rPr>
                <w:rFonts w:eastAsia="Times New Roman"/>
              </w:rPr>
              <w:t>10.</w:t>
            </w:r>
          </w:p>
        </w:tc>
        <w:tc>
          <w:tcPr>
            <w:tcW w:w="1143" w:type="pct"/>
          </w:tcPr>
          <w:p w:rsidRPr="00492DEC" w:rsidR="00BA0DFF" w:rsidP="00492DEC" w:rsidRDefault="00BA0DFF" w14:paraId="7FACEBE5" w14:textId="77777777">
            <w:pPr>
              <w:rPr>
                <w:rFonts w:eastAsia="Times New Roman"/>
              </w:rPr>
            </w:pPr>
            <w:r w:rsidRPr="00492DEC">
              <w:rPr>
                <w:rFonts w:eastAsia="Times New Roman"/>
              </w:rPr>
              <w:t>Yavuz OĞUR</w:t>
            </w:r>
          </w:p>
        </w:tc>
        <w:tc>
          <w:tcPr>
            <w:tcW w:w="1144" w:type="pct"/>
          </w:tcPr>
          <w:p w:rsidRPr="00492DEC" w:rsidR="00BA0DFF" w:rsidP="00492DEC" w:rsidRDefault="00BA0DFF" w14:paraId="27E2B86A" w14:textId="77777777">
            <w:pPr>
              <w:rPr>
                <w:rFonts w:eastAsia="Times New Roman"/>
              </w:rPr>
            </w:pPr>
            <w:r w:rsidRPr="00492DEC">
              <w:rPr>
                <w:rFonts w:eastAsia="Times New Roman"/>
              </w:rPr>
              <w:t>1981</w:t>
            </w:r>
          </w:p>
        </w:tc>
        <w:tc>
          <w:tcPr>
            <w:tcW w:w="1144" w:type="pct"/>
          </w:tcPr>
          <w:p w:rsidRPr="00492DEC" w:rsidR="00BA0DFF" w:rsidP="00492DEC" w:rsidRDefault="00BA0DFF" w14:paraId="3FC976AD" w14:textId="77777777">
            <w:pPr>
              <w:rPr>
                <w:rFonts w:eastAsia="Times New Roman"/>
              </w:rPr>
            </w:pPr>
            <w:r w:rsidRPr="00492DEC">
              <w:rPr>
                <w:rFonts w:eastAsia="Times New Roman"/>
              </w:rPr>
              <w:t>Turkish</w:t>
            </w:r>
          </w:p>
        </w:tc>
        <w:tc>
          <w:tcPr>
            <w:tcW w:w="1144" w:type="pct"/>
          </w:tcPr>
          <w:p w:rsidRPr="00492DEC" w:rsidR="00BA0DFF" w:rsidP="00492DEC" w:rsidRDefault="00BA0DFF" w14:paraId="2EDA9F38" w14:textId="77777777">
            <w:pPr>
              <w:rPr>
                <w:rFonts w:eastAsia="Times New Roman"/>
              </w:rPr>
            </w:pPr>
            <w:r w:rsidRPr="00492DEC">
              <w:rPr>
                <w:rFonts w:eastAsia="Times New Roman"/>
              </w:rPr>
              <w:t>Istanbul</w:t>
            </w:r>
          </w:p>
        </w:tc>
      </w:tr>
      <w:tr w:rsidRPr="00492DEC" w:rsidR="00BA0DFF" w:rsidTr="0064570D" w14:paraId="4B39B075" w14:textId="77777777">
        <w:tc>
          <w:tcPr>
            <w:tcW w:w="424" w:type="pct"/>
          </w:tcPr>
          <w:p w:rsidRPr="00492DEC" w:rsidR="00BA0DFF" w:rsidP="00492DEC" w:rsidRDefault="00BA0DFF" w14:paraId="6851990A" w14:textId="77777777">
            <w:pPr>
              <w:rPr>
                <w:rFonts w:eastAsia="Times New Roman"/>
              </w:rPr>
            </w:pPr>
            <w:r w:rsidRPr="00492DEC">
              <w:rPr>
                <w:rFonts w:eastAsia="Times New Roman"/>
              </w:rPr>
              <w:t>11.</w:t>
            </w:r>
          </w:p>
        </w:tc>
        <w:tc>
          <w:tcPr>
            <w:tcW w:w="1143" w:type="pct"/>
          </w:tcPr>
          <w:p w:rsidRPr="00492DEC" w:rsidR="00BA0DFF" w:rsidP="00492DEC" w:rsidRDefault="00BA0DFF" w14:paraId="1D69143D" w14:textId="77777777">
            <w:pPr>
              <w:rPr>
                <w:rFonts w:eastAsia="Times New Roman"/>
              </w:rPr>
            </w:pPr>
            <w:proofErr w:type="spellStart"/>
            <w:r w:rsidRPr="00492DEC">
              <w:rPr>
                <w:rFonts w:eastAsia="Times New Roman"/>
              </w:rPr>
              <w:t>Güven</w:t>
            </w:r>
            <w:proofErr w:type="spellEnd"/>
            <w:r w:rsidRPr="00492DEC">
              <w:rPr>
                <w:rFonts w:eastAsia="Times New Roman"/>
              </w:rPr>
              <w:t xml:space="preserve"> ÖZTÜRK</w:t>
            </w:r>
          </w:p>
        </w:tc>
        <w:tc>
          <w:tcPr>
            <w:tcW w:w="1144" w:type="pct"/>
          </w:tcPr>
          <w:p w:rsidRPr="00492DEC" w:rsidR="00BA0DFF" w:rsidP="00492DEC" w:rsidRDefault="00BA0DFF" w14:paraId="633A2872" w14:textId="77777777">
            <w:pPr>
              <w:rPr>
                <w:rFonts w:eastAsia="Times New Roman"/>
              </w:rPr>
            </w:pPr>
            <w:r w:rsidRPr="00492DEC">
              <w:rPr>
                <w:rFonts w:eastAsia="Times New Roman"/>
              </w:rPr>
              <w:t>1984</w:t>
            </w:r>
          </w:p>
        </w:tc>
        <w:tc>
          <w:tcPr>
            <w:tcW w:w="1144" w:type="pct"/>
          </w:tcPr>
          <w:p w:rsidRPr="00492DEC" w:rsidR="00BA0DFF" w:rsidP="00492DEC" w:rsidRDefault="00BA0DFF" w14:paraId="492E97C6" w14:textId="77777777">
            <w:pPr>
              <w:rPr>
                <w:rFonts w:eastAsia="Times New Roman"/>
              </w:rPr>
            </w:pPr>
            <w:r w:rsidRPr="00492DEC">
              <w:rPr>
                <w:rFonts w:eastAsia="Times New Roman"/>
              </w:rPr>
              <w:t>Turkish</w:t>
            </w:r>
          </w:p>
        </w:tc>
        <w:tc>
          <w:tcPr>
            <w:tcW w:w="1144" w:type="pct"/>
          </w:tcPr>
          <w:p w:rsidRPr="00492DEC" w:rsidR="00BA0DFF" w:rsidP="00492DEC" w:rsidRDefault="00BA0DFF" w14:paraId="1B815229" w14:textId="77777777">
            <w:pPr>
              <w:rPr>
                <w:rFonts w:eastAsia="Times New Roman"/>
              </w:rPr>
            </w:pPr>
            <w:r w:rsidRPr="00492DEC">
              <w:rPr>
                <w:rFonts w:eastAsia="Times New Roman"/>
              </w:rPr>
              <w:t>Istanbul</w:t>
            </w:r>
          </w:p>
        </w:tc>
      </w:tr>
      <w:tr w:rsidRPr="00492DEC" w:rsidR="00BA0DFF" w:rsidTr="0064570D" w14:paraId="3C8BEAA8" w14:textId="77777777">
        <w:tc>
          <w:tcPr>
            <w:tcW w:w="424" w:type="pct"/>
          </w:tcPr>
          <w:p w:rsidRPr="00492DEC" w:rsidR="00BA0DFF" w:rsidP="00492DEC" w:rsidRDefault="00BA0DFF" w14:paraId="7F334FDE" w14:textId="77777777">
            <w:pPr>
              <w:rPr>
                <w:rFonts w:eastAsia="Times New Roman"/>
              </w:rPr>
            </w:pPr>
            <w:r w:rsidRPr="00492DEC">
              <w:rPr>
                <w:rFonts w:eastAsia="Times New Roman"/>
              </w:rPr>
              <w:t>12.</w:t>
            </w:r>
          </w:p>
        </w:tc>
        <w:tc>
          <w:tcPr>
            <w:tcW w:w="1143" w:type="pct"/>
          </w:tcPr>
          <w:p w:rsidRPr="00492DEC" w:rsidR="00BA0DFF" w:rsidP="00492DEC" w:rsidRDefault="00BA0DFF" w14:paraId="6E8BEFE8" w14:textId="77777777">
            <w:pPr>
              <w:rPr>
                <w:rFonts w:eastAsia="Times New Roman"/>
              </w:rPr>
            </w:pPr>
            <w:r w:rsidRPr="00492DEC">
              <w:rPr>
                <w:rFonts w:eastAsia="Times New Roman"/>
              </w:rPr>
              <w:t>Mehmet ŞAHİN</w:t>
            </w:r>
          </w:p>
        </w:tc>
        <w:tc>
          <w:tcPr>
            <w:tcW w:w="1144" w:type="pct"/>
          </w:tcPr>
          <w:p w:rsidRPr="00492DEC" w:rsidR="00BA0DFF" w:rsidP="00492DEC" w:rsidRDefault="00BA0DFF" w14:paraId="097F85A7" w14:textId="77777777">
            <w:pPr>
              <w:rPr>
                <w:rFonts w:eastAsia="Times New Roman"/>
              </w:rPr>
            </w:pPr>
            <w:r w:rsidRPr="00492DEC">
              <w:rPr>
                <w:rFonts w:eastAsia="Times New Roman"/>
              </w:rPr>
              <w:t>1983</w:t>
            </w:r>
          </w:p>
        </w:tc>
        <w:tc>
          <w:tcPr>
            <w:tcW w:w="1144" w:type="pct"/>
          </w:tcPr>
          <w:p w:rsidRPr="00492DEC" w:rsidR="00BA0DFF" w:rsidP="00492DEC" w:rsidRDefault="00BA0DFF" w14:paraId="7C372092" w14:textId="77777777">
            <w:pPr>
              <w:rPr>
                <w:rFonts w:eastAsia="Times New Roman"/>
              </w:rPr>
            </w:pPr>
            <w:r w:rsidRPr="00492DEC">
              <w:rPr>
                <w:rFonts w:eastAsia="Times New Roman"/>
              </w:rPr>
              <w:t>Turkish</w:t>
            </w:r>
          </w:p>
        </w:tc>
        <w:tc>
          <w:tcPr>
            <w:tcW w:w="1144" w:type="pct"/>
          </w:tcPr>
          <w:p w:rsidRPr="00492DEC" w:rsidR="00BA0DFF" w:rsidP="00492DEC" w:rsidRDefault="00BA0DFF" w14:paraId="69E97720" w14:textId="77777777">
            <w:pPr>
              <w:rPr>
                <w:rFonts w:eastAsia="Times New Roman"/>
              </w:rPr>
            </w:pPr>
            <w:r w:rsidRPr="00492DEC">
              <w:rPr>
                <w:rFonts w:eastAsia="Times New Roman"/>
              </w:rPr>
              <w:t>Istanbul</w:t>
            </w:r>
          </w:p>
        </w:tc>
      </w:tr>
      <w:tr w:rsidRPr="00492DEC" w:rsidR="00BA0DFF" w:rsidTr="0064570D" w14:paraId="10B5B8E0" w14:textId="77777777">
        <w:tc>
          <w:tcPr>
            <w:tcW w:w="424" w:type="pct"/>
          </w:tcPr>
          <w:p w:rsidRPr="00492DEC" w:rsidR="00BA0DFF" w:rsidP="00492DEC" w:rsidRDefault="00BA0DFF" w14:paraId="5EB5F550" w14:textId="77777777">
            <w:pPr>
              <w:rPr>
                <w:rFonts w:eastAsia="Times New Roman"/>
              </w:rPr>
            </w:pPr>
            <w:r w:rsidRPr="00492DEC">
              <w:rPr>
                <w:rFonts w:eastAsia="Times New Roman"/>
              </w:rPr>
              <w:t>13.</w:t>
            </w:r>
          </w:p>
        </w:tc>
        <w:tc>
          <w:tcPr>
            <w:tcW w:w="1143" w:type="pct"/>
          </w:tcPr>
          <w:p w:rsidRPr="00492DEC" w:rsidR="00BA0DFF" w:rsidP="00492DEC" w:rsidRDefault="00BA0DFF" w14:paraId="0590E671" w14:textId="77777777">
            <w:pPr>
              <w:rPr>
                <w:rFonts w:eastAsia="Times New Roman"/>
              </w:rPr>
            </w:pPr>
            <w:proofErr w:type="spellStart"/>
            <w:r w:rsidRPr="00492DEC">
              <w:rPr>
                <w:rFonts w:eastAsia="Times New Roman"/>
              </w:rPr>
              <w:t>Özgür</w:t>
            </w:r>
            <w:proofErr w:type="spellEnd"/>
            <w:r w:rsidRPr="00492DEC">
              <w:rPr>
                <w:rFonts w:eastAsia="Times New Roman"/>
              </w:rPr>
              <w:t xml:space="preserve"> TAN</w:t>
            </w:r>
          </w:p>
        </w:tc>
        <w:tc>
          <w:tcPr>
            <w:tcW w:w="1144" w:type="pct"/>
          </w:tcPr>
          <w:p w:rsidRPr="00492DEC" w:rsidR="00BA0DFF" w:rsidP="00492DEC" w:rsidRDefault="00BA0DFF" w14:paraId="22E53181" w14:textId="77777777">
            <w:pPr>
              <w:rPr>
                <w:rFonts w:eastAsia="Times New Roman"/>
              </w:rPr>
            </w:pPr>
            <w:r w:rsidRPr="00492DEC">
              <w:rPr>
                <w:rFonts w:eastAsia="Times New Roman"/>
              </w:rPr>
              <w:t>1978</w:t>
            </w:r>
          </w:p>
        </w:tc>
        <w:tc>
          <w:tcPr>
            <w:tcW w:w="1144" w:type="pct"/>
          </w:tcPr>
          <w:p w:rsidRPr="00492DEC" w:rsidR="00BA0DFF" w:rsidP="00492DEC" w:rsidRDefault="00BA0DFF" w14:paraId="4DA8DB08" w14:textId="77777777">
            <w:pPr>
              <w:rPr>
                <w:rFonts w:eastAsia="Times New Roman"/>
              </w:rPr>
            </w:pPr>
            <w:r w:rsidRPr="00492DEC">
              <w:rPr>
                <w:rFonts w:eastAsia="Times New Roman"/>
              </w:rPr>
              <w:t>Turkish</w:t>
            </w:r>
          </w:p>
        </w:tc>
        <w:tc>
          <w:tcPr>
            <w:tcW w:w="1144" w:type="pct"/>
          </w:tcPr>
          <w:p w:rsidRPr="00492DEC" w:rsidR="00BA0DFF" w:rsidP="00492DEC" w:rsidRDefault="00BA0DFF" w14:paraId="61E7B272" w14:textId="77777777">
            <w:pPr>
              <w:rPr>
                <w:rFonts w:eastAsia="Times New Roman"/>
              </w:rPr>
            </w:pPr>
            <w:r w:rsidRPr="00492DEC">
              <w:rPr>
                <w:rFonts w:eastAsia="Times New Roman"/>
              </w:rPr>
              <w:t>Istanbul</w:t>
            </w:r>
          </w:p>
        </w:tc>
      </w:tr>
      <w:tr w:rsidRPr="00492DEC" w:rsidR="00BA0DFF" w:rsidTr="0064570D" w14:paraId="059A648F" w14:textId="77777777">
        <w:tc>
          <w:tcPr>
            <w:tcW w:w="424" w:type="pct"/>
          </w:tcPr>
          <w:p w:rsidRPr="00492DEC" w:rsidR="00BA0DFF" w:rsidP="00492DEC" w:rsidRDefault="00BA0DFF" w14:paraId="26822DB6" w14:textId="77777777">
            <w:pPr>
              <w:rPr>
                <w:rFonts w:eastAsia="Times New Roman"/>
              </w:rPr>
            </w:pPr>
            <w:r w:rsidRPr="00492DEC">
              <w:rPr>
                <w:rFonts w:eastAsia="Times New Roman"/>
              </w:rPr>
              <w:t>14.</w:t>
            </w:r>
          </w:p>
        </w:tc>
        <w:tc>
          <w:tcPr>
            <w:tcW w:w="1143" w:type="pct"/>
          </w:tcPr>
          <w:p w:rsidRPr="00492DEC" w:rsidR="00BA0DFF" w:rsidP="00492DEC" w:rsidRDefault="00BA0DFF" w14:paraId="6B206BC4" w14:textId="77777777">
            <w:pPr>
              <w:rPr>
                <w:rFonts w:eastAsia="Times New Roman"/>
              </w:rPr>
            </w:pPr>
            <w:r w:rsidRPr="00492DEC">
              <w:rPr>
                <w:rFonts w:eastAsia="Times New Roman"/>
              </w:rPr>
              <w:t>Osman TAŞDEMİR</w:t>
            </w:r>
          </w:p>
        </w:tc>
        <w:tc>
          <w:tcPr>
            <w:tcW w:w="1144" w:type="pct"/>
          </w:tcPr>
          <w:p w:rsidRPr="00492DEC" w:rsidR="00BA0DFF" w:rsidP="00492DEC" w:rsidRDefault="00BA0DFF" w14:paraId="55D33770" w14:textId="77777777">
            <w:pPr>
              <w:rPr>
                <w:rFonts w:eastAsia="Times New Roman"/>
              </w:rPr>
            </w:pPr>
            <w:r w:rsidRPr="00492DEC">
              <w:rPr>
                <w:rFonts w:eastAsia="Times New Roman"/>
              </w:rPr>
              <w:t>1983</w:t>
            </w:r>
          </w:p>
        </w:tc>
        <w:tc>
          <w:tcPr>
            <w:tcW w:w="1144" w:type="pct"/>
          </w:tcPr>
          <w:p w:rsidRPr="00492DEC" w:rsidR="00BA0DFF" w:rsidP="00492DEC" w:rsidRDefault="00BA0DFF" w14:paraId="230299A2" w14:textId="77777777">
            <w:pPr>
              <w:rPr>
                <w:rFonts w:eastAsia="Times New Roman"/>
              </w:rPr>
            </w:pPr>
            <w:r w:rsidRPr="00492DEC">
              <w:rPr>
                <w:rFonts w:eastAsia="Times New Roman"/>
              </w:rPr>
              <w:t>Turkish</w:t>
            </w:r>
          </w:p>
        </w:tc>
        <w:tc>
          <w:tcPr>
            <w:tcW w:w="1144" w:type="pct"/>
          </w:tcPr>
          <w:p w:rsidRPr="00492DEC" w:rsidR="00BA0DFF" w:rsidP="00492DEC" w:rsidRDefault="00BA0DFF" w14:paraId="35CC9C71" w14:textId="77777777">
            <w:pPr>
              <w:rPr>
                <w:rFonts w:eastAsia="Times New Roman"/>
              </w:rPr>
            </w:pPr>
            <w:r w:rsidRPr="00492DEC">
              <w:rPr>
                <w:rFonts w:eastAsia="Times New Roman"/>
              </w:rPr>
              <w:t>Istanbul</w:t>
            </w:r>
          </w:p>
        </w:tc>
      </w:tr>
      <w:tr w:rsidRPr="00492DEC" w:rsidR="00BA0DFF" w:rsidTr="0064570D" w14:paraId="51AA10D7" w14:textId="77777777">
        <w:tc>
          <w:tcPr>
            <w:tcW w:w="424" w:type="pct"/>
          </w:tcPr>
          <w:p w:rsidRPr="00492DEC" w:rsidR="00BA0DFF" w:rsidP="00492DEC" w:rsidRDefault="00BA0DFF" w14:paraId="0F107CB2" w14:textId="77777777">
            <w:pPr>
              <w:rPr>
                <w:rFonts w:eastAsia="Times New Roman"/>
              </w:rPr>
            </w:pPr>
            <w:r w:rsidRPr="00492DEC">
              <w:rPr>
                <w:rFonts w:eastAsia="Times New Roman"/>
              </w:rPr>
              <w:t>15.</w:t>
            </w:r>
          </w:p>
        </w:tc>
        <w:tc>
          <w:tcPr>
            <w:tcW w:w="1143" w:type="pct"/>
          </w:tcPr>
          <w:p w:rsidRPr="00492DEC" w:rsidR="00BA0DFF" w:rsidP="00492DEC" w:rsidRDefault="00BA0DFF" w14:paraId="068C7BBB" w14:textId="77777777">
            <w:pPr>
              <w:rPr>
                <w:rFonts w:eastAsia="Times New Roman"/>
              </w:rPr>
            </w:pPr>
            <w:proofErr w:type="spellStart"/>
            <w:r w:rsidRPr="00492DEC">
              <w:rPr>
                <w:rFonts w:eastAsia="Times New Roman"/>
              </w:rPr>
              <w:t>Kerim</w:t>
            </w:r>
            <w:proofErr w:type="spellEnd"/>
            <w:r w:rsidRPr="00492DEC">
              <w:rPr>
                <w:rFonts w:eastAsia="Times New Roman"/>
              </w:rPr>
              <w:t xml:space="preserve"> TAŞTAN</w:t>
            </w:r>
          </w:p>
        </w:tc>
        <w:tc>
          <w:tcPr>
            <w:tcW w:w="1144" w:type="pct"/>
          </w:tcPr>
          <w:p w:rsidRPr="00492DEC" w:rsidR="00BA0DFF" w:rsidP="00492DEC" w:rsidRDefault="00BA0DFF" w14:paraId="567357D9" w14:textId="77777777">
            <w:pPr>
              <w:rPr>
                <w:rFonts w:eastAsia="Times New Roman"/>
              </w:rPr>
            </w:pPr>
            <w:r w:rsidRPr="00492DEC">
              <w:rPr>
                <w:rFonts w:eastAsia="Times New Roman"/>
              </w:rPr>
              <w:t>1983</w:t>
            </w:r>
          </w:p>
        </w:tc>
        <w:tc>
          <w:tcPr>
            <w:tcW w:w="1144" w:type="pct"/>
          </w:tcPr>
          <w:p w:rsidRPr="00492DEC" w:rsidR="00BA0DFF" w:rsidP="00492DEC" w:rsidRDefault="00BA0DFF" w14:paraId="21FE1266" w14:textId="77777777">
            <w:pPr>
              <w:rPr>
                <w:rFonts w:eastAsia="Times New Roman"/>
              </w:rPr>
            </w:pPr>
            <w:r w:rsidRPr="00492DEC">
              <w:rPr>
                <w:rFonts w:eastAsia="Times New Roman"/>
              </w:rPr>
              <w:t>Turkish</w:t>
            </w:r>
          </w:p>
        </w:tc>
        <w:tc>
          <w:tcPr>
            <w:tcW w:w="1144" w:type="pct"/>
          </w:tcPr>
          <w:p w:rsidRPr="00492DEC" w:rsidR="00BA0DFF" w:rsidP="00492DEC" w:rsidRDefault="00BA0DFF" w14:paraId="2B14A27B" w14:textId="77777777">
            <w:pPr>
              <w:rPr>
                <w:rFonts w:eastAsia="Times New Roman"/>
              </w:rPr>
            </w:pPr>
            <w:proofErr w:type="spellStart"/>
            <w:r w:rsidRPr="00492DEC">
              <w:rPr>
                <w:rFonts w:eastAsia="Times New Roman"/>
              </w:rPr>
              <w:t>Kocaeli</w:t>
            </w:r>
            <w:proofErr w:type="spellEnd"/>
          </w:p>
        </w:tc>
      </w:tr>
    </w:tbl>
    <w:p w:rsidRPr="00492DEC" w:rsidR="00BA0DFF" w:rsidP="00492DEC" w:rsidRDefault="00BA0DFF" w14:paraId="702DA059" w14:textId="216D7051">
      <w:pPr>
        <w:pStyle w:val="JuPara"/>
      </w:pPr>
    </w:p>
    <w:sectPr w:rsidRPr="00492DEC" w:rsidR="00BA0DFF"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DBC32" w14:textId="77777777" w:rsidR="0064570D" w:rsidRPr="00E67565" w:rsidRDefault="0064570D" w:rsidP="0098410D">
      <w:r w:rsidRPr="00E67565">
        <w:separator/>
      </w:r>
    </w:p>
  </w:endnote>
  <w:endnote w:type="continuationSeparator" w:id="0">
    <w:p w14:paraId="483CD5CB" w14:textId="77777777" w:rsidR="0064570D" w:rsidRPr="00E67565" w:rsidRDefault="0064570D"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DDDBE" w14:textId="544458F7" w:rsidR="0064570D" w:rsidRPr="00150BFA" w:rsidRDefault="0064570D" w:rsidP="00934F33">
    <w:pPr>
      <w:jc w:val="center"/>
    </w:pPr>
    <w:r>
      <w:rPr>
        <w:noProof/>
        <w:lang w:val="en-US" w:eastAsia="ja-JP"/>
      </w:rPr>
      <w:drawing>
        <wp:inline distT="0" distB="0" distL="0" distR="0" wp14:anchorId="34581373" wp14:editId="31EEE6AA">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443647E" w14:textId="3513D0F7" w:rsidR="0064570D" w:rsidRPr="00E67565" w:rsidRDefault="0064570D" w:rsidP="00934F3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67BB3" w14:textId="5E9C3901" w:rsidR="0064570D" w:rsidRPr="00150BFA" w:rsidRDefault="0064570D" w:rsidP="00934F33">
    <w:pPr>
      <w:jc w:val="center"/>
    </w:pPr>
    <w:r>
      <w:rPr>
        <w:noProof/>
        <w:lang w:val="en-US" w:eastAsia="ja-JP"/>
      </w:rPr>
      <w:drawing>
        <wp:inline distT="0" distB="0" distL="0" distR="0" wp14:anchorId="73BC3917" wp14:editId="16E70AC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0F462BA6" w14:textId="38959C5C" w:rsidR="0064570D" w:rsidRPr="00E67565" w:rsidRDefault="0064570D"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C09AD" w14:textId="71D449A6" w:rsidR="0064570D" w:rsidRDefault="0064570D"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A251E" w14:textId="45D2B2C6" w:rsidR="0064570D" w:rsidRPr="000B7195" w:rsidRDefault="0064570D" w:rsidP="007D3701">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418C6F" w14:textId="77777777" w:rsidR="0064570D" w:rsidRPr="00E67565" w:rsidRDefault="0064570D" w:rsidP="0098410D">
      <w:r w:rsidRPr="00E67565">
        <w:separator/>
      </w:r>
    </w:p>
  </w:footnote>
  <w:footnote w:type="continuationSeparator" w:id="0">
    <w:p w14:paraId="0F3E9768" w14:textId="77777777" w:rsidR="0064570D" w:rsidRPr="00E67565" w:rsidRDefault="0064570D" w:rsidP="0098410D">
      <w:r w:rsidRPr="00E6756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70DAA" w14:textId="064F9DFF" w:rsidR="0064570D" w:rsidRPr="00A45145" w:rsidRDefault="0064570D" w:rsidP="00934F33">
    <w:pPr>
      <w:jc w:val="center"/>
    </w:pPr>
    <w:r>
      <w:rPr>
        <w:noProof/>
        <w:lang w:val="en-US" w:eastAsia="ja-JP"/>
      </w:rPr>
      <w:drawing>
        <wp:inline distT="0" distB="0" distL="0" distR="0" wp14:anchorId="3280A84D" wp14:editId="0CC55EE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61D41B3" w14:textId="0AD7727B" w:rsidR="0064570D" w:rsidRPr="00E67565" w:rsidRDefault="0064570D" w:rsidP="00934F3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869F6" w14:textId="4672ADE0" w:rsidR="0064570D" w:rsidRPr="00A45145" w:rsidRDefault="0064570D" w:rsidP="00934F33">
    <w:pPr>
      <w:jc w:val="center"/>
    </w:pPr>
    <w:r>
      <w:rPr>
        <w:noProof/>
        <w:lang w:val="en-US" w:eastAsia="ja-JP"/>
      </w:rPr>
      <w:drawing>
        <wp:inline distT="0" distB="0" distL="0" distR="0" wp14:anchorId="70B1C39E" wp14:editId="6EAA64FA">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5B4B573" w14:textId="19F0D045" w:rsidR="0064570D" w:rsidRPr="00E67565" w:rsidRDefault="006457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1F54E" w14:textId="3D363A4C" w:rsidR="0064570D" w:rsidRPr="004D0EC7" w:rsidRDefault="0064570D" w:rsidP="004D0EC7">
    <w:pPr>
      <w:pStyle w:val="JuHeader"/>
    </w:pPr>
    <w:r>
      <w:t>EKREM CAN AND OTHERS v. TURKEY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D45F8" w14:textId="48D1B8A9" w:rsidR="0064570D" w:rsidRPr="00882CD5" w:rsidRDefault="0064570D" w:rsidP="007D3701">
    <w:pPr>
      <w:pStyle w:val="JuHeader"/>
    </w:pPr>
    <w:r>
      <w:t>EKREM CAN AND OTHERS v. TURKEY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pStyle w:val="JuHA"/>
      <w:lvlText w:val="%3."/>
      <w:lvlJc w:val="left"/>
      <w:pPr>
        <w:ind w:left="624"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14"/>
  </w:num>
  <w:num w:numId="4">
    <w:abstractNumId w:val="12"/>
  </w:num>
  <w:num w:numId="5">
    <w:abstractNumId w:val="11"/>
  </w:num>
  <w:num w:numId="6">
    <w:abstractNumId w:val="15"/>
  </w:num>
  <w:num w:numId="7">
    <w:abstractNumId w:val="13"/>
  </w:num>
  <w:num w:numId="8">
    <w:abstractNumId w:val="16"/>
  </w:num>
  <w:num w:numId="9">
    <w:abstractNumId w:val="15"/>
  </w:num>
  <w:num w:numId="10">
    <w:abstractNumId w:val="16"/>
  </w:num>
  <w:num w:numId="11">
    <w:abstractNumId w:val="10"/>
  </w:num>
  <w:num w:numId="12">
    <w:abstractNumId w:val="9"/>
  </w:num>
  <w:num w:numId="13">
    <w:abstractNumId w:val="18"/>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3"/>
  </w:docVars>
  <w:rsids>
    <w:rsidRoot w:val="008D397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4ABB"/>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A54"/>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6BDC"/>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FF7"/>
    <w:rsid w:val="0021002D"/>
    <w:rsid w:val="00210338"/>
    <w:rsid w:val="002115FC"/>
    <w:rsid w:val="0021423C"/>
    <w:rsid w:val="00215001"/>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9F4"/>
    <w:rsid w:val="00260C03"/>
    <w:rsid w:val="0026439A"/>
    <w:rsid w:val="0026540E"/>
    <w:rsid w:val="00275123"/>
    <w:rsid w:val="00281B7C"/>
    <w:rsid w:val="00282240"/>
    <w:rsid w:val="00282BD8"/>
    <w:rsid w:val="00287AD5"/>
    <w:rsid w:val="002934D0"/>
    <w:rsid w:val="00293676"/>
    <w:rsid w:val="00293BD9"/>
    <w:rsid w:val="002948AD"/>
    <w:rsid w:val="00296D5E"/>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5CB4"/>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F66"/>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2DEC"/>
    <w:rsid w:val="0049310E"/>
    <w:rsid w:val="004950E2"/>
    <w:rsid w:val="00496BFB"/>
    <w:rsid w:val="004A15C7"/>
    <w:rsid w:val="004A3201"/>
    <w:rsid w:val="004A7044"/>
    <w:rsid w:val="004B013B"/>
    <w:rsid w:val="004B112B"/>
    <w:rsid w:val="004B3954"/>
    <w:rsid w:val="004B444E"/>
    <w:rsid w:val="004C01E4"/>
    <w:rsid w:val="004C086C"/>
    <w:rsid w:val="004C14F9"/>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7BE3"/>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6B73"/>
    <w:rsid w:val="005879A2"/>
    <w:rsid w:val="00592772"/>
    <w:rsid w:val="0059574A"/>
    <w:rsid w:val="005A1B9B"/>
    <w:rsid w:val="005A2E79"/>
    <w:rsid w:val="005A6751"/>
    <w:rsid w:val="005B092E"/>
    <w:rsid w:val="005B152C"/>
    <w:rsid w:val="005B1EE0"/>
    <w:rsid w:val="005B2B24"/>
    <w:rsid w:val="005B4425"/>
    <w:rsid w:val="005B4B94"/>
    <w:rsid w:val="005C3EE8"/>
    <w:rsid w:val="005D23C7"/>
    <w:rsid w:val="005D2F2A"/>
    <w:rsid w:val="005D34F9"/>
    <w:rsid w:val="005D4012"/>
    <w:rsid w:val="005D4190"/>
    <w:rsid w:val="005D67A3"/>
    <w:rsid w:val="005E2988"/>
    <w:rsid w:val="005E3085"/>
    <w:rsid w:val="005F0EB3"/>
    <w:rsid w:val="005F51E1"/>
    <w:rsid w:val="005F524B"/>
    <w:rsid w:val="00611C80"/>
    <w:rsid w:val="00620692"/>
    <w:rsid w:val="006242CA"/>
    <w:rsid w:val="00627507"/>
    <w:rsid w:val="00633717"/>
    <w:rsid w:val="006344E1"/>
    <w:rsid w:val="00643524"/>
    <w:rsid w:val="0064393B"/>
    <w:rsid w:val="0064570D"/>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1463"/>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62D0"/>
    <w:rsid w:val="0074750E"/>
    <w:rsid w:val="00747AE3"/>
    <w:rsid w:val="00747FF0"/>
    <w:rsid w:val="0075566E"/>
    <w:rsid w:val="00757B5F"/>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3977"/>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3306"/>
    <w:rsid w:val="009140A3"/>
    <w:rsid w:val="009144A2"/>
    <w:rsid w:val="0091510C"/>
    <w:rsid w:val="009259AC"/>
    <w:rsid w:val="00926F38"/>
    <w:rsid w:val="00927BEB"/>
    <w:rsid w:val="009333DC"/>
    <w:rsid w:val="00934301"/>
    <w:rsid w:val="00934F33"/>
    <w:rsid w:val="00936CD1"/>
    <w:rsid w:val="00941747"/>
    <w:rsid w:val="00941EFB"/>
    <w:rsid w:val="00947AFB"/>
    <w:rsid w:val="00951AA3"/>
    <w:rsid w:val="00951D7D"/>
    <w:rsid w:val="00956D0C"/>
    <w:rsid w:val="00957767"/>
    <w:rsid w:val="00957B4B"/>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1D32"/>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04F4"/>
    <w:rsid w:val="00AC4CD4"/>
    <w:rsid w:val="00AE0A2E"/>
    <w:rsid w:val="00AE354C"/>
    <w:rsid w:val="00AF4B07"/>
    <w:rsid w:val="00AF6186"/>
    <w:rsid w:val="00AF7A3A"/>
    <w:rsid w:val="00B02587"/>
    <w:rsid w:val="00B049D1"/>
    <w:rsid w:val="00B14E6A"/>
    <w:rsid w:val="00B160DB"/>
    <w:rsid w:val="00B20836"/>
    <w:rsid w:val="00B235BB"/>
    <w:rsid w:val="00B279C7"/>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0DFF"/>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179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57E08"/>
    <w:rsid w:val="00D60AA7"/>
    <w:rsid w:val="00D6435F"/>
    <w:rsid w:val="00D66471"/>
    <w:rsid w:val="00D70641"/>
    <w:rsid w:val="00D73B94"/>
    <w:rsid w:val="00D74888"/>
    <w:rsid w:val="00D7488B"/>
    <w:rsid w:val="00D75E28"/>
    <w:rsid w:val="00D772C2"/>
    <w:rsid w:val="00D8008E"/>
    <w:rsid w:val="00D82C45"/>
    <w:rsid w:val="00D908A8"/>
    <w:rsid w:val="00D977B6"/>
    <w:rsid w:val="00DA1223"/>
    <w:rsid w:val="00DA34CA"/>
    <w:rsid w:val="00DA4A31"/>
    <w:rsid w:val="00DA7B04"/>
    <w:rsid w:val="00DB36C2"/>
    <w:rsid w:val="00DC169B"/>
    <w:rsid w:val="00DC2AB9"/>
    <w:rsid w:val="00DC63F0"/>
    <w:rsid w:val="00DD37EA"/>
    <w:rsid w:val="00DD6210"/>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7B16"/>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7D12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92DEC"/>
    <w:rPr>
      <w:sz w:val="24"/>
      <w:szCs w:val="24"/>
      <w:lang w:val="en-GB"/>
    </w:rPr>
  </w:style>
  <w:style w:type="paragraph" w:styleId="Heading1">
    <w:name w:val="heading 1"/>
    <w:basedOn w:val="Normal"/>
    <w:next w:val="Normal"/>
    <w:link w:val="Heading1Char"/>
    <w:uiPriority w:val="98"/>
    <w:semiHidden/>
    <w:rsid w:val="00492DE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92DE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92DE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92DE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92DE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92DE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92DE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92DE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92DE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92DEC"/>
    <w:rPr>
      <w:rFonts w:ascii="Tahoma" w:hAnsi="Tahoma" w:cs="Tahoma"/>
      <w:sz w:val="16"/>
      <w:szCs w:val="16"/>
    </w:rPr>
  </w:style>
  <w:style w:type="character" w:customStyle="1" w:styleId="BalloonTextChar">
    <w:name w:val="Balloon Text Char"/>
    <w:basedOn w:val="DefaultParagraphFont"/>
    <w:link w:val="BalloonText"/>
    <w:uiPriority w:val="98"/>
    <w:semiHidden/>
    <w:rsid w:val="00492DEC"/>
    <w:rPr>
      <w:rFonts w:ascii="Tahoma" w:hAnsi="Tahoma" w:cs="Tahoma"/>
      <w:sz w:val="16"/>
      <w:szCs w:val="16"/>
      <w:lang w:val="en-GB"/>
    </w:rPr>
  </w:style>
  <w:style w:type="character" w:styleId="BookTitle">
    <w:name w:val="Book Title"/>
    <w:uiPriority w:val="98"/>
    <w:semiHidden/>
    <w:qFormat/>
    <w:rsid w:val="00492DEC"/>
    <w:rPr>
      <w:i/>
      <w:iCs/>
      <w:smallCaps/>
      <w:spacing w:val="5"/>
    </w:rPr>
  </w:style>
  <w:style w:type="paragraph" w:customStyle="1" w:styleId="JuHeader">
    <w:name w:val="Ju_Header"/>
    <w:aliases w:val="_Header"/>
    <w:basedOn w:val="Header"/>
    <w:uiPriority w:val="29"/>
    <w:qFormat/>
    <w:rsid w:val="00492DEC"/>
    <w:pPr>
      <w:tabs>
        <w:tab w:val="clear" w:pos="4536"/>
        <w:tab w:val="clear" w:pos="9072"/>
      </w:tabs>
      <w:jc w:val="center"/>
    </w:pPr>
    <w:rPr>
      <w:sz w:val="18"/>
    </w:rPr>
  </w:style>
  <w:style w:type="paragraph" w:customStyle="1" w:styleId="NormalJustified">
    <w:name w:val="Normal_Justified"/>
    <w:basedOn w:val="Normal"/>
    <w:semiHidden/>
    <w:rsid w:val="00492DEC"/>
    <w:pPr>
      <w:jc w:val="both"/>
    </w:pPr>
  </w:style>
  <w:style w:type="character" w:styleId="Strong">
    <w:name w:val="Strong"/>
    <w:uiPriority w:val="98"/>
    <w:semiHidden/>
    <w:qFormat/>
    <w:rsid w:val="00492DEC"/>
    <w:rPr>
      <w:b/>
      <w:bCs/>
    </w:rPr>
  </w:style>
  <w:style w:type="paragraph" w:styleId="NoSpacing">
    <w:name w:val="No Spacing"/>
    <w:basedOn w:val="Normal"/>
    <w:link w:val="NoSpacingChar"/>
    <w:uiPriority w:val="98"/>
    <w:semiHidden/>
    <w:qFormat/>
    <w:rsid w:val="00492DEC"/>
  </w:style>
  <w:style w:type="character" w:customStyle="1" w:styleId="NoSpacingChar">
    <w:name w:val="No Spacing Char"/>
    <w:basedOn w:val="DefaultParagraphFont"/>
    <w:link w:val="NoSpacing"/>
    <w:uiPriority w:val="98"/>
    <w:semiHidden/>
    <w:rsid w:val="00492DEC"/>
    <w:rPr>
      <w:sz w:val="24"/>
      <w:szCs w:val="24"/>
      <w:lang w:val="en-GB"/>
    </w:rPr>
  </w:style>
  <w:style w:type="paragraph" w:customStyle="1" w:styleId="JuQuot">
    <w:name w:val="Ju_Quot"/>
    <w:aliases w:val="_Quote"/>
    <w:basedOn w:val="NormalJustified"/>
    <w:link w:val="JuQuotChar"/>
    <w:uiPriority w:val="20"/>
    <w:qFormat/>
    <w:rsid w:val="00492DEC"/>
    <w:pPr>
      <w:spacing w:before="120" w:after="120"/>
      <w:ind w:left="425" w:firstLine="142"/>
    </w:pPr>
    <w:rPr>
      <w:sz w:val="20"/>
    </w:rPr>
  </w:style>
  <w:style w:type="paragraph" w:customStyle="1" w:styleId="DummyStyle">
    <w:name w:val="Dummy_Style"/>
    <w:aliases w:val="_Dummy"/>
    <w:basedOn w:val="Normal"/>
    <w:semiHidden/>
    <w:qFormat/>
    <w:rsid w:val="00492DEC"/>
    <w:rPr>
      <w:color w:val="00B050"/>
      <w:sz w:val="22"/>
    </w:rPr>
  </w:style>
  <w:style w:type="paragraph" w:customStyle="1" w:styleId="JuList">
    <w:name w:val="Ju_List"/>
    <w:aliases w:val="_List_1"/>
    <w:basedOn w:val="NormalJustified"/>
    <w:uiPriority w:val="23"/>
    <w:qFormat/>
    <w:rsid w:val="00492DEC"/>
    <w:pPr>
      <w:numPr>
        <w:numId w:val="12"/>
      </w:numPr>
      <w:spacing w:before="280" w:after="60"/>
    </w:pPr>
  </w:style>
  <w:style w:type="paragraph" w:customStyle="1" w:styleId="JuLista">
    <w:name w:val="Ju_List_a"/>
    <w:aliases w:val="_List_2"/>
    <w:basedOn w:val="NormalJustified"/>
    <w:uiPriority w:val="23"/>
    <w:rsid w:val="00492DEC"/>
    <w:pPr>
      <w:numPr>
        <w:ilvl w:val="1"/>
        <w:numId w:val="12"/>
      </w:numPr>
    </w:pPr>
  </w:style>
  <w:style w:type="paragraph" w:customStyle="1" w:styleId="JuListi">
    <w:name w:val="Ju_List_i"/>
    <w:aliases w:val="_List_3"/>
    <w:basedOn w:val="NormalJustified"/>
    <w:uiPriority w:val="23"/>
    <w:rsid w:val="00492DEC"/>
    <w:pPr>
      <w:numPr>
        <w:ilvl w:val="2"/>
        <w:numId w:val="12"/>
      </w:numPr>
    </w:pPr>
  </w:style>
  <w:style w:type="paragraph" w:customStyle="1" w:styleId="JuHArticle">
    <w:name w:val="Ju_H_Article"/>
    <w:aliases w:val="_Title_Quote"/>
    <w:basedOn w:val="Normal"/>
    <w:next w:val="JuQuot"/>
    <w:uiPriority w:val="19"/>
    <w:qFormat/>
    <w:rsid w:val="00492DE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92DE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92DE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92DEC"/>
    <w:pPr>
      <w:keepNext/>
      <w:keepLines/>
      <w:numPr>
        <w:numId w:val="1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92DEC"/>
    <w:pPr>
      <w:numPr>
        <w:numId w:val="6"/>
      </w:numPr>
    </w:pPr>
  </w:style>
  <w:style w:type="paragraph" w:customStyle="1" w:styleId="JuSigned">
    <w:name w:val="Ju_Signed"/>
    <w:aliases w:val="_Signature"/>
    <w:basedOn w:val="Normal"/>
    <w:next w:val="JuPara"/>
    <w:uiPriority w:val="31"/>
    <w:qFormat/>
    <w:rsid w:val="00492DEC"/>
    <w:pPr>
      <w:tabs>
        <w:tab w:val="center" w:pos="1418"/>
        <w:tab w:val="center" w:pos="5954"/>
      </w:tabs>
      <w:spacing w:before="720"/>
    </w:pPr>
  </w:style>
  <w:style w:type="paragraph" w:styleId="Title">
    <w:name w:val="Title"/>
    <w:basedOn w:val="Normal"/>
    <w:next w:val="Normal"/>
    <w:link w:val="TitleChar"/>
    <w:uiPriority w:val="98"/>
    <w:semiHidden/>
    <w:qFormat/>
    <w:rsid w:val="00492DE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92DE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92DEC"/>
    <w:pPr>
      <w:numPr>
        <w:numId w:val="7"/>
      </w:numPr>
    </w:pPr>
  </w:style>
  <w:style w:type="numbering" w:customStyle="1" w:styleId="ECHRA1StyleNumberedList">
    <w:name w:val="ECHR_A1_Style_Numbered_List"/>
    <w:basedOn w:val="NoList"/>
    <w:rsid w:val="00492DEC"/>
    <w:pPr>
      <w:numPr>
        <w:numId w:val="8"/>
      </w:numPr>
    </w:pPr>
  </w:style>
  <w:style w:type="table" w:customStyle="1" w:styleId="ECHRTable2019">
    <w:name w:val="ECHR_Table_2019"/>
    <w:basedOn w:val="TableNormal"/>
    <w:uiPriority w:val="99"/>
    <w:rsid w:val="00492DE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492DE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92DEC"/>
    <w:pPr>
      <w:keepNext/>
      <w:keepLines/>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92DEC"/>
    <w:pPr>
      <w:keepNext/>
      <w:keepLines/>
      <w:numPr>
        <w:ilvl w:val="2"/>
        <w:numId w:val="11"/>
      </w:numPr>
      <w:spacing w:before="100" w:beforeAutospacing="1" w:after="240" w:line="240" w:lineRule="auto"/>
      <w:ind w:left="510"/>
      <w:jc w:val="both"/>
    </w:pPr>
    <w:rPr>
      <w:color w:val="auto"/>
      <w:sz w:val="24"/>
    </w:rPr>
  </w:style>
  <w:style w:type="paragraph" w:customStyle="1" w:styleId="JuH1">
    <w:name w:val="Ju_H_1."/>
    <w:aliases w:val="_Head_4"/>
    <w:basedOn w:val="Heading4"/>
    <w:next w:val="JuPara"/>
    <w:uiPriority w:val="17"/>
    <w:rsid w:val="00492DEC"/>
    <w:pPr>
      <w:keepNext/>
      <w:keepLines/>
      <w:numPr>
        <w:ilvl w:val="3"/>
        <w:numId w:val="11"/>
      </w:numPr>
      <w:spacing w:before="100" w:beforeAutospacing="1" w:after="120"/>
      <w:jc w:val="both"/>
    </w:pPr>
    <w:rPr>
      <w:b w:val="0"/>
      <w:color w:val="auto"/>
      <w:sz w:val="24"/>
    </w:rPr>
  </w:style>
  <w:style w:type="paragraph" w:styleId="Header">
    <w:name w:val="header"/>
    <w:basedOn w:val="Normal"/>
    <w:link w:val="HeaderChar"/>
    <w:uiPriority w:val="98"/>
    <w:semiHidden/>
    <w:rsid w:val="00492DEC"/>
    <w:pPr>
      <w:tabs>
        <w:tab w:val="center" w:pos="4536"/>
        <w:tab w:val="right" w:pos="9072"/>
      </w:tabs>
    </w:pPr>
  </w:style>
  <w:style w:type="character" w:customStyle="1" w:styleId="HeaderChar">
    <w:name w:val="Header Char"/>
    <w:basedOn w:val="DefaultParagraphFont"/>
    <w:link w:val="Header"/>
    <w:uiPriority w:val="98"/>
    <w:semiHidden/>
    <w:rsid w:val="00492DEC"/>
    <w:rPr>
      <w:sz w:val="24"/>
      <w:szCs w:val="24"/>
      <w:lang w:val="en-GB"/>
    </w:rPr>
  </w:style>
  <w:style w:type="character" w:customStyle="1" w:styleId="Heading1Char">
    <w:name w:val="Heading 1 Char"/>
    <w:basedOn w:val="DefaultParagraphFont"/>
    <w:link w:val="Heading1"/>
    <w:uiPriority w:val="98"/>
    <w:semiHidden/>
    <w:rsid w:val="00492DE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92DEC"/>
    <w:pPr>
      <w:keepNext/>
      <w:keepLines/>
      <w:numPr>
        <w:ilvl w:val="4"/>
        <w:numId w:val="11"/>
      </w:numPr>
      <w:spacing w:before="100" w:beforeAutospacing="1" w:after="120"/>
      <w:jc w:val="both"/>
    </w:pPr>
    <w:rPr>
      <w:color w:val="auto"/>
      <w:sz w:val="20"/>
    </w:rPr>
  </w:style>
  <w:style w:type="paragraph" w:customStyle="1" w:styleId="JuHi">
    <w:name w:val="Ju_H_i"/>
    <w:aliases w:val="_Head_6"/>
    <w:basedOn w:val="Heading6"/>
    <w:next w:val="JuPara"/>
    <w:uiPriority w:val="17"/>
    <w:rsid w:val="00492DEC"/>
    <w:pPr>
      <w:keepNext/>
      <w:keepLines/>
      <w:numPr>
        <w:ilvl w:val="5"/>
        <w:numId w:val="1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92DE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92DEC"/>
    <w:pPr>
      <w:keepNext/>
      <w:keepLines/>
      <w:numPr>
        <w:ilvl w:val="6"/>
        <w:numId w:val="1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92DEC"/>
    <w:pPr>
      <w:keepNext/>
      <w:keepLines/>
      <w:numPr>
        <w:ilvl w:val="7"/>
        <w:numId w:val="11"/>
      </w:numPr>
      <w:spacing w:before="100" w:beforeAutospacing="1" w:after="120"/>
      <w:jc w:val="both"/>
    </w:pPr>
    <w:rPr>
      <w:i/>
    </w:rPr>
  </w:style>
  <w:style w:type="character" w:customStyle="1" w:styleId="Heading3Char">
    <w:name w:val="Heading 3 Char"/>
    <w:basedOn w:val="DefaultParagraphFont"/>
    <w:link w:val="Heading3"/>
    <w:uiPriority w:val="98"/>
    <w:semiHidden/>
    <w:rsid w:val="00492DE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92DEC"/>
    <w:pPr>
      <w:keepNext/>
      <w:keepLines/>
      <w:spacing w:before="240" w:after="240"/>
      <w:ind w:firstLine="284"/>
    </w:pPr>
  </w:style>
  <w:style w:type="paragraph" w:customStyle="1" w:styleId="JuJudges">
    <w:name w:val="Ju_Judges"/>
    <w:aliases w:val="_Judges"/>
    <w:basedOn w:val="Normal"/>
    <w:uiPriority w:val="32"/>
    <w:qFormat/>
    <w:rsid w:val="00492DEC"/>
    <w:pPr>
      <w:tabs>
        <w:tab w:val="left" w:pos="567"/>
        <w:tab w:val="left" w:pos="1134"/>
      </w:tabs>
    </w:pPr>
  </w:style>
  <w:style w:type="character" w:customStyle="1" w:styleId="Heading4Char">
    <w:name w:val="Heading 4 Char"/>
    <w:basedOn w:val="DefaultParagraphFont"/>
    <w:link w:val="Heading4"/>
    <w:uiPriority w:val="98"/>
    <w:semiHidden/>
    <w:rsid w:val="00492DE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92DEC"/>
    <w:pPr>
      <w:tabs>
        <w:tab w:val="center" w:pos="6407"/>
      </w:tabs>
      <w:spacing w:before="720"/>
      <w:jc w:val="right"/>
    </w:pPr>
  </w:style>
  <w:style w:type="character" w:customStyle="1" w:styleId="Heading5Char">
    <w:name w:val="Heading 5 Char"/>
    <w:basedOn w:val="DefaultParagraphFont"/>
    <w:link w:val="Heading5"/>
    <w:uiPriority w:val="98"/>
    <w:semiHidden/>
    <w:rsid w:val="00492DE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92DE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92DEC"/>
    <w:rPr>
      <w:caps w:val="0"/>
      <w:smallCaps/>
    </w:rPr>
  </w:style>
  <w:style w:type="character" w:styleId="SubtleEmphasis">
    <w:name w:val="Subtle Emphasis"/>
    <w:uiPriority w:val="98"/>
    <w:semiHidden/>
    <w:qFormat/>
    <w:rsid w:val="00492DEC"/>
    <w:rPr>
      <w:i/>
      <w:iCs/>
    </w:rPr>
  </w:style>
  <w:style w:type="table" w:customStyle="1" w:styleId="ECHRTable">
    <w:name w:val="ECHR_Table"/>
    <w:basedOn w:val="TableNormal"/>
    <w:rsid w:val="00492DE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92DE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92DEC"/>
    <w:rPr>
      <w:b/>
      <w:bCs/>
      <w:i/>
      <w:iCs/>
      <w:spacing w:val="10"/>
      <w:bdr w:val="none" w:sz="0" w:space="0" w:color="auto"/>
      <w:shd w:val="clear" w:color="auto" w:fill="auto"/>
    </w:rPr>
  </w:style>
  <w:style w:type="paragraph" w:styleId="Footer0">
    <w:name w:val="footer"/>
    <w:basedOn w:val="Normal"/>
    <w:link w:val="FooterChar"/>
    <w:uiPriority w:val="98"/>
    <w:semiHidden/>
    <w:rsid w:val="00492DEC"/>
    <w:pPr>
      <w:tabs>
        <w:tab w:val="center" w:pos="3686"/>
        <w:tab w:val="right" w:pos="7371"/>
      </w:tabs>
    </w:pPr>
  </w:style>
  <w:style w:type="character" w:customStyle="1" w:styleId="FooterChar">
    <w:name w:val="Footer Char"/>
    <w:basedOn w:val="DefaultParagraphFont"/>
    <w:link w:val="Footer0"/>
    <w:uiPriority w:val="98"/>
    <w:semiHidden/>
    <w:rsid w:val="00492DEC"/>
    <w:rPr>
      <w:sz w:val="24"/>
      <w:szCs w:val="24"/>
      <w:lang w:val="en-GB"/>
    </w:rPr>
  </w:style>
  <w:style w:type="character" w:styleId="FootnoteReference">
    <w:name w:val="footnote reference"/>
    <w:basedOn w:val="DefaultParagraphFont"/>
    <w:uiPriority w:val="98"/>
    <w:semiHidden/>
    <w:rsid w:val="00492DEC"/>
    <w:rPr>
      <w:vertAlign w:val="superscript"/>
    </w:rPr>
  </w:style>
  <w:style w:type="paragraph" w:styleId="FootnoteText">
    <w:name w:val="footnote text"/>
    <w:basedOn w:val="NormalJustified"/>
    <w:link w:val="FootnoteTextChar"/>
    <w:uiPriority w:val="98"/>
    <w:semiHidden/>
    <w:rsid w:val="00492DEC"/>
    <w:rPr>
      <w:sz w:val="20"/>
      <w:szCs w:val="20"/>
    </w:rPr>
  </w:style>
  <w:style w:type="character" w:customStyle="1" w:styleId="FootnoteTextChar">
    <w:name w:val="Footnote Text Char"/>
    <w:basedOn w:val="DefaultParagraphFont"/>
    <w:link w:val="FootnoteText"/>
    <w:uiPriority w:val="98"/>
    <w:semiHidden/>
    <w:rsid w:val="00492DEC"/>
    <w:rPr>
      <w:sz w:val="20"/>
      <w:szCs w:val="20"/>
      <w:lang w:val="en-GB"/>
    </w:rPr>
  </w:style>
  <w:style w:type="character" w:customStyle="1" w:styleId="Heading6Char">
    <w:name w:val="Heading 6 Char"/>
    <w:basedOn w:val="DefaultParagraphFont"/>
    <w:link w:val="Heading6"/>
    <w:uiPriority w:val="98"/>
    <w:semiHidden/>
    <w:rsid w:val="00492DE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92DE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92DE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92DE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92DEC"/>
    <w:rPr>
      <w:color w:val="0072BC" w:themeColor="hyperlink"/>
      <w:u w:val="single"/>
    </w:rPr>
  </w:style>
  <w:style w:type="character" w:styleId="IntenseEmphasis">
    <w:name w:val="Intense Emphasis"/>
    <w:uiPriority w:val="98"/>
    <w:semiHidden/>
    <w:qFormat/>
    <w:rsid w:val="00492DEC"/>
    <w:rPr>
      <w:b/>
      <w:bCs/>
    </w:rPr>
  </w:style>
  <w:style w:type="paragraph" w:styleId="IntenseQuote">
    <w:name w:val="Intense Quote"/>
    <w:basedOn w:val="Normal"/>
    <w:next w:val="Normal"/>
    <w:link w:val="IntenseQuoteChar"/>
    <w:uiPriority w:val="98"/>
    <w:semiHidden/>
    <w:qFormat/>
    <w:rsid w:val="00492DE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92DEC"/>
    <w:rPr>
      <w:b/>
      <w:bCs/>
      <w:i/>
      <w:iCs/>
      <w:sz w:val="24"/>
      <w:szCs w:val="24"/>
      <w:lang w:val="en-GB" w:bidi="en-US"/>
    </w:rPr>
  </w:style>
  <w:style w:type="character" w:styleId="IntenseReference">
    <w:name w:val="Intense Reference"/>
    <w:uiPriority w:val="98"/>
    <w:semiHidden/>
    <w:qFormat/>
    <w:rsid w:val="00492DEC"/>
    <w:rPr>
      <w:smallCaps/>
      <w:spacing w:val="5"/>
      <w:u w:val="single"/>
    </w:rPr>
  </w:style>
  <w:style w:type="paragraph" w:styleId="ListParagraph">
    <w:name w:val="List Paragraph"/>
    <w:basedOn w:val="Normal"/>
    <w:uiPriority w:val="98"/>
    <w:semiHidden/>
    <w:qFormat/>
    <w:rsid w:val="00492DEC"/>
    <w:pPr>
      <w:ind w:left="720"/>
      <w:contextualSpacing/>
    </w:pPr>
  </w:style>
  <w:style w:type="table" w:customStyle="1" w:styleId="LtrTableAddress">
    <w:name w:val="Ltr_Table_Address"/>
    <w:aliases w:val="ECHR_Ltr_Table_Address"/>
    <w:basedOn w:val="TableNormal"/>
    <w:uiPriority w:val="99"/>
    <w:rsid w:val="00492DEC"/>
    <w:rPr>
      <w:sz w:val="24"/>
      <w:szCs w:val="24"/>
    </w:rPr>
    <w:tblPr>
      <w:tblInd w:w="5103" w:type="dxa"/>
    </w:tblPr>
  </w:style>
  <w:style w:type="paragraph" w:styleId="Quote">
    <w:name w:val="Quote"/>
    <w:basedOn w:val="Normal"/>
    <w:next w:val="Normal"/>
    <w:link w:val="QuoteChar"/>
    <w:uiPriority w:val="98"/>
    <w:semiHidden/>
    <w:qFormat/>
    <w:rsid w:val="00492DEC"/>
    <w:pPr>
      <w:spacing w:before="200"/>
      <w:ind w:left="360" w:right="360"/>
    </w:pPr>
    <w:rPr>
      <w:i/>
      <w:iCs/>
      <w:lang w:bidi="en-US"/>
    </w:rPr>
  </w:style>
  <w:style w:type="character" w:customStyle="1" w:styleId="QuoteChar">
    <w:name w:val="Quote Char"/>
    <w:basedOn w:val="DefaultParagraphFont"/>
    <w:link w:val="Quote"/>
    <w:uiPriority w:val="98"/>
    <w:semiHidden/>
    <w:rsid w:val="00492DEC"/>
    <w:rPr>
      <w:i/>
      <w:iCs/>
      <w:sz w:val="24"/>
      <w:szCs w:val="24"/>
      <w:lang w:val="en-GB" w:bidi="en-US"/>
    </w:rPr>
  </w:style>
  <w:style w:type="character" w:styleId="SubtleReference">
    <w:name w:val="Subtle Reference"/>
    <w:uiPriority w:val="98"/>
    <w:semiHidden/>
    <w:qFormat/>
    <w:rsid w:val="00492DEC"/>
    <w:rPr>
      <w:smallCaps/>
    </w:rPr>
  </w:style>
  <w:style w:type="table" w:styleId="TableGrid">
    <w:name w:val="Table Grid"/>
    <w:basedOn w:val="TableNormal"/>
    <w:uiPriority w:val="59"/>
    <w:semiHidden/>
    <w:rsid w:val="00492DE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92DE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92DE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92DE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92DE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92DE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92DE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92DE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92DE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92DE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92DE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92DE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92DE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92DE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92DE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92DE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92DEC"/>
    <w:pPr>
      <w:numPr>
        <w:numId w:val="3"/>
      </w:numPr>
    </w:pPr>
  </w:style>
  <w:style w:type="paragraph" w:customStyle="1" w:styleId="JuPara">
    <w:name w:val="Ju_Para"/>
    <w:aliases w:val="_Para"/>
    <w:basedOn w:val="NormalJustified"/>
    <w:link w:val="JuParaChar"/>
    <w:uiPriority w:val="4"/>
    <w:qFormat/>
    <w:rsid w:val="00492DEC"/>
    <w:pPr>
      <w:ind w:firstLine="284"/>
    </w:pPr>
  </w:style>
  <w:style w:type="numbering" w:styleId="1ai">
    <w:name w:val="Outline List 1"/>
    <w:basedOn w:val="NoList"/>
    <w:uiPriority w:val="99"/>
    <w:semiHidden/>
    <w:unhideWhenUsed/>
    <w:rsid w:val="00492DEC"/>
    <w:pPr>
      <w:numPr>
        <w:numId w:val="4"/>
      </w:numPr>
    </w:pPr>
  </w:style>
  <w:style w:type="table" w:customStyle="1" w:styleId="ECHRTableSimpleBox">
    <w:name w:val="ECHR_Table_Simple_Box"/>
    <w:basedOn w:val="TableNormal"/>
    <w:uiPriority w:val="99"/>
    <w:rsid w:val="00492DE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92DE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92DEC"/>
    <w:pPr>
      <w:numPr>
        <w:numId w:val="5"/>
      </w:numPr>
    </w:pPr>
  </w:style>
  <w:style w:type="table" w:customStyle="1" w:styleId="ECHRTableForInternalUse">
    <w:name w:val="ECHR_Table_For_Internal_Use"/>
    <w:basedOn w:val="TableNormal"/>
    <w:uiPriority w:val="99"/>
    <w:rsid w:val="00492DE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92DE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92DEC"/>
  </w:style>
  <w:style w:type="paragraph" w:styleId="BlockText">
    <w:name w:val="Block Text"/>
    <w:basedOn w:val="Normal"/>
    <w:uiPriority w:val="98"/>
    <w:semiHidden/>
    <w:rsid w:val="00492DE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92DE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92DEC"/>
    <w:pPr>
      <w:spacing w:after="120"/>
    </w:pPr>
  </w:style>
  <w:style w:type="character" w:customStyle="1" w:styleId="BodyTextChar">
    <w:name w:val="Body Text Char"/>
    <w:basedOn w:val="DefaultParagraphFont"/>
    <w:link w:val="BodyText"/>
    <w:uiPriority w:val="98"/>
    <w:semiHidden/>
    <w:rsid w:val="00492DEC"/>
    <w:rPr>
      <w:sz w:val="24"/>
      <w:szCs w:val="24"/>
      <w:lang w:val="en-GB"/>
    </w:rPr>
  </w:style>
  <w:style w:type="table" w:customStyle="1" w:styleId="ECHRTableOddBanded">
    <w:name w:val="ECHR_Table_Odd_Banded"/>
    <w:basedOn w:val="TableNormal"/>
    <w:uiPriority w:val="99"/>
    <w:rsid w:val="00492DE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92DEC"/>
    <w:pPr>
      <w:spacing w:after="120" w:line="480" w:lineRule="auto"/>
    </w:pPr>
  </w:style>
  <w:style w:type="table" w:customStyle="1" w:styleId="ECHRHeaderTableReduced">
    <w:name w:val="ECHR_Header_Table_Reduced"/>
    <w:basedOn w:val="TableNormal"/>
    <w:uiPriority w:val="99"/>
    <w:rsid w:val="00492DE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92DEC"/>
    <w:pPr>
      <w:ind w:firstLine="284"/>
    </w:pPr>
    <w:rPr>
      <w:b/>
    </w:rPr>
  </w:style>
  <w:style w:type="character" w:styleId="PageNumber">
    <w:name w:val="page number"/>
    <w:uiPriority w:val="98"/>
    <w:semiHidden/>
    <w:rsid w:val="00492DEC"/>
    <w:rPr>
      <w:sz w:val="18"/>
    </w:rPr>
  </w:style>
  <w:style w:type="paragraph" w:styleId="ListBullet">
    <w:name w:val="List Bullet"/>
    <w:basedOn w:val="Normal"/>
    <w:uiPriority w:val="98"/>
    <w:semiHidden/>
    <w:rsid w:val="00492DEC"/>
    <w:pPr>
      <w:numPr>
        <w:numId w:val="13"/>
      </w:numPr>
    </w:pPr>
  </w:style>
  <w:style w:type="paragraph" w:styleId="ListBullet3">
    <w:name w:val="List Bullet 3"/>
    <w:basedOn w:val="Normal"/>
    <w:uiPriority w:val="98"/>
    <w:semiHidden/>
    <w:rsid w:val="00492DEC"/>
    <w:pPr>
      <w:numPr>
        <w:numId w:val="15"/>
      </w:numPr>
      <w:contextualSpacing/>
    </w:pPr>
  </w:style>
  <w:style w:type="character" w:customStyle="1" w:styleId="BodyText2Char">
    <w:name w:val="Body Text 2 Char"/>
    <w:basedOn w:val="DefaultParagraphFont"/>
    <w:link w:val="BodyText2"/>
    <w:uiPriority w:val="98"/>
    <w:semiHidden/>
    <w:rsid w:val="00492DEC"/>
    <w:rPr>
      <w:sz w:val="24"/>
      <w:szCs w:val="24"/>
      <w:lang w:val="en-GB"/>
    </w:rPr>
  </w:style>
  <w:style w:type="paragraph" w:styleId="BodyText3">
    <w:name w:val="Body Text 3"/>
    <w:basedOn w:val="Normal"/>
    <w:link w:val="BodyText3Char"/>
    <w:uiPriority w:val="98"/>
    <w:semiHidden/>
    <w:rsid w:val="00492DEC"/>
    <w:pPr>
      <w:spacing w:after="120"/>
    </w:pPr>
    <w:rPr>
      <w:sz w:val="16"/>
      <w:szCs w:val="16"/>
    </w:rPr>
  </w:style>
  <w:style w:type="character" w:customStyle="1" w:styleId="BodyText3Char">
    <w:name w:val="Body Text 3 Char"/>
    <w:basedOn w:val="DefaultParagraphFont"/>
    <w:link w:val="BodyText3"/>
    <w:uiPriority w:val="98"/>
    <w:semiHidden/>
    <w:rsid w:val="00492DEC"/>
    <w:rPr>
      <w:sz w:val="16"/>
      <w:szCs w:val="16"/>
      <w:lang w:val="en-GB"/>
    </w:rPr>
  </w:style>
  <w:style w:type="paragraph" w:styleId="BodyTextFirstIndent">
    <w:name w:val="Body Text First Indent"/>
    <w:basedOn w:val="BodyText"/>
    <w:link w:val="BodyTextFirstIndentChar"/>
    <w:uiPriority w:val="98"/>
    <w:semiHidden/>
    <w:rsid w:val="00492DEC"/>
    <w:pPr>
      <w:spacing w:after="0"/>
      <w:ind w:firstLine="360"/>
    </w:pPr>
  </w:style>
  <w:style w:type="character" w:customStyle="1" w:styleId="BodyTextFirstIndentChar">
    <w:name w:val="Body Text First Indent Char"/>
    <w:basedOn w:val="BodyTextChar"/>
    <w:link w:val="BodyTextFirstIndent"/>
    <w:uiPriority w:val="98"/>
    <w:semiHidden/>
    <w:rsid w:val="00492DEC"/>
    <w:rPr>
      <w:sz w:val="24"/>
      <w:szCs w:val="24"/>
      <w:lang w:val="en-GB"/>
    </w:rPr>
  </w:style>
  <w:style w:type="paragraph" w:styleId="BodyTextIndent">
    <w:name w:val="Body Text Indent"/>
    <w:basedOn w:val="Normal"/>
    <w:link w:val="BodyTextIndentChar"/>
    <w:uiPriority w:val="98"/>
    <w:semiHidden/>
    <w:rsid w:val="00492DEC"/>
    <w:pPr>
      <w:spacing w:after="120"/>
      <w:ind w:left="283"/>
    </w:pPr>
  </w:style>
  <w:style w:type="character" w:customStyle="1" w:styleId="BodyTextIndentChar">
    <w:name w:val="Body Text Indent Char"/>
    <w:basedOn w:val="DefaultParagraphFont"/>
    <w:link w:val="BodyTextIndent"/>
    <w:uiPriority w:val="98"/>
    <w:semiHidden/>
    <w:rsid w:val="00492DEC"/>
    <w:rPr>
      <w:sz w:val="24"/>
      <w:szCs w:val="24"/>
      <w:lang w:val="en-GB"/>
    </w:rPr>
  </w:style>
  <w:style w:type="paragraph" w:styleId="BodyTextFirstIndent2">
    <w:name w:val="Body Text First Indent 2"/>
    <w:basedOn w:val="BodyTextIndent"/>
    <w:link w:val="BodyTextFirstIndent2Char"/>
    <w:uiPriority w:val="98"/>
    <w:semiHidden/>
    <w:rsid w:val="00492DEC"/>
    <w:pPr>
      <w:spacing w:after="0"/>
      <w:ind w:left="360" w:firstLine="360"/>
    </w:pPr>
  </w:style>
  <w:style w:type="character" w:customStyle="1" w:styleId="BodyTextFirstIndent2Char">
    <w:name w:val="Body Text First Indent 2 Char"/>
    <w:basedOn w:val="BodyTextIndentChar"/>
    <w:link w:val="BodyTextFirstIndent2"/>
    <w:uiPriority w:val="98"/>
    <w:semiHidden/>
    <w:rsid w:val="00492DEC"/>
    <w:rPr>
      <w:sz w:val="24"/>
      <w:szCs w:val="24"/>
      <w:lang w:val="en-GB"/>
    </w:rPr>
  </w:style>
  <w:style w:type="paragraph" w:styleId="BodyTextIndent2">
    <w:name w:val="Body Text Indent 2"/>
    <w:basedOn w:val="Normal"/>
    <w:link w:val="BodyTextIndent2Char"/>
    <w:uiPriority w:val="98"/>
    <w:semiHidden/>
    <w:rsid w:val="00492DEC"/>
    <w:pPr>
      <w:spacing w:after="120" w:line="480" w:lineRule="auto"/>
      <w:ind w:left="283"/>
    </w:pPr>
  </w:style>
  <w:style w:type="character" w:customStyle="1" w:styleId="BodyTextIndent2Char">
    <w:name w:val="Body Text Indent 2 Char"/>
    <w:basedOn w:val="DefaultParagraphFont"/>
    <w:link w:val="BodyTextIndent2"/>
    <w:uiPriority w:val="98"/>
    <w:semiHidden/>
    <w:rsid w:val="00492DEC"/>
    <w:rPr>
      <w:sz w:val="24"/>
      <w:szCs w:val="24"/>
      <w:lang w:val="en-GB"/>
    </w:rPr>
  </w:style>
  <w:style w:type="paragraph" w:styleId="BodyTextIndent3">
    <w:name w:val="Body Text Indent 3"/>
    <w:basedOn w:val="Normal"/>
    <w:link w:val="BodyTextIndent3Char"/>
    <w:uiPriority w:val="98"/>
    <w:semiHidden/>
    <w:rsid w:val="00492DE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92DEC"/>
    <w:rPr>
      <w:sz w:val="16"/>
      <w:szCs w:val="16"/>
      <w:lang w:val="en-GB"/>
    </w:rPr>
  </w:style>
  <w:style w:type="paragraph" w:styleId="Caption">
    <w:name w:val="caption"/>
    <w:basedOn w:val="Normal"/>
    <w:next w:val="Normal"/>
    <w:uiPriority w:val="98"/>
    <w:semiHidden/>
    <w:qFormat/>
    <w:rsid w:val="00492DEC"/>
    <w:pPr>
      <w:spacing w:after="200"/>
    </w:pPr>
    <w:rPr>
      <w:b/>
      <w:bCs/>
      <w:color w:val="0072BC" w:themeColor="accent1"/>
      <w:sz w:val="18"/>
      <w:szCs w:val="18"/>
    </w:rPr>
  </w:style>
  <w:style w:type="paragraph" w:styleId="Closing">
    <w:name w:val="Closing"/>
    <w:basedOn w:val="Normal"/>
    <w:link w:val="ClosingChar"/>
    <w:uiPriority w:val="98"/>
    <w:semiHidden/>
    <w:rsid w:val="00492DEC"/>
    <w:pPr>
      <w:ind w:left="4252"/>
    </w:pPr>
  </w:style>
  <w:style w:type="character" w:customStyle="1" w:styleId="ClosingChar">
    <w:name w:val="Closing Char"/>
    <w:basedOn w:val="DefaultParagraphFont"/>
    <w:link w:val="Closing"/>
    <w:uiPriority w:val="98"/>
    <w:semiHidden/>
    <w:rsid w:val="00492DEC"/>
    <w:rPr>
      <w:sz w:val="24"/>
      <w:szCs w:val="24"/>
      <w:lang w:val="en-GB"/>
    </w:rPr>
  </w:style>
  <w:style w:type="table" w:styleId="ColorfulGrid">
    <w:name w:val="Colorful Grid"/>
    <w:basedOn w:val="TableNormal"/>
    <w:uiPriority w:val="73"/>
    <w:semiHidden/>
    <w:rsid w:val="00492DE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92DE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92DE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92DE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92DE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92DE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92DE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92DE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92DE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92DE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92DE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92DE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92DE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92DE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92DE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92DE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92DE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92DE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92DE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92DE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92DE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92DEC"/>
    <w:rPr>
      <w:sz w:val="16"/>
      <w:szCs w:val="16"/>
    </w:rPr>
  </w:style>
  <w:style w:type="paragraph" w:styleId="CommentText">
    <w:name w:val="annotation text"/>
    <w:basedOn w:val="Normal"/>
    <w:link w:val="CommentTextChar"/>
    <w:uiPriority w:val="98"/>
    <w:semiHidden/>
    <w:rsid w:val="00492DEC"/>
    <w:rPr>
      <w:sz w:val="20"/>
      <w:szCs w:val="20"/>
    </w:rPr>
  </w:style>
  <w:style w:type="character" w:customStyle="1" w:styleId="CommentTextChar">
    <w:name w:val="Comment Text Char"/>
    <w:basedOn w:val="DefaultParagraphFont"/>
    <w:link w:val="CommentText"/>
    <w:uiPriority w:val="98"/>
    <w:semiHidden/>
    <w:rsid w:val="00492DEC"/>
    <w:rPr>
      <w:sz w:val="20"/>
      <w:szCs w:val="20"/>
      <w:lang w:val="en-GB"/>
    </w:rPr>
  </w:style>
  <w:style w:type="paragraph" w:styleId="CommentSubject">
    <w:name w:val="annotation subject"/>
    <w:basedOn w:val="CommentText"/>
    <w:next w:val="CommentText"/>
    <w:link w:val="CommentSubjectChar"/>
    <w:uiPriority w:val="98"/>
    <w:semiHidden/>
    <w:rsid w:val="00492DEC"/>
    <w:rPr>
      <w:b/>
      <w:bCs/>
    </w:rPr>
  </w:style>
  <w:style w:type="character" w:customStyle="1" w:styleId="CommentSubjectChar">
    <w:name w:val="Comment Subject Char"/>
    <w:basedOn w:val="CommentTextChar"/>
    <w:link w:val="CommentSubject"/>
    <w:uiPriority w:val="98"/>
    <w:semiHidden/>
    <w:rsid w:val="00492DEC"/>
    <w:rPr>
      <w:b/>
      <w:bCs/>
      <w:sz w:val="20"/>
      <w:szCs w:val="20"/>
      <w:lang w:val="en-GB"/>
    </w:rPr>
  </w:style>
  <w:style w:type="table" w:styleId="DarkList">
    <w:name w:val="Dark List"/>
    <w:basedOn w:val="TableNormal"/>
    <w:uiPriority w:val="70"/>
    <w:semiHidden/>
    <w:rsid w:val="00492DE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92DE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92DE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92DE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92DE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92DE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92DE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92DEC"/>
  </w:style>
  <w:style w:type="character" w:customStyle="1" w:styleId="DateChar">
    <w:name w:val="Date Char"/>
    <w:basedOn w:val="DefaultParagraphFont"/>
    <w:link w:val="Date"/>
    <w:uiPriority w:val="98"/>
    <w:semiHidden/>
    <w:rsid w:val="00492DEC"/>
    <w:rPr>
      <w:sz w:val="24"/>
      <w:szCs w:val="24"/>
      <w:lang w:val="en-GB"/>
    </w:rPr>
  </w:style>
  <w:style w:type="paragraph" w:styleId="DocumentMap">
    <w:name w:val="Document Map"/>
    <w:basedOn w:val="Normal"/>
    <w:link w:val="DocumentMapChar"/>
    <w:uiPriority w:val="98"/>
    <w:semiHidden/>
    <w:rsid w:val="00492DEC"/>
    <w:rPr>
      <w:rFonts w:ascii="Tahoma" w:hAnsi="Tahoma" w:cs="Tahoma"/>
      <w:sz w:val="16"/>
      <w:szCs w:val="16"/>
    </w:rPr>
  </w:style>
  <w:style w:type="character" w:customStyle="1" w:styleId="DocumentMapChar">
    <w:name w:val="Document Map Char"/>
    <w:basedOn w:val="DefaultParagraphFont"/>
    <w:link w:val="DocumentMap"/>
    <w:uiPriority w:val="98"/>
    <w:semiHidden/>
    <w:rsid w:val="00492DEC"/>
    <w:rPr>
      <w:rFonts w:ascii="Tahoma" w:hAnsi="Tahoma" w:cs="Tahoma"/>
      <w:sz w:val="16"/>
      <w:szCs w:val="16"/>
      <w:lang w:val="en-GB"/>
    </w:rPr>
  </w:style>
  <w:style w:type="paragraph" w:styleId="E-mailSignature">
    <w:name w:val="E-mail Signature"/>
    <w:basedOn w:val="Normal"/>
    <w:link w:val="E-mailSignatureChar"/>
    <w:uiPriority w:val="98"/>
    <w:semiHidden/>
    <w:rsid w:val="00492DEC"/>
  </w:style>
  <w:style w:type="character" w:customStyle="1" w:styleId="E-mailSignatureChar">
    <w:name w:val="E-mail Signature Char"/>
    <w:basedOn w:val="DefaultParagraphFont"/>
    <w:link w:val="E-mailSignature"/>
    <w:uiPriority w:val="98"/>
    <w:semiHidden/>
    <w:rsid w:val="00492DEC"/>
    <w:rPr>
      <w:sz w:val="24"/>
      <w:szCs w:val="24"/>
      <w:lang w:val="en-GB"/>
    </w:rPr>
  </w:style>
  <w:style w:type="character" w:styleId="EndnoteReference">
    <w:name w:val="endnote reference"/>
    <w:basedOn w:val="DefaultParagraphFont"/>
    <w:uiPriority w:val="98"/>
    <w:semiHidden/>
    <w:rsid w:val="00492DEC"/>
    <w:rPr>
      <w:vertAlign w:val="superscript"/>
    </w:rPr>
  </w:style>
  <w:style w:type="paragraph" w:styleId="EndnoteText">
    <w:name w:val="endnote text"/>
    <w:basedOn w:val="Normal"/>
    <w:link w:val="EndnoteTextChar"/>
    <w:uiPriority w:val="98"/>
    <w:semiHidden/>
    <w:rsid w:val="00492DEC"/>
    <w:rPr>
      <w:sz w:val="20"/>
      <w:szCs w:val="20"/>
    </w:rPr>
  </w:style>
  <w:style w:type="character" w:customStyle="1" w:styleId="EndnoteTextChar">
    <w:name w:val="Endnote Text Char"/>
    <w:basedOn w:val="DefaultParagraphFont"/>
    <w:link w:val="EndnoteText"/>
    <w:uiPriority w:val="98"/>
    <w:semiHidden/>
    <w:rsid w:val="00492DEC"/>
    <w:rPr>
      <w:sz w:val="20"/>
      <w:szCs w:val="20"/>
      <w:lang w:val="en-GB"/>
    </w:rPr>
  </w:style>
  <w:style w:type="paragraph" w:styleId="EnvelopeAddress">
    <w:name w:val="envelope address"/>
    <w:basedOn w:val="Normal"/>
    <w:uiPriority w:val="98"/>
    <w:semiHidden/>
    <w:rsid w:val="00492DE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92DE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92DEC"/>
    <w:rPr>
      <w:color w:val="7030A0" w:themeColor="followedHyperlink"/>
      <w:u w:val="single"/>
    </w:rPr>
  </w:style>
  <w:style w:type="character" w:styleId="HTMLAcronym">
    <w:name w:val="HTML Acronym"/>
    <w:basedOn w:val="DefaultParagraphFont"/>
    <w:uiPriority w:val="98"/>
    <w:semiHidden/>
    <w:rsid w:val="00492DEC"/>
  </w:style>
  <w:style w:type="paragraph" w:styleId="HTMLAddress">
    <w:name w:val="HTML Address"/>
    <w:basedOn w:val="Normal"/>
    <w:link w:val="HTMLAddressChar"/>
    <w:uiPriority w:val="98"/>
    <w:semiHidden/>
    <w:rsid w:val="00492DEC"/>
    <w:rPr>
      <w:i/>
      <w:iCs/>
    </w:rPr>
  </w:style>
  <w:style w:type="character" w:customStyle="1" w:styleId="HTMLAddressChar">
    <w:name w:val="HTML Address Char"/>
    <w:basedOn w:val="DefaultParagraphFont"/>
    <w:link w:val="HTMLAddress"/>
    <w:uiPriority w:val="98"/>
    <w:semiHidden/>
    <w:rsid w:val="00492DEC"/>
    <w:rPr>
      <w:i/>
      <w:iCs/>
      <w:sz w:val="24"/>
      <w:szCs w:val="24"/>
      <w:lang w:val="en-GB"/>
    </w:rPr>
  </w:style>
  <w:style w:type="character" w:styleId="HTMLCite">
    <w:name w:val="HTML Cite"/>
    <w:basedOn w:val="DefaultParagraphFont"/>
    <w:uiPriority w:val="98"/>
    <w:semiHidden/>
    <w:rsid w:val="00492DEC"/>
    <w:rPr>
      <w:i/>
      <w:iCs/>
    </w:rPr>
  </w:style>
  <w:style w:type="character" w:styleId="HTMLCode">
    <w:name w:val="HTML Code"/>
    <w:basedOn w:val="DefaultParagraphFont"/>
    <w:uiPriority w:val="98"/>
    <w:semiHidden/>
    <w:rsid w:val="00492DEC"/>
    <w:rPr>
      <w:rFonts w:ascii="Consolas" w:hAnsi="Consolas" w:cs="Consolas"/>
      <w:sz w:val="20"/>
      <w:szCs w:val="20"/>
    </w:rPr>
  </w:style>
  <w:style w:type="character" w:styleId="HTMLDefinition">
    <w:name w:val="HTML Definition"/>
    <w:basedOn w:val="DefaultParagraphFont"/>
    <w:uiPriority w:val="98"/>
    <w:semiHidden/>
    <w:rsid w:val="00492DEC"/>
    <w:rPr>
      <w:i/>
      <w:iCs/>
    </w:rPr>
  </w:style>
  <w:style w:type="character" w:styleId="HTMLKeyboard">
    <w:name w:val="HTML Keyboard"/>
    <w:basedOn w:val="DefaultParagraphFont"/>
    <w:uiPriority w:val="98"/>
    <w:semiHidden/>
    <w:rsid w:val="00492DEC"/>
    <w:rPr>
      <w:rFonts w:ascii="Consolas" w:hAnsi="Consolas" w:cs="Consolas"/>
      <w:sz w:val="20"/>
      <w:szCs w:val="20"/>
    </w:rPr>
  </w:style>
  <w:style w:type="paragraph" w:styleId="HTMLPreformatted">
    <w:name w:val="HTML Preformatted"/>
    <w:basedOn w:val="Normal"/>
    <w:link w:val="HTMLPreformattedChar"/>
    <w:uiPriority w:val="98"/>
    <w:semiHidden/>
    <w:rsid w:val="00492DE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92DEC"/>
    <w:rPr>
      <w:rFonts w:ascii="Consolas" w:hAnsi="Consolas" w:cs="Consolas"/>
      <w:sz w:val="20"/>
      <w:szCs w:val="20"/>
      <w:lang w:val="en-GB"/>
    </w:rPr>
  </w:style>
  <w:style w:type="character" w:styleId="HTMLSample">
    <w:name w:val="HTML Sample"/>
    <w:basedOn w:val="DefaultParagraphFont"/>
    <w:uiPriority w:val="98"/>
    <w:semiHidden/>
    <w:rsid w:val="00492DEC"/>
    <w:rPr>
      <w:rFonts w:ascii="Consolas" w:hAnsi="Consolas" w:cs="Consolas"/>
      <w:sz w:val="24"/>
      <w:szCs w:val="24"/>
    </w:rPr>
  </w:style>
  <w:style w:type="character" w:styleId="HTMLTypewriter">
    <w:name w:val="HTML Typewriter"/>
    <w:basedOn w:val="DefaultParagraphFont"/>
    <w:uiPriority w:val="98"/>
    <w:semiHidden/>
    <w:rsid w:val="00492DEC"/>
    <w:rPr>
      <w:rFonts w:ascii="Consolas" w:hAnsi="Consolas" w:cs="Consolas"/>
      <w:sz w:val="20"/>
      <w:szCs w:val="20"/>
    </w:rPr>
  </w:style>
  <w:style w:type="character" w:styleId="HTMLVariable">
    <w:name w:val="HTML Variable"/>
    <w:basedOn w:val="DefaultParagraphFont"/>
    <w:uiPriority w:val="98"/>
    <w:semiHidden/>
    <w:rsid w:val="00492DEC"/>
    <w:rPr>
      <w:i/>
      <w:iCs/>
    </w:rPr>
  </w:style>
  <w:style w:type="paragraph" w:styleId="Index1">
    <w:name w:val="index 1"/>
    <w:basedOn w:val="Normal"/>
    <w:next w:val="Normal"/>
    <w:autoRedefine/>
    <w:uiPriority w:val="98"/>
    <w:semiHidden/>
    <w:rsid w:val="00492DEC"/>
    <w:pPr>
      <w:ind w:left="240" w:hanging="240"/>
    </w:pPr>
  </w:style>
  <w:style w:type="paragraph" w:styleId="Index2">
    <w:name w:val="index 2"/>
    <w:basedOn w:val="Normal"/>
    <w:next w:val="Normal"/>
    <w:autoRedefine/>
    <w:uiPriority w:val="98"/>
    <w:semiHidden/>
    <w:rsid w:val="00492DEC"/>
    <w:pPr>
      <w:ind w:left="480" w:hanging="240"/>
    </w:pPr>
  </w:style>
  <w:style w:type="paragraph" w:styleId="Index3">
    <w:name w:val="index 3"/>
    <w:basedOn w:val="Normal"/>
    <w:next w:val="Normal"/>
    <w:autoRedefine/>
    <w:uiPriority w:val="98"/>
    <w:semiHidden/>
    <w:rsid w:val="00492DEC"/>
    <w:pPr>
      <w:ind w:left="720" w:hanging="240"/>
    </w:pPr>
  </w:style>
  <w:style w:type="paragraph" w:styleId="Index4">
    <w:name w:val="index 4"/>
    <w:basedOn w:val="Normal"/>
    <w:next w:val="Normal"/>
    <w:autoRedefine/>
    <w:uiPriority w:val="98"/>
    <w:semiHidden/>
    <w:rsid w:val="00492DEC"/>
    <w:pPr>
      <w:ind w:left="960" w:hanging="240"/>
    </w:pPr>
  </w:style>
  <w:style w:type="paragraph" w:styleId="Index5">
    <w:name w:val="index 5"/>
    <w:basedOn w:val="Normal"/>
    <w:next w:val="Normal"/>
    <w:autoRedefine/>
    <w:uiPriority w:val="98"/>
    <w:semiHidden/>
    <w:rsid w:val="00492DEC"/>
    <w:pPr>
      <w:ind w:left="1200" w:hanging="240"/>
    </w:pPr>
  </w:style>
  <w:style w:type="paragraph" w:styleId="Index6">
    <w:name w:val="index 6"/>
    <w:basedOn w:val="Normal"/>
    <w:next w:val="Normal"/>
    <w:autoRedefine/>
    <w:uiPriority w:val="98"/>
    <w:semiHidden/>
    <w:rsid w:val="00492DEC"/>
    <w:pPr>
      <w:ind w:left="1440" w:hanging="240"/>
    </w:pPr>
  </w:style>
  <w:style w:type="paragraph" w:styleId="Index7">
    <w:name w:val="index 7"/>
    <w:basedOn w:val="Normal"/>
    <w:next w:val="Normal"/>
    <w:autoRedefine/>
    <w:uiPriority w:val="98"/>
    <w:semiHidden/>
    <w:rsid w:val="00492DEC"/>
    <w:pPr>
      <w:ind w:left="1680" w:hanging="240"/>
    </w:pPr>
  </w:style>
  <w:style w:type="paragraph" w:styleId="Index8">
    <w:name w:val="index 8"/>
    <w:basedOn w:val="Normal"/>
    <w:next w:val="Normal"/>
    <w:autoRedefine/>
    <w:uiPriority w:val="98"/>
    <w:semiHidden/>
    <w:rsid w:val="00492DEC"/>
    <w:pPr>
      <w:ind w:left="1920" w:hanging="240"/>
    </w:pPr>
  </w:style>
  <w:style w:type="paragraph" w:styleId="Index9">
    <w:name w:val="index 9"/>
    <w:basedOn w:val="Normal"/>
    <w:next w:val="Normal"/>
    <w:autoRedefine/>
    <w:uiPriority w:val="98"/>
    <w:semiHidden/>
    <w:rsid w:val="00492DEC"/>
    <w:pPr>
      <w:ind w:left="2160" w:hanging="240"/>
    </w:pPr>
  </w:style>
  <w:style w:type="paragraph" w:styleId="IndexHeading">
    <w:name w:val="index heading"/>
    <w:basedOn w:val="Normal"/>
    <w:next w:val="Index1"/>
    <w:uiPriority w:val="98"/>
    <w:semiHidden/>
    <w:rsid w:val="00492DEC"/>
    <w:rPr>
      <w:rFonts w:asciiTheme="majorHAnsi" w:eastAsiaTheme="majorEastAsia" w:hAnsiTheme="majorHAnsi" w:cstheme="majorBidi"/>
      <w:b/>
      <w:bCs/>
    </w:rPr>
  </w:style>
  <w:style w:type="table" w:styleId="LightGrid">
    <w:name w:val="Light Grid"/>
    <w:basedOn w:val="TableNormal"/>
    <w:uiPriority w:val="62"/>
    <w:semiHidden/>
    <w:rsid w:val="00492DE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92DE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92DE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92DE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92DE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92DE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92DE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92DE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92DE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92DE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92DE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92DE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92DE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92DE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92DE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92DE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92DE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92DE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92DE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92DE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92DE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92DEC"/>
  </w:style>
  <w:style w:type="paragraph" w:styleId="List">
    <w:name w:val="List"/>
    <w:basedOn w:val="Normal"/>
    <w:uiPriority w:val="98"/>
    <w:semiHidden/>
    <w:rsid w:val="00492DEC"/>
    <w:pPr>
      <w:ind w:left="283" w:hanging="283"/>
      <w:contextualSpacing/>
    </w:pPr>
  </w:style>
  <w:style w:type="paragraph" w:styleId="List2">
    <w:name w:val="List 2"/>
    <w:basedOn w:val="Normal"/>
    <w:uiPriority w:val="98"/>
    <w:semiHidden/>
    <w:rsid w:val="00492DEC"/>
    <w:pPr>
      <w:ind w:left="566" w:hanging="283"/>
      <w:contextualSpacing/>
    </w:pPr>
  </w:style>
  <w:style w:type="paragraph" w:styleId="List3">
    <w:name w:val="List 3"/>
    <w:basedOn w:val="Normal"/>
    <w:uiPriority w:val="98"/>
    <w:semiHidden/>
    <w:rsid w:val="00492DEC"/>
    <w:pPr>
      <w:ind w:left="849" w:hanging="283"/>
      <w:contextualSpacing/>
    </w:pPr>
  </w:style>
  <w:style w:type="paragraph" w:styleId="List4">
    <w:name w:val="List 4"/>
    <w:basedOn w:val="Normal"/>
    <w:uiPriority w:val="98"/>
    <w:semiHidden/>
    <w:rsid w:val="00492DEC"/>
    <w:pPr>
      <w:ind w:left="1132" w:hanging="283"/>
      <w:contextualSpacing/>
    </w:pPr>
  </w:style>
  <w:style w:type="paragraph" w:styleId="List5">
    <w:name w:val="List 5"/>
    <w:basedOn w:val="Normal"/>
    <w:uiPriority w:val="98"/>
    <w:semiHidden/>
    <w:rsid w:val="00492DEC"/>
    <w:pPr>
      <w:ind w:left="1415" w:hanging="283"/>
      <w:contextualSpacing/>
    </w:pPr>
  </w:style>
  <w:style w:type="paragraph" w:styleId="ListBullet2">
    <w:name w:val="List Bullet 2"/>
    <w:basedOn w:val="Normal"/>
    <w:uiPriority w:val="98"/>
    <w:semiHidden/>
    <w:rsid w:val="00492DEC"/>
    <w:pPr>
      <w:numPr>
        <w:numId w:val="14"/>
      </w:numPr>
      <w:contextualSpacing/>
    </w:pPr>
  </w:style>
  <w:style w:type="paragraph" w:styleId="ListBullet4">
    <w:name w:val="List Bullet 4"/>
    <w:basedOn w:val="Normal"/>
    <w:uiPriority w:val="98"/>
    <w:semiHidden/>
    <w:rsid w:val="00492DEC"/>
    <w:pPr>
      <w:numPr>
        <w:numId w:val="16"/>
      </w:numPr>
      <w:contextualSpacing/>
    </w:pPr>
  </w:style>
  <w:style w:type="paragraph" w:styleId="ListBullet5">
    <w:name w:val="List Bullet 5"/>
    <w:basedOn w:val="Normal"/>
    <w:uiPriority w:val="98"/>
    <w:semiHidden/>
    <w:rsid w:val="00492DEC"/>
    <w:pPr>
      <w:numPr>
        <w:numId w:val="17"/>
      </w:numPr>
      <w:contextualSpacing/>
    </w:pPr>
  </w:style>
  <w:style w:type="paragraph" w:styleId="ListContinue">
    <w:name w:val="List Continue"/>
    <w:basedOn w:val="Normal"/>
    <w:uiPriority w:val="98"/>
    <w:semiHidden/>
    <w:rsid w:val="00492DEC"/>
    <w:pPr>
      <w:spacing w:after="120"/>
      <w:ind w:left="283"/>
      <w:contextualSpacing/>
    </w:pPr>
  </w:style>
  <w:style w:type="paragraph" w:styleId="ListContinue2">
    <w:name w:val="List Continue 2"/>
    <w:basedOn w:val="Normal"/>
    <w:uiPriority w:val="98"/>
    <w:semiHidden/>
    <w:rsid w:val="00492DEC"/>
    <w:pPr>
      <w:spacing w:after="120"/>
      <w:ind w:left="566"/>
      <w:contextualSpacing/>
    </w:pPr>
  </w:style>
  <w:style w:type="paragraph" w:styleId="ListContinue3">
    <w:name w:val="List Continue 3"/>
    <w:basedOn w:val="Normal"/>
    <w:uiPriority w:val="98"/>
    <w:semiHidden/>
    <w:rsid w:val="00492DEC"/>
    <w:pPr>
      <w:spacing w:after="120"/>
      <w:ind w:left="849"/>
      <w:contextualSpacing/>
    </w:pPr>
  </w:style>
  <w:style w:type="paragraph" w:styleId="ListContinue4">
    <w:name w:val="List Continue 4"/>
    <w:basedOn w:val="Normal"/>
    <w:uiPriority w:val="98"/>
    <w:semiHidden/>
    <w:rsid w:val="00492DEC"/>
    <w:pPr>
      <w:spacing w:after="120"/>
      <w:ind w:left="1132"/>
      <w:contextualSpacing/>
    </w:pPr>
  </w:style>
  <w:style w:type="paragraph" w:styleId="ListContinue5">
    <w:name w:val="List Continue 5"/>
    <w:basedOn w:val="Normal"/>
    <w:uiPriority w:val="98"/>
    <w:semiHidden/>
    <w:rsid w:val="00492DEC"/>
    <w:pPr>
      <w:spacing w:after="120"/>
      <w:ind w:left="1415"/>
      <w:contextualSpacing/>
    </w:pPr>
  </w:style>
  <w:style w:type="paragraph" w:styleId="ListNumber">
    <w:name w:val="List Number"/>
    <w:basedOn w:val="Normal"/>
    <w:uiPriority w:val="98"/>
    <w:semiHidden/>
    <w:rsid w:val="00492DEC"/>
    <w:pPr>
      <w:numPr>
        <w:numId w:val="18"/>
      </w:numPr>
      <w:contextualSpacing/>
    </w:pPr>
  </w:style>
  <w:style w:type="paragraph" w:styleId="ListNumber2">
    <w:name w:val="List Number 2"/>
    <w:basedOn w:val="Normal"/>
    <w:uiPriority w:val="98"/>
    <w:semiHidden/>
    <w:rsid w:val="00492DEC"/>
    <w:pPr>
      <w:numPr>
        <w:numId w:val="19"/>
      </w:numPr>
      <w:contextualSpacing/>
    </w:pPr>
  </w:style>
  <w:style w:type="paragraph" w:styleId="ListNumber3">
    <w:name w:val="List Number 3"/>
    <w:basedOn w:val="Normal"/>
    <w:uiPriority w:val="98"/>
    <w:semiHidden/>
    <w:rsid w:val="00492DEC"/>
    <w:pPr>
      <w:numPr>
        <w:numId w:val="20"/>
      </w:numPr>
      <w:contextualSpacing/>
    </w:pPr>
  </w:style>
  <w:style w:type="paragraph" w:styleId="ListNumber4">
    <w:name w:val="List Number 4"/>
    <w:basedOn w:val="Normal"/>
    <w:uiPriority w:val="98"/>
    <w:semiHidden/>
    <w:rsid w:val="00492DEC"/>
    <w:pPr>
      <w:numPr>
        <w:numId w:val="21"/>
      </w:numPr>
      <w:contextualSpacing/>
    </w:pPr>
  </w:style>
  <w:style w:type="paragraph" w:styleId="ListNumber5">
    <w:name w:val="List Number 5"/>
    <w:basedOn w:val="Normal"/>
    <w:uiPriority w:val="98"/>
    <w:semiHidden/>
    <w:rsid w:val="00492DEC"/>
    <w:pPr>
      <w:numPr>
        <w:numId w:val="22"/>
      </w:numPr>
      <w:contextualSpacing/>
    </w:pPr>
  </w:style>
  <w:style w:type="paragraph" w:styleId="MacroText">
    <w:name w:val="macro"/>
    <w:link w:val="MacroTextChar"/>
    <w:uiPriority w:val="98"/>
    <w:semiHidden/>
    <w:rsid w:val="00492DE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92DEC"/>
    <w:rPr>
      <w:rFonts w:ascii="Consolas" w:eastAsiaTheme="minorEastAsia" w:hAnsi="Consolas" w:cs="Consolas"/>
      <w:sz w:val="20"/>
      <w:szCs w:val="20"/>
    </w:rPr>
  </w:style>
  <w:style w:type="table" w:styleId="MediumGrid1">
    <w:name w:val="Medium Grid 1"/>
    <w:basedOn w:val="TableNormal"/>
    <w:uiPriority w:val="67"/>
    <w:semiHidden/>
    <w:rsid w:val="00492DE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92DE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92DE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92DE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92DE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92DE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92DE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92D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92D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92D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92D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92D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92D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92DE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92DE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92DE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92DE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92DE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92DE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92DE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92DE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92DE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92DE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92DE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92DE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92DE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92DE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92DE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92DE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92D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92D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92D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92D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92D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92D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92DE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92DE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92DE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92DEC"/>
    <w:rPr>
      <w:rFonts w:ascii="Times New Roman" w:hAnsi="Times New Roman" w:cs="Times New Roman"/>
    </w:rPr>
  </w:style>
  <w:style w:type="paragraph" w:styleId="NormalIndent">
    <w:name w:val="Normal Indent"/>
    <w:basedOn w:val="Normal"/>
    <w:uiPriority w:val="98"/>
    <w:semiHidden/>
    <w:rsid w:val="00492DEC"/>
    <w:pPr>
      <w:ind w:left="720"/>
    </w:pPr>
  </w:style>
  <w:style w:type="paragraph" w:styleId="NoteHeading">
    <w:name w:val="Note Heading"/>
    <w:basedOn w:val="Normal"/>
    <w:next w:val="Normal"/>
    <w:link w:val="NoteHeadingChar"/>
    <w:uiPriority w:val="98"/>
    <w:semiHidden/>
    <w:rsid w:val="00492DEC"/>
  </w:style>
  <w:style w:type="character" w:customStyle="1" w:styleId="NoteHeadingChar">
    <w:name w:val="Note Heading Char"/>
    <w:basedOn w:val="DefaultParagraphFont"/>
    <w:link w:val="NoteHeading"/>
    <w:uiPriority w:val="98"/>
    <w:semiHidden/>
    <w:rsid w:val="00492DEC"/>
    <w:rPr>
      <w:sz w:val="24"/>
      <w:szCs w:val="24"/>
      <w:lang w:val="en-GB"/>
    </w:rPr>
  </w:style>
  <w:style w:type="character" w:styleId="PlaceholderText">
    <w:name w:val="Placeholder Text"/>
    <w:basedOn w:val="DefaultParagraphFont"/>
    <w:uiPriority w:val="98"/>
    <w:semiHidden/>
    <w:rsid w:val="00492DE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92DEC"/>
    <w:rPr>
      <w:rFonts w:ascii="Consolas" w:hAnsi="Consolas" w:cs="Consolas"/>
      <w:sz w:val="21"/>
      <w:szCs w:val="21"/>
    </w:rPr>
  </w:style>
  <w:style w:type="character" w:customStyle="1" w:styleId="PlainTextChar">
    <w:name w:val="Plain Text Char"/>
    <w:basedOn w:val="DefaultParagraphFont"/>
    <w:link w:val="PlainText"/>
    <w:uiPriority w:val="98"/>
    <w:semiHidden/>
    <w:rsid w:val="00492DEC"/>
    <w:rPr>
      <w:rFonts w:ascii="Consolas" w:hAnsi="Consolas" w:cs="Consolas"/>
      <w:sz w:val="21"/>
      <w:szCs w:val="21"/>
      <w:lang w:val="en-GB"/>
    </w:rPr>
  </w:style>
  <w:style w:type="paragraph" w:styleId="Salutation">
    <w:name w:val="Salutation"/>
    <w:basedOn w:val="Normal"/>
    <w:next w:val="Normal"/>
    <w:link w:val="SalutationChar"/>
    <w:uiPriority w:val="98"/>
    <w:semiHidden/>
    <w:rsid w:val="00492DEC"/>
  </w:style>
  <w:style w:type="character" w:customStyle="1" w:styleId="SalutationChar">
    <w:name w:val="Salutation Char"/>
    <w:basedOn w:val="DefaultParagraphFont"/>
    <w:link w:val="Salutation"/>
    <w:uiPriority w:val="98"/>
    <w:semiHidden/>
    <w:rsid w:val="00492DEC"/>
    <w:rPr>
      <w:sz w:val="24"/>
      <w:szCs w:val="24"/>
      <w:lang w:val="en-GB"/>
    </w:rPr>
  </w:style>
  <w:style w:type="paragraph" w:styleId="Signature">
    <w:name w:val="Signature"/>
    <w:basedOn w:val="Normal"/>
    <w:link w:val="SignatureChar"/>
    <w:uiPriority w:val="98"/>
    <w:semiHidden/>
    <w:rsid w:val="00492DEC"/>
    <w:pPr>
      <w:ind w:left="4252"/>
    </w:pPr>
  </w:style>
  <w:style w:type="character" w:customStyle="1" w:styleId="SignatureChar">
    <w:name w:val="Signature Char"/>
    <w:basedOn w:val="DefaultParagraphFont"/>
    <w:link w:val="Signature"/>
    <w:uiPriority w:val="98"/>
    <w:semiHidden/>
    <w:rsid w:val="00492DEC"/>
    <w:rPr>
      <w:sz w:val="24"/>
      <w:szCs w:val="24"/>
      <w:lang w:val="en-GB"/>
    </w:rPr>
  </w:style>
  <w:style w:type="table" w:styleId="Table3Deffects1">
    <w:name w:val="Table 3D effects 1"/>
    <w:basedOn w:val="TableNormal"/>
    <w:uiPriority w:val="99"/>
    <w:semiHidden/>
    <w:unhideWhenUsed/>
    <w:rsid w:val="00492DE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92DE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92DE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92DE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92DE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92DE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92DE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92DE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92DE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92DE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92DE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92DE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92DE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92DE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92DE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92DE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92DE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92D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92DE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92DE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92DE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92DE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92DE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92DE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92DE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92DE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92DE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92DE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92DE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92D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92DE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92DE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92DE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92DEC"/>
    <w:pPr>
      <w:ind w:left="240" w:hanging="240"/>
    </w:pPr>
  </w:style>
  <w:style w:type="paragraph" w:styleId="TableofFigures">
    <w:name w:val="table of figures"/>
    <w:basedOn w:val="Normal"/>
    <w:next w:val="Normal"/>
    <w:uiPriority w:val="98"/>
    <w:semiHidden/>
    <w:rsid w:val="00492DEC"/>
  </w:style>
  <w:style w:type="table" w:styleId="TableProfessional">
    <w:name w:val="Table Professional"/>
    <w:basedOn w:val="TableNormal"/>
    <w:uiPriority w:val="99"/>
    <w:semiHidden/>
    <w:unhideWhenUsed/>
    <w:rsid w:val="00492DE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92DE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92DE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92DE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92DE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92DE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92DE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92DE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92DE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92DE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92DE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92DE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92DEC"/>
    <w:pPr>
      <w:spacing w:after="100"/>
      <w:ind w:left="1680"/>
    </w:pPr>
  </w:style>
  <w:style w:type="paragraph" w:styleId="TOC9">
    <w:name w:val="toc 9"/>
    <w:basedOn w:val="Normal"/>
    <w:next w:val="Normal"/>
    <w:autoRedefine/>
    <w:uiPriority w:val="98"/>
    <w:semiHidden/>
    <w:rsid w:val="00492DE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492DE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92DE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92DE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492DE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92DEC"/>
    <w:pPr>
      <w:numPr>
        <w:numId w:val="9"/>
      </w:numPr>
      <w:spacing w:before="60" w:after="60"/>
    </w:pPr>
  </w:style>
  <w:style w:type="paragraph" w:customStyle="1" w:styleId="ECHRBullet2">
    <w:name w:val="ECHR_Bullet_2"/>
    <w:aliases w:val="_Bul_2"/>
    <w:basedOn w:val="ECHRBullet1"/>
    <w:uiPriority w:val="23"/>
    <w:semiHidden/>
    <w:rsid w:val="00492DEC"/>
    <w:pPr>
      <w:numPr>
        <w:ilvl w:val="1"/>
      </w:numPr>
    </w:pPr>
  </w:style>
  <w:style w:type="paragraph" w:customStyle="1" w:styleId="ECHRBullet3">
    <w:name w:val="ECHR_Bullet_3"/>
    <w:aliases w:val="_Bul_3"/>
    <w:basedOn w:val="ECHRBullet2"/>
    <w:uiPriority w:val="23"/>
    <w:semiHidden/>
    <w:rsid w:val="00492DEC"/>
    <w:pPr>
      <w:numPr>
        <w:ilvl w:val="2"/>
      </w:numPr>
    </w:pPr>
  </w:style>
  <w:style w:type="paragraph" w:customStyle="1" w:styleId="ECHRBullet4">
    <w:name w:val="ECHR_Bullet_4"/>
    <w:aliases w:val="_Bul_4"/>
    <w:basedOn w:val="ECHRBullet3"/>
    <w:uiPriority w:val="23"/>
    <w:semiHidden/>
    <w:rsid w:val="00492DEC"/>
    <w:pPr>
      <w:numPr>
        <w:ilvl w:val="3"/>
      </w:numPr>
    </w:pPr>
  </w:style>
  <w:style w:type="paragraph" w:customStyle="1" w:styleId="ECHRConfidential">
    <w:name w:val="ECHR_Confidential"/>
    <w:aliases w:val="_Confidential"/>
    <w:basedOn w:val="Normal"/>
    <w:next w:val="Normal"/>
    <w:uiPriority w:val="42"/>
    <w:semiHidden/>
    <w:qFormat/>
    <w:rsid w:val="00492DEC"/>
    <w:pPr>
      <w:jc w:val="right"/>
    </w:pPr>
    <w:rPr>
      <w:color w:val="C00000"/>
      <w:sz w:val="20"/>
    </w:rPr>
  </w:style>
  <w:style w:type="paragraph" w:customStyle="1" w:styleId="ECHRDecisionBody">
    <w:name w:val="ECHR_Decision_Body"/>
    <w:aliases w:val="_Decision_Body"/>
    <w:basedOn w:val="NormalJustified"/>
    <w:uiPriority w:val="54"/>
    <w:semiHidden/>
    <w:rsid w:val="00492DE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92DE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92DE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92DE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92DEC"/>
    <w:pPr>
      <w:jc w:val="right"/>
    </w:pPr>
    <w:rPr>
      <w:sz w:val="20"/>
    </w:rPr>
  </w:style>
  <w:style w:type="paragraph" w:customStyle="1" w:styleId="ECHRHeaderRefIt">
    <w:name w:val="ECHR_Header_Ref_It"/>
    <w:aliases w:val="_Ref_Ital"/>
    <w:basedOn w:val="Normal"/>
    <w:next w:val="ECHRHeaderDate"/>
    <w:uiPriority w:val="43"/>
    <w:qFormat/>
    <w:rsid w:val="00492DEC"/>
    <w:pPr>
      <w:jc w:val="right"/>
    </w:pPr>
    <w:rPr>
      <w:i/>
      <w:sz w:val="20"/>
    </w:rPr>
  </w:style>
  <w:style w:type="paragraph" w:customStyle="1" w:styleId="ECHRHeading9">
    <w:name w:val="ECHR_Heading_9"/>
    <w:aliases w:val="_Head_9"/>
    <w:basedOn w:val="Heading9"/>
    <w:uiPriority w:val="17"/>
    <w:semiHidden/>
    <w:rsid w:val="00492DEC"/>
    <w:pPr>
      <w:keepNext/>
      <w:keepLines/>
      <w:numPr>
        <w:ilvl w:val="8"/>
        <w:numId w:val="1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92DE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92DEC"/>
    <w:pPr>
      <w:numPr>
        <w:numId w:val="10"/>
      </w:numPr>
      <w:spacing w:before="60" w:after="60"/>
    </w:pPr>
  </w:style>
  <w:style w:type="paragraph" w:customStyle="1" w:styleId="ECHRNumberedList2">
    <w:name w:val="ECHR_Numbered_List_2"/>
    <w:aliases w:val="_Num_2"/>
    <w:basedOn w:val="ECHRNumberedList1"/>
    <w:uiPriority w:val="23"/>
    <w:semiHidden/>
    <w:rsid w:val="00492DEC"/>
    <w:pPr>
      <w:numPr>
        <w:ilvl w:val="1"/>
      </w:numPr>
    </w:pPr>
  </w:style>
  <w:style w:type="paragraph" w:customStyle="1" w:styleId="ECHRNumberedList3">
    <w:name w:val="ECHR_Numbered_List_3"/>
    <w:aliases w:val="_Num_3"/>
    <w:basedOn w:val="ECHRNumberedList2"/>
    <w:uiPriority w:val="23"/>
    <w:semiHidden/>
    <w:rsid w:val="00492DEC"/>
    <w:pPr>
      <w:numPr>
        <w:ilvl w:val="2"/>
      </w:numPr>
    </w:pPr>
  </w:style>
  <w:style w:type="paragraph" w:customStyle="1" w:styleId="ECHRParaHanging">
    <w:name w:val="ECHR_Para_Hanging"/>
    <w:aliases w:val="_Hanging"/>
    <w:basedOn w:val="NormalJustified"/>
    <w:uiPriority w:val="8"/>
    <w:semiHidden/>
    <w:qFormat/>
    <w:rsid w:val="00492DEC"/>
    <w:pPr>
      <w:ind w:left="567" w:hanging="567"/>
    </w:pPr>
  </w:style>
  <w:style w:type="paragraph" w:customStyle="1" w:styleId="ECHRParaIndent">
    <w:name w:val="ECHR_Para_Indent"/>
    <w:aliases w:val="_Indent"/>
    <w:basedOn w:val="NormalJustified"/>
    <w:uiPriority w:val="7"/>
    <w:semiHidden/>
    <w:qFormat/>
    <w:rsid w:val="00492DEC"/>
    <w:pPr>
      <w:spacing w:before="120" w:after="120"/>
      <w:ind w:left="284"/>
    </w:pPr>
  </w:style>
  <w:style w:type="character" w:customStyle="1" w:styleId="ECHRRed">
    <w:name w:val="ECHR_Red"/>
    <w:aliases w:val="_Red"/>
    <w:basedOn w:val="DefaultParagraphFont"/>
    <w:uiPriority w:val="15"/>
    <w:semiHidden/>
    <w:qFormat/>
    <w:rsid w:val="00492DEC"/>
    <w:rPr>
      <w:color w:val="C00000" w:themeColor="accent2"/>
    </w:rPr>
  </w:style>
  <w:style w:type="paragraph" w:customStyle="1" w:styleId="DecList">
    <w:name w:val="Dec_List"/>
    <w:aliases w:val="_List"/>
    <w:basedOn w:val="JuList"/>
    <w:uiPriority w:val="22"/>
    <w:rsid w:val="00492DEC"/>
    <w:pPr>
      <w:numPr>
        <w:numId w:val="0"/>
      </w:numPr>
      <w:ind w:left="284"/>
    </w:pPr>
  </w:style>
  <w:style w:type="table" w:customStyle="1" w:styleId="ECHRTable2">
    <w:name w:val="ECHR_Table_2"/>
    <w:basedOn w:val="TableNormal"/>
    <w:uiPriority w:val="99"/>
    <w:rsid w:val="00492DE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92DE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92DE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92DE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92DE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92DE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92DE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492DE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92DEC"/>
    <w:pPr>
      <w:outlineLvl w:val="0"/>
    </w:pPr>
  </w:style>
  <w:style w:type="paragraph" w:customStyle="1" w:styleId="ECHRTitleTOC1">
    <w:name w:val="ECHR_Title_TOC_1"/>
    <w:aliases w:val="_Title_L_TOC"/>
    <w:basedOn w:val="ECHRTitle1"/>
    <w:next w:val="Normal"/>
    <w:uiPriority w:val="27"/>
    <w:semiHidden/>
    <w:qFormat/>
    <w:rsid w:val="00492DEC"/>
    <w:pPr>
      <w:outlineLvl w:val="0"/>
    </w:pPr>
  </w:style>
  <w:style w:type="paragraph" w:customStyle="1" w:styleId="ECHRPlaceholder">
    <w:name w:val="ECHR_Placeholder"/>
    <w:aliases w:val="_Placeholder"/>
    <w:basedOn w:val="JuSigned"/>
    <w:uiPriority w:val="31"/>
    <w:rsid w:val="00492DEC"/>
    <w:rPr>
      <w:color w:val="FFFFFF"/>
    </w:rPr>
  </w:style>
  <w:style w:type="paragraph" w:customStyle="1" w:styleId="ECHRSpacer">
    <w:name w:val="ECHR_Spacer"/>
    <w:aliases w:val="_Spacer"/>
    <w:basedOn w:val="Normal"/>
    <w:uiPriority w:val="45"/>
    <w:semiHidden/>
    <w:rsid w:val="00492DEC"/>
    <w:rPr>
      <w:sz w:val="4"/>
    </w:rPr>
  </w:style>
  <w:style w:type="table" w:customStyle="1" w:styleId="ECHRTableGrey">
    <w:name w:val="ECHR_Table_Grey"/>
    <w:basedOn w:val="TableNormal"/>
    <w:uiPriority w:val="99"/>
    <w:rsid w:val="00492DE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492DEC"/>
    <w:rPr>
      <w:color w:val="605E5C"/>
      <w:shd w:val="clear" w:color="auto" w:fill="E1DFDD"/>
    </w:rPr>
  </w:style>
  <w:style w:type="character" w:customStyle="1" w:styleId="JuParaChar">
    <w:name w:val="Ju_Para Char"/>
    <w:aliases w:val="_Para Char"/>
    <w:link w:val="JuPara"/>
    <w:uiPriority w:val="4"/>
    <w:rsid w:val="008D3977"/>
    <w:rPr>
      <w:sz w:val="24"/>
      <w:szCs w:val="24"/>
      <w:lang w:val="en-GB"/>
    </w:rPr>
  </w:style>
  <w:style w:type="table" w:styleId="GridTable1Light">
    <w:name w:val="Grid Table 1 Light"/>
    <w:basedOn w:val="TableNormal"/>
    <w:uiPriority w:val="46"/>
    <w:semiHidden/>
    <w:rsid w:val="008D397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8D3977"/>
    <w:rPr>
      <w:smallCaps/>
    </w:rPr>
  </w:style>
  <w:style w:type="paragraph" w:customStyle="1" w:styleId="JuList4">
    <w:name w:val="Ju_List_4"/>
    <w:aliases w:val="N_Bul_4"/>
    <w:basedOn w:val="JuListi"/>
    <w:uiPriority w:val="19"/>
    <w:rsid w:val="008D397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D397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D397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D397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D397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D397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D397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D397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D397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D397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D397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D397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D397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D397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D39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D39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D39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D397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D39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D39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D39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D39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D39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D39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D397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D39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D39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D39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D39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D39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D39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D39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D39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D39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D39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D39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D397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D397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D397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D397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D397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D397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D39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D397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D397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D397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D397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D397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D397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D3977"/>
    <w:rPr>
      <w:color w:val="2B579A"/>
      <w:shd w:val="clear" w:color="auto" w:fill="E1DFDD"/>
    </w:rPr>
  </w:style>
  <w:style w:type="table" w:styleId="ListTable1Light">
    <w:name w:val="List Table 1 Light"/>
    <w:basedOn w:val="TableNormal"/>
    <w:uiPriority w:val="46"/>
    <w:semiHidden/>
    <w:rsid w:val="008D397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D397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D397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D397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D397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D397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D397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D397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D397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D397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D397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D397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D397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D397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D397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D397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D397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D397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D397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D397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D397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D39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D39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D39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D397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D39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D39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D39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D397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D397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D397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D397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D397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D397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D397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D397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D397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D397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D397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D397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D397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D397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D397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D397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D397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D397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D397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D397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D397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D3977"/>
    <w:rPr>
      <w:color w:val="2B579A"/>
      <w:shd w:val="clear" w:color="auto" w:fill="E1DFDD"/>
    </w:rPr>
  </w:style>
  <w:style w:type="table" w:styleId="PlainTable1">
    <w:name w:val="Plain Table 1"/>
    <w:basedOn w:val="TableNormal"/>
    <w:uiPriority w:val="41"/>
    <w:semiHidden/>
    <w:rsid w:val="008D397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D397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D397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D39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D397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D3977"/>
    <w:rPr>
      <w:u w:val="dotted"/>
    </w:rPr>
  </w:style>
  <w:style w:type="character" w:customStyle="1" w:styleId="SmartLink">
    <w:name w:val="Smart Link"/>
    <w:basedOn w:val="DefaultParagraphFont"/>
    <w:uiPriority w:val="99"/>
    <w:semiHidden/>
    <w:unhideWhenUsed/>
    <w:rsid w:val="008D3977"/>
    <w:rPr>
      <w:color w:val="0000FF"/>
      <w:u w:val="single"/>
      <w:shd w:val="clear" w:color="auto" w:fill="F3F2F1"/>
    </w:rPr>
  </w:style>
  <w:style w:type="table" w:styleId="TableGridLight">
    <w:name w:val="Grid Table Light"/>
    <w:basedOn w:val="TableNormal"/>
    <w:uiPriority w:val="40"/>
    <w:semiHidden/>
    <w:rsid w:val="008D397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basedOn w:val="DefaultParagraphFont"/>
    <w:link w:val="JuQuot"/>
    <w:uiPriority w:val="20"/>
    <w:rsid w:val="008D3977"/>
    <w:rPr>
      <w:sz w:val="20"/>
      <w:szCs w:val="24"/>
      <w:lang w:val="en-GB"/>
    </w:rPr>
  </w:style>
  <w:style w:type="paragraph" w:styleId="Revision">
    <w:name w:val="Revision"/>
    <w:hidden/>
    <w:uiPriority w:val="99"/>
    <w:semiHidden/>
    <w:rsid w:val="008D3977"/>
    <w:rPr>
      <w:sz w:val="24"/>
      <w:szCs w:val="24"/>
      <w:lang w:val="en-GB"/>
    </w:rPr>
  </w:style>
  <w:style w:type="paragraph" w:customStyle="1" w:styleId="jucase0">
    <w:name w:val="jucase"/>
    <w:basedOn w:val="Normal"/>
    <w:rsid w:val="00074ABB"/>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AC04F4"/>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33006404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5D62FC-1CEF-4208-BF03-CFAF487F5858}">
  <ds:schemaRefs>
    <ds:schemaRef ds:uri="http://schemas.openxmlformats.org/officeDocument/2006/bibliography"/>
  </ds:schemaRefs>
</ds:datastoreItem>
</file>

<file path=customXml/itemProps2.xml><?xml version="1.0" encoding="utf-8"?>
<ds:datastoreItem xmlns:ds="http://schemas.openxmlformats.org/officeDocument/2006/customXml" ds:itemID="{806CF7B6-FFB2-4CB8-BC41-DBB5A5940703}"/>
</file>

<file path=customXml/itemProps3.xml><?xml version="1.0" encoding="utf-8"?>
<ds:datastoreItem xmlns:ds="http://schemas.openxmlformats.org/officeDocument/2006/customXml" ds:itemID="{41689376-F680-4806-B2B7-7DBFABBA6351}"/>
</file>

<file path=customXml/itemProps4.xml><?xml version="1.0" encoding="utf-8"?>
<ds:datastoreItem xmlns:ds="http://schemas.openxmlformats.org/officeDocument/2006/customXml" ds:itemID="{10388059-3226-4DB4-B0D9-67263E44682B}"/>
</file>

<file path=docProps/app.xml><?xml version="1.0" encoding="utf-8"?>
<Properties xmlns="http://schemas.openxmlformats.org/officeDocument/2006/extended-properties" xmlns:vt="http://schemas.openxmlformats.org/officeDocument/2006/docPropsVTypes">
  <Template>Normal.dotm</Template>
  <TotalTime>0</TotalTime>
  <Pages>1</Pages>
  <Words>10992</Words>
  <Characters>62660</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2022-09-06T16:10:00Z</dcterms:created>
  <dcterms:modified xsi:type="dcterms:W3CDTF">2022-09-06T16:10:00Z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10613/10</vt:lpwstr>
  </property>
  <property fmtid="{D5CDD505-2E9C-101B-9397-08002B2CF9AE}" pid="4" name="CASEID">
    <vt:lpwstr>624688</vt:lpwstr>
  </property>
  <property fmtid="{D5CDD505-2E9C-101B-9397-08002B2CF9AE}" pid="5" name="ContentTypeId">
    <vt:lpwstr>0x010100558EB02BDB9E204AB350EDD385B68E10</vt:lpwstr>
  </property>
</Properties>
</file>