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517A2" w:rsidR="006544C4" w:rsidP="006517A2" w:rsidRDefault="00BE6E05" w14:paraId="23EEEC9C" w14:textId="716732EE">
      <w:pPr>
        <w:pStyle w:val="DecHTitle"/>
        <w:rPr>
          <w:sz w:val="4"/>
          <w:szCs w:val="4"/>
        </w:rPr>
      </w:pPr>
      <w:r w:rsidRPr="006517A2">
        <w:t>CINQUIÈME SECTION</w:t>
      </w:r>
    </w:p>
    <w:p w:rsidRPr="006517A2" w:rsidR="006544C4" w:rsidP="006517A2" w:rsidRDefault="006544C4" w14:paraId="1FF7E4D5" w14:textId="77777777">
      <w:pPr>
        <w:pStyle w:val="DecHTitle"/>
        <w:rPr>
          <w:caps/>
          <w:sz w:val="32"/>
        </w:rPr>
      </w:pPr>
      <w:r w:rsidRPr="006517A2">
        <w:t>DÉCISION</w:t>
      </w:r>
    </w:p>
    <w:p w:rsidRPr="006517A2" w:rsidR="006544C4" w:rsidP="006517A2" w:rsidRDefault="00BE6E05" w14:paraId="04126FC9" w14:textId="41371669">
      <w:pPr>
        <w:pStyle w:val="DecHCase"/>
      </w:pPr>
      <w:r w:rsidRPr="006517A2">
        <w:t>Requête n</w:t>
      </w:r>
      <w:r w:rsidRPr="006517A2">
        <w:rPr>
          <w:vertAlign w:val="superscript"/>
        </w:rPr>
        <w:t>o</w:t>
      </w:r>
      <w:r w:rsidRPr="006517A2" w:rsidR="006544C4">
        <w:t xml:space="preserve"> </w:t>
      </w:r>
      <w:r w:rsidRPr="006517A2" w:rsidR="00644F4B">
        <w:t>21119/19</w:t>
      </w:r>
      <w:r w:rsidRPr="006517A2" w:rsidR="006544C4">
        <w:br/>
      </w:r>
      <w:r w:rsidRPr="006517A2" w:rsidR="00644F4B">
        <w:t>Association des familles des victimes du JOOLA</w:t>
      </w:r>
      <w:r w:rsidRPr="006517A2">
        <w:br/>
      </w:r>
      <w:r w:rsidRPr="006517A2" w:rsidR="006544C4">
        <w:t xml:space="preserve">contre </w:t>
      </w:r>
      <w:r w:rsidRPr="006517A2">
        <w:t>la France</w:t>
      </w:r>
    </w:p>
    <w:p w:rsidRPr="006517A2" w:rsidR="00BE6E05" w:rsidP="006517A2" w:rsidRDefault="00BE6E05" w14:paraId="763A744E" w14:textId="409A2F27">
      <w:pPr>
        <w:pStyle w:val="JuPara"/>
      </w:pPr>
      <w:r w:rsidRPr="006517A2">
        <w:t>La Cour européenne des droits de l</w:t>
      </w:r>
      <w:r w:rsidRPr="006517A2" w:rsidR="006517A2">
        <w:t>’</w:t>
      </w:r>
      <w:r w:rsidRPr="006517A2">
        <w:t>homme (cinquième section), siégeant le</w:t>
      </w:r>
      <w:r w:rsidRPr="006517A2" w:rsidR="003B5F1A">
        <w:t xml:space="preserve"> 27 janvier 2022</w:t>
      </w:r>
      <w:r w:rsidRPr="006517A2">
        <w:t xml:space="preserve"> en un comité composé de :</w:t>
      </w:r>
    </w:p>
    <w:p w:rsidRPr="006517A2" w:rsidR="00BE6E05" w:rsidP="006517A2" w:rsidRDefault="003B5F1A" w14:paraId="3B8CB991" w14:textId="763312B4">
      <w:pPr>
        <w:pStyle w:val="JuJudges"/>
      </w:pPr>
      <w:r w:rsidRPr="006517A2">
        <w:tab/>
        <w:t xml:space="preserve">Stéphanie </w:t>
      </w:r>
      <w:proofErr w:type="spellStart"/>
      <w:r w:rsidRPr="006517A2">
        <w:t>Mourou-Vikström</w:t>
      </w:r>
      <w:proofErr w:type="spellEnd"/>
      <w:r w:rsidRPr="006517A2">
        <w:t>,</w:t>
      </w:r>
      <w:r w:rsidRPr="006517A2">
        <w:rPr>
          <w:i/>
        </w:rPr>
        <w:t xml:space="preserve"> présidente,</w:t>
      </w:r>
      <w:r w:rsidRPr="006517A2">
        <w:rPr>
          <w:i/>
        </w:rPr>
        <w:br/>
      </w:r>
      <w:r w:rsidRPr="006517A2">
        <w:tab/>
      </w:r>
      <w:proofErr w:type="spellStart"/>
      <w:r w:rsidRPr="006517A2">
        <w:t>Lado</w:t>
      </w:r>
      <w:proofErr w:type="spellEnd"/>
      <w:r w:rsidRPr="006517A2">
        <w:t xml:space="preserve"> </w:t>
      </w:r>
      <w:proofErr w:type="spellStart"/>
      <w:r w:rsidRPr="006517A2">
        <w:t>Chanturia</w:t>
      </w:r>
      <w:proofErr w:type="spellEnd"/>
      <w:r w:rsidRPr="006517A2">
        <w:t>,</w:t>
      </w:r>
      <w:r w:rsidRPr="006517A2">
        <w:rPr>
          <w:i/>
        </w:rPr>
        <w:br/>
      </w:r>
      <w:r w:rsidRPr="006517A2">
        <w:tab/>
      </w:r>
      <w:proofErr w:type="spellStart"/>
      <w:r w:rsidRPr="006517A2">
        <w:t>Arnfinn</w:t>
      </w:r>
      <w:proofErr w:type="spellEnd"/>
      <w:r w:rsidRPr="006517A2">
        <w:t xml:space="preserve"> </w:t>
      </w:r>
      <w:proofErr w:type="spellStart"/>
      <w:r w:rsidRPr="006517A2">
        <w:t>Bårdsen</w:t>
      </w:r>
      <w:proofErr w:type="spellEnd"/>
      <w:r w:rsidRPr="006517A2">
        <w:t>,</w:t>
      </w:r>
      <w:r w:rsidRPr="006517A2">
        <w:rPr>
          <w:i/>
        </w:rPr>
        <w:t xml:space="preserve"> juges,</w:t>
      </w:r>
    </w:p>
    <w:p w:rsidRPr="006517A2" w:rsidR="00BE6E05" w:rsidP="006517A2" w:rsidRDefault="00BE6E05" w14:paraId="20B7B270" w14:textId="77777777">
      <w:pPr>
        <w:pStyle w:val="JuPara"/>
        <w:ind w:firstLine="0"/>
      </w:pPr>
      <w:proofErr w:type="gramStart"/>
      <w:r w:rsidRPr="006517A2">
        <w:t>et</w:t>
      </w:r>
      <w:proofErr w:type="gramEnd"/>
      <w:r w:rsidRPr="006517A2">
        <w:t xml:space="preserve"> de Martina Keller, </w:t>
      </w:r>
      <w:r w:rsidRPr="006517A2">
        <w:rPr>
          <w:i/>
        </w:rPr>
        <w:t>greffière adjointe</w:t>
      </w:r>
      <w:r w:rsidRPr="006517A2">
        <w:rPr>
          <w:i/>
          <w:iCs/>
        </w:rPr>
        <w:t xml:space="preserve"> d</w:t>
      </w:r>
      <w:r w:rsidRPr="006517A2">
        <w:rPr>
          <w:i/>
        </w:rPr>
        <w:t>e section,</w:t>
      </w:r>
    </w:p>
    <w:p w:rsidRPr="006517A2" w:rsidR="00BE6E05" w:rsidP="006517A2" w:rsidRDefault="00BE6E05" w14:paraId="42454675" w14:textId="77777777">
      <w:pPr>
        <w:pStyle w:val="JuPara"/>
      </w:pPr>
      <w:r w:rsidRPr="006517A2">
        <w:t>Vu la requête susmentionnée introduite le 14 août 2019,</w:t>
      </w:r>
    </w:p>
    <w:p w:rsidRPr="006517A2" w:rsidR="00BE6E05" w:rsidP="006517A2" w:rsidRDefault="00BE6E05" w14:paraId="5F2ECCBA" w14:textId="77777777">
      <w:pPr>
        <w:pStyle w:val="JuPara"/>
        <w:rPr>
          <w:color w:val="000000"/>
        </w:rPr>
      </w:pPr>
      <w:r w:rsidRPr="006517A2">
        <w:t>Après en avoir délibéré, rend la décision suivante :</w:t>
      </w:r>
    </w:p>
    <w:p w:rsidRPr="006517A2" w:rsidR="00BE6E05" w:rsidP="006517A2" w:rsidRDefault="00BE6E05" w14:paraId="2170D1D1" w14:textId="0E5C5034">
      <w:pPr>
        <w:pStyle w:val="JuHHead"/>
      </w:pPr>
      <w:r w:rsidRPr="006517A2">
        <w:t>EN FAIT</w:t>
      </w:r>
    </w:p>
    <w:bookmarkStart w:name="_Hlk66109710" w:id="0"/>
    <w:p w:rsidRPr="006517A2" w:rsidR="00BE6E05" w:rsidP="006517A2" w:rsidRDefault="00BE6E05" w14:paraId="002DF507" w14:textId="7A89A89A">
      <w:pPr>
        <w:pStyle w:val="JuPara"/>
      </w:pPr>
      <w:r w:rsidRPr="006517A2">
        <w:fldChar w:fldCharType="begin"/>
      </w:r>
      <w:r w:rsidRPr="006517A2">
        <w:instrText xml:space="preserve"> SEQ level0 \*arabic \* MERGEFORMAT </w:instrText>
      </w:r>
      <w:r w:rsidRPr="006517A2">
        <w:fldChar w:fldCharType="separate"/>
      </w:r>
      <w:r w:rsidR="006517A2">
        <w:rPr>
          <w:noProof/>
        </w:rPr>
        <w:t>1</w:t>
      </w:r>
      <w:r w:rsidRPr="006517A2">
        <w:fldChar w:fldCharType="end"/>
      </w:r>
      <w:r w:rsidRPr="006517A2">
        <w:t>.  </w:t>
      </w:r>
      <w:r w:rsidRPr="006517A2">
        <w:rPr>
          <w:rFonts w:ascii="Times New Roman" w:hAnsi="Times New Roman" w:cs="Times New Roman"/>
        </w:rPr>
        <w:t>La requérante, l</w:t>
      </w:r>
      <w:r w:rsidRPr="006517A2" w:rsidR="006517A2">
        <w:rPr>
          <w:rFonts w:ascii="Times New Roman" w:hAnsi="Times New Roman" w:cs="Times New Roman"/>
        </w:rPr>
        <w:t>’</w:t>
      </w:r>
      <w:r w:rsidRPr="006517A2">
        <w:rPr>
          <w:rFonts w:ascii="Times New Roman" w:hAnsi="Times New Roman" w:cs="Times New Roman"/>
        </w:rPr>
        <w:t xml:space="preserve">Association des Familles des Victimes du </w:t>
      </w:r>
      <w:proofErr w:type="spellStart"/>
      <w:r w:rsidRPr="006517A2">
        <w:rPr>
          <w:rFonts w:ascii="Times New Roman" w:hAnsi="Times New Roman" w:cs="Times New Roman"/>
        </w:rPr>
        <w:t>Joola</w:t>
      </w:r>
      <w:proofErr w:type="spellEnd"/>
      <w:r w:rsidRPr="006517A2">
        <w:rPr>
          <w:rFonts w:ascii="Times New Roman" w:hAnsi="Times New Roman" w:cs="Times New Roman"/>
        </w:rPr>
        <w:t>, est une association régie par la loi française du 1</w:t>
      </w:r>
      <w:r w:rsidRPr="006517A2">
        <w:rPr>
          <w:rFonts w:ascii="Times New Roman" w:hAnsi="Times New Roman" w:cs="Times New Roman"/>
          <w:vertAlign w:val="superscript"/>
        </w:rPr>
        <w:t>er</w:t>
      </w:r>
      <w:r w:rsidRPr="006517A2">
        <w:rPr>
          <w:rFonts w:ascii="Times New Roman" w:hAnsi="Times New Roman" w:cs="Times New Roman"/>
        </w:rPr>
        <w:t xml:space="preserve"> juillet 1901 qui a son siège social à Saint-Arnoult-en-Yvelines. Elle est représentée par son président Alain </w:t>
      </w:r>
      <w:proofErr w:type="spellStart"/>
      <w:r w:rsidRPr="006517A2">
        <w:rPr>
          <w:rFonts w:ascii="Times New Roman" w:hAnsi="Times New Roman" w:cs="Times New Roman"/>
        </w:rPr>
        <w:t>Verschatse</w:t>
      </w:r>
      <w:proofErr w:type="spellEnd"/>
      <w:r w:rsidRPr="006517A2">
        <w:rPr>
          <w:rFonts w:ascii="Times New Roman" w:hAnsi="Times New Roman" w:cs="Times New Roman"/>
        </w:rPr>
        <w:t xml:space="preserve"> et, devant la Cour, par M</w:t>
      </w:r>
      <w:r w:rsidRPr="006517A2">
        <w:rPr>
          <w:rFonts w:ascii="Times New Roman" w:hAnsi="Times New Roman" w:cs="Times New Roman"/>
          <w:vertAlign w:val="superscript"/>
        </w:rPr>
        <w:t>e</w:t>
      </w:r>
      <w:r w:rsidRPr="006517A2">
        <w:rPr>
          <w:rFonts w:ascii="Times New Roman" w:hAnsi="Times New Roman" w:cs="Times New Roman"/>
        </w:rPr>
        <w:t xml:space="preserve"> L. </w:t>
      </w:r>
      <w:proofErr w:type="spellStart"/>
      <w:r w:rsidRPr="006517A2">
        <w:rPr>
          <w:rFonts w:ascii="Times New Roman" w:hAnsi="Times New Roman" w:cs="Times New Roman"/>
        </w:rPr>
        <w:t>Pettiti</w:t>
      </w:r>
      <w:proofErr w:type="spellEnd"/>
      <w:r w:rsidRPr="006517A2">
        <w:rPr>
          <w:rFonts w:ascii="Times New Roman" w:hAnsi="Times New Roman" w:cs="Times New Roman"/>
        </w:rPr>
        <w:t>, avocat exerçant à Paris.</w:t>
      </w:r>
    </w:p>
    <w:p w:rsidRPr="006517A2" w:rsidR="00BE6E05" w:rsidP="006517A2" w:rsidRDefault="00BE6E05" w14:paraId="7E1DC68F" w14:textId="305F4D6A">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 MERGEFORMAT </w:instrText>
      </w:r>
      <w:r w:rsidRPr="006517A2">
        <w:rPr>
          <w:rFonts w:ascii="Times New Roman" w:hAnsi="Times New Roman" w:cs="Times New Roman"/>
        </w:rPr>
        <w:fldChar w:fldCharType="separate"/>
      </w:r>
      <w:r w:rsidR="006517A2">
        <w:rPr>
          <w:rFonts w:ascii="Times New Roman" w:hAnsi="Times New Roman" w:cs="Times New Roman"/>
          <w:noProof/>
        </w:rPr>
        <w:t>2</w:t>
      </w:r>
      <w:r w:rsidRPr="006517A2">
        <w:rPr>
          <w:rFonts w:ascii="Times New Roman" w:hAnsi="Times New Roman" w:cs="Times New Roman"/>
        </w:rPr>
        <w:fldChar w:fldCharType="end"/>
      </w:r>
      <w:r w:rsidRPr="006517A2">
        <w:rPr>
          <w:rFonts w:ascii="Times New Roman" w:hAnsi="Times New Roman" w:cs="Times New Roman"/>
        </w:rPr>
        <w:t>.  L</w:t>
      </w:r>
      <w:r w:rsidRPr="006517A2" w:rsidR="006517A2">
        <w:rPr>
          <w:rFonts w:ascii="Times New Roman" w:hAnsi="Times New Roman" w:cs="Times New Roman"/>
        </w:rPr>
        <w:t>’</w:t>
      </w:r>
      <w:r w:rsidRPr="006517A2">
        <w:rPr>
          <w:rFonts w:ascii="Times New Roman" w:hAnsi="Times New Roman" w:cs="Times New Roman"/>
        </w:rPr>
        <w:t xml:space="preserve">Association fut créée le 26 mai 2007. Elle regroupe des hommes, des femmes, des enfants ayant perdu dans le naufrage du ferry sénégalais « Le </w:t>
      </w:r>
      <w:proofErr w:type="spellStart"/>
      <w:r w:rsidRPr="006517A2">
        <w:rPr>
          <w:rFonts w:ascii="Times New Roman" w:hAnsi="Times New Roman" w:cs="Times New Roman"/>
        </w:rPr>
        <w:t>Joola</w:t>
      </w:r>
      <w:proofErr w:type="spellEnd"/>
      <w:r w:rsidRPr="006517A2">
        <w:rPr>
          <w:rFonts w:ascii="Times New Roman" w:hAnsi="Times New Roman" w:cs="Times New Roman"/>
        </w:rPr>
        <w:t> » (ci-après le navire) un membre de leur famille ou un proche, et des victimes rescapées de cet accident. Elle a pour but, notamment, « d</w:t>
      </w:r>
      <w:r w:rsidRPr="006517A2" w:rsidR="006517A2">
        <w:rPr>
          <w:rFonts w:ascii="Times New Roman" w:hAnsi="Times New Roman" w:cs="Times New Roman"/>
        </w:rPr>
        <w:t>’</w:t>
      </w:r>
      <w:r w:rsidRPr="006517A2">
        <w:rPr>
          <w:rFonts w:ascii="Times New Roman" w:hAnsi="Times New Roman" w:cs="Times New Roman"/>
        </w:rPr>
        <w:t>obtenir tous renseignements et analyses sur les causes et circonstances de l</w:t>
      </w:r>
      <w:r w:rsidRPr="006517A2" w:rsidR="006517A2">
        <w:rPr>
          <w:rFonts w:ascii="Times New Roman" w:hAnsi="Times New Roman" w:cs="Times New Roman"/>
        </w:rPr>
        <w:t>’</w:t>
      </w:r>
      <w:r w:rsidRPr="006517A2">
        <w:rPr>
          <w:rFonts w:ascii="Times New Roman" w:hAnsi="Times New Roman" w:cs="Times New Roman"/>
        </w:rPr>
        <w:t>accident et sur les responsabilités engagées » ainsi que de « prendre l</w:t>
      </w:r>
      <w:r w:rsidRPr="006517A2" w:rsidR="006517A2">
        <w:rPr>
          <w:rFonts w:ascii="Times New Roman" w:hAnsi="Times New Roman" w:cs="Times New Roman"/>
        </w:rPr>
        <w:t>’</w:t>
      </w:r>
      <w:r w:rsidRPr="006517A2">
        <w:rPr>
          <w:rFonts w:ascii="Times New Roman" w:hAnsi="Times New Roman" w:cs="Times New Roman"/>
        </w:rPr>
        <w:t>initiative ou d</w:t>
      </w:r>
      <w:r w:rsidRPr="006517A2" w:rsidR="006517A2">
        <w:rPr>
          <w:rFonts w:ascii="Times New Roman" w:hAnsi="Times New Roman" w:cs="Times New Roman"/>
        </w:rPr>
        <w:t>’</w:t>
      </w:r>
      <w:r w:rsidRPr="006517A2">
        <w:rPr>
          <w:rFonts w:ascii="Times New Roman" w:hAnsi="Times New Roman" w:cs="Times New Roman"/>
        </w:rPr>
        <w:t>appuyer toute action judiciaire destinées à faire la lumière et à découvrir la vérité sur ces causes et responsabilités, de se constituer partie civile devant toute juridiction pour obtenir le prononcé des sanctions qui s</w:t>
      </w:r>
      <w:r w:rsidRPr="006517A2" w:rsidR="006517A2">
        <w:rPr>
          <w:rFonts w:ascii="Times New Roman" w:hAnsi="Times New Roman" w:cs="Times New Roman"/>
        </w:rPr>
        <w:t>’</w:t>
      </w:r>
      <w:r w:rsidRPr="006517A2">
        <w:rPr>
          <w:rFonts w:ascii="Times New Roman" w:hAnsi="Times New Roman" w:cs="Times New Roman"/>
        </w:rPr>
        <w:t>imposent, favoriser l</w:t>
      </w:r>
      <w:r w:rsidRPr="006517A2" w:rsidR="006517A2">
        <w:rPr>
          <w:rFonts w:ascii="Times New Roman" w:hAnsi="Times New Roman" w:cs="Times New Roman"/>
        </w:rPr>
        <w:t>’</w:t>
      </w:r>
      <w:r w:rsidRPr="006517A2">
        <w:rPr>
          <w:rFonts w:ascii="Times New Roman" w:hAnsi="Times New Roman" w:cs="Times New Roman"/>
        </w:rPr>
        <w:t>indemnisation intégrale des victimes et obtenir réparation du préjudice subi par les victimes et famille des victimes ou par l</w:t>
      </w:r>
      <w:r w:rsidRPr="006517A2" w:rsidR="006517A2">
        <w:rPr>
          <w:rFonts w:ascii="Times New Roman" w:hAnsi="Times New Roman" w:cs="Times New Roman"/>
        </w:rPr>
        <w:t>’</w:t>
      </w:r>
      <w:r w:rsidRPr="006517A2">
        <w:rPr>
          <w:rFonts w:ascii="Times New Roman" w:hAnsi="Times New Roman" w:cs="Times New Roman"/>
        </w:rPr>
        <w:t>association ».</w:t>
      </w:r>
    </w:p>
    <w:p w:rsidRPr="006517A2" w:rsidR="00BE6E05" w:rsidP="006517A2" w:rsidRDefault="00BE6E05" w14:paraId="575764EB" w14:textId="6B39F034">
      <w:pPr>
        <w:pStyle w:val="JuHA"/>
      </w:pPr>
      <w:bookmarkStart w:name="_Hlk66110597" w:id="1"/>
      <w:r w:rsidRPr="006517A2">
        <w:t>Les circonstances de l</w:t>
      </w:r>
      <w:r w:rsidRPr="006517A2" w:rsidR="006517A2">
        <w:t>’</w:t>
      </w:r>
      <w:r w:rsidRPr="006517A2">
        <w:t>espèce</w:t>
      </w:r>
    </w:p>
    <w:bookmarkEnd w:id="1"/>
    <w:p w:rsidRPr="006517A2" w:rsidR="00BE6E05" w:rsidP="006517A2" w:rsidRDefault="00BE6E05" w14:paraId="4EC77518" w14:textId="4A9408A0">
      <w:pPr>
        <w:pStyle w:val="JuPara"/>
      </w:pPr>
      <w:r w:rsidRPr="006517A2">
        <w:fldChar w:fldCharType="begin"/>
      </w:r>
      <w:r w:rsidRPr="006517A2">
        <w:instrText xml:space="preserve"> SEQ level0 \*arabic </w:instrText>
      </w:r>
      <w:r w:rsidRPr="006517A2">
        <w:fldChar w:fldCharType="separate"/>
      </w:r>
      <w:r w:rsidR="006517A2">
        <w:rPr>
          <w:noProof/>
        </w:rPr>
        <w:t>3</w:t>
      </w:r>
      <w:r w:rsidRPr="006517A2">
        <w:fldChar w:fldCharType="end"/>
      </w:r>
      <w:r w:rsidRPr="006517A2">
        <w:t>.  Les faits de la cause, tels qu</w:t>
      </w:r>
      <w:r w:rsidRPr="006517A2" w:rsidR="006517A2">
        <w:t>’</w:t>
      </w:r>
      <w:r w:rsidRPr="006517A2">
        <w:t>ils ont été exposés par la requérante, sont les suivants.</w:t>
      </w:r>
    </w:p>
    <w:p w:rsidRPr="006517A2" w:rsidR="00BE6E05" w:rsidP="006517A2" w:rsidRDefault="00BE6E05" w14:paraId="54E3FEDF" w14:textId="77777777">
      <w:pPr>
        <w:pStyle w:val="JuH1"/>
      </w:pPr>
      <w:r w:rsidRPr="006517A2">
        <w:t>Le naufrage du navire et la procédure judiciaire au Sénégal</w:t>
      </w:r>
    </w:p>
    <w:p w:rsidRPr="006517A2" w:rsidR="00BE6E05" w:rsidP="006517A2" w:rsidRDefault="00B64AFC" w14:paraId="49B59318" w14:textId="47AFE5EA">
      <w:pPr>
        <w:pStyle w:val="JuPara"/>
        <w:rPr>
          <w:rFonts w:ascii="Times New Roman" w:hAnsi="Times New Roman" w:cs="Times New Roman"/>
        </w:rPr>
      </w:pPr>
      <w:r>
        <w:rPr>
          <w:noProof/>
        </w:rPr>
        <w:fldChar w:fldCharType="begin"/>
      </w:r>
      <w:r>
        <w:rPr>
          <w:noProof/>
        </w:rPr>
        <w:instrText xml:space="preserve"> SEQ level0 \*arabic \* MERGEFORMAT </w:instrText>
      </w:r>
      <w:r>
        <w:rPr>
          <w:noProof/>
        </w:rPr>
        <w:fldChar w:fldCharType="separate"/>
      </w:r>
      <w:r w:rsidR="006517A2">
        <w:rPr>
          <w:noProof/>
        </w:rPr>
        <w:t>4</w:t>
      </w:r>
      <w:r>
        <w:rPr>
          <w:noProof/>
        </w:rPr>
        <w:fldChar w:fldCharType="end"/>
      </w:r>
      <w:r w:rsidRPr="006517A2" w:rsidR="00BE6E05">
        <w:t>.  </w:t>
      </w:r>
      <w:r w:rsidRPr="006517A2" w:rsidR="00BE6E05">
        <w:rPr>
          <w:rFonts w:ascii="Times New Roman" w:hAnsi="Times New Roman" w:cs="Times New Roman"/>
        </w:rPr>
        <w:t>En 1990, l</w:t>
      </w:r>
      <w:r w:rsidRPr="006517A2" w:rsidR="006517A2">
        <w:rPr>
          <w:rFonts w:ascii="Times New Roman" w:hAnsi="Times New Roman" w:cs="Times New Roman"/>
        </w:rPr>
        <w:t>’</w:t>
      </w:r>
      <w:r w:rsidRPr="006517A2" w:rsidR="00BE6E05">
        <w:rPr>
          <w:rFonts w:ascii="Times New Roman" w:hAnsi="Times New Roman" w:cs="Times New Roman"/>
        </w:rPr>
        <w:t>État sénégalais acquit le navire transbordeur à passagers, d</w:t>
      </w:r>
      <w:r w:rsidRPr="006517A2" w:rsidR="006517A2">
        <w:rPr>
          <w:rFonts w:ascii="Times New Roman" w:hAnsi="Times New Roman" w:cs="Times New Roman"/>
        </w:rPr>
        <w:t>’</w:t>
      </w:r>
      <w:r w:rsidRPr="006517A2" w:rsidR="00BE6E05">
        <w:rPr>
          <w:rFonts w:ascii="Times New Roman" w:hAnsi="Times New Roman" w:cs="Times New Roman"/>
        </w:rPr>
        <w:t>une capacité de 536 passagers, pour assurer une navigation entre la région enclavée de la Casamance et le reste du pays. À partir de 1993, plusieurs dysfonctionnements affectant la sécurité des passagers et des marchandises furent relevés.</w:t>
      </w:r>
    </w:p>
    <w:p w:rsidRPr="006517A2" w:rsidR="00BE6E05" w:rsidP="006517A2" w:rsidRDefault="00BE6E05" w14:paraId="55D8D0A4" w14:textId="73AD6F34">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5</w:t>
      </w:r>
      <w:r w:rsidRPr="006517A2">
        <w:rPr>
          <w:rFonts w:ascii="Times New Roman" w:hAnsi="Times New Roman" w:cs="Times New Roman"/>
        </w:rPr>
        <w:fldChar w:fldCharType="end"/>
      </w:r>
      <w:r w:rsidRPr="006517A2">
        <w:rPr>
          <w:rFonts w:ascii="Times New Roman" w:hAnsi="Times New Roman" w:cs="Times New Roman"/>
        </w:rPr>
        <w:t>.  Le 26 septembre 2002, le navire fit naufrage dans les eaux internationales au large de la République de Gambie : 1 863 des 1 928 passagers et hommes d</w:t>
      </w:r>
      <w:r w:rsidRPr="006517A2" w:rsidR="006517A2">
        <w:rPr>
          <w:rFonts w:ascii="Times New Roman" w:hAnsi="Times New Roman" w:cs="Times New Roman"/>
        </w:rPr>
        <w:t>’</w:t>
      </w:r>
      <w:r w:rsidRPr="006517A2">
        <w:rPr>
          <w:rFonts w:ascii="Times New Roman" w:hAnsi="Times New Roman" w:cs="Times New Roman"/>
        </w:rPr>
        <w:t>équipage embarqués trouvèrent la mort ou furent portés disparus, parmi lesquels plusieurs ressortissants français.</w:t>
      </w:r>
    </w:p>
    <w:p w:rsidRPr="006517A2" w:rsidR="00BE6E05" w:rsidP="006517A2" w:rsidRDefault="00BE6E05" w14:paraId="79C90402" w14:textId="58677718">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6</w:t>
      </w:r>
      <w:r w:rsidRPr="006517A2">
        <w:rPr>
          <w:rFonts w:ascii="Times New Roman" w:hAnsi="Times New Roman" w:cs="Times New Roman"/>
        </w:rPr>
        <w:fldChar w:fldCharType="end"/>
      </w:r>
      <w:r w:rsidRPr="006517A2">
        <w:rPr>
          <w:rFonts w:ascii="Times New Roman" w:hAnsi="Times New Roman" w:cs="Times New Roman"/>
        </w:rPr>
        <w:t>.  Les autorités sénégalaises ouvrirent une enquête judiciaire et instituèrent une commission d</w:t>
      </w:r>
      <w:r w:rsidRPr="006517A2" w:rsidR="006517A2">
        <w:rPr>
          <w:rFonts w:ascii="Times New Roman" w:hAnsi="Times New Roman" w:cs="Times New Roman"/>
        </w:rPr>
        <w:t>’</w:t>
      </w:r>
      <w:r w:rsidRPr="006517A2">
        <w:rPr>
          <w:rFonts w:ascii="Times New Roman" w:hAnsi="Times New Roman" w:cs="Times New Roman"/>
        </w:rPr>
        <w:t>enquête pour déterminer les causes du naufrage. Le 7 août 2003, le procureur général de Dakar conclut que l</w:t>
      </w:r>
      <w:r w:rsidRPr="006517A2" w:rsidR="006517A2">
        <w:rPr>
          <w:rFonts w:ascii="Times New Roman" w:hAnsi="Times New Roman" w:cs="Times New Roman"/>
        </w:rPr>
        <w:t>’</w:t>
      </w:r>
      <w:r w:rsidRPr="006517A2">
        <w:rPr>
          <w:rFonts w:ascii="Times New Roman" w:hAnsi="Times New Roman" w:cs="Times New Roman"/>
        </w:rPr>
        <w:t>unique responsable du naufrage était le capitaine du navire, présumé mort. Le dossier fut classé sans suite en raison de l</w:t>
      </w:r>
      <w:r w:rsidRPr="006517A2" w:rsidR="006517A2">
        <w:rPr>
          <w:rFonts w:ascii="Times New Roman" w:hAnsi="Times New Roman" w:cs="Times New Roman"/>
        </w:rPr>
        <w:t>’</w:t>
      </w:r>
      <w:r w:rsidRPr="006517A2">
        <w:rPr>
          <w:rFonts w:ascii="Times New Roman" w:hAnsi="Times New Roman" w:cs="Times New Roman"/>
        </w:rPr>
        <w:t>extinction de l</w:t>
      </w:r>
      <w:r w:rsidRPr="006517A2" w:rsidR="006517A2">
        <w:rPr>
          <w:rFonts w:ascii="Times New Roman" w:hAnsi="Times New Roman" w:cs="Times New Roman"/>
        </w:rPr>
        <w:t>’</w:t>
      </w:r>
      <w:r w:rsidRPr="006517A2">
        <w:rPr>
          <w:rFonts w:ascii="Times New Roman" w:hAnsi="Times New Roman" w:cs="Times New Roman"/>
        </w:rPr>
        <w:t>action publique.</w:t>
      </w:r>
    </w:p>
    <w:p w:rsidRPr="006517A2" w:rsidR="00BE6E05" w:rsidP="006517A2" w:rsidRDefault="00BE6E05" w14:paraId="2FABB82A" w14:textId="77777777">
      <w:pPr>
        <w:pStyle w:val="JuH1"/>
      </w:pPr>
      <w:r w:rsidRPr="006517A2">
        <w:t>La procédure pénale en France</w:t>
      </w:r>
    </w:p>
    <w:p w:rsidRPr="006517A2" w:rsidR="00BE6E05" w:rsidP="006517A2" w:rsidRDefault="00B64AFC" w14:paraId="69C4EB69" w14:textId="7FA89785">
      <w:pPr>
        <w:pStyle w:val="JuPara"/>
        <w:rPr>
          <w:rFonts w:ascii="Times New Roman" w:hAnsi="Times New Roman" w:cs="Times New Roman"/>
        </w:rPr>
      </w:pPr>
      <w:r>
        <w:rPr>
          <w:noProof/>
        </w:rPr>
        <w:fldChar w:fldCharType="begin"/>
      </w:r>
      <w:r>
        <w:rPr>
          <w:noProof/>
        </w:rPr>
        <w:instrText xml:space="preserve"> SEQ level0 \*arabic \* MERGEFORMAT </w:instrText>
      </w:r>
      <w:r>
        <w:rPr>
          <w:noProof/>
        </w:rPr>
        <w:fldChar w:fldCharType="separate"/>
      </w:r>
      <w:r w:rsidR="006517A2">
        <w:rPr>
          <w:noProof/>
        </w:rPr>
        <w:t>7</w:t>
      </w:r>
      <w:r>
        <w:rPr>
          <w:noProof/>
        </w:rPr>
        <w:fldChar w:fldCharType="end"/>
      </w:r>
      <w:r w:rsidRPr="006517A2" w:rsidR="00BE6E05">
        <w:t>.  </w:t>
      </w:r>
      <w:r w:rsidRPr="006517A2" w:rsidR="00BE6E05">
        <w:rPr>
          <w:rFonts w:ascii="Times New Roman" w:hAnsi="Times New Roman" w:cs="Times New Roman"/>
        </w:rPr>
        <w:t>L</w:t>
      </w:r>
      <w:r w:rsidRPr="006517A2" w:rsidR="006517A2">
        <w:rPr>
          <w:rFonts w:ascii="Times New Roman" w:hAnsi="Times New Roman" w:cs="Times New Roman"/>
        </w:rPr>
        <w:t>’</w:t>
      </w:r>
      <w:r w:rsidRPr="006517A2" w:rsidR="00BE6E05">
        <w:rPr>
          <w:rFonts w:ascii="Times New Roman" w:hAnsi="Times New Roman" w:cs="Times New Roman"/>
        </w:rPr>
        <w:t>unique survivant français ainsi que plusieurs ayant-droits des dix</w:t>
      </w:r>
      <w:r w:rsidRPr="006517A2" w:rsidR="00EF20CC">
        <w:rPr>
          <w:rFonts w:ascii="Times New Roman" w:hAnsi="Times New Roman" w:cs="Times New Roman"/>
        </w:rPr>
        <w:noBreakHyphen/>
      </w:r>
      <w:r w:rsidRPr="006517A2" w:rsidR="00BE6E05">
        <w:rPr>
          <w:rFonts w:ascii="Times New Roman" w:hAnsi="Times New Roman" w:cs="Times New Roman"/>
        </w:rPr>
        <w:t>huit victimes françaises décédées ou disparues au cours du naufrage déposèrent plainte sur le territoire français.</w:t>
      </w:r>
    </w:p>
    <w:p w:rsidRPr="006517A2" w:rsidR="00BE6E05" w:rsidP="006517A2" w:rsidRDefault="00BE6E05" w14:paraId="42881846" w14:textId="5895C7BB">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 MERGEFORMAT </w:instrText>
      </w:r>
      <w:r w:rsidRPr="006517A2">
        <w:rPr>
          <w:rFonts w:ascii="Times New Roman" w:hAnsi="Times New Roman" w:cs="Times New Roman"/>
        </w:rPr>
        <w:fldChar w:fldCharType="separate"/>
      </w:r>
      <w:r w:rsidR="006517A2">
        <w:rPr>
          <w:rFonts w:ascii="Times New Roman" w:hAnsi="Times New Roman" w:cs="Times New Roman"/>
          <w:noProof/>
        </w:rPr>
        <w:t>8</w:t>
      </w:r>
      <w:r w:rsidRPr="006517A2">
        <w:rPr>
          <w:rFonts w:ascii="Times New Roman" w:hAnsi="Times New Roman" w:cs="Times New Roman"/>
        </w:rPr>
        <w:fldChar w:fldCharType="end"/>
      </w:r>
      <w:r w:rsidRPr="006517A2">
        <w:rPr>
          <w:rFonts w:ascii="Times New Roman" w:hAnsi="Times New Roman" w:cs="Times New Roman"/>
        </w:rPr>
        <w:t>.  Le 1</w:t>
      </w:r>
      <w:r w:rsidRPr="006517A2">
        <w:rPr>
          <w:rFonts w:ascii="Times New Roman" w:hAnsi="Times New Roman" w:cs="Times New Roman"/>
          <w:vertAlign w:val="superscript"/>
        </w:rPr>
        <w:t>er</w:t>
      </w:r>
      <w:r w:rsidRPr="006517A2">
        <w:rPr>
          <w:rFonts w:ascii="Times New Roman" w:hAnsi="Times New Roman" w:cs="Times New Roman"/>
        </w:rPr>
        <w:t xml:space="preserve"> avril 2003, le procureur de la République d</w:t>
      </w:r>
      <w:r w:rsidRPr="006517A2" w:rsidR="006517A2">
        <w:rPr>
          <w:rFonts w:ascii="Times New Roman" w:hAnsi="Times New Roman" w:cs="Times New Roman"/>
        </w:rPr>
        <w:t>’</w:t>
      </w:r>
      <w:r w:rsidRPr="006517A2">
        <w:rPr>
          <w:rFonts w:ascii="Times New Roman" w:hAnsi="Times New Roman" w:cs="Times New Roman"/>
        </w:rPr>
        <w:t>Évry ouvrit une information judiciaire des chefs d</w:t>
      </w:r>
      <w:r w:rsidRPr="006517A2" w:rsidR="006517A2">
        <w:rPr>
          <w:rFonts w:ascii="Times New Roman" w:hAnsi="Times New Roman" w:cs="Times New Roman"/>
        </w:rPr>
        <w:t>’</w:t>
      </w:r>
      <w:r w:rsidRPr="006517A2">
        <w:rPr>
          <w:rFonts w:ascii="Times New Roman" w:hAnsi="Times New Roman" w:cs="Times New Roman"/>
        </w:rPr>
        <w:t>homicides et blessures involontaires par violation manifestement délibérée des règles de prudence ou de sécurité et défaut d</w:t>
      </w:r>
      <w:r w:rsidRPr="006517A2" w:rsidR="006517A2">
        <w:rPr>
          <w:rFonts w:ascii="Times New Roman" w:hAnsi="Times New Roman" w:cs="Times New Roman"/>
        </w:rPr>
        <w:t>’</w:t>
      </w:r>
      <w:r w:rsidRPr="006517A2">
        <w:rPr>
          <w:rFonts w:ascii="Times New Roman" w:hAnsi="Times New Roman" w:cs="Times New Roman"/>
        </w:rPr>
        <w:t>assistance à personne en péril sur le fondement des articles</w:t>
      </w:r>
      <w:r w:rsidRPr="006517A2" w:rsidR="001A7132">
        <w:rPr>
          <w:rFonts w:ascii="Times New Roman" w:hAnsi="Times New Roman" w:cs="Times New Roman"/>
        </w:rPr>
        <w:t> </w:t>
      </w:r>
      <w:r w:rsidRPr="006517A2">
        <w:rPr>
          <w:rFonts w:ascii="Times New Roman" w:hAnsi="Times New Roman" w:cs="Times New Roman"/>
        </w:rPr>
        <w:t>113-7 et 113-8 du code pénal, soit par le biais de la compétence personnelle passive (paragraphe 18 ci-dessous).</w:t>
      </w:r>
    </w:p>
    <w:p w:rsidRPr="006517A2" w:rsidR="00BE6E05" w:rsidP="006517A2" w:rsidRDefault="00BE6E05" w14:paraId="7A181C4E" w14:textId="7A005023">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9</w:t>
      </w:r>
      <w:r w:rsidRPr="006517A2">
        <w:rPr>
          <w:rFonts w:ascii="Times New Roman" w:hAnsi="Times New Roman" w:cs="Times New Roman"/>
        </w:rPr>
        <w:fldChar w:fldCharType="end"/>
      </w:r>
      <w:r w:rsidRPr="006517A2">
        <w:rPr>
          <w:rFonts w:ascii="Times New Roman" w:hAnsi="Times New Roman" w:cs="Times New Roman"/>
        </w:rPr>
        <w:t>.  Le juge d</w:t>
      </w:r>
      <w:r w:rsidRPr="006517A2" w:rsidR="006517A2">
        <w:rPr>
          <w:rFonts w:ascii="Times New Roman" w:hAnsi="Times New Roman" w:cs="Times New Roman"/>
        </w:rPr>
        <w:t>’</w:t>
      </w:r>
      <w:r w:rsidRPr="006517A2">
        <w:rPr>
          <w:rFonts w:ascii="Times New Roman" w:hAnsi="Times New Roman" w:cs="Times New Roman"/>
        </w:rPr>
        <w:t>instruction sollicita de nombreuses expertises, procéda à l</w:t>
      </w:r>
      <w:r w:rsidRPr="006517A2" w:rsidR="006517A2">
        <w:rPr>
          <w:rFonts w:ascii="Times New Roman" w:hAnsi="Times New Roman" w:cs="Times New Roman"/>
        </w:rPr>
        <w:t>’</w:t>
      </w:r>
      <w:r w:rsidRPr="006517A2">
        <w:rPr>
          <w:rFonts w:ascii="Times New Roman" w:hAnsi="Times New Roman" w:cs="Times New Roman"/>
        </w:rPr>
        <w:t>audition de plusieurs personnes et diligenta un nombre important d</w:t>
      </w:r>
      <w:r w:rsidRPr="006517A2" w:rsidR="006517A2">
        <w:rPr>
          <w:rFonts w:ascii="Times New Roman" w:hAnsi="Times New Roman" w:cs="Times New Roman"/>
        </w:rPr>
        <w:t>’</w:t>
      </w:r>
      <w:r w:rsidRPr="006517A2">
        <w:rPr>
          <w:rFonts w:ascii="Times New Roman" w:hAnsi="Times New Roman" w:cs="Times New Roman"/>
        </w:rPr>
        <w:t>investigations. En particulier, les enquêteurs procédèrent à la saisie des documents relatifs aux caractéristiques techniques du navire et aux contrôles effectués, exploitèrent les images prises par des médias français dans le port de départ et le port d</w:t>
      </w:r>
      <w:r w:rsidRPr="006517A2" w:rsidR="006517A2">
        <w:rPr>
          <w:rFonts w:ascii="Times New Roman" w:hAnsi="Times New Roman" w:cs="Times New Roman"/>
        </w:rPr>
        <w:t>’</w:t>
      </w:r>
      <w:r w:rsidRPr="006517A2">
        <w:rPr>
          <w:rFonts w:ascii="Times New Roman" w:hAnsi="Times New Roman" w:cs="Times New Roman"/>
        </w:rPr>
        <w:t>escale, entendirent de nombreux témoins et l</w:t>
      </w:r>
      <w:r w:rsidRPr="006517A2" w:rsidR="006517A2">
        <w:rPr>
          <w:rFonts w:ascii="Times New Roman" w:hAnsi="Times New Roman" w:cs="Times New Roman"/>
        </w:rPr>
        <w:t>’</w:t>
      </w:r>
      <w:r w:rsidRPr="006517A2">
        <w:rPr>
          <w:rFonts w:ascii="Times New Roman" w:hAnsi="Times New Roman" w:cs="Times New Roman"/>
        </w:rPr>
        <w:t>ensemble des techniciens et marins français intervenus sur le plan technique ou administratif sur le navire. Il fut également procédé à une expertise météorologique, à la saisie et à la déclassification de plusieurs documents concernant l</w:t>
      </w:r>
      <w:r w:rsidRPr="006517A2" w:rsidR="006517A2">
        <w:rPr>
          <w:rFonts w:ascii="Times New Roman" w:hAnsi="Times New Roman" w:cs="Times New Roman"/>
        </w:rPr>
        <w:t>’</w:t>
      </w:r>
      <w:r w:rsidRPr="006517A2">
        <w:rPr>
          <w:rFonts w:ascii="Times New Roman" w:hAnsi="Times New Roman" w:cs="Times New Roman"/>
        </w:rPr>
        <w:t>intervention des forces françaises après le naufrage et le déploiement des secours. Des plongeurs purent examiner l</w:t>
      </w:r>
      <w:r w:rsidRPr="006517A2" w:rsidR="006517A2">
        <w:rPr>
          <w:rFonts w:ascii="Times New Roman" w:hAnsi="Times New Roman" w:cs="Times New Roman"/>
        </w:rPr>
        <w:t>’</w:t>
      </w:r>
      <w:r w:rsidRPr="006517A2">
        <w:rPr>
          <w:rFonts w:ascii="Times New Roman" w:hAnsi="Times New Roman" w:cs="Times New Roman"/>
        </w:rPr>
        <w:t>épave du navire.</w:t>
      </w:r>
    </w:p>
    <w:p w:rsidRPr="006517A2" w:rsidR="00BE6E05" w:rsidP="006517A2" w:rsidRDefault="00BE6E05" w14:paraId="0A02C53D" w14:textId="417E2993">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10</w:t>
      </w:r>
      <w:r w:rsidRPr="006517A2">
        <w:rPr>
          <w:rFonts w:ascii="Times New Roman" w:hAnsi="Times New Roman" w:cs="Times New Roman"/>
        </w:rPr>
        <w:fldChar w:fldCharType="end"/>
      </w:r>
      <w:r w:rsidRPr="006517A2">
        <w:rPr>
          <w:rFonts w:ascii="Times New Roman" w:hAnsi="Times New Roman" w:cs="Times New Roman"/>
        </w:rPr>
        <w:t>.  Plusieurs demandes d</w:t>
      </w:r>
      <w:r w:rsidRPr="006517A2" w:rsidR="006517A2">
        <w:rPr>
          <w:rFonts w:ascii="Times New Roman" w:hAnsi="Times New Roman" w:cs="Times New Roman"/>
        </w:rPr>
        <w:t>’</w:t>
      </w:r>
      <w:r w:rsidRPr="006517A2">
        <w:rPr>
          <w:rFonts w:ascii="Times New Roman" w:hAnsi="Times New Roman" w:cs="Times New Roman"/>
        </w:rPr>
        <w:t>entraide judiciaire internationale furent adressées aux autorités sénégalaises, gambiennes, néerlandaises et allemandes. Elles permirent notamment de recueillir l</w:t>
      </w:r>
      <w:r w:rsidRPr="006517A2" w:rsidR="006517A2">
        <w:rPr>
          <w:rFonts w:ascii="Times New Roman" w:hAnsi="Times New Roman" w:cs="Times New Roman"/>
        </w:rPr>
        <w:t>’</w:t>
      </w:r>
      <w:r w:rsidRPr="006517A2">
        <w:rPr>
          <w:rFonts w:ascii="Times New Roman" w:hAnsi="Times New Roman" w:cs="Times New Roman"/>
        </w:rPr>
        <w:t>intégralité de la procédure d</w:t>
      </w:r>
      <w:r w:rsidRPr="006517A2" w:rsidR="006517A2">
        <w:rPr>
          <w:rFonts w:ascii="Times New Roman" w:hAnsi="Times New Roman" w:cs="Times New Roman"/>
        </w:rPr>
        <w:t>’</w:t>
      </w:r>
      <w:r w:rsidRPr="006517A2">
        <w:rPr>
          <w:rFonts w:ascii="Times New Roman" w:hAnsi="Times New Roman" w:cs="Times New Roman"/>
        </w:rPr>
        <w:t>enquête judiciaire menée au Sénégal, le rapport de la commission d</w:t>
      </w:r>
      <w:r w:rsidRPr="006517A2" w:rsidR="006517A2">
        <w:rPr>
          <w:rFonts w:ascii="Times New Roman" w:hAnsi="Times New Roman" w:cs="Times New Roman"/>
        </w:rPr>
        <w:t>’</w:t>
      </w:r>
      <w:r w:rsidRPr="006517A2">
        <w:rPr>
          <w:rFonts w:ascii="Times New Roman" w:hAnsi="Times New Roman" w:cs="Times New Roman"/>
        </w:rPr>
        <w:t>enquête technique sénégalaise et le rapport préliminaire de la commission d</w:t>
      </w:r>
      <w:r w:rsidRPr="006517A2" w:rsidR="006517A2">
        <w:rPr>
          <w:rFonts w:ascii="Times New Roman" w:hAnsi="Times New Roman" w:cs="Times New Roman"/>
        </w:rPr>
        <w:t>’</w:t>
      </w:r>
      <w:r w:rsidRPr="006517A2">
        <w:rPr>
          <w:rFonts w:ascii="Times New Roman" w:hAnsi="Times New Roman" w:cs="Times New Roman"/>
        </w:rPr>
        <w:t>enquête maritime du ministère de l</w:t>
      </w:r>
      <w:r w:rsidRPr="006517A2" w:rsidR="006517A2">
        <w:rPr>
          <w:rFonts w:ascii="Times New Roman" w:hAnsi="Times New Roman" w:cs="Times New Roman"/>
        </w:rPr>
        <w:t>’</w:t>
      </w:r>
      <w:r w:rsidRPr="006517A2">
        <w:rPr>
          <w:rFonts w:ascii="Times New Roman" w:hAnsi="Times New Roman" w:cs="Times New Roman"/>
        </w:rPr>
        <w:t>Équipement et des Transports.</w:t>
      </w:r>
    </w:p>
    <w:p w:rsidRPr="006517A2" w:rsidR="00BE6E05" w:rsidP="006517A2" w:rsidRDefault="00BE6E05" w14:paraId="27557407" w14:textId="36049621">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11</w:t>
      </w:r>
      <w:r w:rsidRPr="006517A2">
        <w:rPr>
          <w:rFonts w:ascii="Times New Roman" w:hAnsi="Times New Roman" w:cs="Times New Roman"/>
        </w:rPr>
        <w:fldChar w:fldCharType="end"/>
      </w:r>
      <w:r w:rsidRPr="006517A2">
        <w:rPr>
          <w:rFonts w:ascii="Times New Roman" w:hAnsi="Times New Roman" w:cs="Times New Roman"/>
        </w:rPr>
        <w:t>.  Les expertises révélèrent que le navire accusait déjà une gîte marquée au départ du port de Ziguinchor, qu</w:t>
      </w:r>
      <w:r w:rsidRPr="006517A2" w:rsidR="006517A2">
        <w:rPr>
          <w:rFonts w:ascii="Times New Roman" w:hAnsi="Times New Roman" w:cs="Times New Roman"/>
        </w:rPr>
        <w:t>’</w:t>
      </w:r>
      <w:r w:rsidRPr="006517A2">
        <w:rPr>
          <w:rFonts w:ascii="Times New Roman" w:hAnsi="Times New Roman" w:cs="Times New Roman"/>
        </w:rPr>
        <w:t xml:space="preserve">il était surchargé avec près de 2 000 passagers à bord et que les portes de la </w:t>
      </w:r>
      <w:proofErr w:type="spellStart"/>
      <w:r w:rsidRPr="006517A2">
        <w:rPr>
          <w:rFonts w:ascii="Times New Roman" w:hAnsi="Times New Roman" w:cs="Times New Roman"/>
        </w:rPr>
        <w:t>soute</w:t>
      </w:r>
      <w:proofErr w:type="spellEnd"/>
      <w:r w:rsidRPr="006517A2">
        <w:rPr>
          <w:rFonts w:ascii="Times New Roman" w:hAnsi="Times New Roman" w:cs="Times New Roman"/>
        </w:rPr>
        <w:t xml:space="preserve"> avaient été ouvertes, accélérant son engloutissement. Les experts notèrent également que le navire ne communiquait pas régulièrement avec le centre de coordination des opérations et qu</w:t>
      </w:r>
      <w:r w:rsidRPr="006517A2" w:rsidR="006517A2">
        <w:rPr>
          <w:rFonts w:ascii="Times New Roman" w:hAnsi="Times New Roman" w:cs="Times New Roman"/>
        </w:rPr>
        <w:t>’</w:t>
      </w:r>
      <w:r w:rsidRPr="006517A2">
        <w:rPr>
          <w:rFonts w:ascii="Times New Roman" w:hAnsi="Times New Roman" w:cs="Times New Roman"/>
        </w:rPr>
        <w:t>il n</w:t>
      </w:r>
      <w:r w:rsidRPr="006517A2" w:rsidR="006517A2">
        <w:rPr>
          <w:rFonts w:ascii="Times New Roman" w:hAnsi="Times New Roman" w:cs="Times New Roman"/>
        </w:rPr>
        <w:t>’</w:t>
      </w:r>
      <w:r w:rsidRPr="006517A2">
        <w:rPr>
          <w:rFonts w:ascii="Times New Roman" w:hAnsi="Times New Roman" w:cs="Times New Roman"/>
        </w:rPr>
        <w:t>était pas équipé de système de détresse et de sécurité en mer ni d</w:t>
      </w:r>
      <w:r w:rsidRPr="006517A2" w:rsidR="006517A2">
        <w:rPr>
          <w:rFonts w:ascii="Times New Roman" w:hAnsi="Times New Roman" w:cs="Times New Roman"/>
        </w:rPr>
        <w:t>’</w:t>
      </w:r>
      <w:r w:rsidRPr="006517A2">
        <w:rPr>
          <w:rFonts w:ascii="Times New Roman" w:hAnsi="Times New Roman" w:cs="Times New Roman"/>
        </w:rPr>
        <w:t>un dispositif permettant de recevoir des renseignements météorologiques. Il ne disposait pas non plus d</w:t>
      </w:r>
      <w:r w:rsidRPr="006517A2" w:rsidR="006517A2">
        <w:rPr>
          <w:rFonts w:ascii="Times New Roman" w:hAnsi="Times New Roman" w:cs="Times New Roman"/>
        </w:rPr>
        <w:t>’</w:t>
      </w:r>
      <w:r w:rsidRPr="006517A2">
        <w:rPr>
          <w:rFonts w:ascii="Times New Roman" w:hAnsi="Times New Roman" w:cs="Times New Roman"/>
        </w:rPr>
        <w:t>un système d</w:t>
      </w:r>
      <w:r w:rsidRPr="006517A2" w:rsidR="006517A2">
        <w:rPr>
          <w:rFonts w:ascii="Times New Roman" w:hAnsi="Times New Roman" w:cs="Times New Roman"/>
        </w:rPr>
        <w:t>’</w:t>
      </w:r>
      <w:r w:rsidRPr="006517A2">
        <w:rPr>
          <w:rFonts w:ascii="Times New Roman" w:hAnsi="Times New Roman" w:cs="Times New Roman"/>
        </w:rPr>
        <w:t>aide à la décision pour le capitaine et l</w:t>
      </w:r>
      <w:r w:rsidRPr="006517A2" w:rsidR="006517A2">
        <w:rPr>
          <w:rFonts w:ascii="Times New Roman" w:hAnsi="Times New Roman" w:cs="Times New Roman"/>
        </w:rPr>
        <w:t>’</w:t>
      </w:r>
      <w:r w:rsidRPr="006517A2">
        <w:rPr>
          <w:rFonts w:ascii="Times New Roman" w:hAnsi="Times New Roman" w:cs="Times New Roman"/>
        </w:rPr>
        <w:t>équipage n</w:t>
      </w:r>
      <w:r w:rsidRPr="006517A2" w:rsidR="006517A2">
        <w:rPr>
          <w:rFonts w:ascii="Times New Roman" w:hAnsi="Times New Roman" w:cs="Times New Roman"/>
        </w:rPr>
        <w:t>’</w:t>
      </w:r>
      <w:r w:rsidRPr="006517A2">
        <w:rPr>
          <w:rFonts w:ascii="Times New Roman" w:hAnsi="Times New Roman" w:cs="Times New Roman"/>
        </w:rPr>
        <w:t>avait pas été formé aux décisions à prendre en cas de naufrage. Elles conclurent que, malgré la force du vent et des vagues cette nuit-là, la météo ne pouvait pas être l</w:t>
      </w:r>
      <w:r w:rsidRPr="006517A2" w:rsidR="006517A2">
        <w:rPr>
          <w:rFonts w:ascii="Times New Roman" w:hAnsi="Times New Roman" w:cs="Times New Roman"/>
        </w:rPr>
        <w:t>’</w:t>
      </w:r>
      <w:r w:rsidRPr="006517A2">
        <w:rPr>
          <w:rFonts w:ascii="Times New Roman" w:hAnsi="Times New Roman" w:cs="Times New Roman"/>
        </w:rPr>
        <w:t>unique cause du naufrage.</w:t>
      </w:r>
    </w:p>
    <w:p w:rsidRPr="006517A2" w:rsidR="00BE6E05" w:rsidP="006517A2" w:rsidRDefault="00BE6E05" w14:paraId="1450F33B" w14:textId="5FFFAC55">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12</w:t>
      </w:r>
      <w:r w:rsidRPr="006517A2">
        <w:rPr>
          <w:rFonts w:ascii="Times New Roman" w:hAnsi="Times New Roman" w:cs="Times New Roman"/>
        </w:rPr>
        <w:fldChar w:fldCharType="end"/>
      </w:r>
      <w:r w:rsidRPr="006517A2">
        <w:rPr>
          <w:rFonts w:ascii="Times New Roman" w:hAnsi="Times New Roman" w:cs="Times New Roman"/>
        </w:rPr>
        <w:t>.  En 2008, le juge d</w:t>
      </w:r>
      <w:r w:rsidRPr="006517A2" w:rsidR="006517A2">
        <w:rPr>
          <w:rFonts w:ascii="Times New Roman" w:hAnsi="Times New Roman" w:cs="Times New Roman"/>
        </w:rPr>
        <w:t>’</w:t>
      </w:r>
      <w:r w:rsidRPr="006517A2">
        <w:rPr>
          <w:rFonts w:ascii="Times New Roman" w:hAnsi="Times New Roman" w:cs="Times New Roman"/>
        </w:rPr>
        <w:t>instruction décerna neuf mandats d</w:t>
      </w:r>
      <w:r w:rsidRPr="006517A2" w:rsidR="006517A2">
        <w:rPr>
          <w:rFonts w:ascii="Times New Roman" w:hAnsi="Times New Roman" w:cs="Times New Roman"/>
        </w:rPr>
        <w:t>’</w:t>
      </w:r>
      <w:r w:rsidRPr="006517A2">
        <w:rPr>
          <w:rFonts w:ascii="Times New Roman" w:hAnsi="Times New Roman" w:cs="Times New Roman"/>
        </w:rPr>
        <w:t>arrêts à diffusion internationale contre plusieurs dirigeants sénégalais de l</w:t>
      </w:r>
      <w:r w:rsidRPr="006517A2" w:rsidR="006517A2">
        <w:rPr>
          <w:rFonts w:ascii="Times New Roman" w:hAnsi="Times New Roman" w:cs="Times New Roman"/>
        </w:rPr>
        <w:t>’</w:t>
      </w:r>
      <w:r w:rsidRPr="006517A2">
        <w:rPr>
          <w:rFonts w:ascii="Times New Roman" w:hAnsi="Times New Roman" w:cs="Times New Roman"/>
        </w:rPr>
        <w:t>époque du naufrage dont le Premier ministre, le ministre des Forces Armées, le chef d</w:t>
      </w:r>
      <w:r w:rsidRPr="006517A2" w:rsidR="006517A2">
        <w:rPr>
          <w:rFonts w:ascii="Times New Roman" w:hAnsi="Times New Roman" w:cs="Times New Roman"/>
        </w:rPr>
        <w:t>’</w:t>
      </w:r>
      <w:r w:rsidRPr="006517A2">
        <w:rPr>
          <w:rFonts w:ascii="Times New Roman" w:hAnsi="Times New Roman" w:cs="Times New Roman"/>
        </w:rPr>
        <w:t>état-major général des armées, le chef d</w:t>
      </w:r>
      <w:r w:rsidRPr="006517A2" w:rsidR="006517A2">
        <w:rPr>
          <w:rFonts w:ascii="Times New Roman" w:hAnsi="Times New Roman" w:cs="Times New Roman"/>
        </w:rPr>
        <w:t>’</w:t>
      </w:r>
      <w:r w:rsidRPr="006517A2">
        <w:rPr>
          <w:rFonts w:ascii="Times New Roman" w:hAnsi="Times New Roman" w:cs="Times New Roman"/>
        </w:rPr>
        <w:t>état-major de la marine, le chef d</w:t>
      </w:r>
      <w:r w:rsidRPr="006517A2" w:rsidR="006517A2">
        <w:rPr>
          <w:rFonts w:ascii="Times New Roman" w:hAnsi="Times New Roman" w:cs="Times New Roman"/>
        </w:rPr>
        <w:t>’</w:t>
      </w:r>
      <w:r w:rsidRPr="006517A2">
        <w:rPr>
          <w:rFonts w:ascii="Times New Roman" w:hAnsi="Times New Roman" w:cs="Times New Roman"/>
        </w:rPr>
        <w:t>état-major de l</w:t>
      </w:r>
      <w:r w:rsidRPr="006517A2" w:rsidR="006517A2">
        <w:rPr>
          <w:rFonts w:ascii="Times New Roman" w:hAnsi="Times New Roman" w:cs="Times New Roman"/>
        </w:rPr>
        <w:t>’</w:t>
      </w:r>
      <w:r w:rsidRPr="006517A2">
        <w:rPr>
          <w:rFonts w:ascii="Times New Roman" w:hAnsi="Times New Roman" w:cs="Times New Roman"/>
        </w:rPr>
        <w:t>Armée de l</w:t>
      </w:r>
      <w:r w:rsidRPr="006517A2" w:rsidR="006517A2">
        <w:rPr>
          <w:rFonts w:ascii="Times New Roman" w:hAnsi="Times New Roman" w:cs="Times New Roman"/>
        </w:rPr>
        <w:t>’</w:t>
      </w:r>
      <w:r w:rsidRPr="006517A2">
        <w:rPr>
          <w:rFonts w:ascii="Times New Roman" w:hAnsi="Times New Roman" w:cs="Times New Roman"/>
        </w:rPr>
        <w:t>air, le ministre de l</w:t>
      </w:r>
      <w:r w:rsidRPr="006517A2" w:rsidR="006517A2">
        <w:rPr>
          <w:rFonts w:ascii="Times New Roman" w:hAnsi="Times New Roman" w:cs="Times New Roman"/>
        </w:rPr>
        <w:t>’</w:t>
      </w:r>
      <w:r w:rsidRPr="006517A2">
        <w:rPr>
          <w:rFonts w:ascii="Times New Roman" w:hAnsi="Times New Roman" w:cs="Times New Roman"/>
        </w:rPr>
        <w:t>Équipement et des Transports, le directeur de la marine marchande, le chef du Bureau de la sécurité maritime à la Direction de la marine marchande et le chef d</w:t>
      </w:r>
      <w:r w:rsidRPr="006517A2" w:rsidR="006517A2">
        <w:rPr>
          <w:rFonts w:ascii="Times New Roman" w:hAnsi="Times New Roman" w:cs="Times New Roman"/>
        </w:rPr>
        <w:t>’</w:t>
      </w:r>
      <w:r w:rsidRPr="006517A2">
        <w:rPr>
          <w:rFonts w:ascii="Times New Roman" w:hAnsi="Times New Roman" w:cs="Times New Roman"/>
        </w:rPr>
        <w:t>exploitation du navire. Deux de ces mandats (Premier ministre et ministre des Forces Armées) furent annulés par la Cour de cassation, en janvier 2010, en application de l</w:t>
      </w:r>
      <w:r w:rsidRPr="006517A2" w:rsidR="006517A2">
        <w:rPr>
          <w:rFonts w:ascii="Times New Roman" w:hAnsi="Times New Roman" w:cs="Times New Roman"/>
        </w:rPr>
        <w:t>’</w:t>
      </w:r>
      <w:r w:rsidRPr="006517A2">
        <w:rPr>
          <w:rFonts w:ascii="Times New Roman" w:hAnsi="Times New Roman" w:cs="Times New Roman"/>
        </w:rPr>
        <w:t>immunité de juridiction de l</w:t>
      </w:r>
      <w:r w:rsidRPr="006517A2" w:rsidR="006517A2">
        <w:rPr>
          <w:rFonts w:ascii="Times New Roman" w:hAnsi="Times New Roman" w:cs="Times New Roman"/>
        </w:rPr>
        <w:t>’</w:t>
      </w:r>
      <w:r w:rsidRPr="006517A2">
        <w:rPr>
          <w:rFonts w:ascii="Times New Roman" w:hAnsi="Times New Roman" w:cs="Times New Roman"/>
        </w:rPr>
        <w:t>État étranger.</w:t>
      </w:r>
    </w:p>
    <w:p w:rsidRPr="006517A2" w:rsidR="00BE6E05" w:rsidP="006517A2" w:rsidRDefault="00BE6E05" w14:paraId="008FEB3D" w14:textId="559F4DF3">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13</w:t>
      </w:r>
      <w:r w:rsidRPr="006517A2">
        <w:rPr>
          <w:rFonts w:ascii="Times New Roman" w:hAnsi="Times New Roman" w:cs="Times New Roman"/>
        </w:rPr>
        <w:fldChar w:fldCharType="end"/>
      </w:r>
      <w:r w:rsidRPr="006517A2">
        <w:rPr>
          <w:rFonts w:ascii="Times New Roman" w:hAnsi="Times New Roman" w:cs="Times New Roman"/>
        </w:rPr>
        <w:t>.  À l</w:t>
      </w:r>
      <w:r w:rsidRPr="006517A2" w:rsidR="006517A2">
        <w:rPr>
          <w:rFonts w:ascii="Times New Roman" w:hAnsi="Times New Roman" w:cs="Times New Roman"/>
        </w:rPr>
        <w:t>’</w:t>
      </w:r>
      <w:r w:rsidRPr="006517A2">
        <w:rPr>
          <w:rFonts w:ascii="Times New Roman" w:hAnsi="Times New Roman" w:cs="Times New Roman"/>
        </w:rPr>
        <w:t>issue de cette décision, sept mandats d</w:t>
      </w:r>
      <w:r w:rsidRPr="006517A2" w:rsidR="006517A2">
        <w:rPr>
          <w:rFonts w:ascii="Times New Roman" w:hAnsi="Times New Roman" w:cs="Times New Roman"/>
        </w:rPr>
        <w:t>’</w:t>
      </w:r>
      <w:r w:rsidRPr="006517A2">
        <w:rPr>
          <w:rFonts w:ascii="Times New Roman" w:hAnsi="Times New Roman" w:cs="Times New Roman"/>
        </w:rPr>
        <w:t>arrêts demeuraient concernant les personnes précitées et l</w:t>
      </w:r>
      <w:r w:rsidRPr="006517A2" w:rsidR="006517A2">
        <w:rPr>
          <w:rFonts w:ascii="Times New Roman" w:hAnsi="Times New Roman" w:cs="Times New Roman"/>
        </w:rPr>
        <w:t>’</w:t>
      </w:r>
      <w:r w:rsidRPr="006517A2">
        <w:rPr>
          <w:rFonts w:ascii="Times New Roman" w:hAnsi="Times New Roman" w:cs="Times New Roman"/>
        </w:rPr>
        <w:t>une d</w:t>
      </w:r>
      <w:r w:rsidRPr="006517A2" w:rsidR="006517A2">
        <w:rPr>
          <w:rFonts w:ascii="Times New Roman" w:hAnsi="Times New Roman" w:cs="Times New Roman"/>
        </w:rPr>
        <w:t>’</w:t>
      </w:r>
      <w:r w:rsidRPr="006517A2">
        <w:rPr>
          <w:rFonts w:ascii="Times New Roman" w:hAnsi="Times New Roman" w:cs="Times New Roman"/>
        </w:rPr>
        <w:t>entre elles fut interpellée et mise en examen. Postérieurement à la notification aux parties d</w:t>
      </w:r>
      <w:r w:rsidRPr="006517A2" w:rsidR="006517A2">
        <w:rPr>
          <w:rFonts w:ascii="Times New Roman" w:hAnsi="Times New Roman" w:cs="Times New Roman"/>
        </w:rPr>
        <w:t>’</w:t>
      </w:r>
      <w:r w:rsidRPr="006517A2">
        <w:rPr>
          <w:rFonts w:ascii="Times New Roman" w:hAnsi="Times New Roman" w:cs="Times New Roman"/>
        </w:rPr>
        <w:t>un avis de fin d</w:t>
      </w:r>
      <w:r w:rsidRPr="006517A2" w:rsidR="006517A2">
        <w:rPr>
          <w:rFonts w:ascii="Times New Roman" w:hAnsi="Times New Roman" w:cs="Times New Roman"/>
        </w:rPr>
        <w:t>’</w:t>
      </w:r>
      <w:r w:rsidRPr="006517A2">
        <w:rPr>
          <w:rFonts w:ascii="Times New Roman" w:hAnsi="Times New Roman" w:cs="Times New Roman"/>
        </w:rPr>
        <w:t>information, ces personnes déposèrent une nouvelle requête en annulation de la procédure pour incompétence du juge d</w:t>
      </w:r>
      <w:r w:rsidRPr="006517A2" w:rsidR="006517A2">
        <w:rPr>
          <w:rFonts w:ascii="Times New Roman" w:hAnsi="Times New Roman" w:cs="Times New Roman"/>
        </w:rPr>
        <w:t>’</w:t>
      </w:r>
      <w:r w:rsidRPr="006517A2">
        <w:rPr>
          <w:rFonts w:ascii="Times New Roman" w:hAnsi="Times New Roman" w:cs="Times New Roman"/>
        </w:rPr>
        <w:t>instruction français et demandèrent la mainlevée des mandats d</w:t>
      </w:r>
      <w:r w:rsidRPr="006517A2" w:rsidR="006517A2">
        <w:rPr>
          <w:rFonts w:ascii="Times New Roman" w:hAnsi="Times New Roman" w:cs="Times New Roman"/>
        </w:rPr>
        <w:t>’</w:t>
      </w:r>
      <w:r w:rsidRPr="006517A2">
        <w:rPr>
          <w:rFonts w:ascii="Times New Roman" w:hAnsi="Times New Roman" w:cs="Times New Roman"/>
        </w:rPr>
        <w:t>arrêts. La chambre de l</w:t>
      </w:r>
      <w:r w:rsidRPr="006517A2" w:rsidR="006517A2">
        <w:rPr>
          <w:rFonts w:ascii="Times New Roman" w:hAnsi="Times New Roman" w:cs="Times New Roman"/>
        </w:rPr>
        <w:t>’</w:t>
      </w:r>
      <w:r w:rsidRPr="006517A2">
        <w:rPr>
          <w:rFonts w:ascii="Times New Roman" w:hAnsi="Times New Roman" w:cs="Times New Roman"/>
        </w:rPr>
        <w:t>instruction, puis la Cour de cassation, par un arrêt du 20 novembre 2012, rejetèrent leurs pourvois au motif, s</w:t>
      </w:r>
      <w:r w:rsidRPr="006517A2" w:rsidR="006517A2">
        <w:rPr>
          <w:rFonts w:ascii="Times New Roman" w:hAnsi="Times New Roman" w:cs="Times New Roman"/>
        </w:rPr>
        <w:t>’</w:t>
      </w:r>
      <w:r w:rsidRPr="006517A2">
        <w:rPr>
          <w:rFonts w:ascii="Times New Roman" w:hAnsi="Times New Roman" w:cs="Times New Roman"/>
        </w:rPr>
        <w:t>agissant des demandeurs recherchés, que la délivrance d</w:t>
      </w:r>
      <w:r w:rsidRPr="006517A2" w:rsidR="006517A2">
        <w:rPr>
          <w:rFonts w:ascii="Times New Roman" w:hAnsi="Times New Roman" w:cs="Times New Roman"/>
        </w:rPr>
        <w:t>’</w:t>
      </w:r>
      <w:r w:rsidRPr="006517A2">
        <w:rPr>
          <w:rFonts w:ascii="Times New Roman" w:hAnsi="Times New Roman" w:cs="Times New Roman"/>
        </w:rPr>
        <w:t>un mandat d</w:t>
      </w:r>
      <w:r w:rsidRPr="006517A2" w:rsidR="006517A2">
        <w:rPr>
          <w:rFonts w:ascii="Times New Roman" w:hAnsi="Times New Roman" w:cs="Times New Roman"/>
        </w:rPr>
        <w:t>’</w:t>
      </w:r>
      <w:r w:rsidRPr="006517A2">
        <w:rPr>
          <w:rFonts w:ascii="Times New Roman" w:hAnsi="Times New Roman" w:cs="Times New Roman"/>
        </w:rPr>
        <w:t>arrêt au cours de l</w:t>
      </w:r>
      <w:r w:rsidRPr="006517A2" w:rsidR="006517A2">
        <w:rPr>
          <w:rFonts w:ascii="Times New Roman" w:hAnsi="Times New Roman" w:cs="Times New Roman"/>
        </w:rPr>
        <w:t>’</w:t>
      </w:r>
      <w:r w:rsidRPr="006517A2">
        <w:rPr>
          <w:rFonts w:ascii="Times New Roman" w:hAnsi="Times New Roman" w:cs="Times New Roman"/>
        </w:rPr>
        <w:t>information ne leur conférait pas la qualité de personne mise en examen, et donc celle de partie, et, s</w:t>
      </w:r>
      <w:r w:rsidRPr="006517A2" w:rsidR="006517A2">
        <w:rPr>
          <w:rFonts w:ascii="Times New Roman" w:hAnsi="Times New Roman" w:cs="Times New Roman"/>
        </w:rPr>
        <w:t>’</w:t>
      </w:r>
      <w:r w:rsidRPr="006517A2">
        <w:rPr>
          <w:rFonts w:ascii="Times New Roman" w:hAnsi="Times New Roman" w:cs="Times New Roman"/>
        </w:rPr>
        <w:t>agissant de la personne mise en examen, que sa requête était tardive.</w:t>
      </w:r>
    </w:p>
    <w:p w:rsidRPr="006517A2" w:rsidR="00BE6E05" w:rsidP="006517A2" w:rsidRDefault="00BE6E05" w14:paraId="2C403D9B" w14:textId="47A878C3">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14</w:t>
      </w:r>
      <w:r w:rsidRPr="006517A2">
        <w:rPr>
          <w:rFonts w:ascii="Times New Roman" w:hAnsi="Times New Roman" w:cs="Times New Roman"/>
        </w:rPr>
        <w:fldChar w:fldCharType="end"/>
      </w:r>
      <w:r w:rsidRPr="006517A2">
        <w:rPr>
          <w:rFonts w:ascii="Times New Roman" w:hAnsi="Times New Roman" w:cs="Times New Roman"/>
        </w:rPr>
        <w:t>.  Par une ordonnance du 16 octobre 2014, longue de cinquante-cinq pages, le juge d</w:t>
      </w:r>
      <w:r w:rsidRPr="006517A2" w:rsidR="006517A2">
        <w:rPr>
          <w:rFonts w:ascii="Times New Roman" w:hAnsi="Times New Roman" w:cs="Times New Roman"/>
        </w:rPr>
        <w:t>’</w:t>
      </w:r>
      <w:r w:rsidRPr="006517A2">
        <w:rPr>
          <w:rFonts w:ascii="Times New Roman" w:hAnsi="Times New Roman" w:cs="Times New Roman"/>
        </w:rPr>
        <w:t>instruction prononça un non-lieu. Il considéra qu</w:t>
      </w:r>
      <w:r w:rsidRPr="006517A2" w:rsidR="006517A2">
        <w:rPr>
          <w:rFonts w:ascii="Times New Roman" w:hAnsi="Times New Roman" w:cs="Times New Roman"/>
        </w:rPr>
        <w:t>’</w:t>
      </w:r>
      <w:r w:rsidRPr="006517A2">
        <w:rPr>
          <w:rFonts w:ascii="Times New Roman" w:hAnsi="Times New Roman" w:cs="Times New Roman"/>
        </w:rPr>
        <w:t>il existait des charges suffisantes des chefs de la saisine mais constata, après avoir procédé à une analyse du statut juridique applicable au navire, statut hybride marqué par le caractère mixte de son exploitation entre militaire et commercial, l</w:t>
      </w:r>
      <w:r w:rsidRPr="006517A2" w:rsidR="006517A2">
        <w:rPr>
          <w:rFonts w:ascii="Times New Roman" w:hAnsi="Times New Roman" w:cs="Times New Roman"/>
        </w:rPr>
        <w:t>’</w:t>
      </w:r>
      <w:r w:rsidRPr="006517A2">
        <w:rPr>
          <w:rFonts w:ascii="Times New Roman" w:hAnsi="Times New Roman" w:cs="Times New Roman"/>
        </w:rPr>
        <w:t>existence d</w:t>
      </w:r>
      <w:r w:rsidRPr="006517A2" w:rsidR="006517A2">
        <w:rPr>
          <w:rFonts w:ascii="Times New Roman" w:hAnsi="Times New Roman" w:cs="Times New Roman"/>
        </w:rPr>
        <w:t>’</w:t>
      </w:r>
      <w:r w:rsidRPr="006517A2">
        <w:rPr>
          <w:rFonts w:ascii="Times New Roman" w:hAnsi="Times New Roman" w:cs="Times New Roman"/>
        </w:rPr>
        <w:t>une immunité de juridiction à l</w:t>
      </w:r>
      <w:r w:rsidRPr="006517A2" w:rsidR="006517A2">
        <w:rPr>
          <w:rFonts w:ascii="Times New Roman" w:hAnsi="Times New Roman" w:cs="Times New Roman"/>
        </w:rPr>
        <w:t>’</w:t>
      </w:r>
      <w:r w:rsidRPr="006517A2">
        <w:rPr>
          <w:rFonts w:ascii="Times New Roman" w:hAnsi="Times New Roman" w:cs="Times New Roman"/>
        </w:rPr>
        <w:t>égard des personnes mises en causes :</w:t>
      </w:r>
    </w:p>
    <w:p w:rsidRPr="006517A2" w:rsidR="00BE6E05" w:rsidP="006517A2" w:rsidRDefault="00BE6E05" w14:paraId="378830DD" w14:textId="03656181">
      <w:pPr>
        <w:pStyle w:val="JuQuot"/>
      </w:pPr>
      <w:r w:rsidRPr="006517A2">
        <w:t>« (...) force est de constater que les personnes en cause exerçaient toutes des compétences publiques, administratives, militaires ou politiques, à un degré très élevé dans l</w:t>
      </w:r>
      <w:r w:rsidRPr="006517A2" w:rsidR="006517A2">
        <w:t>’</w:t>
      </w:r>
      <w:r w:rsidRPr="006517A2">
        <w:t>appareil d</w:t>
      </w:r>
      <w:r w:rsidRPr="006517A2" w:rsidR="006517A2">
        <w:t>’</w:t>
      </w:r>
      <w:r w:rsidRPr="006517A2">
        <w:t>État, et avaient pris les décisions critiquées dans le strict cadre de leurs fonctions. Ces fonctions revêtaient l</w:t>
      </w:r>
      <w:r w:rsidRPr="006517A2" w:rsidR="006517A2">
        <w:t>’</w:t>
      </w:r>
      <w:r w:rsidRPr="006517A2">
        <w:t>exercice de missions menées pour et au nom de l</w:t>
      </w:r>
      <w:r w:rsidRPr="006517A2" w:rsidR="006517A2">
        <w:t>’</w:t>
      </w:r>
      <w:r w:rsidRPr="006517A2">
        <w:t>État sénégalais, (...) c</w:t>
      </w:r>
      <w:r w:rsidRPr="006517A2" w:rsidR="006517A2">
        <w:t>’</w:t>
      </w:r>
      <w:r w:rsidRPr="006517A2">
        <w:t>est-à-dire de missions emportant expression de la souveraineté du Sénégal.</w:t>
      </w:r>
    </w:p>
    <w:p w:rsidRPr="006517A2" w:rsidR="00BE6E05" w:rsidP="006517A2" w:rsidRDefault="00BE6E05" w14:paraId="7EC74D2F" w14:textId="588F280D">
      <w:pPr>
        <w:pStyle w:val="JuQuot"/>
      </w:pPr>
      <w:r w:rsidRPr="006517A2">
        <w:t>Il s</w:t>
      </w:r>
      <w:r w:rsidRPr="006517A2" w:rsidR="006517A2">
        <w:t>’</w:t>
      </w:r>
      <w:r w:rsidRPr="006517A2">
        <w:t>en déduit que l</w:t>
      </w:r>
      <w:r w:rsidRPr="006517A2" w:rsidR="006517A2">
        <w:t>’</w:t>
      </w:r>
      <w:r w:rsidRPr="006517A2">
        <w:t>immunité de juridiction reconnue par la coutume internationale aux États entre eux, qui s</w:t>
      </w:r>
      <w:r w:rsidRPr="006517A2" w:rsidR="006517A2">
        <w:t>’</w:t>
      </w:r>
      <w:r w:rsidRPr="006517A2">
        <w:t>étend aux organes et entités qui en constituent l</w:t>
      </w:r>
      <w:r w:rsidRPr="006517A2" w:rsidR="006517A2">
        <w:t>’</w:t>
      </w:r>
      <w:r w:rsidRPr="006517A2">
        <w:t>émanation ainsi qu</w:t>
      </w:r>
      <w:r w:rsidRPr="006517A2" w:rsidR="006517A2">
        <w:t>’</w:t>
      </w:r>
      <w:r w:rsidRPr="006517A2">
        <w:t>à leurs agents en raison d</w:t>
      </w:r>
      <w:r w:rsidRPr="006517A2" w:rsidR="006517A2">
        <w:t>’</w:t>
      </w:r>
      <w:r w:rsidRPr="006517A2">
        <w:t>actes qui relèvent de cette souveraineté, doit être constatée à l</w:t>
      </w:r>
      <w:r w:rsidRPr="006517A2" w:rsidR="006517A2">
        <w:t>’</w:t>
      </w:r>
      <w:r w:rsidRPr="006517A2">
        <w:t>égard des personnes visées par les sept mandats d</w:t>
      </w:r>
      <w:r w:rsidRPr="006517A2" w:rsidR="006517A2">
        <w:t>’</w:t>
      </w:r>
      <w:r w:rsidRPr="006517A2">
        <w:t>arrêts, qui ne peuvent donc, pour ces raisons, être l</w:t>
      </w:r>
      <w:r w:rsidRPr="006517A2" w:rsidR="006517A2">
        <w:t>’</w:t>
      </w:r>
      <w:r w:rsidRPr="006517A2">
        <w:t>objet de poursuites devant une juridiction répressive étrangère à l</w:t>
      </w:r>
      <w:r w:rsidRPr="006517A2" w:rsidR="006517A2">
        <w:t>’</w:t>
      </w:r>
      <w:r w:rsidRPr="006517A2">
        <w:t>État concerné ».</w:t>
      </w:r>
    </w:p>
    <w:p w:rsidRPr="006517A2" w:rsidR="00BE6E05" w:rsidP="006517A2" w:rsidRDefault="00BE6E05" w14:paraId="3EE903C1" w14:textId="0D7B506A">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15</w:t>
      </w:r>
      <w:r w:rsidRPr="006517A2">
        <w:rPr>
          <w:rFonts w:ascii="Times New Roman" w:hAnsi="Times New Roman" w:cs="Times New Roman"/>
        </w:rPr>
        <w:fldChar w:fldCharType="end"/>
      </w:r>
      <w:r w:rsidRPr="006517A2">
        <w:rPr>
          <w:rFonts w:ascii="Times New Roman" w:hAnsi="Times New Roman" w:cs="Times New Roman"/>
        </w:rPr>
        <w:t>.  La requérante et les parties civiles interjetèrent appel de l</w:t>
      </w:r>
      <w:r w:rsidRPr="006517A2" w:rsidR="006517A2">
        <w:rPr>
          <w:rFonts w:ascii="Times New Roman" w:hAnsi="Times New Roman" w:cs="Times New Roman"/>
        </w:rPr>
        <w:t>’</w:t>
      </w:r>
      <w:r w:rsidRPr="006517A2">
        <w:rPr>
          <w:rFonts w:ascii="Times New Roman" w:hAnsi="Times New Roman" w:cs="Times New Roman"/>
        </w:rPr>
        <w:t>ordonnance de non-lieu. Faisant valoir une violation de son droit d</w:t>
      </w:r>
      <w:r w:rsidRPr="006517A2" w:rsidR="006517A2">
        <w:rPr>
          <w:rFonts w:ascii="Times New Roman" w:hAnsi="Times New Roman" w:cs="Times New Roman"/>
        </w:rPr>
        <w:t>’</w:t>
      </w:r>
      <w:r w:rsidRPr="006517A2">
        <w:rPr>
          <w:rFonts w:ascii="Times New Roman" w:hAnsi="Times New Roman" w:cs="Times New Roman"/>
        </w:rPr>
        <w:t>accès à un tribunal, la requérante contesta l</w:t>
      </w:r>
      <w:r w:rsidRPr="006517A2" w:rsidR="006517A2">
        <w:rPr>
          <w:rFonts w:ascii="Times New Roman" w:hAnsi="Times New Roman" w:cs="Times New Roman"/>
        </w:rPr>
        <w:t>’</w:t>
      </w:r>
      <w:r w:rsidRPr="006517A2">
        <w:rPr>
          <w:rFonts w:ascii="Times New Roman" w:hAnsi="Times New Roman" w:cs="Times New Roman"/>
        </w:rPr>
        <w:t>immunité de juridiction retenue au motif, d</w:t>
      </w:r>
      <w:r w:rsidRPr="006517A2" w:rsidR="006517A2">
        <w:rPr>
          <w:rFonts w:ascii="Times New Roman" w:hAnsi="Times New Roman" w:cs="Times New Roman"/>
        </w:rPr>
        <w:t>’</w:t>
      </w:r>
      <w:r w:rsidRPr="006517A2">
        <w:rPr>
          <w:rFonts w:ascii="Times New Roman" w:hAnsi="Times New Roman" w:cs="Times New Roman"/>
        </w:rPr>
        <w:t>une part, que le navire devait être défini comme un navire marchand affecté à un service public commercial de transport de passagers et, d</w:t>
      </w:r>
      <w:r w:rsidRPr="006517A2" w:rsidR="006517A2">
        <w:rPr>
          <w:rFonts w:ascii="Times New Roman" w:hAnsi="Times New Roman" w:cs="Times New Roman"/>
        </w:rPr>
        <w:t>’</w:t>
      </w:r>
      <w:r w:rsidRPr="006517A2">
        <w:rPr>
          <w:rFonts w:ascii="Times New Roman" w:hAnsi="Times New Roman" w:cs="Times New Roman"/>
        </w:rPr>
        <w:t>autre part, que les actes imputés aux personnes concernées, à savoir de graves violations délibérées de la réglementation internationale relative à la navigabilité et à la sécurité, ne pouvaient être considérées comme des actes relevant de la souveraineté de l</w:t>
      </w:r>
      <w:r w:rsidRPr="006517A2" w:rsidR="006517A2">
        <w:rPr>
          <w:rFonts w:ascii="Times New Roman" w:hAnsi="Times New Roman" w:cs="Times New Roman"/>
        </w:rPr>
        <w:t>’</w:t>
      </w:r>
      <w:r w:rsidRPr="006517A2">
        <w:rPr>
          <w:rFonts w:ascii="Times New Roman" w:hAnsi="Times New Roman" w:cs="Times New Roman"/>
        </w:rPr>
        <w:t>État concerné. Elle s</w:t>
      </w:r>
      <w:r w:rsidRPr="006517A2" w:rsidR="006517A2">
        <w:rPr>
          <w:rFonts w:ascii="Times New Roman" w:hAnsi="Times New Roman" w:cs="Times New Roman"/>
        </w:rPr>
        <w:t>’</w:t>
      </w:r>
      <w:r w:rsidRPr="006517A2">
        <w:rPr>
          <w:rFonts w:ascii="Times New Roman" w:hAnsi="Times New Roman" w:cs="Times New Roman"/>
        </w:rPr>
        <w:t>appuya sur la jurisprudence relative à la consécration d</w:t>
      </w:r>
      <w:r w:rsidRPr="006517A2" w:rsidR="006517A2">
        <w:rPr>
          <w:rFonts w:ascii="Times New Roman" w:hAnsi="Times New Roman" w:cs="Times New Roman"/>
        </w:rPr>
        <w:t>’</w:t>
      </w:r>
      <w:r w:rsidRPr="006517A2">
        <w:rPr>
          <w:rFonts w:ascii="Times New Roman" w:hAnsi="Times New Roman" w:cs="Times New Roman"/>
        </w:rPr>
        <w:t>une immunité restreinte par la nécessité de distinguer entre les actes manifestant la souveraineté de l</w:t>
      </w:r>
      <w:r w:rsidRPr="006517A2" w:rsidR="006517A2">
        <w:rPr>
          <w:rFonts w:ascii="Times New Roman" w:hAnsi="Times New Roman" w:cs="Times New Roman"/>
        </w:rPr>
        <w:t>’</w:t>
      </w:r>
      <w:r w:rsidRPr="006517A2">
        <w:rPr>
          <w:rFonts w:ascii="Times New Roman" w:hAnsi="Times New Roman" w:cs="Times New Roman"/>
        </w:rPr>
        <w:t>État étranger et les actes de gestion (paragraphe 19 ci-dessous).</w:t>
      </w:r>
    </w:p>
    <w:p w:rsidRPr="006517A2" w:rsidR="00BE6E05" w:rsidP="006517A2" w:rsidRDefault="00BE6E05" w14:paraId="0C41CA60" w14:textId="7C0235D5">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16</w:t>
      </w:r>
      <w:r w:rsidRPr="006517A2">
        <w:rPr>
          <w:rFonts w:ascii="Times New Roman" w:hAnsi="Times New Roman" w:cs="Times New Roman"/>
        </w:rPr>
        <w:fldChar w:fldCharType="end"/>
      </w:r>
      <w:r w:rsidRPr="006517A2">
        <w:rPr>
          <w:rFonts w:ascii="Times New Roman" w:hAnsi="Times New Roman" w:cs="Times New Roman"/>
        </w:rPr>
        <w:t>.  Par un arrêt du 14 juin 2016, la chambre de l</w:t>
      </w:r>
      <w:r w:rsidRPr="006517A2" w:rsidR="006517A2">
        <w:rPr>
          <w:rFonts w:ascii="Times New Roman" w:hAnsi="Times New Roman" w:cs="Times New Roman"/>
        </w:rPr>
        <w:t>’</w:t>
      </w:r>
      <w:r w:rsidRPr="006517A2">
        <w:rPr>
          <w:rFonts w:ascii="Times New Roman" w:hAnsi="Times New Roman" w:cs="Times New Roman"/>
        </w:rPr>
        <w:t>instruction de la cour d</w:t>
      </w:r>
      <w:r w:rsidRPr="006517A2" w:rsidR="006517A2">
        <w:rPr>
          <w:rFonts w:ascii="Times New Roman" w:hAnsi="Times New Roman" w:cs="Times New Roman"/>
        </w:rPr>
        <w:t>’</w:t>
      </w:r>
      <w:r w:rsidRPr="006517A2">
        <w:rPr>
          <w:rFonts w:ascii="Times New Roman" w:hAnsi="Times New Roman" w:cs="Times New Roman"/>
        </w:rPr>
        <w:t>appel de Paris confirma l</w:t>
      </w:r>
      <w:r w:rsidRPr="006517A2" w:rsidR="006517A2">
        <w:rPr>
          <w:rFonts w:ascii="Times New Roman" w:hAnsi="Times New Roman" w:cs="Times New Roman"/>
        </w:rPr>
        <w:t>’</w:t>
      </w:r>
      <w:r w:rsidRPr="006517A2">
        <w:rPr>
          <w:rFonts w:ascii="Times New Roman" w:hAnsi="Times New Roman" w:cs="Times New Roman"/>
        </w:rPr>
        <w:t>ordonnance. Elle releva que la liaison maritime effectuée par le navire avait pour but de permettre la continuité territoriale entre la Casamance, région sud coupée de l</w:t>
      </w:r>
      <w:r w:rsidRPr="006517A2" w:rsidR="006517A2">
        <w:rPr>
          <w:rFonts w:ascii="Times New Roman" w:hAnsi="Times New Roman" w:cs="Times New Roman"/>
        </w:rPr>
        <w:t>’</w:t>
      </w:r>
      <w:r w:rsidRPr="006517A2">
        <w:rPr>
          <w:rFonts w:ascii="Times New Roman" w:hAnsi="Times New Roman" w:cs="Times New Roman"/>
        </w:rPr>
        <w:t>autre partie du pays par l</w:t>
      </w:r>
      <w:r w:rsidRPr="006517A2" w:rsidR="006517A2">
        <w:rPr>
          <w:rFonts w:ascii="Times New Roman" w:hAnsi="Times New Roman" w:cs="Times New Roman"/>
        </w:rPr>
        <w:t>’</w:t>
      </w:r>
      <w:r w:rsidRPr="006517A2">
        <w:rPr>
          <w:rFonts w:ascii="Times New Roman" w:hAnsi="Times New Roman" w:cs="Times New Roman"/>
        </w:rPr>
        <w:t>enclave de la Gambie, et le reste du Sénégal, et nota que la protection de cette liaison par des forces militaires en raison des révoltes armées existantes constituait un acte de puissance publique et non pas un acte de gestion, quand bien même la prestation de transport de personnes et de marchandises était une prestation payante et que le navire avait les caractéristiques physiques d</w:t>
      </w:r>
      <w:r w:rsidRPr="006517A2" w:rsidR="006517A2">
        <w:rPr>
          <w:rFonts w:ascii="Times New Roman" w:hAnsi="Times New Roman" w:cs="Times New Roman"/>
        </w:rPr>
        <w:t>’</w:t>
      </w:r>
      <w:r w:rsidRPr="006517A2">
        <w:rPr>
          <w:rFonts w:ascii="Times New Roman" w:hAnsi="Times New Roman" w:cs="Times New Roman"/>
        </w:rPr>
        <w:t>un navire marchand. Elle indiqua également qu</w:t>
      </w:r>
      <w:r w:rsidRPr="006517A2" w:rsidR="006517A2">
        <w:rPr>
          <w:rFonts w:ascii="Times New Roman" w:hAnsi="Times New Roman" w:cs="Times New Roman"/>
        </w:rPr>
        <w:t>’</w:t>
      </w:r>
      <w:r w:rsidRPr="006517A2">
        <w:rPr>
          <w:rFonts w:ascii="Times New Roman" w:hAnsi="Times New Roman" w:cs="Times New Roman"/>
        </w:rPr>
        <w:t>il ressortait de la commission d</w:t>
      </w:r>
      <w:r w:rsidRPr="006517A2" w:rsidR="006517A2">
        <w:rPr>
          <w:rFonts w:ascii="Times New Roman" w:hAnsi="Times New Roman" w:cs="Times New Roman"/>
        </w:rPr>
        <w:t>’</w:t>
      </w:r>
      <w:r w:rsidRPr="006517A2">
        <w:rPr>
          <w:rFonts w:ascii="Times New Roman" w:hAnsi="Times New Roman" w:cs="Times New Roman"/>
        </w:rPr>
        <w:t>enquête technique sur les causes du naufrage que la constante dans la politique de l</w:t>
      </w:r>
      <w:r w:rsidRPr="006517A2" w:rsidR="006517A2">
        <w:rPr>
          <w:rFonts w:ascii="Times New Roman" w:hAnsi="Times New Roman" w:cs="Times New Roman"/>
        </w:rPr>
        <w:t>’</w:t>
      </w:r>
      <w:r w:rsidRPr="006517A2">
        <w:rPr>
          <w:rFonts w:ascii="Times New Roman" w:hAnsi="Times New Roman" w:cs="Times New Roman"/>
        </w:rPr>
        <w:t>État avait été de confier la gestion nautique à la Marine nationale du Sénégal. Elle précisa que les violations des règles internationales sur la navigation et la sécurité en mer ainsi que du droit interne sénégalais n</w:t>
      </w:r>
      <w:r w:rsidRPr="006517A2" w:rsidR="006517A2">
        <w:rPr>
          <w:rFonts w:ascii="Times New Roman" w:hAnsi="Times New Roman" w:cs="Times New Roman"/>
        </w:rPr>
        <w:t>’</w:t>
      </w:r>
      <w:r w:rsidRPr="006517A2">
        <w:rPr>
          <w:rFonts w:ascii="Times New Roman" w:hAnsi="Times New Roman" w:cs="Times New Roman"/>
        </w:rPr>
        <w:t>étaient pas de nature à priver d</w:t>
      </w:r>
      <w:r w:rsidRPr="006517A2" w:rsidR="006517A2">
        <w:rPr>
          <w:rFonts w:ascii="Times New Roman" w:hAnsi="Times New Roman" w:cs="Times New Roman"/>
        </w:rPr>
        <w:t>’</w:t>
      </w:r>
      <w:r w:rsidRPr="006517A2">
        <w:rPr>
          <w:rFonts w:ascii="Times New Roman" w:hAnsi="Times New Roman" w:cs="Times New Roman"/>
        </w:rPr>
        <w:t>effet l</w:t>
      </w:r>
      <w:r w:rsidRPr="006517A2" w:rsidR="006517A2">
        <w:rPr>
          <w:rFonts w:ascii="Times New Roman" w:hAnsi="Times New Roman" w:cs="Times New Roman"/>
        </w:rPr>
        <w:t>’</w:t>
      </w:r>
      <w:r w:rsidRPr="006517A2">
        <w:rPr>
          <w:rFonts w:ascii="Times New Roman" w:hAnsi="Times New Roman" w:cs="Times New Roman"/>
        </w:rPr>
        <w:t>immunité de juridiction. Se prononçant sur la violation alléguée du droit d</w:t>
      </w:r>
      <w:r w:rsidRPr="006517A2" w:rsidR="006517A2">
        <w:rPr>
          <w:rFonts w:ascii="Times New Roman" w:hAnsi="Times New Roman" w:cs="Times New Roman"/>
        </w:rPr>
        <w:t>’</w:t>
      </w:r>
      <w:r w:rsidRPr="006517A2">
        <w:rPr>
          <w:rFonts w:ascii="Times New Roman" w:hAnsi="Times New Roman" w:cs="Times New Roman"/>
        </w:rPr>
        <w:t>accès à un tribunal, elle poursuivit ainsi :</w:t>
      </w:r>
    </w:p>
    <w:p w:rsidRPr="006517A2" w:rsidR="00BE6E05" w:rsidP="006517A2" w:rsidRDefault="00BE6E05" w14:paraId="52FD6E62" w14:textId="68931639">
      <w:pPr>
        <w:pStyle w:val="JuQuot"/>
        <w:rPr>
          <w:szCs w:val="22"/>
        </w:rPr>
      </w:pPr>
      <w:r w:rsidRPr="006517A2">
        <w:rPr>
          <w:rFonts w:ascii="Times New Roman" w:hAnsi="Times New Roman" w:cs="Times New Roman"/>
        </w:rPr>
        <w:t xml:space="preserve">«  (...) </w:t>
      </w:r>
      <w:r w:rsidRPr="006517A2">
        <w:rPr>
          <w:szCs w:val="22"/>
        </w:rPr>
        <w:t>qu</w:t>
      </w:r>
      <w:r w:rsidRPr="006517A2" w:rsidR="006517A2">
        <w:rPr>
          <w:szCs w:val="22"/>
        </w:rPr>
        <w:t>’</w:t>
      </w:r>
      <w:r w:rsidRPr="006517A2">
        <w:rPr>
          <w:szCs w:val="22"/>
        </w:rPr>
        <w:t>il convient aussi d</w:t>
      </w:r>
      <w:r w:rsidRPr="006517A2" w:rsidR="006517A2">
        <w:rPr>
          <w:szCs w:val="22"/>
        </w:rPr>
        <w:t>’</w:t>
      </w:r>
      <w:r w:rsidRPr="006517A2">
        <w:rPr>
          <w:szCs w:val="22"/>
        </w:rPr>
        <w:t>examiner, (...), si l</w:t>
      </w:r>
      <w:r w:rsidRPr="006517A2" w:rsidR="006517A2">
        <w:rPr>
          <w:szCs w:val="22"/>
        </w:rPr>
        <w:t>’</w:t>
      </w:r>
      <w:r w:rsidRPr="006517A2">
        <w:rPr>
          <w:szCs w:val="22"/>
        </w:rPr>
        <w:t>immunité de juridiction ne serait pas, en l</w:t>
      </w:r>
      <w:r w:rsidRPr="006517A2" w:rsidR="006517A2">
        <w:rPr>
          <w:szCs w:val="22"/>
        </w:rPr>
        <w:t>’</w:t>
      </w:r>
      <w:r w:rsidRPr="006517A2">
        <w:rPr>
          <w:szCs w:val="22"/>
        </w:rPr>
        <w:t>espèce, génératrice au détriment des parties civiles d</w:t>
      </w:r>
      <w:r w:rsidRPr="006517A2" w:rsidR="006517A2">
        <w:rPr>
          <w:szCs w:val="22"/>
        </w:rPr>
        <w:t>’</w:t>
      </w:r>
      <w:r w:rsidRPr="006517A2">
        <w:rPr>
          <w:szCs w:val="22"/>
        </w:rPr>
        <w:t>un déni de justice et si elle serait compatible [avec] l</w:t>
      </w:r>
      <w:r w:rsidRPr="006517A2" w:rsidR="006517A2">
        <w:rPr>
          <w:szCs w:val="22"/>
        </w:rPr>
        <w:t>’</w:t>
      </w:r>
      <w:r w:rsidRPr="006517A2">
        <w:rPr>
          <w:szCs w:val="22"/>
        </w:rPr>
        <w:t>article 6 de la Convention (...), étant rappelé qu</w:t>
      </w:r>
      <w:r w:rsidRPr="006517A2" w:rsidR="006517A2">
        <w:rPr>
          <w:szCs w:val="22"/>
        </w:rPr>
        <w:t>’</w:t>
      </w:r>
      <w:r w:rsidRPr="006517A2">
        <w:rPr>
          <w:szCs w:val="22"/>
        </w:rPr>
        <w:t>il a été procédé au Sénégal au classement de l</w:t>
      </w:r>
      <w:r w:rsidRPr="006517A2" w:rsidR="006517A2">
        <w:rPr>
          <w:szCs w:val="22"/>
        </w:rPr>
        <w:t>’</w:t>
      </w:r>
      <w:r w:rsidRPr="006517A2">
        <w:rPr>
          <w:szCs w:val="22"/>
        </w:rPr>
        <w:t>enquête ; que par le non-lieu, les parties civiles seraient privées de l</w:t>
      </w:r>
      <w:r w:rsidRPr="006517A2" w:rsidR="006517A2">
        <w:rPr>
          <w:szCs w:val="22"/>
        </w:rPr>
        <w:t>’</w:t>
      </w:r>
      <w:r w:rsidRPr="006517A2">
        <w:rPr>
          <w:szCs w:val="22"/>
        </w:rPr>
        <w:t>accès à un tribunal leur permettant de réclamer dans le cadre d</w:t>
      </w:r>
      <w:r w:rsidRPr="006517A2" w:rsidR="006517A2">
        <w:rPr>
          <w:szCs w:val="22"/>
        </w:rPr>
        <w:t>’</w:t>
      </w:r>
      <w:r w:rsidRPr="006517A2">
        <w:rPr>
          <w:szCs w:val="22"/>
        </w:rPr>
        <w:t>un procès public et équitable la condamnation des personnes responsables du naufrage et l</w:t>
      </w:r>
      <w:r w:rsidRPr="006517A2" w:rsidR="006517A2">
        <w:rPr>
          <w:szCs w:val="22"/>
        </w:rPr>
        <w:t>’</w:t>
      </w:r>
      <w:r w:rsidRPr="006517A2">
        <w:rPr>
          <w:szCs w:val="22"/>
        </w:rPr>
        <w:t>indemnisation des préjudices subis ;</w:t>
      </w:r>
    </w:p>
    <w:p w:rsidRPr="006517A2" w:rsidR="00BE6E05" w:rsidP="006517A2" w:rsidRDefault="00BE6E05" w14:paraId="5F809791" w14:textId="3F369B77">
      <w:pPr>
        <w:pStyle w:val="JuQuot"/>
        <w:rPr>
          <w:szCs w:val="22"/>
        </w:rPr>
      </w:pPr>
      <w:r w:rsidRPr="006517A2">
        <w:rPr>
          <w:szCs w:val="22"/>
        </w:rPr>
        <w:t>Considérant qu</w:t>
      </w:r>
      <w:r w:rsidRPr="006517A2" w:rsidR="006517A2">
        <w:rPr>
          <w:szCs w:val="22"/>
        </w:rPr>
        <w:t>’</w:t>
      </w:r>
      <w:r w:rsidRPr="006517A2">
        <w:rPr>
          <w:szCs w:val="22"/>
        </w:rPr>
        <w:t xml:space="preserve">il ressort de la jurisprudence de la [CEDH, arrêt </w:t>
      </w:r>
      <w:proofErr w:type="spellStart"/>
      <w:r w:rsidRPr="006517A2">
        <w:rPr>
          <w:i/>
          <w:iCs/>
          <w:szCs w:val="22"/>
        </w:rPr>
        <w:t>Fogarty</w:t>
      </w:r>
      <w:proofErr w:type="spellEnd"/>
      <w:r w:rsidRPr="006517A2">
        <w:rPr>
          <w:i/>
          <w:iCs/>
          <w:szCs w:val="22"/>
        </w:rPr>
        <w:t xml:space="preserve"> contre Royaume-Uni,</w:t>
      </w:r>
      <w:r w:rsidRPr="006517A2">
        <w:rPr>
          <w:szCs w:val="22"/>
        </w:rPr>
        <w:t xml:space="preserve"> 21 novembre 2001] ;</w:t>
      </w:r>
    </w:p>
    <w:p w:rsidRPr="006517A2" w:rsidR="00BE6E05" w:rsidP="006517A2" w:rsidRDefault="00BE6E05" w14:paraId="63437A14" w14:textId="0247ED81">
      <w:pPr>
        <w:pStyle w:val="JuQuot"/>
        <w:rPr>
          <w:szCs w:val="22"/>
        </w:rPr>
      </w:pPr>
      <w:r w:rsidRPr="006517A2">
        <w:rPr>
          <w:szCs w:val="22"/>
        </w:rPr>
        <w:t>Considérant qu</w:t>
      </w:r>
      <w:r w:rsidRPr="006517A2" w:rsidR="006517A2">
        <w:rPr>
          <w:szCs w:val="22"/>
        </w:rPr>
        <w:t>’</w:t>
      </w:r>
      <w:r w:rsidRPr="006517A2">
        <w:rPr>
          <w:szCs w:val="22"/>
        </w:rPr>
        <w:t>il ressort de la procédure que l</w:t>
      </w:r>
      <w:r w:rsidRPr="006517A2" w:rsidR="006517A2">
        <w:rPr>
          <w:szCs w:val="22"/>
        </w:rPr>
        <w:t>’</w:t>
      </w:r>
      <w:r w:rsidRPr="006517A2">
        <w:rPr>
          <w:szCs w:val="22"/>
        </w:rPr>
        <w:t>enquête judiciaire initiée par les autorités sénégalaises a fait l</w:t>
      </w:r>
      <w:r w:rsidRPr="006517A2" w:rsidR="006517A2">
        <w:rPr>
          <w:szCs w:val="22"/>
        </w:rPr>
        <w:t>’</w:t>
      </w:r>
      <w:r w:rsidRPr="006517A2">
        <w:rPr>
          <w:szCs w:val="22"/>
        </w:rPr>
        <w:t>objet d</w:t>
      </w:r>
      <w:r w:rsidRPr="006517A2" w:rsidR="006517A2">
        <w:rPr>
          <w:szCs w:val="22"/>
        </w:rPr>
        <w:t>’</w:t>
      </w:r>
      <w:r w:rsidRPr="006517A2">
        <w:rPr>
          <w:szCs w:val="22"/>
        </w:rPr>
        <w:t>un classement sans suite ; qu</w:t>
      </w:r>
      <w:r w:rsidRPr="006517A2" w:rsidR="006517A2">
        <w:rPr>
          <w:szCs w:val="22"/>
        </w:rPr>
        <w:t>’</w:t>
      </w:r>
      <w:r w:rsidRPr="006517A2">
        <w:rPr>
          <w:szCs w:val="22"/>
        </w:rPr>
        <w:t>il est vrai par ailleurs qu</w:t>
      </w:r>
      <w:r w:rsidRPr="006517A2" w:rsidR="006517A2">
        <w:rPr>
          <w:szCs w:val="22"/>
        </w:rPr>
        <w:t>’</w:t>
      </w:r>
      <w:r w:rsidRPr="006517A2">
        <w:rPr>
          <w:szCs w:val="22"/>
        </w:rPr>
        <w:t xml:space="preserve">un non-lieu dans la présente procédure </w:t>
      </w:r>
      <w:bookmarkStart w:name="_Hlk86071340" w:id="2"/>
      <w:r w:rsidRPr="006517A2">
        <w:rPr>
          <w:szCs w:val="22"/>
        </w:rPr>
        <w:t>est de nature à priver les parties civiles d</w:t>
      </w:r>
      <w:r w:rsidRPr="006517A2" w:rsidR="006517A2">
        <w:rPr>
          <w:szCs w:val="22"/>
        </w:rPr>
        <w:t>’</w:t>
      </w:r>
      <w:r w:rsidRPr="006517A2">
        <w:rPr>
          <w:szCs w:val="22"/>
        </w:rPr>
        <w:t>un procès public où il serait débattu de la responsabilité pénale de toutes les personnes précitées compte tenu des charges existant contre elles et où les parties civiles pourraient demander publiquement l</w:t>
      </w:r>
      <w:r w:rsidRPr="006517A2" w:rsidR="006517A2">
        <w:rPr>
          <w:szCs w:val="22"/>
        </w:rPr>
        <w:t>’</w:t>
      </w:r>
      <w:r w:rsidRPr="006517A2">
        <w:rPr>
          <w:szCs w:val="22"/>
        </w:rPr>
        <w:t xml:space="preserve">indemnisation de leur préjudice </w:t>
      </w:r>
      <w:bookmarkEnd w:id="2"/>
      <w:r w:rsidRPr="006517A2">
        <w:rPr>
          <w:szCs w:val="22"/>
        </w:rPr>
        <w:t>;</w:t>
      </w:r>
    </w:p>
    <w:p w:rsidRPr="006517A2" w:rsidR="00BE6E05" w:rsidP="006517A2" w:rsidRDefault="00BE6E05" w14:paraId="2EAF3A64" w14:textId="100F5778">
      <w:pPr>
        <w:pStyle w:val="JuQuot"/>
        <w:rPr>
          <w:szCs w:val="22"/>
        </w:rPr>
      </w:pPr>
      <w:r w:rsidRPr="006517A2">
        <w:rPr>
          <w:szCs w:val="22"/>
        </w:rPr>
        <w:t>Qu</w:t>
      </w:r>
      <w:r w:rsidRPr="006517A2" w:rsidR="006517A2">
        <w:rPr>
          <w:szCs w:val="22"/>
        </w:rPr>
        <w:t>’</w:t>
      </w:r>
      <w:r w:rsidRPr="006517A2">
        <w:rPr>
          <w:szCs w:val="22"/>
        </w:rPr>
        <w:t>il doit néanmoins être recherché si l</w:t>
      </w:r>
      <w:r w:rsidRPr="006517A2" w:rsidR="006517A2">
        <w:rPr>
          <w:szCs w:val="22"/>
        </w:rPr>
        <w:t>’</w:t>
      </w:r>
      <w:r w:rsidRPr="006517A2">
        <w:rPr>
          <w:szCs w:val="22"/>
        </w:rPr>
        <w:t>absence d</w:t>
      </w:r>
      <w:r w:rsidRPr="006517A2" w:rsidR="006517A2">
        <w:rPr>
          <w:szCs w:val="22"/>
        </w:rPr>
        <w:t>’</w:t>
      </w:r>
      <w:r w:rsidRPr="006517A2">
        <w:rPr>
          <w:szCs w:val="22"/>
        </w:rPr>
        <w:t xml:space="preserve">un tel procès aurait pour effet de priver les parties civiles appelantes de tout accès à la justice, de toute voie de recours, de toute réparation du préjudice subi par elles du fait du naufrage du </w:t>
      </w:r>
      <w:proofErr w:type="spellStart"/>
      <w:r w:rsidRPr="006517A2">
        <w:rPr>
          <w:szCs w:val="22"/>
        </w:rPr>
        <w:t>Joola</w:t>
      </w:r>
      <w:proofErr w:type="spellEnd"/>
      <w:r w:rsidRPr="006517A2">
        <w:rPr>
          <w:szCs w:val="22"/>
        </w:rPr>
        <w:t xml:space="preserve"> ;</w:t>
      </w:r>
    </w:p>
    <w:p w:rsidRPr="006517A2" w:rsidR="00BE6E05" w:rsidP="006517A2" w:rsidRDefault="00BE6E05" w14:paraId="135FE21A" w14:textId="75EDFCA5">
      <w:pPr>
        <w:pStyle w:val="JuQuot"/>
        <w:rPr>
          <w:szCs w:val="22"/>
        </w:rPr>
      </w:pPr>
      <w:r w:rsidRPr="006517A2">
        <w:rPr>
          <w:szCs w:val="22"/>
        </w:rPr>
        <w:t>Considérant que l</w:t>
      </w:r>
      <w:r w:rsidRPr="006517A2" w:rsidR="006517A2">
        <w:rPr>
          <w:szCs w:val="22"/>
        </w:rPr>
        <w:t>’</w:t>
      </w:r>
      <w:r w:rsidRPr="006517A2">
        <w:rPr>
          <w:szCs w:val="22"/>
        </w:rPr>
        <w:t>action civile en réparation du dommage causé par un crime, un délit ou une contravention, distincte de l</w:t>
      </w:r>
      <w:r w:rsidRPr="006517A2" w:rsidR="006517A2">
        <w:rPr>
          <w:szCs w:val="22"/>
        </w:rPr>
        <w:t>’</w:t>
      </w:r>
      <w:r w:rsidRPr="006517A2">
        <w:rPr>
          <w:szCs w:val="22"/>
        </w:rPr>
        <w:t>action publique, appartient à tous ceux qui ont personnellement souffert du dommage direct causé par l</w:t>
      </w:r>
      <w:r w:rsidRPr="006517A2" w:rsidR="006517A2">
        <w:rPr>
          <w:szCs w:val="22"/>
        </w:rPr>
        <w:t>’</w:t>
      </w:r>
      <w:r w:rsidRPr="006517A2">
        <w:rPr>
          <w:szCs w:val="22"/>
        </w:rPr>
        <w:t>infraction ;</w:t>
      </w:r>
    </w:p>
    <w:p w:rsidRPr="006517A2" w:rsidR="00BE6E05" w:rsidP="006517A2" w:rsidRDefault="00BE6E05" w14:paraId="6071B5C4" w14:textId="31BAB5DC">
      <w:pPr>
        <w:pStyle w:val="JuQuot"/>
        <w:rPr>
          <w:szCs w:val="22"/>
        </w:rPr>
      </w:pPr>
      <w:r w:rsidRPr="006517A2">
        <w:rPr>
          <w:szCs w:val="22"/>
        </w:rPr>
        <w:t>Considérant qu</w:t>
      </w:r>
      <w:r w:rsidRPr="006517A2" w:rsidR="006517A2">
        <w:rPr>
          <w:szCs w:val="22"/>
        </w:rPr>
        <w:t>’</w:t>
      </w:r>
      <w:r w:rsidRPr="006517A2">
        <w:rPr>
          <w:szCs w:val="22"/>
        </w:rPr>
        <w:t>il ressort du dossier de la procédure que les parties civiles ont pu bénéficier des dispositions législatives sur l</w:t>
      </w:r>
      <w:r w:rsidRPr="006517A2" w:rsidR="006517A2">
        <w:rPr>
          <w:szCs w:val="22"/>
        </w:rPr>
        <w:t>’</w:t>
      </w:r>
      <w:r w:rsidRPr="006517A2">
        <w:rPr>
          <w:szCs w:val="22"/>
        </w:rPr>
        <w:t>indemnisation des victimes d</w:t>
      </w:r>
      <w:r w:rsidRPr="006517A2" w:rsidR="006517A2">
        <w:rPr>
          <w:szCs w:val="22"/>
        </w:rPr>
        <w:t>’</w:t>
      </w:r>
      <w:r w:rsidRPr="006517A2">
        <w:rPr>
          <w:szCs w:val="22"/>
        </w:rPr>
        <w:t>infractions pénales prévues par les articles 706-3 et suivants du code de procédure pénale (D 1677 à D 1699) ; qu</w:t>
      </w:r>
      <w:r w:rsidRPr="006517A2" w:rsidR="006517A2">
        <w:rPr>
          <w:szCs w:val="22"/>
        </w:rPr>
        <w:t>’</w:t>
      </w:r>
      <w:r w:rsidRPr="006517A2">
        <w:rPr>
          <w:szCs w:val="22"/>
        </w:rPr>
        <w:t>elles ont d</w:t>
      </w:r>
      <w:r w:rsidRPr="006517A2" w:rsidR="006517A2">
        <w:rPr>
          <w:szCs w:val="22"/>
        </w:rPr>
        <w:t>’</w:t>
      </w:r>
      <w:r w:rsidRPr="006517A2">
        <w:rPr>
          <w:szCs w:val="22"/>
        </w:rPr>
        <w:t>ailleurs été interrogées notamment sur ce point lors de leurs auditions sur commission rogatoire (D 479 à D 562) et ont fait connaître soit qu</w:t>
      </w:r>
      <w:r w:rsidRPr="006517A2" w:rsidR="006517A2">
        <w:rPr>
          <w:szCs w:val="22"/>
        </w:rPr>
        <w:t>’</w:t>
      </w:r>
      <w:r w:rsidRPr="006517A2">
        <w:rPr>
          <w:szCs w:val="22"/>
        </w:rPr>
        <w:t>elles allaient saisir la commission d</w:t>
      </w:r>
      <w:r w:rsidRPr="006517A2" w:rsidR="006517A2">
        <w:rPr>
          <w:szCs w:val="22"/>
        </w:rPr>
        <w:t>’</w:t>
      </w:r>
      <w:r w:rsidRPr="006517A2">
        <w:rPr>
          <w:szCs w:val="22"/>
        </w:rPr>
        <w:t>indemnisation des victimes d</w:t>
      </w:r>
      <w:r w:rsidRPr="006517A2" w:rsidR="006517A2">
        <w:rPr>
          <w:szCs w:val="22"/>
        </w:rPr>
        <w:t>’</w:t>
      </w:r>
      <w:r w:rsidRPr="006517A2">
        <w:rPr>
          <w:szCs w:val="22"/>
        </w:rPr>
        <w:t>infractions soit qu</w:t>
      </w:r>
      <w:r w:rsidRPr="006517A2" w:rsidR="006517A2">
        <w:rPr>
          <w:szCs w:val="22"/>
        </w:rPr>
        <w:t>’</w:t>
      </w:r>
      <w:r w:rsidRPr="006517A2">
        <w:rPr>
          <w:szCs w:val="22"/>
        </w:rPr>
        <w:t>elles l</w:t>
      </w:r>
      <w:r w:rsidRPr="006517A2" w:rsidR="006517A2">
        <w:rPr>
          <w:szCs w:val="22"/>
        </w:rPr>
        <w:t>’</w:t>
      </w:r>
      <w:r w:rsidRPr="006517A2">
        <w:rPr>
          <w:szCs w:val="22"/>
        </w:rPr>
        <w:t>avaient fait soit qu</w:t>
      </w:r>
      <w:r w:rsidRPr="006517A2" w:rsidR="006517A2">
        <w:rPr>
          <w:szCs w:val="22"/>
        </w:rPr>
        <w:t>’</w:t>
      </w:r>
      <w:r w:rsidRPr="006517A2">
        <w:rPr>
          <w:szCs w:val="22"/>
        </w:rPr>
        <w:t>elles n</w:t>
      </w:r>
      <w:r w:rsidRPr="006517A2" w:rsidR="006517A2">
        <w:rPr>
          <w:szCs w:val="22"/>
        </w:rPr>
        <w:t>’</w:t>
      </w:r>
      <w:r w:rsidRPr="006517A2">
        <w:rPr>
          <w:szCs w:val="22"/>
        </w:rPr>
        <w:t>avaient pas l</w:t>
      </w:r>
      <w:r w:rsidRPr="006517A2" w:rsidR="006517A2">
        <w:rPr>
          <w:szCs w:val="22"/>
        </w:rPr>
        <w:t>’</w:t>
      </w:r>
      <w:r w:rsidRPr="006517A2">
        <w:rPr>
          <w:szCs w:val="22"/>
        </w:rPr>
        <w:t>intention de le faire ; que l</w:t>
      </w:r>
      <w:r w:rsidRPr="006517A2" w:rsidR="006517A2">
        <w:rPr>
          <w:szCs w:val="22"/>
        </w:rPr>
        <w:t>’</w:t>
      </w:r>
      <w:r w:rsidRPr="006517A2">
        <w:rPr>
          <w:szCs w:val="22"/>
        </w:rPr>
        <w:t>article 706-4 du code de procédure pénale confère à la commission d</w:t>
      </w:r>
      <w:r w:rsidRPr="006517A2" w:rsidR="006517A2">
        <w:rPr>
          <w:szCs w:val="22"/>
        </w:rPr>
        <w:t>’</w:t>
      </w:r>
      <w:r w:rsidRPr="006517A2">
        <w:rPr>
          <w:szCs w:val="22"/>
        </w:rPr>
        <w:t>indemnisation des victimes d</w:t>
      </w:r>
      <w:r w:rsidRPr="006517A2" w:rsidR="006517A2">
        <w:rPr>
          <w:szCs w:val="22"/>
        </w:rPr>
        <w:t>’</w:t>
      </w:r>
      <w:r w:rsidRPr="006517A2">
        <w:rPr>
          <w:szCs w:val="22"/>
        </w:rPr>
        <w:t>infractions le caractère d</w:t>
      </w:r>
      <w:r w:rsidRPr="006517A2" w:rsidR="006517A2">
        <w:rPr>
          <w:szCs w:val="22"/>
        </w:rPr>
        <w:t>’</w:t>
      </w:r>
      <w:r w:rsidRPr="006517A2">
        <w:rPr>
          <w:szCs w:val="22"/>
        </w:rPr>
        <w:t>une juridiction civile qui est composée de deux magistrats, dont l</w:t>
      </w:r>
      <w:r w:rsidRPr="006517A2" w:rsidR="006517A2">
        <w:rPr>
          <w:szCs w:val="22"/>
        </w:rPr>
        <w:t>’</w:t>
      </w:r>
      <w:r w:rsidRPr="006517A2">
        <w:rPr>
          <w:szCs w:val="22"/>
        </w:rPr>
        <w:t>un la préside et d</w:t>
      </w:r>
      <w:r w:rsidRPr="006517A2" w:rsidR="006517A2">
        <w:rPr>
          <w:szCs w:val="22"/>
        </w:rPr>
        <w:t>’</w:t>
      </w:r>
      <w:r w:rsidRPr="006517A2">
        <w:rPr>
          <w:szCs w:val="22"/>
        </w:rPr>
        <w:t>une personne s</w:t>
      </w:r>
      <w:r w:rsidRPr="006517A2" w:rsidR="006517A2">
        <w:rPr>
          <w:szCs w:val="22"/>
        </w:rPr>
        <w:t>’</w:t>
      </w:r>
      <w:r w:rsidRPr="006517A2">
        <w:rPr>
          <w:szCs w:val="22"/>
        </w:rPr>
        <w:t>étant signalée par l</w:t>
      </w:r>
      <w:r w:rsidRPr="006517A2" w:rsidR="006517A2">
        <w:rPr>
          <w:szCs w:val="22"/>
        </w:rPr>
        <w:t>’</w:t>
      </w:r>
      <w:r w:rsidRPr="006517A2">
        <w:rPr>
          <w:szCs w:val="22"/>
        </w:rPr>
        <w:t>intérêt qu</w:t>
      </w:r>
      <w:r w:rsidRPr="006517A2" w:rsidR="006517A2">
        <w:rPr>
          <w:szCs w:val="22"/>
        </w:rPr>
        <w:t>’</w:t>
      </w:r>
      <w:r w:rsidRPr="006517A2">
        <w:rPr>
          <w:szCs w:val="22"/>
        </w:rPr>
        <w:t>elle porte aux problèmes des victimes ;</w:t>
      </w:r>
    </w:p>
    <w:p w:rsidRPr="006517A2" w:rsidR="00BE6E05" w:rsidP="006517A2" w:rsidRDefault="00BE6E05" w14:paraId="0557147F" w14:textId="24A112CF">
      <w:pPr>
        <w:pStyle w:val="JuQuot"/>
        <w:rPr>
          <w:szCs w:val="22"/>
        </w:rPr>
      </w:pPr>
      <w:r w:rsidRPr="006517A2">
        <w:rPr>
          <w:szCs w:val="22"/>
        </w:rPr>
        <w:t>Que la commission d</w:t>
      </w:r>
      <w:r w:rsidRPr="006517A2" w:rsidR="006517A2">
        <w:rPr>
          <w:szCs w:val="22"/>
        </w:rPr>
        <w:t>’</w:t>
      </w:r>
      <w:r w:rsidRPr="006517A2">
        <w:rPr>
          <w:szCs w:val="22"/>
        </w:rPr>
        <w:t>indemnisation des victimes d</w:t>
      </w:r>
      <w:r w:rsidRPr="006517A2" w:rsidR="006517A2">
        <w:rPr>
          <w:szCs w:val="22"/>
        </w:rPr>
        <w:t>’</w:t>
      </w:r>
      <w:r w:rsidRPr="006517A2">
        <w:rPr>
          <w:szCs w:val="22"/>
        </w:rPr>
        <w:t>infractions pénales du tribunal de grande instance d</w:t>
      </w:r>
      <w:r w:rsidRPr="006517A2" w:rsidR="006517A2">
        <w:rPr>
          <w:szCs w:val="22"/>
        </w:rPr>
        <w:t>’</w:t>
      </w:r>
      <w:r w:rsidRPr="006517A2">
        <w:rPr>
          <w:szCs w:val="22"/>
        </w:rPr>
        <w:t>Évry a accordé des indemnisations à [la famille d</w:t>
      </w:r>
      <w:r w:rsidRPr="006517A2" w:rsidR="006517A2">
        <w:rPr>
          <w:szCs w:val="22"/>
        </w:rPr>
        <w:t>’</w:t>
      </w:r>
      <w:r w:rsidRPr="006517A2">
        <w:rPr>
          <w:szCs w:val="22"/>
        </w:rPr>
        <w:t xml:space="preserve">Alain </w:t>
      </w:r>
      <w:proofErr w:type="spellStart"/>
      <w:r w:rsidRPr="006517A2">
        <w:rPr>
          <w:szCs w:val="22"/>
        </w:rPr>
        <w:t>Verschatse</w:t>
      </w:r>
      <w:proofErr w:type="spellEnd"/>
      <w:r w:rsidRPr="006517A2">
        <w:rPr>
          <w:szCs w:val="22"/>
        </w:rPr>
        <w:t xml:space="preserve"> notamment] ; Qu</w:t>
      </w:r>
      <w:r w:rsidRPr="006517A2" w:rsidR="006517A2">
        <w:rPr>
          <w:szCs w:val="22"/>
        </w:rPr>
        <w:t>’</w:t>
      </w:r>
      <w:r w:rsidRPr="006517A2">
        <w:rPr>
          <w:szCs w:val="22"/>
        </w:rPr>
        <w:t>il est fait par ailleurs mention à la cote D 1677 d</w:t>
      </w:r>
      <w:r w:rsidRPr="006517A2" w:rsidR="006517A2">
        <w:rPr>
          <w:szCs w:val="22"/>
        </w:rPr>
        <w:t>’</w:t>
      </w:r>
      <w:r w:rsidRPr="006517A2">
        <w:rPr>
          <w:szCs w:val="22"/>
        </w:rPr>
        <w:t>offres du Fonds de Garantie en cours à d</w:t>
      </w:r>
      <w:r w:rsidRPr="006517A2" w:rsidR="006517A2">
        <w:rPr>
          <w:szCs w:val="22"/>
        </w:rPr>
        <w:t>’</w:t>
      </w:r>
      <w:r w:rsidRPr="006517A2">
        <w:rPr>
          <w:szCs w:val="22"/>
        </w:rPr>
        <w:t>autres parties civiles ;</w:t>
      </w:r>
    </w:p>
    <w:p w:rsidRPr="006517A2" w:rsidR="00BE6E05" w:rsidP="006517A2" w:rsidRDefault="00BE6E05" w14:paraId="78B9FC03" w14:textId="5634FD10">
      <w:pPr>
        <w:pStyle w:val="JuQuot"/>
        <w:rPr>
          <w:szCs w:val="22"/>
        </w:rPr>
      </w:pPr>
      <w:r w:rsidRPr="006517A2">
        <w:rPr>
          <w:szCs w:val="22"/>
        </w:rPr>
        <w:t>Que toutes les décisions de la commission d</w:t>
      </w:r>
      <w:r w:rsidRPr="006517A2" w:rsidR="006517A2">
        <w:rPr>
          <w:szCs w:val="22"/>
        </w:rPr>
        <w:t>’</w:t>
      </w:r>
      <w:r w:rsidRPr="006517A2">
        <w:rPr>
          <w:szCs w:val="22"/>
        </w:rPr>
        <w:t>indemnisation (...) relèvent notamment que les conclusions de la commission d</w:t>
      </w:r>
      <w:r w:rsidRPr="006517A2" w:rsidR="006517A2">
        <w:rPr>
          <w:szCs w:val="22"/>
        </w:rPr>
        <w:t>’</w:t>
      </w:r>
      <w:r w:rsidRPr="006517A2">
        <w:rPr>
          <w:szCs w:val="22"/>
        </w:rPr>
        <w:t>enquête ont mis en évidence l</w:t>
      </w:r>
      <w:r w:rsidRPr="006517A2" w:rsidR="006517A2">
        <w:rPr>
          <w:szCs w:val="22"/>
        </w:rPr>
        <w:t>’</w:t>
      </w:r>
      <w:r w:rsidRPr="006517A2">
        <w:rPr>
          <w:szCs w:val="22"/>
        </w:rPr>
        <w:t>existence – voire l</w:t>
      </w:r>
      <w:r w:rsidRPr="006517A2" w:rsidR="006517A2">
        <w:rPr>
          <w:szCs w:val="22"/>
        </w:rPr>
        <w:t>’</w:t>
      </w:r>
      <w:r w:rsidRPr="006517A2">
        <w:rPr>
          <w:szCs w:val="22"/>
        </w:rPr>
        <w:t>accumulation – d</w:t>
      </w:r>
      <w:r w:rsidRPr="006517A2" w:rsidR="006517A2">
        <w:rPr>
          <w:szCs w:val="22"/>
        </w:rPr>
        <w:t>’</w:t>
      </w:r>
      <w:r w:rsidRPr="006517A2">
        <w:rPr>
          <w:szCs w:val="22"/>
        </w:rPr>
        <w:t>actes ou d</w:t>
      </w:r>
      <w:r w:rsidRPr="006517A2" w:rsidR="006517A2">
        <w:rPr>
          <w:szCs w:val="22"/>
        </w:rPr>
        <w:t>’</w:t>
      </w:r>
      <w:r w:rsidRPr="006517A2">
        <w:rPr>
          <w:szCs w:val="22"/>
        </w:rPr>
        <w:t>abstentions constituant des fautes d</w:t>
      </w:r>
      <w:r w:rsidRPr="006517A2" w:rsidR="006517A2">
        <w:rPr>
          <w:szCs w:val="22"/>
        </w:rPr>
        <w:t>’</w:t>
      </w:r>
      <w:r w:rsidRPr="006517A2">
        <w:rPr>
          <w:szCs w:val="22"/>
        </w:rPr>
        <w:t xml:space="preserve">imprudence ou de négligence et des manquements à des obligations de prudence ou de sécurité prévues par les normes de sécurité prescrites en matière de navigabilité commises par les responsables de la sécurité du </w:t>
      </w:r>
      <w:proofErr w:type="spellStart"/>
      <w:r w:rsidRPr="006517A2">
        <w:rPr>
          <w:szCs w:val="22"/>
        </w:rPr>
        <w:t>Joola</w:t>
      </w:r>
      <w:proofErr w:type="spellEnd"/>
      <w:r w:rsidRPr="006517A2">
        <w:rPr>
          <w:szCs w:val="22"/>
        </w:rPr>
        <w:t>, en particulier son commandant, que ces personnes n</w:t>
      </w:r>
      <w:r w:rsidRPr="006517A2" w:rsidR="006517A2">
        <w:rPr>
          <w:szCs w:val="22"/>
        </w:rPr>
        <w:t>’</w:t>
      </w:r>
      <w:r w:rsidRPr="006517A2">
        <w:rPr>
          <w:szCs w:val="22"/>
        </w:rPr>
        <w:t>ont pas accompli les diligences que l</w:t>
      </w:r>
      <w:r w:rsidRPr="006517A2" w:rsidR="006517A2">
        <w:rPr>
          <w:szCs w:val="22"/>
        </w:rPr>
        <w:t>’</w:t>
      </w:r>
      <w:r w:rsidRPr="006517A2">
        <w:rPr>
          <w:szCs w:val="22"/>
        </w:rPr>
        <w:t>on pouvait attendre d</w:t>
      </w:r>
      <w:r w:rsidRPr="006517A2" w:rsidR="006517A2">
        <w:rPr>
          <w:szCs w:val="22"/>
        </w:rPr>
        <w:t>’</w:t>
      </w:r>
      <w:r w:rsidRPr="006517A2">
        <w:rPr>
          <w:szCs w:val="22"/>
        </w:rPr>
        <w:t>elles compte tenu de leurs fonctions, de leur compétence ainsi que du pouvoir et des moyens dont elles disposaient ; qu</w:t>
      </w:r>
      <w:r w:rsidRPr="006517A2" w:rsidR="006517A2">
        <w:rPr>
          <w:szCs w:val="22"/>
        </w:rPr>
        <w:t>’</w:t>
      </w:r>
      <w:r w:rsidRPr="006517A2">
        <w:rPr>
          <w:szCs w:val="22"/>
        </w:rPr>
        <w:t>elles ont créé ou contribué à créer une situation qui a permis le naufrage en violant de façon manifestement délibérée des obligations particulières de prudence et de sécurité prévues par le règlement et commis des fautes caractérisées exposant autrui à un risque d</w:t>
      </w:r>
      <w:r w:rsidRPr="006517A2" w:rsidR="006517A2">
        <w:rPr>
          <w:szCs w:val="22"/>
        </w:rPr>
        <w:t>’</w:t>
      </w:r>
      <w:r w:rsidRPr="006517A2">
        <w:rPr>
          <w:szCs w:val="22"/>
        </w:rPr>
        <w:t>une particulière gravité qu</w:t>
      </w:r>
      <w:r w:rsidRPr="006517A2" w:rsidR="006517A2">
        <w:rPr>
          <w:szCs w:val="22"/>
        </w:rPr>
        <w:t>’</w:t>
      </w:r>
      <w:r w:rsidRPr="006517A2">
        <w:rPr>
          <w:szCs w:val="22"/>
        </w:rPr>
        <w:t>elles ne pouvaient ignorer ; que les requérants ont donc subi un préjudice en raison du décès de leur parent résultant de faits présentant le caractère matériel de l</w:t>
      </w:r>
      <w:r w:rsidRPr="006517A2" w:rsidR="006517A2">
        <w:rPr>
          <w:szCs w:val="22"/>
        </w:rPr>
        <w:t>’</w:t>
      </w:r>
      <w:r w:rsidRPr="006517A2">
        <w:rPr>
          <w:szCs w:val="22"/>
        </w:rPr>
        <w:t>infraction d</w:t>
      </w:r>
      <w:r w:rsidRPr="006517A2" w:rsidR="006517A2">
        <w:rPr>
          <w:szCs w:val="22"/>
        </w:rPr>
        <w:t>’</w:t>
      </w:r>
      <w:r w:rsidRPr="006517A2">
        <w:rPr>
          <w:szCs w:val="22"/>
        </w:rPr>
        <w:t>homicide involontaire prévue par l</w:t>
      </w:r>
      <w:r w:rsidRPr="006517A2" w:rsidR="006517A2">
        <w:rPr>
          <w:szCs w:val="22"/>
        </w:rPr>
        <w:t>’</w:t>
      </w:r>
      <w:r w:rsidRPr="006517A2">
        <w:rPr>
          <w:szCs w:val="22"/>
        </w:rPr>
        <w:t>article 221-6 du [CP] ;</w:t>
      </w:r>
    </w:p>
    <w:p w:rsidRPr="006517A2" w:rsidR="00BE6E05" w:rsidP="006517A2" w:rsidRDefault="00BE6E05" w14:paraId="120601EB" w14:textId="3AF2D83D">
      <w:pPr>
        <w:pStyle w:val="JuQuot"/>
        <w:rPr>
          <w:szCs w:val="22"/>
        </w:rPr>
      </w:pPr>
      <w:r w:rsidRPr="006517A2">
        <w:rPr>
          <w:szCs w:val="22"/>
        </w:rPr>
        <w:t>Considérant qu</w:t>
      </w:r>
      <w:r w:rsidRPr="006517A2" w:rsidR="006517A2">
        <w:rPr>
          <w:szCs w:val="22"/>
        </w:rPr>
        <w:t>’</w:t>
      </w:r>
      <w:r w:rsidRPr="006517A2">
        <w:rPr>
          <w:szCs w:val="22"/>
        </w:rPr>
        <w:t>il doit en être conclu que si l</w:t>
      </w:r>
      <w:r w:rsidRPr="006517A2" w:rsidR="006517A2">
        <w:rPr>
          <w:szCs w:val="22"/>
        </w:rPr>
        <w:t>’</w:t>
      </w:r>
      <w:r w:rsidRPr="006517A2">
        <w:rPr>
          <w:szCs w:val="22"/>
        </w:rPr>
        <w:t>immunité de juridiction aurait pour effet de priver les parties civiles du procès pénal durant lequel elles auraient la possibilité de voir débattre des responsabilités pénales de toutes les personnes précitées, les parties civiles ne se retrouveraient néanmoins pas privées de tout accès à une juridiction, de toute voie de recours et particulièrement pas de l</w:t>
      </w:r>
      <w:r w:rsidRPr="006517A2" w:rsidR="006517A2">
        <w:rPr>
          <w:szCs w:val="22"/>
        </w:rPr>
        <w:t>’</w:t>
      </w:r>
      <w:r w:rsidRPr="006517A2">
        <w:rPr>
          <w:szCs w:val="22"/>
        </w:rPr>
        <w:t>application des dispositions leur permettant d</w:t>
      </w:r>
      <w:r w:rsidRPr="006517A2" w:rsidR="006517A2">
        <w:rPr>
          <w:szCs w:val="22"/>
        </w:rPr>
        <w:t>’</w:t>
      </w:r>
      <w:r w:rsidRPr="006517A2">
        <w:rPr>
          <w:szCs w:val="22"/>
        </w:rPr>
        <w:t>obtenir réparation de leur préjudice, dont elles ont fait usage ou ont eu la possibilité de faire usage ; que dans ces conditions, le déni de justice qui prive d</w:t>
      </w:r>
      <w:r w:rsidRPr="006517A2" w:rsidR="006517A2">
        <w:rPr>
          <w:szCs w:val="22"/>
        </w:rPr>
        <w:t>’</w:t>
      </w:r>
      <w:r w:rsidRPr="006517A2">
        <w:rPr>
          <w:szCs w:val="22"/>
        </w:rPr>
        <w:t>effet l</w:t>
      </w:r>
      <w:r w:rsidRPr="006517A2" w:rsidR="006517A2">
        <w:rPr>
          <w:szCs w:val="22"/>
        </w:rPr>
        <w:t>’</w:t>
      </w:r>
      <w:r w:rsidRPr="006517A2">
        <w:rPr>
          <w:szCs w:val="22"/>
        </w:rPr>
        <w:t>immunité de juridiction n</w:t>
      </w:r>
      <w:r w:rsidRPr="006517A2" w:rsidR="006517A2">
        <w:rPr>
          <w:szCs w:val="22"/>
        </w:rPr>
        <w:t>’</w:t>
      </w:r>
      <w:r w:rsidRPr="006517A2">
        <w:rPr>
          <w:szCs w:val="22"/>
        </w:rPr>
        <w:t>existe pas en l</w:t>
      </w:r>
      <w:r w:rsidRPr="006517A2" w:rsidR="006517A2">
        <w:rPr>
          <w:szCs w:val="22"/>
        </w:rPr>
        <w:t>’</w:t>
      </w:r>
      <w:r w:rsidRPr="006517A2">
        <w:rPr>
          <w:szCs w:val="22"/>
        </w:rPr>
        <w:t>espèce ; (...) ».</w:t>
      </w:r>
    </w:p>
    <w:p w:rsidRPr="006517A2" w:rsidR="00BE6E05" w:rsidP="006517A2" w:rsidRDefault="00BE6E05" w14:paraId="0B844D8B" w14:textId="73767B81">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 MERGEFORMAT </w:instrText>
      </w:r>
      <w:r w:rsidRPr="006517A2">
        <w:rPr>
          <w:rFonts w:ascii="Times New Roman" w:hAnsi="Times New Roman" w:cs="Times New Roman"/>
        </w:rPr>
        <w:fldChar w:fldCharType="separate"/>
      </w:r>
      <w:r w:rsidR="006517A2">
        <w:rPr>
          <w:rFonts w:ascii="Times New Roman" w:hAnsi="Times New Roman" w:cs="Times New Roman"/>
          <w:noProof/>
        </w:rPr>
        <w:t>17</w:t>
      </w:r>
      <w:r w:rsidRPr="006517A2">
        <w:rPr>
          <w:rFonts w:ascii="Times New Roman" w:hAnsi="Times New Roman" w:cs="Times New Roman"/>
        </w:rPr>
        <w:fldChar w:fldCharType="end"/>
      </w:r>
      <w:r w:rsidRPr="006517A2">
        <w:rPr>
          <w:rFonts w:ascii="Times New Roman" w:hAnsi="Times New Roman" w:cs="Times New Roman"/>
        </w:rPr>
        <w:t>.  Par un arrêt du 16 octobre 2018, la Cour de cassation rejeta le pourvoi de la requérante :</w:t>
      </w:r>
    </w:p>
    <w:p w:rsidRPr="006517A2" w:rsidR="00BE6E05" w:rsidP="006517A2" w:rsidRDefault="00BE6E05" w14:paraId="6D9F97AC" w14:textId="53F7382F">
      <w:pPr>
        <w:pStyle w:val="JuQuot"/>
      </w:pPr>
      <w:r w:rsidRPr="006517A2">
        <w:t>« (...) la cour d</w:t>
      </w:r>
      <w:r w:rsidRPr="006517A2" w:rsidR="006517A2">
        <w:t>’</w:t>
      </w:r>
      <w:r w:rsidRPr="006517A2">
        <w:t>appel, qui a relevé d</w:t>
      </w:r>
      <w:r w:rsidRPr="006517A2" w:rsidR="006517A2">
        <w:t>’</w:t>
      </w:r>
      <w:r w:rsidRPr="006517A2">
        <w:t>une part que le navire, dont l</w:t>
      </w:r>
      <w:r w:rsidRPr="006517A2" w:rsidR="006517A2">
        <w:t>’</w:t>
      </w:r>
      <w:r w:rsidRPr="006517A2">
        <w:t>équipage était commandé et encadré par des officiers de la marine nationale sénégalaise et géré par le ministère des forces armées, qui permettait d</w:t>
      </w:r>
      <w:r w:rsidRPr="006517A2" w:rsidR="006517A2">
        <w:t>’</w:t>
      </w:r>
      <w:r w:rsidRPr="006517A2">
        <w:t>assurer la continuité territoriale du pays, dont une partie était à cette époque sous la menace de révoltes armées, avait coulé en haute mer, d</w:t>
      </w:r>
      <w:r w:rsidRPr="006517A2" w:rsidR="006517A2">
        <w:t>’</w:t>
      </w:r>
      <w:r w:rsidRPr="006517A2">
        <w:t>autre part, que les personnes contre lesquelles il existait des charges suffisantes pour suivre des chefs susvisés agissaient au moment des faits dans l</w:t>
      </w:r>
      <w:r w:rsidRPr="006517A2" w:rsidR="006517A2">
        <w:t>’</w:t>
      </w:r>
      <w:r w:rsidRPr="006517A2">
        <w:t>exercice de l</w:t>
      </w:r>
      <w:r w:rsidRPr="006517A2" w:rsidR="006517A2">
        <w:t>’</w:t>
      </w:r>
      <w:r w:rsidRPr="006517A2">
        <w:t>autorité étatique, en troisième part, qu</w:t>
      </w:r>
      <w:r w:rsidRPr="006517A2" w:rsidR="006517A2">
        <w:t>’</w:t>
      </w:r>
      <w:r w:rsidRPr="006517A2">
        <w:t>en l</w:t>
      </w:r>
      <w:r w:rsidRPr="006517A2" w:rsidR="006517A2">
        <w:t>’</w:t>
      </w:r>
      <w:r w:rsidRPr="006517A2">
        <w:t>état du droit international, les infractions susvisées, quelle qu</w:t>
      </w:r>
      <w:r w:rsidRPr="006517A2" w:rsidR="006517A2">
        <w:t>’</w:t>
      </w:r>
      <w:r w:rsidRPr="006517A2">
        <w:t>en soit la gravité, ne relèvent pas des exceptions au principe de l</w:t>
      </w:r>
      <w:r w:rsidRPr="006517A2" w:rsidR="006517A2">
        <w:t>’</w:t>
      </w:r>
      <w:r w:rsidRPr="006517A2">
        <w:t>immunité des représentants de l</w:t>
      </w:r>
      <w:r w:rsidRPr="006517A2" w:rsidR="006517A2">
        <w:t>’</w:t>
      </w:r>
      <w:r w:rsidRPr="006517A2">
        <w:t>État dans l</w:t>
      </w:r>
      <w:r w:rsidRPr="006517A2" w:rsidR="006517A2">
        <w:t>’</w:t>
      </w:r>
      <w:r w:rsidRPr="006517A2">
        <w:t>expression de sa souveraineté, a justifié sa décision ».</w:t>
      </w:r>
    </w:p>
    <w:p w:rsidRPr="006517A2" w:rsidR="00BE6E05" w:rsidP="006517A2" w:rsidRDefault="00BE6E05" w14:paraId="1E8A9AF2" w14:textId="77777777">
      <w:pPr>
        <w:pStyle w:val="JuHA"/>
      </w:pPr>
      <w:r w:rsidRPr="006517A2">
        <w:t>Le droit français et la pratique interne et internationale pertinents</w:t>
      </w:r>
    </w:p>
    <w:p w:rsidRPr="006517A2" w:rsidR="00BE6E05" w:rsidP="006517A2" w:rsidRDefault="00BE6E05" w14:paraId="4666FA53" w14:textId="485BE2F7">
      <w:pPr>
        <w:pStyle w:val="JuPara"/>
      </w:pPr>
      <w:r w:rsidRPr="006517A2">
        <w:rPr>
          <w:bCs/>
        </w:rPr>
        <w:fldChar w:fldCharType="begin"/>
      </w:r>
      <w:r w:rsidRPr="006517A2">
        <w:rPr>
          <w:bCs/>
        </w:rPr>
        <w:instrText xml:space="preserve"> SEQ level0 \*arabic \* MERGEFORMAT </w:instrText>
      </w:r>
      <w:r w:rsidRPr="006517A2">
        <w:rPr>
          <w:bCs/>
        </w:rPr>
        <w:fldChar w:fldCharType="separate"/>
      </w:r>
      <w:r w:rsidR="006517A2">
        <w:rPr>
          <w:bCs/>
          <w:noProof/>
        </w:rPr>
        <w:t>18</w:t>
      </w:r>
      <w:r w:rsidRPr="006517A2">
        <w:rPr>
          <w:bCs/>
        </w:rPr>
        <w:fldChar w:fldCharType="end"/>
      </w:r>
      <w:r w:rsidRPr="006517A2">
        <w:rPr>
          <w:bCs/>
        </w:rPr>
        <w:t xml:space="preserve">.  Aux termes des articles 113-7 et 113-8 du </w:t>
      </w:r>
      <w:r w:rsidRPr="006517A2">
        <w:t>code pénal :</w:t>
      </w:r>
    </w:p>
    <w:p w:rsidRPr="006517A2" w:rsidR="00BE6E05" w:rsidP="006517A2" w:rsidRDefault="00BE6E05" w14:paraId="779E15C5" w14:textId="77777777">
      <w:pPr>
        <w:pStyle w:val="JuHArticle"/>
      </w:pPr>
      <w:r w:rsidRPr="006517A2">
        <w:t>Article 113-7</w:t>
      </w:r>
    </w:p>
    <w:p w:rsidRPr="006517A2" w:rsidR="00BE6E05" w:rsidP="006517A2" w:rsidRDefault="00BE6E05" w14:paraId="06B61BAF" w14:textId="6870883F">
      <w:pPr>
        <w:pStyle w:val="JuQuot"/>
      </w:pPr>
      <w:r w:rsidRPr="006517A2">
        <w:t>« La loi pénale française est applicable à tout crime, ainsi qu</w:t>
      </w:r>
      <w:r w:rsidRPr="006517A2" w:rsidR="006517A2">
        <w:t>’</w:t>
      </w:r>
      <w:r w:rsidRPr="006517A2">
        <w:t>à tout délit puni d</w:t>
      </w:r>
      <w:r w:rsidRPr="006517A2" w:rsidR="006517A2">
        <w:t>’</w:t>
      </w:r>
      <w:r w:rsidRPr="006517A2">
        <w:t>emprisonnement, commis par un Français ou par un étranger hors du territoire de la République lorsque la victime est de nationalité française au moment de l</w:t>
      </w:r>
      <w:r w:rsidRPr="006517A2" w:rsidR="006517A2">
        <w:t>’</w:t>
      </w:r>
      <w:r w:rsidRPr="006517A2">
        <w:t>infraction. »</w:t>
      </w:r>
    </w:p>
    <w:p w:rsidRPr="006517A2" w:rsidR="00BE6E05" w:rsidP="006517A2" w:rsidRDefault="00BE6E05" w14:paraId="1350B875" w14:textId="77777777">
      <w:pPr>
        <w:pStyle w:val="JuHArticle"/>
      </w:pPr>
      <w:r w:rsidRPr="006517A2">
        <w:t>Article 113-8</w:t>
      </w:r>
    </w:p>
    <w:p w:rsidRPr="006517A2" w:rsidR="00BE6E05" w:rsidP="006517A2" w:rsidRDefault="00BE6E05" w14:paraId="1AC1169B" w14:textId="28985549">
      <w:pPr>
        <w:pStyle w:val="JuQuot"/>
        <w:rPr>
          <w:rFonts w:ascii="Times New Roman" w:hAnsi="Times New Roman" w:cs="Times New Roman"/>
        </w:rPr>
      </w:pPr>
      <w:r w:rsidRPr="006517A2">
        <w:t>« Dans les cas prévus aux articles 113-6 et 113-7, la poursuite des délits ne peut être exercée qu</w:t>
      </w:r>
      <w:r w:rsidRPr="006517A2" w:rsidR="006517A2">
        <w:t>’</w:t>
      </w:r>
      <w:r w:rsidRPr="006517A2">
        <w:t>à la requête du ministère public. Elle doit être précédée d</w:t>
      </w:r>
      <w:r w:rsidRPr="006517A2" w:rsidR="006517A2">
        <w:t>’</w:t>
      </w:r>
      <w:r w:rsidRPr="006517A2">
        <w:t>une plainte de la victime ou de ses ayants droit ou d</w:t>
      </w:r>
      <w:r w:rsidRPr="006517A2" w:rsidR="006517A2">
        <w:t>’</w:t>
      </w:r>
      <w:r w:rsidRPr="006517A2">
        <w:t>une dénonciation officielle par l</w:t>
      </w:r>
      <w:r w:rsidRPr="006517A2" w:rsidR="006517A2">
        <w:t>’</w:t>
      </w:r>
      <w:r w:rsidRPr="006517A2">
        <w:t>autorité du pays où le fait a été commis. »</w:t>
      </w:r>
    </w:p>
    <w:p w:rsidRPr="006517A2" w:rsidR="00BE6E05" w:rsidP="006517A2" w:rsidRDefault="00BE6E05" w14:paraId="7C8CF153" w14:textId="41086BFF">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w:instrText>
      </w:r>
      <w:r w:rsidRPr="006517A2">
        <w:rPr>
          <w:rFonts w:ascii="Times New Roman" w:hAnsi="Times New Roman" w:cs="Times New Roman"/>
        </w:rPr>
        <w:fldChar w:fldCharType="separate"/>
      </w:r>
      <w:r w:rsidR="006517A2">
        <w:rPr>
          <w:rFonts w:ascii="Times New Roman" w:hAnsi="Times New Roman" w:cs="Times New Roman"/>
          <w:noProof/>
        </w:rPr>
        <w:t>19</w:t>
      </w:r>
      <w:r w:rsidRPr="006517A2">
        <w:rPr>
          <w:rFonts w:ascii="Times New Roman" w:hAnsi="Times New Roman" w:cs="Times New Roman"/>
        </w:rPr>
        <w:fldChar w:fldCharType="end"/>
      </w:r>
      <w:r w:rsidRPr="006517A2">
        <w:rPr>
          <w:rFonts w:ascii="Times New Roman" w:hAnsi="Times New Roman" w:cs="Times New Roman"/>
        </w:rPr>
        <w:t>.  Selon la jurisprudence de la Cour de cassation, s</w:t>
      </w:r>
      <w:r w:rsidRPr="006517A2" w:rsidR="006517A2">
        <w:rPr>
          <w:rFonts w:ascii="Times New Roman" w:hAnsi="Times New Roman" w:cs="Times New Roman"/>
        </w:rPr>
        <w:t>’</w:t>
      </w:r>
      <w:r w:rsidRPr="006517A2">
        <w:rPr>
          <w:rFonts w:ascii="Times New Roman" w:hAnsi="Times New Roman" w:cs="Times New Roman"/>
        </w:rPr>
        <w:t>agissant des personnes protégées par l</w:t>
      </w:r>
      <w:r w:rsidRPr="006517A2" w:rsidR="006517A2">
        <w:rPr>
          <w:rFonts w:ascii="Times New Roman" w:hAnsi="Times New Roman" w:cs="Times New Roman"/>
        </w:rPr>
        <w:t>’</w:t>
      </w:r>
      <w:r w:rsidRPr="006517A2">
        <w:rPr>
          <w:rFonts w:ascii="Times New Roman" w:hAnsi="Times New Roman" w:cs="Times New Roman"/>
        </w:rPr>
        <w:t>immunité, « la coutume internationale qui s</w:t>
      </w:r>
      <w:r w:rsidRPr="006517A2" w:rsidR="006517A2">
        <w:rPr>
          <w:rFonts w:ascii="Times New Roman" w:hAnsi="Times New Roman" w:cs="Times New Roman"/>
        </w:rPr>
        <w:t>’</w:t>
      </w:r>
      <w:r w:rsidRPr="006517A2">
        <w:rPr>
          <w:rFonts w:ascii="Times New Roman" w:hAnsi="Times New Roman" w:cs="Times New Roman"/>
        </w:rPr>
        <w:t>oppose à la poursuite des États devant les juridictions pénales d</w:t>
      </w:r>
      <w:r w:rsidRPr="006517A2" w:rsidR="006517A2">
        <w:rPr>
          <w:rFonts w:ascii="Times New Roman" w:hAnsi="Times New Roman" w:cs="Times New Roman"/>
        </w:rPr>
        <w:t>’</w:t>
      </w:r>
      <w:r w:rsidRPr="006517A2">
        <w:rPr>
          <w:rFonts w:ascii="Times New Roman" w:hAnsi="Times New Roman" w:cs="Times New Roman"/>
        </w:rPr>
        <w:t>un État étranger s</w:t>
      </w:r>
      <w:r w:rsidRPr="006517A2" w:rsidR="006517A2">
        <w:rPr>
          <w:rFonts w:ascii="Times New Roman" w:hAnsi="Times New Roman" w:cs="Times New Roman"/>
        </w:rPr>
        <w:t>’</w:t>
      </w:r>
      <w:r w:rsidRPr="006517A2">
        <w:rPr>
          <w:rFonts w:ascii="Times New Roman" w:hAnsi="Times New Roman" w:cs="Times New Roman"/>
        </w:rPr>
        <w:t>étend aux organes et entités qui constituent l</w:t>
      </w:r>
      <w:r w:rsidRPr="006517A2" w:rsidR="006517A2">
        <w:rPr>
          <w:rFonts w:ascii="Times New Roman" w:hAnsi="Times New Roman" w:cs="Times New Roman"/>
        </w:rPr>
        <w:t>’</w:t>
      </w:r>
      <w:r w:rsidRPr="006517A2">
        <w:rPr>
          <w:rFonts w:ascii="Times New Roman" w:hAnsi="Times New Roman" w:cs="Times New Roman"/>
        </w:rPr>
        <w:t>émanation de l</w:t>
      </w:r>
      <w:r w:rsidRPr="006517A2" w:rsidR="006517A2">
        <w:rPr>
          <w:rFonts w:ascii="Times New Roman" w:hAnsi="Times New Roman" w:cs="Times New Roman"/>
        </w:rPr>
        <w:t>’</w:t>
      </w:r>
      <w:r w:rsidRPr="006517A2">
        <w:rPr>
          <w:rFonts w:ascii="Times New Roman" w:hAnsi="Times New Roman" w:cs="Times New Roman"/>
        </w:rPr>
        <w:t>État ainsi qu</w:t>
      </w:r>
      <w:r w:rsidRPr="006517A2" w:rsidR="006517A2">
        <w:rPr>
          <w:rFonts w:ascii="Times New Roman" w:hAnsi="Times New Roman" w:cs="Times New Roman"/>
        </w:rPr>
        <w:t>’</w:t>
      </w:r>
      <w:r w:rsidRPr="006517A2">
        <w:rPr>
          <w:rFonts w:ascii="Times New Roman" w:hAnsi="Times New Roman" w:cs="Times New Roman"/>
        </w:rPr>
        <w:t>à leurs agents en raison d</w:t>
      </w:r>
      <w:r w:rsidRPr="006517A2" w:rsidR="006517A2">
        <w:rPr>
          <w:rFonts w:ascii="Times New Roman" w:hAnsi="Times New Roman" w:cs="Times New Roman"/>
        </w:rPr>
        <w:t>’</w:t>
      </w:r>
      <w:r w:rsidRPr="006517A2">
        <w:rPr>
          <w:rFonts w:ascii="Times New Roman" w:hAnsi="Times New Roman" w:cs="Times New Roman"/>
        </w:rPr>
        <w:t>actes qui relèvent de la souveraineté de l</w:t>
      </w:r>
      <w:r w:rsidRPr="006517A2" w:rsidR="006517A2">
        <w:rPr>
          <w:rFonts w:ascii="Times New Roman" w:hAnsi="Times New Roman" w:cs="Times New Roman"/>
        </w:rPr>
        <w:t>’</w:t>
      </w:r>
      <w:r w:rsidRPr="006517A2">
        <w:rPr>
          <w:rFonts w:ascii="Times New Roman" w:hAnsi="Times New Roman" w:cs="Times New Roman"/>
        </w:rPr>
        <w:t>État concerné » (</w:t>
      </w:r>
      <w:proofErr w:type="spellStart"/>
      <w:r w:rsidRPr="006517A2">
        <w:rPr>
          <w:rFonts w:ascii="Times New Roman" w:hAnsi="Times New Roman" w:cs="Times New Roman"/>
        </w:rPr>
        <w:t>Crim</w:t>
      </w:r>
      <w:proofErr w:type="spellEnd"/>
      <w:r w:rsidRPr="006517A2">
        <w:rPr>
          <w:rFonts w:ascii="Times New Roman" w:hAnsi="Times New Roman" w:cs="Times New Roman"/>
        </w:rPr>
        <w:t xml:space="preserve">, 23 novembre 2004, 04-84.265, </w:t>
      </w:r>
      <w:proofErr w:type="spellStart"/>
      <w:r w:rsidRPr="006517A2">
        <w:rPr>
          <w:rFonts w:ascii="Times New Roman" w:hAnsi="Times New Roman" w:cs="Times New Roman"/>
        </w:rPr>
        <w:t>Crim</w:t>
      </w:r>
      <w:proofErr w:type="spellEnd"/>
      <w:r w:rsidRPr="006517A2">
        <w:rPr>
          <w:rFonts w:ascii="Times New Roman" w:hAnsi="Times New Roman" w:cs="Times New Roman"/>
        </w:rPr>
        <w:t>, 19 janvier 2010, n</w:t>
      </w:r>
      <w:r w:rsidRPr="006517A2">
        <w:rPr>
          <w:rFonts w:ascii="Times New Roman" w:hAnsi="Times New Roman" w:cs="Times New Roman"/>
          <w:vertAlign w:val="superscript"/>
        </w:rPr>
        <w:t>o</w:t>
      </w:r>
      <w:r w:rsidRPr="006517A2">
        <w:rPr>
          <w:rFonts w:ascii="Times New Roman" w:hAnsi="Times New Roman" w:cs="Times New Roman"/>
        </w:rPr>
        <w:t> 09-84.818). Par ailleurs, s</w:t>
      </w:r>
      <w:r w:rsidRPr="006517A2" w:rsidR="006517A2">
        <w:rPr>
          <w:rFonts w:ascii="Times New Roman" w:hAnsi="Times New Roman" w:cs="Times New Roman"/>
        </w:rPr>
        <w:t>’</w:t>
      </w:r>
      <w:r w:rsidRPr="006517A2">
        <w:rPr>
          <w:rFonts w:ascii="Times New Roman" w:hAnsi="Times New Roman" w:cs="Times New Roman"/>
        </w:rPr>
        <w:t>agissant des actes couverts par l</w:t>
      </w:r>
      <w:r w:rsidRPr="006517A2" w:rsidR="006517A2">
        <w:rPr>
          <w:rFonts w:ascii="Times New Roman" w:hAnsi="Times New Roman" w:cs="Times New Roman"/>
        </w:rPr>
        <w:t>’</w:t>
      </w:r>
      <w:r w:rsidRPr="006517A2">
        <w:rPr>
          <w:rFonts w:ascii="Times New Roman" w:hAnsi="Times New Roman" w:cs="Times New Roman"/>
        </w:rPr>
        <w:t>immunité, « les États étrangers et les organisations qui en constituent l</w:t>
      </w:r>
      <w:r w:rsidRPr="006517A2" w:rsidR="006517A2">
        <w:rPr>
          <w:rFonts w:ascii="Times New Roman" w:hAnsi="Times New Roman" w:cs="Times New Roman"/>
        </w:rPr>
        <w:t>’</w:t>
      </w:r>
      <w:r w:rsidRPr="006517A2">
        <w:rPr>
          <w:rFonts w:ascii="Times New Roman" w:hAnsi="Times New Roman" w:cs="Times New Roman"/>
        </w:rPr>
        <w:t>émanation ne bénéficient de l</w:t>
      </w:r>
      <w:r w:rsidRPr="006517A2" w:rsidR="006517A2">
        <w:rPr>
          <w:rFonts w:ascii="Times New Roman" w:hAnsi="Times New Roman" w:cs="Times New Roman"/>
        </w:rPr>
        <w:t>’</w:t>
      </w:r>
      <w:r w:rsidRPr="006517A2">
        <w:rPr>
          <w:rFonts w:ascii="Times New Roman" w:hAnsi="Times New Roman" w:cs="Times New Roman"/>
        </w:rPr>
        <w:t>immunité de juridiction, immunité relative et non absolue, qu</w:t>
      </w:r>
      <w:r w:rsidRPr="006517A2" w:rsidR="006517A2">
        <w:rPr>
          <w:rFonts w:ascii="Times New Roman" w:hAnsi="Times New Roman" w:cs="Times New Roman"/>
        </w:rPr>
        <w:t>’</w:t>
      </w:r>
      <w:r w:rsidRPr="006517A2">
        <w:rPr>
          <w:rFonts w:ascii="Times New Roman" w:hAnsi="Times New Roman" w:cs="Times New Roman"/>
        </w:rPr>
        <w:t>autant que l</w:t>
      </w:r>
      <w:r w:rsidRPr="006517A2" w:rsidR="006517A2">
        <w:rPr>
          <w:rFonts w:ascii="Times New Roman" w:hAnsi="Times New Roman" w:cs="Times New Roman"/>
        </w:rPr>
        <w:t>’</w:t>
      </w:r>
      <w:r w:rsidRPr="006517A2">
        <w:rPr>
          <w:rFonts w:ascii="Times New Roman" w:hAnsi="Times New Roman" w:cs="Times New Roman"/>
        </w:rPr>
        <w:t>acte qui donne lieu au litige ou qui leur est imputé à faute participe, par sa nature et sa finalité, à l</w:t>
      </w:r>
      <w:r w:rsidRPr="006517A2" w:rsidR="006517A2">
        <w:rPr>
          <w:rFonts w:ascii="Times New Roman" w:hAnsi="Times New Roman" w:cs="Times New Roman"/>
        </w:rPr>
        <w:t>’</w:t>
      </w:r>
      <w:r w:rsidRPr="006517A2">
        <w:rPr>
          <w:rFonts w:ascii="Times New Roman" w:hAnsi="Times New Roman" w:cs="Times New Roman"/>
        </w:rPr>
        <w:t>exercice de la souveraineté de ces États et n</w:t>
      </w:r>
      <w:r w:rsidRPr="006517A2" w:rsidR="006517A2">
        <w:rPr>
          <w:rFonts w:ascii="Times New Roman" w:hAnsi="Times New Roman" w:cs="Times New Roman"/>
        </w:rPr>
        <w:t>’</w:t>
      </w:r>
      <w:r w:rsidRPr="006517A2">
        <w:rPr>
          <w:rFonts w:ascii="Times New Roman" w:hAnsi="Times New Roman" w:cs="Times New Roman"/>
        </w:rPr>
        <w:t>est donc pas un acte de gestion » (</w:t>
      </w:r>
      <w:proofErr w:type="spellStart"/>
      <w:r w:rsidRPr="006517A2">
        <w:rPr>
          <w:rFonts w:ascii="Times New Roman" w:hAnsi="Times New Roman" w:cs="Times New Roman"/>
        </w:rPr>
        <w:t>Civ</w:t>
      </w:r>
      <w:proofErr w:type="spellEnd"/>
      <w:r w:rsidRPr="006517A2">
        <w:rPr>
          <w:rFonts w:ascii="Times New Roman" w:hAnsi="Times New Roman" w:cs="Times New Roman"/>
        </w:rPr>
        <w:t>, 9 mars 2011, n</w:t>
      </w:r>
      <w:r w:rsidRPr="006517A2">
        <w:rPr>
          <w:rFonts w:ascii="Times New Roman" w:hAnsi="Times New Roman" w:cs="Times New Roman"/>
          <w:vertAlign w:val="superscript"/>
        </w:rPr>
        <w:t>o</w:t>
      </w:r>
      <w:r w:rsidRPr="006517A2">
        <w:rPr>
          <w:rFonts w:ascii="Times New Roman" w:hAnsi="Times New Roman" w:cs="Times New Roman"/>
        </w:rPr>
        <w:t xml:space="preserve"> 09-14.743, Bull. civ. I , et, récemment, </w:t>
      </w:r>
      <w:proofErr w:type="spellStart"/>
      <w:r w:rsidRPr="006517A2">
        <w:rPr>
          <w:rFonts w:ascii="Times New Roman" w:hAnsi="Times New Roman" w:cs="Times New Roman"/>
        </w:rPr>
        <w:t>Crim</w:t>
      </w:r>
      <w:proofErr w:type="spellEnd"/>
      <w:r w:rsidRPr="006517A2">
        <w:rPr>
          <w:rFonts w:ascii="Times New Roman" w:hAnsi="Times New Roman" w:cs="Times New Roman"/>
        </w:rPr>
        <w:t>, 13 janvier 2021, n</w:t>
      </w:r>
      <w:r w:rsidRPr="006517A2">
        <w:rPr>
          <w:rFonts w:ascii="Times New Roman" w:hAnsi="Times New Roman" w:cs="Times New Roman"/>
          <w:vertAlign w:val="superscript"/>
        </w:rPr>
        <w:t>o</w:t>
      </w:r>
      <w:r w:rsidRPr="006517A2">
        <w:rPr>
          <w:rFonts w:ascii="Times New Roman" w:hAnsi="Times New Roman" w:cs="Times New Roman"/>
        </w:rPr>
        <w:t xml:space="preserve"> 20-80.511).</w:t>
      </w:r>
    </w:p>
    <w:p w:rsidRPr="006517A2" w:rsidR="00BE6E05" w:rsidP="006517A2" w:rsidRDefault="00B64AFC" w14:paraId="4613061F" w14:textId="7D156A1F">
      <w:pPr>
        <w:pStyle w:val="JuPara"/>
      </w:pPr>
      <w:r>
        <w:rPr>
          <w:noProof/>
        </w:rPr>
        <w:fldChar w:fldCharType="begin"/>
      </w:r>
      <w:r>
        <w:rPr>
          <w:noProof/>
        </w:rPr>
        <w:instrText xml:space="preserve"> SEQ level0 \*arabic \* MERGEFORMAT </w:instrText>
      </w:r>
      <w:r>
        <w:rPr>
          <w:noProof/>
        </w:rPr>
        <w:fldChar w:fldCharType="separate"/>
      </w:r>
      <w:r w:rsidR="006517A2">
        <w:rPr>
          <w:noProof/>
        </w:rPr>
        <w:t>20</w:t>
      </w:r>
      <w:r>
        <w:rPr>
          <w:noProof/>
        </w:rPr>
        <w:fldChar w:fldCharType="end"/>
      </w:r>
      <w:r w:rsidRPr="006517A2" w:rsidR="00BE6E05">
        <w:t>.  Dans l</w:t>
      </w:r>
      <w:r w:rsidRPr="006517A2" w:rsidR="006517A2">
        <w:t>’</w:t>
      </w:r>
      <w:r w:rsidRPr="006517A2" w:rsidR="00BE6E05">
        <w:t xml:space="preserve">affaire </w:t>
      </w:r>
      <w:r w:rsidRPr="006517A2" w:rsidR="00BE6E05">
        <w:rPr>
          <w:i/>
          <w:iCs/>
        </w:rPr>
        <w:t xml:space="preserve">Allemagne contre Italie ; Grèce (intervenant) </w:t>
      </w:r>
      <w:r w:rsidRPr="006517A2" w:rsidR="00BE6E05">
        <w:t>(arrêt du 3</w:t>
      </w:r>
      <w:r w:rsidRPr="006517A2" w:rsidR="001A7132">
        <w:t> </w:t>
      </w:r>
      <w:r w:rsidRPr="006517A2" w:rsidR="00BE6E05">
        <w:t>février 2012), la Cour internationale de justice (CIJ) a dit :</w:t>
      </w:r>
    </w:p>
    <w:p w:rsidRPr="006517A2" w:rsidR="00BE6E05" w:rsidP="006517A2" w:rsidRDefault="00BE6E05" w14:paraId="62DEAE99" w14:textId="1DFC8321">
      <w:pPr>
        <w:pStyle w:val="JuQuot"/>
      </w:pPr>
      <w:r w:rsidRPr="006517A2">
        <w:t>« § 61. Les Parties s</w:t>
      </w:r>
      <w:r w:rsidRPr="006517A2" w:rsidR="006517A2">
        <w:t>’</w:t>
      </w:r>
      <w:r w:rsidRPr="006517A2">
        <w:t>accordent à considérer que les États jouissent, en règle générale, de l</w:t>
      </w:r>
      <w:r w:rsidRPr="006517A2" w:rsidR="006517A2">
        <w:t>’</w:t>
      </w:r>
      <w:r w:rsidRPr="006517A2">
        <w:t>immunité dans le cas d</w:t>
      </w:r>
      <w:r w:rsidRPr="006517A2" w:rsidR="006517A2">
        <w:t>’</w:t>
      </w:r>
      <w:r w:rsidRPr="006517A2">
        <w:t xml:space="preserve">actes </w:t>
      </w:r>
      <w:r w:rsidRPr="006517A2">
        <w:rPr>
          <w:i/>
          <w:iCs/>
        </w:rPr>
        <w:t xml:space="preserve">jure </w:t>
      </w:r>
      <w:proofErr w:type="spellStart"/>
      <w:r w:rsidRPr="006517A2">
        <w:rPr>
          <w:i/>
          <w:iCs/>
        </w:rPr>
        <w:t>imperii</w:t>
      </w:r>
      <w:proofErr w:type="spellEnd"/>
      <w:r w:rsidRPr="006517A2">
        <w:t>. Telle est l</w:t>
      </w:r>
      <w:r w:rsidRPr="006517A2" w:rsidR="006517A2">
        <w:t>’</w:t>
      </w:r>
      <w:r w:rsidRPr="006517A2">
        <w:t>approche adoptée dans la convention des Nations Unies, la convention européenne et le projet de convention interaméricaine, ainsi que dans les lois adoptées par ceux des États qui ont légiféré sur la question et dans la jurisprudence des tribunaux nationaux (...) ».</w:t>
      </w:r>
    </w:p>
    <w:p w:rsidRPr="006517A2" w:rsidR="00BE6E05" w:rsidP="006517A2" w:rsidRDefault="00BE6E05" w14:paraId="13DD0D89" w14:textId="77777777">
      <w:pPr>
        <w:pStyle w:val="JuHHead"/>
      </w:pPr>
      <w:r w:rsidRPr="006517A2">
        <w:t>GRIEF</w:t>
      </w:r>
    </w:p>
    <w:p w:rsidRPr="006517A2" w:rsidR="00BE6E05" w:rsidP="006517A2" w:rsidRDefault="00BE6E05" w14:paraId="225CEE1A" w14:textId="3473C5A8">
      <w:pPr>
        <w:pStyle w:val="JuPara"/>
        <w:rPr>
          <w:rFonts w:ascii="Times New Roman" w:hAnsi="Times New Roman" w:cs="Times New Roman"/>
        </w:rPr>
      </w:pPr>
      <w:r w:rsidRPr="006517A2">
        <w:rPr>
          <w:rFonts w:ascii="Times New Roman" w:hAnsi="Times New Roman" w:cs="Times New Roman"/>
        </w:rPr>
        <w:fldChar w:fldCharType="begin"/>
      </w:r>
      <w:r w:rsidRPr="006517A2">
        <w:rPr>
          <w:rFonts w:ascii="Times New Roman" w:hAnsi="Times New Roman" w:cs="Times New Roman"/>
        </w:rPr>
        <w:instrText xml:space="preserve"> SEQ level0 \*arabic \* MERGEFORMAT </w:instrText>
      </w:r>
      <w:r w:rsidRPr="006517A2">
        <w:rPr>
          <w:rFonts w:ascii="Times New Roman" w:hAnsi="Times New Roman" w:cs="Times New Roman"/>
        </w:rPr>
        <w:fldChar w:fldCharType="separate"/>
      </w:r>
      <w:r w:rsidR="006517A2">
        <w:rPr>
          <w:rFonts w:ascii="Times New Roman" w:hAnsi="Times New Roman" w:cs="Times New Roman"/>
          <w:noProof/>
        </w:rPr>
        <w:t>21</w:t>
      </w:r>
      <w:r w:rsidRPr="006517A2">
        <w:rPr>
          <w:rFonts w:ascii="Times New Roman" w:hAnsi="Times New Roman" w:cs="Times New Roman"/>
        </w:rPr>
        <w:fldChar w:fldCharType="end"/>
      </w:r>
      <w:r w:rsidRPr="006517A2">
        <w:rPr>
          <w:rFonts w:ascii="Times New Roman" w:hAnsi="Times New Roman" w:cs="Times New Roman"/>
        </w:rPr>
        <w:t>.  Invoquant les articles 6 § 1 et 13 de la Convention, la requérante soutient que l</w:t>
      </w:r>
      <w:r w:rsidRPr="006517A2" w:rsidR="006517A2">
        <w:rPr>
          <w:rFonts w:ascii="Times New Roman" w:hAnsi="Times New Roman" w:cs="Times New Roman"/>
        </w:rPr>
        <w:t>’</w:t>
      </w:r>
      <w:r w:rsidRPr="006517A2">
        <w:rPr>
          <w:rFonts w:ascii="Times New Roman" w:hAnsi="Times New Roman" w:cs="Times New Roman"/>
        </w:rPr>
        <w:t>octroi de l</w:t>
      </w:r>
      <w:r w:rsidRPr="006517A2" w:rsidR="006517A2">
        <w:rPr>
          <w:rFonts w:ascii="Times New Roman" w:hAnsi="Times New Roman" w:cs="Times New Roman"/>
        </w:rPr>
        <w:t>’</w:t>
      </w:r>
      <w:r w:rsidRPr="006517A2">
        <w:rPr>
          <w:rFonts w:ascii="Times New Roman" w:hAnsi="Times New Roman" w:cs="Times New Roman"/>
        </w:rPr>
        <w:t>immunité aux responsables du naufrage constitue une restriction disproportionnée de son droit d</w:t>
      </w:r>
      <w:r w:rsidRPr="006517A2" w:rsidR="006517A2">
        <w:rPr>
          <w:rFonts w:ascii="Times New Roman" w:hAnsi="Times New Roman" w:cs="Times New Roman"/>
        </w:rPr>
        <w:t>’</w:t>
      </w:r>
      <w:r w:rsidRPr="006517A2">
        <w:rPr>
          <w:rFonts w:ascii="Times New Roman" w:hAnsi="Times New Roman" w:cs="Times New Roman"/>
        </w:rPr>
        <w:t>accès à un tribunal. Elle affirme que les violations aux règlements internationaux de navigation et de sécurité sont des actes qui ne participent à l</w:t>
      </w:r>
      <w:r w:rsidRPr="006517A2" w:rsidR="006517A2">
        <w:rPr>
          <w:rFonts w:ascii="Times New Roman" w:hAnsi="Times New Roman" w:cs="Times New Roman"/>
        </w:rPr>
        <w:t>’</w:t>
      </w:r>
      <w:r w:rsidRPr="006517A2">
        <w:rPr>
          <w:rFonts w:ascii="Times New Roman" w:hAnsi="Times New Roman" w:cs="Times New Roman"/>
        </w:rPr>
        <w:t>exercice de la souveraineté de l</w:t>
      </w:r>
      <w:r w:rsidRPr="006517A2" w:rsidR="006517A2">
        <w:rPr>
          <w:rFonts w:ascii="Times New Roman" w:hAnsi="Times New Roman" w:cs="Times New Roman"/>
        </w:rPr>
        <w:t>’</w:t>
      </w:r>
      <w:r w:rsidRPr="006517A2">
        <w:rPr>
          <w:rFonts w:ascii="Times New Roman" w:hAnsi="Times New Roman" w:cs="Times New Roman"/>
        </w:rPr>
        <w:t>État sénégalais.</w:t>
      </w:r>
    </w:p>
    <w:bookmarkEnd w:id="0"/>
    <w:p w:rsidRPr="006517A2" w:rsidR="00BE6E05" w:rsidP="006517A2" w:rsidRDefault="00BE6E05" w14:paraId="62273129" w14:textId="53A373A4">
      <w:pPr>
        <w:pStyle w:val="JuHHead"/>
        <w:numPr>
          <w:ilvl w:val="0"/>
          <w:numId w:val="0"/>
        </w:numPr>
      </w:pPr>
      <w:r w:rsidRPr="006517A2">
        <w:t>EN DROIT</w:t>
      </w:r>
    </w:p>
    <w:p w:rsidRPr="006517A2" w:rsidR="00BE6E05" w:rsidP="006517A2" w:rsidRDefault="00BE6E05" w14:paraId="1495EA4F" w14:textId="60E54EF6">
      <w:pPr>
        <w:pStyle w:val="JuPara"/>
      </w:pPr>
      <w:r w:rsidRPr="006517A2">
        <w:fldChar w:fldCharType="begin"/>
      </w:r>
      <w:r w:rsidRPr="006517A2">
        <w:instrText xml:space="preserve"> SEQ level0 \*arabic </w:instrText>
      </w:r>
      <w:r w:rsidRPr="006517A2">
        <w:fldChar w:fldCharType="separate"/>
      </w:r>
      <w:r w:rsidR="006517A2">
        <w:rPr>
          <w:noProof/>
        </w:rPr>
        <w:t>22</w:t>
      </w:r>
      <w:r w:rsidRPr="006517A2">
        <w:fldChar w:fldCharType="end"/>
      </w:r>
      <w:r w:rsidRPr="006517A2">
        <w:t>.  La requérante allègue une violation de l</w:t>
      </w:r>
      <w:r w:rsidRPr="006517A2" w:rsidR="006517A2">
        <w:t>’</w:t>
      </w:r>
      <w:r w:rsidRPr="006517A2">
        <w:t>article 6 § 1 combiné avec l</w:t>
      </w:r>
      <w:r w:rsidRPr="006517A2" w:rsidR="006517A2">
        <w:t>’</w:t>
      </w:r>
      <w:r w:rsidRPr="006517A2">
        <w:t>article 13 de la Convention, qui disposent :</w:t>
      </w:r>
    </w:p>
    <w:p w:rsidRPr="006517A2" w:rsidR="00BE6E05" w:rsidP="006517A2" w:rsidRDefault="00BE6E05" w14:paraId="564A8834" w14:textId="77777777">
      <w:pPr>
        <w:pStyle w:val="JuQuot"/>
        <w:jc w:val="center"/>
        <w:rPr>
          <w:b/>
          <w:bCs/>
        </w:rPr>
      </w:pPr>
      <w:r w:rsidRPr="006517A2">
        <w:rPr>
          <w:b/>
          <w:bCs/>
        </w:rPr>
        <w:t>Article 6</w:t>
      </w:r>
    </w:p>
    <w:p w:rsidRPr="006517A2" w:rsidR="00BE6E05" w:rsidP="006517A2" w:rsidRDefault="00BE6E05" w14:paraId="045812E1" w14:textId="77777777">
      <w:pPr>
        <w:pStyle w:val="JuQuot"/>
      </w:pPr>
      <w:r w:rsidRPr="006517A2">
        <w:t>« 1.  Toute personne a droit à ce que sa cause soit entendue équitablement, publiquement (...), par un tribunal (...) qui décidera, soit des contestations sur ses droits (...) de caractère civil (...). »</w:t>
      </w:r>
    </w:p>
    <w:p w:rsidRPr="006517A2" w:rsidR="00BE6E05" w:rsidP="006517A2" w:rsidRDefault="00BE6E05" w14:paraId="41D8E900" w14:textId="77777777">
      <w:pPr>
        <w:pStyle w:val="JuQuot"/>
        <w:jc w:val="center"/>
        <w:rPr>
          <w:b/>
          <w:bCs/>
        </w:rPr>
      </w:pPr>
      <w:r w:rsidRPr="006517A2">
        <w:rPr>
          <w:b/>
          <w:bCs/>
        </w:rPr>
        <w:t>Article 13</w:t>
      </w:r>
    </w:p>
    <w:p w:rsidRPr="006517A2" w:rsidR="00BE6E05" w:rsidP="006517A2" w:rsidRDefault="00BE6E05" w14:paraId="396F85BC" w14:textId="0829E57D">
      <w:pPr>
        <w:pStyle w:val="JuQuot"/>
      </w:pPr>
      <w:r w:rsidRPr="006517A2">
        <w:t>« Toute personne dont les droits et libertés reconnus dans la présente Convention ont été violés, a droit à l</w:t>
      </w:r>
      <w:r w:rsidRPr="006517A2" w:rsidR="006517A2">
        <w:t>’</w:t>
      </w:r>
      <w:r w:rsidRPr="006517A2">
        <w:t>octroi d</w:t>
      </w:r>
      <w:r w:rsidRPr="006517A2" w:rsidR="006517A2">
        <w:t>’</w:t>
      </w:r>
      <w:r w:rsidRPr="006517A2">
        <w:t>un recours effectif devant une instance nationale, alors même que la violation aurait été commise par des personnes agissant dans l</w:t>
      </w:r>
      <w:r w:rsidRPr="006517A2" w:rsidR="006517A2">
        <w:t>’</w:t>
      </w:r>
      <w:r w:rsidRPr="006517A2">
        <w:t>exercice de leurs fonctions officielles. »</w:t>
      </w:r>
    </w:p>
    <w:p w:rsidRPr="006517A2" w:rsidR="00BE6E05" w:rsidP="006517A2" w:rsidRDefault="00B64AFC" w14:paraId="066A43E2" w14:textId="1F54A269">
      <w:pPr>
        <w:pStyle w:val="JuPara"/>
      </w:pPr>
      <w:r>
        <w:rPr>
          <w:noProof/>
        </w:rPr>
        <w:fldChar w:fldCharType="begin"/>
      </w:r>
      <w:r>
        <w:rPr>
          <w:noProof/>
        </w:rPr>
        <w:instrText xml:space="preserve"> SEQ level0 \*arabic \* MERGEFORMAT </w:instrText>
      </w:r>
      <w:r>
        <w:rPr>
          <w:noProof/>
        </w:rPr>
        <w:fldChar w:fldCharType="separate"/>
      </w:r>
      <w:r w:rsidR="006517A2">
        <w:rPr>
          <w:noProof/>
        </w:rPr>
        <w:t>23</w:t>
      </w:r>
      <w:r>
        <w:rPr>
          <w:noProof/>
        </w:rPr>
        <w:fldChar w:fldCharType="end"/>
      </w:r>
      <w:r w:rsidRPr="006517A2" w:rsidR="00BE6E05">
        <w:t>.  La Cour rappelle que l</w:t>
      </w:r>
      <w:r w:rsidRPr="006517A2" w:rsidR="006517A2">
        <w:t>’</w:t>
      </w:r>
      <w:r w:rsidRPr="006517A2" w:rsidR="00BE6E05">
        <w:t xml:space="preserve">article 6 § 1 de la Convention, </w:t>
      </w:r>
      <w:proofErr w:type="spellStart"/>
      <w:r w:rsidRPr="006517A2" w:rsidR="00BE6E05">
        <w:rPr>
          <w:i/>
          <w:iCs/>
        </w:rPr>
        <w:t>lex</w:t>
      </w:r>
      <w:proofErr w:type="spellEnd"/>
      <w:r w:rsidRPr="006517A2" w:rsidR="00BE6E05">
        <w:rPr>
          <w:i/>
          <w:iCs/>
        </w:rPr>
        <w:t xml:space="preserve"> </w:t>
      </w:r>
      <w:proofErr w:type="spellStart"/>
      <w:r w:rsidRPr="006517A2" w:rsidR="00BE6E05">
        <w:rPr>
          <w:i/>
          <w:iCs/>
        </w:rPr>
        <w:t>specialis</w:t>
      </w:r>
      <w:proofErr w:type="spellEnd"/>
      <w:r w:rsidRPr="006517A2" w:rsidR="00BE6E05">
        <w:t xml:space="preserve"> par rapport à l</w:t>
      </w:r>
      <w:r w:rsidRPr="006517A2" w:rsidR="006517A2">
        <w:t>’</w:t>
      </w:r>
      <w:r w:rsidRPr="006517A2" w:rsidR="00BE6E05">
        <w:t>article 13, garantit à chacun le droit à ce qu</w:t>
      </w:r>
      <w:r w:rsidRPr="006517A2" w:rsidR="006517A2">
        <w:t>’</w:t>
      </w:r>
      <w:r w:rsidRPr="006517A2" w:rsidR="00BE6E05">
        <w:t>un tribunal connaisse de toute contestation relative à ses droits et obligations de caractère civil (</w:t>
      </w:r>
      <w:proofErr w:type="spellStart"/>
      <w:r w:rsidRPr="006517A2" w:rsidR="00BE6E05">
        <w:rPr>
          <w:i/>
        </w:rPr>
        <w:t>Golder</w:t>
      </w:r>
      <w:proofErr w:type="spellEnd"/>
      <w:r w:rsidRPr="006517A2" w:rsidR="00BE6E05">
        <w:rPr>
          <w:i/>
        </w:rPr>
        <w:t xml:space="preserve"> c. Royaume-Uni</w:t>
      </w:r>
      <w:r w:rsidRPr="006517A2" w:rsidR="00BE6E05">
        <w:t>, 21 février 1975, §§ 28-36, série A n</w:t>
      </w:r>
      <w:r w:rsidRPr="006517A2" w:rsidR="00BE6E05">
        <w:rPr>
          <w:vertAlign w:val="superscript"/>
        </w:rPr>
        <w:t>o</w:t>
      </w:r>
      <w:r w:rsidRPr="006517A2" w:rsidR="00BE6E05">
        <w:t xml:space="preserve"> 18, </w:t>
      </w:r>
      <w:proofErr w:type="spellStart"/>
      <w:r w:rsidRPr="006517A2" w:rsidR="00BE6E05">
        <w:rPr>
          <w:i/>
        </w:rPr>
        <w:t>Fogarty</w:t>
      </w:r>
      <w:proofErr w:type="spellEnd"/>
      <w:r w:rsidRPr="006517A2" w:rsidR="00BE6E05">
        <w:rPr>
          <w:i/>
        </w:rPr>
        <w:t xml:space="preserve"> c. Royaume-Uni</w:t>
      </w:r>
      <w:r w:rsidRPr="006517A2" w:rsidR="00BE6E05">
        <w:t xml:space="preserve"> [GC], n</w:t>
      </w:r>
      <w:r w:rsidRPr="006517A2" w:rsidR="00BE6E05">
        <w:rPr>
          <w:vertAlign w:val="superscript"/>
        </w:rPr>
        <w:t>o</w:t>
      </w:r>
      <w:r w:rsidRPr="006517A2" w:rsidR="00BE6E05">
        <w:t xml:space="preserve"> 37112/97, § 32, CEDH 2001</w:t>
      </w:r>
      <w:r w:rsidRPr="006517A2" w:rsidR="00BE6E05">
        <w:noBreakHyphen/>
        <w:t xml:space="preserve">XI (extraits) et </w:t>
      </w:r>
      <w:r w:rsidRPr="006517A2" w:rsidR="00BE6E05">
        <w:rPr>
          <w:i/>
        </w:rPr>
        <w:t>Jones et autres</w:t>
      </w:r>
      <w:r w:rsidRPr="006517A2" w:rsidR="00BE6E05">
        <w:t xml:space="preserve"> </w:t>
      </w:r>
      <w:r w:rsidRPr="006517A2" w:rsidR="00BE6E05">
        <w:rPr>
          <w:i/>
        </w:rPr>
        <w:t>c. Royaume-Uni</w:t>
      </w:r>
      <w:r w:rsidRPr="006517A2" w:rsidR="00BE6E05">
        <w:t>, n</w:t>
      </w:r>
      <w:r w:rsidRPr="006517A2" w:rsidR="00BE6E05">
        <w:rPr>
          <w:vertAlign w:val="superscript"/>
        </w:rPr>
        <w:t>os</w:t>
      </w:r>
      <w:r w:rsidRPr="006517A2" w:rsidR="00BE6E05">
        <w:t xml:space="preserve"> 34356/06 et 40528/06</w:t>
      </w:r>
      <w:r w:rsidRPr="006517A2" w:rsidR="00BE6E05">
        <w:rPr>
          <w:snapToGrid w:val="0"/>
        </w:rPr>
        <w:t>, §186, CEDH 2014</w:t>
      </w:r>
      <w:r w:rsidRPr="006517A2" w:rsidR="00BE6E05">
        <w:t>).</w:t>
      </w:r>
    </w:p>
    <w:p w:rsidRPr="006517A2" w:rsidR="00BE6E05" w:rsidP="006517A2" w:rsidRDefault="00BE6E05" w14:paraId="35BAECA0" w14:textId="04EF2BEA">
      <w:pPr>
        <w:pStyle w:val="JuPara"/>
      </w:pPr>
      <w:r w:rsidRPr="006517A2">
        <w:fldChar w:fldCharType="begin"/>
      </w:r>
      <w:r w:rsidRPr="006517A2">
        <w:instrText xml:space="preserve"> SEQ level0 \*arabic </w:instrText>
      </w:r>
      <w:r w:rsidRPr="006517A2">
        <w:fldChar w:fldCharType="separate"/>
      </w:r>
      <w:r w:rsidR="006517A2">
        <w:rPr>
          <w:noProof/>
        </w:rPr>
        <w:t>24</w:t>
      </w:r>
      <w:r w:rsidRPr="006517A2">
        <w:fldChar w:fldCharType="end"/>
      </w:r>
      <w:r w:rsidRPr="006517A2">
        <w:t>.  Le droit d</w:t>
      </w:r>
      <w:r w:rsidRPr="006517A2" w:rsidR="006517A2">
        <w:t>’</w:t>
      </w:r>
      <w:r w:rsidRPr="006517A2">
        <w:t>accès aux tribunaux n</w:t>
      </w:r>
      <w:r w:rsidRPr="006517A2" w:rsidR="006517A2">
        <w:t>’</w:t>
      </w:r>
      <w:r w:rsidRPr="006517A2">
        <w:t>est toutefois pas absolu : il se prête à des limitations implicitement admises car il commande par sa nature même une réglementation par l</w:t>
      </w:r>
      <w:r w:rsidRPr="006517A2" w:rsidR="006517A2">
        <w:t>’</w:t>
      </w:r>
      <w:r w:rsidRPr="006517A2">
        <w:t>État. Les États contractants jouissent en la matière d</w:t>
      </w:r>
      <w:r w:rsidRPr="006517A2" w:rsidR="006517A2">
        <w:t>’</w:t>
      </w:r>
      <w:r w:rsidRPr="006517A2">
        <w:t>une certaine marge d</w:t>
      </w:r>
      <w:r w:rsidRPr="006517A2" w:rsidR="006517A2">
        <w:t>’</w:t>
      </w:r>
      <w:r w:rsidRPr="006517A2">
        <w:t>appréciation. Il appartient pourtant à la Cour de statuer en dernier ressort sur le respect des exigences de la Convention ; elle doit se convaincre que les limitations mises en œuvre ne restreignent pas l</w:t>
      </w:r>
      <w:r w:rsidRPr="006517A2" w:rsidR="006517A2">
        <w:t>’</w:t>
      </w:r>
      <w:r w:rsidRPr="006517A2">
        <w:t>accès offert à l</w:t>
      </w:r>
      <w:r w:rsidRPr="006517A2" w:rsidR="006517A2">
        <w:t>’</w:t>
      </w:r>
      <w:r w:rsidRPr="006517A2">
        <w:t>individu d</w:t>
      </w:r>
      <w:r w:rsidRPr="006517A2" w:rsidR="006517A2">
        <w:t>’</w:t>
      </w:r>
      <w:r w:rsidRPr="006517A2">
        <w:t>une manière ou à un point tels que le droit s</w:t>
      </w:r>
      <w:r w:rsidRPr="006517A2" w:rsidR="006517A2">
        <w:t>’</w:t>
      </w:r>
      <w:r w:rsidRPr="006517A2">
        <w:t>en trouve atteint dans sa substance même. En outre, pareilles limitations ne se concilient avec l</w:t>
      </w:r>
      <w:r w:rsidRPr="006517A2" w:rsidR="006517A2">
        <w:t>’</w:t>
      </w:r>
      <w:r w:rsidRPr="006517A2">
        <w:t>article 6 § 1 que si elles tendent à un but légitime et s</w:t>
      </w:r>
      <w:r w:rsidRPr="006517A2" w:rsidR="006517A2">
        <w:t>’</w:t>
      </w:r>
      <w:r w:rsidRPr="006517A2">
        <w:t>il existe un rapport raisonnable de proportionnalité entre les moyens employés et le but visé (voir, parmi les précédents concernant l</w:t>
      </w:r>
      <w:r w:rsidRPr="006517A2" w:rsidR="006517A2">
        <w:t>’</w:t>
      </w:r>
      <w:r w:rsidRPr="006517A2">
        <w:t>immunité juridictionnelle d</w:t>
      </w:r>
      <w:r w:rsidRPr="006517A2" w:rsidR="006517A2">
        <w:t>’</w:t>
      </w:r>
      <w:r w:rsidRPr="006517A2">
        <w:t xml:space="preserve">un </w:t>
      </w:r>
      <w:r w:rsidRPr="006517A2">
        <w:rPr>
          <w:rFonts w:cstheme="minorHAnsi"/>
        </w:rPr>
        <w:t>É</w:t>
      </w:r>
      <w:r w:rsidRPr="006517A2">
        <w:t xml:space="preserve">tat étranger, </w:t>
      </w:r>
      <w:proofErr w:type="spellStart"/>
      <w:r w:rsidRPr="006517A2">
        <w:rPr>
          <w:i/>
          <w:iCs/>
        </w:rPr>
        <w:t>Fogarty</w:t>
      </w:r>
      <w:proofErr w:type="spellEnd"/>
      <w:r w:rsidRPr="006517A2">
        <w:t xml:space="preserve">, précité, § 33, et, </w:t>
      </w:r>
      <w:r w:rsidRPr="006517A2">
        <w:rPr>
          <w:i/>
          <w:iCs/>
        </w:rPr>
        <w:t>Jones et autres c. Royaume-Uni</w:t>
      </w:r>
      <w:r w:rsidRPr="006517A2">
        <w:t>, précité, § 186).</w:t>
      </w:r>
    </w:p>
    <w:p w:rsidRPr="006517A2" w:rsidR="00BE6E05" w:rsidP="006517A2" w:rsidRDefault="00BE6E05" w14:paraId="5F148074" w14:textId="1AC41E00">
      <w:pPr>
        <w:pStyle w:val="JuPara"/>
        <w:rPr>
          <w:szCs w:val="22"/>
        </w:rPr>
      </w:pPr>
      <w:r w:rsidRPr="006517A2">
        <w:fldChar w:fldCharType="begin"/>
      </w:r>
      <w:r w:rsidRPr="006517A2">
        <w:instrText xml:space="preserve"> SEQ level0 \*arabic </w:instrText>
      </w:r>
      <w:r w:rsidRPr="006517A2">
        <w:fldChar w:fldCharType="separate"/>
      </w:r>
      <w:r w:rsidR="006517A2">
        <w:rPr>
          <w:noProof/>
        </w:rPr>
        <w:t>25</w:t>
      </w:r>
      <w:r w:rsidRPr="006517A2">
        <w:fldChar w:fldCharType="end"/>
      </w:r>
      <w:r w:rsidRPr="006517A2">
        <w:t>.  En l</w:t>
      </w:r>
      <w:r w:rsidRPr="006517A2" w:rsidR="006517A2">
        <w:t>’</w:t>
      </w:r>
      <w:r w:rsidRPr="006517A2">
        <w:t>espèce, et comme l</w:t>
      </w:r>
      <w:r w:rsidRPr="006517A2" w:rsidR="006517A2">
        <w:t>’</w:t>
      </w:r>
      <w:r w:rsidRPr="006517A2">
        <w:t>a rappelé la chambre de l</w:t>
      </w:r>
      <w:r w:rsidRPr="006517A2" w:rsidR="006517A2">
        <w:t>’</w:t>
      </w:r>
      <w:r w:rsidRPr="006517A2">
        <w:t>instruction, la requérante a subi une limitation de son droit d</w:t>
      </w:r>
      <w:r w:rsidRPr="006517A2" w:rsidR="006517A2">
        <w:t>’</w:t>
      </w:r>
      <w:r w:rsidRPr="006517A2">
        <w:t>accès à un tribunal en ce que qu</w:t>
      </w:r>
      <w:r w:rsidRPr="006517A2" w:rsidR="006517A2">
        <w:t>’</w:t>
      </w:r>
      <w:r w:rsidRPr="006517A2">
        <w:t>elle n</w:t>
      </w:r>
      <w:r w:rsidRPr="006517A2" w:rsidR="006517A2">
        <w:t>’</w:t>
      </w:r>
      <w:r w:rsidRPr="006517A2">
        <w:t>a pas pu bénéficier d</w:t>
      </w:r>
      <w:r w:rsidRPr="006517A2" w:rsidR="006517A2">
        <w:t>’</w:t>
      </w:r>
      <w:r w:rsidRPr="006517A2">
        <w:rPr>
          <w:szCs w:val="22"/>
        </w:rPr>
        <w:t>un procès où il serait débattu de la responsabilité pénale des dirigeants sénégalais de l</w:t>
      </w:r>
      <w:r w:rsidRPr="006517A2" w:rsidR="006517A2">
        <w:rPr>
          <w:szCs w:val="22"/>
        </w:rPr>
        <w:t>’</w:t>
      </w:r>
      <w:r w:rsidRPr="006517A2">
        <w:rPr>
          <w:szCs w:val="22"/>
        </w:rPr>
        <w:t>époque du naufrage.</w:t>
      </w:r>
    </w:p>
    <w:p w:rsidRPr="006517A2" w:rsidR="00BE6E05" w:rsidP="006517A2" w:rsidRDefault="00B64AFC" w14:paraId="3090C32D" w14:textId="6D235149">
      <w:pPr>
        <w:pStyle w:val="JuPara"/>
      </w:pPr>
      <w:r>
        <w:rPr>
          <w:noProof/>
        </w:rPr>
        <w:fldChar w:fldCharType="begin"/>
      </w:r>
      <w:r>
        <w:rPr>
          <w:noProof/>
        </w:rPr>
        <w:instrText xml:space="preserve"> SEQ level0 \*arabic \* MERGEFORMAT </w:instrText>
      </w:r>
      <w:r>
        <w:rPr>
          <w:noProof/>
        </w:rPr>
        <w:fldChar w:fldCharType="separate"/>
      </w:r>
      <w:r w:rsidR="006517A2">
        <w:rPr>
          <w:noProof/>
        </w:rPr>
        <w:t>26</w:t>
      </w:r>
      <w:r>
        <w:rPr>
          <w:noProof/>
        </w:rPr>
        <w:fldChar w:fldCharType="end"/>
      </w:r>
      <w:r w:rsidRPr="006517A2" w:rsidR="00BE6E05">
        <w:t xml:space="preserve">.  Sur le point de savoir, en premier lieu, si cette limitation du droit à un tribunal poursuivait un but légitime, la Cour rappelle sa jurisprudence constante selon laquelle, en application du principe </w:t>
      </w:r>
      <w:r w:rsidRPr="006517A2" w:rsidR="00BE6E05">
        <w:rPr>
          <w:i/>
          <w:iCs/>
        </w:rPr>
        <w:t xml:space="preserve">par in </w:t>
      </w:r>
      <w:proofErr w:type="spellStart"/>
      <w:r w:rsidRPr="006517A2" w:rsidR="00BE6E05">
        <w:rPr>
          <w:i/>
          <w:iCs/>
        </w:rPr>
        <w:t>parem</w:t>
      </w:r>
      <w:proofErr w:type="spellEnd"/>
      <w:r w:rsidRPr="006517A2" w:rsidR="00BE6E05">
        <w:rPr>
          <w:i/>
          <w:iCs/>
        </w:rPr>
        <w:t xml:space="preserve"> non </w:t>
      </w:r>
      <w:proofErr w:type="spellStart"/>
      <w:r w:rsidRPr="006517A2" w:rsidR="00BE6E05">
        <w:rPr>
          <w:i/>
          <w:iCs/>
        </w:rPr>
        <w:t>habet</w:t>
      </w:r>
      <w:proofErr w:type="spellEnd"/>
      <w:r w:rsidRPr="006517A2" w:rsidR="00BE6E05">
        <w:rPr>
          <w:i/>
          <w:iCs/>
        </w:rPr>
        <w:t xml:space="preserve"> imperium</w:t>
      </w:r>
      <w:r w:rsidRPr="006517A2" w:rsidR="00BE6E05">
        <w:t>, en vertu duquel un État ne peut être soumis à la juridiction d</w:t>
      </w:r>
      <w:r w:rsidRPr="006517A2" w:rsidR="006517A2">
        <w:t>’</w:t>
      </w:r>
      <w:r w:rsidRPr="006517A2" w:rsidR="00BE6E05">
        <w:t>un autre État, elle considère que l</w:t>
      </w:r>
      <w:r w:rsidRPr="006517A2" w:rsidR="006517A2">
        <w:t>’</w:t>
      </w:r>
      <w:r w:rsidRPr="006517A2" w:rsidR="00BE6E05">
        <w:t>octroi de l</w:t>
      </w:r>
      <w:r w:rsidRPr="006517A2" w:rsidR="006517A2">
        <w:t>’</w:t>
      </w:r>
      <w:r w:rsidRPr="006517A2" w:rsidR="00BE6E05">
        <w:t>immunité souveraine à un État dans une procédure civile poursuit le but légitime d</w:t>
      </w:r>
      <w:r w:rsidRPr="006517A2" w:rsidR="006517A2">
        <w:t>’</w:t>
      </w:r>
      <w:r w:rsidRPr="006517A2" w:rsidR="00BE6E05">
        <w:t xml:space="preserve">observer le droit international afin de favoriser la courtoisie et les bonnes relations entre États en garantissant le respect de la souveraineté des autres </w:t>
      </w:r>
      <w:r w:rsidRPr="006517A2" w:rsidR="00BE6E05">
        <w:rPr>
          <w:rFonts w:cstheme="minorHAnsi"/>
        </w:rPr>
        <w:t>É</w:t>
      </w:r>
      <w:r w:rsidRPr="006517A2" w:rsidR="00BE6E05">
        <w:t>tats (</w:t>
      </w:r>
      <w:proofErr w:type="spellStart"/>
      <w:r w:rsidRPr="006517A2" w:rsidR="00BE6E05">
        <w:rPr>
          <w:i/>
          <w:iCs/>
        </w:rPr>
        <w:t>Fogarty</w:t>
      </w:r>
      <w:proofErr w:type="spellEnd"/>
      <w:r w:rsidRPr="006517A2" w:rsidR="00BE6E05">
        <w:t xml:space="preserve">, précité, § 34, </w:t>
      </w:r>
      <w:r w:rsidRPr="006517A2" w:rsidR="00BE6E05">
        <w:rPr>
          <w:i/>
          <w:iCs/>
        </w:rPr>
        <w:t>Jones et autres c. Royaume-Uni</w:t>
      </w:r>
      <w:r w:rsidRPr="006517A2" w:rsidR="00BE6E05">
        <w:t>, précité, § 188). Elle ne voit aucune raison de mettre en cause la légitimité de ce but dans les circonstances de l</w:t>
      </w:r>
      <w:r w:rsidRPr="006517A2" w:rsidR="006517A2">
        <w:t>’</w:t>
      </w:r>
      <w:r w:rsidRPr="006517A2" w:rsidR="00BE6E05">
        <w:t>espèce.</w:t>
      </w:r>
    </w:p>
    <w:p w:rsidRPr="006517A2" w:rsidR="00BE6E05" w:rsidP="006517A2" w:rsidRDefault="00BE6E05" w14:paraId="3C9C5171" w14:textId="09694B3B">
      <w:pPr>
        <w:pStyle w:val="JuPara"/>
      </w:pPr>
      <w:r w:rsidRPr="006517A2">
        <w:fldChar w:fldCharType="begin"/>
      </w:r>
      <w:r w:rsidRPr="006517A2">
        <w:instrText xml:space="preserve"> SEQ level0 \*arabic </w:instrText>
      </w:r>
      <w:r w:rsidRPr="006517A2">
        <w:fldChar w:fldCharType="separate"/>
      </w:r>
      <w:r w:rsidR="006517A2">
        <w:rPr>
          <w:noProof/>
        </w:rPr>
        <w:t>27</w:t>
      </w:r>
      <w:r w:rsidRPr="006517A2">
        <w:fldChar w:fldCharType="end"/>
      </w:r>
      <w:r w:rsidRPr="006517A2">
        <w:t>.  La Cour doit, en second lieu, déterminer si la restriction litigieuse était proportionnée au but poursuivi.</w:t>
      </w:r>
    </w:p>
    <w:p w:rsidRPr="006517A2" w:rsidR="00BE6E05" w:rsidP="006517A2" w:rsidRDefault="00B64AFC" w14:paraId="53ED2973" w14:textId="25309668">
      <w:pPr>
        <w:pStyle w:val="JuPara"/>
      </w:pPr>
      <w:r>
        <w:rPr>
          <w:noProof/>
        </w:rPr>
        <w:fldChar w:fldCharType="begin"/>
      </w:r>
      <w:r>
        <w:rPr>
          <w:noProof/>
        </w:rPr>
        <w:instrText xml:space="preserve"> SEQ level0 \*arabic \* MERGEFORMAT </w:instrText>
      </w:r>
      <w:r>
        <w:rPr>
          <w:noProof/>
        </w:rPr>
        <w:fldChar w:fldCharType="separate"/>
      </w:r>
      <w:r w:rsidR="006517A2">
        <w:rPr>
          <w:noProof/>
        </w:rPr>
        <w:t>28</w:t>
      </w:r>
      <w:r>
        <w:rPr>
          <w:noProof/>
        </w:rPr>
        <w:fldChar w:fldCharType="end"/>
      </w:r>
      <w:r w:rsidRPr="006517A2" w:rsidR="00BE6E05">
        <w:t>.  À cet égard, elle rappelle, premièrement, la nécessité d</w:t>
      </w:r>
      <w:r w:rsidRPr="006517A2" w:rsidR="006517A2">
        <w:t>’</w:t>
      </w:r>
      <w:r w:rsidRPr="006517A2" w:rsidR="00BE6E05">
        <w:t>interpréter la Convention avec les autres règles du droit international, dont elle fait partie intégrante, y compris celles régissant l</w:t>
      </w:r>
      <w:r w:rsidRPr="006517A2" w:rsidR="006517A2">
        <w:t>’</w:t>
      </w:r>
      <w:r w:rsidRPr="006517A2" w:rsidR="00BE6E05">
        <w:t>octroi de l</w:t>
      </w:r>
      <w:r w:rsidRPr="006517A2" w:rsidR="006517A2">
        <w:t>’</w:t>
      </w:r>
      <w:r w:rsidRPr="006517A2" w:rsidR="00BE6E05">
        <w:t>immunité aux États, ce qui l</w:t>
      </w:r>
      <w:r w:rsidRPr="006517A2" w:rsidR="006517A2">
        <w:t>’</w:t>
      </w:r>
      <w:r w:rsidRPr="006517A2" w:rsidR="00BE6E05">
        <w:t>a conduit à conclure que des mesures prises par un État qui reflètent des principes de droit international généralement reconnus en matière d</w:t>
      </w:r>
      <w:r w:rsidRPr="006517A2" w:rsidR="006517A2">
        <w:t>’</w:t>
      </w:r>
      <w:r w:rsidRPr="006517A2" w:rsidR="00BE6E05">
        <w:t>immunité des États ne sauraient passer pour imposer une restriction disproportionnée au droit d</w:t>
      </w:r>
      <w:r w:rsidRPr="006517A2" w:rsidR="006517A2">
        <w:t>’</w:t>
      </w:r>
      <w:r w:rsidRPr="006517A2" w:rsidR="00BE6E05">
        <w:t>accès à un tribunal tel que garanti par l</w:t>
      </w:r>
      <w:r w:rsidRPr="006517A2" w:rsidR="006517A2">
        <w:t>’</w:t>
      </w:r>
      <w:r w:rsidRPr="006517A2" w:rsidR="00BE6E05">
        <w:t>article 6 § 1. Ainsi, de même que le droit d</w:t>
      </w:r>
      <w:r w:rsidRPr="006517A2" w:rsidR="006517A2">
        <w:t>’</w:t>
      </w:r>
      <w:r w:rsidRPr="006517A2" w:rsidR="00BE6E05">
        <w:t>accès à un tribunal est inhérent à la garantie d</w:t>
      </w:r>
      <w:r w:rsidRPr="006517A2" w:rsidR="006517A2">
        <w:t>’</w:t>
      </w:r>
      <w:r w:rsidRPr="006517A2" w:rsidR="00BE6E05">
        <w:t>un procès équitable accordée par cet article, certaines restrictions à l</w:t>
      </w:r>
      <w:r w:rsidRPr="006517A2" w:rsidR="006517A2">
        <w:t>’</w:t>
      </w:r>
      <w:r w:rsidRPr="006517A2" w:rsidR="00BE6E05">
        <w:t>accès doivent être tenues pour lui être inhérentes ; on en trouve un exemple dans les limitations généralement admises par la communauté des nations comme relevant de la doctrine de l</w:t>
      </w:r>
      <w:r w:rsidRPr="006517A2" w:rsidR="006517A2">
        <w:t>’</w:t>
      </w:r>
      <w:r w:rsidRPr="006517A2" w:rsidR="00BE6E05">
        <w:t>immunité des États (</w:t>
      </w:r>
      <w:proofErr w:type="spellStart"/>
      <w:r w:rsidRPr="006517A2" w:rsidR="00BE6E05">
        <w:rPr>
          <w:i/>
          <w:iCs/>
        </w:rPr>
        <w:t>Fogarty</w:t>
      </w:r>
      <w:proofErr w:type="spellEnd"/>
      <w:r w:rsidRPr="006517A2" w:rsidR="00BE6E05">
        <w:t xml:space="preserve">, précité, §§ 35-36, </w:t>
      </w:r>
      <w:r w:rsidRPr="006517A2" w:rsidR="00BE6E05">
        <w:rPr>
          <w:i/>
          <w:iCs/>
        </w:rPr>
        <w:t>Jones et autres</w:t>
      </w:r>
      <w:r w:rsidRPr="006517A2" w:rsidR="00BE6E05">
        <w:t xml:space="preserve"> précité, § 189).</w:t>
      </w:r>
    </w:p>
    <w:p w:rsidRPr="006517A2" w:rsidR="00BE6E05" w:rsidP="006517A2" w:rsidRDefault="00B64AFC" w14:paraId="4C5C12F8" w14:textId="699D6BE8">
      <w:pPr>
        <w:pStyle w:val="JuPara"/>
      </w:pPr>
      <w:r>
        <w:rPr>
          <w:noProof/>
        </w:rPr>
        <w:fldChar w:fldCharType="begin"/>
      </w:r>
      <w:r>
        <w:rPr>
          <w:noProof/>
        </w:rPr>
        <w:instrText xml:space="preserve"> SEQ level0 \*arabic \* MERGEFORMAT </w:instrText>
      </w:r>
      <w:r>
        <w:rPr>
          <w:noProof/>
        </w:rPr>
        <w:fldChar w:fldCharType="separate"/>
      </w:r>
      <w:r w:rsidR="006517A2">
        <w:rPr>
          <w:noProof/>
        </w:rPr>
        <w:t>29</w:t>
      </w:r>
      <w:r>
        <w:rPr>
          <w:noProof/>
        </w:rPr>
        <w:fldChar w:fldCharType="end"/>
      </w:r>
      <w:r w:rsidRPr="006517A2" w:rsidR="00BE6E05">
        <w:t>.  La Cour constate que les juridictions internes ont considéré que la coutume internationale qui s</w:t>
      </w:r>
      <w:r w:rsidRPr="006517A2" w:rsidR="006517A2">
        <w:t>’</w:t>
      </w:r>
      <w:r w:rsidRPr="006517A2" w:rsidR="00BE6E05">
        <w:t>oppose à la poursuite des États devant les juridictions pénales d</w:t>
      </w:r>
      <w:r w:rsidRPr="006517A2" w:rsidR="006517A2">
        <w:t>’</w:t>
      </w:r>
      <w:r w:rsidRPr="006517A2" w:rsidR="00BE6E05">
        <w:t xml:space="preserve">un </w:t>
      </w:r>
      <w:r w:rsidRPr="006517A2" w:rsidR="00BE6E05">
        <w:rPr>
          <w:rFonts w:cstheme="minorHAnsi"/>
        </w:rPr>
        <w:t>É</w:t>
      </w:r>
      <w:r w:rsidRPr="006517A2" w:rsidR="00BE6E05">
        <w:t>tat étranger s</w:t>
      </w:r>
      <w:r w:rsidRPr="006517A2" w:rsidR="006517A2">
        <w:t>’</w:t>
      </w:r>
      <w:r w:rsidRPr="006517A2" w:rsidR="00BE6E05">
        <w:t>étend aux organes et entités qui constituent l</w:t>
      </w:r>
      <w:r w:rsidRPr="006517A2" w:rsidR="006517A2">
        <w:t>’</w:t>
      </w:r>
      <w:r w:rsidRPr="006517A2" w:rsidR="00BE6E05">
        <w:t>émanation de l</w:t>
      </w:r>
      <w:r w:rsidRPr="006517A2" w:rsidR="006517A2">
        <w:t>’</w:t>
      </w:r>
      <w:r w:rsidRPr="006517A2" w:rsidR="00BE6E05">
        <w:rPr>
          <w:rFonts w:cstheme="minorHAnsi"/>
        </w:rPr>
        <w:t>É</w:t>
      </w:r>
      <w:r w:rsidRPr="006517A2" w:rsidR="00BE6E05">
        <w:t>tat ainsi qu</w:t>
      </w:r>
      <w:r w:rsidRPr="006517A2" w:rsidR="006517A2">
        <w:t>’</w:t>
      </w:r>
      <w:r w:rsidRPr="006517A2" w:rsidR="00BE6E05">
        <w:t>à leurs agents en raison d</w:t>
      </w:r>
      <w:r w:rsidRPr="006517A2" w:rsidR="006517A2">
        <w:t>’</w:t>
      </w:r>
      <w:r w:rsidRPr="006517A2" w:rsidR="00BE6E05">
        <w:t>actes qui relèvent de la souveraineté de l</w:t>
      </w:r>
      <w:r w:rsidRPr="006517A2" w:rsidR="006517A2">
        <w:t>’</w:t>
      </w:r>
      <w:r w:rsidRPr="006517A2" w:rsidR="00BE6E05">
        <w:rPr>
          <w:rFonts w:cstheme="minorHAnsi"/>
        </w:rPr>
        <w:t>É</w:t>
      </w:r>
      <w:r w:rsidRPr="006517A2" w:rsidR="00BE6E05">
        <w:t>tat. S</w:t>
      </w:r>
      <w:r w:rsidRPr="006517A2" w:rsidR="006517A2">
        <w:t>’</w:t>
      </w:r>
      <w:r w:rsidRPr="006517A2" w:rsidR="00BE6E05">
        <w:t>agissant des personnes ayant agi à un degré élevé dans l</w:t>
      </w:r>
      <w:r w:rsidRPr="006517A2" w:rsidR="006517A2">
        <w:t>’</w:t>
      </w:r>
      <w:r w:rsidRPr="006517A2" w:rsidR="00BE6E05">
        <w:t>appareil d</w:t>
      </w:r>
      <w:r w:rsidRPr="006517A2" w:rsidR="006517A2">
        <w:t>’</w:t>
      </w:r>
      <w:r w:rsidRPr="006517A2" w:rsidR="00BE6E05">
        <w:rPr>
          <w:rFonts w:cstheme="minorHAnsi"/>
        </w:rPr>
        <w:t>É</w:t>
      </w:r>
      <w:r w:rsidRPr="006517A2" w:rsidR="00BE6E05">
        <w:t>tat sénégalais à propos du navire, elles ont ensuite analysé si leurs actes ou omissions relevaient des actes de puissance publique ou de gestion, aux fins de rechercher si l</w:t>
      </w:r>
      <w:r w:rsidRPr="006517A2" w:rsidR="006517A2">
        <w:t>’</w:t>
      </w:r>
      <w:r w:rsidRPr="006517A2" w:rsidR="00BE6E05">
        <w:t>immunité de juridiction s</w:t>
      </w:r>
      <w:r w:rsidRPr="006517A2" w:rsidR="006517A2">
        <w:t>’</w:t>
      </w:r>
      <w:r w:rsidRPr="006517A2" w:rsidR="00BE6E05">
        <w:t xml:space="preserve">appliquait </w:t>
      </w:r>
      <w:proofErr w:type="spellStart"/>
      <w:r w:rsidRPr="006517A2" w:rsidR="00BE6E05">
        <w:rPr>
          <w:i/>
          <w:iCs/>
        </w:rPr>
        <w:t>ratione</w:t>
      </w:r>
      <w:proofErr w:type="spellEnd"/>
      <w:r w:rsidRPr="006517A2" w:rsidR="00BE6E05">
        <w:rPr>
          <w:i/>
          <w:iCs/>
        </w:rPr>
        <w:t xml:space="preserve"> materiae </w:t>
      </w:r>
      <w:r w:rsidRPr="006517A2" w:rsidR="00BE6E05">
        <w:t>à l</w:t>
      </w:r>
      <w:r w:rsidRPr="006517A2" w:rsidR="006517A2">
        <w:t>’</w:t>
      </w:r>
      <w:r w:rsidRPr="006517A2" w:rsidR="00BE6E05">
        <w:t>ensemble de ces actes ou omissions, et dans la négative, si elle était susceptible de limitation. Elles ont finalement estimé que les violations des réglementations internationales de navigation maritime qui leur étaient imputées résultaient d</w:t>
      </w:r>
      <w:r w:rsidRPr="006517A2" w:rsidR="006517A2">
        <w:t>’</w:t>
      </w:r>
      <w:r w:rsidRPr="006517A2" w:rsidR="00BE6E05">
        <w:t>un exercice de la souveraineté du Sénégal et non d</w:t>
      </w:r>
      <w:r w:rsidRPr="006517A2" w:rsidR="006517A2">
        <w:t>’</w:t>
      </w:r>
      <w:r w:rsidRPr="006517A2" w:rsidR="00BE6E05">
        <w:t>actes de gestion privée. La Cour note également que la Cour de cassation, se remettant à l</w:t>
      </w:r>
      <w:r w:rsidRPr="006517A2" w:rsidR="006517A2">
        <w:t>’</w:t>
      </w:r>
      <w:r w:rsidRPr="006517A2" w:rsidR="00BE6E05">
        <w:t>état du droit international, a souligné que les infractions reprochées aux dirigeants sénégalais de l</w:t>
      </w:r>
      <w:r w:rsidRPr="006517A2" w:rsidR="006517A2">
        <w:t>’</w:t>
      </w:r>
      <w:r w:rsidRPr="006517A2" w:rsidR="00BE6E05">
        <w:t>époque du naufrage, quelle qu</w:t>
      </w:r>
      <w:r w:rsidRPr="006517A2" w:rsidR="006517A2">
        <w:t>’</w:t>
      </w:r>
      <w:r w:rsidRPr="006517A2" w:rsidR="00BE6E05">
        <w:t>en soit la gravité, ne relevaient pas des exceptions au principe de l</w:t>
      </w:r>
      <w:r w:rsidRPr="006517A2" w:rsidR="006517A2">
        <w:t>’</w:t>
      </w:r>
      <w:r w:rsidRPr="006517A2" w:rsidR="00BE6E05">
        <w:t>immunité des représentants de l</w:t>
      </w:r>
      <w:r w:rsidRPr="006517A2" w:rsidR="006517A2">
        <w:t>’</w:t>
      </w:r>
      <w:r w:rsidRPr="006517A2" w:rsidR="001A7132">
        <w:t>É</w:t>
      </w:r>
      <w:r w:rsidRPr="006517A2" w:rsidR="00BE6E05">
        <w:t>tat dans l</w:t>
      </w:r>
      <w:r w:rsidRPr="006517A2" w:rsidR="006517A2">
        <w:t>’</w:t>
      </w:r>
      <w:r w:rsidRPr="006517A2" w:rsidR="00BE6E05">
        <w:t>expression de sa souveraineté (paragraphes 16 et 17 ci-dessus).</w:t>
      </w:r>
    </w:p>
    <w:p w:rsidRPr="006517A2" w:rsidR="00BE6E05" w:rsidP="006517A2" w:rsidRDefault="00B64AFC" w14:paraId="0350870B" w14:textId="531BD50F">
      <w:pPr>
        <w:pStyle w:val="JuPara"/>
      </w:pPr>
      <w:r>
        <w:rPr>
          <w:noProof/>
        </w:rPr>
        <w:fldChar w:fldCharType="begin"/>
      </w:r>
      <w:r>
        <w:rPr>
          <w:noProof/>
        </w:rPr>
        <w:instrText xml:space="preserve"> SEQ level0 \*arabic \* MERGEFORMAT </w:instrText>
      </w:r>
      <w:r>
        <w:rPr>
          <w:noProof/>
        </w:rPr>
        <w:fldChar w:fldCharType="separate"/>
      </w:r>
      <w:r w:rsidR="006517A2">
        <w:rPr>
          <w:noProof/>
        </w:rPr>
        <w:t>30</w:t>
      </w:r>
      <w:r>
        <w:rPr>
          <w:noProof/>
        </w:rPr>
        <w:fldChar w:fldCharType="end"/>
      </w:r>
      <w:r w:rsidRPr="006517A2" w:rsidR="00BE6E05">
        <w:t>.  Rappelant qu</w:t>
      </w:r>
      <w:r w:rsidRPr="006517A2" w:rsidR="006517A2">
        <w:t>’</w:t>
      </w:r>
      <w:r w:rsidRPr="006517A2" w:rsidR="00BE6E05">
        <w:t>il appartient au premier chef aux juridictions internes d</w:t>
      </w:r>
      <w:r w:rsidRPr="006517A2" w:rsidR="006517A2">
        <w:t>’</w:t>
      </w:r>
      <w:r w:rsidRPr="006517A2" w:rsidR="00BE6E05">
        <w:t>interpréter les règles de droit international général (</w:t>
      </w:r>
      <w:r w:rsidRPr="006517A2" w:rsidR="00BE6E05">
        <w:rPr>
          <w:i/>
        </w:rPr>
        <w:t>Waite et Kennedy c. Allemagne</w:t>
      </w:r>
      <w:r w:rsidRPr="006517A2" w:rsidR="00BE6E05">
        <w:t xml:space="preserve"> [GC], n</w:t>
      </w:r>
      <w:r w:rsidRPr="006517A2" w:rsidR="00BE6E05">
        <w:rPr>
          <w:vertAlign w:val="superscript"/>
        </w:rPr>
        <w:t>o</w:t>
      </w:r>
      <w:r w:rsidRPr="006517A2" w:rsidR="00BE6E05">
        <w:t xml:space="preserve"> 26083/94, § 54, CEDH 1999</w:t>
      </w:r>
      <w:r w:rsidRPr="006517A2" w:rsidR="00BE6E05">
        <w:noBreakHyphen/>
        <w:t xml:space="preserve">I, </w:t>
      </w:r>
      <w:proofErr w:type="spellStart"/>
      <w:r w:rsidRPr="006517A2" w:rsidR="00BE6E05">
        <w:rPr>
          <w:i/>
        </w:rPr>
        <w:t>Korbely</w:t>
      </w:r>
      <w:proofErr w:type="spellEnd"/>
      <w:r w:rsidRPr="006517A2" w:rsidR="00BE6E05">
        <w:rPr>
          <w:i/>
        </w:rPr>
        <w:t xml:space="preserve"> c. Hongrie</w:t>
      </w:r>
      <w:r w:rsidRPr="006517A2" w:rsidR="00BE6E05">
        <w:t xml:space="preserve"> [GC], n</w:t>
      </w:r>
      <w:r w:rsidRPr="006517A2" w:rsidR="00BE6E05">
        <w:rPr>
          <w:vertAlign w:val="superscript"/>
        </w:rPr>
        <w:t>o</w:t>
      </w:r>
      <w:r w:rsidRPr="006517A2" w:rsidR="00BE6E05">
        <w:t xml:space="preserve"> 9174/02, § 72, CEDH 2008, et </w:t>
      </w:r>
      <w:proofErr w:type="spellStart"/>
      <w:r w:rsidRPr="006517A2" w:rsidR="00BE6E05">
        <w:rPr>
          <w:i/>
          <w:iCs/>
        </w:rPr>
        <w:t>Molla</w:t>
      </w:r>
      <w:proofErr w:type="spellEnd"/>
      <w:r w:rsidRPr="006517A2" w:rsidR="00BE6E05">
        <w:rPr>
          <w:i/>
          <w:iCs/>
        </w:rPr>
        <w:t xml:space="preserve"> Sali c. Grèce</w:t>
      </w:r>
      <w:r w:rsidRPr="006517A2" w:rsidR="00BE6E05">
        <w:rPr>
          <w:color w:val="000000"/>
        </w:rPr>
        <w:t xml:space="preserve"> [GC], </w:t>
      </w:r>
      <w:r w:rsidRPr="006517A2" w:rsidR="00BE6E05">
        <w:rPr>
          <w:lang w:eastAsia="en-GB"/>
        </w:rPr>
        <w:t>n</w:t>
      </w:r>
      <w:r w:rsidRPr="006517A2" w:rsidR="00BE6E05">
        <w:rPr>
          <w:vertAlign w:val="superscript"/>
          <w:lang w:eastAsia="en-GB"/>
        </w:rPr>
        <w:t>o</w:t>
      </w:r>
      <w:r w:rsidRPr="006517A2" w:rsidR="00BE6E05">
        <w:rPr>
          <w:lang w:eastAsia="en-GB"/>
        </w:rPr>
        <w:t> </w:t>
      </w:r>
      <w:r w:rsidRPr="006517A2" w:rsidR="00BE6E05">
        <w:rPr>
          <w:color w:val="000000"/>
        </w:rPr>
        <w:t xml:space="preserve">20452/14, </w:t>
      </w:r>
      <w:r w:rsidRPr="006517A2" w:rsidR="00BE6E05">
        <w:t>§ 149, 19 décembre 2018), la Cour constate qu</w:t>
      </w:r>
      <w:r w:rsidRPr="006517A2" w:rsidR="006517A2">
        <w:t>’</w:t>
      </w:r>
      <w:r w:rsidRPr="006517A2" w:rsidR="00BE6E05">
        <w:t>en accordant l</w:t>
      </w:r>
      <w:r w:rsidRPr="006517A2" w:rsidR="006517A2">
        <w:t>’</w:t>
      </w:r>
      <w:r w:rsidRPr="006517A2" w:rsidR="00BE6E05">
        <w:t>immunité concernée, les juridictions internes ne se sont pas écartées des normes internationales actuellement admises (paragraphe 20 ci-dessus). Elle observe à cet égard que la requérante n</w:t>
      </w:r>
      <w:r w:rsidRPr="006517A2" w:rsidR="006517A2">
        <w:t>’</w:t>
      </w:r>
      <w:r w:rsidRPr="006517A2" w:rsidR="00BE6E05">
        <w:t>a apporté aucun élément permettant de conclure que l</w:t>
      </w:r>
      <w:r w:rsidRPr="006517A2" w:rsidR="006517A2">
        <w:t>’</w:t>
      </w:r>
      <w:r w:rsidRPr="006517A2" w:rsidR="00BE6E05">
        <w:t>état du droit international se soit développé dans un sens qui rendrait le constat établi au paragraphe 28 ci-dessus irrecevable.</w:t>
      </w:r>
    </w:p>
    <w:p w:rsidRPr="006517A2" w:rsidR="00BE6E05" w:rsidP="006517A2" w:rsidRDefault="00BE6E05" w14:paraId="43596765" w14:textId="70E52B8A">
      <w:pPr>
        <w:pStyle w:val="JuPara"/>
      </w:pPr>
      <w:r w:rsidRPr="006517A2">
        <w:fldChar w:fldCharType="begin"/>
      </w:r>
      <w:r w:rsidRPr="006517A2">
        <w:instrText xml:space="preserve"> SEQ level0 \*arabic </w:instrText>
      </w:r>
      <w:r w:rsidRPr="006517A2">
        <w:fldChar w:fldCharType="separate"/>
      </w:r>
      <w:r w:rsidR="006517A2">
        <w:rPr>
          <w:noProof/>
        </w:rPr>
        <w:t>31</w:t>
      </w:r>
      <w:r w:rsidRPr="006517A2">
        <w:fldChar w:fldCharType="end"/>
      </w:r>
      <w:r w:rsidRPr="006517A2">
        <w:t>.  La Cour note, deuxièmement, que les juridictions internes n</w:t>
      </w:r>
      <w:r w:rsidRPr="006517A2" w:rsidR="006517A2">
        <w:t>’</w:t>
      </w:r>
      <w:r w:rsidRPr="006517A2">
        <w:t>ont pas opté pour un refus d</w:t>
      </w:r>
      <w:r w:rsidRPr="006517A2" w:rsidR="006517A2">
        <w:t>’</w:t>
      </w:r>
      <w:r w:rsidRPr="006517A2">
        <w:t>informer en raison de l</w:t>
      </w:r>
      <w:r w:rsidRPr="006517A2" w:rsidR="006517A2">
        <w:t>’</w:t>
      </w:r>
      <w:r w:rsidRPr="006517A2">
        <w:t>immunité des personnes mises en cause, mais elles ont rendu un non-lieu après avoir conduit des investigations particulièrement minutieuses et exhaustives afin de faire la lumière sur les événements ayant conduit au naufrage (paragraphes 9 à 11 ci-dessus). À l</w:t>
      </w:r>
      <w:r w:rsidRPr="006517A2" w:rsidR="006517A2">
        <w:t>’</w:t>
      </w:r>
      <w:r w:rsidRPr="006517A2">
        <w:t>issue de ces investigations, les autorités judiciaires ont retenu que les faits à la base de l</w:t>
      </w:r>
      <w:r w:rsidRPr="006517A2" w:rsidR="006517A2">
        <w:t>’</w:t>
      </w:r>
      <w:r w:rsidRPr="006517A2">
        <w:t>action de la requérante présentaient le « caractère matériel de l</w:t>
      </w:r>
      <w:r w:rsidRPr="006517A2" w:rsidR="006517A2">
        <w:t>’</w:t>
      </w:r>
      <w:r w:rsidRPr="006517A2">
        <w:t>infraction d</w:t>
      </w:r>
      <w:r w:rsidRPr="006517A2" w:rsidR="006517A2">
        <w:t>’</w:t>
      </w:r>
      <w:r w:rsidRPr="006517A2">
        <w:t>homicide involontaire » (paragraphe 16 ci-dessus) et qu</w:t>
      </w:r>
      <w:r w:rsidRPr="006517A2" w:rsidR="006517A2">
        <w:t>’</w:t>
      </w:r>
      <w:r w:rsidRPr="006517A2">
        <w:t>il y avait lieu de réparer les préjudices en résultant.</w:t>
      </w:r>
    </w:p>
    <w:p w:rsidRPr="006517A2" w:rsidR="00BE6E05" w:rsidP="006517A2" w:rsidRDefault="00B64AFC" w14:paraId="57E06296" w14:textId="554C2C69">
      <w:pPr>
        <w:pStyle w:val="JuPara"/>
      </w:pPr>
      <w:r>
        <w:rPr>
          <w:noProof/>
        </w:rPr>
        <w:fldChar w:fldCharType="begin"/>
      </w:r>
      <w:r>
        <w:rPr>
          <w:noProof/>
        </w:rPr>
        <w:instrText xml:space="preserve"> SEQ level0 \*arabic \* MERGEFORMAT </w:instrText>
      </w:r>
      <w:r>
        <w:rPr>
          <w:noProof/>
        </w:rPr>
        <w:fldChar w:fldCharType="separate"/>
      </w:r>
      <w:r w:rsidR="006517A2">
        <w:rPr>
          <w:noProof/>
        </w:rPr>
        <w:t>32</w:t>
      </w:r>
      <w:r>
        <w:rPr>
          <w:noProof/>
        </w:rPr>
        <w:fldChar w:fldCharType="end"/>
      </w:r>
      <w:r w:rsidRPr="006517A2" w:rsidR="00BE6E05">
        <w:t>.  Enfin, et troisièmement, si les juridictions internes ont constaté que les parties civiles étaient effectivement empêchées par l</w:t>
      </w:r>
      <w:r w:rsidRPr="006517A2" w:rsidR="006517A2">
        <w:t>’</w:t>
      </w:r>
      <w:r w:rsidRPr="006517A2" w:rsidR="00BE6E05">
        <w:t>immunité de juridiction de demander publiquement la réparation de leurs préjudices, elles ont cependant souligné qu</w:t>
      </w:r>
      <w:r w:rsidRPr="006517A2" w:rsidR="006517A2">
        <w:t>’</w:t>
      </w:r>
      <w:r w:rsidRPr="006517A2" w:rsidR="00BE6E05">
        <w:t>elles disposaient de voies de recours civiles à cette fin. Rappelant que l</w:t>
      </w:r>
      <w:r w:rsidRPr="006517A2" w:rsidR="006517A2">
        <w:t>’</w:t>
      </w:r>
      <w:r w:rsidRPr="006517A2" w:rsidR="00BE6E05">
        <w:t>action civile en réparation d</w:t>
      </w:r>
      <w:r w:rsidRPr="006517A2" w:rsidR="006517A2">
        <w:t>’</w:t>
      </w:r>
      <w:r w:rsidRPr="006517A2" w:rsidR="00BE6E05">
        <w:t>un dommage, distincte de l</w:t>
      </w:r>
      <w:r w:rsidRPr="006517A2" w:rsidR="006517A2">
        <w:t>’</w:t>
      </w:r>
      <w:r w:rsidRPr="006517A2" w:rsidR="00BE6E05">
        <w:t>action publique, appartient à tous ceux qui ont personnellement souffert du dommage direct causé par l</w:t>
      </w:r>
      <w:r w:rsidRPr="006517A2" w:rsidR="006517A2">
        <w:t>’</w:t>
      </w:r>
      <w:r w:rsidRPr="006517A2" w:rsidR="00BE6E05">
        <w:t>infraction, elles ont retenu que les parties civiles n</w:t>
      </w:r>
      <w:r w:rsidRPr="006517A2" w:rsidR="006517A2">
        <w:t>’</w:t>
      </w:r>
      <w:r w:rsidRPr="006517A2" w:rsidR="00BE6E05">
        <w:t>avaient pas été privées de tout accès à la justice puisqu</w:t>
      </w:r>
      <w:r w:rsidRPr="006517A2" w:rsidR="006517A2">
        <w:t>’</w:t>
      </w:r>
      <w:r w:rsidRPr="006517A2" w:rsidR="00BE6E05">
        <w:t>elles avaient eu, ou étaient sur le point de l</w:t>
      </w:r>
      <w:r w:rsidRPr="006517A2" w:rsidR="006517A2">
        <w:t>’</w:t>
      </w:r>
      <w:r w:rsidRPr="006517A2" w:rsidR="00BE6E05">
        <w:t>être, la possibilité d</w:t>
      </w:r>
      <w:r w:rsidRPr="006517A2" w:rsidR="006517A2">
        <w:t>’</w:t>
      </w:r>
      <w:r w:rsidRPr="006517A2" w:rsidR="00BE6E05">
        <w:t>obtenir la réparation de leur préjudice en vertu du dispositif relatif à l</w:t>
      </w:r>
      <w:r w:rsidRPr="006517A2" w:rsidR="006517A2">
        <w:t>’</w:t>
      </w:r>
      <w:r w:rsidRPr="006517A2" w:rsidR="00BE6E05">
        <w:t>indemnisation des victimes de dommages résultant d</w:t>
      </w:r>
      <w:r w:rsidRPr="006517A2" w:rsidR="006517A2">
        <w:t>’</w:t>
      </w:r>
      <w:r w:rsidRPr="006517A2" w:rsidR="00BE6E05">
        <w:t>une infraction (paragraphe 16 ci-dessus). En conséquence, la requérante et les autres parties civiles ne se sont pas trouvées dans une situation d</w:t>
      </w:r>
      <w:r w:rsidRPr="006517A2" w:rsidR="006517A2">
        <w:t>’</w:t>
      </w:r>
      <w:r w:rsidRPr="006517A2" w:rsidR="00BE6E05">
        <w:t>absence de tout recours.</w:t>
      </w:r>
    </w:p>
    <w:p w:rsidRPr="006517A2" w:rsidR="00BE6E05" w:rsidP="006517A2" w:rsidRDefault="00BE6E05" w14:paraId="5632FD9E" w14:textId="35BBF247">
      <w:pPr>
        <w:pStyle w:val="JuPara"/>
      </w:pPr>
      <w:r w:rsidRPr="006517A2">
        <w:fldChar w:fldCharType="begin"/>
      </w:r>
      <w:r w:rsidRPr="006517A2">
        <w:instrText xml:space="preserve"> SEQ level0 \*arabic </w:instrText>
      </w:r>
      <w:r w:rsidRPr="006517A2">
        <w:fldChar w:fldCharType="separate"/>
      </w:r>
      <w:r w:rsidR="006517A2">
        <w:rPr>
          <w:noProof/>
        </w:rPr>
        <w:t>33</w:t>
      </w:r>
      <w:r w:rsidRPr="006517A2">
        <w:fldChar w:fldCharType="end"/>
      </w:r>
      <w:r w:rsidRPr="006517A2">
        <w:t>.  Eu égard à tout ce qui précède, la Cour ne relève rien d</w:t>
      </w:r>
      <w:r w:rsidRPr="006517A2" w:rsidR="006517A2">
        <w:t>’</w:t>
      </w:r>
      <w:r w:rsidRPr="006517A2">
        <w:t>arbitraire ni de déraisonnable dans l</w:t>
      </w:r>
      <w:r w:rsidRPr="006517A2" w:rsidR="006517A2">
        <w:t>’</w:t>
      </w:r>
      <w:r w:rsidRPr="006517A2">
        <w:t>interprétation donnée par les juridictions internes aux principes de droits applicables ni dans la manière dont elles les ont appliqués au cas d</w:t>
      </w:r>
      <w:r w:rsidRPr="006517A2" w:rsidR="006517A2">
        <w:t>’</w:t>
      </w:r>
      <w:r w:rsidRPr="006517A2">
        <w:t>espèce. Partant, la requête est manifestement mal fondée et doit être rejetée en application de l</w:t>
      </w:r>
      <w:r w:rsidRPr="006517A2" w:rsidR="006517A2">
        <w:t>’</w:t>
      </w:r>
      <w:r w:rsidRPr="006517A2">
        <w:t>article 35 §§ 3 a) et 4 de la Convention.</w:t>
      </w:r>
    </w:p>
    <w:p w:rsidRPr="006517A2" w:rsidR="00BE6E05" w:rsidP="006517A2" w:rsidRDefault="00BE6E05" w14:paraId="7D386A2A" w14:textId="643AAE83">
      <w:pPr>
        <w:pStyle w:val="JuParaLast"/>
      </w:pPr>
      <w:r w:rsidRPr="006517A2">
        <w:t>Par ces motifs, la Cour, à l</w:t>
      </w:r>
      <w:r w:rsidRPr="006517A2" w:rsidR="006517A2">
        <w:t>’</w:t>
      </w:r>
      <w:r w:rsidRPr="006517A2">
        <w:t>unanimité,</w:t>
      </w:r>
    </w:p>
    <w:p w:rsidRPr="006517A2" w:rsidR="00BE6E05" w:rsidP="006517A2" w:rsidRDefault="00BE6E05" w14:paraId="784DD04E" w14:textId="77777777">
      <w:pPr>
        <w:pStyle w:val="DecList"/>
      </w:pPr>
      <w:r w:rsidRPr="006517A2">
        <w:rPr>
          <w:i/>
        </w:rPr>
        <w:t>Déclare</w:t>
      </w:r>
      <w:r w:rsidRPr="006517A2">
        <w:t xml:space="preserve"> la requête irrecevable.</w:t>
      </w:r>
    </w:p>
    <w:p w:rsidRPr="006517A2" w:rsidR="00050A32" w:rsidP="006517A2" w:rsidRDefault="00F40988" w14:paraId="5C3D34B3" w14:textId="7018523E">
      <w:pPr>
        <w:pStyle w:val="JuParaLast"/>
        <w:rPr>
          <w:sz w:val="14"/>
        </w:rPr>
      </w:pPr>
      <w:r w:rsidRPr="006517A2">
        <w:t xml:space="preserve">Fait en français puis communiqué par écrit le </w:t>
      </w:r>
      <w:r w:rsidRPr="006517A2" w:rsidR="003B5F1A">
        <w:t>24 février 2022</w:t>
      </w:r>
      <w:r w:rsidRPr="006517A2">
        <w:t>.</w:t>
      </w:r>
    </w:p>
    <w:p w:rsidRPr="006517A2" w:rsidR="00C64EBF" w:rsidP="006517A2" w:rsidRDefault="001B2A94" w14:paraId="331B9450" w14:textId="1EDCD8D3">
      <w:pPr>
        <w:pStyle w:val="ECHRPlaceholder"/>
      </w:pPr>
      <w:r w:rsidRPr="006517A2">
        <w:tab/>
      </w:r>
    </w:p>
    <w:p w:rsidRPr="006517A2" w:rsidR="00234E8A" w:rsidP="006517A2" w:rsidRDefault="00050A32" w14:paraId="4594E943" w14:textId="05AC43B5">
      <w:pPr>
        <w:pStyle w:val="JuSigned"/>
      </w:pPr>
      <w:r w:rsidRPr="006517A2">
        <w:tab/>
      </w:r>
      <w:r w:rsidRPr="006517A2" w:rsidR="00BE6E05">
        <w:rPr>
          <w:rFonts w:eastAsia="PMingLiU"/>
        </w:rPr>
        <w:t>Martina Keller</w:t>
      </w:r>
      <w:r w:rsidRPr="006517A2" w:rsidR="0091478F">
        <w:tab/>
      </w:r>
      <w:r w:rsidRPr="006517A2" w:rsidR="003B5F1A">
        <w:t xml:space="preserve">Stéphanie </w:t>
      </w:r>
      <w:proofErr w:type="spellStart"/>
      <w:r w:rsidRPr="006517A2" w:rsidR="003B5F1A">
        <w:t>Mourou-Vikström</w:t>
      </w:r>
      <w:proofErr w:type="spellEnd"/>
      <w:r w:rsidRPr="006517A2" w:rsidR="0058193F">
        <w:br/>
      </w:r>
      <w:r w:rsidRPr="006517A2" w:rsidR="0035621E">
        <w:rPr>
          <w:iCs/>
        </w:rPr>
        <w:tab/>
      </w:r>
      <w:r w:rsidRPr="006517A2" w:rsidR="00BE6E05">
        <w:t>Greffière adjointe</w:t>
      </w:r>
      <w:r w:rsidRPr="006517A2" w:rsidR="0091478F">
        <w:tab/>
      </w:r>
      <w:r w:rsidRPr="006517A2" w:rsidR="00BE6E05">
        <w:t>Présidente</w:t>
      </w:r>
    </w:p>
    <w:sectPr w:rsidRPr="006517A2" w:rsidR="00234E8A" w:rsidSect="00AF710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05098D" w14:textId="77777777" w:rsidR="00BE6E05" w:rsidRPr="00BE6E05" w:rsidRDefault="00BE6E05" w:rsidP="006544C4">
      <w:r w:rsidRPr="00BE6E05">
        <w:separator/>
      </w:r>
    </w:p>
  </w:endnote>
  <w:endnote w:type="continuationSeparator" w:id="0">
    <w:p w14:paraId="57BC629F" w14:textId="77777777" w:rsidR="00BE6E05" w:rsidRPr="00BE6E05" w:rsidRDefault="00BE6E05" w:rsidP="006544C4">
      <w:r w:rsidRPr="00BE6E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706D0" w14:textId="51A23812" w:rsidR="00AF7102" w:rsidRPr="00BE6E05" w:rsidRDefault="00BE6E05" w:rsidP="00FB64E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E3E34" w14:textId="6976E5DF" w:rsidR="00AF7102" w:rsidRPr="00BE6E05" w:rsidRDefault="00BE6E05" w:rsidP="00FB64E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CF30FB" w14:textId="30C28E91" w:rsidR="00BE6E05" w:rsidRPr="00150BFA" w:rsidRDefault="00BE6E05" w:rsidP="0020718E">
    <w:pPr>
      <w:jc w:val="center"/>
    </w:pPr>
    <w:r>
      <w:rPr>
        <w:noProof/>
        <w:lang w:val="en-US" w:eastAsia="ja-JP"/>
      </w:rPr>
      <w:drawing>
        <wp:inline distT="0" distB="0" distL="0" distR="0" wp14:anchorId="47D5C412" wp14:editId="6ECFD08F">
          <wp:extent cx="771525" cy="619125"/>
          <wp:effectExtent l="0" t="0" r="9525" b="9525"/>
          <wp:docPr id="22" name="Picture 2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6E82E85" w14:textId="3580FEFA" w:rsidR="00112D62" w:rsidRPr="00BE6E05" w:rsidRDefault="00B64AFC" w:rsidP="003146E4">
    <w:pPr>
      <w:jc w:val="center"/>
      <w:rPr>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B82CED" w14:textId="77777777" w:rsidR="00BE6E05" w:rsidRPr="00BE6E05" w:rsidRDefault="00BE6E05" w:rsidP="006544C4">
      <w:r w:rsidRPr="00BE6E05">
        <w:separator/>
      </w:r>
    </w:p>
  </w:footnote>
  <w:footnote w:type="continuationSeparator" w:id="0">
    <w:p w14:paraId="7CC30303" w14:textId="77777777" w:rsidR="00BE6E05" w:rsidRPr="00BE6E05" w:rsidRDefault="00BE6E05" w:rsidP="006544C4">
      <w:r w:rsidRPr="00BE6E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4F61C" w14:textId="2B9D0EC6" w:rsidR="00112D62" w:rsidRPr="00BE6E05" w:rsidRDefault="00334EC5" w:rsidP="003312A3">
    <w:pPr>
      <w:pStyle w:val="JuHeader"/>
    </w:pPr>
    <w:r w:rsidRPr="00BE6E05">
      <w:t xml:space="preserve">DÉCISION </w:t>
    </w:r>
    <w:r w:rsidR="00644F4B" w:rsidRPr="00644F4B">
      <w:t>ASSOCIATION DES FAMILLES DES VICTIMES DU JOOLA</w:t>
    </w:r>
    <w:r w:rsidR="00644F4B">
      <w:t xml:space="preserve"> </w:t>
    </w:r>
    <w:r w:rsidR="00BE6E05">
      <w:t>c. FRANCE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03699" w14:textId="77777777" w:rsidR="00644F4B" w:rsidRPr="00BE6E05" w:rsidRDefault="00644F4B" w:rsidP="00644F4B">
    <w:pPr>
      <w:pStyle w:val="JuHeader"/>
    </w:pPr>
    <w:r w:rsidRPr="00BE6E05">
      <w:t xml:space="preserve">DÉCISION </w:t>
    </w:r>
    <w:r w:rsidRPr="00644F4B">
      <w:t>ASSOCIATION DES FAMILLES DES VICTIMES DU JOOLA</w:t>
    </w:r>
    <w:r>
      <w:t xml:space="preserve"> c. FRANCE</w:t>
    </w:r>
  </w:p>
  <w:p w14:paraId="23CC0B0D" w14:textId="78817C73" w:rsidR="00112D62" w:rsidRPr="00644F4B" w:rsidRDefault="00B64AFC" w:rsidP="00644F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40A09" w14:textId="780AAFB3" w:rsidR="00BE6E05" w:rsidRPr="00A45145" w:rsidRDefault="00BE6E05" w:rsidP="00A45145">
    <w:pPr>
      <w:jc w:val="center"/>
    </w:pPr>
    <w:r>
      <w:rPr>
        <w:noProof/>
        <w:lang w:val="en-US" w:eastAsia="ja-JP"/>
      </w:rPr>
      <w:drawing>
        <wp:inline distT="0" distB="0" distL="0" distR="0" wp14:anchorId="197DEFC4" wp14:editId="0F63F80A">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C2F9A6F" w14:textId="092F5634" w:rsidR="00112D62" w:rsidRPr="00BE6E05" w:rsidRDefault="00B64AFC" w:rsidP="003146E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18C54F2"/>
    <w:multiLevelType w:val="multilevel"/>
    <w:tmpl w:val="7222064C"/>
    <w:numStyleLink w:val="ECHRA1StyleList"/>
  </w:abstractNum>
  <w:num w:numId="1">
    <w:abstractNumId w:val="13"/>
  </w:num>
  <w:num w:numId="2">
    <w:abstractNumId w:val="11"/>
  </w:num>
  <w:num w:numId="3">
    <w:abstractNumId w:val="10"/>
  </w:num>
  <w:num w:numId="4">
    <w:abstractNumId w:val="14"/>
  </w:num>
  <w:num w:numId="5">
    <w:abstractNumId w:val="12"/>
  </w:num>
  <w:num w:numId="6">
    <w:abstractNumId w:val="15"/>
  </w:num>
  <w:num w:numId="7">
    <w:abstractNumId w:val="14"/>
  </w:num>
  <w:num w:numId="8">
    <w:abstractNumId w:val="15"/>
  </w:num>
  <w:num w:numId="9">
    <w:abstractNumId w:val="9"/>
  </w:num>
  <w:num w:numId="10">
    <w:abstractNumId w:val="17"/>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0"/>
  </w:docVars>
  <w:rsids>
    <w:rsidRoot w:val="00BE6E05"/>
    <w:rsid w:val="000041F8"/>
    <w:rsid w:val="000042A8"/>
    <w:rsid w:val="00004308"/>
    <w:rsid w:val="00005BF0"/>
    <w:rsid w:val="00007154"/>
    <w:rsid w:val="0001025C"/>
    <w:rsid w:val="000103AE"/>
    <w:rsid w:val="00011D69"/>
    <w:rsid w:val="00012AD3"/>
    <w:rsid w:val="00015C2D"/>
    <w:rsid w:val="00015F00"/>
    <w:rsid w:val="00022C1D"/>
    <w:rsid w:val="000279B8"/>
    <w:rsid w:val="00034987"/>
    <w:rsid w:val="00050A32"/>
    <w:rsid w:val="000602DF"/>
    <w:rsid w:val="00061B05"/>
    <w:rsid w:val="000632D5"/>
    <w:rsid w:val="000644EE"/>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41A2"/>
    <w:rsid w:val="00166234"/>
    <w:rsid w:val="00166530"/>
    <w:rsid w:val="0016678F"/>
    <w:rsid w:val="001832BD"/>
    <w:rsid w:val="001943B5"/>
    <w:rsid w:val="00195134"/>
    <w:rsid w:val="001A145B"/>
    <w:rsid w:val="001A674C"/>
    <w:rsid w:val="001A7132"/>
    <w:rsid w:val="001B2A94"/>
    <w:rsid w:val="001B3B24"/>
    <w:rsid w:val="001C0F98"/>
    <w:rsid w:val="001C2A42"/>
    <w:rsid w:val="001D4B94"/>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4E8A"/>
    <w:rsid w:val="0023575D"/>
    <w:rsid w:val="00237148"/>
    <w:rsid w:val="0024222D"/>
    <w:rsid w:val="00244B0E"/>
    <w:rsid w:val="00244F6C"/>
    <w:rsid w:val="002532C5"/>
    <w:rsid w:val="00260C03"/>
    <w:rsid w:val="0026540E"/>
    <w:rsid w:val="00275123"/>
    <w:rsid w:val="00282240"/>
    <w:rsid w:val="002948AD"/>
    <w:rsid w:val="0029729E"/>
    <w:rsid w:val="002A01CC"/>
    <w:rsid w:val="002A61B1"/>
    <w:rsid w:val="002A663C"/>
    <w:rsid w:val="002B444B"/>
    <w:rsid w:val="002B5887"/>
    <w:rsid w:val="002C0E27"/>
    <w:rsid w:val="002C3040"/>
    <w:rsid w:val="002D022D"/>
    <w:rsid w:val="002D24BB"/>
    <w:rsid w:val="002D609F"/>
    <w:rsid w:val="002F2AF7"/>
    <w:rsid w:val="002F7E1C"/>
    <w:rsid w:val="00301A75"/>
    <w:rsid w:val="00302F70"/>
    <w:rsid w:val="0030336F"/>
    <w:rsid w:val="0030375E"/>
    <w:rsid w:val="00312A30"/>
    <w:rsid w:val="00320F72"/>
    <w:rsid w:val="0032463E"/>
    <w:rsid w:val="00326224"/>
    <w:rsid w:val="003312A3"/>
    <w:rsid w:val="00334EC5"/>
    <w:rsid w:val="00337EE4"/>
    <w:rsid w:val="00340FFD"/>
    <w:rsid w:val="003506B1"/>
    <w:rsid w:val="0035621E"/>
    <w:rsid w:val="00356AC7"/>
    <w:rsid w:val="003609FA"/>
    <w:rsid w:val="003710C8"/>
    <w:rsid w:val="003750BE"/>
    <w:rsid w:val="00381AF0"/>
    <w:rsid w:val="00387B9D"/>
    <w:rsid w:val="0039055E"/>
    <w:rsid w:val="0039364F"/>
    <w:rsid w:val="00396686"/>
    <w:rsid w:val="0039778E"/>
    <w:rsid w:val="003B4941"/>
    <w:rsid w:val="003B5F1A"/>
    <w:rsid w:val="003C5714"/>
    <w:rsid w:val="003C6B9F"/>
    <w:rsid w:val="003C6E2A"/>
    <w:rsid w:val="003D0299"/>
    <w:rsid w:val="003D1A95"/>
    <w:rsid w:val="003E6D80"/>
    <w:rsid w:val="003E747B"/>
    <w:rsid w:val="003F05FA"/>
    <w:rsid w:val="003F244A"/>
    <w:rsid w:val="003F30B8"/>
    <w:rsid w:val="003F4C45"/>
    <w:rsid w:val="003F5F7B"/>
    <w:rsid w:val="003F7D64"/>
    <w:rsid w:val="0040093C"/>
    <w:rsid w:val="004047FE"/>
    <w:rsid w:val="00414300"/>
    <w:rsid w:val="00425C67"/>
    <w:rsid w:val="00427E7A"/>
    <w:rsid w:val="00436C49"/>
    <w:rsid w:val="00445366"/>
    <w:rsid w:val="00447F5B"/>
    <w:rsid w:val="00461DB0"/>
    <w:rsid w:val="00463926"/>
    <w:rsid w:val="00464C9A"/>
    <w:rsid w:val="00474F3D"/>
    <w:rsid w:val="00474FDF"/>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0C6F"/>
    <w:rsid w:val="00562781"/>
    <w:rsid w:val="0057271C"/>
    <w:rsid w:val="00572845"/>
    <w:rsid w:val="0058193F"/>
    <w:rsid w:val="00592772"/>
    <w:rsid w:val="0059574A"/>
    <w:rsid w:val="005A1B9B"/>
    <w:rsid w:val="005A6751"/>
    <w:rsid w:val="005B092E"/>
    <w:rsid w:val="005B152C"/>
    <w:rsid w:val="005B1EE0"/>
    <w:rsid w:val="005B284C"/>
    <w:rsid w:val="005B2B24"/>
    <w:rsid w:val="005B4425"/>
    <w:rsid w:val="005B4B94"/>
    <w:rsid w:val="005C3EE8"/>
    <w:rsid w:val="005D34F9"/>
    <w:rsid w:val="005D4190"/>
    <w:rsid w:val="005D67A3"/>
    <w:rsid w:val="005E2988"/>
    <w:rsid w:val="005E3085"/>
    <w:rsid w:val="005F51E1"/>
    <w:rsid w:val="005F675D"/>
    <w:rsid w:val="00611C80"/>
    <w:rsid w:val="00620692"/>
    <w:rsid w:val="006242CA"/>
    <w:rsid w:val="00627507"/>
    <w:rsid w:val="00633717"/>
    <w:rsid w:val="006344E1"/>
    <w:rsid w:val="00644F4B"/>
    <w:rsid w:val="006517A2"/>
    <w:rsid w:val="006544C4"/>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B7E08"/>
    <w:rsid w:val="006C23D4"/>
    <w:rsid w:val="006C7BB0"/>
    <w:rsid w:val="006D3237"/>
    <w:rsid w:val="006E2E37"/>
    <w:rsid w:val="006E3CF1"/>
    <w:rsid w:val="006E7E80"/>
    <w:rsid w:val="006F19B0"/>
    <w:rsid w:val="006F48CA"/>
    <w:rsid w:val="006F64DD"/>
    <w:rsid w:val="00715127"/>
    <w:rsid w:val="00715E8E"/>
    <w:rsid w:val="0071796B"/>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6280"/>
    <w:rsid w:val="007A716F"/>
    <w:rsid w:val="007B270A"/>
    <w:rsid w:val="007C0695"/>
    <w:rsid w:val="007C419A"/>
    <w:rsid w:val="007C4CC8"/>
    <w:rsid w:val="007C5426"/>
    <w:rsid w:val="007C5798"/>
    <w:rsid w:val="007D4832"/>
    <w:rsid w:val="007D7219"/>
    <w:rsid w:val="007E21B2"/>
    <w:rsid w:val="007E2C4E"/>
    <w:rsid w:val="007E3991"/>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93576"/>
    <w:rsid w:val="00893E73"/>
    <w:rsid w:val="008B02DC"/>
    <w:rsid w:val="008B0BD9"/>
    <w:rsid w:val="008B57CE"/>
    <w:rsid w:val="008C26DE"/>
    <w:rsid w:val="008C4AA6"/>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478F"/>
    <w:rsid w:val="0091510C"/>
    <w:rsid w:val="00924E78"/>
    <w:rsid w:val="009259AC"/>
    <w:rsid w:val="00926F38"/>
    <w:rsid w:val="00934301"/>
    <w:rsid w:val="00934A97"/>
    <w:rsid w:val="00936CD1"/>
    <w:rsid w:val="00941747"/>
    <w:rsid w:val="0094178F"/>
    <w:rsid w:val="00941EFB"/>
    <w:rsid w:val="00947AFB"/>
    <w:rsid w:val="00951D7D"/>
    <w:rsid w:val="009630C7"/>
    <w:rsid w:val="00972B55"/>
    <w:rsid w:val="009743B7"/>
    <w:rsid w:val="00977DA8"/>
    <w:rsid w:val="0098228B"/>
    <w:rsid w:val="009828DA"/>
    <w:rsid w:val="00985BAB"/>
    <w:rsid w:val="009B1B5F"/>
    <w:rsid w:val="009B6673"/>
    <w:rsid w:val="009C191B"/>
    <w:rsid w:val="009C2BD6"/>
    <w:rsid w:val="009E1F32"/>
    <w:rsid w:val="009E776C"/>
    <w:rsid w:val="009F1D6B"/>
    <w:rsid w:val="00A1726E"/>
    <w:rsid w:val="00A204CF"/>
    <w:rsid w:val="00A23D49"/>
    <w:rsid w:val="00A27004"/>
    <w:rsid w:val="00A30C29"/>
    <w:rsid w:val="00A34DD6"/>
    <w:rsid w:val="00A36819"/>
    <w:rsid w:val="00A36989"/>
    <w:rsid w:val="00A43628"/>
    <w:rsid w:val="00A54192"/>
    <w:rsid w:val="00A55CE9"/>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C6FC1"/>
    <w:rsid w:val="00AD4F05"/>
    <w:rsid w:val="00AE0A2E"/>
    <w:rsid w:val="00AE354C"/>
    <w:rsid w:val="00AF4B07"/>
    <w:rsid w:val="00AF6186"/>
    <w:rsid w:val="00AF7102"/>
    <w:rsid w:val="00AF7A3A"/>
    <w:rsid w:val="00B01FB0"/>
    <w:rsid w:val="00B160DB"/>
    <w:rsid w:val="00B20836"/>
    <w:rsid w:val="00B235BB"/>
    <w:rsid w:val="00B27A44"/>
    <w:rsid w:val="00B30BBF"/>
    <w:rsid w:val="00B33C03"/>
    <w:rsid w:val="00B44E56"/>
    <w:rsid w:val="00B46543"/>
    <w:rsid w:val="00B47D33"/>
    <w:rsid w:val="00B52BE0"/>
    <w:rsid w:val="00B54133"/>
    <w:rsid w:val="00B615B9"/>
    <w:rsid w:val="00B701ED"/>
    <w:rsid w:val="00B8086C"/>
    <w:rsid w:val="00B83A72"/>
    <w:rsid w:val="00B861B4"/>
    <w:rsid w:val="00B86DFE"/>
    <w:rsid w:val="00B87FB1"/>
    <w:rsid w:val="00B90990"/>
    <w:rsid w:val="00B922FF"/>
    <w:rsid w:val="00B9281E"/>
    <w:rsid w:val="00B93925"/>
    <w:rsid w:val="00B95187"/>
    <w:rsid w:val="00BA1CA3"/>
    <w:rsid w:val="00BA2D55"/>
    <w:rsid w:val="00BA71B1"/>
    <w:rsid w:val="00BB0637"/>
    <w:rsid w:val="00BB312C"/>
    <w:rsid w:val="00BB345F"/>
    <w:rsid w:val="00BB68EA"/>
    <w:rsid w:val="00BC1C27"/>
    <w:rsid w:val="00BC6BBF"/>
    <w:rsid w:val="00BD1572"/>
    <w:rsid w:val="00BE14E3"/>
    <w:rsid w:val="00BE3774"/>
    <w:rsid w:val="00BE41E5"/>
    <w:rsid w:val="00BE6E05"/>
    <w:rsid w:val="00BF4109"/>
    <w:rsid w:val="00BF4CC3"/>
    <w:rsid w:val="00C054C7"/>
    <w:rsid w:val="00C057B5"/>
    <w:rsid w:val="00C22687"/>
    <w:rsid w:val="00C32E4D"/>
    <w:rsid w:val="00C333A0"/>
    <w:rsid w:val="00C36408"/>
    <w:rsid w:val="00C36A81"/>
    <w:rsid w:val="00C41974"/>
    <w:rsid w:val="00C53F4A"/>
    <w:rsid w:val="00C54125"/>
    <w:rsid w:val="00C559CB"/>
    <w:rsid w:val="00C55B54"/>
    <w:rsid w:val="00C6098E"/>
    <w:rsid w:val="00C6152C"/>
    <w:rsid w:val="00C64EBF"/>
    <w:rsid w:val="00C74810"/>
    <w:rsid w:val="00C81D5E"/>
    <w:rsid w:val="00C90D68"/>
    <w:rsid w:val="00C939FE"/>
    <w:rsid w:val="00CA4BDA"/>
    <w:rsid w:val="00CB1F66"/>
    <w:rsid w:val="00CB2951"/>
    <w:rsid w:val="00CD282B"/>
    <w:rsid w:val="00CD4C35"/>
    <w:rsid w:val="00CD7369"/>
    <w:rsid w:val="00CE0B0E"/>
    <w:rsid w:val="00CE3831"/>
    <w:rsid w:val="00CE6ED9"/>
    <w:rsid w:val="00D00ABB"/>
    <w:rsid w:val="00D02EEC"/>
    <w:rsid w:val="00D03551"/>
    <w:rsid w:val="00D06A63"/>
    <w:rsid w:val="00D07E0E"/>
    <w:rsid w:val="00D11478"/>
    <w:rsid w:val="00D15ED0"/>
    <w:rsid w:val="00D21B3E"/>
    <w:rsid w:val="00D21FED"/>
    <w:rsid w:val="00D24251"/>
    <w:rsid w:val="00D343E2"/>
    <w:rsid w:val="00D361A2"/>
    <w:rsid w:val="00D43F5E"/>
    <w:rsid w:val="00D44C2E"/>
    <w:rsid w:val="00D45414"/>
    <w:rsid w:val="00D566BD"/>
    <w:rsid w:val="00D57A4D"/>
    <w:rsid w:val="00D60AA7"/>
    <w:rsid w:val="00D6435F"/>
    <w:rsid w:val="00D75E28"/>
    <w:rsid w:val="00D772C2"/>
    <w:rsid w:val="00D8008E"/>
    <w:rsid w:val="00D82C45"/>
    <w:rsid w:val="00D908A8"/>
    <w:rsid w:val="00D90EB3"/>
    <w:rsid w:val="00D91EA0"/>
    <w:rsid w:val="00D977B6"/>
    <w:rsid w:val="00DA4A31"/>
    <w:rsid w:val="00DA7B04"/>
    <w:rsid w:val="00DB36C2"/>
    <w:rsid w:val="00DC169B"/>
    <w:rsid w:val="00DC2AB9"/>
    <w:rsid w:val="00DC63F0"/>
    <w:rsid w:val="00DD6EE5"/>
    <w:rsid w:val="00DE386C"/>
    <w:rsid w:val="00DE4D35"/>
    <w:rsid w:val="00DF098B"/>
    <w:rsid w:val="00DF1114"/>
    <w:rsid w:val="00DF11C4"/>
    <w:rsid w:val="00DF210C"/>
    <w:rsid w:val="00DF4B6A"/>
    <w:rsid w:val="00E02897"/>
    <w:rsid w:val="00E02C09"/>
    <w:rsid w:val="00E04D59"/>
    <w:rsid w:val="00E07DA1"/>
    <w:rsid w:val="00E123CB"/>
    <w:rsid w:val="00E17227"/>
    <w:rsid w:val="00E20E13"/>
    <w:rsid w:val="00E21DB2"/>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668A"/>
    <w:rsid w:val="00E90302"/>
    <w:rsid w:val="00E97396"/>
    <w:rsid w:val="00EA185E"/>
    <w:rsid w:val="00EA592A"/>
    <w:rsid w:val="00EB14E4"/>
    <w:rsid w:val="00EB32A5"/>
    <w:rsid w:val="00EB34ED"/>
    <w:rsid w:val="00EB7BE0"/>
    <w:rsid w:val="00EC2784"/>
    <w:rsid w:val="00EC315E"/>
    <w:rsid w:val="00EC78A3"/>
    <w:rsid w:val="00ED077C"/>
    <w:rsid w:val="00ED1190"/>
    <w:rsid w:val="00ED6544"/>
    <w:rsid w:val="00EE0277"/>
    <w:rsid w:val="00EE3E00"/>
    <w:rsid w:val="00EE45C0"/>
    <w:rsid w:val="00EE5DD2"/>
    <w:rsid w:val="00EF20CC"/>
    <w:rsid w:val="00F00A79"/>
    <w:rsid w:val="00F00E86"/>
    <w:rsid w:val="00F07C1E"/>
    <w:rsid w:val="00F105DB"/>
    <w:rsid w:val="00F132BC"/>
    <w:rsid w:val="00F13D80"/>
    <w:rsid w:val="00F16AAA"/>
    <w:rsid w:val="00F21161"/>
    <w:rsid w:val="00F218EF"/>
    <w:rsid w:val="00F21BC7"/>
    <w:rsid w:val="00F266A2"/>
    <w:rsid w:val="00F32269"/>
    <w:rsid w:val="00F40988"/>
    <w:rsid w:val="00F428BC"/>
    <w:rsid w:val="00F56A6F"/>
    <w:rsid w:val="00F5709C"/>
    <w:rsid w:val="00F64EF1"/>
    <w:rsid w:val="00F8765F"/>
    <w:rsid w:val="00F90767"/>
    <w:rsid w:val="00F9130D"/>
    <w:rsid w:val="00FA685B"/>
    <w:rsid w:val="00FB0C01"/>
    <w:rsid w:val="00FB64E0"/>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BD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B284C"/>
    <w:rPr>
      <w:sz w:val="24"/>
      <w:szCs w:val="24"/>
      <w:lang w:val="fr-FR"/>
    </w:rPr>
  </w:style>
  <w:style w:type="paragraph" w:styleId="Heading1">
    <w:name w:val="heading 1"/>
    <w:basedOn w:val="Normal"/>
    <w:next w:val="Normal"/>
    <w:link w:val="Heading1Char"/>
    <w:uiPriority w:val="98"/>
    <w:semiHidden/>
    <w:rsid w:val="005B284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B284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B284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B284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B284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B284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B284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B284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B284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B284C"/>
    <w:rPr>
      <w:rFonts w:ascii="Tahoma" w:hAnsi="Tahoma" w:cs="Tahoma"/>
      <w:sz w:val="16"/>
      <w:szCs w:val="16"/>
    </w:rPr>
  </w:style>
  <w:style w:type="character" w:customStyle="1" w:styleId="BalloonTextChar">
    <w:name w:val="Balloon Text Char"/>
    <w:basedOn w:val="DefaultParagraphFont"/>
    <w:link w:val="BalloonText"/>
    <w:uiPriority w:val="98"/>
    <w:semiHidden/>
    <w:rsid w:val="005B284C"/>
    <w:rPr>
      <w:rFonts w:ascii="Tahoma" w:hAnsi="Tahoma" w:cs="Tahoma"/>
      <w:sz w:val="16"/>
      <w:szCs w:val="16"/>
      <w:lang w:val="fr-FR"/>
    </w:rPr>
  </w:style>
  <w:style w:type="character" w:styleId="BookTitle">
    <w:name w:val="Book Title"/>
    <w:uiPriority w:val="98"/>
    <w:semiHidden/>
    <w:qFormat/>
    <w:rsid w:val="005B284C"/>
    <w:rPr>
      <w:i/>
      <w:iCs/>
      <w:smallCaps/>
      <w:spacing w:val="5"/>
    </w:rPr>
  </w:style>
  <w:style w:type="paragraph" w:customStyle="1" w:styleId="JuHeader">
    <w:name w:val="Ju_Header"/>
    <w:aliases w:val="_Header"/>
    <w:basedOn w:val="Header"/>
    <w:uiPriority w:val="29"/>
    <w:qFormat/>
    <w:rsid w:val="005B284C"/>
    <w:pPr>
      <w:tabs>
        <w:tab w:val="clear" w:pos="4536"/>
        <w:tab w:val="clear" w:pos="9072"/>
      </w:tabs>
      <w:jc w:val="center"/>
    </w:pPr>
    <w:rPr>
      <w:sz w:val="18"/>
    </w:rPr>
  </w:style>
  <w:style w:type="paragraph" w:customStyle="1" w:styleId="NormalJustified">
    <w:name w:val="Normal_Justified"/>
    <w:basedOn w:val="Normal"/>
    <w:semiHidden/>
    <w:rsid w:val="005B284C"/>
    <w:pPr>
      <w:jc w:val="both"/>
    </w:pPr>
  </w:style>
  <w:style w:type="character" w:styleId="Strong">
    <w:name w:val="Strong"/>
    <w:uiPriority w:val="98"/>
    <w:semiHidden/>
    <w:qFormat/>
    <w:rsid w:val="005B284C"/>
    <w:rPr>
      <w:b/>
      <w:bCs/>
    </w:rPr>
  </w:style>
  <w:style w:type="paragraph" w:styleId="NoSpacing">
    <w:name w:val="No Spacing"/>
    <w:basedOn w:val="Normal"/>
    <w:link w:val="NoSpacingChar"/>
    <w:uiPriority w:val="98"/>
    <w:semiHidden/>
    <w:qFormat/>
    <w:rsid w:val="005B284C"/>
  </w:style>
  <w:style w:type="character" w:customStyle="1" w:styleId="NoSpacingChar">
    <w:name w:val="No Spacing Char"/>
    <w:basedOn w:val="DefaultParagraphFont"/>
    <w:link w:val="NoSpacing"/>
    <w:uiPriority w:val="98"/>
    <w:semiHidden/>
    <w:rsid w:val="005B284C"/>
    <w:rPr>
      <w:sz w:val="24"/>
      <w:szCs w:val="24"/>
      <w:lang w:val="fr-FR"/>
    </w:rPr>
  </w:style>
  <w:style w:type="paragraph" w:customStyle="1" w:styleId="ECHRBullet1">
    <w:name w:val="ECHR_Bullet_1"/>
    <w:aliases w:val="_Bul_1"/>
    <w:basedOn w:val="NormalJustified"/>
    <w:uiPriority w:val="23"/>
    <w:semiHidden/>
    <w:qFormat/>
    <w:rsid w:val="005B284C"/>
    <w:pPr>
      <w:numPr>
        <w:numId w:val="7"/>
      </w:numPr>
      <w:spacing w:before="60" w:after="60"/>
    </w:pPr>
  </w:style>
  <w:style w:type="paragraph" w:customStyle="1" w:styleId="JuQuot">
    <w:name w:val="Ju_Quot"/>
    <w:aliases w:val="_Quote"/>
    <w:basedOn w:val="NormalJustified"/>
    <w:uiPriority w:val="20"/>
    <w:qFormat/>
    <w:rsid w:val="005B284C"/>
    <w:pPr>
      <w:spacing w:before="120" w:after="120"/>
      <w:ind w:left="425" w:firstLine="142"/>
    </w:pPr>
    <w:rPr>
      <w:sz w:val="20"/>
    </w:rPr>
  </w:style>
  <w:style w:type="paragraph" w:customStyle="1" w:styleId="JuList">
    <w:name w:val="Ju_List"/>
    <w:aliases w:val="_List_1"/>
    <w:basedOn w:val="NormalJustified"/>
    <w:uiPriority w:val="23"/>
    <w:qFormat/>
    <w:rsid w:val="005B284C"/>
    <w:pPr>
      <w:numPr>
        <w:numId w:val="10"/>
      </w:numPr>
      <w:spacing w:before="280" w:after="60"/>
    </w:pPr>
  </w:style>
  <w:style w:type="paragraph" w:customStyle="1" w:styleId="JuLista">
    <w:name w:val="Ju_List_a"/>
    <w:aliases w:val="_List_2"/>
    <w:basedOn w:val="NormalJustified"/>
    <w:uiPriority w:val="23"/>
    <w:rsid w:val="005B284C"/>
    <w:pPr>
      <w:numPr>
        <w:ilvl w:val="1"/>
        <w:numId w:val="10"/>
      </w:numPr>
    </w:pPr>
  </w:style>
  <w:style w:type="paragraph" w:customStyle="1" w:styleId="JuListi">
    <w:name w:val="Ju_List_i"/>
    <w:aliases w:val="_List_3"/>
    <w:basedOn w:val="NormalJustified"/>
    <w:uiPriority w:val="23"/>
    <w:rsid w:val="005B284C"/>
    <w:pPr>
      <w:numPr>
        <w:ilvl w:val="2"/>
        <w:numId w:val="10"/>
      </w:numPr>
    </w:pPr>
  </w:style>
  <w:style w:type="paragraph" w:customStyle="1" w:styleId="ECHRCoverTitle4">
    <w:name w:val="ECHR_Cover_Title_4"/>
    <w:aliases w:val="_Title_4"/>
    <w:basedOn w:val="JuPara"/>
    <w:next w:val="JuPara"/>
    <w:uiPriority w:val="38"/>
    <w:qFormat/>
    <w:rsid w:val="005B284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5B284C"/>
    <w:pPr>
      <w:keepNext/>
      <w:spacing w:before="100" w:beforeAutospacing="1" w:after="120"/>
      <w:contextualSpacing/>
      <w:jc w:val="center"/>
    </w:pPr>
    <w:rPr>
      <w:b/>
      <w:sz w:val="20"/>
    </w:rPr>
  </w:style>
  <w:style w:type="numbering" w:customStyle="1" w:styleId="ECHRA1StyleBulletedSquare">
    <w:name w:val="ECHR_A1_Style_Bulleted_Square"/>
    <w:basedOn w:val="NoList"/>
    <w:rsid w:val="005B284C"/>
    <w:pPr>
      <w:numPr>
        <w:numId w:val="4"/>
      </w:numPr>
    </w:pPr>
  </w:style>
  <w:style w:type="numbering" w:customStyle="1" w:styleId="ECHRA1StyleList">
    <w:name w:val="ECHR_A1_Style_List"/>
    <w:basedOn w:val="NoList"/>
    <w:uiPriority w:val="99"/>
    <w:rsid w:val="005B284C"/>
    <w:pPr>
      <w:numPr>
        <w:numId w:val="5"/>
      </w:numPr>
    </w:pPr>
  </w:style>
  <w:style w:type="paragraph" w:customStyle="1" w:styleId="JuHHead">
    <w:name w:val="Ju_H_Head"/>
    <w:aliases w:val="_Head_1"/>
    <w:basedOn w:val="Heading1"/>
    <w:next w:val="JuPara"/>
    <w:uiPriority w:val="17"/>
    <w:qFormat/>
    <w:rsid w:val="005B284C"/>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5B284C"/>
    <w:pPr>
      <w:numPr>
        <w:numId w:val="6"/>
      </w:numPr>
    </w:pPr>
  </w:style>
  <w:style w:type="paragraph" w:styleId="Title">
    <w:name w:val="Title"/>
    <w:basedOn w:val="Normal"/>
    <w:next w:val="Normal"/>
    <w:link w:val="TitleChar"/>
    <w:uiPriority w:val="98"/>
    <w:semiHidden/>
    <w:qFormat/>
    <w:rsid w:val="005B284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B284C"/>
    <w:rPr>
      <w:rFonts w:asciiTheme="majorHAnsi" w:eastAsiaTheme="majorEastAsia" w:hAnsiTheme="majorHAnsi" w:cstheme="majorBidi"/>
      <w:spacing w:val="5"/>
      <w:sz w:val="52"/>
      <w:szCs w:val="52"/>
      <w:lang w:val="fr-FR" w:bidi="en-US"/>
    </w:rPr>
  </w:style>
  <w:style w:type="table" w:customStyle="1" w:styleId="ECHRTable2019">
    <w:name w:val="ECHR_Table_2019"/>
    <w:basedOn w:val="TableNormal"/>
    <w:uiPriority w:val="99"/>
    <w:rsid w:val="005B284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2D609F"/>
    <w:rPr>
      <w:sz w:val="8"/>
    </w:rPr>
  </w:style>
  <w:style w:type="paragraph" w:customStyle="1" w:styleId="JuCase">
    <w:name w:val="Ju_Case"/>
    <w:aliases w:val="_Case_Name"/>
    <w:basedOn w:val="Normal"/>
    <w:next w:val="JuPara"/>
    <w:uiPriority w:val="32"/>
    <w:rsid w:val="005B284C"/>
    <w:pPr>
      <w:ind w:firstLine="284"/>
      <w:jc w:val="both"/>
    </w:pPr>
    <w:rPr>
      <w:b/>
    </w:rPr>
  </w:style>
  <w:style w:type="paragraph" w:customStyle="1" w:styleId="JuCourt">
    <w:name w:val="Ju_Court"/>
    <w:aliases w:val="_Court_Names"/>
    <w:basedOn w:val="Normal"/>
    <w:next w:val="Normal"/>
    <w:uiPriority w:val="32"/>
    <w:qFormat/>
    <w:rsid w:val="005B284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5B284C"/>
    <w:pPr>
      <w:tabs>
        <w:tab w:val="center" w:pos="6407"/>
      </w:tabs>
      <w:spacing w:before="720"/>
      <w:jc w:val="right"/>
    </w:pPr>
  </w:style>
  <w:style w:type="paragraph" w:customStyle="1" w:styleId="JuHIRoman">
    <w:name w:val="Ju_H_I_Roman"/>
    <w:aliases w:val="_Head_2"/>
    <w:basedOn w:val="Heading2"/>
    <w:next w:val="JuPara"/>
    <w:uiPriority w:val="17"/>
    <w:qFormat/>
    <w:rsid w:val="005B284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B284C"/>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B284C"/>
    <w:pPr>
      <w:keepNext/>
      <w:keepLines/>
      <w:numPr>
        <w:ilvl w:val="3"/>
        <w:numId w:val="9"/>
      </w:numPr>
      <w:spacing w:before="100" w:beforeAutospacing="1" w:after="120"/>
      <w:jc w:val="both"/>
    </w:pPr>
    <w:rPr>
      <w:b w:val="0"/>
      <w:color w:val="auto"/>
      <w:sz w:val="24"/>
    </w:rPr>
  </w:style>
  <w:style w:type="paragraph" w:styleId="Header">
    <w:name w:val="header"/>
    <w:basedOn w:val="Normal"/>
    <w:link w:val="HeaderChar"/>
    <w:uiPriority w:val="98"/>
    <w:semiHidden/>
    <w:rsid w:val="005B284C"/>
    <w:pPr>
      <w:tabs>
        <w:tab w:val="center" w:pos="4536"/>
        <w:tab w:val="right" w:pos="9072"/>
      </w:tabs>
    </w:pPr>
  </w:style>
  <w:style w:type="character" w:customStyle="1" w:styleId="HeaderChar">
    <w:name w:val="Header Char"/>
    <w:basedOn w:val="DefaultParagraphFont"/>
    <w:link w:val="Header"/>
    <w:uiPriority w:val="98"/>
    <w:semiHidden/>
    <w:rsid w:val="005B284C"/>
    <w:rPr>
      <w:sz w:val="24"/>
      <w:szCs w:val="24"/>
      <w:lang w:val="fr-FR"/>
    </w:rPr>
  </w:style>
  <w:style w:type="character" w:customStyle="1" w:styleId="Heading1Char">
    <w:name w:val="Heading 1 Char"/>
    <w:basedOn w:val="DefaultParagraphFont"/>
    <w:link w:val="Heading1"/>
    <w:uiPriority w:val="98"/>
    <w:semiHidden/>
    <w:rsid w:val="005B284C"/>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5B284C"/>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5B284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B284C"/>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5B284C"/>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B284C"/>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5B284C"/>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5B284C"/>
    <w:pPr>
      <w:keepNext/>
      <w:keepLines/>
      <w:spacing w:before="240" w:after="240"/>
      <w:ind w:firstLine="284"/>
    </w:pPr>
  </w:style>
  <w:style w:type="character" w:customStyle="1" w:styleId="JuITMark">
    <w:name w:val="Ju_ITMark"/>
    <w:aliases w:val="_ITMark"/>
    <w:basedOn w:val="DefaultParagraphFont"/>
    <w:uiPriority w:val="54"/>
    <w:qFormat/>
    <w:rsid w:val="005B284C"/>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8"/>
    <w:semiHidden/>
    <w:rsid w:val="005B284C"/>
    <w:rPr>
      <w:rFonts w:asciiTheme="majorHAnsi" w:eastAsiaTheme="majorEastAsia" w:hAnsiTheme="majorHAnsi" w:cstheme="majorBidi"/>
      <w:b/>
      <w:bCs/>
      <w:i/>
      <w:iCs/>
      <w:color w:val="777777"/>
      <w:lang w:val="fr-FR"/>
    </w:rPr>
  </w:style>
  <w:style w:type="paragraph" w:customStyle="1" w:styleId="JuJudges">
    <w:name w:val="Ju_Judges"/>
    <w:aliases w:val="_Judges"/>
    <w:basedOn w:val="Normal"/>
    <w:uiPriority w:val="32"/>
    <w:qFormat/>
    <w:rsid w:val="005B284C"/>
    <w:pPr>
      <w:tabs>
        <w:tab w:val="left" w:pos="567"/>
        <w:tab w:val="left" w:pos="1134"/>
      </w:tabs>
    </w:pPr>
  </w:style>
  <w:style w:type="character" w:customStyle="1" w:styleId="Heading5Char">
    <w:name w:val="Heading 5 Char"/>
    <w:basedOn w:val="DefaultParagraphFont"/>
    <w:link w:val="Heading5"/>
    <w:uiPriority w:val="98"/>
    <w:semiHidden/>
    <w:rsid w:val="005B284C"/>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5B284C"/>
    <w:rPr>
      <w:caps w:val="0"/>
      <w:smallCaps/>
    </w:rPr>
  </w:style>
  <w:style w:type="character" w:styleId="SubtleEmphasis">
    <w:name w:val="Subtle Emphasis"/>
    <w:uiPriority w:val="98"/>
    <w:semiHidden/>
    <w:qFormat/>
    <w:rsid w:val="005B284C"/>
    <w:rPr>
      <w:i/>
      <w:iCs/>
    </w:rPr>
  </w:style>
  <w:style w:type="table" w:customStyle="1" w:styleId="ECHRTable">
    <w:name w:val="ECHR_Table"/>
    <w:basedOn w:val="TableNormal"/>
    <w:rsid w:val="005B284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B284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HCase">
    <w:name w:val="Dec_H_Case"/>
    <w:aliases w:val="_Title_3"/>
    <w:basedOn w:val="JuPara"/>
    <w:next w:val="JuPara"/>
    <w:uiPriority w:val="38"/>
    <w:qFormat/>
    <w:rsid w:val="005B284C"/>
    <w:pPr>
      <w:keepNext/>
      <w:keepLines/>
      <w:spacing w:after="280"/>
      <w:ind w:firstLine="0"/>
      <w:jc w:val="center"/>
    </w:pPr>
    <w:rPr>
      <w:rFonts w:asciiTheme="majorHAnsi" w:hAnsiTheme="majorHAnsi"/>
    </w:rPr>
  </w:style>
  <w:style w:type="character" w:styleId="Emphasis">
    <w:name w:val="Emphasis"/>
    <w:uiPriority w:val="98"/>
    <w:semiHidden/>
    <w:qFormat/>
    <w:rsid w:val="005B284C"/>
    <w:rPr>
      <w:b/>
      <w:bCs/>
      <w:i/>
      <w:iCs/>
      <w:spacing w:val="10"/>
      <w:bdr w:val="none" w:sz="0" w:space="0" w:color="auto"/>
      <w:shd w:val="clear" w:color="auto" w:fill="auto"/>
    </w:rPr>
  </w:style>
  <w:style w:type="paragraph" w:styleId="Footer0">
    <w:name w:val="footer"/>
    <w:basedOn w:val="Normal"/>
    <w:link w:val="FooterChar"/>
    <w:uiPriority w:val="98"/>
    <w:semiHidden/>
    <w:rsid w:val="005B284C"/>
    <w:pPr>
      <w:tabs>
        <w:tab w:val="center" w:pos="3686"/>
        <w:tab w:val="right" w:pos="7371"/>
      </w:tabs>
    </w:pPr>
  </w:style>
  <w:style w:type="character" w:customStyle="1" w:styleId="FooterChar">
    <w:name w:val="Footer Char"/>
    <w:basedOn w:val="DefaultParagraphFont"/>
    <w:link w:val="Footer0"/>
    <w:uiPriority w:val="98"/>
    <w:semiHidden/>
    <w:rsid w:val="005B284C"/>
    <w:rPr>
      <w:sz w:val="24"/>
      <w:szCs w:val="24"/>
      <w:lang w:val="fr-FR"/>
    </w:rPr>
  </w:style>
  <w:style w:type="character" w:styleId="FootnoteReference">
    <w:name w:val="footnote reference"/>
    <w:basedOn w:val="DefaultParagraphFont"/>
    <w:uiPriority w:val="98"/>
    <w:semiHidden/>
    <w:rsid w:val="005B284C"/>
    <w:rPr>
      <w:vertAlign w:val="superscript"/>
    </w:rPr>
  </w:style>
  <w:style w:type="paragraph" w:styleId="FootnoteText">
    <w:name w:val="footnote text"/>
    <w:basedOn w:val="Normal"/>
    <w:link w:val="FootnoteTextChar"/>
    <w:uiPriority w:val="98"/>
    <w:semiHidden/>
    <w:rsid w:val="005B284C"/>
    <w:rPr>
      <w:sz w:val="20"/>
      <w:szCs w:val="20"/>
    </w:rPr>
  </w:style>
  <w:style w:type="character" w:customStyle="1" w:styleId="FootnoteTextChar">
    <w:name w:val="Footnote Text Char"/>
    <w:basedOn w:val="DefaultParagraphFont"/>
    <w:link w:val="FootnoteText"/>
    <w:uiPriority w:val="98"/>
    <w:semiHidden/>
    <w:rsid w:val="005B284C"/>
    <w:rPr>
      <w:sz w:val="20"/>
      <w:szCs w:val="20"/>
      <w:lang w:val="fr-FR"/>
    </w:rPr>
  </w:style>
  <w:style w:type="character" w:customStyle="1" w:styleId="Heading6Char">
    <w:name w:val="Heading 6 Char"/>
    <w:basedOn w:val="DefaultParagraphFont"/>
    <w:link w:val="Heading6"/>
    <w:uiPriority w:val="98"/>
    <w:semiHidden/>
    <w:rsid w:val="005B284C"/>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5B284C"/>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5B284C"/>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5B284C"/>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5B284C"/>
    <w:rPr>
      <w:color w:val="0072BC" w:themeColor="hyperlink"/>
      <w:u w:val="single"/>
    </w:rPr>
  </w:style>
  <w:style w:type="character" w:styleId="IntenseEmphasis">
    <w:name w:val="Intense Emphasis"/>
    <w:uiPriority w:val="98"/>
    <w:semiHidden/>
    <w:qFormat/>
    <w:rsid w:val="005B284C"/>
    <w:rPr>
      <w:b/>
      <w:bCs/>
    </w:rPr>
  </w:style>
  <w:style w:type="paragraph" w:styleId="IntenseQuote">
    <w:name w:val="Intense Quote"/>
    <w:basedOn w:val="Normal"/>
    <w:next w:val="Normal"/>
    <w:link w:val="IntenseQuoteChar"/>
    <w:uiPriority w:val="98"/>
    <w:semiHidden/>
    <w:qFormat/>
    <w:rsid w:val="005B284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B284C"/>
    <w:rPr>
      <w:b/>
      <w:bCs/>
      <w:i/>
      <w:iCs/>
      <w:sz w:val="24"/>
      <w:szCs w:val="24"/>
      <w:lang w:val="fr-FR" w:bidi="en-US"/>
    </w:rPr>
  </w:style>
  <w:style w:type="character" w:styleId="IntenseReference">
    <w:name w:val="Intense Reference"/>
    <w:uiPriority w:val="98"/>
    <w:semiHidden/>
    <w:qFormat/>
    <w:rsid w:val="005B284C"/>
    <w:rPr>
      <w:smallCaps/>
      <w:spacing w:val="5"/>
      <w:u w:val="single"/>
    </w:rPr>
  </w:style>
  <w:style w:type="paragraph" w:styleId="ListParagraph">
    <w:name w:val="List Paragraph"/>
    <w:basedOn w:val="Normal"/>
    <w:uiPriority w:val="98"/>
    <w:semiHidden/>
    <w:qFormat/>
    <w:rsid w:val="005B284C"/>
    <w:pPr>
      <w:ind w:left="720"/>
      <w:contextualSpacing/>
    </w:pPr>
  </w:style>
  <w:style w:type="table" w:customStyle="1" w:styleId="LtrTableAddress">
    <w:name w:val="Ltr_Table_Address"/>
    <w:aliases w:val="ECHR_Ltr_Table_Address"/>
    <w:basedOn w:val="TableNormal"/>
    <w:uiPriority w:val="99"/>
    <w:rsid w:val="005B284C"/>
    <w:rPr>
      <w:sz w:val="24"/>
      <w:szCs w:val="24"/>
    </w:rPr>
    <w:tblPr>
      <w:tblInd w:w="5103" w:type="dxa"/>
    </w:tblPr>
  </w:style>
  <w:style w:type="paragraph" w:styleId="Quote">
    <w:name w:val="Quote"/>
    <w:basedOn w:val="Normal"/>
    <w:next w:val="Normal"/>
    <w:link w:val="QuoteChar"/>
    <w:uiPriority w:val="98"/>
    <w:semiHidden/>
    <w:qFormat/>
    <w:rsid w:val="005B284C"/>
    <w:pPr>
      <w:spacing w:before="200"/>
      <w:ind w:left="360" w:right="360"/>
    </w:pPr>
    <w:rPr>
      <w:i/>
      <w:iCs/>
      <w:lang w:bidi="en-US"/>
    </w:rPr>
  </w:style>
  <w:style w:type="character" w:customStyle="1" w:styleId="QuoteChar">
    <w:name w:val="Quote Char"/>
    <w:basedOn w:val="DefaultParagraphFont"/>
    <w:link w:val="Quote"/>
    <w:uiPriority w:val="98"/>
    <w:semiHidden/>
    <w:rsid w:val="005B284C"/>
    <w:rPr>
      <w:i/>
      <w:iCs/>
      <w:sz w:val="24"/>
      <w:szCs w:val="24"/>
      <w:lang w:val="fr-FR" w:bidi="en-US"/>
    </w:rPr>
  </w:style>
  <w:style w:type="character" w:styleId="SubtleReference">
    <w:name w:val="Subtle Reference"/>
    <w:uiPriority w:val="98"/>
    <w:semiHidden/>
    <w:qFormat/>
    <w:rsid w:val="005B284C"/>
    <w:rPr>
      <w:smallCaps/>
    </w:rPr>
  </w:style>
  <w:style w:type="table" w:styleId="TableGrid">
    <w:name w:val="Table Grid"/>
    <w:basedOn w:val="TableNormal"/>
    <w:uiPriority w:val="59"/>
    <w:semiHidden/>
    <w:rsid w:val="005B284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B284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B284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B284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B284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B284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B284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B284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B284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B284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B284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B284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B284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B284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B284C"/>
    <w:pPr>
      <w:spacing w:after="600"/>
    </w:pPr>
    <w:rPr>
      <w:rFonts w:asciiTheme="majorHAnsi" w:eastAsiaTheme="majorEastAsia" w:hAnsiTheme="majorHAnsi" w:cstheme="majorBidi"/>
      <w:i/>
      <w:iCs/>
      <w:spacing w:val="13"/>
      <w:lang w:bidi="en-US"/>
    </w:rPr>
  </w:style>
  <w:style w:type="paragraph" w:customStyle="1" w:styleId="JuPara">
    <w:name w:val="Ju_Para"/>
    <w:aliases w:val="_Para"/>
    <w:basedOn w:val="NormalJustified"/>
    <w:uiPriority w:val="4"/>
    <w:qFormat/>
    <w:rsid w:val="005B284C"/>
    <w:pPr>
      <w:ind w:firstLine="284"/>
    </w:pPr>
  </w:style>
  <w:style w:type="character" w:customStyle="1" w:styleId="SubtitleChar">
    <w:name w:val="Subtitle Char"/>
    <w:basedOn w:val="DefaultParagraphFont"/>
    <w:link w:val="Subtitle"/>
    <w:uiPriority w:val="98"/>
    <w:semiHidden/>
    <w:rsid w:val="005B284C"/>
    <w:rPr>
      <w:rFonts w:asciiTheme="majorHAnsi" w:eastAsiaTheme="majorEastAsia" w:hAnsiTheme="majorHAnsi" w:cstheme="majorBidi"/>
      <w:i/>
      <w:iCs/>
      <w:spacing w:val="13"/>
      <w:sz w:val="24"/>
      <w:szCs w:val="24"/>
      <w:lang w:val="fr-FR" w:bidi="en-US"/>
    </w:rPr>
  </w:style>
  <w:style w:type="table" w:customStyle="1" w:styleId="ECHRTableSimpleBox">
    <w:name w:val="ECHR_Table_Simple_Box"/>
    <w:basedOn w:val="TableNormal"/>
    <w:uiPriority w:val="99"/>
    <w:rsid w:val="005B284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B284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111111">
    <w:name w:val="Outline List 2"/>
    <w:basedOn w:val="NoList"/>
    <w:uiPriority w:val="99"/>
    <w:semiHidden/>
    <w:unhideWhenUsed/>
    <w:rsid w:val="005B284C"/>
    <w:pPr>
      <w:numPr>
        <w:numId w:val="1"/>
      </w:numPr>
    </w:pPr>
  </w:style>
  <w:style w:type="table" w:customStyle="1" w:styleId="ECHRTableForInternalUse">
    <w:name w:val="ECHR_Table_For_Internal_Use"/>
    <w:basedOn w:val="TableNormal"/>
    <w:uiPriority w:val="99"/>
    <w:rsid w:val="005B284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B284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ai">
    <w:name w:val="Outline List 1"/>
    <w:basedOn w:val="NoList"/>
    <w:uiPriority w:val="99"/>
    <w:semiHidden/>
    <w:unhideWhenUsed/>
    <w:rsid w:val="005B284C"/>
    <w:pPr>
      <w:numPr>
        <w:numId w:val="2"/>
      </w:numPr>
    </w:pPr>
  </w:style>
  <w:style w:type="numbering" w:styleId="ArticleSection">
    <w:name w:val="Outline List 3"/>
    <w:basedOn w:val="NoList"/>
    <w:uiPriority w:val="99"/>
    <w:semiHidden/>
    <w:unhideWhenUsed/>
    <w:rsid w:val="005B284C"/>
    <w:pPr>
      <w:numPr>
        <w:numId w:val="3"/>
      </w:numPr>
    </w:pPr>
  </w:style>
  <w:style w:type="table" w:customStyle="1" w:styleId="ECHRHeaderTable">
    <w:name w:val="ECHR_Header_Table"/>
    <w:basedOn w:val="TableNormal"/>
    <w:uiPriority w:val="99"/>
    <w:rsid w:val="005B284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ibliography">
    <w:name w:val="Bibliography"/>
    <w:basedOn w:val="Normal"/>
    <w:next w:val="Normal"/>
    <w:uiPriority w:val="98"/>
    <w:semiHidden/>
    <w:rsid w:val="005B284C"/>
  </w:style>
  <w:style w:type="paragraph" w:styleId="BlockText">
    <w:name w:val="Block Text"/>
    <w:basedOn w:val="Normal"/>
    <w:uiPriority w:val="98"/>
    <w:semiHidden/>
    <w:rsid w:val="005B284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OddBanded">
    <w:name w:val="ECHR_Table_Odd_Banded"/>
    <w:basedOn w:val="TableNormal"/>
    <w:uiPriority w:val="99"/>
    <w:rsid w:val="005B284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
    <w:name w:val="Body Text"/>
    <w:basedOn w:val="Normal"/>
    <w:link w:val="BodyTextChar"/>
    <w:uiPriority w:val="98"/>
    <w:semiHidden/>
    <w:rsid w:val="005B284C"/>
    <w:pPr>
      <w:spacing w:after="120"/>
    </w:pPr>
  </w:style>
  <w:style w:type="table" w:customStyle="1" w:styleId="ECHRHeaderTableReduced">
    <w:name w:val="ECHR_Header_Table_Reduced"/>
    <w:basedOn w:val="TableNormal"/>
    <w:uiPriority w:val="99"/>
    <w:rsid w:val="005B284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styleId="PageNumber">
    <w:name w:val="page number"/>
    <w:uiPriority w:val="98"/>
    <w:semiHidden/>
    <w:rsid w:val="005B284C"/>
    <w:rPr>
      <w:sz w:val="18"/>
    </w:rPr>
  </w:style>
  <w:style w:type="character" w:styleId="CommentReference">
    <w:name w:val="annotation reference"/>
    <w:basedOn w:val="DefaultParagraphFont"/>
    <w:uiPriority w:val="98"/>
    <w:semiHidden/>
    <w:rsid w:val="005B284C"/>
    <w:rPr>
      <w:sz w:val="16"/>
      <w:szCs w:val="16"/>
    </w:rPr>
  </w:style>
  <w:style w:type="paragraph" w:styleId="CommentText">
    <w:name w:val="annotation text"/>
    <w:basedOn w:val="Normal"/>
    <w:link w:val="CommentTextChar"/>
    <w:uiPriority w:val="98"/>
    <w:semiHidden/>
    <w:rsid w:val="005B284C"/>
    <w:rPr>
      <w:sz w:val="20"/>
      <w:szCs w:val="20"/>
    </w:rPr>
  </w:style>
  <w:style w:type="character" w:customStyle="1" w:styleId="CommentTextChar">
    <w:name w:val="Comment Text Char"/>
    <w:basedOn w:val="DefaultParagraphFont"/>
    <w:link w:val="CommentText"/>
    <w:uiPriority w:val="98"/>
    <w:semiHidden/>
    <w:rsid w:val="005B284C"/>
    <w:rPr>
      <w:sz w:val="20"/>
      <w:szCs w:val="20"/>
      <w:lang w:val="fr-FR"/>
    </w:rPr>
  </w:style>
  <w:style w:type="paragraph" w:customStyle="1" w:styleId="JuSigned">
    <w:name w:val="Ju_Signed"/>
    <w:aliases w:val="_Signature"/>
    <w:basedOn w:val="Normal"/>
    <w:next w:val="JuPara"/>
    <w:uiPriority w:val="31"/>
    <w:qFormat/>
    <w:rsid w:val="005B284C"/>
    <w:pPr>
      <w:tabs>
        <w:tab w:val="center" w:pos="1418"/>
        <w:tab w:val="center" w:pos="5954"/>
      </w:tabs>
      <w:spacing w:before="720"/>
    </w:pPr>
  </w:style>
  <w:style w:type="paragraph" w:customStyle="1" w:styleId="JuTitle">
    <w:name w:val="Ju_Title"/>
    <w:aliases w:val="_Title_2"/>
    <w:basedOn w:val="Normal"/>
    <w:next w:val="JuPara"/>
    <w:uiPriority w:val="38"/>
    <w:qFormat/>
    <w:rsid w:val="005B284C"/>
    <w:pPr>
      <w:keepNext/>
      <w:keepLines/>
      <w:spacing w:before="1320" w:after="280"/>
      <w:contextualSpacing/>
      <w:jc w:val="center"/>
    </w:pPr>
    <w:rPr>
      <w:b/>
    </w:rPr>
  </w:style>
  <w:style w:type="paragraph" w:customStyle="1" w:styleId="DecHTitle">
    <w:name w:val="Dec_H_Title"/>
    <w:aliases w:val="_Title_1"/>
    <w:basedOn w:val="JuPara"/>
    <w:next w:val="JuPara"/>
    <w:uiPriority w:val="38"/>
    <w:qFormat/>
    <w:rsid w:val="005B284C"/>
    <w:pPr>
      <w:keepNext/>
      <w:keepLines/>
      <w:spacing w:after="240"/>
      <w:ind w:firstLine="0"/>
      <w:jc w:val="center"/>
      <w:outlineLvl w:val="0"/>
    </w:pPr>
    <w:rPr>
      <w:rFonts w:asciiTheme="majorHAnsi" w:hAnsiTheme="majorHAnsi"/>
      <w:sz w:val="28"/>
    </w:rPr>
  </w:style>
  <w:style w:type="paragraph" w:styleId="ListBullet2">
    <w:name w:val="List Bullet 2"/>
    <w:basedOn w:val="Normal"/>
    <w:uiPriority w:val="98"/>
    <w:semiHidden/>
    <w:rsid w:val="005B284C"/>
    <w:pPr>
      <w:numPr>
        <w:numId w:val="12"/>
      </w:numPr>
      <w:contextualSpacing/>
    </w:pPr>
  </w:style>
  <w:style w:type="paragraph" w:styleId="ListBullet3">
    <w:name w:val="List Bullet 3"/>
    <w:basedOn w:val="Normal"/>
    <w:uiPriority w:val="98"/>
    <w:semiHidden/>
    <w:rsid w:val="005B284C"/>
    <w:pPr>
      <w:numPr>
        <w:numId w:val="13"/>
      </w:numPr>
      <w:contextualSpacing/>
    </w:pPr>
  </w:style>
  <w:style w:type="character" w:customStyle="1" w:styleId="BodyTextChar">
    <w:name w:val="Body Text Char"/>
    <w:basedOn w:val="DefaultParagraphFont"/>
    <w:link w:val="BodyText"/>
    <w:uiPriority w:val="98"/>
    <w:semiHidden/>
    <w:rsid w:val="005B284C"/>
    <w:rPr>
      <w:sz w:val="24"/>
      <w:szCs w:val="24"/>
      <w:lang w:val="fr-FR"/>
    </w:rPr>
  </w:style>
  <w:style w:type="paragraph" w:styleId="BodyText2">
    <w:name w:val="Body Text 2"/>
    <w:basedOn w:val="Normal"/>
    <w:link w:val="BodyText2Char"/>
    <w:uiPriority w:val="98"/>
    <w:semiHidden/>
    <w:rsid w:val="005B284C"/>
    <w:pPr>
      <w:spacing w:after="120" w:line="480" w:lineRule="auto"/>
    </w:pPr>
  </w:style>
  <w:style w:type="character" w:customStyle="1" w:styleId="BodyText2Char">
    <w:name w:val="Body Text 2 Char"/>
    <w:basedOn w:val="DefaultParagraphFont"/>
    <w:link w:val="BodyText2"/>
    <w:uiPriority w:val="98"/>
    <w:semiHidden/>
    <w:rsid w:val="005B284C"/>
    <w:rPr>
      <w:sz w:val="24"/>
      <w:szCs w:val="24"/>
      <w:lang w:val="fr-FR"/>
    </w:rPr>
  </w:style>
  <w:style w:type="paragraph" w:styleId="BodyText3">
    <w:name w:val="Body Text 3"/>
    <w:basedOn w:val="Normal"/>
    <w:link w:val="BodyText3Char"/>
    <w:uiPriority w:val="98"/>
    <w:semiHidden/>
    <w:rsid w:val="005B284C"/>
    <w:pPr>
      <w:spacing w:after="120"/>
    </w:pPr>
    <w:rPr>
      <w:sz w:val="16"/>
      <w:szCs w:val="16"/>
    </w:rPr>
  </w:style>
  <w:style w:type="character" w:customStyle="1" w:styleId="BodyText3Char">
    <w:name w:val="Body Text 3 Char"/>
    <w:basedOn w:val="DefaultParagraphFont"/>
    <w:link w:val="BodyText3"/>
    <w:uiPriority w:val="98"/>
    <w:semiHidden/>
    <w:rsid w:val="005B284C"/>
    <w:rPr>
      <w:sz w:val="16"/>
      <w:szCs w:val="16"/>
      <w:lang w:val="fr-FR"/>
    </w:rPr>
  </w:style>
  <w:style w:type="paragraph" w:styleId="BodyTextFirstIndent">
    <w:name w:val="Body Text First Indent"/>
    <w:basedOn w:val="BodyText"/>
    <w:link w:val="BodyTextFirstIndentChar"/>
    <w:uiPriority w:val="98"/>
    <w:semiHidden/>
    <w:rsid w:val="005B284C"/>
    <w:pPr>
      <w:spacing w:after="0"/>
      <w:ind w:firstLine="360"/>
    </w:pPr>
  </w:style>
  <w:style w:type="character" w:customStyle="1" w:styleId="BodyTextFirstIndentChar">
    <w:name w:val="Body Text First Indent Char"/>
    <w:basedOn w:val="BodyTextChar"/>
    <w:link w:val="BodyTextFirstIndent"/>
    <w:uiPriority w:val="98"/>
    <w:semiHidden/>
    <w:rsid w:val="005B284C"/>
    <w:rPr>
      <w:sz w:val="24"/>
      <w:szCs w:val="24"/>
      <w:lang w:val="fr-FR"/>
    </w:rPr>
  </w:style>
  <w:style w:type="paragraph" w:styleId="BodyTextIndent">
    <w:name w:val="Body Text Indent"/>
    <w:basedOn w:val="Normal"/>
    <w:link w:val="BodyTextIndentChar"/>
    <w:uiPriority w:val="98"/>
    <w:semiHidden/>
    <w:rsid w:val="005B284C"/>
    <w:pPr>
      <w:spacing w:after="120"/>
      <w:ind w:left="283"/>
    </w:pPr>
  </w:style>
  <w:style w:type="character" w:customStyle="1" w:styleId="BodyTextIndentChar">
    <w:name w:val="Body Text Indent Char"/>
    <w:basedOn w:val="DefaultParagraphFont"/>
    <w:link w:val="BodyTextIndent"/>
    <w:uiPriority w:val="98"/>
    <w:semiHidden/>
    <w:rsid w:val="005B284C"/>
    <w:rPr>
      <w:sz w:val="24"/>
      <w:szCs w:val="24"/>
      <w:lang w:val="fr-FR"/>
    </w:rPr>
  </w:style>
  <w:style w:type="paragraph" w:styleId="BodyTextFirstIndent2">
    <w:name w:val="Body Text First Indent 2"/>
    <w:basedOn w:val="BodyTextIndent"/>
    <w:link w:val="BodyTextFirstIndent2Char"/>
    <w:uiPriority w:val="98"/>
    <w:semiHidden/>
    <w:rsid w:val="005B284C"/>
    <w:pPr>
      <w:spacing w:after="0"/>
      <w:ind w:left="360" w:firstLine="360"/>
    </w:pPr>
  </w:style>
  <w:style w:type="character" w:customStyle="1" w:styleId="BodyTextFirstIndent2Char">
    <w:name w:val="Body Text First Indent 2 Char"/>
    <w:basedOn w:val="BodyTextIndentChar"/>
    <w:link w:val="BodyTextFirstIndent2"/>
    <w:uiPriority w:val="98"/>
    <w:semiHidden/>
    <w:rsid w:val="005B284C"/>
    <w:rPr>
      <w:sz w:val="24"/>
      <w:szCs w:val="24"/>
      <w:lang w:val="fr-FR"/>
    </w:rPr>
  </w:style>
  <w:style w:type="paragraph" w:styleId="BodyTextIndent2">
    <w:name w:val="Body Text Indent 2"/>
    <w:basedOn w:val="Normal"/>
    <w:link w:val="BodyTextIndent2Char"/>
    <w:uiPriority w:val="98"/>
    <w:semiHidden/>
    <w:rsid w:val="005B284C"/>
    <w:pPr>
      <w:spacing w:after="120" w:line="480" w:lineRule="auto"/>
      <w:ind w:left="283"/>
    </w:pPr>
  </w:style>
  <w:style w:type="character" w:customStyle="1" w:styleId="BodyTextIndent2Char">
    <w:name w:val="Body Text Indent 2 Char"/>
    <w:basedOn w:val="DefaultParagraphFont"/>
    <w:link w:val="BodyTextIndent2"/>
    <w:uiPriority w:val="98"/>
    <w:semiHidden/>
    <w:rsid w:val="005B284C"/>
    <w:rPr>
      <w:sz w:val="24"/>
      <w:szCs w:val="24"/>
      <w:lang w:val="fr-FR"/>
    </w:rPr>
  </w:style>
  <w:style w:type="paragraph" w:styleId="BodyTextIndent3">
    <w:name w:val="Body Text Indent 3"/>
    <w:basedOn w:val="Normal"/>
    <w:link w:val="BodyTextIndent3Char"/>
    <w:uiPriority w:val="98"/>
    <w:semiHidden/>
    <w:rsid w:val="005B284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B284C"/>
    <w:rPr>
      <w:sz w:val="16"/>
      <w:szCs w:val="16"/>
      <w:lang w:val="fr-FR"/>
    </w:rPr>
  </w:style>
  <w:style w:type="paragraph" w:styleId="Caption">
    <w:name w:val="caption"/>
    <w:basedOn w:val="Normal"/>
    <w:next w:val="Normal"/>
    <w:uiPriority w:val="98"/>
    <w:semiHidden/>
    <w:qFormat/>
    <w:rsid w:val="005B284C"/>
    <w:pPr>
      <w:spacing w:after="200"/>
    </w:pPr>
    <w:rPr>
      <w:b/>
      <w:bCs/>
      <w:color w:val="0072BC" w:themeColor="accent1"/>
      <w:sz w:val="18"/>
      <w:szCs w:val="18"/>
    </w:rPr>
  </w:style>
  <w:style w:type="paragraph" w:styleId="Closing">
    <w:name w:val="Closing"/>
    <w:basedOn w:val="Normal"/>
    <w:link w:val="ClosingChar"/>
    <w:uiPriority w:val="98"/>
    <w:semiHidden/>
    <w:rsid w:val="005B284C"/>
    <w:pPr>
      <w:ind w:left="4252"/>
    </w:pPr>
  </w:style>
  <w:style w:type="character" w:customStyle="1" w:styleId="ClosingChar">
    <w:name w:val="Closing Char"/>
    <w:basedOn w:val="DefaultParagraphFont"/>
    <w:link w:val="Closing"/>
    <w:uiPriority w:val="98"/>
    <w:semiHidden/>
    <w:rsid w:val="005B284C"/>
    <w:rPr>
      <w:sz w:val="24"/>
      <w:szCs w:val="24"/>
      <w:lang w:val="fr-FR"/>
    </w:rPr>
  </w:style>
  <w:style w:type="table" w:styleId="ColorfulGrid">
    <w:name w:val="Colorful Grid"/>
    <w:basedOn w:val="TableNormal"/>
    <w:uiPriority w:val="73"/>
    <w:semiHidden/>
    <w:rsid w:val="005B284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B284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B284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B284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B284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B284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B284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B284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B284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B284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B284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B284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B284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B284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B284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B284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B284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B284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B284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B284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B284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5B284C"/>
    <w:rPr>
      <w:b/>
      <w:bCs/>
    </w:rPr>
  </w:style>
  <w:style w:type="character" w:customStyle="1" w:styleId="CommentSubjectChar">
    <w:name w:val="Comment Subject Char"/>
    <w:basedOn w:val="CommentTextChar"/>
    <w:link w:val="CommentSubject"/>
    <w:uiPriority w:val="98"/>
    <w:semiHidden/>
    <w:rsid w:val="005B284C"/>
    <w:rPr>
      <w:b/>
      <w:bCs/>
      <w:sz w:val="20"/>
      <w:szCs w:val="20"/>
      <w:lang w:val="fr-FR"/>
    </w:rPr>
  </w:style>
  <w:style w:type="table" w:styleId="DarkList">
    <w:name w:val="Dark List"/>
    <w:basedOn w:val="TableNormal"/>
    <w:uiPriority w:val="70"/>
    <w:semiHidden/>
    <w:rsid w:val="005B284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B284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B284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B284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B284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B284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B284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B284C"/>
  </w:style>
  <w:style w:type="character" w:customStyle="1" w:styleId="DateChar">
    <w:name w:val="Date Char"/>
    <w:basedOn w:val="DefaultParagraphFont"/>
    <w:link w:val="Date"/>
    <w:uiPriority w:val="98"/>
    <w:semiHidden/>
    <w:rsid w:val="005B284C"/>
    <w:rPr>
      <w:sz w:val="24"/>
      <w:szCs w:val="24"/>
      <w:lang w:val="fr-FR"/>
    </w:rPr>
  </w:style>
  <w:style w:type="paragraph" w:styleId="DocumentMap">
    <w:name w:val="Document Map"/>
    <w:basedOn w:val="Normal"/>
    <w:link w:val="DocumentMapChar"/>
    <w:uiPriority w:val="98"/>
    <w:semiHidden/>
    <w:rsid w:val="005B284C"/>
    <w:rPr>
      <w:rFonts w:ascii="Tahoma" w:hAnsi="Tahoma" w:cs="Tahoma"/>
      <w:sz w:val="16"/>
      <w:szCs w:val="16"/>
    </w:rPr>
  </w:style>
  <w:style w:type="character" w:customStyle="1" w:styleId="DocumentMapChar">
    <w:name w:val="Document Map Char"/>
    <w:basedOn w:val="DefaultParagraphFont"/>
    <w:link w:val="DocumentMap"/>
    <w:uiPriority w:val="98"/>
    <w:semiHidden/>
    <w:rsid w:val="005B284C"/>
    <w:rPr>
      <w:rFonts w:ascii="Tahoma" w:hAnsi="Tahoma" w:cs="Tahoma"/>
      <w:sz w:val="16"/>
      <w:szCs w:val="16"/>
      <w:lang w:val="fr-FR"/>
    </w:rPr>
  </w:style>
  <w:style w:type="paragraph" w:styleId="E-mailSignature">
    <w:name w:val="E-mail Signature"/>
    <w:basedOn w:val="Normal"/>
    <w:link w:val="E-mailSignatureChar"/>
    <w:uiPriority w:val="98"/>
    <w:semiHidden/>
    <w:rsid w:val="005B284C"/>
  </w:style>
  <w:style w:type="character" w:customStyle="1" w:styleId="E-mailSignatureChar">
    <w:name w:val="E-mail Signature Char"/>
    <w:basedOn w:val="DefaultParagraphFont"/>
    <w:link w:val="E-mailSignature"/>
    <w:uiPriority w:val="98"/>
    <w:semiHidden/>
    <w:rsid w:val="005B284C"/>
    <w:rPr>
      <w:sz w:val="24"/>
      <w:szCs w:val="24"/>
      <w:lang w:val="fr-FR"/>
    </w:rPr>
  </w:style>
  <w:style w:type="character" w:styleId="EndnoteReference">
    <w:name w:val="endnote reference"/>
    <w:basedOn w:val="DefaultParagraphFont"/>
    <w:uiPriority w:val="98"/>
    <w:semiHidden/>
    <w:rsid w:val="005B284C"/>
    <w:rPr>
      <w:vertAlign w:val="superscript"/>
    </w:rPr>
  </w:style>
  <w:style w:type="paragraph" w:styleId="EndnoteText">
    <w:name w:val="endnote text"/>
    <w:basedOn w:val="Normal"/>
    <w:link w:val="EndnoteTextChar"/>
    <w:uiPriority w:val="98"/>
    <w:semiHidden/>
    <w:rsid w:val="005B284C"/>
    <w:rPr>
      <w:sz w:val="20"/>
      <w:szCs w:val="20"/>
    </w:rPr>
  </w:style>
  <w:style w:type="character" w:customStyle="1" w:styleId="EndnoteTextChar">
    <w:name w:val="Endnote Text Char"/>
    <w:basedOn w:val="DefaultParagraphFont"/>
    <w:link w:val="EndnoteText"/>
    <w:uiPriority w:val="98"/>
    <w:semiHidden/>
    <w:rsid w:val="005B284C"/>
    <w:rPr>
      <w:sz w:val="20"/>
      <w:szCs w:val="20"/>
      <w:lang w:val="fr-FR"/>
    </w:rPr>
  </w:style>
  <w:style w:type="paragraph" w:styleId="EnvelopeAddress">
    <w:name w:val="envelope address"/>
    <w:basedOn w:val="Normal"/>
    <w:uiPriority w:val="98"/>
    <w:semiHidden/>
    <w:rsid w:val="005B284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B284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B284C"/>
    <w:rPr>
      <w:color w:val="7030A0" w:themeColor="followedHyperlink"/>
      <w:u w:val="single"/>
    </w:rPr>
  </w:style>
  <w:style w:type="character" w:styleId="HTMLAcronym">
    <w:name w:val="HTML Acronym"/>
    <w:basedOn w:val="DefaultParagraphFont"/>
    <w:uiPriority w:val="98"/>
    <w:semiHidden/>
    <w:rsid w:val="005B284C"/>
  </w:style>
  <w:style w:type="paragraph" w:styleId="HTMLAddress">
    <w:name w:val="HTML Address"/>
    <w:basedOn w:val="Normal"/>
    <w:link w:val="HTMLAddressChar"/>
    <w:uiPriority w:val="98"/>
    <w:semiHidden/>
    <w:rsid w:val="005B284C"/>
    <w:rPr>
      <w:i/>
      <w:iCs/>
    </w:rPr>
  </w:style>
  <w:style w:type="character" w:customStyle="1" w:styleId="HTMLAddressChar">
    <w:name w:val="HTML Address Char"/>
    <w:basedOn w:val="DefaultParagraphFont"/>
    <w:link w:val="HTMLAddress"/>
    <w:uiPriority w:val="98"/>
    <w:semiHidden/>
    <w:rsid w:val="005B284C"/>
    <w:rPr>
      <w:i/>
      <w:iCs/>
      <w:sz w:val="24"/>
      <w:szCs w:val="24"/>
      <w:lang w:val="fr-FR"/>
    </w:rPr>
  </w:style>
  <w:style w:type="character" w:styleId="HTMLCite">
    <w:name w:val="HTML Cite"/>
    <w:basedOn w:val="DefaultParagraphFont"/>
    <w:uiPriority w:val="98"/>
    <w:semiHidden/>
    <w:rsid w:val="005B284C"/>
    <w:rPr>
      <w:i/>
      <w:iCs/>
    </w:rPr>
  </w:style>
  <w:style w:type="character" w:styleId="HTMLCode">
    <w:name w:val="HTML Code"/>
    <w:basedOn w:val="DefaultParagraphFont"/>
    <w:uiPriority w:val="98"/>
    <w:semiHidden/>
    <w:rsid w:val="005B284C"/>
    <w:rPr>
      <w:rFonts w:ascii="Consolas" w:hAnsi="Consolas" w:cs="Consolas"/>
      <w:sz w:val="20"/>
      <w:szCs w:val="20"/>
    </w:rPr>
  </w:style>
  <w:style w:type="character" w:styleId="HTMLDefinition">
    <w:name w:val="HTML Definition"/>
    <w:basedOn w:val="DefaultParagraphFont"/>
    <w:uiPriority w:val="98"/>
    <w:semiHidden/>
    <w:rsid w:val="005B284C"/>
    <w:rPr>
      <w:i/>
      <w:iCs/>
    </w:rPr>
  </w:style>
  <w:style w:type="character" w:styleId="HTMLKeyboard">
    <w:name w:val="HTML Keyboard"/>
    <w:basedOn w:val="DefaultParagraphFont"/>
    <w:uiPriority w:val="98"/>
    <w:semiHidden/>
    <w:rsid w:val="005B284C"/>
    <w:rPr>
      <w:rFonts w:ascii="Consolas" w:hAnsi="Consolas" w:cs="Consolas"/>
      <w:sz w:val="20"/>
      <w:szCs w:val="20"/>
    </w:rPr>
  </w:style>
  <w:style w:type="paragraph" w:styleId="HTMLPreformatted">
    <w:name w:val="HTML Preformatted"/>
    <w:basedOn w:val="Normal"/>
    <w:link w:val="HTMLPreformattedChar"/>
    <w:uiPriority w:val="98"/>
    <w:semiHidden/>
    <w:rsid w:val="005B284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B284C"/>
    <w:rPr>
      <w:rFonts w:ascii="Consolas" w:hAnsi="Consolas" w:cs="Consolas"/>
      <w:sz w:val="20"/>
      <w:szCs w:val="20"/>
      <w:lang w:val="fr-FR"/>
    </w:rPr>
  </w:style>
  <w:style w:type="character" w:styleId="HTMLSample">
    <w:name w:val="HTML Sample"/>
    <w:basedOn w:val="DefaultParagraphFont"/>
    <w:uiPriority w:val="98"/>
    <w:semiHidden/>
    <w:rsid w:val="005B284C"/>
    <w:rPr>
      <w:rFonts w:ascii="Consolas" w:hAnsi="Consolas" w:cs="Consolas"/>
      <w:sz w:val="24"/>
      <w:szCs w:val="24"/>
    </w:rPr>
  </w:style>
  <w:style w:type="character" w:styleId="HTMLTypewriter">
    <w:name w:val="HTML Typewriter"/>
    <w:basedOn w:val="DefaultParagraphFont"/>
    <w:uiPriority w:val="98"/>
    <w:semiHidden/>
    <w:rsid w:val="005B284C"/>
    <w:rPr>
      <w:rFonts w:ascii="Consolas" w:hAnsi="Consolas" w:cs="Consolas"/>
      <w:sz w:val="20"/>
      <w:szCs w:val="20"/>
    </w:rPr>
  </w:style>
  <w:style w:type="character" w:styleId="HTMLVariable">
    <w:name w:val="HTML Variable"/>
    <w:basedOn w:val="DefaultParagraphFont"/>
    <w:uiPriority w:val="98"/>
    <w:semiHidden/>
    <w:rsid w:val="005B284C"/>
    <w:rPr>
      <w:i/>
      <w:iCs/>
    </w:rPr>
  </w:style>
  <w:style w:type="paragraph" w:styleId="Index1">
    <w:name w:val="index 1"/>
    <w:basedOn w:val="Normal"/>
    <w:next w:val="Normal"/>
    <w:autoRedefine/>
    <w:uiPriority w:val="98"/>
    <w:semiHidden/>
    <w:rsid w:val="005B284C"/>
    <w:pPr>
      <w:ind w:left="240" w:hanging="240"/>
    </w:pPr>
  </w:style>
  <w:style w:type="paragraph" w:styleId="Index2">
    <w:name w:val="index 2"/>
    <w:basedOn w:val="Normal"/>
    <w:next w:val="Normal"/>
    <w:autoRedefine/>
    <w:uiPriority w:val="98"/>
    <w:semiHidden/>
    <w:rsid w:val="005B284C"/>
    <w:pPr>
      <w:ind w:left="480" w:hanging="240"/>
    </w:pPr>
  </w:style>
  <w:style w:type="paragraph" w:styleId="Index3">
    <w:name w:val="index 3"/>
    <w:basedOn w:val="Normal"/>
    <w:next w:val="Normal"/>
    <w:autoRedefine/>
    <w:uiPriority w:val="98"/>
    <w:semiHidden/>
    <w:rsid w:val="005B284C"/>
    <w:pPr>
      <w:ind w:left="720" w:hanging="240"/>
    </w:pPr>
  </w:style>
  <w:style w:type="paragraph" w:styleId="Index4">
    <w:name w:val="index 4"/>
    <w:basedOn w:val="Normal"/>
    <w:next w:val="Normal"/>
    <w:autoRedefine/>
    <w:uiPriority w:val="98"/>
    <w:semiHidden/>
    <w:rsid w:val="005B284C"/>
    <w:pPr>
      <w:ind w:left="960" w:hanging="240"/>
    </w:pPr>
  </w:style>
  <w:style w:type="paragraph" w:styleId="Index5">
    <w:name w:val="index 5"/>
    <w:basedOn w:val="Normal"/>
    <w:next w:val="Normal"/>
    <w:autoRedefine/>
    <w:uiPriority w:val="98"/>
    <w:semiHidden/>
    <w:rsid w:val="005B284C"/>
    <w:pPr>
      <w:ind w:left="1200" w:hanging="240"/>
    </w:pPr>
  </w:style>
  <w:style w:type="paragraph" w:styleId="Index6">
    <w:name w:val="index 6"/>
    <w:basedOn w:val="Normal"/>
    <w:next w:val="Normal"/>
    <w:autoRedefine/>
    <w:uiPriority w:val="98"/>
    <w:semiHidden/>
    <w:rsid w:val="005B284C"/>
    <w:pPr>
      <w:ind w:left="1440" w:hanging="240"/>
    </w:pPr>
  </w:style>
  <w:style w:type="paragraph" w:styleId="Index7">
    <w:name w:val="index 7"/>
    <w:basedOn w:val="Normal"/>
    <w:next w:val="Normal"/>
    <w:autoRedefine/>
    <w:uiPriority w:val="98"/>
    <w:semiHidden/>
    <w:rsid w:val="005B284C"/>
    <w:pPr>
      <w:ind w:left="1680" w:hanging="240"/>
    </w:pPr>
  </w:style>
  <w:style w:type="paragraph" w:styleId="Index8">
    <w:name w:val="index 8"/>
    <w:basedOn w:val="Normal"/>
    <w:next w:val="Normal"/>
    <w:autoRedefine/>
    <w:uiPriority w:val="98"/>
    <w:semiHidden/>
    <w:rsid w:val="005B284C"/>
    <w:pPr>
      <w:ind w:left="1920" w:hanging="240"/>
    </w:pPr>
  </w:style>
  <w:style w:type="paragraph" w:styleId="Index9">
    <w:name w:val="index 9"/>
    <w:basedOn w:val="Normal"/>
    <w:next w:val="Normal"/>
    <w:autoRedefine/>
    <w:uiPriority w:val="98"/>
    <w:semiHidden/>
    <w:rsid w:val="005B284C"/>
    <w:pPr>
      <w:ind w:left="2160" w:hanging="240"/>
    </w:pPr>
  </w:style>
  <w:style w:type="paragraph" w:styleId="IndexHeading">
    <w:name w:val="index heading"/>
    <w:basedOn w:val="Normal"/>
    <w:next w:val="Index1"/>
    <w:uiPriority w:val="98"/>
    <w:semiHidden/>
    <w:rsid w:val="005B284C"/>
    <w:rPr>
      <w:rFonts w:asciiTheme="majorHAnsi" w:eastAsiaTheme="majorEastAsia" w:hAnsiTheme="majorHAnsi" w:cstheme="majorBidi"/>
      <w:b/>
      <w:bCs/>
    </w:rPr>
  </w:style>
  <w:style w:type="table" w:styleId="LightGrid">
    <w:name w:val="Light Grid"/>
    <w:basedOn w:val="TableNormal"/>
    <w:uiPriority w:val="62"/>
    <w:semiHidden/>
    <w:rsid w:val="005B284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B284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B284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B284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B284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B284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B284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B284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B284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B284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B284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B284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B284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B284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B284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B284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B284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B284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B284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B284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B284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B284C"/>
  </w:style>
  <w:style w:type="paragraph" w:styleId="List">
    <w:name w:val="List"/>
    <w:basedOn w:val="Normal"/>
    <w:uiPriority w:val="98"/>
    <w:semiHidden/>
    <w:rsid w:val="005B284C"/>
    <w:pPr>
      <w:ind w:left="283" w:hanging="283"/>
      <w:contextualSpacing/>
    </w:pPr>
  </w:style>
  <w:style w:type="paragraph" w:styleId="List2">
    <w:name w:val="List 2"/>
    <w:basedOn w:val="Normal"/>
    <w:uiPriority w:val="98"/>
    <w:semiHidden/>
    <w:rsid w:val="005B284C"/>
    <w:pPr>
      <w:ind w:left="566" w:hanging="283"/>
      <w:contextualSpacing/>
    </w:pPr>
  </w:style>
  <w:style w:type="paragraph" w:styleId="List3">
    <w:name w:val="List 3"/>
    <w:basedOn w:val="Normal"/>
    <w:uiPriority w:val="98"/>
    <w:semiHidden/>
    <w:rsid w:val="005B284C"/>
    <w:pPr>
      <w:ind w:left="849" w:hanging="283"/>
      <w:contextualSpacing/>
    </w:pPr>
  </w:style>
  <w:style w:type="paragraph" w:styleId="List4">
    <w:name w:val="List 4"/>
    <w:basedOn w:val="Normal"/>
    <w:uiPriority w:val="98"/>
    <w:semiHidden/>
    <w:rsid w:val="005B284C"/>
    <w:pPr>
      <w:ind w:left="1132" w:hanging="283"/>
      <w:contextualSpacing/>
    </w:pPr>
  </w:style>
  <w:style w:type="paragraph" w:styleId="List5">
    <w:name w:val="List 5"/>
    <w:basedOn w:val="Normal"/>
    <w:uiPriority w:val="98"/>
    <w:semiHidden/>
    <w:rsid w:val="005B284C"/>
    <w:pPr>
      <w:ind w:left="1415" w:hanging="283"/>
      <w:contextualSpacing/>
    </w:pPr>
  </w:style>
  <w:style w:type="paragraph" w:styleId="ListBullet">
    <w:name w:val="List Bullet"/>
    <w:basedOn w:val="Normal"/>
    <w:uiPriority w:val="98"/>
    <w:semiHidden/>
    <w:rsid w:val="005B284C"/>
    <w:pPr>
      <w:numPr>
        <w:numId w:val="11"/>
      </w:numPr>
    </w:pPr>
  </w:style>
  <w:style w:type="paragraph" w:styleId="ListBullet4">
    <w:name w:val="List Bullet 4"/>
    <w:basedOn w:val="Normal"/>
    <w:uiPriority w:val="98"/>
    <w:semiHidden/>
    <w:rsid w:val="005B284C"/>
    <w:pPr>
      <w:numPr>
        <w:numId w:val="14"/>
      </w:numPr>
      <w:contextualSpacing/>
    </w:pPr>
  </w:style>
  <w:style w:type="paragraph" w:styleId="ListBullet5">
    <w:name w:val="List Bullet 5"/>
    <w:basedOn w:val="Normal"/>
    <w:uiPriority w:val="98"/>
    <w:semiHidden/>
    <w:rsid w:val="005B284C"/>
    <w:pPr>
      <w:numPr>
        <w:numId w:val="15"/>
      </w:numPr>
      <w:contextualSpacing/>
    </w:pPr>
  </w:style>
  <w:style w:type="paragraph" w:styleId="ListContinue">
    <w:name w:val="List Continue"/>
    <w:basedOn w:val="Normal"/>
    <w:uiPriority w:val="98"/>
    <w:semiHidden/>
    <w:rsid w:val="005B284C"/>
    <w:pPr>
      <w:spacing w:after="120"/>
      <w:ind w:left="283"/>
      <w:contextualSpacing/>
    </w:pPr>
  </w:style>
  <w:style w:type="paragraph" w:styleId="ListContinue2">
    <w:name w:val="List Continue 2"/>
    <w:basedOn w:val="Normal"/>
    <w:uiPriority w:val="98"/>
    <w:semiHidden/>
    <w:rsid w:val="005B284C"/>
    <w:pPr>
      <w:spacing w:after="120"/>
      <w:ind w:left="566"/>
      <w:contextualSpacing/>
    </w:pPr>
  </w:style>
  <w:style w:type="paragraph" w:styleId="ListContinue3">
    <w:name w:val="List Continue 3"/>
    <w:basedOn w:val="Normal"/>
    <w:uiPriority w:val="98"/>
    <w:semiHidden/>
    <w:rsid w:val="005B284C"/>
    <w:pPr>
      <w:spacing w:after="120"/>
      <w:ind w:left="849"/>
      <w:contextualSpacing/>
    </w:pPr>
  </w:style>
  <w:style w:type="paragraph" w:styleId="ListContinue4">
    <w:name w:val="List Continue 4"/>
    <w:basedOn w:val="Normal"/>
    <w:uiPriority w:val="98"/>
    <w:semiHidden/>
    <w:rsid w:val="005B284C"/>
    <w:pPr>
      <w:spacing w:after="120"/>
      <w:ind w:left="1132"/>
      <w:contextualSpacing/>
    </w:pPr>
  </w:style>
  <w:style w:type="paragraph" w:styleId="ListContinue5">
    <w:name w:val="List Continue 5"/>
    <w:basedOn w:val="Normal"/>
    <w:uiPriority w:val="98"/>
    <w:semiHidden/>
    <w:rsid w:val="005B284C"/>
    <w:pPr>
      <w:spacing w:after="120"/>
      <w:ind w:left="1415"/>
      <w:contextualSpacing/>
    </w:pPr>
  </w:style>
  <w:style w:type="paragraph" w:styleId="ListNumber">
    <w:name w:val="List Number"/>
    <w:basedOn w:val="Normal"/>
    <w:uiPriority w:val="98"/>
    <w:semiHidden/>
    <w:rsid w:val="005B284C"/>
    <w:pPr>
      <w:numPr>
        <w:numId w:val="16"/>
      </w:numPr>
      <w:contextualSpacing/>
    </w:pPr>
  </w:style>
  <w:style w:type="paragraph" w:styleId="ListNumber2">
    <w:name w:val="List Number 2"/>
    <w:basedOn w:val="Normal"/>
    <w:uiPriority w:val="98"/>
    <w:semiHidden/>
    <w:rsid w:val="005B284C"/>
    <w:pPr>
      <w:numPr>
        <w:numId w:val="17"/>
      </w:numPr>
      <w:contextualSpacing/>
    </w:pPr>
  </w:style>
  <w:style w:type="paragraph" w:styleId="ListNumber3">
    <w:name w:val="List Number 3"/>
    <w:basedOn w:val="Normal"/>
    <w:uiPriority w:val="98"/>
    <w:semiHidden/>
    <w:rsid w:val="005B284C"/>
    <w:pPr>
      <w:numPr>
        <w:numId w:val="18"/>
      </w:numPr>
      <w:contextualSpacing/>
    </w:pPr>
  </w:style>
  <w:style w:type="paragraph" w:styleId="ListNumber4">
    <w:name w:val="List Number 4"/>
    <w:basedOn w:val="Normal"/>
    <w:uiPriority w:val="98"/>
    <w:semiHidden/>
    <w:rsid w:val="005B284C"/>
    <w:pPr>
      <w:numPr>
        <w:numId w:val="19"/>
      </w:numPr>
      <w:contextualSpacing/>
    </w:pPr>
  </w:style>
  <w:style w:type="paragraph" w:styleId="ListNumber5">
    <w:name w:val="List Number 5"/>
    <w:basedOn w:val="Normal"/>
    <w:uiPriority w:val="98"/>
    <w:semiHidden/>
    <w:rsid w:val="005B284C"/>
    <w:pPr>
      <w:numPr>
        <w:numId w:val="20"/>
      </w:numPr>
      <w:contextualSpacing/>
    </w:pPr>
  </w:style>
  <w:style w:type="paragraph" w:styleId="MacroText">
    <w:name w:val="macro"/>
    <w:link w:val="MacroTextChar"/>
    <w:uiPriority w:val="98"/>
    <w:semiHidden/>
    <w:rsid w:val="005B284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B284C"/>
    <w:rPr>
      <w:rFonts w:ascii="Consolas" w:eastAsiaTheme="minorEastAsia" w:hAnsi="Consolas" w:cs="Consolas"/>
      <w:sz w:val="20"/>
      <w:szCs w:val="20"/>
    </w:rPr>
  </w:style>
  <w:style w:type="table" w:styleId="MediumGrid1">
    <w:name w:val="Medium Grid 1"/>
    <w:basedOn w:val="TableNormal"/>
    <w:uiPriority w:val="67"/>
    <w:semiHidden/>
    <w:rsid w:val="005B284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B284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B284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B284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B284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B284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B284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B284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B284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B284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B284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B284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B284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B284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B284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B284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B284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B284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B284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B284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B284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B284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B284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B284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B284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B284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B284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B284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B284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B284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B284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B284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B284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B284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B284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B284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B284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B284C"/>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B284C"/>
    <w:rPr>
      <w:rFonts w:ascii="Times New Roman" w:hAnsi="Times New Roman" w:cs="Times New Roman"/>
    </w:rPr>
  </w:style>
  <w:style w:type="paragraph" w:styleId="NormalIndent">
    <w:name w:val="Normal Indent"/>
    <w:basedOn w:val="Normal"/>
    <w:uiPriority w:val="98"/>
    <w:semiHidden/>
    <w:rsid w:val="005B284C"/>
    <w:pPr>
      <w:ind w:left="720"/>
    </w:pPr>
  </w:style>
  <w:style w:type="paragraph" w:styleId="NoteHeading">
    <w:name w:val="Note Heading"/>
    <w:basedOn w:val="Normal"/>
    <w:next w:val="Normal"/>
    <w:link w:val="NoteHeadingChar"/>
    <w:uiPriority w:val="98"/>
    <w:semiHidden/>
    <w:rsid w:val="005B284C"/>
  </w:style>
  <w:style w:type="character" w:customStyle="1" w:styleId="NoteHeadingChar">
    <w:name w:val="Note Heading Char"/>
    <w:basedOn w:val="DefaultParagraphFont"/>
    <w:link w:val="NoteHeading"/>
    <w:uiPriority w:val="98"/>
    <w:semiHidden/>
    <w:rsid w:val="005B284C"/>
    <w:rPr>
      <w:sz w:val="24"/>
      <w:szCs w:val="24"/>
      <w:lang w:val="fr-FR"/>
    </w:rPr>
  </w:style>
  <w:style w:type="character" w:styleId="PlaceholderText">
    <w:name w:val="Placeholder Text"/>
    <w:basedOn w:val="DefaultParagraphFont"/>
    <w:uiPriority w:val="98"/>
    <w:semiHidden/>
    <w:rsid w:val="005B284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B284C"/>
    <w:rPr>
      <w:rFonts w:ascii="Consolas" w:hAnsi="Consolas" w:cs="Consolas"/>
      <w:sz w:val="21"/>
      <w:szCs w:val="21"/>
    </w:rPr>
  </w:style>
  <w:style w:type="character" w:customStyle="1" w:styleId="PlainTextChar">
    <w:name w:val="Plain Text Char"/>
    <w:basedOn w:val="DefaultParagraphFont"/>
    <w:link w:val="PlainText"/>
    <w:uiPriority w:val="98"/>
    <w:semiHidden/>
    <w:rsid w:val="005B284C"/>
    <w:rPr>
      <w:rFonts w:ascii="Consolas" w:hAnsi="Consolas" w:cs="Consolas"/>
      <w:sz w:val="21"/>
      <w:szCs w:val="21"/>
      <w:lang w:val="fr-FR"/>
    </w:rPr>
  </w:style>
  <w:style w:type="paragraph" w:styleId="Salutation">
    <w:name w:val="Salutation"/>
    <w:basedOn w:val="Normal"/>
    <w:next w:val="Normal"/>
    <w:link w:val="SalutationChar"/>
    <w:uiPriority w:val="98"/>
    <w:semiHidden/>
    <w:rsid w:val="005B284C"/>
  </w:style>
  <w:style w:type="character" w:customStyle="1" w:styleId="SalutationChar">
    <w:name w:val="Salutation Char"/>
    <w:basedOn w:val="DefaultParagraphFont"/>
    <w:link w:val="Salutation"/>
    <w:uiPriority w:val="98"/>
    <w:semiHidden/>
    <w:rsid w:val="005B284C"/>
    <w:rPr>
      <w:sz w:val="24"/>
      <w:szCs w:val="24"/>
      <w:lang w:val="fr-FR"/>
    </w:rPr>
  </w:style>
  <w:style w:type="paragraph" w:styleId="Signature">
    <w:name w:val="Signature"/>
    <w:basedOn w:val="Normal"/>
    <w:link w:val="SignatureChar"/>
    <w:uiPriority w:val="98"/>
    <w:semiHidden/>
    <w:rsid w:val="005B284C"/>
    <w:pPr>
      <w:ind w:left="4252"/>
    </w:pPr>
  </w:style>
  <w:style w:type="character" w:customStyle="1" w:styleId="SignatureChar">
    <w:name w:val="Signature Char"/>
    <w:basedOn w:val="DefaultParagraphFont"/>
    <w:link w:val="Signature"/>
    <w:uiPriority w:val="98"/>
    <w:semiHidden/>
    <w:rsid w:val="005B284C"/>
    <w:rPr>
      <w:sz w:val="24"/>
      <w:szCs w:val="24"/>
      <w:lang w:val="fr-FR"/>
    </w:rPr>
  </w:style>
  <w:style w:type="table" w:styleId="Table3Deffects1">
    <w:name w:val="Table 3D effects 1"/>
    <w:basedOn w:val="TableNormal"/>
    <w:uiPriority w:val="99"/>
    <w:semiHidden/>
    <w:unhideWhenUsed/>
    <w:rsid w:val="005B284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B284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B284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B284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B284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B284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B284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B284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B284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B284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B284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B284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B284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B284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B284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B284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B284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B284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B284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B284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B284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B284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B284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B284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B284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B284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B284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B284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B284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B284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B284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B284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B284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B284C"/>
    <w:pPr>
      <w:ind w:left="240" w:hanging="240"/>
    </w:pPr>
  </w:style>
  <w:style w:type="paragraph" w:styleId="TableofFigures">
    <w:name w:val="table of figures"/>
    <w:basedOn w:val="Normal"/>
    <w:next w:val="Normal"/>
    <w:uiPriority w:val="98"/>
    <w:semiHidden/>
    <w:rsid w:val="005B284C"/>
  </w:style>
  <w:style w:type="table" w:styleId="TableProfessional">
    <w:name w:val="Table Professional"/>
    <w:basedOn w:val="TableNormal"/>
    <w:uiPriority w:val="99"/>
    <w:semiHidden/>
    <w:unhideWhenUsed/>
    <w:rsid w:val="005B284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B284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B284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B284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B284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B284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B284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B284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B284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B284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B284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B284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B284C"/>
    <w:pPr>
      <w:spacing w:after="100"/>
      <w:ind w:left="1680"/>
    </w:pPr>
  </w:style>
  <w:style w:type="paragraph" w:styleId="TOC9">
    <w:name w:val="toc 9"/>
    <w:basedOn w:val="Normal"/>
    <w:next w:val="Normal"/>
    <w:autoRedefine/>
    <w:uiPriority w:val="98"/>
    <w:semiHidden/>
    <w:rsid w:val="005B284C"/>
    <w:pPr>
      <w:spacing w:after="100"/>
      <w:ind w:left="1920"/>
    </w:pPr>
  </w:style>
  <w:style w:type="paragraph" w:customStyle="1" w:styleId="ECHRFooter">
    <w:name w:val="ECHR_Footer"/>
    <w:aliases w:val="Footer_ECHR"/>
    <w:basedOn w:val="Footer0"/>
    <w:uiPriority w:val="57"/>
    <w:semiHidden/>
    <w:rsid w:val="00F9130D"/>
    <w:rPr>
      <w:sz w:val="8"/>
    </w:rPr>
  </w:style>
  <w:style w:type="paragraph" w:customStyle="1" w:styleId="ECHRFooterLine">
    <w:name w:val="ECHR_Footer_Line"/>
    <w:aliases w:val="_Footer_Line"/>
    <w:basedOn w:val="Normal"/>
    <w:next w:val="Normal"/>
    <w:uiPriority w:val="29"/>
    <w:semiHidden/>
    <w:rsid w:val="005B284C"/>
    <w:pPr>
      <w:pBdr>
        <w:top w:val="single" w:sz="6" w:space="1" w:color="5F5F5F"/>
      </w:pBdr>
      <w:tabs>
        <w:tab w:val="center" w:pos="3686"/>
        <w:tab w:val="right" w:pos="7371"/>
      </w:tabs>
      <w:ind w:left="-1474" w:right="-1474"/>
    </w:pPr>
    <w:rPr>
      <w:color w:val="5F5F5F"/>
    </w:rPr>
  </w:style>
  <w:style w:type="paragraph" w:customStyle="1" w:styleId="ECHRBullet2">
    <w:name w:val="ECHR_Bullet_2"/>
    <w:aliases w:val="_Bul_2"/>
    <w:basedOn w:val="ECHRBullet1"/>
    <w:uiPriority w:val="23"/>
    <w:semiHidden/>
    <w:rsid w:val="005B284C"/>
    <w:pPr>
      <w:numPr>
        <w:ilvl w:val="1"/>
      </w:numPr>
    </w:pPr>
  </w:style>
  <w:style w:type="paragraph" w:customStyle="1" w:styleId="ECHRBullet3">
    <w:name w:val="ECHR_Bullet_3"/>
    <w:aliases w:val="_Bul_3"/>
    <w:basedOn w:val="ECHRBullet2"/>
    <w:uiPriority w:val="23"/>
    <w:semiHidden/>
    <w:rsid w:val="005B284C"/>
    <w:pPr>
      <w:numPr>
        <w:ilvl w:val="2"/>
      </w:numPr>
    </w:pPr>
  </w:style>
  <w:style w:type="paragraph" w:customStyle="1" w:styleId="ECHRBullet4">
    <w:name w:val="ECHR_Bullet_4"/>
    <w:aliases w:val="_Bul_4"/>
    <w:basedOn w:val="ECHRBullet3"/>
    <w:uiPriority w:val="23"/>
    <w:semiHidden/>
    <w:rsid w:val="005B284C"/>
    <w:pPr>
      <w:numPr>
        <w:ilvl w:val="3"/>
      </w:numPr>
    </w:pPr>
  </w:style>
  <w:style w:type="paragraph" w:customStyle="1" w:styleId="ECHRConfidential">
    <w:name w:val="ECHR_Confidential"/>
    <w:aliases w:val="_Confidential"/>
    <w:basedOn w:val="Normal"/>
    <w:next w:val="Normal"/>
    <w:uiPriority w:val="42"/>
    <w:semiHidden/>
    <w:qFormat/>
    <w:rsid w:val="005B284C"/>
    <w:pPr>
      <w:jc w:val="right"/>
    </w:pPr>
    <w:rPr>
      <w:color w:val="C00000"/>
      <w:sz w:val="20"/>
    </w:rPr>
  </w:style>
  <w:style w:type="paragraph" w:customStyle="1" w:styleId="ECHRDecisionBody">
    <w:name w:val="ECHR_Decision_Body"/>
    <w:aliases w:val="_Decision_Body"/>
    <w:basedOn w:val="NormalJustified"/>
    <w:uiPriority w:val="54"/>
    <w:semiHidden/>
    <w:rsid w:val="005B284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B284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B284C"/>
    <w:rPr>
      <w:rFonts w:ascii="Arial" w:hAnsi="Arial"/>
      <w:i/>
      <w:color w:val="002856"/>
      <w:sz w:val="32"/>
      <w:szCs w:val="24"/>
      <w:lang w:val="fr-FR"/>
    </w:rPr>
  </w:style>
  <w:style w:type="paragraph" w:customStyle="1" w:styleId="DummyStyle">
    <w:name w:val="Dummy_Style"/>
    <w:aliases w:val="_Dummy"/>
    <w:basedOn w:val="Normal"/>
    <w:semiHidden/>
    <w:qFormat/>
    <w:rsid w:val="005B284C"/>
    <w:rPr>
      <w:color w:val="00B050"/>
      <w:sz w:val="22"/>
    </w:rPr>
  </w:style>
  <w:style w:type="paragraph" w:customStyle="1" w:styleId="ECHRFooterLineLandscape">
    <w:name w:val="ECHR_Footer_Line_Landscape"/>
    <w:aliases w:val="_Footer_Line_Landscape"/>
    <w:basedOn w:val="Normal"/>
    <w:uiPriority w:val="29"/>
    <w:semiHidden/>
    <w:rsid w:val="005B284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5B284C"/>
    <w:pPr>
      <w:ind w:left="567" w:hanging="567"/>
      <w:jc w:val="both"/>
    </w:pPr>
  </w:style>
  <w:style w:type="paragraph" w:customStyle="1" w:styleId="ECHRHeading9">
    <w:name w:val="ECHR_Heading_9"/>
    <w:aliases w:val="_Head_9"/>
    <w:basedOn w:val="Heading9"/>
    <w:uiPriority w:val="17"/>
    <w:semiHidden/>
    <w:rsid w:val="005B284C"/>
    <w:pPr>
      <w:keepNext/>
      <w:keepLines/>
      <w:numPr>
        <w:ilvl w:val="8"/>
        <w:numId w:val="9"/>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semiHidden/>
    <w:rsid w:val="005B284C"/>
    <w:pPr>
      <w:tabs>
        <w:tab w:val="center" w:pos="6146"/>
        <w:tab w:val="right" w:pos="13778"/>
      </w:tabs>
      <w:ind w:left="-1474" w:right="-1474"/>
    </w:pPr>
  </w:style>
  <w:style w:type="paragraph" w:customStyle="1" w:styleId="ECHRParaIndent">
    <w:name w:val="ECHR_Para_Indent"/>
    <w:aliases w:val="_Indent"/>
    <w:basedOn w:val="Normal"/>
    <w:uiPriority w:val="7"/>
    <w:semiHidden/>
    <w:qFormat/>
    <w:rsid w:val="005B284C"/>
    <w:pPr>
      <w:spacing w:before="120" w:after="120"/>
      <w:ind w:left="567"/>
      <w:jc w:val="both"/>
    </w:pPr>
  </w:style>
  <w:style w:type="paragraph" w:customStyle="1" w:styleId="ECHRLine">
    <w:name w:val="ECHR_Line"/>
    <w:aliases w:val="_Line"/>
    <w:basedOn w:val="NormalJustified"/>
    <w:next w:val="Normal"/>
    <w:uiPriority w:val="46"/>
    <w:semiHidden/>
    <w:rsid w:val="005B284C"/>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5B284C"/>
    <w:pPr>
      <w:numPr>
        <w:numId w:val="0"/>
      </w:numPr>
      <w:ind w:left="284"/>
    </w:pPr>
  </w:style>
  <w:style w:type="paragraph" w:customStyle="1" w:styleId="ECHRNumberedList1">
    <w:name w:val="ECHR_Numbered_List_1"/>
    <w:aliases w:val="_Num_1"/>
    <w:basedOn w:val="Normal"/>
    <w:uiPriority w:val="23"/>
    <w:qFormat/>
    <w:rsid w:val="005B284C"/>
    <w:pPr>
      <w:numPr>
        <w:numId w:val="8"/>
      </w:numPr>
      <w:spacing w:before="60" w:after="60"/>
    </w:pPr>
  </w:style>
  <w:style w:type="paragraph" w:customStyle="1" w:styleId="ECHRNumberedList2">
    <w:name w:val="ECHR_Numbered_List_2"/>
    <w:aliases w:val="_Num_2"/>
    <w:basedOn w:val="ECHRNumberedList1"/>
    <w:uiPriority w:val="23"/>
    <w:rsid w:val="005B284C"/>
    <w:pPr>
      <w:numPr>
        <w:ilvl w:val="1"/>
      </w:numPr>
    </w:pPr>
  </w:style>
  <w:style w:type="paragraph" w:customStyle="1" w:styleId="ECHRNumberedList3">
    <w:name w:val="ECHR_Numbered_List_3"/>
    <w:aliases w:val="_Num_3"/>
    <w:basedOn w:val="ECHRNumberedList2"/>
    <w:uiPriority w:val="23"/>
    <w:rsid w:val="005B284C"/>
    <w:pPr>
      <w:numPr>
        <w:ilvl w:val="2"/>
      </w:numPr>
    </w:pPr>
  </w:style>
  <w:style w:type="paragraph" w:customStyle="1" w:styleId="ECHRPlaceholder">
    <w:name w:val="ECHR_Placeholder"/>
    <w:aliases w:val="_Placeholder"/>
    <w:basedOn w:val="JuSigned"/>
    <w:uiPriority w:val="31"/>
    <w:rsid w:val="005B284C"/>
    <w:rPr>
      <w:color w:val="FFFFFF"/>
    </w:rPr>
  </w:style>
  <w:style w:type="character" w:customStyle="1" w:styleId="ECHRRed">
    <w:name w:val="ECHR_Red"/>
    <w:aliases w:val="_Red"/>
    <w:basedOn w:val="DefaultParagraphFont"/>
    <w:uiPriority w:val="15"/>
    <w:semiHidden/>
    <w:qFormat/>
    <w:rsid w:val="005B284C"/>
    <w:rPr>
      <w:color w:val="C00000" w:themeColor="accent2"/>
    </w:rPr>
  </w:style>
  <w:style w:type="paragraph" w:customStyle="1" w:styleId="ECHRHeaderDate">
    <w:name w:val="ECHR_Header_Date"/>
    <w:aliases w:val="_Ref_Date"/>
    <w:basedOn w:val="Normal"/>
    <w:uiPriority w:val="44"/>
    <w:semiHidden/>
    <w:qFormat/>
    <w:rsid w:val="005B284C"/>
    <w:pPr>
      <w:jc w:val="right"/>
    </w:pPr>
    <w:rPr>
      <w:sz w:val="20"/>
    </w:rPr>
  </w:style>
  <w:style w:type="paragraph" w:customStyle="1" w:styleId="ECHRHeaderRefIt">
    <w:name w:val="ECHR_Header_Ref_It"/>
    <w:aliases w:val="_Ref_Ital"/>
    <w:basedOn w:val="Normal"/>
    <w:next w:val="ECHRHeaderDate"/>
    <w:uiPriority w:val="43"/>
    <w:semiHidden/>
    <w:qFormat/>
    <w:rsid w:val="005B284C"/>
    <w:pPr>
      <w:jc w:val="right"/>
    </w:pPr>
    <w:rPr>
      <w:i/>
      <w:sz w:val="20"/>
    </w:rPr>
  </w:style>
  <w:style w:type="paragraph" w:customStyle="1" w:styleId="ECHRSpacer">
    <w:name w:val="ECHR_Spacer"/>
    <w:aliases w:val="_Spacer"/>
    <w:basedOn w:val="Normal"/>
    <w:uiPriority w:val="45"/>
    <w:semiHidden/>
    <w:rsid w:val="005B284C"/>
    <w:rPr>
      <w:sz w:val="4"/>
    </w:rPr>
  </w:style>
  <w:style w:type="paragraph" w:customStyle="1" w:styleId="ECHRTitleCentre1">
    <w:name w:val="ECHR_Title_Centre_1"/>
    <w:aliases w:val="_Title_C_1"/>
    <w:basedOn w:val="Normal"/>
    <w:next w:val="Normal"/>
    <w:uiPriority w:val="26"/>
    <w:semiHidden/>
    <w:qFormat/>
    <w:rsid w:val="005B284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B284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B284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B284C"/>
    <w:pPr>
      <w:outlineLvl w:val="0"/>
    </w:pPr>
  </w:style>
  <w:style w:type="paragraph" w:customStyle="1" w:styleId="ECHRTitle1">
    <w:name w:val="ECHR_Title_1"/>
    <w:aliases w:val="_Title_L_1"/>
    <w:basedOn w:val="Normal"/>
    <w:next w:val="Normal"/>
    <w:uiPriority w:val="28"/>
    <w:semiHidden/>
    <w:qFormat/>
    <w:rsid w:val="005B284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B284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B284C"/>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5B284C"/>
    <w:pPr>
      <w:outlineLvl w:val="0"/>
    </w:pPr>
  </w:style>
  <w:style w:type="table" w:customStyle="1" w:styleId="ECHRTable2">
    <w:name w:val="ECHR_Table_2"/>
    <w:basedOn w:val="TableNormal"/>
    <w:uiPriority w:val="99"/>
    <w:rsid w:val="005B284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B284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5B284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BE6E05"/>
    <w:rPr>
      <w:color w:val="605E5C"/>
      <w:shd w:val="clear" w:color="auto" w:fill="E1DFDD"/>
    </w:rPr>
  </w:style>
  <w:style w:type="table" w:styleId="GridTable1Light">
    <w:name w:val="Grid Table 1 Light"/>
    <w:basedOn w:val="TableNormal"/>
    <w:uiPriority w:val="46"/>
    <w:rsid w:val="00BE6E0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E6E0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E6E0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E6E0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E6E0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E6E0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E6E0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E6E0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E6E0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BE6E0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BE6E0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BE6E0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BE6E0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BE6E0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BE6E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E6E0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BE6E0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BE6E0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BE6E0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BE6E0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BE6E0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BE6E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E6E0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BE6E0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BE6E0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BE6E0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BE6E0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BE6E0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BE6E0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E6E0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BE6E0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BE6E0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BE6E0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BE6E0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BE6E0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BE6E0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E6E0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BE6E0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BE6E0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BE6E0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BE6E0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BE6E0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BE6E0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E6E0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BE6E0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BE6E0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BE6E0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BE6E0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BE6E0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BE6E05"/>
    <w:rPr>
      <w:color w:val="2B579A"/>
      <w:shd w:val="clear" w:color="auto" w:fill="E1DFDD"/>
    </w:rPr>
  </w:style>
  <w:style w:type="table" w:styleId="ListTable1Light">
    <w:name w:val="List Table 1 Light"/>
    <w:basedOn w:val="TableNormal"/>
    <w:uiPriority w:val="46"/>
    <w:rsid w:val="00BE6E0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E6E0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BE6E0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BE6E0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BE6E0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BE6E0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BE6E0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BE6E0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E6E0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BE6E0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BE6E0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BE6E0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BE6E0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BE6E0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BE6E0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E6E0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BE6E0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BE6E0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BE6E0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BE6E0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BE6E0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BE6E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E6E0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BE6E0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BE6E0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BE6E0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BE6E0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BE6E0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BE6E0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E6E0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E6E0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E6E0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E6E0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E6E0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E6E0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E6E0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E6E0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BE6E0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BE6E0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BE6E0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BE6E0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BE6E0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BE6E0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E6E0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E6E0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E6E0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E6E0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E6E0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E6E0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BE6E05"/>
    <w:rPr>
      <w:color w:val="2B579A"/>
      <w:shd w:val="clear" w:color="auto" w:fill="E1DFDD"/>
    </w:rPr>
  </w:style>
  <w:style w:type="table" w:styleId="PlainTable1">
    <w:name w:val="Plain Table 1"/>
    <w:basedOn w:val="TableNormal"/>
    <w:uiPriority w:val="41"/>
    <w:rsid w:val="00BE6E0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BE6E0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E6E0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E6E0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BE6E0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BE6E05"/>
    <w:rPr>
      <w:u w:val="dotted"/>
    </w:rPr>
  </w:style>
  <w:style w:type="character" w:customStyle="1" w:styleId="SmartLink">
    <w:name w:val="Smart Link"/>
    <w:basedOn w:val="DefaultParagraphFont"/>
    <w:uiPriority w:val="99"/>
    <w:semiHidden/>
    <w:unhideWhenUsed/>
    <w:rsid w:val="00BE6E05"/>
    <w:rPr>
      <w:color w:val="0000FF"/>
      <w:u w:val="single"/>
      <w:shd w:val="clear" w:color="auto" w:fill="F3F2F1"/>
    </w:rPr>
  </w:style>
  <w:style w:type="table" w:styleId="TableGridLight">
    <w:name w:val="Grid Table Light"/>
    <w:basedOn w:val="TableNormal"/>
    <w:uiPriority w:val="40"/>
    <w:rsid w:val="00BE6E0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5808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E63647-360C-493F-8B51-07BC462F081C}">
  <ds:schemaRefs>
    <ds:schemaRef ds:uri="http://schemas.openxmlformats.org/officeDocument/2006/bibliography"/>
  </ds:schemaRefs>
</ds:datastoreItem>
</file>

<file path=customXml/itemProps2.xml><?xml version="1.0" encoding="utf-8"?>
<ds:datastoreItem xmlns:ds="http://schemas.openxmlformats.org/officeDocument/2006/customXml" ds:itemID="{9BCA35DB-0781-47AC-BCD6-2B3D2AE28B33}"/>
</file>

<file path=customXml/itemProps3.xml><?xml version="1.0" encoding="utf-8"?>
<ds:datastoreItem xmlns:ds="http://schemas.openxmlformats.org/officeDocument/2006/customXml" ds:itemID="{130D005A-1962-4E8A-8AB0-D50864E3F68C}"/>
</file>

<file path=customXml/itemProps4.xml><?xml version="1.0" encoding="utf-8"?>
<ds:datastoreItem xmlns:ds="http://schemas.openxmlformats.org/officeDocument/2006/customXml" ds:itemID="{5C31A73C-D4E6-4C7E-BFFA-715F64B81676}"/>
</file>

<file path=docProps/app.xml><?xml version="1.0" encoding="utf-8"?>
<Properties xmlns="http://schemas.openxmlformats.org/officeDocument/2006/extended-properties" xmlns:vt="http://schemas.openxmlformats.org/officeDocument/2006/docPropsVTypes">
  <Template>Normal.dotm</Template>
  <TotalTime>0</TotalTime>
  <Pages>1</Pages>
  <Words>4220</Words>
  <Characters>24060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Décision</vt:lpstr>
    </vt:vector>
  </TitlesOfParts>
  <Manager/>
  <Company/>
  <LinksUpToDate>false</LinksUpToDate>
  <CharactersWithSpaces>28224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DCF</dc:subject>
  <dc:creator/>
  <cp:lastModifiedBy/>
  <cp:revision>1</cp:revision>
  <dcterms:created xsi:type="dcterms:W3CDTF">2022-11-29T14:08:00Z</dcterms:created>
  <dcterms:modified xsi:type="dcterms:W3CDTF">2022-11-29T14:08:00Z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44392/19</vt:lpwstr>
  </property>
  <property fmtid="{D5CDD505-2E9C-101B-9397-08002B2CF9AE}" pid="4" name="CASEID">
    <vt:lpwstr>1472418</vt:lpwstr>
  </property>
  <property fmtid="{D5CDD505-2E9C-101B-9397-08002B2CF9AE}" pid="5" name="ContentTypeId">
    <vt:lpwstr>0x010100558EB02BDB9E204AB350EDD385B68E10</vt:lpwstr>
  </property>
</Properties>
</file>