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5.xml" ContentType="application/vnd.openxmlformats-officedocument.wordprocessingml.header+xml"/>
  <Override PartName="/word/footer2.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header6.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2B1FB2" w:rsidR="003252F1" w:rsidP="002B1FB2" w:rsidRDefault="003252F1" w14:paraId="6A47B5CE" w14:textId="77777777">
      <w:pPr>
        <w:jc w:val="center"/>
        <w:rPr>
          <w:rFonts w:ascii="Times New Roman" w:hAnsi="Times New Roman" w:cs="Times New Roman"/>
        </w:rPr>
      </w:pPr>
    </w:p>
    <w:p w:rsidRPr="002B1FB2" w:rsidR="0098410D" w:rsidP="002B1FB2" w:rsidRDefault="0098410D" w14:paraId="4676ED5B" w14:textId="77777777">
      <w:pPr>
        <w:jc w:val="center"/>
      </w:pPr>
    </w:p>
    <w:p w:rsidRPr="002B1FB2" w:rsidR="0098410D" w:rsidP="002B1FB2" w:rsidRDefault="003252F1" w14:paraId="5B7C85B6" w14:textId="561305C9">
      <w:pPr>
        <w:pStyle w:val="DecHTitle"/>
        <w:keepNext w:val="0"/>
        <w:keepLines w:val="0"/>
      </w:pPr>
      <w:r w:rsidRPr="002B1FB2">
        <w:t>FIRST SECTION</w:t>
      </w:r>
    </w:p>
    <w:p w:rsidRPr="002B1FB2" w:rsidR="008E6217" w:rsidP="0063516B" w:rsidRDefault="008E6217" w14:paraId="53228629" w14:textId="37D4B097">
      <w:pPr>
        <w:pStyle w:val="JuTitle"/>
        <w:keepNext w:val="0"/>
        <w:keepLines w:val="0"/>
        <w:spacing w:before="1080"/>
      </w:pPr>
      <w:bookmarkStart w:name="To" w:id="0"/>
      <w:r w:rsidRPr="002B1FB2">
        <w:rPr>
          <w:color w:val="000000" w:themeColor="text1"/>
        </w:rPr>
        <w:t xml:space="preserve">CASE OF </w:t>
      </w:r>
      <w:bookmarkEnd w:id="0"/>
      <w:r w:rsidRPr="002B1FB2" w:rsidR="003252F1">
        <w:t>TABAK v. CROATIA</w:t>
      </w:r>
    </w:p>
    <w:p w:rsidRPr="002B1FB2" w:rsidR="00D74888" w:rsidP="002B1FB2" w:rsidRDefault="008E6217" w14:paraId="6E81B413" w14:textId="6C8C2AB8">
      <w:pPr>
        <w:pStyle w:val="ECHRCoverTitle4"/>
        <w:keepNext w:val="0"/>
        <w:keepLines w:val="0"/>
      </w:pPr>
      <w:r w:rsidRPr="002B1FB2">
        <w:t>(</w:t>
      </w:r>
      <w:r w:rsidRPr="002B1FB2" w:rsidR="003252F1">
        <w:t>Application no.</w:t>
      </w:r>
      <w:r w:rsidRPr="002B1FB2">
        <w:t xml:space="preserve"> </w:t>
      </w:r>
      <w:r w:rsidRPr="002B1FB2" w:rsidR="003252F1">
        <w:t>24315/13</w:t>
      </w:r>
      <w:r w:rsidRPr="002B1FB2">
        <w:t>)</w:t>
      </w:r>
    </w:p>
    <w:p w:rsidRPr="002B1FB2" w:rsidR="0098410D" w:rsidP="002B1FB2" w:rsidRDefault="0098410D" w14:paraId="00E62D4D" w14:textId="77777777">
      <w:pPr>
        <w:pStyle w:val="DecHCase"/>
        <w:keepNext w:val="0"/>
        <w:keepLines w:val="0"/>
      </w:pPr>
    </w:p>
    <w:p w:rsidR="0098410D" w:rsidP="002B1FB2" w:rsidRDefault="0098410D" w14:paraId="196481C5" w14:textId="5A559C36">
      <w:pPr>
        <w:pStyle w:val="DecHCase"/>
        <w:keepNext w:val="0"/>
        <w:keepLines w:val="0"/>
      </w:pPr>
    </w:p>
    <w:p w:rsidRPr="0063516B" w:rsidR="0063516B" w:rsidP="0063516B" w:rsidRDefault="0063516B" w14:paraId="2156B6A2" w14:textId="77777777">
      <w:pPr>
        <w:pStyle w:val="JuPara"/>
      </w:pPr>
    </w:p>
    <w:p w:rsidRPr="002B1FB2" w:rsidR="0098410D" w:rsidP="00C75CA9" w:rsidRDefault="0098410D" w14:paraId="42E9C812" w14:textId="1CCD3A86">
      <w:pPr>
        <w:pStyle w:val="DecHCase"/>
        <w:keepNext w:val="0"/>
        <w:keepLines w:val="0"/>
        <w:spacing w:after="360"/>
      </w:pPr>
      <w:r w:rsidRPr="002B1FB2">
        <w:t>JUDGMENT</w:t>
      </w:r>
    </w:p>
    <w:p w:rsidRPr="002B1FB2" w:rsidR="008F75E4" w:rsidP="002B1FB2" w:rsidRDefault="008F75E4" w14:paraId="5BF371F7" w14:textId="04CA085E">
      <w:pPr>
        <w:pBdr>
          <w:top w:val="single" w:color="auto" w:sz="4" w:space="1"/>
          <w:left w:val="single" w:color="auto" w:sz="4" w:space="4"/>
          <w:bottom w:val="single" w:color="auto" w:sz="4" w:space="1"/>
          <w:right w:val="single" w:color="auto" w:sz="4" w:space="4"/>
        </w:pBdr>
        <w:jc w:val="both"/>
      </w:pPr>
      <w:r w:rsidRPr="002B1FB2">
        <w:t>Art 6 § 1 (civil) • Fair hearing determining defendant company</w:t>
      </w:r>
      <w:r w:rsidRPr="002B1FB2" w:rsidR="002B1FB2">
        <w:t>’</w:t>
      </w:r>
      <w:r w:rsidRPr="002B1FB2">
        <w:t>s liability to pay damages for injury, where applicant failed to act with necessary diligence concerning the issue of an expert</w:t>
      </w:r>
      <w:r w:rsidRPr="002B1FB2" w:rsidR="002B1FB2">
        <w:t>’</w:t>
      </w:r>
      <w:r w:rsidRPr="002B1FB2">
        <w:t>s neutrality and to use his procedural rights • Second-instance court precluded from examining the complaint due to a situation mainly and objectively imputable to the applicant</w:t>
      </w:r>
    </w:p>
    <w:p w:rsidRPr="002B1FB2" w:rsidR="008F75E4" w:rsidP="002B1FB2" w:rsidRDefault="008F75E4" w14:paraId="215C1528" w14:textId="77777777">
      <w:pPr>
        <w:pStyle w:val="DecHCase"/>
        <w:keepNext w:val="0"/>
        <w:keepLines w:val="0"/>
      </w:pPr>
    </w:p>
    <w:p w:rsidRPr="002B1FB2" w:rsidR="0098410D" w:rsidP="002B1FB2" w:rsidRDefault="0098410D" w14:paraId="1DAD23E5" w14:textId="2567FCDB">
      <w:pPr>
        <w:pStyle w:val="DecHCase"/>
        <w:keepNext w:val="0"/>
        <w:keepLines w:val="0"/>
      </w:pPr>
      <w:r w:rsidRPr="002B1FB2">
        <w:t>STRASBOURG</w:t>
      </w:r>
    </w:p>
    <w:p w:rsidR="0098410D" w:rsidP="002B1FB2" w:rsidRDefault="00C62C38" w14:paraId="1646DB5D" w14:textId="6C186A17">
      <w:pPr>
        <w:pStyle w:val="DecHCase"/>
        <w:keepNext w:val="0"/>
        <w:keepLines w:val="0"/>
        <w:rPr>
          <w:rFonts w:ascii="Times New Roman" w:hAnsi="Times New Roman" w:cs="Times New Roman"/>
        </w:rPr>
      </w:pPr>
      <w:r w:rsidRPr="002B1FB2">
        <w:rPr>
          <w:rFonts w:ascii="Times New Roman" w:hAnsi="Times New Roman" w:cs="Times New Roman"/>
        </w:rPr>
        <w:t>13</w:t>
      </w:r>
      <w:r w:rsidRPr="002B1FB2" w:rsidR="003252F1">
        <w:rPr>
          <w:rFonts w:ascii="Times New Roman" w:hAnsi="Times New Roman" w:cs="Times New Roman"/>
        </w:rPr>
        <w:t xml:space="preserve"> </w:t>
      </w:r>
      <w:r w:rsidRPr="002B1FB2">
        <w:rPr>
          <w:rFonts w:ascii="Times New Roman" w:hAnsi="Times New Roman" w:cs="Times New Roman"/>
        </w:rPr>
        <w:t>January</w:t>
      </w:r>
      <w:r w:rsidRPr="002B1FB2" w:rsidR="003252F1">
        <w:rPr>
          <w:rFonts w:ascii="Times New Roman" w:hAnsi="Times New Roman" w:cs="Times New Roman"/>
        </w:rPr>
        <w:t xml:space="preserve"> 202</w:t>
      </w:r>
      <w:r w:rsidRPr="002B1FB2">
        <w:rPr>
          <w:rFonts w:ascii="Times New Roman" w:hAnsi="Times New Roman" w:cs="Times New Roman"/>
        </w:rPr>
        <w:t>2</w:t>
      </w:r>
    </w:p>
    <w:p w:rsidRPr="0063516B" w:rsidR="0063516B" w:rsidP="0063516B" w:rsidRDefault="0063516B" w14:paraId="7FAAE665" w14:textId="77777777">
      <w:pPr>
        <w:pStyle w:val="JuPara"/>
      </w:pPr>
    </w:p>
    <w:p w:rsidR="00C75CA9" w:rsidP="00C75CA9" w:rsidRDefault="00C75CA9" w14:paraId="57538CEE" w14:textId="77777777">
      <w:pPr>
        <w:pStyle w:val="jucase0"/>
        <w:ind w:firstLine="0"/>
        <w:jc w:val="center"/>
        <w:rPr>
          <w:color w:val="FF0000"/>
          <w:sz w:val="28"/>
          <w:szCs w:val="28"/>
          <w:u w:val="single"/>
        </w:rPr>
      </w:pPr>
      <w:bookmarkStart w:name="_Hlk59706592" w:id="1"/>
      <w:bookmarkStart w:name="_Hlk59704667" w:id="2"/>
      <w:r w:rsidRPr="00261F46">
        <w:rPr>
          <w:color w:val="FF0000"/>
          <w:sz w:val="28"/>
          <w:szCs w:val="28"/>
          <w:u w:val="single"/>
        </w:rPr>
        <w:t>FINAL</w:t>
      </w:r>
    </w:p>
    <w:p w:rsidRPr="00D04090" w:rsidR="00C75CA9" w:rsidP="00C75CA9" w:rsidRDefault="00C75CA9" w14:paraId="3B527176" w14:textId="77777777">
      <w:pPr>
        <w:pStyle w:val="jucase0"/>
        <w:ind w:firstLine="0"/>
        <w:jc w:val="center"/>
        <w:rPr>
          <w:b w:val="0"/>
          <w:bCs w:val="0"/>
          <w:color w:val="FF0000"/>
          <w:u w:val="single"/>
        </w:rPr>
      </w:pPr>
    </w:p>
    <w:p w:rsidRPr="00E974D6" w:rsidR="00C75CA9" w:rsidP="00C75CA9" w:rsidRDefault="00C75CA9" w14:paraId="64D77E07" w14:textId="77777777">
      <w:pPr>
        <w:pStyle w:val="jucase0"/>
        <w:ind w:firstLine="0"/>
        <w:jc w:val="center"/>
        <w:rPr>
          <w:b w:val="0"/>
          <w:color w:val="FF0000"/>
          <w:sz w:val="28"/>
          <w:szCs w:val="28"/>
        </w:rPr>
      </w:pPr>
      <w:r>
        <w:rPr>
          <w:b w:val="0"/>
          <w:color w:val="FF0000"/>
          <w:sz w:val="28"/>
          <w:szCs w:val="28"/>
        </w:rPr>
        <w:t>09/05/2022</w:t>
      </w:r>
    </w:p>
    <w:p w:rsidR="00C75CA9" w:rsidP="00C75CA9" w:rsidRDefault="00C75CA9" w14:paraId="3A0ABB4B" w14:textId="64BF192F">
      <w:pPr>
        <w:pStyle w:val="jupara0"/>
        <w:ind w:firstLine="0"/>
        <w:jc w:val="center"/>
      </w:pPr>
    </w:p>
    <w:p w:rsidRPr="00261F46" w:rsidR="00C75CA9" w:rsidP="00C75CA9" w:rsidRDefault="00C75CA9" w14:paraId="1236072E" w14:textId="77777777">
      <w:pPr>
        <w:pStyle w:val="jupara0"/>
        <w:ind w:firstLine="0"/>
        <w:jc w:val="center"/>
      </w:pPr>
    </w:p>
    <w:p w:rsidRPr="00261F46" w:rsidR="00C75CA9" w:rsidP="00C75CA9" w:rsidRDefault="00C75CA9" w14:paraId="48C0038A" w14:textId="77777777">
      <w:pPr>
        <w:jc w:val="both"/>
        <w:rPr>
          <w:i/>
          <w:iCs/>
          <w:sz w:val="22"/>
          <w:szCs w:val="22"/>
        </w:rPr>
      </w:pPr>
      <w:r w:rsidRPr="00261F46">
        <w:rPr>
          <w:i/>
          <w:iCs/>
          <w:sz w:val="22"/>
          <w:szCs w:val="22"/>
        </w:rPr>
        <w:t>This judgment has become final under Article 44 § 2 of the Convention. It may be subject to editorial revision.</w:t>
      </w:r>
      <w:bookmarkEnd w:id="1"/>
    </w:p>
    <w:bookmarkEnd w:id="2"/>
    <w:p w:rsidRPr="002B1FB2" w:rsidR="002422B6" w:rsidP="0063516B" w:rsidRDefault="002422B6" w14:paraId="44CBA195" w14:textId="568F6CF3">
      <w:pPr>
        <w:jc w:val="both"/>
        <w:rPr>
          <w:i/>
          <w:sz w:val="22"/>
        </w:rPr>
      </w:pPr>
    </w:p>
    <w:p w:rsidRPr="002B1FB2" w:rsidR="0098410D" w:rsidP="002B1FB2" w:rsidRDefault="0098410D" w14:paraId="2D3603B6" w14:textId="77777777">
      <w:pPr>
        <w:sectPr w:rsidRPr="002B1FB2" w:rsidR="0098410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2B1FB2" w:rsidR="0098410D" w:rsidP="002B1FB2" w:rsidRDefault="0098410D" w14:paraId="0C392F64" w14:textId="20A139C0">
      <w:pPr>
        <w:pStyle w:val="JuCase"/>
      </w:pPr>
      <w:r w:rsidRPr="002B1FB2">
        <w:t xml:space="preserve">In the case of </w:t>
      </w:r>
      <w:r w:rsidRPr="002B1FB2" w:rsidR="003252F1">
        <w:t>Tabak v. Croatia</w:t>
      </w:r>
      <w:r w:rsidRPr="002B1FB2">
        <w:t>,</w:t>
      </w:r>
    </w:p>
    <w:p w:rsidRPr="002B1FB2" w:rsidR="009F4C8F" w:rsidP="002B1FB2" w:rsidRDefault="009F4C8F" w14:paraId="08DBD3BE" w14:textId="37A01CEF">
      <w:pPr>
        <w:pStyle w:val="JuPara"/>
      </w:pPr>
      <w:r w:rsidRPr="002B1FB2">
        <w:t>The European Court of Human Rights (</w:t>
      </w:r>
      <w:r w:rsidRPr="002B1FB2" w:rsidR="003252F1">
        <w:t>First Section</w:t>
      </w:r>
      <w:r w:rsidRPr="002B1FB2">
        <w:t xml:space="preserve">), sitting as a </w:t>
      </w:r>
      <w:r w:rsidRPr="002B1FB2" w:rsidR="003252F1">
        <w:t>Chamber</w:t>
      </w:r>
      <w:r w:rsidRPr="002B1FB2">
        <w:t xml:space="preserve"> composed of:</w:t>
      </w:r>
    </w:p>
    <w:p w:rsidRPr="002B1FB2" w:rsidR="009F4C8F" w:rsidP="002B1FB2" w:rsidRDefault="00C62C38" w14:paraId="7456CD47" w14:textId="1F73D53B">
      <w:pPr>
        <w:pStyle w:val="JuJudges"/>
      </w:pPr>
      <w:r w:rsidRPr="002B1FB2">
        <w:tab/>
      </w:r>
      <w:proofErr w:type="spellStart"/>
      <w:r w:rsidRPr="002B1FB2">
        <w:t>Péter</w:t>
      </w:r>
      <w:proofErr w:type="spellEnd"/>
      <w:r w:rsidRPr="002B1FB2">
        <w:t xml:space="preserve"> </w:t>
      </w:r>
      <w:proofErr w:type="spellStart"/>
      <w:r w:rsidRPr="002B1FB2">
        <w:t>Paczolay</w:t>
      </w:r>
      <w:proofErr w:type="spellEnd"/>
      <w:r w:rsidRPr="002B1FB2">
        <w:t>,</w:t>
      </w:r>
      <w:r w:rsidRPr="002B1FB2">
        <w:rPr>
          <w:i/>
        </w:rPr>
        <w:t xml:space="preserve"> President,</w:t>
      </w:r>
      <w:r w:rsidRPr="002B1FB2">
        <w:rPr>
          <w:i/>
        </w:rPr>
        <w:br/>
      </w:r>
      <w:r w:rsidRPr="002B1FB2">
        <w:tab/>
        <w:t xml:space="preserve">Ksenija </w:t>
      </w:r>
      <w:proofErr w:type="spellStart"/>
      <w:r w:rsidRPr="002B1FB2">
        <w:t>Turković</w:t>
      </w:r>
      <w:proofErr w:type="spellEnd"/>
      <w:r w:rsidRPr="002B1FB2">
        <w:t>,</w:t>
      </w:r>
      <w:r w:rsidRPr="002B1FB2">
        <w:rPr>
          <w:i/>
        </w:rPr>
        <w:br/>
      </w:r>
      <w:r w:rsidRPr="002B1FB2">
        <w:tab/>
        <w:t xml:space="preserve">Alena </w:t>
      </w:r>
      <w:proofErr w:type="spellStart"/>
      <w:r w:rsidRPr="002B1FB2">
        <w:t>Poláčková</w:t>
      </w:r>
      <w:proofErr w:type="spellEnd"/>
      <w:r w:rsidRPr="002B1FB2">
        <w:t>,</w:t>
      </w:r>
      <w:r w:rsidRPr="002B1FB2">
        <w:rPr>
          <w:i/>
        </w:rPr>
        <w:br/>
      </w:r>
      <w:r w:rsidRPr="002B1FB2">
        <w:tab/>
        <w:t xml:space="preserve">Gilberto </w:t>
      </w:r>
      <w:proofErr w:type="spellStart"/>
      <w:r w:rsidRPr="002B1FB2">
        <w:t>Felici</w:t>
      </w:r>
      <w:proofErr w:type="spellEnd"/>
      <w:r w:rsidRPr="002B1FB2">
        <w:t>,</w:t>
      </w:r>
      <w:r w:rsidRPr="002B1FB2">
        <w:rPr>
          <w:i/>
        </w:rPr>
        <w:br/>
      </w:r>
      <w:r w:rsidRPr="002B1FB2">
        <w:tab/>
        <w:t xml:space="preserve">Erik </w:t>
      </w:r>
      <w:proofErr w:type="spellStart"/>
      <w:r w:rsidRPr="002B1FB2">
        <w:t>Wennerström</w:t>
      </w:r>
      <w:proofErr w:type="spellEnd"/>
      <w:r w:rsidRPr="002B1FB2">
        <w:t>,</w:t>
      </w:r>
      <w:r w:rsidRPr="002B1FB2">
        <w:rPr>
          <w:i/>
        </w:rPr>
        <w:br/>
      </w:r>
      <w:r w:rsidRPr="002B1FB2">
        <w:tab/>
        <w:t>Raffaele Sabato,</w:t>
      </w:r>
      <w:r w:rsidRPr="002B1FB2">
        <w:rPr>
          <w:i/>
        </w:rPr>
        <w:br/>
      </w:r>
      <w:r w:rsidRPr="002B1FB2">
        <w:tab/>
        <w:t>Lorraine Schembri Orland,</w:t>
      </w:r>
      <w:r w:rsidRPr="002B1FB2">
        <w:rPr>
          <w:i/>
        </w:rPr>
        <w:t xml:space="preserve"> judges,</w:t>
      </w:r>
      <w:r w:rsidRPr="002B1FB2">
        <w:tab/>
      </w:r>
      <w:r w:rsidRPr="002B1FB2" w:rsidR="009F4C8F">
        <w:br/>
        <w:t xml:space="preserve">and </w:t>
      </w:r>
      <w:r w:rsidRPr="002B1FB2">
        <w:t>Liv Tigerstedt</w:t>
      </w:r>
      <w:r w:rsidRPr="002B1FB2" w:rsidR="009F4C8F">
        <w:t xml:space="preserve">, </w:t>
      </w:r>
      <w:r w:rsidRPr="002B1FB2">
        <w:rPr>
          <w:i/>
          <w:iCs/>
        </w:rPr>
        <w:t xml:space="preserve">Deputy </w:t>
      </w:r>
      <w:r w:rsidRPr="002B1FB2" w:rsidR="003252F1">
        <w:rPr>
          <w:i/>
        </w:rPr>
        <w:t xml:space="preserve">Section </w:t>
      </w:r>
      <w:r w:rsidRPr="002B1FB2" w:rsidR="003252F1">
        <w:rPr>
          <w:i/>
          <w:iCs/>
        </w:rPr>
        <w:t>Registrar</w:t>
      </w:r>
      <w:r w:rsidRPr="002B1FB2" w:rsidR="009F4C8F">
        <w:rPr>
          <w:i/>
        </w:rPr>
        <w:t>,</w:t>
      </w:r>
    </w:p>
    <w:p w:rsidRPr="002B1FB2" w:rsidR="003252F1" w:rsidP="002B1FB2" w:rsidRDefault="003252F1" w14:paraId="410E11E8" w14:textId="77777777">
      <w:pPr>
        <w:pStyle w:val="JuPara"/>
      </w:pPr>
      <w:r w:rsidRPr="002B1FB2">
        <w:t>Having regard to:</w:t>
      </w:r>
    </w:p>
    <w:p w:rsidRPr="002B1FB2" w:rsidR="003252F1" w:rsidP="002B1FB2" w:rsidRDefault="003252F1" w14:paraId="53D1C786" w14:textId="77777777">
      <w:pPr>
        <w:pStyle w:val="JuPara"/>
      </w:pPr>
      <w:r w:rsidRPr="002B1FB2">
        <w:t xml:space="preserve">the application (no. 24315/13) against the Republic of Croatia lodged with the Court under Article 34 of the Convention for the Protection of Human Rights and Fundamental Freedoms (“the Convention”) by a Croatian national, Mr Ivan Tabak (“the applicant”), on 27 March </w:t>
      </w:r>
      <w:proofErr w:type="gramStart"/>
      <w:r w:rsidRPr="002B1FB2">
        <w:t>2013;</w:t>
      </w:r>
      <w:proofErr w:type="gramEnd"/>
    </w:p>
    <w:p w:rsidRPr="002B1FB2" w:rsidR="003252F1" w:rsidP="002B1FB2" w:rsidRDefault="003252F1" w14:paraId="31E03C24" w14:textId="77777777">
      <w:pPr>
        <w:pStyle w:val="JuPara"/>
      </w:pPr>
      <w:r w:rsidRPr="002B1FB2">
        <w:t>the decision to give notice of the application to the Croatian Government (“the Government”</w:t>
      </w:r>
      <w:proofErr w:type="gramStart"/>
      <w:r w:rsidRPr="002B1FB2">
        <w:t>);</w:t>
      </w:r>
      <w:proofErr w:type="gramEnd"/>
    </w:p>
    <w:p w:rsidRPr="002B1FB2" w:rsidR="003252F1" w:rsidP="002B1FB2" w:rsidRDefault="003252F1" w14:paraId="02701077" w14:textId="4FAB7F64">
      <w:pPr>
        <w:pStyle w:val="JuPara"/>
      </w:pPr>
      <w:r w:rsidRPr="002B1FB2">
        <w:t>the parties</w:t>
      </w:r>
      <w:r w:rsidRPr="002B1FB2" w:rsidR="002B1FB2">
        <w:t>’</w:t>
      </w:r>
      <w:r w:rsidRPr="002B1FB2">
        <w:t xml:space="preserve"> </w:t>
      </w:r>
      <w:proofErr w:type="gramStart"/>
      <w:r w:rsidRPr="002B1FB2">
        <w:t>observations;</w:t>
      </w:r>
      <w:proofErr w:type="gramEnd"/>
    </w:p>
    <w:p w:rsidRPr="002B1FB2" w:rsidR="009F4C8F" w:rsidP="002B1FB2" w:rsidRDefault="009F4C8F" w14:paraId="2034617A" w14:textId="29B0F30C">
      <w:pPr>
        <w:pStyle w:val="JuPara"/>
      </w:pPr>
      <w:r w:rsidRPr="002B1FB2">
        <w:t xml:space="preserve">Having deliberated in private on </w:t>
      </w:r>
      <w:r w:rsidRPr="002B1FB2" w:rsidR="00C62C38">
        <w:t xml:space="preserve">28 September 2021 and </w:t>
      </w:r>
      <w:r w:rsidRPr="002B1FB2" w:rsidR="003252F1">
        <w:t>23 November 2021</w:t>
      </w:r>
      <w:r w:rsidRPr="002B1FB2">
        <w:t>,</w:t>
      </w:r>
    </w:p>
    <w:p w:rsidRPr="002B1FB2" w:rsidR="009F4C8F" w:rsidP="002B1FB2" w:rsidRDefault="009F4C8F" w14:paraId="148C3A4D" w14:textId="12A650F9">
      <w:pPr>
        <w:pStyle w:val="JuPara"/>
      </w:pPr>
      <w:r w:rsidRPr="002B1FB2">
        <w:t>Delivers the following judgment, which was adopted on th</w:t>
      </w:r>
      <w:r w:rsidRPr="002B1FB2" w:rsidR="00C62C38">
        <w:t>e latter</w:t>
      </w:r>
      <w:r w:rsidRPr="002B1FB2">
        <w:t xml:space="preserve"> date:</w:t>
      </w:r>
    </w:p>
    <w:p w:rsidRPr="002B1FB2" w:rsidR="003252F1" w:rsidP="002B1FB2" w:rsidRDefault="003252F1" w14:paraId="62A55032" w14:textId="77777777">
      <w:pPr>
        <w:pStyle w:val="JuHHead"/>
        <w:numPr>
          <w:ilvl w:val="0"/>
          <w:numId w:val="0"/>
        </w:numPr>
      </w:pPr>
      <w:r w:rsidRPr="002B1FB2">
        <w:t>INTRODUCTION</w:t>
      </w:r>
    </w:p>
    <w:p w:rsidRPr="002B1FB2" w:rsidR="003252F1" w:rsidP="002B1FB2" w:rsidRDefault="003252F1" w14:paraId="7B027F27" w14:textId="040CB963">
      <w:pPr>
        <w:pStyle w:val="JuPara"/>
      </w:pPr>
      <w:r w:rsidRPr="002B1FB2">
        <w:fldChar w:fldCharType="begin"/>
      </w:r>
      <w:r w:rsidRPr="002B1FB2">
        <w:instrText xml:space="preserve"> SEQ level0 \*arabic </w:instrText>
      </w:r>
      <w:r w:rsidRPr="002B1FB2">
        <w:fldChar w:fldCharType="separate"/>
      </w:r>
      <w:r w:rsidRPr="002B1FB2" w:rsidR="002B1FB2">
        <w:rPr>
          <w:noProof/>
        </w:rPr>
        <w:t>1</w:t>
      </w:r>
      <w:r w:rsidRPr="002B1FB2">
        <w:fldChar w:fldCharType="end"/>
      </w:r>
      <w:r w:rsidRPr="002B1FB2">
        <w:t>.  The case concerns the applicant</w:t>
      </w:r>
      <w:r w:rsidRPr="002B1FB2" w:rsidR="002B1FB2">
        <w:t>’</w:t>
      </w:r>
      <w:r w:rsidRPr="002B1FB2">
        <w:t>s complaint under Article 6 § 1 of the Convention that he did not have a fair hearing because the national courts based their judgments on the opinion of an expert who worked for the defendant company.</w:t>
      </w:r>
    </w:p>
    <w:p w:rsidRPr="002B1FB2" w:rsidR="003252F1" w:rsidP="002B1FB2" w:rsidRDefault="003252F1" w14:paraId="29D4F813" w14:textId="77777777">
      <w:pPr>
        <w:pStyle w:val="JuHHead"/>
      </w:pPr>
      <w:r w:rsidRPr="002B1FB2">
        <w:t>THE FACTS</w:t>
      </w:r>
    </w:p>
    <w:p w:rsidRPr="002B1FB2" w:rsidR="003252F1" w:rsidP="002B1FB2" w:rsidRDefault="00C75CA9" w14:paraId="6A3DC2F2" w14:textId="6210324F">
      <w:pPr>
        <w:pStyle w:val="JuPara"/>
      </w:pPr>
      <w:fldSimple w:instr=" SEQ level0 \*arabic \* MERGEFORMAT ">
        <w:r w:rsidRPr="002B1FB2" w:rsidR="002B1FB2">
          <w:rPr>
            <w:noProof/>
          </w:rPr>
          <w:t>2</w:t>
        </w:r>
      </w:fldSimple>
      <w:r w:rsidRPr="002B1FB2" w:rsidR="003252F1">
        <w:t xml:space="preserve">.  The applicant was born in 1956 and lives in </w:t>
      </w:r>
      <w:proofErr w:type="spellStart"/>
      <w:r w:rsidRPr="002B1FB2" w:rsidR="003252F1">
        <w:t>Ferdinandovac</w:t>
      </w:r>
      <w:proofErr w:type="spellEnd"/>
      <w:r w:rsidRPr="002B1FB2" w:rsidR="003252F1">
        <w:t xml:space="preserve">. He was represented by Mr </w:t>
      </w:r>
      <w:bookmarkStart w:name="_Hlk92877142" w:id="3"/>
      <w:r w:rsidRPr="002B1FB2" w:rsidR="003252F1">
        <w:t xml:space="preserve">Ž. </w:t>
      </w:r>
      <w:proofErr w:type="spellStart"/>
      <w:r w:rsidRPr="002B1FB2" w:rsidR="003252F1">
        <w:t>Lacković</w:t>
      </w:r>
      <w:bookmarkEnd w:id="3"/>
      <w:proofErr w:type="spellEnd"/>
      <w:r w:rsidRPr="002B1FB2" w:rsidR="003252F1">
        <w:t xml:space="preserve">, a lawyer practising in </w:t>
      </w:r>
      <w:proofErr w:type="spellStart"/>
      <w:r w:rsidRPr="002B1FB2" w:rsidR="003252F1">
        <w:t>Đurđevac</w:t>
      </w:r>
      <w:proofErr w:type="spellEnd"/>
      <w:r w:rsidRPr="002B1FB2" w:rsidR="003252F1">
        <w:t>.</w:t>
      </w:r>
    </w:p>
    <w:p w:rsidRPr="002B1FB2" w:rsidR="003252F1" w:rsidP="002B1FB2" w:rsidRDefault="003252F1" w14:paraId="5E6CBA25" w14:textId="2FB0829F">
      <w:pPr>
        <w:pStyle w:val="JuPara"/>
      </w:pPr>
      <w:r w:rsidRPr="002B1FB2">
        <w:fldChar w:fldCharType="begin"/>
      </w:r>
      <w:r w:rsidRPr="002B1FB2">
        <w:instrText xml:space="preserve"> SEQ level0 \*arabic </w:instrText>
      </w:r>
      <w:r w:rsidRPr="002B1FB2">
        <w:fldChar w:fldCharType="separate"/>
      </w:r>
      <w:r w:rsidRPr="002B1FB2" w:rsidR="002B1FB2">
        <w:rPr>
          <w:noProof/>
        </w:rPr>
        <w:t>3</w:t>
      </w:r>
      <w:r w:rsidRPr="002B1FB2">
        <w:fldChar w:fldCharType="end"/>
      </w:r>
      <w:r w:rsidRPr="002B1FB2">
        <w:t xml:space="preserve">.  The Government were represented by their Agent, Ms S. </w:t>
      </w:r>
      <w:proofErr w:type="spellStart"/>
      <w:r w:rsidRPr="002B1FB2">
        <w:t>Stažnik</w:t>
      </w:r>
      <w:proofErr w:type="spellEnd"/>
      <w:r w:rsidRPr="002B1FB2">
        <w:t>.</w:t>
      </w:r>
    </w:p>
    <w:p w:rsidRPr="002B1FB2" w:rsidR="003252F1" w:rsidP="002B1FB2" w:rsidRDefault="003252F1" w14:paraId="0C2DFD6E" w14:textId="53ACEF81">
      <w:pPr>
        <w:pStyle w:val="JuPara"/>
      </w:pPr>
      <w:r w:rsidRPr="002B1FB2">
        <w:fldChar w:fldCharType="begin"/>
      </w:r>
      <w:r w:rsidRPr="002B1FB2">
        <w:instrText xml:space="preserve"> SEQ level0 \*arabic </w:instrText>
      </w:r>
      <w:r w:rsidRPr="002B1FB2">
        <w:fldChar w:fldCharType="separate"/>
      </w:r>
      <w:r w:rsidRPr="002B1FB2" w:rsidR="002B1FB2">
        <w:rPr>
          <w:noProof/>
        </w:rPr>
        <w:t>4</w:t>
      </w:r>
      <w:r w:rsidRPr="002B1FB2">
        <w:fldChar w:fldCharType="end"/>
      </w:r>
      <w:r w:rsidRPr="002B1FB2">
        <w:t>.  The facts of the case, as submitted by the parties, may be summarised as follows.</w:t>
      </w:r>
    </w:p>
    <w:p w:rsidRPr="002B1FB2" w:rsidR="003252F1" w:rsidP="002B1FB2" w:rsidRDefault="003252F1" w14:paraId="5B600C39" w14:textId="64407E2E">
      <w:pPr>
        <w:pStyle w:val="JuPara"/>
      </w:pPr>
      <w:r w:rsidRPr="002B1FB2">
        <w:fldChar w:fldCharType="begin"/>
      </w:r>
      <w:r w:rsidRPr="002B1FB2">
        <w:instrText xml:space="preserve"> SEQ level0 \*arabic </w:instrText>
      </w:r>
      <w:r w:rsidRPr="002B1FB2">
        <w:fldChar w:fldCharType="separate"/>
      </w:r>
      <w:r w:rsidRPr="002B1FB2" w:rsidR="002B1FB2">
        <w:rPr>
          <w:noProof/>
        </w:rPr>
        <w:t>5</w:t>
      </w:r>
      <w:r w:rsidRPr="002B1FB2">
        <w:fldChar w:fldCharType="end"/>
      </w:r>
      <w:r w:rsidRPr="002B1FB2">
        <w:t>.  On 8 June 1995 the applicant was involved in a road traffic accident in which he sustained an injury to his knee.</w:t>
      </w:r>
    </w:p>
    <w:p w:rsidRPr="002B1FB2" w:rsidR="003252F1" w:rsidP="002B1FB2" w:rsidRDefault="00C75CA9" w14:paraId="7CCAB783" w14:textId="328BE48D">
      <w:pPr>
        <w:pStyle w:val="JuPara"/>
      </w:pPr>
      <w:fldSimple w:instr=" SEQ level0 \*arabic \* MERGEFORMAT ">
        <w:r w:rsidRPr="002B1FB2" w:rsidR="002B1FB2">
          <w:rPr>
            <w:noProof/>
          </w:rPr>
          <w:t>6</w:t>
        </w:r>
      </w:fldSimple>
      <w:r w:rsidRPr="002B1FB2" w:rsidR="003252F1">
        <w:t>.  On 1 January 1999 he was granted a disability pension.</w:t>
      </w:r>
    </w:p>
    <w:bookmarkStart w:name="para6" w:id="4"/>
    <w:p w:rsidRPr="002B1FB2" w:rsidR="003252F1" w:rsidP="002B1FB2" w:rsidRDefault="003252F1" w14:paraId="3B0D00A2" w14:textId="749ABD1A">
      <w:pPr>
        <w:pStyle w:val="JuPara"/>
        <w:rPr>
          <w:rFonts w:ascii="Times New Roman" w:hAnsi="Times New Roman" w:eastAsia="Times New Roman" w:cs="Times New Roman"/>
          <w:szCs w:val="22"/>
        </w:rPr>
      </w:pPr>
      <w:r w:rsidRPr="002B1FB2">
        <w:rPr>
          <w:rFonts w:ascii="Times New Roman" w:hAnsi="Times New Roman" w:eastAsia="Times New Roman" w:cs="Times New Roman"/>
          <w:szCs w:val="22"/>
        </w:rPr>
        <w:fldChar w:fldCharType="begin"/>
      </w:r>
      <w:r w:rsidRPr="002B1FB2">
        <w:rPr>
          <w:rFonts w:ascii="Times New Roman" w:hAnsi="Times New Roman" w:eastAsia="Times New Roman" w:cs="Times New Roman"/>
          <w:szCs w:val="22"/>
        </w:rPr>
        <w:instrText xml:space="preserve"> SEQ level0 \*arabic </w:instrText>
      </w:r>
      <w:r w:rsidRPr="002B1FB2">
        <w:rPr>
          <w:rFonts w:ascii="Times New Roman" w:hAnsi="Times New Roman" w:eastAsia="Times New Roman" w:cs="Times New Roman"/>
          <w:szCs w:val="22"/>
        </w:rPr>
        <w:fldChar w:fldCharType="separate"/>
      </w:r>
      <w:r w:rsidRPr="002B1FB2" w:rsidR="002B1FB2">
        <w:rPr>
          <w:rFonts w:ascii="Times New Roman" w:hAnsi="Times New Roman" w:eastAsia="Times New Roman" w:cs="Times New Roman"/>
          <w:noProof/>
          <w:szCs w:val="22"/>
        </w:rPr>
        <w:t>7</w:t>
      </w:r>
      <w:r w:rsidRPr="002B1FB2">
        <w:rPr>
          <w:rFonts w:ascii="Times New Roman" w:hAnsi="Times New Roman" w:eastAsia="Times New Roman" w:cs="Times New Roman"/>
          <w:szCs w:val="22"/>
        </w:rPr>
        <w:fldChar w:fldCharType="end"/>
      </w:r>
      <w:bookmarkEnd w:id="4"/>
      <w:r w:rsidRPr="002B1FB2">
        <w:rPr>
          <w:rFonts w:ascii="Times New Roman" w:hAnsi="Times New Roman" w:eastAsia="Times New Roman" w:cs="Times New Roman"/>
          <w:szCs w:val="22"/>
        </w:rPr>
        <w:t xml:space="preserve">.  In May 1999 he brought a civil action against the insurance company C.O. before the </w:t>
      </w:r>
      <w:proofErr w:type="spellStart"/>
      <w:r w:rsidRPr="002B1FB2">
        <w:rPr>
          <w:rFonts w:ascii="Times New Roman" w:hAnsi="Times New Roman" w:eastAsia="Times New Roman" w:cs="Times New Roman"/>
          <w:szCs w:val="22"/>
        </w:rPr>
        <w:t>Đurđevac</w:t>
      </w:r>
      <w:proofErr w:type="spellEnd"/>
      <w:r w:rsidRPr="002B1FB2">
        <w:rPr>
          <w:rFonts w:ascii="Times New Roman" w:hAnsi="Times New Roman" w:eastAsia="Times New Roman" w:cs="Times New Roman"/>
          <w:szCs w:val="22"/>
        </w:rPr>
        <w:t xml:space="preserve"> Municipal Court (</w:t>
      </w:r>
      <w:proofErr w:type="spellStart"/>
      <w:r w:rsidRPr="002B1FB2">
        <w:rPr>
          <w:rFonts w:ascii="Times New Roman" w:hAnsi="Times New Roman" w:eastAsia="Times New Roman" w:cs="Times New Roman"/>
          <w:i/>
          <w:szCs w:val="22"/>
        </w:rPr>
        <w:t>Općinski</w:t>
      </w:r>
      <w:proofErr w:type="spellEnd"/>
      <w:r w:rsidRPr="002B1FB2">
        <w:rPr>
          <w:rFonts w:ascii="Times New Roman" w:hAnsi="Times New Roman" w:eastAsia="Times New Roman" w:cs="Times New Roman"/>
          <w:i/>
          <w:szCs w:val="22"/>
        </w:rPr>
        <w:t xml:space="preserve"> </w:t>
      </w:r>
      <w:proofErr w:type="spellStart"/>
      <w:r w:rsidRPr="002B1FB2">
        <w:rPr>
          <w:rFonts w:ascii="Times New Roman" w:hAnsi="Times New Roman" w:eastAsia="Times New Roman" w:cs="Times New Roman"/>
          <w:i/>
          <w:szCs w:val="22"/>
        </w:rPr>
        <w:t>sud</w:t>
      </w:r>
      <w:proofErr w:type="spellEnd"/>
      <w:r w:rsidRPr="002B1FB2">
        <w:rPr>
          <w:rFonts w:ascii="Times New Roman" w:hAnsi="Times New Roman" w:eastAsia="Times New Roman" w:cs="Times New Roman"/>
          <w:i/>
          <w:szCs w:val="22"/>
        </w:rPr>
        <w:t xml:space="preserve"> u </w:t>
      </w:r>
      <w:proofErr w:type="spellStart"/>
      <w:r w:rsidRPr="002B1FB2">
        <w:rPr>
          <w:rFonts w:ascii="Times New Roman" w:hAnsi="Times New Roman" w:eastAsia="Times New Roman" w:cs="Times New Roman"/>
          <w:i/>
          <w:szCs w:val="22"/>
        </w:rPr>
        <w:t>Đurđevcu</w:t>
      </w:r>
      <w:proofErr w:type="spellEnd"/>
      <w:r w:rsidRPr="002B1FB2">
        <w:rPr>
          <w:rFonts w:ascii="Times New Roman" w:hAnsi="Times New Roman" w:eastAsia="Times New Roman" w:cs="Times New Roman"/>
          <w:szCs w:val="22"/>
        </w:rPr>
        <w:t>), seeking compensation of damage in relation to the road traffic accident.</w:t>
      </w:r>
    </w:p>
    <w:bookmarkStart w:name="P6" w:id="5"/>
    <w:bookmarkStart w:name="Paragraph6" w:id="6"/>
    <w:bookmarkStart w:name="para8" w:id="7"/>
    <w:p w:rsidRPr="002B1FB2" w:rsidR="003252F1" w:rsidP="002B1FB2" w:rsidRDefault="003252F1" w14:paraId="7CDE24BC" w14:textId="0DCC5E8A">
      <w:pPr>
        <w:pStyle w:val="JuPara"/>
        <w:rPr>
          <w:rFonts w:ascii="Times New Roman" w:hAnsi="Times New Roman" w:eastAsia="Times New Roman" w:cs="Times New Roman"/>
          <w:szCs w:val="22"/>
        </w:rPr>
      </w:pPr>
      <w:r w:rsidRPr="002B1FB2">
        <w:rPr>
          <w:rFonts w:ascii="Times New Roman" w:hAnsi="Times New Roman" w:eastAsia="Times New Roman" w:cs="Times New Roman"/>
          <w:szCs w:val="22"/>
        </w:rPr>
        <w:fldChar w:fldCharType="begin"/>
      </w:r>
      <w:r w:rsidRPr="002B1FB2">
        <w:rPr>
          <w:rFonts w:ascii="Times New Roman" w:hAnsi="Times New Roman" w:eastAsia="Times New Roman" w:cs="Times New Roman"/>
          <w:szCs w:val="22"/>
        </w:rPr>
        <w:instrText xml:space="preserve"> SEQ level0 \*arabic </w:instrText>
      </w:r>
      <w:r w:rsidRPr="002B1FB2">
        <w:rPr>
          <w:rFonts w:ascii="Times New Roman" w:hAnsi="Times New Roman" w:eastAsia="Times New Roman" w:cs="Times New Roman"/>
          <w:szCs w:val="22"/>
        </w:rPr>
        <w:fldChar w:fldCharType="separate"/>
      </w:r>
      <w:r w:rsidRPr="002B1FB2" w:rsidR="002B1FB2">
        <w:rPr>
          <w:rFonts w:ascii="Times New Roman" w:hAnsi="Times New Roman" w:eastAsia="Times New Roman" w:cs="Times New Roman"/>
          <w:noProof/>
          <w:szCs w:val="22"/>
        </w:rPr>
        <w:t>8</w:t>
      </w:r>
      <w:r w:rsidRPr="002B1FB2">
        <w:rPr>
          <w:rFonts w:ascii="Times New Roman" w:hAnsi="Times New Roman" w:eastAsia="Times New Roman" w:cs="Times New Roman"/>
          <w:szCs w:val="22"/>
        </w:rPr>
        <w:fldChar w:fldCharType="end"/>
      </w:r>
      <w:bookmarkEnd w:id="5"/>
      <w:bookmarkEnd w:id="6"/>
      <w:bookmarkEnd w:id="7"/>
      <w:r w:rsidRPr="002B1FB2">
        <w:rPr>
          <w:rFonts w:ascii="Times New Roman" w:hAnsi="Times New Roman" w:eastAsia="Times New Roman" w:cs="Times New Roman"/>
          <w:szCs w:val="22"/>
        </w:rPr>
        <w:t xml:space="preserve">.  The case was assigned to Judge V.V. During the first-instance proceedings the applicant was represented by I.D., a lawyer from </w:t>
      </w:r>
      <w:proofErr w:type="spellStart"/>
      <w:r w:rsidRPr="002B1FB2">
        <w:rPr>
          <w:rFonts w:ascii="Times New Roman" w:hAnsi="Times New Roman" w:eastAsia="Times New Roman" w:cs="Times New Roman"/>
          <w:szCs w:val="22"/>
        </w:rPr>
        <w:t>Đurđevac</w:t>
      </w:r>
      <w:proofErr w:type="spellEnd"/>
      <w:r w:rsidRPr="002B1FB2">
        <w:rPr>
          <w:rFonts w:ascii="Times New Roman" w:hAnsi="Times New Roman" w:eastAsia="Times New Roman" w:cs="Times New Roman"/>
          <w:szCs w:val="22"/>
        </w:rPr>
        <w:t>.</w:t>
      </w:r>
    </w:p>
    <w:bookmarkStart w:name="para9" w:id="8"/>
    <w:p w:rsidRPr="002B1FB2" w:rsidR="003252F1" w:rsidP="002B1FB2" w:rsidRDefault="003252F1" w14:paraId="713430FD" w14:textId="122F3C0C">
      <w:pPr>
        <w:pStyle w:val="JuPara"/>
        <w:rPr>
          <w:rFonts w:ascii="Times New Roman" w:hAnsi="Times New Roman" w:eastAsia="Times New Roman" w:cs="Times New Roman"/>
          <w:szCs w:val="22"/>
        </w:rPr>
      </w:pPr>
      <w:r w:rsidRPr="002B1FB2">
        <w:rPr>
          <w:rFonts w:ascii="Times New Roman" w:hAnsi="Times New Roman" w:eastAsia="Times New Roman" w:cs="Times New Roman"/>
          <w:szCs w:val="22"/>
        </w:rPr>
        <w:fldChar w:fldCharType="begin"/>
      </w:r>
      <w:r w:rsidRPr="002B1FB2">
        <w:rPr>
          <w:rFonts w:ascii="Times New Roman" w:hAnsi="Times New Roman" w:eastAsia="Times New Roman" w:cs="Times New Roman"/>
          <w:szCs w:val="22"/>
        </w:rPr>
        <w:instrText xml:space="preserve"> SEQ level0 \*arabic \* MERGEFORMAT </w:instrText>
      </w:r>
      <w:r w:rsidRPr="002B1FB2">
        <w:rPr>
          <w:rFonts w:ascii="Times New Roman" w:hAnsi="Times New Roman" w:eastAsia="Times New Roman" w:cs="Times New Roman"/>
          <w:szCs w:val="22"/>
        </w:rPr>
        <w:fldChar w:fldCharType="separate"/>
      </w:r>
      <w:r w:rsidRPr="002B1FB2" w:rsidR="002B1FB2">
        <w:rPr>
          <w:rFonts w:ascii="Times New Roman" w:hAnsi="Times New Roman" w:eastAsia="Times New Roman" w:cs="Times New Roman"/>
          <w:noProof/>
          <w:szCs w:val="22"/>
        </w:rPr>
        <w:t>9</w:t>
      </w:r>
      <w:r w:rsidRPr="002B1FB2">
        <w:rPr>
          <w:rFonts w:ascii="Times New Roman" w:hAnsi="Times New Roman" w:eastAsia="Times New Roman" w:cs="Times New Roman"/>
          <w:szCs w:val="22"/>
        </w:rPr>
        <w:fldChar w:fldCharType="end"/>
      </w:r>
      <w:bookmarkEnd w:id="8"/>
      <w:r w:rsidRPr="002B1FB2">
        <w:rPr>
          <w:rFonts w:ascii="Times New Roman" w:hAnsi="Times New Roman" w:eastAsia="Times New Roman" w:cs="Times New Roman"/>
          <w:szCs w:val="22"/>
        </w:rPr>
        <w:t>.  In July 2000 the first-instance court obtained an expert report from D.H.,</w:t>
      </w:r>
      <w:r w:rsidRPr="002B1FB2">
        <w:t xml:space="preserve"> </w:t>
      </w:r>
      <w:r w:rsidRPr="002B1FB2">
        <w:rPr>
          <w:rFonts w:ascii="Times New Roman" w:hAnsi="Times New Roman" w:eastAsia="Times New Roman" w:cs="Times New Roman"/>
          <w:szCs w:val="22"/>
        </w:rPr>
        <w:t>a surgeon and a permanent court expert, on the nature of the applicant</w:t>
      </w:r>
      <w:r w:rsidRPr="002B1FB2" w:rsidR="002B1FB2">
        <w:rPr>
          <w:rFonts w:ascii="Times New Roman" w:hAnsi="Times New Roman" w:eastAsia="Times New Roman" w:cs="Times New Roman"/>
          <w:szCs w:val="22"/>
        </w:rPr>
        <w:t>’</w:t>
      </w:r>
      <w:r w:rsidRPr="002B1FB2">
        <w:rPr>
          <w:rFonts w:ascii="Times New Roman" w:hAnsi="Times New Roman" w:eastAsia="Times New Roman" w:cs="Times New Roman"/>
          <w:szCs w:val="22"/>
        </w:rPr>
        <w:t xml:space="preserve">s injury and the intensity and duration of his physical and mental pain. D.H. stated, </w:t>
      </w:r>
      <w:r w:rsidRPr="002B1FB2">
        <w:rPr>
          <w:rFonts w:ascii="Times New Roman" w:hAnsi="Times New Roman" w:eastAsia="Times New Roman" w:cs="Times New Roman"/>
          <w:i/>
          <w:iCs/>
          <w:szCs w:val="22"/>
        </w:rPr>
        <w:t xml:space="preserve">inter alia, </w:t>
      </w:r>
      <w:r w:rsidRPr="002B1FB2">
        <w:rPr>
          <w:rFonts w:ascii="Times New Roman" w:hAnsi="Times New Roman" w:eastAsia="Times New Roman" w:cs="Times New Roman"/>
          <w:szCs w:val="22"/>
        </w:rPr>
        <w:t xml:space="preserve">that </w:t>
      </w:r>
      <w:bookmarkStart w:name="_Hlk85182238" w:id="9"/>
      <w:r w:rsidRPr="002B1FB2">
        <w:rPr>
          <w:rFonts w:ascii="Times New Roman" w:hAnsi="Times New Roman" w:eastAsia="Times New Roman" w:cs="Times New Roman"/>
          <w:szCs w:val="22"/>
        </w:rPr>
        <w:t>the reason for the applicant</w:t>
      </w:r>
      <w:r w:rsidRPr="002B1FB2" w:rsidR="002B1FB2">
        <w:rPr>
          <w:rFonts w:ascii="Times New Roman" w:hAnsi="Times New Roman" w:eastAsia="Times New Roman" w:cs="Times New Roman"/>
          <w:szCs w:val="22"/>
        </w:rPr>
        <w:t>’</w:t>
      </w:r>
      <w:r w:rsidRPr="002B1FB2">
        <w:rPr>
          <w:rFonts w:ascii="Times New Roman" w:hAnsi="Times New Roman" w:eastAsia="Times New Roman" w:cs="Times New Roman"/>
          <w:szCs w:val="22"/>
        </w:rPr>
        <w:t>s disability retirement had not been his knee injury sustained in the road traffic accident</w:t>
      </w:r>
      <w:bookmarkEnd w:id="9"/>
      <w:r w:rsidRPr="002B1FB2">
        <w:rPr>
          <w:rFonts w:ascii="Times New Roman" w:hAnsi="Times New Roman" w:eastAsia="Times New Roman" w:cs="Times New Roman"/>
          <w:szCs w:val="22"/>
        </w:rPr>
        <w:t>, but probably the changes to his spine. The applicant objected to D.H.</w:t>
      </w:r>
      <w:r w:rsidRPr="002B1FB2" w:rsidR="002B1FB2">
        <w:rPr>
          <w:rFonts w:ascii="Times New Roman" w:hAnsi="Times New Roman" w:eastAsia="Times New Roman" w:cs="Times New Roman"/>
          <w:szCs w:val="22"/>
        </w:rPr>
        <w:t>’</w:t>
      </w:r>
      <w:r w:rsidRPr="002B1FB2">
        <w:rPr>
          <w:rFonts w:ascii="Times New Roman" w:hAnsi="Times New Roman" w:eastAsia="Times New Roman" w:cs="Times New Roman"/>
          <w:szCs w:val="22"/>
        </w:rPr>
        <w:t>s expert report in the part which referred to the reason for his disability retirement.</w:t>
      </w:r>
    </w:p>
    <w:bookmarkStart w:name="para10" w:id="10"/>
    <w:bookmarkStart w:name="FR" w:id="11"/>
    <w:p w:rsidRPr="002B1FB2" w:rsidR="003252F1" w:rsidP="002B1FB2" w:rsidRDefault="003252F1" w14:paraId="7A483AF0" w14:textId="00B8A1E7">
      <w:pPr>
        <w:pStyle w:val="JuPara"/>
        <w:rPr>
          <w:rFonts w:ascii="Times New Roman" w:hAnsi="Times New Roman" w:eastAsia="Times New Roman" w:cs="Times New Roman"/>
          <w:szCs w:val="22"/>
        </w:rPr>
      </w:pPr>
      <w:r w:rsidRPr="002B1FB2">
        <w:rPr>
          <w:rFonts w:ascii="Times New Roman" w:hAnsi="Times New Roman" w:eastAsia="Times New Roman" w:cs="Times New Roman"/>
          <w:szCs w:val="22"/>
        </w:rPr>
        <w:fldChar w:fldCharType="begin"/>
      </w:r>
      <w:r w:rsidRPr="002B1FB2">
        <w:rPr>
          <w:rFonts w:ascii="Times New Roman" w:hAnsi="Times New Roman" w:eastAsia="Times New Roman" w:cs="Times New Roman"/>
          <w:szCs w:val="22"/>
        </w:rPr>
        <w:instrText xml:space="preserve"> SEQ level0 \*arabic </w:instrText>
      </w:r>
      <w:r w:rsidRPr="002B1FB2">
        <w:rPr>
          <w:rFonts w:ascii="Times New Roman" w:hAnsi="Times New Roman" w:eastAsia="Times New Roman" w:cs="Times New Roman"/>
          <w:szCs w:val="22"/>
        </w:rPr>
        <w:fldChar w:fldCharType="separate"/>
      </w:r>
      <w:r w:rsidRPr="002B1FB2" w:rsidR="002B1FB2">
        <w:rPr>
          <w:rFonts w:ascii="Times New Roman" w:hAnsi="Times New Roman" w:eastAsia="Times New Roman" w:cs="Times New Roman"/>
          <w:noProof/>
          <w:szCs w:val="22"/>
        </w:rPr>
        <w:t>10</w:t>
      </w:r>
      <w:r w:rsidRPr="002B1FB2">
        <w:rPr>
          <w:rFonts w:ascii="Times New Roman" w:hAnsi="Times New Roman" w:eastAsia="Times New Roman" w:cs="Times New Roman"/>
          <w:szCs w:val="22"/>
        </w:rPr>
        <w:fldChar w:fldCharType="end"/>
      </w:r>
      <w:bookmarkEnd w:id="10"/>
      <w:r w:rsidRPr="002B1FB2">
        <w:rPr>
          <w:rFonts w:ascii="Times New Roman" w:hAnsi="Times New Roman" w:eastAsia="Times New Roman" w:cs="Times New Roman"/>
          <w:szCs w:val="22"/>
        </w:rPr>
        <w:t>.  </w:t>
      </w:r>
      <w:bookmarkEnd w:id="11"/>
      <w:r w:rsidRPr="002B1FB2">
        <w:rPr>
          <w:rFonts w:ascii="Times New Roman" w:hAnsi="Times New Roman" w:eastAsia="Times New Roman" w:cs="Times New Roman"/>
          <w:szCs w:val="22"/>
        </w:rPr>
        <w:t xml:space="preserve">In December 2002 the first-instance court obtained an expert report from F.R., a permanent court expert for road traffic matters. F.R. found, </w:t>
      </w:r>
      <w:r w:rsidRPr="002B1FB2">
        <w:rPr>
          <w:rFonts w:ascii="Times New Roman" w:hAnsi="Times New Roman" w:eastAsia="Times New Roman" w:cs="Times New Roman"/>
          <w:i/>
          <w:szCs w:val="22"/>
        </w:rPr>
        <w:t>inter alia</w:t>
      </w:r>
      <w:r w:rsidRPr="002B1FB2">
        <w:rPr>
          <w:rFonts w:ascii="Times New Roman" w:hAnsi="Times New Roman" w:eastAsia="Times New Roman" w:cs="Times New Roman"/>
          <w:szCs w:val="22"/>
        </w:rPr>
        <w:t>, that the road traffic accident had occurred due to inappropriate speed of driving of both parties.</w:t>
      </w:r>
      <w:r w:rsidRPr="002B1FB2">
        <w:t xml:space="preserve"> </w:t>
      </w:r>
      <w:r w:rsidRPr="002B1FB2">
        <w:rPr>
          <w:rFonts w:ascii="Times New Roman" w:hAnsi="Times New Roman" w:eastAsia="Times New Roman" w:cs="Times New Roman"/>
          <w:szCs w:val="22"/>
        </w:rPr>
        <w:t>The applicant did not have objections to F.R.</w:t>
      </w:r>
      <w:r w:rsidRPr="002B1FB2" w:rsidR="002B1FB2">
        <w:rPr>
          <w:rFonts w:ascii="Times New Roman" w:hAnsi="Times New Roman" w:eastAsia="Times New Roman" w:cs="Times New Roman"/>
          <w:szCs w:val="22"/>
        </w:rPr>
        <w:t>’</w:t>
      </w:r>
      <w:r w:rsidRPr="002B1FB2">
        <w:rPr>
          <w:rFonts w:ascii="Times New Roman" w:hAnsi="Times New Roman" w:eastAsia="Times New Roman" w:cs="Times New Roman"/>
          <w:szCs w:val="22"/>
        </w:rPr>
        <w:t>s findings.</w:t>
      </w:r>
    </w:p>
    <w:p w:rsidRPr="002B1FB2" w:rsidR="003252F1" w:rsidP="002B1FB2" w:rsidRDefault="003252F1" w14:paraId="400A1215" w14:textId="22433886">
      <w:pPr>
        <w:pStyle w:val="JuPara"/>
        <w:rPr>
          <w:rFonts w:ascii="Times New Roman" w:hAnsi="Times New Roman" w:eastAsia="Times New Roman" w:cs="Times New Roman"/>
          <w:szCs w:val="22"/>
        </w:rPr>
      </w:pPr>
      <w:r w:rsidRPr="002B1FB2">
        <w:rPr>
          <w:rFonts w:ascii="Times New Roman" w:hAnsi="Times New Roman" w:eastAsia="Times New Roman" w:cs="Times New Roman"/>
          <w:szCs w:val="22"/>
        </w:rPr>
        <w:fldChar w:fldCharType="begin"/>
      </w:r>
      <w:r w:rsidRPr="002B1FB2">
        <w:rPr>
          <w:rFonts w:ascii="Times New Roman" w:hAnsi="Times New Roman" w:eastAsia="Times New Roman" w:cs="Times New Roman"/>
          <w:szCs w:val="22"/>
        </w:rPr>
        <w:instrText xml:space="preserve"> SEQ level0 \*arabic </w:instrText>
      </w:r>
      <w:r w:rsidRPr="002B1FB2">
        <w:rPr>
          <w:rFonts w:ascii="Times New Roman" w:hAnsi="Times New Roman" w:eastAsia="Times New Roman" w:cs="Times New Roman"/>
          <w:szCs w:val="22"/>
        </w:rPr>
        <w:fldChar w:fldCharType="separate"/>
      </w:r>
      <w:r w:rsidRPr="002B1FB2" w:rsidR="002B1FB2">
        <w:rPr>
          <w:rFonts w:ascii="Times New Roman" w:hAnsi="Times New Roman" w:eastAsia="Times New Roman" w:cs="Times New Roman"/>
          <w:noProof/>
          <w:szCs w:val="22"/>
        </w:rPr>
        <w:t>11</w:t>
      </w:r>
      <w:r w:rsidRPr="002B1FB2">
        <w:rPr>
          <w:rFonts w:ascii="Times New Roman" w:hAnsi="Times New Roman" w:eastAsia="Times New Roman" w:cs="Times New Roman"/>
          <w:szCs w:val="22"/>
        </w:rPr>
        <w:fldChar w:fldCharType="end"/>
      </w:r>
      <w:r w:rsidRPr="002B1FB2">
        <w:rPr>
          <w:rFonts w:ascii="Times New Roman" w:hAnsi="Times New Roman" w:eastAsia="Times New Roman" w:cs="Times New Roman"/>
          <w:szCs w:val="22"/>
        </w:rPr>
        <w:t>.  In its written submission of 29 March 2006, the defendant company proposed that an expert report be obtained from an occupational medicine specialist.</w:t>
      </w:r>
    </w:p>
    <w:bookmarkStart w:name="Paragraph9" w:id="12"/>
    <w:bookmarkStart w:name="para11" w:id="13"/>
    <w:bookmarkStart w:name="para12" w:id="14"/>
    <w:bookmarkStart w:name="AppointingVB" w:id="15"/>
    <w:p w:rsidRPr="002B1FB2" w:rsidR="003252F1" w:rsidP="002B1FB2" w:rsidRDefault="003252F1" w14:paraId="5D648412" w14:textId="73340DD1">
      <w:pPr>
        <w:pStyle w:val="JuPara"/>
        <w:rPr>
          <w:rFonts w:ascii="Times New Roman" w:hAnsi="Times New Roman" w:eastAsia="Times New Roman" w:cs="Times New Roman"/>
          <w:szCs w:val="22"/>
        </w:rPr>
      </w:pPr>
      <w:r w:rsidRPr="002B1FB2">
        <w:rPr>
          <w:rFonts w:ascii="Times New Roman" w:hAnsi="Times New Roman" w:eastAsia="Times New Roman" w:cs="Times New Roman"/>
          <w:szCs w:val="22"/>
        </w:rPr>
        <w:fldChar w:fldCharType="begin"/>
      </w:r>
      <w:r w:rsidRPr="002B1FB2">
        <w:rPr>
          <w:rFonts w:ascii="Times New Roman" w:hAnsi="Times New Roman" w:eastAsia="Times New Roman" w:cs="Times New Roman"/>
          <w:szCs w:val="22"/>
        </w:rPr>
        <w:instrText xml:space="preserve"> SEQ level0 \*arabic </w:instrText>
      </w:r>
      <w:r w:rsidRPr="002B1FB2">
        <w:rPr>
          <w:rFonts w:ascii="Times New Roman" w:hAnsi="Times New Roman" w:eastAsia="Times New Roman" w:cs="Times New Roman"/>
          <w:szCs w:val="22"/>
        </w:rPr>
        <w:fldChar w:fldCharType="separate"/>
      </w:r>
      <w:r w:rsidRPr="002B1FB2" w:rsidR="002B1FB2">
        <w:rPr>
          <w:rFonts w:ascii="Times New Roman" w:hAnsi="Times New Roman" w:eastAsia="Times New Roman" w:cs="Times New Roman"/>
          <w:noProof/>
          <w:szCs w:val="22"/>
        </w:rPr>
        <w:t>12</w:t>
      </w:r>
      <w:r w:rsidRPr="002B1FB2">
        <w:rPr>
          <w:rFonts w:ascii="Times New Roman" w:hAnsi="Times New Roman" w:eastAsia="Times New Roman" w:cs="Times New Roman"/>
          <w:szCs w:val="22"/>
        </w:rPr>
        <w:fldChar w:fldCharType="end"/>
      </w:r>
      <w:bookmarkEnd w:id="12"/>
      <w:bookmarkEnd w:id="13"/>
      <w:bookmarkEnd w:id="14"/>
      <w:r w:rsidRPr="002B1FB2">
        <w:rPr>
          <w:rFonts w:ascii="Times New Roman" w:hAnsi="Times New Roman" w:eastAsia="Times New Roman" w:cs="Times New Roman"/>
          <w:szCs w:val="22"/>
        </w:rPr>
        <w:t>.  </w:t>
      </w:r>
      <w:bookmarkEnd w:id="15"/>
      <w:r w:rsidRPr="002B1FB2">
        <w:rPr>
          <w:rFonts w:ascii="Times New Roman" w:hAnsi="Times New Roman" w:eastAsia="Times New Roman" w:cs="Times New Roman"/>
          <w:szCs w:val="22"/>
        </w:rPr>
        <w:t>At a hearing held on the same day at which the applicant and his lawyer were present, and the defendant company was not, the first-instance court commissioned an expert report from V.B., an occupational medicine specialist and a permanent court expert. The task of V.B. was to assess the relationship between the injury the applicant had sustained in the road traffic accident and his capacity to work.</w:t>
      </w:r>
    </w:p>
    <w:p w:rsidRPr="002B1FB2" w:rsidR="003252F1" w:rsidP="002B1FB2" w:rsidRDefault="003252F1" w14:paraId="742B9B93" w14:textId="77777777">
      <w:pPr>
        <w:pStyle w:val="JuPara"/>
        <w:rPr>
          <w:rFonts w:ascii="Times New Roman" w:hAnsi="Times New Roman" w:eastAsia="Times New Roman" w:cs="Times New Roman"/>
          <w:szCs w:val="22"/>
        </w:rPr>
      </w:pPr>
      <w:r w:rsidRPr="002B1FB2">
        <w:rPr>
          <w:rFonts w:ascii="Times New Roman" w:hAnsi="Times New Roman" w:eastAsia="Times New Roman" w:cs="Times New Roman"/>
          <w:szCs w:val="22"/>
        </w:rPr>
        <w:t>The relevant part of the minutes from the hearing read:</w:t>
      </w:r>
    </w:p>
    <w:p w:rsidRPr="002B1FB2" w:rsidR="003252F1" w:rsidP="002B1FB2" w:rsidRDefault="003252F1" w14:paraId="47FC4BF7" w14:textId="77777777">
      <w:pPr>
        <w:pStyle w:val="JuQuot"/>
        <w:rPr>
          <w:rFonts w:eastAsia="Times New Roman"/>
        </w:rPr>
      </w:pPr>
      <w:r w:rsidRPr="002B1FB2">
        <w:rPr>
          <w:rFonts w:eastAsia="Times New Roman"/>
        </w:rPr>
        <w:t>“I.  [The court] will commission a medical expert report.</w:t>
      </w:r>
    </w:p>
    <w:p w:rsidRPr="002B1FB2" w:rsidR="003252F1" w:rsidP="002B1FB2" w:rsidRDefault="003252F1" w14:paraId="34FB1C6C" w14:textId="77777777">
      <w:pPr>
        <w:pStyle w:val="JuQuot"/>
        <w:rPr>
          <w:rFonts w:eastAsia="Times New Roman"/>
        </w:rPr>
      </w:pPr>
      <w:proofErr w:type="gramStart"/>
      <w:r w:rsidRPr="002B1FB2">
        <w:rPr>
          <w:rFonts w:eastAsia="Times New Roman"/>
        </w:rPr>
        <w:t>II.  [</w:t>
      </w:r>
      <w:proofErr w:type="gramEnd"/>
      <w:r w:rsidRPr="002B1FB2">
        <w:rPr>
          <w:rFonts w:eastAsia="Times New Roman"/>
        </w:rPr>
        <w:t>The court] appoints as expert V.B., ..., occupational medicine specialist, permanent court expert.</w:t>
      </w:r>
    </w:p>
    <w:p w:rsidRPr="002B1FB2" w:rsidR="003252F1" w:rsidP="002B1FB2" w:rsidRDefault="003252F1" w14:paraId="207E1EF9" w14:textId="7D9C2797">
      <w:pPr>
        <w:pStyle w:val="JuQuot"/>
        <w:rPr>
          <w:rFonts w:eastAsia="Times New Roman"/>
        </w:rPr>
      </w:pPr>
      <w:proofErr w:type="gramStart"/>
      <w:r w:rsidRPr="002B1FB2">
        <w:rPr>
          <w:rFonts w:eastAsia="Times New Roman"/>
        </w:rPr>
        <w:t>III.  [</w:t>
      </w:r>
      <w:proofErr w:type="gramEnd"/>
      <w:r w:rsidRPr="002B1FB2">
        <w:rPr>
          <w:rFonts w:eastAsia="Times New Roman"/>
        </w:rPr>
        <w:t>The expert] is to establish whether and to what extent [the applicant</w:t>
      </w:r>
      <w:r w:rsidRPr="002B1FB2" w:rsidR="002B1FB2">
        <w:rPr>
          <w:rFonts w:eastAsia="Times New Roman"/>
        </w:rPr>
        <w:t>’</w:t>
      </w:r>
      <w:r w:rsidRPr="002B1FB2">
        <w:rPr>
          <w:rFonts w:eastAsia="Times New Roman"/>
        </w:rPr>
        <w:t>s]</w:t>
      </w:r>
      <w:r w:rsidRPr="002B1FB2">
        <w:t xml:space="preserve"> </w:t>
      </w:r>
      <w:r w:rsidRPr="002B1FB2">
        <w:rPr>
          <w:rFonts w:eastAsia="Times New Roman"/>
        </w:rPr>
        <w:t>capacity to work decreased owing to the consequences of the road traffic accident, other injury or illness, and establish the duration of his incapacity to work.</w:t>
      </w:r>
    </w:p>
    <w:p w:rsidRPr="002B1FB2" w:rsidR="003252F1" w:rsidP="002B1FB2" w:rsidRDefault="003252F1" w14:paraId="2176F1BA" w14:textId="77777777">
      <w:pPr>
        <w:pStyle w:val="JuQuot"/>
        <w:rPr>
          <w:rFonts w:eastAsia="Times New Roman"/>
        </w:rPr>
      </w:pPr>
      <w:r w:rsidRPr="002B1FB2">
        <w:rPr>
          <w:rFonts w:eastAsia="Times New Roman"/>
        </w:rPr>
        <w:t>IV.  The expert is required to submit her written expert report within thirty days ...”</w:t>
      </w:r>
    </w:p>
    <w:bookmarkStart w:name="para13" w:id="16"/>
    <w:bookmarkStart w:name="VBreport1" w:id="17"/>
    <w:p w:rsidRPr="002B1FB2" w:rsidR="003252F1" w:rsidP="002B1FB2" w:rsidRDefault="003252F1" w14:paraId="42828910" w14:textId="3FCB29F6">
      <w:pPr>
        <w:pStyle w:val="JuPara"/>
        <w:rPr>
          <w:rFonts w:eastAsia="Times New Roman"/>
        </w:rPr>
      </w:pPr>
      <w:r w:rsidRPr="002B1FB2">
        <w:rPr>
          <w:rFonts w:eastAsia="Times New Roman"/>
        </w:rPr>
        <w:fldChar w:fldCharType="begin"/>
      </w:r>
      <w:r w:rsidRPr="002B1FB2">
        <w:rPr>
          <w:rFonts w:eastAsia="Times New Roman"/>
        </w:rPr>
        <w:instrText xml:space="preserve"> SEQ level0 \*arabic </w:instrText>
      </w:r>
      <w:r w:rsidRPr="002B1FB2">
        <w:rPr>
          <w:rFonts w:eastAsia="Times New Roman"/>
        </w:rPr>
        <w:fldChar w:fldCharType="separate"/>
      </w:r>
      <w:r w:rsidRPr="002B1FB2" w:rsidR="002B1FB2">
        <w:rPr>
          <w:rFonts w:eastAsia="Times New Roman"/>
          <w:noProof/>
        </w:rPr>
        <w:t>13</w:t>
      </w:r>
      <w:r w:rsidRPr="002B1FB2">
        <w:rPr>
          <w:rFonts w:eastAsia="Times New Roman"/>
        </w:rPr>
        <w:fldChar w:fldCharType="end"/>
      </w:r>
      <w:bookmarkEnd w:id="16"/>
      <w:r w:rsidRPr="002B1FB2">
        <w:rPr>
          <w:rFonts w:eastAsia="Times New Roman"/>
        </w:rPr>
        <w:t>.  </w:t>
      </w:r>
      <w:bookmarkEnd w:id="17"/>
      <w:r w:rsidRPr="002B1FB2">
        <w:rPr>
          <w:rFonts w:eastAsia="Times New Roman"/>
        </w:rPr>
        <w:t>On 23 June 2006 V.B. submitted her expert report to the first-instance court. She examined the applicant</w:t>
      </w:r>
      <w:r w:rsidRPr="002B1FB2" w:rsidR="002B1FB2">
        <w:rPr>
          <w:rFonts w:eastAsia="Times New Roman"/>
        </w:rPr>
        <w:t>’</w:t>
      </w:r>
      <w:r w:rsidRPr="002B1FB2">
        <w:rPr>
          <w:rFonts w:eastAsia="Times New Roman"/>
        </w:rPr>
        <w:t>s medical documentation and concluded that:</w:t>
      </w:r>
    </w:p>
    <w:p w:rsidRPr="002B1FB2" w:rsidR="003252F1" w:rsidP="002B1FB2" w:rsidRDefault="003252F1" w14:paraId="67D3B127" w14:textId="07C312AE">
      <w:pPr>
        <w:pStyle w:val="JuPara"/>
        <w:rPr>
          <w:rFonts w:eastAsia="Times New Roman"/>
        </w:rPr>
      </w:pPr>
      <w:r w:rsidRPr="002B1FB2">
        <w:rPr>
          <w:rFonts w:eastAsia="Times New Roman"/>
        </w:rPr>
        <w:t>–  the reason for the applicant</w:t>
      </w:r>
      <w:r w:rsidRPr="002B1FB2" w:rsidR="002B1FB2">
        <w:rPr>
          <w:rFonts w:eastAsia="Times New Roman"/>
        </w:rPr>
        <w:t>’</w:t>
      </w:r>
      <w:r w:rsidRPr="002B1FB2">
        <w:rPr>
          <w:rFonts w:eastAsia="Times New Roman"/>
        </w:rPr>
        <w:t>s incapacity to work (sick leave) from 9</w:t>
      </w:r>
      <w:r w:rsidRPr="002B1FB2" w:rsidR="00C62C38">
        <w:rPr>
          <w:rFonts w:eastAsia="Times New Roman"/>
        </w:rPr>
        <w:t> </w:t>
      </w:r>
      <w:r w:rsidRPr="002B1FB2">
        <w:rPr>
          <w:rFonts w:eastAsia="Times New Roman"/>
        </w:rPr>
        <w:t xml:space="preserve">June to 26 August 1995 had been the knee injury sustained in the road traffic </w:t>
      </w:r>
      <w:proofErr w:type="gramStart"/>
      <w:r w:rsidRPr="002B1FB2">
        <w:rPr>
          <w:rFonts w:eastAsia="Times New Roman"/>
        </w:rPr>
        <w:t>accident;</w:t>
      </w:r>
      <w:proofErr w:type="gramEnd"/>
    </w:p>
    <w:p w:rsidRPr="002B1FB2" w:rsidR="003252F1" w:rsidP="002B1FB2" w:rsidRDefault="003252F1" w14:paraId="3F401A6E" w14:textId="77777777">
      <w:pPr>
        <w:pStyle w:val="JuPara"/>
        <w:rPr>
          <w:rFonts w:eastAsia="Times New Roman"/>
        </w:rPr>
      </w:pPr>
      <w:r w:rsidRPr="002B1FB2">
        <w:rPr>
          <w:rFonts w:eastAsia="Times New Roman"/>
        </w:rPr>
        <w:t>–  the reason for his sick leave from 28 August to 1 December 1995 had been the treatment of complications from the knee injury caused by an earlier knee illness, as well as the damage to his cervical nerves caused by the changes to his spine; and that</w:t>
      </w:r>
    </w:p>
    <w:p w:rsidRPr="002B1FB2" w:rsidR="003252F1" w:rsidP="002B1FB2" w:rsidRDefault="003252F1" w14:paraId="1942D211" w14:textId="77777777">
      <w:pPr>
        <w:pStyle w:val="JuPara"/>
        <w:rPr>
          <w:rFonts w:eastAsia="Times New Roman"/>
        </w:rPr>
      </w:pPr>
      <w:r w:rsidRPr="002B1FB2">
        <w:rPr>
          <w:rFonts w:eastAsia="Times New Roman"/>
        </w:rPr>
        <w:t>–  his decreased working capacity had not been caused by the knee injury, but by his spinal illness and by the chronic damage to his cervical nerves.</w:t>
      </w:r>
    </w:p>
    <w:p w:rsidRPr="002B1FB2" w:rsidR="003252F1" w:rsidP="002B1FB2" w:rsidRDefault="003252F1" w14:paraId="3381A36E" w14:textId="519EAC66">
      <w:pPr>
        <w:pStyle w:val="JuPara"/>
        <w:rPr>
          <w:rFonts w:eastAsia="Times New Roman"/>
        </w:rPr>
      </w:pPr>
      <w:r w:rsidRPr="002B1FB2">
        <w:rPr>
          <w:rFonts w:eastAsia="Times New Roman"/>
        </w:rPr>
        <w:fldChar w:fldCharType="begin"/>
      </w:r>
      <w:r w:rsidRPr="002B1FB2">
        <w:rPr>
          <w:rFonts w:eastAsia="Times New Roman"/>
        </w:rPr>
        <w:instrText xml:space="preserve"> SEQ level0 \*arabic \* MERGEFORMAT </w:instrText>
      </w:r>
      <w:r w:rsidRPr="002B1FB2">
        <w:rPr>
          <w:rFonts w:eastAsia="Times New Roman"/>
        </w:rPr>
        <w:fldChar w:fldCharType="separate"/>
      </w:r>
      <w:r w:rsidRPr="002B1FB2" w:rsidR="002B1FB2">
        <w:rPr>
          <w:rFonts w:eastAsia="Times New Roman"/>
          <w:noProof/>
        </w:rPr>
        <w:t>14</w:t>
      </w:r>
      <w:r w:rsidRPr="002B1FB2">
        <w:rPr>
          <w:rFonts w:eastAsia="Times New Roman"/>
        </w:rPr>
        <w:fldChar w:fldCharType="end"/>
      </w:r>
      <w:r w:rsidRPr="002B1FB2">
        <w:rPr>
          <w:rFonts w:eastAsia="Times New Roman"/>
        </w:rPr>
        <w:t>.  On 11 August 2006 the defendant company proposed that V.B. be heard in respect of one part of her findings. The applicant agreed with this proposal.</w:t>
      </w:r>
    </w:p>
    <w:bookmarkStart w:name="Paragraph12" w:id="18"/>
    <w:bookmarkStart w:name="VBreport2" w:id="19"/>
    <w:bookmarkStart w:name="para15" w:id="20"/>
    <w:p w:rsidRPr="002B1FB2" w:rsidR="003252F1" w:rsidP="002B1FB2" w:rsidRDefault="003252F1" w14:paraId="0F6770DB" w14:textId="44AF7AA0">
      <w:pPr>
        <w:pStyle w:val="JuPara"/>
        <w:rPr>
          <w:rFonts w:eastAsia="Times New Roman"/>
        </w:rPr>
      </w:pPr>
      <w:r w:rsidRPr="002B1FB2">
        <w:rPr>
          <w:rFonts w:eastAsia="Times New Roman"/>
        </w:rPr>
        <w:fldChar w:fldCharType="begin"/>
      </w:r>
      <w:r w:rsidRPr="002B1FB2">
        <w:rPr>
          <w:rFonts w:eastAsia="Times New Roman"/>
        </w:rPr>
        <w:instrText xml:space="preserve"> SEQ level0 \*arabic \* MERGEFORMAT </w:instrText>
      </w:r>
      <w:r w:rsidRPr="002B1FB2">
        <w:rPr>
          <w:rFonts w:eastAsia="Times New Roman"/>
        </w:rPr>
        <w:fldChar w:fldCharType="separate"/>
      </w:r>
      <w:r w:rsidRPr="002B1FB2" w:rsidR="002B1FB2">
        <w:rPr>
          <w:rFonts w:eastAsia="Times New Roman"/>
          <w:noProof/>
        </w:rPr>
        <w:t>15</w:t>
      </w:r>
      <w:r w:rsidRPr="002B1FB2">
        <w:rPr>
          <w:rFonts w:eastAsia="Times New Roman"/>
        </w:rPr>
        <w:fldChar w:fldCharType="end"/>
      </w:r>
      <w:bookmarkEnd w:id="18"/>
      <w:bookmarkEnd w:id="19"/>
      <w:bookmarkEnd w:id="20"/>
      <w:r w:rsidRPr="002B1FB2">
        <w:rPr>
          <w:rFonts w:eastAsia="Times New Roman"/>
        </w:rPr>
        <w:t>.  On 25 October 2006 V.B. submitted an additional expert report in which she explained that the reason for the applicant</w:t>
      </w:r>
      <w:r w:rsidRPr="002B1FB2" w:rsidR="002B1FB2">
        <w:rPr>
          <w:rFonts w:eastAsia="Times New Roman"/>
        </w:rPr>
        <w:t>’</w:t>
      </w:r>
      <w:r w:rsidRPr="002B1FB2">
        <w:rPr>
          <w:rFonts w:eastAsia="Times New Roman"/>
        </w:rPr>
        <w:t>s sick leave from 28</w:t>
      </w:r>
      <w:r w:rsidRPr="002B1FB2" w:rsidR="00C62C38">
        <w:rPr>
          <w:rFonts w:eastAsia="Times New Roman"/>
        </w:rPr>
        <w:t> </w:t>
      </w:r>
      <w:r w:rsidRPr="002B1FB2">
        <w:rPr>
          <w:rFonts w:eastAsia="Times New Roman"/>
        </w:rPr>
        <w:t>August to 1 December 1995 had been the treatment of his knee illness which had developed before the accident, as well as his spinal pain.</w:t>
      </w:r>
    </w:p>
    <w:p w:rsidRPr="002B1FB2" w:rsidR="003252F1" w:rsidP="002B1FB2" w:rsidRDefault="003252F1" w14:paraId="0E613663" w14:textId="70D139FC">
      <w:pPr>
        <w:pStyle w:val="JuPara"/>
        <w:rPr>
          <w:rFonts w:eastAsia="Times New Roman"/>
        </w:rPr>
      </w:pPr>
      <w:r w:rsidRPr="002B1FB2">
        <w:rPr>
          <w:rFonts w:eastAsia="Times New Roman"/>
        </w:rPr>
        <w:fldChar w:fldCharType="begin"/>
      </w:r>
      <w:r w:rsidRPr="002B1FB2">
        <w:rPr>
          <w:rFonts w:eastAsia="Times New Roman"/>
        </w:rPr>
        <w:instrText xml:space="preserve"> SEQ level0 \*arabic \* MERGEFORMAT </w:instrText>
      </w:r>
      <w:r w:rsidRPr="002B1FB2">
        <w:rPr>
          <w:rFonts w:eastAsia="Times New Roman"/>
        </w:rPr>
        <w:fldChar w:fldCharType="separate"/>
      </w:r>
      <w:r w:rsidRPr="002B1FB2" w:rsidR="002B1FB2">
        <w:rPr>
          <w:rFonts w:eastAsia="Times New Roman"/>
          <w:noProof/>
        </w:rPr>
        <w:t>16</w:t>
      </w:r>
      <w:r w:rsidRPr="002B1FB2">
        <w:rPr>
          <w:rFonts w:eastAsia="Times New Roman"/>
        </w:rPr>
        <w:fldChar w:fldCharType="end"/>
      </w:r>
      <w:r w:rsidRPr="002B1FB2">
        <w:rPr>
          <w:rFonts w:eastAsia="Times New Roman"/>
        </w:rPr>
        <w:t>.  At the hearing held on 28 December 2006, the applicant challenged V.B.</w:t>
      </w:r>
      <w:r w:rsidRPr="002B1FB2" w:rsidR="002B1FB2">
        <w:rPr>
          <w:rFonts w:eastAsia="Times New Roman"/>
        </w:rPr>
        <w:t>’</w:t>
      </w:r>
      <w:r w:rsidRPr="002B1FB2">
        <w:rPr>
          <w:rFonts w:eastAsia="Times New Roman"/>
        </w:rPr>
        <w:t>s findings.</w:t>
      </w:r>
    </w:p>
    <w:bookmarkStart w:name="para14" w:id="21"/>
    <w:bookmarkStart w:name="para17" w:id="22"/>
    <w:bookmarkStart w:name="vbREPORT3" w:id="23"/>
    <w:p w:rsidRPr="002B1FB2" w:rsidR="003252F1" w:rsidP="002B1FB2" w:rsidRDefault="003252F1" w14:paraId="4270299D" w14:textId="653AFE47">
      <w:pPr>
        <w:pStyle w:val="JuPara"/>
        <w:rPr>
          <w:rFonts w:eastAsia="Times New Roman"/>
        </w:rPr>
      </w:pPr>
      <w:r w:rsidRPr="002B1FB2">
        <w:rPr>
          <w:rFonts w:eastAsia="Times New Roman"/>
        </w:rPr>
        <w:fldChar w:fldCharType="begin"/>
      </w:r>
      <w:r w:rsidRPr="002B1FB2">
        <w:rPr>
          <w:rFonts w:eastAsia="Times New Roman"/>
        </w:rPr>
        <w:instrText xml:space="preserve"> SEQ level0 \*arabic </w:instrText>
      </w:r>
      <w:r w:rsidRPr="002B1FB2">
        <w:rPr>
          <w:rFonts w:eastAsia="Times New Roman"/>
        </w:rPr>
        <w:fldChar w:fldCharType="separate"/>
      </w:r>
      <w:r w:rsidRPr="002B1FB2" w:rsidR="002B1FB2">
        <w:rPr>
          <w:rFonts w:eastAsia="Times New Roman"/>
          <w:noProof/>
        </w:rPr>
        <w:t>17</w:t>
      </w:r>
      <w:r w:rsidRPr="002B1FB2">
        <w:rPr>
          <w:rFonts w:eastAsia="Times New Roman"/>
        </w:rPr>
        <w:fldChar w:fldCharType="end"/>
      </w:r>
      <w:bookmarkEnd w:id="21"/>
      <w:bookmarkEnd w:id="22"/>
      <w:r w:rsidRPr="002B1FB2">
        <w:rPr>
          <w:rFonts w:eastAsia="Times New Roman"/>
        </w:rPr>
        <w:t>.  </w:t>
      </w:r>
      <w:bookmarkEnd w:id="23"/>
      <w:r w:rsidRPr="002B1FB2">
        <w:rPr>
          <w:rFonts w:eastAsia="Times New Roman"/>
        </w:rPr>
        <w:t>At the hearing held on 5 February 2007, the court heard V.B. The relevant part of the minutes from the hearing reads:</w:t>
      </w:r>
    </w:p>
    <w:p w:rsidRPr="002B1FB2" w:rsidR="003252F1" w:rsidP="002B1FB2" w:rsidRDefault="003252F1" w14:paraId="63F947F8" w14:textId="77777777">
      <w:pPr>
        <w:pStyle w:val="JuQuot"/>
        <w:rPr>
          <w:rFonts w:eastAsia="Times New Roman"/>
        </w:rPr>
      </w:pPr>
      <w:bookmarkStart w:name="_Hlk73627709" w:id="24"/>
      <w:r w:rsidRPr="002B1FB2">
        <w:rPr>
          <w:rFonts w:eastAsia="Times New Roman"/>
        </w:rPr>
        <w:t xml:space="preserve">“[The court] </w:t>
      </w:r>
      <w:bookmarkEnd w:id="24"/>
      <w:r w:rsidRPr="002B1FB2">
        <w:rPr>
          <w:rFonts w:eastAsia="Times New Roman"/>
        </w:rPr>
        <w:t>will hear expert V.B.</w:t>
      </w:r>
    </w:p>
    <w:p w:rsidRPr="002B1FB2" w:rsidR="003252F1" w:rsidP="002B1FB2" w:rsidRDefault="003252F1" w14:paraId="6D4AF06C" w14:textId="77777777">
      <w:pPr>
        <w:pStyle w:val="JuQuot"/>
        <w:rPr>
          <w:rFonts w:eastAsia="Times New Roman"/>
        </w:rPr>
      </w:pPr>
      <w:r w:rsidRPr="002B1FB2">
        <w:rPr>
          <w:rFonts w:eastAsia="Times New Roman"/>
        </w:rPr>
        <w:t>Court expert: Dr V.B., daughter of ..., born on..., residing in ..., occupational medicine specialist.</w:t>
      </w:r>
    </w:p>
    <w:p w:rsidRPr="002B1FB2" w:rsidR="003252F1" w:rsidP="002B1FB2" w:rsidRDefault="003252F1" w14:paraId="6EF65EAF" w14:textId="77777777">
      <w:pPr>
        <w:pStyle w:val="JuQuot"/>
        <w:rPr>
          <w:rFonts w:eastAsia="Times New Roman"/>
        </w:rPr>
      </w:pPr>
      <w:r w:rsidRPr="002B1FB2">
        <w:rPr>
          <w:rFonts w:eastAsia="Times New Roman"/>
        </w:rPr>
        <w:t>After being properly warned submits as follows ...”</w:t>
      </w:r>
    </w:p>
    <w:p w:rsidRPr="002B1FB2" w:rsidR="003252F1" w:rsidP="002B1FB2" w:rsidRDefault="003252F1" w14:paraId="7C9B5EB9" w14:textId="11E1FF96">
      <w:pPr>
        <w:pStyle w:val="JuPara"/>
        <w:rPr>
          <w:rFonts w:eastAsia="Times New Roman"/>
        </w:rPr>
      </w:pPr>
      <w:r w:rsidRPr="002B1FB2">
        <w:rPr>
          <w:rFonts w:eastAsia="Times New Roman"/>
        </w:rPr>
        <w:t>V.B. then replied to the applicant</w:t>
      </w:r>
      <w:r w:rsidRPr="002B1FB2" w:rsidR="002B1FB2">
        <w:rPr>
          <w:rFonts w:eastAsia="Times New Roman"/>
        </w:rPr>
        <w:t>’</w:t>
      </w:r>
      <w:r w:rsidRPr="002B1FB2">
        <w:rPr>
          <w:rFonts w:eastAsia="Times New Roman"/>
        </w:rPr>
        <w:t>s questions as regards her findings in the expert report.</w:t>
      </w:r>
      <w:r w:rsidRPr="002B1FB2">
        <w:t xml:space="preserve"> In V.B.</w:t>
      </w:r>
      <w:r w:rsidRPr="002B1FB2" w:rsidR="002B1FB2">
        <w:t>’</w:t>
      </w:r>
      <w:r w:rsidRPr="002B1FB2">
        <w:t xml:space="preserve">s view, the knee injury aggravated the existing knee illness, and the knee illness prolonged the treatment of the knee injury. </w:t>
      </w:r>
      <w:r w:rsidRPr="002B1FB2">
        <w:rPr>
          <w:rFonts w:eastAsia="Times New Roman"/>
        </w:rPr>
        <w:t xml:space="preserve">The applicant requested additional time </w:t>
      </w:r>
      <w:proofErr w:type="gramStart"/>
      <w:r w:rsidRPr="002B1FB2">
        <w:rPr>
          <w:rFonts w:eastAsia="Times New Roman"/>
        </w:rPr>
        <w:t>in order to</w:t>
      </w:r>
      <w:proofErr w:type="gramEnd"/>
      <w:r w:rsidRPr="002B1FB2">
        <w:rPr>
          <w:rFonts w:eastAsia="Times New Roman"/>
        </w:rPr>
        <w:t xml:space="preserve"> specify his claim.</w:t>
      </w:r>
    </w:p>
    <w:bookmarkStart w:name="para18" w:id="25"/>
    <w:p w:rsidRPr="002B1FB2" w:rsidR="003252F1" w:rsidP="002B1FB2" w:rsidRDefault="003252F1" w14:paraId="6F8DE8D9" w14:textId="53AC33A7">
      <w:pPr>
        <w:pStyle w:val="JuPara"/>
        <w:rPr>
          <w:rFonts w:eastAsia="Times New Roman"/>
        </w:rPr>
      </w:pPr>
      <w:r w:rsidRPr="002B1FB2">
        <w:rPr>
          <w:rFonts w:eastAsia="Times New Roman"/>
        </w:rPr>
        <w:fldChar w:fldCharType="begin"/>
      </w:r>
      <w:r w:rsidRPr="002B1FB2">
        <w:rPr>
          <w:rFonts w:eastAsia="Times New Roman"/>
        </w:rPr>
        <w:instrText xml:space="preserve"> SEQ level0 \*arabic \* MERGEFORMAT </w:instrText>
      </w:r>
      <w:r w:rsidRPr="002B1FB2">
        <w:rPr>
          <w:rFonts w:eastAsia="Times New Roman"/>
        </w:rPr>
        <w:fldChar w:fldCharType="separate"/>
      </w:r>
      <w:r w:rsidRPr="002B1FB2" w:rsidR="002B1FB2">
        <w:rPr>
          <w:rFonts w:eastAsia="Times New Roman"/>
          <w:noProof/>
        </w:rPr>
        <w:t>18</w:t>
      </w:r>
      <w:r w:rsidRPr="002B1FB2">
        <w:rPr>
          <w:rFonts w:eastAsia="Times New Roman"/>
        </w:rPr>
        <w:fldChar w:fldCharType="end"/>
      </w:r>
      <w:bookmarkEnd w:id="25"/>
      <w:r w:rsidRPr="002B1FB2">
        <w:rPr>
          <w:rFonts w:eastAsia="Times New Roman"/>
        </w:rPr>
        <w:t>.  In a submission of 15 February 2007, the applicant relied on V.B.</w:t>
      </w:r>
      <w:r w:rsidRPr="002B1FB2" w:rsidR="002B1FB2">
        <w:rPr>
          <w:rFonts w:eastAsia="Times New Roman"/>
        </w:rPr>
        <w:t>’</w:t>
      </w:r>
      <w:r w:rsidRPr="002B1FB2">
        <w:rPr>
          <w:rFonts w:eastAsia="Times New Roman"/>
        </w:rPr>
        <w:t>s oral evidence given at the hearing of 5 February 2007 to support his claim.</w:t>
      </w:r>
    </w:p>
    <w:bookmarkStart w:name="Paragraph13" w:id="26"/>
    <w:bookmarkStart w:name="Paragraph17" w:id="27"/>
    <w:bookmarkStart w:name="para19" w:id="28"/>
    <w:p w:rsidRPr="002B1FB2" w:rsidR="003252F1" w:rsidP="002B1FB2" w:rsidRDefault="003252F1" w14:paraId="322AC099" w14:textId="22239975">
      <w:pPr>
        <w:pStyle w:val="JuPara"/>
        <w:rPr>
          <w:rFonts w:ascii="Times New Roman" w:hAnsi="Times New Roman" w:eastAsia="Times New Roman" w:cs="Times New Roman"/>
          <w:szCs w:val="22"/>
        </w:rPr>
      </w:pPr>
      <w:r w:rsidRPr="002B1FB2">
        <w:rPr>
          <w:rFonts w:ascii="Times New Roman" w:hAnsi="Times New Roman" w:eastAsia="Times New Roman" w:cs="Times New Roman"/>
          <w:szCs w:val="22"/>
        </w:rPr>
        <w:fldChar w:fldCharType="begin"/>
      </w:r>
      <w:r w:rsidRPr="002B1FB2">
        <w:rPr>
          <w:rFonts w:ascii="Times New Roman" w:hAnsi="Times New Roman" w:eastAsia="Times New Roman" w:cs="Times New Roman"/>
          <w:szCs w:val="22"/>
        </w:rPr>
        <w:instrText xml:space="preserve"> SEQ level0 \*arabic \* MERGEFORMAT </w:instrText>
      </w:r>
      <w:r w:rsidRPr="002B1FB2">
        <w:rPr>
          <w:rFonts w:ascii="Times New Roman" w:hAnsi="Times New Roman" w:eastAsia="Times New Roman" w:cs="Times New Roman"/>
          <w:szCs w:val="22"/>
        </w:rPr>
        <w:fldChar w:fldCharType="separate"/>
      </w:r>
      <w:r w:rsidRPr="002B1FB2" w:rsidR="002B1FB2">
        <w:rPr>
          <w:rFonts w:ascii="Times New Roman" w:hAnsi="Times New Roman" w:eastAsia="Times New Roman" w:cs="Times New Roman"/>
          <w:noProof/>
          <w:szCs w:val="22"/>
        </w:rPr>
        <w:t>19</w:t>
      </w:r>
      <w:r w:rsidRPr="002B1FB2">
        <w:rPr>
          <w:rFonts w:ascii="Times New Roman" w:hAnsi="Times New Roman" w:eastAsia="Times New Roman" w:cs="Times New Roman"/>
          <w:szCs w:val="22"/>
        </w:rPr>
        <w:fldChar w:fldCharType="end"/>
      </w:r>
      <w:bookmarkEnd w:id="26"/>
      <w:bookmarkEnd w:id="27"/>
      <w:bookmarkEnd w:id="28"/>
      <w:r w:rsidRPr="002B1FB2">
        <w:rPr>
          <w:rFonts w:ascii="Times New Roman" w:hAnsi="Times New Roman" w:eastAsia="Times New Roman" w:cs="Times New Roman"/>
          <w:szCs w:val="22"/>
        </w:rPr>
        <w:t xml:space="preserve">.  On 2 March 2007 the </w:t>
      </w:r>
      <w:proofErr w:type="spellStart"/>
      <w:r w:rsidRPr="002B1FB2">
        <w:rPr>
          <w:rFonts w:ascii="Times New Roman" w:hAnsi="Times New Roman" w:eastAsia="Times New Roman" w:cs="Times New Roman"/>
          <w:szCs w:val="22"/>
        </w:rPr>
        <w:t>Đurđevac</w:t>
      </w:r>
      <w:proofErr w:type="spellEnd"/>
      <w:r w:rsidRPr="002B1FB2">
        <w:rPr>
          <w:rFonts w:ascii="Times New Roman" w:hAnsi="Times New Roman" w:eastAsia="Times New Roman" w:cs="Times New Roman"/>
          <w:szCs w:val="22"/>
        </w:rPr>
        <w:t xml:space="preserve"> Municipal Court found, relying on expert report by F.R. (see paragraph </w:t>
      </w:r>
      <w:r w:rsidRPr="002B1FB2" w:rsidR="00F651D3">
        <w:rPr>
          <w:rFonts w:ascii="Times New Roman" w:hAnsi="Times New Roman" w:eastAsia="Times New Roman" w:cs="Times New Roman"/>
          <w:szCs w:val="22"/>
        </w:rPr>
        <w:t>10</w:t>
      </w:r>
      <w:r w:rsidRPr="002B1FB2">
        <w:rPr>
          <w:rFonts w:ascii="Times New Roman" w:hAnsi="Times New Roman" w:eastAsia="Times New Roman" w:cs="Times New Roman"/>
          <w:szCs w:val="22"/>
        </w:rPr>
        <w:t xml:space="preserve"> above), that the applicant bore 50% of the responsibility for the road traffic accident and thus granted him 50% of the amounts sought in respect of non-pecuniary damage and lost income </w:t>
      </w:r>
      <w:bookmarkStart w:name="_Hlk85186153" w:id="29"/>
      <w:r w:rsidRPr="002B1FB2">
        <w:rPr>
          <w:rFonts w:ascii="Times New Roman" w:hAnsi="Times New Roman" w:eastAsia="Times New Roman" w:cs="Times New Roman"/>
          <w:szCs w:val="22"/>
        </w:rPr>
        <w:t>for the period between 8 June 1995 until his retirement in January 1999</w:t>
      </w:r>
      <w:bookmarkEnd w:id="29"/>
      <w:r w:rsidRPr="002B1FB2">
        <w:rPr>
          <w:rFonts w:ascii="Times New Roman" w:hAnsi="Times New Roman" w:eastAsia="Times New Roman" w:cs="Times New Roman"/>
          <w:szCs w:val="22"/>
        </w:rPr>
        <w:t xml:space="preserve">. It assessed his claim for non-pecuniary damage relying on expert report by D.H. (see paragraph </w:t>
      </w:r>
      <w:r w:rsidRPr="002B1FB2">
        <w:rPr>
          <w:rFonts w:ascii="Times New Roman" w:hAnsi="Times New Roman" w:eastAsia="Times New Roman" w:cs="Times New Roman"/>
          <w:szCs w:val="22"/>
        </w:rPr>
        <w:fldChar w:fldCharType="begin"/>
      </w:r>
      <w:r w:rsidRPr="002B1FB2">
        <w:rPr>
          <w:rFonts w:ascii="Times New Roman" w:hAnsi="Times New Roman" w:eastAsia="Times New Roman" w:cs="Times New Roman"/>
          <w:szCs w:val="22"/>
        </w:rPr>
        <w:instrText xml:space="preserve"> REF para9 \h  \* MERGEFORMAT </w:instrText>
      </w:r>
      <w:r w:rsidRPr="002B1FB2">
        <w:rPr>
          <w:rFonts w:ascii="Times New Roman" w:hAnsi="Times New Roman" w:eastAsia="Times New Roman" w:cs="Times New Roman"/>
          <w:szCs w:val="22"/>
        </w:rPr>
      </w:r>
      <w:r w:rsidRPr="002B1FB2">
        <w:rPr>
          <w:rFonts w:ascii="Times New Roman" w:hAnsi="Times New Roman" w:eastAsia="Times New Roman" w:cs="Times New Roman"/>
          <w:szCs w:val="22"/>
        </w:rPr>
        <w:fldChar w:fldCharType="separate"/>
      </w:r>
      <w:r w:rsidRPr="002B1FB2" w:rsidR="002B1FB2">
        <w:rPr>
          <w:rFonts w:ascii="Times New Roman" w:hAnsi="Times New Roman" w:eastAsia="Times New Roman" w:cs="Times New Roman"/>
          <w:szCs w:val="22"/>
        </w:rPr>
        <w:t>9</w:t>
      </w:r>
      <w:r w:rsidRPr="002B1FB2">
        <w:rPr>
          <w:rFonts w:ascii="Times New Roman" w:hAnsi="Times New Roman" w:eastAsia="Times New Roman" w:cs="Times New Roman"/>
          <w:szCs w:val="22"/>
        </w:rPr>
        <w:fldChar w:fldCharType="end"/>
      </w:r>
      <w:r w:rsidRPr="002B1FB2">
        <w:rPr>
          <w:rFonts w:ascii="Times New Roman" w:hAnsi="Times New Roman" w:eastAsia="Times New Roman" w:cs="Times New Roman"/>
          <w:szCs w:val="22"/>
        </w:rPr>
        <w:t xml:space="preserve"> above). It dismissed his claim for a monthly allowance, which the applicant sought as of 1 January 1999, relying on V.B.</w:t>
      </w:r>
      <w:r w:rsidRPr="002B1FB2" w:rsidR="002B1FB2">
        <w:rPr>
          <w:rFonts w:ascii="Times New Roman" w:hAnsi="Times New Roman" w:eastAsia="Times New Roman" w:cs="Times New Roman"/>
          <w:szCs w:val="22"/>
        </w:rPr>
        <w:t>’</w:t>
      </w:r>
      <w:r w:rsidRPr="002B1FB2">
        <w:rPr>
          <w:rFonts w:ascii="Times New Roman" w:hAnsi="Times New Roman" w:eastAsia="Times New Roman" w:cs="Times New Roman"/>
          <w:szCs w:val="22"/>
        </w:rPr>
        <w:t>s finding that the reason for the applicant</w:t>
      </w:r>
      <w:r w:rsidRPr="002B1FB2" w:rsidR="002B1FB2">
        <w:rPr>
          <w:rFonts w:ascii="Times New Roman" w:hAnsi="Times New Roman" w:eastAsia="Times New Roman" w:cs="Times New Roman"/>
          <w:szCs w:val="22"/>
        </w:rPr>
        <w:t>’</w:t>
      </w:r>
      <w:r w:rsidRPr="002B1FB2">
        <w:rPr>
          <w:rFonts w:ascii="Times New Roman" w:hAnsi="Times New Roman" w:eastAsia="Times New Roman" w:cs="Times New Roman"/>
          <w:szCs w:val="22"/>
        </w:rPr>
        <w:t>s disability retirement had not been the knee injury sustained in the road traffic accident.</w:t>
      </w:r>
    </w:p>
    <w:p w:rsidRPr="002B1FB2" w:rsidR="003252F1" w:rsidP="002B1FB2" w:rsidRDefault="003252F1" w14:paraId="2D2B797C" w14:textId="321C7939">
      <w:pPr>
        <w:pStyle w:val="JuPara"/>
        <w:rPr>
          <w:rFonts w:eastAsia="Times New Roman"/>
        </w:rPr>
      </w:pPr>
      <w:r w:rsidRPr="002B1FB2">
        <w:rPr>
          <w:rFonts w:eastAsia="Times New Roman"/>
        </w:rPr>
        <w:fldChar w:fldCharType="begin"/>
      </w:r>
      <w:r w:rsidRPr="002B1FB2">
        <w:rPr>
          <w:rFonts w:eastAsia="Times New Roman"/>
        </w:rPr>
        <w:instrText xml:space="preserve"> SEQ level0 \*arabic \* MERGEFORMAT </w:instrText>
      </w:r>
      <w:r w:rsidRPr="002B1FB2">
        <w:rPr>
          <w:rFonts w:eastAsia="Times New Roman"/>
        </w:rPr>
        <w:fldChar w:fldCharType="separate"/>
      </w:r>
      <w:r w:rsidRPr="002B1FB2" w:rsidR="002B1FB2">
        <w:rPr>
          <w:rFonts w:eastAsia="Times New Roman"/>
          <w:noProof/>
        </w:rPr>
        <w:t>20</w:t>
      </w:r>
      <w:r w:rsidRPr="002B1FB2">
        <w:rPr>
          <w:rFonts w:eastAsia="Times New Roman"/>
        </w:rPr>
        <w:fldChar w:fldCharType="end"/>
      </w:r>
      <w:r w:rsidRPr="002B1FB2">
        <w:rPr>
          <w:rFonts w:eastAsia="Times New Roman"/>
        </w:rPr>
        <w:t>.  In his appeal the applicant challenged the first-instance court</w:t>
      </w:r>
      <w:r w:rsidRPr="002B1FB2" w:rsidR="002B1FB2">
        <w:rPr>
          <w:rFonts w:eastAsia="Times New Roman"/>
        </w:rPr>
        <w:t>’</w:t>
      </w:r>
      <w:r w:rsidRPr="002B1FB2">
        <w:rPr>
          <w:rFonts w:eastAsia="Times New Roman"/>
        </w:rPr>
        <w:t>s conclusion that he bore 50% of the responsibility for the road traffic accident.</w:t>
      </w:r>
    </w:p>
    <w:bookmarkStart w:name="Paragraph14" w:id="30"/>
    <w:bookmarkStart w:name="para16" w:id="31"/>
    <w:bookmarkStart w:name="para21" w:id="32"/>
    <w:bookmarkStart w:name="Paragraph18" w:id="33"/>
    <w:p w:rsidRPr="002B1FB2" w:rsidR="003252F1" w:rsidP="002B1FB2" w:rsidRDefault="003252F1" w14:paraId="77E063F5" w14:textId="3707CF27">
      <w:pPr>
        <w:pStyle w:val="JuPara"/>
        <w:rPr>
          <w:rFonts w:ascii="Times New Roman" w:hAnsi="Times New Roman" w:eastAsia="Times New Roman" w:cs="Times New Roman"/>
          <w:szCs w:val="22"/>
        </w:rPr>
      </w:pPr>
      <w:r w:rsidRPr="002B1FB2">
        <w:rPr>
          <w:rFonts w:ascii="Times New Roman" w:hAnsi="Times New Roman" w:eastAsia="Times New Roman" w:cs="Times New Roman"/>
          <w:szCs w:val="22"/>
        </w:rPr>
        <w:fldChar w:fldCharType="begin"/>
      </w:r>
      <w:r w:rsidRPr="002B1FB2">
        <w:rPr>
          <w:rFonts w:ascii="Times New Roman" w:hAnsi="Times New Roman" w:eastAsia="Times New Roman" w:cs="Times New Roman"/>
          <w:szCs w:val="22"/>
        </w:rPr>
        <w:instrText xml:space="preserve"> SEQ level0 \*arabic </w:instrText>
      </w:r>
      <w:r w:rsidRPr="002B1FB2">
        <w:rPr>
          <w:rFonts w:ascii="Times New Roman" w:hAnsi="Times New Roman" w:eastAsia="Times New Roman" w:cs="Times New Roman"/>
          <w:szCs w:val="22"/>
        </w:rPr>
        <w:fldChar w:fldCharType="separate"/>
      </w:r>
      <w:r w:rsidRPr="002B1FB2" w:rsidR="002B1FB2">
        <w:rPr>
          <w:rFonts w:ascii="Times New Roman" w:hAnsi="Times New Roman" w:eastAsia="Times New Roman" w:cs="Times New Roman"/>
          <w:noProof/>
          <w:szCs w:val="22"/>
        </w:rPr>
        <w:t>21</w:t>
      </w:r>
      <w:r w:rsidRPr="002B1FB2">
        <w:rPr>
          <w:rFonts w:ascii="Times New Roman" w:hAnsi="Times New Roman" w:eastAsia="Times New Roman" w:cs="Times New Roman"/>
          <w:szCs w:val="22"/>
        </w:rPr>
        <w:fldChar w:fldCharType="end"/>
      </w:r>
      <w:bookmarkEnd w:id="30"/>
      <w:bookmarkEnd w:id="31"/>
      <w:bookmarkEnd w:id="32"/>
      <w:r w:rsidRPr="002B1FB2">
        <w:rPr>
          <w:rFonts w:ascii="Times New Roman" w:hAnsi="Times New Roman" w:eastAsia="Times New Roman" w:cs="Times New Roman"/>
          <w:szCs w:val="22"/>
        </w:rPr>
        <w:t>.  </w:t>
      </w:r>
      <w:bookmarkEnd w:id="33"/>
      <w:r w:rsidRPr="002B1FB2">
        <w:rPr>
          <w:rFonts w:ascii="Times New Roman" w:hAnsi="Times New Roman" w:eastAsia="Times New Roman" w:cs="Times New Roman"/>
          <w:szCs w:val="22"/>
        </w:rPr>
        <w:t xml:space="preserve">On 30 September 2008 the </w:t>
      </w:r>
      <w:proofErr w:type="spellStart"/>
      <w:r w:rsidRPr="002B1FB2">
        <w:rPr>
          <w:rFonts w:ascii="Times New Roman" w:hAnsi="Times New Roman" w:eastAsia="Times New Roman" w:cs="Times New Roman"/>
          <w:szCs w:val="22"/>
        </w:rPr>
        <w:t>Koprivnica</w:t>
      </w:r>
      <w:proofErr w:type="spellEnd"/>
      <w:r w:rsidRPr="002B1FB2">
        <w:rPr>
          <w:rFonts w:ascii="Times New Roman" w:hAnsi="Times New Roman" w:eastAsia="Times New Roman" w:cs="Times New Roman"/>
          <w:szCs w:val="22"/>
        </w:rPr>
        <w:t xml:space="preserve"> County Court upheld the part of the judgment dismissing the applicant</w:t>
      </w:r>
      <w:r w:rsidRPr="002B1FB2" w:rsidR="002B1FB2">
        <w:rPr>
          <w:rFonts w:ascii="Times New Roman" w:hAnsi="Times New Roman" w:eastAsia="Times New Roman" w:cs="Times New Roman"/>
          <w:szCs w:val="22"/>
        </w:rPr>
        <w:t>’</w:t>
      </w:r>
      <w:r w:rsidRPr="002B1FB2">
        <w:rPr>
          <w:rFonts w:ascii="Times New Roman" w:hAnsi="Times New Roman" w:eastAsia="Times New Roman" w:cs="Times New Roman"/>
          <w:szCs w:val="22"/>
        </w:rPr>
        <w:t xml:space="preserve">s claim and quashed the part of the judgment concerning awarding the applicant 50% of the amount sought in respect of lost </w:t>
      </w:r>
      <w:proofErr w:type="gramStart"/>
      <w:r w:rsidRPr="002B1FB2">
        <w:rPr>
          <w:rFonts w:ascii="Times New Roman" w:hAnsi="Times New Roman" w:eastAsia="Times New Roman" w:cs="Times New Roman"/>
          <w:szCs w:val="22"/>
        </w:rPr>
        <w:t>income, and</w:t>
      </w:r>
      <w:proofErr w:type="gramEnd"/>
      <w:r w:rsidRPr="002B1FB2">
        <w:rPr>
          <w:rFonts w:ascii="Times New Roman" w:hAnsi="Times New Roman" w:eastAsia="Times New Roman" w:cs="Times New Roman"/>
          <w:szCs w:val="22"/>
        </w:rPr>
        <w:t xml:space="preserve"> remitted that part of the case to the first-instance court. It found that the first-instance court had failed to explain why it had awarded the applicant lost income for the entire period until his disability retirement. Accordingly, in the remitted case the first-instance court was required to decide on the applicant</w:t>
      </w:r>
      <w:r w:rsidRPr="002B1FB2" w:rsidR="002B1FB2">
        <w:rPr>
          <w:rFonts w:ascii="Times New Roman" w:hAnsi="Times New Roman" w:eastAsia="Times New Roman" w:cs="Times New Roman"/>
          <w:szCs w:val="22"/>
        </w:rPr>
        <w:t>’</w:t>
      </w:r>
      <w:r w:rsidRPr="002B1FB2">
        <w:rPr>
          <w:rFonts w:ascii="Times New Roman" w:hAnsi="Times New Roman" w:eastAsia="Times New Roman" w:cs="Times New Roman"/>
          <w:szCs w:val="22"/>
        </w:rPr>
        <w:t xml:space="preserve">s claim in respect of lost income for the period between 8 June 1995 until his retirement in January 1999 in the amount of 54,684 Croatian </w:t>
      </w:r>
      <w:proofErr w:type="spellStart"/>
      <w:r w:rsidRPr="002B1FB2">
        <w:rPr>
          <w:rFonts w:ascii="Times New Roman" w:hAnsi="Times New Roman" w:eastAsia="Times New Roman" w:cs="Times New Roman"/>
          <w:szCs w:val="22"/>
        </w:rPr>
        <w:t>kunas</w:t>
      </w:r>
      <w:proofErr w:type="spellEnd"/>
      <w:r w:rsidRPr="002B1FB2">
        <w:rPr>
          <w:rFonts w:ascii="Times New Roman" w:hAnsi="Times New Roman" w:eastAsia="Times New Roman" w:cs="Times New Roman"/>
          <w:szCs w:val="22"/>
        </w:rPr>
        <w:t xml:space="preserve"> (HRK), plus statutory interest. The remainder of the first-instance judgment became final.</w:t>
      </w:r>
    </w:p>
    <w:bookmarkStart w:name="para22" w:id="34"/>
    <w:p w:rsidRPr="002B1FB2" w:rsidR="003252F1" w:rsidP="002B1FB2" w:rsidRDefault="003252F1" w14:paraId="7667AD01" w14:textId="3835D594">
      <w:pPr>
        <w:pStyle w:val="JuPara"/>
        <w:rPr>
          <w:rFonts w:ascii="Times New Roman" w:hAnsi="Times New Roman" w:eastAsia="Times New Roman" w:cs="Times New Roman"/>
          <w:szCs w:val="22"/>
        </w:rPr>
      </w:pPr>
      <w:r w:rsidRPr="002B1FB2">
        <w:rPr>
          <w:rFonts w:ascii="Times New Roman" w:hAnsi="Times New Roman" w:eastAsia="Times New Roman" w:cs="Times New Roman"/>
          <w:szCs w:val="22"/>
        </w:rPr>
        <w:fldChar w:fldCharType="begin"/>
      </w:r>
      <w:r w:rsidRPr="002B1FB2">
        <w:rPr>
          <w:rFonts w:ascii="Times New Roman" w:hAnsi="Times New Roman" w:eastAsia="Times New Roman" w:cs="Times New Roman"/>
          <w:szCs w:val="22"/>
        </w:rPr>
        <w:instrText xml:space="preserve"> SEQ level0 \*arabic \* MERGEFORMAT </w:instrText>
      </w:r>
      <w:r w:rsidRPr="002B1FB2">
        <w:rPr>
          <w:rFonts w:ascii="Times New Roman" w:hAnsi="Times New Roman" w:eastAsia="Times New Roman" w:cs="Times New Roman"/>
          <w:szCs w:val="22"/>
        </w:rPr>
        <w:fldChar w:fldCharType="separate"/>
      </w:r>
      <w:r w:rsidRPr="002B1FB2" w:rsidR="002B1FB2">
        <w:rPr>
          <w:rFonts w:ascii="Times New Roman" w:hAnsi="Times New Roman" w:eastAsia="Times New Roman" w:cs="Times New Roman"/>
          <w:noProof/>
          <w:szCs w:val="22"/>
        </w:rPr>
        <w:t>22</w:t>
      </w:r>
      <w:r w:rsidRPr="002B1FB2">
        <w:rPr>
          <w:rFonts w:ascii="Times New Roman" w:hAnsi="Times New Roman" w:eastAsia="Times New Roman" w:cs="Times New Roman"/>
          <w:szCs w:val="22"/>
        </w:rPr>
        <w:fldChar w:fldCharType="end"/>
      </w:r>
      <w:bookmarkEnd w:id="34"/>
      <w:r w:rsidRPr="002B1FB2">
        <w:rPr>
          <w:rFonts w:ascii="Times New Roman" w:hAnsi="Times New Roman" w:eastAsia="Times New Roman" w:cs="Times New Roman"/>
          <w:szCs w:val="22"/>
        </w:rPr>
        <w:t>.  On 24 November 2008 the applicant lodged an appeal on points of law against the part of the first-instance judgment which became final. On 21</w:t>
      </w:r>
      <w:r w:rsidRPr="002B1FB2" w:rsidR="00C62C38">
        <w:rPr>
          <w:rFonts w:ascii="Times New Roman" w:hAnsi="Times New Roman" w:eastAsia="Times New Roman" w:cs="Times New Roman"/>
          <w:szCs w:val="22"/>
        </w:rPr>
        <w:t> </w:t>
      </w:r>
      <w:r w:rsidRPr="002B1FB2">
        <w:rPr>
          <w:rFonts w:ascii="Times New Roman" w:hAnsi="Times New Roman" w:eastAsia="Times New Roman" w:cs="Times New Roman"/>
          <w:szCs w:val="22"/>
        </w:rPr>
        <w:t>December 2011 the Supreme Court (</w:t>
      </w:r>
      <w:proofErr w:type="spellStart"/>
      <w:r w:rsidRPr="002B1FB2">
        <w:rPr>
          <w:rFonts w:ascii="Times New Roman" w:hAnsi="Times New Roman" w:eastAsia="Times New Roman" w:cs="Times New Roman"/>
          <w:i/>
          <w:szCs w:val="22"/>
        </w:rPr>
        <w:t>Vrhovni</w:t>
      </w:r>
      <w:proofErr w:type="spellEnd"/>
      <w:r w:rsidRPr="002B1FB2">
        <w:rPr>
          <w:rFonts w:ascii="Times New Roman" w:hAnsi="Times New Roman" w:eastAsia="Times New Roman" w:cs="Times New Roman"/>
          <w:i/>
          <w:szCs w:val="22"/>
        </w:rPr>
        <w:t xml:space="preserve"> </w:t>
      </w:r>
      <w:proofErr w:type="spellStart"/>
      <w:r w:rsidRPr="002B1FB2">
        <w:rPr>
          <w:rFonts w:ascii="Times New Roman" w:hAnsi="Times New Roman" w:eastAsia="Times New Roman" w:cs="Times New Roman"/>
          <w:i/>
          <w:szCs w:val="22"/>
        </w:rPr>
        <w:t>sud</w:t>
      </w:r>
      <w:proofErr w:type="spellEnd"/>
      <w:r w:rsidRPr="002B1FB2">
        <w:rPr>
          <w:rFonts w:ascii="Times New Roman" w:hAnsi="Times New Roman" w:eastAsia="Times New Roman" w:cs="Times New Roman"/>
          <w:i/>
          <w:szCs w:val="22"/>
        </w:rPr>
        <w:t xml:space="preserve"> </w:t>
      </w:r>
      <w:proofErr w:type="spellStart"/>
      <w:r w:rsidRPr="002B1FB2">
        <w:rPr>
          <w:rFonts w:ascii="Times New Roman" w:hAnsi="Times New Roman" w:eastAsia="Times New Roman" w:cs="Times New Roman"/>
          <w:i/>
          <w:szCs w:val="22"/>
        </w:rPr>
        <w:t>Republike</w:t>
      </w:r>
      <w:proofErr w:type="spellEnd"/>
      <w:r w:rsidRPr="002B1FB2">
        <w:rPr>
          <w:rFonts w:ascii="Times New Roman" w:hAnsi="Times New Roman" w:eastAsia="Times New Roman" w:cs="Times New Roman"/>
          <w:i/>
          <w:szCs w:val="22"/>
        </w:rPr>
        <w:t xml:space="preserve"> </w:t>
      </w:r>
      <w:proofErr w:type="spellStart"/>
      <w:r w:rsidRPr="002B1FB2">
        <w:rPr>
          <w:rFonts w:ascii="Times New Roman" w:hAnsi="Times New Roman" w:eastAsia="Times New Roman" w:cs="Times New Roman"/>
          <w:i/>
          <w:szCs w:val="22"/>
        </w:rPr>
        <w:t>Hrvatske</w:t>
      </w:r>
      <w:proofErr w:type="spellEnd"/>
      <w:r w:rsidRPr="002B1FB2">
        <w:rPr>
          <w:rFonts w:ascii="Times New Roman" w:hAnsi="Times New Roman" w:eastAsia="Times New Roman" w:cs="Times New Roman"/>
          <w:szCs w:val="22"/>
        </w:rPr>
        <w:t xml:space="preserve">) dismissed his appeal on points of law as unfounded. It held, </w:t>
      </w:r>
      <w:r w:rsidRPr="002B1FB2">
        <w:rPr>
          <w:rFonts w:ascii="Times New Roman" w:hAnsi="Times New Roman" w:eastAsia="Times New Roman" w:cs="Times New Roman"/>
          <w:i/>
          <w:iCs/>
          <w:szCs w:val="22"/>
        </w:rPr>
        <w:t>inter alia</w:t>
      </w:r>
      <w:r w:rsidRPr="002B1FB2">
        <w:rPr>
          <w:rFonts w:ascii="Times New Roman" w:hAnsi="Times New Roman" w:eastAsia="Times New Roman" w:cs="Times New Roman"/>
          <w:szCs w:val="22"/>
        </w:rPr>
        <w:t>, that the lower courts had correctly dismissed the applicant</w:t>
      </w:r>
      <w:r w:rsidRPr="002B1FB2" w:rsidR="002B1FB2">
        <w:rPr>
          <w:rFonts w:ascii="Times New Roman" w:hAnsi="Times New Roman" w:eastAsia="Times New Roman" w:cs="Times New Roman"/>
          <w:szCs w:val="22"/>
        </w:rPr>
        <w:t>’</w:t>
      </w:r>
      <w:r w:rsidRPr="002B1FB2">
        <w:rPr>
          <w:rFonts w:ascii="Times New Roman" w:hAnsi="Times New Roman" w:eastAsia="Times New Roman" w:cs="Times New Roman"/>
          <w:szCs w:val="22"/>
        </w:rPr>
        <w:t>s claim for a monthly allowance, having regard that the expert report had confirmed that the reason for the applicant</w:t>
      </w:r>
      <w:r w:rsidRPr="002B1FB2" w:rsidR="002B1FB2">
        <w:rPr>
          <w:rFonts w:ascii="Times New Roman" w:hAnsi="Times New Roman" w:eastAsia="Times New Roman" w:cs="Times New Roman"/>
          <w:szCs w:val="22"/>
        </w:rPr>
        <w:t>’</w:t>
      </w:r>
      <w:r w:rsidRPr="002B1FB2">
        <w:rPr>
          <w:rFonts w:ascii="Times New Roman" w:hAnsi="Times New Roman" w:eastAsia="Times New Roman" w:cs="Times New Roman"/>
          <w:szCs w:val="22"/>
        </w:rPr>
        <w:t>s disability retirement had not been the knee injury sustained in the road traffic accident.</w:t>
      </w:r>
    </w:p>
    <w:bookmarkStart w:name="Paragraph16" w:id="35"/>
    <w:bookmarkStart w:name="para23" w:id="36"/>
    <w:p w:rsidRPr="002B1FB2" w:rsidR="003252F1" w:rsidP="002B1FB2" w:rsidRDefault="003252F1" w14:paraId="0264FB13" w14:textId="49C1A274">
      <w:pPr>
        <w:pStyle w:val="JuPara"/>
        <w:rPr>
          <w:rFonts w:ascii="Times New Roman" w:hAnsi="Times New Roman" w:eastAsia="Times New Roman" w:cs="Times New Roman"/>
          <w:szCs w:val="22"/>
        </w:rPr>
      </w:pPr>
      <w:r w:rsidRPr="002B1FB2">
        <w:rPr>
          <w:rFonts w:ascii="Times New Roman" w:hAnsi="Times New Roman" w:eastAsia="Times New Roman" w:cs="Times New Roman"/>
          <w:szCs w:val="22"/>
        </w:rPr>
        <w:fldChar w:fldCharType="begin"/>
      </w:r>
      <w:r w:rsidRPr="002B1FB2">
        <w:rPr>
          <w:rFonts w:ascii="Times New Roman" w:hAnsi="Times New Roman" w:eastAsia="Times New Roman" w:cs="Times New Roman"/>
          <w:szCs w:val="22"/>
        </w:rPr>
        <w:instrText xml:space="preserve"> SEQ level0 \*arabic \* MERGEFORMAT </w:instrText>
      </w:r>
      <w:r w:rsidRPr="002B1FB2">
        <w:rPr>
          <w:rFonts w:ascii="Times New Roman" w:hAnsi="Times New Roman" w:eastAsia="Times New Roman" w:cs="Times New Roman"/>
          <w:szCs w:val="22"/>
        </w:rPr>
        <w:fldChar w:fldCharType="separate"/>
      </w:r>
      <w:r w:rsidRPr="002B1FB2" w:rsidR="002B1FB2">
        <w:rPr>
          <w:rFonts w:ascii="Times New Roman" w:hAnsi="Times New Roman" w:eastAsia="Times New Roman" w:cs="Times New Roman"/>
          <w:noProof/>
          <w:szCs w:val="22"/>
        </w:rPr>
        <w:t>23</w:t>
      </w:r>
      <w:r w:rsidRPr="002B1FB2">
        <w:rPr>
          <w:rFonts w:ascii="Times New Roman" w:hAnsi="Times New Roman" w:eastAsia="Times New Roman" w:cs="Times New Roman"/>
          <w:szCs w:val="22"/>
        </w:rPr>
        <w:fldChar w:fldCharType="end"/>
      </w:r>
      <w:bookmarkEnd w:id="35"/>
      <w:bookmarkEnd w:id="36"/>
      <w:r w:rsidRPr="002B1FB2">
        <w:rPr>
          <w:rFonts w:ascii="Times New Roman" w:hAnsi="Times New Roman" w:eastAsia="Times New Roman" w:cs="Times New Roman"/>
          <w:szCs w:val="22"/>
        </w:rPr>
        <w:t>.  Meanwhile, in the remitted case, on 27 October 2009 the first-instance court gave judgment granting the applicant</w:t>
      </w:r>
      <w:r w:rsidRPr="002B1FB2" w:rsidR="002B1FB2">
        <w:rPr>
          <w:rFonts w:ascii="Times New Roman" w:hAnsi="Times New Roman" w:eastAsia="Times New Roman" w:cs="Times New Roman"/>
          <w:szCs w:val="22"/>
        </w:rPr>
        <w:t>’</w:t>
      </w:r>
      <w:r w:rsidRPr="002B1FB2">
        <w:rPr>
          <w:rFonts w:ascii="Times New Roman" w:hAnsi="Times New Roman" w:eastAsia="Times New Roman" w:cs="Times New Roman"/>
          <w:szCs w:val="22"/>
        </w:rPr>
        <w:t>s claim in respect of lost income for the period between 9 June and 26 August 1995 in the amount of HRK</w:t>
      </w:r>
      <w:r w:rsidRPr="002B1FB2" w:rsidR="00C62C38">
        <w:rPr>
          <w:rFonts w:ascii="Times New Roman" w:hAnsi="Times New Roman" w:eastAsia="Times New Roman" w:cs="Times New Roman"/>
          <w:szCs w:val="22"/>
        </w:rPr>
        <w:t> </w:t>
      </w:r>
      <w:r w:rsidRPr="002B1FB2">
        <w:rPr>
          <w:rFonts w:ascii="Times New Roman" w:hAnsi="Times New Roman" w:eastAsia="Times New Roman" w:cs="Times New Roman"/>
          <w:szCs w:val="22"/>
        </w:rPr>
        <w:t>1,131.52, plus statutory interest, and dismissing the remainder of his claim in the amount of HRK 53,552.48. In so doing it relied on V.B.</w:t>
      </w:r>
      <w:r w:rsidRPr="002B1FB2" w:rsidR="002B1FB2">
        <w:rPr>
          <w:rFonts w:ascii="Times New Roman" w:hAnsi="Times New Roman" w:eastAsia="Times New Roman" w:cs="Times New Roman"/>
          <w:szCs w:val="22"/>
        </w:rPr>
        <w:t>’</w:t>
      </w:r>
      <w:r w:rsidRPr="002B1FB2">
        <w:rPr>
          <w:rFonts w:ascii="Times New Roman" w:hAnsi="Times New Roman" w:eastAsia="Times New Roman" w:cs="Times New Roman"/>
          <w:szCs w:val="22"/>
        </w:rPr>
        <w:t>s findings that the reason for the applicant</w:t>
      </w:r>
      <w:r w:rsidRPr="002B1FB2" w:rsidR="002B1FB2">
        <w:rPr>
          <w:rFonts w:ascii="Times New Roman" w:hAnsi="Times New Roman" w:eastAsia="Times New Roman" w:cs="Times New Roman"/>
          <w:szCs w:val="22"/>
        </w:rPr>
        <w:t>’</w:t>
      </w:r>
      <w:r w:rsidRPr="002B1FB2">
        <w:rPr>
          <w:rFonts w:ascii="Times New Roman" w:hAnsi="Times New Roman" w:eastAsia="Times New Roman" w:cs="Times New Roman"/>
          <w:szCs w:val="22"/>
        </w:rPr>
        <w:t>s sick leave between 9 June and 26</w:t>
      </w:r>
      <w:r w:rsidRPr="002B1FB2" w:rsidR="00C62C38">
        <w:rPr>
          <w:rFonts w:ascii="Times New Roman" w:hAnsi="Times New Roman" w:eastAsia="Times New Roman" w:cs="Times New Roman"/>
          <w:szCs w:val="22"/>
        </w:rPr>
        <w:t> </w:t>
      </w:r>
      <w:r w:rsidRPr="002B1FB2">
        <w:rPr>
          <w:rFonts w:ascii="Times New Roman" w:hAnsi="Times New Roman" w:eastAsia="Times New Roman" w:cs="Times New Roman"/>
          <w:szCs w:val="22"/>
        </w:rPr>
        <w:t>August 1995 had been the knee injury sustained in the road traffic accident, whereas the reason for his further sick leave had been illnesses unrelated to the accident.</w:t>
      </w:r>
    </w:p>
    <w:bookmarkStart w:name="para24" w:id="37"/>
    <w:p w:rsidRPr="002B1FB2" w:rsidR="003252F1" w:rsidP="002B1FB2" w:rsidRDefault="003252F1" w14:paraId="7700B72E" w14:textId="2A527BCA">
      <w:pPr>
        <w:pStyle w:val="JuPara"/>
        <w:rPr>
          <w:rFonts w:ascii="Times New Roman" w:hAnsi="Times New Roman" w:eastAsia="Times New Roman" w:cs="Times New Roman"/>
          <w:szCs w:val="22"/>
        </w:rPr>
      </w:pPr>
      <w:r w:rsidRPr="002B1FB2">
        <w:rPr>
          <w:rFonts w:ascii="Times New Roman" w:hAnsi="Times New Roman" w:eastAsia="Times New Roman" w:cs="Times New Roman"/>
          <w:szCs w:val="22"/>
        </w:rPr>
        <w:fldChar w:fldCharType="begin"/>
      </w:r>
      <w:r w:rsidRPr="002B1FB2">
        <w:rPr>
          <w:rFonts w:ascii="Times New Roman" w:hAnsi="Times New Roman" w:eastAsia="Times New Roman" w:cs="Times New Roman"/>
          <w:szCs w:val="22"/>
        </w:rPr>
        <w:instrText xml:space="preserve"> SEQ level0 \*arabic </w:instrText>
      </w:r>
      <w:r w:rsidRPr="002B1FB2">
        <w:rPr>
          <w:rFonts w:ascii="Times New Roman" w:hAnsi="Times New Roman" w:eastAsia="Times New Roman" w:cs="Times New Roman"/>
          <w:szCs w:val="22"/>
        </w:rPr>
        <w:fldChar w:fldCharType="separate"/>
      </w:r>
      <w:r w:rsidRPr="002B1FB2" w:rsidR="002B1FB2">
        <w:rPr>
          <w:rFonts w:ascii="Times New Roman" w:hAnsi="Times New Roman" w:eastAsia="Times New Roman" w:cs="Times New Roman"/>
          <w:noProof/>
          <w:szCs w:val="22"/>
        </w:rPr>
        <w:t>24</w:t>
      </w:r>
      <w:r w:rsidRPr="002B1FB2">
        <w:rPr>
          <w:rFonts w:ascii="Times New Roman" w:hAnsi="Times New Roman" w:eastAsia="Times New Roman" w:cs="Times New Roman"/>
          <w:szCs w:val="22"/>
        </w:rPr>
        <w:fldChar w:fldCharType="end"/>
      </w:r>
      <w:bookmarkEnd w:id="37"/>
      <w:r w:rsidRPr="002B1FB2">
        <w:rPr>
          <w:rFonts w:ascii="Times New Roman" w:hAnsi="Times New Roman" w:eastAsia="Times New Roman" w:cs="Times New Roman"/>
          <w:szCs w:val="22"/>
        </w:rPr>
        <w:t>.  Following the applicant</w:t>
      </w:r>
      <w:r w:rsidRPr="002B1FB2" w:rsidR="002B1FB2">
        <w:rPr>
          <w:rFonts w:ascii="Times New Roman" w:hAnsi="Times New Roman" w:eastAsia="Times New Roman" w:cs="Times New Roman"/>
          <w:szCs w:val="22"/>
        </w:rPr>
        <w:t>’</w:t>
      </w:r>
      <w:r w:rsidRPr="002B1FB2">
        <w:rPr>
          <w:rFonts w:ascii="Times New Roman" w:hAnsi="Times New Roman" w:eastAsia="Times New Roman" w:cs="Times New Roman"/>
          <w:szCs w:val="22"/>
        </w:rPr>
        <w:t xml:space="preserve">s appeal, on 23 February 2010 the </w:t>
      </w:r>
      <w:proofErr w:type="spellStart"/>
      <w:r w:rsidRPr="002B1FB2">
        <w:rPr>
          <w:rFonts w:ascii="Times New Roman" w:hAnsi="Times New Roman" w:eastAsia="Times New Roman" w:cs="Times New Roman"/>
          <w:szCs w:val="22"/>
        </w:rPr>
        <w:t>Koprivnica</w:t>
      </w:r>
      <w:proofErr w:type="spellEnd"/>
      <w:r w:rsidRPr="002B1FB2">
        <w:rPr>
          <w:rFonts w:ascii="Times New Roman" w:hAnsi="Times New Roman" w:eastAsia="Times New Roman" w:cs="Times New Roman"/>
          <w:szCs w:val="22"/>
        </w:rPr>
        <w:t xml:space="preserve"> County Court quashed the part of the first-instance judgment dismissing the applicant</w:t>
      </w:r>
      <w:r w:rsidRPr="002B1FB2" w:rsidR="002B1FB2">
        <w:rPr>
          <w:rFonts w:ascii="Times New Roman" w:hAnsi="Times New Roman" w:eastAsia="Times New Roman" w:cs="Times New Roman"/>
          <w:szCs w:val="22"/>
        </w:rPr>
        <w:t>’</w:t>
      </w:r>
      <w:r w:rsidRPr="002B1FB2">
        <w:rPr>
          <w:rFonts w:ascii="Times New Roman" w:hAnsi="Times New Roman" w:eastAsia="Times New Roman" w:cs="Times New Roman"/>
          <w:szCs w:val="22"/>
        </w:rPr>
        <w:t>s claim.</w:t>
      </w:r>
    </w:p>
    <w:bookmarkStart w:name="para25" w:id="38"/>
    <w:p w:rsidRPr="002B1FB2" w:rsidR="003252F1" w:rsidP="002B1FB2" w:rsidRDefault="003252F1" w14:paraId="71805127" w14:textId="433C05C7">
      <w:pPr>
        <w:pStyle w:val="JuPara"/>
        <w:rPr>
          <w:rFonts w:ascii="Times New Roman" w:hAnsi="Times New Roman" w:eastAsia="Times New Roman" w:cs="Times New Roman"/>
          <w:szCs w:val="22"/>
        </w:rPr>
      </w:pPr>
      <w:r w:rsidRPr="002B1FB2">
        <w:rPr>
          <w:rFonts w:ascii="Times New Roman" w:hAnsi="Times New Roman" w:eastAsia="Times New Roman" w:cs="Times New Roman"/>
          <w:szCs w:val="22"/>
        </w:rPr>
        <w:fldChar w:fldCharType="begin"/>
      </w:r>
      <w:r w:rsidRPr="002B1FB2">
        <w:rPr>
          <w:rFonts w:ascii="Times New Roman" w:hAnsi="Times New Roman" w:eastAsia="Times New Roman" w:cs="Times New Roman"/>
          <w:szCs w:val="22"/>
        </w:rPr>
        <w:instrText xml:space="preserve"> SEQ level0 \*arabic </w:instrText>
      </w:r>
      <w:r w:rsidRPr="002B1FB2">
        <w:rPr>
          <w:rFonts w:ascii="Times New Roman" w:hAnsi="Times New Roman" w:eastAsia="Times New Roman" w:cs="Times New Roman"/>
          <w:szCs w:val="22"/>
        </w:rPr>
        <w:fldChar w:fldCharType="separate"/>
      </w:r>
      <w:r w:rsidRPr="002B1FB2" w:rsidR="002B1FB2">
        <w:rPr>
          <w:rFonts w:ascii="Times New Roman" w:hAnsi="Times New Roman" w:eastAsia="Times New Roman" w:cs="Times New Roman"/>
          <w:noProof/>
          <w:szCs w:val="22"/>
        </w:rPr>
        <w:t>25</w:t>
      </w:r>
      <w:r w:rsidRPr="002B1FB2">
        <w:rPr>
          <w:rFonts w:ascii="Times New Roman" w:hAnsi="Times New Roman" w:eastAsia="Times New Roman" w:cs="Times New Roman"/>
          <w:szCs w:val="22"/>
        </w:rPr>
        <w:fldChar w:fldCharType="end"/>
      </w:r>
      <w:bookmarkEnd w:id="38"/>
      <w:r w:rsidRPr="002B1FB2">
        <w:rPr>
          <w:rFonts w:ascii="Times New Roman" w:hAnsi="Times New Roman" w:eastAsia="Times New Roman" w:cs="Times New Roman"/>
          <w:szCs w:val="22"/>
        </w:rPr>
        <w:t>.  On 30 June 2010 the first-instance court dismissed the applicant</w:t>
      </w:r>
      <w:r w:rsidRPr="002B1FB2" w:rsidR="002B1FB2">
        <w:rPr>
          <w:rFonts w:ascii="Times New Roman" w:hAnsi="Times New Roman" w:eastAsia="Times New Roman" w:cs="Times New Roman"/>
          <w:szCs w:val="22"/>
        </w:rPr>
        <w:t>’</w:t>
      </w:r>
      <w:r w:rsidRPr="002B1FB2">
        <w:rPr>
          <w:rFonts w:ascii="Times New Roman" w:hAnsi="Times New Roman" w:eastAsia="Times New Roman" w:cs="Times New Roman"/>
          <w:szCs w:val="22"/>
        </w:rPr>
        <w:t>s claim, stating that it was not possible to distinguish between the amounts which he had sought on various grounds in respect of lost income within the total amount of the claim in respect of lost income.</w:t>
      </w:r>
    </w:p>
    <w:bookmarkStart w:name="Paragraph19" w:id="39"/>
    <w:bookmarkStart w:name="para26" w:id="40"/>
    <w:p w:rsidRPr="002B1FB2" w:rsidR="003252F1" w:rsidP="002B1FB2" w:rsidRDefault="003252F1" w14:paraId="62B6363C" w14:textId="020C478E">
      <w:pPr>
        <w:pStyle w:val="JuPara"/>
        <w:rPr>
          <w:rFonts w:ascii="Times New Roman" w:hAnsi="Times New Roman" w:eastAsia="Times New Roman" w:cs="Times New Roman"/>
          <w:szCs w:val="22"/>
        </w:rPr>
      </w:pPr>
      <w:r w:rsidRPr="002B1FB2">
        <w:rPr>
          <w:rFonts w:ascii="Times New Roman" w:hAnsi="Times New Roman" w:eastAsia="Times New Roman" w:cs="Times New Roman"/>
          <w:szCs w:val="22"/>
        </w:rPr>
        <w:fldChar w:fldCharType="begin"/>
      </w:r>
      <w:r w:rsidRPr="002B1FB2">
        <w:rPr>
          <w:rFonts w:ascii="Times New Roman" w:hAnsi="Times New Roman" w:eastAsia="Times New Roman" w:cs="Times New Roman"/>
          <w:szCs w:val="22"/>
        </w:rPr>
        <w:instrText xml:space="preserve"> SEQ level0 \*arabic </w:instrText>
      </w:r>
      <w:r w:rsidRPr="002B1FB2">
        <w:rPr>
          <w:rFonts w:ascii="Times New Roman" w:hAnsi="Times New Roman" w:eastAsia="Times New Roman" w:cs="Times New Roman"/>
          <w:szCs w:val="22"/>
        </w:rPr>
        <w:fldChar w:fldCharType="separate"/>
      </w:r>
      <w:r w:rsidRPr="002B1FB2" w:rsidR="002B1FB2">
        <w:rPr>
          <w:rFonts w:ascii="Times New Roman" w:hAnsi="Times New Roman" w:eastAsia="Times New Roman" w:cs="Times New Roman"/>
          <w:noProof/>
          <w:szCs w:val="22"/>
        </w:rPr>
        <w:t>26</w:t>
      </w:r>
      <w:r w:rsidRPr="002B1FB2">
        <w:rPr>
          <w:rFonts w:ascii="Times New Roman" w:hAnsi="Times New Roman" w:eastAsia="Times New Roman" w:cs="Times New Roman"/>
          <w:szCs w:val="22"/>
        </w:rPr>
        <w:fldChar w:fldCharType="end"/>
      </w:r>
      <w:bookmarkEnd w:id="39"/>
      <w:bookmarkEnd w:id="40"/>
      <w:r w:rsidRPr="002B1FB2">
        <w:rPr>
          <w:rFonts w:ascii="Times New Roman" w:hAnsi="Times New Roman" w:eastAsia="Times New Roman" w:cs="Times New Roman"/>
          <w:szCs w:val="22"/>
        </w:rPr>
        <w:t>.  Following the applicant</w:t>
      </w:r>
      <w:r w:rsidRPr="002B1FB2" w:rsidR="002B1FB2">
        <w:rPr>
          <w:rFonts w:ascii="Times New Roman" w:hAnsi="Times New Roman" w:eastAsia="Times New Roman" w:cs="Times New Roman"/>
          <w:szCs w:val="22"/>
        </w:rPr>
        <w:t>’</w:t>
      </w:r>
      <w:r w:rsidRPr="002B1FB2">
        <w:rPr>
          <w:rFonts w:ascii="Times New Roman" w:hAnsi="Times New Roman" w:eastAsia="Times New Roman" w:cs="Times New Roman"/>
          <w:szCs w:val="22"/>
        </w:rPr>
        <w:t xml:space="preserve">s appeal, the </w:t>
      </w:r>
      <w:proofErr w:type="spellStart"/>
      <w:r w:rsidRPr="002B1FB2">
        <w:rPr>
          <w:rFonts w:ascii="Times New Roman" w:hAnsi="Times New Roman" w:eastAsia="Times New Roman" w:cs="Times New Roman"/>
          <w:szCs w:val="22"/>
        </w:rPr>
        <w:t>Koprivnica</w:t>
      </w:r>
      <w:proofErr w:type="spellEnd"/>
      <w:r w:rsidRPr="002B1FB2">
        <w:rPr>
          <w:rFonts w:ascii="Times New Roman" w:hAnsi="Times New Roman" w:eastAsia="Times New Roman" w:cs="Times New Roman"/>
          <w:szCs w:val="22"/>
        </w:rPr>
        <w:t xml:space="preserve"> County Court quashed the first-instance </w:t>
      </w:r>
      <w:proofErr w:type="gramStart"/>
      <w:r w:rsidRPr="002B1FB2">
        <w:rPr>
          <w:rFonts w:ascii="Times New Roman" w:hAnsi="Times New Roman" w:eastAsia="Times New Roman" w:cs="Times New Roman"/>
          <w:szCs w:val="22"/>
        </w:rPr>
        <w:t>judgment</w:t>
      </w:r>
      <w:proofErr w:type="gramEnd"/>
      <w:r w:rsidRPr="002B1FB2">
        <w:rPr>
          <w:rFonts w:ascii="Times New Roman" w:hAnsi="Times New Roman" w:eastAsia="Times New Roman" w:cs="Times New Roman"/>
          <w:szCs w:val="22"/>
        </w:rPr>
        <w:t xml:space="preserve"> and the case was assigned to Judge Z.S. She was required to decide on the applicant</w:t>
      </w:r>
      <w:r w:rsidRPr="002B1FB2" w:rsidR="002B1FB2">
        <w:rPr>
          <w:rFonts w:ascii="Times New Roman" w:hAnsi="Times New Roman" w:eastAsia="Times New Roman" w:cs="Times New Roman"/>
          <w:szCs w:val="22"/>
        </w:rPr>
        <w:t>’</w:t>
      </w:r>
      <w:r w:rsidRPr="002B1FB2">
        <w:rPr>
          <w:rFonts w:ascii="Times New Roman" w:hAnsi="Times New Roman" w:eastAsia="Times New Roman" w:cs="Times New Roman"/>
          <w:szCs w:val="22"/>
        </w:rPr>
        <w:t>s claim in respect of lost income for the period between 26 August 1995 until his retirement in January 1999 in the amount of HRK 53,552.48, plus statutory interest.</w:t>
      </w:r>
    </w:p>
    <w:bookmarkStart w:name="Paragraph20" w:id="41"/>
    <w:bookmarkStart w:name="Paragraph24" w:id="42"/>
    <w:bookmarkStart w:name="para27" w:id="43"/>
    <w:bookmarkStart w:name="JUDGMENT5March" w:id="44"/>
    <w:p w:rsidRPr="002B1FB2" w:rsidR="003252F1" w:rsidP="002B1FB2" w:rsidRDefault="003252F1" w14:paraId="00507BFE" w14:textId="419414C7">
      <w:pPr>
        <w:pStyle w:val="JuPara"/>
        <w:rPr>
          <w:rFonts w:ascii="Times New Roman" w:hAnsi="Times New Roman" w:eastAsia="Times New Roman" w:cs="Times New Roman"/>
          <w:szCs w:val="22"/>
        </w:rPr>
      </w:pPr>
      <w:r w:rsidRPr="002B1FB2">
        <w:rPr>
          <w:rFonts w:ascii="Times New Roman" w:hAnsi="Times New Roman" w:eastAsia="Times New Roman" w:cs="Times New Roman"/>
          <w:szCs w:val="22"/>
        </w:rPr>
        <w:fldChar w:fldCharType="begin"/>
      </w:r>
      <w:r w:rsidRPr="002B1FB2">
        <w:rPr>
          <w:rFonts w:ascii="Times New Roman" w:hAnsi="Times New Roman" w:eastAsia="Times New Roman" w:cs="Times New Roman"/>
          <w:szCs w:val="22"/>
        </w:rPr>
        <w:instrText xml:space="preserve"> SEQ level0 \*arabic </w:instrText>
      </w:r>
      <w:r w:rsidRPr="002B1FB2">
        <w:rPr>
          <w:rFonts w:ascii="Times New Roman" w:hAnsi="Times New Roman" w:eastAsia="Times New Roman" w:cs="Times New Roman"/>
          <w:szCs w:val="22"/>
        </w:rPr>
        <w:fldChar w:fldCharType="separate"/>
      </w:r>
      <w:r w:rsidRPr="002B1FB2" w:rsidR="002B1FB2">
        <w:rPr>
          <w:rFonts w:ascii="Times New Roman" w:hAnsi="Times New Roman" w:eastAsia="Times New Roman" w:cs="Times New Roman"/>
          <w:noProof/>
          <w:szCs w:val="22"/>
        </w:rPr>
        <w:t>27</w:t>
      </w:r>
      <w:r w:rsidRPr="002B1FB2">
        <w:rPr>
          <w:rFonts w:ascii="Times New Roman" w:hAnsi="Times New Roman" w:eastAsia="Times New Roman" w:cs="Times New Roman"/>
          <w:szCs w:val="22"/>
        </w:rPr>
        <w:fldChar w:fldCharType="end"/>
      </w:r>
      <w:bookmarkEnd w:id="41"/>
      <w:bookmarkEnd w:id="42"/>
      <w:bookmarkEnd w:id="43"/>
      <w:r w:rsidRPr="002B1FB2">
        <w:rPr>
          <w:rFonts w:ascii="Times New Roman" w:hAnsi="Times New Roman" w:eastAsia="Times New Roman" w:cs="Times New Roman"/>
          <w:szCs w:val="22"/>
        </w:rPr>
        <w:t>.  </w:t>
      </w:r>
      <w:bookmarkEnd w:id="44"/>
      <w:r w:rsidRPr="002B1FB2">
        <w:rPr>
          <w:rFonts w:ascii="Times New Roman" w:hAnsi="Times New Roman" w:eastAsia="Times New Roman" w:cs="Times New Roman"/>
          <w:szCs w:val="22"/>
        </w:rPr>
        <w:t>On 5 March 2012 the first-instance court dismissed the applicant</w:t>
      </w:r>
      <w:r w:rsidRPr="002B1FB2" w:rsidR="002B1FB2">
        <w:rPr>
          <w:rFonts w:ascii="Times New Roman" w:hAnsi="Times New Roman" w:eastAsia="Times New Roman" w:cs="Times New Roman"/>
          <w:szCs w:val="22"/>
        </w:rPr>
        <w:t>’</w:t>
      </w:r>
      <w:r w:rsidRPr="002B1FB2">
        <w:rPr>
          <w:rFonts w:ascii="Times New Roman" w:hAnsi="Times New Roman" w:eastAsia="Times New Roman" w:cs="Times New Roman"/>
          <w:szCs w:val="22"/>
        </w:rPr>
        <w:t>s claim as unfounded. It relied on V.B.</w:t>
      </w:r>
      <w:r w:rsidRPr="002B1FB2" w:rsidR="002B1FB2">
        <w:rPr>
          <w:rFonts w:ascii="Times New Roman" w:hAnsi="Times New Roman" w:eastAsia="Times New Roman" w:cs="Times New Roman"/>
          <w:szCs w:val="22"/>
        </w:rPr>
        <w:t>’</w:t>
      </w:r>
      <w:r w:rsidRPr="002B1FB2">
        <w:rPr>
          <w:rFonts w:ascii="Times New Roman" w:hAnsi="Times New Roman" w:eastAsia="Times New Roman" w:cs="Times New Roman"/>
          <w:szCs w:val="22"/>
        </w:rPr>
        <w:t>s report that the reason for the applicant</w:t>
      </w:r>
      <w:r w:rsidRPr="002B1FB2" w:rsidR="002B1FB2">
        <w:rPr>
          <w:rFonts w:ascii="Times New Roman" w:hAnsi="Times New Roman" w:eastAsia="Times New Roman" w:cs="Times New Roman"/>
          <w:szCs w:val="22"/>
        </w:rPr>
        <w:t>’</w:t>
      </w:r>
      <w:r w:rsidRPr="002B1FB2">
        <w:rPr>
          <w:rFonts w:ascii="Times New Roman" w:hAnsi="Times New Roman" w:eastAsia="Times New Roman" w:cs="Times New Roman"/>
          <w:szCs w:val="22"/>
        </w:rPr>
        <w:t>s sick leave after 26 August 1995 had been unrelated to the accident.</w:t>
      </w:r>
    </w:p>
    <w:bookmarkStart w:name="Paragraph21" w:id="45"/>
    <w:bookmarkStart w:name="Appeal" w:id="46"/>
    <w:bookmarkStart w:name="para28" w:id="47"/>
    <w:p w:rsidRPr="002B1FB2" w:rsidR="003252F1" w:rsidP="002B1FB2" w:rsidRDefault="003252F1" w14:paraId="017C796D" w14:textId="7C8C6736">
      <w:pPr>
        <w:pStyle w:val="JuPara"/>
        <w:rPr>
          <w:rFonts w:ascii="Times New Roman" w:hAnsi="Times New Roman" w:eastAsia="Times New Roman" w:cs="Times New Roman"/>
          <w:szCs w:val="22"/>
        </w:rPr>
      </w:pPr>
      <w:r w:rsidRPr="002B1FB2">
        <w:rPr>
          <w:rFonts w:ascii="Times New Roman" w:hAnsi="Times New Roman" w:eastAsia="Times New Roman" w:cs="Times New Roman"/>
          <w:szCs w:val="22"/>
        </w:rPr>
        <w:fldChar w:fldCharType="begin"/>
      </w:r>
      <w:r w:rsidRPr="002B1FB2">
        <w:rPr>
          <w:rFonts w:ascii="Times New Roman" w:hAnsi="Times New Roman" w:eastAsia="Times New Roman" w:cs="Times New Roman"/>
          <w:szCs w:val="22"/>
        </w:rPr>
        <w:instrText xml:space="preserve"> SEQ level0 \*arabic </w:instrText>
      </w:r>
      <w:r w:rsidRPr="002B1FB2">
        <w:rPr>
          <w:rFonts w:ascii="Times New Roman" w:hAnsi="Times New Roman" w:eastAsia="Times New Roman" w:cs="Times New Roman"/>
          <w:szCs w:val="22"/>
        </w:rPr>
        <w:fldChar w:fldCharType="separate"/>
      </w:r>
      <w:r w:rsidRPr="002B1FB2" w:rsidR="002B1FB2">
        <w:rPr>
          <w:rFonts w:ascii="Times New Roman" w:hAnsi="Times New Roman" w:eastAsia="Times New Roman" w:cs="Times New Roman"/>
          <w:noProof/>
          <w:szCs w:val="22"/>
        </w:rPr>
        <w:t>28</w:t>
      </w:r>
      <w:r w:rsidRPr="002B1FB2">
        <w:rPr>
          <w:rFonts w:ascii="Times New Roman" w:hAnsi="Times New Roman" w:eastAsia="Times New Roman" w:cs="Times New Roman"/>
          <w:szCs w:val="22"/>
        </w:rPr>
        <w:fldChar w:fldCharType="end"/>
      </w:r>
      <w:bookmarkEnd w:id="45"/>
      <w:bookmarkEnd w:id="46"/>
      <w:bookmarkEnd w:id="47"/>
      <w:r w:rsidRPr="002B1FB2">
        <w:rPr>
          <w:rFonts w:ascii="Times New Roman" w:hAnsi="Times New Roman" w:eastAsia="Times New Roman" w:cs="Times New Roman"/>
          <w:szCs w:val="22"/>
        </w:rPr>
        <w:t xml:space="preserve">.  On 16 March 2012 the applicant lodged an appeal under section 354(1) of the Civil Procedure Act (see paragraph </w:t>
      </w:r>
      <w:r w:rsidRPr="002B1FB2">
        <w:rPr>
          <w:rFonts w:ascii="Times New Roman" w:hAnsi="Times New Roman" w:eastAsia="Times New Roman" w:cs="Times New Roman"/>
          <w:szCs w:val="22"/>
        </w:rPr>
        <w:fldChar w:fldCharType="begin"/>
      </w:r>
      <w:r w:rsidRPr="002B1FB2">
        <w:rPr>
          <w:rFonts w:ascii="Times New Roman" w:hAnsi="Times New Roman" w:eastAsia="Times New Roman" w:cs="Times New Roman"/>
          <w:szCs w:val="22"/>
        </w:rPr>
        <w:instrText xml:space="preserve"> REF PARA38 \h </w:instrText>
      </w:r>
      <w:r w:rsidRPr="002B1FB2">
        <w:rPr>
          <w:rFonts w:ascii="Times New Roman" w:hAnsi="Times New Roman" w:eastAsia="Times New Roman" w:cs="Times New Roman"/>
          <w:szCs w:val="22"/>
        </w:rPr>
      </w:r>
      <w:r w:rsidRPr="002B1FB2">
        <w:rPr>
          <w:rFonts w:ascii="Times New Roman" w:hAnsi="Times New Roman" w:eastAsia="Times New Roman" w:cs="Times New Roman"/>
          <w:szCs w:val="22"/>
        </w:rPr>
        <w:fldChar w:fldCharType="separate"/>
      </w:r>
      <w:r w:rsidRPr="002B1FB2" w:rsidR="002B1FB2">
        <w:rPr>
          <w:noProof/>
        </w:rPr>
        <w:t>44</w:t>
      </w:r>
      <w:r w:rsidRPr="002B1FB2">
        <w:rPr>
          <w:rFonts w:ascii="Times New Roman" w:hAnsi="Times New Roman" w:eastAsia="Times New Roman" w:cs="Times New Roman"/>
          <w:szCs w:val="22"/>
        </w:rPr>
        <w:fldChar w:fldCharType="end"/>
      </w:r>
      <w:r w:rsidRPr="002B1FB2">
        <w:rPr>
          <w:rFonts w:ascii="Times New Roman" w:hAnsi="Times New Roman" w:eastAsia="Times New Roman" w:cs="Times New Roman"/>
          <w:szCs w:val="22"/>
        </w:rPr>
        <w:t xml:space="preserve"> below) in which he complained that there had been a serious breach of civil procedure on the grounds that the first-instance court had appointed as expert V.B. who, according to publicly available data, had worked as a medical examiner in the defendant company</w:t>
      </w:r>
      <w:r w:rsidRPr="002B1FB2" w:rsidR="002B1FB2">
        <w:rPr>
          <w:rFonts w:ascii="Times New Roman" w:hAnsi="Times New Roman" w:eastAsia="Times New Roman" w:cs="Times New Roman"/>
          <w:szCs w:val="22"/>
        </w:rPr>
        <w:t>’</w:t>
      </w:r>
      <w:r w:rsidRPr="002B1FB2">
        <w:rPr>
          <w:rFonts w:ascii="Times New Roman" w:hAnsi="Times New Roman" w:eastAsia="Times New Roman" w:cs="Times New Roman"/>
          <w:szCs w:val="22"/>
        </w:rPr>
        <w:t>s directorate general and was also the president of the management board of its subsidiary, C.Z.O. The first-instance court had based its judgment on V.B.</w:t>
      </w:r>
      <w:r w:rsidRPr="002B1FB2" w:rsidR="002B1FB2">
        <w:rPr>
          <w:rFonts w:ascii="Times New Roman" w:hAnsi="Times New Roman" w:eastAsia="Times New Roman" w:cs="Times New Roman"/>
          <w:szCs w:val="22"/>
        </w:rPr>
        <w:t>’</w:t>
      </w:r>
      <w:r w:rsidRPr="002B1FB2">
        <w:rPr>
          <w:rFonts w:ascii="Times New Roman" w:hAnsi="Times New Roman" w:eastAsia="Times New Roman" w:cs="Times New Roman"/>
          <w:szCs w:val="22"/>
        </w:rPr>
        <w:t>s opinion, whereas pursuant to sections 71 and</w:t>
      </w:r>
      <w:r w:rsidRPr="002B1FB2" w:rsidR="00D17C7F">
        <w:rPr>
          <w:rFonts w:ascii="Times New Roman" w:hAnsi="Times New Roman" w:eastAsia="Times New Roman" w:cs="Times New Roman"/>
          <w:szCs w:val="22"/>
        </w:rPr>
        <w:t> </w:t>
      </w:r>
      <w:r w:rsidRPr="002B1FB2">
        <w:rPr>
          <w:rFonts w:ascii="Times New Roman" w:hAnsi="Times New Roman" w:eastAsia="Times New Roman" w:cs="Times New Roman"/>
          <w:szCs w:val="22"/>
        </w:rPr>
        <w:t xml:space="preserve">254 of the Civil Procedure Act, she ought to have been disqualified from the case (see paragraphs </w:t>
      </w:r>
      <w:r w:rsidRPr="002B1FB2" w:rsidR="00D20CE2">
        <w:rPr>
          <w:rFonts w:ascii="Times New Roman" w:hAnsi="Times New Roman" w:eastAsia="Times New Roman" w:cs="Times New Roman"/>
          <w:szCs w:val="22"/>
        </w:rPr>
        <w:t>35-36</w:t>
      </w:r>
      <w:r w:rsidRPr="002B1FB2">
        <w:rPr>
          <w:rFonts w:ascii="Times New Roman" w:hAnsi="Times New Roman" w:eastAsia="Times New Roman" w:cs="Times New Roman"/>
          <w:szCs w:val="22"/>
        </w:rPr>
        <w:t xml:space="preserve"> below).</w:t>
      </w:r>
    </w:p>
    <w:p w:rsidRPr="002B1FB2" w:rsidR="003252F1" w:rsidP="002B1FB2" w:rsidRDefault="003252F1" w14:paraId="096DF979" w14:textId="5CB0193E">
      <w:pPr>
        <w:pStyle w:val="JuPara"/>
        <w:rPr>
          <w:rFonts w:ascii="Times New Roman" w:hAnsi="Times New Roman" w:eastAsia="Times New Roman" w:cs="Times New Roman"/>
          <w:szCs w:val="22"/>
        </w:rPr>
      </w:pPr>
      <w:r w:rsidRPr="002B1FB2">
        <w:rPr>
          <w:rFonts w:ascii="Times New Roman" w:hAnsi="Times New Roman" w:eastAsia="Times New Roman" w:cs="Times New Roman"/>
          <w:szCs w:val="22"/>
        </w:rPr>
        <w:t>The applicant stated that he had appointed new lawyers to represent him in the appellate proceedings who had examined the case file and had found out about V.B.</w:t>
      </w:r>
      <w:r w:rsidRPr="002B1FB2" w:rsidR="002B1FB2">
        <w:rPr>
          <w:rFonts w:ascii="Times New Roman" w:hAnsi="Times New Roman" w:eastAsia="Times New Roman" w:cs="Times New Roman"/>
          <w:szCs w:val="22"/>
        </w:rPr>
        <w:t>’</w:t>
      </w:r>
      <w:r w:rsidRPr="002B1FB2">
        <w:rPr>
          <w:rFonts w:ascii="Times New Roman" w:hAnsi="Times New Roman" w:eastAsia="Times New Roman" w:cs="Times New Roman"/>
          <w:szCs w:val="22"/>
        </w:rPr>
        <w:t>s connection with the defendant company.</w:t>
      </w:r>
    </w:p>
    <w:p w:rsidRPr="002B1FB2" w:rsidR="003252F1" w:rsidP="002B1FB2" w:rsidRDefault="003252F1" w14:paraId="18CEA0EC" w14:textId="55A42400">
      <w:pPr>
        <w:pStyle w:val="JuPara"/>
        <w:rPr>
          <w:rFonts w:ascii="Times New Roman" w:hAnsi="Times New Roman" w:eastAsia="Times New Roman" w:cs="Times New Roman"/>
          <w:szCs w:val="22"/>
        </w:rPr>
      </w:pPr>
      <w:r w:rsidRPr="002B1FB2">
        <w:rPr>
          <w:rFonts w:ascii="Times New Roman" w:hAnsi="Times New Roman" w:eastAsia="Times New Roman" w:cs="Times New Roman"/>
          <w:szCs w:val="22"/>
        </w:rPr>
        <w:t>He lastly submitted that V.B.</w:t>
      </w:r>
      <w:r w:rsidRPr="002B1FB2" w:rsidR="002B1FB2">
        <w:rPr>
          <w:rFonts w:ascii="Times New Roman" w:hAnsi="Times New Roman" w:eastAsia="Times New Roman" w:cs="Times New Roman"/>
          <w:szCs w:val="22"/>
        </w:rPr>
        <w:t>’</w:t>
      </w:r>
      <w:r w:rsidRPr="002B1FB2">
        <w:rPr>
          <w:rFonts w:ascii="Times New Roman" w:hAnsi="Times New Roman" w:eastAsia="Times New Roman" w:cs="Times New Roman"/>
          <w:szCs w:val="22"/>
        </w:rPr>
        <w:t>s findings in his case were evidence of her bias; she had downplayed the impact of his injury on the deterioration of his health. To this appeal the applicant attached a copy of V.B.</w:t>
      </w:r>
      <w:r w:rsidRPr="002B1FB2" w:rsidR="002B1FB2">
        <w:rPr>
          <w:rFonts w:ascii="Times New Roman" w:hAnsi="Times New Roman" w:eastAsia="Times New Roman" w:cs="Times New Roman"/>
          <w:szCs w:val="22"/>
        </w:rPr>
        <w:t>’</w:t>
      </w:r>
      <w:r w:rsidRPr="002B1FB2">
        <w:rPr>
          <w:rFonts w:ascii="Times New Roman" w:hAnsi="Times New Roman" w:eastAsia="Times New Roman" w:cs="Times New Roman"/>
          <w:szCs w:val="22"/>
        </w:rPr>
        <w:t>s professional biography.</w:t>
      </w:r>
    </w:p>
    <w:bookmarkStart w:name="Paragraph22" w:id="48"/>
    <w:bookmarkStart w:name="para29" w:id="49"/>
    <w:bookmarkStart w:name="Secondinstancecourt" w:id="50"/>
    <w:p w:rsidRPr="002B1FB2" w:rsidR="003252F1" w:rsidP="002B1FB2" w:rsidRDefault="003252F1" w14:paraId="680DF6A4" w14:textId="228FFF9A">
      <w:pPr>
        <w:pStyle w:val="JuPara"/>
        <w:rPr>
          <w:rFonts w:ascii="Times New Roman" w:hAnsi="Times New Roman" w:eastAsia="Times New Roman" w:cs="Times New Roman"/>
          <w:szCs w:val="22"/>
        </w:rPr>
      </w:pPr>
      <w:r w:rsidRPr="002B1FB2">
        <w:rPr>
          <w:rFonts w:ascii="Times New Roman" w:hAnsi="Times New Roman" w:eastAsia="Times New Roman" w:cs="Times New Roman"/>
          <w:szCs w:val="22"/>
        </w:rPr>
        <w:fldChar w:fldCharType="begin"/>
      </w:r>
      <w:r w:rsidRPr="002B1FB2">
        <w:rPr>
          <w:rFonts w:ascii="Times New Roman" w:hAnsi="Times New Roman" w:eastAsia="Times New Roman" w:cs="Times New Roman"/>
          <w:szCs w:val="22"/>
        </w:rPr>
        <w:instrText xml:space="preserve"> SEQ level0 \*arabic </w:instrText>
      </w:r>
      <w:r w:rsidRPr="002B1FB2">
        <w:rPr>
          <w:rFonts w:ascii="Times New Roman" w:hAnsi="Times New Roman" w:eastAsia="Times New Roman" w:cs="Times New Roman"/>
          <w:szCs w:val="22"/>
        </w:rPr>
        <w:fldChar w:fldCharType="separate"/>
      </w:r>
      <w:r w:rsidRPr="002B1FB2" w:rsidR="002B1FB2">
        <w:rPr>
          <w:rFonts w:ascii="Times New Roman" w:hAnsi="Times New Roman" w:eastAsia="Times New Roman" w:cs="Times New Roman"/>
          <w:noProof/>
          <w:szCs w:val="22"/>
        </w:rPr>
        <w:t>29</w:t>
      </w:r>
      <w:r w:rsidRPr="002B1FB2">
        <w:rPr>
          <w:rFonts w:ascii="Times New Roman" w:hAnsi="Times New Roman" w:eastAsia="Times New Roman" w:cs="Times New Roman"/>
          <w:szCs w:val="22"/>
        </w:rPr>
        <w:fldChar w:fldCharType="end"/>
      </w:r>
      <w:bookmarkEnd w:id="48"/>
      <w:bookmarkEnd w:id="49"/>
      <w:r w:rsidRPr="002B1FB2">
        <w:rPr>
          <w:rFonts w:ascii="Times New Roman" w:hAnsi="Times New Roman" w:eastAsia="Times New Roman" w:cs="Times New Roman"/>
          <w:szCs w:val="22"/>
        </w:rPr>
        <w:t>.  </w:t>
      </w:r>
      <w:bookmarkEnd w:id="50"/>
      <w:r w:rsidRPr="002B1FB2">
        <w:rPr>
          <w:rFonts w:ascii="Times New Roman" w:hAnsi="Times New Roman" w:eastAsia="Times New Roman" w:cs="Times New Roman"/>
          <w:szCs w:val="22"/>
        </w:rPr>
        <w:t>On 4 September 2012 the second-instance court dismissed the applicant</w:t>
      </w:r>
      <w:r w:rsidRPr="002B1FB2" w:rsidR="002B1FB2">
        <w:rPr>
          <w:rFonts w:ascii="Times New Roman" w:hAnsi="Times New Roman" w:eastAsia="Times New Roman" w:cs="Times New Roman"/>
          <w:szCs w:val="22"/>
        </w:rPr>
        <w:t>’</w:t>
      </w:r>
      <w:r w:rsidRPr="002B1FB2">
        <w:rPr>
          <w:rFonts w:ascii="Times New Roman" w:hAnsi="Times New Roman" w:eastAsia="Times New Roman" w:cs="Times New Roman"/>
          <w:szCs w:val="22"/>
        </w:rPr>
        <w:t>s appeal as unfounded.</w:t>
      </w:r>
    </w:p>
    <w:p w:rsidRPr="002B1FB2" w:rsidR="003252F1" w:rsidP="002B1FB2" w:rsidRDefault="003252F1" w14:paraId="147CD6C2" w14:textId="5A4C1FAC">
      <w:pPr>
        <w:pStyle w:val="JuPara"/>
        <w:rPr>
          <w:rFonts w:ascii="Times New Roman" w:hAnsi="Times New Roman" w:eastAsia="Times New Roman" w:cs="Times New Roman"/>
          <w:szCs w:val="22"/>
        </w:rPr>
      </w:pPr>
      <w:r w:rsidRPr="002B1FB2">
        <w:rPr>
          <w:rFonts w:ascii="Times New Roman" w:hAnsi="Times New Roman" w:eastAsia="Times New Roman" w:cs="Times New Roman"/>
          <w:szCs w:val="22"/>
        </w:rPr>
        <w:t>It found that V.B.</w:t>
      </w:r>
      <w:r w:rsidRPr="002B1FB2" w:rsidR="002B1FB2">
        <w:rPr>
          <w:rFonts w:ascii="Times New Roman" w:hAnsi="Times New Roman" w:eastAsia="Times New Roman" w:cs="Times New Roman"/>
          <w:szCs w:val="22"/>
        </w:rPr>
        <w:t>’</w:t>
      </w:r>
      <w:r w:rsidRPr="002B1FB2">
        <w:rPr>
          <w:rFonts w:ascii="Times New Roman" w:hAnsi="Times New Roman" w:eastAsia="Times New Roman" w:cs="Times New Roman"/>
          <w:szCs w:val="22"/>
        </w:rPr>
        <w:t>s professional biography, which was attached to the appeal, indicated that at the time of submitting her expert report she had not been employed by the defendant company, but that she had been a medical examiner in its directorate general in 1995, and that from March 2004 until retirement, the date of which was unknown, she had been president of C.Z.O.</w:t>
      </w:r>
      <w:r w:rsidRPr="002B1FB2" w:rsidR="002B1FB2">
        <w:rPr>
          <w:rFonts w:ascii="Times New Roman" w:hAnsi="Times New Roman" w:eastAsia="Times New Roman" w:cs="Times New Roman"/>
          <w:szCs w:val="22"/>
        </w:rPr>
        <w:t>’</w:t>
      </w:r>
      <w:r w:rsidRPr="002B1FB2">
        <w:rPr>
          <w:rFonts w:ascii="Times New Roman" w:hAnsi="Times New Roman" w:eastAsia="Times New Roman" w:cs="Times New Roman"/>
          <w:szCs w:val="22"/>
        </w:rPr>
        <w:t>s management board.</w:t>
      </w:r>
    </w:p>
    <w:p w:rsidRPr="002B1FB2" w:rsidR="003252F1" w:rsidP="002B1FB2" w:rsidRDefault="003252F1" w14:paraId="1727F31C" w14:textId="71402E04">
      <w:pPr>
        <w:pStyle w:val="JuPara"/>
      </w:pPr>
      <w:r w:rsidRPr="002B1FB2">
        <w:rPr>
          <w:rFonts w:ascii="Times New Roman" w:hAnsi="Times New Roman" w:eastAsia="Times New Roman" w:cs="Times New Roman"/>
          <w:szCs w:val="22"/>
        </w:rPr>
        <w:t>It also held that the applicant was precluded from raising the objection regarding the expert</w:t>
      </w:r>
      <w:r w:rsidRPr="002B1FB2" w:rsidR="002B1FB2">
        <w:rPr>
          <w:rFonts w:ascii="Times New Roman" w:hAnsi="Times New Roman" w:eastAsia="Times New Roman" w:cs="Times New Roman"/>
          <w:szCs w:val="22"/>
        </w:rPr>
        <w:t>’</w:t>
      </w:r>
      <w:r w:rsidRPr="002B1FB2">
        <w:rPr>
          <w:rFonts w:ascii="Times New Roman" w:hAnsi="Times New Roman" w:eastAsia="Times New Roman" w:cs="Times New Roman"/>
          <w:szCs w:val="22"/>
        </w:rPr>
        <w:t>s impartiality in the appeal proceedings.</w:t>
      </w:r>
    </w:p>
    <w:p w:rsidRPr="002B1FB2" w:rsidR="003252F1" w:rsidP="002B1FB2" w:rsidRDefault="003252F1" w14:paraId="6B147919" w14:textId="4B1CDEE0">
      <w:pPr>
        <w:pStyle w:val="JuPara"/>
        <w:rPr>
          <w:rFonts w:ascii="Times New Roman" w:hAnsi="Times New Roman" w:eastAsia="Times New Roman" w:cs="Times New Roman"/>
          <w:szCs w:val="22"/>
        </w:rPr>
      </w:pPr>
      <w:r w:rsidRPr="002B1FB2">
        <w:rPr>
          <w:rFonts w:ascii="Times New Roman" w:hAnsi="Times New Roman" w:eastAsia="Times New Roman" w:cs="Times New Roman"/>
          <w:szCs w:val="22"/>
        </w:rPr>
        <w:t>It lastly dismissed the applicant</w:t>
      </w:r>
      <w:r w:rsidRPr="002B1FB2" w:rsidR="002B1FB2">
        <w:rPr>
          <w:rFonts w:ascii="Times New Roman" w:hAnsi="Times New Roman" w:eastAsia="Times New Roman" w:cs="Times New Roman"/>
          <w:szCs w:val="22"/>
        </w:rPr>
        <w:t>’</w:t>
      </w:r>
      <w:r w:rsidRPr="002B1FB2">
        <w:rPr>
          <w:rFonts w:ascii="Times New Roman" w:hAnsi="Times New Roman" w:eastAsia="Times New Roman" w:cs="Times New Roman"/>
          <w:szCs w:val="22"/>
        </w:rPr>
        <w:t>s objections as to V.B.</w:t>
      </w:r>
      <w:r w:rsidRPr="002B1FB2" w:rsidR="002B1FB2">
        <w:rPr>
          <w:rFonts w:ascii="Times New Roman" w:hAnsi="Times New Roman" w:eastAsia="Times New Roman" w:cs="Times New Roman"/>
          <w:szCs w:val="22"/>
        </w:rPr>
        <w:t>’</w:t>
      </w:r>
      <w:r w:rsidRPr="002B1FB2">
        <w:rPr>
          <w:rFonts w:ascii="Times New Roman" w:hAnsi="Times New Roman" w:eastAsia="Times New Roman" w:cs="Times New Roman"/>
          <w:szCs w:val="22"/>
        </w:rPr>
        <w:t>s conclusions, finding that those objections had already been discussed and dismissed during the first-instance proceedings.</w:t>
      </w:r>
    </w:p>
    <w:p w:rsidRPr="002B1FB2" w:rsidR="003252F1" w:rsidP="002B1FB2" w:rsidRDefault="003252F1" w14:paraId="4CDA8174" w14:textId="72A62633">
      <w:pPr>
        <w:pStyle w:val="JuPara"/>
        <w:rPr>
          <w:rFonts w:ascii="Times New Roman" w:hAnsi="Times New Roman" w:eastAsia="Times New Roman" w:cs="Times New Roman"/>
          <w:szCs w:val="22"/>
        </w:rPr>
      </w:pPr>
      <w:r w:rsidRPr="002B1FB2">
        <w:rPr>
          <w:rFonts w:ascii="Times New Roman" w:hAnsi="Times New Roman" w:eastAsia="Times New Roman" w:cs="Times New Roman"/>
          <w:szCs w:val="22"/>
        </w:rPr>
        <w:t>The relevant part of the second-instance judgment reads:</w:t>
      </w:r>
    </w:p>
    <w:p w:rsidRPr="002B1FB2" w:rsidR="003252F1" w:rsidP="002B1FB2" w:rsidRDefault="003252F1" w14:paraId="75A52DA8" w14:textId="77777777">
      <w:pPr>
        <w:pStyle w:val="JuQuot"/>
        <w:rPr>
          <w:rFonts w:eastAsiaTheme="minorEastAsia"/>
        </w:rPr>
      </w:pPr>
      <w:r w:rsidRPr="002B1FB2">
        <w:rPr>
          <w:rFonts w:eastAsiaTheme="minorEastAsia"/>
        </w:rPr>
        <w:t>“The complaint concerning the expert was presented by the plaintiff for the first time in his appeal, whereas pursuant to section 352 (2) of the Civil Procedure Act, if during the first-instance proceedings a party does not put forward ... an objection regarding an issue which the first-instance court does not consider of its own motion, the party may not present this objection in the appeal.</w:t>
      </w:r>
    </w:p>
    <w:p w:rsidRPr="002B1FB2" w:rsidR="003252F1" w:rsidP="002B1FB2" w:rsidRDefault="003252F1" w14:paraId="5CD58329" w14:textId="77777777">
      <w:pPr>
        <w:pStyle w:val="JuQuot"/>
        <w:rPr>
          <w:rFonts w:eastAsiaTheme="minorEastAsia"/>
        </w:rPr>
      </w:pPr>
      <w:r w:rsidRPr="002B1FB2">
        <w:rPr>
          <w:rFonts w:eastAsiaTheme="minorEastAsia"/>
        </w:rPr>
        <w:t>Pursuant to section 254 of the Civil Procedure Act, an expert may be disqualified for the same reasons as a judge may be disqualified, and a party is obliged to submit a request for disqualification of the expert as soon as he or she learns of the reason for disqualification, and at the latest before the beginning of the hearing of evidence by the expert. If the party learned of the reason for disqualification after the expert report has been obtained and objects to the expert report for this reason, the court shall act as though the request for disqualification was submitted before the expert report was obtained.</w:t>
      </w:r>
    </w:p>
    <w:p w:rsidRPr="002B1FB2" w:rsidR="003252F1" w:rsidP="002B1FB2" w:rsidRDefault="003252F1" w14:paraId="0615A2ED" w14:textId="77777777">
      <w:pPr>
        <w:pStyle w:val="JuQuot"/>
        <w:rPr>
          <w:rFonts w:eastAsiaTheme="minorEastAsia"/>
        </w:rPr>
      </w:pPr>
      <w:r w:rsidRPr="002B1FB2">
        <w:rPr>
          <w:rFonts w:eastAsiaTheme="minorEastAsia"/>
        </w:rPr>
        <w:t>Therefore, this is a procedural objection regarding an issue which the first-instance court does not consider of its own motion, so the objection cannot be presented in the appeal.”</w:t>
      </w:r>
    </w:p>
    <w:bookmarkStart w:name="para30" w:id="51"/>
    <w:p w:rsidRPr="002B1FB2" w:rsidR="003252F1" w:rsidP="002B1FB2" w:rsidRDefault="003252F1" w14:paraId="07180836" w14:textId="4C63E5A2">
      <w:pPr>
        <w:pStyle w:val="JuPara"/>
        <w:rPr>
          <w:rFonts w:eastAsiaTheme="minorEastAsia"/>
        </w:rPr>
      </w:pPr>
      <w:r w:rsidRPr="002B1FB2">
        <w:rPr>
          <w:rFonts w:eastAsiaTheme="minorEastAsia"/>
        </w:rPr>
        <w:fldChar w:fldCharType="begin"/>
      </w:r>
      <w:r w:rsidRPr="002B1FB2">
        <w:rPr>
          <w:rFonts w:eastAsiaTheme="minorEastAsia"/>
        </w:rPr>
        <w:instrText xml:space="preserve"> SEQ level0 \*arabic </w:instrText>
      </w:r>
      <w:r w:rsidRPr="002B1FB2">
        <w:rPr>
          <w:rFonts w:eastAsiaTheme="minorEastAsia"/>
        </w:rPr>
        <w:fldChar w:fldCharType="separate"/>
      </w:r>
      <w:r w:rsidRPr="002B1FB2" w:rsidR="002B1FB2">
        <w:rPr>
          <w:rFonts w:eastAsiaTheme="minorEastAsia"/>
          <w:noProof/>
        </w:rPr>
        <w:t>30</w:t>
      </w:r>
      <w:r w:rsidRPr="002B1FB2">
        <w:rPr>
          <w:rFonts w:eastAsiaTheme="minorEastAsia"/>
        </w:rPr>
        <w:fldChar w:fldCharType="end"/>
      </w:r>
      <w:bookmarkEnd w:id="51"/>
      <w:r w:rsidRPr="002B1FB2">
        <w:rPr>
          <w:rFonts w:eastAsiaTheme="minorEastAsia"/>
        </w:rPr>
        <w:t>.  The applicant lodged a constitutional complaint against the second-instance judgment, arguing that</w:t>
      </w:r>
      <w:r w:rsidRPr="002B1FB2">
        <w:t xml:space="preserve"> </w:t>
      </w:r>
      <w:bookmarkStart w:name="_Hlk85204346" w:id="52"/>
      <w:r w:rsidRPr="002B1FB2">
        <w:rPr>
          <w:rFonts w:eastAsiaTheme="minorEastAsia"/>
        </w:rPr>
        <w:t>he had complained about V.B.</w:t>
      </w:r>
      <w:r w:rsidRPr="002B1FB2" w:rsidR="002B1FB2">
        <w:rPr>
          <w:rFonts w:eastAsiaTheme="minorEastAsia"/>
        </w:rPr>
        <w:t>’</w:t>
      </w:r>
      <w:r w:rsidRPr="002B1FB2">
        <w:rPr>
          <w:rFonts w:eastAsiaTheme="minorEastAsia"/>
        </w:rPr>
        <w:t>s lack of impartiality as soon as he had learned of the reason for which she ought to have been disqualified from the case</w:t>
      </w:r>
      <w:bookmarkEnd w:id="52"/>
      <w:r w:rsidRPr="002B1FB2">
        <w:rPr>
          <w:rFonts w:eastAsiaTheme="minorEastAsia"/>
        </w:rPr>
        <w:t>. The second-instance court had refused to examine his complaint by relying on section 352(2) of the Civil Procedure Act. However, under section 352(1) of that Act, a party to the proceedings could rely in his or her appeal on new facts and evidence if they related to a serious breach of civil procedure as defined by section 354(1) (see paragraphs</w:t>
      </w:r>
      <w:r w:rsidRPr="002B1FB2" w:rsidR="00C62C38">
        <w:rPr>
          <w:rFonts w:eastAsiaTheme="minorEastAsia"/>
        </w:rPr>
        <w:t> </w:t>
      </w:r>
      <w:r w:rsidRPr="002B1FB2" w:rsidR="00D20CE2">
        <w:rPr>
          <w:rFonts w:eastAsiaTheme="minorEastAsia"/>
        </w:rPr>
        <w:t>41</w:t>
      </w:r>
      <w:r w:rsidRPr="002B1FB2">
        <w:rPr>
          <w:rFonts w:eastAsiaTheme="minorEastAsia"/>
        </w:rPr>
        <w:t xml:space="preserve"> and </w:t>
      </w:r>
      <w:r w:rsidRPr="002B1FB2">
        <w:rPr>
          <w:rFonts w:eastAsiaTheme="minorEastAsia"/>
        </w:rPr>
        <w:fldChar w:fldCharType="begin"/>
      </w:r>
      <w:r w:rsidRPr="002B1FB2">
        <w:rPr>
          <w:rFonts w:eastAsiaTheme="minorEastAsia"/>
        </w:rPr>
        <w:instrText xml:space="preserve"> REF para38 \h </w:instrText>
      </w:r>
      <w:r w:rsidRPr="002B1FB2">
        <w:rPr>
          <w:rFonts w:eastAsiaTheme="minorEastAsia"/>
        </w:rPr>
      </w:r>
      <w:r w:rsidRPr="002B1FB2">
        <w:rPr>
          <w:rFonts w:eastAsiaTheme="minorEastAsia"/>
        </w:rPr>
        <w:fldChar w:fldCharType="separate"/>
      </w:r>
      <w:r w:rsidRPr="002B1FB2" w:rsidR="002B1FB2">
        <w:rPr>
          <w:noProof/>
        </w:rPr>
        <w:t>44</w:t>
      </w:r>
      <w:r w:rsidRPr="002B1FB2">
        <w:rPr>
          <w:rFonts w:eastAsiaTheme="minorEastAsia"/>
        </w:rPr>
        <w:fldChar w:fldCharType="end"/>
      </w:r>
      <w:r w:rsidRPr="002B1FB2">
        <w:rPr>
          <w:rFonts w:eastAsiaTheme="minorEastAsia"/>
        </w:rPr>
        <w:t xml:space="preserve"> below).</w:t>
      </w:r>
    </w:p>
    <w:p w:rsidRPr="002B1FB2" w:rsidR="003252F1" w:rsidP="002B1FB2" w:rsidRDefault="003252F1" w14:paraId="3FFFB63E" w14:textId="6B54A7E5">
      <w:pPr>
        <w:pStyle w:val="JuPara"/>
        <w:rPr>
          <w:rFonts w:eastAsiaTheme="minorEastAsia"/>
        </w:rPr>
      </w:pPr>
      <w:r w:rsidRPr="002B1FB2">
        <w:rPr>
          <w:rFonts w:eastAsiaTheme="minorEastAsia"/>
        </w:rPr>
        <w:fldChar w:fldCharType="begin"/>
      </w:r>
      <w:r w:rsidRPr="002B1FB2">
        <w:rPr>
          <w:rFonts w:eastAsiaTheme="minorEastAsia"/>
        </w:rPr>
        <w:instrText xml:space="preserve"> SEQ level0 \*arabic \* MERGEFORMAT </w:instrText>
      </w:r>
      <w:r w:rsidRPr="002B1FB2">
        <w:rPr>
          <w:rFonts w:eastAsiaTheme="minorEastAsia"/>
        </w:rPr>
        <w:fldChar w:fldCharType="separate"/>
      </w:r>
      <w:r w:rsidRPr="002B1FB2" w:rsidR="002B1FB2">
        <w:rPr>
          <w:rFonts w:eastAsiaTheme="minorEastAsia"/>
          <w:noProof/>
        </w:rPr>
        <w:t>31</w:t>
      </w:r>
      <w:r w:rsidRPr="002B1FB2">
        <w:rPr>
          <w:rFonts w:eastAsiaTheme="minorEastAsia"/>
        </w:rPr>
        <w:fldChar w:fldCharType="end"/>
      </w:r>
      <w:r w:rsidRPr="002B1FB2">
        <w:rPr>
          <w:rFonts w:eastAsiaTheme="minorEastAsia"/>
        </w:rPr>
        <w:t>.  On 19 December 2012 the Constitutional Court dismissed the applicant</w:t>
      </w:r>
      <w:r w:rsidRPr="002B1FB2" w:rsidR="002B1FB2">
        <w:rPr>
          <w:rFonts w:eastAsiaTheme="minorEastAsia"/>
        </w:rPr>
        <w:t>’</w:t>
      </w:r>
      <w:r w:rsidRPr="002B1FB2">
        <w:rPr>
          <w:rFonts w:eastAsiaTheme="minorEastAsia"/>
        </w:rPr>
        <w:t>s constitutional complaint as manifestly ill-founded.</w:t>
      </w:r>
    </w:p>
    <w:p w:rsidRPr="002B1FB2" w:rsidR="003252F1" w:rsidP="002B1FB2" w:rsidRDefault="003252F1" w14:paraId="4FFF2BF5" w14:textId="77777777">
      <w:pPr>
        <w:pStyle w:val="JuHHead"/>
      </w:pPr>
      <w:r w:rsidRPr="002B1FB2">
        <w:t>RELEVANT LEGAL FRAMEWORK AND PRACTICE</w:t>
      </w:r>
    </w:p>
    <w:p w:rsidRPr="002B1FB2" w:rsidR="003252F1" w:rsidP="002B1FB2" w:rsidRDefault="003252F1" w14:paraId="0B464221" w14:textId="77777777">
      <w:pPr>
        <w:pStyle w:val="JuHIRoman"/>
      </w:pPr>
      <w:r w:rsidRPr="002B1FB2">
        <w:t>Relevant domestic law</w:t>
      </w:r>
    </w:p>
    <w:p w:rsidRPr="002B1FB2" w:rsidR="003252F1" w:rsidP="002B1FB2" w:rsidRDefault="003252F1" w14:paraId="2163A396" w14:textId="34721734">
      <w:pPr>
        <w:pStyle w:val="JuPara"/>
      </w:pPr>
      <w:r w:rsidRPr="002B1FB2">
        <w:fldChar w:fldCharType="begin"/>
      </w:r>
      <w:r w:rsidRPr="002B1FB2">
        <w:instrText xml:space="preserve"> SEQ level0 \*arabic </w:instrText>
      </w:r>
      <w:r w:rsidRPr="002B1FB2">
        <w:fldChar w:fldCharType="separate"/>
      </w:r>
      <w:r w:rsidRPr="002B1FB2" w:rsidR="002B1FB2">
        <w:rPr>
          <w:noProof/>
        </w:rPr>
        <w:t>32</w:t>
      </w:r>
      <w:r w:rsidRPr="002B1FB2">
        <w:fldChar w:fldCharType="end"/>
      </w:r>
      <w:r w:rsidRPr="002B1FB2">
        <w:t>.  At the material time the position of court experts in civil proceedings was regulated under sections 251 to 262 of the Civil Procedure Act (</w:t>
      </w:r>
      <w:proofErr w:type="spellStart"/>
      <w:r w:rsidRPr="002B1FB2">
        <w:rPr>
          <w:i/>
        </w:rPr>
        <w:t>Zakon</w:t>
      </w:r>
      <w:proofErr w:type="spellEnd"/>
      <w:r w:rsidRPr="002B1FB2">
        <w:rPr>
          <w:i/>
        </w:rPr>
        <w:t xml:space="preserve"> o </w:t>
      </w:r>
      <w:proofErr w:type="spellStart"/>
      <w:r w:rsidRPr="002B1FB2">
        <w:rPr>
          <w:i/>
        </w:rPr>
        <w:t>parničnom</w:t>
      </w:r>
      <w:proofErr w:type="spellEnd"/>
      <w:r w:rsidRPr="002B1FB2">
        <w:rPr>
          <w:i/>
        </w:rPr>
        <w:t xml:space="preserve"> </w:t>
      </w:r>
      <w:proofErr w:type="spellStart"/>
      <w:r w:rsidRPr="002B1FB2">
        <w:rPr>
          <w:i/>
        </w:rPr>
        <w:t>postupku</w:t>
      </w:r>
      <w:proofErr w:type="spellEnd"/>
      <w:r w:rsidRPr="002B1FB2">
        <w:t>, Official Gazette nos. 53/1991, 91/1992, 112/1999, 117/2003, 84/2008, 123/2008, 57/2011 and 148/2011).</w:t>
      </w:r>
    </w:p>
    <w:bookmarkStart w:name="Paragraph26" w:id="53"/>
    <w:bookmarkStart w:name="para33" w:id="54"/>
    <w:p w:rsidRPr="002B1FB2" w:rsidR="003252F1" w:rsidP="002B1FB2" w:rsidRDefault="003252F1" w14:paraId="068782CB" w14:textId="2F3F02E1">
      <w:pPr>
        <w:pStyle w:val="JuPara"/>
      </w:pPr>
      <w:r w:rsidRPr="002B1FB2">
        <w:fldChar w:fldCharType="begin"/>
      </w:r>
      <w:r w:rsidRPr="002B1FB2">
        <w:instrText xml:space="preserve"> SEQ level0 \*arabic </w:instrText>
      </w:r>
      <w:r w:rsidRPr="002B1FB2">
        <w:fldChar w:fldCharType="separate"/>
      </w:r>
      <w:r w:rsidRPr="002B1FB2" w:rsidR="002B1FB2">
        <w:rPr>
          <w:noProof/>
        </w:rPr>
        <w:t>33</w:t>
      </w:r>
      <w:r w:rsidRPr="002B1FB2">
        <w:fldChar w:fldCharType="end"/>
      </w:r>
      <w:bookmarkEnd w:id="53"/>
      <w:bookmarkEnd w:id="54"/>
      <w:r w:rsidRPr="002B1FB2">
        <w:t xml:space="preserve">.  Under section 251 of the Civil Procedure Act, the commissioning of an expert report was within the competence of the court conducting the proceedings. Before commissioning an expert report, the court was required to hear the parties </w:t>
      </w:r>
      <w:proofErr w:type="gramStart"/>
      <w:r w:rsidRPr="002B1FB2">
        <w:t>with regard to</w:t>
      </w:r>
      <w:proofErr w:type="gramEnd"/>
      <w:r w:rsidRPr="002B1FB2">
        <w:t xml:space="preserve"> the choice of expert (section 251(2)). The court was always allowed to commission a report from another expert (section 251 (4)).</w:t>
      </w:r>
    </w:p>
    <w:bookmarkStart w:name="Paragraph27" w:id="55"/>
    <w:bookmarkStart w:name="Paragraph28" w:id="56"/>
    <w:bookmarkStart w:name="para34" w:id="57"/>
    <w:p w:rsidRPr="002B1FB2" w:rsidR="003252F1" w:rsidP="002B1FB2" w:rsidRDefault="003252F1" w14:paraId="17B15C4C" w14:textId="5EE0C2C4">
      <w:pPr>
        <w:pStyle w:val="JuPara"/>
      </w:pPr>
      <w:r w:rsidRPr="002B1FB2">
        <w:fldChar w:fldCharType="begin"/>
      </w:r>
      <w:r w:rsidRPr="002B1FB2">
        <w:instrText xml:space="preserve"> SEQ level0 \*arabic </w:instrText>
      </w:r>
      <w:r w:rsidRPr="002B1FB2">
        <w:fldChar w:fldCharType="separate"/>
      </w:r>
      <w:r w:rsidRPr="002B1FB2" w:rsidR="002B1FB2">
        <w:rPr>
          <w:noProof/>
        </w:rPr>
        <w:t>34</w:t>
      </w:r>
      <w:r w:rsidRPr="002B1FB2">
        <w:fldChar w:fldCharType="end"/>
      </w:r>
      <w:bookmarkEnd w:id="55"/>
      <w:bookmarkEnd w:id="56"/>
      <w:bookmarkEnd w:id="57"/>
      <w:r w:rsidRPr="002B1FB2">
        <w:t>.  When appointed by the court, experts had an obligation to submit an expert report (section 253(1)). At the expert</w:t>
      </w:r>
      <w:r w:rsidRPr="002B1FB2" w:rsidR="002B1FB2">
        <w:t>’</w:t>
      </w:r>
      <w:r w:rsidRPr="002B1FB2">
        <w:t>s request, the court was to discharge him or her from the obligation to submit an expert report for the same reasons a witness was allowed to refuse to testify or answer a particular question. When there were other justified grounds, the court was able, at the request of the expert or a legal person in which the expert was employed, to release him or her from the obligation to submit an expert report (section</w:t>
      </w:r>
      <w:r w:rsidRPr="002B1FB2" w:rsidR="00D17C7F">
        <w:t> </w:t>
      </w:r>
      <w:r w:rsidRPr="002B1FB2">
        <w:t>253(2) and (3)).</w:t>
      </w:r>
    </w:p>
    <w:bookmarkStart w:name="para35" w:id="58"/>
    <w:bookmarkStart w:name="Para32" w:id="59"/>
    <w:p w:rsidRPr="002B1FB2" w:rsidR="003252F1" w:rsidP="002B1FB2" w:rsidRDefault="003252F1" w14:paraId="0A2E8C15" w14:textId="5289AD53">
      <w:pPr>
        <w:pStyle w:val="JuPara"/>
      </w:pPr>
      <w:r w:rsidRPr="002B1FB2">
        <w:fldChar w:fldCharType="begin"/>
      </w:r>
      <w:r w:rsidRPr="002B1FB2">
        <w:instrText xml:space="preserve"> SEQ level0 \*arabic </w:instrText>
      </w:r>
      <w:r w:rsidRPr="002B1FB2">
        <w:fldChar w:fldCharType="separate"/>
      </w:r>
      <w:r w:rsidRPr="002B1FB2" w:rsidR="002B1FB2">
        <w:rPr>
          <w:noProof/>
        </w:rPr>
        <w:t>35</w:t>
      </w:r>
      <w:r w:rsidRPr="002B1FB2">
        <w:fldChar w:fldCharType="end"/>
      </w:r>
      <w:bookmarkEnd w:id="58"/>
      <w:r w:rsidRPr="002B1FB2">
        <w:t>.  </w:t>
      </w:r>
      <w:bookmarkEnd w:id="59"/>
      <w:r w:rsidRPr="002B1FB2">
        <w:t>Under section 254(1) of the Civil Procedure Act, an expert could be disqualified for the same reasons as a judge.</w:t>
      </w:r>
    </w:p>
    <w:bookmarkStart w:name="para36" w:id="60"/>
    <w:p w:rsidRPr="002B1FB2" w:rsidR="003252F1" w:rsidP="002B1FB2" w:rsidRDefault="003252F1" w14:paraId="36C0A525" w14:textId="0A64D41D">
      <w:pPr>
        <w:pStyle w:val="JuPara"/>
      </w:pPr>
      <w:r w:rsidRPr="002B1FB2">
        <w:fldChar w:fldCharType="begin"/>
      </w:r>
      <w:r w:rsidRPr="002B1FB2">
        <w:instrText xml:space="preserve"> SEQ level0 \*arabic </w:instrText>
      </w:r>
      <w:r w:rsidRPr="002B1FB2">
        <w:fldChar w:fldCharType="separate"/>
      </w:r>
      <w:r w:rsidRPr="002B1FB2" w:rsidR="002B1FB2">
        <w:rPr>
          <w:noProof/>
        </w:rPr>
        <w:t>36</w:t>
      </w:r>
      <w:r w:rsidRPr="002B1FB2">
        <w:fldChar w:fldCharType="end"/>
      </w:r>
      <w:bookmarkEnd w:id="60"/>
      <w:r w:rsidRPr="002B1FB2">
        <w:t xml:space="preserve">.  A judge was excluded from exercising his or her functions if he or she was employed, permanently or temporarily, by a legal person which was a party to the proceedings (section 71(2)). This </w:t>
      </w:r>
      <w:proofErr w:type="gramStart"/>
      <w:r w:rsidRPr="002B1FB2">
        <w:t>was considered to be</w:t>
      </w:r>
      <w:proofErr w:type="gramEnd"/>
      <w:r w:rsidRPr="002B1FB2">
        <w:t xml:space="preserve"> an absolute ground for a judge to be automatically disqualified from a case. As soon as a judge became aware of an absolute ground for disqualification, he or she was to take no further part in the case in question. The judge was obliged to bring the circumstances which disqualified him or her from sitting to the attention of the president of the court, who then designated another judge (section 72(1)).</w:t>
      </w:r>
    </w:p>
    <w:p w:rsidRPr="002B1FB2" w:rsidR="003252F1" w:rsidP="002B1FB2" w:rsidRDefault="003252F1" w14:paraId="178C5A08" w14:textId="77777777">
      <w:pPr>
        <w:pStyle w:val="JuPara"/>
      </w:pPr>
      <w:r w:rsidRPr="002B1FB2">
        <w:t xml:space="preserve">A judge was excluded from exercising his or her functions where other circumstances were present which cast doubt on his or her impartiality (section 71(7)). A judge was obliged to inform the president of the court of any circumstances which he or she considered might cast doubt on his or her impartiality. The president of the court had then to </w:t>
      </w:r>
      <w:proofErr w:type="gramStart"/>
      <w:r w:rsidRPr="002B1FB2">
        <w:t>make a decision</w:t>
      </w:r>
      <w:proofErr w:type="gramEnd"/>
      <w:r w:rsidRPr="002B1FB2">
        <w:t xml:space="preserve"> regarding possible disqualification, taking account of the circumstances of the case (section 72(2)). The remaining relevant domestic law provisions concerning the disqualification of judges in civil proceedings is set out in the case of </w:t>
      </w:r>
      <w:r w:rsidRPr="002B1FB2">
        <w:rPr>
          <w:i/>
          <w:iCs/>
        </w:rPr>
        <w:t>Ramljak v. Croatia</w:t>
      </w:r>
      <w:r w:rsidRPr="002B1FB2">
        <w:t xml:space="preserve"> (no. 5856/13, §§ 13-18, 27 June 2017).</w:t>
      </w:r>
    </w:p>
    <w:bookmarkStart w:name="Para31" w:id="61"/>
    <w:bookmarkStart w:name="para37" w:id="62"/>
    <w:p w:rsidRPr="002B1FB2" w:rsidR="003252F1" w:rsidP="002B1FB2" w:rsidRDefault="003252F1" w14:paraId="7E66935C" w14:textId="3DB62AF5">
      <w:pPr>
        <w:pStyle w:val="JuPara"/>
      </w:pPr>
      <w:r w:rsidRPr="002B1FB2">
        <w:fldChar w:fldCharType="begin"/>
      </w:r>
      <w:r w:rsidRPr="002B1FB2">
        <w:instrText xml:space="preserve"> SEQ level0 \*arabic </w:instrText>
      </w:r>
      <w:r w:rsidRPr="002B1FB2">
        <w:fldChar w:fldCharType="separate"/>
      </w:r>
      <w:r w:rsidRPr="002B1FB2" w:rsidR="002B1FB2">
        <w:rPr>
          <w:noProof/>
        </w:rPr>
        <w:t>37</w:t>
      </w:r>
      <w:r w:rsidRPr="002B1FB2">
        <w:fldChar w:fldCharType="end"/>
      </w:r>
      <w:bookmarkEnd w:id="61"/>
      <w:bookmarkEnd w:id="62"/>
      <w:r w:rsidRPr="002B1FB2">
        <w:t>.  Under section 254(2) of the Civil Procedure Act, a party was obliged to submit a request for disqualification of the expert as soon as he or she learned that there was a reason for disqualification and at the latest before the beginning of the hearing of evidence from the expert. In the request for disqualification, the party was obliged to state the circumstances on which the request was based (section 254(3)). If the party learned of the reasons for disqualification after the expert report had already been obtained and objected to the report for those reasons, the court was to act as though the request for disqualification had been submitted before the obtaining of the expert report (section 254(6)).</w:t>
      </w:r>
    </w:p>
    <w:bookmarkStart w:name="Paragraph30" w:id="63"/>
    <w:p w:rsidRPr="002B1FB2" w:rsidR="003252F1" w:rsidP="002B1FB2" w:rsidRDefault="003252F1" w14:paraId="403021F0" w14:textId="3008BBE3">
      <w:pPr>
        <w:pStyle w:val="JuPara"/>
      </w:pPr>
      <w:r w:rsidRPr="002B1FB2">
        <w:fldChar w:fldCharType="begin"/>
      </w:r>
      <w:r w:rsidRPr="002B1FB2">
        <w:instrText xml:space="preserve"> SEQ level0 \*arabic </w:instrText>
      </w:r>
      <w:r w:rsidRPr="002B1FB2">
        <w:fldChar w:fldCharType="separate"/>
      </w:r>
      <w:r w:rsidRPr="002B1FB2" w:rsidR="002B1FB2">
        <w:rPr>
          <w:noProof/>
        </w:rPr>
        <w:t>38</w:t>
      </w:r>
      <w:r w:rsidRPr="002B1FB2">
        <w:fldChar w:fldCharType="end"/>
      </w:r>
      <w:bookmarkEnd w:id="63"/>
      <w:r w:rsidRPr="002B1FB2">
        <w:t>.  Deciding on the request for disqualification was within the competence of the civil court (section 254(4)). An appeal was not permitted against a decision accepting the request for disqualification, and a separate appeal was not permitted against a decision refusing the request (section</w:t>
      </w:r>
      <w:r w:rsidRPr="002B1FB2" w:rsidR="00D17C7F">
        <w:t> </w:t>
      </w:r>
      <w:r w:rsidRPr="002B1FB2">
        <w:t>254(5)).</w:t>
      </w:r>
    </w:p>
    <w:bookmarkStart w:name="para39" w:id="64"/>
    <w:p w:rsidRPr="002B1FB2" w:rsidR="003252F1" w:rsidP="002B1FB2" w:rsidRDefault="003252F1" w14:paraId="1192D539" w14:textId="43FD9C35">
      <w:pPr>
        <w:pStyle w:val="JuPara"/>
      </w:pPr>
      <w:r w:rsidRPr="002B1FB2">
        <w:fldChar w:fldCharType="begin"/>
      </w:r>
      <w:r w:rsidRPr="002B1FB2">
        <w:instrText xml:space="preserve"> SEQ level0 \*arabic </w:instrText>
      </w:r>
      <w:r w:rsidRPr="002B1FB2">
        <w:fldChar w:fldCharType="separate"/>
      </w:r>
      <w:r w:rsidRPr="002B1FB2" w:rsidR="002B1FB2">
        <w:rPr>
          <w:noProof/>
        </w:rPr>
        <w:t>39</w:t>
      </w:r>
      <w:r w:rsidRPr="002B1FB2">
        <w:fldChar w:fldCharType="end"/>
      </w:r>
      <w:bookmarkEnd w:id="64"/>
      <w:r w:rsidRPr="002B1FB2">
        <w:t>.  Experts were invited by written invitation indicating his or her name and occupation and the case in respect of which he or she was being invited as expert. The invitation contained a warning regarding unjustified absences and the right to compensation of costs (section 257).</w:t>
      </w:r>
    </w:p>
    <w:bookmarkStart w:name="para40" w:id="65"/>
    <w:p w:rsidRPr="002B1FB2" w:rsidR="003252F1" w:rsidP="002B1FB2" w:rsidRDefault="003252F1" w14:paraId="490AA7CD" w14:textId="6A25D7D0">
      <w:pPr>
        <w:pStyle w:val="JuPara"/>
      </w:pPr>
      <w:r w:rsidRPr="002B1FB2">
        <w:fldChar w:fldCharType="begin"/>
      </w:r>
      <w:r w:rsidRPr="002B1FB2">
        <w:instrText xml:space="preserve"> SEQ level0 \*arabic </w:instrText>
      </w:r>
      <w:r w:rsidRPr="002B1FB2">
        <w:fldChar w:fldCharType="separate"/>
      </w:r>
      <w:r w:rsidRPr="002B1FB2" w:rsidR="002B1FB2">
        <w:rPr>
          <w:noProof/>
        </w:rPr>
        <w:t>40</w:t>
      </w:r>
      <w:r w:rsidRPr="002B1FB2">
        <w:fldChar w:fldCharType="end"/>
      </w:r>
      <w:bookmarkEnd w:id="65"/>
      <w:r w:rsidRPr="002B1FB2">
        <w:t xml:space="preserve">.  Before submitting their expert report, experts were invited to carefully examine the matter, accurately state all their </w:t>
      </w:r>
      <w:proofErr w:type="gramStart"/>
      <w:r w:rsidRPr="002B1FB2">
        <w:t>observations</w:t>
      </w:r>
      <w:proofErr w:type="gramEnd"/>
      <w:r w:rsidRPr="002B1FB2">
        <w:t xml:space="preserve"> and give their opinion conscientiously and in accordance with the rules of science and expertise. They were also warned about the legal consequences of perjury (section 258(1)). Experts were then invited to state their name, surname, father</w:t>
      </w:r>
      <w:r w:rsidRPr="002B1FB2" w:rsidR="002B1FB2">
        <w:t>’</w:t>
      </w:r>
      <w:r w:rsidRPr="002B1FB2">
        <w:t xml:space="preserve">s name, occupation, residence, place of birth, </w:t>
      </w:r>
      <w:proofErr w:type="gramStart"/>
      <w:r w:rsidRPr="002B1FB2">
        <w:t>age</w:t>
      </w:r>
      <w:proofErr w:type="gramEnd"/>
      <w:r w:rsidRPr="002B1FB2">
        <w:t xml:space="preserve"> and their relationship with the parties (section 258(2)).</w:t>
      </w:r>
    </w:p>
    <w:bookmarkStart w:name="para41" w:id="66"/>
    <w:p w:rsidRPr="002B1FB2" w:rsidR="003252F1" w:rsidP="002B1FB2" w:rsidRDefault="003252F1" w14:paraId="38D430E0" w14:textId="3A043BAB">
      <w:pPr>
        <w:pStyle w:val="JuPara"/>
      </w:pPr>
      <w:r w:rsidRPr="002B1FB2">
        <w:fldChar w:fldCharType="begin"/>
      </w:r>
      <w:r w:rsidRPr="002B1FB2">
        <w:instrText xml:space="preserve"> SEQ level0 \*arabic </w:instrText>
      </w:r>
      <w:r w:rsidRPr="002B1FB2">
        <w:fldChar w:fldCharType="separate"/>
      </w:r>
      <w:r w:rsidRPr="002B1FB2" w:rsidR="002B1FB2">
        <w:rPr>
          <w:noProof/>
        </w:rPr>
        <w:t>41</w:t>
      </w:r>
      <w:r w:rsidRPr="002B1FB2">
        <w:fldChar w:fldCharType="end"/>
      </w:r>
      <w:bookmarkEnd w:id="66"/>
      <w:r w:rsidRPr="002B1FB2">
        <w:t>.  Under section 352(1) of the Civil Procedure Act, a party was not able to rely on new facts or adduce new evidence in an appeal against a first</w:t>
      </w:r>
      <w:r w:rsidRPr="002B1FB2" w:rsidR="00C62C38">
        <w:noBreakHyphen/>
      </w:r>
      <w:r w:rsidRPr="002B1FB2">
        <w:t>instance judgment, unless those facts and evidence related to serious breaches of civil procedure for which it was possible to lodge an appeal.</w:t>
      </w:r>
    </w:p>
    <w:bookmarkStart w:name="Paragraph32" w:id="67"/>
    <w:bookmarkStart w:name="para42" w:id="68"/>
    <w:p w:rsidRPr="002B1FB2" w:rsidR="003252F1" w:rsidP="002B1FB2" w:rsidRDefault="003252F1" w14:paraId="3F63CD34" w14:textId="476C86EE">
      <w:pPr>
        <w:pStyle w:val="JuPara"/>
      </w:pPr>
      <w:r w:rsidRPr="002B1FB2">
        <w:fldChar w:fldCharType="begin"/>
      </w:r>
      <w:r w:rsidRPr="002B1FB2">
        <w:instrText xml:space="preserve"> SEQ level0 \*arabic </w:instrText>
      </w:r>
      <w:r w:rsidRPr="002B1FB2">
        <w:fldChar w:fldCharType="separate"/>
      </w:r>
      <w:r w:rsidRPr="002B1FB2" w:rsidR="002B1FB2">
        <w:rPr>
          <w:noProof/>
        </w:rPr>
        <w:t>42</w:t>
      </w:r>
      <w:r w:rsidRPr="002B1FB2">
        <w:fldChar w:fldCharType="end"/>
      </w:r>
      <w:bookmarkEnd w:id="67"/>
      <w:bookmarkEnd w:id="68"/>
      <w:r w:rsidRPr="002B1FB2">
        <w:t>.  Under section 352(2) of the Civil Procedure Act, if during the first</w:t>
      </w:r>
      <w:r w:rsidRPr="002B1FB2" w:rsidR="00C62C38">
        <w:noBreakHyphen/>
      </w:r>
      <w:r w:rsidRPr="002B1FB2">
        <w:t xml:space="preserve">instance proceedings the party did not put forward an objection relating to the expiry of the statute of limitations period, </w:t>
      </w:r>
      <w:bookmarkStart w:name="_Hlk74823205" w:id="69"/>
      <w:r w:rsidRPr="002B1FB2">
        <w:t>an objection with a view to resolving the case by setting off mutual claims</w:t>
      </w:r>
      <w:bookmarkEnd w:id="69"/>
      <w:r w:rsidRPr="002B1FB2">
        <w:t xml:space="preserve">, or some other substantive or procedural objection regarding </w:t>
      </w:r>
      <w:bookmarkStart w:name="_Hlk74823259" w:id="70"/>
      <w:r w:rsidRPr="002B1FB2">
        <w:t>an issue which the first-instance court did not consider of its own motion</w:t>
      </w:r>
      <w:bookmarkEnd w:id="70"/>
      <w:r w:rsidRPr="002B1FB2">
        <w:t>, the party was not permitted to present this objection in the appeal.</w:t>
      </w:r>
    </w:p>
    <w:p w:rsidRPr="002B1FB2" w:rsidR="003252F1" w:rsidP="002B1FB2" w:rsidRDefault="003252F1" w14:paraId="72C416D5" w14:textId="5B3B6259">
      <w:pPr>
        <w:pStyle w:val="JuPara"/>
      </w:pPr>
      <w:r w:rsidRPr="002B1FB2">
        <w:fldChar w:fldCharType="begin"/>
      </w:r>
      <w:r w:rsidRPr="002B1FB2">
        <w:instrText xml:space="preserve"> SEQ level0 \*arabic </w:instrText>
      </w:r>
      <w:r w:rsidRPr="002B1FB2">
        <w:fldChar w:fldCharType="separate"/>
      </w:r>
      <w:r w:rsidRPr="002B1FB2" w:rsidR="002B1FB2">
        <w:rPr>
          <w:noProof/>
        </w:rPr>
        <w:t>43</w:t>
      </w:r>
      <w:r w:rsidRPr="002B1FB2">
        <w:fldChar w:fldCharType="end"/>
      </w:r>
      <w:r w:rsidRPr="002B1FB2">
        <w:t>.  Under section 353(1) of the Civil Procedure Act, it was possible to challenge the first-instance judgment on the grounds of a serious breach of civil procedure.</w:t>
      </w:r>
    </w:p>
    <w:bookmarkStart w:name="para38" w:id="71"/>
    <w:bookmarkStart w:name="para44" w:id="72"/>
    <w:p w:rsidRPr="002B1FB2" w:rsidR="003252F1" w:rsidP="002B1FB2" w:rsidRDefault="003252F1" w14:paraId="67ACEC80" w14:textId="0B7BA3ED">
      <w:pPr>
        <w:pStyle w:val="JuPara"/>
      </w:pPr>
      <w:r w:rsidRPr="002B1FB2">
        <w:fldChar w:fldCharType="begin"/>
      </w:r>
      <w:r w:rsidRPr="002B1FB2">
        <w:instrText xml:space="preserve"> SEQ level0 \*arabic </w:instrText>
      </w:r>
      <w:r w:rsidRPr="002B1FB2">
        <w:fldChar w:fldCharType="separate"/>
      </w:r>
      <w:r w:rsidRPr="002B1FB2" w:rsidR="002B1FB2">
        <w:rPr>
          <w:noProof/>
        </w:rPr>
        <w:t>44</w:t>
      </w:r>
      <w:r w:rsidRPr="002B1FB2">
        <w:fldChar w:fldCharType="end"/>
      </w:r>
      <w:bookmarkEnd w:id="71"/>
      <w:bookmarkEnd w:id="72"/>
      <w:r w:rsidRPr="002B1FB2">
        <w:t>.  </w:t>
      </w:r>
      <w:bookmarkStart w:name="_Hlk85227434" w:id="73"/>
      <w:r w:rsidRPr="002B1FB2">
        <w:t>Under section 354(1) of the Civil Procedure Act, a serious breach of civil procedure arose if during the proceedings the court failed to apply, or incorrectly applied, a provision of this Act, which influenced, or could have influenced, the rendering of a lawful and just judgment.</w:t>
      </w:r>
      <w:bookmarkEnd w:id="73"/>
    </w:p>
    <w:p w:rsidRPr="002B1FB2" w:rsidR="003252F1" w:rsidP="002B1FB2" w:rsidRDefault="003252F1" w14:paraId="6FF9E5E7" w14:textId="7084B404">
      <w:pPr>
        <w:pStyle w:val="JuPara"/>
      </w:pPr>
      <w:r w:rsidRPr="002B1FB2">
        <w:fldChar w:fldCharType="begin"/>
      </w:r>
      <w:r w:rsidRPr="002B1FB2">
        <w:instrText xml:space="preserve"> SEQ level0 \*arabic </w:instrText>
      </w:r>
      <w:r w:rsidRPr="002B1FB2">
        <w:fldChar w:fldCharType="separate"/>
      </w:r>
      <w:r w:rsidRPr="002B1FB2" w:rsidR="002B1FB2">
        <w:rPr>
          <w:noProof/>
        </w:rPr>
        <w:t>45</w:t>
      </w:r>
      <w:r w:rsidRPr="002B1FB2">
        <w:fldChar w:fldCharType="end"/>
      </w:r>
      <w:r w:rsidRPr="002B1FB2">
        <w:t>.  In addition to the Civil Procedure Act, at the material time in the case at hand the position of court experts was regulated by two editions of the Court Experts Ordinance (</w:t>
      </w:r>
      <w:proofErr w:type="spellStart"/>
      <w:r w:rsidRPr="002B1FB2">
        <w:rPr>
          <w:i/>
        </w:rPr>
        <w:t>Pravilnik</w:t>
      </w:r>
      <w:proofErr w:type="spellEnd"/>
      <w:r w:rsidRPr="002B1FB2">
        <w:rPr>
          <w:i/>
        </w:rPr>
        <w:t xml:space="preserve"> o </w:t>
      </w:r>
      <w:proofErr w:type="spellStart"/>
      <w:r w:rsidRPr="002B1FB2">
        <w:rPr>
          <w:i/>
        </w:rPr>
        <w:t>stalnim</w:t>
      </w:r>
      <w:proofErr w:type="spellEnd"/>
      <w:r w:rsidRPr="002B1FB2">
        <w:rPr>
          <w:i/>
        </w:rPr>
        <w:t xml:space="preserve"> </w:t>
      </w:r>
      <w:proofErr w:type="spellStart"/>
      <w:r w:rsidRPr="002B1FB2">
        <w:rPr>
          <w:i/>
        </w:rPr>
        <w:t>sudskim</w:t>
      </w:r>
      <w:proofErr w:type="spellEnd"/>
      <w:r w:rsidRPr="002B1FB2">
        <w:rPr>
          <w:i/>
        </w:rPr>
        <w:t xml:space="preserve"> </w:t>
      </w:r>
      <w:proofErr w:type="spellStart"/>
      <w:r w:rsidRPr="002B1FB2">
        <w:rPr>
          <w:i/>
        </w:rPr>
        <w:t>vještacima</w:t>
      </w:r>
      <w:proofErr w:type="spellEnd"/>
      <w:r w:rsidRPr="002B1FB2">
        <w:rPr>
          <w:iCs/>
        </w:rPr>
        <w:t>,</w:t>
      </w:r>
      <w:r w:rsidRPr="002B1FB2">
        <w:rPr>
          <w:i/>
        </w:rPr>
        <w:t xml:space="preserve"> </w:t>
      </w:r>
      <w:r w:rsidRPr="002B1FB2">
        <w:t xml:space="preserve">Official Gazette no. 21/1998, and </w:t>
      </w:r>
      <w:proofErr w:type="spellStart"/>
      <w:r w:rsidRPr="002B1FB2">
        <w:rPr>
          <w:i/>
        </w:rPr>
        <w:t>Pravilnik</w:t>
      </w:r>
      <w:proofErr w:type="spellEnd"/>
      <w:r w:rsidRPr="002B1FB2">
        <w:rPr>
          <w:i/>
        </w:rPr>
        <w:t xml:space="preserve"> o </w:t>
      </w:r>
      <w:proofErr w:type="spellStart"/>
      <w:r w:rsidRPr="002B1FB2">
        <w:rPr>
          <w:i/>
        </w:rPr>
        <w:t>stalnim</w:t>
      </w:r>
      <w:proofErr w:type="spellEnd"/>
      <w:r w:rsidRPr="002B1FB2">
        <w:rPr>
          <w:i/>
        </w:rPr>
        <w:t xml:space="preserve"> </w:t>
      </w:r>
      <w:proofErr w:type="spellStart"/>
      <w:r w:rsidRPr="002B1FB2">
        <w:rPr>
          <w:i/>
        </w:rPr>
        <w:t>sudskim</w:t>
      </w:r>
      <w:proofErr w:type="spellEnd"/>
      <w:r w:rsidRPr="002B1FB2">
        <w:rPr>
          <w:i/>
        </w:rPr>
        <w:t xml:space="preserve"> </w:t>
      </w:r>
      <w:proofErr w:type="spellStart"/>
      <w:r w:rsidRPr="002B1FB2">
        <w:rPr>
          <w:i/>
        </w:rPr>
        <w:t>vještacima</w:t>
      </w:r>
      <w:proofErr w:type="spellEnd"/>
      <w:r w:rsidRPr="002B1FB2">
        <w:rPr>
          <w:iCs/>
        </w:rPr>
        <w:t>,</w:t>
      </w:r>
      <w:r w:rsidRPr="002B1FB2">
        <w:rPr>
          <w:i/>
        </w:rPr>
        <w:t xml:space="preserve"> </w:t>
      </w:r>
      <w:r w:rsidRPr="002B1FB2">
        <w:t xml:space="preserve">Official Gazette no. 88/2008, with further amendments). Both editions of the Court Experts Ordinance </w:t>
      </w:r>
      <w:proofErr w:type="gramStart"/>
      <w:r w:rsidRPr="002B1FB2">
        <w:t>provided that</w:t>
      </w:r>
      <w:proofErr w:type="gramEnd"/>
      <w:r w:rsidRPr="002B1FB2">
        <w:t xml:space="preserve"> court experts were required to give opinions that were objective and to the best of their knowledge true.</w:t>
      </w:r>
    </w:p>
    <w:bookmarkStart w:name="PARA43" w:id="74"/>
    <w:p w:rsidRPr="002B1FB2" w:rsidR="003252F1" w:rsidP="002B1FB2" w:rsidRDefault="003252F1" w14:paraId="60F5D556" w14:textId="54396B9D">
      <w:pPr>
        <w:pStyle w:val="JuPara"/>
      </w:pPr>
      <w:r w:rsidRPr="002B1FB2">
        <w:fldChar w:fldCharType="begin"/>
      </w:r>
      <w:r w:rsidRPr="002B1FB2">
        <w:instrText xml:space="preserve"> SEQ level0 \*arabic </w:instrText>
      </w:r>
      <w:r w:rsidRPr="002B1FB2">
        <w:fldChar w:fldCharType="separate"/>
      </w:r>
      <w:r w:rsidRPr="002B1FB2" w:rsidR="002B1FB2">
        <w:rPr>
          <w:noProof/>
        </w:rPr>
        <w:t>46</w:t>
      </w:r>
      <w:r w:rsidRPr="002B1FB2">
        <w:fldChar w:fldCharType="end"/>
      </w:r>
      <w:bookmarkEnd w:id="74"/>
      <w:r w:rsidRPr="002B1FB2">
        <w:t>.  The duties of court experts in carrying out their work were also regulated by two editions of the Code of Ethics of Court Experts (</w:t>
      </w:r>
      <w:proofErr w:type="spellStart"/>
      <w:r w:rsidRPr="002B1FB2">
        <w:rPr>
          <w:i/>
        </w:rPr>
        <w:t>Etički</w:t>
      </w:r>
      <w:proofErr w:type="spellEnd"/>
      <w:r w:rsidRPr="002B1FB2">
        <w:rPr>
          <w:i/>
        </w:rPr>
        <w:t xml:space="preserve"> </w:t>
      </w:r>
      <w:proofErr w:type="spellStart"/>
      <w:r w:rsidRPr="002B1FB2">
        <w:rPr>
          <w:i/>
        </w:rPr>
        <w:t>kodeks</w:t>
      </w:r>
      <w:proofErr w:type="spellEnd"/>
      <w:r w:rsidRPr="002B1FB2">
        <w:rPr>
          <w:i/>
        </w:rPr>
        <w:t xml:space="preserve"> </w:t>
      </w:r>
      <w:proofErr w:type="spellStart"/>
      <w:r w:rsidRPr="002B1FB2">
        <w:rPr>
          <w:i/>
        </w:rPr>
        <w:t>sudskih</w:t>
      </w:r>
      <w:proofErr w:type="spellEnd"/>
      <w:r w:rsidRPr="002B1FB2">
        <w:rPr>
          <w:i/>
        </w:rPr>
        <w:t xml:space="preserve"> </w:t>
      </w:r>
      <w:proofErr w:type="spellStart"/>
      <w:r w:rsidRPr="002B1FB2">
        <w:rPr>
          <w:i/>
        </w:rPr>
        <w:t>vještaka</w:t>
      </w:r>
      <w:proofErr w:type="spellEnd"/>
      <w:r w:rsidRPr="002B1FB2">
        <w:t>), adopted by the Croatian Association of Court Experts</w:t>
      </w:r>
      <w:r w:rsidRPr="002B1FB2">
        <w:rPr>
          <w:i/>
        </w:rPr>
        <w:t xml:space="preserve"> (</w:t>
      </w:r>
      <w:proofErr w:type="spellStart"/>
      <w:r w:rsidRPr="002B1FB2">
        <w:rPr>
          <w:i/>
        </w:rPr>
        <w:t>Hrvatsko</w:t>
      </w:r>
      <w:proofErr w:type="spellEnd"/>
      <w:r w:rsidRPr="002B1FB2">
        <w:rPr>
          <w:i/>
        </w:rPr>
        <w:t xml:space="preserve"> </w:t>
      </w:r>
      <w:proofErr w:type="spellStart"/>
      <w:r w:rsidRPr="002B1FB2">
        <w:rPr>
          <w:i/>
        </w:rPr>
        <w:t>društvo</w:t>
      </w:r>
      <w:proofErr w:type="spellEnd"/>
      <w:r w:rsidRPr="002B1FB2">
        <w:rPr>
          <w:i/>
        </w:rPr>
        <w:t xml:space="preserve"> </w:t>
      </w:r>
      <w:proofErr w:type="spellStart"/>
      <w:r w:rsidRPr="002B1FB2">
        <w:rPr>
          <w:i/>
        </w:rPr>
        <w:t>sudskih</w:t>
      </w:r>
      <w:proofErr w:type="spellEnd"/>
      <w:r w:rsidRPr="002B1FB2">
        <w:rPr>
          <w:i/>
        </w:rPr>
        <w:t xml:space="preserve"> </w:t>
      </w:r>
      <w:proofErr w:type="spellStart"/>
      <w:r w:rsidRPr="002B1FB2">
        <w:rPr>
          <w:i/>
        </w:rPr>
        <w:t>vještaka</w:t>
      </w:r>
      <w:proofErr w:type="spellEnd"/>
      <w:r w:rsidRPr="002B1FB2">
        <w:t>)</w:t>
      </w:r>
      <w:r w:rsidRPr="002B1FB2">
        <w:rPr>
          <w:i/>
        </w:rPr>
        <w:t xml:space="preserve"> </w:t>
      </w:r>
      <w:r w:rsidRPr="002B1FB2">
        <w:t xml:space="preserve">on 6 April 2002 and 12 February 2011. The latter edition </w:t>
      </w:r>
      <w:proofErr w:type="gramStart"/>
      <w:r w:rsidRPr="002B1FB2">
        <w:t>provided that</w:t>
      </w:r>
      <w:proofErr w:type="gramEnd"/>
      <w:r w:rsidRPr="002B1FB2">
        <w:t xml:space="preserve"> experts were required to avoid conflicts of interest caused by family relations, friendships and financial interests, and abstain from receiving any kind of payment which could affect their objectivity (section 4). They were required to give independent and impartial opinions (section 8). They were obliged to notify the court if there were justified grounds for their removal from the case (section 10).</w:t>
      </w:r>
    </w:p>
    <w:p w:rsidRPr="002B1FB2" w:rsidR="003252F1" w:rsidP="002B1FB2" w:rsidRDefault="003252F1" w14:paraId="52063F59" w14:textId="77777777">
      <w:pPr>
        <w:pStyle w:val="JuHIRoman"/>
      </w:pPr>
      <w:r w:rsidRPr="002B1FB2">
        <w:t>Relevant domestic practice</w:t>
      </w:r>
    </w:p>
    <w:bookmarkStart w:name="para47" w:id="75"/>
    <w:p w:rsidRPr="002B1FB2" w:rsidR="003252F1" w:rsidP="002B1FB2" w:rsidRDefault="003252F1" w14:paraId="54B923E1" w14:textId="34FDCD6F">
      <w:pPr>
        <w:pStyle w:val="JuPara"/>
      </w:pPr>
      <w:r w:rsidRPr="002B1FB2">
        <w:fldChar w:fldCharType="begin"/>
      </w:r>
      <w:r w:rsidRPr="002B1FB2">
        <w:instrText xml:space="preserve"> SEQ level0 \*arabic </w:instrText>
      </w:r>
      <w:r w:rsidRPr="002B1FB2">
        <w:fldChar w:fldCharType="separate"/>
      </w:r>
      <w:r w:rsidRPr="002B1FB2" w:rsidR="002B1FB2">
        <w:rPr>
          <w:noProof/>
        </w:rPr>
        <w:t>47</w:t>
      </w:r>
      <w:r w:rsidRPr="002B1FB2">
        <w:fldChar w:fldCharType="end"/>
      </w:r>
      <w:bookmarkEnd w:id="75"/>
      <w:r w:rsidRPr="002B1FB2">
        <w:t>.  The Government relied on the Supreme Court</w:t>
      </w:r>
      <w:r w:rsidRPr="002B1FB2" w:rsidR="002B1FB2">
        <w:t>’</w:t>
      </w:r>
      <w:r w:rsidRPr="002B1FB2">
        <w:t>s decision no. Rev</w:t>
      </w:r>
      <w:r w:rsidRPr="002B1FB2">
        <w:noBreakHyphen/>
        <w:t>x</w:t>
      </w:r>
      <w:r w:rsidRPr="002B1FB2">
        <w:noBreakHyphen/>
        <w:t>1115/13 of 10 December 2014 delivered in civil proceedings in which the plaintiffs had sought damages from a municipality.</w:t>
      </w:r>
    </w:p>
    <w:bookmarkStart w:name="para48" w:id="76"/>
    <w:bookmarkStart w:name="PARA45" w:id="77"/>
    <w:p w:rsidRPr="002B1FB2" w:rsidR="003252F1" w:rsidP="002B1FB2" w:rsidRDefault="003252F1" w14:paraId="5DA253D1" w14:textId="41DBF46F">
      <w:pPr>
        <w:pStyle w:val="JuPara"/>
      </w:pPr>
      <w:r w:rsidRPr="002B1FB2">
        <w:fldChar w:fldCharType="begin"/>
      </w:r>
      <w:r w:rsidRPr="002B1FB2">
        <w:instrText xml:space="preserve"> SEQ level0 \*arabic </w:instrText>
      </w:r>
      <w:r w:rsidRPr="002B1FB2">
        <w:fldChar w:fldCharType="separate"/>
      </w:r>
      <w:r w:rsidRPr="002B1FB2" w:rsidR="002B1FB2">
        <w:rPr>
          <w:noProof/>
        </w:rPr>
        <w:t>48</w:t>
      </w:r>
      <w:r w:rsidRPr="002B1FB2">
        <w:fldChar w:fldCharType="end"/>
      </w:r>
      <w:bookmarkEnd w:id="76"/>
      <w:r w:rsidRPr="002B1FB2">
        <w:t>.  </w:t>
      </w:r>
      <w:bookmarkEnd w:id="77"/>
      <w:r w:rsidRPr="002B1FB2">
        <w:t xml:space="preserve">In that decision the Supreme Court noted, </w:t>
      </w:r>
      <w:r w:rsidRPr="002B1FB2">
        <w:rPr>
          <w:i/>
          <w:iCs/>
        </w:rPr>
        <w:t>inter alia</w:t>
      </w:r>
      <w:r w:rsidRPr="002B1FB2">
        <w:t>, that the first</w:t>
      </w:r>
      <w:r w:rsidRPr="002B1FB2" w:rsidR="00C62C38">
        <w:noBreakHyphen/>
      </w:r>
      <w:r w:rsidRPr="002B1FB2">
        <w:t xml:space="preserve">instance judgment in the case had been based on an expert report submitted by a court expert in respect of whom during the first-instance proceedings the plaintiffs had submitted a request for disqualification for reasons which they had reiterated in their appeal and appeal on points of law, namely, that a company owned by the expert had been in an ongoing business relationship with the defendant. The Supreme Court held that if an expert was in an ongoing business relationship with a party to the proceedings, that could amount to circumstances which cast doubt on his or her impartiality under section 71(7) of the Civil Procedure Act. It noted that the first-instance court had dismissed the request for disqualification of the expert as unfounded and that the second-instance court had avoided considering the matter deeming, </w:t>
      </w:r>
      <w:r w:rsidRPr="002B1FB2">
        <w:rPr>
          <w:i/>
          <w:iCs/>
        </w:rPr>
        <w:t>inter alia</w:t>
      </w:r>
      <w:r w:rsidRPr="002B1FB2">
        <w:t>, that the plaintiffs had not submitted their request for disqualification within the time-limit set out in section 254(2) of the Civil Procedure Act (that is, before the expert report had been commissioned). The Supreme Court found that the second-instance court had failed to apply section 254(6) of the Civil Procedure Act, pursuant to which the request could also be submitted after the expert report had already been commissioned, if the party learned of the reasons for disqualification subsequently. The second-instance court had not taken into consideration when the plaintiffs had learned of the reason for the expert</w:t>
      </w:r>
      <w:r w:rsidRPr="002B1FB2" w:rsidR="002B1FB2">
        <w:t>’</w:t>
      </w:r>
      <w:r w:rsidRPr="002B1FB2">
        <w:t>s disqualification. In the second-instance proceedings there had therefore been a serious breach of civil procedure which could have influenced the rendering of a lawful and just judgment. On this ground the Supreme Court quashed the judgment of the second-instance court and remitted the case to it.</w:t>
      </w:r>
    </w:p>
    <w:p w:rsidRPr="002B1FB2" w:rsidR="003252F1" w:rsidP="002B1FB2" w:rsidRDefault="003252F1" w14:paraId="3776540A" w14:textId="2E6EC7D7">
      <w:pPr>
        <w:pStyle w:val="JuHHead"/>
        <w:numPr>
          <w:ilvl w:val="0"/>
          <w:numId w:val="2"/>
        </w:numPr>
        <w:ind w:left="360" w:hanging="360"/>
      </w:pPr>
      <w:r w:rsidRPr="002B1FB2">
        <w:t>THE LAW</w:t>
      </w:r>
    </w:p>
    <w:p w:rsidRPr="002B1FB2" w:rsidR="003252F1" w:rsidP="002B1FB2" w:rsidRDefault="003252F1" w14:paraId="5182D8AD" w14:textId="0331F41E">
      <w:pPr>
        <w:pStyle w:val="JuHIRoman"/>
        <w:numPr>
          <w:ilvl w:val="0"/>
          <w:numId w:val="0"/>
        </w:numPr>
        <w:ind w:left="369"/>
      </w:pPr>
      <w:r w:rsidRPr="002B1FB2">
        <w:t>ALLEGED VIOLATION OF ARTICLE 6 OF THE CONVENTION</w:t>
      </w:r>
    </w:p>
    <w:p w:rsidRPr="002B1FB2" w:rsidR="003252F1" w:rsidP="002B1FB2" w:rsidRDefault="003252F1" w14:paraId="23BF44E8" w14:textId="65FD4981">
      <w:pPr>
        <w:pStyle w:val="JuPara"/>
        <w:rPr>
          <w:rFonts w:eastAsiaTheme="minorEastAsia"/>
          <w:szCs w:val="22"/>
        </w:rPr>
      </w:pPr>
      <w:r w:rsidRPr="002B1FB2">
        <w:fldChar w:fldCharType="begin"/>
      </w:r>
      <w:r w:rsidRPr="002B1FB2">
        <w:instrText xml:space="preserve"> SEQ level0 \*arabic </w:instrText>
      </w:r>
      <w:r w:rsidRPr="002B1FB2">
        <w:fldChar w:fldCharType="separate"/>
      </w:r>
      <w:r w:rsidRPr="002B1FB2" w:rsidR="002B1FB2">
        <w:rPr>
          <w:noProof/>
        </w:rPr>
        <w:t>49</w:t>
      </w:r>
      <w:r w:rsidRPr="002B1FB2">
        <w:fldChar w:fldCharType="end"/>
      </w:r>
      <w:r w:rsidRPr="002B1FB2">
        <w:t>.  The applicant complained that he had not had a fair hearing because the national courts had based their judgment on the opinion of an expert who had worked for the defendant company.</w:t>
      </w:r>
      <w:r w:rsidRPr="002B1FB2">
        <w:rPr>
          <w:rFonts w:eastAsiaTheme="minorEastAsia"/>
          <w:szCs w:val="22"/>
        </w:rPr>
        <w:t xml:space="preserve"> The applicant relied on Article 6 § 1 of the Convention, which reads as follows:</w:t>
      </w:r>
    </w:p>
    <w:p w:rsidRPr="002B1FB2" w:rsidR="003252F1" w:rsidP="002B1FB2" w:rsidRDefault="003252F1" w14:paraId="7BC34CDF" w14:textId="5F40D410">
      <w:pPr>
        <w:pStyle w:val="JuQuot"/>
        <w:rPr>
          <w:rFonts w:eastAsiaTheme="minorEastAsia"/>
        </w:rPr>
      </w:pPr>
      <w:r w:rsidRPr="002B1FB2">
        <w:rPr>
          <w:rFonts w:eastAsiaTheme="minorEastAsia"/>
        </w:rPr>
        <w:t>“In the determination of his civil rights and obligations ... everyone is entitled to a fair ... hearing ... by an independent and impartial tribunal ...”</w:t>
      </w:r>
    </w:p>
    <w:p w:rsidRPr="002B1FB2" w:rsidR="003252F1" w:rsidP="002B1FB2" w:rsidRDefault="003252F1" w14:paraId="0E6909FD" w14:textId="549CA119">
      <w:pPr>
        <w:pStyle w:val="JuHA"/>
      </w:pPr>
      <w:r w:rsidRPr="002B1FB2">
        <w:t>Admissibility</w:t>
      </w:r>
    </w:p>
    <w:p w:rsidRPr="002B1FB2" w:rsidR="003252F1" w:rsidP="002B1FB2" w:rsidRDefault="003252F1" w14:paraId="6EB0F5DD" w14:textId="794138EA">
      <w:pPr>
        <w:pStyle w:val="JuPara"/>
      </w:pPr>
      <w:r w:rsidRPr="002B1FB2">
        <w:fldChar w:fldCharType="begin"/>
      </w:r>
      <w:r w:rsidRPr="002B1FB2">
        <w:instrText xml:space="preserve"> SEQ level0 \*arabic </w:instrText>
      </w:r>
      <w:r w:rsidRPr="002B1FB2">
        <w:fldChar w:fldCharType="separate"/>
      </w:r>
      <w:r w:rsidRPr="002B1FB2" w:rsidR="002B1FB2">
        <w:rPr>
          <w:noProof/>
        </w:rPr>
        <w:t>50</w:t>
      </w:r>
      <w:r w:rsidRPr="002B1FB2">
        <w:fldChar w:fldCharType="end"/>
      </w:r>
      <w:r w:rsidRPr="002B1FB2">
        <w:t>.  The Court notes that the complaint is neither manifestly ill-founded nor inadmissible on any other grounds listed in Article 35 of the Convention. It must therefore be declared admissible.</w:t>
      </w:r>
    </w:p>
    <w:p w:rsidRPr="002B1FB2" w:rsidR="003252F1" w:rsidP="002B1FB2" w:rsidRDefault="003252F1" w14:paraId="15D52004" w14:textId="77777777">
      <w:pPr>
        <w:pStyle w:val="JuHA"/>
      </w:pPr>
      <w:r w:rsidRPr="002B1FB2">
        <w:t>Merits</w:t>
      </w:r>
    </w:p>
    <w:p w:rsidRPr="002B1FB2" w:rsidR="003252F1" w:rsidP="002B1FB2" w:rsidRDefault="003252F1" w14:paraId="2C39EF54" w14:textId="78305223">
      <w:pPr>
        <w:pStyle w:val="JuH1"/>
      </w:pPr>
      <w:r w:rsidRPr="002B1FB2">
        <w:t>The parties</w:t>
      </w:r>
      <w:r w:rsidRPr="002B1FB2" w:rsidR="002B1FB2">
        <w:t>’</w:t>
      </w:r>
      <w:r w:rsidRPr="002B1FB2">
        <w:t xml:space="preserve"> submissions</w:t>
      </w:r>
    </w:p>
    <w:p w:rsidRPr="002B1FB2" w:rsidR="003252F1" w:rsidP="002B1FB2" w:rsidRDefault="003252F1" w14:paraId="459F33FF" w14:textId="77777777">
      <w:pPr>
        <w:pStyle w:val="JuHa0"/>
      </w:pPr>
      <w:r w:rsidRPr="002B1FB2">
        <w:t>The applicant</w:t>
      </w:r>
    </w:p>
    <w:p w:rsidRPr="002B1FB2" w:rsidR="003252F1" w:rsidP="002B1FB2" w:rsidRDefault="00C75CA9" w14:paraId="079A863F" w14:textId="60E8C4C3">
      <w:pPr>
        <w:pStyle w:val="JuPara"/>
      </w:pPr>
      <w:fldSimple w:instr=" SEQ level0 \*arabic \* MERGEFORMAT ">
        <w:r w:rsidRPr="002B1FB2" w:rsidR="002B1FB2">
          <w:rPr>
            <w:noProof/>
          </w:rPr>
          <w:t>51</w:t>
        </w:r>
      </w:fldSimple>
      <w:r w:rsidRPr="002B1FB2" w:rsidR="003252F1">
        <w:t xml:space="preserve">.  The applicant argued that under the Civil Procedure Act, experts should inform the court if there were any circumstances calling his or her independence or impartiality into doubt. V.B. had failed to disclose her professional ties with the defendant company and had submitted an expert report </w:t>
      </w:r>
      <w:proofErr w:type="gramStart"/>
      <w:r w:rsidRPr="002B1FB2" w:rsidR="003252F1">
        <w:t>on the basis of</w:t>
      </w:r>
      <w:proofErr w:type="gramEnd"/>
      <w:r w:rsidRPr="002B1FB2" w:rsidR="003252F1">
        <w:t xml:space="preserve"> which the courts had dismissed an important part of his claim. This had violated the principle of equality of arms.</w:t>
      </w:r>
    </w:p>
    <w:bookmarkStart w:name="Para46" w:id="78"/>
    <w:bookmarkStart w:name="para52" w:id="79"/>
    <w:p w:rsidRPr="002B1FB2" w:rsidR="003252F1" w:rsidP="002B1FB2" w:rsidRDefault="003252F1" w14:paraId="4E1CD2BD" w14:textId="29E84688">
      <w:pPr>
        <w:pStyle w:val="JuPara"/>
      </w:pPr>
      <w:r w:rsidRPr="002B1FB2">
        <w:fldChar w:fldCharType="begin"/>
      </w:r>
      <w:r w:rsidRPr="002B1FB2">
        <w:instrText xml:space="preserve"> SEQ level0 \*arabic </w:instrText>
      </w:r>
      <w:r w:rsidRPr="002B1FB2">
        <w:fldChar w:fldCharType="separate"/>
      </w:r>
      <w:r w:rsidRPr="002B1FB2" w:rsidR="002B1FB2">
        <w:rPr>
          <w:noProof/>
        </w:rPr>
        <w:t>52</w:t>
      </w:r>
      <w:r w:rsidRPr="002B1FB2">
        <w:fldChar w:fldCharType="end"/>
      </w:r>
      <w:bookmarkEnd w:id="78"/>
      <w:bookmarkEnd w:id="79"/>
      <w:r w:rsidRPr="002B1FB2">
        <w:t>.  The applicant explained that I.D., the lawyer who had represented him during the first-instance proceedings, had not had any personal or professional contact with V.B., and had not been aware of her connection with the defendant company. In the appellate proceedings he had hired new lawyers who had found out about this connection and had raised the issue of the lack of impartiality in the appeal against the first-instance judgment. However, the second-instance court had refused to consider the matter and his constitutional complaint had been to no avail.</w:t>
      </w:r>
    </w:p>
    <w:p w:rsidRPr="002B1FB2" w:rsidR="003252F1" w:rsidP="002B1FB2" w:rsidRDefault="003252F1" w14:paraId="42CD6ACF" w14:textId="77777777">
      <w:pPr>
        <w:pStyle w:val="JuHa0"/>
      </w:pPr>
      <w:r w:rsidRPr="002B1FB2">
        <w:t>The Government</w:t>
      </w:r>
    </w:p>
    <w:bookmarkStart w:name="para53" w:id="80"/>
    <w:bookmarkStart w:name="_Hlk85104112" w:id="81"/>
    <w:p w:rsidRPr="002B1FB2" w:rsidR="003252F1" w:rsidP="002B1FB2" w:rsidRDefault="003252F1" w14:paraId="5D877258" w14:textId="44C32709">
      <w:pPr>
        <w:pStyle w:val="JuPara"/>
      </w:pPr>
      <w:r w:rsidRPr="002B1FB2">
        <w:fldChar w:fldCharType="begin"/>
      </w:r>
      <w:r w:rsidRPr="002B1FB2">
        <w:instrText xml:space="preserve"> SEQ level0 \*arabic </w:instrText>
      </w:r>
      <w:r w:rsidRPr="002B1FB2">
        <w:fldChar w:fldCharType="separate"/>
      </w:r>
      <w:r w:rsidRPr="002B1FB2" w:rsidR="002B1FB2">
        <w:rPr>
          <w:noProof/>
        </w:rPr>
        <w:t>53</w:t>
      </w:r>
      <w:r w:rsidRPr="002B1FB2">
        <w:fldChar w:fldCharType="end"/>
      </w:r>
      <w:bookmarkEnd w:id="80"/>
      <w:r w:rsidRPr="002B1FB2">
        <w:t>.  The Government contended that there was nothing to indicate that the first-instance court judge had been aware of the connection between the defendant company and V.B. when appointing her as expert in the applicant</w:t>
      </w:r>
      <w:r w:rsidRPr="002B1FB2" w:rsidR="002B1FB2">
        <w:t>’</w:t>
      </w:r>
      <w:r w:rsidRPr="002B1FB2">
        <w:t>s case. V.B. was a permanent court expert specialising in occupational medicine. The list of permanent court experts only contained the experts</w:t>
      </w:r>
      <w:r w:rsidRPr="002B1FB2" w:rsidR="002B1FB2">
        <w:t>’</w:t>
      </w:r>
      <w:r w:rsidRPr="002B1FB2">
        <w:t xml:space="preserve"> personal information and their specialisation. It did not contain information regarding their employment. Had V.B.</w:t>
      </w:r>
      <w:r w:rsidRPr="002B1FB2" w:rsidR="002B1FB2">
        <w:t>’</w:t>
      </w:r>
      <w:r w:rsidRPr="002B1FB2">
        <w:t xml:space="preserve">s professional connection with the defendant company been a generally known fact in </w:t>
      </w:r>
      <w:proofErr w:type="spellStart"/>
      <w:r w:rsidRPr="002B1FB2">
        <w:t>Đurđevac</w:t>
      </w:r>
      <w:proofErr w:type="spellEnd"/>
      <w:r w:rsidRPr="002B1FB2">
        <w:t xml:space="preserve">, then I.D., who had represented the applicant during the first-instance proceedings, would also have been aware of it. The judge who had appointed V.B. as expert in the case had not been the same judge who had adopted the final judgment </w:t>
      </w:r>
      <w:proofErr w:type="gramStart"/>
      <w:r w:rsidRPr="002B1FB2">
        <w:t>on the basis of</w:t>
      </w:r>
      <w:proofErr w:type="gramEnd"/>
      <w:r w:rsidRPr="002B1FB2">
        <w:t xml:space="preserve"> her report.</w:t>
      </w:r>
    </w:p>
    <w:p w:rsidRPr="002B1FB2" w:rsidR="003252F1" w:rsidP="002B1FB2" w:rsidRDefault="003252F1" w14:paraId="303A906F" w14:textId="10F22DA4">
      <w:pPr>
        <w:pStyle w:val="JuPara"/>
      </w:pPr>
      <w:r w:rsidRPr="002B1FB2">
        <w:fldChar w:fldCharType="begin"/>
      </w:r>
      <w:r w:rsidRPr="002B1FB2">
        <w:instrText xml:space="preserve"> SEQ level0 \*arabic </w:instrText>
      </w:r>
      <w:r w:rsidRPr="002B1FB2">
        <w:fldChar w:fldCharType="separate"/>
      </w:r>
      <w:r w:rsidRPr="002B1FB2" w:rsidR="002B1FB2">
        <w:rPr>
          <w:noProof/>
        </w:rPr>
        <w:t>54</w:t>
      </w:r>
      <w:r w:rsidRPr="002B1FB2">
        <w:fldChar w:fldCharType="end"/>
      </w:r>
      <w:r w:rsidRPr="002B1FB2">
        <w:t>.  The Government further submitted that although the commissioning of an expert report was within the competence of the court conducting the proceedings, the parties had sufficient procedural safeguards to ensure the impartiality of experts. They had the possibility to object to a particular person being appointed as expert in their case. They were also able to submit a request for the disqualification of an expert, who could be disqualified for the same reasons as judges, such as permanent or temporary employment by a legal entity which was a party to the proceedings.</w:t>
      </w:r>
    </w:p>
    <w:p w:rsidRPr="002B1FB2" w:rsidR="003252F1" w:rsidP="002B1FB2" w:rsidRDefault="003252F1" w14:paraId="51C3AC78" w14:textId="0AB359B6">
      <w:pPr>
        <w:pStyle w:val="JuPara"/>
      </w:pPr>
      <w:r w:rsidRPr="002B1FB2">
        <w:fldChar w:fldCharType="begin"/>
      </w:r>
      <w:r w:rsidRPr="002B1FB2">
        <w:instrText xml:space="preserve"> SEQ level0 \*arabic </w:instrText>
      </w:r>
      <w:r w:rsidRPr="002B1FB2">
        <w:fldChar w:fldCharType="separate"/>
      </w:r>
      <w:r w:rsidRPr="002B1FB2" w:rsidR="002B1FB2">
        <w:rPr>
          <w:noProof/>
        </w:rPr>
        <w:t>55</w:t>
      </w:r>
      <w:r w:rsidRPr="002B1FB2">
        <w:fldChar w:fldCharType="end"/>
      </w:r>
      <w:r w:rsidRPr="002B1FB2">
        <w:t>.  The Government noted that the applicant and his lawyer had had no objections to V.B.</w:t>
      </w:r>
      <w:r w:rsidRPr="002B1FB2" w:rsidR="002B1FB2">
        <w:t>’</w:t>
      </w:r>
      <w:r w:rsidRPr="002B1FB2">
        <w:t>s impartiality during a period of six years. They had obviously not acted diligently since, as pointed out by the applicant</w:t>
      </w:r>
      <w:r w:rsidRPr="002B1FB2" w:rsidR="002B1FB2">
        <w:t>’</w:t>
      </w:r>
      <w:r w:rsidRPr="002B1FB2">
        <w:t>s lawyers in the appeal proceedings, the information on V.B.</w:t>
      </w:r>
      <w:r w:rsidRPr="002B1FB2" w:rsidR="002B1FB2">
        <w:t>’</w:t>
      </w:r>
      <w:r w:rsidRPr="002B1FB2">
        <w:t>s connection with the defendant company had been “publicly available”.</w:t>
      </w:r>
    </w:p>
    <w:bookmarkStart w:name="PARA54" w:id="82"/>
    <w:p w:rsidRPr="002B1FB2" w:rsidR="003252F1" w:rsidP="002B1FB2" w:rsidRDefault="003252F1" w14:paraId="5ABC4FA2" w14:textId="7EDA204A">
      <w:pPr>
        <w:pStyle w:val="JuPara"/>
      </w:pPr>
      <w:r w:rsidRPr="002B1FB2">
        <w:fldChar w:fldCharType="begin"/>
      </w:r>
      <w:r w:rsidRPr="002B1FB2">
        <w:instrText xml:space="preserve"> SEQ level0 \*arabic </w:instrText>
      </w:r>
      <w:r w:rsidRPr="002B1FB2">
        <w:fldChar w:fldCharType="separate"/>
      </w:r>
      <w:r w:rsidRPr="002B1FB2" w:rsidR="002B1FB2">
        <w:rPr>
          <w:noProof/>
        </w:rPr>
        <w:t>56</w:t>
      </w:r>
      <w:r w:rsidRPr="002B1FB2">
        <w:fldChar w:fldCharType="end"/>
      </w:r>
      <w:r w:rsidRPr="002B1FB2">
        <w:t>.  </w:t>
      </w:r>
      <w:bookmarkEnd w:id="82"/>
      <w:r w:rsidRPr="002B1FB2">
        <w:t xml:space="preserve">The Government argued that the national law did not oblige judges to consider the existence of reasons for disqualification of experts of their own motion. </w:t>
      </w:r>
      <w:proofErr w:type="gramStart"/>
      <w:r w:rsidRPr="002B1FB2">
        <w:t>Otherwise</w:t>
      </w:r>
      <w:proofErr w:type="gramEnd"/>
      <w:r w:rsidRPr="002B1FB2">
        <w:t xml:space="preserve"> judges would have to examine private, professional and other possible connections between the experts and parties to the proceedings.</w:t>
      </w:r>
    </w:p>
    <w:bookmarkStart w:name="PARA55" w:id="83"/>
    <w:p w:rsidRPr="002B1FB2" w:rsidR="003252F1" w:rsidP="002B1FB2" w:rsidRDefault="003252F1" w14:paraId="0547E41B" w14:textId="7AAC1144">
      <w:pPr>
        <w:pStyle w:val="JuPara"/>
      </w:pPr>
      <w:r w:rsidRPr="002B1FB2">
        <w:fldChar w:fldCharType="begin"/>
      </w:r>
      <w:r w:rsidRPr="002B1FB2">
        <w:instrText xml:space="preserve"> SEQ level0 \*arabic </w:instrText>
      </w:r>
      <w:r w:rsidRPr="002B1FB2">
        <w:fldChar w:fldCharType="separate"/>
      </w:r>
      <w:r w:rsidRPr="002B1FB2" w:rsidR="002B1FB2">
        <w:rPr>
          <w:noProof/>
        </w:rPr>
        <w:t>57</w:t>
      </w:r>
      <w:r w:rsidRPr="002B1FB2">
        <w:fldChar w:fldCharType="end"/>
      </w:r>
      <w:r w:rsidRPr="002B1FB2">
        <w:t>.  </w:t>
      </w:r>
      <w:bookmarkEnd w:id="83"/>
      <w:r w:rsidRPr="002B1FB2">
        <w:t>In the Government</w:t>
      </w:r>
      <w:r w:rsidRPr="002B1FB2" w:rsidR="002B1FB2">
        <w:t>’</w:t>
      </w:r>
      <w:r w:rsidRPr="002B1FB2">
        <w:t>s view, even if the first-instance court judge had found out about V.B.</w:t>
      </w:r>
      <w:r w:rsidRPr="002B1FB2" w:rsidR="002B1FB2">
        <w:t>’</w:t>
      </w:r>
      <w:r w:rsidRPr="002B1FB2">
        <w:t>s connection with the defendant company after appointing her as expert in the case, he could not have raised the issue of his own motion. Only the party concerned was able to ask for the expert</w:t>
      </w:r>
      <w:r w:rsidRPr="002B1FB2" w:rsidR="002B1FB2">
        <w:t>’</w:t>
      </w:r>
      <w:r w:rsidRPr="002B1FB2">
        <w:t>s disqualification. Furthermore, unlike judges, who under the domestic law were obliged to recuse themselves from the case if they discovered grounds for their exclusion or circumstances which called their impartiality into doubt, experts did not have this obligation.</w:t>
      </w:r>
    </w:p>
    <w:p w:rsidRPr="002B1FB2" w:rsidR="003252F1" w:rsidP="002B1FB2" w:rsidRDefault="00C75CA9" w14:paraId="320682A7" w14:textId="7C56B170">
      <w:pPr>
        <w:pStyle w:val="JuPara"/>
      </w:pPr>
      <w:fldSimple w:instr=" SEQ level0 \*arabic \* MERGEFORMAT ">
        <w:r w:rsidRPr="002B1FB2" w:rsidR="002B1FB2">
          <w:rPr>
            <w:noProof/>
          </w:rPr>
          <w:t>58</w:t>
        </w:r>
      </w:fldSimple>
      <w:r w:rsidRPr="002B1FB2" w:rsidR="003252F1">
        <w:t>.  Relying on the Supreme Court</w:t>
      </w:r>
      <w:r w:rsidRPr="002B1FB2" w:rsidR="002B1FB2">
        <w:t>’</w:t>
      </w:r>
      <w:r w:rsidRPr="002B1FB2" w:rsidR="003252F1">
        <w:t xml:space="preserve">s decision outlined in paragraphs  </w:t>
      </w:r>
      <w:r w:rsidRPr="002B1FB2" w:rsidR="003252F1">
        <w:fldChar w:fldCharType="begin"/>
      </w:r>
      <w:r w:rsidRPr="002B1FB2" w:rsidR="003252F1">
        <w:instrText xml:space="preserve"> REF para47 \h </w:instrText>
      </w:r>
      <w:r w:rsidRPr="002B1FB2" w:rsidR="003252F1">
        <w:fldChar w:fldCharType="separate"/>
      </w:r>
      <w:r w:rsidRPr="002B1FB2" w:rsidR="002B1FB2">
        <w:rPr>
          <w:noProof/>
        </w:rPr>
        <w:t>47</w:t>
      </w:r>
      <w:r w:rsidRPr="002B1FB2" w:rsidR="003252F1">
        <w:fldChar w:fldCharType="end"/>
      </w:r>
      <w:r w:rsidRPr="002B1FB2" w:rsidR="003252F1">
        <w:t>-</w:t>
      </w:r>
      <w:r w:rsidRPr="002B1FB2" w:rsidR="003252F1">
        <w:fldChar w:fldCharType="begin"/>
      </w:r>
      <w:r w:rsidRPr="002B1FB2" w:rsidR="003252F1">
        <w:instrText xml:space="preserve"> REF para48 \h </w:instrText>
      </w:r>
      <w:r w:rsidRPr="002B1FB2" w:rsidR="003252F1">
        <w:fldChar w:fldCharType="separate"/>
      </w:r>
      <w:r w:rsidRPr="002B1FB2" w:rsidR="002B1FB2">
        <w:rPr>
          <w:noProof/>
        </w:rPr>
        <w:t>48</w:t>
      </w:r>
      <w:r w:rsidRPr="002B1FB2" w:rsidR="003252F1">
        <w:fldChar w:fldCharType="end"/>
      </w:r>
      <w:r w:rsidRPr="002B1FB2" w:rsidR="003252F1">
        <w:t xml:space="preserve"> above, the Government stressed that a request for disqualification of an expert could be submitted only during the first-instance proceedings. The conduct of the first-instance court upon that request was then open to examination by the higher courts. The applicant had complained about V.B.</w:t>
      </w:r>
      <w:r w:rsidRPr="002B1FB2" w:rsidR="002B1FB2">
        <w:t>’</w:t>
      </w:r>
      <w:r w:rsidRPr="002B1FB2" w:rsidR="003252F1">
        <w:t>s lack of impartiality for the first time in the appeal proceedings, thus the second-instance court had been precluded from examining the matter.</w:t>
      </w:r>
    </w:p>
    <w:p w:rsidRPr="002B1FB2" w:rsidR="003252F1" w:rsidP="002B1FB2" w:rsidRDefault="003252F1" w14:paraId="3ECF05E7" w14:textId="4FFB636F">
      <w:pPr>
        <w:pStyle w:val="JuPara"/>
      </w:pPr>
      <w:r w:rsidRPr="002B1FB2">
        <w:fldChar w:fldCharType="begin"/>
      </w:r>
      <w:r w:rsidRPr="002B1FB2">
        <w:instrText xml:space="preserve"> SEQ level0 \*arabic </w:instrText>
      </w:r>
      <w:r w:rsidRPr="002B1FB2">
        <w:fldChar w:fldCharType="separate"/>
      </w:r>
      <w:r w:rsidRPr="002B1FB2" w:rsidR="002B1FB2">
        <w:rPr>
          <w:noProof/>
        </w:rPr>
        <w:t>59</w:t>
      </w:r>
      <w:r w:rsidRPr="002B1FB2">
        <w:fldChar w:fldCharType="end"/>
      </w:r>
      <w:r w:rsidRPr="002B1FB2">
        <w:t>.  The Government lastly contended that the fact that the domestic courts</w:t>
      </w:r>
      <w:r w:rsidRPr="002B1FB2" w:rsidR="002B1FB2">
        <w:t>’</w:t>
      </w:r>
      <w:r w:rsidRPr="002B1FB2">
        <w:t xml:space="preserve"> judgments in the applicant</w:t>
      </w:r>
      <w:r w:rsidRPr="002B1FB2" w:rsidR="002B1FB2">
        <w:t>’</w:t>
      </w:r>
      <w:r w:rsidRPr="002B1FB2">
        <w:t>s case had been based on V.B.</w:t>
      </w:r>
      <w:r w:rsidRPr="002B1FB2" w:rsidR="002B1FB2">
        <w:t>’</w:t>
      </w:r>
      <w:r w:rsidRPr="002B1FB2">
        <w:t>s expert report had not breached the principle of equality of arms. V.B. had been one of three experts commissioned in the case, and part of the applicant</w:t>
      </w:r>
      <w:r w:rsidRPr="002B1FB2" w:rsidR="002B1FB2">
        <w:t>’</w:t>
      </w:r>
      <w:r w:rsidRPr="002B1FB2">
        <w:t xml:space="preserve">s claim had </w:t>
      </w:r>
      <w:proofErr w:type="gramStart"/>
      <w:r w:rsidRPr="002B1FB2">
        <w:t>actually been</w:t>
      </w:r>
      <w:proofErr w:type="gramEnd"/>
      <w:r w:rsidRPr="002B1FB2">
        <w:t xml:space="preserve"> granted.</w:t>
      </w:r>
    </w:p>
    <w:bookmarkEnd w:id="81"/>
    <w:p w:rsidRPr="002B1FB2" w:rsidR="003252F1" w:rsidP="002B1FB2" w:rsidRDefault="003252F1" w14:paraId="27224277" w14:textId="48502AAC">
      <w:pPr>
        <w:pStyle w:val="JuH1"/>
      </w:pPr>
      <w:r w:rsidRPr="002B1FB2">
        <w:t>The Court</w:t>
      </w:r>
      <w:r w:rsidRPr="002B1FB2" w:rsidR="002B1FB2">
        <w:t>’</w:t>
      </w:r>
      <w:r w:rsidRPr="002B1FB2">
        <w:t>s assessment</w:t>
      </w:r>
    </w:p>
    <w:p w:rsidRPr="002B1FB2" w:rsidR="003252F1" w:rsidP="002B1FB2" w:rsidRDefault="003252F1" w14:paraId="685C9702" w14:textId="63FE8420">
      <w:pPr>
        <w:pStyle w:val="JuPara"/>
        <w:rPr>
          <w:lang w:val="en-US"/>
        </w:rPr>
      </w:pPr>
      <w:r w:rsidRPr="002B1FB2">
        <w:fldChar w:fldCharType="begin"/>
      </w:r>
      <w:r w:rsidRPr="002B1FB2">
        <w:instrText xml:space="preserve"> SEQ level0 \*arabic </w:instrText>
      </w:r>
      <w:r w:rsidRPr="002B1FB2">
        <w:fldChar w:fldCharType="separate"/>
      </w:r>
      <w:r w:rsidRPr="002B1FB2" w:rsidR="002B1FB2">
        <w:rPr>
          <w:noProof/>
        </w:rPr>
        <w:t>60</w:t>
      </w:r>
      <w:r w:rsidRPr="002B1FB2">
        <w:fldChar w:fldCharType="end"/>
      </w:r>
      <w:r w:rsidRPr="002B1FB2">
        <w:t>. </w:t>
      </w:r>
      <w:r w:rsidRPr="002B1FB2">
        <w:rPr>
          <w:rFonts w:eastAsiaTheme="minorEastAsia"/>
          <w:szCs w:val="22"/>
        </w:rPr>
        <w:t> </w:t>
      </w:r>
      <w:r w:rsidRPr="002B1FB2">
        <w:t xml:space="preserve">The Court reiterates that Article 6 § 1 of the Convention guarantees a right to a fair hearing by an independent and impartial “tribunal” and does not expressly require that an expert heard by that tribunal fulfils the same requirements (see </w:t>
      </w:r>
      <w:r w:rsidRPr="002B1FB2">
        <w:rPr>
          <w:i/>
          <w:iCs/>
        </w:rPr>
        <w:t xml:space="preserve">Sara Lind </w:t>
      </w:r>
      <w:proofErr w:type="spellStart"/>
      <w:r w:rsidRPr="002B1FB2">
        <w:rPr>
          <w:i/>
          <w:iCs/>
        </w:rPr>
        <w:t>Eggertsdóttir</w:t>
      </w:r>
      <w:proofErr w:type="spellEnd"/>
      <w:r w:rsidRPr="002B1FB2">
        <w:rPr>
          <w:i/>
          <w:iCs/>
        </w:rPr>
        <w:t xml:space="preserve"> v. Iceland</w:t>
      </w:r>
      <w:r w:rsidRPr="002B1FB2">
        <w:t xml:space="preserve">, no. 31930/04, § 47, 5 July 2007, and </w:t>
      </w:r>
      <w:proofErr w:type="spellStart"/>
      <w:r w:rsidRPr="002B1FB2">
        <w:rPr>
          <w:i/>
          <w:iCs/>
        </w:rPr>
        <w:t>Letinčić</w:t>
      </w:r>
      <w:proofErr w:type="spellEnd"/>
      <w:r w:rsidRPr="002B1FB2">
        <w:rPr>
          <w:i/>
          <w:iCs/>
        </w:rPr>
        <w:t xml:space="preserve"> v. Croatia</w:t>
      </w:r>
      <w:r w:rsidRPr="002B1FB2">
        <w:t>, no. 7183/11, § 51, 3 May 2016). However, the opinion of an expert who has been appointed by the competent court to address issues arising in the case is likely to carry significant weight in that court</w:t>
      </w:r>
      <w:r w:rsidRPr="002B1FB2" w:rsidR="002B1FB2">
        <w:t>’</w:t>
      </w:r>
      <w:r w:rsidRPr="002B1FB2">
        <w:t xml:space="preserve">s assessment of those issues. The requirement of independence is particularly important when obtaining medical reports from expert witnesses, who must have formal and </w:t>
      </w:r>
      <w:r w:rsidRPr="002B1FB2">
        <w:rPr>
          <w:i/>
          <w:iCs/>
        </w:rPr>
        <w:t>de facto</w:t>
      </w:r>
      <w:r w:rsidRPr="002B1FB2">
        <w:t xml:space="preserve"> independence from those implicated in the events (see </w:t>
      </w:r>
      <w:proofErr w:type="spellStart"/>
      <w:r w:rsidRPr="002B1FB2">
        <w:rPr>
          <w:i/>
          <w:lang w:val="en-US"/>
        </w:rPr>
        <w:t>Bajić</w:t>
      </w:r>
      <w:proofErr w:type="spellEnd"/>
      <w:r w:rsidRPr="002B1FB2">
        <w:rPr>
          <w:i/>
          <w:lang w:val="en-US"/>
        </w:rPr>
        <w:t xml:space="preserve"> v. Croatia</w:t>
      </w:r>
      <w:r w:rsidRPr="002B1FB2">
        <w:rPr>
          <w:lang w:val="en-US"/>
        </w:rPr>
        <w:t>, no. 41108/10, § 95, 13</w:t>
      </w:r>
      <w:r w:rsidRPr="002B1FB2" w:rsidR="00C62C38">
        <w:rPr>
          <w:lang w:val="en-US"/>
        </w:rPr>
        <w:t> </w:t>
      </w:r>
      <w:r w:rsidRPr="002B1FB2">
        <w:rPr>
          <w:lang w:val="en-US"/>
        </w:rPr>
        <w:t xml:space="preserve">November 2012). </w:t>
      </w:r>
      <w:r w:rsidRPr="002B1FB2">
        <w:t xml:space="preserve">In its case-law the Court has recognised that the lack of neutrality on the part of a court-appointed expert may in certain circumstances give rise to a breach of the principle of equality of arms inherent in the concept of a fair trial (see </w:t>
      </w:r>
      <w:proofErr w:type="spellStart"/>
      <w:r w:rsidRPr="002B1FB2">
        <w:rPr>
          <w:i/>
          <w:iCs/>
        </w:rPr>
        <w:t>Bönisch</w:t>
      </w:r>
      <w:proofErr w:type="spellEnd"/>
      <w:r w:rsidRPr="002B1FB2">
        <w:rPr>
          <w:i/>
          <w:iCs/>
        </w:rPr>
        <w:t xml:space="preserve"> v. Austria</w:t>
      </w:r>
      <w:r w:rsidRPr="002B1FB2">
        <w:t>, 6 May 1985, §§</w:t>
      </w:r>
      <w:r w:rsidRPr="002B1FB2" w:rsidR="00C62C38">
        <w:t> </w:t>
      </w:r>
      <w:r w:rsidRPr="002B1FB2">
        <w:t xml:space="preserve">30-35, Series A no. 92, and </w:t>
      </w:r>
      <w:proofErr w:type="spellStart"/>
      <w:r w:rsidRPr="002B1FB2">
        <w:rPr>
          <w:i/>
          <w:iCs/>
        </w:rPr>
        <w:t>Brandstetter</w:t>
      </w:r>
      <w:proofErr w:type="spellEnd"/>
      <w:r w:rsidRPr="002B1FB2">
        <w:rPr>
          <w:i/>
          <w:iCs/>
        </w:rPr>
        <w:t xml:space="preserve"> v. Austria</w:t>
      </w:r>
      <w:r w:rsidRPr="002B1FB2">
        <w:t xml:space="preserve">, 28 August 1991, § 33, Series A no. 211). </w:t>
      </w:r>
      <w:proofErr w:type="gramStart"/>
      <w:r w:rsidRPr="002B1FB2">
        <w:t>In particular, regard</w:t>
      </w:r>
      <w:proofErr w:type="gramEnd"/>
      <w:r w:rsidRPr="002B1FB2">
        <w:t xml:space="preserve"> must be had to such factors as the expert</w:t>
      </w:r>
      <w:r w:rsidRPr="002B1FB2" w:rsidR="002B1FB2">
        <w:t>’</w:t>
      </w:r>
      <w:r w:rsidRPr="002B1FB2">
        <w:t xml:space="preserve">s procedural position and role in the relevant proceedings (see </w:t>
      </w:r>
      <w:r w:rsidRPr="002B1FB2">
        <w:rPr>
          <w:i/>
          <w:iCs/>
        </w:rPr>
        <w:t>Sara</w:t>
      </w:r>
      <w:r w:rsidRPr="002B1FB2" w:rsidR="009533D9">
        <w:rPr>
          <w:i/>
          <w:iCs/>
        </w:rPr>
        <w:t> </w:t>
      </w:r>
      <w:r w:rsidRPr="002B1FB2">
        <w:rPr>
          <w:i/>
          <w:iCs/>
        </w:rPr>
        <w:t xml:space="preserve">Lind </w:t>
      </w:r>
      <w:proofErr w:type="spellStart"/>
      <w:r w:rsidRPr="002B1FB2">
        <w:rPr>
          <w:i/>
          <w:iCs/>
        </w:rPr>
        <w:t>Eggertsdóttir</w:t>
      </w:r>
      <w:proofErr w:type="spellEnd"/>
      <w:r w:rsidRPr="002B1FB2">
        <w:t xml:space="preserve">, cited above, § 47, and </w:t>
      </w:r>
      <w:proofErr w:type="spellStart"/>
      <w:r w:rsidRPr="002B1FB2">
        <w:rPr>
          <w:i/>
          <w:iCs/>
        </w:rPr>
        <w:t>Letinčić</w:t>
      </w:r>
      <w:proofErr w:type="spellEnd"/>
      <w:r w:rsidRPr="002B1FB2">
        <w:t>, cited above, § 51).</w:t>
      </w:r>
    </w:p>
    <w:bookmarkStart w:name="_Hlk85228131" w:id="84"/>
    <w:p w:rsidRPr="002B1FB2" w:rsidR="003252F1" w:rsidP="002B1FB2" w:rsidRDefault="003252F1" w14:paraId="5F7CD97A" w14:textId="1B43C161">
      <w:pPr>
        <w:pStyle w:val="JuPara"/>
      </w:pPr>
      <w:r w:rsidRPr="002B1FB2">
        <w:fldChar w:fldCharType="begin"/>
      </w:r>
      <w:r w:rsidRPr="002B1FB2">
        <w:instrText xml:space="preserve"> SEQ level0 \*arabic </w:instrText>
      </w:r>
      <w:r w:rsidRPr="002B1FB2">
        <w:fldChar w:fldCharType="separate"/>
      </w:r>
      <w:r w:rsidRPr="002B1FB2" w:rsidR="002B1FB2">
        <w:rPr>
          <w:noProof/>
        </w:rPr>
        <w:t>61</w:t>
      </w:r>
      <w:r w:rsidRPr="002B1FB2">
        <w:fldChar w:fldCharType="end"/>
      </w:r>
      <w:r w:rsidRPr="002B1FB2">
        <w:t xml:space="preserve">.  In the present case, the matter to be determined by the domestic courts was whether the defendant company was liable to pay damages to the applicant on account of an injury he had sustained in a road traffic accident (see paragraph </w:t>
      </w:r>
      <w:r w:rsidRPr="002B1FB2">
        <w:fldChar w:fldCharType="begin"/>
      </w:r>
      <w:r w:rsidRPr="002B1FB2">
        <w:instrText xml:space="preserve"> REF para6 \h  \* MERGEFORMAT </w:instrText>
      </w:r>
      <w:r w:rsidRPr="002B1FB2">
        <w:fldChar w:fldCharType="separate"/>
      </w:r>
      <w:r w:rsidRPr="002B1FB2" w:rsidR="002B1FB2">
        <w:rPr>
          <w:rFonts w:ascii="Times New Roman" w:hAnsi="Times New Roman" w:eastAsia="Times New Roman" w:cs="Times New Roman"/>
          <w:szCs w:val="22"/>
        </w:rPr>
        <w:t>7</w:t>
      </w:r>
      <w:r w:rsidRPr="002B1FB2">
        <w:fldChar w:fldCharType="end"/>
      </w:r>
      <w:r w:rsidRPr="002B1FB2">
        <w:t xml:space="preserve"> above).</w:t>
      </w:r>
    </w:p>
    <w:p w:rsidRPr="002B1FB2" w:rsidR="003252F1" w:rsidP="002B1FB2" w:rsidRDefault="00C75CA9" w14:paraId="5D8BE65B" w14:textId="685BAEE3">
      <w:pPr>
        <w:pStyle w:val="JuPara"/>
      </w:pPr>
      <w:fldSimple w:instr=" SEQ level0 \*arabic \* MERGEFORMAT ">
        <w:r w:rsidRPr="002B1FB2" w:rsidR="002B1FB2">
          <w:rPr>
            <w:noProof/>
          </w:rPr>
          <w:t>62</w:t>
        </w:r>
      </w:fldSimple>
      <w:r w:rsidRPr="002B1FB2" w:rsidR="003252F1">
        <w:t xml:space="preserve">.  The domestic courts obtained expert reports from three experts (see paragraphs </w:t>
      </w:r>
      <w:r w:rsidRPr="002B1FB2" w:rsidR="003252F1">
        <w:fldChar w:fldCharType="begin"/>
      </w:r>
      <w:r w:rsidRPr="002B1FB2" w:rsidR="003252F1">
        <w:instrText xml:space="preserve"> REF para9 \h  \* MERGEFORMAT </w:instrText>
      </w:r>
      <w:r w:rsidRPr="002B1FB2" w:rsidR="003252F1">
        <w:fldChar w:fldCharType="separate"/>
      </w:r>
      <w:r w:rsidRPr="002B1FB2" w:rsidR="002B1FB2">
        <w:rPr>
          <w:rFonts w:ascii="Times New Roman" w:hAnsi="Times New Roman" w:eastAsia="Times New Roman" w:cs="Times New Roman"/>
          <w:szCs w:val="22"/>
        </w:rPr>
        <w:t>9</w:t>
      </w:r>
      <w:r w:rsidRPr="002B1FB2" w:rsidR="003252F1">
        <w:fldChar w:fldCharType="end"/>
      </w:r>
      <w:r w:rsidRPr="002B1FB2" w:rsidR="003252F1">
        <w:t>-</w:t>
      </w:r>
      <w:r w:rsidRPr="002B1FB2" w:rsidR="003252F1">
        <w:fldChar w:fldCharType="begin"/>
      </w:r>
      <w:r w:rsidRPr="002B1FB2" w:rsidR="003252F1">
        <w:instrText xml:space="preserve"> REF para10 \h  \* MERGEFORMAT </w:instrText>
      </w:r>
      <w:r w:rsidRPr="002B1FB2" w:rsidR="003252F1">
        <w:fldChar w:fldCharType="separate"/>
      </w:r>
      <w:r w:rsidRPr="002B1FB2" w:rsidR="002B1FB2">
        <w:rPr>
          <w:rFonts w:ascii="Times New Roman" w:hAnsi="Times New Roman" w:eastAsia="Times New Roman" w:cs="Times New Roman"/>
          <w:szCs w:val="22"/>
        </w:rPr>
        <w:t>10</w:t>
      </w:r>
      <w:r w:rsidRPr="002B1FB2" w:rsidR="003252F1">
        <w:fldChar w:fldCharType="end"/>
      </w:r>
      <w:r w:rsidRPr="002B1FB2" w:rsidR="003252F1">
        <w:t xml:space="preserve"> and </w:t>
      </w:r>
      <w:r w:rsidRPr="002B1FB2" w:rsidR="003252F1">
        <w:fldChar w:fldCharType="begin"/>
      </w:r>
      <w:r w:rsidRPr="002B1FB2" w:rsidR="003252F1">
        <w:instrText xml:space="preserve"> REF para12 \h  \* MERGEFORMAT </w:instrText>
      </w:r>
      <w:r w:rsidRPr="002B1FB2" w:rsidR="003252F1">
        <w:fldChar w:fldCharType="separate"/>
      </w:r>
      <w:r w:rsidRPr="002B1FB2" w:rsidR="002B1FB2">
        <w:rPr>
          <w:rFonts w:ascii="Times New Roman" w:hAnsi="Times New Roman" w:eastAsia="Times New Roman" w:cs="Times New Roman"/>
          <w:szCs w:val="22"/>
        </w:rPr>
        <w:t>12</w:t>
      </w:r>
      <w:r w:rsidRPr="002B1FB2" w:rsidR="003252F1">
        <w:fldChar w:fldCharType="end"/>
      </w:r>
      <w:r w:rsidRPr="002B1FB2" w:rsidR="003252F1">
        <w:t xml:space="preserve"> above) and issued several judgments. Relying on the expert report by D.H., they assessed the applicant</w:t>
      </w:r>
      <w:r w:rsidRPr="002B1FB2" w:rsidR="002B1FB2">
        <w:t>’</w:t>
      </w:r>
      <w:r w:rsidRPr="002B1FB2" w:rsidR="003252F1">
        <w:t>s claim for non-pecuniary damage. Relying on the expert report by F.R., they held that the applicant bore 50% of the responsibility for the road traffic accident and thus granted him 50% of the amount sought in respect of non-pecuniary damage. Relying on the expert report by V.B., they granted the applicant</w:t>
      </w:r>
      <w:r w:rsidRPr="002B1FB2" w:rsidR="002B1FB2">
        <w:t>’</w:t>
      </w:r>
      <w:r w:rsidRPr="002B1FB2" w:rsidR="003252F1">
        <w:t xml:space="preserve">s claim concerning lost income for the period between 9 June and 26 August 1995 and dismissed his claim concerning a monthly allowance for the period after January 1999 (see paragraphs </w:t>
      </w:r>
      <w:r w:rsidRPr="002B1FB2" w:rsidR="003252F1">
        <w:fldChar w:fldCharType="begin"/>
      </w:r>
      <w:r w:rsidRPr="002B1FB2" w:rsidR="003252F1">
        <w:instrText xml:space="preserve"> REF para19 \h  \* MERGEFORMAT </w:instrText>
      </w:r>
      <w:r w:rsidRPr="002B1FB2" w:rsidR="003252F1">
        <w:fldChar w:fldCharType="separate"/>
      </w:r>
      <w:r w:rsidRPr="002B1FB2" w:rsidR="002B1FB2">
        <w:rPr>
          <w:rFonts w:ascii="Times New Roman" w:hAnsi="Times New Roman" w:eastAsia="Times New Roman" w:cs="Times New Roman"/>
          <w:szCs w:val="22"/>
        </w:rPr>
        <w:t>19</w:t>
      </w:r>
      <w:r w:rsidRPr="002B1FB2" w:rsidR="003252F1">
        <w:fldChar w:fldCharType="end"/>
      </w:r>
      <w:r w:rsidRPr="002B1FB2" w:rsidR="003252F1">
        <w:t>-</w:t>
      </w:r>
      <w:r w:rsidRPr="002B1FB2" w:rsidR="003252F1">
        <w:fldChar w:fldCharType="begin"/>
      </w:r>
      <w:r w:rsidRPr="002B1FB2" w:rsidR="003252F1">
        <w:instrText xml:space="preserve"> REF para24 \h  \* MERGEFORMAT </w:instrText>
      </w:r>
      <w:r w:rsidRPr="002B1FB2" w:rsidR="003252F1">
        <w:fldChar w:fldCharType="separate"/>
      </w:r>
      <w:r w:rsidRPr="002B1FB2" w:rsidR="002B1FB2">
        <w:rPr>
          <w:rFonts w:ascii="Times New Roman" w:hAnsi="Times New Roman" w:eastAsia="Times New Roman" w:cs="Times New Roman"/>
          <w:szCs w:val="22"/>
        </w:rPr>
        <w:t>24</w:t>
      </w:r>
      <w:r w:rsidRPr="002B1FB2" w:rsidR="003252F1">
        <w:fldChar w:fldCharType="end"/>
      </w:r>
      <w:r w:rsidRPr="002B1FB2" w:rsidR="003252F1">
        <w:t xml:space="preserve"> above).</w:t>
      </w:r>
    </w:p>
    <w:p w:rsidRPr="002B1FB2" w:rsidR="003252F1" w:rsidP="002B1FB2" w:rsidRDefault="00C75CA9" w14:paraId="5B111815" w14:textId="62C3D7A7">
      <w:pPr>
        <w:pStyle w:val="JuPara"/>
      </w:pPr>
      <w:fldSimple w:instr=" SEQ level0 \*arabic \* MERGEFORMAT ">
        <w:r w:rsidRPr="002B1FB2" w:rsidR="002B1FB2">
          <w:rPr>
            <w:noProof/>
          </w:rPr>
          <w:t>63</w:t>
        </w:r>
      </w:fldSimple>
      <w:r w:rsidRPr="002B1FB2" w:rsidR="003252F1">
        <w:t>.  Those judgments became final. The applicant</w:t>
      </w:r>
      <w:r w:rsidRPr="002B1FB2" w:rsidR="002B1FB2">
        <w:t>’</w:t>
      </w:r>
      <w:r w:rsidRPr="002B1FB2" w:rsidR="003252F1">
        <w:t>s claim concerning lost income for the period between 26 August 1995 until his retirement in January 1999 in the amount of HRK 53,552.48, plus statutory interest (see paragraph </w:t>
      </w:r>
      <w:r w:rsidRPr="002B1FB2" w:rsidR="003252F1">
        <w:fldChar w:fldCharType="begin"/>
      </w:r>
      <w:r w:rsidRPr="002B1FB2" w:rsidR="003252F1">
        <w:instrText xml:space="preserve"> REF para26 \h  \* MERGEFORMAT </w:instrText>
      </w:r>
      <w:r w:rsidRPr="002B1FB2" w:rsidR="003252F1">
        <w:fldChar w:fldCharType="separate"/>
      </w:r>
      <w:r w:rsidRPr="002B1FB2" w:rsidR="002B1FB2">
        <w:rPr>
          <w:rFonts w:ascii="Times New Roman" w:hAnsi="Times New Roman" w:eastAsia="Times New Roman" w:cs="Times New Roman"/>
          <w:szCs w:val="22"/>
        </w:rPr>
        <w:t>26</w:t>
      </w:r>
      <w:r w:rsidRPr="002B1FB2" w:rsidR="003252F1">
        <w:fldChar w:fldCharType="end"/>
      </w:r>
      <w:r w:rsidRPr="002B1FB2" w:rsidR="003252F1">
        <w:t xml:space="preserve"> above), which is the subject matter of the case before the Court, remained to be examined by the domestic courts.</w:t>
      </w:r>
    </w:p>
    <w:bookmarkStart w:name="para64" w:id="85"/>
    <w:p w:rsidRPr="002B1FB2" w:rsidR="003252F1" w:rsidP="002B1FB2" w:rsidRDefault="003252F1" w14:paraId="24BD22A0" w14:textId="36A6FB46">
      <w:pPr>
        <w:pStyle w:val="JuPara"/>
      </w:pPr>
      <w:r w:rsidRPr="002B1FB2">
        <w:fldChar w:fldCharType="begin"/>
      </w:r>
      <w:r w:rsidRPr="002B1FB2">
        <w:instrText xml:space="preserve"> SEQ level0 \*arabic </w:instrText>
      </w:r>
      <w:r w:rsidRPr="002B1FB2">
        <w:fldChar w:fldCharType="separate"/>
      </w:r>
      <w:r w:rsidRPr="002B1FB2" w:rsidR="002B1FB2">
        <w:rPr>
          <w:noProof/>
        </w:rPr>
        <w:t>64</w:t>
      </w:r>
      <w:r w:rsidRPr="002B1FB2">
        <w:fldChar w:fldCharType="end"/>
      </w:r>
      <w:bookmarkEnd w:id="85"/>
      <w:r w:rsidRPr="002B1FB2">
        <w:t>.  In March 2012 the first-instance court rejected the outstanding part of the applicant</w:t>
      </w:r>
      <w:r w:rsidRPr="002B1FB2" w:rsidR="002B1FB2">
        <w:t>’</w:t>
      </w:r>
      <w:r w:rsidRPr="002B1FB2">
        <w:t>s claim on the basis of V.B.</w:t>
      </w:r>
      <w:r w:rsidRPr="002B1FB2" w:rsidR="002B1FB2">
        <w:t>’</w:t>
      </w:r>
      <w:r w:rsidRPr="002B1FB2">
        <w:t>s expert report prepared in 2006 and February 2007, in which she held that the applicant</w:t>
      </w:r>
      <w:r w:rsidRPr="002B1FB2" w:rsidR="002B1FB2">
        <w:t>’</w:t>
      </w:r>
      <w:r w:rsidRPr="002B1FB2">
        <w:t xml:space="preserve">s decreased capacity to work after 26 August 1995 was unrelated to the road traffic accident (see paragraphs </w:t>
      </w:r>
      <w:r w:rsidRPr="002B1FB2">
        <w:fldChar w:fldCharType="begin"/>
      </w:r>
      <w:r w:rsidRPr="002B1FB2">
        <w:instrText xml:space="preserve"> REF para13 \h  \* MERGEFORMAT </w:instrText>
      </w:r>
      <w:r w:rsidRPr="002B1FB2">
        <w:fldChar w:fldCharType="separate"/>
      </w:r>
      <w:r w:rsidRPr="002B1FB2" w:rsidR="002B1FB2">
        <w:rPr>
          <w:rFonts w:eastAsia="Times New Roman"/>
        </w:rPr>
        <w:t>13</w:t>
      </w:r>
      <w:r w:rsidRPr="002B1FB2">
        <w:fldChar w:fldCharType="end"/>
      </w:r>
      <w:r w:rsidRPr="002B1FB2">
        <w:t xml:space="preserve">, </w:t>
      </w:r>
      <w:r w:rsidRPr="002B1FB2">
        <w:fldChar w:fldCharType="begin"/>
      </w:r>
      <w:r w:rsidRPr="002B1FB2">
        <w:instrText xml:space="preserve"> REF para15 \h  \* MERGEFORMAT </w:instrText>
      </w:r>
      <w:r w:rsidRPr="002B1FB2">
        <w:fldChar w:fldCharType="separate"/>
      </w:r>
      <w:r w:rsidRPr="002B1FB2" w:rsidR="002B1FB2">
        <w:rPr>
          <w:rFonts w:eastAsia="Times New Roman"/>
        </w:rPr>
        <w:t>15</w:t>
      </w:r>
      <w:r w:rsidRPr="002B1FB2">
        <w:fldChar w:fldCharType="end"/>
      </w:r>
      <w:r w:rsidRPr="002B1FB2">
        <w:t xml:space="preserve">, </w:t>
      </w:r>
      <w:r w:rsidRPr="002B1FB2">
        <w:fldChar w:fldCharType="begin"/>
      </w:r>
      <w:r w:rsidRPr="002B1FB2">
        <w:instrText xml:space="preserve"> REF para17 \h  \* MERGEFORMAT </w:instrText>
      </w:r>
      <w:r w:rsidRPr="002B1FB2">
        <w:fldChar w:fldCharType="separate"/>
      </w:r>
      <w:r w:rsidRPr="002B1FB2" w:rsidR="002B1FB2">
        <w:rPr>
          <w:rFonts w:eastAsia="Times New Roman"/>
        </w:rPr>
        <w:t>17</w:t>
      </w:r>
      <w:r w:rsidRPr="002B1FB2">
        <w:fldChar w:fldCharType="end"/>
      </w:r>
      <w:r w:rsidRPr="002B1FB2">
        <w:t xml:space="preserve"> and </w:t>
      </w:r>
      <w:r w:rsidRPr="002B1FB2">
        <w:fldChar w:fldCharType="begin"/>
      </w:r>
      <w:r w:rsidRPr="002B1FB2">
        <w:instrText xml:space="preserve"> REF para25 \h  \* MERGEFORMAT </w:instrText>
      </w:r>
      <w:r w:rsidRPr="002B1FB2">
        <w:fldChar w:fldCharType="separate"/>
      </w:r>
      <w:r w:rsidRPr="002B1FB2" w:rsidR="002B1FB2">
        <w:rPr>
          <w:rFonts w:ascii="Times New Roman" w:hAnsi="Times New Roman" w:eastAsia="Times New Roman" w:cs="Times New Roman"/>
          <w:szCs w:val="22"/>
        </w:rPr>
        <w:t>25</w:t>
      </w:r>
      <w:r w:rsidRPr="002B1FB2">
        <w:fldChar w:fldCharType="end"/>
      </w:r>
      <w:r w:rsidRPr="002B1FB2">
        <w:t xml:space="preserve"> above).</w:t>
      </w:r>
    </w:p>
    <w:bookmarkStart w:name="PARA65" w:id="86"/>
    <w:p w:rsidRPr="002B1FB2" w:rsidR="003252F1" w:rsidP="002B1FB2" w:rsidRDefault="003252F1" w14:paraId="5B44B637" w14:textId="0E08A2B0">
      <w:pPr>
        <w:pStyle w:val="JuPara"/>
      </w:pPr>
      <w:r w:rsidRPr="002B1FB2">
        <w:fldChar w:fldCharType="begin"/>
      </w:r>
      <w:r w:rsidRPr="002B1FB2">
        <w:instrText xml:space="preserve"> SEQ level0 \*arabic \* MERGEFORMAT </w:instrText>
      </w:r>
      <w:r w:rsidRPr="002B1FB2">
        <w:fldChar w:fldCharType="separate"/>
      </w:r>
      <w:r w:rsidRPr="002B1FB2" w:rsidR="002B1FB2">
        <w:rPr>
          <w:noProof/>
        </w:rPr>
        <w:t>65</w:t>
      </w:r>
      <w:r w:rsidRPr="002B1FB2">
        <w:fldChar w:fldCharType="end"/>
      </w:r>
      <w:bookmarkEnd w:id="86"/>
      <w:r w:rsidRPr="002B1FB2">
        <w:t>.  In these circumstances the Court is ready to accept that V.B.</w:t>
      </w:r>
      <w:r w:rsidRPr="002B1FB2" w:rsidR="002B1FB2">
        <w:t>’</w:t>
      </w:r>
      <w:r w:rsidRPr="002B1FB2">
        <w:t>s expert report had a decisive role in the assessment of a significant part of the applicant</w:t>
      </w:r>
      <w:r w:rsidRPr="002B1FB2" w:rsidR="002B1FB2">
        <w:t>’</w:t>
      </w:r>
      <w:r w:rsidRPr="002B1FB2">
        <w:t xml:space="preserve">s claim, notably that concerning lost income for the period between 26 August 1995 until his retirement in January 1999 in the amount of HRK 53,552.48, plus statutory interest (see paragraph </w:t>
      </w:r>
      <w:r w:rsidRPr="002B1FB2">
        <w:fldChar w:fldCharType="begin"/>
      </w:r>
      <w:r w:rsidRPr="002B1FB2">
        <w:instrText xml:space="preserve"> REF para64 \h  \* MERGEFORMAT </w:instrText>
      </w:r>
      <w:r w:rsidRPr="002B1FB2">
        <w:fldChar w:fldCharType="separate"/>
      </w:r>
      <w:r w:rsidRPr="002B1FB2" w:rsidR="002B1FB2">
        <w:t>64</w:t>
      </w:r>
      <w:r w:rsidRPr="002B1FB2">
        <w:fldChar w:fldCharType="end"/>
      </w:r>
      <w:r w:rsidRPr="002B1FB2">
        <w:t xml:space="preserve"> above). The Court notes that in 1995 V.B. was employed as a medical examiner in the defendant company</w:t>
      </w:r>
      <w:r w:rsidRPr="002B1FB2" w:rsidR="002B1FB2">
        <w:t>’</w:t>
      </w:r>
      <w:r w:rsidRPr="002B1FB2">
        <w:t>s directorate general and that, at the time of submitting her expert opinion in the applicant</w:t>
      </w:r>
      <w:r w:rsidRPr="002B1FB2" w:rsidR="002B1FB2">
        <w:t>’</w:t>
      </w:r>
      <w:r w:rsidRPr="002B1FB2">
        <w:t>s case (2006 and February 2007), she was the president of the management board of the defendant company</w:t>
      </w:r>
      <w:r w:rsidRPr="002B1FB2" w:rsidR="002B1FB2">
        <w:t>’</w:t>
      </w:r>
      <w:r w:rsidRPr="002B1FB2">
        <w:t xml:space="preserve">s subsidiary (see paragraph </w:t>
      </w:r>
      <w:r w:rsidRPr="002B1FB2">
        <w:fldChar w:fldCharType="begin"/>
      </w:r>
      <w:r w:rsidRPr="002B1FB2">
        <w:instrText xml:space="preserve"> REF para29 \h  \* MERGEFORMAT </w:instrText>
      </w:r>
      <w:r w:rsidRPr="002B1FB2">
        <w:fldChar w:fldCharType="separate"/>
      </w:r>
      <w:r w:rsidRPr="002B1FB2" w:rsidR="002B1FB2">
        <w:rPr>
          <w:rFonts w:ascii="Times New Roman" w:hAnsi="Times New Roman" w:eastAsia="Times New Roman" w:cs="Times New Roman"/>
          <w:szCs w:val="22"/>
        </w:rPr>
        <w:t>29</w:t>
      </w:r>
      <w:r w:rsidRPr="002B1FB2">
        <w:fldChar w:fldCharType="end"/>
      </w:r>
      <w:r w:rsidRPr="002B1FB2">
        <w:t xml:space="preserve"> above).</w:t>
      </w:r>
    </w:p>
    <w:bookmarkStart w:name="PARA66" w:id="87"/>
    <w:p w:rsidRPr="002B1FB2" w:rsidR="003252F1" w:rsidP="002B1FB2" w:rsidRDefault="003252F1" w14:paraId="41B5D101" w14:textId="3D8D5761">
      <w:pPr>
        <w:pStyle w:val="JuPara"/>
      </w:pPr>
      <w:r w:rsidRPr="002B1FB2">
        <w:fldChar w:fldCharType="begin"/>
      </w:r>
      <w:r w:rsidRPr="002B1FB2">
        <w:instrText xml:space="preserve"> SEQ level0 \*arabic </w:instrText>
      </w:r>
      <w:r w:rsidRPr="002B1FB2">
        <w:fldChar w:fldCharType="separate"/>
      </w:r>
      <w:r w:rsidRPr="002B1FB2" w:rsidR="002B1FB2">
        <w:rPr>
          <w:noProof/>
        </w:rPr>
        <w:t>66</w:t>
      </w:r>
      <w:r w:rsidRPr="002B1FB2">
        <w:fldChar w:fldCharType="end"/>
      </w:r>
      <w:bookmarkEnd w:id="87"/>
      <w:r w:rsidRPr="002B1FB2">
        <w:t>.  Accordingly, given the subject matter of the domestic proceedings, the role V.B.</w:t>
      </w:r>
      <w:r w:rsidRPr="002B1FB2" w:rsidR="002B1FB2">
        <w:t>’</w:t>
      </w:r>
      <w:r w:rsidRPr="002B1FB2">
        <w:t>s report played in those proceedings and her senior position in the defendant company and its subsidiary, the Court considers that V.B.</w:t>
      </w:r>
      <w:r w:rsidRPr="002B1FB2" w:rsidR="002B1FB2">
        <w:t>’</w:t>
      </w:r>
      <w:r w:rsidRPr="002B1FB2">
        <w:t>s neutrality was capable of being, or at least appearing, open to doubt, and that the applicant</w:t>
      </w:r>
      <w:r w:rsidRPr="002B1FB2" w:rsidR="002B1FB2">
        <w:t>’</w:t>
      </w:r>
      <w:r w:rsidRPr="002B1FB2">
        <w:t xml:space="preserve">s fears in this respect can be considered reasonable and objectively justified (compare </w:t>
      </w:r>
      <w:r w:rsidRPr="002B1FB2">
        <w:rPr>
          <w:i/>
          <w:iCs/>
        </w:rPr>
        <w:t xml:space="preserve">Sara Lind </w:t>
      </w:r>
      <w:proofErr w:type="spellStart"/>
      <w:r w:rsidRPr="002B1FB2">
        <w:rPr>
          <w:i/>
          <w:iCs/>
        </w:rPr>
        <w:t>Eggertsdóttir</w:t>
      </w:r>
      <w:proofErr w:type="spellEnd"/>
      <w:r w:rsidRPr="002B1FB2">
        <w:t>, cited above, §§ 51 and 53).</w:t>
      </w:r>
    </w:p>
    <w:p w:rsidRPr="002B1FB2" w:rsidR="003252F1" w:rsidP="002B1FB2" w:rsidRDefault="00C75CA9" w14:paraId="42F4CF6A" w14:textId="1BC38D1C">
      <w:pPr>
        <w:pStyle w:val="JuPara"/>
      </w:pPr>
      <w:fldSimple w:instr=" SEQ level0 \*arabic \* MERGEFORMAT ">
        <w:r w:rsidRPr="002B1FB2" w:rsidR="002B1FB2">
          <w:rPr>
            <w:noProof/>
          </w:rPr>
          <w:t>67</w:t>
        </w:r>
      </w:fldSimple>
      <w:r w:rsidRPr="002B1FB2" w:rsidR="003252F1">
        <w:t>.  However, the second-instance court refused to examine the applicant</w:t>
      </w:r>
      <w:r w:rsidRPr="002B1FB2" w:rsidR="002B1FB2">
        <w:t>’</w:t>
      </w:r>
      <w:r w:rsidRPr="002B1FB2" w:rsidR="003252F1">
        <w:t xml:space="preserve">s complaint in that regard on the ground that he had raised the issue for the first time in his appeal against the first-instance judgment (see paragraph </w:t>
      </w:r>
      <w:r w:rsidRPr="002B1FB2" w:rsidR="003252F1">
        <w:fldChar w:fldCharType="begin"/>
      </w:r>
      <w:r w:rsidRPr="002B1FB2" w:rsidR="003252F1">
        <w:instrText xml:space="preserve"> REF Paragraph22 \h  \* MERGEFORMAT </w:instrText>
      </w:r>
      <w:r w:rsidRPr="002B1FB2" w:rsidR="003252F1">
        <w:fldChar w:fldCharType="separate"/>
      </w:r>
      <w:r w:rsidRPr="002B1FB2" w:rsidR="002B1FB2">
        <w:rPr>
          <w:rFonts w:ascii="Times New Roman" w:hAnsi="Times New Roman" w:eastAsia="Times New Roman" w:cs="Times New Roman"/>
          <w:szCs w:val="22"/>
        </w:rPr>
        <w:t>29</w:t>
      </w:r>
      <w:r w:rsidRPr="002B1FB2" w:rsidR="003252F1">
        <w:fldChar w:fldCharType="end"/>
      </w:r>
      <w:r w:rsidRPr="002B1FB2" w:rsidR="003252F1">
        <w:t xml:space="preserve"> above).</w:t>
      </w:r>
    </w:p>
    <w:p w:rsidRPr="002B1FB2" w:rsidR="003252F1" w:rsidP="002B1FB2" w:rsidRDefault="00C75CA9" w14:paraId="44C5F38B" w14:textId="0F835AD2">
      <w:pPr>
        <w:pStyle w:val="JuPara"/>
      </w:pPr>
      <w:fldSimple w:instr=" SEQ level0 \*arabic \* MERGEFORMAT ">
        <w:r w:rsidRPr="002B1FB2" w:rsidR="002B1FB2">
          <w:rPr>
            <w:noProof/>
          </w:rPr>
          <w:t>68</w:t>
        </w:r>
      </w:fldSimple>
      <w:r w:rsidRPr="002B1FB2" w:rsidR="003252F1">
        <w:t>.  At this juncture, the Court would emphasize that the issue here is not the content of V.B.</w:t>
      </w:r>
      <w:r w:rsidRPr="002B1FB2" w:rsidR="002B1FB2">
        <w:t>’</w:t>
      </w:r>
      <w:r w:rsidRPr="002B1FB2" w:rsidR="003252F1">
        <w:t>s expert report or the question of whether the applicant</w:t>
      </w:r>
      <w:r w:rsidRPr="002B1FB2" w:rsidR="002B1FB2">
        <w:t>’</w:t>
      </w:r>
      <w:r w:rsidRPr="002B1FB2" w:rsidR="003252F1">
        <w:t xml:space="preserve">s decreased capacity to work after 26 August 1995 was truly related to the road traffic accident, but whether V.B. as the expert in the civil proceedings could have been seen as objectively impartial. What is at stake in such situations is the trust of the public in the justice system, where appearances have a high importance (see </w:t>
      </w:r>
      <w:proofErr w:type="spellStart"/>
      <w:r w:rsidRPr="002B1FB2" w:rsidR="003252F1">
        <w:rPr>
          <w:i/>
          <w:iCs/>
        </w:rPr>
        <w:t>Bajić</w:t>
      </w:r>
      <w:proofErr w:type="spellEnd"/>
      <w:r w:rsidRPr="002B1FB2" w:rsidR="003252F1">
        <w:t>, cited above, § 102).</w:t>
      </w:r>
    </w:p>
    <w:bookmarkEnd w:id="84"/>
    <w:p w:rsidRPr="002B1FB2" w:rsidR="003252F1" w:rsidP="002B1FB2" w:rsidRDefault="003252F1" w14:paraId="791CF3C2" w14:textId="1C718562">
      <w:pPr>
        <w:pStyle w:val="JuPara"/>
      </w:pPr>
      <w:r w:rsidRPr="002B1FB2">
        <w:fldChar w:fldCharType="begin"/>
      </w:r>
      <w:r w:rsidRPr="002B1FB2">
        <w:instrText xml:space="preserve"> SEQ level0 \*arabic </w:instrText>
      </w:r>
      <w:r w:rsidRPr="002B1FB2">
        <w:fldChar w:fldCharType="separate"/>
      </w:r>
      <w:r w:rsidRPr="002B1FB2" w:rsidR="002B1FB2">
        <w:rPr>
          <w:noProof/>
        </w:rPr>
        <w:t>69</w:t>
      </w:r>
      <w:r w:rsidRPr="002B1FB2">
        <w:fldChar w:fldCharType="end"/>
      </w:r>
      <w:r w:rsidRPr="002B1FB2">
        <w:t>.  The Court will thus first examine whether the fact that V.B.</w:t>
      </w:r>
      <w:r w:rsidRPr="002B1FB2" w:rsidR="002B1FB2">
        <w:t>’</w:t>
      </w:r>
      <w:r w:rsidRPr="002B1FB2">
        <w:t xml:space="preserve">s lack of neutrality was not raised during the proceedings before the first-instance court can be imputed mainly and objectively to the applicant (see, </w:t>
      </w:r>
      <w:r w:rsidRPr="002B1FB2">
        <w:rPr>
          <w:i/>
          <w:iCs/>
        </w:rPr>
        <w:t>mutatis mutandis</w:t>
      </w:r>
      <w:r w:rsidRPr="002B1FB2">
        <w:t xml:space="preserve">, </w:t>
      </w:r>
      <w:bookmarkStart w:name="_Hlk73626848" w:id="88"/>
      <w:r w:rsidRPr="002B1FB2">
        <w:rPr>
          <w:i/>
          <w:iCs/>
        </w:rPr>
        <w:t>Zubac v. Croatia</w:t>
      </w:r>
      <w:r w:rsidRPr="002B1FB2">
        <w:t xml:space="preserve"> [GC], no. 40160/12, §§ 114 and 121, </w:t>
      </w:r>
      <w:bookmarkEnd w:id="88"/>
      <w:r w:rsidRPr="002B1FB2">
        <w:t>5 April 2018).</w:t>
      </w:r>
    </w:p>
    <w:p w:rsidRPr="002B1FB2" w:rsidR="003252F1" w:rsidP="002B1FB2" w:rsidRDefault="00C75CA9" w14:paraId="66C058A1" w14:textId="34AF535D">
      <w:pPr>
        <w:pStyle w:val="JuPara"/>
      </w:pPr>
      <w:fldSimple w:instr=" SEQ level0 \*arabic \* MERGEFORMAT ">
        <w:r w:rsidRPr="002B1FB2" w:rsidR="002B1FB2">
          <w:rPr>
            <w:noProof/>
          </w:rPr>
          <w:t>70</w:t>
        </w:r>
      </w:fldSimple>
      <w:r w:rsidRPr="002B1FB2" w:rsidR="003252F1">
        <w:t xml:space="preserve">.  The Court notes that Croatian law lays down several safeguards designed to ensure formal and </w:t>
      </w:r>
      <w:r w:rsidRPr="002B1FB2" w:rsidR="003252F1">
        <w:rPr>
          <w:i/>
          <w:iCs/>
        </w:rPr>
        <w:t>de facto</w:t>
      </w:r>
      <w:r w:rsidRPr="002B1FB2" w:rsidR="003252F1">
        <w:t xml:space="preserve"> independence and impartiality of experts and the reliability of expert evidence (see </w:t>
      </w:r>
      <w:proofErr w:type="spellStart"/>
      <w:r w:rsidRPr="002B1FB2" w:rsidR="003252F1">
        <w:rPr>
          <w:i/>
          <w:lang w:val="en-US"/>
        </w:rPr>
        <w:t>Jurica</w:t>
      </w:r>
      <w:proofErr w:type="spellEnd"/>
      <w:r w:rsidRPr="002B1FB2" w:rsidR="003252F1">
        <w:rPr>
          <w:i/>
          <w:lang w:val="en-US"/>
        </w:rPr>
        <w:t xml:space="preserve"> v. Croatia</w:t>
      </w:r>
      <w:r w:rsidRPr="002B1FB2" w:rsidR="003252F1">
        <w:rPr>
          <w:lang w:val="en-US"/>
        </w:rPr>
        <w:t>, no.</w:t>
      </w:r>
      <w:r w:rsidRPr="002B1FB2" w:rsidR="00C62C38">
        <w:rPr>
          <w:lang w:val="en-US"/>
        </w:rPr>
        <w:t> </w:t>
      </w:r>
      <w:r w:rsidRPr="002B1FB2" w:rsidR="003252F1">
        <w:rPr>
          <w:lang w:val="en-US"/>
        </w:rPr>
        <w:t>30376/13, §§ 93-94, 2 May 2017).</w:t>
      </w:r>
      <w:r w:rsidRPr="002B1FB2" w:rsidR="003252F1">
        <w:t xml:space="preserve"> These safeguards concern the procedural rights of the parties in the proceedings, as well as the duties of the expert and the court conducting the proceedings. The Court shall examine whether those safeguards were properly applied in the present case.</w:t>
      </w:r>
    </w:p>
    <w:p w:rsidRPr="002B1FB2" w:rsidR="003252F1" w:rsidP="002B1FB2" w:rsidRDefault="00C75CA9" w14:paraId="7C14FBC4" w14:textId="35D6307D">
      <w:pPr>
        <w:pStyle w:val="JuPara"/>
      </w:pPr>
      <w:fldSimple w:instr=" SEQ level0 \*arabic \* MERGEFORMAT ">
        <w:r w:rsidRPr="002B1FB2" w:rsidR="002B1FB2">
          <w:rPr>
            <w:noProof/>
          </w:rPr>
          <w:t>71</w:t>
        </w:r>
      </w:fldSimple>
      <w:r w:rsidRPr="002B1FB2" w:rsidR="003252F1">
        <w:t xml:space="preserve">.  The Court notes that under section 253(3) of the Civil Procedure Act experts, as well as the legal persons in which they were employed, could have requested the judge who had appointed them to discharge them from the obligation to submit an expert report in a case (see paragraph </w:t>
      </w:r>
      <w:r w:rsidRPr="002B1FB2" w:rsidR="003252F1">
        <w:fldChar w:fldCharType="begin"/>
      </w:r>
      <w:r w:rsidRPr="002B1FB2" w:rsidR="003252F1">
        <w:instrText xml:space="preserve"> REF Paragraph28 \h </w:instrText>
      </w:r>
      <w:r w:rsidRPr="002B1FB2" w:rsidR="003252F1">
        <w:fldChar w:fldCharType="separate"/>
      </w:r>
      <w:r w:rsidRPr="002B1FB2" w:rsidR="002B1FB2">
        <w:rPr>
          <w:noProof/>
        </w:rPr>
        <w:t>34</w:t>
      </w:r>
      <w:r w:rsidRPr="002B1FB2" w:rsidR="003252F1">
        <w:fldChar w:fldCharType="end"/>
      </w:r>
      <w:r w:rsidRPr="002B1FB2" w:rsidR="003252F1">
        <w:t xml:space="preserve"> above).</w:t>
      </w:r>
    </w:p>
    <w:p w:rsidRPr="002B1FB2" w:rsidR="003252F1" w:rsidP="002B1FB2" w:rsidRDefault="003252F1" w14:paraId="4C0B81E4" w14:textId="76FA2CC8">
      <w:pPr>
        <w:pStyle w:val="JuPara"/>
      </w:pPr>
      <w:r w:rsidRPr="002B1FB2">
        <w:fldChar w:fldCharType="begin"/>
      </w:r>
      <w:r w:rsidRPr="002B1FB2">
        <w:instrText xml:space="preserve"> SEQ level0 \*arabic </w:instrText>
      </w:r>
      <w:r w:rsidRPr="002B1FB2">
        <w:fldChar w:fldCharType="separate"/>
      </w:r>
      <w:r w:rsidRPr="002B1FB2" w:rsidR="002B1FB2">
        <w:rPr>
          <w:noProof/>
        </w:rPr>
        <w:t>72</w:t>
      </w:r>
      <w:r w:rsidRPr="002B1FB2">
        <w:fldChar w:fldCharType="end"/>
      </w:r>
      <w:r w:rsidRPr="002B1FB2">
        <w:t xml:space="preserve">.  Having regard that being employed, permanently or temporarily, by a legal person which was a party to the proceedings disqualified an expert from participating in a case (see paragraphs </w:t>
      </w:r>
      <w:r w:rsidRPr="002B1FB2">
        <w:fldChar w:fldCharType="begin"/>
      </w:r>
      <w:r w:rsidRPr="002B1FB2">
        <w:instrText xml:space="preserve"> REF para29 \h </w:instrText>
      </w:r>
      <w:r w:rsidRPr="002B1FB2">
        <w:fldChar w:fldCharType="separate"/>
      </w:r>
      <w:r w:rsidRPr="002B1FB2" w:rsidR="002B1FB2">
        <w:rPr>
          <w:rFonts w:ascii="Times New Roman" w:hAnsi="Times New Roman" w:eastAsia="Times New Roman" w:cs="Times New Roman"/>
          <w:noProof/>
          <w:szCs w:val="22"/>
        </w:rPr>
        <w:t>29</w:t>
      </w:r>
      <w:r w:rsidRPr="002B1FB2">
        <w:fldChar w:fldCharType="end"/>
      </w:r>
      <w:r w:rsidRPr="002B1FB2">
        <w:t>-</w:t>
      </w:r>
      <w:r w:rsidRPr="002B1FB2">
        <w:fldChar w:fldCharType="begin"/>
      </w:r>
      <w:r w:rsidRPr="002B1FB2">
        <w:instrText xml:space="preserve"> REF para30 \h </w:instrText>
      </w:r>
      <w:r w:rsidRPr="002B1FB2">
        <w:fldChar w:fldCharType="separate"/>
      </w:r>
      <w:r w:rsidRPr="002B1FB2" w:rsidR="002B1FB2">
        <w:rPr>
          <w:rFonts w:eastAsiaTheme="minorEastAsia"/>
          <w:noProof/>
        </w:rPr>
        <w:t>30</w:t>
      </w:r>
      <w:r w:rsidRPr="002B1FB2">
        <w:fldChar w:fldCharType="end"/>
      </w:r>
      <w:r w:rsidRPr="002B1FB2">
        <w:t xml:space="preserve"> above), the Court is of the view that V.B., who was at one point employed as a medical examiner in the defendant company</w:t>
      </w:r>
      <w:r w:rsidRPr="002B1FB2" w:rsidR="002B1FB2">
        <w:t>’</w:t>
      </w:r>
      <w:r w:rsidRPr="002B1FB2">
        <w:t>s directorate general and at the time of submitting her expert opinion in the applicant</w:t>
      </w:r>
      <w:r w:rsidRPr="002B1FB2" w:rsidR="002B1FB2">
        <w:t>’</w:t>
      </w:r>
      <w:r w:rsidRPr="002B1FB2">
        <w:t>s case was the president of the management board of the defendant company</w:t>
      </w:r>
      <w:r w:rsidRPr="002B1FB2" w:rsidR="002B1FB2">
        <w:t>’</w:t>
      </w:r>
      <w:r w:rsidRPr="002B1FB2">
        <w:t>s subsidiary, had every reason to report this circumstance to the first-instance court. Yet, she did not do so.</w:t>
      </w:r>
    </w:p>
    <w:p w:rsidRPr="002B1FB2" w:rsidR="003252F1" w:rsidP="002B1FB2" w:rsidRDefault="00C75CA9" w14:paraId="6333A240" w14:textId="3BA208AD">
      <w:pPr>
        <w:pStyle w:val="JuPara"/>
      </w:pPr>
      <w:fldSimple w:instr=" SEQ level0 \*arabic \* MERGEFORMAT ">
        <w:r w:rsidRPr="002B1FB2" w:rsidR="002B1FB2">
          <w:rPr>
            <w:noProof/>
          </w:rPr>
          <w:t>73</w:t>
        </w:r>
      </w:fldSimple>
      <w:r w:rsidRPr="002B1FB2" w:rsidR="003252F1">
        <w:t xml:space="preserve">.  The Court further notes that under section 251 of the Civil Procedure Act, as in force at the time, the commissioning of an expert report was within the competence of the court conducting the proceedings (see paragraph </w:t>
      </w:r>
      <w:r w:rsidRPr="002B1FB2" w:rsidR="003252F1">
        <w:fldChar w:fldCharType="begin"/>
      </w:r>
      <w:r w:rsidRPr="002B1FB2" w:rsidR="003252F1">
        <w:instrText xml:space="preserve"> REF para27 \h </w:instrText>
      </w:r>
      <w:r w:rsidRPr="002B1FB2" w:rsidR="003252F1">
        <w:fldChar w:fldCharType="separate"/>
      </w:r>
      <w:r w:rsidRPr="002B1FB2" w:rsidR="002B1FB2">
        <w:rPr>
          <w:rFonts w:ascii="Times New Roman" w:hAnsi="Times New Roman" w:eastAsia="Times New Roman" w:cs="Times New Roman"/>
          <w:noProof/>
          <w:szCs w:val="22"/>
        </w:rPr>
        <w:t>27</w:t>
      </w:r>
      <w:r w:rsidRPr="002B1FB2" w:rsidR="003252F1">
        <w:fldChar w:fldCharType="end"/>
      </w:r>
      <w:r w:rsidRPr="002B1FB2" w:rsidR="003252F1">
        <w:t xml:space="preserve"> above).</w:t>
      </w:r>
    </w:p>
    <w:p w:rsidRPr="002B1FB2" w:rsidR="003252F1" w:rsidP="002B1FB2" w:rsidRDefault="00C75CA9" w14:paraId="291E5A86" w14:textId="247B6A5D">
      <w:pPr>
        <w:pStyle w:val="JuPara"/>
      </w:pPr>
      <w:fldSimple w:instr=" SEQ level0 \*arabic \* MERGEFORMAT ">
        <w:r w:rsidRPr="002B1FB2" w:rsidR="002B1FB2">
          <w:rPr>
            <w:noProof/>
          </w:rPr>
          <w:t>74</w:t>
        </w:r>
      </w:fldSimple>
      <w:r w:rsidRPr="002B1FB2" w:rsidR="003252F1">
        <w:t xml:space="preserve">.  Further to this, even though at the hearing held on 5 February 2007 the judge warned expert V.B. about the legal consequences of perjury (section 258(1) of the Civil Procedure Act), he failed to invite her to state her relationship with the parties to the proceedings (see paragraph </w:t>
      </w:r>
      <w:r w:rsidRPr="002B1FB2" w:rsidR="003252F1">
        <w:fldChar w:fldCharType="begin"/>
      </w:r>
      <w:r w:rsidRPr="002B1FB2" w:rsidR="003252F1">
        <w:instrText xml:space="preserve"> REF para17 \h  \* MERGEFORMAT </w:instrText>
      </w:r>
      <w:r w:rsidRPr="002B1FB2" w:rsidR="003252F1">
        <w:fldChar w:fldCharType="separate"/>
      </w:r>
      <w:r w:rsidRPr="002B1FB2" w:rsidR="002B1FB2">
        <w:rPr>
          <w:rFonts w:eastAsia="Times New Roman"/>
        </w:rPr>
        <w:t>17</w:t>
      </w:r>
      <w:r w:rsidRPr="002B1FB2" w:rsidR="003252F1">
        <w:fldChar w:fldCharType="end"/>
      </w:r>
      <w:r w:rsidRPr="002B1FB2" w:rsidR="003252F1">
        <w:t xml:space="preserve"> above). The Court observes that this amounted to information which under section 258(2) of the Civil Procedure Act the judge was expressly required to ask the expert (see paragraph </w:t>
      </w:r>
      <w:r w:rsidRPr="002B1FB2" w:rsidR="003252F1">
        <w:fldChar w:fldCharType="begin"/>
      </w:r>
      <w:r w:rsidRPr="002B1FB2" w:rsidR="003252F1">
        <w:instrText xml:space="preserve"> REF para40 \h  \* MERGEFORMAT </w:instrText>
      </w:r>
      <w:r w:rsidRPr="002B1FB2" w:rsidR="003252F1">
        <w:fldChar w:fldCharType="separate"/>
      </w:r>
      <w:r w:rsidRPr="002B1FB2" w:rsidR="002B1FB2">
        <w:t>40</w:t>
      </w:r>
      <w:r w:rsidRPr="002B1FB2" w:rsidR="003252F1">
        <w:fldChar w:fldCharType="end"/>
      </w:r>
      <w:r w:rsidRPr="002B1FB2" w:rsidR="003252F1">
        <w:t xml:space="preserve"> above).</w:t>
      </w:r>
    </w:p>
    <w:p w:rsidRPr="002B1FB2" w:rsidR="003252F1" w:rsidP="002B1FB2" w:rsidRDefault="00C75CA9" w14:paraId="2FD489F3" w14:textId="49C7C196">
      <w:pPr>
        <w:pStyle w:val="JuPara"/>
      </w:pPr>
      <w:fldSimple w:instr=" SEQ level0 \*arabic \* MERGEFORMAT ">
        <w:r w:rsidRPr="002B1FB2" w:rsidR="002B1FB2">
          <w:rPr>
            <w:noProof/>
          </w:rPr>
          <w:t>75</w:t>
        </w:r>
      </w:fldSimple>
      <w:r w:rsidRPr="002B1FB2" w:rsidR="003252F1">
        <w:t xml:space="preserve">.  At the same time, there is no indication that the first-instance court judge who appointed V.B. as expert (see paragraph </w:t>
      </w:r>
      <w:r w:rsidRPr="002B1FB2" w:rsidR="00696882">
        <w:t>12</w:t>
      </w:r>
      <w:r w:rsidRPr="002B1FB2" w:rsidR="003252F1">
        <w:t xml:space="preserve"> above), or the judge who finally adjudicated the case (see paragraph </w:t>
      </w:r>
      <w:r w:rsidRPr="002B1FB2" w:rsidR="003252F1">
        <w:fldChar w:fldCharType="begin"/>
      </w:r>
      <w:r w:rsidRPr="002B1FB2" w:rsidR="003252F1">
        <w:instrText xml:space="preserve"> REF para26 \h </w:instrText>
      </w:r>
      <w:r w:rsidRPr="002B1FB2" w:rsidR="003252F1">
        <w:fldChar w:fldCharType="separate"/>
      </w:r>
      <w:r w:rsidRPr="002B1FB2" w:rsidR="002B1FB2">
        <w:rPr>
          <w:rFonts w:ascii="Times New Roman" w:hAnsi="Times New Roman" w:eastAsia="Times New Roman" w:cs="Times New Roman"/>
          <w:noProof/>
          <w:szCs w:val="22"/>
        </w:rPr>
        <w:t>26</w:t>
      </w:r>
      <w:r w:rsidRPr="002B1FB2" w:rsidR="003252F1">
        <w:fldChar w:fldCharType="end"/>
      </w:r>
      <w:r w:rsidRPr="002B1FB2" w:rsidR="003252F1">
        <w:t xml:space="preserve"> above), were aware of her professional ties with the defendant company (see, by contrast, </w:t>
      </w:r>
      <w:r w:rsidRPr="002B1FB2" w:rsidR="003252F1">
        <w:rPr>
          <w:i/>
          <w:iCs/>
        </w:rPr>
        <w:t xml:space="preserve">Sara Lind </w:t>
      </w:r>
      <w:proofErr w:type="spellStart"/>
      <w:r w:rsidRPr="002B1FB2" w:rsidR="003252F1">
        <w:rPr>
          <w:i/>
          <w:iCs/>
        </w:rPr>
        <w:t>Eggertsdóttir</w:t>
      </w:r>
      <w:proofErr w:type="spellEnd"/>
      <w:r w:rsidRPr="002B1FB2" w:rsidR="003252F1">
        <w:t xml:space="preserve">, cited above, § 24, and </w:t>
      </w:r>
      <w:proofErr w:type="spellStart"/>
      <w:r w:rsidRPr="002B1FB2" w:rsidR="003252F1">
        <w:rPr>
          <w:i/>
          <w:iCs/>
        </w:rPr>
        <w:t>Bajić</w:t>
      </w:r>
      <w:proofErr w:type="spellEnd"/>
      <w:r w:rsidRPr="002B1FB2" w:rsidR="003252F1">
        <w:rPr>
          <w:i/>
          <w:iCs/>
        </w:rPr>
        <w:t xml:space="preserve">, </w:t>
      </w:r>
      <w:r w:rsidRPr="002B1FB2" w:rsidR="003252F1">
        <w:t>cited above, § 33, where the domestic courts were aware of the connection between the experts and the defendants but concluded that the connection did not affect the experts</w:t>
      </w:r>
      <w:r w:rsidRPr="002B1FB2" w:rsidR="002B1FB2">
        <w:t>’</w:t>
      </w:r>
      <w:r w:rsidRPr="002B1FB2" w:rsidR="003252F1">
        <w:t xml:space="preserve"> impartiality).</w:t>
      </w:r>
    </w:p>
    <w:p w:rsidRPr="002B1FB2" w:rsidR="003252F1" w:rsidP="002B1FB2" w:rsidRDefault="00C75CA9" w14:paraId="4A28AAB9" w14:textId="51CAE419">
      <w:pPr>
        <w:pStyle w:val="JuPara"/>
      </w:pPr>
      <w:fldSimple w:instr=" SEQ level0 \*arabic \* MERGEFORMAT ">
        <w:r w:rsidRPr="002B1FB2" w:rsidR="002B1FB2">
          <w:rPr>
            <w:noProof/>
          </w:rPr>
          <w:t>76</w:t>
        </w:r>
      </w:fldSimple>
      <w:r w:rsidRPr="002B1FB2" w:rsidR="003252F1">
        <w:t>.  V.B. was a permanent court expert for matters of occupational medicine and, according to the Government, the list of permanent court experts did not contain information as to the experts</w:t>
      </w:r>
      <w:r w:rsidRPr="002B1FB2" w:rsidR="002B1FB2">
        <w:t>’</w:t>
      </w:r>
      <w:r w:rsidRPr="002B1FB2" w:rsidR="003252F1">
        <w:t xml:space="preserve"> employment or other professional engagements (see paragraph </w:t>
      </w:r>
      <w:r w:rsidRPr="002B1FB2" w:rsidR="003252F1">
        <w:fldChar w:fldCharType="begin"/>
      </w:r>
      <w:r w:rsidRPr="002B1FB2" w:rsidR="003252F1">
        <w:instrText xml:space="preserve"> REF para53 \h </w:instrText>
      </w:r>
      <w:r w:rsidRPr="002B1FB2" w:rsidR="003252F1">
        <w:fldChar w:fldCharType="separate"/>
      </w:r>
      <w:r w:rsidRPr="002B1FB2" w:rsidR="002B1FB2">
        <w:rPr>
          <w:noProof/>
        </w:rPr>
        <w:t>53</w:t>
      </w:r>
      <w:r w:rsidRPr="002B1FB2" w:rsidR="003252F1">
        <w:fldChar w:fldCharType="end"/>
      </w:r>
      <w:r w:rsidRPr="002B1FB2" w:rsidR="003252F1">
        <w:t xml:space="preserve"> above). It is hard to criticize the judges</w:t>
      </w:r>
      <w:r w:rsidRPr="002B1FB2" w:rsidR="002B1FB2">
        <w:t>’</w:t>
      </w:r>
      <w:r w:rsidRPr="002B1FB2" w:rsidR="003252F1">
        <w:t xml:space="preserve"> lack of knowledge in this regard in a situation in which the lawyer representing the applicant in the first-instance proceedings, a professional whose task was to assert his client</w:t>
      </w:r>
      <w:r w:rsidRPr="002B1FB2" w:rsidR="002B1FB2">
        <w:t>’</w:t>
      </w:r>
      <w:r w:rsidRPr="002B1FB2" w:rsidR="003252F1">
        <w:t>s position in the case, was also not aware of it.</w:t>
      </w:r>
    </w:p>
    <w:p w:rsidRPr="002B1FB2" w:rsidR="003252F1" w:rsidP="002B1FB2" w:rsidRDefault="003252F1" w14:paraId="75D22695" w14:textId="3185A05C">
      <w:pPr>
        <w:pStyle w:val="JuPara"/>
      </w:pPr>
      <w:r w:rsidRPr="002B1FB2">
        <w:fldChar w:fldCharType="begin"/>
      </w:r>
      <w:r w:rsidRPr="002B1FB2">
        <w:instrText xml:space="preserve"> SEQ level0 \*arabic </w:instrText>
      </w:r>
      <w:r w:rsidRPr="002B1FB2">
        <w:fldChar w:fldCharType="separate"/>
      </w:r>
      <w:r w:rsidRPr="002B1FB2" w:rsidR="002B1FB2">
        <w:rPr>
          <w:noProof/>
        </w:rPr>
        <w:t>77</w:t>
      </w:r>
      <w:r w:rsidRPr="002B1FB2">
        <w:fldChar w:fldCharType="end"/>
      </w:r>
      <w:r w:rsidRPr="002B1FB2">
        <w:t xml:space="preserve">.  The Court further notes that Section 254 of the Civil Procedure Act sets out the possibility for a party to request the disqualification of an expert (see paragraph </w:t>
      </w:r>
      <w:r w:rsidRPr="002B1FB2">
        <w:fldChar w:fldCharType="begin"/>
      </w:r>
      <w:r w:rsidRPr="002B1FB2">
        <w:instrText xml:space="preserve"> REF Para31 \h </w:instrText>
      </w:r>
      <w:r w:rsidRPr="002B1FB2">
        <w:fldChar w:fldCharType="separate"/>
      </w:r>
      <w:r w:rsidRPr="002B1FB2" w:rsidR="002B1FB2">
        <w:rPr>
          <w:noProof/>
        </w:rPr>
        <w:t>37</w:t>
      </w:r>
      <w:r w:rsidRPr="002B1FB2">
        <w:fldChar w:fldCharType="end"/>
      </w:r>
      <w:r w:rsidRPr="002B1FB2">
        <w:t xml:space="preserve"> above). In the present case it is undisputed that during the proceedings before the </w:t>
      </w:r>
      <w:proofErr w:type="gramStart"/>
      <w:r w:rsidRPr="002B1FB2">
        <w:t>first-instance</w:t>
      </w:r>
      <w:proofErr w:type="gramEnd"/>
      <w:r w:rsidRPr="002B1FB2">
        <w:t xml:space="preserve"> court the applicant did not request that V.B. be disqualified from the case.</w:t>
      </w:r>
    </w:p>
    <w:p w:rsidRPr="002B1FB2" w:rsidR="003252F1" w:rsidP="002B1FB2" w:rsidRDefault="00C75CA9" w14:paraId="35BD1C7D" w14:textId="496B0B95">
      <w:pPr>
        <w:pStyle w:val="JuPara"/>
      </w:pPr>
      <w:fldSimple w:instr=" SEQ level0 \*arabic \* MERGEFORMAT ">
        <w:r w:rsidRPr="002B1FB2" w:rsidR="002B1FB2">
          <w:rPr>
            <w:noProof/>
          </w:rPr>
          <w:t>78</w:t>
        </w:r>
      </w:fldSimple>
      <w:r w:rsidRPr="002B1FB2" w:rsidR="003252F1">
        <w:t xml:space="preserve">.  In this connection the Court observes that the applicant did not inquire about V.B. or her possible relationship with the defendant company until the first-instance judgment of 5 March 2012 was rendered. Altogether, this concerned a period of six years. At the same time, he had ample opportunity to do so. He was present at the hearing when she was appointed as expert in his case (see paragraph </w:t>
      </w:r>
      <w:r w:rsidRPr="002B1FB2" w:rsidR="003252F1">
        <w:fldChar w:fldCharType="begin"/>
      </w:r>
      <w:r w:rsidRPr="002B1FB2" w:rsidR="003252F1">
        <w:instrText xml:space="preserve"> REF para12 \h </w:instrText>
      </w:r>
      <w:r w:rsidRPr="002B1FB2" w:rsidR="003252F1">
        <w:fldChar w:fldCharType="separate"/>
      </w:r>
      <w:r w:rsidRPr="002B1FB2" w:rsidR="002B1FB2">
        <w:rPr>
          <w:rFonts w:ascii="Times New Roman" w:hAnsi="Times New Roman" w:eastAsia="Times New Roman" w:cs="Times New Roman"/>
          <w:noProof/>
          <w:szCs w:val="22"/>
        </w:rPr>
        <w:t>12</w:t>
      </w:r>
      <w:r w:rsidRPr="002B1FB2" w:rsidR="003252F1">
        <w:fldChar w:fldCharType="end"/>
      </w:r>
      <w:r w:rsidRPr="002B1FB2" w:rsidR="003252F1">
        <w:t xml:space="preserve"> above). He was made aware of her report and questioned her at the hearing (see paragraph </w:t>
      </w:r>
      <w:r w:rsidRPr="002B1FB2" w:rsidR="003252F1">
        <w:fldChar w:fldCharType="begin"/>
      </w:r>
      <w:r w:rsidRPr="002B1FB2" w:rsidR="003252F1">
        <w:instrText xml:space="preserve"> REF para17 \h </w:instrText>
      </w:r>
      <w:r w:rsidRPr="002B1FB2" w:rsidR="003252F1">
        <w:fldChar w:fldCharType="separate"/>
      </w:r>
      <w:r w:rsidRPr="002B1FB2" w:rsidR="002B1FB2">
        <w:rPr>
          <w:rFonts w:eastAsia="Times New Roman"/>
          <w:noProof/>
        </w:rPr>
        <w:t>17</w:t>
      </w:r>
      <w:r w:rsidRPr="002B1FB2" w:rsidR="003252F1">
        <w:fldChar w:fldCharType="end"/>
      </w:r>
      <w:r w:rsidRPr="002B1FB2" w:rsidR="003252F1">
        <w:t xml:space="preserve"> above). The first-instance judgment relying on V.B.</w:t>
      </w:r>
      <w:r w:rsidRPr="002B1FB2" w:rsidR="002B1FB2">
        <w:t>’</w:t>
      </w:r>
      <w:r w:rsidRPr="002B1FB2" w:rsidR="003252F1">
        <w:t xml:space="preserve">s findings was quashed several times by the second-instance court (see paragraphs </w:t>
      </w:r>
      <w:r w:rsidRPr="002B1FB2" w:rsidR="003252F1">
        <w:fldChar w:fldCharType="begin"/>
      </w:r>
      <w:r w:rsidRPr="002B1FB2" w:rsidR="003252F1">
        <w:instrText xml:space="preserve"> REF para19 \h </w:instrText>
      </w:r>
      <w:r w:rsidRPr="002B1FB2" w:rsidR="003252F1">
        <w:fldChar w:fldCharType="separate"/>
      </w:r>
      <w:r w:rsidRPr="002B1FB2" w:rsidR="002B1FB2">
        <w:rPr>
          <w:rFonts w:ascii="Times New Roman" w:hAnsi="Times New Roman" w:eastAsia="Times New Roman" w:cs="Times New Roman"/>
          <w:noProof/>
          <w:szCs w:val="22"/>
        </w:rPr>
        <w:t>19</w:t>
      </w:r>
      <w:r w:rsidRPr="002B1FB2" w:rsidR="003252F1">
        <w:fldChar w:fldCharType="end"/>
      </w:r>
      <w:r w:rsidRPr="002B1FB2" w:rsidR="003252F1">
        <w:t>-</w:t>
      </w:r>
      <w:r w:rsidRPr="002B1FB2" w:rsidR="003252F1">
        <w:fldChar w:fldCharType="begin"/>
      </w:r>
      <w:r w:rsidRPr="002B1FB2" w:rsidR="003252F1">
        <w:instrText xml:space="preserve"> REF para26 \h </w:instrText>
      </w:r>
      <w:r w:rsidRPr="002B1FB2" w:rsidR="003252F1">
        <w:fldChar w:fldCharType="separate"/>
      </w:r>
      <w:r w:rsidRPr="002B1FB2" w:rsidR="002B1FB2">
        <w:rPr>
          <w:rFonts w:ascii="Times New Roman" w:hAnsi="Times New Roman" w:eastAsia="Times New Roman" w:cs="Times New Roman"/>
          <w:noProof/>
          <w:szCs w:val="22"/>
        </w:rPr>
        <w:t>26</w:t>
      </w:r>
      <w:r w:rsidRPr="002B1FB2" w:rsidR="003252F1">
        <w:fldChar w:fldCharType="end"/>
      </w:r>
      <w:r w:rsidRPr="002B1FB2" w:rsidR="003252F1">
        <w:t xml:space="preserve"> above). In his appeal against the first-instance judgment adopted on 5 March 2012, in which he raised the issue for the first time, he admitted that the information on V.B.</w:t>
      </w:r>
      <w:r w:rsidRPr="002B1FB2" w:rsidR="002B1FB2">
        <w:t>’</w:t>
      </w:r>
      <w:r w:rsidRPr="002B1FB2" w:rsidR="003252F1">
        <w:t xml:space="preserve">s connection with the defendant company had been publicly available (see paragraph </w:t>
      </w:r>
      <w:r w:rsidRPr="002B1FB2" w:rsidR="003252F1">
        <w:fldChar w:fldCharType="begin"/>
      </w:r>
      <w:r w:rsidRPr="002B1FB2" w:rsidR="003252F1">
        <w:instrText xml:space="preserve"> REF Paragraph21 \h </w:instrText>
      </w:r>
      <w:r w:rsidRPr="002B1FB2" w:rsidR="003252F1">
        <w:fldChar w:fldCharType="separate"/>
      </w:r>
      <w:r w:rsidRPr="002B1FB2" w:rsidR="002B1FB2">
        <w:rPr>
          <w:rFonts w:ascii="Times New Roman" w:hAnsi="Times New Roman" w:eastAsia="Times New Roman" w:cs="Times New Roman"/>
          <w:noProof/>
          <w:szCs w:val="22"/>
        </w:rPr>
        <w:t>28</w:t>
      </w:r>
      <w:r w:rsidRPr="002B1FB2" w:rsidR="003252F1">
        <w:fldChar w:fldCharType="end"/>
      </w:r>
      <w:r w:rsidRPr="002B1FB2" w:rsidR="003252F1">
        <w:t xml:space="preserve"> above). He did not argue, either before the domestic courts or before the Court, that the latter information became available only after the first-instance proceedings had ended (see paragraphs </w:t>
      </w:r>
      <w:r w:rsidRPr="002B1FB2" w:rsidR="003252F1">
        <w:fldChar w:fldCharType="begin"/>
      </w:r>
      <w:r w:rsidRPr="002B1FB2" w:rsidR="003252F1">
        <w:instrText xml:space="preserve"> REF Paragraph21 \h </w:instrText>
      </w:r>
      <w:r w:rsidRPr="002B1FB2" w:rsidR="003252F1">
        <w:fldChar w:fldCharType="separate"/>
      </w:r>
      <w:r w:rsidRPr="002B1FB2" w:rsidR="002B1FB2">
        <w:rPr>
          <w:rFonts w:ascii="Times New Roman" w:hAnsi="Times New Roman" w:eastAsia="Times New Roman" w:cs="Times New Roman"/>
          <w:noProof/>
          <w:szCs w:val="22"/>
        </w:rPr>
        <w:t>28</w:t>
      </w:r>
      <w:r w:rsidRPr="002B1FB2" w:rsidR="003252F1">
        <w:fldChar w:fldCharType="end"/>
      </w:r>
      <w:r w:rsidRPr="002B1FB2" w:rsidR="003252F1">
        <w:t xml:space="preserve"> and </w:t>
      </w:r>
      <w:r w:rsidRPr="002B1FB2" w:rsidR="003252F1">
        <w:fldChar w:fldCharType="begin"/>
      </w:r>
      <w:r w:rsidRPr="002B1FB2" w:rsidR="003252F1">
        <w:instrText xml:space="preserve"> REF para52 \h </w:instrText>
      </w:r>
      <w:r w:rsidRPr="002B1FB2" w:rsidR="003252F1">
        <w:fldChar w:fldCharType="separate"/>
      </w:r>
      <w:r w:rsidRPr="002B1FB2" w:rsidR="002B1FB2">
        <w:rPr>
          <w:noProof/>
        </w:rPr>
        <w:t>52</w:t>
      </w:r>
      <w:r w:rsidRPr="002B1FB2" w:rsidR="003252F1">
        <w:fldChar w:fldCharType="end"/>
      </w:r>
      <w:r w:rsidRPr="002B1FB2" w:rsidR="003252F1">
        <w:t xml:space="preserve"> above).</w:t>
      </w:r>
    </w:p>
    <w:p w:rsidRPr="002B1FB2" w:rsidR="003252F1" w:rsidP="002B1FB2" w:rsidRDefault="00C75CA9" w14:paraId="7669A84C" w14:textId="11BDAD2A">
      <w:pPr>
        <w:pStyle w:val="JuPara"/>
      </w:pPr>
      <w:fldSimple w:instr=" SEQ level0 \*arabic \* MERGEFORMAT ">
        <w:r w:rsidRPr="002B1FB2" w:rsidR="002B1FB2">
          <w:rPr>
            <w:noProof/>
          </w:rPr>
          <w:t>79</w:t>
        </w:r>
      </w:fldSimple>
      <w:r w:rsidRPr="002B1FB2" w:rsidR="003252F1">
        <w:t>.  It can therefore be said that the applicant, who was legally represented in the first-instance proceedings, failed to act with the necessary diligence concerning the person who had been appointed as an expert in his case, and failed to use his procedural rights in that regard. Indeed, in such an important matter for the applicant it would be expected, and in terms of the national law and practice required, that the applicant inquire about the person appointed as expert in his case and submit a request for the expert</w:t>
      </w:r>
      <w:r w:rsidRPr="002B1FB2" w:rsidR="002B1FB2">
        <w:t>’</w:t>
      </w:r>
      <w:r w:rsidRPr="002B1FB2" w:rsidR="003252F1">
        <w:t xml:space="preserve">s disqualification during the first-instance proceedings (see, </w:t>
      </w:r>
      <w:r w:rsidRPr="002B1FB2" w:rsidR="003252F1">
        <w:rPr>
          <w:i/>
          <w:iCs/>
        </w:rPr>
        <w:t>mutatis mutandis,</w:t>
      </w:r>
      <w:r w:rsidRPr="002B1FB2" w:rsidR="003252F1">
        <w:t xml:space="preserve"> </w:t>
      </w:r>
      <w:proofErr w:type="spellStart"/>
      <w:r w:rsidRPr="002B1FB2" w:rsidR="003252F1">
        <w:rPr>
          <w:i/>
        </w:rPr>
        <w:t>Zahirović</w:t>
      </w:r>
      <w:proofErr w:type="spellEnd"/>
      <w:r w:rsidRPr="002B1FB2" w:rsidR="003252F1">
        <w:rPr>
          <w:i/>
        </w:rPr>
        <w:t xml:space="preserve"> v.</w:t>
      </w:r>
      <w:r w:rsidRPr="002B1FB2" w:rsidR="00C62C38">
        <w:rPr>
          <w:i/>
        </w:rPr>
        <w:t> </w:t>
      </w:r>
      <w:r w:rsidRPr="002B1FB2" w:rsidR="003252F1">
        <w:rPr>
          <w:i/>
        </w:rPr>
        <w:t>Croatia</w:t>
      </w:r>
      <w:r w:rsidRPr="002B1FB2" w:rsidR="003252F1">
        <w:t>, no. 58590/11, §§ 35-36, 25 April 2013).</w:t>
      </w:r>
    </w:p>
    <w:bookmarkStart w:name="PARA105" w:id="89"/>
    <w:p w:rsidRPr="002B1FB2" w:rsidR="003252F1" w:rsidP="002B1FB2" w:rsidRDefault="003252F1" w14:paraId="579B3404" w14:textId="4D718D12">
      <w:pPr>
        <w:pStyle w:val="JuPara"/>
      </w:pPr>
      <w:r w:rsidRPr="002B1FB2">
        <w:fldChar w:fldCharType="begin"/>
      </w:r>
      <w:r w:rsidRPr="002B1FB2">
        <w:instrText xml:space="preserve"> SEQ level0 \*arabic </w:instrText>
      </w:r>
      <w:r w:rsidRPr="002B1FB2">
        <w:fldChar w:fldCharType="separate"/>
      </w:r>
      <w:r w:rsidRPr="002B1FB2" w:rsidR="002B1FB2">
        <w:rPr>
          <w:noProof/>
        </w:rPr>
        <w:t>80</w:t>
      </w:r>
      <w:r w:rsidRPr="002B1FB2">
        <w:fldChar w:fldCharType="end"/>
      </w:r>
      <w:bookmarkEnd w:id="89"/>
      <w:r w:rsidRPr="002B1FB2">
        <w:t>. </w:t>
      </w:r>
      <w:r w:rsidRPr="002B1FB2" w:rsidR="00545F6D">
        <w:t> </w:t>
      </w:r>
      <w:r w:rsidRPr="002B1FB2">
        <w:t xml:space="preserve">Since the matter was not raised during the first-instance proceedings, the second-instance court was precluded from examining it (see paragraph </w:t>
      </w:r>
      <w:r w:rsidRPr="002B1FB2">
        <w:fldChar w:fldCharType="begin"/>
      </w:r>
      <w:r w:rsidRPr="002B1FB2">
        <w:instrText xml:space="preserve"> REF para29 \h </w:instrText>
      </w:r>
      <w:r w:rsidRPr="002B1FB2">
        <w:fldChar w:fldCharType="separate"/>
      </w:r>
      <w:r w:rsidRPr="002B1FB2" w:rsidR="002B1FB2">
        <w:rPr>
          <w:rFonts w:ascii="Times New Roman" w:hAnsi="Times New Roman" w:eastAsia="Times New Roman" w:cs="Times New Roman"/>
          <w:noProof/>
          <w:szCs w:val="22"/>
        </w:rPr>
        <w:t>29</w:t>
      </w:r>
      <w:r w:rsidRPr="002B1FB2">
        <w:fldChar w:fldCharType="end"/>
      </w:r>
      <w:r w:rsidRPr="002B1FB2">
        <w:t xml:space="preserve"> above). Given that the situation was mainly and objectively imputable to the applicant, in the Court</w:t>
      </w:r>
      <w:r w:rsidRPr="002B1FB2" w:rsidR="002B1FB2">
        <w:t>’</w:t>
      </w:r>
      <w:r w:rsidRPr="002B1FB2">
        <w:t xml:space="preserve">s view the adverse consequences of that situation should rest on the applicant (see, </w:t>
      </w:r>
      <w:r w:rsidRPr="002B1FB2">
        <w:rPr>
          <w:i/>
          <w:iCs/>
        </w:rPr>
        <w:t>mutatis mutandis</w:t>
      </w:r>
      <w:r w:rsidRPr="002B1FB2">
        <w:t xml:space="preserve">, </w:t>
      </w:r>
      <w:r w:rsidRPr="002B1FB2">
        <w:rPr>
          <w:i/>
          <w:iCs/>
        </w:rPr>
        <w:t>Zubac</w:t>
      </w:r>
      <w:r w:rsidRPr="002B1FB2">
        <w:t>, cited above, §</w:t>
      </w:r>
      <w:r w:rsidRPr="002B1FB2" w:rsidR="00C62C38">
        <w:t> </w:t>
      </w:r>
      <w:r w:rsidRPr="002B1FB2">
        <w:t>121).</w:t>
      </w:r>
    </w:p>
    <w:p w:rsidRPr="002B1FB2" w:rsidR="003252F1" w:rsidP="002B1FB2" w:rsidRDefault="00C75CA9" w14:paraId="5FD1691C" w14:textId="65624614">
      <w:pPr>
        <w:pStyle w:val="JuPara"/>
      </w:pPr>
      <w:fldSimple w:instr=" SEQ level0 \*arabic \* MERGEFORMAT ">
        <w:r w:rsidRPr="002B1FB2" w:rsidR="002B1FB2">
          <w:rPr>
            <w:noProof/>
          </w:rPr>
          <w:t>81</w:t>
        </w:r>
      </w:fldSimple>
      <w:r w:rsidRPr="002B1FB2" w:rsidR="003252F1">
        <w:t xml:space="preserve">.  The Court further notes that the domestic courts did not simply allow the report drawn up by V.B., but also invited her to submit a supplementary report in order to shed further light on points which had remained unclear, as well as heard her in open court in the presence of the parties, who were able to put questions (see paragraphs </w:t>
      </w:r>
      <w:r w:rsidRPr="002B1FB2" w:rsidR="003252F1">
        <w:fldChar w:fldCharType="begin"/>
      </w:r>
      <w:r w:rsidRPr="002B1FB2" w:rsidR="003252F1">
        <w:instrText xml:space="preserve"> REF para15 \h  \* MERGEFORMAT </w:instrText>
      </w:r>
      <w:r w:rsidRPr="002B1FB2" w:rsidR="003252F1">
        <w:fldChar w:fldCharType="separate"/>
      </w:r>
      <w:r w:rsidRPr="002B1FB2" w:rsidR="002B1FB2">
        <w:rPr>
          <w:rFonts w:eastAsia="Times New Roman"/>
        </w:rPr>
        <w:t>15</w:t>
      </w:r>
      <w:r w:rsidRPr="002B1FB2" w:rsidR="003252F1">
        <w:fldChar w:fldCharType="end"/>
      </w:r>
      <w:r w:rsidRPr="002B1FB2" w:rsidR="003252F1">
        <w:t xml:space="preserve"> and </w:t>
      </w:r>
      <w:r w:rsidRPr="002B1FB2" w:rsidR="003252F1">
        <w:fldChar w:fldCharType="begin"/>
      </w:r>
      <w:r w:rsidRPr="002B1FB2" w:rsidR="003252F1">
        <w:instrText xml:space="preserve"> REF para17 \h  \* MERGEFORMAT </w:instrText>
      </w:r>
      <w:r w:rsidRPr="002B1FB2" w:rsidR="003252F1">
        <w:fldChar w:fldCharType="separate"/>
      </w:r>
      <w:r w:rsidRPr="002B1FB2" w:rsidR="002B1FB2">
        <w:rPr>
          <w:rFonts w:eastAsia="Times New Roman"/>
        </w:rPr>
        <w:t>17</w:t>
      </w:r>
      <w:r w:rsidRPr="002B1FB2" w:rsidR="003252F1">
        <w:fldChar w:fldCharType="end"/>
      </w:r>
      <w:r w:rsidRPr="002B1FB2" w:rsidR="003252F1">
        <w:t xml:space="preserve"> above). In a submission of 15 February 2007, the applicant even relied on V.B.</w:t>
      </w:r>
      <w:r w:rsidRPr="002B1FB2" w:rsidR="002B1FB2">
        <w:t>’</w:t>
      </w:r>
      <w:r w:rsidRPr="002B1FB2" w:rsidR="003252F1">
        <w:t xml:space="preserve">s oral evidence given at the hearing to support his claim (see paragraph </w:t>
      </w:r>
      <w:r w:rsidRPr="002B1FB2" w:rsidR="003252F1">
        <w:fldChar w:fldCharType="begin"/>
      </w:r>
      <w:r w:rsidRPr="002B1FB2" w:rsidR="003252F1">
        <w:instrText xml:space="preserve"> REF para18 \h  \* MERGEFORMAT </w:instrText>
      </w:r>
      <w:r w:rsidRPr="002B1FB2" w:rsidR="003252F1">
        <w:fldChar w:fldCharType="separate"/>
      </w:r>
      <w:r w:rsidRPr="002B1FB2" w:rsidR="002B1FB2">
        <w:rPr>
          <w:rFonts w:eastAsia="Times New Roman"/>
        </w:rPr>
        <w:t>18</w:t>
      </w:r>
      <w:r w:rsidRPr="002B1FB2" w:rsidR="003252F1">
        <w:fldChar w:fldCharType="end"/>
      </w:r>
      <w:r w:rsidRPr="002B1FB2" w:rsidR="003252F1">
        <w:t xml:space="preserve"> above). The domestic courts also duly scrutinised the expert evidence and, on the basis of V.B.</w:t>
      </w:r>
      <w:r w:rsidRPr="002B1FB2" w:rsidR="002B1FB2">
        <w:t>’</w:t>
      </w:r>
      <w:r w:rsidRPr="002B1FB2" w:rsidR="003252F1">
        <w:t>s finding that there had been no connection between the road traffic accident and the applicant</w:t>
      </w:r>
      <w:r w:rsidRPr="002B1FB2" w:rsidR="002B1FB2">
        <w:t>’</w:t>
      </w:r>
      <w:r w:rsidRPr="002B1FB2" w:rsidR="003252F1">
        <w:t>s decreased capacity to work after 26 August 1995, dismissed the outstanding part of the applicant</w:t>
      </w:r>
      <w:r w:rsidRPr="002B1FB2" w:rsidR="002B1FB2">
        <w:t>’</w:t>
      </w:r>
      <w:r w:rsidRPr="002B1FB2" w:rsidR="003252F1">
        <w:t xml:space="preserve">s claim (see paragraphs </w:t>
      </w:r>
      <w:r w:rsidRPr="002B1FB2" w:rsidR="003252F1">
        <w:fldChar w:fldCharType="begin"/>
      </w:r>
      <w:r w:rsidRPr="002B1FB2" w:rsidR="003252F1">
        <w:instrText xml:space="preserve"> REF para27 \h  \* MERGEFORMAT </w:instrText>
      </w:r>
      <w:r w:rsidRPr="002B1FB2" w:rsidR="003252F1">
        <w:fldChar w:fldCharType="separate"/>
      </w:r>
      <w:r w:rsidRPr="002B1FB2" w:rsidR="002B1FB2">
        <w:rPr>
          <w:rFonts w:ascii="Times New Roman" w:hAnsi="Times New Roman" w:eastAsia="Times New Roman" w:cs="Times New Roman"/>
          <w:szCs w:val="22"/>
        </w:rPr>
        <w:t>27</w:t>
      </w:r>
      <w:r w:rsidRPr="002B1FB2" w:rsidR="003252F1">
        <w:fldChar w:fldCharType="end"/>
      </w:r>
      <w:r w:rsidRPr="002B1FB2" w:rsidR="003252F1">
        <w:t xml:space="preserve"> and </w:t>
      </w:r>
      <w:r w:rsidRPr="002B1FB2" w:rsidR="003252F1">
        <w:fldChar w:fldCharType="begin"/>
      </w:r>
      <w:r w:rsidRPr="002B1FB2" w:rsidR="003252F1">
        <w:instrText xml:space="preserve"> REF para29 \h  \* MERGEFORMAT </w:instrText>
      </w:r>
      <w:r w:rsidRPr="002B1FB2" w:rsidR="003252F1">
        <w:fldChar w:fldCharType="separate"/>
      </w:r>
      <w:r w:rsidRPr="002B1FB2" w:rsidR="002B1FB2">
        <w:rPr>
          <w:rFonts w:ascii="Times New Roman" w:hAnsi="Times New Roman" w:eastAsia="Times New Roman" w:cs="Times New Roman"/>
          <w:szCs w:val="22"/>
        </w:rPr>
        <w:t>29</w:t>
      </w:r>
      <w:r w:rsidRPr="002B1FB2" w:rsidR="003252F1">
        <w:fldChar w:fldCharType="end"/>
      </w:r>
      <w:r w:rsidRPr="002B1FB2" w:rsidR="003252F1">
        <w:t xml:space="preserve"> above). Therefore, the domestic courts cannot be faulted </w:t>
      </w:r>
      <w:proofErr w:type="gramStart"/>
      <w:r w:rsidRPr="002B1FB2" w:rsidR="003252F1">
        <w:t>for the manner in which</w:t>
      </w:r>
      <w:proofErr w:type="gramEnd"/>
      <w:r w:rsidRPr="002B1FB2" w:rsidR="003252F1">
        <w:t xml:space="preserve"> they assessed V.B.</w:t>
      </w:r>
      <w:r w:rsidRPr="002B1FB2" w:rsidR="002B1FB2">
        <w:t>’</w:t>
      </w:r>
      <w:r w:rsidRPr="002B1FB2" w:rsidR="003252F1">
        <w:t>s expert report.</w:t>
      </w:r>
    </w:p>
    <w:p w:rsidRPr="002B1FB2" w:rsidR="003252F1" w:rsidP="002B1FB2" w:rsidRDefault="00C75CA9" w14:paraId="7FBA3B1F" w14:textId="2EFBE4A9">
      <w:pPr>
        <w:pStyle w:val="JuPara"/>
      </w:pPr>
      <w:fldSimple w:instr=" SEQ level0 \*arabic \* MERGEFORMAT ">
        <w:r w:rsidRPr="002B1FB2" w:rsidR="002B1FB2">
          <w:rPr>
            <w:noProof/>
          </w:rPr>
          <w:t>82</w:t>
        </w:r>
      </w:fldSimple>
      <w:r w:rsidRPr="002B1FB2" w:rsidR="003252F1">
        <w:t>.  In sum, the Court considers that the applicant effectively participated in the procedure of commissioning and obtaining the expert reports used to decide the merits of his claim and that the fact that the second-instance court did not examine the complaint concerning expert V.B.</w:t>
      </w:r>
      <w:r w:rsidRPr="002B1FB2" w:rsidR="002B1FB2">
        <w:t>’</w:t>
      </w:r>
      <w:r w:rsidRPr="002B1FB2" w:rsidR="003252F1">
        <w:t xml:space="preserve">s neutrality, a situation caused mainly and objectively by the applicant (see paragraph </w:t>
      </w:r>
      <w:r w:rsidRPr="002B1FB2" w:rsidR="003252F1">
        <w:fldChar w:fldCharType="begin"/>
      </w:r>
      <w:r w:rsidRPr="002B1FB2" w:rsidR="003252F1">
        <w:instrText xml:space="preserve"> REF PARA105 \h </w:instrText>
      </w:r>
      <w:r w:rsidRPr="002B1FB2" w:rsidR="003252F1">
        <w:fldChar w:fldCharType="separate"/>
      </w:r>
      <w:r w:rsidRPr="002B1FB2" w:rsidR="002B1FB2">
        <w:rPr>
          <w:noProof/>
        </w:rPr>
        <w:t>80</w:t>
      </w:r>
      <w:r w:rsidRPr="002B1FB2" w:rsidR="003252F1">
        <w:fldChar w:fldCharType="end"/>
      </w:r>
      <w:r w:rsidRPr="002B1FB2" w:rsidR="003252F1">
        <w:t xml:space="preserve"> above), did not breach his right to a fair hearing under Article 6 § 1 of the Convention.</w:t>
      </w:r>
    </w:p>
    <w:p w:rsidRPr="002B1FB2" w:rsidR="003252F1" w:rsidP="002B1FB2" w:rsidRDefault="003252F1" w14:paraId="267B204E" w14:textId="1E56C9F3">
      <w:pPr>
        <w:pStyle w:val="JuPara"/>
        <w:rPr>
          <w:lang w:val="en-US"/>
        </w:rPr>
      </w:pPr>
      <w:r w:rsidRPr="002B1FB2">
        <w:rPr>
          <w:lang w:val="en-US"/>
        </w:rPr>
        <w:fldChar w:fldCharType="begin"/>
      </w:r>
      <w:r w:rsidRPr="002B1FB2">
        <w:rPr>
          <w:lang w:val="en-US"/>
        </w:rPr>
        <w:instrText xml:space="preserve"> SEQ level0 \*arabic \* MERGEFORMAT </w:instrText>
      </w:r>
      <w:r w:rsidRPr="002B1FB2">
        <w:rPr>
          <w:lang w:val="en-US"/>
        </w:rPr>
        <w:fldChar w:fldCharType="separate"/>
      </w:r>
      <w:r w:rsidRPr="002B1FB2" w:rsidR="002B1FB2">
        <w:rPr>
          <w:noProof/>
          <w:lang w:val="en-US"/>
        </w:rPr>
        <w:t>83</w:t>
      </w:r>
      <w:r w:rsidRPr="002B1FB2">
        <w:rPr>
          <w:lang w:val="en-US"/>
        </w:rPr>
        <w:fldChar w:fldCharType="end"/>
      </w:r>
      <w:r w:rsidRPr="002B1FB2">
        <w:rPr>
          <w:lang w:val="en-US"/>
        </w:rPr>
        <w:t>.  Accordingly, the Court finds that there has been no breach of Article 6 § 1 of the Convention.</w:t>
      </w:r>
    </w:p>
    <w:p w:rsidRPr="002B1FB2" w:rsidR="003252F1" w:rsidP="002B1FB2" w:rsidRDefault="003252F1" w14:paraId="5C93168B" w14:textId="77777777">
      <w:pPr>
        <w:pStyle w:val="JuHHead"/>
        <w:numPr>
          <w:ilvl w:val="0"/>
          <w:numId w:val="3"/>
        </w:numPr>
        <w:ind w:left="360" w:hanging="360"/>
      </w:pPr>
      <w:r w:rsidRPr="002B1FB2">
        <w:t>FOR THESE REASONS, THE COURT,</w:t>
      </w:r>
    </w:p>
    <w:p w:rsidRPr="002B1FB2" w:rsidR="003252F1" w:rsidP="002B1FB2" w:rsidRDefault="003252F1" w14:paraId="11D4B3E8" w14:textId="77777777">
      <w:pPr>
        <w:pStyle w:val="JuList"/>
        <w:numPr>
          <w:ilvl w:val="0"/>
          <w:numId w:val="1"/>
        </w:numPr>
      </w:pPr>
      <w:r w:rsidRPr="002B1FB2">
        <w:rPr>
          <w:i/>
        </w:rPr>
        <w:t>Declares</w:t>
      </w:r>
      <w:r w:rsidRPr="002B1FB2">
        <w:t xml:space="preserve">, unanimously, the application </w:t>
      </w:r>
      <w:proofErr w:type="gramStart"/>
      <w:r w:rsidRPr="002B1FB2">
        <w:t>admissible;</w:t>
      </w:r>
      <w:proofErr w:type="gramEnd"/>
    </w:p>
    <w:p w:rsidRPr="002B1FB2" w:rsidR="004D0EC7" w:rsidP="002B1FB2" w:rsidRDefault="003252F1" w14:paraId="280683DB" w14:textId="1F556A50">
      <w:pPr>
        <w:pStyle w:val="JuList"/>
      </w:pPr>
      <w:r w:rsidRPr="002B1FB2">
        <w:rPr>
          <w:i/>
        </w:rPr>
        <w:t>Holds</w:t>
      </w:r>
      <w:r w:rsidRPr="002B1FB2">
        <w:t>, by four votes to three, that there has been no violation of Article</w:t>
      </w:r>
      <w:r w:rsidRPr="002B1FB2" w:rsidR="00364BD6">
        <w:t> </w:t>
      </w:r>
      <w:r w:rsidRPr="002B1FB2">
        <w:t>6</w:t>
      </w:r>
      <w:r w:rsidRPr="002B1FB2" w:rsidR="00364BD6">
        <w:t> </w:t>
      </w:r>
      <w:r w:rsidRPr="002B1FB2">
        <w:t>§ 1 of the Convention.</w:t>
      </w:r>
    </w:p>
    <w:p w:rsidRPr="002B1FB2" w:rsidR="008E3A08" w:rsidP="002B1FB2" w:rsidRDefault="007E2C8C" w14:paraId="1CFD215B" w14:textId="577A7FC1">
      <w:pPr>
        <w:pStyle w:val="JuParaLast"/>
      </w:pPr>
      <w:r w:rsidRPr="002B1FB2">
        <w:t xml:space="preserve">Done in English, and notified in writing on </w:t>
      </w:r>
      <w:r w:rsidRPr="002B1FB2" w:rsidR="00545F6D">
        <w:rPr>
          <w:rFonts w:ascii="Times New Roman" w:hAnsi="Times New Roman" w:cs="Times New Roman"/>
        </w:rPr>
        <w:t>13</w:t>
      </w:r>
      <w:r w:rsidRPr="002B1FB2" w:rsidR="003252F1">
        <w:rPr>
          <w:rFonts w:ascii="Times New Roman" w:hAnsi="Times New Roman" w:cs="Times New Roman"/>
        </w:rPr>
        <w:t xml:space="preserve"> </w:t>
      </w:r>
      <w:r w:rsidRPr="002B1FB2" w:rsidR="00545F6D">
        <w:rPr>
          <w:rFonts w:ascii="Times New Roman" w:hAnsi="Times New Roman" w:cs="Times New Roman"/>
        </w:rPr>
        <w:t>January</w:t>
      </w:r>
      <w:r w:rsidRPr="002B1FB2" w:rsidR="003252F1">
        <w:rPr>
          <w:rFonts w:ascii="Times New Roman" w:hAnsi="Times New Roman" w:cs="Times New Roman"/>
        </w:rPr>
        <w:t xml:space="preserve"> 202</w:t>
      </w:r>
      <w:r w:rsidRPr="002B1FB2" w:rsidR="008E5697">
        <w:rPr>
          <w:rFonts w:ascii="Times New Roman" w:hAnsi="Times New Roman" w:cs="Times New Roman"/>
        </w:rPr>
        <w:t>2</w:t>
      </w:r>
      <w:r w:rsidRPr="002B1FB2">
        <w:t>, pursuant to Rule 77 §§ 2 and 3 of the Rules of Court.</w:t>
      </w:r>
    </w:p>
    <w:p w:rsidRPr="002B1FB2" w:rsidR="001C055B" w:rsidP="002B1FB2" w:rsidRDefault="002E7764" w14:paraId="2380932E" w14:textId="1308E989">
      <w:pPr>
        <w:pStyle w:val="JuSigned"/>
      </w:pPr>
      <w:r w:rsidRPr="002B1FB2">
        <w:tab/>
      </w:r>
      <w:r w:rsidRPr="002B1FB2" w:rsidR="000A538A">
        <w:t>Liv Tigerstedt</w:t>
      </w:r>
      <w:r w:rsidRPr="002B1FB2" w:rsidR="005879A2">
        <w:t xml:space="preserve"> </w:t>
      </w:r>
      <w:r w:rsidRPr="002B1FB2" w:rsidR="009F4C8F">
        <w:tab/>
      </w:r>
      <w:proofErr w:type="spellStart"/>
      <w:r w:rsidRPr="002B1FB2" w:rsidR="003252F1">
        <w:t>Péter</w:t>
      </w:r>
      <w:proofErr w:type="spellEnd"/>
      <w:r w:rsidRPr="002B1FB2" w:rsidR="003252F1">
        <w:t xml:space="preserve"> </w:t>
      </w:r>
      <w:proofErr w:type="spellStart"/>
      <w:r w:rsidRPr="002B1FB2" w:rsidR="003252F1">
        <w:t>Paczolay</w:t>
      </w:r>
      <w:proofErr w:type="spellEnd"/>
      <w:r w:rsidRPr="002B1FB2" w:rsidR="009F4C8F">
        <w:br/>
      </w:r>
      <w:r w:rsidRPr="002B1FB2" w:rsidR="009F4C8F">
        <w:tab/>
      </w:r>
      <w:r w:rsidRPr="002B1FB2" w:rsidR="000A538A">
        <w:t xml:space="preserve">Deputy </w:t>
      </w:r>
      <w:r w:rsidRPr="002B1FB2" w:rsidR="003252F1">
        <w:rPr>
          <w:iCs/>
        </w:rPr>
        <w:t>Registrar</w:t>
      </w:r>
      <w:r w:rsidRPr="002B1FB2" w:rsidR="009F4C8F">
        <w:tab/>
        <w:t>President</w:t>
      </w:r>
    </w:p>
    <w:p w:rsidRPr="002B1FB2" w:rsidR="008E5697" w:rsidP="002B1FB2" w:rsidRDefault="008E5697" w14:paraId="0C6FEB9C" w14:textId="3CAE758C">
      <w:pPr>
        <w:pStyle w:val="JuPara"/>
      </w:pPr>
    </w:p>
    <w:p w:rsidRPr="002B1FB2" w:rsidR="008E5697" w:rsidP="002B1FB2" w:rsidRDefault="008E5697" w14:paraId="0BE04657" w14:textId="77777777">
      <w:pPr>
        <w:pStyle w:val="JuPara"/>
      </w:pPr>
    </w:p>
    <w:p w:rsidRPr="002B1FB2" w:rsidR="000A538A" w:rsidP="002B1FB2" w:rsidRDefault="000A538A" w14:paraId="243322BB" w14:textId="77777777">
      <w:pPr>
        <w:pStyle w:val="JuParaLast"/>
      </w:pPr>
      <w:r w:rsidRPr="002B1FB2">
        <w:t>In accordance with Article 45 § 2 of the Convention and Rule 74 § 2 of the Rules of Court, the following separate opinions are annexed to this judgment:</w:t>
      </w:r>
    </w:p>
    <w:p w:rsidRPr="002B1FB2" w:rsidR="000A538A" w:rsidP="002B1FB2" w:rsidRDefault="000A538A" w14:paraId="58C82671" w14:textId="297A6188">
      <w:pPr>
        <w:pStyle w:val="JuPara"/>
        <w:keepNext/>
        <w:keepLines/>
      </w:pPr>
      <w:r w:rsidRPr="002B1FB2">
        <w:t>(a)  </w:t>
      </w:r>
      <w:r w:rsidRPr="002B1FB2" w:rsidR="00E22B6F">
        <w:t xml:space="preserve">Concurring </w:t>
      </w:r>
      <w:r w:rsidRPr="002B1FB2">
        <w:t xml:space="preserve">opinion of Judge </w:t>
      </w:r>
      <w:proofErr w:type="gramStart"/>
      <w:r w:rsidRPr="002B1FB2" w:rsidR="00E22B6F">
        <w:t>Sabato</w:t>
      </w:r>
      <w:r w:rsidRPr="002B1FB2">
        <w:t>;</w:t>
      </w:r>
      <w:proofErr w:type="gramEnd"/>
    </w:p>
    <w:p w:rsidRPr="002B1FB2" w:rsidR="000A538A" w:rsidP="002B1FB2" w:rsidRDefault="000A538A" w14:paraId="117793F9" w14:textId="57731DA9">
      <w:pPr>
        <w:pStyle w:val="JuPara"/>
        <w:keepNext/>
        <w:keepLines/>
      </w:pPr>
      <w:r w:rsidRPr="002B1FB2">
        <w:t>(b)  </w:t>
      </w:r>
      <w:r w:rsidRPr="002B1FB2" w:rsidR="00CF5C7B">
        <w:t>Joint Dissenting</w:t>
      </w:r>
      <w:r w:rsidRPr="002B1FB2">
        <w:t xml:space="preserve"> opinion of Judge</w:t>
      </w:r>
      <w:r w:rsidRPr="002B1FB2" w:rsidR="00CF5C7B">
        <w:t>s</w:t>
      </w:r>
      <w:r w:rsidRPr="002B1FB2">
        <w:t xml:space="preserve"> </w:t>
      </w:r>
      <w:proofErr w:type="spellStart"/>
      <w:r w:rsidRPr="002B1FB2" w:rsidR="00CF5C7B">
        <w:t>Turković</w:t>
      </w:r>
      <w:proofErr w:type="spellEnd"/>
      <w:r w:rsidRPr="002B1FB2" w:rsidR="00CF5C7B">
        <w:t xml:space="preserve">, </w:t>
      </w:r>
      <w:proofErr w:type="spellStart"/>
      <w:r w:rsidRPr="002B1FB2" w:rsidR="00CF5C7B">
        <w:t>Paczolay</w:t>
      </w:r>
      <w:proofErr w:type="spellEnd"/>
      <w:r w:rsidRPr="002B1FB2" w:rsidR="00CF5C7B">
        <w:t xml:space="preserve"> and </w:t>
      </w:r>
      <w:proofErr w:type="spellStart"/>
      <w:r w:rsidRPr="002B1FB2" w:rsidR="00CF5C7B">
        <w:t>Felici</w:t>
      </w:r>
      <w:proofErr w:type="spellEnd"/>
      <w:r w:rsidRPr="002B1FB2">
        <w:t>.</w:t>
      </w:r>
    </w:p>
    <w:p w:rsidRPr="002B1FB2" w:rsidR="000A538A" w:rsidP="002B1FB2" w:rsidRDefault="000A538A" w14:paraId="5F64BE7C" w14:textId="7D4D68AE">
      <w:pPr>
        <w:pStyle w:val="JuInitialled"/>
        <w:keepNext/>
        <w:keepLines/>
        <w:sectPr w:rsidRPr="002B1FB2" w:rsidR="000A538A"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pPr>
      <w:r w:rsidRPr="002B1FB2">
        <w:t>P.P.C.</w:t>
      </w:r>
      <w:r w:rsidRPr="002B1FB2">
        <w:br/>
        <w:t>L.T</w:t>
      </w:r>
      <w:r w:rsidRPr="002B1FB2">
        <w:br/>
      </w:r>
    </w:p>
    <w:p w:rsidRPr="002B1FB2" w:rsidR="00F048F3" w:rsidP="002B1FB2" w:rsidRDefault="00F048F3" w14:paraId="252A4AE2" w14:textId="68014BCB">
      <w:pPr>
        <w:pStyle w:val="DecHTitle"/>
      </w:pPr>
      <w:r w:rsidRPr="002B1FB2">
        <w:t>CONCURRING OPINION OF JUDGE SABATO</w:t>
      </w:r>
    </w:p>
    <w:p w:rsidRPr="002B1FB2" w:rsidR="00F048F3" w:rsidP="002B1FB2" w:rsidRDefault="00D472C7" w14:paraId="6287869B" w14:textId="2994CE76">
      <w:pPr>
        <w:pStyle w:val="JuPara"/>
        <w:rPr>
          <w:rFonts w:eastAsia="Times New Roman"/>
        </w:rPr>
      </w:pPr>
      <w:r w:rsidRPr="002B1FB2">
        <w:rPr>
          <w:rFonts w:eastAsia="Times New Roman"/>
        </w:rPr>
        <w:t>1</w:t>
      </w:r>
      <w:r w:rsidRPr="002B1FB2" w:rsidR="00F048F3">
        <w:rPr>
          <w:rFonts w:eastAsia="Times New Roman"/>
        </w:rPr>
        <w:t>.  While I fully agree with the conclusion of the majority that there has been no violation of Article 6 § 1 of the Convention and with many of the reasons on which my distinguished colleagues of the same majority base that conclusion, I respectfully disagree with some other findings.</w:t>
      </w:r>
    </w:p>
    <w:p w:rsidRPr="002B1FB2" w:rsidR="00F048F3" w:rsidP="002B1FB2" w:rsidRDefault="00A4143B" w14:paraId="0443E598" w14:textId="15527F4C">
      <w:pPr>
        <w:pStyle w:val="JuPara"/>
        <w:rPr>
          <w:rFonts w:eastAsia="Times New Roman"/>
        </w:rPr>
      </w:pPr>
      <w:r w:rsidRPr="002B1FB2">
        <w:rPr>
          <w:rFonts w:eastAsia="Times New Roman"/>
        </w:rPr>
        <w:t>2</w:t>
      </w:r>
      <w:r w:rsidRPr="002B1FB2" w:rsidR="00F048F3">
        <w:rPr>
          <w:rFonts w:eastAsia="Times New Roman"/>
        </w:rPr>
        <w:t xml:space="preserve">.  The Chamber was faced with a rather peculiar case, in which over six years (see paragraphs 11-13 and 28 of the Chamber </w:t>
      </w:r>
      <w:proofErr w:type="gramStart"/>
      <w:r w:rsidRPr="002B1FB2" w:rsidR="00F048F3">
        <w:rPr>
          <w:rFonts w:eastAsia="Times New Roman"/>
        </w:rPr>
        <w:t>judgment</w:t>
      </w:r>
      <w:proofErr w:type="gramEnd"/>
      <w:r w:rsidRPr="002B1FB2" w:rsidR="00F048F3">
        <w:rPr>
          <w:rFonts w:eastAsia="Times New Roman"/>
        </w:rPr>
        <w:t xml:space="preserve"> (“the judgment”)) four first-instance (see paragraphs 19, 23, 25, and 27 of the judgment) and four appellate court judgments (see paragraphs 22, 24, 26 and</w:t>
      </w:r>
      <w:r w:rsidRPr="002B1FB2" w:rsidR="009533D9">
        <w:rPr>
          <w:rFonts w:eastAsia="Times New Roman"/>
        </w:rPr>
        <w:t> </w:t>
      </w:r>
      <w:r w:rsidRPr="002B1FB2" w:rsidR="00F048F3">
        <w:rPr>
          <w:rFonts w:eastAsia="Times New Roman"/>
        </w:rPr>
        <w:t>28 of the judgment) were rendered. There had been no challenge or other issue raised by the applicant concerning the neutrality of the court-appointed expert, whose report had played a decisive role in the assessment of a part of the applicant</w:t>
      </w:r>
      <w:r w:rsidRPr="002B1FB2" w:rsidR="002B1FB2">
        <w:rPr>
          <w:rFonts w:eastAsia="Times New Roman"/>
        </w:rPr>
        <w:t>’</w:t>
      </w:r>
      <w:r w:rsidRPr="002B1FB2" w:rsidR="00F048F3">
        <w:rPr>
          <w:rFonts w:eastAsia="Times New Roman"/>
        </w:rPr>
        <w:t>s claim (see paragraph 65 of the judgment). Eventually, after the lawyer representing the applicant changed, that issue was raised as part of a procedural ground of appeal against the fourth first-instance judgment (see paragraph 28 of the judgment).</w:t>
      </w:r>
    </w:p>
    <w:p w:rsidRPr="002B1FB2" w:rsidR="00F76534" w:rsidP="002B1FB2" w:rsidRDefault="00A4143B" w14:paraId="7DAC352E" w14:textId="6DF10215">
      <w:pPr>
        <w:pStyle w:val="JuPara"/>
        <w:rPr>
          <w:rFonts w:eastAsia="Times New Roman"/>
        </w:rPr>
      </w:pPr>
      <w:r w:rsidRPr="002B1FB2">
        <w:rPr>
          <w:rFonts w:eastAsia="Times New Roman"/>
        </w:rPr>
        <w:t>3</w:t>
      </w:r>
      <w:r w:rsidRPr="002B1FB2" w:rsidR="00F048F3">
        <w:rPr>
          <w:rFonts w:eastAsia="Times New Roman"/>
        </w:rPr>
        <w:t>.  Under the applicable domestic civil procedural law (Croatia</w:t>
      </w:r>
      <w:r w:rsidRPr="002B1FB2" w:rsidR="002B1FB2">
        <w:rPr>
          <w:rFonts w:eastAsia="Times New Roman"/>
        </w:rPr>
        <w:t>’</w:t>
      </w:r>
      <w:r w:rsidRPr="002B1FB2" w:rsidR="00F048F3">
        <w:rPr>
          <w:rFonts w:eastAsia="Times New Roman"/>
        </w:rPr>
        <w:t>s Civil Procedure Act (“the Act”) referred to in paragraphs 32 and following of the judgment) a court-appointed expert is selected, pursuant to section 252 of the Act, primarily from approved lists of permanent court experts,</w:t>
      </w:r>
      <w:r w:rsidRPr="002B1FB2" w:rsidR="00F76534">
        <w:rPr>
          <w:rFonts w:eastAsia="Times New Roman"/>
        </w:rPr>
        <w:t xml:space="preserve"> </w:t>
      </w:r>
      <w:r w:rsidRPr="002B1FB2" w:rsidR="00F048F3">
        <w:rPr>
          <w:rFonts w:eastAsia="Times New Roman"/>
        </w:rPr>
        <w:t>a system which is widespread in Europe in order to provide the public with prior information on eligible appointees, so that possible issues as to their professionalism and neutrality can be resolved in good time.</w:t>
      </w:r>
    </w:p>
    <w:p w:rsidRPr="002B1FB2" w:rsidR="00F048F3" w:rsidP="002B1FB2" w:rsidRDefault="00A4143B" w14:paraId="0DD1B0FF" w14:textId="12907379">
      <w:pPr>
        <w:pStyle w:val="JuPara"/>
        <w:rPr>
          <w:rFonts w:eastAsia="Times New Roman"/>
        </w:rPr>
      </w:pPr>
      <w:r w:rsidRPr="002B1FB2">
        <w:rPr>
          <w:rFonts w:eastAsia="Times New Roman"/>
        </w:rPr>
        <w:t>4</w:t>
      </w:r>
      <w:r w:rsidRPr="002B1FB2" w:rsidR="00F048F3">
        <w:rPr>
          <w:rFonts w:eastAsia="Times New Roman"/>
        </w:rPr>
        <w:t>.  Furthermore, the domestic Act – again in line with several other European systems of civil procedure – establishes time-limits on the raising of doubts as to the expert</w:t>
      </w:r>
      <w:r w:rsidRPr="002B1FB2" w:rsidR="002B1FB2">
        <w:rPr>
          <w:rFonts w:eastAsia="Times New Roman"/>
        </w:rPr>
        <w:t>’</w:t>
      </w:r>
      <w:r w:rsidRPr="002B1FB2" w:rsidR="00F048F3">
        <w:rPr>
          <w:rFonts w:eastAsia="Times New Roman"/>
        </w:rPr>
        <w:t>s neutrality.</w:t>
      </w:r>
    </w:p>
    <w:p w:rsidRPr="002B1FB2" w:rsidR="00F76534" w:rsidP="002B1FB2" w:rsidRDefault="00F048F3" w14:paraId="3D1A3077" w14:textId="77777777">
      <w:pPr>
        <w:pStyle w:val="JuPara"/>
        <w:rPr>
          <w:rFonts w:eastAsia="Times New Roman"/>
        </w:rPr>
      </w:pPr>
      <w:r w:rsidRPr="002B1FB2">
        <w:rPr>
          <w:rFonts w:eastAsia="Times New Roman"/>
        </w:rPr>
        <w:t>Thus, pursuant to section 254(2) of the Act,</w:t>
      </w:r>
    </w:p>
    <w:p w:rsidRPr="002B1FB2" w:rsidR="00F048F3" w:rsidP="002B1FB2" w:rsidRDefault="00F048F3" w14:paraId="05B10743" w14:textId="52811547">
      <w:pPr>
        <w:ind w:left="284"/>
        <w:jc w:val="both"/>
        <w:rPr>
          <w:rFonts w:ascii="Times New Roman" w:hAnsi="Times New Roman" w:eastAsia="Times New Roman" w:cs="Times New Roman"/>
        </w:rPr>
      </w:pPr>
      <w:r w:rsidRPr="002B1FB2">
        <w:rPr>
          <w:rFonts w:ascii="Times New Roman" w:hAnsi="Times New Roman" w:eastAsia="Times New Roman" w:cs="Times New Roman"/>
        </w:rPr>
        <w:t>“</w:t>
      </w:r>
      <w:proofErr w:type="gramStart"/>
      <w:r w:rsidRPr="002B1FB2">
        <w:rPr>
          <w:rFonts w:ascii="Times New Roman" w:hAnsi="Times New Roman" w:eastAsia="Times New Roman" w:cs="Times New Roman"/>
          <w:i/>
          <w:iCs/>
        </w:rPr>
        <w:t>the</w:t>
      </w:r>
      <w:proofErr w:type="gramEnd"/>
      <w:r w:rsidRPr="002B1FB2">
        <w:rPr>
          <w:rFonts w:ascii="Times New Roman" w:hAnsi="Times New Roman" w:eastAsia="Times New Roman" w:cs="Times New Roman"/>
          <w:i/>
          <w:iCs/>
        </w:rPr>
        <w:t xml:space="preserve"> party challenging the court-appointed expert is obliged to submit a request for disqualification as soon as he or she learns that a ground for disqualification exists, and at the latest before the beginning of the hearing of evidence from that expert. If the court hears the parties regarding the character of the expert before selecting him or her, the parties are obliged to make a statement regarding disqualification at that time</w:t>
      </w:r>
      <w:r w:rsidRPr="002B1FB2">
        <w:rPr>
          <w:rFonts w:ascii="Times New Roman" w:hAnsi="Times New Roman" w:eastAsia="Times New Roman" w:cs="Times New Roman"/>
        </w:rPr>
        <w:t>”.</w:t>
      </w:r>
    </w:p>
    <w:p w:rsidRPr="002B1FB2" w:rsidR="00F048F3" w:rsidP="002B1FB2" w:rsidRDefault="00F048F3" w14:paraId="737038EE" w14:textId="77777777">
      <w:pPr>
        <w:pStyle w:val="JuPara"/>
        <w:rPr>
          <w:rFonts w:eastAsia="Times New Roman"/>
        </w:rPr>
      </w:pPr>
      <w:r w:rsidRPr="002B1FB2">
        <w:rPr>
          <w:rFonts w:eastAsia="Times New Roman"/>
        </w:rPr>
        <w:t>Additionally, under section 254(6) of the Act,</w:t>
      </w:r>
    </w:p>
    <w:p w:rsidRPr="002B1FB2" w:rsidR="00F048F3" w:rsidP="002B1FB2" w:rsidRDefault="00F048F3" w14:paraId="3344E704" w14:textId="77777777">
      <w:pPr>
        <w:ind w:left="284"/>
        <w:jc w:val="both"/>
        <w:rPr>
          <w:rFonts w:ascii="Times New Roman" w:hAnsi="Times New Roman" w:eastAsia="Times New Roman" w:cs="Times New Roman"/>
        </w:rPr>
      </w:pPr>
      <w:r w:rsidRPr="002B1FB2">
        <w:rPr>
          <w:rFonts w:ascii="Times New Roman" w:hAnsi="Times New Roman" w:eastAsia="Times New Roman" w:cs="Times New Roman"/>
          <w:i/>
          <w:iCs/>
        </w:rPr>
        <w:t>“If a party discovers reasons for disqualification after that evidence from the expert has been collected and therefore objects to the expertise, the court shall act as though the request for disqualification had been submitted before the obtaining of the expert evidence”</w:t>
      </w:r>
      <w:r w:rsidRPr="002B1FB2">
        <w:rPr>
          <w:rFonts w:ascii="Times New Roman" w:hAnsi="Times New Roman" w:eastAsia="Times New Roman" w:cs="Times New Roman"/>
        </w:rPr>
        <w:t>.</w:t>
      </w:r>
    </w:p>
    <w:p w:rsidRPr="002B1FB2" w:rsidR="00F76534" w:rsidP="002B1FB2" w:rsidRDefault="00F048F3" w14:paraId="2248A60D" w14:textId="77777777">
      <w:pPr>
        <w:pStyle w:val="JuPara"/>
        <w:rPr>
          <w:rFonts w:eastAsia="Times New Roman"/>
        </w:rPr>
      </w:pPr>
      <w:r w:rsidRPr="002B1FB2">
        <w:rPr>
          <w:rFonts w:eastAsia="Times New Roman"/>
        </w:rPr>
        <w:t>Under section 254(5) of the Act,</w:t>
      </w:r>
    </w:p>
    <w:p w:rsidRPr="002B1FB2" w:rsidR="00F048F3" w:rsidP="002B1FB2" w:rsidRDefault="00F048F3" w14:paraId="6558446F" w14:textId="30C21FBF">
      <w:pPr>
        <w:ind w:left="284"/>
        <w:jc w:val="both"/>
        <w:rPr>
          <w:rFonts w:ascii="Times New Roman" w:hAnsi="Times New Roman" w:eastAsia="Times New Roman" w:cs="Times New Roman"/>
        </w:rPr>
      </w:pPr>
      <w:r w:rsidRPr="002B1FB2">
        <w:rPr>
          <w:rFonts w:ascii="Times New Roman" w:hAnsi="Times New Roman" w:eastAsia="Times New Roman" w:cs="Times New Roman"/>
        </w:rPr>
        <w:t>“</w:t>
      </w:r>
      <w:r w:rsidRPr="002B1FB2">
        <w:rPr>
          <w:rFonts w:ascii="Times New Roman" w:hAnsi="Times New Roman" w:eastAsia="Times New Roman" w:cs="Times New Roman"/>
          <w:i/>
          <w:iCs/>
        </w:rPr>
        <w:t>No appeal is permitted against a ruling allowing a request for disqualification, and no separate appeal is permitted against a ruling refusing the request</w:t>
      </w:r>
      <w:r w:rsidRPr="002B1FB2">
        <w:rPr>
          <w:rFonts w:ascii="Times New Roman" w:hAnsi="Times New Roman" w:eastAsia="Times New Roman" w:cs="Times New Roman"/>
        </w:rPr>
        <w:t>”.</w:t>
      </w:r>
    </w:p>
    <w:p w:rsidRPr="002B1FB2" w:rsidR="00F048F3" w:rsidP="002B1FB2" w:rsidRDefault="00F048F3" w14:paraId="06465209" w14:textId="77777777">
      <w:pPr>
        <w:pStyle w:val="JuPara"/>
        <w:rPr>
          <w:rFonts w:eastAsia="Times New Roman"/>
        </w:rPr>
      </w:pPr>
      <w:r w:rsidRPr="002B1FB2">
        <w:rPr>
          <w:rFonts w:eastAsia="Times New Roman"/>
        </w:rPr>
        <w:t>Under section 352(2) of the Act</w:t>
      </w:r>
    </w:p>
    <w:p w:rsidRPr="002B1FB2" w:rsidR="00F048F3" w:rsidP="002B1FB2" w:rsidRDefault="00F048F3" w14:paraId="52C5D279" w14:textId="63BFB922">
      <w:pPr>
        <w:ind w:left="284"/>
        <w:jc w:val="both"/>
        <w:rPr>
          <w:rFonts w:ascii="Times New Roman" w:hAnsi="Times New Roman" w:eastAsia="Times New Roman" w:cs="Times New Roman"/>
          <w:i/>
          <w:iCs/>
        </w:rPr>
      </w:pPr>
      <w:r w:rsidRPr="002B1FB2">
        <w:rPr>
          <w:rFonts w:ascii="Times New Roman" w:hAnsi="Times New Roman" w:eastAsia="Times New Roman" w:cs="Times New Roman"/>
          <w:i/>
          <w:iCs/>
        </w:rPr>
        <w:t xml:space="preserve">“If during the first instance proceedings the party did not put forward </w:t>
      </w:r>
      <w:r w:rsidRPr="002B1FB2" w:rsidR="00F76534">
        <w:rPr>
          <w:rFonts w:ascii="Times New Roman" w:hAnsi="Times New Roman" w:eastAsia="Times New Roman" w:cs="Times New Roman"/>
          <w:i/>
          <w:iCs/>
        </w:rPr>
        <w:t>...</w:t>
      </w:r>
      <w:r w:rsidRPr="002B1FB2">
        <w:rPr>
          <w:rFonts w:ascii="Times New Roman" w:hAnsi="Times New Roman" w:eastAsia="Times New Roman" w:cs="Times New Roman"/>
          <w:i/>
          <w:iCs/>
        </w:rPr>
        <w:t xml:space="preserve"> some </w:t>
      </w:r>
      <w:r w:rsidRPr="002B1FB2" w:rsidR="00F76534">
        <w:rPr>
          <w:rFonts w:ascii="Times New Roman" w:hAnsi="Times New Roman" w:eastAsia="Times New Roman" w:cs="Times New Roman"/>
          <w:i/>
          <w:iCs/>
        </w:rPr>
        <w:t>...</w:t>
      </w:r>
      <w:r w:rsidRPr="002B1FB2">
        <w:rPr>
          <w:rFonts w:ascii="Times New Roman" w:hAnsi="Times New Roman" w:eastAsia="Times New Roman" w:cs="Times New Roman"/>
          <w:i/>
          <w:iCs/>
        </w:rPr>
        <w:t xml:space="preserve"> substantive law or procedural law objection regarding a question which is not the concern of the first instance court </w:t>
      </w:r>
      <w:proofErr w:type="spellStart"/>
      <w:r w:rsidRPr="002B1FB2">
        <w:rPr>
          <w:rFonts w:ascii="Times New Roman" w:hAnsi="Times New Roman" w:eastAsia="Times New Roman" w:cs="Times New Roman"/>
        </w:rPr>
        <w:t>sua</w:t>
      </w:r>
      <w:proofErr w:type="spellEnd"/>
      <w:r w:rsidRPr="002B1FB2">
        <w:rPr>
          <w:rFonts w:ascii="Times New Roman" w:hAnsi="Times New Roman" w:eastAsia="Times New Roman" w:cs="Times New Roman"/>
        </w:rPr>
        <w:t xml:space="preserve"> sponte</w:t>
      </w:r>
      <w:r w:rsidRPr="002B1FB2">
        <w:rPr>
          <w:rFonts w:ascii="Times New Roman" w:hAnsi="Times New Roman" w:eastAsia="Times New Roman" w:cs="Times New Roman"/>
          <w:i/>
          <w:iCs/>
        </w:rPr>
        <w:t>, the party may not present this objection in the appeal”.</w:t>
      </w:r>
    </w:p>
    <w:p w:rsidRPr="002B1FB2" w:rsidR="00F048F3" w:rsidP="002B1FB2" w:rsidRDefault="00F048F3" w14:paraId="0A28566F" w14:textId="77777777">
      <w:pPr>
        <w:pStyle w:val="JuPara"/>
        <w:rPr>
          <w:rFonts w:eastAsia="Times New Roman"/>
        </w:rPr>
      </w:pPr>
      <w:r w:rsidRPr="002B1FB2">
        <w:rPr>
          <w:rFonts w:eastAsia="Times New Roman"/>
        </w:rPr>
        <w:t xml:space="preserve">Pursuant to </w:t>
      </w:r>
      <w:bookmarkStart w:name="_Hlk92099750" w:id="90"/>
      <w:r w:rsidRPr="002B1FB2">
        <w:rPr>
          <w:rFonts w:eastAsia="Times New Roman"/>
        </w:rPr>
        <w:t>section 377(1) of the Act, concerning remittal to the court of first instance after quashing of a judgment by the appellate court,</w:t>
      </w:r>
    </w:p>
    <w:p w:rsidRPr="002B1FB2" w:rsidR="00F048F3" w:rsidP="002B1FB2" w:rsidRDefault="00F048F3" w14:paraId="48889812" w14:textId="77777777">
      <w:pPr>
        <w:ind w:left="284"/>
        <w:jc w:val="both"/>
        <w:rPr>
          <w:rFonts w:ascii="Times New Roman" w:hAnsi="Times New Roman" w:eastAsia="Times New Roman" w:cs="Times New Roman"/>
          <w:i/>
          <w:iCs/>
        </w:rPr>
      </w:pPr>
      <w:r w:rsidRPr="002B1FB2">
        <w:rPr>
          <w:rFonts w:ascii="Times New Roman" w:hAnsi="Times New Roman" w:eastAsia="Times New Roman" w:cs="Times New Roman"/>
          <w:i/>
          <w:iCs/>
        </w:rPr>
        <w:t>“The court of first instance shall take all procedural actions and hear all disputable issues to which the court of second instance referred in its ruling</w:t>
      </w:r>
      <w:bookmarkEnd w:id="90"/>
      <w:r w:rsidRPr="002B1FB2">
        <w:rPr>
          <w:rFonts w:ascii="Times New Roman" w:hAnsi="Times New Roman" w:eastAsia="Times New Roman" w:cs="Times New Roman"/>
          <w:i/>
          <w:iCs/>
        </w:rPr>
        <w:t>.”</w:t>
      </w:r>
    </w:p>
    <w:p w:rsidRPr="002B1FB2" w:rsidR="00F048F3" w:rsidP="002B1FB2" w:rsidRDefault="00A4143B" w14:paraId="3B3EC9C6" w14:textId="14C356E1">
      <w:pPr>
        <w:pStyle w:val="JuPara"/>
        <w:rPr>
          <w:rFonts w:eastAsia="Times New Roman"/>
        </w:rPr>
      </w:pPr>
      <w:r w:rsidRPr="002B1FB2">
        <w:rPr>
          <w:rFonts w:eastAsia="Times New Roman"/>
        </w:rPr>
        <w:t>5</w:t>
      </w:r>
      <w:r w:rsidRPr="002B1FB2" w:rsidR="00F048F3">
        <w:rPr>
          <w:rFonts w:eastAsia="Times New Roman"/>
        </w:rPr>
        <w:t>.  Bearing the above in mind, I consider that the challenge brought by the applicant against the expert</w:t>
      </w:r>
      <w:r w:rsidRPr="002B1FB2" w:rsidR="002B1FB2">
        <w:rPr>
          <w:rFonts w:eastAsia="Times New Roman"/>
        </w:rPr>
        <w:t>’</w:t>
      </w:r>
      <w:r w:rsidRPr="002B1FB2" w:rsidR="00F048F3">
        <w:rPr>
          <w:rFonts w:eastAsia="Times New Roman"/>
        </w:rPr>
        <w:t xml:space="preserve">s appointment, for the first time in his fourth appeal lodged on 16 March 2012, was clearly invalid under domestic law. In this regard, I fully agree with paragraphs 79-80 of the judgment, according to which “the applicant </w:t>
      </w:r>
      <w:r w:rsidRPr="002B1FB2" w:rsidR="00F76534">
        <w:rPr>
          <w:rFonts w:eastAsia="Times New Roman"/>
        </w:rPr>
        <w:t>...</w:t>
      </w:r>
      <w:r w:rsidRPr="002B1FB2" w:rsidR="00F048F3">
        <w:rPr>
          <w:rFonts w:eastAsia="Times New Roman"/>
        </w:rPr>
        <w:t xml:space="preserve"> failed to act with the necessary diligence </w:t>
      </w:r>
      <w:r w:rsidRPr="002B1FB2" w:rsidR="00F76534">
        <w:rPr>
          <w:rFonts w:eastAsia="Times New Roman"/>
        </w:rPr>
        <w:t>...</w:t>
      </w:r>
      <w:r w:rsidRPr="002B1FB2" w:rsidR="00F048F3">
        <w:rPr>
          <w:rFonts w:eastAsia="Times New Roman"/>
        </w:rPr>
        <w:t xml:space="preserve"> and failed to use his procedural rights”, in a system which required that the issue of the expert</w:t>
      </w:r>
      <w:r w:rsidRPr="002B1FB2" w:rsidR="002B1FB2">
        <w:rPr>
          <w:rFonts w:eastAsia="Times New Roman"/>
        </w:rPr>
        <w:t>’</w:t>
      </w:r>
      <w:r w:rsidRPr="002B1FB2" w:rsidR="00F048F3">
        <w:rPr>
          <w:rFonts w:eastAsia="Times New Roman"/>
        </w:rPr>
        <w:t xml:space="preserve">s neutrality be raised during the first-instance proceedings”, being “the second-instance court </w:t>
      </w:r>
      <w:r w:rsidRPr="002B1FB2" w:rsidR="00F76534">
        <w:rPr>
          <w:rFonts w:eastAsia="Times New Roman"/>
        </w:rPr>
        <w:t>...</w:t>
      </w:r>
      <w:r w:rsidRPr="002B1FB2" w:rsidR="00F048F3">
        <w:rPr>
          <w:rFonts w:eastAsia="Times New Roman"/>
        </w:rPr>
        <w:t xml:space="preserve"> precluded from examining it”. This set of rules, as I already mentioned, is also consistent with a European consensus resulting from comparative analysis of civil procedures, which is highly relevant to subsidiarity-based</w:t>
      </w:r>
      <w:r w:rsidRPr="002B1FB2" w:rsidDel="003E59EE" w:rsidR="00F048F3">
        <w:rPr>
          <w:rFonts w:eastAsia="Times New Roman"/>
        </w:rPr>
        <w:t xml:space="preserve"> </w:t>
      </w:r>
      <w:r w:rsidRPr="002B1FB2" w:rsidR="00F048F3">
        <w:rPr>
          <w:rFonts w:eastAsia="Times New Roman"/>
        </w:rPr>
        <w:t xml:space="preserve">supervision of human rights: a domestic system cannot be found in violation of Article 6 § 1 for the lack of neutrality of a court-appointed expert on whose report the judge has relied if effective remedies existed for disqualifying such an expert but no request for disqualification had been filed within a reasonable procedural deadline (the same would apply, </w:t>
      </w:r>
      <w:r w:rsidRPr="002B1FB2" w:rsidR="00F048F3">
        <w:rPr>
          <w:rFonts w:eastAsia="Times New Roman"/>
          <w:i/>
          <w:iCs/>
        </w:rPr>
        <w:t>mutatis mutandis</w:t>
      </w:r>
      <w:r w:rsidRPr="002B1FB2" w:rsidR="00F048F3">
        <w:rPr>
          <w:rFonts w:eastAsia="Times New Roman"/>
        </w:rPr>
        <w:t>, to issues involving a lack of impartiality on the part of an individual judge, but in this area I would see some limited exceptions – see</w:t>
      </w:r>
      <w:r w:rsidRPr="002B1FB2" w:rsidR="00F76534">
        <w:rPr>
          <w:rFonts w:eastAsia="Times New Roman"/>
        </w:rPr>
        <w:t xml:space="preserve"> </w:t>
      </w:r>
      <w:r w:rsidRPr="002B1FB2" w:rsidR="00F048F3">
        <w:rPr>
          <w:rFonts w:eastAsia="Times New Roman"/>
        </w:rPr>
        <w:t xml:space="preserve">my dissenting opinion in </w:t>
      </w:r>
      <w:bookmarkStart w:name="_Hlk92097429" w:id="91"/>
      <w:proofErr w:type="spellStart"/>
      <w:r w:rsidRPr="002B1FB2" w:rsidR="00F048F3">
        <w:rPr>
          <w:rFonts w:eastAsia="Times New Roman"/>
          <w:i/>
          <w:iCs/>
        </w:rPr>
        <w:t>Škrlj</w:t>
      </w:r>
      <w:bookmarkEnd w:id="91"/>
      <w:proofErr w:type="spellEnd"/>
      <w:r w:rsidRPr="002B1FB2" w:rsidR="00F048F3">
        <w:rPr>
          <w:rFonts w:eastAsia="Times New Roman"/>
          <w:i/>
          <w:iCs/>
        </w:rPr>
        <w:t xml:space="preserve"> v. Croatia</w:t>
      </w:r>
      <w:r w:rsidRPr="002B1FB2" w:rsidR="00F048F3">
        <w:rPr>
          <w:rFonts w:eastAsia="Times New Roman"/>
        </w:rPr>
        <w:t>, no. 32953/13, § 14, 11 July 2019).</w:t>
      </w:r>
    </w:p>
    <w:p w:rsidRPr="002B1FB2" w:rsidR="00F048F3" w:rsidP="002B1FB2" w:rsidRDefault="00A4143B" w14:paraId="72CF8599" w14:textId="46E9E070">
      <w:pPr>
        <w:pStyle w:val="JuPara"/>
        <w:rPr>
          <w:rFonts w:eastAsia="Times New Roman"/>
        </w:rPr>
      </w:pPr>
      <w:r w:rsidRPr="002B1FB2">
        <w:rPr>
          <w:rFonts w:eastAsia="Times New Roman"/>
        </w:rPr>
        <w:t>6</w:t>
      </w:r>
      <w:r w:rsidRPr="002B1FB2" w:rsidR="00F048F3">
        <w:rPr>
          <w:rFonts w:eastAsia="Times New Roman"/>
        </w:rPr>
        <w:t>.  What is important is also that no arbitrariness can be seen in a system, such as the Croatian one, requiring that a challenge to a court-appointed expert should be submitted as soon as possible, and even where the report has already been filed, and providing that, in the absence of a challenge, the objection is declared invalid and, crucially, cannot be filed on appeals. No violation of Article 6 § 1 can be envisaged, since the possible flaw linked to the expert</w:t>
      </w:r>
      <w:r w:rsidRPr="002B1FB2" w:rsidR="002B1FB2">
        <w:rPr>
          <w:rFonts w:eastAsia="Times New Roman"/>
        </w:rPr>
        <w:t>’</w:t>
      </w:r>
      <w:r w:rsidRPr="002B1FB2" w:rsidR="00F048F3">
        <w:rPr>
          <w:rFonts w:eastAsia="Times New Roman"/>
        </w:rPr>
        <w:t>s alleged lack of neutrality has in any event been cured because of the applicant</w:t>
      </w:r>
      <w:r w:rsidRPr="002B1FB2" w:rsidR="002B1FB2">
        <w:rPr>
          <w:rFonts w:eastAsia="Times New Roman"/>
        </w:rPr>
        <w:t>’</w:t>
      </w:r>
      <w:r w:rsidRPr="002B1FB2" w:rsidR="00F048F3">
        <w:rPr>
          <w:rFonts w:eastAsia="Times New Roman"/>
        </w:rPr>
        <w:t>s inaction on that matter. If the Court had maintained that such a system was not compliant with Article 6 § 1, the functioning of deadlines, which are an essential part of an orderly civil procedure, would be totally disrupted.</w:t>
      </w:r>
    </w:p>
    <w:p w:rsidRPr="002B1FB2" w:rsidR="00F76534" w:rsidP="002B1FB2" w:rsidRDefault="00A4143B" w14:paraId="03C2B8C8" w14:textId="68471C7A">
      <w:pPr>
        <w:pStyle w:val="JuPara"/>
        <w:rPr>
          <w:rFonts w:eastAsia="Times New Roman"/>
        </w:rPr>
      </w:pPr>
      <w:r w:rsidRPr="002B1FB2">
        <w:rPr>
          <w:rFonts w:eastAsia="Times New Roman"/>
        </w:rPr>
        <w:t>7</w:t>
      </w:r>
      <w:r w:rsidRPr="002B1FB2" w:rsidR="00F048F3">
        <w:rPr>
          <w:rFonts w:eastAsia="Times New Roman"/>
        </w:rPr>
        <w:t>.  On account of this same danger, I previously dissented in another Croatian case (</w:t>
      </w:r>
      <w:r w:rsidRPr="002B1FB2" w:rsidR="00F048F3">
        <w:t xml:space="preserve">see the dissenting opinion in </w:t>
      </w:r>
      <w:proofErr w:type="spellStart"/>
      <w:r w:rsidRPr="002B1FB2" w:rsidR="00F048F3">
        <w:rPr>
          <w:rFonts w:eastAsia="Times New Roman"/>
          <w:i/>
          <w:iCs/>
        </w:rPr>
        <w:t>Škrlj</w:t>
      </w:r>
      <w:proofErr w:type="spellEnd"/>
      <w:r w:rsidRPr="002B1FB2" w:rsidR="00F048F3">
        <w:rPr>
          <w:rFonts w:eastAsia="Times New Roman"/>
          <w:i/>
          <w:iCs/>
        </w:rPr>
        <w:t xml:space="preserve"> v. Croatia</w:t>
      </w:r>
      <w:r w:rsidRPr="002B1FB2" w:rsidR="00F048F3">
        <w:rPr>
          <w:rFonts w:eastAsia="Times New Roman"/>
        </w:rPr>
        <w:t xml:space="preserve">, cited above), in which no challenge had been submitted against the judge, and yet the majority nonetheless found a violation. I pointed to the risk that litigants who had not duly submitted any challenge under domestic system might raise issues of bias directly before the Court, even </w:t>
      </w:r>
      <w:proofErr w:type="gramStart"/>
      <w:r w:rsidRPr="002B1FB2" w:rsidR="00F048F3">
        <w:rPr>
          <w:rFonts w:eastAsia="Times New Roman"/>
        </w:rPr>
        <w:t>on the basis of</w:t>
      </w:r>
      <w:proofErr w:type="gramEnd"/>
      <w:r w:rsidRPr="002B1FB2" w:rsidR="00F048F3">
        <w:rPr>
          <w:rFonts w:eastAsia="Times New Roman"/>
        </w:rPr>
        <w:t xml:space="preserve"> minor suspicions, which the Court would then be required to assess, adopting a fourth-instance role which I consider unacceptable. I then referred to the principle that “</w:t>
      </w:r>
      <w:r w:rsidRPr="002B1FB2" w:rsidR="00F048F3">
        <w:rPr>
          <w:rFonts w:eastAsia="Times New Roman"/>
          <w:i/>
          <w:iCs/>
        </w:rPr>
        <w:t>... when the domestic law offers a possibility of eliminating the causes for concerns ... , it would be expected (and in terms of the national law required) of an applicant who truly believes that there are arguable concerns on that account to raise them at the first opportunity</w:t>
      </w:r>
      <w:r w:rsidRPr="002B1FB2" w:rsidR="00F048F3">
        <w:rPr>
          <w:rFonts w:eastAsia="Times New Roman"/>
        </w:rPr>
        <w:t>” (see</w:t>
      </w:r>
      <w:bookmarkStart w:name="_Hlk92097465" w:id="92"/>
      <w:r w:rsidRPr="002B1FB2" w:rsidR="00F048F3">
        <w:rPr>
          <w:rFonts w:eastAsia="Times New Roman"/>
        </w:rPr>
        <w:t xml:space="preserve"> </w:t>
      </w:r>
      <w:bookmarkStart w:name="_Hlk92098075" w:id="93"/>
      <w:proofErr w:type="spellStart"/>
      <w:r w:rsidRPr="002B1FB2" w:rsidR="00F048F3">
        <w:rPr>
          <w:rFonts w:eastAsia="Times New Roman"/>
          <w:i/>
          <w:iCs/>
        </w:rPr>
        <w:t>Zahirović</w:t>
      </w:r>
      <w:bookmarkEnd w:id="93"/>
      <w:proofErr w:type="spellEnd"/>
      <w:r w:rsidRPr="002B1FB2" w:rsidR="00F048F3">
        <w:rPr>
          <w:rFonts w:eastAsia="Times New Roman"/>
          <w:i/>
          <w:iCs/>
        </w:rPr>
        <w:t xml:space="preserve"> </w:t>
      </w:r>
      <w:bookmarkEnd w:id="92"/>
      <w:r w:rsidRPr="002B1FB2" w:rsidR="00F048F3">
        <w:rPr>
          <w:rFonts w:eastAsia="Times New Roman"/>
          <w:i/>
          <w:iCs/>
        </w:rPr>
        <w:t>v. Croatia</w:t>
      </w:r>
      <w:r w:rsidRPr="002B1FB2" w:rsidR="00F048F3">
        <w:rPr>
          <w:rFonts w:eastAsia="Times New Roman"/>
        </w:rPr>
        <w:t xml:space="preserve">, no. 58590/11, § 35-36, 25 April 2013 referring, obviously, to the judge, but </w:t>
      </w:r>
      <w:r w:rsidRPr="002B1FB2" w:rsidR="00F048F3">
        <w:rPr>
          <w:rFonts w:eastAsia="Times New Roman"/>
          <w:i/>
          <w:iCs/>
        </w:rPr>
        <w:t>a fortiori</w:t>
      </w:r>
      <w:r w:rsidRPr="002B1FB2" w:rsidR="00F048F3">
        <w:rPr>
          <w:rFonts w:eastAsia="Times New Roman"/>
        </w:rPr>
        <w:t xml:space="preserve"> applicable to the issue under consideration here).</w:t>
      </w:r>
    </w:p>
    <w:p w:rsidRPr="002B1FB2" w:rsidR="00F048F3" w:rsidP="002B1FB2" w:rsidRDefault="00A4143B" w14:paraId="5D3C682B" w14:textId="58DB01F6">
      <w:pPr>
        <w:pStyle w:val="JuPara"/>
        <w:rPr>
          <w:rFonts w:eastAsia="Times New Roman"/>
        </w:rPr>
      </w:pPr>
      <w:r w:rsidRPr="002B1FB2">
        <w:rPr>
          <w:rFonts w:eastAsia="Times New Roman"/>
        </w:rPr>
        <w:t>8</w:t>
      </w:r>
      <w:r w:rsidRPr="002B1FB2" w:rsidR="00F048F3">
        <w:rPr>
          <w:rFonts w:eastAsia="Times New Roman"/>
        </w:rPr>
        <w:t xml:space="preserve">.  Against this background I am now glad to note that the judgment, in its core paragraphs 79-80, by recognising the role of procedural deadlines in preventing delayed discussions concerning the neutrality of court-appointed experts, has implicitly disavowed </w:t>
      </w:r>
      <w:bookmarkStart w:name="_Hlk92100682" w:id="94"/>
      <w:proofErr w:type="spellStart"/>
      <w:r w:rsidRPr="002B1FB2" w:rsidR="00F048F3">
        <w:rPr>
          <w:rFonts w:eastAsia="Times New Roman"/>
          <w:i/>
          <w:iCs/>
        </w:rPr>
        <w:t>Škrlj</w:t>
      </w:r>
      <w:proofErr w:type="spellEnd"/>
      <w:r w:rsidRPr="002B1FB2" w:rsidR="00F048F3">
        <w:rPr>
          <w:rFonts w:eastAsia="Times New Roman"/>
          <w:i/>
          <w:iCs/>
        </w:rPr>
        <w:t xml:space="preserve">, mutatis mutandis, </w:t>
      </w:r>
      <w:bookmarkEnd w:id="94"/>
      <w:r w:rsidRPr="002B1FB2" w:rsidR="00F048F3">
        <w:rPr>
          <w:rFonts w:eastAsia="Times New Roman"/>
        </w:rPr>
        <w:t xml:space="preserve">and that this has been done </w:t>
      </w:r>
      <w:r w:rsidRPr="002B1FB2" w:rsidR="00F048F3">
        <w:rPr>
          <w:rFonts w:eastAsia="Times New Roman"/>
          <w:i/>
          <w:iCs/>
        </w:rPr>
        <w:t>inter alia</w:t>
      </w:r>
      <w:r w:rsidRPr="002B1FB2" w:rsidR="00F048F3">
        <w:rPr>
          <w:rFonts w:eastAsia="Times New Roman"/>
        </w:rPr>
        <w:t xml:space="preserve"> by referring to the </w:t>
      </w:r>
      <w:proofErr w:type="spellStart"/>
      <w:r w:rsidRPr="002B1FB2" w:rsidR="00F048F3">
        <w:rPr>
          <w:rFonts w:eastAsia="Times New Roman"/>
          <w:i/>
          <w:iCs/>
        </w:rPr>
        <w:t>Zahirović</w:t>
      </w:r>
      <w:proofErr w:type="spellEnd"/>
      <w:r w:rsidRPr="002B1FB2" w:rsidR="00F048F3">
        <w:rPr>
          <w:rFonts w:eastAsia="Times New Roman"/>
          <w:i/>
          <w:iCs/>
        </w:rPr>
        <w:t xml:space="preserve"> </w:t>
      </w:r>
      <w:r w:rsidRPr="002B1FB2" w:rsidR="00F048F3">
        <w:rPr>
          <w:rFonts w:eastAsia="Times New Roman"/>
        </w:rPr>
        <w:t>principle (see</w:t>
      </w:r>
      <w:proofErr w:type="gramStart"/>
      <w:r w:rsidRPr="002B1FB2" w:rsidR="00F048F3">
        <w:rPr>
          <w:rFonts w:eastAsia="Times New Roman"/>
        </w:rPr>
        <w:t>, in particular, paragraph</w:t>
      </w:r>
      <w:proofErr w:type="gramEnd"/>
      <w:r w:rsidRPr="002B1FB2" w:rsidR="00F048F3">
        <w:rPr>
          <w:rFonts w:eastAsia="Times New Roman"/>
        </w:rPr>
        <w:t> 79 of the judgment).</w:t>
      </w:r>
    </w:p>
    <w:p w:rsidRPr="002B1FB2" w:rsidR="00F048F3" w:rsidP="002B1FB2" w:rsidRDefault="00A4143B" w14:paraId="71751B53" w14:textId="5572C9E0">
      <w:pPr>
        <w:pStyle w:val="JuPara"/>
        <w:rPr>
          <w:rFonts w:eastAsia="Times New Roman"/>
        </w:rPr>
      </w:pPr>
      <w:r w:rsidRPr="002B1FB2">
        <w:rPr>
          <w:rFonts w:eastAsia="Times New Roman"/>
        </w:rPr>
        <w:t>9</w:t>
      </w:r>
      <w:r w:rsidRPr="002B1FB2" w:rsidR="00F048F3">
        <w:rPr>
          <w:rFonts w:eastAsia="Times New Roman"/>
        </w:rPr>
        <w:t>.  I would, moreover, consider that, accordingly, the rationale of the Croatian second-instance court</w:t>
      </w:r>
      <w:r w:rsidRPr="002B1FB2" w:rsidR="002B1FB2">
        <w:rPr>
          <w:rFonts w:eastAsia="Times New Roman"/>
        </w:rPr>
        <w:t>’</w:t>
      </w:r>
      <w:r w:rsidRPr="002B1FB2" w:rsidR="00F048F3">
        <w:rPr>
          <w:rFonts w:eastAsia="Times New Roman"/>
        </w:rPr>
        <w:t>s judgment, as upheld in the higher courts and cited in the final part of paragraph 29 of the Chamber judgment, was fully compliant with Article 6 § 1 of the Convention.</w:t>
      </w:r>
    </w:p>
    <w:p w:rsidRPr="002B1FB2" w:rsidR="00F048F3" w:rsidP="002B1FB2" w:rsidRDefault="00A4143B" w14:paraId="34A639F6" w14:textId="2B899D75">
      <w:pPr>
        <w:pStyle w:val="JuPara"/>
        <w:rPr>
          <w:rFonts w:eastAsia="Times New Roman"/>
        </w:rPr>
      </w:pPr>
      <w:r w:rsidRPr="002B1FB2">
        <w:rPr>
          <w:rFonts w:eastAsia="Times New Roman"/>
        </w:rPr>
        <w:t>10</w:t>
      </w:r>
      <w:r w:rsidRPr="002B1FB2" w:rsidR="00F048F3">
        <w:rPr>
          <w:rFonts w:eastAsia="Times New Roman"/>
        </w:rPr>
        <w:t>.  One may perhaps also note that, given that no issue concerning the expert</w:t>
      </w:r>
      <w:r w:rsidRPr="002B1FB2" w:rsidR="002B1FB2">
        <w:rPr>
          <w:rFonts w:eastAsia="Times New Roman"/>
        </w:rPr>
        <w:t>’</w:t>
      </w:r>
      <w:r w:rsidRPr="002B1FB2" w:rsidR="00F048F3">
        <w:rPr>
          <w:rFonts w:eastAsia="Times New Roman"/>
        </w:rPr>
        <w:t xml:space="preserve">s neutrality had been raised when the first appeal (of four) had been lodged, the Croatian system of civil procedure seems to allow parties to submit, by way of further appeals after remittals (and here we had three more), new challenges concerning previous sets of proceedings of first instance, against which an appeal had already been lodged. Other systems would not allow this, as the “issues” not raised, but which could have been raised, would be covered by </w:t>
      </w:r>
      <w:r w:rsidRPr="002B1FB2" w:rsidR="00F048F3">
        <w:rPr>
          <w:rFonts w:eastAsia="Times New Roman"/>
          <w:i/>
          <w:iCs/>
        </w:rPr>
        <w:t>res judicata</w:t>
      </w:r>
      <w:r w:rsidRPr="002B1FB2" w:rsidR="00F048F3">
        <w:rPr>
          <w:rFonts w:eastAsia="Times New Roman"/>
        </w:rPr>
        <w:t xml:space="preserve">, within the so-called limits of the </w:t>
      </w:r>
      <w:proofErr w:type="spellStart"/>
      <w:r w:rsidRPr="002B1FB2" w:rsidR="00F048F3">
        <w:rPr>
          <w:rFonts w:eastAsia="Times New Roman"/>
        </w:rPr>
        <w:t>devolutive</w:t>
      </w:r>
      <w:proofErr w:type="spellEnd"/>
      <w:r w:rsidRPr="002B1FB2" w:rsidR="00F048F3">
        <w:rPr>
          <w:rFonts w:eastAsia="Times New Roman"/>
        </w:rPr>
        <w:t xml:space="preserve"> effects of appeals (see Article 377(1), cited above, which refers to “issues”).</w:t>
      </w:r>
    </w:p>
    <w:p w:rsidRPr="002B1FB2" w:rsidR="00F048F3" w:rsidP="002B1FB2" w:rsidRDefault="00A4143B" w14:paraId="680A611D" w14:textId="4BC3AD55">
      <w:pPr>
        <w:pStyle w:val="JuPara"/>
        <w:rPr>
          <w:rFonts w:eastAsia="Times New Roman"/>
        </w:rPr>
      </w:pPr>
      <w:r w:rsidRPr="002B1FB2">
        <w:rPr>
          <w:rFonts w:eastAsia="Times New Roman"/>
        </w:rPr>
        <w:t>11</w:t>
      </w:r>
      <w:r w:rsidRPr="002B1FB2" w:rsidR="00F048F3">
        <w:rPr>
          <w:rFonts w:eastAsia="Times New Roman"/>
        </w:rPr>
        <w:t>.  As a consequence, the majority judgment could just as well have ended here</w:t>
      </w:r>
      <w:proofErr w:type="gramStart"/>
      <w:r w:rsidRPr="002B1FB2" w:rsidR="00F048F3">
        <w:rPr>
          <w:rFonts w:eastAsia="Times New Roman"/>
        </w:rPr>
        <w:t>, that is to say, by</w:t>
      </w:r>
      <w:proofErr w:type="gramEnd"/>
      <w:r w:rsidRPr="002B1FB2" w:rsidR="00F048F3">
        <w:rPr>
          <w:rFonts w:eastAsia="Times New Roman"/>
        </w:rPr>
        <w:t xml:space="preserve"> determining the case reiterating and, if necessary, restoring the </w:t>
      </w:r>
      <w:bookmarkStart w:name="_Hlk92100593" w:id="95"/>
      <w:proofErr w:type="spellStart"/>
      <w:r w:rsidRPr="002B1FB2" w:rsidR="00F048F3">
        <w:rPr>
          <w:rFonts w:eastAsia="Times New Roman"/>
          <w:i/>
          <w:iCs/>
        </w:rPr>
        <w:t>Zahirović</w:t>
      </w:r>
      <w:proofErr w:type="spellEnd"/>
      <w:r w:rsidRPr="002B1FB2" w:rsidR="00F048F3">
        <w:rPr>
          <w:rFonts w:eastAsia="Times New Roman"/>
          <w:i/>
          <w:iCs/>
        </w:rPr>
        <w:t xml:space="preserve"> </w:t>
      </w:r>
      <w:r w:rsidRPr="002B1FB2" w:rsidR="00F048F3">
        <w:rPr>
          <w:rFonts w:eastAsia="Times New Roman"/>
        </w:rPr>
        <w:t>rule</w:t>
      </w:r>
      <w:bookmarkEnd w:id="95"/>
      <w:r w:rsidRPr="002B1FB2" w:rsidR="00F048F3">
        <w:rPr>
          <w:rFonts w:eastAsia="Times New Roman"/>
        </w:rPr>
        <w:t xml:space="preserve"> </w:t>
      </w:r>
      <w:r w:rsidRPr="002B1FB2" w:rsidR="00F048F3">
        <w:rPr>
          <w:rFonts w:eastAsia="Times New Roman"/>
          <w:i/>
          <w:iCs/>
        </w:rPr>
        <w:t>vis-à-vis</w:t>
      </w:r>
      <w:r w:rsidRPr="002B1FB2" w:rsidR="00F048F3">
        <w:rPr>
          <w:rFonts w:eastAsia="Times New Roman"/>
        </w:rPr>
        <w:t xml:space="preserve"> the opposite approach taken, </w:t>
      </w:r>
      <w:r w:rsidRPr="002B1FB2" w:rsidR="00F048F3">
        <w:rPr>
          <w:rFonts w:eastAsia="Times New Roman"/>
          <w:i/>
          <w:iCs/>
        </w:rPr>
        <w:t>mutatis mutandis,</w:t>
      </w:r>
      <w:r w:rsidRPr="002B1FB2" w:rsidR="00F048F3">
        <w:rPr>
          <w:rFonts w:eastAsia="Times New Roman"/>
        </w:rPr>
        <w:t xml:space="preserve"> in</w:t>
      </w:r>
      <w:r w:rsidRPr="002B1FB2" w:rsidR="00F048F3">
        <w:rPr>
          <w:rFonts w:eastAsia="Times New Roman"/>
          <w:i/>
          <w:iCs/>
        </w:rPr>
        <w:t xml:space="preserve"> </w:t>
      </w:r>
      <w:proofErr w:type="spellStart"/>
      <w:r w:rsidRPr="002B1FB2" w:rsidR="00F048F3">
        <w:rPr>
          <w:rFonts w:eastAsia="Times New Roman"/>
          <w:i/>
          <w:iCs/>
        </w:rPr>
        <w:t>Škrlj</w:t>
      </w:r>
      <w:proofErr w:type="spellEnd"/>
      <w:r w:rsidRPr="002B1FB2" w:rsidR="00F048F3">
        <w:rPr>
          <w:rFonts w:eastAsia="Times New Roman"/>
        </w:rPr>
        <w:t xml:space="preserve">. The judgment does not, however, go that way, as it additionally develops </w:t>
      </w:r>
      <w:proofErr w:type="gramStart"/>
      <w:r w:rsidRPr="002B1FB2" w:rsidR="00F048F3">
        <w:rPr>
          <w:rFonts w:eastAsia="Times New Roman"/>
        </w:rPr>
        <w:t>a number of</w:t>
      </w:r>
      <w:proofErr w:type="gramEnd"/>
      <w:r w:rsidRPr="002B1FB2" w:rsidR="00F048F3">
        <w:rPr>
          <w:rFonts w:eastAsia="Times New Roman"/>
        </w:rPr>
        <w:t xml:space="preserve"> findings, both in fact and in law, which are of course mere </w:t>
      </w:r>
      <w:r w:rsidRPr="002B1FB2" w:rsidR="00F048F3">
        <w:rPr>
          <w:rFonts w:eastAsia="Times New Roman"/>
          <w:i/>
          <w:iCs/>
        </w:rPr>
        <w:t>obiter dicta</w:t>
      </w:r>
      <w:r w:rsidRPr="002B1FB2" w:rsidR="00F048F3">
        <w:rPr>
          <w:rFonts w:eastAsia="Times New Roman"/>
        </w:rPr>
        <w:t xml:space="preserve"> given the absorbing nature of the </w:t>
      </w:r>
      <w:proofErr w:type="spellStart"/>
      <w:r w:rsidRPr="002B1FB2" w:rsidR="00F048F3">
        <w:rPr>
          <w:rFonts w:eastAsia="Times New Roman"/>
          <w:i/>
          <w:iCs/>
        </w:rPr>
        <w:t>Zahirović</w:t>
      </w:r>
      <w:proofErr w:type="spellEnd"/>
      <w:r w:rsidRPr="002B1FB2" w:rsidR="00F048F3">
        <w:rPr>
          <w:rFonts w:eastAsia="Times New Roman"/>
          <w:i/>
          <w:iCs/>
        </w:rPr>
        <w:t xml:space="preserve"> </w:t>
      </w:r>
      <w:r w:rsidRPr="002B1FB2" w:rsidR="00F048F3">
        <w:rPr>
          <w:rFonts w:eastAsia="Times New Roman"/>
        </w:rPr>
        <w:t>principle. Ay, there</w:t>
      </w:r>
      <w:r w:rsidRPr="002B1FB2" w:rsidR="002B1FB2">
        <w:rPr>
          <w:rFonts w:eastAsia="Times New Roman"/>
        </w:rPr>
        <w:t>’</w:t>
      </w:r>
      <w:r w:rsidRPr="002B1FB2" w:rsidR="00F048F3">
        <w:rPr>
          <w:rFonts w:eastAsia="Times New Roman"/>
        </w:rPr>
        <w:t xml:space="preserve">s the rub: since these </w:t>
      </w:r>
      <w:r w:rsidRPr="002B1FB2" w:rsidR="00F048F3">
        <w:rPr>
          <w:rFonts w:eastAsia="Times New Roman"/>
          <w:i/>
          <w:iCs/>
        </w:rPr>
        <w:t>obiter dicta</w:t>
      </w:r>
      <w:r w:rsidRPr="002B1FB2" w:rsidR="00F048F3">
        <w:rPr>
          <w:rFonts w:eastAsia="Times New Roman"/>
        </w:rPr>
        <w:t xml:space="preserve"> deal with important features concerning the interpretation and application of legal standards concerning experts</w:t>
      </w:r>
      <w:r w:rsidRPr="002B1FB2" w:rsidR="002B1FB2">
        <w:rPr>
          <w:rFonts w:eastAsia="Times New Roman"/>
        </w:rPr>
        <w:t>’</w:t>
      </w:r>
      <w:r w:rsidRPr="002B1FB2" w:rsidR="00F048F3">
        <w:rPr>
          <w:rFonts w:eastAsia="Times New Roman"/>
        </w:rPr>
        <w:t xml:space="preserve"> neutrality, such additional (and in my view unnecessary) findings not only create confusion with respect to the </w:t>
      </w:r>
      <w:r w:rsidRPr="002B1FB2" w:rsidR="00F048F3">
        <w:rPr>
          <w:rFonts w:eastAsia="Times New Roman"/>
          <w:i/>
          <w:iCs/>
        </w:rPr>
        <w:t>ratio decidendi</w:t>
      </w:r>
      <w:r w:rsidRPr="002B1FB2" w:rsidR="00F048F3">
        <w:rPr>
          <w:rFonts w:eastAsia="Times New Roman"/>
        </w:rPr>
        <w:t xml:space="preserve"> of the judgment, but also weaken the </w:t>
      </w:r>
      <w:proofErr w:type="spellStart"/>
      <w:r w:rsidRPr="002B1FB2" w:rsidR="00F048F3">
        <w:rPr>
          <w:rFonts w:eastAsia="Times New Roman"/>
          <w:i/>
          <w:iCs/>
        </w:rPr>
        <w:t>Zahirović</w:t>
      </w:r>
      <w:proofErr w:type="spellEnd"/>
      <w:r w:rsidRPr="002B1FB2" w:rsidR="00F048F3">
        <w:rPr>
          <w:rFonts w:eastAsia="Times New Roman"/>
          <w:i/>
          <w:iCs/>
        </w:rPr>
        <w:t xml:space="preserve"> </w:t>
      </w:r>
      <w:r w:rsidRPr="002B1FB2" w:rsidR="00F048F3">
        <w:rPr>
          <w:rFonts w:eastAsia="Times New Roman"/>
        </w:rPr>
        <w:t>rule and therefore reinforce dissent against it. I will therefore try to pinpoint these unacceptable (</w:t>
      </w:r>
      <w:r w:rsidRPr="002B1FB2" w:rsidR="00F048F3">
        <w:rPr>
          <w:rFonts w:eastAsia="Times New Roman"/>
          <w:i/>
          <w:iCs/>
        </w:rPr>
        <w:t>obiter</w:t>
      </w:r>
      <w:r w:rsidRPr="002B1FB2" w:rsidR="00F048F3">
        <w:rPr>
          <w:rFonts w:eastAsia="Times New Roman"/>
        </w:rPr>
        <w:t>) parts of the judgment, explaining why they are unacceptable. In this exercise I will, if need be, recall some relevant items of domestic legislation.</w:t>
      </w:r>
    </w:p>
    <w:p w:rsidRPr="002B1FB2" w:rsidR="00F76534" w:rsidP="002B1FB2" w:rsidRDefault="00A4143B" w14:paraId="4BB84AD4" w14:textId="26436232">
      <w:pPr>
        <w:pStyle w:val="JuPara"/>
        <w:rPr>
          <w:rFonts w:eastAsia="Times New Roman"/>
        </w:rPr>
      </w:pPr>
      <w:r w:rsidRPr="002B1FB2">
        <w:rPr>
          <w:rFonts w:eastAsia="Times New Roman"/>
        </w:rPr>
        <w:t>12</w:t>
      </w:r>
      <w:r w:rsidRPr="002B1FB2" w:rsidR="00F048F3">
        <w:rPr>
          <w:rFonts w:eastAsia="Times New Roman"/>
        </w:rPr>
        <w:t>.  I will start by reiterating (see paragraphs 35-36 of the judgment) that, once appointed, experts may be disqualified under section 254(1) of the Act on the same grounds as a judge; however, while under section 71 a judge may be challenged if he or she has served as a witness or an expert in the proceedings, this does not apply to court-appointed experts, a rule which is consonant with the well-established concept that experts</w:t>
      </w:r>
      <w:r w:rsidRPr="002B1FB2" w:rsidR="002B1FB2">
        <w:rPr>
          <w:rFonts w:eastAsia="Times New Roman"/>
        </w:rPr>
        <w:t>’</w:t>
      </w:r>
      <w:r w:rsidRPr="002B1FB2" w:rsidR="00F048F3">
        <w:rPr>
          <w:rFonts w:eastAsia="Times New Roman"/>
        </w:rPr>
        <w:t xml:space="preserve"> “neutrality” has a place which ranks lower than judges</w:t>
      </w:r>
      <w:r w:rsidRPr="002B1FB2" w:rsidR="002B1FB2">
        <w:rPr>
          <w:rFonts w:eastAsia="Times New Roman"/>
        </w:rPr>
        <w:t>’</w:t>
      </w:r>
      <w:r w:rsidRPr="002B1FB2" w:rsidR="00F048F3">
        <w:rPr>
          <w:rFonts w:eastAsia="Times New Roman"/>
        </w:rPr>
        <w:t xml:space="preserve"> “impartiality”, and which also explains why an expert</w:t>
      </w:r>
      <w:r w:rsidRPr="002B1FB2" w:rsidR="002B1FB2">
        <w:rPr>
          <w:rFonts w:eastAsia="Times New Roman"/>
        </w:rPr>
        <w:t>’</w:t>
      </w:r>
      <w:r w:rsidRPr="002B1FB2" w:rsidR="00F048F3">
        <w:rPr>
          <w:rFonts w:eastAsia="Times New Roman"/>
        </w:rPr>
        <w:t>s competence is usually more important than a total distance from the subject matter of the case and its parties.</w:t>
      </w:r>
    </w:p>
    <w:p w:rsidRPr="002B1FB2" w:rsidR="00F048F3" w:rsidP="002B1FB2" w:rsidRDefault="00F048F3" w14:paraId="3BBC6BAB" w14:textId="60377CB6">
      <w:pPr>
        <w:pStyle w:val="JuPara"/>
        <w:rPr>
          <w:rFonts w:eastAsia="Times New Roman"/>
        </w:rPr>
      </w:pPr>
      <w:r w:rsidRPr="002B1FB2">
        <w:rPr>
          <w:rFonts w:eastAsia="Times New Roman"/>
        </w:rPr>
        <w:t xml:space="preserve">Be that as it may, because of the reference made in section 254(1) of the Act to section 71, an expert may be disqualified, </w:t>
      </w:r>
      <w:r w:rsidRPr="002B1FB2">
        <w:rPr>
          <w:rFonts w:eastAsia="Times New Roman"/>
          <w:i/>
          <w:iCs/>
        </w:rPr>
        <w:t>inter alia</w:t>
      </w:r>
      <w:r w:rsidRPr="002B1FB2">
        <w:rPr>
          <w:rFonts w:eastAsia="Times New Roman"/>
        </w:rPr>
        <w:t>,</w:t>
      </w:r>
    </w:p>
    <w:p w:rsidRPr="002B1FB2" w:rsidR="00F048F3" w:rsidP="002B1FB2" w:rsidRDefault="00F048F3" w14:paraId="467B62B3" w14:textId="77777777">
      <w:pPr>
        <w:ind w:left="284"/>
        <w:jc w:val="both"/>
        <w:rPr>
          <w:rFonts w:ascii="Times New Roman" w:hAnsi="Times New Roman" w:eastAsia="Times New Roman" w:cs="Times New Roman"/>
          <w:i/>
          <w:iCs/>
        </w:rPr>
      </w:pPr>
      <w:r w:rsidRPr="002B1FB2">
        <w:rPr>
          <w:rFonts w:ascii="Times New Roman" w:hAnsi="Times New Roman" w:eastAsia="Times New Roman" w:cs="Times New Roman"/>
          <w:i/>
          <w:iCs/>
        </w:rPr>
        <w:t>“</w:t>
      </w:r>
      <w:bookmarkStart w:name="_Hlk92102839" w:id="96"/>
      <w:proofErr w:type="gramStart"/>
      <w:r w:rsidRPr="002B1FB2">
        <w:rPr>
          <w:rFonts w:ascii="Times New Roman" w:hAnsi="Times New Roman" w:eastAsia="Times New Roman" w:cs="Times New Roman"/>
          <w:i/>
          <w:iCs/>
        </w:rPr>
        <w:t>if</w:t>
      </w:r>
      <w:proofErr w:type="gramEnd"/>
      <w:r w:rsidRPr="002B1FB2">
        <w:rPr>
          <w:rFonts w:ascii="Times New Roman" w:hAnsi="Times New Roman" w:eastAsia="Times New Roman" w:cs="Times New Roman"/>
          <w:i/>
          <w:iCs/>
        </w:rPr>
        <w:t xml:space="preserve"> he or she </w:t>
      </w:r>
      <w:r w:rsidRPr="002B1FB2">
        <w:rPr>
          <w:rFonts w:ascii="Times New Roman" w:hAnsi="Times New Roman" w:eastAsia="Times New Roman" w:cs="Times New Roman"/>
          <w:i/>
          <w:iCs/>
          <w:u w:val="single"/>
        </w:rPr>
        <w:t>is</w:t>
      </w:r>
      <w:r w:rsidRPr="002B1FB2">
        <w:rPr>
          <w:rFonts w:ascii="Times New Roman" w:hAnsi="Times New Roman" w:eastAsia="Times New Roman" w:cs="Times New Roman"/>
          <w:i/>
          <w:iCs/>
        </w:rPr>
        <w:t xml:space="preserve"> permanently or temporarily employed by </w:t>
      </w:r>
      <w:r w:rsidRPr="002B1FB2">
        <w:rPr>
          <w:rFonts w:ascii="Times New Roman" w:hAnsi="Times New Roman" w:eastAsia="Times New Roman" w:cs="Times New Roman"/>
          <w:i/>
          <w:iCs/>
          <w:u w:val="single"/>
        </w:rPr>
        <w:t>a legal person which is a party</w:t>
      </w:r>
      <w:r w:rsidRPr="002B1FB2">
        <w:rPr>
          <w:rFonts w:ascii="Times New Roman" w:hAnsi="Times New Roman" w:eastAsia="Times New Roman" w:cs="Times New Roman"/>
          <w:i/>
          <w:iCs/>
        </w:rPr>
        <w:t xml:space="preserve"> in the proceedings</w:t>
      </w:r>
      <w:bookmarkEnd w:id="96"/>
      <w:r w:rsidRPr="002B1FB2">
        <w:rPr>
          <w:rFonts w:ascii="Times New Roman" w:hAnsi="Times New Roman" w:eastAsia="Times New Roman" w:cs="Times New Roman"/>
          <w:i/>
          <w:iCs/>
        </w:rPr>
        <w:t xml:space="preserve">” </w:t>
      </w:r>
      <w:r w:rsidRPr="002B1FB2">
        <w:rPr>
          <w:rFonts w:ascii="Times New Roman" w:hAnsi="Times New Roman" w:eastAsia="Times New Roman" w:cs="Times New Roman"/>
        </w:rPr>
        <w:t>(emphasis added).</w:t>
      </w:r>
    </w:p>
    <w:p w:rsidRPr="002B1FB2" w:rsidR="00F048F3" w:rsidP="002B1FB2" w:rsidRDefault="00F048F3" w14:paraId="0686563B" w14:textId="1F6AC4B5">
      <w:pPr>
        <w:pStyle w:val="JuPara"/>
        <w:rPr>
          <w:rFonts w:eastAsia="Times New Roman"/>
        </w:rPr>
      </w:pPr>
      <w:r w:rsidRPr="002B1FB2">
        <w:rPr>
          <w:rFonts w:eastAsia="Times New Roman"/>
        </w:rPr>
        <w:t>Based on this provision, on 4 September 2012 the second-instance court dismissed the applicant</w:t>
      </w:r>
      <w:r w:rsidRPr="002B1FB2" w:rsidR="002B1FB2">
        <w:rPr>
          <w:rFonts w:eastAsia="Times New Roman"/>
        </w:rPr>
        <w:t>’</w:t>
      </w:r>
      <w:r w:rsidRPr="002B1FB2">
        <w:rPr>
          <w:rFonts w:eastAsia="Times New Roman"/>
        </w:rPr>
        <w:t>s fourth appeal as unfounded, considering (in addition to the procedural invalidation of the disqualification request, which is the rationale of the judgment as indicated above) that there were no real grounds for such disqualification since the expert – “</w:t>
      </w:r>
      <w:r w:rsidRPr="002B1FB2">
        <w:rPr>
          <w:rFonts w:eastAsia="Times New Roman"/>
          <w:u w:val="single"/>
        </w:rPr>
        <w:t>at the time of submitting her</w:t>
      </w:r>
      <w:proofErr w:type="gramStart"/>
      <w:r w:rsidRPr="002B1FB2">
        <w:rPr>
          <w:rFonts w:eastAsia="Times New Roman"/>
          <w:u w:val="single"/>
        </w:rPr>
        <w:t xml:space="preserve"> ..</w:t>
      </w:r>
      <w:proofErr w:type="gramEnd"/>
      <w:r w:rsidRPr="002B1FB2">
        <w:rPr>
          <w:rFonts w:eastAsia="Times New Roman"/>
          <w:u w:val="single"/>
        </w:rPr>
        <w:t xml:space="preserve"> report </w:t>
      </w:r>
      <w:r w:rsidRPr="002B1FB2" w:rsidR="00F76534">
        <w:rPr>
          <w:rFonts w:eastAsia="Times New Roman"/>
          <w:u w:val="single"/>
        </w:rPr>
        <w:t>...</w:t>
      </w:r>
      <w:r w:rsidRPr="002B1FB2">
        <w:rPr>
          <w:rFonts w:eastAsia="Times New Roman"/>
          <w:u w:val="single"/>
        </w:rPr>
        <w:t xml:space="preserve"> had not been employed by the defendant company</w:t>
      </w:r>
      <w:r w:rsidRPr="002B1FB2">
        <w:rPr>
          <w:rFonts w:eastAsia="Times New Roman"/>
        </w:rPr>
        <w:t xml:space="preserve">, but that she had been a medical examiner in its directorate-general in 1995, and that from March 2004 until retirement </w:t>
      </w:r>
      <w:r w:rsidRPr="002B1FB2" w:rsidR="00F76534">
        <w:rPr>
          <w:rFonts w:eastAsia="Times New Roman"/>
        </w:rPr>
        <w:t>...</w:t>
      </w:r>
      <w:r w:rsidRPr="002B1FB2">
        <w:rPr>
          <w:rFonts w:eastAsia="Times New Roman"/>
        </w:rPr>
        <w:t xml:space="preserve"> she had been president of the </w:t>
      </w:r>
      <w:r w:rsidRPr="002B1FB2" w:rsidR="00F76534">
        <w:rPr>
          <w:rFonts w:eastAsia="Times New Roman"/>
        </w:rPr>
        <w:t>...</w:t>
      </w:r>
      <w:r w:rsidRPr="002B1FB2">
        <w:rPr>
          <w:rFonts w:eastAsia="Times New Roman"/>
        </w:rPr>
        <w:t xml:space="preserve"> management board” [of one of the defendant company</w:t>
      </w:r>
      <w:r w:rsidRPr="002B1FB2" w:rsidR="002B1FB2">
        <w:rPr>
          <w:rFonts w:eastAsia="Times New Roman"/>
        </w:rPr>
        <w:t>’</w:t>
      </w:r>
      <w:r w:rsidRPr="002B1FB2">
        <w:rPr>
          <w:rFonts w:eastAsia="Times New Roman"/>
        </w:rPr>
        <w:t>s subsidiaries] (see paragraphs 28-29 of the judgment, also containing information as to the subsidiary; emphasis added).</w:t>
      </w:r>
    </w:p>
    <w:p w:rsidRPr="002B1FB2" w:rsidR="00F76534" w:rsidP="002B1FB2" w:rsidRDefault="00F048F3" w14:paraId="50005C31" w14:textId="426F111C">
      <w:pPr>
        <w:pStyle w:val="JuPara"/>
        <w:rPr>
          <w:rFonts w:eastAsia="Times New Roman"/>
        </w:rPr>
      </w:pPr>
      <w:r w:rsidRPr="002B1FB2">
        <w:rPr>
          <w:rFonts w:eastAsia="Times New Roman"/>
        </w:rPr>
        <w:t>I consider that this finding of the domestic court, upheld in further instances, is central to the assessment of the expert</w:t>
      </w:r>
      <w:r w:rsidRPr="002B1FB2" w:rsidR="002B1FB2">
        <w:rPr>
          <w:rFonts w:eastAsia="Times New Roman"/>
        </w:rPr>
        <w:t>’</w:t>
      </w:r>
      <w:r w:rsidRPr="002B1FB2">
        <w:rPr>
          <w:rFonts w:eastAsia="Times New Roman"/>
        </w:rPr>
        <w:t>s neutrality. In my view, the domestic court</w:t>
      </w:r>
      <w:r w:rsidRPr="002B1FB2" w:rsidR="002B1FB2">
        <w:rPr>
          <w:rFonts w:eastAsia="Times New Roman"/>
        </w:rPr>
        <w:t>’</w:t>
      </w:r>
      <w:r w:rsidRPr="002B1FB2">
        <w:rPr>
          <w:rFonts w:eastAsia="Times New Roman"/>
        </w:rPr>
        <w:t>s reasoning shows no flaws with respect to the facts and the content of the applicable legal standards set out by the joint operation of sections 254 (1) and 71 of the Act. I am consequently rather surprised that the majority</w:t>
      </w:r>
      <w:r w:rsidRPr="002B1FB2" w:rsidR="002B1FB2">
        <w:rPr>
          <w:rFonts w:eastAsia="Times New Roman"/>
        </w:rPr>
        <w:t>’</w:t>
      </w:r>
      <w:r w:rsidRPr="002B1FB2">
        <w:rPr>
          <w:rFonts w:eastAsia="Times New Roman"/>
        </w:rPr>
        <w:t>s judgment did not emphasise the role of the domestic court</w:t>
      </w:r>
      <w:r w:rsidRPr="002B1FB2" w:rsidR="002B1FB2">
        <w:rPr>
          <w:rFonts w:eastAsia="Times New Roman"/>
        </w:rPr>
        <w:t>’</w:t>
      </w:r>
      <w:r w:rsidRPr="002B1FB2">
        <w:rPr>
          <w:rFonts w:eastAsia="Times New Roman"/>
        </w:rPr>
        <w:t>s finding. To cut a long story short, I would have expected that, since the disqualification of an expert was possible only “</w:t>
      </w:r>
      <w:r w:rsidRPr="002B1FB2">
        <w:rPr>
          <w:rFonts w:eastAsia="Times New Roman"/>
          <w:i/>
          <w:iCs/>
        </w:rPr>
        <w:t xml:space="preserve">if he or she </w:t>
      </w:r>
      <w:r w:rsidRPr="002B1FB2">
        <w:rPr>
          <w:rFonts w:eastAsia="Times New Roman"/>
          <w:i/>
          <w:iCs/>
          <w:u w:val="single"/>
        </w:rPr>
        <w:t>is</w:t>
      </w:r>
      <w:r w:rsidRPr="002B1FB2">
        <w:rPr>
          <w:rFonts w:eastAsia="Times New Roman"/>
          <w:i/>
          <w:iCs/>
        </w:rPr>
        <w:t xml:space="preserve"> permanently or temporarily employed by </w:t>
      </w:r>
      <w:r w:rsidRPr="002B1FB2">
        <w:rPr>
          <w:rFonts w:eastAsia="Times New Roman"/>
          <w:i/>
          <w:iCs/>
          <w:u w:val="single"/>
        </w:rPr>
        <w:t>a legal person which is a party</w:t>
      </w:r>
      <w:r w:rsidRPr="002B1FB2">
        <w:rPr>
          <w:rFonts w:eastAsia="Times New Roman"/>
          <w:i/>
          <w:iCs/>
        </w:rPr>
        <w:t xml:space="preserve"> in the proceedings” </w:t>
      </w:r>
      <w:r w:rsidRPr="002B1FB2">
        <w:rPr>
          <w:rFonts w:eastAsia="Times New Roman"/>
        </w:rPr>
        <w:t>(emphasis added), my distinguished colleagues would acknowledge the correctness of the domestic judges</w:t>
      </w:r>
      <w:r w:rsidRPr="002B1FB2" w:rsidR="002B1FB2">
        <w:rPr>
          <w:rFonts w:eastAsia="Times New Roman"/>
        </w:rPr>
        <w:t>’</w:t>
      </w:r>
      <w:r w:rsidRPr="002B1FB2">
        <w:rPr>
          <w:rFonts w:eastAsia="Times New Roman"/>
        </w:rPr>
        <w:t xml:space="preserve"> approach. Surprisingly, they did not share this view, and – in paragraph 66 of the judgment, with which I am therefore unable to agree – the majority accepted that the expert had “a senior position in the defendant company and its subsidiary” so that her “neutrality was capable of being, or at least appearing, open to doubt”.</w:t>
      </w:r>
    </w:p>
    <w:p w:rsidRPr="002B1FB2" w:rsidR="00F048F3" w:rsidP="002B1FB2" w:rsidRDefault="00F048F3" w14:paraId="1B98E2C4" w14:textId="781B7264">
      <w:pPr>
        <w:pStyle w:val="JuPara"/>
        <w:rPr>
          <w:rFonts w:eastAsia="Times New Roman"/>
        </w:rPr>
      </w:pPr>
      <w:r w:rsidRPr="002B1FB2">
        <w:rPr>
          <w:rFonts w:eastAsia="Times New Roman"/>
        </w:rPr>
        <w:t>The expert, indeed, as the domestic court correctly explained, was not “</w:t>
      </w:r>
      <w:r w:rsidRPr="002B1FB2">
        <w:rPr>
          <w:rFonts w:eastAsia="Times New Roman"/>
          <w:i/>
          <w:iCs/>
        </w:rPr>
        <w:t>permanently or temporarily employed by a legal person which is a party in the proceedings</w:t>
      </w:r>
      <w:r w:rsidRPr="002B1FB2">
        <w:rPr>
          <w:rFonts w:eastAsia="Times New Roman"/>
        </w:rPr>
        <w:t>” since, at the time of the expertise, she had a professional relationship with another company which was not a party (although the latter was a subsidiary of the defendant, it was not to be identified with the “legal person” party in the proceedings), whereas a direct employment relationship with the defendant dated back to 1995, eleven years before the appointment.</w:t>
      </w:r>
    </w:p>
    <w:p w:rsidRPr="002B1FB2" w:rsidR="00F76534" w:rsidP="002B1FB2" w:rsidRDefault="00F048F3" w14:paraId="275D409E" w14:textId="4CF39A5A">
      <w:pPr>
        <w:pStyle w:val="JuPara"/>
        <w:rPr>
          <w:rFonts w:eastAsia="Times New Roman"/>
        </w:rPr>
      </w:pPr>
      <w:r w:rsidRPr="002B1FB2">
        <w:rPr>
          <w:rFonts w:eastAsia="Times New Roman"/>
        </w:rPr>
        <w:t>While it would have been open to the applicant to challenge the expert</w:t>
      </w:r>
      <w:r w:rsidRPr="002B1FB2" w:rsidR="002B1FB2">
        <w:rPr>
          <w:rFonts w:eastAsia="Times New Roman"/>
        </w:rPr>
        <w:t>’</w:t>
      </w:r>
      <w:r w:rsidRPr="002B1FB2">
        <w:rPr>
          <w:rFonts w:eastAsia="Times New Roman"/>
        </w:rPr>
        <w:t>s neutrality on other bases under section 71 of the Act (which did not transpire), I wish to recall that here only the above-mentioned wording of section 71 is at stake, and that the rules on disqualification, being exceptions to the general rule of acceptability of experts admitted into court lists, are subject to strict interpretation; hence, any doubt should have been resolved in favour of the general provision and against the exception. The expert was – at least under the wording of the provision in issue– to be deemed neutral.</w:t>
      </w:r>
    </w:p>
    <w:p w:rsidRPr="002B1FB2" w:rsidR="00F048F3" w:rsidP="002B1FB2" w:rsidRDefault="00A4143B" w14:paraId="6403F295" w14:textId="0D3BD0B9">
      <w:pPr>
        <w:pStyle w:val="JuPara"/>
        <w:rPr>
          <w:rFonts w:eastAsia="Times New Roman"/>
        </w:rPr>
      </w:pPr>
      <w:r w:rsidRPr="002B1FB2">
        <w:rPr>
          <w:rFonts w:eastAsia="Times New Roman"/>
        </w:rPr>
        <w:t>13</w:t>
      </w:r>
      <w:r w:rsidRPr="002B1FB2" w:rsidR="00F048F3">
        <w:rPr>
          <w:rFonts w:eastAsia="Times New Roman"/>
        </w:rPr>
        <w:t>.  Likewise, it seems to me incorrect that in paragraphs 71 and 72 of the judgment the majority finds that the expert, in relation to the provisions of section 253(3) of the Act, “had every reason to report” her lack of neutrality and even to request to be discharged from her task. Since there was no ground for disqualification, there was no reason to report any circumstance</w:t>
      </w:r>
      <w:r w:rsidRPr="002B1FB2" w:rsidR="00F048F3">
        <w:t xml:space="preserve"> (accordingly, the implicit reference to obligations to report conflicts of interest stemming from ethical rules - also mentioned as relevant legal material in the judgment - appears to me inappropriate, since no legal conflict of interest existed, nor have any other factual elements indicating bias been proved)</w:t>
      </w:r>
      <w:r w:rsidRPr="002B1FB2" w:rsidR="00F048F3">
        <w:rPr>
          <w:rFonts w:eastAsia="Times New Roman"/>
        </w:rPr>
        <w:t>.</w:t>
      </w:r>
    </w:p>
    <w:p w:rsidRPr="002B1FB2" w:rsidR="00F048F3" w:rsidP="002B1FB2" w:rsidRDefault="00A4143B" w14:paraId="067E2C5A" w14:textId="06C2BD91">
      <w:pPr>
        <w:pStyle w:val="JuPara"/>
        <w:rPr>
          <w:rFonts w:eastAsia="Times New Roman"/>
        </w:rPr>
      </w:pPr>
      <w:r w:rsidRPr="002B1FB2">
        <w:rPr>
          <w:rFonts w:eastAsia="Times New Roman"/>
        </w:rPr>
        <w:t>14</w:t>
      </w:r>
      <w:r w:rsidRPr="002B1FB2" w:rsidR="00F048F3">
        <w:rPr>
          <w:rFonts w:eastAsia="Times New Roman"/>
        </w:rPr>
        <w:t xml:space="preserve">.  While reiterating my difficulty in understanding the above two findings of the majority (see paragraphs 12 and 13 of this opinion), the suspicion arises that an explanation may be found for them in the fact that paragraph 36 of the judgment refers to section 71 of the Act indirectly, without citing the relevant provision literally; it is therefore arguable that the use of the past tense in that passage has generated confusion, thereby convincing the majority that previous employments were equally relevant, which is, however, clearly excluded by the use of the present tense in the original provision. Even if this were the explanation, there was nonetheless </w:t>
      </w:r>
      <w:proofErr w:type="gramStart"/>
      <w:r w:rsidRPr="002B1FB2" w:rsidR="00F048F3">
        <w:rPr>
          <w:rFonts w:eastAsia="Times New Roman"/>
        </w:rPr>
        <w:t>an inadvertent error</w:t>
      </w:r>
      <w:proofErr w:type="gramEnd"/>
      <w:r w:rsidRPr="002B1FB2" w:rsidR="00F048F3">
        <w:rPr>
          <w:rFonts w:eastAsia="Times New Roman"/>
        </w:rPr>
        <w:t xml:space="preserve"> in the majority</w:t>
      </w:r>
      <w:r w:rsidRPr="002B1FB2" w:rsidR="002B1FB2">
        <w:rPr>
          <w:rFonts w:eastAsia="Times New Roman"/>
        </w:rPr>
        <w:t>’</w:t>
      </w:r>
      <w:r w:rsidRPr="002B1FB2" w:rsidR="00F048F3">
        <w:rPr>
          <w:rFonts w:eastAsia="Times New Roman"/>
        </w:rPr>
        <w:t>s reasoning.</w:t>
      </w:r>
    </w:p>
    <w:p w:rsidRPr="002B1FB2" w:rsidR="00F048F3" w:rsidP="002B1FB2" w:rsidRDefault="00A4143B" w14:paraId="31783397" w14:textId="28FF145C">
      <w:pPr>
        <w:pStyle w:val="JuPara"/>
        <w:rPr>
          <w:rFonts w:eastAsia="Times New Roman"/>
        </w:rPr>
      </w:pPr>
      <w:r w:rsidRPr="002B1FB2">
        <w:rPr>
          <w:rFonts w:eastAsia="Times New Roman"/>
        </w:rPr>
        <w:t>15</w:t>
      </w:r>
      <w:r w:rsidRPr="002B1FB2" w:rsidR="00F048F3">
        <w:rPr>
          <w:rFonts w:eastAsia="Times New Roman"/>
        </w:rPr>
        <w:t xml:space="preserve">.  In a similar vein, </w:t>
      </w:r>
      <w:proofErr w:type="gramStart"/>
      <w:r w:rsidRPr="002B1FB2" w:rsidR="00F048F3">
        <w:rPr>
          <w:rFonts w:eastAsia="Times New Roman"/>
        </w:rPr>
        <w:t>in order to</w:t>
      </w:r>
      <w:proofErr w:type="gramEnd"/>
      <w:r w:rsidRPr="002B1FB2" w:rsidR="00F048F3">
        <w:rPr>
          <w:rFonts w:eastAsia="Times New Roman"/>
        </w:rPr>
        <w:t xml:space="preserve"> express my disagreement with another rather ambiguous finding in paragraph 73 of the majority</w:t>
      </w:r>
      <w:r w:rsidRPr="002B1FB2" w:rsidR="002B1FB2">
        <w:rPr>
          <w:rFonts w:eastAsia="Times New Roman"/>
        </w:rPr>
        <w:t>’</w:t>
      </w:r>
      <w:r w:rsidRPr="002B1FB2" w:rsidR="00F048F3">
        <w:rPr>
          <w:rFonts w:eastAsia="Times New Roman"/>
        </w:rPr>
        <w:t xml:space="preserve">s judgment, I wish to recall that section 251 of the Act stipulates, </w:t>
      </w:r>
      <w:r w:rsidRPr="002B1FB2" w:rsidR="00F048F3">
        <w:rPr>
          <w:rFonts w:eastAsia="Times New Roman"/>
          <w:i/>
          <w:iCs/>
        </w:rPr>
        <w:t>inter alia</w:t>
      </w:r>
      <w:r w:rsidRPr="002B1FB2" w:rsidR="00F048F3">
        <w:rPr>
          <w:rFonts w:eastAsia="Times New Roman"/>
        </w:rPr>
        <w:t>, that</w:t>
      </w:r>
    </w:p>
    <w:p w:rsidRPr="002B1FB2" w:rsidR="00F76534" w:rsidP="002B1FB2" w:rsidRDefault="00F048F3" w14:paraId="5F80F302" w14:textId="77777777">
      <w:pPr>
        <w:ind w:left="284"/>
        <w:jc w:val="both"/>
        <w:rPr>
          <w:rFonts w:ascii="Times New Roman" w:hAnsi="Times New Roman" w:eastAsia="Times New Roman" w:cs="Times New Roman"/>
        </w:rPr>
      </w:pPr>
      <w:r w:rsidRPr="002B1FB2">
        <w:rPr>
          <w:rFonts w:ascii="Times New Roman" w:hAnsi="Times New Roman" w:eastAsia="Times New Roman" w:cs="Times New Roman"/>
        </w:rPr>
        <w:t>“</w:t>
      </w:r>
      <w:r w:rsidRPr="002B1FB2">
        <w:rPr>
          <w:rFonts w:ascii="Times New Roman" w:hAnsi="Times New Roman" w:eastAsia="Times New Roman" w:cs="Times New Roman"/>
          <w:i/>
          <w:iCs/>
        </w:rPr>
        <w:t>Before it decides which persons it shall take to be expert witnesses, the court shall hear the parties on the matter. In urgent cases, the court may select expert witnesses even though the parties have not been heard</w:t>
      </w:r>
      <w:r w:rsidRPr="002B1FB2">
        <w:rPr>
          <w:rFonts w:ascii="Times New Roman" w:hAnsi="Times New Roman" w:eastAsia="Times New Roman" w:cs="Times New Roman"/>
        </w:rPr>
        <w:t>”.</w:t>
      </w:r>
    </w:p>
    <w:p w:rsidRPr="002B1FB2" w:rsidR="00F048F3" w:rsidP="002B1FB2" w:rsidRDefault="00F048F3" w14:paraId="5BDAAA98" w14:textId="3F84AA2A">
      <w:pPr>
        <w:pStyle w:val="JuPara"/>
        <w:rPr>
          <w:rFonts w:eastAsia="Times New Roman"/>
        </w:rPr>
      </w:pPr>
      <w:r w:rsidRPr="002B1FB2">
        <w:rPr>
          <w:rFonts w:eastAsia="Times New Roman"/>
        </w:rPr>
        <w:t>In the present case a party submission was made on 29 March 2006 suggesting the appointment of an expert (see paragraph 11 of the judgment), and a hearing took place on the same date (see paragraph 12 of the judgment).</w:t>
      </w:r>
    </w:p>
    <w:p w:rsidRPr="002B1FB2" w:rsidR="00F048F3" w:rsidP="002B1FB2" w:rsidRDefault="00F048F3" w14:paraId="6ECF7C88" w14:textId="05A04B85">
      <w:pPr>
        <w:pStyle w:val="JuPara"/>
        <w:rPr>
          <w:rFonts w:eastAsia="Times New Roman"/>
        </w:rPr>
      </w:pPr>
      <w:r w:rsidRPr="002B1FB2">
        <w:rPr>
          <w:rFonts w:eastAsia="Times New Roman"/>
        </w:rPr>
        <w:t>This being the background, and although the wording of paragraph 12 of the judgment shows that no direct question was put by the court to the parties concerning the expert</w:t>
      </w:r>
      <w:r w:rsidRPr="002B1FB2" w:rsidR="002B1FB2">
        <w:rPr>
          <w:rFonts w:eastAsia="Times New Roman"/>
        </w:rPr>
        <w:t>’</w:t>
      </w:r>
      <w:r w:rsidRPr="002B1FB2">
        <w:rPr>
          <w:rFonts w:eastAsia="Times New Roman"/>
        </w:rPr>
        <w:t>s character, one has to conclude that, for the purposes of the aforementioned section 251, the parties had been duly heard on the request to appoint an expert: the domestic court had received the defendant party</w:t>
      </w:r>
      <w:r w:rsidRPr="002B1FB2" w:rsidR="002B1FB2">
        <w:rPr>
          <w:rFonts w:eastAsia="Times New Roman"/>
        </w:rPr>
        <w:t>’</w:t>
      </w:r>
      <w:r w:rsidRPr="002B1FB2">
        <w:rPr>
          <w:rFonts w:eastAsia="Times New Roman"/>
        </w:rPr>
        <w:t>s written request, and it convened a hearing in which the applicant party appeared, so that the proceedings were adversarial. Of course, in such circumstances there is no need for the minutes of the hearing to record the full range of issues covered by the hearing. Also, as a rule, if an issue is passed over in silence “in the minutes of the hearing”, there is no reason to consider that the parties have not been heard on the matter,</w:t>
      </w:r>
      <w:r w:rsidRPr="002B1FB2">
        <w:t xml:space="preserve"> if the same matter was among those to be discussed because of a petition, to which no party objected, such that it was granted</w:t>
      </w:r>
      <w:r w:rsidRPr="002B1FB2">
        <w:rPr>
          <w:rFonts w:eastAsia="Times New Roman"/>
        </w:rPr>
        <w:t>. At any rate, should such a procedural flaw have occurred, it was again the parties</w:t>
      </w:r>
      <w:r w:rsidRPr="002B1FB2" w:rsidR="002B1FB2">
        <w:rPr>
          <w:rFonts w:eastAsia="Times New Roman"/>
        </w:rPr>
        <w:t>’</w:t>
      </w:r>
      <w:r w:rsidRPr="002B1FB2">
        <w:rPr>
          <w:rFonts w:eastAsia="Times New Roman"/>
        </w:rPr>
        <w:t xml:space="preserve"> responsibility – under the relevant rules of civil procedure – to raise an objection as soon as possible, whereas in this case six years passed without </w:t>
      </w:r>
      <w:proofErr w:type="gramStart"/>
      <w:r w:rsidRPr="002B1FB2">
        <w:rPr>
          <w:rFonts w:eastAsia="Times New Roman"/>
        </w:rPr>
        <w:t>any one</w:t>
      </w:r>
      <w:proofErr w:type="gramEnd"/>
      <w:r w:rsidRPr="002B1FB2">
        <w:rPr>
          <w:rFonts w:eastAsia="Times New Roman"/>
        </w:rPr>
        <w:t xml:space="preserve"> voicing doubts about the</w:t>
      </w:r>
      <w:r w:rsidRPr="002B1FB2" w:rsidR="00F76534">
        <w:rPr>
          <w:rFonts w:eastAsia="Times New Roman"/>
        </w:rPr>
        <w:t xml:space="preserve"> </w:t>
      </w:r>
      <w:r w:rsidRPr="002B1FB2">
        <w:rPr>
          <w:rFonts w:eastAsia="Times New Roman"/>
        </w:rPr>
        <w:t>manner in which this hearing had been conducted. The applicable rules of civil procedure are in the hands of the parties and, if they have something to say, they should do so, as I mentioned before with reference to the Court</w:t>
      </w:r>
      <w:r w:rsidRPr="002B1FB2" w:rsidR="002B1FB2">
        <w:rPr>
          <w:rFonts w:eastAsia="Times New Roman"/>
        </w:rPr>
        <w:t>’</w:t>
      </w:r>
      <w:r w:rsidRPr="002B1FB2">
        <w:rPr>
          <w:rFonts w:eastAsia="Times New Roman"/>
        </w:rPr>
        <w:t>s case-law.</w:t>
      </w:r>
    </w:p>
    <w:p w:rsidRPr="002B1FB2" w:rsidR="00F048F3" w:rsidP="002B1FB2" w:rsidRDefault="00F048F3" w14:paraId="28E95C27" w14:textId="05481BDF">
      <w:pPr>
        <w:pStyle w:val="JuPara"/>
        <w:rPr>
          <w:rFonts w:eastAsia="Times New Roman"/>
        </w:rPr>
      </w:pPr>
      <w:r w:rsidRPr="002B1FB2">
        <w:rPr>
          <w:rFonts w:eastAsia="Times New Roman"/>
        </w:rPr>
        <w:t>Bearing this in mind, and given that the Court cannot reproach the domestic court with failing to “explicitly” hear the parties on the appointment of the expert, although a hearing was convened in which a written submission was examined and granted, I (once more) cannot understand the</w:t>
      </w:r>
      <w:r w:rsidRPr="002B1FB2" w:rsidR="00F76534">
        <w:rPr>
          <w:rFonts w:eastAsia="Times New Roman"/>
        </w:rPr>
        <w:t xml:space="preserve"> </w:t>
      </w:r>
      <w:r w:rsidRPr="002B1FB2">
        <w:rPr>
          <w:rFonts w:eastAsia="Times New Roman"/>
        </w:rPr>
        <w:t>content of paragraph 73 of the judgment, which – after citing section 251 of the Act - refers to the commissioning of an expert report as a matter “within the competence of the court conducting the proceedings”. Whatever that may mean, in my view, no flaw can be inferred from the domestic court</w:t>
      </w:r>
      <w:r w:rsidRPr="002B1FB2" w:rsidR="002B1FB2">
        <w:rPr>
          <w:rFonts w:eastAsia="Times New Roman"/>
        </w:rPr>
        <w:t>’</w:t>
      </w:r>
      <w:r w:rsidRPr="002B1FB2">
        <w:rPr>
          <w:rFonts w:eastAsia="Times New Roman"/>
        </w:rPr>
        <w:t>s conduct of the procedural steps leading to commissioning of the expert.</w:t>
      </w:r>
    </w:p>
    <w:p w:rsidRPr="002B1FB2" w:rsidR="00F048F3" w:rsidP="002B1FB2" w:rsidRDefault="00A4143B" w14:paraId="1B8109A1" w14:textId="01146639">
      <w:pPr>
        <w:pStyle w:val="JuPara"/>
        <w:rPr>
          <w:rFonts w:eastAsia="Times New Roman"/>
        </w:rPr>
      </w:pPr>
      <w:r w:rsidRPr="002B1FB2">
        <w:rPr>
          <w:rFonts w:eastAsia="Times New Roman"/>
        </w:rPr>
        <w:t>16</w:t>
      </w:r>
      <w:r w:rsidRPr="002B1FB2" w:rsidR="00F048F3">
        <w:rPr>
          <w:rFonts w:eastAsia="Times New Roman"/>
        </w:rPr>
        <w:t>.  Lastly, I must emphasise that in paragraph 74 the judgment also expresses the view that the domestic court “was expressly required” by the Act, but “failed”, to invite the expert “to state her relationship with the parties”, even though she was warned about the legal consequences of perjury. The majority refer to the provision of section 258 of the Act, in the part in which it reads:</w:t>
      </w:r>
    </w:p>
    <w:p w:rsidRPr="002B1FB2" w:rsidR="00F048F3" w:rsidP="002B1FB2" w:rsidRDefault="00F048F3" w14:paraId="405B2793" w14:textId="582BB9BD">
      <w:pPr>
        <w:ind w:firstLine="284"/>
        <w:jc w:val="both"/>
        <w:rPr>
          <w:rFonts w:ascii="Times New Roman" w:hAnsi="Times New Roman" w:eastAsia="Times New Roman" w:cs="Times New Roman"/>
        </w:rPr>
      </w:pPr>
      <w:r w:rsidRPr="002B1FB2">
        <w:rPr>
          <w:rFonts w:ascii="Times New Roman" w:hAnsi="Times New Roman" w:eastAsia="Times New Roman" w:cs="Times New Roman"/>
        </w:rPr>
        <w:t xml:space="preserve">“[The expert] </w:t>
      </w:r>
      <w:r w:rsidRPr="002B1FB2">
        <w:rPr>
          <w:rFonts w:ascii="Times New Roman" w:hAnsi="Times New Roman" w:eastAsia="Times New Roman" w:cs="Times New Roman"/>
          <w:i/>
          <w:iCs/>
        </w:rPr>
        <w:t>shall be cautioned regarding the consequences of perjury. After this, the expert shall be asked to give his or her name and surname, his or her father</w:t>
      </w:r>
      <w:r w:rsidRPr="002B1FB2" w:rsidR="002B1FB2">
        <w:rPr>
          <w:rFonts w:ascii="Times New Roman" w:hAnsi="Times New Roman" w:eastAsia="Times New Roman" w:cs="Times New Roman"/>
          <w:i/>
          <w:iCs/>
        </w:rPr>
        <w:t>’</w:t>
      </w:r>
      <w:r w:rsidRPr="002B1FB2">
        <w:rPr>
          <w:rFonts w:ascii="Times New Roman" w:hAnsi="Times New Roman" w:eastAsia="Times New Roman" w:cs="Times New Roman"/>
          <w:i/>
          <w:iCs/>
        </w:rPr>
        <w:t>s name, address, place of birth, age and relationship to the party</w:t>
      </w:r>
      <w:r w:rsidRPr="002B1FB2">
        <w:rPr>
          <w:rFonts w:ascii="Times New Roman" w:hAnsi="Times New Roman" w:eastAsia="Times New Roman" w:cs="Times New Roman"/>
        </w:rPr>
        <w:t>.”</w:t>
      </w:r>
    </w:p>
    <w:p w:rsidRPr="002B1FB2" w:rsidR="00F048F3" w:rsidP="002B1FB2" w:rsidRDefault="00A4143B" w14:paraId="040A1430" w14:textId="7FAAE3F2">
      <w:pPr>
        <w:pStyle w:val="JuPara"/>
        <w:rPr>
          <w:rFonts w:eastAsia="Times New Roman"/>
        </w:rPr>
      </w:pPr>
      <w:r w:rsidRPr="002B1FB2">
        <w:rPr>
          <w:rFonts w:eastAsia="Times New Roman"/>
        </w:rPr>
        <w:t>17</w:t>
      </w:r>
      <w:r w:rsidRPr="002B1FB2" w:rsidR="00F048F3">
        <w:rPr>
          <w:rFonts w:eastAsia="Times New Roman"/>
        </w:rPr>
        <w:t>.  Again, the above passage of the majority</w:t>
      </w:r>
      <w:r w:rsidRPr="002B1FB2" w:rsidR="002B1FB2">
        <w:rPr>
          <w:rFonts w:eastAsia="Times New Roman"/>
        </w:rPr>
        <w:t>’</w:t>
      </w:r>
      <w:r w:rsidRPr="002B1FB2" w:rsidR="00F048F3">
        <w:rPr>
          <w:rFonts w:eastAsia="Times New Roman"/>
        </w:rPr>
        <w:t>s reasoning appears obscure to me. In my view, whatever the domestic law may treat as perjury, omitting to state a relevant relationship may be relevant only if such a relevant relationship existed. Otherwise, courts</w:t>
      </w:r>
      <w:r w:rsidRPr="002B1FB2" w:rsidR="002B1FB2">
        <w:rPr>
          <w:rFonts w:eastAsia="Times New Roman"/>
        </w:rPr>
        <w:t>’</w:t>
      </w:r>
      <w:r w:rsidRPr="002B1FB2" w:rsidR="00F048F3">
        <w:rPr>
          <w:rFonts w:eastAsia="Times New Roman"/>
        </w:rPr>
        <w:t xml:space="preserve"> minutes are usually short and sparing. What is material to our case is that no relevant employment relationship existed, as the domestic court unambiguously explained.</w:t>
      </w:r>
    </w:p>
    <w:p w:rsidRPr="002B1FB2" w:rsidR="00F048F3" w:rsidP="002B1FB2" w:rsidRDefault="00A4143B" w14:paraId="11B52A7D" w14:textId="0E738F6D">
      <w:pPr>
        <w:pStyle w:val="JuPara"/>
        <w:rPr>
          <w:rFonts w:eastAsia="Times New Roman"/>
        </w:rPr>
      </w:pPr>
      <w:r w:rsidRPr="002B1FB2">
        <w:rPr>
          <w:rFonts w:eastAsia="Times New Roman"/>
        </w:rPr>
        <w:t>18</w:t>
      </w:r>
      <w:r w:rsidRPr="002B1FB2" w:rsidR="00F048F3">
        <w:rPr>
          <w:rFonts w:eastAsia="Times New Roman"/>
        </w:rPr>
        <w:t>.  To conclude, for the purposes of developing the Court</w:t>
      </w:r>
      <w:r w:rsidRPr="002B1FB2" w:rsidR="002B1FB2">
        <w:rPr>
          <w:rFonts w:eastAsia="Times New Roman"/>
        </w:rPr>
        <w:t>’</w:t>
      </w:r>
      <w:r w:rsidRPr="002B1FB2" w:rsidR="00F048F3">
        <w:rPr>
          <w:rFonts w:eastAsia="Times New Roman"/>
        </w:rPr>
        <w:t xml:space="preserve">s case-law on the procedural aspects of requesting the disqualification of court experts, the findings of the judgments have strong merit; however, some other, sometimes obscure, findings – although they should be considered as </w:t>
      </w:r>
      <w:r w:rsidRPr="002B1FB2" w:rsidR="00F048F3">
        <w:rPr>
          <w:rFonts w:eastAsia="Times New Roman"/>
          <w:i/>
          <w:iCs/>
        </w:rPr>
        <w:t>obiter dicta</w:t>
      </w:r>
      <w:r w:rsidRPr="002B1FB2" w:rsidR="00F048F3">
        <w:rPr>
          <w:rFonts w:eastAsia="Times New Roman"/>
        </w:rPr>
        <w:t xml:space="preserve"> - are unacceptable and need clarifications.</w:t>
      </w:r>
    </w:p>
    <w:p w:rsidRPr="002B1FB2" w:rsidR="000A538A" w:rsidP="002B1FB2" w:rsidRDefault="000A538A" w14:paraId="335A2ED0" w14:textId="5B751F96">
      <w:pPr>
        <w:pStyle w:val="JuList"/>
        <w:sectPr w:rsidRPr="002B1FB2" w:rsidR="000A538A" w:rsidSect="000A538A">
          <w:headerReference w:type="default" r:id="rId16"/>
          <w:footnotePr>
            <w:numRestart w:val="eachSect"/>
          </w:footnotePr>
          <w:pgSz w:w="11906" w:h="16838" w:code="9"/>
          <w:pgMar w:top="2274" w:right="2274" w:bottom="2274" w:left="2274" w:header="1701" w:footer="720" w:gutter="0"/>
          <w:cols w:space="720"/>
          <w:docGrid w:linePitch="326"/>
        </w:sectPr>
      </w:pPr>
    </w:p>
    <w:p w:rsidRPr="002B1FB2" w:rsidR="00F76534" w:rsidP="002B1FB2" w:rsidRDefault="00F048F3" w14:paraId="630A391E" w14:textId="77777777">
      <w:pPr>
        <w:pStyle w:val="DecHTitle"/>
      </w:pPr>
      <w:r w:rsidRPr="002B1FB2">
        <w:t>JOINT DISSENTING OPINION OF JUDGES TURKOVIĆ, PACZOLAY AND FELICI</w:t>
      </w:r>
    </w:p>
    <w:p w:rsidRPr="002B1FB2" w:rsidR="00F76534" w:rsidP="002B1FB2" w:rsidRDefault="00F048F3" w14:paraId="5B11CCC7" w14:textId="1FD58457">
      <w:pPr>
        <w:pStyle w:val="JuPara"/>
        <w:rPr>
          <w:rFonts w:eastAsia="Times New Roman"/>
          <w:lang w:val="en-US" w:eastAsia="en-GB"/>
        </w:rPr>
      </w:pPr>
      <w:r w:rsidRPr="002B1FB2">
        <w:fldChar w:fldCharType="begin"/>
      </w:r>
      <w:r w:rsidRPr="002B1FB2">
        <w:instrText xml:space="preserve"> SEQ level0 \*arabic \r1 </w:instrText>
      </w:r>
      <w:r w:rsidRPr="002B1FB2">
        <w:fldChar w:fldCharType="separate"/>
      </w:r>
      <w:r w:rsidRPr="002B1FB2" w:rsidR="002B1FB2">
        <w:rPr>
          <w:noProof/>
        </w:rPr>
        <w:t>1</w:t>
      </w:r>
      <w:r w:rsidRPr="002B1FB2">
        <w:fldChar w:fldCharType="end"/>
      </w:r>
      <w:r w:rsidRPr="002B1FB2">
        <w:t>.  We</w:t>
      </w:r>
      <w:r w:rsidRPr="002B1FB2">
        <w:rPr>
          <w:rFonts w:eastAsia="Times New Roman"/>
          <w:lang w:eastAsia="en-GB"/>
        </w:rPr>
        <w:t xml:space="preserve"> regret that we cannot share the majority</w:t>
      </w:r>
      <w:r w:rsidRPr="002B1FB2" w:rsidR="002B1FB2">
        <w:rPr>
          <w:rFonts w:eastAsia="Times New Roman"/>
          <w:lang w:eastAsia="en-GB"/>
        </w:rPr>
        <w:t>’</w:t>
      </w:r>
      <w:r w:rsidRPr="002B1FB2">
        <w:rPr>
          <w:rFonts w:eastAsia="Times New Roman"/>
          <w:lang w:eastAsia="en-GB"/>
        </w:rPr>
        <w:t xml:space="preserve">s view in the present case that </w:t>
      </w:r>
      <w:r w:rsidRPr="002B1FB2">
        <w:t>there</w:t>
      </w:r>
      <w:r w:rsidRPr="002B1FB2">
        <w:rPr>
          <w:rFonts w:eastAsia="Times New Roman"/>
          <w:lang w:eastAsia="en-GB"/>
        </w:rPr>
        <w:t xml:space="preserve"> has been no violation of Article 6 § 1 of the Convention</w:t>
      </w:r>
      <w:r w:rsidRPr="002B1FB2">
        <w:rPr>
          <w:rFonts w:eastAsia="Times New Roman"/>
          <w:lang w:val="en-US" w:eastAsia="en-GB"/>
        </w:rPr>
        <w:t>.</w:t>
      </w:r>
    </w:p>
    <w:p w:rsidRPr="002B1FB2" w:rsidR="00F76534" w:rsidP="002B1FB2" w:rsidRDefault="00F048F3" w14:paraId="290E423F" w14:textId="7F0E1CD5">
      <w:pPr>
        <w:pStyle w:val="JuPara"/>
      </w:pPr>
      <w:r w:rsidRPr="002B1FB2">
        <w:rPr>
          <w:lang w:val="en-US"/>
        </w:rPr>
        <w:fldChar w:fldCharType="begin"/>
      </w:r>
      <w:r w:rsidRPr="002B1FB2">
        <w:rPr>
          <w:lang w:val="en-US"/>
        </w:rPr>
        <w:instrText xml:space="preserve"> SEQ level0 \*arabic \* MERGEFORMAT </w:instrText>
      </w:r>
      <w:r w:rsidRPr="002B1FB2">
        <w:rPr>
          <w:lang w:val="en-US"/>
        </w:rPr>
        <w:fldChar w:fldCharType="separate"/>
      </w:r>
      <w:r w:rsidRPr="002B1FB2" w:rsidR="002B1FB2">
        <w:rPr>
          <w:noProof/>
          <w:lang w:val="en-US"/>
        </w:rPr>
        <w:t>2</w:t>
      </w:r>
      <w:r w:rsidRPr="002B1FB2">
        <w:rPr>
          <w:lang w:val="en-US"/>
        </w:rPr>
        <w:fldChar w:fldCharType="end"/>
      </w:r>
      <w:r w:rsidRPr="002B1FB2">
        <w:rPr>
          <w:lang w:val="en-US"/>
        </w:rPr>
        <w:t>.  We</w:t>
      </w:r>
      <w:r w:rsidRPr="002B1FB2">
        <w:t xml:space="preserve"> agree </w:t>
      </w:r>
      <w:r w:rsidRPr="002B1FB2">
        <w:rPr>
          <w:lang w:val="en-US"/>
        </w:rPr>
        <w:t xml:space="preserve">with the majority </w:t>
      </w:r>
      <w:r w:rsidRPr="002B1FB2">
        <w:t>that it can be said that the applicant, who was legally represented in the first-instance proceedings, failed to act with the necessary diligence concerning the person who had been appointed as an expert in his case, and failed to use his procedural rights in that regard. Indeed, the applicant did not enquire about V.B. or her possible relationship with the defendant company until the first-instance judgment of 5 March 2012 was rendered, by which time a total of six years had passed. However, he had ample opportunity to do so.</w:t>
      </w:r>
      <w:r w:rsidRPr="002B1FB2" w:rsidR="00F76534">
        <w:t xml:space="preserve"> </w:t>
      </w:r>
      <w:bookmarkStart w:name="_Hlk85488876" w:id="97"/>
      <w:r w:rsidRPr="002B1FB2">
        <w:t>Firstly, he was present at the hearing at which V.B. was appointed as an expert in his case (see paragraph 12 of the judgment) and was made aware of her report and questioned her at the hearing (see paragraph 17 of the judgment). Secondly, the first-instance judgment relying on V.B.</w:t>
      </w:r>
      <w:r w:rsidRPr="002B1FB2" w:rsidR="002B1FB2">
        <w:t>’</w:t>
      </w:r>
      <w:r w:rsidRPr="002B1FB2">
        <w:t>s findings was quashed several times by the second-instance court (see paragraphs 19-26 of the judgment). Lastly, in his appeal against the first-instance judgment adopted on 5 March 2012, in which he raised the issue for the first time, the applicant admitted that the information on V.B.</w:t>
      </w:r>
      <w:r w:rsidRPr="002B1FB2" w:rsidR="002B1FB2">
        <w:t>’</w:t>
      </w:r>
      <w:r w:rsidRPr="002B1FB2">
        <w:t>s connection with the defendant company had been publicly available (see paragraphs 28 and 78 of the judgment).</w:t>
      </w:r>
      <w:bookmarkEnd w:id="97"/>
    </w:p>
    <w:p w:rsidRPr="002B1FB2" w:rsidR="00F76534" w:rsidP="002B1FB2" w:rsidRDefault="00C75CA9" w14:paraId="417CED00" w14:textId="28C7E476">
      <w:pPr>
        <w:pStyle w:val="JuPara"/>
      </w:pPr>
      <w:fldSimple w:instr=" SEQ level0 \*arabic \* MERGEFORMAT ">
        <w:r w:rsidRPr="002B1FB2" w:rsidR="002B1FB2">
          <w:rPr>
            <w:noProof/>
          </w:rPr>
          <w:t>3</w:t>
        </w:r>
      </w:fldSimple>
      <w:r w:rsidRPr="002B1FB2" w:rsidR="00F048F3">
        <w:t>.  However, in our view the above considerations cannot be held against the applicant to the extent that he should suffer adverse consequences, in circumstances in which the expert witness was aware from the beginning of the serious conflict of interests she faced and failed to declare it.</w:t>
      </w:r>
    </w:p>
    <w:p w:rsidRPr="002B1FB2" w:rsidR="00F76534" w:rsidP="002B1FB2" w:rsidRDefault="00C75CA9" w14:paraId="529B1711" w14:textId="2F98B6A6">
      <w:pPr>
        <w:pStyle w:val="JuPara"/>
      </w:pPr>
      <w:fldSimple w:instr=" SEQ level0 \*arabic \* MERGEFORMAT ">
        <w:r w:rsidRPr="002B1FB2" w:rsidR="002B1FB2">
          <w:rPr>
            <w:noProof/>
          </w:rPr>
          <w:t>4</w:t>
        </w:r>
      </w:fldSimple>
      <w:r w:rsidRPr="002B1FB2" w:rsidR="00F048F3">
        <w:t>.  In the present case V.B. had been employed at one point as a medical examiner in the defendant company</w:t>
      </w:r>
      <w:r w:rsidRPr="002B1FB2" w:rsidR="002B1FB2">
        <w:t>’</w:t>
      </w:r>
      <w:r w:rsidRPr="002B1FB2" w:rsidR="00F048F3">
        <w:t>s directorate general and at the time of submitting her expert opinion in the applicant</w:t>
      </w:r>
      <w:r w:rsidRPr="002B1FB2" w:rsidR="002B1FB2">
        <w:t>’</w:t>
      </w:r>
      <w:r w:rsidRPr="002B1FB2" w:rsidR="00F048F3">
        <w:t>s case was the president of the management board of the defendant company</w:t>
      </w:r>
      <w:r w:rsidRPr="002B1FB2" w:rsidR="002B1FB2">
        <w:t>’</w:t>
      </w:r>
      <w:r w:rsidRPr="002B1FB2" w:rsidR="00F048F3">
        <w:t>s subsidiary (see paragraph 65 of the judgment). According to the law, being employed, permanently or temporarily, by a legal person which was a party to the proceedings disqualified an expert from participating in a case (see paragraphs 35-36 of the judgment). Thus V.B. had every reason to report this circumstance to the first-instance court, and in fact under the Code of Ethics of Court Experts was required to do so. Furthermore, since according to the law expert witnesses were to be treated in the same way as judges, she was obliged by law to report this fact (see paragraphs 36 and 46 of the judgment</w:t>
      </w:r>
      <w:proofErr w:type="gramStart"/>
      <w:r w:rsidRPr="002B1FB2" w:rsidR="00F048F3">
        <w:t>), but</w:t>
      </w:r>
      <w:proofErr w:type="gramEnd"/>
      <w:r w:rsidRPr="002B1FB2" w:rsidR="00F048F3">
        <w:t xml:space="preserve"> failed to do so.</w:t>
      </w:r>
    </w:p>
    <w:p w:rsidRPr="002B1FB2" w:rsidR="00F76534" w:rsidP="002B1FB2" w:rsidRDefault="00C75CA9" w14:paraId="3E587ED0" w14:textId="22F8A3DE">
      <w:pPr>
        <w:pStyle w:val="JuPara"/>
      </w:pPr>
      <w:fldSimple w:instr=" SEQ level0 \*arabic \* MERGEFORMAT ">
        <w:r w:rsidRPr="002B1FB2" w:rsidR="002B1FB2">
          <w:rPr>
            <w:noProof/>
          </w:rPr>
          <w:t>5</w:t>
        </w:r>
      </w:fldSimple>
      <w:r w:rsidRPr="002B1FB2" w:rsidR="00F048F3">
        <w:t xml:space="preserve">.  The court had every reason to disqualify her, but it did not do so because the applicant raised the issue only during the second-instance proceedings. For a judge this would be considered an absolute ground for automatic disqualification at any stage of the judicial proceedings (see paragraph 36 of the judgment). In our view expert witnesses should be treated in the same way as judges in circumstances where there is a serious conflict of interests, as in the present case, </w:t>
      </w:r>
      <w:proofErr w:type="gramStart"/>
      <w:r w:rsidRPr="002B1FB2" w:rsidR="00F048F3">
        <w:t>in order to</w:t>
      </w:r>
      <w:proofErr w:type="gramEnd"/>
      <w:r w:rsidRPr="002B1FB2" w:rsidR="00F048F3">
        <w:t xml:space="preserve"> preserve the integrity of judicial proceedings and public confidence, even if this means that the effectiveness of the judicial proceedings has to suffer to some degree.</w:t>
      </w:r>
    </w:p>
    <w:p w:rsidRPr="002B1FB2" w:rsidR="00F048F3" w:rsidP="002B1FB2" w:rsidRDefault="00C75CA9" w14:paraId="25A53B00" w14:textId="7588B910">
      <w:pPr>
        <w:pStyle w:val="JuPara"/>
      </w:pPr>
      <w:fldSimple w:instr=" SEQ level0 \*arabic \* MERGEFORMAT ">
        <w:r w:rsidRPr="002B1FB2" w:rsidR="002B1FB2">
          <w:rPr>
            <w:noProof/>
          </w:rPr>
          <w:t>6</w:t>
        </w:r>
      </w:fldSimple>
      <w:r w:rsidRPr="002B1FB2" w:rsidR="00F048F3">
        <w:t xml:space="preserve">.  We further note that under section 251 of the Civil Procedure Act, as in force at the time, the commissioning of an expert report was within the competence of the court conducting the proceedings (see paragraph 33 of the judgment). It does not appear from the minutes of the hearing at which the court appointed V.B. as an expert that the judge heard the applicant </w:t>
      </w:r>
      <w:proofErr w:type="gramStart"/>
      <w:r w:rsidRPr="002B1FB2" w:rsidR="00F048F3">
        <w:t>with regard to</w:t>
      </w:r>
      <w:proofErr w:type="gramEnd"/>
      <w:r w:rsidRPr="002B1FB2" w:rsidR="00F048F3">
        <w:t xml:space="preserve"> the choice of expert, </w:t>
      </w:r>
      <w:bookmarkStart w:name="_Hlk85481727" w:id="98"/>
      <w:r w:rsidRPr="002B1FB2" w:rsidR="00F048F3">
        <w:t>as stipulated by the relevant provision</w:t>
      </w:r>
      <w:bookmarkEnd w:id="98"/>
      <w:r w:rsidRPr="002B1FB2" w:rsidR="00F048F3">
        <w:t>, or gave him any say in that regard (see paragraphs 12 and 33 of the judgment). It appears that V.B. was the judge</w:t>
      </w:r>
      <w:r w:rsidRPr="002B1FB2" w:rsidR="002B1FB2">
        <w:t>’</w:t>
      </w:r>
      <w:r w:rsidRPr="002B1FB2" w:rsidR="00F048F3">
        <w:t>s choice and we find it understandable that the applicant had confidence in her neutrality.</w:t>
      </w:r>
    </w:p>
    <w:p w:rsidRPr="002B1FB2" w:rsidR="00F76534" w:rsidP="002B1FB2" w:rsidRDefault="00C75CA9" w14:paraId="4ECEAF47" w14:textId="18C89A7B">
      <w:pPr>
        <w:pStyle w:val="JuPara"/>
      </w:pPr>
      <w:fldSimple w:instr=" SEQ level0 \*arabic \* MERGEFORMAT ">
        <w:r w:rsidRPr="002B1FB2" w:rsidR="002B1FB2">
          <w:rPr>
            <w:noProof/>
          </w:rPr>
          <w:t>7</w:t>
        </w:r>
      </w:fldSimple>
      <w:r w:rsidRPr="002B1FB2" w:rsidR="00F048F3">
        <w:t>.  Further to this, even though at the hearing held on 5 February 2007 the judge warned expert V.B. about the legal consequences of perjury (section 258(1) of the Civil Procedure Act), he failed to invite her to state her relationship with the parties to the proceedings (see paragraph 17 of the judgment). We observe that this constituted information which under section 258(2) of the Civil Procedure Act the judge was expressly required to obtain from the expert (see paragraph 40 of the judgment).</w:t>
      </w:r>
    </w:p>
    <w:p w:rsidRPr="002B1FB2" w:rsidR="00F76534" w:rsidP="002B1FB2" w:rsidRDefault="00C75CA9" w14:paraId="77D866F8" w14:textId="21F4F231">
      <w:pPr>
        <w:pStyle w:val="JuPara"/>
      </w:pPr>
      <w:fldSimple w:instr=" SEQ level0 \*arabic \* MERGEFORMAT ">
        <w:r w:rsidRPr="002B1FB2" w:rsidR="002B1FB2">
          <w:rPr>
            <w:noProof/>
          </w:rPr>
          <w:t>8</w:t>
        </w:r>
      </w:fldSimple>
      <w:r w:rsidRPr="002B1FB2" w:rsidR="00F048F3">
        <w:t>.  Thus, the first-instance court failed to implement a rule aimed at eliminating possible causes for concern regarding the neutrality of experts participating in proceedings. In other words, it failed to afford an opportunity to the expert to expressly deny or disclose her relationship with the defendant company, which would have given the applicant the possibility of requesting her removal from the case on that basis.</w:t>
      </w:r>
    </w:p>
    <w:p w:rsidRPr="002B1FB2" w:rsidR="00F76534" w:rsidP="002B1FB2" w:rsidRDefault="00C75CA9" w14:paraId="6308E145" w14:textId="3525FD4F">
      <w:pPr>
        <w:pStyle w:val="JuPara"/>
      </w:pPr>
      <w:fldSimple w:instr=" SEQ level0 \*arabic \* MERGEFORMAT ">
        <w:r w:rsidRPr="002B1FB2" w:rsidR="002B1FB2">
          <w:rPr>
            <w:noProof/>
          </w:rPr>
          <w:t>9</w:t>
        </w:r>
      </w:fldSimple>
      <w:r w:rsidRPr="002B1FB2" w:rsidR="00F048F3">
        <w:t>.  Lastly, under section 251(4) of the Civil Procedure Act the first</w:t>
      </w:r>
      <w:r w:rsidRPr="002B1FB2" w:rsidR="00F048F3">
        <w:noBreakHyphen/>
        <w:t>instance court was always allowed to commission a report from another expert (see paragraph 33 of the judgment). We are therefore not entirely convinced by the Government</w:t>
      </w:r>
      <w:r w:rsidRPr="002B1FB2" w:rsidR="002B1FB2">
        <w:t>’</w:t>
      </w:r>
      <w:r w:rsidRPr="002B1FB2" w:rsidR="00F048F3">
        <w:t>s assertion that the judge was prevented from raising the issue of his own motion even if he discovered circumstances calling the expert</w:t>
      </w:r>
      <w:r w:rsidRPr="002B1FB2" w:rsidR="002B1FB2">
        <w:t>’</w:t>
      </w:r>
      <w:r w:rsidRPr="002B1FB2" w:rsidR="00F048F3">
        <w:t>s impartiality into doubt.</w:t>
      </w:r>
    </w:p>
    <w:p w:rsidRPr="002B1FB2" w:rsidR="00F76534" w:rsidP="002B1FB2" w:rsidRDefault="00C75CA9" w14:paraId="16EADFC1" w14:textId="26BF15D7">
      <w:pPr>
        <w:pStyle w:val="JuPara"/>
      </w:pPr>
      <w:fldSimple w:instr=" SEQ level0 \*arabic \* MERGEFORMAT ">
        <w:r w:rsidRPr="002B1FB2" w:rsidR="002B1FB2">
          <w:rPr>
            <w:noProof/>
          </w:rPr>
          <w:t>10</w:t>
        </w:r>
      </w:fldSimple>
      <w:r w:rsidRPr="002B1FB2" w:rsidR="00F048F3">
        <w:t>.  In the light of the above circumstances, we are of the view that the fact that V.B.</w:t>
      </w:r>
      <w:r w:rsidRPr="002B1FB2" w:rsidR="002B1FB2">
        <w:t>’</w:t>
      </w:r>
      <w:r w:rsidRPr="002B1FB2" w:rsidR="00F048F3">
        <w:t>s lack of neutrality was not raised during the first-instance proceedings cannot be mainly and objectively imputed to the applicant (see, conversely,</w:t>
      </w:r>
      <w:r w:rsidRPr="002B1FB2" w:rsidR="00F048F3">
        <w:rPr>
          <w:i/>
          <w:iCs/>
        </w:rPr>
        <w:t xml:space="preserve"> Zubac v. Croatia </w:t>
      </w:r>
      <w:r w:rsidRPr="002B1FB2" w:rsidR="00F048F3">
        <w:t>[GC], no. 40160/12, § 121, 5 April 2018).</w:t>
      </w:r>
    </w:p>
    <w:p w:rsidRPr="002B1FB2" w:rsidR="00F76534" w:rsidP="002B1FB2" w:rsidRDefault="00C75CA9" w14:paraId="6BA37B24" w14:textId="53BE89AC">
      <w:pPr>
        <w:pStyle w:val="JuPara"/>
      </w:pPr>
      <w:fldSimple w:instr=" SEQ level0 \*arabic \* MERGEFORMAT ">
        <w:r w:rsidRPr="002B1FB2" w:rsidR="002B1FB2">
          <w:rPr>
            <w:noProof/>
          </w:rPr>
          <w:t>11</w:t>
        </w:r>
      </w:fldSimple>
      <w:r w:rsidRPr="002B1FB2" w:rsidR="00F048F3">
        <w:t>.  We note that the reason advanced by the second-instance court for not examining the applicant</w:t>
      </w:r>
      <w:r w:rsidRPr="002B1FB2" w:rsidR="002B1FB2">
        <w:t>’</w:t>
      </w:r>
      <w:r w:rsidRPr="002B1FB2" w:rsidR="00F048F3">
        <w:t>s complaint was that under section 352(2) of the Civil Procedure Act a party could not present for the first time in an appeal an objection regarding an issue which the first-instance court was not competent to consider of its own motion (see paragraph 29 of the judgment).</w:t>
      </w:r>
    </w:p>
    <w:p w:rsidRPr="002B1FB2" w:rsidR="00F76534" w:rsidP="002B1FB2" w:rsidRDefault="00C75CA9" w14:paraId="20E9F9A4" w14:textId="58BC5A82">
      <w:pPr>
        <w:pStyle w:val="JuPara"/>
      </w:pPr>
      <w:fldSimple w:instr=" SEQ level0 \*arabic \* MERGEFORMAT ">
        <w:r w:rsidRPr="002B1FB2" w:rsidR="002B1FB2">
          <w:rPr>
            <w:noProof/>
          </w:rPr>
          <w:t>12</w:t>
        </w:r>
      </w:fldSimple>
      <w:r w:rsidRPr="002B1FB2" w:rsidR="00F048F3">
        <w:t>.  We observe that the second-instance court did not consider whether the applicant had been aware of V.B.</w:t>
      </w:r>
      <w:r w:rsidRPr="002B1FB2" w:rsidR="002B1FB2">
        <w:t>’</w:t>
      </w:r>
      <w:r w:rsidRPr="002B1FB2" w:rsidR="00F048F3">
        <w:t xml:space="preserve">s connection with the defendant company during the proceedings before the first-instance court and therefore whether he had had the possibility of submitting an objection at that time. Given that in his appeal the applicant submitted that he had learned about this circumstance only after the first-instance judgment had been delivered, it cannot be said that he tacitly agreed to the appointment of an expert whose impartiality was open to doubt (compare, </w:t>
      </w:r>
      <w:r w:rsidRPr="002B1FB2" w:rsidR="00F048F3">
        <w:rPr>
          <w:i/>
          <w:iCs/>
        </w:rPr>
        <w:t>mutatis mutandis</w:t>
      </w:r>
      <w:r w:rsidRPr="002B1FB2" w:rsidR="00F048F3">
        <w:t xml:space="preserve">, </w:t>
      </w:r>
      <w:r w:rsidRPr="002B1FB2" w:rsidR="00F048F3">
        <w:rPr>
          <w:i/>
          <w:iCs/>
        </w:rPr>
        <w:t xml:space="preserve">Beg </w:t>
      </w:r>
      <w:proofErr w:type="spellStart"/>
      <w:r w:rsidRPr="002B1FB2" w:rsidR="00F048F3">
        <w:rPr>
          <w:i/>
          <w:iCs/>
        </w:rPr>
        <w:t>S.p.a</w:t>
      </w:r>
      <w:proofErr w:type="spellEnd"/>
      <w:r w:rsidRPr="002B1FB2" w:rsidR="00F048F3">
        <w:rPr>
          <w:i/>
          <w:iCs/>
        </w:rPr>
        <w:t>. v. Italy</w:t>
      </w:r>
      <w:r w:rsidRPr="002B1FB2" w:rsidR="00F048F3">
        <w:t>, no. 5312/11, § 138, 20 May 2021).</w:t>
      </w:r>
    </w:p>
    <w:p w:rsidRPr="002B1FB2" w:rsidR="00F048F3" w:rsidP="002B1FB2" w:rsidRDefault="00C75CA9" w14:paraId="2C921A3E" w14:textId="3AAD7CAE">
      <w:pPr>
        <w:pStyle w:val="JuPara"/>
      </w:pPr>
      <w:fldSimple w:instr=" SEQ level0 \*arabic \* MERGEFORMAT ">
        <w:r w:rsidRPr="002B1FB2" w:rsidR="002B1FB2">
          <w:rPr>
            <w:noProof/>
          </w:rPr>
          <w:t>13</w:t>
        </w:r>
      </w:fldSimple>
      <w:r w:rsidRPr="002B1FB2" w:rsidR="00F048F3">
        <w:t>.  Furthermore, the second-instance court did not consider whether the first-instance</w:t>
      </w:r>
      <w:r w:rsidRPr="002B1FB2" w:rsidR="00F048F3">
        <w:rPr>
          <w:b/>
          <w:bCs/>
        </w:rPr>
        <w:t xml:space="preserve"> </w:t>
      </w:r>
      <w:r w:rsidRPr="002B1FB2" w:rsidR="00F048F3">
        <w:t>court had failed to apply the procedural rules regarding the commissioning of an expert report, such as its duty under section 258(2) of the Civil Procedure Act to invite the expert to state her relationship with the parties (see paragraph 40 of the judgment), and how that circumstance could have influenced the rendering of a lawful and just judgment (see section</w:t>
      </w:r>
      <w:r w:rsidRPr="002B1FB2" w:rsidR="009533D9">
        <w:rPr>
          <w:b/>
          <w:bCs/>
        </w:rPr>
        <w:t> </w:t>
      </w:r>
      <w:r w:rsidRPr="002B1FB2" w:rsidR="00F048F3">
        <w:t>354(1) of the Civil Procedure Act, cited in paragraph 44 of the judgment).</w:t>
      </w:r>
    </w:p>
    <w:p w:rsidRPr="002B1FB2" w:rsidR="000A538A" w:rsidP="002B1FB2" w:rsidRDefault="00C75CA9" w14:paraId="41049709" w14:textId="3E49D941">
      <w:pPr>
        <w:pStyle w:val="JuPara"/>
      </w:pPr>
      <w:fldSimple w:instr=" SEQ level0 \*arabic \* MERGEFORMAT ">
        <w:r w:rsidRPr="002B1FB2" w:rsidR="002B1FB2">
          <w:rPr>
            <w:noProof/>
          </w:rPr>
          <w:t>14</w:t>
        </w:r>
      </w:fldSimple>
      <w:r w:rsidRPr="002B1FB2" w:rsidR="00F048F3">
        <w:t>.  Accordingly, we are of the view that in a situation such as the one in the present case – where an important part of the applicant</w:t>
      </w:r>
      <w:r w:rsidRPr="002B1FB2" w:rsidR="002B1FB2">
        <w:t>’</w:t>
      </w:r>
      <w:r w:rsidRPr="002B1FB2" w:rsidR="00F048F3">
        <w:t>s claim was decided on the basis of the opinion of an expert who had a strong professional connection with the opposing party but who failed to disclose that connection on her own initiative and whom the court failed to invite to disclose it as required by the national rules, and the applicant learned of it only belatedly – the impossibility for the applicant to have his complaint concerning the expert</w:t>
      </w:r>
      <w:r w:rsidRPr="002B1FB2" w:rsidR="002B1FB2">
        <w:t>’</w:t>
      </w:r>
      <w:r w:rsidRPr="002B1FB2" w:rsidR="00F048F3">
        <w:t>s lack of neutrality examined by the domestic courts cannot be regarded as complying with the requirements of a fair hearing under Article 6 § 1 of the Convention.</w:t>
      </w:r>
    </w:p>
    <w:sectPr w:rsidRPr="002B1FB2" w:rsidR="000A538A" w:rsidSect="000A538A">
      <w:headerReference w:type="default" r:id="rId17"/>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C93655" w14:textId="77777777" w:rsidR="00D472C7" w:rsidRPr="00E67565" w:rsidRDefault="00D472C7" w:rsidP="0098410D">
      <w:r w:rsidRPr="00E67565">
        <w:separator/>
      </w:r>
    </w:p>
  </w:endnote>
  <w:endnote w:type="continuationSeparator" w:id="0">
    <w:p w14:paraId="1A7257FB" w14:textId="77777777" w:rsidR="00D472C7" w:rsidRPr="00E67565" w:rsidRDefault="00D472C7"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581091" w14:textId="6A7F7878" w:rsidR="00D472C7" w:rsidRPr="00150BFA" w:rsidRDefault="00D472C7" w:rsidP="00C62C38">
    <w:pPr>
      <w:jc w:val="center"/>
    </w:pPr>
  </w:p>
  <w:p w14:paraId="152E61B9" w14:textId="4C5FF5D4" w:rsidR="00D472C7" w:rsidRPr="00E67565" w:rsidRDefault="00D472C7" w:rsidP="00C62C38">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98FE84" w14:textId="4F87E7A9" w:rsidR="00D472C7" w:rsidRPr="00150BFA" w:rsidRDefault="00D472C7" w:rsidP="00C62C38">
    <w:pPr>
      <w:jc w:val="center"/>
    </w:pPr>
    <w:r>
      <w:rPr>
        <w:noProof/>
        <w:lang w:val="en-US" w:eastAsia="ja-JP"/>
      </w:rPr>
      <w:drawing>
        <wp:inline distT="0" distB="0" distL="0" distR="0" wp14:anchorId="1E0117DE" wp14:editId="2AFD5C44">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059A3B9" w14:textId="54C97485" w:rsidR="00D472C7" w:rsidRPr="00E67565" w:rsidRDefault="00D472C7"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5B557C" w14:textId="202D04B6" w:rsidR="00D472C7" w:rsidRDefault="00D472C7"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A98609" w14:textId="06CC00B8" w:rsidR="00D472C7" w:rsidRPr="000B7195" w:rsidRDefault="00D472C7" w:rsidP="007D3701">
    <w:pPr>
      <w:pStyle w:val="JuHeader"/>
    </w:pPr>
    <w:r>
      <w:fldChar w:fldCharType="begin"/>
    </w:r>
    <w:r>
      <w:instrText xml:space="preserve"> PAGE </w:instrText>
    </w:r>
    <w:r>
      <w:fldChar w:fldCharType="separate"/>
    </w:r>
    <w:r>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464943" w14:textId="77777777" w:rsidR="00D472C7" w:rsidRPr="00E67565" w:rsidRDefault="00D472C7" w:rsidP="0098410D">
      <w:r w:rsidRPr="00E67565">
        <w:separator/>
      </w:r>
    </w:p>
  </w:footnote>
  <w:footnote w:type="continuationSeparator" w:id="0">
    <w:p w14:paraId="7722DD73" w14:textId="77777777" w:rsidR="00D472C7" w:rsidRPr="00E67565" w:rsidRDefault="00D472C7" w:rsidP="0098410D">
      <w:r w:rsidRPr="00E6756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E535D1" w14:textId="373E423A" w:rsidR="00D472C7" w:rsidRPr="00A45145" w:rsidRDefault="00D472C7" w:rsidP="00C62C38">
    <w:pPr>
      <w:jc w:val="center"/>
    </w:pPr>
  </w:p>
  <w:p w14:paraId="4236A07F" w14:textId="2095658D" w:rsidR="00D472C7" w:rsidRPr="00E67565" w:rsidRDefault="00D472C7" w:rsidP="00C62C38">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39EA19" w14:textId="4DBFF3BC" w:rsidR="00D472C7" w:rsidRPr="00A45145" w:rsidRDefault="00D472C7" w:rsidP="00C62C38">
    <w:pPr>
      <w:jc w:val="center"/>
    </w:pPr>
    <w:r>
      <w:rPr>
        <w:noProof/>
        <w:lang w:val="en-US" w:eastAsia="ja-JP"/>
      </w:rPr>
      <w:drawing>
        <wp:inline distT="0" distB="0" distL="0" distR="0" wp14:anchorId="4FC6F4B1" wp14:editId="1EA60A96">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D8CF90D" w14:textId="62F0DFA0" w:rsidR="00D472C7" w:rsidRPr="00E67565" w:rsidRDefault="00D472C7"/>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C1BCCC" w14:textId="21DCAED8" w:rsidR="00D472C7" w:rsidRPr="004D0EC7" w:rsidRDefault="00D472C7" w:rsidP="004D0EC7">
    <w:pPr>
      <w:pStyle w:val="JuHeader"/>
    </w:pPr>
    <w:r>
      <w:t>TABAK v. CROATIA</w:t>
    </w:r>
    <w:r w:rsidRPr="004D0EC7">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51707C" w14:textId="636B5CF0" w:rsidR="00D472C7" w:rsidRPr="00882CD5" w:rsidRDefault="00D472C7" w:rsidP="007D3701">
    <w:pPr>
      <w:pStyle w:val="JuHeader"/>
    </w:pPr>
    <w:r>
      <w:t>TABAK v. CROATIA</w:t>
    </w:r>
    <w:r w:rsidRPr="00882CD5">
      <w:t xml:space="preserve">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D9C1EF" w14:textId="77777777" w:rsidR="00D472C7" w:rsidRPr="00882CD5" w:rsidRDefault="00D472C7" w:rsidP="000A538A">
    <w:pPr>
      <w:pStyle w:val="JuHeader"/>
      <w:tabs>
        <w:tab w:val="center" w:pos="3685"/>
        <w:tab w:val="right" w:pos="7370"/>
      </w:tabs>
    </w:pPr>
    <w:r>
      <w:t>TABAK v. CROATIA</w:t>
    </w:r>
    <w:r w:rsidRPr="00882CD5">
      <w:t xml:space="preserve"> JUDGMENT</w:t>
    </w:r>
    <w:r>
      <w:t xml:space="preserve"> – SEPARATE OPINIONS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98ACE2" w14:textId="77777777" w:rsidR="00D472C7" w:rsidRPr="00882CD5" w:rsidRDefault="00D472C7" w:rsidP="000A538A">
    <w:pPr>
      <w:pStyle w:val="JuHeader"/>
      <w:tabs>
        <w:tab w:val="center" w:pos="3685"/>
        <w:tab w:val="right" w:pos="7370"/>
      </w:tabs>
    </w:pPr>
    <w:r>
      <w:t>TABAK v. CROATIA</w:t>
    </w:r>
    <w:r w:rsidRPr="00882CD5">
      <w:t xml:space="preserve"> JUDGMENT</w:t>
    </w:r>
    <w:r>
      <w:t xml:space="preserve"> – SEPARATE OPINIONS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2"/>
  </w:num>
  <w:num w:numId="2">
    <w:abstractNumId w:val="16"/>
  </w:num>
  <w:num w:numId="3">
    <w:abstractNumId w:val="18"/>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3"/>
  </w:num>
  <w:num w:numId="7">
    <w:abstractNumId w:val="11"/>
  </w:num>
  <w:num w:numId="8">
    <w:abstractNumId w:val="10"/>
  </w:num>
  <w:num w:numId="9">
    <w:abstractNumId w:val="14"/>
  </w:num>
  <w:num w:numId="10">
    <w:abstractNumId w:val="12"/>
  </w:num>
  <w:num w:numId="11">
    <w:abstractNumId w:val="15"/>
  </w:num>
  <w:num w:numId="12">
    <w:abstractNumId w:val="17"/>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9"/>
  </w:num>
  <w:num w:numId="23">
    <w:abstractNumId w:val="9"/>
  </w:num>
  <w:num w:numId="24">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26625"/>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s>
  <w:rsids>
    <w:rsidRoot w:val="003252F1"/>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A538A"/>
    <w:rsid w:val="000B444F"/>
    <w:rsid w:val="000B686A"/>
    <w:rsid w:val="000B6923"/>
    <w:rsid w:val="000B7195"/>
    <w:rsid w:val="000C5F3C"/>
    <w:rsid w:val="000C6DCC"/>
    <w:rsid w:val="000D47AA"/>
    <w:rsid w:val="000D721F"/>
    <w:rsid w:val="000E069B"/>
    <w:rsid w:val="000E0E82"/>
    <w:rsid w:val="000E1DC5"/>
    <w:rsid w:val="000E223F"/>
    <w:rsid w:val="000E46B8"/>
    <w:rsid w:val="000E7D45"/>
    <w:rsid w:val="000F7851"/>
    <w:rsid w:val="000F7CEA"/>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C2D1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1FB2"/>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52F1"/>
    <w:rsid w:val="00326224"/>
    <w:rsid w:val="00337EE4"/>
    <w:rsid w:val="00340FFD"/>
    <w:rsid w:val="00345C41"/>
    <w:rsid w:val="003506B1"/>
    <w:rsid w:val="00355877"/>
    <w:rsid w:val="00356AC7"/>
    <w:rsid w:val="003609FA"/>
    <w:rsid w:val="00364BD6"/>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5F6D"/>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3516B"/>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96882"/>
    <w:rsid w:val="006A037C"/>
    <w:rsid w:val="006A0C84"/>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94042"/>
    <w:rsid w:val="008B02DC"/>
    <w:rsid w:val="008B092C"/>
    <w:rsid w:val="008B57CE"/>
    <w:rsid w:val="008C26DE"/>
    <w:rsid w:val="008D2225"/>
    <w:rsid w:val="008D4752"/>
    <w:rsid w:val="008D5A13"/>
    <w:rsid w:val="008E271C"/>
    <w:rsid w:val="008E3A08"/>
    <w:rsid w:val="008E418E"/>
    <w:rsid w:val="008E5697"/>
    <w:rsid w:val="008E5BC6"/>
    <w:rsid w:val="008E6217"/>
    <w:rsid w:val="008E6A25"/>
    <w:rsid w:val="008F2554"/>
    <w:rsid w:val="008F3AEC"/>
    <w:rsid w:val="008F4D80"/>
    <w:rsid w:val="008F5193"/>
    <w:rsid w:val="008F6B36"/>
    <w:rsid w:val="008F75E4"/>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33D9"/>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43B"/>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049D1"/>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D184D"/>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62C38"/>
    <w:rsid w:val="00C74810"/>
    <w:rsid w:val="00C75CA9"/>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CF5C7B"/>
    <w:rsid w:val="00D00ABB"/>
    <w:rsid w:val="00D02EEC"/>
    <w:rsid w:val="00D03551"/>
    <w:rsid w:val="00D06A63"/>
    <w:rsid w:val="00D07E0E"/>
    <w:rsid w:val="00D10CD6"/>
    <w:rsid w:val="00D11478"/>
    <w:rsid w:val="00D15ED0"/>
    <w:rsid w:val="00D164BF"/>
    <w:rsid w:val="00D17C7F"/>
    <w:rsid w:val="00D20CE2"/>
    <w:rsid w:val="00D21B3E"/>
    <w:rsid w:val="00D21FED"/>
    <w:rsid w:val="00D23048"/>
    <w:rsid w:val="00D24251"/>
    <w:rsid w:val="00D26E72"/>
    <w:rsid w:val="00D343E2"/>
    <w:rsid w:val="00D361A2"/>
    <w:rsid w:val="00D37272"/>
    <w:rsid w:val="00D44C2E"/>
    <w:rsid w:val="00D45414"/>
    <w:rsid w:val="00D472C7"/>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2B6F"/>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262D"/>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48F3"/>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46C84"/>
    <w:rsid w:val="00F56A6F"/>
    <w:rsid w:val="00F5709C"/>
    <w:rsid w:val="00F60B85"/>
    <w:rsid w:val="00F64EF1"/>
    <w:rsid w:val="00F651D3"/>
    <w:rsid w:val="00F72B14"/>
    <w:rsid w:val="00F7349B"/>
    <w:rsid w:val="00F76534"/>
    <w:rsid w:val="00F8765F"/>
    <w:rsid w:val="00F90767"/>
    <w:rsid w:val="00F9263C"/>
    <w:rsid w:val="00FA1637"/>
    <w:rsid w:val="00FA685B"/>
    <w:rsid w:val="00FB0C01"/>
    <w:rsid w:val="00FB5934"/>
    <w:rsid w:val="00FC18F2"/>
    <w:rsid w:val="00FC2A17"/>
    <w:rsid w:val="00FC38CF"/>
    <w:rsid w:val="00FC39E5"/>
    <w:rsid w:val="00FC3A78"/>
    <w:rsid w:val="00FD021A"/>
    <w:rsid w:val="00FD1005"/>
    <w:rsid w:val="00FD1F7F"/>
    <w:rsid w:val="00FD6C75"/>
    <w:rsid w:val="00FD7972"/>
    <w:rsid w:val="00FE0401"/>
    <w:rsid w:val="00FE71B3"/>
    <w:rsid w:val="00FF1C9E"/>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6625"/>
    <o:shapelayout v:ext="edit">
      <o:idmap v:ext="edit" data="1"/>
    </o:shapelayout>
  </w:shapeDefaults>
  <w:decimalSymbol w:val=","/>
  <w:listSeparator w:val=";"/>
  <w14:docId w14:val="280FA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8F75E4"/>
    <w:rPr>
      <w:sz w:val="24"/>
      <w:szCs w:val="24"/>
      <w:lang w:val="en-GB"/>
    </w:rPr>
  </w:style>
  <w:style w:type="paragraph" w:styleId="Heading1">
    <w:name w:val="heading 1"/>
    <w:basedOn w:val="Normal"/>
    <w:next w:val="Normal"/>
    <w:link w:val="Heading1Char"/>
    <w:uiPriority w:val="98"/>
    <w:semiHidden/>
    <w:rsid w:val="00894042"/>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894042"/>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894042"/>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894042"/>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894042"/>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894042"/>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894042"/>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894042"/>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894042"/>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894042"/>
    <w:rPr>
      <w:rFonts w:ascii="Tahoma" w:hAnsi="Tahoma" w:cs="Tahoma"/>
      <w:sz w:val="16"/>
      <w:szCs w:val="16"/>
    </w:rPr>
  </w:style>
  <w:style w:type="character" w:customStyle="1" w:styleId="BalloonTextChar">
    <w:name w:val="Balloon Text Char"/>
    <w:basedOn w:val="DefaultParagraphFont"/>
    <w:link w:val="BalloonText"/>
    <w:uiPriority w:val="98"/>
    <w:semiHidden/>
    <w:rsid w:val="00894042"/>
    <w:rPr>
      <w:rFonts w:ascii="Tahoma" w:hAnsi="Tahoma" w:cs="Tahoma"/>
      <w:sz w:val="16"/>
      <w:szCs w:val="16"/>
      <w:lang w:val="en-GB"/>
    </w:rPr>
  </w:style>
  <w:style w:type="character" w:styleId="BookTitle">
    <w:name w:val="Book Title"/>
    <w:uiPriority w:val="98"/>
    <w:semiHidden/>
    <w:qFormat/>
    <w:rsid w:val="00894042"/>
    <w:rPr>
      <w:i/>
      <w:iCs/>
      <w:smallCaps/>
      <w:spacing w:val="5"/>
    </w:rPr>
  </w:style>
  <w:style w:type="paragraph" w:customStyle="1" w:styleId="JuHeader">
    <w:name w:val="Ju_Header"/>
    <w:aliases w:val="_Header"/>
    <w:basedOn w:val="Header"/>
    <w:uiPriority w:val="29"/>
    <w:qFormat/>
    <w:rsid w:val="00894042"/>
    <w:pPr>
      <w:tabs>
        <w:tab w:val="clear" w:pos="4536"/>
        <w:tab w:val="clear" w:pos="9072"/>
      </w:tabs>
      <w:jc w:val="center"/>
    </w:pPr>
    <w:rPr>
      <w:sz w:val="18"/>
    </w:rPr>
  </w:style>
  <w:style w:type="paragraph" w:customStyle="1" w:styleId="NormalJustified">
    <w:name w:val="Normal_Justified"/>
    <w:basedOn w:val="Normal"/>
    <w:semiHidden/>
    <w:rsid w:val="00894042"/>
    <w:pPr>
      <w:jc w:val="both"/>
    </w:pPr>
  </w:style>
  <w:style w:type="character" w:styleId="Strong">
    <w:name w:val="Strong"/>
    <w:uiPriority w:val="98"/>
    <w:semiHidden/>
    <w:qFormat/>
    <w:rsid w:val="00894042"/>
    <w:rPr>
      <w:b/>
      <w:bCs/>
    </w:rPr>
  </w:style>
  <w:style w:type="paragraph" w:styleId="NoSpacing">
    <w:name w:val="No Spacing"/>
    <w:basedOn w:val="Normal"/>
    <w:link w:val="NoSpacingChar"/>
    <w:uiPriority w:val="98"/>
    <w:semiHidden/>
    <w:qFormat/>
    <w:rsid w:val="00894042"/>
  </w:style>
  <w:style w:type="character" w:customStyle="1" w:styleId="NoSpacingChar">
    <w:name w:val="No Spacing Char"/>
    <w:basedOn w:val="DefaultParagraphFont"/>
    <w:link w:val="NoSpacing"/>
    <w:uiPriority w:val="98"/>
    <w:semiHidden/>
    <w:rsid w:val="00894042"/>
    <w:rPr>
      <w:sz w:val="24"/>
      <w:szCs w:val="24"/>
      <w:lang w:val="en-GB"/>
    </w:rPr>
  </w:style>
  <w:style w:type="paragraph" w:customStyle="1" w:styleId="JuQuot">
    <w:name w:val="Ju_Quot"/>
    <w:aliases w:val="_Quote"/>
    <w:basedOn w:val="NormalJustified"/>
    <w:uiPriority w:val="20"/>
    <w:qFormat/>
    <w:rsid w:val="00894042"/>
    <w:pPr>
      <w:spacing w:before="120" w:after="120"/>
      <w:ind w:left="425" w:firstLine="142"/>
    </w:pPr>
    <w:rPr>
      <w:sz w:val="20"/>
    </w:rPr>
  </w:style>
  <w:style w:type="paragraph" w:customStyle="1" w:styleId="DummyStyle">
    <w:name w:val="Dummy_Style"/>
    <w:aliases w:val="_Dummy"/>
    <w:basedOn w:val="Normal"/>
    <w:semiHidden/>
    <w:qFormat/>
    <w:rsid w:val="00894042"/>
    <w:rPr>
      <w:color w:val="00B050"/>
      <w:sz w:val="22"/>
    </w:rPr>
  </w:style>
  <w:style w:type="paragraph" w:customStyle="1" w:styleId="JuList">
    <w:name w:val="Ju_List"/>
    <w:aliases w:val="_List_1"/>
    <w:basedOn w:val="NormalJustified"/>
    <w:uiPriority w:val="23"/>
    <w:qFormat/>
    <w:rsid w:val="00894042"/>
    <w:pPr>
      <w:numPr>
        <w:numId w:val="10"/>
      </w:numPr>
      <w:spacing w:before="280" w:after="60"/>
    </w:pPr>
  </w:style>
  <w:style w:type="paragraph" w:customStyle="1" w:styleId="JuLista">
    <w:name w:val="Ju_List_a"/>
    <w:aliases w:val="_List_2"/>
    <w:basedOn w:val="NormalJustified"/>
    <w:uiPriority w:val="23"/>
    <w:rsid w:val="00894042"/>
    <w:pPr>
      <w:numPr>
        <w:ilvl w:val="1"/>
        <w:numId w:val="10"/>
      </w:numPr>
    </w:pPr>
  </w:style>
  <w:style w:type="paragraph" w:customStyle="1" w:styleId="JuListi">
    <w:name w:val="Ju_List_i"/>
    <w:aliases w:val="_List_3"/>
    <w:basedOn w:val="NormalJustified"/>
    <w:uiPriority w:val="23"/>
    <w:rsid w:val="00894042"/>
    <w:pPr>
      <w:numPr>
        <w:ilvl w:val="2"/>
        <w:numId w:val="10"/>
      </w:numPr>
    </w:pPr>
  </w:style>
  <w:style w:type="paragraph" w:customStyle="1" w:styleId="JuHArticle">
    <w:name w:val="Ju_H_Article"/>
    <w:aliases w:val="_Title_Quote"/>
    <w:basedOn w:val="Normal"/>
    <w:next w:val="JuQuot"/>
    <w:uiPriority w:val="19"/>
    <w:qFormat/>
    <w:rsid w:val="00894042"/>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894042"/>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894042"/>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894042"/>
    <w:pPr>
      <w:keepNext/>
      <w:keepLines/>
      <w:numPr>
        <w:numId w:val="5"/>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894042"/>
    <w:pPr>
      <w:numPr>
        <w:numId w:val="9"/>
      </w:numPr>
    </w:pPr>
  </w:style>
  <w:style w:type="paragraph" w:customStyle="1" w:styleId="JuSigned">
    <w:name w:val="Ju_Signed"/>
    <w:aliases w:val="_Signature"/>
    <w:basedOn w:val="Normal"/>
    <w:next w:val="JuPara"/>
    <w:uiPriority w:val="31"/>
    <w:qFormat/>
    <w:rsid w:val="00894042"/>
    <w:pPr>
      <w:tabs>
        <w:tab w:val="center" w:pos="1418"/>
        <w:tab w:val="center" w:pos="5954"/>
      </w:tabs>
      <w:spacing w:before="720"/>
    </w:pPr>
  </w:style>
  <w:style w:type="paragraph" w:styleId="Title">
    <w:name w:val="Title"/>
    <w:basedOn w:val="Normal"/>
    <w:next w:val="Normal"/>
    <w:link w:val="TitleChar"/>
    <w:uiPriority w:val="98"/>
    <w:semiHidden/>
    <w:qFormat/>
    <w:rsid w:val="0089404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894042"/>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894042"/>
    <w:pPr>
      <w:numPr>
        <w:numId w:val="1"/>
      </w:numPr>
    </w:pPr>
  </w:style>
  <w:style w:type="numbering" w:customStyle="1" w:styleId="ECHRA1StyleNumberedList">
    <w:name w:val="ECHR_A1_Style_Numbered_List"/>
    <w:basedOn w:val="NoList"/>
    <w:rsid w:val="00894042"/>
    <w:pPr>
      <w:numPr>
        <w:numId w:val="11"/>
      </w:numPr>
    </w:pPr>
  </w:style>
  <w:style w:type="table" w:customStyle="1" w:styleId="ECHRTable2019">
    <w:name w:val="ECHR_Table_2019"/>
    <w:basedOn w:val="TableNormal"/>
    <w:uiPriority w:val="99"/>
    <w:rsid w:val="0089404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894042"/>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894042"/>
    <w:pPr>
      <w:keepNext/>
      <w:keepLines/>
      <w:numPr>
        <w:ilvl w:val="1"/>
        <w:numId w:val="5"/>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894042"/>
    <w:pPr>
      <w:keepNext/>
      <w:keepLines/>
      <w:numPr>
        <w:ilvl w:val="2"/>
        <w:numId w:val="5"/>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894042"/>
    <w:pPr>
      <w:keepNext/>
      <w:keepLines/>
      <w:numPr>
        <w:ilvl w:val="3"/>
        <w:numId w:val="5"/>
      </w:numPr>
      <w:spacing w:before="100" w:beforeAutospacing="1" w:after="120"/>
      <w:jc w:val="both"/>
    </w:pPr>
    <w:rPr>
      <w:b w:val="0"/>
      <w:color w:val="auto"/>
      <w:sz w:val="24"/>
    </w:rPr>
  </w:style>
  <w:style w:type="paragraph" w:styleId="Header">
    <w:name w:val="header"/>
    <w:basedOn w:val="Normal"/>
    <w:link w:val="HeaderChar"/>
    <w:uiPriority w:val="98"/>
    <w:semiHidden/>
    <w:rsid w:val="00894042"/>
    <w:pPr>
      <w:tabs>
        <w:tab w:val="center" w:pos="4536"/>
        <w:tab w:val="right" w:pos="9072"/>
      </w:tabs>
    </w:pPr>
  </w:style>
  <w:style w:type="character" w:customStyle="1" w:styleId="HeaderChar">
    <w:name w:val="Header Char"/>
    <w:basedOn w:val="DefaultParagraphFont"/>
    <w:link w:val="Header"/>
    <w:uiPriority w:val="98"/>
    <w:semiHidden/>
    <w:rsid w:val="00894042"/>
    <w:rPr>
      <w:sz w:val="24"/>
      <w:szCs w:val="24"/>
      <w:lang w:val="en-GB"/>
    </w:rPr>
  </w:style>
  <w:style w:type="character" w:customStyle="1" w:styleId="Heading1Char">
    <w:name w:val="Heading 1 Char"/>
    <w:basedOn w:val="DefaultParagraphFont"/>
    <w:link w:val="Heading1"/>
    <w:uiPriority w:val="98"/>
    <w:semiHidden/>
    <w:rsid w:val="00894042"/>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894042"/>
    <w:pPr>
      <w:keepNext/>
      <w:keepLines/>
      <w:numPr>
        <w:ilvl w:val="4"/>
        <w:numId w:val="5"/>
      </w:numPr>
      <w:spacing w:before="100" w:beforeAutospacing="1" w:after="120"/>
      <w:jc w:val="both"/>
    </w:pPr>
    <w:rPr>
      <w:color w:val="auto"/>
      <w:sz w:val="20"/>
    </w:rPr>
  </w:style>
  <w:style w:type="paragraph" w:customStyle="1" w:styleId="JuHi">
    <w:name w:val="Ju_H_i"/>
    <w:aliases w:val="_Head_6"/>
    <w:basedOn w:val="Heading6"/>
    <w:next w:val="JuPara"/>
    <w:uiPriority w:val="17"/>
    <w:rsid w:val="00894042"/>
    <w:pPr>
      <w:keepNext/>
      <w:keepLines/>
      <w:numPr>
        <w:ilvl w:val="5"/>
        <w:numId w:val="5"/>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894042"/>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894042"/>
    <w:pPr>
      <w:keepNext/>
      <w:keepLines/>
      <w:numPr>
        <w:ilvl w:val="6"/>
        <w:numId w:val="5"/>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894042"/>
    <w:pPr>
      <w:keepNext/>
      <w:keepLines/>
      <w:numPr>
        <w:ilvl w:val="7"/>
        <w:numId w:val="5"/>
      </w:numPr>
      <w:spacing w:before="100" w:beforeAutospacing="1" w:after="120"/>
      <w:jc w:val="both"/>
    </w:pPr>
    <w:rPr>
      <w:i/>
    </w:rPr>
  </w:style>
  <w:style w:type="character" w:customStyle="1" w:styleId="Heading3Char">
    <w:name w:val="Heading 3 Char"/>
    <w:basedOn w:val="DefaultParagraphFont"/>
    <w:link w:val="Heading3"/>
    <w:uiPriority w:val="98"/>
    <w:semiHidden/>
    <w:rsid w:val="00894042"/>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894042"/>
    <w:pPr>
      <w:keepNext/>
      <w:keepLines/>
      <w:spacing w:before="240" w:after="240"/>
      <w:ind w:firstLine="284"/>
    </w:pPr>
  </w:style>
  <w:style w:type="paragraph" w:customStyle="1" w:styleId="JuJudges">
    <w:name w:val="Ju_Judges"/>
    <w:aliases w:val="_Judges"/>
    <w:basedOn w:val="Normal"/>
    <w:uiPriority w:val="32"/>
    <w:qFormat/>
    <w:rsid w:val="00894042"/>
    <w:pPr>
      <w:tabs>
        <w:tab w:val="left" w:pos="567"/>
        <w:tab w:val="left" w:pos="1134"/>
      </w:tabs>
    </w:pPr>
  </w:style>
  <w:style w:type="character" w:customStyle="1" w:styleId="Heading4Char">
    <w:name w:val="Heading 4 Char"/>
    <w:basedOn w:val="DefaultParagraphFont"/>
    <w:link w:val="Heading4"/>
    <w:uiPriority w:val="98"/>
    <w:semiHidden/>
    <w:rsid w:val="00894042"/>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894042"/>
    <w:pPr>
      <w:tabs>
        <w:tab w:val="center" w:pos="6407"/>
      </w:tabs>
      <w:spacing w:before="720"/>
      <w:jc w:val="right"/>
    </w:pPr>
  </w:style>
  <w:style w:type="character" w:customStyle="1" w:styleId="Heading5Char">
    <w:name w:val="Heading 5 Char"/>
    <w:basedOn w:val="DefaultParagraphFont"/>
    <w:link w:val="Heading5"/>
    <w:uiPriority w:val="98"/>
    <w:semiHidden/>
    <w:rsid w:val="00894042"/>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894042"/>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894042"/>
    <w:rPr>
      <w:caps w:val="0"/>
      <w:smallCaps/>
    </w:rPr>
  </w:style>
  <w:style w:type="character" w:styleId="SubtleEmphasis">
    <w:name w:val="Subtle Emphasis"/>
    <w:uiPriority w:val="98"/>
    <w:semiHidden/>
    <w:qFormat/>
    <w:rsid w:val="00894042"/>
    <w:rPr>
      <w:i/>
      <w:iCs/>
    </w:rPr>
  </w:style>
  <w:style w:type="table" w:customStyle="1" w:styleId="ECHRTable">
    <w:name w:val="ECHR_Table"/>
    <w:basedOn w:val="TableNormal"/>
    <w:rsid w:val="00894042"/>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894042"/>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894042"/>
    <w:rPr>
      <w:b/>
      <w:bCs/>
      <w:i/>
      <w:iCs/>
      <w:spacing w:val="10"/>
      <w:bdr w:val="none" w:sz="0" w:space="0" w:color="auto"/>
      <w:shd w:val="clear" w:color="auto" w:fill="auto"/>
    </w:rPr>
  </w:style>
  <w:style w:type="paragraph" w:styleId="Footer0">
    <w:name w:val="footer"/>
    <w:basedOn w:val="Normal"/>
    <w:link w:val="FooterChar"/>
    <w:uiPriority w:val="98"/>
    <w:semiHidden/>
    <w:rsid w:val="00894042"/>
    <w:pPr>
      <w:tabs>
        <w:tab w:val="center" w:pos="3686"/>
        <w:tab w:val="right" w:pos="7371"/>
      </w:tabs>
    </w:pPr>
  </w:style>
  <w:style w:type="character" w:customStyle="1" w:styleId="FooterChar">
    <w:name w:val="Footer Char"/>
    <w:basedOn w:val="DefaultParagraphFont"/>
    <w:link w:val="Footer0"/>
    <w:uiPriority w:val="98"/>
    <w:semiHidden/>
    <w:rsid w:val="00894042"/>
    <w:rPr>
      <w:sz w:val="24"/>
      <w:szCs w:val="24"/>
      <w:lang w:val="en-GB"/>
    </w:rPr>
  </w:style>
  <w:style w:type="character" w:styleId="FootnoteReference">
    <w:name w:val="footnote reference"/>
    <w:basedOn w:val="DefaultParagraphFont"/>
    <w:uiPriority w:val="98"/>
    <w:semiHidden/>
    <w:rsid w:val="00894042"/>
    <w:rPr>
      <w:vertAlign w:val="superscript"/>
    </w:rPr>
  </w:style>
  <w:style w:type="paragraph" w:styleId="FootnoteText">
    <w:name w:val="footnote text"/>
    <w:basedOn w:val="Normal"/>
    <w:link w:val="FootnoteTextChar"/>
    <w:uiPriority w:val="98"/>
    <w:semiHidden/>
    <w:rsid w:val="00894042"/>
    <w:rPr>
      <w:sz w:val="20"/>
      <w:szCs w:val="20"/>
    </w:rPr>
  </w:style>
  <w:style w:type="character" w:customStyle="1" w:styleId="FootnoteTextChar">
    <w:name w:val="Footnote Text Char"/>
    <w:basedOn w:val="DefaultParagraphFont"/>
    <w:link w:val="FootnoteText"/>
    <w:uiPriority w:val="98"/>
    <w:semiHidden/>
    <w:rsid w:val="00894042"/>
    <w:rPr>
      <w:sz w:val="20"/>
      <w:szCs w:val="20"/>
      <w:lang w:val="en-GB"/>
    </w:rPr>
  </w:style>
  <w:style w:type="character" w:customStyle="1" w:styleId="Heading6Char">
    <w:name w:val="Heading 6 Char"/>
    <w:basedOn w:val="DefaultParagraphFont"/>
    <w:link w:val="Heading6"/>
    <w:uiPriority w:val="98"/>
    <w:semiHidden/>
    <w:rsid w:val="00894042"/>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894042"/>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894042"/>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894042"/>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894042"/>
    <w:rPr>
      <w:color w:val="0072BC" w:themeColor="hyperlink"/>
      <w:u w:val="single"/>
    </w:rPr>
  </w:style>
  <w:style w:type="character" w:styleId="IntenseEmphasis">
    <w:name w:val="Intense Emphasis"/>
    <w:uiPriority w:val="98"/>
    <w:semiHidden/>
    <w:qFormat/>
    <w:rsid w:val="00894042"/>
    <w:rPr>
      <w:b/>
      <w:bCs/>
    </w:rPr>
  </w:style>
  <w:style w:type="paragraph" w:styleId="IntenseQuote">
    <w:name w:val="Intense Quote"/>
    <w:basedOn w:val="Normal"/>
    <w:next w:val="Normal"/>
    <w:link w:val="IntenseQuoteChar"/>
    <w:uiPriority w:val="98"/>
    <w:semiHidden/>
    <w:qFormat/>
    <w:rsid w:val="00894042"/>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894042"/>
    <w:rPr>
      <w:b/>
      <w:bCs/>
      <w:i/>
      <w:iCs/>
      <w:sz w:val="24"/>
      <w:szCs w:val="24"/>
      <w:lang w:val="en-GB" w:bidi="en-US"/>
    </w:rPr>
  </w:style>
  <w:style w:type="character" w:styleId="IntenseReference">
    <w:name w:val="Intense Reference"/>
    <w:uiPriority w:val="98"/>
    <w:semiHidden/>
    <w:qFormat/>
    <w:rsid w:val="00894042"/>
    <w:rPr>
      <w:smallCaps/>
      <w:spacing w:val="5"/>
      <w:u w:val="single"/>
    </w:rPr>
  </w:style>
  <w:style w:type="paragraph" w:styleId="ListParagraph">
    <w:name w:val="List Paragraph"/>
    <w:basedOn w:val="Normal"/>
    <w:uiPriority w:val="98"/>
    <w:semiHidden/>
    <w:qFormat/>
    <w:rsid w:val="00894042"/>
    <w:pPr>
      <w:ind w:left="720"/>
      <w:contextualSpacing/>
    </w:pPr>
  </w:style>
  <w:style w:type="table" w:customStyle="1" w:styleId="LtrTableAddress">
    <w:name w:val="Ltr_Table_Address"/>
    <w:aliases w:val="ECHR_Ltr_Table_Address"/>
    <w:basedOn w:val="TableNormal"/>
    <w:uiPriority w:val="99"/>
    <w:rsid w:val="00894042"/>
    <w:rPr>
      <w:sz w:val="24"/>
      <w:szCs w:val="24"/>
    </w:rPr>
    <w:tblPr>
      <w:tblInd w:w="5103" w:type="dxa"/>
    </w:tblPr>
  </w:style>
  <w:style w:type="paragraph" w:styleId="Quote">
    <w:name w:val="Quote"/>
    <w:basedOn w:val="Normal"/>
    <w:next w:val="Normal"/>
    <w:link w:val="QuoteChar"/>
    <w:uiPriority w:val="98"/>
    <w:semiHidden/>
    <w:qFormat/>
    <w:rsid w:val="00894042"/>
    <w:pPr>
      <w:spacing w:before="200"/>
      <w:ind w:left="360" w:right="360"/>
    </w:pPr>
    <w:rPr>
      <w:i/>
      <w:iCs/>
      <w:lang w:bidi="en-US"/>
    </w:rPr>
  </w:style>
  <w:style w:type="character" w:customStyle="1" w:styleId="QuoteChar">
    <w:name w:val="Quote Char"/>
    <w:basedOn w:val="DefaultParagraphFont"/>
    <w:link w:val="Quote"/>
    <w:uiPriority w:val="98"/>
    <w:semiHidden/>
    <w:rsid w:val="00894042"/>
    <w:rPr>
      <w:i/>
      <w:iCs/>
      <w:sz w:val="24"/>
      <w:szCs w:val="24"/>
      <w:lang w:val="en-GB" w:bidi="en-US"/>
    </w:rPr>
  </w:style>
  <w:style w:type="character" w:styleId="SubtleReference">
    <w:name w:val="Subtle Reference"/>
    <w:uiPriority w:val="98"/>
    <w:semiHidden/>
    <w:qFormat/>
    <w:rsid w:val="00894042"/>
    <w:rPr>
      <w:smallCaps/>
    </w:rPr>
  </w:style>
  <w:style w:type="table" w:styleId="TableGrid">
    <w:name w:val="Table Grid"/>
    <w:basedOn w:val="TableNormal"/>
    <w:uiPriority w:val="59"/>
    <w:semiHidden/>
    <w:rsid w:val="00894042"/>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894042"/>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894042"/>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894042"/>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894042"/>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894042"/>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894042"/>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894042"/>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894042"/>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894042"/>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4042"/>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894042"/>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894042"/>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894042"/>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894042"/>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894042"/>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894042"/>
    <w:pPr>
      <w:numPr>
        <w:numId w:val="6"/>
      </w:numPr>
    </w:pPr>
  </w:style>
  <w:style w:type="paragraph" w:customStyle="1" w:styleId="JuPara">
    <w:name w:val="Ju_Para"/>
    <w:aliases w:val="_Para,ECHR_Para"/>
    <w:basedOn w:val="NormalJustified"/>
    <w:link w:val="JuParaChar"/>
    <w:uiPriority w:val="4"/>
    <w:qFormat/>
    <w:rsid w:val="00894042"/>
    <w:pPr>
      <w:ind w:firstLine="284"/>
    </w:pPr>
  </w:style>
  <w:style w:type="numbering" w:styleId="1ai">
    <w:name w:val="Outline List 1"/>
    <w:basedOn w:val="NoList"/>
    <w:uiPriority w:val="99"/>
    <w:semiHidden/>
    <w:unhideWhenUsed/>
    <w:rsid w:val="00894042"/>
    <w:pPr>
      <w:numPr>
        <w:numId w:val="7"/>
      </w:numPr>
    </w:pPr>
  </w:style>
  <w:style w:type="table" w:customStyle="1" w:styleId="ECHRTableSimpleBox">
    <w:name w:val="ECHR_Table_Simple_Box"/>
    <w:basedOn w:val="TableNormal"/>
    <w:uiPriority w:val="99"/>
    <w:rsid w:val="00894042"/>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894042"/>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894042"/>
    <w:pPr>
      <w:numPr>
        <w:numId w:val="8"/>
      </w:numPr>
    </w:pPr>
  </w:style>
  <w:style w:type="table" w:customStyle="1" w:styleId="ECHRTableForInternalUse">
    <w:name w:val="ECHR_Table_For_Internal_Use"/>
    <w:basedOn w:val="TableNormal"/>
    <w:uiPriority w:val="99"/>
    <w:rsid w:val="00894042"/>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894042"/>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894042"/>
  </w:style>
  <w:style w:type="paragraph" w:styleId="BlockText">
    <w:name w:val="Block Text"/>
    <w:basedOn w:val="Normal"/>
    <w:uiPriority w:val="98"/>
    <w:semiHidden/>
    <w:rsid w:val="0089404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894042"/>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894042"/>
    <w:pPr>
      <w:spacing w:after="120"/>
    </w:pPr>
  </w:style>
  <w:style w:type="character" w:customStyle="1" w:styleId="BodyTextChar">
    <w:name w:val="Body Text Char"/>
    <w:basedOn w:val="DefaultParagraphFont"/>
    <w:link w:val="BodyText"/>
    <w:uiPriority w:val="98"/>
    <w:semiHidden/>
    <w:rsid w:val="00894042"/>
    <w:rPr>
      <w:sz w:val="24"/>
      <w:szCs w:val="24"/>
      <w:lang w:val="en-GB"/>
    </w:rPr>
  </w:style>
  <w:style w:type="table" w:customStyle="1" w:styleId="ECHRTableOddBanded">
    <w:name w:val="ECHR_Table_Odd_Banded"/>
    <w:basedOn w:val="TableNormal"/>
    <w:uiPriority w:val="99"/>
    <w:rsid w:val="00894042"/>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894042"/>
    <w:pPr>
      <w:spacing w:after="120" w:line="480" w:lineRule="auto"/>
    </w:pPr>
  </w:style>
  <w:style w:type="table" w:customStyle="1" w:styleId="ECHRHeaderTableReduced">
    <w:name w:val="ECHR_Header_Table_Reduced"/>
    <w:basedOn w:val="TableNormal"/>
    <w:uiPriority w:val="99"/>
    <w:rsid w:val="00894042"/>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894042"/>
    <w:pPr>
      <w:ind w:firstLine="284"/>
      <w:jc w:val="both"/>
    </w:pPr>
    <w:rPr>
      <w:b/>
    </w:rPr>
  </w:style>
  <w:style w:type="character" w:styleId="PageNumber">
    <w:name w:val="page number"/>
    <w:uiPriority w:val="98"/>
    <w:semiHidden/>
    <w:rsid w:val="00894042"/>
    <w:rPr>
      <w:sz w:val="18"/>
    </w:rPr>
  </w:style>
  <w:style w:type="paragraph" w:styleId="ListBullet">
    <w:name w:val="List Bullet"/>
    <w:basedOn w:val="Normal"/>
    <w:uiPriority w:val="98"/>
    <w:semiHidden/>
    <w:rsid w:val="00894042"/>
    <w:pPr>
      <w:numPr>
        <w:numId w:val="12"/>
      </w:numPr>
    </w:pPr>
  </w:style>
  <w:style w:type="paragraph" w:styleId="ListBullet3">
    <w:name w:val="List Bullet 3"/>
    <w:basedOn w:val="Normal"/>
    <w:uiPriority w:val="98"/>
    <w:semiHidden/>
    <w:rsid w:val="00894042"/>
    <w:pPr>
      <w:numPr>
        <w:numId w:val="14"/>
      </w:numPr>
      <w:contextualSpacing/>
    </w:pPr>
  </w:style>
  <w:style w:type="character" w:customStyle="1" w:styleId="BodyText2Char">
    <w:name w:val="Body Text 2 Char"/>
    <w:basedOn w:val="DefaultParagraphFont"/>
    <w:link w:val="BodyText2"/>
    <w:uiPriority w:val="98"/>
    <w:semiHidden/>
    <w:rsid w:val="00894042"/>
    <w:rPr>
      <w:sz w:val="24"/>
      <w:szCs w:val="24"/>
      <w:lang w:val="en-GB"/>
    </w:rPr>
  </w:style>
  <w:style w:type="paragraph" w:styleId="BodyText3">
    <w:name w:val="Body Text 3"/>
    <w:basedOn w:val="Normal"/>
    <w:link w:val="BodyText3Char"/>
    <w:uiPriority w:val="98"/>
    <w:semiHidden/>
    <w:rsid w:val="00894042"/>
    <w:pPr>
      <w:spacing w:after="120"/>
    </w:pPr>
    <w:rPr>
      <w:sz w:val="16"/>
      <w:szCs w:val="16"/>
    </w:rPr>
  </w:style>
  <w:style w:type="character" w:customStyle="1" w:styleId="BodyText3Char">
    <w:name w:val="Body Text 3 Char"/>
    <w:basedOn w:val="DefaultParagraphFont"/>
    <w:link w:val="BodyText3"/>
    <w:uiPriority w:val="98"/>
    <w:semiHidden/>
    <w:rsid w:val="00894042"/>
    <w:rPr>
      <w:sz w:val="16"/>
      <w:szCs w:val="16"/>
      <w:lang w:val="en-GB"/>
    </w:rPr>
  </w:style>
  <w:style w:type="paragraph" w:styleId="BodyTextFirstIndent">
    <w:name w:val="Body Text First Indent"/>
    <w:basedOn w:val="BodyText"/>
    <w:link w:val="BodyTextFirstIndentChar"/>
    <w:uiPriority w:val="98"/>
    <w:semiHidden/>
    <w:rsid w:val="00894042"/>
    <w:pPr>
      <w:spacing w:after="0"/>
      <w:ind w:firstLine="360"/>
    </w:pPr>
  </w:style>
  <w:style w:type="character" w:customStyle="1" w:styleId="BodyTextFirstIndentChar">
    <w:name w:val="Body Text First Indent Char"/>
    <w:basedOn w:val="BodyTextChar"/>
    <w:link w:val="BodyTextFirstIndent"/>
    <w:uiPriority w:val="98"/>
    <w:semiHidden/>
    <w:rsid w:val="00894042"/>
    <w:rPr>
      <w:sz w:val="24"/>
      <w:szCs w:val="24"/>
      <w:lang w:val="en-GB"/>
    </w:rPr>
  </w:style>
  <w:style w:type="paragraph" w:styleId="BodyTextIndent">
    <w:name w:val="Body Text Indent"/>
    <w:basedOn w:val="Normal"/>
    <w:link w:val="BodyTextIndentChar"/>
    <w:uiPriority w:val="98"/>
    <w:semiHidden/>
    <w:rsid w:val="00894042"/>
    <w:pPr>
      <w:spacing w:after="120"/>
      <w:ind w:left="283"/>
    </w:pPr>
  </w:style>
  <w:style w:type="character" w:customStyle="1" w:styleId="BodyTextIndentChar">
    <w:name w:val="Body Text Indent Char"/>
    <w:basedOn w:val="DefaultParagraphFont"/>
    <w:link w:val="BodyTextIndent"/>
    <w:uiPriority w:val="98"/>
    <w:semiHidden/>
    <w:rsid w:val="00894042"/>
    <w:rPr>
      <w:sz w:val="24"/>
      <w:szCs w:val="24"/>
      <w:lang w:val="en-GB"/>
    </w:rPr>
  </w:style>
  <w:style w:type="paragraph" w:styleId="BodyTextFirstIndent2">
    <w:name w:val="Body Text First Indent 2"/>
    <w:basedOn w:val="BodyTextIndent"/>
    <w:link w:val="BodyTextFirstIndent2Char"/>
    <w:uiPriority w:val="98"/>
    <w:semiHidden/>
    <w:rsid w:val="00894042"/>
    <w:pPr>
      <w:spacing w:after="0"/>
      <w:ind w:left="360" w:firstLine="360"/>
    </w:pPr>
  </w:style>
  <w:style w:type="character" w:customStyle="1" w:styleId="BodyTextFirstIndent2Char">
    <w:name w:val="Body Text First Indent 2 Char"/>
    <w:basedOn w:val="BodyTextIndentChar"/>
    <w:link w:val="BodyTextFirstIndent2"/>
    <w:uiPriority w:val="98"/>
    <w:semiHidden/>
    <w:rsid w:val="00894042"/>
    <w:rPr>
      <w:sz w:val="24"/>
      <w:szCs w:val="24"/>
      <w:lang w:val="en-GB"/>
    </w:rPr>
  </w:style>
  <w:style w:type="paragraph" w:styleId="BodyTextIndent2">
    <w:name w:val="Body Text Indent 2"/>
    <w:basedOn w:val="Normal"/>
    <w:link w:val="BodyTextIndent2Char"/>
    <w:uiPriority w:val="98"/>
    <w:semiHidden/>
    <w:rsid w:val="00894042"/>
    <w:pPr>
      <w:spacing w:after="120" w:line="480" w:lineRule="auto"/>
      <w:ind w:left="283"/>
    </w:pPr>
  </w:style>
  <w:style w:type="character" w:customStyle="1" w:styleId="BodyTextIndent2Char">
    <w:name w:val="Body Text Indent 2 Char"/>
    <w:basedOn w:val="DefaultParagraphFont"/>
    <w:link w:val="BodyTextIndent2"/>
    <w:uiPriority w:val="98"/>
    <w:semiHidden/>
    <w:rsid w:val="00894042"/>
    <w:rPr>
      <w:sz w:val="24"/>
      <w:szCs w:val="24"/>
      <w:lang w:val="en-GB"/>
    </w:rPr>
  </w:style>
  <w:style w:type="paragraph" w:styleId="BodyTextIndent3">
    <w:name w:val="Body Text Indent 3"/>
    <w:basedOn w:val="Normal"/>
    <w:link w:val="BodyTextIndent3Char"/>
    <w:uiPriority w:val="98"/>
    <w:semiHidden/>
    <w:rsid w:val="00894042"/>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894042"/>
    <w:rPr>
      <w:sz w:val="16"/>
      <w:szCs w:val="16"/>
      <w:lang w:val="en-GB"/>
    </w:rPr>
  </w:style>
  <w:style w:type="paragraph" w:styleId="Caption">
    <w:name w:val="caption"/>
    <w:basedOn w:val="Normal"/>
    <w:next w:val="Normal"/>
    <w:uiPriority w:val="98"/>
    <w:semiHidden/>
    <w:qFormat/>
    <w:rsid w:val="00894042"/>
    <w:pPr>
      <w:spacing w:after="200"/>
    </w:pPr>
    <w:rPr>
      <w:b/>
      <w:bCs/>
      <w:color w:val="0072BC" w:themeColor="accent1"/>
      <w:sz w:val="18"/>
      <w:szCs w:val="18"/>
    </w:rPr>
  </w:style>
  <w:style w:type="paragraph" w:styleId="Closing">
    <w:name w:val="Closing"/>
    <w:basedOn w:val="Normal"/>
    <w:link w:val="ClosingChar"/>
    <w:uiPriority w:val="98"/>
    <w:semiHidden/>
    <w:rsid w:val="00894042"/>
    <w:pPr>
      <w:ind w:left="4252"/>
    </w:pPr>
  </w:style>
  <w:style w:type="character" w:customStyle="1" w:styleId="ClosingChar">
    <w:name w:val="Closing Char"/>
    <w:basedOn w:val="DefaultParagraphFont"/>
    <w:link w:val="Closing"/>
    <w:uiPriority w:val="98"/>
    <w:semiHidden/>
    <w:rsid w:val="00894042"/>
    <w:rPr>
      <w:sz w:val="24"/>
      <w:szCs w:val="24"/>
      <w:lang w:val="en-GB"/>
    </w:rPr>
  </w:style>
  <w:style w:type="table" w:styleId="ColorfulGrid">
    <w:name w:val="Colorful Grid"/>
    <w:basedOn w:val="TableNormal"/>
    <w:uiPriority w:val="73"/>
    <w:semiHidden/>
    <w:rsid w:val="00894042"/>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894042"/>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894042"/>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89404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894042"/>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89404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894042"/>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894042"/>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894042"/>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894042"/>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894042"/>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894042"/>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894042"/>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894042"/>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894042"/>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894042"/>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894042"/>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894042"/>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894042"/>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894042"/>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894042"/>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894042"/>
    <w:rPr>
      <w:sz w:val="16"/>
      <w:szCs w:val="16"/>
    </w:rPr>
  </w:style>
  <w:style w:type="paragraph" w:styleId="CommentText">
    <w:name w:val="annotation text"/>
    <w:basedOn w:val="Normal"/>
    <w:link w:val="CommentTextChar"/>
    <w:uiPriority w:val="98"/>
    <w:semiHidden/>
    <w:rsid w:val="00894042"/>
    <w:rPr>
      <w:sz w:val="20"/>
      <w:szCs w:val="20"/>
    </w:rPr>
  </w:style>
  <w:style w:type="character" w:customStyle="1" w:styleId="CommentTextChar">
    <w:name w:val="Comment Text Char"/>
    <w:basedOn w:val="DefaultParagraphFont"/>
    <w:link w:val="CommentText"/>
    <w:uiPriority w:val="98"/>
    <w:semiHidden/>
    <w:rsid w:val="00894042"/>
    <w:rPr>
      <w:sz w:val="20"/>
      <w:szCs w:val="20"/>
      <w:lang w:val="en-GB"/>
    </w:rPr>
  </w:style>
  <w:style w:type="paragraph" w:styleId="CommentSubject">
    <w:name w:val="annotation subject"/>
    <w:basedOn w:val="CommentText"/>
    <w:next w:val="CommentText"/>
    <w:link w:val="CommentSubjectChar"/>
    <w:uiPriority w:val="98"/>
    <w:semiHidden/>
    <w:rsid w:val="00894042"/>
    <w:rPr>
      <w:b/>
      <w:bCs/>
    </w:rPr>
  </w:style>
  <w:style w:type="character" w:customStyle="1" w:styleId="CommentSubjectChar">
    <w:name w:val="Comment Subject Char"/>
    <w:basedOn w:val="CommentTextChar"/>
    <w:link w:val="CommentSubject"/>
    <w:uiPriority w:val="98"/>
    <w:semiHidden/>
    <w:rsid w:val="00894042"/>
    <w:rPr>
      <w:b/>
      <w:bCs/>
      <w:sz w:val="20"/>
      <w:szCs w:val="20"/>
      <w:lang w:val="en-GB"/>
    </w:rPr>
  </w:style>
  <w:style w:type="table" w:styleId="DarkList">
    <w:name w:val="Dark List"/>
    <w:basedOn w:val="TableNormal"/>
    <w:uiPriority w:val="70"/>
    <w:semiHidden/>
    <w:rsid w:val="00894042"/>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894042"/>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894042"/>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894042"/>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894042"/>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894042"/>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894042"/>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894042"/>
  </w:style>
  <w:style w:type="character" w:customStyle="1" w:styleId="DateChar">
    <w:name w:val="Date Char"/>
    <w:basedOn w:val="DefaultParagraphFont"/>
    <w:link w:val="Date"/>
    <w:uiPriority w:val="98"/>
    <w:semiHidden/>
    <w:rsid w:val="00894042"/>
    <w:rPr>
      <w:sz w:val="24"/>
      <w:szCs w:val="24"/>
      <w:lang w:val="en-GB"/>
    </w:rPr>
  </w:style>
  <w:style w:type="paragraph" w:styleId="DocumentMap">
    <w:name w:val="Document Map"/>
    <w:basedOn w:val="Normal"/>
    <w:link w:val="DocumentMapChar"/>
    <w:uiPriority w:val="98"/>
    <w:semiHidden/>
    <w:rsid w:val="00894042"/>
    <w:rPr>
      <w:rFonts w:ascii="Tahoma" w:hAnsi="Tahoma" w:cs="Tahoma"/>
      <w:sz w:val="16"/>
      <w:szCs w:val="16"/>
    </w:rPr>
  </w:style>
  <w:style w:type="character" w:customStyle="1" w:styleId="DocumentMapChar">
    <w:name w:val="Document Map Char"/>
    <w:basedOn w:val="DefaultParagraphFont"/>
    <w:link w:val="DocumentMap"/>
    <w:uiPriority w:val="98"/>
    <w:semiHidden/>
    <w:rsid w:val="00894042"/>
    <w:rPr>
      <w:rFonts w:ascii="Tahoma" w:hAnsi="Tahoma" w:cs="Tahoma"/>
      <w:sz w:val="16"/>
      <w:szCs w:val="16"/>
      <w:lang w:val="en-GB"/>
    </w:rPr>
  </w:style>
  <w:style w:type="paragraph" w:styleId="E-mailSignature">
    <w:name w:val="E-mail Signature"/>
    <w:basedOn w:val="Normal"/>
    <w:link w:val="E-mailSignatureChar"/>
    <w:uiPriority w:val="98"/>
    <w:semiHidden/>
    <w:rsid w:val="00894042"/>
  </w:style>
  <w:style w:type="character" w:customStyle="1" w:styleId="E-mailSignatureChar">
    <w:name w:val="E-mail Signature Char"/>
    <w:basedOn w:val="DefaultParagraphFont"/>
    <w:link w:val="E-mailSignature"/>
    <w:uiPriority w:val="98"/>
    <w:semiHidden/>
    <w:rsid w:val="00894042"/>
    <w:rPr>
      <w:sz w:val="24"/>
      <w:szCs w:val="24"/>
      <w:lang w:val="en-GB"/>
    </w:rPr>
  </w:style>
  <w:style w:type="character" w:styleId="EndnoteReference">
    <w:name w:val="endnote reference"/>
    <w:basedOn w:val="DefaultParagraphFont"/>
    <w:uiPriority w:val="98"/>
    <w:semiHidden/>
    <w:rsid w:val="00894042"/>
    <w:rPr>
      <w:vertAlign w:val="superscript"/>
    </w:rPr>
  </w:style>
  <w:style w:type="paragraph" w:styleId="EndnoteText">
    <w:name w:val="endnote text"/>
    <w:basedOn w:val="Normal"/>
    <w:link w:val="EndnoteTextChar"/>
    <w:uiPriority w:val="98"/>
    <w:semiHidden/>
    <w:rsid w:val="00894042"/>
    <w:rPr>
      <w:sz w:val="20"/>
      <w:szCs w:val="20"/>
    </w:rPr>
  </w:style>
  <w:style w:type="character" w:customStyle="1" w:styleId="EndnoteTextChar">
    <w:name w:val="Endnote Text Char"/>
    <w:basedOn w:val="DefaultParagraphFont"/>
    <w:link w:val="EndnoteText"/>
    <w:uiPriority w:val="98"/>
    <w:semiHidden/>
    <w:rsid w:val="00894042"/>
    <w:rPr>
      <w:sz w:val="20"/>
      <w:szCs w:val="20"/>
      <w:lang w:val="en-GB"/>
    </w:rPr>
  </w:style>
  <w:style w:type="paragraph" w:styleId="EnvelopeAddress">
    <w:name w:val="envelope address"/>
    <w:basedOn w:val="Normal"/>
    <w:uiPriority w:val="98"/>
    <w:semiHidden/>
    <w:rsid w:val="00894042"/>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894042"/>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894042"/>
    <w:rPr>
      <w:color w:val="7030A0" w:themeColor="followedHyperlink"/>
      <w:u w:val="single"/>
    </w:rPr>
  </w:style>
  <w:style w:type="character" w:styleId="HTMLAcronym">
    <w:name w:val="HTML Acronym"/>
    <w:basedOn w:val="DefaultParagraphFont"/>
    <w:uiPriority w:val="98"/>
    <w:semiHidden/>
    <w:rsid w:val="00894042"/>
  </w:style>
  <w:style w:type="paragraph" w:styleId="HTMLAddress">
    <w:name w:val="HTML Address"/>
    <w:basedOn w:val="Normal"/>
    <w:link w:val="HTMLAddressChar"/>
    <w:uiPriority w:val="98"/>
    <w:semiHidden/>
    <w:rsid w:val="00894042"/>
    <w:rPr>
      <w:i/>
      <w:iCs/>
    </w:rPr>
  </w:style>
  <w:style w:type="character" w:customStyle="1" w:styleId="HTMLAddressChar">
    <w:name w:val="HTML Address Char"/>
    <w:basedOn w:val="DefaultParagraphFont"/>
    <w:link w:val="HTMLAddress"/>
    <w:uiPriority w:val="98"/>
    <w:semiHidden/>
    <w:rsid w:val="00894042"/>
    <w:rPr>
      <w:i/>
      <w:iCs/>
      <w:sz w:val="24"/>
      <w:szCs w:val="24"/>
      <w:lang w:val="en-GB"/>
    </w:rPr>
  </w:style>
  <w:style w:type="character" w:styleId="HTMLCite">
    <w:name w:val="HTML Cite"/>
    <w:basedOn w:val="DefaultParagraphFont"/>
    <w:uiPriority w:val="98"/>
    <w:semiHidden/>
    <w:rsid w:val="00894042"/>
    <w:rPr>
      <w:i/>
      <w:iCs/>
    </w:rPr>
  </w:style>
  <w:style w:type="character" w:styleId="HTMLCode">
    <w:name w:val="HTML Code"/>
    <w:basedOn w:val="DefaultParagraphFont"/>
    <w:uiPriority w:val="98"/>
    <w:semiHidden/>
    <w:rsid w:val="00894042"/>
    <w:rPr>
      <w:rFonts w:ascii="Consolas" w:hAnsi="Consolas" w:cs="Consolas"/>
      <w:sz w:val="20"/>
      <w:szCs w:val="20"/>
    </w:rPr>
  </w:style>
  <w:style w:type="character" w:styleId="HTMLDefinition">
    <w:name w:val="HTML Definition"/>
    <w:basedOn w:val="DefaultParagraphFont"/>
    <w:uiPriority w:val="98"/>
    <w:semiHidden/>
    <w:rsid w:val="00894042"/>
    <w:rPr>
      <w:i/>
      <w:iCs/>
    </w:rPr>
  </w:style>
  <w:style w:type="character" w:styleId="HTMLKeyboard">
    <w:name w:val="HTML Keyboard"/>
    <w:basedOn w:val="DefaultParagraphFont"/>
    <w:uiPriority w:val="98"/>
    <w:semiHidden/>
    <w:rsid w:val="00894042"/>
    <w:rPr>
      <w:rFonts w:ascii="Consolas" w:hAnsi="Consolas" w:cs="Consolas"/>
      <w:sz w:val="20"/>
      <w:szCs w:val="20"/>
    </w:rPr>
  </w:style>
  <w:style w:type="paragraph" w:styleId="HTMLPreformatted">
    <w:name w:val="HTML Preformatted"/>
    <w:basedOn w:val="Normal"/>
    <w:link w:val="HTMLPreformattedChar"/>
    <w:uiPriority w:val="98"/>
    <w:semiHidden/>
    <w:rsid w:val="00894042"/>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894042"/>
    <w:rPr>
      <w:rFonts w:ascii="Consolas" w:hAnsi="Consolas" w:cs="Consolas"/>
      <w:sz w:val="20"/>
      <w:szCs w:val="20"/>
      <w:lang w:val="en-GB"/>
    </w:rPr>
  </w:style>
  <w:style w:type="character" w:styleId="HTMLSample">
    <w:name w:val="HTML Sample"/>
    <w:basedOn w:val="DefaultParagraphFont"/>
    <w:uiPriority w:val="98"/>
    <w:semiHidden/>
    <w:rsid w:val="00894042"/>
    <w:rPr>
      <w:rFonts w:ascii="Consolas" w:hAnsi="Consolas" w:cs="Consolas"/>
      <w:sz w:val="24"/>
      <w:szCs w:val="24"/>
    </w:rPr>
  </w:style>
  <w:style w:type="character" w:styleId="HTMLTypewriter">
    <w:name w:val="HTML Typewriter"/>
    <w:basedOn w:val="DefaultParagraphFont"/>
    <w:uiPriority w:val="98"/>
    <w:semiHidden/>
    <w:rsid w:val="00894042"/>
    <w:rPr>
      <w:rFonts w:ascii="Consolas" w:hAnsi="Consolas" w:cs="Consolas"/>
      <w:sz w:val="20"/>
      <w:szCs w:val="20"/>
    </w:rPr>
  </w:style>
  <w:style w:type="character" w:styleId="HTMLVariable">
    <w:name w:val="HTML Variable"/>
    <w:basedOn w:val="DefaultParagraphFont"/>
    <w:uiPriority w:val="98"/>
    <w:semiHidden/>
    <w:rsid w:val="00894042"/>
    <w:rPr>
      <w:i/>
      <w:iCs/>
    </w:rPr>
  </w:style>
  <w:style w:type="paragraph" w:styleId="Index1">
    <w:name w:val="index 1"/>
    <w:basedOn w:val="Normal"/>
    <w:next w:val="Normal"/>
    <w:autoRedefine/>
    <w:uiPriority w:val="98"/>
    <w:semiHidden/>
    <w:rsid w:val="00894042"/>
    <w:pPr>
      <w:ind w:left="240" w:hanging="240"/>
    </w:pPr>
  </w:style>
  <w:style w:type="paragraph" w:styleId="Index2">
    <w:name w:val="index 2"/>
    <w:basedOn w:val="Normal"/>
    <w:next w:val="Normal"/>
    <w:autoRedefine/>
    <w:uiPriority w:val="98"/>
    <w:semiHidden/>
    <w:rsid w:val="00894042"/>
    <w:pPr>
      <w:ind w:left="480" w:hanging="240"/>
    </w:pPr>
  </w:style>
  <w:style w:type="paragraph" w:styleId="Index3">
    <w:name w:val="index 3"/>
    <w:basedOn w:val="Normal"/>
    <w:next w:val="Normal"/>
    <w:autoRedefine/>
    <w:uiPriority w:val="98"/>
    <w:semiHidden/>
    <w:rsid w:val="00894042"/>
    <w:pPr>
      <w:ind w:left="720" w:hanging="240"/>
    </w:pPr>
  </w:style>
  <w:style w:type="paragraph" w:styleId="Index4">
    <w:name w:val="index 4"/>
    <w:basedOn w:val="Normal"/>
    <w:next w:val="Normal"/>
    <w:autoRedefine/>
    <w:uiPriority w:val="98"/>
    <w:semiHidden/>
    <w:rsid w:val="00894042"/>
    <w:pPr>
      <w:ind w:left="960" w:hanging="240"/>
    </w:pPr>
  </w:style>
  <w:style w:type="paragraph" w:styleId="Index5">
    <w:name w:val="index 5"/>
    <w:basedOn w:val="Normal"/>
    <w:next w:val="Normal"/>
    <w:autoRedefine/>
    <w:uiPriority w:val="98"/>
    <w:semiHidden/>
    <w:rsid w:val="00894042"/>
    <w:pPr>
      <w:ind w:left="1200" w:hanging="240"/>
    </w:pPr>
  </w:style>
  <w:style w:type="paragraph" w:styleId="Index6">
    <w:name w:val="index 6"/>
    <w:basedOn w:val="Normal"/>
    <w:next w:val="Normal"/>
    <w:autoRedefine/>
    <w:uiPriority w:val="98"/>
    <w:semiHidden/>
    <w:rsid w:val="00894042"/>
    <w:pPr>
      <w:ind w:left="1440" w:hanging="240"/>
    </w:pPr>
  </w:style>
  <w:style w:type="paragraph" w:styleId="Index7">
    <w:name w:val="index 7"/>
    <w:basedOn w:val="Normal"/>
    <w:next w:val="Normal"/>
    <w:autoRedefine/>
    <w:uiPriority w:val="98"/>
    <w:semiHidden/>
    <w:rsid w:val="00894042"/>
    <w:pPr>
      <w:ind w:left="1680" w:hanging="240"/>
    </w:pPr>
  </w:style>
  <w:style w:type="paragraph" w:styleId="Index8">
    <w:name w:val="index 8"/>
    <w:basedOn w:val="Normal"/>
    <w:next w:val="Normal"/>
    <w:autoRedefine/>
    <w:uiPriority w:val="98"/>
    <w:semiHidden/>
    <w:rsid w:val="00894042"/>
    <w:pPr>
      <w:ind w:left="1920" w:hanging="240"/>
    </w:pPr>
  </w:style>
  <w:style w:type="paragraph" w:styleId="Index9">
    <w:name w:val="index 9"/>
    <w:basedOn w:val="Normal"/>
    <w:next w:val="Normal"/>
    <w:autoRedefine/>
    <w:uiPriority w:val="98"/>
    <w:semiHidden/>
    <w:rsid w:val="00894042"/>
    <w:pPr>
      <w:ind w:left="2160" w:hanging="240"/>
    </w:pPr>
  </w:style>
  <w:style w:type="paragraph" w:styleId="IndexHeading">
    <w:name w:val="index heading"/>
    <w:basedOn w:val="Normal"/>
    <w:next w:val="Index1"/>
    <w:uiPriority w:val="98"/>
    <w:semiHidden/>
    <w:rsid w:val="00894042"/>
    <w:rPr>
      <w:rFonts w:asciiTheme="majorHAnsi" w:eastAsiaTheme="majorEastAsia" w:hAnsiTheme="majorHAnsi" w:cstheme="majorBidi"/>
      <w:b/>
      <w:bCs/>
    </w:rPr>
  </w:style>
  <w:style w:type="table" w:styleId="LightGrid">
    <w:name w:val="Light Grid"/>
    <w:basedOn w:val="TableNormal"/>
    <w:uiPriority w:val="62"/>
    <w:semiHidden/>
    <w:rsid w:val="0089404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89404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89404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89404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89404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89404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89404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89404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89404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89404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89404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89404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89404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89404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894042"/>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894042"/>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894042"/>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894042"/>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894042"/>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894042"/>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894042"/>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894042"/>
  </w:style>
  <w:style w:type="paragraph" w:styleId="List">
    <w:name w:val="List"/>
    <w:basedOn w:val="Normal"/>
    <w:uiPriority w:val="98"/>
    <w:semiHidden/>
    <w:rsid w:val="00894042"/>
    <w:pPr>
      <w:ind w:left="283" w:hanging="283"/>
      <w:contextualSpacing/>
    </w:pPr>
  </w:style>
  <w:style w:type="paragraph" w:styleId="List2">
    <w:name w:val="List 2"/>
    <w:basedOn w:val="Normal"/>
    <w:uiPriority w:val="98"/>
    <w:semiHidden/>
    <w:rsid w:val="00894042"/>
    <w:pPr>
      <w:ind w:left="566" w:hanging="283"/>
      <w:contextualSpacing/>
    </w:pPr>
  </w:style>
  <w:style w:type="paragraph" w:styleId="List3">
    <w:name w:val="List 3"/>
    <w:basedOn w:val="Normal"/>
    <w:uiPriority w:val="98"/>
    <w:semiHidden/>
    <w:rsid w:val="00894042"/>
    <w:pPr>
      <w:ind w:left="849" w:hanging="283"/>
      <w:contextualSpacing/>
    </w:pPr>
  </w:style>
  <w:style w:type="paragraph" w:styleId="List4">
    <w:name w:val="List 4"/>
    <w:basedOn w:val="Normal"/>
    <w:uiPriority w:val="98"/>
    <w:semiHidden/>
    <w:rsid w:val="00894042"/>
    <w:pPr>
      <w:ind w:left="1132" w:hanging="283"/>
      <w:contextualSpacing/>
    </w:pPr>
  </w:style>
  <w:style w:type="paragraph" w:styleId="List5">
    <w:name w:val="List 5"/>
    <w:basedOn w:val="Normal"/>
    <w:uiPriority w:val="98"/>
    <w:semiHidden/>
    <w:rsid w:val="00894042"/>
    <w:pPr>
      <w:ind w:left="1415" w:hanging="283"/>
      <w:contextualSpacing/>
    </w:pPr>
  </w:style>
  <w:style w:type="paragraph" w:styleId="ListBullet2">
    <w:name w:val="List Bullet 2"/>
    <w:basedOn w:val="Normal"/>
    <w:uiPriority w:val="98"/>
    <w:semiHidden/>
    <w:rsid w:val="00894042"/>
    <w:pPr>
      <w:numPr>
        <w:numId w:val="13"/>
      </w:numPr>
      <w:tabs>
        <w:tab w:val="clear" w:pos="643"/>
        <w:tab w:val="num" w:pos="360"/>
      </w:tabs>
      <w:ind w:left="360"/>
      <w:contextualSpacing/>
    </w:pPr>
  </w:style>
  <w:style w:type="paragraph" w:styleId="ListBullet4">
    <w:name w:val="List Bullet 4"/>
    <w:basedOn w:val="Normal"/>
    <w:uiPriority w:val="98"/>
    <w:semiHidden/>
    <w:rsid w:val="00894042"/>
    <w:pPr>
      <w:numPr>
        <w:numId w:val="15"/>
      </w:numPr>
      <w:contextualSpacing/>
    </w:pPr>
  </w:style>
  <w:style w:type="paragraph" w:styleId="ListBullet5">
    <w:name w:val="List Bullet 5"/>
    <w:basedOn w:val="Normal"/>
    <w:uiPriority w:val="98"/>
    <w:semiHidden/>
    <w:rsid w:val="00894042"/>
    <w:pPr>
      <w:numPr>
        <w:numId w:val="16"/>
      </w:numPr>
      <w:contextualSpacing/>
    </w:pPr>
  </w:style>
  <w:style w:type="paragraph" w:styleId="ListContinue">
    <w:name w:val="List Continue"/>
    <w:basedOn w:val="Normal"/>
    <w:uiPriority w:val="98"/>
    <w:semiHidden/>
    <w:rsid w:val="00894042"/>
    <w:pPr>
      <w:spacing w:after="120"/>
      <w:ind w:left="283"/>
      <w:contextualSpacing/>
    </w:pPr>
  </w:style>
  <w:style w:type="paragraph" w:styleId="ListContinue2">
    <w:name w:val="List Continue 2"/>
    <w:basedOn w:val="Normal"/>
    <w:uiPriority w:val="98"/>
    <w:semiHidden/>
    <w:rsid w:val="00894042"/>
    <w:pPr>
      <w:spacing w:after="120"/>
      <w:ind w:left="566"/>
      <w:contextualSpacing/>
    </w:pPr>
  </w:style>
  <w:style w:type="paragraph" w:styleId="ListContinue3">
    <w:name w:val="List Continue 3"/>
    <w:basedOn w:val="Normal"/>
    <w:uiPriority w:val="98"/>
    <w:semiHidden/>
    <w:rsid w:val="00894042"/>
    <w:pPr>
      <w:spacing w:after="120"/>
      <w:ind w:left="849"/>
      <w:contextualSpacing/>
    </w:pPr>
  </w:style>
  <w:style w:type="paragraph" w:styleId="ListContinue4">
    <w:name w:val="List Continue 4"/>
    <w:basedOn w:val="Normal"/>
    <w:uiPriority w:val="98"/>
    <w:semiHidden/>
    <w:rsid w:val="00894042"/>
    <w:pPr>
      <w:spacing w:after="120"/>
      <w:ind w:left="1132"/>
      <w:contextualSpacing/>
    </w:pPr>
  </w:style>
  <w:style w:type="paragraph" w:styleId="ListContinue5">
    <w:name w:val="List Continue 5"/>
    <w:basedOn w:val="Normal"/>
    <w:uiPriority w:val="98"/>
    <w:semiHidden/>
    <w:rsid w:val="00894042"/>
    <w:pPr>
      <w:spacing w:after="120"/>
      <w:ind w:left="1415"/>
      <w:contextualSpacing/>
    </w:pPr>
  </w:style>
  <w:style w:type="paragraph" w:styleId="ListNumber">
    <w:name w:val="List Number"/>
    <w:basedOn w:val="Normal"/>
    <w:uiPriority w:val="98"/>
    <w:semiHidden/>
    <w:rsid w:val="00894042"/>
    <w:pPr>
      <w:numPr>
        <w:numId w:val="17"/>
      </w:numPr>
      <w:contextualSpacing/>
    </w:pPr>
  </w:style>
  <w:style w:type="paragraph" w:styleId="ListNumber2">
    <w:name w:val="List Number 2"/>
    <w:basedOn w:val="Normal"/>
    <w:uiPriority w:val="98"/>
    <w:semiHidden/>
    <w:rsid w:val="00894042"/>
    <w:pPr>
      <w:numPr>
        <w:numId w:val="18"/>
      </w:numPr>
      <w:contextualSpacing/>
    </w:pPr>
  </w:style>
  <w:style w:type="paragraph" w:styleId="ListNumber3">
    <w:name w:val="List Number 3"/>
    <w:basedOn w:val="Normal"/>
    <w:uiPriority w:val="98"/>
    <w:semiHidden/>
    <w:rsid w:val="00894042"/>
    <w:pPr>
      <w:numPr>
        <w:numId w:val="19"/>
      </w:numPr>
      <w:contextualSpacing/>
    </w:pPr>
  </w:style>
  <w:style w:type="paragraph" w:styleId="ListNumber4">
    <w:name w:val="List Number 4"/>
    <w:basedOn w:val="Normal"/>
    <w:uiPriority w:val="98"/>
    <w:semiHidden/>
    <w:rsid w:val="00894042"/>
    <w:pPr>
      <w:numPr>
        <w:numId w:val="20"/>
      </w:numPr>
      <w:contextualSpacing/>
    </w:pPr>
  </w:style>
  <w:style w:type="paragraph" w:styleId="ListNumber5">
    <w:name w:val="List Number 5"/>
    <w:basedOn w:val="Normal"/>
    <w:uiPriority w:val="98"/>
    <w:semiHidden/>
    <w:rsid w:val="00894042"/>
    <w:pPr>
      <w:numPr>
        <w:numId w:val="21"/>
      </w:numPr>
      <w:contextualSpacing/>
    </w:pPr>
  </w:style>
  <w:style w:type="paragraph" w:styleId="MacroText">
    <w:name w:val="macro"/>
    <w:link w:val="MacroTextChar"/>
    <w:uiPriority w:val="98"/>
    <w:semiHidden/>
    <w:rsid w:val="0089404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894042"/>
    <w:rPr>
      <w:rFonts w:ascii="Consolas" w:eastAsiaTheme="minorEastAsia" w:hAnsi="Consolas" w:cs="Consolas"/>
      <w:sz w:val="20"/>
      <w:szCs w:val="20"/>
    </w:rPr>
  </w:style>
  <w:style w:type="table" w:styleId="MediumGrid1">
    <w:name w:val="Medium Grid 1"/>
    <w:basedOn w:val="TableNormal"/>
    <w:uiPriority w:val="67"/>
    <w:semiHidden/>
    <w:rsid w:val="0089404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89404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89404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89404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89404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89404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89404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89404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89404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89404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89404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89404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89404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89404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89404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89404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89404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89404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89404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89404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89404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894042"/>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894042"/>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894042"/>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894042"/>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894042"/>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894042"/>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894042"/>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89404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89404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89404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89404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89404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89404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89404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89404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89404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89404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89404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89404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89404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89404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89404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89404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89404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89404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89404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89404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89404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89404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894042"/>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894042"/>
    <w:rPr>
      <w:rFonts w:ascii="Times New Roman" w:hAnsi="Times New Roman" w:cs="Times New Roman"/>
    </w:rPr>
  </w:style>
  <w:style w:type="paragraph" w:styleId="NormalIndent">
    <w:name w:val="Normal Indent"/>
    <w:basedOn w:val="Normal"/>
    <w:uiPriority w:val="98"/>
    <w:semiHidden/>
    <w:rsid w:val="00894042"/>
    <w:pPr>
      <w:ind w:left="720"/>
    </w:pPr>
  </w:style>
  <w:style w:type="paragraph" w:styleId="NoteHeading">
    <w:name w:val="Note Heading"/>
    <w:basedOn w:val="Normal"/>
    <w:next w:val="Normal"/>
    <w:link w:val="NoteHeadingChar"/>
    <w:uiPriority w:val="98"/>
    <w:semiHidden/>
    <w:rsid w:val="00894042"/>
  </w:style>
  <w:style w:type="character" w:customStyle="1" w:styleId="NoteHeadingChar">
    <w:name w:val="Note Heading Char"/>
    <w:basedOn w:val="DefaultParagraphFont"/>
    <w:link w:val="NoteHeading"/>
    <w:uiPriority w:val="98"/>
    <w:semiHidden/>
    <w:rsid w:val="00894042"/>
    <w:rPr>
      <w:sz w:val="24"/>
      <w:szCs w:val="24"/>
      <w:lang w:val="en-GB"/>
    </w:rPr>
  </w:style>
  <w:style w:type="character" w:styleId="PlaceholderText">
    <w:name w:val="Placeholder Text"/>
    <w:basedOn w:val="DefaultParagraphFont"/>
    <w:uiPriority w:val="98"/>
    <w:semiHidden/>
    <w:rsid w:val="00894042"/>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894042"/>
    <w:rPr>
      <w:rFonts w:ascii="Consolas" w:hAnsi="Consolas" w:cs="Consolas"/>
      <w:sz w:val="21"/>
      <w:szCs w:val="21"/>
    </w:rPr>
  </w:style>
  <w:style w:type="character" w:customStyle="1" w:styleId="PlainTextChar">
    <w:name w:val="Plain Text Char"/>
    <w:basedOn w:val="DefaultParagraphFont"/>
    <w:link w:val="PlainText"/>
    <w:uiPriority w:val="98"/>
    <w:semiHidden/>
    <w:rsid w:val="00894042"/>
    <w:rPr>
      <w:rFonts w:ascii="Consolas" w:hAnsi="Consolas" w:cs="Consolas"/>
      <w:sz w:val="21"/>
      <w:szCs w:val="21"/>
      <w:lang w:val="en-GB"/>
    </w:rPr>
  </w:style>
  <w:style w:type="paragraph" w:styleId="Salutation">
    <w:name w:val="Salutation"/>
    <w:basedOn w:val="Normal"/>
    <w:next w:val="Normal"/>
    <w:link w:val="SalutationChar"/>
    <w:uiPriority w:val="98"/>
    <w:semiHidden/>
    <w:rsid w:val="00894042"/>
  </w:style>
  <w:style w:type="character" w:customStyle="1" w:styleId="SalutationChar">
    <w:name w:val="Salutation Char"/>
    <w:basedOn w:val="DefaultParagraphFont"/>
    <w:link w:val="Salutation"/>
    <w:uiPriority w:val="98"/>
    <w:semiHidden/>
    <w:rsid w:val="00894042"/>
    <w:rPr>
      <w:sz w:val="24"/>
      <w:szCs w:val="24"/>
      <w:lang w:val="en-GB"/>
    </w:rPr>
  </w:style>
  <w:style w:type="paragraph" w:styleId="Signature">
    <w:name w:val="Signature"/>
    <w:basedOn w:val="Normal"/>
    <w:link w:val="SignatureChar"/>
    <w:uiPriority w:val="98"/>
    <w:semiHidden/>
    <w:rsid w:val="00894042"/>
    <w:pPr>
      <w:ind w:left="4252"/>
    </w:pPr>
  </w:style>
  <w:style w:type="character" w:customStyle="1" w:styleId="SignatureChar">
    <w:name w:val="Signature Char"/>
    <w:basedOn w:val="DefaultParagraphFont"/>
    <w:link w:val="Signature"/>
    <w:uiPriority w:val="98"/>
    <w:semiHidden/>
    <w:rsid w:val="00894042"/>
    <w:rPr>
      <w:sz w:val="24"/>
      <w:szCs w:val="24"/>
      <w:lang w:val="en-GB"/>
    </w:rPr>
  </w:style>
  <w:style w:type="table" w:styleId="Table3Deffects1">
    <w:name w:val="Table 3D effects 1"/>
    <w:basedOn w:val="TableNormal"/>
    <w:uiPriority w:val="99"/>
    <w:semiHidden/>
    <w:unhideWhenUsed/>
    <w:rsid w:val="00894042"/>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894042"/>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894042"/>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894042"/>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894042"/>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894042"/>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894042"/>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894042"/>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894042"/>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894042"/>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894042"/>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894042"/>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894042"/>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894042"/>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894042"/>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894042"/>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894042"/>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89404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894042"/>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894042"/>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894042"/>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89404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894042"/>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894042"/>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894042"/>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894042"/>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894042"/>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894042"/>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89404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89404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89404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894042"/>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89404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894042"/>
    <w:pPr>
      <w:ind w:left="240" w:hanging="240"/>
    </w:pPr>
  </w:style>
  <w:style w:type="paragraph" w:styleId="TableofFigures">
    <w:name w:val="table of figures"/>
    <w:basedOn w:val="Normal"/>
    <w:next w:val="Normal"/>
    <w:uiPriority w:val="98"/>
    <w:semiHidden/>
    <w:rsid w:val="00894042"/>
  </w:style>
  <w:style w:type="table" w:styleId="TableProfessional">
    <w:name w:val="Table Professional"/>
    <w:basedOn w:val="TableNormal"/>
    <w:uiPriority w:val="99"/>
    <w:semiHidden/>
    <w:unhideWhenUsed/>
    <w:rsid w:val="0089404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894042"/>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894042"/>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894042"/>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894042"/>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894042"/>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894042"/>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894042"/>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894042"/>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894042"/>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894042"/>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894042"/>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894042"/>
    <w:pPr>
      <w:spacing w:after="100"/>
      <w:ind w:left="1680"/>
    </w:pPr>
  </w:style>
  <w:style w:type="paragraph" w:styleId="TOC9">
    <w:name w:val="toc 9"/>
    <w:basedOn w:val="Normal"/>
    <w:next w:val="Normal"/>
    <w:autoRedefine/>
    <w:uiPriority w:val="98"/>
    <w:semiHidden/>
    <w:rsid w:val="00894042"/>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894042"/>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894042"/>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894042"/>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894042"/>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894042"/>
    <w:pPr>
      <w:numPr>
        <w:numId w:val="9"/>
      </w:numPr>
      <w:spacing w:before="60" w:after="60"/>
    </w:pPr>
  </w:style>
  <w:style w:type="paragraph" w:customStyle="1" w:styleId="ECHRBullet2">
    <w:name w:val="ECHR_Bullet_2"/>
    <w:aliases w:val="_Bul_2"/>
    <w:basedOn w:val="ECHRBullet1"/>
    <w:uiPriority w:val="23"/>
    <w:semiHidden/>
    <w:rsid w:val="00894042"/>
    <w:pPr>
      <w:numPr>
        <w:ilvl w:val="1"/>
      </w:numPr>
    </w:pPr>
  </w:style>
  <w:style w:type="paragraph" w:customStyle="1" w:styleId="ECHRBullet3">
    <w:name w:val="ECHR_Bullet_3"/>
    <w:aliases w:val="_Bul_3"/>
    <w:basedOn w:val="ECHRBullet2"/>
    <w:uiPriority w:val="23"/>
    <w:semiHidden/>
    <w:rsid w:val="00894042"/>
    <w:pPr>
      <w:numPr>
        <w:ilvl w:val="2"/>
      </w:numPr>
    </w:pPr>
  </w:style>
  <w:style w:type="paragraph" w:customStyle="1" w:styleId="ECHRBullet4">
    <w:name w:val="ECHR_Bullet_4"/>
    <w:aliases w:val="_Bul_4"/>
    <w:basedOn w:val="ECHRBullet3"/>
    <w:uiPriority w:val="23"/>
    <w:semiHidden/>
    <w:rsid w:val="00894042"/>
    <w:pPr>
      <w:numPr>
        <w:ilvl w:val="3"/>
      </w:numPr>
    </w:pPr>
  </w:style>
  <w:style w:type="paragraph" w:customStyle="1" w:styleId="ECHRConfidential">
    <w:name w:val="ECHR_Confidential"/>
    <w:aliases w:val="_Confidential"/>
    <w:basedOn w:val="Normal"/>
    <w:next w:val="Normal"/>
    <w:uiPriority w:val="42"/>
    <w:semiHidden/>
    <w:qFormat/>
    <w:rsid w:val="00894042"/>
    <w:pPr>
      <w:jc w:val="right"/>
    </w:pPr>
    <w:rPr>
      <w:color w:val="C00000"/>
      <w:sz w:val="20"/>
    </w:rPr>
  </w:style>
  <w:style w:type="paragraph" w:customStyle="1" w:styleId="ECHRDecisionBody">
    <w:name w:val="ECHR_Decision_Body"/>
    <w:aliases w:val="_Decision_Body"/>
    <w:basedOn w:val="NormalJustified"/>
    <w:uiPriority w:val="54"/>
    <w:semiHidden/>
    <w:rsid w:val="00894042"/>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894042"/>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894042"/>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894042"/>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894042"/>
    <w:pPr>
      <w:jc w:val="right"/>
    </w:pPr>
    <w:rPr>
      <w:sz w:val="20"/>
    </w:rPr>
  </w:style>
  <w:style w:type="paragraph" w:customStyle="1" w:styleId="ECHRHeaderRefIt">
    <w:name w:val="ECHR_Header_Ref_It"/>
    <w:aliases w:val="_Ref_Ital"/>
    <w:basedOn w:val="Normal"/>
    <w:next w:val="ECHRHeaderDate"/>
    <w:uiPriority w:val="43"/>
    <w:qFormat/>
    <w:rsid w:val="00894042"/>
    <w:pPr>
      <w:jc w:val="right"/>
    </w:pPr>
    <w:rPr>
      <w:i/>
      <w:sz w:val="20"/>
    </w:rPr>
  </w:style>
  <w:style w:type="paragraph" w:customStyle="1" w:styleId="ECHRHeading9">
    <w:name w:val="ECHR_Heading_9"/>
    <w:aliases w:val="_Head_9"/>
    <w:basedOn w:val="Heading9"/>
    <w:uiPriority w:val="17"/>
    <w:semiHidden/>
    <w:rsid w:val="00894042"/>
    <w:pPr>
      <w:keepNext/>
      <w:keepLines/>
      <w:numPr>
        <w:ilvl w:val="8"/>
        <w:numId w:val="5"/>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894042"/>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894042"/>
    <w:pPr>
      <w:numPr>
        <w:numId w:val="11"/>
      </w:numPr>
      <w:spacing w:before="60" w:after="60"/>
    </w:pPr>
  </w:style>
  <w:style w:type="paragraph" w:customStyle="1" w:styleId="ECHRNumberedList2">
    <w:name w:val="ECHR_Numbered_List_2"/>
    <w:aliases w:val="_Num_2"/>
    <w:basedOn w:val="ECHRNumberedList1"/>
    <w:uiPriority w:val="23"/>
    <w:semiHidden/>
    <w:rsid w:val="00894042"/>
    <w:pPr>
      <w:numPr>
        <w:ilvl w:val="1"/>
      </w:numPr>
    </w:pPr>
  </w:style>
  <w:style w:type="paragraph" w:customStyle="1" w:styleId="ECHRNumberedList3">
    <w:name w:val="ECHR_Numbered_List_3"/>
    <w:aliases w:val="_Num_3"/>
    <w:basedOn w:val="ECHRNumberedList2"/>
    <w:uiPriority w:val="23"/>
    <w:semiHidden/>
    <w:rsid w:val="00894042"/>
    <w:pPr>
      <w:numPr>
        <w:ilvl w:val="2"/>
      </w:numPr>
    </w:pPr>
  </w:style>
  <w:style w:type="paragraph" w:customStyle="1" w:styleId="ECHRParaHanging">
    <w:name w:val="ECHR_Para_Hanging"/>
    <w:aliases w:val="_Hanging"/>
    <w:basedOn w:val="Normal"/>
    <w:uiPriority w:val="8"/>
    <w:semiHidden/>
    <w:qFormat/>
    <w:rsid w:val="00894042"/>
    <w:pPr>
      <w:ind w:left="567" w:hanging="567"/>
      <w:jc w:val="both"/>
    </w:pPr>
  </w:style>
  <w:style w:type="paragraph" w:customStyle="1" w:styleId="ECHRParaIndent">
    <w:name w:val="ECHR_Para_Indent"/>
    <w:aliases w:val="_Indent"/>
    <w:basedOn w:val="Normal"/>
    <w:uiPriority w:val="7"/>
    <w:semiHidden/>
    <w:qFormat/>
    <w:rsid w:val="00894042"/>
    <w:pPr>
      <w:spacing w:before="120" w:after="120"/>
      <w:ind w:left="284"/>
      <w:jc w:val="both"/>
    </w:pPr>
  </w:style>
  <w:style w:type="character" w:customStyle="1" w:styleId="ECHRRed">
    <w:name w:val="ECHR_Red"/>
    <w:aliases w:val="_Red"/>
    <w:basedOn w:val="DefaultParagraphFont"/>
    <w:uiPriority w:val="15"/>
    <w:semiHidden/>
    <w:qFormat/>
    <w:rsid w:val="00894042"/>
    <w:rPr>
      <w:color w:val="C00000" w:themeColor="accent2"/>
    </w:rPr>
  </w:style>
  <w:style w:type="paragraph" w:customStyle="1" w:styleId="DecList">
    <w:name w:val="Dec_List"/>
    <w:aliases w:val="_List"/>
    <w:basedOn w:val="JuList"/>
    <w:uiPriority w:val="22"/>
    <w:rsid w:val="00894042"/>
    <w:pPr>
      <w:numPr>
        <w:numId w:val="0"/>
      </w:numPr>
      <w:ind w:left="284"/>
    </w:pPr>
  </w:style>
  <w:style w:type="table" w:customStyle="1" w:styleId="ECHRTable2">
    <w:name w:val="ECHR_Table_2"/>
    <w:basedOn w:val="TableNormal"/>
    <w:uiPriority w:val="99"/>
    <w:rsid w:val="00894042"/>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89404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894042"/>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894042"/>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894042"/>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894042"/>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894042"/>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894042"/>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894042"/>
    <w:pPr>
      <w:outlineLvl w:val="0"/>
    </w:pPr>
  </w:style>
  <w:style w:type="paragraph" w:customStyle="1" w:styleId="ECHRTitleTOC1">
    <w:name w:val="ECHR_Title_TOC_1"/>
    <w:aliases w:val="_Title_L_TOC"/>
    <w:basedOn w:val="ECHRTitle1"/>
    <w:next w:val="Normal"/>
    <w:uiPriority w:val="27"/>
    <w:semiHidden/>
    <w:qFormat/>
    <w:rsid w:val="00894042"/>
    <w:pPr>
      <w:outlineLvl w:val="0"/>
    </w:pPr>
  </w:style>
  <w:style w:type="paragraph" w:customStyle="1" w:styleId="ECHRPlaceholder">
    <w:name w:val="ECHR_Placeholder"/>
    <w:aliases w:val="_Placeholder"/>
    <w:basedOn w:val="JuSigned"/>
    <w:uiPriority w:val="31"/>
    <w:rsid w:val="00894042"/>
    <w:rPr>
      <w:color w:val="FFFFFF"/>
    </w:rPr>
  </w:style>
  <w:style w:type="paragraph" w:customStyle="1" w:styleId="ECHRSpacer">
    <w:name w:val="ECHR_Spacer"/>
    <w:aliases w:val="_Spacer"/>
    <w:basedOn w:val="Normal"/>
    <w:uiPriority w:val="45"/>
    <w:semiHidden/>
    <w:rsid w:val="00894042"/>
    <w:rPr>
      <w:sz w:val="4"/>
    </w:rPr>
  </w:style>
  <w:style w:type="table" w:customStyle="1" w:styleId="ECHRTableGrey">
    <w:name w:val="ECHR_Table_Grey"/>
    <w:basedOn w:val="TableNormal"/>
    <w:uiPriority w:val="99"/>
    <w:rsid w:val="00894042"/>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9A7FC1"/>
    <w:rPr>
      <w:color w:val="605E5C"/>
      <w:shd w:val="clear" w:color="auto" w:fill="E1DFDD"/>
    </w:rPr>
  </w:style>
  <w:style w:type="character" w:customStyle="1" w:styleId="JuParaChar">
    <w:name w:val="Ju_Para Char"/>
    <w:aliases w:val="_Para Char,ECHR_Para Char"/>
    <w:link w:val="JuPara"/>
    <w:uiPriority w:val="4"/>
    <w:rsid w:val="003252F1"/>
    <w:rPr>
      <w:sz w:val="24"/>
      <w:szCs w:val="24"/>
      <w:lang w:val="en-GB"/>
    </w:rPr>
  </w:style>
  <w:style w:type="table" w:styleId="GridTable1Light">
    <w:name w:val="Grid Table 1 Light"/>
    <w:basedOn w:val="TableNormal"/>
    <w:uiPriority w:val="46"/>
    <w:semiHidden/>
    <w:rsid w:val="003252F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0">
    <w:name w:val="Ju_Names"/>
    <w:rsid w:val="003252F1"/>
    <w:rPr>
      <w:smallCaps/>
    </w:rPr>
  </w:style>
  <w:style w:type="paragraph" w:customStyle="1" w:styleId="JuList4">
    <w:name w:val="Ju_List_4"/>
    <w:aliases w:val="N_Bul_4"/>
    <w:basedOn w:val="JuListi"/>
    <w:uiPriority w:val="19"/>
    <w:rsid w:val="003252F1"/>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3252F1"/>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3252F1"/>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3252F1"/>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3252F1"/>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3252F1"/>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3252F1"/>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3252F1"/>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3252F1"/>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3252F1"/>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3252F1"/>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3252F1"/>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3252F1"/>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3252F1"/>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3252F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3252F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3252F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3252F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3252F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3252F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3252F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3252F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3252F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3252F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3252F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3252F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3252F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3252F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3252F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3252F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3252F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3252F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3252F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3252F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3252F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3252F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3252F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3252F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3252F1"/>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3252F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3252F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3252F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3252F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3252F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3252F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3252F1"/>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3252F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3252F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3252F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3252F1"/>
    <w:rPr>
      <w:color w:val="2B579A"/>
      <w:shd w:val="clear" w:color="auto" w:fill="E1DFDD"/>
    </w:rPr>
  </w:style>
  <w:style w:type="table" w:styleId="ListTable1Light">
    <w:name w:val="List Table 1 Light"/>
    <w:basedOn w:val="TableNormal"/>
    <w:uiPriority w:val="46"/>
    <w:semiHidden/>
    <w:rsid w:val="003252F1"/>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3252F1"/>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3252F1"/>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3252F1"/>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3252F1"/>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3252F1"/>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3252F1"/>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3252F1"/>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3252F1"/>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3252F1"/>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3252F1"/>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3252F1"/>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3252F1"/>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3252F1"/>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3252F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3252F1"/>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3252F1"/>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3252F1"/>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3252F1"/>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3252F1"/>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3252F1"/>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3252F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3252F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3252F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3252F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3252F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3252F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3252F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3252F1"/>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3252F1"/>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3252F1"/>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3252F1"/>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3252F1"/>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3252F1"/>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3252F1"/>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3252F1"/>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3252F1"/>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3252F1"/>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3252F1"/>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3252F1"/>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3252F1"/>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3252F1"/>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3252F1"/>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3252F1"/>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3252F1"/>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3252F1"/>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3252F1"/>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3252F1"/>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3252F1"/>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3252F1"/>
    <w:rPr>
      <w:color w:val="2B579A"/>
      <w:shd w:val="clear" w:color="auto" w:fill="E1DFDD"/>
    </w:rPr>
  </w:style>
  <w:style w:type="table" w:styleId="PlainTable1">
    <w:name w:val="Plain Table 1"/>
    <w:basedOn w:val="TableNormal"/>
    <w:uiPriority w:val="41"/>
    <w:semiHidden/>
    <w:rsid w:val="003252F1"/>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3252F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3252F1"/>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3252F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3252F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3252F1"/>
    <w:rPr>
      <w:u w:val="dotted"/>
    </w:rPr>
  </w:style>
  <w:style w:type="character" w:customStyle="1" w:styleId="SmartLink">
    <w:name w:val="Smart Link"/>
    <w:basedOn w:val="DefaultParagraphFont"/>
    <w:uiPriority w:val="99"/>
    <w:semiHidden/>
    <w:unhideWhenUsed/>
    <w:rsid w:val="003252F1"/>
    <w:rPr>
      <w:color w:val="0000FF"/>
      <w:u w:val="single"/>
      <w:shd w:val="clear" w:color="auto" w:fill="F3F2F1"/>
    </w:rPr>
  </w:style>
  <w:style w:type="table" w:styleId="TableGridLight">
    <w:name w:val="Grid Table Light"/>
    <w:basedOn w:val="TableNormal"/>
    <w:uiPriority w:val="40"/>
    <w:semiHidden/>
    <w:rsid w:val="003252F1"/>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table" w:customStyle="1" w:styleId="ECHRTableFax1">
    <w:name w:val="ECHR_Table_Fax1"/>
    <w:basedOn w:val="TableNormal"/>
    <w:uiPriority w:val="99"/>
    <w:rsid w:val="003252F1"/>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paragraph" w:styleId="Revision">
    <w:name w:val="Revision"/>
    <w:hidden/>
    <w:uiPriority w:val="99"/>
    <w:semiHidden/>
    <w:rsid w:val="003252F1"/>
    <w:rPr>
      <w:sz w:val="24"/>
      <w:szCs w:val="24"/>
      <w:lang w:val="en-GB"/>
    </w:rPr>
  </w:style>
  <w:style w:type="paragraph" w:customStyle="1" w:styleId="jupara0">
    <w:name w:val="jupara"/>
    <w:basedOn w:val="Normal"/>
    <w:rsid w:val="00C75CA9"/>
    <w:pPr>
      <w:ind w:firstLine="284"/>
      <w:jc w:val="both"/>
    </w:pPr>
    <w:rPr>
      <w:rFonts w:ascii="Times New Roman" w:eastAsia="Times New Roman" w:hAnsi="Times New Roman" w:cs="Times New Roman"/>
      <w:lang w:eastAsia="en-GB"/>
    </w:rPr>
  </w:style>
  <w:style w:type="paragraph" w:customStyle="1" w:styleId="jucase0">
    <w:name w:val="jucase"/>
    <w:basedOn w:val="Normal"/>
    <w:rsid w:val="00C75CA9"/>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CD436C-BD93-47A1-AFC6-80ACE7457CE3}">
  <ds:schemaRefs>
    <ds:schemaRef ds:uri="http://schemas.openxmlformats.org/officeDocument/2006/bibliography"/>
  </ds:schemaRefs>
</ds:datastoreItem>
</file>

<file path=customXml/itemProps2.xml><?xml version="1.0" encoding="utf-8"?>
<ds:datastoreItem xmlns:ds="http://schemas.openxmlformats.org/officeDocument/2006/customXml" ds:itemID="{96C210B3-C3F6-41B0-B587-6E06F07BBE6A}"/>
</file>

<file path=customXml/itemProps3.xml><?xml version="1.0" encoding="utf-8"?>
<ds:datastoreItem xmlns:ds="http://schemas.openxmlformats.org/officeDocument/2006/customXml" ds:itemID="{E6A6FB4B-EA6B-488E-BFDF-F17BD3D6698A}"/>
</file>

<file path=customXml/itemProps4.xml><?xml version="1.0" encoding="utf-8"?>
<ds:datastoreItem xmlns:ds="http://schemas.openxmlformats.org/officeDocument/2006/customXml" ds:itemID="{C7D14FBA-6CFD-4D8A-8357-EC2ECDB0601C}"/>
</file>

<file path=docProps/app.xml><?xml version="1.0" encoding="utf-8"?>
<Properties xmlns="http://schemas.openxmlformats.org/officeDocument/2006/extended-properties" xmlns:vt="http://schemas.openxmlformats.org/officeDocument/2006/docPropsVTypes">
  <Template>Normal.dotm</Template>
  <TotalTime>0</TotalTime>
  <Pages>1</Pages>
  <Words>10784</Words>
  <Characters>61469</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72109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2022-12-02T13:31:00Z</dcterms:created>
  <dcterms:modified xsi:type="dcterms:W3CDTF">2022-12-02T13:31:00Z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24315/13</vt:lpwstr>
  </property>
  <property fmtid="{D5CDD505-2E9C-101B-9397-08002B2CF9AE}" pid="4" name="CASEID">
    <vt:lpwstr>874786</vt:lpwstr>
  </property>
  <property fmtid="{D5CDD505-2E9C-101B-9397-08002B2CF9AE}" pid="5" name="ContentTypeId">
    <vt:lpwstr>0x010100558EB02BDB9E204AB350EDD385B68E10</vt:lpwstr>
  </property>
</Properties>
</file>